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59C" w:rsidRPr="00F66081" w:rsidRDefault="0047159C" w:rsidP="00F67A7A">
      <w:pPr>
        <w:pStyle w:val="Odsekzoznamu"/>
        <w:tabs>
          <w:tab w:val="left" w:pos="0"/>
        </w:tabs>
        <w:ind w:left="0" w:firstLine="0"/>
        <w:rPr>
          <w:lang w:val="sk-SK"/>
        </w:rPr>
      </w:pPr>
      <w:bookmarkStart w:id="0" w:name="SÚHRN_CHARAKTERISTICKÝCH_VLASTNOSTÍ_LIEK"/>
      <w:bookmarkStart w:id="1" w:name="_GoBack"/>
      <w:bookmarkEnd w:id="0"/>
      <w:bookmarkEnd w:id="1"/>
    </w:p>
    <w:p w:rsidR="0047159C" w:rsidRPr="00F66081" w:rsidRDefault="0047159C" w:rsidP="00F67A7A">
      <w:pPr>
        <w:pStyle w:val="Odsekzoznamu"/>
        <w:tabs>
          <w:tab w:val="left" w:pos="0"/>
        </w:tabs>
        <w:ind w:left="0" w:firstLine="0"/>
        <w:jc w:val="center"/>
        <w:rPr>
          <w:lang w:val="sk-SK"/>
        </w:rPr>
      </w:pPr>
      <w:r w:rsidRPr="00F66081">
        <w:rPr>
          <w:b/>
          <w:lang w:val="sk-SK"/>
        </w:rPr>
        <w:t>SÚHRN CHARAKTERISTICKÝCH VLASTNOSTÍ LIEKU</w:t>
      </w:r>
    </w:p>
    <w:p w:rsidR="0047159C" w:rsidRPr="00F66081" w:rsidRDefault="0047159C" w:rsidP="00F67A7A">
      <w:pPr>
        <w:pStyle w:val="Odsekzoznamu"/>
        <w:tabs>
          <w:tab w:val="left" w:pos="0"/>
        </w:tabs>
        <w:ind w:left="0" w:firstLine="0"/>
        <w:rPr>
          <w:lang w:val="sk-SK"/>
        </w:rPr>
      </w:pPr>
    </w:p>
    <w:p w:rsidR="0047159C" w:rsidRPr="00F66081" w:rsidRDefault="0047159C" w:rsidP="00F67A7A">
      <w:pPr>
        <w:pStyle w:val="Odsekzoznamu"/>
        <w:tabs>
          <w:tab w:val="left" w:pos="0"/>
        </w:tabs>
        <w:ind w:left="0" w:firstLine="0"/>
        <w:rPr>
          <w:lang w:val="sk-SK"/>
        </w:rPr>
      </w:pPr>
    </w:p>
    <w:p w:rsidR="00532B78" w:rsidRPr="00F66081" w:rsidRDefault="00BA441E" w:rsidP="00F67A7A">
      <w:pPr>
        <w:pStyle w:val="Odsekzoznamu"/>
        <w:numPr>
          <w:ilvl w:val="0"/>
          <w:numId w:val="17"/>
        </w:numPr>
        <w:tabs>
          <w:tab w:val="left" w:pos="0"/>
        </w:tabs>
        <w:spacing w:before="65"/>
        <w:ind w:left="567"/>
        <w:rPr>
          <w:b/>
          <w:lang w:val="sk-SK"/>
        </w:rPr>
      </w:pPr>
      <w:r w:rsidRPr="00F66081">
        <w:rPr>
          <w:b/>
          <w:lang w:val="sk-SK"/>
        </w:rPr>
        <w:t>NÁZOV</w:t>
      </w:r>
      <w:r w:rsidRPr="00F66081">
        <w:rPr>
          <w:b/>
          <w:spacing w:val="-2"/>
          <w:lang w:val="sk-SK"/>
        </w:rPr>
        <w:t xml:space="preserve"> </w:t>
      </w:r>
      <w:r w:rsidRPr="00F66081">
        <w:rPr>
          <w:b/>
          <w:lang w:val="sk-SK"/>
        </w:rPr>
        <w:t>LIEKU</w:t>
      </w:r>
    </w:p>
    <w:p w:rsidR="00532B78" w:rsidRPr="00F66081" w:rsidRDefault="00532B78" w:rsidP="00F67A7A">
      <w:pPr>
        <w:pStyle w:val="Zkladntext"/>
        <w:spacing w:before="7"/>
        <w:ind w:left="0"/>
        <w:rPr>
          <w:lang w:val="sk-SK"/>
        </w:rPr>
      </w:pPr>
    </w:p>
    <w:p w:rsidR="00B262DC" w:rsidRPr="00F66081" w:rsidRDefault="008C05F2" w:rsidP="00F67A7A">
      <w:pPr>
        <w:pStyle w:val="Zkladntext"/>
        <w:ind w:left="0"/>
        <w:rPr>
          <w:lang w:val="sk-SK"/>
        </w:rPr>
      </w:pPr>
      <w:r>
        <w:rPr>
          <w:lang w:val="sk-SK"/>
        </w:rPr>
        <w:t>Zinzibet</w:t>
      </w:r>
      <w:r w:rsidR="0047159C" w:rsidRPr="00F66081">
        <w:rPr>
          <w:lang w:val="sk-SK"/>
        </w:rPr>
        <w:t xml:space="preserve"> 25 mg</w:t>
      </w:r>
    </w:p>
    <w:p w:rsidR="008C05F2" w:rsidRPr="00C3198F" w:rsidRDefault="008C05F2" w:rsidP="00F67A7A">
      <w:pPr>
        <w:pStyle w:val="Zkladntext"/>
        <w:ind w:left="0"/>
        <w:rPr>
          <w:lang w:val="sk-SK"/>
        </w:rPr>
      </w:pPr>
      <w:r w:rsidRPr="00C3198F">
        <w:rPr>
          <w:lang w:val="sk-SK"/>
        </w:rPr>
        <w:t>Zinzibet 50 mg</w:t>
      </w:r>
    </w:p>
    <w:p w:rsidR="008C05F2" w:rsidRDefault="008C05F2" w:rsidP="00F67A7A">
      <w:pPr>
        <w:pStyle w:val="Zkladntext"/>
        <w:ind w:left="0"/>
        <w:rPr>
          <w:lang w:val="sk-SK"/>
        </w:rPr>
      </w:pPr>
      <w:r w:rsidRPr="00C3198F">
        <w:rPr>
          <w:lang w:val="sk-SK"/>
        </w:rPr>
        <w:t>Zinzibet 100 mg</w:t>
      </w: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filmom obalené tablety</w:t>
      </w:r>
    </w:p>
    <w:p w:rsidR="00532B78" w:rsidRPr="00F66081" w:rsidRDefault="00532B78" w:rsidP="00F67A7A">
      <w:pPr>
        <w:pStyle w:val="Zkladntext"/>
        <w:ind w:left="0"/>
        <w:rPr>
          <w:lang w:val="sk-SK"/>
        </w:rPr>
      </w:pP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0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KVALITATÍVNE A KVANTITATÍVNE</w:t>
      </w:r>
      <w:r w:rsidRPr="00F66081">
        <w:rPr>
          <w:spacing w:val="-6"/>
          <w:lang w:val="sk-SK"/>
        </w:rPr>
        <w:t xml:space="preserve"> </w:t>
      </w:r>
      <w:r w:rsidRPr="00F66081">
        <w:rPr>
          <w:lang w:val="sk-SK"/>
        </w:rPr>
        <w:t>ZLOŽENIE</w:t>
      </w:r>
    </w:p>
    <w:p w:rsidR="00532B78" w:rsidRPr="00F66081" w:rsidRDefault="00532B78" w:rsidP="00F67A7A">
      <w:pPr>
        <w:pStyle w:val="Zkladntext"/>
        <w:spacing w:before="7"/>
        <w:ind w:left="0"/>
        <w:rPr>
          <w:lang w:val="sk-SK"/>
        </w:rPr>
      </w:pPr>
    </w:p>
    <w:p w:rsidR="00C3198F" w:rsidRPr="00DB49B4" w:rsidRDefault="00631880" w:rsidP="00F67A7A">
      <w:pPr>
        <w:pStyle w:val="Zkladntext"/>
        <w:ind w:left="0"/>
        <w:rPr>
          <w:lang w:val="sk-SK"/>
        </w:rPr>
      </w:pPr>
      <w:r w:rsidRPr="00DB49B4">
        <w:rPr>
          <w:lang w:val="sk-SK"/>
        </w:rPr>
        <w:t>Zinzibet 25 mg</w:t>
      </w:r>
    </w:p>
    <w:p w:rsidR="004A590A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 xml:space="preserve">Každá tableta obsahuje </w:t>
      </w:r>
      <w:r w:rsidR="0047159C" w:rsidRPr="00F66081">
        <w:rPr>
          <w:lang w:val="sk-SK"/>
        </w:rPr>
        <w:t>34,76 </w:t>
      </w:r>
      <w:r w:rsidR="004A590A" w:rsidRPr="00F66081">
        <w:rPr>
          <w:lang w:val="sk-SK"/>
        </w:rPr>
        <w:t xml:space="preserve">mg </w:t>
      </w:r>
      <w:r w:rsidRPr="00F66081">
        <w:rPr>
          <w:lang w:val="sk-SK"/>
        </w:rPr>
        <w:t>hemihydrát</w:t>
      </w:r>
      <w:r w:rsidR="004A590A" w:rsidRPr="00F66081">
        <w:rPr>
          <w:lang w:val="sk-SK"/>
        </w:rPr>
        <w:t>u</w:t>
      </w:r>
      <w:r w:rsidRPr="00F66081">
        <w:rPr>
          <w:lang w:val="sk-SK"/>
        </w:rPr>
        <w:t xml:space="preserve"> sitagliptíniumtartarátu</w:t>
      </w:r>
      <w:r w:rsidR="004A590A" w:rsidRPr="00F66081">
        <w:rPr>
          <w:lang w:val="sk-SK"/>
        </w:rPr>
        <w:t>, čo</w:t>
      </w:r>
      <w:r w:rsidRPr="00F66081">
        <w:rPr>
          <w:lang w:val="sk-SK"/>
        </w:rPr>
        <w:t xml:space="preserve"> zodpoved</w:t>
      </w:r>
      <w:r w:rsidR="004A590A" w:rsidRPr="00F66081">
        <w:rPr>
          <w:lang w:val="sk-SK"/>
        </w:rPr>
        <w:t>á</w:t>
      </w:r>
      <w:r w:rsidRPr="00F66081">
        <w:rPr>
          <w:lang w:val="sk-SK"/>
        </w:rPr>
        <w:t xml:space="preserve"> 25</w:t>
      </w:r>
      <w:r w:rsidR="0047159C" w:rsidRPr="00F66081">
        <w:rPr>
          <w:lang w:val="sk-SK"/>
        </w:rPr>
        <w:t> </w:t>
      </w:r>
      <w:r w:rsidR="00BA68DF" w:rsidRPr="00F66081">
        <w:rPr>
          <w:lang w:val="sk-SK"/>
        </w:rPr>
        <w:t>mg sitagliptínu.</w:t>
      </w:r>
    </w:p>
    <w:p w:rsidR="00C3198F" w:rsidRPr="00DB49B4" w:rsidRDefault="00631880" w:rsidP="00F67A7A">
      <w:pPr>
        <w:pStyle w:val="Zkladntext"/>
        <w:ind w:left="0"/>
        <w:rPr>
          <w:lang w:val="sk-SK"/>
        </w:rPr>
      </w:pPr>
      <w:r w:rsidRPr="00DB49B4">
        <w:rPr>
          <w:lang w:val="sk-SK"/>
        </w:rPr>
        <w:t>Zinzibet 50 mg</w:t>
      </w:r>
    </w:p>
    <w:p w:rsidR="00FF6D47" w:rsidRPr="00C3198F" w:rsidRDefault="00FF6D47" w:rsidP="00F67A7A">
      <w:pPr>
        <w:pStyle w:val="Zkladntext"/>
        <w:ind w:left="0"/>
        <w:rPr>
          <w:lang w:val="sk-SK"/>
        </w:rPr>
      </w:pPr>
      <w:r w:rsidRPr="00C3198F">
        <w:rPr>
          <w:lang w:val="sk-SK"/>
        </w:rPr>
        <w:t>Každá tableta obsahuje 69,52 mg hemihydrátu sitagliptíniumtartarátu, čo zodpovedá 50 mg sitagliptínu.</w:t>
      </w:r>
    </w:p>
    <w:p w:rsidR="00C3198F" w:rsidRPr="00DB49B4" w:rsidRDefault="00631880" w:rsidP="00F67A7A">
      <w:pPr>
        <w:pStyle w:val="Zkladntext"/>
        <w:ind w:left="0"/>
        <w:rPr>
          <w:lang w:val="sk-SK"/>
        </w:rPr>
      </w:pPr>
      <w:r w:rsidRPr="00DB49B4">
        <w:rPr>
          <w:lang w:val="sk-SK"/>
        </w:rPr>
        <w:t>Zinzibet 100 mg</w:t>
      </w:r>
    </w:p>
    <w:p w:rsidR="00FF6D47" w:rsidRDefault="00FF6D47" w:rsidP="00F67A7A">
      <w:pPr>
        <w:pStyle w:val="Zkladntext"/>
        <w:ind w:left="0"/>
        <w:rPr>
          <w:lang w:val="sk-SK"/>
        </w:rPr>
      </w:pPr>
      <w:r w:rsidRPr="00C3198F">
        <w:rPr>
          <w:lang w:val="sk-SK"/>
        </w:rPr>
        <w:t>Každá tableta obsahuje 139,04 mg hemihydrátu sitagliptíniumtartarátu, čo zodpovedá 100 mg sitagliptínu.</w:t>
      </w: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Úplný zoznam pomocných látok, pozri časť 6.1.</w:t>
      </w:r>
    </w:p>
    <w:p w:rsidR="00532B78" w:rsidRPr="00F66081" w:rsidRDefault="00532B78" w:rsidP="00F67A7A">
      <w:pPr>
        <w:pStyle w:val="Zkladntext"/>
        <w:spacing w:before="11"/>
        <w:ind w:left="0"/>
        <w:rPr>
          <w:lang w:val="sk-SK"/>
        </w:rPr>
      </w:pPr>
    </w:p>
    <w:p w:rsidR="004A590A" w:rsidRPr="00F66081" w:rsidRDefault="004A590A" w:rsidP="00F67A7A">
      <w:pPr>
        <w:pStyle w:val="Zkladntext"/>
        <w:spacing w:before="11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0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LIEKOVÁ FORMA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Filmom obalená tableta (tableta).</w:t>
      </w:r>
    </w:p>
    <w:p w:rsidR="00C3198F" w:rsidRPr="00DB49B4" w:rsidRDefault="00C3198F" w:rsidP="00F67A7A">
      <w:pPr>
        <w:pStyle w:val="Zkladntext"/>
        <w:spacing w:before="1"/>
        <w:ind w:left="0"/>
        <w:rPr>
          <w:lang w:val="sk-SK"/>
        </w:rPr>
      </w:pPr>
      <w:r w:rsidRPr="00DB49B4">
        <w:rPr>
          <w:lang w:val="sk-SK"/>
        </w:rPr>
        <w:t>Zinzibet 25 mg</w:t>
      </w:r>
    </w:p>
    <w:p w:rsidR="00532B78" w:rsidRPr="00F66081" w:rsidRDefault="00BA441E" w:rsidP="00F67A7A">
      <w:pPr>
        <w:pStyle w:val="Zkladntext"/>
        <w:spacing w:before="1"/>
        <w:ind w:left="0"/>
        <w:rPr>
          <w:lang w:val="sk-SK"/>
        </w:rPr>
      </w:pPr>
      <w:r w:rsidRPr="00F66081">
        <w:rPr>
          <w:lang w:val="sk-SK"/>
        </w:rPr>
        <w:t>Okrúhla ružová filmom obalená tableta</w:t>
      </w:r>
      <w:r w:rsidR="004A590A" w:rsidRPr="00F66081">
        <w:rPr>
          <w:lang w:val="sk-SK"/>
        </w:rPr>
        <w:t>, 6</w:t>
      </w:r>
      <w:r w:rsidR="004C3E11">
        <w:rPr>
          <w:lang w:val="sk-SK"/>
        </w:rPr>
        <w:t> </w:t>
      </w:r>
      <w:r w:rsidR="004A590A" w:rsidRPr="00F66081">
        <w:rPr>
          <w:lang w:val="sk-SK"/>
        </w:rPr>
        <w:t>mm</w:t>
      </w:r>
      <w:r w:rsidR="00DB2376" w:rsidRPr="00F66081">
        <w:rPr>
          <w:lang w:val="sk-SK"/>
        </w:rPr>
        <w:t xml:space="preserve"> v </w:t>
      </w:r>
      <w:r w:rsidR="004A590A" w:rsidRPr="00F66081">
        <w:rPr>
          <w:lang w:val="sk-SK"/>
        </w:rPr>
        <w:t>priemer</w:t>
      </w:r>
      <w:r w:rsidR="00DB2376" w:rsidRPr="00F66081">
        <w:rPr>
          <w:lang w:val="sk-SK"/>
        </w:rPr>
        <w:t>e</w:t>
      </w:r>
      <w:r w:rsidR="004A590A" w:rsidRPr="00F66081">
        <w:rPr>
          <w:lang w:val="sk-SK"/>
        </w:rPr>
        <w:t xml:space="preserve">, </w:t>
      </w:r>
      <w:r w:rsidRPr="00F66081">
        <w:rPr>
          <w:lang w:val="sk-SK"/>
        </w:rPr>
        <w:t>označen</w:t>
      </w:r>
      <w:r w:rsidR="004A590A" w:rsidRPr="00F66081">
        <w:rPr>
          <w:lang w:val="sk-SK"/>
        </w:rPr>
        <w:t>ie</w:t>
      </w:r>
      <w:r w:rsidRPr="00F66081">
        <w:rPr>
          <w:lang w:val="sk-SK"/>
        </w:rPr>
        <w:t xml:space="preserve"> „2</w:t>
      </w:r>
      <w:r w:rsidR="004A590A" w:rsidRPr="00F66081">
        <w:rPr>
          <w:lang w:val="sk-SK"/>
        </w:rPr>
        <w:t>5</w:t>
      </w:r>
      <w:r w:rsidRPr="00F66081">
        <w:rPr>
          <w:lang w:val="sk-SK"/>
        </w:rPr>
        <w:t>“ na jednej strane.</w:t>
      </w:r>
    </w:p>
    <w:p w:rsidR="00C3198F" w:rsidRPr="00DB49B4" w:rsidRDefault="00C3198F" w:rsidP="00F67A7A">
      <w:pPr>
        <w:pStyle w:val="Zkladntext"/>
        <w:ind w:left="0"/>
        <w:rPr>
          <w:lang w:val="sk-SK"/>
        </w:rPr>
      </w:pPr>
      <w:r w:rsidRPr="00DB49B4">
        <w:rPr>
          <w:lang w:val="sk-SK"/>
        </w:rPr>
        <w:t>Zinzibet 50 mg</w:t>
      </w:r>
    </w:p>
    <w:p w:rsidR="00532B78" w:rsidRPr="00C3198F" w:rsidRDefault="00FF6D47" w:rsidP="00F67A7A">
      <w:pPr>
        <w:pStyle w:val="Zkladntext"/>
        <w:ind w:left="0"/>
        <w:rPr>
          <w:lang w:val="sk-SK"/>
        </w:rPr>
      </w:pPr>
      <w:r w:rsidRPr="00C3198F">
        <w:rPr>
          <w:lang w:val="sk-SK"/>
        </w:rPr>
        <w:t>Okrúhla svetlobéžová filmom obalená tableta, 8 mm v priemere, označenie „50“ na jednej strane.</w:t>
      </w:r>
    </w:p>
    <w:p w:rsidR="00C3198F" w:rsidRPr="00DB49B4" w:rsidRDefault="00C3198F" w:rsidP="00F67A7A">
      <w:pPr>
        <w:pStyle w:val="Zkladntext"/>
        <w:ind w:left="0"/>
        <w:rPr>
          <w:lang w:val="sk-SK"/>
        </w:rPr>
      </w:pPr>
      <w:r w:rsidRPr="00DB49B4">
        <w:rPr>
          <w:lang w:val="sk-SK"/>
        </w:rPr>
        <w:t>Zinzibet 100 mg</w:t>
      </w:r>
    </w:p>
    <w:p w:rsidR="00FF6D47" w:rsidRDefault="00FF6D47" w:rsidP="00F67A7A">
      <w:pPr>
        <w:pStyle w:val="Zkladntext"/>
        <w:ind w:left="0"/>
        <w:rPr>
          <w:lang w:val="sk-SK"/>
        </w:rPr>
      </w:pPr>
      <w:r w:rsidRPr="00C3198F">
        <w:rPr>
          <w:lang w:val="sk-SK"/>
        </w:rPr>
        <w:t>Okrúhla béžová filmom obalená tableta, 10 mm v priemere, označenie „100“ na jednej strane.</w:t>
      </w:r>
    </w:p>
    <w:p w:rsidR="00FF6D47" w:rsidRPr="00F66081" w:rsidRDefault="00FF6D47" w:rsidP="00F67A7A">
      <w:pPr>
        <w:pStyle w:val="Zkladntext"/>
        <w:ind w:left="0"/>
        <w:rPr>
          <w:lang w:val="sk-SK"/>
        </w:rPr>
      </w:pPr>
    </w:p>
    <w:p w:rsidR="00532B78" w:rsidRPr="00F66081" w:rsidRDefault="00532B78" w:rsidP="00F67A7A">
      <w:pPr>
        <w:pStyle w:val="Zkladntext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0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KLINICKÉ</w:t>
      </w:r>
      <w:r w:rsidRPr="00F66081">
        <w:rPr>
          <w:spacing w:val="-2"/>
          <w:lang w:val="sk-SK"/>
        </w:rPr>
        <w:t xml:space="preserve"> </w:t>
      </w:r>
      <w:r w:rsidRPr="00F66081">
        <w:rPr>
          <w:lang w:val="sk-SK"/>
        </w:rPr>
        <w:t>ÚDAJE</w:t>
      </w: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532B78" w:rsidRPr="00F66081" w:rsidRDefault="00BA441E" w:rsidP="00F67A7A">
      <w:pPr>
        <w:pStyle w:val="Odsekzoznamu"/>
        <w:numPr>
          <w:ilvl w:val="1"/>
          <w:numId w:val="17"/>
        </w:numPr>
        <w:tabs>
          <w:tab w:val="left" w:pos="0"/>
        </w:tabs>
        <w:ind w:left="567"/>
        <w:rPr>
          <w:b/>
          <w:lang w:val="sk-SK"/>
        </w:rPr>
      </w:pPr>
      <w:r w:rsidRPr="00F66081">
        <w:rPr>
          <w:b/>
          <w:lang w:val="sk-SK"/>
        </w:rPr>
        <w:t>Terapeutické indikácie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 xml:space="preserve">Dospelým pacientom s diabetes mellitus 2. typu je </w:t>
      </w:r>
      <w:r w:rsidR="008C05F2" w:rsidRPr="008C05F2">
        <w:rPr>
          <w:lang w:val="sk-SK"/>
        </w:rPr>
        <w:t xml:space="preserve">Zinzibet </w:t>
      </w:r>
      <w:r w:rsidRPr="00F66081">
        <w:rPr>
          <w:lang w:val="sk-SK"/>
        </w:rPr>
        <w:t>indikovaný na zlepšenie kontroly glykémie: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ako monoterapia</w:t>
      </w:r>
    </w:p>
    <w:p w:rsidR="00532B78" w:rsidRPr="00F66081" w:rsidRDefault="004C3E11" w:rsidP="00F67A7A">
      <w:pPr>
        <w:pStyle w:val="Odsekzoznamu"/>
        <w:numPr>
          <w:ilvl w:val="0"/>
          <w:numId w:val="16"/>
        </w:numPr>
        <w:tabs>
          <w:tab w:val="left" w:pos="0"/>
          <w:tab w:val="left" w:pos="9072"/>
        </w:tabs>
        <w:ind w:left="567"/>
        <w:rPr>
          <w:lang w:val="sk-SK"/>
        </w:rPr>
      </w:pPr>
      <w:r>
        <w:rPr>
          <w:lang w:val="sk-SK"/>
        </w:rPr>
        <w:t>u </w:t>
      </w:r>
      <w:r w:rsidR="00BA441E" w:rsidRPr="00F66081">
        <w:rPr>
          <w:lang w:val="sk-SK"/>
        </w:rPr>
        <w:t>pacientov nedostatočne kontrolovaných samotnou diétou a cvičením, pre ktorých nie je vhodný metformín z dôvodu kontraindikácií alebo</w:t>
      </w:r>
      <w:r w:rsidR="00BA441E" w:rsidRPr="00F66081">
        <w:rPr>
          <w:spacing w:val="-4"/>
          <w:lang w:val="sk-SK"/>
        </w:rPr>
        <w:t xml:space="preserve"> </w:t>
      </w:r>
      <w:r w:rsidR="00BA441E" w:rsidRPr="00F66081">
        <w:rPr>
          <w:lang w:val="sk-SK"/>
        </w:rPr>
        <w:t>intolerancie.</w:t>
      </w:r>
    </w:p>
    <w:p w:rsidR="00532B78" w:rsidRPr="00F66081" w:rsidRDefault="00532B78" w:rsidP="00F67A7A">
      <w:pPr>
        <w:pStyle w:val="Zkladntext"/>
        <w:spacing w:before="9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ako duálna perorálna liečba v kombinácii</w:t>
      </w:r>
    </w:p>
    <w:p w:rsidR="00532B78" w:rsidRPr="00F66081" w:rsidRDefault="004C3E11" w:rsidP="00F67A7A">
      <w:pPr>
        <w:pStyle w:val="Odsekzoznamu"/>
        <w:numPr>
          <w:ilvl w:val="0"/>
          <w:numId w:val="16"/>
        </w:numPr>
        <w:tabs>
          <w:tab w:val="left" w:pos="0"/>
        </w:tabs>
        <w:spacing w:before="1"/>
        <w:ind w:left="567"/>
        <w:rPr>
          <w:lang w:val="sk-SK"/>
        </w:rPr>
      </w:pPr>
      <w:r>
        <w:rPr>
          <w:lang w:val="sk-SK"/>
        </w:rPr>
        <w:t>s </w:t>
      </w:r>
      <w:r w:rsidR="00BA441E" w:rsidRPr="00F66081">
        <w:rPr>
          <w:lang w:val="sk-SK"/>
        </w:rPr>
        <w:t>metformínom, ak diéta a cvičenie plus samotný metformín nezabezpečia dostatočnú kontrolu glykémie.</w:t>
      </w:r>
    </w:p>
    <w:p w:rsidR="00532B78" w:rsidRPr="00F66081" w:rsidRDefault="004C3E11" w:rsidP="00F67A7A">
      <w:pPr>
        <w:pStyle w:val="Odsekzoznamu"/>
        <w:numPr>
          <w:ilvl w:val="0"/>
          <w:numId w:val="16"/>
        </w:numPr>
        <w:tabs>
          <w:tab w:val="left" w:pos="0"/>
        </w:tabs>
        <w:ind w:left="567"/>
        <w:rPr>
          <w:lang w:val="sk-SK"/>
        </w:rPr>
      </w:pPr>
      <w:r>
        <w:rPr>
          <w:lang w:val="sk-SK"/>
        </w:rPr>
        <w:t>so </w:t>
      </w:r>
      <w:r w:rsidR="003527FE">
        <w:rPr>
          <w:lang w:val="sk-SK"/>
        </w:rPr>
        <w:t>sulfonylmočovinou</w:t>
      </w:r>
      <w:r w:rsidR="00BA441E" w:rsidRPr="00F66081">
        <w:rPr>
          <w:lang w:val="sk-SK"/>
        </w:rPr>
        <w:t xml:space="preserve">, ak diéta a cvičenie plus maximálna tolerovaná dávka samotnej </w:t>
      </w:r>
      <w:r w:rsidR="003527FE" w:rsidRPr="00F66081">
        <w:rPr>
          <w:lang w:val="sk-SK"/>
        </w:rPr>
        <w:t>sulfonyl</w:t>
      </w:r>
      <w:r w:rsidR="003527FE">
        <w:rPr>
          <w:lang w:val="sk-SK"/>
        </w:rPr>
        <w:t>močoviny</w:t>
      </w:r>
      <w:r w:rsidR="003527FE" w:rsidRPr="00F66081">
        <w:rPr>
          <w:lang w:val="sk-SK"/>
        </w:rPr>
        <w:t xml:space="preserve"> </w:t>
      </w:r>
      <w:r w:rsidR="00BA441E" w:rsidRPr="00F66081">
        <w:rPr>
          <w:lang w:val="sk-SK"/>
        </w:rPr>
        <w:t>nezabezpečia dostatočnú kontrolu glykémie a ak z dôvodu kontraindikácií alebo intolerancie nie je vhodný</w:t>
      </w:r>
      <w:r w:rsidR="00BA441E" w:rsidRPr="00F66081">
        <w:rPr>
          <w:spacing w:val="-3"/>
          <w:lang w:val="sk-SK"/>
        </w:rPr>
        <w:t xml:space="preserve"> </w:t>
      </w:r>
      <w:r w:rsidR="00BA441E" w:rsidRPr="00F66081">
        <w:rPr>
          <w:lang w:val="sk-SK"/>
        </w:rPr>
        <w:t>metformín.</w:t>
      </w:r>
    </w:p>
    <w:p w:rsidR="00532B78" w:rsidRPr="00F66081" w:rsidRDefault="004C3E11" w:rsidP="00F67A7A">
      <w:pPr>
        <w:pStyle w:val="Odsekzoznamu"/>
        <w:numPr>
          <w:ilvl w:val="0"/>
          <w:numId w:val="16"/>
        </w:numPr>
        <w:tabs>
          <w:tab w:val="left" w:pos="0"/>
        </w:tabs>
        <w:spacing w:before="1"/>
        <w:ind w:left="567"/>
        <w:rPr>
          <w:lang w:val="sk-SK"/>
        </w:rPr>
      </w:pPr>
      <w:r w:rsidRPr="00914AF3">
        <w:rPr>
          <w:lang w:val="sk-SK"/>
        </w:rPr>
        <w:t>s </w:t>
      </w:r>
      <w:r w:rsidR="00BA441E" w:rsidRPr="004C3E11">
        <w:rPr>
          <w:lang w:val="sk-SK"/>
        </w:rPr>
        <w:t>agonistom</w:t>
      </w:r>
      <w:r w:rsidR="00BA441E" w:rsidRPr="00F66081">
        <w:rPr>
          <w:lang w:val="sk-SK"/>
        </w:rPr>
        <w:t xml:space="preserve"> gama receptora aktivovaného proliferátorom peroxizómu (PPAR</w:t>
      </w:r>
      <w:r w:rsidR="004A590A" w:rsidRPr="00F66081">
        <w:rPr>
          <w:lang w:val="sk-SK"/>
        </w:rPr>
        <w:t>γ</w:t>
      </w:r>
      <w:r w:rsidR="00BA441E" w:rsidRPr="00F66081">
        <w:rPr>
          <w:lang w:val="sk-SK"/>
        </w:rPr>
        <w:t>) (t.j. tiazolidíndiónom), ak je vhodné použiť PPAR</w:t>
      </w:r>
      <w:r w:rsidR="004A590A" w:rsidRPr="00F66081">
        <w:rPr>
          <w:lang w:val="sk-SK"/>
        </w:rPr>
        <w:t>γ</w:t>
      </w:r>
      <w:r w:rsidR="00BA441E" w:rsidRPr="00F66081">
        <w:rPr>
          <w:lang w:val="sk-SK"/>
        </w:rPr>
        <w:t xml:space="preserve"> agonistu a ak diéta a cvičenie plus samotný </w:t>
      </w:r>
      <w:r w:rsidR="00BA441E" w:rsidRPr="00F66081">
        <w:rPr>
          <w:lang w:val="sk-SK"/>
        </w:rPr>
        <w:lastRenderedPageBreak/>
        <w:t>PPAR</w:t>
      </w:r>
      <w:r w:rsidR="004A590A" w:rsidRPr="00F66081">
        <w:rPr>
          <w:lang w:val="sk-SK"/>
        </w:rPr>
        <w:t>γ</w:t>
      </w:r>
      <w:r w:rsidR="00BA441E" w:rsidRPr="00F66081">
        <w:rPr>
          <w:lang w:val="sk-SK"/>
        </w:rPr>
        <w:t xml:space="preserve"> agonista nezabezpečia dostatočnú kontrolu</w:t>
      </w:r>
      <w:r w:rsidR="00BA441E" w:rsidRPr="00F66081">
        <w:rPr>
          <w:spacing w:val="-2"/>
          <w:lang w:val="sk-SK"/>
        </w:rPr>
        <w:t xml:space="preserve"> </w:t>
      </w:r>
      <w:r w:rsidR="00BA441E" w:rsidRPr="00F66081">
        <w:rPr>
          <w:lang w:val="sk-SK"/>
        </w:rPr>
        <w:t>glykémie.</w:t>
      </w:r>
    </w:p>
    <w:p w:rsidR="00532B78" w:rsidRPr="00F66081" w:rsidRDefault="00532B78" w:rsidP="00F67A7A">
      <w:pPr>
        <w:pStyle w:val="Zkladntext"/>
        <w:tabs>
          <w:tab w:val="left" w:pos="0"/>
        </w:tabs>
        <w:spacing w:before="3"/>
        <w:ind w:left="567" w:hanging="567"/>
        <w:rPr>
          <w:lang w:val="sk-SK"/>
        </w:rPr>
      </w:pPr>
    </w:p>
    <w:p w:rsidR="00532B78" w:rsidRPr="00F66081" w:rsidRDefault="00BA441E" w:rsidP="00F67A7A">
      <w:pPr>
        <w:pStyle w:val="Zkladntext"/>
        <w:tabs>
          <w:tab w:val="left" w:pos="0"/>
        </w:tabs>
        <w:ind w:left="567" w:hanging="567"/>
        <w:rPr>
          <w:lang w:val="sk-SK"/>
        </w:rPr>
      </w:pPr>
      <w:r w:rsidRPr="00F66081">
        <w:rPr>
          <w:lang w:val="sk-SK"/>
        </w:rPr>
        <w:t>ako trojitá perorálna liečba v kombinácii</w:t>
      </w:r>
    </w:p>
    <w:p w:rsidR="00532B78" w:rsidRPr="00F66081" w:rsidRDefault="004C3E11" w:rsidP="00F67A7A">
      <w:pPr>
        <w:pStyle w:val="Odsekzoznamu"/>
        <w:numPr>
          <w:ilvl w:val="0"/>
          <w:numId w:val="16"/>
        </w:numPr>
        <w:tabs>
          <w:tab w:val="left" w:pos="0"/>
        </w:tabs>
        <w:ind w:left="567"/>
        <w:rPr>
          <w:lang w:val="sk-SK"/>
        </w:rPr>
      </w:pPr>
      <w:r>
        <w:rPr>
          <w:lang w:val="sk-SK"/>
        </w:rPr>
        <w:t>so </w:t>
      </w:r>
      <w:r w:rsidR="003527FE" w:rsidRPr="00F66081">
        <w:rPr>
          <w:lang w:val="sk-SK"/>
        </w:rPr>
        <w:t>sulfonyl</w:t>
      </w:r>
      <w:r w:rsidR="003527FE">
        <w:rPr>
          <w:lang w:val="sk-SK"/>
        </w:rPr>
        <w:t>močovinou</w:t>
      </w:r>
      <w:r w:rsidR="003527FE" w:rsidRPr="00F66081">
        <w:rPr>
          <w:lang w:val="sk-SK"/>
        </w:rPr>
        <w:t xml:space="preserve"> </w:t>
      </w:r>
      <w:r w:rsidR="00BA441E" w:rsidRPr="00F66081">
        <w:rPr>
          <w:lang w:val="sk-SK"/>
        </w:rPr>
        <w:t>a metformínom, ak diéta a cvičenie plus duálna liečba týmito liekmi nezabezpečia dostatočnú kontrolu</w:t>
      </w:r>
      <w:r w:rsidR="00BA441E" w:rsidRPr="00F66081">
        <w:rPr>
          <w:spacing w:val="-1"/>
          <w:lang w:val="sk-SK"/>
        </w:rPr>
        <w:t xml:space="preserve"> </w:t>
      </w:r>
      <w:r w:rsidR="00BA441E" w:rsidRPr="00F66081">
        <w:rPr>
          <w:lang w:val="sk-SK"/>
        </w:rPr>
        <w:t>glykémie.</w:t>
      </w:r>
    </w:p>
    <w:p w:rsidR="00532B78" w:rsidRPr="00F66081" w:rsidRDefault="004C3E11" w:rsidP="00F67A7A">
      <w:pPr>
        <w:pStyle w:val="Odsekzoznamu"/>
        <w:numPr>
          <w:ilvl w:val="0"/>
          <w:numId w:val="16"/>
        </w:numPr>
        <w:tabs>
          <w:tab w:val="left" w:pos="0"/>
        </w:tabs>
        <w:spacing w:before="6"/>
        <w:ind w:left="567"/>
        <w:rPr>
          <w:lang w:val="sk-SK"/>
        </w:rPr>
      </w:pPr>
      <w:r>
        <w:rPr>
          <w:lang w:val="sk-SK"/>
        </w:rPr>
        <w:t>s </w:t>
      </w:r>
      <w:r w:rsidR="00BA441E" w:rsidRPr="00F66081">
        <w:rPr>
          <w:lang w:val="sk-SK"/>
        </w:rPr>
        <w:t>PPAR</w:t>
      </w:r>
      <w:r w:rsidR="004A590A" w:rsidRPr="00F66081">
        <w:rPr>
          <w:lang w:val="sk-SK"/>
        </w:rPr>
        <w:t>γ</w:t>
      </w:r>
      <w:r w:rsidR="00BA441E" w:rsidRPr="00F66081">
        <w:rPr>
          <w:lang w:val="sk-SK"/>
        </w:rPr>
        <w:t xml:space="preserve"> agonistom a metformínom, ak je použitie PPAR</w:t>
      </w:r>
      <w:r w:rsidR="004A590A" w:rsidRPr="00F66081">
        <w:rPr>
          <w:lang w:val="sk-SK"/>
        </w:rPr>
        <w:t>γ</w:t>
      </w:r>
      <w:r w:rsidR="00BA441E" w:rsidRPr="00F66081">
        <w:rPr>
          <w:lang w:val="sk-SK"/>
        </w:rPr>
        <w:t xml:space="preserve"> agonistu vhodné a ak</w:t>
      </w:r>
      <w:r w:rsidR="00BA441E" w:rsidRPr="00F66081">
        <w:rPr>
          <w:spacing w:val="-17"/>
          <w:lang w:val="sk-SK"/>
        </w:rPr>
        <w:t xml:space="preserve"> </w:t>
      </w:r>
      <w:r w:rsidR="00BA441E" w:rsidRPr="00F66081">
        <w:rPr>
          <w:lang w:val="sk-SK"/>
        </w:rPr>
        <w:t>diéta</w:t>
      </w:r>
      <w:r w:rsidR="004A590A" w:rsidRPr="00F66081">
        <w:rPr>
          <w:lang w:val="sk-SK"/>
        </w:rPr>
        <w:t xml:space="preserve"> </w:t>
      </w:r>
      <w:r w:rsidR="00BA441E" w:rsidRPr="00F66081">
        <w:rPr>
          <w:lang w:val="sk-SK"/>
        </w:rPr>
        <w:t>a cvičenie plus duálna liečba týmito liekmi nezabezpečia dostatočnú kontrolu glykémie.</w:t>
      </w: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532B78" w:rsidRPr="00F66081" w:rsidRDefault="008C05F2" w:rsidP="00F67A7A">
      <w:pPr>
        <w:pStyle w:val="Zkladntext"/>
        <w:tabs>
          <w:tab w:val="left" w:pos="9072"/>
        </w:tabs>
        <w:ind w:left="0"/>
        <w:rPr>
          <w:lang w:val="sk-SK"/>
        </w:rPr>
      </w:pPr>
      <w:r w:rsidRPr="008C05F2">
        <w:rPr>
          <w:lang w:val="sk-SK"/>
        </w:rPr>
        <w:t xml:space="preserve">Zinzibet </w:t>
      </w:r>
      <w:r w:rsidR="00BA441E" w:rsidRPr="00F66081">
        <w:rPr>
          <w:lang w:val="sk-SK"/>
        </w:rPr>
        <w:t>je tiež indikovaný ak</w:t>
      </w:r>
      <w:r w:rsidR="004C3E11">
        <w:rPr>
          <w:lang w:val="sk-SK"/>
        </w:rPr>
        <w:t>o prídavná liečba k inzulínu (s </w:t>
      </w:r>
      <w:r w:rsidR="00BA441E" w:rsidRPr="00F66081">
        <w:rPr>
          <w:lang w:val="sk-SK"/>
        </w:rPr>
        <w:t>metformínom alebo bez metformínu), ak diéta a cvičenie plus stabilná dávka inzulínu nezabezpečia dostatočnú kontrolu glykémie.</w:t>
      </w:r>
    </w:p>
    <w:p w:rsidR="00532B78" w:rsidRPr="00F66081" w:rsidRDefault="00532B78" w:rsidP="00F67A7A">
      <w:pPr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1"/>
          <w:numId w:val="17"/>
        </w:numPr>
        <w:tabs>
          <w:tab w:val="left" w:pos="0"/>
        </w:tabs>
        <w:spacing w:before="64"/>
        <w:ind w:left="567"/>
        <w:jc w:val="both"/>
        <w:rPr>
          <w:lang w:val="sk-SK"/>
        </w:rPr>
      </w:pPr>
      <w:r w:rsidRPr="00F66081">
        <w:rPr>
          <w:lang w:val="sk-SK"/>
        </w:rPr>
        <w:t>Dávkovanie a spôsob</w:t>
      </w:r>
      <w:r w:rsidRPr="00F66081">
        <w:rPr>
          <w:spacing w:val="-1"/>
          <w:lang w:val="sk-SK"/>
        </w:rPr>
        <w:t xml:space="preserve"> </w:t>
      </w:r>
      <w:r w:rsidRPr="00F66081">
        <w:rPr>
          <w:lang w:val="sk-SK"/>
        </w:rPr>
        <w:t>podávania</w:t>
      </w:r>
    </w:p>
    <w:p w:rsidR="00532B78" w:rsidRPr="00F66081" w:rsidRDefault="00532B78" w:rsidP="00F67A7A">
      <w:pPr>
        <w:pStyle w:val="Zkladntext"/>
        <w:spacing w:before="7"/>
        <w:ind w:left="0"/>
        <w:rPr>
          <w:b/>
          <w:lang w:val="sk-SK"/>
        </w:rPr>
      </w:pPr>
    </w:p>
    <w:p w:rsidR="00532B78" w:rsidRPr="00F66081" w:rsidRDefault="00BA441E" w:rsidP="00F67A7A">
      <w:pPr>
        <w:pStyle w:val="Zkladntext"/>
        <w:spacing w:before="1"/>
        <w:ind w:left="0"/>
        <w:rPr>
          <w:lang w:val="sk-SK"/>
        </w:rPr>
      </w:pPr>
      <w:r w:rsidRPr="00F66081">
        <w:rPr>
          <w:u w:val="single"/>
          <w:lang w:val="sk-SK"/>
        </w:rPr>
        <w:t>Dávkovanie</w:t>
      </w:r>
    </w:p>
    <w:p w:rsidR="00532B78" w:rsidRPr="00F66081" w:rsidRDefault="004C3E11" w:rsidP="00F67A7A">
      <w:pPr>
        <w:pStyle w:val="Zkladntext"/>
        <w:spacing w:before="4"/>
        <w:ind w:left="0"/>
        <w:rPr>
          <w:lang w:val="sk-SK"/>
        </w:rPr>
      </w:pPr>
      <w:r>
        <w:rPr>
          <w:lang w:val="sk-SK"/>
        </w:rPr>
        <w:t>Dávka je 100 </w:t>
      </w:r>
      <w:r w:rsidR="00BA441E" w:rsidRPr="00F66081">
        <w:rPr>
          <w:lang w:val="sk-SK"/>
        </w:rPr>
        <w:t>mg sitagliptínu</w:t>
      </w:r>
      <w:r>
        <w:rPr>
          <w:lang w:val="sk-SK"/>
        </w:rPr>
        <w:t xml:space="preserve"> jedenkrát denne. Pri použití v kombinácii s </w:t>
      </w:r>
      <w:r w:rsidR="00BA441E" w:rsidRPr="00F66081">
        <w:rPr>
          <w:lang w:val="sk-SK"/>
        </w:rPr>
        <w:t>metformínom a/alebo PPAR</w:t>
      </w:r>
      <w:r w:rsidR="004A590A" w:rsidRPr="00F66081">
        <w:rPr>
          <w:lang w:val="sk-SK"/>
        </w:rPr>
        <w:t>γ</w:t>
      </w:r>
      <w:r w:rsidR="00BA441E" w:rsidRPr="00F66081">
        <w:rPr>
          <w:lang w:val="sk-SK"/>
        </w:rPr>
        <w:t xml:space="preserve"> agonistom, dávka metformínu a/alebo PPAR</w:t>
      </w:r>
      <w:r w:rsidR="004A590A" w:rsidRPr="00F66081">
        <w:rPr>
          <w:lang w:val="sk-SK"/>
        </w:rPr>
        <w:t>γ</w:t>
      </w:r>
      <w:r w:rsidR="00BA441E" w:rsidRPr="00F66081">
        <w:rPr>
          <w:lang w:val="sk-SK"/>
        </w:rPr>
        <w:t xml:space="preserve"> agonistu sa má zachovať a </w:t>
      </w:r>
      <w:r w:rsidR="008C05F2" w:rsidRPr="008C05F2">
        <w:rPr>
          <w:lang w:val="sk-SK"/>
        </w:rPr>
        <w:t>Zinzibet</w:t>
      </w:r>
      <w:r w:rsidR="00BA441E" w:rsidRPr="00F66081">
        <w:rPr>
          <w:lang w:val="sk-SK"/>
        </w:rPr>
        <w:t xml:space="preserve"> podávať súbežne.</w:t>
      </w:r>
    </w:p>
    <w:p w:rsidR="00532B78" w:rsidRPr="00F66081" w:rsidRDefault="00532B78" w:rsidP="00F67A7A">
      <w:pPr>
        <w:pStyle w:val="Zkladntext"/>
        <w:spacing w:before="5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 xml:space="preserve">Keď sa </w:t>
      </w:r>
      <w:r w:rsidR="008C05F2" w:rsidRPr="008C05F2">
        <w:rPr>
          <w:lang w:val="sk-SK"/>
        </w:rPr>
        <w:t xml:space="preserve">Zinzibet </w:t>
      </w:r>
      <w:r w:rsidRPr="00F66081">
        <w:rPr>
          <w:lang w:val="sk-SK"/>
        </w:rPr>
        <w:t>podáva v</w:t>
      </w:r>
      <w:r w:rsidR="004C3E11">
        <w:rPr>
          <w:lang w:val="sk-SK"/>
        </w:rPr>
        <w:t> </w:t>
      </w:r>
      <w:r w:rsidRPr="00F66081">
        <w:rPr>
          <w:lang w:val="sk-SK"/>
        </w:rPr>
        <w:t>kombinácii so</w:t>
      </w:r>
      <w:r w:rsidR="004C3E11">
        <w:rPr>
          <w:lang w:val="sk-SK"/>
        </w:rPr>
        <w:t> </w:t>
      </w:r>
      <w:r w:rsidR="003527FE" w:rsidRPr="00F66081">
        <w:rPr>
          <w:lang w:val="sk-SK"/>
        </w:rPr>
        <w:t>sulfonyl</w:t>
      </w:r>
      <w:r w:rsidR="003527FE">
        <w:rPr>
          <w:lang w:val="sk-SK"/>
        </w:rPr>
        <w:t>močovinou</w:t>
      </w:r>
      <w:r w:rsidR="003527FE" w:rsidRPr="00F66081">
        <w:rPr>
          <w:lang w:val="sk-SK"/>
        </w:rPr>
        <w:t xml:space="preserve"> </w:t>
      </w:r>
      <w:r w:rsidRPr="00F66081">
        <w:rPr>
          <w:lang w:val="sk-SK"/>
        </w:rPr>
        <w:t>alebo s</w:t>
      </w:r>
      <w:r w:rsidR="004C3E11">
        <w:rPr>
          <w:lang w:val="sk-SK"/>
        </w:rPr>
        <w:t> </w:t>
      </w:r>
      <w:r w:rsidRPr="00F66081">
        <w:rPr>
          <w:lang w:val="sk-SK"/>
        </w:rPr>
        <w:t xml:space="preserve">inzulínom, môže sa zvážiť nižšia dávka </w:t>
      </w:r>
      <w:r w:rsidR="003527FE" w:rsidRPr="00F66081">
        <w:rPr>
          <w:lang w:val="sk-SK"/>
        </w:rPr>
        <w:t>sulfonyl</w:t>
      </w:r>
      <w:r w:rsidR="003527FE">
        <w:rPr>
          <w:lang w:val="sk-SK"/>
        </w:rPr>
        <w:t>močoviny</w:t>
      </w:r>
      <w:r w:rsidR="003527FE" w:rsidRPr="00F66081">
        <w:rPr>
          <w:lang w:val="sk-SK"/>
        </w:rPr>
        <w:t xml:space="preserve"> </w:t>
      </w:r>
      <w:r w:rsidRPr="00F66081">
        <w:rPr>
          <w:lang w:val="sk-SK"/>
        </w:rPr>
        <w:t>alebo inzulínu, aby sa znížilo riziko hypoglykémie (pozri časť 4.4).</w:t>
      </w:r>
    </w:p>
    <w:p w:rsidR="00532B78" w:rsidRPr="00F66081" w:rsidRDefault="00532B78" w:rsidP="00F67A7A">
      <w:pPr>
        <w:pStyle w:val="Zkladntext"/>
        <w:spacing w:before="9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 xml:space="preserve">Ak sa vynechá dávka </w:t>
      </w:r>
      <w:r w:rsidR="008C05F2" w:rsidRPr="008C05F2">
        <w:rPr>
          <w:lang w:val="sk-SK"/>
        </w:rPr>
        <w:t>Zinzibet</w:t>
      </w:r>
      <w:r w:rsidR="008C05F2">
        <w:rPr>
          <w:lang w:val="sk-SK"/>
        </w:rPr>
        <w:t>u</w:t>
      </w:r>
      <w:r w:rsidRPr="00F66081">
        <w:rPr>
          <w:lang w:val="sk-SK"/>
        </w:rPr>
        <w:t>, má sa užiť hneď, ako si na to pacient spomenie. V</w:t>
      </w:r>
      <w:r w:rsidR="008C05F2">
        <w:rPr>
          <w:lang w:val="sk-SK"/>
        </w:rPr>
        <w:t> </w:t>
      </w:r>
      <w:r w:rsidRPr="00F66081">
        <w:rPr>
          <w:lang w:val="sk-SK"/>
        </w:rPr>
        <w:t>ten istý deň sa nesmie užiť dvojnásobná dávka.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Osobitné skupiny pacientov</w:t>
      </w:r>
    </w:p>
    <w:p w:rsidR="00532B78" w:rsidRPr="00F66081" w:rsidRDefault="00BA441E" w:rsidP="00F67A7A">
      <w:pPr>
        <w:spacing w:before="7"/>
        <w:rPr>
          <w:i/>
          <w:lang w:val="sk-SK"/>
        </w:rPr>
      </w:pPr>
      <w:r w:rsidRPr="00F66081">
        <w:rPr>
          <w:i/>
          <w:lang w:val="sk-SK"/>
        </w:rPr>
        <w:t>Porucha funkcie obličiek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Pri zvažovaní použitia sitagliptínu v</w:t>
      </w:r>
      <w:r w:rsidR="004C3E11">
        <w:rPr>
          <w:lang w:val="sk-SK"/>
        </w:rPr>
        <w:t> </w:t>
      </w:r>
      <w:r w:rsidRPr="00F66081">
        <w:rPr>
          <w:lang w:val="sk-SK"/>
        </w:rPr>
        <w:t>kombinácii s</w:t>
      </w:r>
      <w:r w:rsidR="004C3E11">
        <w:rPr>
          <w:lang w:val="sk-SK"/>
        </w:rPr>
        <w:t> </w:t>
      </w:r>
      <w:r w:rsidRPr="00F66081">
        <w:rPr>
          <w:lang w:val="sk-SK"/>
        </w:rPr>
        <w:t>ďalším antidiabetickým liekom sa majú overiť jeho podmienky použitia u</w:t>
      </w:r>
      <w:r w:rsidR="004C3E11">
        <w:rPr>
          <w:lang w:val="sk-SK"/>
        </w:rPr>
        <w:t> </w:t>
      </w:r>
      <w:r w:rsidRPr="00F66081">
        <w:rPr>
          <w:lang w:val="sk-SK"/>
        </w:rPr>
        <w:t>pacientov s</w:t>
      </w:r>
      <w:r w:rsidR="004C3E11">
        <w:rPr>
          <w:lang w:val="sk-SK"/>
        </w:rPr>
        <w:t> </w:t>
      </w:r>
      <w:r w:rsidRPr="00F66081">
        <w:rPr>
          <w:lang w:val="sk-SK"/>
        </w:rPr>
        <w:t>poruchou funkcie obličiek.</w:t>
      </w:r>
    </w:p>
    <w:p w:rsidR="00532B78" w:rsidRPr="00F66081" w:rsidRDefault="00532B78" w:rsidP="00F67A7A">
      <w:pPr>
        <w:pStyle w:val="Zkladntext"/>
        <w:spacing w:before="7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U pacientov s</w:t>
      </w:r>
      <w:r w:rsidR="004C3E11">
        <w:rPr>
          <w:lang w:val="sk-SK"/>
        </w:rPr>
        <w:t> </w:t>
      </w:r>
      <w:r w:rsidRPr="00F66081">
        <w:rPr>
          <w:lang w:val="sk-SK"/>
        </w:rPr>
        <w:t>miernou poruchou funkcie obličiek (</w:t>
      </w:r>
      <w:r w:rsidR="004E17AC" w:rsidRPr="00F66081">
        <w:rPr>
          <w:lang w:val="sk-SK"/>
        </w:rPr>
        <w:t>klírens kreatinínu [CrCl] ≥ 50 ml/min</w:t>
      </w:r>
      <w:r w:rsidRPr="00F66081">
        <w:rPr>
          <w:lang w:val="sk-SK"/>
        </w:rPr>
        <w:t>) nie je potrebná úprava dávky.</w:t>
      </w:r>
    </w:p>
    <w:p w:rsidR="00532B78" w:rsidRPr="00F66081" w:rsidRDefault="00532B78" w:rsidP="00F67A7A">
      <w:pPr>
        <w:pStyle w:val="Zkladntext"/>
        <w:spacing w:before="10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U</w:t>
      </w:r>
      <w:r w:rsidR="004C3E11">
        <w:rPr>
          <w:lang w:val="sk-SK"/>
        </w:rPr>
        <w:t> </w:t>
      </w:r>
      <w:r w:rsidRPr="00F66081">
        <w:rPr>
          <w:lang w:val="sk-SK"/>
        </w:rPr>
        <w:t>pacientov</w:t>
      </w:r>
      <w:r w:rsidR="004C3E11">
        <w:rPr>
          <w:lang w:val="sk-SK"/>
        </w:rPr>
        <w:t xml:space="preserve"> so </w:t>
      </w:r>
      <w:r w:rsidRPr="00F66081">
        <w:rPr>
          <w:lang w:val="sk-SK"/>
        </w:rPr>
        <w:t>stredne ťažkou poruchou funkcie obličiek (</w:t>
      </w:r>
      <w:r w:rsidR="004E17AC" w:rsidRPr="00F66081">
        <w:rPr>
          <w:lang w:val="sk-SK"/>
        </w:rPr>
        <w:t>CrCl ≥ 30 až &lt; 50 ml/min</w:t>
      </w:r>
      <w:r w:rsidRPr="00F66081">
        <w:rPr>
          <w:lang w:val="sk-SK"/>
        </w:rPr>
        <w:t xml:space="preserve">) je dávka </w:t>
      </w:r>
      <w:r w:rsidR="004C3E11">
        <w:rPr>
          <w:lang w:val="sk-SK"/>
        </w:rPr>
        <w:t xml:space="preserve">lieku </w:t>
      </w:r>
      <w:r w:rsidR="008C05F2" w:rsidRPr="008C05F2">
        <w:rPr>
          <w:lang w:val="sk-SK"/>
        </w:rPr>
        <w:t xml:space="preserve">Zinzibet </w:t>
      </w:r>
      <w:r w:rsidR="004C3E11">
        <w:rPr>
          <w:lang w:val="sk-SK"/>
        </w:rPr>
        <w:t>50 </w:t>
      </w:r>
      <w:r w:rsidRPr="00F66081">
        <w:rPr>
          <w:lang w:val="sk-SK"/>
        </w:rPr>
        <w:t>mg raz denne.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spacing w:before="1"/>
        <w:ind w:left="0"/>
        <w:rPr>
          <w:lang w:val="sk-SK"/>
        </w:rPr>
      </w:pPr>
      <w:r w:rsidRPr="00F66081">
        <w:rPr>
          <w:lang w:val="sk-SK"/>
        </w:rPr>
        <w:t>U</w:t>
      </w:r>
      <w:r w:rsidR="004C3E11">
        <w:rPr>
          <w:lang w:val="sk-SK"/>
        </w:rPr>
        <w:t> </w:t>
      </w:r>
      <w:r w:rsidRPr="00F66081">
        <w:rPr>
          <w:lang w:val="sk-SK"/>
        </w:rPr>
        <w:t>pacientov s</w:t>
      </w:r>
      <w:r w:rsidR="004C3E11">
        <w:rPr>
          <w:lang w:val="sk-SK"/>
        </w:rPr>
        <w:t> </w:t>
      </w:r>
      <w:r w:rsidRPr="00F66081">
        <w:rPr>
          <w:lang w:val="sk-SK"/>
        </w:rPr>
        <w:t>ťažkou poruchou funkcie obličiek (</w:t>
      </w:r>
      <w:r w:rsidR="004E17AC" w:rsidRPr="00F66081">
        <w:rPr>
          <w:lang w:val="sk-SK"/>
        </w:rPr>
        <w:t>CrCl &lt; 30 ml/min</w:t>
      </w:r>
      <w:r w:rsidRPr="00F66081">
        <w:rPr>
          <w:lang w:val="sk-SK"/>
        </w:rPr>
        <w:t xml:space="preserve">) alebo </w:t>
      </w:r>
      <w:r w:rsidR="004E17AC" w:rsidRPr="00F66081">
        <w:rPr>
          <w:lang w:val="sk-SK"/>
        </w:rPr>
        <w:t>v</w:t>
      </w:r>
      <w:r w:rsidRPr="00F66081">
        <w:rPr>
          <w:lang w:val="sk-SK"/>
        </w:rPr>
        <w:t xml:space="preserve"> termináln</w:t>
      </w:r>
      <w:r w:rsidR="004E17AC" w:rsidRPr="00F66081">
        <w:rPr>
          <w:lang w:val="sk-SK"/>
        </w:rPr>
        <w:t>o</w:t>
      </w:r>
      <w:r w:rsidRPr="00F66081">
        <w:rPr>
          <w:lang w:val="sk-SK"/>
        </w:rPr>
        <w:t>m štádi</w:t>
      </w:r>
      <w:r w:rsidR="004E17AC" w:rsidRPr="00F66081">
        <w:rPr>
          <w:lang w:val="sk-SK"/>
        </w:rPr>
        <w:t>u</w:t>
      </w:r>
      <w:r w:rsidRPr="00F66081">
        <w:rPr>
          <w:lang w:val="sk-SK"/>
        </w:rPr>
        <w:t xml:space="preserve"> ochorenia obličiek (</w:t>
      </w:r>
      <w:r w:rsidR="002B2537">
        <w:rPr>
          <w:lang w:val="sk-SK"/>
        </w:rPr>
        <w:t>z angl</w:t>
      </w:r>
      <w:r w:rsidR="004F4DAE">
        <w:rPr>
          <w:lang w:val="sk-SK"/>
        </w:rPr>
        <w:t>.</w:t>
      </w:r>
      <w:r w:rsidR="002B2537">
        <w:rPr>
          <w:lang w:val="sk-SK"/>
        </w:rPr>
        <w:t xml:space="preserve"> end-stage renal disease </w:t>
      </w:r>
      <w:r w:rsidR="004F4DAE">
        <w:rPr>
          <w:lang w:val="sk-SK"/>
        </w:rPr>
        <w:t>–</w:t>
      </w:r>
      <w:r w:rsidR="002B2537">
        <w:rPr>
          <w:lang w:val="sk-SK"/>
        </w:rPr>
        <w:t xml:space="preserve"> </w:t>
      </w:r>
      <w:r w:rsidRPr="00F66081">
        <w:rPr>
          <w:lang w:val="sk-SK"/>
        </w:rPr>
        <w:t xml:space="preserve">ESRD) vyžadujúcich hemodialýzu alebo peritoneálnu dialýzu je dávka </w:t>
      </w:r>
      <w:r w:rsidR="008C05F2" w:rsidRPr="008C05F2">
        <w:rPr>
          <w:lang w:val="sk-SK"/>
        </w:rPr>
        <w:t>Zinzibet</w:t>
      </w:r>
      <w:r w:rsidR="008C05F2">
        <w:rPr>
          <w:lang w:val="sk-SK"/>
        </w:rPr>
        <w:t>u</w:t>
      </w:r>
      <w:r w:rsidR="008C05F2" w:rsidRPr="008C05F2">
        <w:rPr>
          <w:lang w:val="sk-SK"/>
        </w:rPr>
        <w:t xml:space="preserve"> </w:t>
      </w:r>
      <w:r w:rsidR="004C3E11">
        <w:rPr>
          <w:lang w:val="sk-SK"/>
        </w:rPr>
        <w:t>25 </w:t>
      </w:r>
      <w:r w:rsidRPr="00F66081">
        <w:rPr>
          <w:lang w:val="sk-SK"/>
        </w:rPr>
        <w:t>mg raz denne. Liečba sa môže podávať bez ohľadu na načasovanie dialýzy.</w:t>
      </w:r>
    </w:p>
    <w:p w:rsidR="00532B78" w:rsidRPr="00F66081" w:rsidRDefault="00532B78" w:rsidP="00F67A7A">
      <w:pPr>
        <w:pStyle w:val="Zkladntext"/>
        <w:spacing w:before="10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 xml:space="preserve">Vzhľadom na úpravu dávkovania na základe činnosti obličiek sa pred začiatkom podávania </w:t>
      </w:r>
      <w:r w:rsidR="008C05F2" w:rsidRPr="008C05F2">
        <w:rPr>
          <w:lang w:val="sk-SK"/>
        </w:rPr>
        <w:t>Zinzibet</w:t>
      </w:r>
      <w:r w:rsidR="008C05F2">
        <w:rPr>
          <w:lang w:val="sk-SK"/>
        </w:rPr>
        <w:t>u</w:t>
      </w:r>
      <w:r w:rsidR="008C05F2" w:rsidRPr="008C05F2">
        <w:rPr>
          <w:lang w:val="sk-SK"/>
        </w:rPr>
        <w:t xml:space="preserve"> </w:t>
      </w:r>
      <w:r w:rsidRPr="00F66081">
        <w:rPr>
          <w:lang w:val="sk-SK"/>
        </w:rPr>
        <w:t>a pravidelne potom odporúča hodnotenie činnosti obličiek.</w:t>
      </w:r>
    </w:p>
    <w:p w:rsidR="00532B78" w:rsidRPr="00F66081" w:rsidRDefault="00532B78" w:rsidP="00F67A7A">
      <w:pPr>
        <w:pStyle w:val="Zkladntext"/>
        <w:spacing w:before="9"/>
        <w:ind w:left="0"/>
        <w:rPr>
          <w:lang w:val="sk-SK"/>
        </w:rPr>
      </w:pPr>
    </w:p>
    <w:p w:rsidR="00532B78" w:rsidRPr="00F66081" w:rsidRDefault="00BA441E" w:rsidP="00F67A7A">
      <w:pPr>
        <w:rPr>
          <w:i/>
          <w:lang w:val="sk-SK"/>
        </w:rPr>
      </w:pPr>
      <w:r w:rsidRPr="00F66081">
        <w:rPr>
          <w:i/>
          <w:lang w:val="sk-SK"/>
        </w:rPr>
        <w:t>Porucha funkcie pečene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U</w:t>
      </w:r>
      <w:r w:rsidR="004C3E11">
        <w:rPr>
          <w:lang w:val="sk-SK"/>
        </w:rPr>
        <w:t> </w:t>
      </w:r>
      <w:r w:rsidRPr="00F66081">
        <w:rPr>
          <w:lang w:val="sk-SK"/>
        </w:rPr>
        <w:t>pacientov s</w:t>
      </w:r>
      <w:r w:rsidR="004C3E11">
        <w:rPr>
          <w:lang w:val="sk-SK"/>
        </w:rPr>
        <w:t> </w:t>
      </w:r>
      <w:r w:rsidRPr="00F66081">
        <w:rPr>
          <w:lang w:val="sk-SK"/>
        </w:rPr>
        <w:t xml:space="preserve">miernou až stredne ťažkou poruchou funkcie pečene nie je potrebná úprava dávky. </w:t>
      </w:r>
      <w:r w:rsidR="008C05F2" w:rsidRPr="008C05F2">
        <w:rPr>
          <w:lang w:val="sk-SK"/>
        </w:rPr>
        <w:t xml:space="preserve">Zinzibet </w:t>
      </w:r>
      <w:r w:rsidRPr="00F66081">
        <w:rPr>
          <w:lang w:val="sk-SK"/>
        </w:rPr>
        <w:t>sa neskúmal u pacientov s</w:t>
      </w:r>
      <w:r w:rsidR="004C3E11">
        <w:rPr>
          <w:lang w:val="sk-SK"/>
        </w:rPr>
        <w:t> </w:t>
      </w:r>
      <w:r w:rsidRPr="00F66081">
        <w:rPr>
          <w:lang w:val="sk-SK"/>
        </w:rPr>
        <w:t>ťažkou poruchou funkcie pečene a je u nich potrebná opatrnosť (pozri časť 5.2).</w:t>
      </w:r>
    </w:p>
    <w:p w:rsidR="00532B78" w:rsidRPr="00F66081" w:rsidRDefault="00532B78" w:rsidP="00F67A7A">
      <w:pPr>
        <w:pStyle w:val="Zkladntext"/>
        <w:spacing w:before="10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Vzhľadom na to, že sa sitagliptín vylučuje primárne obličkami, nepredpokladá sa, že ťažká porucha funkcie pečene bude mať vplyv na farmakokinetiku sitagliptínu.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rPr>
          <w:i/>
          <w:lang w:val="sk-SK"/>
        </w:rPr>
      </w:pPr>
      <w:r w:rsidRPr="00F66081">
        <w:rPr>
          <w:i/>
          <w:lang w:val="sk-SK"/>
        </w:rPr>
        <w:t>Starš</w:t>
      </w:r>
      <w:r w:rsidR="004E17AC" w:rsidRPr="00F66081">
        <w:rPr>
          <w:i/>
          <w:lang w:val="sk-SK"/>
        </w:rPr>
        <w:t>ie</w:t>
      </w:r>
      <w:r w:rsidRPr="00F66081">
        <w:rPr>
          <w:i/>
          <w:lang w:val="sk-SK"/>
        </w:rPr>
        <w:t xml:space="preserve"> </w:t>
      </w:r>
      <w:r w:rsidR="004E17AC" w:rsidRPr="00F66081">
        <w:rPr>
          <w:i/>
          <w:lang w:val="sk-SK"/>
        </w:rPr>
        <w:t>osoby</w:t>
      </w:r>
    </w:p>
    <w:p w:rsidR="00532B78" w:rsidRPr="00F66081" w:rsidRDefault="00BA441E" w:rsidP="00F67A7A">
      <w:pPr>
        <w:pStyle w:val="Zkladntext"/>
        <w:spacing w:before="7"/>
        <w:ind w:left="0"/>
        <w:rPr>
          <w:lang w:val="sk-SK"/>
        </w:rPr>
      </w:pPr>
      <w:r w:rsidRPr="00F66081">
        <w:rPr>
          <w:lang w:val="sk-SK"/>
        </w:rPr>
        <w:t>Nie je potrebná úprava dávky v</w:t>
      </w:r>
      <w:r w:rsidR="004C3E11">
        <w:rPr>
          <w:lang w:val="sk-SK"/>
        </w:rPr>
        <w:t> </w:t>
      </w:r>
      <w:r w:rsidRPr="00F66081">
        <w:rPr>
          <w:lang w:val="sk-SK"/>
        </w:rPr>
        <w:t>závislosti</w:t>
      </w:r>
      <w:r w:rsidR="004C3E11">
        <w:rPr>
          <w:lang w:val="sk-SK"/>
        </w:rPr>
        <w:t xml:space="preserve"> od </w:t>
      </w:r>
      <w:r w:rsidRPr="00F66081">
        <w:rPr>
          <w:lang w:val="sk-SK"/>
        </w:rPr>
        <w:t>veku.</w:t>
      </w:r>
    </w:p>
    <w:p w:rsidR="00532B78" w:rsidRPr="00F66081" w:rsidRDefault="00532B78" w:rsidP="00F67A7A">
      <w:pPr>
        <w:pStyle w:val="Zkladntext"/>
        <w:ind w:left="0"/>
        <w:rPr>
          <w:lang w:val="sk-SK"/>
        </w:rPr>
      </w:pPr>
    </w:p>
    <w:p w:rsidR="00532B78" w:rsidRPr="00F66081" w:rsidRDefault="00BA441E" w:rsidP="00F67A7A">
      <w:pPr>
        <w:spacing w:before="1"/>
        <w:rPr>
          <w:i/>
          <w:lang w:val="sk-SK"/>
        </w:rPr>
      </w:pPr>
      <w:r w:rsidRPr="00F66081">
        <w:rPr>
          <w:i/>
          <w:lang w:val="sk-SK"/>
        </w:rPr>
        <w:t>Pediatrická populácia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Bezpečnosť a účinnosť sitagliptínu u</w:t>
      </w:r>
      <w:r w:rsidR="004C3E11">
        <w:rPr>
          <w:lang w:val="sk-SK"/>
        </w:rPr>
        <w:t> </w:t>
      </w:r>
      <w:r w:rsidRPr="00F66081">
        <w:rPr>
          <w:lang w:val="sk-SK"/>
        </w:rPr>
        <w:t xml:space="preserve">detí a dospievajúcich mladších ako 18 rokov neboli doteraz </w:t>
      </w:r>
      <w:r w:rsidRPr="00F66081">
        <w:rPr>
          <w:lang w:val="sk-SK"/>
        </w:rPr>
        <w:lastRenderedPageBreak/>
        <w:t>stanovené. K</w:t>
      </w:r>
      <w:r w:rsidR="004C3E11">
        <w:rPr>
          <w:lang w:val="sk-SK"/>
        </w:rPr>
        <w:t> </w:t>
      </w:r>
      <w:r w:rsidRPr="00F66081">
        <w:rPr>
          <w:lang w:val="sk-SK"/>
        </w:rPr>
        <w:t>dispozícii nie sú žiadne údaje.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Spôsob podávania</w:t>
      </w:r>
    </w:p>
    <w:p w:rsidR="00532B78" w:rsidRPr="00F66081" w:rsidRDefault="008C05F2" w:rsidP="00F67A7A">
      <w:pPr>
        <w:pStyle w:val="Zkladntext"/>
        <w:spacing w:before="7"/>
        <w:ind w:left="0"/>
        <w:rPr>
          <w:lang w:val="sk-SK"/>
        </w:rPr>
      </w:pPr>
      <w:r w:rsidRPr="008C05F2">
        <w:rPr>
          <w:lang w:val="sk-SK"/>
        </w:rPr>
        <w:t xml:space="preserve">Zinzibet </w:t>
      </w:r>
      <w:r w:rsidR="00BA441E" w:rsidRPr="00F66081">
        <w:rPr>
          <w:lang w:val="sk-SK"/>
        </w:rPr>
        <w:t>sa môže užívať s</w:t>
      </w:r>
      <w:r w:rsidR="004C3E11">
        <w:rPr>
          <w:lang w:val="sk-SK"/>
        </w:rPr>
        <w:t> </w:t>
      </w:r>
      <w:r w:rsidR="00BA441E" w:rsidRPr="00F66081">
        <w:rPr>
          <w:lang w:val="sk-SK"/>
        </w:rPr>
        <w:t>jedlom alebo bez</w:t>
      </w:r>
      <w:r w:rsidR="004C3E11">
        <w:rPr>
          <w:lang w:val="sk-SK"/>
        </w:rPr>
        <w:t> </w:t>
      </w:r>
      <w:r w:rsidR="00BA441E" w:rsidRPr="00F66081">
        <w:rPr>
          <w:lang w:val="sk-SK"/>
        </w:rPr>
        <w:t>jedla.</w:t>
      </w:r>
    </w:p>
    <w:p w:rsidR="004E17AC" w:rsidRPr="00F66081" w:rsidRDefault="004E17AC" w:rsidP="00F67A7A">
      <w:pPr>
        <w:pStyle w:val="Zkladntext"/>
        <w:spacing w:before="7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1"/>
          <w:numId w:val="17"/>
        </w:numPr>
        <w:tabs>
          <w:tab w:val="left" w:pos="0"/>
        </w:tabs>
        <w:spacing w:before="65"/>
        <w:ind w:left="567"/>
        <w:rPr>
          <w:lang w:val="sk-SK"/>
        </w:rPr>
      </w:pPr>
      <w:r w:rsidRPr="00F66081">
        <w:rPr>
          <w:lang w:val="sk-SK"/>
        </w:rPr>
        <w:t>Kontraindikácie</w:t>
      </w:r>
    </w:p>
    <w:p w:rsidR="00532B78" w:rsidRPr="00F66081" w:rsidRDefault="00532B78" w:rsidP="00F67A7A">
      <w:pPr>
        <w:pStyle w:val="Zkladntext"/>
        <w:spacing w:before="7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Precitlivenosť na liečivo alebo na ktorúkoľvek z</w:t>
      </w:r>
      <w:r w:rsidR="004C3E11">
        <w:rPr>
          <w:lang w:val="sk-SK"/>
        </w:rPr>
        <w:t> </w:t>
      </w:r>
      <w:r w:rsidRPr="00F66081">
        <w:rPr>
          <w:lang w:val="sk-SK"/>
        </w:rPr>
        <w:t>pomocných látok uvedených v</w:t>
      </w:r>
      <w:r w:rsidR="004C3E11">
        <w:rPr>
          <w:lang w:val="sk-SK"/>
        </w:rPr>
        <w:t> </w:t>
      </w:r>
      <w:r w:rsidRPr="00F66081">
        <w:rPr>
          <w:lang w:val="sk-SK"/>
        </w:rPr>
        <w:t>časti 6.1 (pozri časti 4.4 a 4.8).</w:t>
      </w:r>
    </w:p>
    <w:p w:rsidR="00532B78" w:rsidRPr="00F66081" w:rsidRDefault="00532B78" w:rsidP="00F67A7A">
      <w:pPr>
        <w:pStyle w:val="Zkladntext"/>
        <w:spacing w:before="2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1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Osobitné upozornenia a opatrenia pri</w:t>
      </w:r>
      <w:r w:rsidRPr="00F66081">
        <w:rPr>
          <w:spacing w:val="-1"/>
          <w:lang w:val="sk-SK"/>
        </w:rPr>
        <w:t xml:space="preserve"> </w:t>
      </w:r>
      <w:r w:rsidRPr="00F66081">
        <w:rPr>
          <w:lang w:val="sk-SK"/>
        </w:rPr>
        <w:t>používaní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Všeobecné</w:t>
      </w:r>
    </w:p>
    <w:p w:rsidR="00532B78" w:rsidRPr="00F66081" w:rsidRDefault="008C05F2" w:rsidP="00F67A7A">
      <w:pPr>
        <w:pStyle w:val="Zkladntext"/>
        <w:spacing w:before="6"/>
        <w:ind w:left="0"/>
        <w:rPr>
          <w:lang w:val="sk-SK"/>
        </w:rPr>
      </w:pPr>
      <w:r w:rsidRPr="008C05F2">
        <w:rPr>
          <w:lang w:val="sk-SK"/>
        </w:rPr>
        <w:t xml:space="preserve">Zinzibet </w:t>
      </w:r>
      <w:r w:rsidR="00BA441E" w:rsidRPr="00F66081">
        <w:rPr>
          <w:lang w:val="sk-SK"/>
        </w:rPr>
        <w:t>sa nesmie používať u</w:t>
      </w:r>
      <w:r w:rsidR="004C3E11">
        <w:rPr>
          <w:lang w:val="sk-SK"/>
        </w:rPr>
        <w:t> </w:t>
      </w:r>
      <w:r w:rsidR="00BA441E" w:rsidRPr="00F66081">
        <w:rPr>
          <w:lang w:val="sk-SK"/>
        </w:rPr>
        <w:t>pacientov s</w:t>
      </w:r>
      <w:r w:rsidR="004C3E11">
        <w:rPr>
          <w:lang w:val="sk-SK"/>
        </w:rPr>
        <w:t> </w:t>
      </w:r>
      <w:r w:rsidR="00BA441E" w:rsidRPr="00F66081">
        <w:rPr>
          <w:lang w:val="sk-SK"/>
        </w:rPr>
        <w:t>diabetom 1. typu alebo na liečbu diabetickej ketoacidózy.</w:t>
      </w: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Akútna pankreatitída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Použitie inhibítorov DPP-4 bolo spojené s rizikom vzniku akútnej pankreatitídy. Pacienti majú byť informovaní o typickom príznaku akútnej pankreatitídy: pretrv</w:t>
      </w:r>
      <w:r w:rsidR="004E17AC" w:rsidRPr="00F66081">
        <w:rPr>
          <w:lang w:val="sk-SK"/>
        </w:rPr>
        <w:t>ávajúca silná bolesť brucha. Po </w:t>
      </w:r>
      <w:r w:rsidRPr="00F66081">
        <w:rPr>
          <w:lang w:val="sk-SK"/>
        </w:rPr>
        <w:t xml:space="preserve">vysadení sitagliptínu (s podpornou liečbou alebo bez nej) sa pozoroval ústup pankreatitídy, boli však hlásené veľmi zriedkavé prípady nekrotizujúcej alebo hemoragickej pankreatitídy a/alebo úmrtie. Ak existuje podozrenie na pankreatitídu, </w:t>
      </w:r>
      <w:r w:rsidR="008C05F2" w:rsidRPr="008C05F2">
        <w:rPr>
          <w:lang w:val="sk-SK"/>
        </w:rPr>
        <w:t xml:space="preserve">Zinzibet </w:t>
      </w:r>
      <w:r w:rsidRPr="00F66081">
        <w:rPr>
          <w:lang w:val="sk-SK"/>
        </w:rPr>
        <w:t xml:space="preserve">a ostatné potenciálne podozrivé lieky sa majú vysadiť; ak je akútna pankreatitída potvrdená, </w:t>
      </w:r>
      <w:r w:rsidR="008C05F2" w:rsidRPr="008C05F2">
        <w:rPr>
          <w:lang w:val="sk-SK"/>
        </w:rPr>
        <w:t xml:space="preserve">Zinzibet </w:t>
      </w:r>
      <w:r w:rsidRPr="00F66081">
        <w:rPr>
          <w:lang w:val="sk-SK"/>
        </w:rPr>
        <w:t>sa nemá začať znova podávať. U</w:t>
      </w:r>
      <w:r w:rsidR="004E17AC" w:rsidRPr="00F66081">
        <w:rPr>
          <w:lang w:val="sk-SK"/>
        </w:rPr>
        <w:t> </w:t>
      </w:r>
      <w:r w:rsidRPr="00F66081">
        <w:rPr>
          <w:lang w:val="sk-SK"/>
        </w:rPr>
        <w:t>pacientov</w:t>
      </w:r>
      <w:r w:rsidR="004E17AC" w:rsidRPr="00F66081">
        <w:rPr>
          <w:lang w:val="sk-SK"/>
        </w:rPr>
        <w:t xml:space="preserve"> </w:t>
      </w:r>
      <w:r w:rsidRPr="00F66081">
        <w:rPr>
          <w:lang w:val="sk-SK"/>
        </w:rPr>
        <w:t>s</w:t>
      </w:r>
      <w:r w:rsidR="008C05F2">
        <w:rPr>
          <w:lang w:val="sk-SK"/>
        </w:rPr>
        <w:t> </w:t>
      </w:r>
      <w:r w:rsidRPr="00F66081">
        <w:rPr>
          <w:lang w:val="sk-SK"/>
        </w:rPr>
        <w:t>pankreatitídou v</w:t>
      </w:r>
      <w:r w:rsidR="008C05F2">
        <w:rPr>
          <w:lang w:val="sk-SK"/>
        </w:rPr>
        <w:t> </w:t>
      </w:r>
      <w:r w:rsidRPr="00F66081">
        <w:rPr>
          <w:lang w:val="sk-SK"/>
        </w:rPr>
        <w:t>anamnéze je potrebná opatrnosť.</w:t>
      </w: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Hypoglykémia pri použití v kombinácii s inými antihyperglykemickými liekmi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V</w:t>
      </w:r>
      <w:r w:rsidR="008C05F2">
        <w:rPr>
          <w:lang w:val="sk-SK"/>
        </w:rPr>
        <w:t> </w:t>
      </w:r>
      <w:r w:rsidRPr="00F66081">
        <w:rPr>
          <w:lang w:val="sk-SK"/>
        </w:rPr>
        <w:t>klinických skúškach s</w:t>
      </w:r>
      <w:r w:rsidR="00D60644" w:rsidRPr="00F66081">
        <w:rPr>
          <w:lang w:val="sk-SK"/>
        </w:rPr>
        <w:t>o</w:t>
      </w:r>
      <w:r w:rsidRPr="00F66081">
        <w:rPr>
          <w:lang w:val="sk-SK"/>
        </w:rPr>
        <w:t xml:space="preserve"> </w:t>
      </w:r>
      <w:r w:rsidR="008C05F2">
        <w:rPr>
          <w:lang w:val="sk-SK"/>
        </w:rPr>
        <w:t>Zinzibet</w:t>
      </w:r>
      <w:r w:rsidR="00D60644" w:rsidRPr="00F66081">
        <w:rPr>
          <w:lang w:val="sk-SK"/>
        </w:rPr>
        <w:t>om</w:t>
      </w:r>
      <w:r w:rsidRPr="00F66081">
        <w:rPr>
          <w:lang w:val="sk-SK"/>
        </w:rPr>
        <w:t xml:space="preserve"> ako monoterapiou a ako súčasťou kombinovanej liečby liekmi, o</w:t>
      </w:r>
      <w:r w:rsidR="008C05F2">
        <w:rPr>
          <w:lang w:val="sk-SK"/>
        </w:rPr>
        <w:t> </w:t>
      </w:r>
      <w:r w:rsidRPr="00F66081">
        <w:rPr>
          <w:lang w:val="sk-SK"/>
        </w:rPr>
        <w:t>ktorých nie je známe, že spôsobujú hypoglykémiu (t.j. metformín a/alebo PPAR</w:t>
      </w:r>
      <w:r w:rsidR="00D60644" w:rsidRPr="00F66081">
        <w:rPr>
          <w:lang w:val="sk-SK"/>
        </w:rPr>
        <w:t>γ</w:t>
      </w:r>
      <w:r w:rsidRPr="00F66081">
        <w:rPr>
          <w:lang w:val="sk-SK"/>
        </w:rPr>
        <w:t xml:space="preserve"> agonista), bol výskyt hypoglykémie hlásenej pri sitagliptíne podobný výskytu u pacientov užívajúcich placebo. Hypoglykémia bola pozorovaná, keď bol sit</w:t>
      </w:r>
      <w:r w:rsidR="00D60644" w:rsidRPr="00F66081">
        <w:rPr>
          <w:lang w:val="sk-SK"/>
        </w:rPr>
        <w:t>agliptín použitý v kombinácii s </w:t>
      </w:r>
      <w:r w:rsidRPr="00F66081">
        <w:rPr>
          <w:lang w:val="sk-SK"/>
        </w:rPr>
        <w:t xml:space="preserve">inzulínom alebo </w:t>
      </w:r>
      <w:r w:rsidR="008B1003" w:rsidRPr="00F66081">
        <w:rPr>
          <w:lang w:val="sk-SK"/>
        </w:rPr>
        <w:t>sulfonyl</w:t>
      </w:r>
      <w:r w:rsidR="008B1003">
        <w:rPr>
          <w:lang w:val="sk-SK"/>
        </w:rPr>
        <w:t>močovinou</w:t>
      </w:r>
      <w:r w:rsidRPr="00F66081">
        <w:rPr>
          <w:lang w:val="sk-SK"/>
        </w:rPr>
        <w:t xml:space="preserve">. Preto sa z dôvodu zníženia rizika hypoglykémie môže zvážiť nižšia dávka </w:t>
      </w:r>
      <w:r w:rsidR="003527FE" w:rsidRPr="00F66081">
        <w:rPr>
          <w:lang w:val="sk-SK"/>
        </w:rPr>
        <w:t>sulfonyl</w:t>
      </w:r>
      <w:r w:rsidR="003527FE">
        <w:rPr>
          <w:lang w:val="sk-SK"/>
        </w:rPr>
        <w:t xml:space="preserve">mnočoviny </w:t>
      </w:r>
      <w:r w:rsidRPr="00F66081">
        <w:rPr>
          <w:lang w:val="sk-SK"/>
        </w:rPr>
        <w:t>alebo inzulínu (pozri časť 4.2).</w:t>
      </w:r>
    </w:p>
    <w:p w:rsidR="00532B78" w:rsidRPr="00F66081" w:rsidRDefault="00532B78" w:rsidP="00F67A7A">
      <w:pPr>
        <w:pStyle w:val="Zkladntext"/>
        <w:spacing w:before="11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Porucha funkcie obličiek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Sitagliptín sa vylučuje obličkami. Na dosiahnutie plazmatických koncentrácií sitagliptínu, ktoré sú podobné plazmatickým koncentráciám u pacientov s normálnou funkciou obličiek, sa u</w:t>
      </w:r>
      <w:r w:rsidR="00D60644" w:rsidRPr="00F66081">
        <w:rPr>
          <w:lang w:val="sk-SK"/>
        </w:rPr>
        <w:t> </w:t>
      </w:r>
      <w:r w:rsidRPr="00F66081">
        <w:rPr>
          <w:lang w:val="sk-SK"/>
        </w:rPr>
        <w:t>pacientov</w:t>
      </w:r>
      <w:r w:rsidR="00D60644" w:rsidRPr="00F66081">
        <w:rPr>
          <w:lang w:val="sk-SK"/>
        </w:rPr>
        <w:t xml:space="preserve"> so stredne ťažkou a ťažkou poruchou funkcie obličiek</w:t>
      </w:r>
      <w:r w:rsidRPr="00F66081">
        <w:rPr>
          <w:lang w:val="sk-SK"/>
        </w:rPr>
        <w:t>, ako aj u pacientov s ESRD vyžadujúcim</w:t>
      </w:r>
      <w:r w:rsidR="00D60644" w:rsidRPr="00F66081">
        <w:rPr>
          <w:lang w:val="sk-SK"/>
        </w:rPr>
        <w:t>i</w:t>
      </w:r>
      <w:r w:rsidRPr="00F66081">
        <w:rPr>
          <w:lang w:val="sk-SK"/>
        </w:rPr>
        <w:t xml:space="preserve"> hemodialýzu alebo peritoneálnu dialýzu, odporúčajú nižšie dávky (pozri časti 4.2 a 5.2).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Pri zvažovaní použitia sitagliptínu v kombinácii s ďalším antidiabetickým liekom sa majú overiť jeho podmienky použitia u pacientov s poruchou funkcie obličiek.</w:t>
      </w:r>
    </w:p>
    <w:p w:rsidR="00532B78" w:rsidRPr="00F66081" w:rsidRDefault="00532B78" w:rsidP="00F67A7A">
      <w:pPr>
        <w:pStyle w:val="Zkladntext"/>
        <w:spacing w:before="9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Reakcie z precitlivenosti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 xml:space="preserve">U pacientov liečených sitagliptínom boli po uvedení lieku na trh hlásené správy o závažných reakciách z precitlivenosti. Tieto reakcie zahŕňajú anafylaxiu, angioedém a exfoliatívne kožné choroby vrátane Stevensovho-Johnsonovho syndrómu. Nástup týchto reakcií sa objavil v priebehu prvých 3 mesiacov po nasadení liečby, pričom niektoré hlásenia sa vyskytli po prvej dávke. Ak je podozrenie na reakciu z precitlivenosti, liečba </w:t>
      </w:r>
      <w:r w:rsidR="008C05F2">
        <w:rPr>
          <w:lang w:val="sk-SK"/>
        </w:rPr>
        <w:t>Zinzibet</w:t>
      </w:r>
      <w:r w:rsidR="00D60644" w:rsidRPr="00F66081">
        <w:rPr>
          <w:lang w:val="sk-SK"/>
        </w:rPr>
        <w:t>om</w:t>
      </w:r>
      <w:r w:rsidRPr="00F66081">
        <w:rPr>
          <w:lang w:val="sk-SK"/>
        </w:rPr>
        <w:t xml:space="preserve"> sa má prerušiť. Majú sa vyhodnotiť iné možné príčiny udalosti a má sa začať alternatívna liečba diabetu.</w:t>
      </w: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spacing w:before="1"/>
        <w:ind w:left="0"/>
        <w:rPr>
          <w:lang w:val="sk-SK"/>
        </w:rPr>
      </w:pPr>
      <w:r w:rsidRPr="00F66081">
        <w:rPr>
          <w:u w:val="single"/>
          <w:lang w:val="sk-SK"/>
        </w:rPr>
        <w:t>Bulózny pemfigoid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 xml:space="preserve">U pacientov užívajúcich inhibítory DPP-4 vrátane sitagliptínu, boli po uvedení lieku na trh hlásené prípady bulózneho pemfigoidu. Ak je podozrenie na bulózny pemfigoid, liečba </w:t>
      </w:r>
      <w:r w:rsidR="008C05F2">
        <w:rPr>
          <w:lang w:val="sk-SK"/>
        </w:rPr>
        <w:t>Zinzibet</w:t>
      </w:r>
      <w:r w:rsidR="00D60644" w:rsidRPr="00F66081">
        <w:rPr>
          <w:lang w:val="sk-SK"/>
        </w:rPr>
        <w:t>om</w:t>
      </w:r>
      <w:r w:rsidRPr="00F66081">
        <w:rPr>
          <w:lang w:val="sk-SK"/>
        </w:rPr>
        <w:t xml:space="preserve"> sa má ukončiť.</w:t>
      </w:r>
    </w:p>
    <w:p w:rsidR="00532B78" w:rsidRPr="00F66081" w:rsidRDefault="00532B78" w:rsidP="00F67A7A">
      <w:pPr>
        <w:pStyle w:val="Zkladntext"/>
        <w:spacing w:before="3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1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Liekové a iné interakcie</w:t>
      </w:r>
    </w:p>
    <w:p w:rsidR="00532B78" w:rsidRPr="00F66081" w:rsidRDefault="00532B78" w:rsidP="00F67A7A">
      <w:pPr>
        <w:pStyle w:val="Zkladntext"/>
        <w:spacing w:before="7"/>
        <w:ind w:left="0"/>
        <w:rPr>
          <w:b/>
          <w:lang w:val="sk-SK"/>
        </w:rPr>
      </w:pPr>
    </w:p>
    <w:p w:rsidR="00532B78" w:rsidRPr="00F66081" w:rsidRDefault="00BA441E" w:rsidP="00F67A7A">
      <w:pPr>
        <w:pStyle w:val="Zkladntext"/>
        <w:spacing w:before="1"/>
        <w:ind w:left="0"/>
        <w:rPr>
          <w:lang w:val="sk-SK"/>
        </w:rPr>
      </w:pPr>
      <w:r w:rsidRPr="00F66081">
        <w:rPr>
          <w:u w:val="single"/>
          <w:lang w:val="sk-SK"/>
        </w:rPr>
        <w:lastRenderedPageBreak/>
        <w:t>Účinky iných liekov na sitagliptín</w:t>
      </w:r>
    </w:p>
    <w:p w:rsidR="00532B78" w:rsidRPr="00F66081" w:rsidRDefault="00BA441E" w:rsidP="00F67A7A">
      <w:pPr>
        <w:pStyle w:val="Zkladntext"/>
        <w:tabs>
          <w:tab w:val="left" w:pos="9072"/>
        </w:tabs>
        <w:spacing w:before="6"/>
        <w:ind w:left="0"/>
        <w:rPr>
          <w:lang w:val="sk-SK"/>
        </w:rPr>
      </w:pPr>
      <w:r w:rsidRPr="00F66081">
        <w:rPr>
          <w:lang w:val="sk-SK"/>
        </w:rPr>
        <w:t>Klinické údaje uvedené nižšie poukazujú na to, že riziko klinicky v</w:t>
      </w:r>
      <w:r w:rsidR="001E5AD7" w:rsidRPr="00F66081">
        <w:rPr>
          <w:lang w:val="sk-SK"/>
        </w:rPr>
        <w:t>ýznamných interakcií pri </w:t>
      </w:r>
      <w:r w:rsidRPr="00F66081">
        <w:rPr>
          <w:lang w:val="sk-SK"/>
        </w:rPr>
        <w:t>súbežnom podaní iných liekov je nízke.</w:t>
      </w:r>
    </w:p>
    <w:p w:rsidR="00532B78" w:rsidRPr="00F66081" w:rsidRDefault="00BA441E" w:rsidP="004C3E11">
      <w:pPr>
        <w:pStyle w:val="Zkladntext"/>
        <w:tabs>
          <w:tab w:val="left" w:pos="9072"/>
        </w:tabs>
        <w:ind w:left="0"/>
        <w:rPr>
          <w:lang w:val="sk-SK"/>
        </w:rPr>
      </w:pPr>
      <w:r w:rsidRPr="00F66081">
        <w:rPr>
          <w:lang w:val="sk-SK"/>
        </w:rPr>
        <w:t xml:space="preserve">Štúdie </w:t>
      </w:r>
      <w:r w:rsidRPr="00F66081">
        <w:rPr>
          <w:i/>
          <w:lang w:val="sk-SK"/>
        </w:rPr>
        <w:t xml:space="preserve">in vitro </w:t>
      </w:r>
      <w:r w:rsidRPr="00F66081">
        <w:rPr>
          <w:lang w:val="sk-SK"/>
        </w:rPr>
        <w:t>ukázali, že primárnym enzýmom zodpovedným za limitovaný metabolizmus sitagliptínu je CYP3A4 s prispením CYP2C8. U pacientov s normálnou funkciou obličiek hrá metabolizmus vrátane cesty cez CYP3A4 iba malú úlohu v klírense sitagliptínu. Metabolizmus môže zohrať významnejšiu úlohu v eliminácii sitagliptínu v podmienkach ťažkej poruchy funkcie obličiek alebo terminálneho štádia ochorenia obličiek (ESRD). Z tohto dôvodu je možné, že silné inhibítory CYP3A4 (napr. ketokonazol, itrakonazol, ritonavir, klaritromycín) môžu meniť farmakokinetiku sitagliptínu u pacientov s ťažkou poruchou funkcie obličiek alebo ESRD. Účinky silných inhibítorov CYP3A4 sa v podmienkach poruchy funkcie obličiek nehodnotili v klinickej štúdii.</w:t>
      </w:r>
    </w:p>
    <w:p w:rsidR="00532B78" w:rsidRPr="00F66081" w:rsidRDefault="00532B78" w:rsidP="00F67A7A">
      <w:pPr>
        <w:pStyle w:val="Zkladntext"/>
        <w:spacing w:before="4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 xml:space="preserve">Transportné štúdie </w:t>
      </w:r>
      <w:r w:rsidRPr="00F66081">
        <w:rPr>
          <w:i/>
          <w:lang w:val="sk-SK"/>
        </w:rPr>
        <w:t xml:space="preserve">in vitro </w:t>
      </w:r>
      <w:r w:rsidRPr="00F66081">
        <w:rPr>
          <w:lang w:val="sk-SK"/>
        </w:rPr>
        <w:t xml:space="preserve">preukázali, že sitagliptín je substrátom pre p-glykoproteín a organický aniónový transportér-3 (OAT3). Transport sitaglitpínu sprostredkovaný OAT3 bol </w:t>
      </w:r>
      <w:r w:rsidRPr="00F66081">
        <w:rPr>
          <w:i/>
          <w:lang w:val="sk-SK"/>
        </w:rPr>
        <w:t xml:space="preserve">in vitro </w:t>
      </w:r>
      <w:r w:rsidRPr="00F66081">
        <w:rPr>
          <w:lang w:val="sk-SK"/>
        </w:rPr>
        <w:t xml:space="preserve">inhibovaný probenecidom, hoci riziko klinicky významných interakcií sa považuje za nízke. Súbežné podanie inhibítorov OAT3 sa </w:t>
      </w:r>
      <w:r w:rsidRPr="00F66081">
        <w:rPr>
          <w:i/>
          <w:lang w:val="sk-SK"/>
        </w:rPr>
        <w:t xml:space="preserve">in vivo </w:t>
      </w:r>
      <w:r w:rsidRPr="00F66081">
        <w:rPr>
          <w:lang w:val="sk-SK"/>
        </w:rPr>
        <w:t>nehodnotilo.</w:t>
      </w:r>
    </w:p>
    <w:p w:rsidR="00532B78" w:rsidRPr="00F66081" w:rsidRDefault="00532B78" w:rsidP="00F67A7A">
      <w:pPr>
        <w:pStyle w:val="Zkladntext"/>
        <w:spacing w:before="11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i/>
          <w:lang w:val="sk-SK"/>
        </w:rPr>
        <w:t xml:space="preserve">Metformín: </w:t>
      </w:r>
      <w:r w:rsidRPr="00F66081">
        <w:rPr>
          <w:lang w:val="sk-SK"/>
        </w:rPr>
        <w:t>Súbežné podanie opakovaných dávok 1 000 mg metformínu dvakrát denne</w:t>
      </w:r>
      <w:r w:rsidR="001E5AD7" w:rsidRPr="00F66081">
        <w:rPr>
          <w:lang w:val="sk-SK"/>
        </w:rPr>
        <w:t xml:space="preserve"> </w:t>
      </w:r>
      <w:r w:rsidRPr="00F66081">
        <w:rPr>
          <w:lang w:val="sk-SK"/>
        </w:rPr>
        <w:t>a 50 mg sitagliptínu významne nezmenilo farmakokinetiku sitagliptínu u pacientov s diabetom 2. typu.</w:t>
      </w: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i/>
          <w:lang w:val="sk-SK"/>
        </w:rPr>
        <w:t xml:space="preserve">Cyklosporín: </w:t>
      </w:r>
      <w:r w:rsidRPr="00F66081">
        <w:rPr>
          <w:lang w:val="sk-SK"/>
        </w:rPr>
        <w:t>Uskutočnila sa štúdia na zhodnotenie účinku cyklosporínu, silného inhibítora</w:t>
      </w:r>
      <w:r w:rsidR="001E5AD7" w:rsidRPr="00F66081">
        <w:rPr>
          <w:lang w:val="sk-SK"/>
        </w:rPr>
        <w:t xml:space="preserve"> </w:t>
      </w:r>
      <w:r w:rsidRPr="00F66081">
        <w:rPr>
          <w:lang w:val="sk-SK"/>
        </w:rPr>
        <w:t>p</w:t>
      </w:r>
      <w:r w:rsidR="004C3E11">
        <w:rPr>
          <w:lang w:val="sk-SK"/>
        </w:rPr>
        <w:noBreakHyphen/>
      </w:r>
      <w:r w:rsidRPr="00F66081">
        <w:rPr>
          <w:lang w:val="sk-SK"/>
        </w:rPr>
        <w:t>glykoproteínu, na farmakokinetiku sitagliptínu</w:t>
      </w:r>
      <w:r w:rsidRPr="00F66081">
        <w:rPr>
          <w:i/>
          <w:lang w:val="sk-SK"/>
        </w:rPr>
        <w:t xml:space="preserve">. </w:t>
      </w:r>
      <w:r w:rsidRPr="00F66081">
        <w:rPr>
          <w:lang w:val="sk-SK"/>
        </w:rPr>
        <w:t>Súbežné podani</w:t>
      </w:r>
      <w:r w:rsidR="004C3E11">
        <w:rPr>
          <w:lang w:val="sk-SK"/>
        </w:rPr>
        <w:t>e jednej 100 </w:t>
      </w:r>
      <w:r w:rsidRPr="00F66081">
        <w:rPr>
          <w:lang w:val="sk-SK"/>
        </w:rPr>
        <w:t xml:space="preserve">mg perorálnej </w:t>
      </w:r>
      <w:r w:rsidR="004C3E11">
        <w:rPr>
          <w:lang w:val="sk-SK"/>
        </w:rPr>
        <w:t>dávky sitagliptínu a jednej 600 </w:t>
      </w:r>
      <w:r w:rsidRPr="00F66081">
        <w:rPr>
          <w:lang w:val="sk-SK"/>
        </w:rPr>
        <w:t>mg perorálnej dávky cyklosporínu zvýšilo AUC sitagliptínu približne o</w:t>
      </w:r>
      <w:r w:rsidR="001E5AD7" w:rsidRPr="00F66081">
        <w:rPr>
          <w:lang w:val="sk-SK"/>
        </w:rPr>
        <w:t> </w:t>
      </w:r>
      <w:r w:rsidRPr="00F66081">
        <w:rPr>
          <w:lang w:val="sk-SK"/>
        </w:rPr>
        <w:t>29</w:t>
      </w:r>
      <w:r w:rsidR="001E5AD7" w:rsidRPr="00F66081">
        <w:rPr>
          <w:lang w:val="sk-SK"/>
        </w:rPr>
        <w:t> </w:t>
      </w:r>
      <w:r w:rsidRPr="00F66081">
        <w:rPr>
          <w:lang w:val="sk-SK"/>
        </w:rPr>
        <w:t>% a C</w:t>
      </w:r>
      <w:r w:rsidRPr="00F66081">
        <w:rPr>
          <w:vertAlign w:val="subscript"/>
          <w:lang w:val="sk-SK"/>
        </w:rPr>
        <w:t>max</w:t>
      </w:r>
      <w:r w:rsidR="001E5AD7" w:rsidRPr="00F66081">
        <w:rPr>
          <w:lang w:val="sk-SK"/>
        </w:rPr>
        <w:t xml:space="preserve"> sitagliptínu o 68 </w:t>
      </w:r>
      <w:r w:rsidRPr="00F66081">
        <w:rPr>
          <w:lang w:val="sk-SK"/>
        </w:rPr>
        <w:t>%. Tieto zmeny vo farmakokinetike si</w:t>
      </w:r>
      <w:r w:rsidR="004C3E11">
        <w:rPr>
          <w:lang w:val="sk-SK"/>
        </w:rPr>
        <w:t>tagliptínu neboli považované za </w:t>
      </w:r>
      <w:r w:rsidRPr="00F66081">
        <w:rPr>
          <w:lang w:val="sk-SK"/>
        </w:rPr>
        <w:t>klinicky významné. Renálny klírens sitagliptínu sa významne nezmenil. Preto nie je predpoklad, že by došlo</w:t>
      </w:r>
      <w:r w:rsidR="001E5AD7" w:rsidRPr="00F66081">
        <w:rPr>
          <w:lang w:val="sk-SK"/>
        </w:rPr>
        <w:t xml:space="preserve"> k </w:t>
      </w:r>
      <w:r w:rsidRPr="00F66081">
        <w:rPr>
          <w:lang w:val="sk-SK"/>
        </w:rPr>
        <w:t>významným interakciám s inými inhibítormi p-glykoproteínu.</w:t>
      </w: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Účinky sitagliptínu na iné lieky</w:t>
      </w:r>
    </w:p>
    <w:p w:rsidR="00532B78" w:rsidRPr="00F66081" w:rsidRDefault="00BA441E" w:rsidP="00F67A7A">
      <w:pPr>
        <w:pStyle w:val="Zkladntext"/>
        <w:tabs>
          <w:tab w:val="left" w:pos="9072"/>
        </w:tabs>
        <w:spacing w:before="6"/>
        <w:ind w:left="0"/>
        <w:rPr>
          <w:lang w:val="sk-SK"/>
        </w:rPr>
      </w:pPr>
      <w:r w:rsidRPr="00F66081">
        <w:rPr>
          <w:i/>
          <w:lang w:val="sk-SK"/>
        </w:rPr>
        <w:t>Digoxín</w:t>
      </w:r>
      <w:r w:rsidRPr="00F66081">
        <w:rPr>
          <w:lang w:val="sk-SK"/>
        </w:rPr>
        <w:t>: Sitagliptín mal malý účinok na plazmatické koncentrácie digoxínu. Po podáv</w:t>
      </w:r>
      <w:r w:rsidR="004C3E11">
        <w:rPr>
          <w:lang w:val="sk-SK"/>
        </w:rPr>
        <w:t>aní 0,25 mg digoxínu súbežne so </w:t>
      </w:r>
      <w:r w:rsidRPr="00F66081">
        <w:rPr>
          <w:lang w:val="sk-SK"/>
        </w:rPr>
        <w:t>100</w:t>
      </w:r>
      <w:r w:rsidR="004C3E11">
        <w:rPr>
          <w:lang w:val="sk-SK"/>
        </w:rPr>
        <w:t> </w:t>
      </w:r>
      <w:r w:rsidRPr="00F66081">
        <w:rPr>
          <w:lang w:val="sk-SK"/>
        </w:rPr>
        <w:t xml:space="preserve">mg sitagliptínu denne po dobu 10 dní sa plazmatická AUC </w:t>
      </w:r>
      <w:r w:rsidR="001E5AD7" w:rsidRPr="00F66081">
        <w:rPr>
          <w:lang w:val="sk-SK"/>
        </w:rPr>
        <w:t>digoxínu zvýšila priemerne o 11 </w:t>
      </w:r>
      <w:r w:rsidRPr="00F66081">
        <w:rPr>
          <w:lang w:val="sk-SK"/>
        </w:rPr>
        <w:t>% a plazmatická C</w:t>
      </w:r>
      <w:r w:rsidRPr="00F66081">
        <w:rPr>
          <w:vertAlign w:val="subscript"/>
          <w:lang w:val="sk-SK"/>
        </w:rPr>
        <w:t>max</w:t>
      </w:r>
      <w:r w:rsidRPr="00F66081">
        <w:rPr>
          <w:lang w:val="sk-SK"/>
        </w:rPr>
        <w:t xml:space="preserve"> priemerne o</w:t>
      </w:r>
      <w:r w:rsidR="001E5AD7" w:rsidRPr="00F66081">
        <w:rPr>
          <w:lang w:val="sk-SK"/>
        </w:rPr>
        <w:t> </w:t>
      </w:r>
      <w:r w:rsidRPr="00F66081">
        <w:rPr>
          <w:lang w:val="sk-SK"/>
        </w:rPr>
        <w:t>18</w:t>
      </w:r>
      <w:r w:rsidR="001E5AD7" w:rsidRPr="00F66081">
        <w:rPr>
          <w:lang w:val="sk-SK"/>
        </w:rPr>
        <w:t> </w:t>
      </w:r>
      <w:r w:rsidRPr="00F66081">
        <w:rPr>
          <w:lang w:val="sk-SK"/>
        </w:rPr>
        <w:t>%. Neodporúča sa žiadna úprava dávky digoxínu. Pacienti s rizikom digoxínovej toxicity však majú byť na ňu sledovaní, ak sa sitagliptín</w:t>
      </w:r>
      <w:r w:rsidR="001E5AD7" w:rsidRPr="00F66081">
        <w:rPr>
          <w:lang w:val="sk-SK"/>
        </w:rPr>
        <w:t xml:space="preserve"> a </w:t>
      </w:r>
      <w:r w:rsidRPr="00F66081">
        <w:rPr>
          <w:lang w:val="sk-SK"/>
        </w:rPr>
        <w:t>digoxín podávajú súbežne.</w:t>
      </w:r>
    </w:p>
    <w:p w:rsidR="00532B78" w:rsidRPr="00F66081" w:rsidRDefault="00532B78" w:rsidP="00F67A7A">
      <w:pPr>
        <w:pStyle w:val="Zkladntext"/>
        <w:tabs>
          <w:tab w:val="left" w:pos="9072"/>
        </w:tabs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tabs>
          <w:tab w:val="left" w:pos="9072"/>
        </w:tabs>
        <w:spacing w:before="1"/>
        <w:ind w:left="0"/>
        <w:rPr>
          <w:lang w:val="sk-SK"/>
        </w:rPr>
      </w:pPr>
      <w:r w:rsidRPr="00F66081">
        <w:rPr>
          <w:lang w:val="sk-SK"/>
        </w:rPr>
        <w:t xml:space="preserve">Údaje </w:t>
      </w:r>
      <w:r w:rsidRPr="00F66081">
        <w:rPr>
          <w:i/>
          <w:lang w:val="sk-SK"/>
        </w:rPr>
        <w:t xml:space="preserve">in vitro </w:t>
      </w:r>
      <w:r w:rsidRPr="00F66081">
        <w:rPr>
          <w:lang w:val="sk-SK"/>
        </w:rPr>
        <w:t xml:space="preserve">naznačujú, že sitagliptín neinhibuje ani neindukuje izoenzýmy CYP450. V klinických štúdiách sitagliptín významne nezmenil farmakokinetiku metformínu, glyburidu, simvastatínu, rosiglitazónu, warfarínu alebo perorálnych kontraceptív a poskytol </w:t>
      </w:r>
      <w:r w:rsidRPr="00F66081">
        <w:rPr>
          <w:i/>
          <w:lang w:val="sk-SK"/>
        </w:rPr>
        <w:t xml:space="preserve">in vivo </w:t>
      </w:r>
      <w:r w:rsidRPr="00F66081">
        <w:rPr>
          <w:lang w:val="sk-SK"/>
        </w:rPr>
        <w:t>dôkaz o slabej tendencii</w:t>
      </w:r>
      <w:r w:rsidR="001E5AD7" w:rsidRPr="00F66081">
        <w:rPr>
          <w:lang w:val="sk-SK"/>
        </w:rPr>
        <w:t xml:space="preserve"> k </w:t>
      </w:r>
      <w:r w:rsidRPr="00F66081">
        <w:rPr>
          <w:lang w:val="sk-SK"/>
        </w:rPr>
        <w:t xml:space="preserve">spôsobeniu interakcií so substrátmi CYP3A4, CYP2C8, CYP2C9 a organického katiónového transportéra (OCT). Sitagliptín môže byť miernym inhibítorom p-glykoproteínu </w:t>
      </w:r>
      <w:r w:rsidRPr="00F66081">
        <w:rPr>
          <w:i/>
          <w:lang w:val="sk-SK"/>
        </w:rPr>
        <w:t>in</w:t>
      </w:r>
      <w:r w:rsidRPr="00F66081">
        <w:rPr>
          <w:i/>
          <w:spacing w:val="-11"/>
          <w:lang w:val="sk-SK"/>
        </w:rPr>
        <w:t xml:space="preserve"> </w:t>
      </w:r>
      <w:r w:rsidRPr="00F66081">
        <w:rPr>
          <w:i/>
          <w:lang w:val="sk-SK"/>
        </w:rPr>
        <w:t>vivo</w:t>
      </w:r>
      <w:r w:rsidRPr="00F66081">
        <w:rPr>
          <w:lang w:val="sk-SK"/>
        </w:rPr>
        <w:t>.</w:t>
      </w:r>
    </w:p>
    <w:p w:rsidR="00532B78" w:rsidRPr="00F66081" w:rsidRDefault="00532B78" w:rsidP="00F67A7A">
      <w:pPr>
        <w:pStyle w:val="Zkladntext"/>
        <w:spacing w:before="5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1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Fertilita, gravidita a</w:t>
      </w:r>
      <w:r w:rsidRPr="00F66081">
        <w:rPr>
          <w:spacing w:val="1"/>
          <w:lang w:val="sk-SK"/>
        </w:rPr>
        <w:t xml:space="preserve"> </w:t>
      </w:r>
      <w:r w:rsidRPr="00F66081">
        <w:rPr>
          <w:lang w:val="sk-SK"/>
        </w:rPr>
        <w:t>laktácia</w:t>
      </w:r>
    </w:p>
    <w:p w:rsidR="00532B78" w:rsidRPr="00F66081" w:rsidRDefault="00532B78" w:rsidP="00F67A7A">
      <w:pPr>
        <w:pStyle w:val="Zkladntext"/>
        <w:spacing w:before="7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spacing w:before="1"/>
        <w:ind w:left="0"/>
        <w:rPr>
          <w:lang w:val="sk-SK"/>
        </w:rPr>
      </w:pPr>
      <w:r w:rsidRPr="00F66081">
        <w:rPr>
          <w:u w:val="single"/>
          <w:lang w:val="sk-SK"/>
        </w:rPr>
        <w:t>Gravidita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Nie sú k dispozícii dostatočné údaje o použití sitagliptínu u gravidných žien. Štúdie na zvieratách preukázali reprodukčnú toxicitu pri vysokých dávkach (pozri časť 5.3). Potenciálne riziko u</w:t>
      </w:r>
      <w:r w:rsidR="004C3E11">
        <w:rPr>
          <w:lang w:val="sk-SK"/>
        </w:rPr>
        <w:t> </w:t>
      </w:r>
      <w:r w:rsidRPr="00F66081">
        <w:rPr>
          <w:lang w:val="sk-SK"/>
        </w:rPr>
        <w:t>ľudí</w:t>
      </w:r>
      <w:r w:rsidR="004C3E11">
        <w:rPr>
          <w:lang w:val="sk-SK"/>
        </w:rPr>
        <w:t xml:space="preserve"> nie je známe. Vzhľadom na </w:t>
      </w:r>
      <w:r w:rsidRPr="00F66081">
        <w:rPr>
          <w:lang w:val="sk-SK"/>
        </w:rPr>
        <w:t>nedostatok údajov u</w:t>
      </w:r>
      <w:r w:rsidR="004C3E11">
        <w:rPr>
          <w:lang w:val="sk-SK"/>
        </w:rPr>
        <w:t> </w:t>
      </w:r>
      <w:r w:rsidRPr="00F66081">
        <w:rPr>
          <w:lang w:val="sk-SK"/>
        </w:rPr>
        <w:t xml:space="preserve">ľudí sa </w:t>
      </w:r>
      <w:r w:rsidR="008C05F2" w:rsidRPr="008C05F2">
        <w:rPr>
          <w:lang w:val="sk-SK"/>
        </w:rPr>
        <w:t xml:space="preserve">Zinzibet </w:t>
      </w:r>
      <w:r w:rsidRPr="00F66081">
        <w:rPr>
          <w:lang w:val="sk-SK"/>
        </w:rPr>
        <w:t>nemá užívať počas gravidity.</w:t>
      </w:r>
    </w:p>
    <w:p w:rsidR="00532B78" w:rsidRPr="00F66081" w:rsidRDefault="00532B78" w:rsidP="00F67A7A">
      <w:pPr>
        <w:pStyle w:val="Zkladntext"/>
        <w:spacing w:before="9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Dojčenie</w:t>
      </w:r>
    </w:p>
    <w:p w:rsidR="00532B78" w:rsidRPr="00F66081" w:rsidRDefault="00BA441E" w:rsidP="00F67A7A">
      <w:pPr>
        <w:pStyle w:val="Zkladntext"/>
        <w:spacing w:before="7"/>
        <w:ind w:left="0"/>
        <w:rPr>
          <w:lang w:val="sk-SK"/>
        </w:rPr>
      </w:pPr>
      <w:r w:rsidRPr="00F66081">
        <w:rPr>
          <w:lang w:val="sk-SK"/>
        </w:rPr>
        <w:t xml:space="preserve">Nie je známe, či sa sitagliptín vylučuje do ľudského mlieka. V štúdiách na zvieratách sa zistilo vylučovanie sitagliptínu do materského mlieka. </w:t>
      </w:r>
      <w:r w:rsidR="008C05F2" w:rsidRPr="008C05F2">
        <w:rPr>
          <w:lang w:val="sk-SK"/>
        </w:rPr>
        <w:t xml:space="preserve">Zinzibet </w:t>
      </w:r>
      <w:r w:rsidRPr="00F66081">
        <w:rPr>
          <w:lang w:val="sk-SK"/>
        </w:rPr>
        <w:t xml:space="preserve">sa </w:t>
      </w:r>
      <w:r w:rsidR="004C3E11">
        <w:rPr>
          <w:lang w:val="sk-SK"/>
        </w:rPr>
        <w:t>nemá</w:t>
      </w:r>
      <w:r w:rsidRPr="00F66081">
        <w:rPr>
          <w:lang w:val="sk-SK"/>
        </w:rPr>
        <w:t xml:space="preserve"> užívať počas </w:t>
      </w:r>
      <w:r w:rsidR="001E5AD7" w:rsidRPr="00F66081">
        <w:rPr>
          <w:lang w:val="sk-SK"/>
        </w:rPr>
        <w:t>dojčenia</w:t>
      </w:r>
      <w:r w:rsidRPr="00F66081">
        <w:rPr>
          <w:lang w:val="sk-SK"/>
        </w:rPr>
        <w:t>.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Fertilita</w:t>
      </w:r>
    </w:p>
    <w:p w:rsidR="00532B78" w:rsidRPr="00F66081" w:rsidRDefault="00BA441E" w:rsidP="00F67A7A">
      <w:pPr>
        <w:pStyle w:val="Zkladntext"/>
        <w:tabs>
          <w:tab w:val="left" w:pos="9072"/>
        </w:tabs>
        <w:spacing w:before="6"/>
        <w:ind w:left="0"/>
        <w:rPr>
          <w:lang w:val="sk-SK"/>
        </w:rPr>
      </w:pPr>
      <w:r w:rsidRPr="00F66081">
        <w:rPr>
          <w:lang w:val="sk-SK"/>
        </w:rPr>
        <w:t xml:space="preserve">Údaje u zvierat </w:t>
      </w:r>
      <w:r w:rsidR="00D92B3A" w:rsidRPr="00F66081">
        <w:rPr>
          <w:lang w:val="sk-SK"/>
        </w:rPr>
        <w:t xml:space="preserve">nesvedčia o vplyve </w:t>
      </w:r>
      <w:r w:rsidRPr="00F66081">
        <w:rPr>
          <w:lang w:val="sk-SK"/>
        </w:rPr>
        <w:t xml:space="preserve">liečby sitagliptínom na </w:t>
      </w:r>
      <w:r w:rsidR="001E5AD7" w:rsidRPr="00F66081">
        <w:rPr>
          <w:lang w:val="sk-SK"/>
        </w:rPr>
        <w:t>fertilitu mužov a žien. Údaje u </w:t>
      </w:r>
      <w:r w:rsidRPr="00F66081">
        <w:rPr>
          <w:lang w:val="sk-SK"/>
        </w:rPr>
        <w:t>ľudí chýbajú.</w:t>
      </w:r>
    </w:p>
    <w:p w:rsidR="001E5AD7" w:rsidRPr="00F66081" w:rsidRDefault="001E5AD7" w:rsidP="00F67A7A">
      <w:pPr>
        <w:pStyle w:val="Zkladntext"/>
        <w:spacing w:before="6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1"/>
          <w:numId w:val="17"/>
        </w:numPr>
        <w:tabs>
          <w:tab w:val="left" w:pos="0"/>
        </w:tabs>
        <w:spacing w:before="65"/>
        <w:ind w:left="567"/>
        <w:rPr>
          <w:lang w:val="sk-SK"/>
        </w:rPr>
      </w:pPr>
      <w:r w:rsidRPr="00F66081">
        <w:rPr>
          <w:lang w:val="sk-SK"/>
        </w:rPr>
        <w:t>Ovplyvnenie schopnosti viesť vozidlá a obsluhovať</w:t>
      </w:r>
      <w:r w:rsidRPr="00F66081">
        <w:rPr>
          <w:spacing w:val="1"/>
          <w:lang w:val="sk-SK"/>
        </w:rPr>
        <w:t xml:space="preserve"> </w:t>
      </w:r>
      <w:r w:rsidRPr="00F66081">
        <w:rPr>
          <w:lang w:val="sk-SK"/>
        </w:rPr>
        <w:t>stroje</w:t>
      </w:r>
    </w:p>
    <w:p w:rsidR="00532B78" w:rsidRPr="00F66081" w:rsidRDefault="00532B78" w:rsidP="00F67A7A">
      <w:pPr>
        <w:pStyle w:val="Zkladntext"/>
        <w:spacing w:before="7"/>
        <w:ind w:left="0"/>
        <w:rPr>
          <w:lang w:val="sk-SK"/>
        </w:rPr>
      </w:pPr>
    </w:p>
    <w:p w:rsidR="00532B78" w:rsidRPr="00F66081" w:rsidRDefault="008C05F2" w:rsidP="00F67A7A">
      <w:pPr>
        <w:pStyle w:val="Zkladntext"/>
        <w:ind w:left="0"/>
        <w:rPr>
          <w:lang w:val="sk-SK"/>
        </w:rPr>
      </w:pPr>
      <w:r w:rsidRPr="008C05F2">
        <w:rPr>
          <w:lang w:val="sk-SK"/>
        </w:rPr>
        <w:t xml:space="preserve">Zinzibet </w:t>
      </w:r>
      <w:r w:rsidR="00BA441E" w:rsidRPr="00F66081">
        <w:rPr>
          <w:lang w:val="sk-SK"/>
        </w:rPr>
        <w:t>nemá žiadny alebo má zanedbateľný vplyv na schopnosť viesť vozidlá a obsluhovať stroje.</w:t>
      </w:r>
      <w:r w:rsidR="00C66284" w:rsidRPr="00F66081">
        <w:rPr>
          <w:lang w:val="sk-SK"/>
        </w:rPr>
        <w:t xml:space="preserve"> </w:t>
      </w:r>
      <w:r w:rsidR="00BA441E" w:rsidRPr="00F66081">
        <w:rPr>
          <w:lang w:val="sk-SK"/>
        </w:rPr>
        <w:t>Pri vedení vozid</w:t>
      </w:r>
      <w:r w:rsidR="00C66284" w:rsidRPr="00F66081">
        <w:rPr>
          <w:lang w:val="sk-SK"/>
        </w:rPr>
        <w:t>ie</w:t>
      </w:r>
      <w:r w:rsidR="00BA441E" w:rsidRPr="00F66081">
        <w:rPr>
          <w:lang w:val="sk-SK"/>
        </w:rPr>
        <w:t>l alebo obsluhovaní strojov však treba zobrať do úvahy, že boli hlásené závrat a somnolencia.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Okrem toho majú byť pacienti upozornení na riziko hypoglykémie v</w:t>
      </w:r>
      <w:r w:rsidR="00232A70">
        <w:rPr>
          <w:lang w:val="sk-SK"/>
        </w:rPr>
        <w:t> </w:t>
      </w:r>
      <w:r w:rsidRPr="00F66081">
        <w:rPr>
          <w:lang w:val="sk-SK"/>
        </w:rPr>
        <w:t xml:space="preserve">prípade, že sa </w:t>
      </w:r>
      <w:r w:rsidR="008C05F2" w:rsidRPr="008C05F2">
        <w:rPr>
          <w:lang w:val="sk-SK"/>
        </w:rPr>
        <w:t xml:space="preserve">Zinzibet </w:t>
      </w:r>
      <w:r w:rsidRPr="00F66081">
        <w:rPr>
          <w:lang w:val="sk-SK"/>
        </w:rPr>
        <w:t>používa v</w:t>
      </w:r>
      <w:r w:rsidR="00232A70">
        <w:rPr>
          <w:lang w:val="sk-SK"/>
        </w:rPr>
        <w:t> </w:t>
      </w:r>
      <w:r w:rsidRPr="00F66081">
        <w:rPr>
          <w:lang w:val="sk-SK"/>
        </w:rPr>
        <w:t>kombinácii</w:t>
      </w:r>
      <w:r w:rsidR="00232A70">
        <w:rPr>
          <w:lang w:val="sk-SK"/>
        </w:rPr>
        <w:t xml:space="preserve"> so </w:t>
      </w:r>
      <w:r w:rsidR="003527FE" w:rsidRPr="00F66081">
        <w:rPr>
          <w:lang w:val="sk-SK"/>
        </w:rPr>
        <w:t>sulfonyl</w:t>
      </w:r>
      <w:r w:rsidR="003527FE">
        <w:rPr>
          <w:lang w:val="sk-SK"/>
        </w:rPr>
        <w:t>močovinou</w:t>
      </w:r>
      <w:r w:rsidR="003527FE" w:rsidRPr="00F66081">
        <w:rPr>
          <w:lang w:val="sk-SK"/>
        </w:rPr>
        <w:t xml:space="preserve"> </w:t>
      </w:r>
      <w:r w:rsidRPr="00F66081">
        <w:rPr>
          <w:lang w:val="sk-SK"/>
        </w:rPr>
        <w:t>alebo s</w:t>
      </w:r>
      <w:r w:rsidR="00232A70">
        <w:rPr>
          <w:lang w:val="sk-SK"/>
        </w:rPr>
        <w:t> </w:t>
      </w:r>
      <w:r w:rsidRPr="00F66081">
        <w:rPr>
          <w:lang w:val="sk-SK"/>
        </w:rPr>
        <w:t>inzulínom.</w:t>
      </w:r>
    </w:p>
    <w:p w:rsidR="00532B78" w:rsidRPr="00F66081" w:rsidRDefault="00532B78" w:rsidP="00F67A7A">
      <w:pPr>
        <w:pStyle w:val="Zkladntext"/>
        <w:spacing w:before="2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1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Nežiaduce</w:t>
      </w:r>
      <w:r w:rsidRPr="00F66081">
        <w:rPr>
          <w:spacing w:val="-2"/>
          <w:lang w:val="sk-SK"/>
        </w:rPr>
        <w:t xml:space="preserve"> </w:t>
      </w:r>
      <w:r w:rsidRPr="00F66081">
        <w:rPr>
          <w:lang w:val="sk-SK"/>
        </w:rPr>
        <w:t>účinky</w:t>
      </w:r>
    </w:p>
    <w:p w:rsidR="00532B78" w:rsidRPr="00F66081" w:rsidRDefault="00532B78" w:rsidP="00F67A7A">
      <w:pPr>
        <w:pStyle w:val="Zkladntext"/>
        <w:spacing w:before="7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spacing w:before="1"/>
        <w:ind w:left="0"/>
        <w:rPr>
          <w:lang w:val="sk-SK"/>
        </w:rPr>
      </w:pPr>
      <w:r w:rsidRPr="00F66081">
        <w:rPr>
          <w:u w:val="single"/>
          <w:lang w:val="sk-SK"/>
        </w:rPr>
        <w:t>Súhrn bezpečnostného profilu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Boli hlásené závažné nežiaduce reakcie zahŕňajúce pankreatitídu a reakcie z precitlivenosti. Pri</w:t>
      </w:r>
      <w:r w:rsidR="00C66284" w:rsidRPr="00F66081">
        <w:rPr>
          <w:lang w:val="sk-SK"/>
        </w:rPr>
        <w:t> </w:t>
      </w:r>
      <w:r w:rsidRPr="00F66081">
        <w:rPr>
          <w:lang w:val="sk-SK"/>
        </w:rPr>
        <w:t>k</w:t>
      </w:r>
      <w:r w:rsidR="00C66284" w:rsidRPr="00F66081">
        <w:rPr>
          <w:lang w:val="sk-SK"/>
        </w:rPr>
        <w:t>omb</w:t>
      </w:r>
      <w:r w:rsidR="00232A70">
        <w:rPr>
          <w:lang w:val="sk-SK"/>
        </w:rPr>
        <w:t xml:space="preserve">inácii so </w:t>
      </w:r>
      <w:r w:rsidR="008B1003">
        <w:rPr>
          <w:lang w:val="sk-SK"/>
        </w:rPr>
        <w:t xml:space="preserve">sulfonylmočovinou </w:t>
      </w:r>
      <w:r w:rsidR="00232A70">
        <w:rPr>
          <w:lang w:val="sk-SK"/>
        </w:rPr>
        <w:t>(4,7 % -</w:t>
      </w:r>
      <w:r w:rsidR="00C66284" w:rsidRPr="00F66081">
        <w:rPr>
          <w:lang w:val="sk-SK"/>
        </w:rPr>
        <w:t> 13,8 %) a inzulínom (9,6 </w:t>
      </w:r>
      <w:r w:rsidRPr="00F66081">
        <w:rPr>
          <w:lang w:val="sk-SK"/>
        </w:rPr>
        <w:t>%) sa hlásila hypoglykémia (pozri časť 4.4).</w:t>
      </w:r>
    </w:p>
    <w:p w:rsidR="00532B78" w:rsidRPr="00F66081" w:rsidRDefault="00532B78" w:rsidP="00F67A7A">
      <w:pPr>
        <w:pStyle w:val="Zkladntext"/>
        <w:spacing w:before="9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spacing w:before="1"/>
        <w:ind w:left="0"/>
        <w:rPr>
          <w:lang w:val="sk-SK"/>
        </w:rPr>
      </w:pPr>
      <w:r w:rsidRPr="00F66081">
        <w:rPr>
          <w:u w:val="single"/>
          <w:lang w:val="sk-SK"/>
        </w:rPr>
        <w:t>Tabuľkový zoznam nežiaducich reakcií</w:t>
      </w:r>
    </w:p>
    <w:p w:rsidR="00532B78" w:rsidRPr="00F66081" w:rsidRDefault="00BA441E" w:rsidP="00F67A7A">
      <w:pPr>
        <w:pStyle w:val="Zkladntext"/>
        <w:tabs>
          <w:tab w:val="left" w:pos="9072"/>
        </w:tabs>
        <w:spacing w:before="6"/>
        <w:ind w:left="0"/>
        <w:rPr>
          <w:lang w:val="sk-SK"/>
        </w:rPr>
      </w:pPr>
      <w:r w:rsidRPr="00F66081">
        <w:rPr>
          <w:lang w:val="sk-SK"/>
        </w:rPr>
        <w:t>Nežiaduce reakcie sú vymenované nižšie (tabuľka 1) podľa tried orgánových systémov a frekvencie. Frekvencie sú definované ako: veľmi časté (≥</w:t>
      </w:r>
      <w:r w:rsidR="00C66284" w:rsidRPr="00F66081">
        <w:rPr>
          <w:lang w:val="sk-SK"/>
        </w:rPr>
        <w:t> 1/10); časté (≥ 1/100 až &lt; 1/10); menej časté (≥ </w:t>
      </w:r>
      <w:r w:rsidRPr="00F66081">
        <w:rPr>
          <w:lang w:val="sk-SK"/>
        </w:rPr>
        <w:t>1/1</w:t>
      </w:r>
      <w:r w:rsidR="00C66284" w:rsidRPr="00F66081">
        <w:rPr>
          <w:lang w:val="sk-SK"/>
        </w:rPr>
        <w:t> 000 až &lt; 1/100); zriedkavé (≥ </w:t>
      </w:r>
      <w:r w:rsidRPr="00F66081">
        <w:rPr>
          <w:lang w:val="sk-SK"/>
        </w:rPr>
        <w:t>1/1</w:t>
      </w:r>
      <w:r w:rsidR="00C66284" w:rsidRPr="00F66081">
        <w:rPr>
          <w:lang w:val="sk-SK"/>
        </w:rPr>
        <w:t>0 000 až &lt; </w:t>
      </w:r>
      <w:r w:rsidRPr="00F66081">
        <w:rPr>
          <w:lang w:val="sk-SK"/>
        </w:rPr>
        <w:t>1/1</w:t>
      </w:r>
      <w:r w:rsidR="00C66284" w:rsidRPr="00F66081">
        <w:rPr>
          <w:lang w:val="sk-SK"/>
        </w:rPr>
        <w:t> 000); veľmi zriedkavé (&lt; </w:t>
      </w:r>
      <w:r w:rsidRPr="00F66081">
        <w:rPr>
          <w:lang w:val="sk-SK"/>
        </w:rPr>
        <w:t>1/10</w:t>
      </w:r>
      <w:r w:rsidR="00C66284" w:rsidRPr="00F66081">
        <w:rPr>
          <w:lang w:val="sk-SK"/>
        </w:rPr>
        <w:t> </w:t>
      </w:r>
      <w:r w:rsidRPr="00F66081">
        <w:rPr>
          <w:lang w:val="sk-SK"/>
        </w:rPr>
        <w:t>000) a</w:t>
      </w:r>
      <w:r w:rsidR="00C66284" w:rsidRPr="00F66081">
        <w:rPr>
          <w:lang w:val="sk-SK"/>
        </w:rPr>
        <w:t> </w:t>
      </w:r>
      <w:r w:rsidRPr="00F66081">
        <w:rPr>
          <w:lang w:val="sk-SK"/>
        </w:rPr>
        <w:t>neznáme</w:t>
      </w:r>
      <w:r w:rsidR="00C66284" w:rsidRPr="00F66081">
        <w:rPr>
          <w:lang w:val="sk-SK"/>
        </w:rPr>
        <w:t xml:space="preserve"> (z </w:t>
      </w:r>
      <w:r w:rsidRPr="00F66081">
        <w:rPr>
          <w:lang w:val="sk-SK"/>
        </w:rPr>
        <w:t>dostupných údajov).</w:t>
      </w:r>
    </w:p>
    <w:p w:rsidR="00532B78" w:rsidRPr="00F66081" w:rsidRDefault="00532B78" w:rsidP="00F67A7A">
      <w:pPr>
        <w:pStyle w:val="Zkladntext"/>
        <w:spacing w:before="6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ind w:left="0"/>
        <w:rPr>
          <w:lang w:val="sk-SK"/>
        </w:rPr>
      </w:pPr>
      <w:r w:rsidRPr="00F66081">
        <w:rPr>
          <w:lang w:val="sk-SK"/>
        </w:rPr>
        <w:t>Tabuľka 1. Frekvencia nežiaducich reakcií zistených v placebom kontrolovaných klinických štúdiách sitagliptínu v monoterapii a pri používaní po uvedení lieku na trh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267"/>
      </w:tblGrid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spacing w:before="3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Nežiaduca reakcia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3"/>
              <w:jc w:val="center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Frekvencia nežiaducej reakcie</w:t>
            </w:r>
          </w:p>
        </w:tc>
      </w:tr>
      <w:tr w:rsidR="00C66284" w:rsidRPr="00F66081" w:rsidTr="002F5D25">
        <w:trPr>
          <w:trHeight w:val="258"/>
        </w:trPr>
        <w:tc>
          <w:tcPr>
            <w:tcW w:w="5000" w:type="pct"/>
            <w:gridSpan w:val="2"/>
          </w:tcPr>
          <w:p w:rsidR="00C66284" w:rsidRPr="00F66081" w:rsidRDefault="00C66284" w:rsidP="00F67A7A">
            <w:pPr>
              <w:pStyle w:val="TableParagraph"/>
              <w:rPr>
                <w:lang w:val="sk-SK"/>
              </w:rPr>
            </w:pPr>
            <w:r w:rsidRPr="00F66081">
              <w:rPr>
                <w:b/>
                <w:lang w:val="sk-SK"/>
              </w:rPr>
              <w:t>Poruchy imunitného systému</w:t>
            </w:r>
          </w:p>
        </w:tc>
      </w:tr>
      <w:tr w:rsidR="00532B78" w:rsidRPr="00F66081" w:rsidTr="002F5D25">
        <w:trPr>
          <w:trHeight w:val="51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reakcie z precitlivenosti vrátane anafylaktických odpovedí</w:t>
            </w:r>
            <w:r w:rsidR="00C66284" w:rsidRPr="00F66081">
              <w:rPr>
                <w:vertAlign w:val="superscript"/>
                <w:lang w:val="sk-SK"/>
              </w:rPr>
              <w:t>*,†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3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frekvencia neznáma</w:t>
            </w:r>
          </w:p>
        </w:tc>
      </w:tr>
      <w:tr w:rsidR="00532B78" w:rsidRPr="00F66081" w:rsidTr="002F5D25">
        <w:trPr>
          <w:trHeight w:val="256"/>
        </w:trPr>
        <w:tc>
          <w:tcPr>
            <w:tcW w:w="2652" w:type="pct"/>
          </w:tcPr>
          <w:p w:rsidR="00532B78" w:rsidRPr="00F66081" w:rsidRDefault="00532B78" w:rsidP="00F67A7A">
            <w:pPr>
              <w:pStyle w:val="TableParagraph"/>
              <w:rPr>
                <w:lang w:val="sk-SK"/>
              </w:rPr>
            </w:pPr>
          </w:p>
        </w:tc>
        <w:tc>
          <w:tcPr>
            <w:tcW w:w="2348" w:type="pct"/>
          </w:tcPr>
          <w:p w:rsidR="00532B78" w:rsidRPr="00F66081" w:rsidRDefault="00532B78" w:rsidP="00F67A7A">
            <w:pPr>
              <w:pStyle w:val="TableParagraph"/>
              <w:rPr>
                <w:lang w:val="sk-SK"/>
              </w:rPr>
            </w:pPr>
          </w:p>
        </w:tc>
      </w:tr>
      <w:tr w:rsidR="00C66284" w:rsidRPr="00F66081" w:rsidTr="002F5D25">
        <w:trPr>
          <w:trHeight w:val="258"/>
        </w:trPr>
        <w:tc>
          <w:tcPr>
            <w:tcW w:w="5000" w:type="pct"/>
            <w:gridSpan w:val="2"/>
          </w:tcPr>
          <w:p w:rsidR="00C66284" w:rsidRPr="00F66081" w:rsidRDefault="00C66284" w:rsidP="00F67A7A">
            <w:pPr>
              <w:pStyle w:val="TableParagraph"/>
              <w:rPr>
                <w:lang w:val="sk-SK"/>
              </w:rPr>
            </w:pPr>
            <w:r w:rsidRPr="00F66081">
              <w:rPr>
                <w:b/>
                <w:lang w:val="sk-SK"/>
              </w:rPr>
              <w:t>Poruchy metabolizmu a výživy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hypoglykémia</w:t>
            </w:r>
            <w:r w:rsidR="002F5D25" w:rsidRPr="00F66081">
              <w:rPr>
                <w:vertAlign w:val="superscript"/>
                <w:lang w:val="sk-SK"/>
              </w:rPr>
              <w:t>†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3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časté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532B78" w:rsidP="00F67A7A">
            <w:pPr>
              <w:pStyle w:val="TableParagraph"/>
              <w:rPr>
                <w:lang w:val="sk-SK"/>
              </w:rPr>
            </w:pPr>
          </w:p>
        </w:tc>
        <w:tc>
          <w:tcPr>
            <w:tcW w:w="2348" w:type="pct"/>
          </w:tcPr>
          <w:p w:rsidR="00532B78" w:rsidRPr="00F66081" w:rsidRDefault="00532B78" w:rsidP="00F67A7A">
            <w:pPr>
              <w:pStyle w:val="TableParagraph"/>
              <w:rPr>
                <w:lang w:val="sk-SK"/>
              </w:rPr>
            </w:pPr>
          </w:p>
        </w:tc>
      </w:tr>
      <w:tr w:rsidR="00C66284" w:rsidRPr="00F66081" w:rsidTr="002F5D25">
        <w:trPr>
          <w:trHeight w:val="258"/>
        </w:trPr>
        <w:tc>
          <w:tcPr>
            <w:tcW w:w="5000" w:type="pct"/>
            <w:gridSpan w:val="2"/>
          </w:tcPr>
          <w:p w:rsidR="00C66284" w:rsidRPr="00F66081" w:rsidRDefault="00C66284" w:rsidP="00F67A7A">
            <w:pPr>
              <w:pStyle w:val="TableParagraph"/>
              <w:rPr>
                <w:lang w:val="sk-SK"/>
              </w:rPr>
            </w:pPr>
            <w:r w:rsidRPr="00F66081">
              <w:rPr>
                <w:b/>
                <w:lang w:val="sk-SK"/>
              </w:rPr>
              <w:t>Poruchy nervového systému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spacing w:before="3"/>
              <w:rPr>
                <w:lang w:val="sk-SK"/>
              </w:rPr>
            </w:pPr>
            <w:r w:rsidRPr="00F66081">
              <w:rPr>
                <w:lang w:val="sk-SK"/>
              </w:rPr>
              <w:t>bolesť hlavy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3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časté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spacing w:before="3"/>
              <w:rPr>
                <w:lang w:val="sk-SK"/>
              </w:rPr>
            </w:pPr>
            <w:r w:rsidRPr="00F66081">
              <w:rPr>
                <w:lang w:val="sk-SK"/>
              </w:rPr>
              <w:t>závrat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3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menej časté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532B78" w:rsidP="00F67A7A">
            <w:pPr>
              <w:pStyle w:val="TableParagraph"/>
              <w:rPr>
                <w:lang w:val="sk-SK"/>
              </w:rPr>
            </w:pPr>
          </w:p>
        </w:tc>
        <w:tc>
          <w:tcPr>
            <w:tcW w:w="2348" w:type="pct"/>
          </w:tcPr>
          <w:p w:rsidR="00532B78" w:rsidRPr="00F66081" w:rsidRDefault="00532B78" w:rsidP="00F67A7A">
            <w:pPr>
              <w:pStyle w:val="TableParagraph"/>
              <w:rPr>
                <w:lang w:val="sk-SK"/>
              </w:rPr>
            </w:pPr>
          </w:p>
        </w:tc>
      </w:tr>
      <w:tr w:rsidR="002F5D25" w:rsidRPr="00F66081" w:rsidTr="002F5D25">
        <w:trPr>
          <w:trHeight w:val="258"/>
        </w:trPr>
        <w:tc>
          <w:tcPr>
            <w:tcW w:w="5000" w:type="pct"/>
            <w:gridSpan w:val="2"/>
          </w:tcPr>
          <w:p w:rsidR="002F5D25" w:rsidRPr="00F66081" w:rsidRDefault="002F5D25" w:rsidP="00F67A7A">
            <w:pPr>
              <w:pStyle w:val="TableParagraph"/>
              <w:rPr>
                <w:lang w:val="sk-SK"/>
              </w:rPr>
            </w:pPr>
            <w:r w:rsidRPr="00F66081">
              <w:rPr>
                <w:b/>
                <w:lang w:val="sk-SK"/>
              </w:rPr>
              <w:t>Poruchy dýchacej sústavy, hrudníka a mediastína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spacing w:before="3"/>
              <w:rPr>
                <w:lang w:val="sk-SK"/>
              </w:rPr>
            </w:pPr>
            <w:r w:rsidRPr="00F66081">
              <w:rPr>
                <w:lang w:val="sk-SK"/>
              </w:rPr>
              <w:t>intersticiálne ochorenie pľúc</w:t>
            </w:r>
            <w:r w:rsidRPr="00F66081">
              <w:rPr>
                <w:vertAlign w:val="superscript"/>
                <w:lang w:val="sk-SK"/>
              </w:rPr>
              <w:t>*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3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frekvencia neznáma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532B78" w:rsidP="00F67A7A">
            <w:pPr>
              <w:pStyle w:val="TableParagraph"/>
              <w:rPr>
                <w:lang w:val="sk-SK"/>
              </w:rPr>
            </w:pPr>
          </w:p>
        </w:tc>
        <w:tc>
          <w:tcPr>
            <w:tcW w:w="2348" w:type="pct"/>
          </w:tcPr>
          <w:p w:rsidR="00532B78" w:rsidRPr="00F66081" w:rsidRDefault="00532B78" w:rsidP="00F67A7A">
            <w:pPr>
              <w:pStyle w:val="TableParagraph"/>
              <w:rPr>
                <w:lang w:val="sk-SK"/>
              </w:rPr>
            </w:pPr>
          </w:p>
        </w:tc>
      </w:tr>
      <w:tr w:rsidR="002F5D25" w:rsidRPr="00F66081" w:rsidTr="002F5D25">
        <w:trPr>
          <w:trHeight w:val="258"/>
        </w:trPr>
        <w:tc>
          <w:tcPr>
            <w:tcW w:w="5000" w:type="pct"/>
            <w:gridSpan w:val="2"/>
          </w:tcPr>
          <w:p w:rsidR="002F5D25" w:rsidRPr="00F66081" w:rsidRDefault="002F5D25" w:rsidP="00F67A7A">
            <w:pPr>
              <w:pStyle w:val="TableParagraph"/>
              <w:rPr>
                <w:lang w:val="sk-SK"/>
              </w:rPr>
            </w:pPr>
            <w:r w:rsidRPr="00F66081">
              <w:rPr>
                <w:b/>
                <w:lang w:val="sk-SK"/>
              </w:rPr>
              <w:t>Poruchy gastrointestinálneho traktu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spacing w:before="3"/>
              <w:rPr>
                <w:lang w:val="sk-SK"/>
              </w:rPr>
            </w:pPr>
            <w:r w:rsidRPr="00F66081">
              <w:rPr>
                <w:lang w:val="sk-SK"/>
              </w:rPr>
              <w:t>zápcha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3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menej časté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spacing w:before="3"/>
              <w:rPr>
                <w:lang w:val="sk-SK"/>
              </w:rPr>
            </w:pPr>
            <w:r w:rsidRPr="00F66081">
              <w:rPr>
                <w:lang w:val="sk-SK"/>
              </w:rPr>
              <w:t>vracanie</w:t>
            </w:r>
            <w:r w:rsidRPr="00F66081">
              <w:rPr>
                <w:vertAlign w:val="superscript"/>
                <w:lang w:val="sk-SK"/>
              </w:rPr>
              <w:t>*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3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frekvencia neznáma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spacing w:before="3"/>
              <w:rPr>
                <w:lang w:val="sk-SK"/>
              </w:rPr>
            </w:pPr>
            <w:r w:rsidRPr="00F66081">
              <w:rPr>
                <w:lang w:val="sk-SK"/>
              </w:rPr>
              <w:t>akútna pankreatitída</w:t>
            </w:r>
            <w:r w:rsidRPr="00F66081">
              <w:rPr>
                <w:vertAlign w:val="superscript"/>
                <w:lang w:val="sk-SK"/>
              </w:rPr>
              <w:t>*,†,‡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3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frekvencia neznáma</w:t>
            </w:r>
          </w:p>
        </w:tc>
      </w:tr>
      <w:tr w:rsidR="00532B78" w:rsidRPr="00F66081" w:rsidTr="002F5D25">
        <w:trPr>
          <w:trHeight w:val="51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hemoragická a nekrotizujúca pankreatitída s fatálnym koncom alebo bez neho</w:t>
            </w:r>
            <w:r w:rsidR="002F5D25" w:rsidRPr="00F66081">
              <w:rPr>
                <w:vertAlign w:val="superscript"/>
                <w:lang w:val="sk-SK"/>
              </w:rPr>
              <w:t>*,†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frekvencia neznáma</w:t>
            </w:r>
          </w:p>
        </w:tc>
      </w:tr>
      <w:tr w:rsidR="00532B78" w:rsidRPr="00F66081" w:rsidTr="002F5D25">
        <w:trPr>
          <w:trHeight w:val="256"/>
        </w:trPr>
        <w:tc>
          <w:tcPr>
            <w:tcW w:w="2652" w:type="pct"/>
          </w:tcPr>
          <w:p w:rsidR="00532B78" w:rsidRPr="00F66081" w:rsidRDefault="00532B78" w:rsidP="00F67A7A">
            <w:pPr>
              <w:pStyle w:val="TableParagraph"/>
              <w:rPr>
                <w:lang w:val="sk-SK"/>
              </w:rPr>
            </w:pPr>
          </w:p>
        </w:tc>
        <w:tc>
          <w:tcPr>
            <w:tcW w:w="2348" w:type="pct"/>
          </w:tcPr>
          <w:p w:rsidR="00532B78" w:rsidRPr="00F66081" w:rsidRDefault="00532B78" w:rsidP="00F67A7A">
            <w:pPr>
              <w:pStyle w:val="TableParagraph"/>
              <w:rPr>
                <w:lang w:val="sk-SK"/>
              </w:rPr>
            </w:pPr>
          </w:p>
        </w:tc>
      </w:tr>
      <w:tr w:rsidR="002F5D25" w:rsidRPr="00F66081" w:rsidTr="002F5D25">
        <w:trPr>
          <w:trHeight w:val="258"/>
        </w:trPr>
        <w:tc>
          <w:tcPr>
            <w:tcW w:w="5000" w:type="pct"/>
            <w:gridSpan w:val="2"/>
          </w:tcPr>
          <w:p w:rsidR="002F5D25" w:rsidRPr="00F66081" w:rsidRDefault="002F5D25" w:rsidP="00F67A7A">
            <w:pPr>
              <w:pStyle w:val="TableParagraph"/>
              <w:rPr>
                <w:lang w:val="sk-SK"/>
              </w:rPr>
            </w:pPr>
            <w:r w:rsidRPr="00F66081">
              <w:rPr>
                <w:b/>
                <w:lang w:val="sk-SK"/>
              </w:rPr>
              <w:t>Poruchy kože a podkožného tkaniva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spacing w:before="3"/>
              <w:rPr>
                <w:lang w:val="sk-SK"/>
              </w:rPr>
            </w:pPr>
            <w:r w:rsidRPr="00F66081">
              <w:rPr>
                <w:lang w:val="sk-SK"/>
              </w:rPr>
              <w:t>pruritus</w:t>
            </w:r>
            <w:r w:rsidRPr="00F66081">
              <w:rPr>
                <w:vertAlign w:val="superscript"/>
                <w:lang w:val="sk-SK"/>
              </w:rPr>
              <w:t>*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3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menej časté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angioedém</w:t>
            </w:r>
            <w:r w:rsidR="002F5D25" w:rsidRPr="00F66081">
              <w:rPr>
                <w:vertAlign w:val="superscript"/>
                <w:lang w:val="sk-SK"/>
              </w:rPr>
              <w:t>*,†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3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frekvencia neznáma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vyrážka</w:t>
            </w:r>
            <w:r w:rsidR="002F5D25" w:rsidRPr="00F66081">
              <w:rPr>
                <w:vertAlign w:val="superscript"/>
                <w:lang w:val="sk-SK"/>
              </w:rPr>
              <w:t>*,†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3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frekvencia neznáma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urtikária</w:t>
            </w:r>
            <w:r w:rsidR="002F5D25" w:rsidRPr="00F66081">
              <w:rPr>
                <w:vertAlign w:val="superscript"/>
                <w:lang w:val="sk-SK"/>
              </w:rPr>
              <w:t>*,†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3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frekvencia neznáma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kožná vaskulitída</w:t>
            </w:r>
            <w:r w:rsidR="002F5D25" w:rsidRPr="00F66081">
              <w:rPr>
                <w:vertAlign w:val="superscript"/>
                <w:lang w:val="sk-SK"/>
              </w:rPr>
              <w:t>*,†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3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frekvencia neznáma</w:t>
            </w:r>
          </w:p>
        </w:tc>
      </w:tr>
      <w:tr w:rsidR="00532B78" w:rsidRPr="00F66081" w:rsidTr="002F5D25">
        <w:trPr>
          <w:trHeight w:val="517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spacing w:before="14"/>
              <w:rPr>
                <w:lang w:val="sk-SK"/>
              </w:rPr>
            </w:pPr>
            <w:r w:rsidRPr="00F66081">
              <w:rPr>
                <w:lang w:val="sk-SK"/>
              </w:rPr>
              <w:t>exfoliatívne kožné ochorenia vrátane Stevensovho- Johnsonovho syndrómu</w:t>
            </w:r>
            <w:r w:rsidR="002F5D25" w:rsidRPr="00F66081">
              <w:rPr>
                <w:vertAlign w:val="superscript"/>
                <w:lang w:val="sk-SK"/>
              </w:rPr>
              <w:t>*,†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15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frekvencia neznáma</w:t>
            </w:r>
          </w:p>
        </w:tc>
      </w:tr>
      <w:tr w:rsidR="00532B78" w:rsidRPr="00F66081" w:rsidTr="002F5D25">
        <w:trPr>
          <w:trHeight w:val="242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spacing w:before="5"/>
              <w:rPr>
                <w:lang w:val="sk-SK"/>
              </w:rPr>
            </w:pPr>
            <w:r w:rsidRPr="00F66081">
              <w:rPr>
                <w:lang w:val="sk-SK"/>
              </w:rPr>
              <w:t>bulózny pemfigoid</w:t>
            </w:r>
            <w:r w:rsidRPr="00F66081">
              <w:rPr>
                <w:vertAlign w:val="superscript"/>
                <w:lang w:val="sk-SK"/>
              </w:rPr>
              <w:t>*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5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frekvencia neznáma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532B78" w:rsidP="00F67A7A">
            <w:pPr>
              <w:pStyle w:val="TableParagraph"/>
              <w:rPr>
                <w:lang w:val="sk-SK"/>
              </w:rPr>
            </w:pPr>
          </w:p>
        </w:tc>
        <w:tc>
          <w:tcPr>
            <w:tcW w:w="2348" w:type="pct"/>
          </w:tcPr>
          <w:p w:rsidR="00532B78" w:rsidRPr="00F66081" w:rsidRDefault="00532B78" w:rsidP="00F67A7A">
            <w:pPr>
              <w:pStyle w:val="TableParagraph"/>
              <w:rPr>
                <w:lang w:val="sk-SK"/>
              </w:rPr>
            </w:pPr>
          </w:p>
        </w:tc>
      </w:tr>
      <w:tr w:rsidR="002F5D25" w:rsidRPr="00F66081" w:rsidTr="002F5D25">
        <w:trPr>
          <w:trHeight w:val="310"/>
        </w:trPr>
        <w:tc>
          <w:tcPr>
            <w:tcW w:w="5000" w:type="pct"/>
            <w:gridSpan w:val="2"/>
          </w:tcPr>
          <w:p w:rsidR="002F5D25" w:rsidRPr="00F66081" w:rsidRDefault="002F5D25" w:rsidP="00F67A7A">
            <w:pPr>
              <w:pStyle w:val="TableParagraph"/>
              <w:rPr>
                <w:lang w:val="sk-SK"/>
              </w:rPr>
            </w:pPr>
            <w:r w:rsidRPr="00F66081">
              <w:rPr>
                <w:b/>
                <w:lang w:val="sk-SK"/>
              </w:rPr>
              <w:t>Poruchy kostrovej a svalovej sústavy a spojivového tkaniva</w:t>
            </w:r>
          </w:p>
        </w:tc>
      </w:tr>
      <w:tr w:rsidR="00532B78" w:rsidRPr="00F66081" w:rsidTr="002F5D25">
        <w:trPr>
          <w:trHeight w:val="242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spacing w:before="5"/>
              <w:rPr>
                <w:lang w:val="sk-SK"/>
              </w:rPr>
            </w:pPr>
            <w:r w:rsidRPr="00F66081">
              <w:rPr>
                <w:lang w:val="sk-SK"/>
              </w:rPr>
              <w:t>artralgia</w:t>
            </w:r>
            <w:r w:rsidRPr="00F66081">
              <w:rPr>
                <w:vertAlign w:val="superscript"/>
                <w:lang w:val="sk-SK"/>
              </w:rPr>
              <w:t>*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5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frekvencia neznáma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spacing w:before="21"/>
              <w:rPr>
                <w:lang w:val="sk-SK"/>
              </w:rPr>
            </w:pPr>
            <w:r w:rsidRPr="00F66081">
              <w:rPr>
                <w:lang w:val="sk-SK"/>
              </w:rPr>
              <w:t>myalgia</w:t>
            </w:r>
            <w:r w:rsidRPr="00F66081">
              <w:rPr>
                <w:vertAlign w:val="superscript"/>
                <w:lang w:val="sk-SK"/>
              </w:rPr>
              <w:t>*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2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frekvencia neznáma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spacing w:before="21"/>
              <w:rPr>
                <w:lang w:val="sk-SK"/>
              </w:rPr>
            </w:pPr>
            <w:r w:rsidRPr="00F66081">
              <w:rPr>
                <w:lang w:val="sk-SK"/>
              </w:rPr>
              <w:t>bolesť chrbta</w:t>
            </w:r>
            <w:r w:rsidRPr="00F66081">
              <w:rPr>
                <w:vertAlign w:val="superscript"/>
                <w:lang w:val="sk-SK"/>
              </w:rPr>
              <w:t>*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2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frekvencia neznáma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spacing w:before="21"/>
              <w:rPr>
                <w:lang w:val="sk-SK"/>
              </w:rPr>
            </w:pPr>
            <w:r w:rsidRPr="00F66081">
              <w:rPr>
                <w:lang w:val="sk-SK"/>
              </w:rPr>
              <w:t>artropatia</w:t>
            </w:r>
            <w:r w:rsidRPr="00F66081">
              <w:rPr>
                <w:vertAlign w:val="superscript"/>
                <w:lang w:val="sk-SK"/>
              </w:rPr>
              <w:t>*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2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frekvencia neznáma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532B78" w:rsidP="00F67A7A">
            <w:pPr>
              <w:pStyle w:val="TableParagraph"/>
              <w:rPr>
                <w:lang w:val="sk-SK"/>
              </w:rPr>
            </w:pPr>
          </w:p>
        </w:tc>
        <w:tc>
          <w:tcPr>
            <w:tcW w:w="2348" w:type="pct"/>
          </w:tcPr>
          <w:p w:rsidR="00532B78" w:rsidRPr="00F66081" w:rsidRDefault="00532B78" w:rsidP="00F67A7A">
            <w:pPr>
              <w:pStyle w:val="TableParagraph"/>
              <w:rPr>
                <w:lang w:val="sk-SK"/>
              </w:rPr>
            </w:pPr>
          </w:p>
        </w:tc>
      </w:tr>
      <w:tr w:rsidR="002F5D25" w:rsidRPr="00F66081" w:rsidTr="002F5D25">
        <w:trPr>
          <w:trHeight w:val="258"/>
        </w:trPr>
        <w:tc>
          <w:tcPr>
            <w:tcW w:w="5000" w:type="pct"/>
            <w:gridSpan w:val="2"/>
          </w:tcPr>
          <w:p w:rsidR="002F5D25" w:rsidRPr="00F66081" w:rsidRDefault="002F5D25" w:rsidP="00F67A7A">
            <w:pPr>
              <w:pStyle w:val="TableParagraph"/>
              <w:rPr>
                <w:lang w:val="sk-SK"/>
              </w:rPr>
            </w:pPr>
            <w:r w:rsidRPr="00F66081">
              <w:rPr>
                <w:b/>
                <w:lang w:val="sk-SK"/>
              </w:rPr>
              <w:t>Poruchy obličiek a močových ciest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spacing w:before="21"/>
              <w:rPr>
                <w:lang w:val="sk-SK"/>
              </w:rPr>
            </w:pPr>
            <w:r w:rsidRPr="00F66081">
              <w:rPr>
                <w:lang w:val="sk-SK"/>
              </w:rPr>
              <w:t>porucha funkcie obličiek</w:t>
            </w:r>
            <w:r w:rsidRPr="00F66081">
              <w:rPr>
                <w:vertAlign w:val="superscript"/>
                <w:lang w:val="sk-SK"/>
              </w:rPr>
              <w:t>*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2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frekvencia neznáma</w:t>
            </w:r>
          </w:p>
        </w:tc>
      </w:tr>
      <w:tr w:rsidR="00532B78" w:rsidRPr="00F66081" w:rsidTr="002F5D25">
        <w:trPr>
          <w:trHeight w:val="258"/>
        </w:trPr>
        <w:tc>
          <w:tcPr>
            <w:tcW w:w="2652" w:type="pct"/>
          </w:tcPr>
          <w:p w:rsidR="00532B78" w:rsidRPr="00F66081" w:rsidRDefault="00BA441E" w:rsidP="00F67A7A">
            <w:pPr>
              <w:pStyle w:val="TableParagraph"/>
              <w:spacing w:before="21"/>
              <w:rPr>
                <w:lang w:val="sk-SK"/>
              </w:rPr>
            </w:pPr>
            <w:r w:rsidRPr="00F66081">
              <w:rPr>
                <w:lang w:val="sk-SK"/>
              </w:rPr>
              <w:t>akútne zlyhanie obličiek</w:t>
            </w:r>
            <w:r w:rsidRPr="00F66081">
              <w:rPr>
                <w:vertAlign w:val="superscript"/>
                <w:lang w:val="sk-SK"/>
              </w:rPr>
              <w:t>*</w:t>
            </w:r>
          </w:p>
        </w:tc>
        <w:tc>
          <w:tcPr>
            <w:tcW w:w="2348" w:type="pct"/>
          </w:tcPr>
          <w:p w:rsidR="00532B78" w:rsidRPr="00F66081" w:rsidRDefault="00BA441E" w:rsidP="00F67A7A">
            <w:pPr>
              <w:pStyle w:val="TableParagraph"/>
              <w:spacing w:before="2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frekvencia neznáma</w:t>
            </w:r>
          </w:p>
        </w:tc>
      </w:tr>
    </w:tbl>
    <w:p w:rsidR="00532B78" w:rsidRPr="00F66081" w:rsidRDefault="0047159C" w:rsidP="00F67A7A">
      <w:pPr>
        <w:ind w:left="142" w:hanging="142"/>
        <w:rPr>
          <w:lang w:val="sk-SK"/>
        </w:rPr>
      </w:pPr>
      <w:r w:rsidRPr="00F66081">
        <w:rPr>
          <w:vertAlign w:val="superscript"/>
          <w:lang w:val="sk-SK"/>
        </w:rPr>
        <w:t>*</w:t>
      </w:r>
      <w:r w:rsidRPr="00F66081">
        <w:rPr>
          <w:position w:val="8"/>
          <w:lang w:val="sk-SK"/>
        </w:rPr>
        <w:tab/>
      </w:r>
      <w:r w:rsidR="00BA441E" w:rsidRPr="00F66081">
        <w:rPr>
          <w:lang w:val="sk-SK"/>
        </w:rPr>
        <w:t>Nežiaduce reakcie boli identifikované počas dohľadu po uvedení lieku na trh.</w:t>
      </w:r>
    </w:p>
    <w:p w:rsidR="00532B78" w:rsidRPr="00F66081" w:rsidRDefault="0047159C" w:rsidP="00F67A7A">
      <w:pPr>
        <w:ind w:left="142" w:hanging="142"/>
        <w:rPr>
          <w:b/>
          <w:lang w:val="sk-SK"/>
        </w:rPr>
      </w:pPr>
      <w:r w:rsidRPr="00F66081">
        <w:rPr>
          <w:vertAlign w:val="superscript"/>
          <w:lang w:val="sk-SK"/>
        </w:rPr>
        <w:t>†</w:t>
      </w:r>
      <w:r w:rsidRPr="00F66081">
        <w:rPr>
          <w:position w:val="8"/>
          <w:lang w:val="sk-SK"/>
        </w:rPr>
        <w:tab/>
      </w:r>
      <w:r w:rsidR="00BA441E" w:rsidRPr="00F66081">
        <w:rPr>
          <w:b/>
          <w:lang w:val="sk-SK"/>
        </w:rPr>
        <w:t>Pozri časť 4.4.</w:t>
      </w:r>
    </w:p>
    <w:p w:rsidR="00532B78" w:rsidRPr="00F66081" w:rsidRDefault="0047159C" w:rsidP="00F67A7A">
      <w:pPr>
        <w:ind w:left="142" w:hanging="142"/>
        <w:rPr>
          <w:lang w:val="sk-SK"/>
        </w:rPr>
      </w:pPr>
      <w:r w:rsidRPr="00F66081">
        <w:rPr>
          <w:vertAlign w:val="superscript"/>
          <w:lang w:val="sk-SK"/>
        </w:rPr>
        <w:t>‡</w:t>
      </w:r>
      <w:r w:rsidRPr="00F66081">
        <w:rPr>
          <w:position w:val="8"/>
          <w:lang w:val="sk-SK"/>
        </w:rPr>
        <w:tab/>
      </w:r>
      <w:r w:rsidR="00BA441E" w:rsidRPr="00F66081">
        <w:rPr>
          <w:lang w:val="sk-SK"/>
        </w:rPr>
        <w:t xml:space="preserve">Pozri nižšie </w:t>
      </w:r>
      <w:r w:rsidR="00BA441E" w:rsidRPr="00F66081">
        <w:rPr>
          <w:i/>
          <w:lang w:val="sk-SK"/>
        </w:rPr>
        <w:t>štúdiu kardiovaskulárnej bezpečnosti TECOS</w:t>
      </w:r>
      <w:r w:rsidR="00BA441E" w:rsidRPr="00F66081">
        <w:rPr>
          <w:lang w:val="sk-SK"/>
        </w:rPr>
        <w:t>.</w:t>
      </w:r>
    </w:p>
    <w:p w:rsidR="00532B78" w:rsidRPr="00F66081" w:rsidRDefault="00532B78" w:rsidP="00F67A7A">
      <w:pPr>
        <w:pStyle w:val="Zkladntext"/>
        <w:spacing w:before="11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Popis vybraných nežiaducich reakcií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Okrem vyššie popísaných nežiaducich účinkov súvisiacich s</w:t>
      </w:r>
      <w:r w:rsidR="00232A70">
        <w:rPr>
          <w:lang w:val="sk-SK"/>
        </w:rPr>
        <w:t> </w:t>
      </w:r>
      <w:r w:rsidRPr="00F66081">
        <w:rPr>
          <w:lang w:val="sk-SK"/>
        </w:rPr>
        <w:t>liekom</w:t>
      </w:r>
      <w:r w:rsidR="0047159C" w:rsidRPr="00F66081">
        <w:rPr>
          <w:lang w:val="sk-SK"/>
        </w:rPr>
        <w:t>, nežiaduce účinky, hlásené bez </w:t>
      </w:r>
      <w:r w:rsidRPr="00F66081">
        <w:rPr>
          <w:lang w:val="sk-SK"/>
        </w:rPr>
        <w:t>ohľadu na kauzálnu súvislosť s</w:t>
      </w:r>
      <w:r w:rsidR="00232A70">
        <w:rPr>
          <w:lang w:val="sk-SK"/>
        </w:rPr>
        <w:t> </w:t>
      </w:r>
      <w:r w:rsidRPr="00F66081">
        <w:rPr>
          <w:lang w:val="sk-SK"/>
        </w:rPr>
        <w:t>liečbo</w:t>
      </w:r>
      <w:r w:rsidR="002F5D25" w:rsidRPr="00F66081">
        <w:rPr>
          <w:lang w:val="sk-SK"/>
        </w:rPr>
        <w:t>u a vyskytujúce sa najmenej v 5 % a častejšie u </w:t>
      </w:r>
      <w:r w:rsidRPr="00F66081">
        <w:rPr>
          <w:lang w:val="sk-SK"/>
        </w:rPr>
        <w:t>pacientov liečených sitagliptínom, zahŕňali infekciu horných dýchacích ciest a nazofaryngitídu. Ďalšie nežiaduc</w:t>
      </w:r>
      <w:r w:rsidR="00232A70">
        <w:rPr>
          <w:lang w:val="sk-SK"/>
        </w:rPr>
        <w:t>e účinky, hlásené bez ohľadu na </w:t>
      </w:r>
      <w:r w:rsidRPr="00F66081">
        <w:rPr>
          <w:lang w:val="sk-SK"/>
        </w:rPr>
        <w:t>kauzálnu súvislosť s</w:t>
      </w:r>
      <w:r w:rsidR="00232A70">
        <w:rPr>
          <w:lang w:val="sk-SK"/>
        </w:rPr>
        <w:t> </w:t>
      </w:r>
      <w:r w:rsidRPr="00F66081">
        <w:rPr>
          <w:lang w:val="sk-SK"/>
        </w:rPr>
        <w:t>liečbou, ktoré sa vyskytli častejšie</w:t>
      </w:r>
      <w:r w:rsidR="002F5D25" w:rsidRPr="00F66081">
        <w:rPr>
          <w:lang w:val="sk-SK"/>
        </w:rPr>
        <w:t xml:space="preserve"> </w:t>
      </w:r>
      <w:r w:rsidRPr="00F66081">
        <w:rPr>
          <w:lang w:val="sk-SK"/>
        </w:rPr>
        <w:t>u</w:t>
      </w:r>
      <w:r w:rsidR="002F5D25" w:rsidRPr="00F66081">
        <w:rPr>
          <w:lang w:val="sk-SK"/>
        </w:rPr>
        <w:t> </w:t>
      </w:r>
      <w:r w:rsidRPr="00F66081">
        <w:rPr>
          <w:lang w:val="sk-SK"/>
        </w:rPr>
        <w:t>pacientov liečených sitagliptínom (nedosahujúce ho</w:t>
      </w:r>
      <w:r w:rsidR="002F5D25" w:rsidRPr="00F66081">
        <w:rPr>
          <w:lang w:val="sk-SK"/>
        </w:rPr>
        <w:t>dnotu 5 %, ale vyskytujúce sa s </w:t>
      </w:r>
      <w:r w:rsidRPr="00F66081">
        <w:rPr>
          <w:lang w:val="sk-SK"/>
        </w:rPr>
        <w:t>incidenciou</w:t>
      </w:r>
      <w:r w:rsidR="002F5D25" w:rsidRPr="00F66081">
        <w:rPr>
          <w:lang w:val="sk-SK"/>
        </w:rPr>
        <w:t xml:space="preserve"> &gt; </w:t>
      </w:r>
      <w:r w:rsidRPr="00F66081">
        <w:rPr>
          <w:lang w:val="sk-SK"/>
        </w:rPr>
        <w:t>0,5</w:t>
      </w:r>
      <w:r w:rsidR="002F5D25" w:rsidRPr="00F66081">
        <w:rPr>
          <w:lang w:val="sk-SK"/>
        </w:rPr>
        <w:t> </w:t>
      </w:r>
      <w:r w:rsidRPr="00F66081">
        <w:rPr>
          <w:lang w:val="sk-SK"/>
        </w:rPr>
        <w:t>% vyššou v</w:t>
      </w:r>
      <w:r w:rsidR="00232A70">
        <w:rPr>
          <w:lang w:val="sk-SK"/>
        </w:rPr>
        <w:t> </w:t>
      </w:r>
      <w:r w:rsidRPr="00F66081">
        <w:rPr>
          <w:lang w:val="sk-SK"/>
        </w:rPr>
        <w:t>skupine</w:t>
      </w:r>
      <w:r w:rsidR="00232A70">
        <w:rPr>
          <w:lang w:val="sk-SK"/>
        </w:rPr>
        <w:t xml:space="preserve"> so </w:t>
      </w:r>
      <w:r w:rsidRPr="00F66081">
        <w:rPr>
          <w:lang w:val="sk-SK"/>
        </w:rPr>
        <w:t>sitagliptínom ako v kontrolnej skupine), zahŕňali osteoartrózu a bolesť v</w:t>
      </w:r>
      <w:r w:rsidR="00232A70">
        <w:rPr>
          <w:lang w:val="sk-SK"/>
        </w:rPr>
        <w:t> </w:t>
      </w:r>
      <w:r w:rsidRPr="00F66081">
        <w:rPr>
          <w:lang w:val="sk-SK"/>
        </w:rPr>
        <w:t>končatine.</w:t>
      </w:r>
    </w:p>
    <w:p w:rsidR="00532B78" w:rsidRPr="00F66081" w:rsidRDefault="00532B78" w:rsidP="00F67A7A">
      <w:pPr>
        <w:pStyle w:val="Zkladntext"/>
        <w:spacing w:before="9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Niektoré nežiaduce reakcie boli pozorované častejšie v štúdiách kombinovaného používania sitagliptínu s</w:t>
      </w:r>
      <w:r w:rsidR="00232A70">
        <w:rPr>
          <w:lang w:val="sk-SK"/>
        </w:rPr>
        <w:t> </w:t>
      </w:r>
      <w:r w:rsidRPr="00F66081">
        <w:rPr>
          <w:lang w:val="sk-SK"/>
        </w:rPr>
        <w:t>inými antidiabetickými liekmi, v</w:t>
      </w:r>
      <w:r w:rsidR="00232A70">
        <w:rPr>
          <w:lang w:val="sk-SK"/>
        </w:rPr>
        <w:t> </w:t>
      </w:r>
      <w:r w:rsidRPr="00F66081">
        <w:rPr>
          <w:lang w:val="sk-SK"/>
        </w:rPr>
        <w:t>porovnaní</w:t>
      </w:r>
      <w:r w:rsidR="00232A70">
        <w:rPr>
          <w:lang w:val="sk-SK"/>
        </w:rPr>
        <w:t xml:space="preserve"> </w:t>
      </w:r>
      <w:r w:rsidR="00232A70" w:rsidRPr="00286362">
        <w:rPr>
          <w:lang w:val="sk-SK"/>
        </w:rPr>
        <w:t>so </w:t>
      </w:r>
      <w:r w:rsidRPr="00232A70">
        <w:rPr>
          <w:lang w:val="sk-SK"/>
        </w:rPr>
        <w:t>štúdiami</w:t>
      </w:r>
      <w:r w:rsidRPr="00F66081">
        <w:rPr>
          <w:lang w:val="sk-SK"/>
        </w:rPr>
        <w:t xml:space="preserve"> sitagliptínu v</w:t>
      </w:r>
      <w:r w:rsidR="00232A70">
        <w:rPr>
          <w:lang w:val="sk-SK"/>
        </w:rPr>
        <w:t> </w:t>
      </w:r>
      <w:r w:rsidRPr="00F66081">
        <w:rPr>
          <w:lang w:val="sk-SK"/>
        </w:rPr>
        <w:t>monoterapii. Tieto reakcie zahŕňali hypoglykémiu (frekvencia veľmi časté v</w:t>
      </w:r>
      <w:r w:rsidR="00232A70">
        <w:rPr>
          <w:lang w:val="sk-SK"/>
        </w:rPr>
        <w:t> </w:t>
      </w:r>
      <w:r w:rsidRPr="00F66081">
        <w:rPr>
          <w:lang w:val="sk-SK"/>
        </w:rPr>
        <w:t>kombinácii so</w:t>
      </w:r>
      <w:r w:rsidR="00232A70">
        <w:rPr>
          <w:lang w:val="sk-SK"/>
        </w:rPr>
        <w:t> </w:t>
      </w:r>
      <w:r w:rsidR="008B1003" w:rsidRPr="00F66081">
        <w:rPr>
          <w:lang w:val="sk-SK"/>
        </w:rPr>
        <w:t>sulfonyl</w:t>
      </w:r>
      <w:r w:rsidR="008B1003">
        <w:rPr>
          <w:lang w:val="sk-SK"/>
        </w:rPr>
        <w:t>močovinou</w:t>
      </w:r>
      <w:r w:rsidR="008B1003" w:rsidRPr="00F66081">
        <w:rPr>
          <w:lang w:val="sk-SK"/>
        </w:rPr>
        <w:t xml:space="preserve"> </w:t>
      </w:r>
      <w:r w:rsidRPr="00F66081">
        <w:rPr>
          <w:lang w:val="sk-SK"/>
        </w:rPr>
        <w:t>a metformínom), chrípku (časté s</w:t>
      </w:r>
      <w:r w:rsidR="00232A70">
        <w:rPr>
          <w:lang w:val="sk-SK"/>
        </w:rPr>
        <w:t> </w:t>
      </w:r>
      <w:r w:rsidRPr="00F66081">
        <w:rPr>
          <w:lang w:val="sk-SK"/>
        </w:rPr>
        <w:t>inzulínom</w:t>
      </w:r>
      <w:r w:rsidR="00232A70">
        <w:rPr>
          <w:lang w:val="sk-SK"/>
        </w:rPr>
        <w:t xml:space="preserve"> (s </w:t>
      </w:r>
      <w:r w:rsidRPr="00F66081">
        <w:rPr>
          <w:lang w:val="sk-SK"/>
        </w:rPr>
        <w:t>metformínom</w:t>
      </w:r>
      <w:r w:rsidR="00232A70">
        <w:rPr>
          <w:lang w:val="sk-SK"/>
        </w:rPr>
        <w:t xml:space="preserve"> alebo bez </w:t>
      </w:r>
      <w:r w:rsidRPr="00F66081">
        <w:rPr>
          <w:lang w:val="sk-SK"/>
        </w:rPr>
        <w:t>neh</w:t>
      </w:r>
      <w:r w:rsidR="00232A70">
        <w:rPr>
          <w:lang w:val="sk-SK"/>
        </w:rPr>
        <w:t>o)), nauzeu a vracanie (časté s </w:t>
      </w:r>
      <w:r w:rsidRPr="00F66081">
        <w:rPr>
          <w:lang w:val="sk-SK"/>
        </w:rPr>
        <w:t>metformínom), plynatosť (časté s metformínom alebo pioglitazónom), zápchu (časté</w:t>
      </w:r>
      <w:r w:rsidR="002F5D25" w:rsidRPr="00F66081">
        <w:rPr>
          <w:lang w:val="sk-SK"/>
        </w:rPr>
        <w:t xml:space="preserve"> v </w:t>
      </w:r>
      <w:r w:rsidR="00232A70">
        <w:rPr>
          <w:lang w:val="sk-SK"/>
        </w:rPr>
        <w:t>kombinácii so </w:t>
      </w:r>
      <w:r w:rsidR="008B1003" w:rsidRPr="00F66081">
        <w:rPr>
          <w:lang w:val="sk-SK"/>
        </w:rPr>
        <w:t>sulfonyl</w:t>
      </w:r>
      <w:r w:rsidR="008B1003">
        <w:rPr>
          <w:lang w:val="sk-SK"/>
        </w:rPr>
        <w:t>močovinou</w:t>
      </w:r>
      <w:r w:rsidR="008B1003" w:rsidRPr="00F66081">
        <w:rPr>
          <w:lang w:val="sk-SK"/>
        </w:rPr>
        <w:t xml:space="preserve"> </w:t>
      </w:r>
      <w:r w:rsidRPr="00F66081">
        <w:rPr>
          <w:lang w:val="sk-SK"/>
        </w:rPr>
        <w:t>a metformínom), periférny edém (časté s</w:t>
      </w:r>
      <w:r w:rsidR="00232A70">
        <w:rPr>
          <w:lang w:val="sk-SK"/>
        </w:rPr>
        <w:t> </w:t>
      </w:r>
      <w:r w:rsidRPr="00F66081">
        <w:rPr>
          <w:lang w:val="sk-SK"/>
        </w:rPr>
        <w:t>pioglitazónom alebo</w:t>
      </w:r>
      <w:r w:rsidR="002F5D25" w:rsidRPr="00F66081">
        <w:rPr>
          <w:lang w:val="sk-SK"/>
        </w:rPr>
        <w:t xml:space="preserve"> </w:t>
      </w:r>
      <w:r w:rsidRPr="00F66081">
        <w:rPr>
          <w:lang w:val="sk-SK"/>
        </w:rPr>
        <w:t>v</w:t>
      </w:r>
      <w:r w:rsidR="002F5D25" w:rsidRPr="00F66081">
        <w:rPr>
          <w:lang w:val="sk-SK"/>
        </w:rPr>
        <w:t> </w:t>
      </w:r>
      <w:r w:rsidRPr="00F66081">
        <w:rPr>
          <w:lang w:val="sk-SK"/>
        </w:rPr>
        <w:t>kombinácii s</w:t>
      </w:r>
      <w:r w:rsidR="00232A70">
        <w:rPr>
          <w:lang w:val="sk-SK"/>
        </w:rPr>
        <w:t> </w:t>
      </w:r>
      <w:r w:rsidRPr="00F66081">
        <w:rPr>
          <w:lang w:val="sk-SK"/>
        </w:rPr>
        <w:t>pioglitazónom a metformínom), somn</w:t>
      </w:r>
      <w:r w:rsidR="002F5D25" w:rsidRPr="00F66081">
        <w:rPr>
          <w:lang w:val="sk-SK"/>
        </w:rPr>
        <w:t>olenciu a hnačku (menej časté s </w:t>
      </w:r>
      <w:r w:rsidRPr="00F66081">
        <w:rPr>
          <w:lang w:val="sk-SK"/>
        </w:rPr>
        <w:t>metformínom) a sucho v</w:t>
      </w:r>
      <w:r w:rsidR="00232A70">
        <w:rPr>
          <w:lang w:val="sk-SK"/>
        </w:rPr>
        <w:t> </w:t>
      </w:r>
      <w:r w:rsidRPr="00F66081">
        <w:rPr>
          <w:lang w:val="sk-SK"/>
        </w:rPr>
        <w:t>ústach (menej časté s</w:t>
      </w:r>
      <w:r w:rsidR="00232A70">
        <w:rPr>
          <w:lang w:val="sk-SK"/>
        </w:rPr>
        <w:t> </w:t>
      </w:r>
      <w:r w:rsidRPr="00F66081">
        <w:rPr>
          <w:lang w:val="sk-SK"/>
        </w:rPr>
        <w:t>inzulínom</w:t>
      </w:r>
      <w:r w:rsidR="00232A70">
        <w:rPr>
          <w:lang w:val="sk-SK"/>
        </w:rPr>
        <w:t xml:space="preserve"> (s </w:t>
      </w:r>
      <w:r w:rsidRPr="00F66081">
        <w:rPr>
          <w:lang w:val="sk-SK"/>
        </w:rPr>
        <w:t>metformínom al</w:t>
      </w:r>
      <w:r w:rsidR="00232A70">
        <w:rPr>
          <w:lang w:val="sk-SK"/>
        </w:rPr>
        <w:t>ebo bez </w:t>
      </w:r>
      <w:r w:rsidRPr="00F66081">
        <w:rPr>
          <w:lang w:val="sk-SK"/>
        </w:rPr>
        <w:t>neho)).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rPr>
          <w:i/>
          <w:lang w:val="sk-SK"/>
        </w:rPr>
      </w:pPr>
      <w:r w:rsidRPr="00F66081">
        <w:rPr>
          <w:i/>
          <w:lang w:val="sk-SK"/>
        </w:rPr>
        <w:t>Štúdia kardiovaskulárnej bezpečnosti TECOS</w:t>
      </w:r>
    </w:p>
    <w:p w:rsidR="00532B78" w:rsidRPr="00F66081" w:rsidRDefault="00BA441E" w:rsidP="00F67A7A">
      <w:pPr>
        <w:pStyle w:val="Zkladntext"/>
        <w:spacing w:before="7"/>
        <w:ind w:left="0"/>
        <w:rPr>
          <w:lang w:val="sk-SK"/>
        </w:rPr>
      </w:pPr>
      <w:r w:rsidRPr="00F66081">
        <w:rPr>
          <w:lang w:val="sk-SK"/>
        </w:rPr>
        <w:t>Skúšanie hodnotiace kardiovaskulárne výsledky pri sitagliptíne (</w:t>
      </w:r>
      <w:r w:rsidRPr="00F66081">
        <w:rPr>
          <w:i/>
          <w:lang w:val="sk-SK"/>
        </w:rPr>
        <w:t xml:space="preserve">The Trial Evaluating Cardiovascular Outcomes with Sitagliptin, </w:t>
      </w:r>
      <w:r w:rsidR="00733B41" w:rsidRPr="00F66081">
        <w:rPr>
          <w:lang w:val="sk-SK"/>
        </w:rPr>
        <w:t>TECOS) zahŕňalo 7 </w:t>
      </w:r>
      <w:r w:rsidRPr="00F66081">
        <w:rPr>
          <w:lang w:val="sk-SK"/>
        </w:rPr>
        <w:t>332 pacient</w:t>
      </w:r>
      <w:r w:rsidR="00232A70">
        <w:rPr>
          <w:lang w:val="sk-SK"/>
        </w:rPr>
        <w:t>ov liečených sitagliptínom, 100 </w:t>
      </w:r>
      <w:r w:rsidRPr="00F66081">
        <w:rPr>
          <w:lang w:val="sk-SK"/>
        </w:rPr>
        <w:t>mg denne</w:t>
      </w:r>
      <w:r w:rsidR="00232A70">
        <w:rPr>
          <w:lang w:val="sk-SK"/>
        </w:rPr>
        <w:t xml:space="preserve"> (alebo 50 </w:t>
      </w:r>
      <w:r w:rsidRPr="00F66081">
        <w:rPr>
          <w:lang w:val="sk-SK"/>
        </w:rPr>
        <w:t>mg de</w:t>
      </w:r>
      <w:r w:rsidR="00232A70">
        <w:rPr>
          <w:lang w:val="sk-SK"/>
        </w:rPr>
        <w:t>nne ak východisková eGFR bola ≥ 30 a &lt; 50 ml/min/1,73 </w:t>
      </w:r>
      <w:r w:rsidRPr="00F66081">
        <w:rPr>
          <w:lang w:val="sk-SK"/>
        </w:rPr>
        <w:t>m</w:t>
      </w:r>
      <w:r w:rsidRPr="00F66081">
        <w:rPr>
          <w:vertAlign w:val="superscript"/>
          <w:lang w:val="sk-SK"/>
        </w:rPr>
        <w:t>2</w:t>
      </w:r>
      <w:r w:rsidR="00733B41" w:rsidRPr="00F66081">
        <w:rPr>
          <w:lang w:val="sk-SK"/>
        </w:rPr>
        <w:t>) a 7 </w:t>
      </w:r>
      <w:r w:rsidRPr="00F66081">
        <w:rPr>
          <w:lang w:val="sk-SK"/>
        </w:rPr>
        <w:t>339 pacientov, ktorí užívali placebo v populácii podľa liečebného zámeru (intention-to-treat). Obidve liečby sa pridali</w:t>
      </w:r>
      <w:r w:rsidR="00733B41" w:rsidRPr="00F66081">
        <w:rPr>
          <w:lang w:val="sk-SK"/>
        </w:rPr>
        <w:t xml:space="preserve"> </w:t>
      </w:r>
      <w:r w:rsidRPr="00F66081">
        <w:rPr>
          <w:lang w:val="sk-SK"/>
        </w:rPr>
        <w:t>k</w:t>
      </w:r>
      <w:r w:rsidR="00733B41" w:rsidRPr="00F66081">
        <w:rPr>
          <w:lang w:val="sk-SK"/>
        </w:rPr>
        <w:t> </w:t>
      </w:r>
      <w:r w:rsidRPr="00F66081">
        <w:rPr>
          <w:lang w:val="sk-SK"/>
        </w:rPr>
        <w:t>bežnej starostlivosti zameranej na regionálne štandardy pre HbA</w:t>
      </w:r>
      <w:r w:rsidRPr="00F66081">
        <w:rPr>
          <w:vertAlign w:val="subscript"/>
          <w:lang w:val="sk-SK"/>
        </w:rPr>
        <w:t>1c</w:t>
      </w:r>
      <w:r w:rsidRPr="00F66081">
        <w:rPr>
          <w:lang w:val="sk-SK"/>
        </w:rPr>
        <w:t xml:space="preserve"> a KV rizikové faktory. Celkový výskyt závažných nežiaducich udalostí u</w:t>
      </w:r>
      <w:r w:rsidR="00232A70">
        <w:rPr>
          <w:lang w:val="sk-SK"/>
        </w:rPr>
        <w:t> </w:t>
      </w:r>
      <w:r w:rsidRPr="00F66081">
        <w:rPr>
          <w:lang w:val="sk-SK"/>
        </w:rPr>
        <w:t>pacientov užívajúcich sitagliptín bol podobný ako</w:t>
      </w:r>
      <w:r w:rsidR="00733B41" w:rsidRPr="00F66081">
        <w:rPr>
          <w:lang w:val="sk-SK"/>
        </w:rPr>
        <w:t xml:space="preserve"> </w:t>
      </w:r>
      <w:r w:rsidRPr="00F66081">
        <w:rPr>
          <w:lang w:val="sk-SK"/>
        </w:rPr>
        <w:t>u</w:t>
      </w:r>
      <w:r w:rsidR="00733B41" w:rsidRPr="00F66081">
        <w:rPr>
          <w:lang w:val="sk-SK"/>
        </w:rPr>
        <w:t> </w:t>
      </w:r>
      <w:r w:rsidRPr="00F66081">
        <w:rPr>
          <w:lang w:val="sk-SK"/>
        </w:rPr>
        <w:t>pacientov užívajúcich placebo.</w:t>
      </w:r>
    </w:p>
    <w:p w:rsidR="00532B78" w:rsidRPr="00F66081" w:rsidRDefault="00532B78" w:rsidP="00F67A7A">
      <w:pPr>
        <w:pStyle w:val="Zkladntext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tabs>
          <w:tab w:val="left" w:pos="9072"/>
        </w:tabs>
        <w:spacing w:before="1"/>
        <w:ind w:left="0"/>
        <w:rPr>
          <w:lang w:val="sk-SK"/>
        </w:rPr>
      </w:pPr>
      <w:r w:rsidRPr="00F66081">
        <w:rPr>
          <w:lang w:val="sk-SK"/>
        </w:rPr>
        <w:t xml:space="preserve">V populácii podľa liečebného zámeru (intention-to-treat) bol medzi pacientmi, ktorí na začiatku používali inzulín a/alebo </w:t>
      </w:r>
      <w:r w:rsidR="008B1003" w:rsidRPr="00F66081">
        <w:rPr>
          <w:lang w:val="sk-SK"/>
        </w:rPr>
        <w:t>sulfonyl</w:t>
      </w:r>
      <w:r w:rsidR="008B1003">
        <w:rPr>
          <w:lang w:val="sk-SK"/>
        </w:rPr>
        <w:t>močovinu</w:t>
      </w:r>
      <w:r w:rsidRPr="00F66081">
        <w:rPr>
          <w:lang w:val="sk-SK"/>
        </w:rPr>
        <w:t>, výskyt ťažkej hypoglykémie u pacien</w:t>
      </w:r>
      <w:r w:rsidR="00733B41" w:rsidRPr="00F66081">
        <w:rPr>
          <w:lang w:val="sk-SK"/>
        </w:rPr>
        <w:t>tov užívajúcich sitagliptín 2,7 </w:t>
      </w:r>
      <w:r w:rsidRPr="00F66081">
        <w:rPr>
          <w:lang w:val="sk-SK"/>
        </w:rPr>
        <w:t>% a u pacientov užívajúcich placebo 2,5</w:t>
      </w:r>
      <w:r w:rsidR="00733B41" w:rsidRPr="00F66081">
        <w:rPr>
          <w:lang w:val="sk-SK"/>
        </w:rPr>
        <w:t> </w:t>
      </w:r>
      <w:r w:rsidRPr="00F66081">
        <w:rPr>
          <w:lang w:val="sk-SK"/>
        </w:rPr>
        <w:t xml:space="preserve">%; medzi pacientmi, ktorí na začiatku nepoužívali inzulín a/alebo </w:t>
      </w:r>
      <w:r w:rsidR="008B1003" w:rsidRPr="00F66081">
        <w:rPr>
          <w:lang w:val="sk-SK"/>
        </w:rPr>
        <w:t>sulfonyl</w:t>
      </w:r>
      <w:r w:rsidR="008B1003">
        <w:rPr>
          <w:lang w:val="sk-SK"/>
        </w:rPr>
        <w:t>močovinu</w:t>
      </w:r>
      <w:r w:rsidR="008B1003" w:rsidRPr="00F66081">
        <w:rPr>
          <w:lang w:val="sk-SK"/>
        </w:rPr>
        <w:t xml:space="preserve"> </w:t>
      </w:r>
      <w:r w:rsidRPr="00F66081">
        <w:rPr>
          <w:lang w:val="sk-SK"/>
        </w:rPr>
        <w:t>bol výskyt ťažkej hypoglykémie u pacien</w:t>
      </w:r>
      <w:r w:rsidR="00733B41" w:rsidRPr="00F66081">
        <w:rPr>
          <w:lang w:val="sk-SK"/>
        </w:rPr>
        <w:t>tov užívajúcich sitagliptín 1,0 </w:t>
      </w:r>
      <w:r w:rsidRPr="00F66081">
        <w:rPr>
          <w:lang w:val="sk-SK"/>
        </w:rPr>
        <w:t>%</w:t>
      </w:r>
      <w:r w:rsidR="00733B41" w:rsidRPr="00F66081">
        <w:rPr>
          <w:lang w:val="sk-SK"/>
        </w:rPr>
        <w:t xml:space="preserve"> </w:t>
      </w:r>
      <w:r w:rsidRPr="00F66081">
        <w:rPr>
          <w:lang w:val="sk-SK"/>
        </w:rPr>
        <w:t>a</w:t>
      </w:r>
      <w:r w:rsidR="00733B41" w:rsidRPr="00F66081">
        <w:rPr>
          <w:lang w:val="sk-SK"/>
        </w:rPr>
        <w:t> </w:t>
      </w:r>
      <w:r w:rsidRPr="00F66081">
        <w:rPr>
          <w:lang w:val="sk-SK"/>
        </w:rPr>
        <w:t>u</w:t>
      </w:r>
      <w:r w:rsidR="00733B41" w:rsidRPr="00F66081">
        <w:rPr>
          <w:lang w:val="sk-SK"/>
        </w:rPr>
        <w:t> </w:t>
      </w:r>
      <w:r w:rsidRPr="00F66081">
        <w:rPr>
          <w:lang w:val="sk-SK"/>
        </w:rPr>
        <w:t>pa</w:t>
      </w:r>
      <w:r w:rsidR="00733B41" w:rsidRPr="00F66081">
        <w:rPr>
          <w:lang w:val="sk-SK"/>
        </w:rPr>
        <w:t>cientov užívajúcich placebo 0,7 </w:t>
      </w:r>
      <w:r w:rsidRPr="00F66081">
        <w:rPr>
          <w:lang w:val="sk-SK"/>
        </w:rPr>
        <w:t>%. Výskyt potvrdených udalostí pankreatitídy bol u</w:t>
      </w:r>
      <w:r w:rsidR="00F449A8">
        <w:rPr>
          <w:lang w:val="sk-SK"/>
        </w:rPr>
        <w:t> </w:t>
      </w:r>
      <w:r w:rsidRPr="00F66081">
        <w:rPr>
          <w:lang w:val="sk-SK"/>
        </w:rPr>
        <w:t>pacientov užívajúcich sitagliptín 0,3</w:t>
      </w:r>
      <w:r w:rsidR="00733B41" w:rsidRPr="00F66081">
        <w:rPr>
          <w:lang w:val="sk-SK"/>
        </w:rPr>
        <w:t> </w:t>
      </w:r>
      <w:r w:rsidRPr="00F66081">
        <w:rPr>
          <w:lang w:val="sk-SK"/>
        </w:rPr>
        <w:t>% a u</w:t>
      </w:r>
      <w:r w:rsidR="00F449A8">
        <w:rPr>
          <w:lang w:val="sk-SK"/>
        </w:rPr>
        <w:t> </w:t>
      </w:r>
      <w:r w:rsidRPr="00F66081">
        <w:rPr>
          <w:lang w:val="sk-SK"/>
        </w:rPr>
        <w:t>pa</w:t>
      </w:r>
      <w:r w:rsidR="00733B41" w:rsidRPr="00F66081">
        <w:rPr>
          <w:lang w:val="sk-SK"/>
        </w:rPr>
        <w:t>cientov užívajúcich placebo 0,2 </w:t>
      </w:r>
      <w:r w:rsidRPr="00F66081">
        <w:rPr>
          <w:lang w:val="sk-SK"/>
        </w:rPr>
        <w:t>%.</w:t>
      </w:r>
    </w:p>
    <w:p w:rsidR="002F5D25" w:rsidRPr="00F66081" w:rsidRDefault="002F5D25" w:rsidP="00F67A7A">
      <w:pPr>
        <w:pStyle w:val="Zkladntext"/>
        <w:ind w:left="0"/>
        <w:rPr>
          <w:u w:val="single"/>
          <w:lang w:val="sk-SK"/>
        </w:rPr>
      </w:pPr>
    </w:p>
    <w:p w:rsidR="00532B78" w:rsidRPr="00F66081" w:rsidRDefault="00BA441E" w:rsidP="00F67A7A">
      <w:pPr>
        <w:pStyle w:val="Zkladntext"/>
        <w:spacing w:before="80"/>
        <w:ind w:left="0"/>
        <w:rPr>
          <w:lang w:val="sk-SK"/>
        </w:rPr>
      </w:pPr>
      <w:r w:rsidRPr="00F66081">
        <w:rPr>
          <w:u w:val="single"/>
          <w:lang w:val="sk-SK"/>
        </w:rPr>
        <w:t>Hlásenie podozrení na nežiaduce reakcie</w:t>
      </w:r>
    </w:p>
    <w:p w:rsidR="00532B78" w:rsidRPr="00F66081" w:rsidRDefault="00F449A8" w:rsidP="00F67A7A">
      <w:pPr>
        <w:pStyle w:val="Zkladntext"/>
        <w:shd w:val="clear" w:color="auto" w:fill="FFFFFF" w:themeFill="background1"/>
        <w:spacing w:before="6"/>
        <w:ind w:left="0"/>
        <w:rPr>
          <w:lang w:val="sk-SK"/>
        </w:rPr>
      </w:pPr>
      <w:r>
        <w:rPr>
          <w:lang w:val="sk-SK"/>
        </w:rPr>
        <w:t>Hlásenie podozrení na nežiaduce reakcie po </w:t>
      </w:r>
      <w:r w:rsidR="00BA441E" w:rsidRPr="00F66081">
        <w:rPr>
          <w:lang w:val="sk-SK"/>
        </w:rPr>
        <w:t>registrácii lieku je dôležité. Umožňuje priebežné monitorovanie po</w:t>
      </w:r>
      <w:r>
        <w:rPr>
          <w:lang w:val="sk-SK"/>
        </w:rPr>
        <w:t>meru prínosu a rizika lieku. Od </w:t>
      </w:r>
      <w:r w:rsidR="00BA441E" w:rsidRPr="00F66081">
        <w:rPr>
          <w:lang w:val="sk-SK"/>
        </w:rPr>
        <w:t xml:space="preserve">zdravotníckych pracovníkov sa vyžaduje, aby </w:t>
      </w:r>
      <w:r>
        <w:rPr>
          <w:lang w:val="sk-SK"/>
        </w:rPr>
        <w:t>hlásili akékoľvek podozrenia na </w:t>
      </w:r>
      <w:r w:rsidR="00BA441E" w:rsidRPr="00F66081">
        <w:rPr>
          <w:lang w:val="sk-SK"/>
        </w:rPr>
        <w:t xml:space="preserve">nežiaduce reakcie na </w:t>
      </w:r>
      <w:r w:rsidR="00BA441E" w:rsidRPr="00F66081">
        <w:rPr>
          <w:shd w:val="clear" w:color="auto" w:fill="BFBFBF"/>
          <w:lang w:val="sk-SK"/>
        </w:rPr>
        <w:t xml:space="preserve">národné centrum hlásenia uvedené v </w:t>
      </w:r>
      <w:hyperlink r:id="rId8">
        <w:r w:rsidR="00BA441E" w:rsidRPr="00F66081">
          <w:rPr>
            <w:color w:val="0000FF"/>
            <w:u w:val="single" w:color="0000FF"/>
            <w:shd w:val="clear" w:color="auto" w:fill="BFBFBF"/>
            <w:lang w:val="sk-SK"/>
          </w:rPr>
          <w:t>Prílohe V</w:t>
        </w:r>
        <w:r w:rsidR="00BA441E" w:rsidRPr="00F66081">
          <w:rPr>
            <w:shd w:val="clear" w:color="auto" w:fill="FFFFFF" w:themeFill="background1"/>
            <w:lang w:val="sk-SK"/>
          </w:rPr>
          <w:t>.</w:t>
        </w:r>
      </w:hyperlink>
    </w:p>
    <w:p w:rsidR="00532B78" w:rsidRPr="00F66081" w:rsidRDefault="00532B78" w:rsidP="00F67A7A">
      <w:pPr>
        <w:pStyle w:val="Zkladntext"/>
        <w:spacing w:before="4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1"/>
          <w:numId w:val="17"/>
        </w:numPr>
        <w:tabs>
          <w:tab w:val="left" w:pos="0"/>
        </w:tabs>
        <w:spacing w:before="91"/>
        <w:ind w:left="567"/>
        <w:rPr>
          <w:lang w:val="sk-SK"/>
        </w:rPr>
      </w:pPr>
      <w:r w:rsidRPr="00F66081">
        <w:rPr>
          <w:lang w:val="sk-SK"/>
        </w:rPr>
        <w:t>Predávkovanie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Počas kontrolovaných klinických skúšaní u</w:t>
      </w:r>
      <w:r w:rsidR="00C15F04">
        <w:rPr>
          <w:lang w:val="sk-SK"/>
        </w:rPr>
        <w:t> </w:t>
      </w:r>
      <w:r w:rsidRPr="00F66081">
        <w:rPr>
          <w:lang w:val="sk-SK"/>
        </w:rPr>
        <w:t>zdravých osôb sa podávali jednorazové dávky sitagliptí</w:t>
      </w:r>
      <w:r w:rsidR="00C15F04">
        <w:rPr>
          <w:lang w:val="sk-SK"/>
        </w:rPr>
        <w:t>nu až do 800 </w:t>
      </w:r>
      <w:r w:rsidRPr="00F66081">
        <w:rPr>
          <w:lang w:val="sk-SK"/>
        </w:rPr>
        <w:t>mg. V</w:t>
      </w:r>
      <w:r w:rsidR="00C15F04">
        <w:rPr>
          <w:lang w:val="sk-SK"/>
        </w:rPr>
        <w:t> </w:t>
      </w:r>
      <w:r w:rsidRPr="00F66081">
        <w:rPr>
          <w:lang w:val="sk-SK"/>
        </w:rPr>
        <w:t>jednej štúdii pri dávke 800</w:t>
      </w:r>
      <w:r w:rsidR="00C15F04">
        <w:rPr>
          <w:lang w:val="sk-SK"/>
        </w:rPr>
        <w:t> </w:t>
      </w:r>
      <w:r w:rsidRPr="00F66081">
        <w:rPr>
          <w:lang w:val="sk-SK"/>
        </w:rPr>
        <w:t>mg sitagliptínu sa pozorovalo minimálne predĺženie QTc, ktoré sa nepovažovalo za klinicky významné. V</w:t>
      </w:r>
      <w:r w:rsidR="00C15F04">
        <w:rPr>
          <w:lang w:val="sk-SK"/>
        </w:rPr>
        <w:t> </w:t>
      </w:r>
      <w:r w:rsidRPr="00F66081">
        <w:rPr>
          <w:lang w:val="sk-SK"/>
        </w:rPr>
        <w:t>klinických štúdiách nie sú žiadne skúsenosti</w:t>
      </w:r>
      <w:r w:rsidR="00733B41" w:rsidRPr="00F66081">
        <w:rPr>
          <w:lang w:val="sk-SK"/>
        </w:rPr>
        <w:t xml:space="preserve"> s </w:t>
      </w:r>
      <w:r w:rsidR="00C15F04">
        <w:rPr>
          <w:lang w:val="sk-SK"/>
        </w:rPr>
        <w:t>dávkami vyššími ako 800 </w:t>
      </w:r>
      <w:r w:rsidRPr="00F66081">
        <w:rPr>
          <w:lang w:val="sk-SK"/>
        </w:rPr>
        <w:t>mg. V štúdiách I. fázy s</w:t>
      </w:r>
      <w:r w:rsidR="00C15F04">
        <w:rPr>
          <w:lang w:val="sk-SK"/>
        </w:rPr>
        <w:t> </w:t>
      </w:r>
      <w:r w:rsidRPr="00F66081">
        <w:rPr>
          <w:lang w:val="sk-SK"/>
        </w:rPr>
        <w:t>viacerými dávkami sa pri sitagliptíne v</w:t>
      </w:r>
      <w:r w:rsidR="00C15F04">
        <w:rPr>
          <w:lang w:val="sk-SK"/>
        </w:rPr>
        <w:t> </w:t>
      </w:r>
      <w:r w:rsidRPr="00F66081">
        <w:rPr>
          <w:lang w:val="sk-SK"/>
        </w:rPr>
        <w:t>dávkach</w:t>
      </w:r>
      <w:r w:rsidR="00C15F04">
        <w:rPr>
          <w:lang w:val="sk-SK"/>
        </w:rPr>
        <w:t xml:space="preserve"> do 600 </w:t>
      </w:r>
      <w:r w:rsidRPr="00F66081">
        <w:rPr>
          <w:lang w:val="sk-SK"/>
        </w:rPr>
        <w:t>mg denne počas obdob</w:t>
      </w:r>
      <w:r w:rsidR="00C15F04">
        <w:rPr>
          <w:lang w:val="sk-SK"/>
        </w:rPr>
        <w:t>í trvajúcich do 10 dní, ani 400 </w:t>
      </w:r>
      <w:r w:rsidRPr="00F66081">
        <w:rPr>
          <w:lang w:val="sk-SK"/>
        </w:rPr>
        <w:t>mg denne počas období do 28 dní nepozorovali žiadne s</w:t>
      </w:r>
      <w:r w:rsidR="00C15F04">
        <w:rPr>
          <w:lang w:val="sk-SK"/>
        </w:rPr>
        <w:t> </w:t>
      </w:r>
      <w:r w:rsidRPr="00F66081">
        <w:rPr>
          <w:lang w:val="sk-SK"/>
        </w:rPr>
        <w:t>dávkou súvisiace klinické nežiaduce reakcie.</w:t>
      </w:r>
    </w:p>
    <w:p w:rsidR="00532B78" w:rsidRPr="00F66081" w:rsidRDefault="00532B78" w:rsidP="00F67A7A">
      <w:pPr>
        <w:pStyle w:val="Zkladntext"/>
        <w:spacing w:before="10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V</w:t>
      </w:r>
      <w:r w:rsidR="00C15F04">
        <w:rPr>
          <w:lang w:val="sk-SK"/>
        </w:rPr>
        <w:t> </w:t>
      </w:r>
      <w:r w:rsidRPr="00F66081">
        <w:rPr>
          <w:lang w:val="sk-SK"/>
        </w:rPr>
        <w:t>prípade predávkovania sa odporúča vykonať zvyčajné podporné opatrenia, napr. odstrániť neabsorbovaný liek z</w:t>
      </w:r>
      <w:r w:rsidR="00C15F04">
        <w:rPr>
          <w:lang w:val="sk-SK"/>
        </w:rPr>
        <w:t> </w:t>
      </w:r>
      <w:r w:rsidRPr="00F66081">
        <w:rPr>
          <w:lang w:val="sk-SK"/>
        </w:rPr>
        <w:t>gastrointestinálneho traktu, zaviesť klinické monitorovanie (vrátane EKG) a ak je to potrebné, nasadiť podpornú liečbu.</w:t>
      </w:r>
    </w:p>
    <w:p w:rsidR="00532B78" w:rsidRPr="00F66081" w:rsidRDefault="00532B78" w:rsidP="00F67A7A">
      <w:pPr>
        <w:pStyle w:val="Zkladntext"/>
        <w:spacing w:before="9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spacing w:before="1"/>
        <w:ind w:left="0"/>
        <w:rPr>
          <w:lang w:val="sk-SK"/>
        </w:rPr>
      </w:pPr>
      <w:r w:rsidRPr="00F66081">
        <w:rPr>
          <w:lang w:val="sk-SK"/>
        </w:rPr>
        <w:t>Sitagliptín je mierne dialyzovateľný. V klinický</w:t>
      </w:r>
      <w:r w:rsidR="00733B41" w:rsidRPr="00F66081">
        <w:rPr>
          <w:lang w:val="sk-SK"/>
        </w:rPr>
        <w:t>ch štúdiách bolo približne 13,5 </w:t>
      </w:r>
      <w:r w:rsidRPr="00F66081">
        <w:rPr>
          <w:lang w:val="sk-SK"/>
        </w:rPr>
        <w:t>% dávky odstránenej po 3- až 4-hodinovej hemodialýze. Ak je to klinicky vhodné, môže sa zvážiť predĺženie hemodialýzy. Nie je známe, či je sitagliptín dialyzovateľný peritoneálnou dialýzou.</w:t>
      </w:r>
    </w:p>
    <w:p w:rsidR="00532B78" w:rsidRPr="00F66081" w:rsidRDefault="00532B78" w:rsidP="00F67A7A">
      <w:pPr>
        <w:pStyle w:val="Zkladntext"/>
        <w:ind w:left="0"/>
        <w:rPr>
          <w:lang w:val="sk-SK"/>
        </w:rPr>
      </w:pPr>
    </w:p>
    <w:p w:rsidR="00532B78" w:rsidRPr="00F66081" w:rsidRDefault="00532B78" w:rsidP="00F67A7A">
      <w:pPr>
        <w:pStyle w:val="Zkladntext"/>
        <w:spacing w:before="9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0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FARMAKOLOGICKÉ</w:t>
      </w:r>
      <w:r w:rsidRPr="00F66081">
        <w:rPr>
          <w:spacing w:val="-2"/>
          <w:lang w:val="sk-SK"/>
        </w:rPr>
        <w:t xml:space="preserve"> </w:t>
      </w:r>
      <w:r w:rsidRPr="00F66081">
        <w:rPr>
          <w:lang w:val="sk-SK"/>
        </w:rPr>
        <w:t>VLASTNOSTI</w:t>
      </w:r>
    </w:p>
    <w:p w:rsidR="00532B78" w:rsidRPr="00F66081" w:rsidRDefault="00532B78" w:rsidP="00F67A7A">
      <w:pPr>
        <w:pStyle w:val="Zkladntext"/>
        <w:spacing w:before="1"/>
        <w:ind w:left="0"/>
        <w:rPr>
          <w:b/>
          <w:lang w:val="sk-SK"/>
        </w:rPr>
      </w:pPr>
    </w:p>
    <w:p w:rsidR="00532B78" w:rsidRPr="00F66081" w:rsidRDefault="00BA441E" w:rsidP="00F67A7A">
      <w:pPr>
        <w:pStyle w:val="Odsekzoznamu"/>
        <w:numPr>
          <w:ilvl w:val="1"/>
          <w:numId w:val="17"/>
        </w:numPr>
        <w:tabs>
          <w:tab w:val="left" w:pos="0"/>
        </w:tabs>
        <w:ind w:left="567"/>
        <w:rPr>
          <w:b/>
          <w:lang w:val="sk-SK"/>
        </w:rPr>
      </w:pPr>
      <w:r w:rsidRPr="00F66081">
        <w:rPr>
          <w:b/>
          <w:lang w:val="sk-SK"/>
        </w:rPr>
        <w:t>Farmakodynamické vlastnosti</w:t>
      </w:r>
    </w:p>
    <w:p w:rsidR="00532B78" w:rsidRPr="00F66081" w:rsidRDefault="00532B78" w:rsidP="00F67A7A">
      <w:pPr>
        <w:pStyle w:val="Zkladntext"/>
        <w:spacing w:before="7"/>
        <w:ind w:left="0"/>
        <w:rPr>
          <w:b/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 xml:space="preserve">Farmakoterapeutická skupina: Antidiabetiká, inhibítory dipeptidyl </w:t>
      </w:r>
      <w:r w:rsidR="004C5973" w:rsidRPr="00F66081">
        <w:rPr>
          <w:lang w:val="sk-SK"/>
        </w:rPr>
        <w:t>4 (DPP-4)</w:t>
      </w:r>
      <w:r w:rsidRPr="00F66081">
        <w:rPr>
          <w:lang w:val="sk-SK"/>
        </w:rPr>
        <w:t>peptidázy, ATC kód: A10BH01.</w:t>
      </w:r>
    </w:p>
    <w:p w:rsidR="00532B78" w:rsidRPr="00F66081" w:rsidRDefault="00532B78" w:rsidP="00F67A7A">
      <w:pPr>
        <w:pStyle w:val="Zkladntext"/>
        <w:spacing w:before="9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Mechanizmus účinku</w:t>
      </w:r>
    </w:p>
    <w:p w:rsidR="00532B78" w:rsidRPr="00F66081" w:rsidRDefault="008C05F2" w:rsidP="00F67A7A">
      <w:pPr>
        <w:pStyle w:val="Zkladntext"/>
        <w:spacing w:before="6"/>
        <w:ind w:left="0"/>
        <w:rPr>
          <w:lang w:val="sk-SK"/>
        </w:rPr>
      </w:pPr>
      <w:r w:rsidRPr="008C05F2">
        <w:rPr>
          <w:lang w:val="sk-SK"/>
        </w:rPr>
        <w:t xml:space="preserve">Zinzibet </w:t>
      </w:r>
      <w:r w:rsidR="00BA441E" w:rsidRPr="00F66081">
        <w:rPr>
          <w:lang w:val="sk-SK"/>
        </w:rPr>
        <w:t>je člen skupiny perorálnych antihyperglykemických látok nazývaných inhibítory dipeptidyl peptidázy 4 (DPP-4). Zlepšenie glykemickej kontroly pozorované pri tomto lieku môže byť sprostredkované zvýšením hladín aktívnych inkretínových hormónov. Inkretínové hormóny vrátane glukagónu podobného peptidu-1 (GLP-1) a glukózo-dependentného inzulínotropného polypeptidu (GIP) sa uvoľňujú črevom počas dňa a hladiny sa zvyšujú v odpovedi na jedlo. Inkretíny sú súčasťou endogénneho systému zapojeného do fyziologickej regulácie homeostázy glukózy. Keď sú koncentrácie glukózy v krvi normálne alebo zvýšené, GLP-1 a GIP zvyšujú syntézu a uvoľňovanie inzulínu z pankreatických beta buniek intracelulárnymi signálnymi dráhami zahŕňajúcimi cyklický AMP. Liečba s GLP-1 alebo s inhibítormi DPP-4 na zvieracích modeloch diabetu 2. typu preukázala zlepšenie odpovede beta buniek na glukózu a stimuláciu biosyntézy a uv</w:t>
      </w:r>
      <w:r w:rsidR="004C5973" w:rsidRPr="00F66081">
        <w:rPr>
          <w:lang w:val="sk-SK"/>
        </w:rPr>
        <w:t>oľňovania inzulínu. Pri </w:t>
      </w:r>
      <w:r w:rsidR="00BA441E" w:rsidRPr="00F66081">
        <w:rPr>
          <w:lang w:val="sk-SK"/>
        </w:rPr>
        <w:t>vyšších hladinách inzulínu sa zvyšuje vychytávanie glukózy tkanivami. GLP-1 navyše znižuje sekréciu glukagónu z pankreatických alfa buniek. Znížené koncentrácie glukagónu spolu s vyššími hladinami inzulínu vedú k zníženiu tvorby hepatálnej glukózy, čo vedie k zníženiu hladín glukózy</w:t>
      </w:r>
      <w:r w:rsidR="004C5973" w:rsidRPr="00F66081">
        <w:rPr>
          <w:lang w:val="sk-SK"/>
        </w:rPr>
        <w:t xml:space="preserve"> </w:t>
      </w:r>
      <w:r w:rsidR="00BA441E" w:rsidRPr="00F66081">
        <w:rPr>
          <w:lang w:val="sk-SK"/>
        </w:rPr>
        <w:t>v</w:t>
      </w:r>
      <w:r w:rsidR="004C5973" w:rsidRPr="00F66081">
        <w:rPr>
          <w:lang w:val="sk-SK"/>
        </w:rPr>
        <w:t> </w:t>
      </w:r>
      <w:r w:rsidR="00BA441E" w:rsidRPr="00F66081">
        <w:rPr>
          <w:lang w:val="sk-SK"/>
        </w:rPr>
        <w:t>krvi. Účinky GLP-1 a GIP sú závislé od glukózy, teda keď je koncentrácia glukózy v krvi nízka, stimulácia uvoľňovania inzulínu a potláčanie sekrécie glukagónu prostredníctvom GLP-1 sa nepozoruje. Pri GLP-1 aj GIP je stimulácia sekrécie inzulínu zvýšená, keď glukóza stúpne nad normálne koncentrácie. Ďalej, GLP-1 neoslabuje normálnu glukagónovú odpoveď na hypoglykémiu. Aktivita GLP-1 a GIP je obmedzená enzýmom DPP-4, ktorý rýchlo hydrolyzuje inkretínové hormóny na inaktívne látky. Sitagliptín zabraňuje hydrolýze inkretínových hormónov enzýmom DPP-4, dôsledkom čoho zvyšuje plazmatické koncentrácie aktívnych foriem GLP-1 a GIP. Zvyšovaním hladiny aktívnych inkretínov sitagliptín zvyšuje uvoľňovanie inzulínu a znižuje hladiny glukagónu</w:t>
      </w:r>
      <w:r w:rsidR="004C5973" w:rsidRPr="00F66081">
        <w:rPr>
          <w:lang w:val="sk-SK"/>
        </w:rPr>
        <w:t xml:space="preserve"> v </w:t>
      </w:r>
      <w:r w:rsidR="00BA441E" w:rsidRPr="00F66081">
        <w:rPr>
          <w:lang w:val="sk-SK"/>
        </w:rPr>
        <w:t xml:space="preserve">závislosti od glukózy. U pacientov s diabetom 2. typu s hyperglykémiou viedli tieto zmeny </w:t>
      </w:r>
      <w:r w:rsidR="004C5973" w:rsidRPr="00F66081">
        <w:rPr>
          <w:lang w:val="sk-SK"/>
        </w:rPr>
        <w:t>v </w:t>
      </w:r>
      <w:r w:rsidR="00BA441E" w:rsidRPr="00F66081">
        <w:rPr>
          <w:lang w:val="sk-SK"/>
        </w:rPr>
        <w:t>hladinách inzulínu a glukagónu k zníženiu hemoglobínu A</w:t>
      </w:r>
      <w:r w:rsidR="00BA441E" w:rsidRPr="00F66081">
        <w:rPr>
          <w:vertAlign w:val="subscript"/>
          <w:lang w:val="sk-SK"/>
        </w:rPr>
        <w:t>1c</w:t>
      </w:r>
      <w:r w:rsidR="00BA441E" w:rsidRPr="00F66081">
        <w:rPr>
          <w:lang w:val="sk-SK"/>
        </w:rPr>
        <w:t xml:space="preserve"> (HbA</w:t>
      </w:r>
      <w:r w:rsidR="00BA441E" w:rsidRPr="00F66081">
        <w:rPr>
          <w:vertAlign w:val="subscript"/>
          <w:lang w:val="sk-SK"/>
        </w:rPr>
        <w:t>1c</w:t>
      </w:r>
      <w:r w:rsidR="00BA441E" w:rsidRPr="00F66081">
        <w:rPr>
          <w:lang w:val="sk-SK"/>
        </w:rPr>
        <w:t>) a zníženiu</w:t>
      </w:r>
      <w:r w:rsidR="00BA441E" w:rsidRPr="00F66081">
        <w:rPr>
          <w:spacing w:val="-8"/>
          <w:lang w:val="sk-SK"/>
        </w:rPr>
        <w:t xml:space="preserve"> </w:t>
      </w:r>
      <w:r w:rsidR="00BA441E" w:rsidRPr="00F66081">
        <w:rPr>
          <w:lang w:val="sk-SK"/>
        </w:rPr>
        <w:t>koncentrácií</w:t>
      </w:r>
      <w:r w:rsidR="004C5973" w:rsidRPr="00F66081">
        <w:rPr>
          <w:lang w:val="sk-SK"/>
        </w:rPr>
        <w:t xml:space="preserve"> </w:t>
      </w:r>
      <w:r w:rsidR="00BA441E" w:rsidRPr="00F66081">
        <w:rPr>
          <w:lang w:val="sk-SK"/>
        </w:rPr>
        <w:t xml:space="preserve">glukózy nalačno a po jedle. Od glukózy závislý mechanizmus sitagliptínu sa líši od mechanizmu </w:t>
      </w:r>
      <w:r w:rsidR="008B1003" w:rsidRPr="00F66081">
        <w:rPr>
          <w:lang w:val="sk-SK"/>
        </w:rPr>
        <w:t>sulfonyl</w:t>
      </w:r>
      <w:r w:rsidR="008B1003">
        <w:rPr>
          <w:lang w:val="sk-SK"/>
        </w:rPr>
        <w:t>močovín</w:t>
      </w:r>
      <w:r w:rsidR="00BA441E" w:rsidRPr="00F66081">
        <w:rPr>
          <w:lang w:val="sk-SK"/>
        </w:rPr>
        <w:t>, ktoré zvyšujú sekréciu inzulínu, aj keď sú hladiny glukózy nízke, a môžu u</w:t>
      </w:r>
      <w:r w:rsidR="004C5973" w:rsidRPr="00F66081">
        <w:rPr>
          <w:lang w:val="sk-SK"/>
        </w:rPr>
        <w:t> </w:t>
      </w:r>
      <w:r w:rsidR="00BA441E" w:rsidRPr="00F66081">
        <w:rPr>
          <w:lang w:val="sk-SK"/>
        </w:rPr>
        <w:t>pacientov</w:t>
      </w:r>
      <w:r w:rsidR="004C5973" w:rsidRPr="00F66081">
        <w:rPr>
          <w:lang w:val="sk-SK"/>
        </w:rPr>
        <w:t xml:space="preserve"> s </w:t>
      </w:r>
      <w:r w:rsidR="00BA441E" w:rsidRPr="00F66081">
        <w:rPr>
          <w:lang w:val="sk-SK"/>
        </w:rPr>
        <w:t>diabetes mellitus 2. typu a u zdravých jedincov viesť k hypoglykémii. Sitagliptín je silný a vysoko selektívny inhibítor enzýmu DPP-4 a pri terapeutických koncentráciách neinhibuje blízko príbuzné enzýmy DPP-8 alebo DPP-9.</w:t>
      </w:r>
    </w:p>
    <w:p w:rsidR="00532B78" w:rsidRPr="00F66081" w:rsidRDefault="00532B78" w:rsidP="00F67A7A">
      <w:pPr>
        <w:pStyle w:val="Zkladntext"/>
        <w:spacing w:before="9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tabs>
          <w:tab w:val="left" w:pos="9072"/>
        </w:tabs>
        <w:spacing w:before="1"/>
        <w:ind w:left="0"/>
        <w:rPr>
          <w:lang w:val="sk-SK"/>
        </w:rPr>
      </w:pPr>
      <w:r w:rsidRPr="00F66081">
        <w:rPr>
          <w:lang w:val="sk-SK"/>
        </w:rPr>
        <w:t>V</w:t>
      </w:r>
      <w:r w:rsidR="002F6542">
        <w:rPr>
          <w:lang w:val="sk-SK"/>
        </w:rPr>
        <w:t> </w:t>
      </w:r>
      <w:r w:rsidRPr="00F66081">
        <w:rPr>
          <w:lang w:val="sk-SK"/>
        </w:rPr>
        <w:t>dvojdňovej štúdii u zdravých jedincov zvýšil samotný sitagliptín koncentrácie aktívneho GLP-1, kým samotný metformín zvýšil koncentrácie aktívneho a celkového GLP-1 v</w:t>
      </w:r>
      <w:r w:rsidR="002F6542">
        <w:rPr>
          <w:lang w:val="sk-SK"/>
        </w:rPr>
        <w:t> </w:t>
      </w:r>
      <w:r w:rsidRPr="00F66081">
        <w:rPr>
          <w:lang w:val="sk-SK"/>
        </w:rPr>
        <w:t>podobnom rozsahu. Súbežné podanie sitagliptínu a metformínu malo aditívny účinok na koncentrácie aktívneho GLP-1. Sitagliptín, ale nie metformín, zvýšil koncentrácie aktívneho GIP.</w:t>
      </w:r>
    </w:p>
    <w:p w:rsidR="00532B78" w:rsidRPr="00F66081" w:rsidRDefault="00532B78" w:rsidP="00F67A7A">
      <w:pPr>
        <w:pStyle w:val="Zkladntext"/>
        <w:spacing w:before="10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Klinická účinnosť a bezpečnosť</w:t>
      </w:r>
    </w:p>
    <w:p w:rsidR="00532B78" w:rsidRPr="00F66081" w:rsidRDefault="00BA441E" w:rsidP="00F67A7A">
      <w:pPr>
        <w:pStyle w:val="Zkladntext"/>
        <w:spacing w:before="7"/>
        <w:ind w:left="0"/>
        <w:rPr>
          <w:lang w:val="sk-SK"/>
        </w:rPr>
      </w:pPr>
      <w:r w:rsidRPr="00F66081">
        <w:rPr>
          <w:lang w:val="sk-SK"/>
        </w:rPr>
        <w:t>Sitagliptín celkovo zlepšil kontrolu glykémie, keď sa podával ako monoterapia alebo v</w:t>
      </w:r>
      <w:r w:rsidR="002F6542">
        <w:rPr>
          <w:lang w:val="sk-SK"/>
        </w:rPr>
        <w:t> </w:t>
      </w:r>
      <w:r w:rsidRPr="00F66081">
        <w:rPr>
          <w:lang w:val="sk-SK"/>
        </w:rPr>
        <w:t>kombinovanej liečbe (pozri tabuľku 2).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Uskutočnili sa dve štúdie na zhodnotenie účinnosti a bezpečnosti sitagliptínu v monoterapii. Liečba sitagliptínom v dávke 100 mg raz denne v monoterapii zaistila v dvoch štúdiách, jednej v trvaní 18</w:t>
      </w:r>
      <w:r w:rsidR="004C5973" w:rsidRPr="00F66081">
        <w:rPr>
          <w:lang w:val="sk-SK"/>
        </w:rPr>
        <w:t xml:space="preserve"> </w:t>
      </w:r>
      <w:r w:rsidRPr="00F66081">
        <w:rPr>
          <w:lang w:val="sk-SK"/>
        </w:rPr>
        <w:t>a druhej 24 týždňov, oproti placebu významné zlepšenia HbA</w:t>
      </w:r>
      <w:r w:rsidRPr="00F66081">
        <w:rPr>
          <w:vertAlign w:val="subscript"/>
          <w:lang w:val="sk-SK"/>
        </w:rPr>
        <w:t>1c</w:t>
      </w:r>
      <w:r w:rsidRPr="00F66081">
        <w:rPr>
          <w:lang w:val="sk-SK"/>
        </w:rPr>
        <w:t>, plazmatickej glukózy nalačno (FPG) a glukózy po jedle po 2 hodinách (2-hodinová PPG). Pozorovalo sa zlepšenie zástupných markerov funkcie beta buniek zahŕňajúcich HOMA-β (Homeostasis Model Ass</w:t>
      </w:r>
      <w:r w:rsidR="004C5973" w:rsidRPr="00F66081">
        <w:rPr>
          <w:lang w:val="sk-SK"/>
        </w:rPr>
        <w:t>essment-β), pomer proinzulínu k </w:t>
      </w:r>
      <w:r w:rsidRPr="00F66081">
        <w:rPr>
          <w:lang w:val="sk-SK"/>
        </w:rPr>
        <w:t>inzulínu a mieru odpovede beta buniek z tolerančného testu častých vzoriek jedla. Výskyt hypoglykémie pozorovaný u pacientov liečených sitagliptínom bol podobný ako u pacientov, ktorým bolo podávané placebo. Telesná hmotnosť sa oproti východiskovému stavu pri terapii sitagliptínom nezvýšila ani v jednej štúdii, v porovnaní s malým úbytkom hmotnosti u pacientov, ktorým bolo podávané placebo.</w:t>
      </w:r>
    </w:p>
    <w:p w:rsidR="00532B78" w:rsidRPr="00F66081" w:rsidRDefault="00532B78" w:rsidP="00F67A7A">
      <w:pPr>
        <w:pStyle w:val="Zkladntext"/>
        <w:spacing w:before="3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spacing w:before="1"/>
        <w:ind w:left="0"/>
        <w:rPr>
          <w:lang w:val="sk-SK"/>
        </w:rPr>
      </w:pPr>
      <w:r w:rsidRPr="00F66081">
        <w:rPr>
          <w:lang w:val="sk-SK"/>
        </w:rPr>
        <w:t>V dvoch 24-týždňových štúdiách sitagliptínu ako prídavnej liečby, v jednej v</w:t>
      </w:r>
      <w:r w:rsidR="004C5973" w:rsidRPr="00F66081">
        <w:rPr>
          <w:lang w:val="sk-SK"/>
        </w:rPr>
        <w:t> </w:t>
      </w:r>
      <w:r w:rsidRPr="00F66081">
        <w:rPr>
          <w:lang w:val="sk-SK"/>
        </w:rPr>
        <w:t>kombinácii</w:t>
      </w:r>
      <w:r w:rsidR="004C5973" w:rsidRPr="00F66081">
        <w:rPr>
          <w:lang w:val="sk-SK"/>
        </w:rPr>
        <w:t xml:space="preserve"> </w:t>
      </w:r>
      <w:r w:rsidRPr="00F66081">
        <w:rPr>
          <w:lang w:val="sk-SK"/>
        </w:rPr>
        <w:t>s</w:t>
      </w:r>
      <w:r w:rsidR="004C5973" w:rsidRPr="00F66081">
        <w:rPr>
          <w:lang w:val="sk-SK"/>
        </w:rPr>
        <w:t> </w:t>
      </w:r>
      <w:r w:rsidRPr="00F66081">
        <w:rPr>
          <w:lang w:val="sk-SK"/>
        </w:rPr>
        <w:t>metformínom a v druhej v kombinácii s pioglitazónom, zaistil sitagliptín 100 mg raz denne</w:t>
      </w:r>
      <w:r w:rsidR="004C5973" w:rsidRPr="00F66081">
        <w:rPr>
          <w:lang w:val="sk-SK"/>
        </w:rPr>
        <w:t xml:space="preserve"> v </w:t>
      </w:r>
      <w:r w:rsidRPr="00F66081">
        <w:rPr>
          <w:lang w:val="sk-SK"/>
        </w:rPr>
        <w:t>porovnaní s placebom signifikantné zlepšenia glykemických parametrov. Zmena telesnej hmotnosti oproti východiskovej hodnote bola u pacientov liečených sitagliptínom podobná placebu. V týchto štúdiách bola incidencia hypoglykémie hlásenej u pacientov liečených sitagliptínom alebo placebom podobná.</w:t>
      </w:r>
    </w:p>
    <w:p w:rsidR="00532B78" w:rsidRPr="00F66081" w:rsidRDefault="00532B78" w:rsidP="00F67A7A">
      <w:pPr>
        <w:pStyle w:val="Zkladntext"/>
        <w:spacing w:before="11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24-týždňová placebom kontrolovaná štúdia bola navrhnutá tak, aby vyhodnotila účinnosť a bezpečnosť sitagliptínu (100 mg raz denne) pridaného k samotnému glimepiridu alebo</w:t>
      </w:r>
      <w:r w:rsidR="00630642" w:rsidRPr="00F66081">
        <w:rPr>
          <w:lang w:val="sk-SK"/>
        </w:rPr>
        <w:t xml:space="preserve"> ku glimepiridu v </w:t>
      </w:r>
      <w:r w:rsidRPr="00F66081">
        <w:rPr>
          <w:lang w:val="sk-SK"/>
        </w:rPr>
        <w:t>kombinácii s metformínom. Pridanie sitagliptínu k samotnému glimepiridu alebo ku glimepiridu a metformínu zabezpečilo signifikantné zlepšenia glykemických parametrov.</w:t>
      </w:r>
      <w:r w:rsidR="00630642" w:rsidRPr="00F66081">
        <w:rPr>
          <w:lang w:val="sk-SK"/>
        </w:rPr>
        <w:t xml:space="preserve"> </w:t>
      </w:r>
      <w:r w:rsidRPr="00F66081">
        <w:rPr>
          <w:lang w:val="sk-SK"/>
        </w:rPr>
        <w:t>U pacientov liečených sitagliptínom došlo v porovnaní s pacientmi, ktorí dostávali placebo, k miernemu nárastu telesnej hmotnosti.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26-týždňová placebom kontrolovaná štúdia bola navrhnutá tak, aby vyhodnotila účinnosť</w:t>
      </w:r>
      <w:r w:rsidR="00630642" w:rsidRPr="00F66081">
        <w:rPr>
          <w:lang w:val="sk-SK"/>
        </w:rPr>
        <w:t xml:space="preserve"> </w:t>
      </w:r>
      <w:r w:rsidRPr="00F66081">
        <w:rPr>
          <w:lang w:val="sk-SK"/>
        </w:rPr>
        <w:t>a bezpečnosť sitagliptínu (100 mg raz denne) pridaného ku kombinácii pioglitazónu a metformínu. Pridanie sitagliptínu k pioglitazónu a metformínu zabezpečilo signifikantné zlepšenia glykemických parametrov. Zmena telesnej hmotnosti oproti východiskovej hodnote bola u pacientov liečených sitagliptínom podobná ako pri placebe. Aj výskyt hypoglykémie bol u pacientov liečených sitagliptínom podobný ako pri placebe.</w:t>
      </w: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24-týždňová placebom kontrolovaná štúdia bola navrhnutá tak, aby vyhodnotila účinnosť</w:t>
      </w:r>
      <w:r w:rsidR="00630642" w:rsidRPr="00F66081">
        <w:rPr>
          <w:lang w:val="sk-SK"/>
        </w:rPr>
        <w:t xml:space="preserve"> </w:t>
      </w:r>
      <w:r w:rsidRPr="00F66081">
        <w:rPr>
          <w:lang w:val="sk-SK"/>
        </w:rPr>
        <w:t>a bezpečnosť sitagliptínu (100 mg raz denne) pridaného k inzulínu (stabilná dávka počas minimálne 10 týžd</w:t>
      </w:r>
      <w:r w:rsidR="00A14129" w:rsidRPr="00F66081">
        <w:rPr>
          <w:lang w:val="sk-SK"/>
        </w:rPr>
        <w:t>ňov) s metformínom (minimálne 1 </w:t>
      </w:r>
      <w:r w:rsidRPr="00F66081">
        <w:rPr>
          <w:lang w:val="sk-SK"/>
        </w:rPr>
        <w:t>500 mg) alebo bez metformínu. U pacientov užívajúcich premixovaný inzulín bola priemerná denná dávka 70,9 U/deň. U pacientov užívajúcich nepremixovaný (intermediárny/dlhodobý) inzulín bola priemerná denná dávka 44,3</w:t>
      </w:r>
      <w:r w:rsidR="00630642" w:rsidRPr="00F66081">
        <w:rPr>
          <w:lang w:val="sk-SK"/>
        </w:rPr>
        <w:t xml:space="preserve"> U/deň. Pridanie sitagliptínu k </w:t>
      </w:r>
      <w:r w:rsidRPr="00F66081">
        <w:rPr>
          <w:lang w:val="sk-SK"/>
        </w:rPr>
        <w:t>inzulínu zaistilo významné zlepšenia glykemických parametrov</w:t>
      </w:r>
      <w:r w:rsidR="00630642" w:rsidRPr="00F66081">
        <w:rPr>
          <w:lang w:val="sk-SK"/>
        </w:rPr>
        <w:t>. V žiadnej zo skupín nedošlo k </w:t>
      </w:r>
      <w:r w:rsidRPr="00F66081">
        <w:rPr>
          <w:lang w:val="sk-SK"/>
        </w:rPr>
        <w:t>významnej zmene telesnej hmotnosti oproti východiskovým hodnotám.</w:t>
      </w:r>
    </w:p>
    <w:p w:rsidR="00532B78" w:rsidRPr="00F66081" w:rsidRDefault="00532B78" w:rsidP="00F67A7A">
      <w:pPr>
        <w:pStyle w:val="Zkladntext"/>
        <w:spacing w:before="2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V 24-týždňovej placebom kontrolovanej faktoriálovej štúdii počiatočnej liečby zaistil sitagliptín 50 mg dvakrát denne v kombinácii s metformínom (500 mg alebo 1 000 mg dvakrát denne)</w:t>
      </w:r>
      <w:r w:rsidR="00630642" w:rsidRPr="00F66081">
        <w:rPr>
          <w:lang w:val="sk-SK"/>
        </w:rPr>
        <w:t xml:space="preserve"> v porovnaní s </w:t>
      </w:r>
      <w:r w:rsidRPr="00F66081">
        <w:rPr>
          <w:lang w:val="sk-SK"/>
        </w:rPr>
        <w:t>monoterapiou každým z liečiv signifikantné zlepšenia glykemických parametrov. Pokles</w:t>
      </w:r>
      <w:r w:rsidR="00630642" w:rsidRPr="00F66081">
        <w:rPr>
          <w:lang w:val="sk-SK"/>
        </w:rPr>
        <w:t xml:space="preserve"> </w:t>
      </w:r>
      <w:r w:rsidRPr="00F66081">
        <w:rPr>
          <w:lang w:val="sk-SK"/>
        </w:rPr>
        <w:t>telesnej hmotnosti bol pri kombinácii sitagliptínu a metformínu podobný ako pokles pozorovaný pri samotnom metformíne alebo placebe; u pacientov liečených samotným sitagiptínom nedošlo oproti východiskovej hodnote k zmene. Incidencia hypoglykémie bola v liečebných skupinách podobná.</w:t>
      </w:r>
    </w:p>
    <w:p w:rsidR="00532B78" w:rsidRPr="00F66081" w:rsidRDefault="00532B78" w:rsidP="00F67A7A">
      <w:pPr>
        <w:pStyle w:val="Zkladntext"/>
        <w:spacing w:before="3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ind w:left="0"/>
        <w:rPr>
          <w:lang w:val="sk-SK"/>
        </w:rPr>
      </w:pPr>
      <w:r w:rsidRPr="00F66081">
        <w:rPr>
          <w:lang w:val="sk-SK"/>
        </w:rPr>
        <w:t>Tabuľka 2: Výsledky HbA</w:t>
      </w:r>
      <w:r w:rsidRPr="00F66081">
        <w:rPr>
          <w:vertAlign w:val="subscript"/>
          <w:lang w:val="sk-SK"/>
        </w:rPr>
        <w:t>1c</w:t>
      </w:r>
      <w:r w:rsidRPr="00F66081">
        <w:rPr>
          <w:lang w:val="sk-SK"/>
        </w:rPr>
        <w:t xml:space="preserve"> v placebom kontrolovaných štúdiách monoterapie a kombinovanej terapie</w:t>
      </w:r>
      <w:r w:rsidRPr="00F66081">
        <w:rPr>
          <w:vertAlign w:val="superscript"/>
          <w:lang w:val="sk-SK"/>
        </w:rPr>
        <w:t>*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1841"/>
        <w:gridCol w:w="1844"/>
        <w:gridCol w:w="1852"/>
      </w:tblGrid>
      <w:tr w:rsidR="00532B78" w:rsidRPr="00F66081" w:rsidTr="00546AF3">
        <w:trPr>
          <w:trHeight w:val="274"/>
        </w:trPr>
        <w:tc>
          <w:tcPr>
            <w:tcW w:w="1953" w:type="pct"/>
            <w:vAlign w:val="center"/>
          </w:tcPr>
          <w:p w:rsidR="00532B78" w:rsidRPr="00F66081" w:rsidRDefault="00BA441E" w:rsidP="00F67A7A">
            <w:pPr>
              <w:pStyle w:val="TableParagraph"/>
              <w:tabs>
                <w:tab w:val="left" w:pos="3974"/>
              </w:tabs>
              <w:jc w:val="center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Štúdia</w:t>
            </w:r>
          </w:p>
        </w:tc>
        <w:tc>
          <w:tcPr>
            <w:tcW w:w="1013" w:type="pct"/>
            <w:vAlign w:val="center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Priemerná východisková hodnota HbA</w:t>
            </w:r>
            <w:r w:rsidRPr="00F66081">
              <w:rPr>
                <w:b/>
                <w:vertAlign w:val="subscript"/>
                <w:lang w:val="sk-SK"/>
              </w:rPr>
              <w:t>1c</w:t>
            </w:r>
            <w:r w:rsidRPr="00F66081">
              <w:rPr>
                <w:b/>
                <w:lang w:val="sk-SK"/>
              </w:rPr>
              <w:t xml:space="preserve"> (%)</w:t>
            </w:r>
          </w:p>
        </w:tc>
        <w:tc>
          <w:tcPr>
            <w:tcW w:w="1015" w:type="pct"/>
            <w:vAlign w:val="center"/>
          </w:tcPr>
          <w:p w:rsidR="00532B78" w:rsidRPr="00F66081" w:rsidRDefault="00BA441E" w:rsidP="00F67A7A">
            <w:pPr>
              <w:pStyle w:val="TableParagraph"/>
              <w:spacing w:before="118"/>
              <w:jc w:val="center"/>
              <w:rPr>
                <w:lang w:val="sk-SK"/>
              </w:rPr>
            </w:pPr>
            <w:r w:rsidRPr="00F66081">
              <w:rPr>
                <w:b/>
                <w:lang w:val="sk-SK"/>
              </w:rPr>
              <w:t>Priemerná zmena HbA</w:t>
            </w:r>
            <w:r w:rsidRPr="00F66081">
              <w:rPr>
                <w:b/>
                <w:vertAlign w:val="subscript"/>
                <w:lang w:val="sk-SK"/>
              </w:rPr>
              <w:t>1c</w:t>
            </w:r>
            <w:r w:rsidRPr="00F66081">
              <w:rPr>
                <w:b/>
                <w:lang w:val="sk-SK"/>
              </w:rPr>
              <w:t xml:space="preserve"> oproti východiskovej hodnote (%)</w:t>
            </w:r>
            <w:r w:rsidRPr="00F66081">
              <w:rPr>
                <w:vertAlign w:val="superscript"/>
                <w:lang w:val="sk-SK"/>
              </w:rPr>
              <w:t>†</w:t>
            </w:r>
          </w:p>
        </w:tc>
        <w:tc>
          <w:tcPr>
            <w:tcW w:w="1019" w:type="pct"/>
            <w:vAlign w:val="center"/>
          </w:tcPr>
          <w:p w:rsidR="00630642" w:rsidRPr="00F66081" w:rsidRDefault="00BA441E" w:rsidP="00F67A7A">
            <w:pPr>
              <w:pStyle w:val="TableParagraph"/>
              <w:spacing w:before="2"/>
              <w:ind w:hanging="1"/>
              <w:jc w:val="center"/>
              <w:rPr>
                <w:lang w:val="sk-SK"/>
              </w:rPr>
            </w:pPr>
            <w:r w:rsidRPr="00F66081">
              <w:rPr>
                <w:b/>
                <w:lang w:val="sk-SK"/>
              </w:rPr>
              <w:t>Placebom korigovaná priemerná zmena</w:t>
            </w:r>
            <w:r w:rsidRPr="00F66081">
              <w:rPr>
                <w:b/>
                <w:spacing w:val="-20"/>
                <w:lang w:val="sk-SK"/>
              </w:rPr>
              <w:t xml:space="preserve"> </w:t>
            </w:r>
            <w:r w:rsidRPr="00F66081">
              <w:rPr>
                <w:b/>
                <w:lang w:val="sk-SK"/>
              </w:rPr>
              <w:t>HbA</w:t>
            </w:r>
            <w:r w:rsidRPr="00F66081">
              <w:rPr>
                <w:b/>
                <w:vertAlign w:val="subscript"/>
                <w:lang w:val="sk-SK"/>
              </w:rPr>
              <w:t>1c</w:t>
            </w:r>
            <w:r w:rsidRPr="00F66081">
              <w:rPr>
                <w:b/>
                <w:lang w:val="sk-SK"/>
              </w:rPr>
              <w:t xml:space="preserve"> oproti východiskovej hodnote</w:t>
            </w:r>
            <w:r w:rsidRPr="00F66081">
              <w:rPr>
                <w:b/>
                <w:spacing w:val="-1"/>
                <w:lang w:val="sk-SK"/>
              </w:rPr>
              <w:t xml:space="preserve"> </w:t>
            </w:r>
            <w:r w:rsidRPr="00F66081">
              <w:rPr>
                <w:b/>
                <w:lang w:val="sk-SK"/>
              </w:rPr>
              <w:t>(%)</w:t>
            </w:r>
            <w:r w:rsidRPr="00F66081">
              <w:rPr>
                <w:vertAlign w:val="superscript"/>
                <w:lang w:val="sk-SK"/>
              </w:rPr>
              <w:t>†</w:t>
            </w:r>
          </w:p>
          <w:p w:rsidR="00532B78" w:rsidRPr="00F66081" w:rsidRDefault="00BA441E" w:rsidP="00F67A7A">
            <w:pPr>
              <w:pStyle w:val="TableParagraph"/>
              <w:spacing w:before="2"/>
              <w:ind w:hanging="1"/>
              <w:jc w:val="center"/>
              <w:rPr>
                <w:lang w:val="sk-SK"/>
              </w:rPr>
            </w:pPr>
            <w:r w:rsidRPr="00F66081">
              <w:rPr>
                <w:b/>
                <w:lang w:val="sk-SK"/>
              </w:rPr>
              <w:t>(95 % IS)</w:t>
            </w:r>
          </w:p>
        </w:tc>
      </w:tr>
      <w:tr w:rsidR="00532B78" w:rsidRPr="00F66081" w:rsidTr="00B262DC">
        <w:trPr>
          <w:trHeight w:val="232"/>
        </w:trPr>
        <w:tc>
          <w:tcPr>
            <w:tcW w:w="5000" w:type="pct"/>
            <w:gridSpan w:val="4"/>
          </w:tcPr>
          <w:p w:rsidR="00532B78" w:rsidRPr="00F66081" w:rsidRDefault="00BA441E" w:rsidP="00F67A7A">
            <w:pPr>
              <w:pStyle w:val="TableParagraph"/>
              <w:spacing w:before="2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Štúdie monoterapie</w:t>
            </w:r>
          </w:p>
        </w:tc>
      </w:tr>
      <w:tr w:rsidR="00532B78" w:rsidRPr="00F66081" w:rsidTr="00546AF3">
        <w:trPr>
          <w:trHeight w:val="575"/>
        </w:trPr>
        <w:tc>
          <w:tcPr>
            <w:tcW w:w="1953" w:type="pct"/>
          </w:tcPr>
          <w:p w:rsidR="00532B78" w:rsidRPr="00F66081" w:rsidRDefault="00B262DC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Sitagliptín 100 </w:t>
            </w:r>
            <w:r w:rsidR="00BA441E" w:rsidRPr="00F66081">
              <w:rPr>
                <w:lang w:val="sk-SK"/>
              </w:rPr>
              <w:t>mg raz denne</w:t>
            </w:r>
            <w:r w:rsidR="00BA441E" w:rsidRPr="00F66081">
              <w:rPr>
                <w:vertAlign w:val="superscript"/>
                <w:lang w:val="sk-SK"/>
              </w:rPr>
              <w:t>§</w:t>
            </w:r>
          </w:p>
          <w:p w:rsidR="00532B78" w:rsidRPr="00F66081" w:rsidRDefault="00BA441E" w:rsidP="00F67A7A">
            <w:pPr>
              <w:pStyle w:val="TableParagraph"/>
              <w:spacing w:before="5"/>
              <w:rPr>
                <w:lang w:val="sk-SK"/>
              </w:rPr>
            </w:pPr>
            <w:r w:rsidRPr="00F66081">
              <w:rPr>
                <w:lang w:val="sk-SK"/>
              </w:rPr>
              <w:t>(N=193)</w:t>
            </w:r>
          </w:p>
        </w:tc>
        <w:tc>
          <w:tcPr>
            <w:tcW w:w="1013" w:type="pct"/>
            <w:vAlign w:val="center"/>
          </w:tcPr>
          <w:p w:rsidR="00532B78" w:rsidRPr="00F66081" w:rsidRDefault="00BA441E" w:rsidP="00F67A7A">
            <w:pPr>
              <w:pStyle w:val="TableParagraph"/>
              <w:spacing w:before="118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8,0</w:t>
            </w:r>
          </w:p>
        </w:tc>
        <w:tc>
          <w:tcPr>
            <w:tcW w:w="1015" w:type="pct"/>
            <w:vAlign w:val="center"/>
          </w:tcPr>
          <w:p w:rsidR="00532B78" w:rsidRPr="00F66081" w:rsidRDefault="00BA441E" w:rsidP="00F67A7A">
            <w:pPr>
              <w:pStyle w:val="TableParagraph"/>
              <w:spacing w:before="118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-0,5</w:t>
            </w:r>
          </w:p>
        </w:tc>
        <w:tc>
          <w:tcPr>
            <w:tcW w:w="1019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-0,6</w:t>
            </w:r>
            <w:r w:rsidRPr="00F66081">
              <w:rPr>
                <w:vertAlign w:val="superscript"/>
                <w:lang w:val="sk-SK"/>
              </w:rPr>
              <w:t>‡</w:t>
            </w:r>
          </w:p>
          <w:p w:rsidR="00532B78" w:rsidRPr="00F66081" w:rsidRDefault="00BA441E" w:rsidP="00F67A7A">
            <w:pPr>
              <w:pStyle w:val="TableParagraph"/>
              <w:tabs>
                <w:tab w:val="left" w:pos="1712"/>
              </w:tabs>
              <w:spacing w:before="5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(-0,8</w:t>
            </w:r>
            <w:r w:rsidR="00546AF3" w:rsidRPr="00F66081">
              <w:rPr>
                <w:lang w:val="sk-SK"/>
              </w:rPr>
              <w:t>;</w:t>
            </w:r>
            <w:r w:rsidRPr="00F66081">
              <w:rPr>
                <w:lang w:val="sk-SK"/>
              </w:rPr>
              <w:t xml:space="preserve"> -0,4)</w:t>
            </w:r>
          </w:p>
        </w:tc>
      </w:tr>
      <w:tr w:rsidR="00532B78" w:rsidRPr="00F66081" w:rsidTr="00546AF3">
        <w:trPr>
          <w:trHeight w:val="470"/>
        </w:trPr>
        <w:tc>
          <w:tcPr>
            <w:tcW w:w="1953" w:type="pct"/>
          </w:tcPr>
          <w:p w:rsidR="00532B78" w:rsidRPr="00F66081" w:rsidRDefault="00B262DC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Sitagliptín 100 </w:t>
            </w:r>
            <w:r w:rsidR="00BA441E" w:rsidRPr="00F66081">
              <w:rPr>
                <w:lang w:val="sk-SK"/>
              </w:rPr>
              <w:t>mg raz denne</w:t>
            </w:r>
            <w:r w:rsidRPr="00F66081">
              <w:rPr>
                <w:vertAlign w:val="superscript"/>
                <w:lang w:val="sk-SK"/>
              </w:rPr>
              <w:t>║</w:t>
            </w:r>
          </w:p>
          <w:p w:rsidR="00532B78" w:rsidRPr="00F66081" w:rsidRDefault="00BA441E" w:rsidP="00F67A7A">
            <w:pPr>
              <w:pStyle w:val="TableParagraph"/>
              <w:spacing w:before="5"/>
              <w:rPr>
                <w:lang w:val="sk-SK"/>
              </w:rPr>
            </w:pPr>
            <w:r w:rsidRPr="00F66081">
              <w:rPr>
                <w:lang w:val="sk-SK"/>
              </w:rPr>
              <w:t>(N=229)</w:t>
            </w:r>
          </w:p>
        </w:tc>
        <w:tc>
          <w:tcPr>
            <w:tcW w:w="1013" w:type="pct"/>
            <w:vAlign w:val="center"/>
          </w:tcPr>
          <w:p w:rsidR="00532B78" w:rsidRPr="00F66081" w:rsidRDefault="00BA441E" w:rsidP="00F67A7A">
            <w:pPr>
              <w:pStyle w:val="TableParagraph"/>
              <w:spacing w:before="118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8,0</w:t>
            </w:r>
          </w:p>
        </w:tc>
        <w:tc>
          <w:tcPr>
            <w:tcW w:w="1015" w:type="pct"/>
            <w:vAlign w:val="center"/>
          </w:tcPr>
          <w:p w:rsidR="00532B78" w:rsidRPr="00F66081" w:rsidRDefault="00BA441E" w:rsidP="00F67A7A">
            <w:pPr>
              <w:pStyle w:val="TableParagraph"/>
              <w:spacing w:before="118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-0,6</w:t>
            </w:r>
          </w:p>
        </w:tc>
        <w:tc>
          <w:tcPr>
            <w:tcW w:w="1019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-0,8</w:t>
            </w:r>
            <w:r w:rsidRPr="00F66081">
              <w:rPr>
                <w:vertAlign w:val="superscript"/>
                <w:lang w:val="sk-SK"/>
              </w:rPr>
              <w:t>‡</w:t>
            </w:r>
          </w:p>
          <w:p w:rsidR="00532B78" w:rsidRPr="00F66081" w:rsidRDefault="00BA441E" w:rsidP="00F67A7A">
            <w:pPr>
              <w:pStyle w:val="TableParagraph"/>
              <w:spacing w:before="5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(-1,0</w:t>
            </w:r>
            <w:r w:rsidR="00546AF3" w:rsidRPr="00F66081">
              <w:rPr>
                <w:lang w:val="sk-SK"/>
              </w:rPr>
              <w:t>;</w:t>
            </w:r>
            <w:r w:rsidRPr="00F66081">
              <w:rPr>
                <w:lang w:val="sk-SK"/>
              </w:rPr>
              <w:t xml:space="preserve"> -0,6)</w:t>
            </w:r>
          </w:p>
        </w:tc>
      </w:tr>
      <w:tr w:rsidR="00532B78" w:rsidRPr="00F66081" w:rsidTr="00B262DC">
        <w:trPr>
          <w:trHeight w:val="232"/>
        </w:trPr>
        <w:tc>
          <w:tcPr>
            <w:tcW w:w="5000" w:type="pct"/>
            <w:gridSpan w:val="4"/>
          </w:tcPr>
          <w:p w:rsidR="00532B78" w:rsidRPr="00F66081" w:rsidRDefault="00BA441E" w:rsidP="00F67A7A">
            <w:pPr>
              <w:pStyle w:val="TableParagraph"/>
              <w:spacing w:before="2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Štúdie kombinovanej terapie</w:t>
            </w:r>
          </w:p>
        </w:tc>
      </w:tr>
      <w:tr w:rsidR="00532B78" w:rsidRPr="00F66081" w:rsidTr="00546AF3">
        <w:trPr>
          <w:trHeight w:val="763"/>
        </w:trPr>
        <w:tc>
          <w:tcPr>
            <w:tcW w:w="1953" w:type="pct"/>
          </w:tcPr>
          <w:p w:rsidR="00532B78" w:rsidRPr="00F66081" w:rsidRDefault="00B262DC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Sitagliptín 100 mg raz denne pridaný k </w:t>
            </w:r>
            <w:r w:rsidR="00BA441E" w:rsidRPr="00F66081">
              <w:rPr>
                <w:lang w:val="sk-SK"/>
              </w:rPr>
              <w:t>prebiehajúcej liečbe metformínom</w:t>
            </w:r>
            <w:r w:rsidRPr="00F66081">
              <w:rPr>
                <w:vertAlign w:val="superscript"/>
                <w:lang w:val="sk-SK"/>
              </w:rPr>
              <w:t>║</w:t>
            </w:r>
          </w:p>
          <w:p w:rsidR="00532B78" w:rsidRPr="00F66081" w:rsidRDefault="00BA441E" w:rsidP="00F67A7A">
            <w:pPr>
              <w:pStyle w:val="TableParagraph"/>
              <w:spacing w:before="1"/>
              <w:rPr>
                <w:lang w:val="sk-SK"/>
              </w:rPr>
            </w:pPr>
            <w:r w:rsidRPr="00F66081">
              <w:rPr>
                <w:lang w:val="sk-SK"/>
              </w:rPr>
              <w:t>(N=453)</w:t>
            </w:r>
          </w:p>
        </w:tc>
        <w:tc>
          <w:tcPr>
            <w:tcW w:w="1013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8,0</w:t>
            </w:r>
          </w:p>
        </w:tc>
        <w:tc>
          <w:tcPr>
            <w:tcW w:w="1015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-0,7</w:t>
            </w:r>
          </w:p>
        </w:tc>
        <w:tc>
          <w:tcPr>
            <w:tcW w:w="1019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-0,7</w:t>
            </w:r>
            <w:r w:rsidRPr="00F66081">
              <w:rPr>
                <w:vertAlign w:val="superscript"/>
                <w:lang w:val="sk-SK"/>
              </w:rPr>
              <w:t>‡</w:t>
            </w:r>
          </w:p>
          <w:p w:rsidR="00532B78" w:rsidRPr="00F66081" w:rsidRDefault="00BA441E" w:rsidP="00F67A7A">
            <w:pPr>
              <w:pStyle w:val="TableParagraph"/>
              <w:spacing w:before="5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(-0,8</w:t>
            </w:r>
            <w:r w:rsidR="00546AF3" w:rsidRPr="00F66081">
              <w:rPr>
                <w:lang w:val="sk-SK"/>
              </w:rPr>
              <w:t>;</w:t>
            </w:r>
            <w:r w:rsidRPr="00F66081">
              <w:rPr>
                <w:lang w:val="sk-SK"/>
              </w:rPr>
              <w:t xml:space="preserve"> -0,5)</w:t>
            </w:r>
          </w:p>
        </w:tc>
      </w:tr>
      <w:tr w:rsidR="00532B78" w:rsidRPr="00F66081" w:rsidTr="00546AF3">
        <w:trPr>
          <w:trHeight w:val="805"/>
        </w:trPr>
        <w:tc>
          <w:tcPr>
            <w:tcW w:w="1953" w:type="pct"/>
          </w:tcPr>
          <w:p w:rsidR="00532B78" w:rsidRPr="00F66081" w:rsidRDefault="00BA441E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Sitagli</w:t>
            </w:r>
            <w:r w:rsidR="00B262DC" w:rsidRPr="00F66081">
              <w:rPr>
                <w:lang w:val="sk-SK"/>
              </w:rPr>
              <w:t>ptín 100 mg raz denne pridaný k </w:t>
            </w:r>
            <w:r w:rsidRPr="00F66081">
              <w:rPr>
                <w:lang w:val="sk-SK"/>
              </w:rPr>
              <w:t>prebiehajúcej liečbe pioglitazónom</w:t>
            </w:r>
            <w:r w:rsidR="00B262DC" w:rsidRPr="00F66081">
              <w:rPr>
                <w:vertAlign w:val="superscript"/>
                <w:lang w:val="sk-SK"/>
              </w:rPr>
              <w:t>║</w:t>
            </w:r>
          </w:p>
          <w:p w:rsidR="00532B78" w:rsidRPr="00F66081" w:rsidRDefault="00BA441E" w:rsidP="00F67A7A">
            <w:pPr>
              <w:pStyle w:val="TableParagraph"/>
              <w:spacing w:before="1"/>
              <w:rPr>
                <w:lang w:val="sk-SK"/>
              </w:rPr>
            </w:pPr>
            <w:r w:rsidRPr="00F66081">
              <w:rPr>
                <w:lang w:val="sk-SK"/>
              </w:rPr>
              <w:t>(N=163)</w:t>
            </w:r>
          </w:p>
        </w:tc>
        <w:tc>
          <w:tcPr>
            <w:tcW w:w="1013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8,1</w:t>
            </w:r>
          </w:p>
        </w:tc>
        <w:tc>
          <w:tcPr>
            <w:tcW w:w="1015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-0,9</w:t>
            </w:r>
          </w:p>
        </w:tc>
        <w:tc>
          <w:tcPr>
            <w:tcW w:w="1019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-0,7</w:t>
            </w:r>
            <w:r w:rsidRPr="00F66081">
              <w:rPr>
                <w:vertAlign w:val="superscript"/>
                <w:lang w:val="sk-SK"/>
              </w:rPr>
              <w:t>‡</w:t>
            </w:r>
          </w:p>
          <w:p w:rsidR="00532B78" w:rsidRPr="00F66081" w:rsidRDefault="00BA441E" w:rsidP="00F67A7A">
            <w:pPr>
              <w:pStyle w:val="TableParagraph"/>
              <w:spacing w:before="5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(-0,9</w:t>
            </w:r>
            <w:r w:rsidR="00546AF3" w:rsidRPr="00F66081">
              <w:rPr>
                <w:lang w:val="sk-SK"/>
              </w:rPr>
              <w:t>;</w:t>
            </w:r>
            <w:r w:rsidRPr="00F66081">
              <w:rPr>
                <w:lang w:val="sk-SK"/>
              </w:rPr>
              <w:t xml:space="preserve"> -0,5)</w:t>
            </w:r>
          </w:p>
        </w:tc>
      </w:tr>
      <w:tr w:rsidR="00532B78" w:rsidRPr="00F66081" w:rsidTr="00546AF3">
        <w:trPr>
          <w:trHeight w:val="743"/>
        </w:trPr>
        <w:tc>
          <w:tcPr>
            <w:tcW w:w="1953" w:type="pct"/>
          </w:tcPr>
          <w:p w:rsidR="00532B78" w:rsidRPr="00F66081" w:rsidRDefault="00B262DC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Sitagliptín 100 mg raz denne pridaný k </w:t>
            </w:r>
            <w:r w:rsidR="00BA441E" w:rsidRPr="00F66081">
              <w:rPr>
                <w:lang w:val="sk-SK"/>
              </w:rPr>
              <w:t>prebiehajúcej liečbe glimepiridom</w:t>
            </w:r>
            <w:r w:rsidRPr="00F66081">
              <w:rPr>
                <w:vertAlign w:val="superscript"/>
                <w:lang w:val="sk-SK"/>
              </w:rPr>
              <w:t>║</w:t>
            </w:r>
          </w:p>
          <w:p w:rsidR="00532B78" w:rsidRPr="00F66081" w:rsidRDefault="00BA441E" w:rsidP="00F67A7A">
            <w:pPr>
              <w:pStyle w:val="TableParagraph"/>
              <w:spacing w:before="1"/>
              <w:rPr>
                <w:lang w:val="sk-SK"/>
              </w:rPr>
            </w:pPr>
            <w:r w:rsidRPr="00F66081">
              <w:rPr>
                <w:lang w:val="sk-SK"/>
              </w:rPr>
              <w:t>(N=102)</w:t>
            </w:r>
          </w:p>
        </w:tc>
        <w:tc>
          <w:tcPr>
            <w:tcW w:w="1013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8,4</w:t>
            </w:r>
          </w:p>
        </w:tc>
        <w:tc>
          <w:tcPr>
            <w:tcW w:w="1015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-0,3</w:t>
            </w:r>
          </w:p>
        </w:tc>
        <w:tc>
          <w:tcPr>
            <w:tcW w:w="1019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-0,6</w:t>
            </w:r>
            <w:r w:rsidRPr="00F66081">
              <w:rPr>
                <w:vertAlign w:val="superscript"/>
                <w:lang w:val="sk-SK"/>
              </w:rPr>
              <w:t>‡</w:t>
            </w:r>
          </w:p>
          <w:p w:rsidR="00532B78" w:rsidRPr="00F66081" w:rsidRDefault="00BA441E" w:rsidP="00F67A7A">
            <w:pPr>
              <w:pStyle w:val="TableParagraph"/>
              <w:spacing w:before="5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(-0,8</w:t>
            </w:r>
            <w:r w:rsidR="00546AF3" w:rsidRPr="00F66081">
              <w:rPr>
                <w:lang w:val="sk-SK"/>
              </w:rPr>
              <w:t>;</w:t>
            </w:r>
            <w:r w:rsidRPr="00F66081">
              <w:rPr>
                <w:lang w:val="sk-SK"/>
              </w:rPr>
              <w:t xml:space="preserve"> -0,3)</w:t>
            </w:r>
          </w:p>
        </w:tc>
      </w:tr>
      <w:tr w:rsidR="00532B78" w:rsidRPr="00F66081" w:rsidTr="00546AF3">
        <w:trPr>
          <w:trHeight w:val="940"/>
        </w:trPr>
        <w:tc>
          <w:tcPr>
            <w:tcW w:w="1953" w:type="pct"/>
          </w:tcPr>
          <w:p w:rsidR="00532B78" w:rsidRPr="00F66081" w:rsidRDefault="00BA441E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Sitagli</w:t>
            </w:r>
            <w:r w:rsidR="00B262DC" w:rsidRPr="00F66081">
              <w:rPr>
                <w:lang w:val="sk-SK"/>
              </w:rPr>
              <w:t>ptín 100 mg raz denne pridaný k </w:t>
            </w:r>
            <w:r w:rsidRPr="00F66081">
              <w:rPr>
                <w:lang w:val="sk-SK"/>
              </w:rPr>
              <w:t>prebiehajúcej liečbe glimepiridom+metformínom</w:t>
            </w:r>
            <w:r w:rsidR="00B262DC" w:rsidRPr="00F66081">
              <w:rPr>
                <w:vertAlign w:val="superscript"/>
                <w:lang w:val="sk-SK"/>
              </w:rPr>
              <w:t>║</w:t>
            </w:r>
          </w:p>
          <w:p w:rsidR="00532B78" w:rsidRPr="00F66081" w:rsidRDefault="00BA441E" w:rsidP="00F67A7A">
            <w:pPr>
              <w:pStyle w:val="TableParagraph"/>
              <w:spacing w:before="1"/>
              <w:rPr>
                <w:lang w:val="sk-SK"/>
              </w:rPr>
            </w:pPr>
            <w:r w:rsidRPr="00F66081">
              <w:rPr>
                <w:lang w:val="sk-SK"/>
              </w:rPr>
              <w:t>(N=115)</w:t>
            </w:r>
          </w:p>
        </w:tc>
        <w:tc>
          <w:tcPr>
            <w:tcW w:w="1013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8,3</w:t>
            </w:r>
          </w:p>
        </w:tc>
        <w:tc>
          <w:tcPr>
            <w:tcW w:w="1015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-0,6</w:t>
            </w:r>
          </w:p>
        </w:tc>
        <w:tc>
          <w:tcPr>
            <w:tcW w:w="1019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-0,9</w:t>
            </w:r>
            <w:r w:rsidRPr="00F66081">
              <w:rPr>
                <w:vertAlign w:val="superscript"/>
                <w:lang w:val="sk-SK"/>
              </w:rPr>
              <w:t>‡</w:t>
            </w:r>
          </w:p>
          <w:p w:rsidR="00532B78" w:rsidRPr="00F66081" w:rsidRDefault="00BA441E" w:rsidP="00F67A7A">
            <w:pPr>
              <w:pStyle w:val="TableParagraph"/>
              <w:spacing w:before="5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(-1,1</w:t>
            </w:r>
            <w:r w:rsidR="00546AF3" w:rsidRPr="00F66081">
              <w:rPr>
                <w:lang w:val="sk-SK"/>
              </w:rPr>
              <w:t>;</w:t>
            </w:r>
            <w:r w:rsidRPr="00F66081">
              <w:rPr>
                <w:lang w:val="sk-SK"/>
              </w:rPr>
              <w:t xml:space="preserve"> -0,7)</w:t>
            </w:r>
          </w:p>
        </w:tc>
      </w:tr>
      <w:tr w:rsidR="00532B78" w:rsidRPr="00F66081" w:rsidTr="00546AF3">
        <w:trPr>
          <w:trHeight w:val="940"/>
        </w:trPr>
        <w:tc>
          <w:tcPr>
            <w:tcW w:w="1953" w:type="pct"/>
          </w:tcPr>
          <w:p w:rsidR="00532B78" w:rsidRPr="00F66081" w:rsidRDefault="00B262DC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Sitagliptín 100 mg raz denne pridaný k </w:t>
            </w:r>
            <w:r w:rsidR="00BA441E" w:rsidRPr="00F66081">
              <w:rPr>
                <w:lang w:val="sk-SK"/>
              </w:rPr>
              <w:t>prebiehajúcej liečbe pioglitazónom+metformínom</w:t>
            </w:r>
            <w:r w:rsidR="00BA441E" w:rsidRPr="00F66081">
              <w:rPr>
                <w:vertAlign w:val="superscript"/>
                <w:lang w:val="sk-SK"/>
              </w:rPr>
              <w:t>#</w:t>
            </w:r>
          </w:p>
          <w:p w:rsidR="00532B78" w:rsidRPr="00F66081" w:rsidRDefault="00BA441E" w:rsidP="00F67A7A">
            <w:pPr>
              <w:pStyle w:val="TableParagraph"/>
              <w:spacing w:before="2"/>
              <w:rPr>
                <w:lang w:val="sk-SK"/>
              </w:rPr>
            </w:pPr>
            <w:r w:rsidRPr="00F66081">
              <w:rPr>
                <w:lang w:val="sk-SK"/>
              </w:rPr>
              <w:t>(N=152)</w:t>
            </w:r>
          </w:p>
        </w:tc>
        <w:tc>
          <w:tcPr>
            <w:tcW w:w="1013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8,8</w:t>
            </w:r>
          </w:p>
        </w:tc>
        <w:tc>
          <w:tcPr>
            <w:tcW w:w="1015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-1,2</w:t>
            </w:r>
          </w:p>
        </w:tc>
        <w:tc>
          <w:tcPr>
            <w:tcW w:w="1019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-0,7</w:t>
            </w:r>
            <w:r w:rsidRPr="00F66081">
              <w:rPr>
                <w:vertAlign w:val="superscript"/>
                <w:lang w:val="sk-SK"/>
              </w:rPr>
              <w:t>‡</w:t>
            </w:r>
          </w:p>
          <w:p w:rsidR="00532B78" w:rsidRPr="00F66081" w:rsidRDefault="00BA441E" w:rsidP="00F67A7A">
            <w:pPr>
              <w:pStyle w:val="TableParagraph"/>
              <w:spacing w:before="5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(-1,0</w:t>
            </w:r>
            <w:r w:rsidR="00546AF3" w:rsidRPr="00F66081">
              <w:rPr>
                <w:lang w:val="sk-SK"/>
              </w:rPr>
              <w:t>;</w:t>
            </w:r>
            <w:r w:rsidRPr="00F66081">
              <w:rPr>
                <w:lang w:val="sk-SK"/>
              </w:rPr>
              <w:t xml:space="preserve"> -0,5)</w:t>
            </w:r>
          </w:p>
        </w:tc>
      </w:tr>
      <w:tr w:rsidR="00532B78" w:rsidRPr="00F66081" w:rsidTr="00546AF3">
        <w:trPr>
          <w:trHeight w:val="813"/>
        </w:trPr>
        <w:tc>
          <w:tcPr>
            <w:tcW w:w="1953" w:type="pct"/>
          </w:tcPr>
          <w:p w:rsidR="00532B78" w:rsidRPr="00F66081" w:rsidRDefault="00BA441E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Počiatočná liečba (dvakrát denne)</w:t>
            </w:r>
            <w:r w:rsidR="00B262DC" w:rsidRPr="00F66081">
              <w:rPr>
                <w:vertAlign w:val="superscript"/>
                <w:lang w:val="sk-SK"/>
              </w:rPr>
              <w:t>║</w:t>
            </w:r>
            <w:r w:rsidRPr="00F66081">
              <w:rPr>
                <w:lang w:val="sk-SK"/>
              </w:rPr>
              <w:t>:</w:t>
            </w:r>
          </w:p>
          <w:p w:rsidR="00532B78" w:rsidRPr="00F66081" w:rsidRDefault="00B262DC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sitagliptín 50 </w:t>
            </w:r>
            <w:r w:rsidR="00BA441E" w:rsidRPr="00F66081">
              <w:rPr>
                <w:lang w:val="sk-SK"/>
              </w:rPr>
              <w:t>mg+metformín</w:t>
            </w:r>
            <w:r w:rsidRPr="00F66081">
              <w:rPr>
                <w:lang w:val="sk-SK"/>
              </w:rPr>
              <w:t xml:space="preserve"> </w:t>
            </w:r>
            <w:r w:rsidR="00BA441E" w:rsidRPr="00F66081">
              <w:rPr>
                <w:lang w:val="sk-SK"/>
              </w:rPr>
              <w:t>500</w:t>
            </w:r>
            <w:r w:rsidRPr="00F66081">
              <w:rPr>
                <w:lang w:val="sk-SK"/>
              </w:rPr>
              <w:t> </w:t>
            </w:r>
            <w:r w:rsidR="00BA441E" w:rsidRPr="00F66081">
              <w:rPr>
                <w:lang w:val="sk-SK"/>
              </w:rPr>
              <w:t>mg (N=183)</w:t>
            </w:r>
          </w:p>
        </w:tc>
        <w:tc>
          <w:tcPr>
            <w:tcW w:w="1013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8,8</w:t>
            </w:r>
          </w:p>
        </w:tc>
        <w:tc>
          <w:tcPr>
            <w:tcW w:w="1015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-1,4</w:t>
            </w:r>
          </w:p>
        </w:tc>
        <w:tc>
          <w:tcPr>
            <w:tcW w:w="1019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-1,6</w:t>
            </w:r>
            <w:r w:rsidRPr="00F66081">
              <w:rPr>
                <w:vertAlign w:val="superscript"/>
                <w:lang w:val="sk-SK"/>
              </w:rPr>
              <w:t>‡</w:t>
            </w:r>
          </w:p>
          <w:p w:rsidR="00532B78" w:rsidRPr="00F66081" w:rsidRDefault="00BA441E" w:rsidP="00F67A7A">
            <w:pPr>
              <w:pStyle w:val="TableParagraph"/>
              <w:spacing w:before="5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(-1,8</w:t>
            </w:r>
            <w:r w:rsidR="00546AF3" w:rsidRPr="00F66081">
              <w:rPr>
                <w:lang w:val="sk-SK"/>
              </w:rPr>
              <w:t>;</w:t>
            </w:r>
            <w:r w:rsidRPr="00F66081">
              <w:rPr>
                <w:lang w:val="sk-SK"/>
              </w:rPr>
              <w:t xml:space="preserve"> -1,3)</w:t>
            </w:r>
          </w:p>
        </w:tc>
      </w:tr>
      <w:tr w:rsidR="00532B78" w:rsidRPr="00F66081" w:rsidTr="00546AF3">
        <w:trPr>
          <w:trHeight w:val="782"/>
        </w:trPr>
        <w:tc>
          <w:tcPr>
            <w:tcW w:w="1953" w:type="pct"/>
          </w:tcPr>
          <w:p w:rsidR="00532B78" w:rsidRPr="00F66081" w:rsidRDefault="00BA441E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Počiatočná liečba (dvakrát denne)</w:t>
            </w:r>
            <w:r w:rsidR="00B262DC" w:rsidRPr="00F66081">
              <w:rPr>
                <w:vertAlign w:val="superscript"/>
                <w:lang w:val="sk-SK"/>
              </w:rPr>
              <w:t>║</w:t>
            </w:r>
            <w:r w:rsidRPr="00F66081">
              <w:rPr>
                <w:lang w:val="sk-SK"/>
              </w:rPr>
              <w:t>:</w:t>
            </w:r>
          </w:p>
          <w:p w:rsidR="00532B78" w:rsidRPr="00F66081" w:rsidRDefault="00BA441E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sitagliptín 50</w:t>
            </w:r>
            <w:r w:rsidR="00B262DC" w:rsidRPr="00F66081">
              <w:rPr>
                <w:lang w:val="sk-SK"/>
              </w:rPr>
              <w:t> </w:t>
            </w:r>
            <w:r w:rsidRPr="00F66081">
              <w:rPr>
                <w:lang w:val="sk-SK"/>
              </w:rPr>
              <w:t>mg+metformín</w:t>
            </w:r>
            <w:r w:rsidR="00B262DC" w:rsidRPr="00F66081">
              <w:rPr>
                <w:lang w:val="sk-SK"/>
              </w:rPr>
              <w:t xml:space="preserve"> </w:t>
            </w:r>
            <w:r w:rsidRPr="00F66081">
              <w:rPr>
                <w:lang w:val="sk-SK"/>
              </w:rPr>
              <w:t>1</w:t>
            </w:r>
            <w:r w:rsidR="00B262DC" w:rsidRPr="00F66081">
              <w:rPr>
                <w:lang w:val="sk-SK"/>
              </w:rPr>
              <w:t> </w:t>
            </w:r>
            <w:r w:rsidRPr="00F66081">
              <w:rPr>
                <w:lang w:val="sk-SK"/>
              </w:rPr>
              <w:t>000</w:t>
            </w:r>
            <w:r w:rsidR="00B262DC" w:rsidRPr="00F66081">
              <w:rPr>
                <w:lang w:val="sk-SK"/>
              </w:rPr>
              <w:t> </w:t>
            </w:r>
            <w:r w:rsidRPr="00F66081">
              <w:rPr>
                <w:lang w:val="sk-SK"/>
              </w:rPr>
              <w:t>mg (N=178)</w:t>
            </w:r>
          </w:p>
        </w:tc>
        <w:tc>
          <w:tcPr>
            <w:tcW w:w="1013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8,8</w:t>
            </w:r>
          </w:p>
        </w:tc>
        <w:tc>
          <w:tcPr>
            <w:tcW w:w="1015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-1,9</w:t>
            </w:r>
          </w:p>
        </w:tc>
        <w:tc>
          <w:tcPr>
            <w:tcW w:w="1019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-2,1</w:t>
            </w:r>
            <w:r w:rsidRPr="00F66081">
              <w:rPr>
                <w:vertAlign w:val="superscript"/>
                <w:lang w:val="sk-SK"/>
              </w:rPr>
              <w:t>‡</w:t>
            </w:r>
          </w:p>
          <w:p w:rsidR="00532B78" w:rsidRPr="00F66081" w:rsidRDefault="00BA441E" w:rsidP="00F67A7A">
            <w:pPr>
              <w:pStyle w:val="TableParagraph"/>
              <w:spacing w:before="5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(-2,3</w:t>
            </w:r>
            <w:r w:rsidR="00546AF3" w:rsidRPr="00F66081">
              <w:rPr>
                <w:lang w:val="sk-SK"/>
              </w:rPr>
              <w:t>;</w:t>
            </w:r>
            <w:r w:rsidRPr="00F66081">
              <w:rPr>
                <w:lang w:val="sk-SK"/>
              </w:rPr>
              <w:t xml:space="preserve"> -1,8)</w:t>
            </w:r>
          </w:p>
        </w:tc>
      </w:tr>
      <w:tr w:rsidR="00532B78" w:rsidRPr="00F66081" w:rsidTr="00546AF3">
        <w:trPr>
          <w:trHeight w:val="693"/>
        </w:trPr>
        <w:tc>
          <w:tcPr>
            <w:tcW w:w="1953" w:type="pct"/>
          </w:tcPr>
          <w:p w:rsidR="00B262DC" w:rsidRPr="00F66081" w:rsidRDefault="00B262DC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Sitagliptín 100 mg raz denne pridaný k </w:t>
            </w:r>
            <w:r w:rsidR="00BA441E" w:rsidRPr="00F66081">
              <w:rPr>
                <w:lang w:val="sk-SK"/>
              </w:rPr>
              <w:t>prebiehajúcej terapii inzulínom</w:t>
            </w:r>
          </w:p>
          <w:p w:rsidR="00532B78" w:rsidRPr="00F66081" w:rsidRDefault="00B262DC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(+/- </w:t>
            </w:r>
            <w:r w:rsidR="00BA441E" w:rsidRPr="00F66081">
              <w:rPr>
                <w:lang w:val="sk-SK"/>
              </w:rPr>
              <w:t>metformín)</w:t>
            </w:r>
            <w:r w:rsidRPr="00F66081">
              <w:rPr>
                <w:vertAlign w:val="superscript"/>
                <w:lang w:val="sk-SK"/>
              </w:rPr>
              <w:t>║</w:t>
            </w:r>
            <w:r w:rsidRPr="00F66081">
              <w:rPr>
                <w:lang w:val="sk-SK"/>
              </w:rPr>
              <w:t xml:space="preserve"> </w:t>
            </w:r>
            <w:r w:rsidR="00BA441E" w:rsidRPr="00F66081">
              <w:rPr>
                <w:lang w:val="sk-SK"/>
              </w:rPr>
              <w:t>(N=305)</w:t>
            </w:r>
          </w:p>
        </w:tc>
        <w:tc>
          <w:tcPr>
            <w:tcW w:w="1013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8,7</w:t>
            </w:r>
          </w:p>
        </w:tc>
        <w:tc>
          <w:tcPr>
            <w:tcW w:w="1015" w:type="pct"/>
            <w:vAlign w:val="center"/>
          </w:tcPr>
          <w:p w:rsidR="00532B78" w:rsidRPr="00F66081" w:rsidRDefault="00BA441E" w:rsidP="00F67A7A">
            <w:pPr>
              <w:pStyle w:val="TableParagraph"/>
              <w:spacing w:before="194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-0,6</w:t>
            </w:r>
            <w:r w:rsidR="00546AF3" w:rsidRPr="00F66081">
              <w:rPr>
                <w:vertAlign w:val="superscript"/>
                <w:lang w:val="sk-SK"/>
              </w:rPr>
              <w:t>¶</w:t>
            </w:r>
          </w:p>
        </w:tc>
        <w:tc>
          <w:tcPr>
            <w:tcW w:w="1019" w:type="pct"/>
            <w:vAlign w:val="center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-0,6</w:t>
            </w:r>
            <w:r w:rsidRPr="00F66081">
              <w:rPr>
                <w:vertAlign w:val="superscript"/>
                <w:lang w:val="sk-SK"/>
              </w:rPr>
              <w:t>‡,¶</w:t>
            </w:r>
          </w:p>
          <w:p w:rsidR="00532B78" w:rsidRPr="00F66081" w:rsidRDefault="00BA441E" w:rsidP="00F67A7A">
            <w:pPr>
              <w:pStyle w:val="TableParagraph"/>
              <w:spacing w:before="5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(-0,7</w:t>
            </w:r>
            <w:r w:rsidR="00546AF3" w:rsidRPr="00F66081">
              <w:rPr>
                <w:lang w:val="sk-SK"/>
              </w:rPr>
              <w:t>;</w:t>
            </w:r>
            <w:r w:rsidRPr="00F66081">
              <w:rPr>
                <w:lang w:val="sk-SK"/>
              </w:rPr>
              <w:t xml:space="preserve"> -0,4)</w:t>
            </w:r>
          </w:p>
        </w:tc>
      </w:tr>
    </w:tbl>
    <w:p w:rsidR="00532B78" w:rsidRPr="00F66081" w:rsidRDefault="00F6016F" w:rsidP="00F67A7A">
      <w:pPr>
        <w:pStyle w:val="Odsekzoznamu"/>
        <w:tabs>
          <w:tab w:val="left" w:pos="142"/>
        </w:tabs>
        <w:ind w:left="142" w:hanging="142"/>
        <w:rPr>
          <w:lang w:val="sk-SK"/>
        </w:rPr>
      </w:pPr>
      <w:r w:rsidRPr="00F66081">
        <w:rPr>
          <w:vertAlign w:val="superscript"/>
          <w:lang w:val="sk-SK"/>
        </w:rPr>
        <w:t>*</w:t>
      </w:r>
      <w:r w:rsidR="00546AF3" w:rsidRPr="00F66081">
        <w:rPr>
          <w:lang w:val="sk-SK"/>
        </w:rPr>
        <w:tab/>
      </w:r>
      <w:r w:rsidR="00BA441E" w:rsidRPr="00F66081">
        <w:rPr>
          <w:lang w:val="sk-SK"/>
        </w:rPr>
        <w:t>Populácia všetkých liečených pacientov (analýza podľa liečebného</w:t>
      </w:r>
      <w:r w:rsidR="00BA441E" w:rsidRPr="00F66081">
        <w:rPr>
          <w:spacing w:val="-8"/>
          <w:lang w:val="sk-SK"/>
        </w:rPr>
        <w:t xml:space="preserve"> </w:t>
      </w:r>
      <w:r w:rsidR="00BA441E" w:rsidRPr="00F66081">
        <w:rPr>
          <w:lang w:val="sk-SK"/>
        </w:rPr>
        <w:t>zámeru).</w:t>
      </w:r>
    </w:p>
    <w:p w:rsidR="00532B78" w:rsidRPr="00F66081" w:rsidRDefault="00A14129" w:rsidP="00F67A7A">
      <w:pPr>
        <w:tabs>
          <w:tab w:val="left" w:pos="142"/>
        </w:tabs>
        <w:ind w:left="142" w:hanging="142"/>
        <w:rPr>
          <w:lang w:val="sk-SK"/>
        </w:rPr>
      </w:pPr>
      <w:r w:rsidRPr="00F66081">
        <w:rPr>
          <w:vertAlign w:val="superscript"/>
          <w:lang w:val="sk-SK"/>
        </w:rPr>
        <w:t>†</w:t>
      </w:r>
      <w:r w:rsidR="00546AF3" w:rsidRPr="00F66081">
        <w:rPr>
          <w:position w:val="9"/>
          <w:lang w:val="sk-SK"/>
        </w:rPr>
        <w:tab/>
      </w:r>
      <w:r w:rsidR="00BA441E" w:rsidRPr="00F66081">
        <w:rPr>
          <w:lang w:val="sk-SK"/>
        </w:rPr>
        <w:t>Priemery najmenších štvorcov upravené na stav predchádzajúcej antihyperglykemickej liečby a východiskovú hodnotu.</w:t>
      </w:r>
    </w:p>
    <w:p w:rsidR="00532B78" w:rsidRPr="00F66081" w:rsidRDefault="00A14129" w:rsidP="00F67A7A">
      <w:pPr>
        <w:tabs>
          <w:tab w:val="left" w:pos="142"/>
        </w:tabs>
        <w:ind w:left="142" w:hanging="142"/>
        <w:rPr>
          <w:lang w:val="sk-SK"/>
        </w:rPr>
      </w:pPr>
      <w:r w:rsidRPr="00F66081">
        <w:rPr>
          <w:vertAlign w:val="superscript"/>
          <w:lang w:val="sk-SK"/>
        </w:rPr>
        <w:t>‡</w:t>
      </w:r>
      <w:r w:rsidR="00546AF3" w:rsidRPr="00F66081">
        <w:rPr>
          <w:position w:val="8"/>
          <w:lang w:val="sk-SK"/>
        </w:rPr>
        <w:tab/>
      </w:r>
      <w:r w:rsidR="00BA441E" w:rsidRPr="00F66081">
        <w:rPr>
          <w:lang w:val="sk-SK"/>
        </w:rPr>
        <w:t>p&lt;0,001 v porovnaní s placebom alebo placebom+kombinovanou liečbou.</w:t>
      </w:r>
    </w:p>
    <w:p w:rsidR="00532B78" w:rsidRPr="00F66081" w:rsidRDefault="00A14129" w:rsidP="00F67A7A">
      <w:pPr>
        <w:pStyle w:val="TableParagraph"/>
        <w:ind w:left="142" w:hanging="142"/>
        <w:rPr>
          <w:lang w:val="sk-SK"/>
        </w:rPr>
      </w:pPr>
      <w:r w:rsidRPr="00F66081">
        <w:rPr>
          <w:vertAlign w:val="superscript"/>
          <w:lang w:val="sk-SK"/>
        </w:rPr>
        <w:t>§</w:t>
      </w:r>
      <w:r w:rsidR="00546AF3" w:rsidRPr="00F66081">
        <w:rPr>
          <w:position w:val="8"/>
          <w:lang w:val="sk-SK"/>
        </w:rPr>
        <w:tab/>
      </w:r>
      <w:r w:rsidR="00BA441E" w:rsidRPr="00F66081">
        <w:rPr>
          <w:lang w:val="sk-SK"/>
        </w:rPr>
        <w:t>HbA</w:t>
      </w:r>
      <w:r w:rsidR="00BA441E" w:rsidRPr="00F66081">
        <w:rPr>
          <w:vertAlign w:val="subscript"/>
          <w:lang w:val="sk-SK"/>
        </w:rPr>
        <w:t>1c</w:t>
      </w:r>
      <w:r w:rsidR="00BA441E" w:rsidRPr="00F66081">
        <w:rPr>
          <w:lang w:val="sk-SK"/>
        </w:rPr>
        <w:t xml:space="preserve"> (%) v 18. týždni.</w:t>
      </w:r>
    </w:p>
    <w:p w:rsidR="00532B78" w:rsidRPr="00F66081" w:rsidRDefault="00B262DC" w:rsidP="00F67A7A">
      <w:pPr>
        <w:tabs>
          <w:tab w:val="left" w:pos="142"/>
        </w:tabs>
        <w:ind w:left="142" w:hanging="142"/>
        <w:rPr>
          <w:lang w:val="sk-SK"/>
        </w:rPr>
      </w:pPr>
      <w:r w:rsidRPr="00F66081">
        <w:rPr>
          <w:vertAlign w:val="superscript"/>
          <w:lang w:val="sk-SK"/>
        </w:rPr>
        <w:t>║</w:t>
      </w:r>
      <w:r w:rsidR="00546AF3" w:rsidRPr="00F66081">
        <w:rPr>
          <w:position w:val="8"/>
          <w:lang w:val="sk-SK"/>
        </w:rPr>
        <w:tab/>
      </w:r>
      <w:r w:rsidR="00BA441E" w:rsidRPr="00F66081">
        <w:rPr>
          <w:lang w:val="sk-SK"/>
        </w:rPr>
        <w:t>Hb</w:t>
      </w:r>
      <w:r w:rsidR="00BA441E" w:rsidRPr="00F66081">
        <w:rPr>
          <w:spacing w:val="-3"/>
          <w:lang w:val="sk-SK"/>
        </w:rPr>
        <w:t>A</w:t>
      </w:r>
      <w:r w:rsidR="00BA441E" w:rsidRPr="00F66081">
        <w:rPr>
          <w:spacing w:val="-1"/>
          <w:w w:val="97"/>
          <w:vertAlign w:val="subscript"/>
          <w:lang w:val="sk-SK"/>
        </w:rPr>
        <w:t>1</w:t>
      </w:r>
      <w:r w:rsidR="00BA441E" w:rsidRPr="00F66081">
        <w:rPr>
          <w:w w:val="97"/>
          <w:vertAlign w:val="subscript"/>
          <w:lang w:val="sk-SK"/>
        </w:rPr>
        <w:t>c</w:t>
      </w:r>
      <w:r w:rsidR="00BA441E" w:rsidRPr="00F66081">
        <w:rPr>
          <w:spacing w:val="-15"/>
          <w:lang w:val="sk-SK"/>
        </w:rPr>
        <w:t xml:space="preserve"> </w:t>
      </w:r>
      <w:r w:rsidR="00BA441E" w:rsidRPr="00F66081">
        <w:rPr>
          <w:spacing w:val="-1"/>
          <w:lang w:val="sk-SK"/>
        </w:rPr>
        <w:t>(%</w:t>
      </w:r>
      <w:r w:rsidR="00BA441E" w:rsidRPr="00F66081">
        <w:rPr>
          <w:lang w:val="sk-SK"/>
        </w:rPr>
        <w:t>)</w:t>
      </w:r>
      <w:r w:rsidR="00BA441E" w:rsidRPr="00F66081">
        <w:rPr>
          <w:spacing w:val="-1"/>
          <w:lang w:val="sk-SK"/>
        </w:rPr>
        <w:t xml:space="preserve"> </w:t>
      </w:r>
      <w:r w:rsidR="00BA441E" w:rsidRPr="00F66081">
        <w:rPr>
          <w:lang w:val="sk-SK"/>
        </w:rPr>
        <w:t>v</w:t>
      </w:r>
      <w:r w:rsidR="00BA441E" w:rsidRPr="00F66081">
        <w:rPr>
          <w:spacing w:val="-1"/>
          <w:lang w:val="sk-SK"/>
        </w:rPr>
        <w:t xml:space="preserve"> </w:t>
      </w:r>
      <w:r w:rsidR="00BA441E" w:rsidRPr="00F66081">
        <w:rPr>
          <w:lang w:val="sk-SK"/>
        </w:rPr>
        <w:t>24. týždni.</w:t>
      </w:r>
    </w:p>
    <w:p w:rsidR="00532B78" w:rsidRPr="00F66081" w:rsidRDefault="00A14129" w:rsidP="00F67A7A">
      <w:pPr>
        <w:tabs>
          <w:tab w:val="left" w:pos="142"/>
        </w:tabs>
        <w:ind w:left="142" w:hanging="142"/>
        <w:rPr>
          <w:lang w:val="sk-SK"/>
        </w:rPr>
      </w:pPr>
      <w:r w:rsidRPr="00F66081">
        <w:rPr>
          <w:vertAlign w:val="superscript"/>
          <w:lang w:val="sk-SK"/>
        </w:rPr>
        <w:t>#</w:t>
      </w:r>
      <w:r w:rsidR="00546AF3" w:rsidRPr="00F66081">
        <w:rPr>
          <w:position w:val="8"/>
          <w:lang w:val="sk-SK"/>
        </w:rPr>
        <w:tab/>
      </w:r>
      <w:r w:rsidR="00BA441E" w:rsidRPr="00F66081">
        <w:rPr>
          <w:lang w:val="sk-SK"/>
        </w:rPr>
        <w:t>HbA</w:t>
      </w:r>
      <w:r w:rsidR="00BA441E" w:rsidRPr="00F66081">
        <w:rPr>
          <w:vertAlign w:val="subscript"/>
          <w:lang w:val="sk-SK"/>
        </w:rPr>
        <w:t>1c</w:t>
      </w:r>
      <w:r w:rsidR="00BA441E" w:rsidRPr="00F66081">
        <w:rPr>
          <w:lang w:val="sk-SK"/>
        </w:rPr>
        <w:t xml:space="preserve"> (%) v 26. týždni.</w:t>
      </w:r>
    </w:p>
    <w:p w:rsidR="00532B78" w:rsidRPr="00F66081" w:rsidRDefault="00546AF3" w:rsidP="00F67A7A">
      <w:pPr>
        <w:tabs>
          <w:tab w:val="left" w:pos="142"/>
        </w:tabs>
        <w:spacing w:before="12"/>
        <w:ind w:left="142" w:hanging="142"/>
        <w:jc w:val="both"/>
        <w:rPr>
          <w:lang w:val="sk-SK"/>
        </w:rPr>
      </w:pPr>
      <w:r w:rsidRPr="00F66081">
        <w:rPr>
          <w:vertAlign w:val="superscript"/>
          <w:lang w:val="sk-SK"/>
        </w:rPr>
        <w:t>¶</w:t>
      </w:r>
      <w:r w:rsidRPr="00F66081">
        <w:rPr>
          <w:lang w:val="sk-SK"/>
        </w:rPr>
        <w:tab/>
      </w:r>
      <w:r w:rsidR="00BA441E" w:rsidRPr="00F66081">
        <w:rPr>
          <w:lang w:val="sk-SK"/>
        </w:rPr>
        <w:t>Priemer najmenších štvorcov upravený na použitie metformínu pri kontrole 1 (áno/nie), na použitie inzulínu pri kontrole 1 (premixovaný vs nepremixovaný inzulín [intermediárny alebo dlhodobý]) a na východiskovú hodnotu. Interakcie pri liečbe podľa tried (použitie metformínu a inzulínu) neboli významné (p &gt;0,10).</w:t>
      </w:r>
    </w:p>
    <w:p w:rsidR="00532B78" w:rsidRPr="00F66081" w:rsidRDefault="00532B78" w:rsidP="00F67A7A">
      <w:pPr>
        <w:pStyle w:val="Zkladntext"/>
        <w:spacing w:before="6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tabs>
          <w:tab w:val="left" w:pos="9072"/>
        </w:tabs>
        <w:spacing w:before="1"/>
        <w:ind w:left="0"/>
        <w:rPr>
          <w:lang w:val="sk-SK"/>
        </w:rPr>
      </w:pPr>
      <w:r w:rsidRPr="00F66081">
        <w:rPr>
          <w:lang w:val="sk-SK"/>
        </w:rPr>
        <w:t>24-týždňová, aktívnym komparátorom (metformín) kontrolovaná štúdia bola navrhnutá tak, aby vyhodnotila účinnosť a bezpečnosť dávky 100 mg sitagliptínu raz denne (N=528) oproti metformínu (N=522) u pacientov s nedostatočnou kontrolou glykémie, ktorí mali diétu a cvičili a neužívali antihyperglykemickú terapiu (obdobie bez terapie minimálne 4 mesiace). Priemerná dávka metformínu bola približne 1 900 mg denne. Z priemerných východiskových hodnôt HbA</w:t>
      </w:r>
      <w:r w:rsidRPr="00F66081">
        <w:rPr>
          <w:vertAlign w:val="subscript"/>
          <w:lang w:val="sk-SK"/>
        </w:rPr>
        <w:t>1c</w:t>
      </w:r>
      <w:r w:rsidRPr="00F66081">
        <w:rPr>
          <w:lang w:val="sk-SK"/>
        </w:rPr>
        <w:t xml:space="preserve"> 7,2</w:t>
      </w:r>
      <w:r w:rsidR="00546AF3" w:rsidRPr="00F66081">
        <w:rPr>
          <w:lang w:val="sk-SK"/>
        </w:rPr>
        <w:t> </w:t>
      </w:r>
      <w:r w:rsidRPr="00F66081">
        <w:rPr>
          <w:lang w:val="sk-SK"/>
        </w:rPr>
        <w:t>% sa pri sitagliptíne dosiahlo zníženie -0,43</w:t>
      </w:r>
      <w:r w:rsidR="00546AF3" w:rsidRPr="00F66081">
        <w:rPr>
          <w:lang w:val="sk-SK"/>
        </w:rPr>
        <w:t> </w:t>
      </w:r>
      <w:r w:rsidRPr="00F66081">
        <w:rPr>
          <w:lang w:val="sk-SK"/>
        </w:rPr>
        <w:t>% a pri metformíne -0,57</w:t>
      </w:r>
      <w:r w:rsidR="00546AF3" w:rsidRPr="00F66081">
        <w:rPr>
          <w:lang w:val="sk-SK"/>
        </w:rPr>
        <w:t> </w:t>
      </w:r>
      <w:r w:rsidRPr="00F66081">
        <w:rPr>
          <w:lang w:val="sk-SK"/>
        </w:rPr>
        <w:t>% (per-protokolová analýza).</w:t>
      </w:r>
      <w:r w:rsidR="00546AF3" w:rsidRPr="00F66081">
        <w:rPr>
          <w:lang w:val="sk-SK"/>
        </w:rPr>
        <w:t xml:space="preserve"> </w:t>
      </w:r>
      <w:r w:rsidRPr="00F66081">
        <w:rPr>
          <w:lang w:val="sk-SK"/>
        </w:rPr>
        <w:t>Celkový výskyt gastrointestinálnych nežiaducich reak</w:t>
      </w:r>
      <w:r w:rsidR="00546AF3" w:rsidRPr="00F66081">
        <w:rPr>
          <w:lang w:val="sk-SK"/>
        </w:rPr>
        <w:t>cií považovaných za súvisiace s </w:t>
      </w:r>
      <w:r w:rsidRPr="00F66081">
        <w:rPr>
          <w:lang w:val="sk-SK"/>
        </w:rPr>
        <w:t>liekom bol</w:t>
      </w:r>
      <w:r w:rsidR="00546AF3" w:rsidRPr="00F66081">
        <w:rPr>
          <w:lang w:val="sk-SK"/>
        </w:rPr>
        <w:t xml:space="preserve"> </w:t>
      </w:r>
      <w:r w:rsidRPr="00F66081">
        <w:rPr>
          <w:lang w:val="sk-SK"/>
        </w:rPr>
        <w:t>u pacientov liečených sitagliptínom 2,7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% v porovnaní s 12,6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% u pacientov liečených metformínom. Výskyt hypoglykémie sa medzi liečebnými skupinami signifikantne nelíšil (s</w:t>
      </w:r>
      <w:r w:rsidR="005E34C7" w:rsidRPr="00F66081">
        <w:rPr>
          <w:lang w:val="sk-SK"/>
        </w:rPr>
        <w:t>itagliptín 1,3 %, metformín 1,9 </w:t>
      </w:r>
      <w:r w:rsidRPr="00F66081">
        <w:rPr>
          <w:lang w:val="sk-SK"/>
        </w:rPr>
        <w:t>%). V oboch skupinách došlo oproti východiskovej hodnote</w:t>
      </w:r>
      <w:r w:rsidR="00546AF3" w:rsidRPr="00F66081">
        <w:rPr>
          <w:lang w:val="sk-SK"/>
        </w:rPr>
        <w:t xml:space="preserve"> k </w:t>
      </w:r>
      <w:r w:rsidRPr="00F66081">
        <w:rPr>
          <w:lang w:val="sk-SK"/>
        </w:rPr>
        <w:t>poklesu telesnej hmotnosti (sitagliptín -0,6 kg, metformín -1,9 kg).</w:t>
      </w:r>
    </w:p>
    <w:p w:rsidR="00532B78" w:rsidRPr="00F66081" w:rsidRDefault="00532B78" w:rsidP="00F67A7A">
      <w:pPr>
        <w:pStyle w:val="Zkladntext"/>
        <w:tabs>
          <w:tab w:val="left" w:pos="9072"/>
        </w:tabs>
        <w:spacing w:before="11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tabs>
          <w:tab w:val="left" w:pos="9072"/>
        </w:tabs>
        <w:ind w:left="0"/>
        <w:rPr>
          <w:lang w:val="sk-SK"/>
        </w:rPr>
      </w:pPr>
      <w:r w:rsidRPr="00F66081">
        <w:rPr>
          <w:lang w:val="sk-SK"/>
        </w:rPr>
        <w:t>V štúdii porovnávajúcej účinnosť a bezpečnosť pridania sitagliptínu 100 mg raz denne alebo glipizidu (</w:t>
      </w:r>
      <w:r w:rsidR="008B1003" w:rsidRPr="00F66081">
        <w:rPr>
          <w:lang w:val="sk-SK"/>
        </w:rPr>
        <w:t>sulfonyl</w:t>
      </w:r>
      <w:r w:rsidR="008B1003">
        <w:rPr>
          <w:lang w:val="sk-SK"/>
        </w:rPr>
        <w:t>močovina</w:t>
      </w:r>
      <w:r w:rsidRPr="00F66081">
        <w:rPr>
          <w:lang w:val="sk-SK"/>
        </w:rPr>
        <w:t>) u pacientov s nedostatočnou kontrolou glykémie pri monoterapii metformínom bol sitagliptín v redukovaní HbA</w:t>
      </w:r>
      <w:r w:rsidRPr="00F66081">
        <w:rPr>
          <w:vertAlign w:val="subscript"/>
          <w:lang w:val="sk-SK"/>
        </w:rPr>
        <w:t>1c</w:t>
      </w:r>
      <w:r w:rsidRPr="00F66081">
        <w:rPr>
          <w:lang w:val="sk-SK"/>
        </w:rPr>
        <w:t xml:space="preserve"> podobný glipizidu. Priemerná dávka glipizidu použitá v porovnávacej skupine bola 10 mg denne s približne 40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% pacientov vyžadujúcich glipizid v dávke ≤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5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mg/deň počas štúdie. V skupine so sitagliptínom však viac pacientov prerušilo liečbu z dôvodu nedostatočnej účinnosti ako v skupine s glipizidom. Pacienti liečení sitagliptínom mali signifikantný priemerný úbytok telesnej hmotnosti oproti východiskovej hodnote v porovnaní so signifikantným nárastom hmotnosti u pacientov, ktorým bol podávaný glipizid (-1,5 oproti +1,1 kg). V tejto štúdii bol pomer proinzulínu k inzulínu, marker efektivity syntézy a uvoľňovania inzulínu, zlepšený pri liečbe sitagliptínom a zhoršený pri liečbe glipizidom. Výskyt hypoglykémie v skupine so sitagliptínom</w:t>
      </w:r>
      <w:r w:rsidR="00546AF3" w:rsidRPr="00F66081">
        <w:rPr>
          <w:lang w:val="sk-SK"/>
        </w:rPr>
        <w:t xml:space="preserve"> (4,9 </w:t>
      </w:r>
      <w:r w:rsidRPr="00F66081">
        <w:rPr>
          <w:lang w:val="sk-SK"/>
        </w:rPr>
        <w:t>%) bol signifikantne nižší a</w:t>
      </w:r>
      <w:r w:rsidR="00546AF3" w:rsidRPr="00F66081">
        <w:rPr>
          <w:lang w:val="sk-SK"/>
        </w:rPr>
        <w:t>ko v skupine s glipizidom (32,0 </w:t>
      </w:r>
      <w:r w:rsidRPr="00F66081">
        <w:rPr>
          <w:lang w:val="sk-SK"/>
        </w:rPr>
        <w:t>%).</w:t>
      </w: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5E34C7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24-týždňová placebom kontrolovaná štúdia zahŕňajúca 660 pacientov bola navrhnutá tak, aby vyhodnotila inzulín šetriacu účinnosť a bezpečnosť sitagliptínu (100 mg raz denne) pridaného</w:t>
      </w:r>
      <w:r w:rsidR="005E34C7" w:rsidRPr="00F66081">
        <w:rPr>
          <w:lang w:val="sk-SK"/>
        </w:rPr>
        <w:t xml:space="preserve"> </w:t>
      </w:r>
      <w:r w:rsidRPr="00F66081">
        <w:rPr>
          <w:lang w:val="sk-SK"/>
        </w:rPr>
        <w:t>k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inzulín glargínu s metformínom (najmenej 1 500 mg) alebo bez metformínu počas intenzifikácie liečby inzulínom.Východisková hodnota HbA</w:t>
      </w:r>
      <w:r w:rsidRPr="00F66081">
        <w:rPr>
          <w:vertAlign w:val="subscript"/>
          <w:lang w:val="sk-SK"/>
        </w:rPr>
        <w:t>1c</w:t>
      </w:r>
      <w:r w:rsidR="005E34C7" w:rsidRPr="00F66081">
        <w:rPr>
          <w:lang w:val="sk-SK"/>
        </w:rPr>
        <w:t xml:space="preserve"> bola 8,74 </w:t>
      </w:r>
      <w:r w:rsidRPr="00F66081">
        <w:rPr>
          <w:lang w:val="sk-SK"/>
        </w:rPr>
        <w:t>% a vých</w:t>
      </w:r>
      <w:r w:rsidR="005E34C7" w:rsidRPr="00F66081">
        <w:rPr>
          <w:lang w:val="sk-SK"/>
        </w:rPr>
        <w:t>odisková dávka inzulínu bola 37 </w:t>
      </w:r>
      <w:r w:rsidRPr="00F66081">
        <w:rPr>
          <w:lang w:val="sk-SK"/>
        </w:rPr>
        <w:t>IU/deň. Pacienti boli poučení, aby titrovali dávku inzulín glargínu na základe hodnôt glukózy nameraných nalačno z kvapky krvi z prsta. V 24. týždni bolo u pacientov liečených sitagliptínom zv</w:t>
      </w:r>
      <w:r w:rsidR="005E34C7" w:rsidRPr="00F66081">
        <w:rPr>
          <w:lang w:val="sk-SK"/>
        </w:rPr>
        <w:t>ýšenie dennej dávky inzulínu 19 </w:t>
      </w:r>
      <w:r w:rsidRPr="00F66081">
        <w:rPr>
          <w:lang w:val="sk-SK"/>
        </w:rPr>
        <w:t xml:space="preserve">IU/deň a u </w:t>
      </w:r>
      <w:r w:rsidR="005E34C7" w:rsidRPr="00F66081">
        <w:rPr>
          <w:lang w:val="sk-SK"/>
        </w:rPr>
        <w:t>pacientov liečených placebom 24 </w:t>
      </w:r>
      <w:r w:rsidRPr="00F66081">
        <w:rPr>
          <w:lang w:val="sk-SK"/>
        </w:rPr>
        <w:t>IU/deň. Zníženie</w:t>
      </w:r>
      <w:r w:rsidR="005E34C7" w:rsidRPr="00F66081">
        <w:rPr>
          <w:lang w:val="sk-SK"/>
        </w:rPr>
        <w:t xml:space="preserve"> </w:t>
      </w:r>
      <w:r w:rsidRPr="00F66081">
        <w:rPr>
          <w:lang w:val="sk-SK"/>
        </w:rPr>
        <w:t>HbA</w:t>
      </w:r>
      <w:r w:rsidRPr="00F66081">
        <w:rPr>
          <w:vertAlign w:val="subscript"/>
          <w:lang w:val="sk-SK"/>
        </w:rPr>
        <w:t>1c</w:t>
      </w:r>
      <w:r w:rsidRPr="00F66081">
        <w:rPr>
          <w:lang w:val="sk-SK"/>
        </w:rPr>
        <w:t xml:space="preserve"> u pacientov liečených sitagliptínom a inzulínom (s metfor</w:t>
      </w:r>
      <w:r w:rsidR="005E34C7" w:rsidRPr="00F66081">
        <w:rPr>
          <w:lang w:val="sk-SK"/>
        </w:rPr>
        <w:t>mínom alebo bez metformínu) bolo</w:t>
      </w:r>
    </w:p>
    <w:p w:rsidR="00532B78" w:rsidRPr="00F66081" w:rsidRDefault="005E34C7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-1,31 % v porovnaní s -0,87 </w:t>
      </w:r>
      <w:r w:rsidR="00BA441E" w:rsidRPr="00F66081">
        <w:rPr>
          <w:lang w:val="sk-SK"/>
        </w:rPr>
        <w:t>% u pacientov liečených placebom a inz</w:t>
      </w:r>
      <w:r w:rsidRPr="00F66081">
        <w:rPr>
          <w:lang w:val="sk-SK"/>
        </w:rPr>
        <w:t>ulínom (s metformínom alebo bez metformínu), s rozdielom -0,45 </w:t>
      </w:r>
      <w:r w:rsidR="00BA441E" w:rsidRPr="00F66081">
        <w:rPr>
          <w:lang w:val="sk-SK"/>
        </w:rPr>
        <w:t>% [95</w:t>
      </w:r>
      <w:r w:rsidRPr="00F66081">
        <w:rPr>
          <w:lang w:val="sk-SK"/>
        </w:rPr>
        <w:t> </w:t>
      </w:r>
      <w:r w:rsidR="00BA441E" w:rsidRPr="00F66081">
        <w:rPr>
          <w:lang w:val="sk-SK"/>
        </w:rPr>
        <w:t>% IS: -0,60; -0,29]. U pacientov liečených sitagliptínom</w:t>
      </w:r>
      <w:r w:rsidRPr="00F66081">
        <w:rPr>
          <w:lang w:val="sk-SK"/>
        </w:rPr>
        <w:t xml:space="preserve"> </w:t>
      </w:r>
      <w:r w:rsidR="00BA441E" w:rsidRPr="00F66081">
        <w:rPr>
          <w:lang w:val="sk-SK"/>
        </w:rPr>
        <w:t>a inzulínom (s metformínom alebo bez metformínu) bol výskyt hypoglykémie 25,2</w:t>
      </w:r>
      <w:r w:rsidRPr="00F66081">
        <w:rPr>
          <w:lang w:val="sk-SK"/>
        </w:rPr>
        <w:t> </w:t>
      </w:r>
      <w:r w:rsidR="00BA441E" w:rsidRPr="00F66081">
        <w:rPr>
          <w:lang w:val="sk-SK"/>
        </w:rPr>
        <w:t>% a u pacientov liečených placebom a inzulínom (s metform</w:t>
      </w:r>
      <w:r w:rsidRPr="00F66081">
        <w:rPr>
          <w:lang w:val="sk-SK"/>
        </w:rPr>
        <w:t>ínom alebo bez metformínu) 36,8 </w:t>
      </w:r>
      <w:r w:rsidR="00BA441E" w:rsidRPr="00F66081">
        <w:rPr>
          <w:lang w:val="sk-SK"/>
        </w:rPr>
        <w:t>%. Rozdiel bol spôsobený predovšetkým vyšším percentom pacientov v skupine užívajúcej placebo, ktorí zažili 3 alebo viac epizó</w:t>
      </w:r>
      <w:r w:rsidRPr="00F66081">
        <w:rPr>
          <w:lang w:val="sk-SK"/>
        </w:rPr>
        <w:t>d hypoglykémie (9,4 oproti 19,1 </w:t>
      </w:r>
      <w:r w:rsidR="00BA441E" w:rsidRPr="00F66081">
        <w:rPr>
          <w:lang w:val="sk-SK"/>
        </w:rPr>
        <w:t>%). Nebol zistený žiadny rozdiel vo výskyte ťažkej hypoglykémie.</w:t>
      </w:r>
    </w:p>
    <w:p w:rsidR="00532B78" w:rsidRPr="00F66081" w:rsidRDefault="00532B78" w:rsidP="00F67A7A">
      <w:pPr>
        <w:pStyle w:val="Zkladntext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U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pacientov so stredne ťažkou až ťažkou poruchou funkcie obličiek sa vykonala štúdia porovnávajúca sitagliptín 25 alebo 50 mg raz denne s glipizidom 2,5 až 20 mg/deň. Táto štúdia zahŕňala 423 pacientov s chronickou poruchou funkcie obličiek (odhadovaná rýchlosť glomerulárnej</w:t>
      </w:r>
      <w:r w:rsidRPr="00F66081">
        <w:rPr>
          <w:spacing w:val="11"/>
          <w:lang w:val="sk-SK"/>
        </w:rPr>
        <w:t xml:space="preserve"> </w:t>
      </w:r>
      <w:r w:rsidRPr="00F66081">
        <w:rPr>
          <w:lang w:val="sk-SK"/>
        </w:rPr>
        <w:t>filtrácie</w:t>
      </w:r>
      <w:r w:rsidR="005E34C7" w:rsidRPr="00F66081">
        <w:rPr>
          <w:lang w:val="sk-SK"/>
        </w:rPr>
        <w:t xml:space="preserve"> </w:t>
      </w:r>
      <w:r w:rsidRPr="00F66081">
        <w:rPr>
          <w:lang w:val="sk-SK"/>
        </w:rPr>
        <w:t>&lt;</w:t>
      </w:r>
      <w:r w:rsidR="005E34C7" w:rsidRPr="00F66081">
        <w:rPr>
          <w:spacing w:val="-3"/>
          <w:lang w:val="sk-SK"/>
        </w:rPr>
        <w:t> </w:t>
      </w:r>
      <w:r w:rsidRPr="00F66081">
        <w:rPr>
          <w:lang w:val="sk-SK"/>
        </w:rPr>
        <w:t>50ml/min).</w:t>
      </w:r>
      <w:r w:rsidRPr="00F66081">
        <w:rPr>
          <w:spacing w:val="-4"/>
          <w:lang w:val="sk-SK"/>
        </w:rPr>
        <w:t xml:space="preserve"> </w:t>
      </w:r>
      <w:r w:rsidRPr="00F66081">
        <w:rPr>
          <w:lang w:val="sk-SK"/>
        </w:rPr>
        <w:t>Priemerné</w:t>
      </w:r>
      <w:r w:rsidRPr="00F66081">
        <w:rPr>
          <w:spacing w:val="-4"/>
          <w:lang w:val="sk-SK"/>
        </w:rPr>
        <w:t xml:space="preserve"> </w:t>
      </w:r>
      <w:r w:rsidRPr="00F66081">
        <w:rPr>
          <w:lang w:val="sk-SK"/>
        </w:rPr>
        <w:t>zníženie</w:t>
      </w:r>
      <w:r w:rsidRPr="00F66081">
        <w:rPr>
          <w:spacing w:val="-3"/>
          <w:lang w:val="sk-SK"/>
        </w:rPr>
        <w:t xml:space="preserve"> </w:t>
      </w:r>
      <w:r w:rsidRPr="00F66081">
        <w:rPr>
          <w:lang w:val="sk-SK"/>
        </w:rPr>
        <w:t>HbA</w:t>
      </w:r>
      <w:r w:rsidRPr="00F66081">
        <w:rPr>
          <w:vertAlign w:val="subscript"/>
          <w:lang w:val="sk-SK"/>
        </w:rPr>
        <w:t>1c</w:t>
      </w:r>
      <w:r w:rsidRPr="00F66081">
        <w:rPr>
          <w:spacing w:val="-3"/>
          <w:lang w:val="sk-SK"/>
        </w:rPr>
        <w:t xml:space="preserve"> </w:t>
      </w:r>
      <w:r w:rsidRPr="00F66081">
        <w:rPr>
          <w:lang w:val="sk-SK"/>
        </w:rPr>
        <w:t>oproti</w:t>
      </w:r>
      <w:r w:rsidRPr="00F66081">
        <w:rPr>
          <w:spacing w:val="-4"/>
          <w:lang w:val="sk-SK"/>
        </w:rPr>
        <w:t xml:space="preserve"> </w:t>
      </w:r>
      <w:r w:rsidRPr="00F66081">
        <w:rPr>
          <w:lang w:val="sk-SK"/>
        </w:rPr>
        <w:t>východiskovým</w:t>
      </w:r>
      <w:r w:rsidRPr="00F66081">
        <w:rPr>
          <w:spacing w:val="-3"/>
          <w:lang w:val="sk-SK"/>
        </w:rPr>
        <w:t xml:space="preserve"> </w:t>
      </w:r>
      <w:r w:rsidRPr="00F66081">
        <w:rPr>
          <w:lang w:val="sk-SK"/>
        </w:rPr>
        <w:t>hodnotám</w:t>
      </w:r>
      <w:r w:rsidRPr="00F66081">
        <w:rPr>
          <w:spacing w:val="-4"/>
          <w:lang w:val="sk-SK"/>
        </w:rPr>
        <w:t xml:space="preserve"> </w:t>
      </w:r>
      <w:r w:rsidRPr="00F66081">
        <w:rPr>
          <w:lang w:val="sk-SK"/>
        </w:rPr>
        <w:t>bolo</w:t>
      </w:r>
      <w:r w:rsidRPr="00F66081">
        <w:rPr>
          <w:spacing w:val="-4"/>
          <w:lang w:val="sk-SK"/>
        </w:rPr>
        <w:t xml:space="preserve"> </w:t>
      </w:r>
      <w:r w:rsidRPr="00F66081">
        <w:rPr>
          <w:lang w:val="sk-SK"/>
        </w:rPr>
        <w:t>po</w:t>
      </w:r>
      <w:r w:rsidRPr="00F66081">
        <w:rPr>
          <w:spacing w:val="-3"/>
          <w:lang w:val="sk-SK"/>
        </w:rPr>
        <w:t xml:space="preserve"> </w:t>
      </w:r>
      <w:r w:rsidRPr="00F66081">
        <w:rPr>
          <w:lang w:val="sk-SK"/>
        </w:rPr>
        <w:t>54</w:t>
      </w:r>
      <w:r w:rsidRPr="00F66081">
        <w:rPr>
          <w:spacing w:val="-4"/>
          <w:lang w:val="sk-SK"/>
        </w:rPr>
        <w:t xml:space="preserve"> </w:t>
      </w:r>
      <w:r w:rsidRPr="00F66081">
        <w:rPr>
          <w:lang w:val="sk-SK"/>
        </w:rPr>
        <w:t>týždňoch</w:t>
      </w:r>
      <w:r w:rsidRPr="00F66081">
        <w:rPr>
          <w:spacing w:val="-4"/>
          <w:lang w:val="sk-SK"/>
        </w:rPr>
        <w:t xml:space="preserve"> </w:t>
      </w:r>
      <w:r w:rsidRPr="00F66081">
        <w:rPr>
          <w:lang w:val="sk-SK"/>
        </w:rPr>
        <w:t>-</w:t>
      </w:r>
      <w:r w:rsidR="005E34C7" w:rsidRPr="00F66081">
        <w:rPr>
          <w:lang w:val="sk-SK"/>
        </w:rPr>
        <w:t>0,76 </w:t>
      </w:r>
      <w:r w:rsidRPr="00F66081">
        <w:rPr>
          <w:lang w:val="sk-SK"/>
        </w:rPr>
        <w:t>% so sitagliptínom a -0,64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% s glipizidom (per-protokolová analýza). V tejto štúdii boli účinnosť a bezpečnostný profil sitagliptínu 25 alebo 50 mg raz denne vo všeobecnosti podobné účinnosti</w:t>
      </w:r>
      <w:r w:rsidR="005E34C7" w:rsidRPr="00F66081">
        <w:rPr>
          <w:lang w:val="sk-SK"/>
        </w:rPr>
        <w:t xml:space="preserve"> </w:t>
      </w:r>
      <w:r w:rsidRPr="00F66081">
        <w:rPr>
          <w:lang w:val="sk-SK"/>
        </w:rPr>
        <w:t xml:space="preserve">a bezpečnostnému profilu, ktoré sa pozorovali v iných štúdiách monoterapie u pacientov s normálnou funkciou obličiek. Výskyt hypoglykémie bol </w:t>
      </w:r>
      <w:r w:rsidR="005E34C7" w:rsidRPr="00F66081">
        <w:rPr>
          <w:lang w:val="sk-SK"/>
        </w:rPr>
        <w:t>v skupine so sitagliptínom (6,2 </w:t>
      </w:r>
      <w:r w:rsidRPr="00F66081">
        <w:rPr>
          <w:lang w:val="sk-SK"/>
        </w:rPr>
        <w:t>%) signifikantne nižší ako v skupine s glipizidom (17,0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%). Medzi skupinami bol tiež signifikantný rozdiel týkajúci sa zmeny telesnej hmotnosti oproti východis</w:t>
      </w:r>
      <w:r w:rsidR="005E34C7" w:rsidRPr="00F66081">
        <w:rPr>
          <w:lang w:val="sk-SK"/>
        </w:rPr>
        <w:t>kovej hodnote (sitagliptín -0,6 </w:t>
      </w:r>
      <w:r w:rsidRPr="00F66081">
        <w:rPr>
          <w:lang w:val="sk-SK"/>
        </w:rPr>
        <w:t>kg; glipizid +1,2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kg).</w:t>
      </w:r>
    </w:p>
    <w:p w:rsidR="00532B78" w:rsidRPr="00F66081" w:rsidRDefault="00532B78" w:rsidP="00F67A7A">
      <w:pPr>
        <w:pStyle w:val="Zkladntext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Iná štúdia, porovnávajúca sitagliptín 25 mg raz denne s glipizidom 2,5 až 20 mg/deň sa vykonala</w:t>
      </w:r>
      <w:r w:rsidR="005E34C7" w:rsidRPr="00F66081">
        <w:rPr>
          <w:lang w:val="sk-SK"/>
        </w:rPr>
        <w:t xml:space="preserve"> u </w:t>
      </w:r>
      <w:r w:rsidRPr="00F66081">
        <w:rPr>
          <w:lang w:val="sk-SK"/>
        </w:rPr>
        <w:t>129 pacientov s ESRD, ktorí podstupovali dialýzu. Priemerné zníženie HbA</w:t>
      </w:r>
      <w:r w:rsidRPr="00F66081">
        <w:rPr>
          <w:vertAlign w:val="subscript"/>
          <w:lang w:val="sk-SK"/>
        </w:rPr>
        <w:t>1c</w:t>
      </w:r>
      <w:r w:rsidRPr="00F66081">
        <w:rPr>
          <w:lang w:val="sk-SK"/>
        </w:rPr>
        <w:t xml:space="preserve"> oproti východiskovým hodnotám bolo po 54 týždňoch -0,72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% so sitagliptínom a -0,87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% s glipizidom. V tejto štúdii boli účinnosť a bezpečnostný profil sitagliptínu 25 mg raz denne vo všeobecnosti podobné účinnosti</w:t>
      </w:r>
      <w:r w:rsidR="005E34C7" w:rsidRPr="00F66081">
        <w:rPr>
          <w:lang w:val="sk-SK"/>
        </w:rPr>
        <w:t xml:space="preserve"> </w:t>
      </w:r>
      <w:r w:rsidRPr="00F66081">
        <w:rPr>
          <w:lang w:val="sk-SK"/>
        </w:rPr>
        <w:t>a bezpečnostnému profilu, ktoré sa pozorovali v iných štúdiách monoterapie u pacientov s normálnou funkciou obličiek. Výskyt hypoglykémie nebol medzi liečebnými skupinami signifikantne odlišný (sitagliptín 6,3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%; glipizid 10,8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%).</w:t>
      </w:r>
    </w:p>
    <w:p w:rsidR="00532B78" w:rsidRPr="00F66081" w:rsidRDefault="00532B78" w:rsidP="00F67A7A">
      <w:pPr>
        <w:pStyle w:val="Zkladntext"/>
        <w:spacing w:before="9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 xml:space="preserve">V inej štúdii, zahŕňajúcej 91 pacientov s diabetes mellitus 2. typu a s chronickou poruchou funkcie </w:t>
      </w:r>
      <w:r w:rsidR="005E34C7" w:rsidRPr="00F66081">
        <w:rPr>
          <w:lang w:val="sk-SK"/>
        </w:rPr>
        <w:t>obličiek (klírens kreatinínu &lt; </w:t>
      </w:r>
      <w:r w:rsidRPr="00F66081">
        <w:rPr>
          <w:lang w:val="sk-SK"/>
        </w:rPr>
        <w:t>50 ml/min) boli bezpečnosť a znášanlivosť liečby sitagliptínom</w:t>
      </w:r>
      <w:r w:rsidR="005E34C7" w:rsidRPr="00F66081">
        <w:rPr>
          <w:lang w:val="sk-SK"/>
        </w:rPr>
        <w:t xml:space="preserve"> 25 a 50 </w:t>
      </w:r>
      <w:r w:rsidRPr="00F66081">
        <w:rPr>
          <w:lang w:val="sk-SK"/>
        </w:rPr>
        <w:t>mg raz denne vo všeobecnosti podobné placebu. Navyše, priemerné zníženia hodnôt HbA</w:t>
      </w:r>
      <w:r w:rsidRPr="00F66081">
        <w:rPr>
          <w:vertAlign w:val="subscript"/>
          <w:lang w:val="sk-SK"/>
        </w:rPr>
        <w:t>1c</w:t>
      </w:r>
      <w:r w:rsidRPr="00F66081">
        <w:rPr>
          <w:lang w:val="sk-SK"/>
        </w:rPr>
        <w:t xml:space="preserve"> (sitagliptín -0,59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%; placebo -0,18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%) a FPG (sitagliptín -25,5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mg/dl; placebo -3,0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mg/dl) boli vo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všeobecnosti podobné zníženiam, ktoré sa pozorovali v iných štúdiách monoterapie u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pacientov</w:t>
      </w:r>
      <w:r w:rsidR="005E34C7" w:rsidRPr="00F66081">
        <w:rPr>
          <w:lang w:val="sk-SK"/>
        </w:rPr>
        <w:t xml:space="preserve"> </w:t>
      </w:r>
      <w:r w:rsidRPr="00F66081">
        <w:rPr>
          <w:lang w:val="sk-SK"/>
        </w:rPr>
        <w:t>s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normálnou funkciou obličiek (pozri časť 5.2).</w:t>
      </w: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TE</w:t>
      </w:r>
      <w:r w:rsidR="005E34C7" w:rsidRPr="00F66081">
        <w:rPr>
          <w:lang w:val="sk-SK"/>
        </w:rPr>
        <w:t>COS bola randomizovaná štúdia u </w:t>
      </w:r>
      <w:r w:rsidRPr="00F66081">
        <w:rPr>
          <w:lang w:val="sk-SK"/>
        </w:rPr>
        <w:t>14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671 pacientov v</w:t>
      </w:r>
      <w:r w:rsidR="005E34C7" w:rsidRPr="00F66081">
        <w:rPr>
          <w:lang w:val="sk-SK"/>
        </w:rPr>
        <w:t> </w:t>
      </w:r>
      <w:r w:rsidRPr="00F66081">
        <w:rPr>
          <w:lang w:val="sk-SK"/>
        </w:rPr>
        <w:t>populácii podľa liečebného zámeru (intention-to-treat) s HbA</w:t>
      </w:r>
      <w:r w:rsidRPr="00F66081">
        <w:rPr>
          <w:vertAlign w:val="subscript"/>
          <w:lang w:val="sk-SK"/>
        </w:rPr>
        <w:t>1c</w:t>
      </w:r>
      <w:r w:rsidR="005E34C7" w:rsidRPr="00F66081">
        <w:rPr>
          <w:lang w:val="sk-SK"/>
        </w:rPr>
        <w:t xml:space="preserve"> ≥ 6,5 až 8,0 </w:t>
      </w:r>
      <w:r w:rsidRPr="00F66081">
        <w:rPr>
          <w:lang w:val="sk-SK"/>
        </w:rPr>
        <w:t>% so stanoveným KV ochorením,</w:t>
      </w:r>
      <w:r w:rsidR="005E34C7" w:rsidRPr="00F66081">
        <w:rPr>
          <w:lang w:val="sk-SK"/>
        </w:rPr>
        <w:t xml:space="preserve"> ktorí dostávali sitagliptín (7 </w:t>
      </w:r>
      <w:r w:rsidRPr="00F66081">
        <w:rPr>
          <w:lang w:val="sk-SK"/>
        </w:rPr>
        <w:t>332) 100 mg denne (alebo 50 mg de</w:t>
      </w:r>
      <w:r w:rsidR="00BC38B4" w:rsidRPr="00F66081">
        <w:rPr>
          <w:lang w:val="sk-SK"/>
        </w:rPr>
        <w:t>nne ak východisková eGFR bola ≥ 30 a &lt; 50 ml/min/1,73 </w:t>
      </w:r>
      <w:r w:rsidRPr="00F66081">
        <w:rPr>
          <w:lang w:val="sk-SK"/>
        </w:rPr>
        <w:t>m</w:t>
      </w:r>
      <w:r w:rsidRPr="00F66081">
        <w:rPr>
          <w:vertAlign w:val="superscript"/>
          <w:lang w:val="sk-SK"/>
        </w:rPr>
        <w:t>2</w:t>
      </w:r>
      <w:r w:rsidR="00BC38B4" w:rsidRPr="00F66081">
        <w:rPr>
          <w:lang w:val="sk-SK"/>
        </w:rPr>
        <w:t>) alebo placebo (7 </w:t>
      </w:r>
      <w:r w:rsidRPr="00F66081">
        <w:rPr>
          <w:lang w:val="sk-SK"/>
        </w:rPr>
        <w:t>339) pridané k bežnej starostlivosti zameranej na regionálne štandardy pre HbA</w:t>
      </w:r>
      <w:r w:rsidRPr="00F66081">
        <w:rPr>
          <w:vertAlign w:val="subscript"/>
          <w:lang w:val="sk-SK"/>
        </w:rPr>
        <w:t>1c</w:t>
      </w:r>
      <w:r w:rsidR="00BC38B4" w:rsidRPr="00F66081">
        <w:rPr>
          <w:vertAlign w:val="subscript"/>
          <w:lang w:val="sk-SK"/>
        </w:rPr>
        <w:t xml:space="preserve"> </w:t>
      </w:r>
      <w:r w:rsidRPr="00F66081">
        <w:rPr>
          <w:lang w:val="sk-SK"/>
        </w:rPr>
        <w:t>a KV rizikové faktory. Do štúdie ne</w:t>
      </w:r>
      <w:r w:rsidR="00BC38B4" w:rsidRPr="00F66081">
        <w:rPr>
          <w:lang w:val="sk-SK"/>
        </w:rPr>
        <w:t>boli zaradení pacienti s eGFR &lt; 30 ml/min/1,73 </w:t>
      </w:r>
      <w:r w:rsidRPr="00F66081">
        <w:rPr>
          <w:lang w:val="sk-SK"/>
        </w:rPr>
        <w:t>m</w:t>
      </w:r>
      <w:r w:rsidRPr="00F66081">
        <w:rPr>
          <w:vertAlign w:val="superscript"/>
          <w:lang w:val="sk-SK"/>
        </w:rPr>
        <w:t>2</w:t>
      </w:r>
      <w:r w:rsidR="00BC38B4" w:rsidRPr="00F66081">
        <w:rPr>
          <w:lang w:val="sk-SK"/>
        </w:rPr>
        <w:t>. Populácia štúdie zahŕňala 2 004 pacientov vo veku ≥ 75 rokov a 3 </w:t>
      </w:r>
      <w:r w:rsidRPr="00F66081">
        <w:rPr>
          <w:lang w:val="sk-SK"/>
        </w:rPr>
        <w:t>324 pacientov s poruchou funkcie obličiek (eGFR &lt;</w:t>
      </w:r>
      <w:r w:rsidR="00BC38B4" w:rsidRPr="00F66081">
        <w:rPr>
          <w:lang w:val="sk-SK"/>
        </w:rPr>
        <w:t> 60 ml/min/1,73 </w:t>
      </w:r>
      <w:r w:rsidRPr="00F66081">
        <w:rPr>
          <w:lang w:val="sk-SK"/>
        </w:rPr>
        <w:t>m</w:t>
      </w:r>
      <w:r w:rsidRPr="00F66081">
        <w:rPr>
          <w:vertAlign w:val="superscript"/>
          <w:lang w:val="sk-SK"/>
        </w:rPr>
        <w:t>2</w:t>
      </w:r>
      <w:r w:rsidRPr="00F66081">
        <w:rPr>
          <w:lang w:val="sk-SK"/>
        </w:rPr>
        <w:t>).</w:t>
      </w:r>
    </w:p>
    <w:p w:rsidR="00532B78" w:rsidRPr="00F66081" w:rsidRDefault="00532B78" w:rsidP="00F67A7A">
      <w:pPr>
        <w:pStyle w:val="Zkladntext"/>
        <w:spacing w:before="9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Počas trvania štúdie bol celkový odhadovaný priemerný (SD) rozdiel v HbA</w:t>
      </w:r>
      <w:r w:rsidRPr="00F66081">
        <w:rPr>
          <w:vertAlign w:val="subscript"/>
          <w:lang w:val="sk-SK"/>
        </w:rPr>
        <w:t>1c</w:t>
      </w:r>
      <w:r w:rsidRPr="00F66081">
        <w:rPr>
          <w:lang w:val="sk-SK"/>
        </w:rPr>
        <w:t xml:space="preserve"> medzi skupinou užívajúcou sitagliptín a s</w:t>
      </w:r>
      <w:r w:rsidR="00BC38B4" w:rsidRPr="00F66081">
        <w:rPr>
          <w:lang w:val="sk-SK"/>
        </w:rPr>
        <w:t>kupinou užívajúcou placebo 0,29 % (0,01), 95 % IS (-</w:t>
      </w:r>
      <w:r w:rsidRPr="00F66081">
        <w:rPr>
          <w:lang w:val="sk-SK"/>
        </w:rPr>
        <w:t xml:space="preserve">0,32; </w:t>
      </w:r>
      <w:r w:rsidR="00BC38B4" w:rsidRPr="00F66081">
        <w:rPr>
          <w:lang w:val="sk-SK"/>
        </w:rPr>
        <w:t>-</w:t>
      </w:r>
      <w:r w:rsidRPr="00F66081">
        <w:rPr>
          <w:lang w:val="sk-SK"/>
        </w:rPr>
        <w:t>0,27);</w:t>
      </w:r>
      <w:r w:rsidR="00BC38B4" w:rsidRPr="00F66081">
        <w:rPr>
          <w:lang w:val="sk-SK"/>
        </w:rPr>
        <w:t xml:space="preserve"> p </w:t>
      </w:r>
      <w:r w:rsidRPr="00F66081">
        <w:rPr>
          <w:lang w:val="sk-SK"/>
        </w:rPr>
        <w:t>&lt;</w:t>
      </w:r>
      <w:r w:rsidR="00BC38B4" w:rsidRPr="00F66081">
        <w:rPr>
          <w:lang w:val="sk-SK"/>
        </w:rPr>
        <w:t> </w:t>
      </w:r>
      <w:r w:rsidRPr="00F66081">
        <w:rPr>
          <w:lang w:val="sk-SK"/>
        </w:rPr>
        <w:t>0,001.</w:t>
      </w:r>
    </w:p>
    <w:p w:rsidR="00532B78" w:rsidRPr="00F66081" w:rsidRDefault="00532B78" w:rsidP="00F67A7A">
      <w:pPr>
        <w:pStyle w:val="Zkladntext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spacing w:before="1"/>
        <w:ind w:left="0"/>
        <w:rPr>
          <w:lang w:val="sk-SK"/>
        </w:rPr>
      </w:pPr>
      <w:r w:rsidRPr="00F66081">
        <w:rPr>
          <w:lang w:val="sk-SK"/>
        </w:rPr>
        <w:t>Primárny kardiovaskulárny cieľový ukazovateľ bol zložený z prvého výskytu kardiovaskulárneho úmrtia, nefatálneho infarktu myokardu, nefatálnej cievnej mozgovej príhody alebo</w:t>
      </w:r>
      <w:r w:rsidRPr="00F66081">
        <w:rPr>
          <w:spacing w:val="11"/>
          <w:lang w:val="sk-SK"/>
        </w:rPr>
        <w:t xml:space="preserve"> </w:t>
      </w:r>
      <w:r w:rsidRPr="00F66081">
        <w:rPr>
          <w:lang w:val="sk-SK"/>
        </w:rPr>
        <w:t>hospitalizácie</w:t>
      </w:r>
      <w:r w:rsidR="00BC38B4" w:rsidRPr="00F66081">
        <w:rPr>
          <w:lang w:val="sk-SK"/>
        </w:rPr>
        <w:t xml:space="preserve"> </w:t>
      </w:r>
      <w:r w:rsidRPr="00F66081">
        <w:rPr>
          <w:lang w:val="sk-SK"/>
        </w:rPr>
        <w:t>z</w:t>
      </w:r>
      <w:r w:rsidR="00BC38B4" w:rsidRPr="00F66081">
        <w:rPr>
          <w:lang w:val="sk-SK"/>
        </w:rPr>
        <w:t> </w:t>
      </w:r>
      <w:r w:rsidRPr="00F66081">
        <w:rPr>
          <w:lang w:val="sk-SK"/>
        </w:rPr>
        <w:t>dôvodu nestabilnej angíny pectoris. Sekundárne kardiovaskulárne cieľové ukazovatele zahŕňali prvý výskyt kardiovaskulárneho úmrtia, nefatálneho infarktu myokardu alebo nefatálnej cievnej mozgovej príhody; prvý výskyt jednotlivých zložiek primárnej kombinácie; úmrtnosť z akejkoľvek</w:t>
      </w:r>
      <w:r w:rsidRPr="00F66081">
        <w:rPr>
          <w:spacing w:val="-26"/>
          <w:lang w:val="sk-SK"/>
        </w:rPr>
        <w:t xml:space="preserve"> </w:t>
      </w:r>
      <w:r w:rsidRPr="00F66081">
        <w:rPr>
          <w:lang w:val="sk-SK"/>
        </w:rPr>
        <w:t>príčiny;</w:t>
      </w:r>
      <w:r w:rsidR="00BC38B4" w:rsidRPr="00F66081">
        <w:rPr>
          <w:lang w:val="sk-SK"/>
        </w:rPr>
        <w:t xml:space="preserve"> </w:t>
      </w:r>
      <w:r w:rsidRPr="00F66081">
        <w:rPr>
          <w:lang w:val="sk-SK"/>
        </w:rPr>
        <w:t>a hospitalizáciu z dôvodu kongestívneho zlyhania srdca.</w:t>
      </w: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Po mediáne sledovania 3 roky, sitagliptín pridaný k bežnej starostlivosti, nezvýšil riziko hlavných kardiovaskulárnych nežiaducich udalostí alebo riziko hospitalizácie z dôvodu zlyhania srdca</w:t>
      </w:r>
      <w:r w:rsidR="00BC38B4" w:rsidRPr="00F66081">
        <w:rPr>
          <w:lang w:val="sk-SK"/>
        </w:rPr>
        <w:t xml:space="preserve"> </w:t>
      </w:r>
      <w:r w:rsidRPr="00F66081">
        <w:rPr>
          <w:lang w:val="sk-SK"/>
        </w:rPr>
        <w:t>v</w:t>
      </w:r>
      <w:r w:rsidR="00BC38B4" w:rsidRPr="00F66081">
        <w:rPr>
          <w:lang w:val="sk-SK"/>
        </w:rPr>
        <w:t> </w:t>
      </w:r>
      <w:r w:rsidRPr="00F66081">
        <w:rPr>
          <w:lang w:val="sk-SK"/>
        </w:rPr>
        <w:t>porovnaní s bežnou starostlivosťou bez sitagliptínu u pacientov s diabetom 2. typu (tabuľka 3).</w:t>
      </w:r>
    </w:p>
    <w:p w:rsidR="005E34C7" w:rsidRPr="00F66081" w:rsidRDefault="005E34C7" w:rsidP="00F67A7A">
      <w:pPr>
        <w:pStyle w:val="Nadpis1"/>
        <w:ind w:left="0"/>
        <w:rPr>
          <w:b w:val="0"/>
          <w:lang w:val="sk-SK"/>
        </w:rPr>
      </w:pPr>
    </w:p>
    <w:p w:rsidR="00532B78" w:rsidRPr="00F66081" w:rsidRDefault="00BA441E" w:rsidP="00F67A7A">
      <w:pPr>
        <w:pStyle w:val="Nadpis1"/>
        <w:spacing w:before="65"/>
        <w:ind w:left="0"/>
        <w:rPr>
          <w:lang w:val="sk-SK"/>
        </w:rPr>
      </w:pPr>
      <w:r w:rsidRPr="00F66081">
        <w:rPr>
          <w:lang w:val="sk-SK"/>
        </w:rPr>
        <w:t>Tabuľka 3. Hodnoty zložených kardiovaskulárnych výsledkov a kľúčových sekundárnych výsledkov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967"/>
        <w:gridCol w:w="967"/>
        <w:gridCol w:w="967"/>
        <w:gridCol w:w="973"/>
        <w:gridCol w:w="1476"/>
        <w:gridCol w:w="871"/>
      </w:tblGrid>
      <w:tr w:rsidR="00532B78" w:rsidRPr="00F66081" w:rsidTr="00BC38B4">
        <w:trPr>
          <w:trHeight w:val="210"/>
        </w:trPr>
        <w:tc>
          <w:tcPr>
            <w:tcW w:w="1578" w:type="pct"/>
            <w:vMerge w:val="restart"/>
          </w:tcPr>
          <w:p w:rsidR="00532B78" w:rsidRPr="00F66081" w:rsidRDefault="00532B78" w:rsidP="00F67A7A">
            <w:pPr>
              <w:pStyle w:val="TableParagraph"/>
              <w:rPr>
                <w:lang w:val="sk-SK"/>
              </w:rPr>
            </w:pPr>
          </w:p>
        </w:tc>
        <w:tc>
          <w:tcPr>
            <w:tcW w:w="1064" w:type="pct"/>
            <w:gridSpan w:val="2"/>
            <w:vAlign w:val="center"/>
          </w:tcPr>
          <w:p w:rsidR="00532B78" w:rsidRPr="00F66081" w:rsidRDefault="00BA441E" w:rsidP="00F67A7A">
            <w:pPr>
              <w:pStyle w:val="TableParagraph"/>
              <w:spacing w:before="4"/>
              <w:jc w:val="center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Sitagliptín 100 mg</w:t>
            </w:r>
          </w:p>
        </w:tc>
        <w:tc>
          <w:tcPr>
            <w:tcW w:w="1067" w:type="pct"/>
            <w:gridSpan w:val="2"/>
            <w:vAlign w:val="center"/>
          </w:tcPr>
          <w:p w:rsidR="00532B78" w:rsidRPr="00F66081" w:rsidRDefault="00BA441E" w:rsidP="00F67A7A">
            <w:pPr>
              <w:pStyle w:val="TableParagraph"/>
              <w:spacing w:before="4"/>
              <w:jc w:val="center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Placebo</w:t>
            </w:r>
          </w:p>
        </w:tc>
        <w:tc>
          <w:tcPr>
            <w:tcW w:w="812" w:type="pct"/>
            <w:vMerge w:val="restart"/>
            <w:vAlign w:val="bottom"/>
          </w:tcPr>
          <w:p w:rsidR="00532B78" w:rsidRPr="00F66081" w:rsidRDefault="00BA441E" w:rsidP="00F67A7A">
            <w:pPr>
              <w:pStyle w:val="TableParagraph"/>
              <w:spacing w:before="154"/>
              <w:ind w:left="103"/>
              <w:jc w:val="center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Pomer rizika (95 % IS)</w:t>
            </w:r>
          </w:p>
        </w:tc>
        <w:tc>
          <w:tcPr>
            <w:tcW w:w="478" w:type="pct"/>
            <w:vMerge w:val="restart"/>
            <w:vAlign w:val="bottom"/>
          </w:tcPr>
          <w:p w:rsidR="00532B78" w:rsidRPr="00F66081" w:rsidRDefault="00BA441E" w:rsidP="00F67A7A">
            <w:pPr>
              <w:pStyle w:val="TableParagraph"/>
              <w:jc w:val="center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Hodnota</w:t>
            </w:r>
          </w:p>
          <w:p w:rsidR="00532B78" w:rsidRPr="00F66081" w:rsidRDefault="00BA441E" w:rsidP="00F67A7A">
            <w:pPr>
              <w:pStyle w:val="TableParagraph"/>
              <w:spacing w:before="25"/>
              <w:jc w:val="center"/>
              <w:rPr>
                <w:lang w:val="sk-SK"/>
              </w:rPr>
            </w:pPr>
            <w:r w:rsidRPr="00F66081">
              <w:rPr>
                <w:b/>
                <w:position w:val="-7"/>
                <w:lang w:val="sk-SK"/>
              </w:rPr>
              <w:t>p</w:t>
            </w:r>
            <w:r w:rsidR="00F60FA9" w:rsidRPr="00F66081">
              <w:rPr>
                <w:iCs/>
                <w:sz w:val="20"/>
                <w:vertAlign w:val="superscript"/>
                <w:lang w:val="sk-SK"/>
              </w:rPr>
              <w:t>†</w:t>
            </w:r>
          </w:p>
        </w:tc>
      </w:tr>
      <w:tr w:rsidR="00532B78" w:rsidRPr="00F66081" w:rsidTr="00BC38B4">
        <w:trPr>
          <w:trHeight w:val="889"/>
        </w:trPr>
        <w:tc>
          <w:tcPr>
            <w:tcW w:w="1578" w:type="pct"/>
            <w:vMerge/>
            <w:tcBorders>
              <w:top w:val="nil"/>
            </w:tcBorders>
          </w:tcPr>
          <w:p w:rsidR="00532B78" w:rsidRPr="00F66081" w:rsidRDefault="00532B78" w:rsidP="00F67A7A">
            <w:pPr>
              <w:rPr>
                <w:lang w:val="sk-SK"/>
              </w:rPr>
            </w:pP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jc w:val="center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N (%)</w:t>
            </w:r>
          </w:p>
        </w:tc>
        <w:tc>
          <w:tcPr>
            <w:tcW w:w="532" w:type="pct"/>
          </w:tcPr>
          <w:p w:rsidR="00532B78" w:rsidRPr="00F66081" w:rsidRDefault="00BA441E" w:rsidP="00F67A7A">
            <w:pPr>
              <w:pStyle w:val="TableParagraph"/>
              <w:spacing w:before="45"/>
              <w:jc w:val="center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Výskyt na 100</w:t>
            </w:r>
          </w:p>
          <w:p w:rsidR="00532B78" w:rsidRPr="00F66081" w:rsidRDefault="00BA441E" w:rsidP="00F67A7A">
            <w:pPr>
              <w:pStyle w:val="TableParagraph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paciento-</w:t>
            </w:r>
          </w:p>
          <w:p w:rsidR="00532B78" w:rsidRPr="00F66081" w:rsidRDefault="00BA441E" w:rsidP="00F67A7A">
            <w:pPr>
              <w:pStyle w:val="TableParagraph"/>
              <w:spacing w:before="4"/>
              <w:jc w:val="center"/>
              <w:rPr>
                <w:lang w:val="sk-SK"/>
              </w:rPr>
            </w:pPr>
            <w:r w:rsidRPr="00F66081">
              <w:rPr>
                <w:b/>
                <w:lang w:val="sk-SK"/>
              </w:rPr>
              <w:t>rokov</w:t>
            </w:r>
            <w:r w:rsidRPr="00F66081">
              <w:rPr>
                <w:vertAlign w:val="superscript"/>
                <w:lang w:val="sk-SK"/>
              </w:rPr>
              <w:t>*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jc w:val="center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N (%)</w:t>
            </w:r>
          </w:p>
        </w:tc>
        <w:tc>
          <w:tcPr>
            <w:tcW w:w="535" w:type="pct"/>
          </w:tcPr>
          <w:p w:rsidR="00532B78" w:rsidRPr="00F66081" w:rsidRDefault="00BA441E" w:rsidP="00F67A7A">
            <w:pPr>
              <w:pStyle w:val="TableParagraph"/>
              <w:spacing w:before="45"/>
              <w:jc w:val="center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Výskyt na 100</w:t>
            </w:r>
          </w:p>
          <w:p w:rsidR="00532B78" w:rsidRPr="00F66081" w:rsidRDefault="00BA441E" w:rsidP="00F67A7A">
            <w:pPr>
              <w:pStyle w:val="TableParagraph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paciento-</w:t>
            </w:r>
          </w:p>
          <w:p w:rsidR="00532B78" w:rsidRPr="00F66081" w:rsidRDefault="00BA441E" w:rsidP="00F67A7A">
            <w:pPr>
              <w:pStyle w:val="TableParagraph"/>
              <w:spacing w:before="4"/>
              <w:jc w:val="center"/>
              <w:rPr>
                <w:lang w:val="sk-SK"/>
              </w:rPr>
            </w:pPr>
            <w:r w:rsidRPr="00F66081">
              <w:rPr>
                <w:b/>
                <w:lang w:val="sk-SK"/>
              </w:rPr>
              <w:t>rokov</w:t>
            </w:r>
            <w:r w:rsidRPr="00F66081">
              <w:rPr>
                <w:vertAlign w:val="superscript"/>
                <w:lang w:val="sk-SK"/>
              </w:rPr>
              <w:t>*</w:t>
            </w:r>
          </w:p>
        </w:tc>
        <w:tc>
          <w:tcPr>
            <w:tcW w:w="812" w:type="pct"/>
            <w:vMerge/>
            <w:tcBorders>
              <w:top w:val="nil"/>
            </w:tcBorders>
          </w:tcPr>
          <w:p w:rsidR="00532B78" w:rsidRPr="00F66081" w:rsidRDefault="00532B78" w:rsidP="00F67A7A">
            <w:pPr>
              <w:rPr>
                <w:lang w:val="sk-SK"/>
              </w:rPr>
            </w:pPr>
          </w:p>
        </w:tc>
        <w:tc>
          <w:tcPr>
            <w:tcW w:w="478" w:type="pct"/>
            <w:vMerge/>
            <w:tcBorders>
              <w:top w:val="nil"/>
            </w:tcBorders>
          </w:tcPr>
          <w:p w:rsidR="00532B78" w:rsidRPr="00F66081" w:rsidRDefault="00532B78" w:rsidP="00F67A7A">
            <w:pPr>
              <w:rPr>
                <w:lang w:val="sk-SK"/>
              </w:rPr>
            </w:pPr>
          </w:p>
        </w:tc>
      </w:tr>
      <w:tr w:rsidR="00532B78" w:rsidRPr="00F66081" w:rsidTr="00BC38B4">
        <w:trPr>
          <w:trHeight w:val="251"/>
        </w:trPr>
        <w:tc>
          <w:tcPr>
            <w:tcW w:w="5000" w:type="pct"/>
            <w:gridSpan w:val="7"/>
          </w:tcPr>
          <w:p w:rsidR="00532B78" w:rsidRPr="00F66081" w:rsidRDefault="00BA441E" w:rsidP="00F67A7A">
            <w:pPr>
              <w:pStyle w:val="TableParagraph"/>
              <w:spacing w:before="45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Analýza v populácii podľa liečebného zámeru (intention-to-treat)</w:t>
            </w:r>
          </w:p>
        </w:tc>
      </w:tr>
      <w:tr w:rsidR="00532B78" w:rsidRPr="00F66081" w:rsidTr="00BC38B4">
        <w:trPr>
          <w:trHeight w:val="251"/>
        </w:trPr>
        <w:tc>
          <w:tcPr>
            <w:tcW w:w="1578" w:type="pct"/>
          </w:tcPr>
          <w:p w:rsidR="00532B78" w:rsidRPr="00F66081" w:rsidRDefault="00BA441E" w:rsidP="00F67A7A">
            <w:pPr>
              <w:pStyle w:val="TableParagraph"/>
              <w:spacing w:before="23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Počet pacientov</w:t>
            </w:r>
          </w:p>
        </w:tc>
        <w:tc>
          <w:tcPr>
            <w:tcW w:w="1064" w:type="pct"/>
            <w:gridSpan w:val="2"/>
            <w:vAlign w:val="bottom"/>
          </w:tcPr>
          <w:p w:rsidR="00532B78" w:rsidRPr="00F66081" w:rsidRDefault="00BC38B4" w:rsidP="00F67A7A">
            <w:pPr>
              <w:pStyle w:val="TableParagraph"/>
              <w:spacing w:before="45"/>
              <w:jc w:val="center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7 </w:t>
            </w:r>
            <w:r w:rsidR="00BA441E" w:rsidRPr="00F66081">
              <w:rPr>
                <w:b/>
                <w:lang w:val="sk-SK"/>
              </w:rPr>
              <w:t>332</w:t>
            </w:r>
          </w:p>
        </w:tc>
        <w:tc>
          <w:tcPr>
            <w:tcW w:w="1067" w:type="pct"/>
            <w:gridSpan w:val="2"/>
            <w:vAlign w:val="bottom"/>
          </w:tcPr>
          <w:p w:rsidR="00532B78" w:rsidRPr="00F66081" w:rsidRDefault="00BC38B4" w:rsidP="00F67A7A">
            <w:pPr>
              <w:pStyle w:val="TableParagraph"/>
              <w:spacing w:before="45"/>
              <w:jc w:val="center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7 </w:t>
            </w:r>
            <w:r w:rsidR="00BA441E" w:rsidRPr="00F66081">
              <w:rPr>
                <w:b/>
                <w:lang w:val="sk-SK"/>
              </w:rPr>
              <w:t>339</w:t>
            </w:r>
          </w:p>
        </w:tc>
        <w:tc>
          <w:tcPr>
            <w:tcW w:w="812" w:type="pct"/>
            <w:vMerge w:val="restart"/>
            <w:vAlign w:val="bottom"/>
          </w:tcPr>
          <w:p w:rsidR="00BC38B4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0,98</w:t>
            </w:r>
          </w:p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(0,89–1,08)</w:t>
            </w:r>
          </w:p>
        </w:tc>
        <w:tc>
          <w:tcPr>
            <w:tcW w:w="478" w:type="pct"/>
            <w:vMerge w:val="restart"/>
            <w:vAlign w:val="bottom"/>
          </w:tcPr>
          <w:p w:rsidR="00532B78" w:rsidRPr="00F66081" w:rsidRDefault="00BA441E" w:rsidP="00F67A7A">
            <w:pPr>
              <w:pStyle w:val="TableParagraph"/>
              <w:spacing w:before="134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&lt; 0,001</w:t>
            </w:r>
          </w:p>
        </w:tc>
      </w:tr>
      <w:tr w:rsidR="00532B78" w:rsidRPr="00F66081" w:rsidTr="00BC38B4">
        <w:trPr>
          <w:trHeight w:val="1689"/>
        </w:trPr>
        <w:tc>
          <w:tcPr>
            <w:tcW w:w="1578" w:type="pct"/>
          </w:tcPr>
          <w:p w:rsidR="00532B78" w:rsidRPr="00F66081" w:rsidRDefault="00BA441E" w:rsidP="00F67A7A">
            <w:pPr>
              <w:pStyle w:val="TableParagraph"/>
              <w:spacing w:before="4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Primárny zložený cieľový ukazovateľ</w:t>
            </w:r>
          </w:p>
          <w:p w:rsidR="00532B78" w:rsidRPr="00F66081" w:rsidRDefault="00BA441E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(Kardiovaskulárne úmrtie, nefatálny infarkt myokardu, nefatálna cievna mozgová príhoda alebo hospitalizácia z dôvodu nestabilnej angíny</w:t>
            </w:r>
            <w:r w:rsidR="00BC38B4" w:rsidRPr="00F66081">
              <w:rPr>
                <w:lang w:val="sk-SK"/>
              </w:rPr>
              <w:t xml:space="preserve"> </w:t>
            </w:r>
            <w:r w:rsidRPr="00F66081">
              <w:rPr>
                <w:lang w:val="sk-SK"/>
              </w:rPr>
              <w:t>pectoris)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839 (11,4)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4,1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851 (11,6)</w:t>
            </w:r>
          </w:p>
        </w:tc>
        <w:tc>
          <w:tcPr>
            <w:tcW w:w="535" w:type="pct"/>
            <w:vAlign w:val="bottom"/>
          </w:tcPr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4,2</w:t>
            </w:r>
          </w:p>
        </w:tc>
        <w:tc>
          <w:tcPr>
            <w:tcW w:w="812" w:type="pct"/>
            <w:vMerge/>
            <w:tcBorders>
              <w:top w:val="nil"/>
            </w:tcBorders>
            <w:vAlign w:val="bottom"/>
          </w:tcPr>
          <w:p w:rsidR="00532B78" w:rsidRPr="00F66081" w:rsidRDefault="00532B78" w:rsidP="00F67A7A">
            <w:pPr>
              <w:jc w:val="center"/>
              <w:rPr>
                <w:lang w:val="sk-SK"/>
              </w:rPr>
            </w:pPr>
          </w:p>
        </w:tc>
        <w:tc>
          <w:tcPr>
            <w:tcW w:w="478" w:type="pct"/>
            <w:vMerge/>
            <w:tcBorders>
              <w:top w:val="nil"/>
            </w:tcBorders>
            <w:vAlign w:val="bottom"/>
          </w:tcPr>
          <w:p w:rsidR="00532B78" w:rsidRPr="00F66081" w:rsidRDefault="00532B78" w:rsidP="00F67A7A">
            <w:pPr>
              <w:jc w:val="center"/>
              <w:rPr>
                <w:lang w:val="sk-SK"/>
              </w:rPr>
            </w:pPr>
          </w:p>
        </w:tc>
      </w:tr>
      <w:tr w:rsidR="00532B78" w:rsidRPr="00F66081" w:rsidTr="00A14129">
        <w:trPr>
          <w:trHeight w:val="264"/>
        </w:trPr>
        <w:tc>
          <w:tcPr>
            <w:tcW w:w="1578" w:type="pct"/>
          </w:tcPr>
          <w:p w:rsidR="00532B78" w:rsidRPr="00F66081" w:rsidRDefault="00BA441E" w:rsidP="00F67A7A">
            <w:pPr>
              <w:pStyle w:val="TableParagraph"/>
              <w:spacing w:before="4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Sekundárny zložený cieľový ukazovateľ</w:t>
            </w:r>
          </w:p>
          <w:p w:rsidR="00532B78" w:rsidRPr="00F66081" w:rsidRDefault="00BA441E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(Kardiovaskulárne úmrtie, nefatálny infarkt myokardu, nefatálna cievna mozgová</w:t>
            </w:r>
            <w:r w:rsidR="00BC38B4" w:rsidRPr="00F66081">
              <w:rPr>
                <w:lang w:val="sk-SK"/>
              </w:rPr>
              <w:t xml:space="preserve"> </w:t>
            </w:r>
            <w:r w:rsidRPr="00F66081">
              <w:rPr>
                <w:lang w:val="sk-SK"/>
              </w:rPr>
              <w:t>príhoda)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35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745 (10,2)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35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3,6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35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746 (10,2)</w:t>
            </w:r>
          </w:p>
        </w:tc>
        <w:tc>
          <w:tcPr>
            <w:tcW w:w="535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35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3,6</w:t>
            </w:r>
          </w:p>
        </w:tc>
        <w:tc>
          <w:tcPr>
            <w:tcW w:w="812" w:type="pct"/>
            <w:vAlign w:val="bottom"/>
          </w:tcPr>
          <w:p w:rsidR="00465AD5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0,99</w:t>
            </w:r>
          </w:p>
          <w:p w:rsidR="00532B78" w:rsidRPr="00F66081" w:rsidRDefault="00BA441E" w:rsidP="00F67A7A">
            <w:pPr>
              <w:pStyle w:val="TableParagraph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(0,89–1,10)</w:t>
            </w:r>
          </w:p>
        </w:tc>
        <w:tc>
          <w:tcPr>
            <w:tcW w:w="478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35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&lt; 0,001</w:t>
            </w:r>
          </w:p>
        </w:tc>
      </w:tr>
      <w:tr w:rsidR="00532B78" w:rsidRPr="00F66081" w:rsidTr="00BC38B4">
        <w:trPr>
          <w:trHeight w:val="251"/>
        </w:trPr>
        <w:tc>
          <w:tcPr>
            <w:tcW w:w="5000" w:type="pct"/>
            <w:gridSpan w:val="7"/>
          </w:tcPr>
          <w:p w:rsidR="00532B78" w:rsidRPr="00F66081" w:rsidRDefault="00BA441E" w:rsidP="00F67A7A">
            <w:pPr>
              <w:pStyle w:val="TableParagraph"/>
              <w:spacing w:before="45"/>
              <w:rPr>
                <w:b/>
                <w:lang w:val="sk-SK"/>
              </w:rPr>
            </w:pPr>
            <w:r w:rsidRPr="00F66081">
              <w:rPr>
                <w:b/>
                <w:lang w:val="sk-SK"/>
              </w:rPr>
              <w:t>Sekundárny výsledok</w:t>
            </w:r>
          </w:p>
        </w:tc>
      </w:tr>
      <w:tr w:rsidR="00532B78" w:rsidRPr="00F66081" w:rsidTr="00465AD5">
        <w:trPr>
          <w:trHeight w:val="251"/>
        </w:trPr>
        <w:tc>
          <w:tcPr>
            <w:tcW w:w="1578" w:type="pct"/>
          </w:tcPr>
          <w:p w:rsidR="00532B78" w:rsidRPr="00F66081" w:rsidRDefault="00BA441E" w:rsidP="00F67A7A">
            <w:pPr>
              <w:pStyle w:val="TableParagraph"/>
              <w:spacing w:before="19"/>
              <w:rPr>
                <w:lang w:val="sk-SK"/>
              </w:rPr>
            </w:pPr>
            <w:r w:rsidRPr="00F66081">
              <w:rPr>
                <w:lang w:val="sk-SK"/>
              </w:rPr>
              <w:t>Kardiovaskulárne úmrtie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40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380 (5,2)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40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1,7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40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366 (5,0)</w:t>
            </w:r>
          </w:p>
        </w:tc>
        <w:tc>
          <w:tcPr>
            <w:tcW w:w="535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40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1,7</w:t>
            </w:r>
          </w:p>
        </w:tc>
        <w:tc>
          <w:tcPr>
            <w:tcW w:w="812" w:type="pct"/>
            <w:vAlign w:val="bottom"/>
          </w:tcPr>
          <w:p w:rsidR="00465AD5" w:rsidRPr="00F66081" w:rsidRDefault="00BA441E" w:rsidP="00F67A7A">
            <w:pPr>
              <w:pStyle w:val="TableParagraph"/>
              <w:spacing w:before="40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1,03</w:t>
            </w:r>
          </w:p>
          <w:p w:rsidR="00532B78" w:rsidRPr="00F66081" w:rsidRDefault="00BA441E" w:rsidP="00F67A7A">
            <w:pPr>
              <w:pStyle w:val="TableParagraph"/>
              <w:spacing w:before="40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(0,89-1,19)</w:t>
            </w:r>
          </w:p>
        </w:tc>
        <w:tc>
          <w:tcPr>
            <w:tcW w:w="478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40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0,711</w:t>
            </w:r>
          </w:p>
        </w:tc>
      </w:tr>
      <w:tr w:rsidR="00532B78" w:rsidRPr="00F66081" w:rsidTr="00465AD5">
        <w:trPr>
          <w:trHeight w:val="421"/>
        </w:trPr>
        <w:tc>
          <w:tcPr>
            <w:tcW w:w="1578" w:type="pct"/>
          </w:tcPr>
          <w:p w:rsidR="00532B78" w:rsidRPr="00F66081" w:rsidRDefault="00BA441E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Infarkt myokardu (fatálny</w:t>
            </w:r>
            <w:r w:rsidR="00465AD5" w:rsidRPr="00F66081">
              <w:rPr>
                <w:lang w:val="sk-SK"/>
              </w:rPr>
              <w:t xml:space="preserve"> </w:t>
            </w:r>
            <w:r w:rsidRPr="00F66081">
              <w:rPr>
                <w:lang w:val="sk-SK"/>
              </w:rPr>
              <w:t>a nefatálny)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300 (4,1)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1,4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316 (4,3)</w:t>
            </w:r>
          </w:p>
        </w:tc>
        <w:tc>
          <w:tcPr>
            <w:tcW w:w="535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1,5</w:t>
            </w:r>
          </w:p>
        </w:tc>
        <w:tc>
          <w:tcPr>
            <w:tcW w:w="812" w:type="pct"/>
            <w:vAlign w:val="bottom"/>
          </w:tcPr>
          <w:p w:rsidR="00465AD5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0,95</w:t>
            </w:r>
          </w:p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(0,81–1,11)</w:t>
            </w:r>
          </w:p>
        </w:tc>
        <w:tc>
          <w:tcPr>
            <w:tcW w:w="478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0,487</w:t>
            </w:r>
          </w:p>
        </w:tc>
      </w:tr>
      <w:tr w:rsidR="00532B78" w:rsidRPr="00F66081" w:rsidTr="00465AD5">
        <w:trPr>
          <w:trHeight w:val="421"/>
        </w:trPr>
        <w:tc>
          <w:tcPr>
            <w:tcW w:w="1578" w:type="pct"/>
          </w:tcPr>
          <w:p w:rsidR="00532B78" w:rsidRPr="00F66081" w:rsidRDefault="00BA441E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Cievna mozgová príhoda</w:t>
            </w:r>
            <w:r w:rsidR="00465AD5" w:rsidRPr="00F66081">
              <w:rPr>
                <w:lang w:val="sk-SK"/>
              </w:rPr>
              <w:t xml:space="preserve"> </w:t>
            </w:r>
            <w:r w:rsidRPr="00F66081">
              <w:rPr>
                <w:lang w:val="sk-SK"/>
              </w:rPr>
              <w:t>(fatálna a nefatálna)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178 (2,4)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0,8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183 (2,5)</w:t>
            </w:r>
          </w:p>
        </w:tc>
        <w:tc>
          <w:tcPr>
            <w:tcW w:w="535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0,9</w:t>
            </w:r>
          </w:p>
        </w:tc>
        <w:tc>
          <w:tcPr>
            <w:tcW w:w="812" w:type="pct"/>
            <w:vAlign w:val="bottom"/>
          </w:tcPr>
          <w:p w:rsidR="00465AD5" w:rsidRPr="00F66081" w:rsidRDefault="00465AD5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0,97</w:t>
            </w:r>
          </w:p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(0,79–1,19)</w:t>
            </w:r>
          </w:p>
        </w:tc>
        <w:tc>
          <w:tcPr>
            <w:tcW w:w="478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0,760</w:t>
            </w:r>
          </w:p>
        </w:tc>
      </w:tr>
      <w:tr w:rsidR="00532B78" w:rsidRPr="00F66081" w:rsidTr="00465AD5">
        <w:trPr>
          <w:trHeight w:val="421"/>
        </w:trPr>
        <w:tc>
          <w:tcPr>
            <w:tcW w:w="1578" w:type="pct"/>
          </w:tcPr>
          <w:p w:rsidR="00532B78" w:rsidRPr="00F66081" w:rsidRDefault="00BA441E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Hospitalizácia z</w:t>
            </w:r>
            <w:r w:rsidR="00465AD5" w:rsidRPr="00F66081">
              <w:rPr>
                <w:lang w:val="sk-SK"/>
              </w:rPr>
              <w:t> </w:t>
            </w:r>
            <w:r w:rsidRPr="00F66081">
              <w:rPr>
                <w:lang w:val="sk-SK"/>
              </w:rPr>
              <w:t>dôvodu</w:t>
            </w:r>
            <w:r w:rsidR="00465AD5" w:rsidRPr="00F66081">
              <w:rPr>
                <w:lang w:val="sk-SK"/>
              </w:rPr>
              <w:t xml:space="preserve"> </w:t>
            </w:r>
            <w:r w:rsidRPr="00F66081">
              <w:rPr>
                <w:lang w:val="sk-SK"/>
              </w:rPr>
              <w:t>nestabilnej angíny pectoris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116 (1,6)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0,5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129 (1,8)</w:t>
            </w:r>
          </w:p>
        </w:tc>
        <w:tc>
          <w:tcPr>
            <w:tcW w:w="535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0,6</w:t>
            </w:r>
          </w:p>
        </w:tc>
        <w:tc>
          <w:tcPr>
            <w:tcW w:w="812" w:type="pct"/>
            <w:vAlign w:val="bottom"/>
          </w:tcPr>
          <w:p w:rsidR="00465AD5" w:rsidRPr="00F66081" w:rsidRDefault="00465AD5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0,90</w:t>
            </w:r>
          </w:p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(0,70–1,16)</w:t>
            </w:r>
          </w:p>
        </w:tc>
        <w:tc>
          <w:tcPr>
            <w:tcW w:w="478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0,419</w:t>
            </w:r>
          </w:p>
        </w:tc>
      </w:tr>
      <w:tr w:rsidR="00532B78" w:rsidRPr="00F66081" w:rsidTr="00465AD5">
        <w:trPr>
          <w:trHeight w:val="251"/>
        </w:trPr>
        <w:tc>
          <w:tcPr>
            <w:tcW w:w="1578" w:type="pct"/>
          </w:tcPr>
          <w:p w:rsidR="00532B78" w:rsidRPr="00F66081" w:rsidRDefault="00BA441E" w:rsidP="00F67A7A">
            <w:pPr>
              <w:pStyle w:val="TableParagraph"/>
              <w:spacing w:before="19"/>
              <w:rPr>
                <w:lang w:val="sk-SK"/>
              </w:rPr>
            </w:pPr>
            <w:r w:rsidRPr="00F66081">
              <w:rPr>
                <w:lang w:val="sk-SK"/>
              </w:rPr>
              <w:t>Úmrtie z akejkoľvek príčiny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40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547 (7,5)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40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2,5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40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537 (7,3)</w:t>
            </w:r>
          </w:p>
        </w:tc>
        <w:tc>
          <w:tcPr>
            <w:tcW w:w="535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40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2,5</w:t>
            </w:r>
          </w:p>
        </w:tc>
        <w:tc>
          <w:tcPr>
            <w:tcW w:w="812" w:type="pct"/>
            <w:vAlign w:val="bottom"/>
          </w:tcPr>
          <w:p w:rsidR="00465AD5" w:rsidRPr="00F66081" w:rsidRDefault="00465AD5" w:rsidP="00F67A7A">
            <w:pPr>
              <w:pStyle w:val="TableParagraph"/>
              <w:spacing w:before="40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1,01</w:t>
            </w:r>
          </w:p>
          <w:p w:rsidR="00532B78" w:rsidRPr="00F66081" w:rsidRDefault="00BA441E" w:rsidP="00F67A7A">
            <w:pPr>
              <w:pStyle w:val="TableParagraph"/>
              <w:spacing w:before="40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(0,90–1,14)</w:t>
            </w:r>
          </w:p>
        </w:tc>
        <w:tc>
          <w:tcPr>
            <w:tcW w:w="478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40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0,875</w:t>
            </w:r>
          </w:p>
        </w:tc>
      </w:tr>
      <w:tr w:rsidR="00532B78" w:rsidRPr="00F66081" w:rsidTr="00465AD5">
        <w:trPr>
          <w:trHeight w:val="421"/>
        </w:trPr>
        <w:tc>
          <w:tcPr>
            <w:tcW w:w="1578" w:type="pct"/>
          </w:tcPr>
          <w:p w:rsidR="00532B78" w:rsidRPr="00F66081" w:rsidRDefault="00BA441E" w:rsidP="00F67A7A">
            <w:pPr>
              <w:pStyle w:val="TableParagraph"/>
              <w:rPr>
                <w:lang w:val="sk-SK"/>
              </w:rPr>
            </w:pPr>
            <w:r w:rsidRPr="00F66081">
              <w:rPr>
                <w:lang w:val="sk-SK"/>
              </w:rPr>
              <w:t>Hospitalizácia z</w:t>
            </w:r>
            <w:r w:rsidR="00465AD5" w:rsidRPr="00F66081">
              <w:rPr>
                <w:lang w:val="sk-SK"/>
              </w:rPr>
              <w:t> </w:t>
            </w:r>
            <w:r w:rsidRPr="00F66081">
              <w:rPr>
                <w:lang w:val="sk-SK"/>
              </w:rPr>
              <w:t>dôvodu</w:t>
            </w:r>
            <w:r w:rsidR="00465AD5" w:rsidRPr="00F66081">
              <w:rPr>
                <w:lang w:val="sk-SK"/>
              </w:rPr>
              <w:t xml:space="preserve"> </w:t>
            </w:r>
            <w:r w:rsidRPr="00F66081">
              <w:rPr>
                <w:lang w:val="sk-SK"/>
              </w:rPr>
              <w:t>zlyhania srdca</w:t>
            </w:r>
            <w:r w:rsidRPr="00F66081">
              <w:rPr>
                <w:vertAlign w:val="superscript"/>
                <w:lang w:val="sk-SK"/>
              </w:rPr>
              <w:t>‡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228 (3,1)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1,1</w:t>
            </w:r>
          </w:p>
        </w:tc>
        <w:tc>
          <w:tcPr>
            <w:tcW w:w="532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229 (3,1)</w:t>
            </w:r>
          </w:p>
        </w:tc>
        <w:tc>
          <w:tcPr>
            <w:tcW w:w="535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1,1</w:t>
            </w:r>
          </w:p>
        </w:tc>
        <w:tc>
          <w:tcPr>
            <w:tcW w:w="812" w:type="pct"/>
            <w:vAlign w:val="bottom"/>
          </w:tcPr>
          <w:p w:rsidR="00465AD5" w:rsidRPr="00F66081" w:rsidRDefault="00465AD5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1,00</w:t>
            </w:r>
          </w:p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(0,83–1,20)</w:t>
            </w:r>
          </w:p>
        </w:tc>
        <w:tc>
          <w:tcPr>
            <w:tcW w:w="478" w:type="pct"/>
            <w:vAlign w:val="bottom"/>
          </w:tcPr>
          <w:p w:rsidR="00532B78" w:rsidRPr="00F66081" w:rsidRDefault="00BA441E" w:rsidP="00F67A7A">
            <w:pPr>
              <w:pStyle w:val="TableParagraph"/>
              <w:spacing w:before="1"/>
              <w:jc w:val="center"/>
              <w:rPr>
                <w:lang w:val="sk-SK"/>
              </w:rPr>
            </w:pPr>
            <w:r w:rsidRPr="00F66081">
              <w:rPr>
                <w:lang w:val="sk-SK"/>
              </w:rPr>
              <w:t>0,983</w:t>
            </w:r>
          </w:p>
        </w:tc>
      </w:tr>
    </w:tbl>
    <w:p w:rsidR="00532B78" w:rsidRPr="00F66081" w:rsidRDefault="00BA441E" w:rsidP="00F67A7A">
      <w:pPr>
        <w:pStyle w:val="Odsekzoznamu"/>
        <w:numPr>
          <w:ilvl w:val="0"/>
          <w:numId w:val="15"/>
        </w:numPr>
        <w:tabs>
          <w:tab w:val="left" w:pos="142"/>
          <w:tab w:val="left" w:pos="9072"/>
        </w:tabs>
        <w:ind w:left="142" w:hanging="142"/>
        <w:rPr>
          <w:lang w:val="sk-SK"/>
        </w:rPr>
      </w:pPr>
      <w:r w:rsidRPr="00F66081">
        <w:rPr>
          <w:lang w:val="sk-SK"/>
        </w:rPr>
        <w:t>Výskyt na 100 pacientorokov je vypočítaný ako 100</w:t>
      </w:r>
      <w:r w:rsidR="00F60FA9" w:rsidRPr="00F66081">
        <w:rPr>
          <w:lang w:val="sk-SK"/>
        </w:rPr>
        <w:t xml:space="preserve"> x (celkový počet pacientov s ≥ </w:t>
      </w:r>
      <w:r w:rsidRPr="00F66081">
        <w:rPr>
          <w:lang w:val="sk-SK"/>
        </w:rPr>
        <w:t>1 udalosťou počas hodnoteného obdobia expozície na celkový počet pacientorokov počas obdobia</w:t>
      </w:r>
      <w:r w:rsidRPr="00F66081">
        <w:rPr>
          <w:spacing w:val="-1"/>
          <w:lang w:val="sk-SK"/>
        </w:rPr>
        <w:t xml:space="preserve"> </w:t>
      </w:r>
      <w:r w:rsidRPr="00F66081">
        <w:rPr>
          <w:lang w:val="sk-SK"/>
        </w:rPr>
        <w:t>sledovania).</w:t>
      </w:r>
    </w:p>
    <w:p w:rsidR="00532B78" w:rsidRPr="00F66081" w:rsidRDefault="00F60FA9" w:rsidP="00F67A7A">
      <w:pPr>
        <w:tabs>
          <w:tab w:val="left" w:pos="9072"/>
        </w:tabs>
        <w:ind w:left="142" w:hanging="142"/>
        <w:rPr>
          <w:lang w:val="sk-SK"/>
        </w:rPr>
      </w:pPr>
      <w:r w:rsidRPr="00F66081">
        <w:rPr>
          <w:iCs/>
          <w:sz w:val="20"/>
          <w:vertAlign w:val="superscript"/>
          <w:lang w:val="sk-SK"/>
        </w:rPr>
        <w:t>†</w:t>
      </w:r>
      <w:r w:rsidR="00465AD5" w:rsidRPr="00F66081">
        <w:rPr>
          <w:position w:val="8"/>
          <w:lang w:val="sk-SK"/>
        </w:rPr>
        <w:tab/>
      </w:r>
      <w:r w:rsidR="00BA441E" w:rsidRPr="00F66081">
        <w:rPr>
          <w:lang w:val="sk-SK"/>
        </w:rPr>
        <w:t>Na základe Coxovho modelu stratifikovaného podľa regiónu. Pre zložené cieľové ukazovatele hodnoty p zodpovedajú testu</w:t>
      </w:r>
      <w:r w:rsidRPr="00F66081">
        <w:rPr>
          <w:lang w:val="sk-SK"/>
        </w:rPr>
        <w:t xml:space="preserve"> </w:t>
      </w:r>
      <w:r w:rsidR="00BA441E" w:rsidRPr="00F66081">
        <w:rPr>
          <w:lang w:val="sk-SK"/>
        </w:rPr>
        <w:t>neinferiority so snahou dokázať, že pom</w:t>
      </w:r>
      <w:r w:rsidRPr="00F66081">
        <w:rPr>
          <w:lang w:val="sk-SK"/>
        </w:rPr>
        <w:t>er rizika je menší ako 1,3. Pre </w:t>
      </w:r>
      <w:r w:rsidR="00BA441E" w:rsidRPr="00F66081">
        <w:rPr>
          <w:lang w:val="sk-SK"/>
        </w:rPr>
        <w:t>všetky ostatné cieľové ukazovatele hodnoty p zodpovedajú testu rozdielov v pomere rizika.</w:t>
      </w:r>
    </w:p>
    <w:p w:rsidR="00532B78" w:rsidRPr="00F66081" w:rsidRDefault="00F60FA9" w:rsidP="00F67A7A">
      <w:pPr>
        <w:tabs>
          <w:tab w:val="left" w:pos="9072"/>
        </w:tabs>
        <w:ind w:left="142" w:hanging="142"/>
        <w:rPr>
          <w:lang w:val="sk-SK"/>
        </w:rPr>
      </w:pPr>
      <w:r w:rsidRPr="00F66081">
        <w:rPr>
          <w:iCs/>
          <w:sz w:val="20"/>
          <w:vertAlign w:val="superscript"/>
          <w:lang w:val="sk-SK"/>
        </w:rPr>
        <w:t>‡</w:t>
      </w:r>
      <w:r w:rsidR="00465AD5" w:rsidRPr="00F66081">
        <w:rPr>
          <w:position w:val="8"/>
          <w:lang w:val="sk-SK"/>
        </w:rPr>
        <w:tab/>
      </w:r>
      <w:r w:rsidR="00BA441E" w:rsidRPr="00F66081">
        <w:rPr>
          <w:lang w:val="sk-SK"/>
        </w:rPr>
        <w:t>Analýza hospitalizácie z dôvodu zlyhania srdca bola upravená na základe východiskovej anamnézy zlyhania srdca.</w:t>
      </w:r>
    </w:p>
    <w:p w:rsidR="00532B78" w:rsidRPr="00F66081" w:rsidRDefault="00532B78" w:rsidP="00F67A7A">
      <w:pPr>
        <w:pStyle w:val="Zkladntext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Pediatrická populácia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 xml:space="preserve">Európska agentúra pre lieky udelila odklad z povinnosti predložiť výsledky štúdií pre </w:t>
      </w:r>
      <w:r w:rsidR="008C05F2" w:rsidRPr="008C05F2">
        <w:rPr>
          <w:lang w:val="sk-SK"/>
        </w:rPr>
        <w:t xml:space="preserve">Zinzibet </w:t>
      </w:r>
      <w:r w:rsidR="00F60FA9" w:rsidRPr="00F66081">
        <w:rPr>
          <w:lang w:val="sk-SK"/>
        </w:rPr>
        <w:t>v </w:t>
      </w:r>
      <w:r w:rsidRPr="00F66081">
        <w:rPr>
          <w:lang w:val="sk-SK"/>
        </w:rPr>
        <w:t>jednej alebo vo viacerých podskupinách pediatrickej populácie na diabetes mellitus 2. typu (informácie o použití v pediatrickej populácii, pozri časť 4.2).</w:t>
      </w:r>
    </w:p>
    <w:p w:rsidR="00532B78" w:rsidRPr="00F66081" w:rsidRDefault="00532B78" w:rsidP="00F67A7A">
      <w:pPr>
        <w:pStyle w:val="Zkladntext"/>
        <w:spacing w:before="3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1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Farmakokinetické vlastnosti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Absorpcia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Po perorálnom podaní 100-mg dávky zdravým jedincom sa sitaglip</w:t>
      </w:r>
      <w:r w:rsidR="00F60FA9" w:rsidRPr="00F66081">
        <w:rPr>
          <w:lang w:val="sk-SK"/>
        </w:rPr>
        <w:t>tín rýchlo absorboval, pričom k </w:t>
      </w:r>
      <w:r w:rsidRPr="00F66081">
        <w:rPr>
          <w:lang w:val="sk-SK"/>
        </w:rPr>
        <w:t>maximálnym plazmatickým koncentráciám (medián T</w:t>
      </w:r>
      <w:r w:rsidRPr="00F66081">
        <w:rPr>
          <w:vertAlign w:val="subscript"/>
          <w:lang w:val="sk-SK"/>
        </w:rPr>
        <w:t>max</w:t>
      </w:r>
      <w:r w:rsidRPr="00F66081">
        <w:rPr>
          <w:lang w:val="sk-SK"/>
        </w:rPr>
        <w:t>) došlo 1 až 4 hodiny po podaní dávky, priemerná plazmatická AUC si</w:t>
      </w:r>
      <w:r w:rsidR="00B53FCE" w:rsidRPr="00F66081">
        <w:rPr>
          <w:lang w:val="sk-SK"/>
        </w:rPr>
        <w:t>tagliptínu bola 8,52 </w:t>
      </w:r>
      <w:r w:rsidR="00F60FA9" w:rsidRPr="00F66081">
        <w:rPr>
          <w:lang w:val="sk-SK"/>
        </w:rPr>
        <w:t>µ</w:t>
      </w:r>
      <w:r w:rsidR="00B53FCE" w:rsidRPr="00F66081">
        <w:rPr>
          <w:lang w:val="sk-SK"/>
        </w:rPr>
        <w:t>M</w:t>
      </w:r>
      <w:r w:rsidRPr="00F66081">
        <w:rPr>
          <w:lang w:val="sk-SK"/>
        </w:rPr>
        <w:t>•h, C</w:t>
      </w:r>
      <w:r w:rsidRPr="00F66081">
        <w:rPr>
          <w:vertAlign w:val="subscript"/>
          <w:lang w:val="sk-SK"/>
        </w:rPr>
        <w:t>max</w:t>
      </w:r>
      <w:r w:rsidR="00B53FCE" w:rsidRPr="00F66081">
        <w:rPr>
          <w:lang w:val="sk-SK"/>
        </w:rPr>
        <w:t xml:space="preserve"> bola 950 </w:t>
      </w:r>
      <w:r w:rsidRPr="00F66081">
        <w:rPr>
          <w:lang w:val="sk-SK"/>
        </w:rPr>
        <w:t>n</w:t>
      </w:r>
      <w:r w:rsidR="00B53FCE" w:rsidRPr="00F66081">
        <w:rPr>
          <w:lang w:val="sk-SK"/>
        </w:rPr>
        <w:t>M</w:t>
      </w:r>
      <w:r w:rsidRPr="00F66081">
        <w:rPr>
          <w:lang w:val="sk-SK"/>
        </w:rPr>
        <w:t>. Absolútna biologická</w:t>
      </w:r>
      <w:r w:rsidR="00F60FA9" w:rsidRPr="00F66081">
        <w:rPr>
          <w:lang w:val="sk-SK"/>
        </w:rPr>
        <w:t xml:space="preserve"> </w:t>
      </w:r>
      <w:r w:rsidRPr="00F66081">
        <w:rPr>
          <w:lang w:val="sk-SK"/>
        </w:rPr>
        <w:t>dostupno</w:t>
      </w:r>
      <w:r w:rsidR="00B53FCE" w:rsidRPr="00F66081">
        <w:rPr>
          <w:lang w:val="sk-SK"/>
        </w:rPr>
        <w:t>sť sitagliptínu je približne 87 </w:t>
      </w:r>
      <w:r w:rsidRPr="00F66081">
        <w:rPr>
          <w:lang w:val="sk-SK"/>
        </w:rPr>
        <w:t xml:space="preserve">%. Vzhľadom na to, že súbežné podanie sitagliptínu s jedlom obsahujúcim vysoké množstvo tukov nemalo žiadny vplyv na farmakokinetiku, </w:t>
      </w:r>
      <w:r w:rsidR="008C05F2" w:rsidRPr="008C05F2">
        <w:rPr>
          <w:lang w:val="sk-SK"/>
        </w:rPr>
        <w:t xml:space="preserve">Zinzibet </w:t>
      </w:r>
      <w:r w:rsidRPr="00F66081">
        <w:rPr>
          <w:lang w:val="sk-SK"/>
        </w:rPr>
        <w:t>sa môže podávať s jedlom alebo bez jedla.</w:t>
      </w:r>
    </w:p>
    <w:p w:rsidR="00532B78" w:rsidRPr="00F66081" w:rsidRDefault="00532B78" w:rsidP="00F67A7A">
      <w:pPr>
        <w:pStyle w:val="Zkladntext"/>
        <w:spacing w:before="9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spacing w:before="1"/>
        <w:ind w:left="0"/>
        <w:rPr>
          <w:lang w:val="sk-SK"/>
        </w:rPr>
      </w:pPr>
      <w:r w:rsidRPr="00F66081">
        <w:rPr>
          <w:lang w:val="sk-SK"/>
        </w:rPr>
        <w:t>Plazmatická AUC sitagliptínu stúpala úmerne dávke. Dávková proporcionalita sa nestanovila pre C</w:t>
      </w:r>
      <w:r w:rsidRPr="00F66081">
        <w:rPr>
          <w:vertAlign w:val="subscript"/>
          <w:lang w:val="sk-SK"/>
        </w:rPr>
        <w:t>max</w:t>
      </w:r>
      <w:r w:rsidRPr="00F66081">
        <w:rPr>
          <w:lang w:val="sk-SK"/>
        </w:rPr>
        <w:t xml:space="preserve"> a C</w:t>
      </w:r>
      <w:r w:rsidRPr="00F66081">
        <w:rPr>
          <w:vertAlign w:val="subscript"/>
          <w:lang w:val="sk-SK"/>
        </w:rPr>
        <w:t>24h</w:t>
      </w:r>
      <w:r w:rsidRPr="00F66081">
        <w:rPr>
          <w:lang w:val="sk-SK"/>
        </w:rPr>
        <w:t xml:space="preserve"> (C</w:t>
      </w:r>
      <w:r w:rsidRPr="00F66081">
        <w:rPr>
          <w:vertAlign w:val="subscript"/>
          <w:lang w:val="sk-SK"/>
        </w:rPr>
        <w:t>max</w:t>
      </w:r>
      <w:r w:rsidRPr="00F66081">
        <w:rPr>
          <w:lang w:val="sk-SK"/>
        </w:rPr>
        <w:t xml:space="preserve"> sa zvýšila mierne viac než úmerne dávke a C</w:t>
      </w:r>
      <w:r w:rsidRPr="00F66081">
        <w:rPr>
          <w:vertAlign w:val="subscript"/>
          <w:lang w:val="sk-SK"/>
        </w:rPr>
        <w:t>24h</w:t>
      </w:r>
      <w:r w:rsidRPr="00F66081">
        <w:rPr>
          <w:lang w:val="sk-SK"/>
        </w:rPr>
        <w:t xml:space="preserve"> sa zvýšila o niečo menej než úmerne dávke).</w:t>
      </w:r>
    </w:p>
    <w:p w:rsidR="00F60FA9" w:rsidRPr="00F66081" w:rsidRDefault="00F60FA9" w:rsidP="00F67A7A">
      <w:pPr>
        <w:pStyle w:val="Zkladntext"/>
        <w:ind w:left="0"/>
        <w:rPr>
          <w:u w:val="single"/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Distribúcia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Priemerný distribučný objem v rovnovážnom stave po podaní jednorazovej 100-mg intravenóznej dávky sitagliptínu zdravým osobám je približne 198 litrov. Frakcia sitagliptínu reverzibilne viazaná na plaz</w:t>
      </w:r>
      <w:r w:rsidR="00B53FCE" w:rsidRPr="00F66081">
        <w:rPr>
          <w:lang w:val="sk-SK"/>
        </w:rPr>
        <w:t>matické bielkoviny je nízka (38 </w:t>
      </w:r>
      <w:r w:rsidRPr="00F66081">
        <w:rPr>
          <w:lang w:val="sk-SK"/>
        </w:rPr>
        <w:t>%).</w:t>
      </w:r>
    </w:p>
    <w:p w:rsidR="00532B78" w:rsidRPr="00F66081" w:rsidRDefault="00532B78" w:rsidP="00F67A7A">
      <w:pPr>
        <w:pStyle w:val="Zkladntext"/>
        <w:spacing w:before="10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Biotransformácia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Sitagliptín sa primárne eliminuje nezmenený v moči a metabolizmus je men</w:t>
      </w:r>
      <w:r w:rsidR="00B53FCE" w:rsidRPr="00F66081">
        <w:rPr>
          <w:lang w:val="sk-SK"/>
        </w:rPr>
        <w:t>ej dôležitá cesta. Približne 79 </w:t>
      </w:r>
      <w:r w:rsidRPr="00F66081">
        <w:rPr>
          <w:lang w:val="sk-SK"/>
        </w:rPr>
        <w:t>% sitagliptínu sa vylúči nezmenených v moči.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spacing w:before="1"/>
        <w:ind w:left="0"/>
        <w:rPr>
          <w:lang w:val="sk-SK"/>
        </w:rPr>
      </w:pPr>
      <w:r w:rsidRPr="00F66081">
        <w:rPr>
          <w:lang w:val="sk-SK"/>
        </w:rPr>
        <w:t>Po perorálnej dávke [</w:t>
      </w:r>
      <w:r w:rsidRPr="00F66081">
        <w:rPr>
          <w:vertAlign w:val="superscript"/>
          <w:lang w:val="sk-SK"/>
        </w:rPr>
        <w:t>14</w:t>
      </w:r>
      <w:r w:rsidR="00B53FCE" w:rsidRPr="00F66081">
        <w:rPr>
          <w:lang w:val="sk-SK"/>
        </w:rPr>
        <w:t>C] sitagliptínu sa približne 16 </w:t>
      </w:r>
      <w:r w:rsidRPr="00F66081">
        <w:rPr>
          <w:lang w:val="sk-SK"/>
        </w:rPr>
        <w:t xml:space="preserve">% rádioaktivity vylúčilo vo forme metabolitov sitagliptínu. Šesť metabolitov bolo zistených v stopových hladinách a nepredpokladá sa, že by prispievali k plazmatickej DPP-4 inhibičnej aktivite sitagliptínu. Štúdie </w:t>
      </w:r>
      <w:r w:rsidRPr="00F66081">
        <w:rPr>
          <w:i/>
          <w:lang w:val="sk-SK"/>
        </w:rPr>
        <w:t xml:space="preserve">in vitro </w:t>
      </w:r>
      <w:r w:rsidRPr="00F66081">
        <w:rPr>
          <w:lang w:val="sk-SK"/>
        </w:rPr>
        <w:t>ukazujú, že hlavný enzým zodpovedný za limitovaný metabolizmus sitagliptínu bol CYP3A4, s prispením CYP2C8.</w:t>
      </w:r>
    </w:p>
    <w:p w:rsidR="00532B78" w:rsidRPr="00F66081" w:rsidRDefault="00532B78" w:rsidP="00F67A7A">
      <w:pPr>
        <w:pStyle w:val="Zkladntext"/>
        <w:spacing w:before="10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 xml:space="preserve">Údaje </w:t>
      </w:r>
      <w:r w:rsidRPr="00F66081">
        <w:rPr>
          <w:i/>
          <w:lang w:val="sk-SK"/>
        </w:rPr>
        <w:t xml:space="preserve">in vitro </w:t>
      </w:r>
      <w:r w:rsidRPr="00F66081">
        <w:rPr>
          <w:lang w:val="sk-SK"/>
        </w:rPr>
        <w:t>preukázali, že sitagliptín nie je inhibítorom CYP izoenzýmov CYP3A4, 2C8, 2C9, 2D6, 1A2, 2C19 alebo 2B6 a nie je induktorom CYP3A4 a CYP1A2.</w:t>
      </w:r>
    </w:p>
    <w:p w:rsidR="00532B78" w:rsidRPr="00F66081" w:rsidRDefault="00532B78" w:rsidP="00F67A7A">
      <w:pPr>
        <w:pStyle w:val="Zkladntext"/>
        <w:spacing w:before="9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Eliminácia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Po podaní perorálnej dávky [</w:t>
      </w:r>
      <w:r w:rsidRPr="00F66081">
        <w:rPr>
          <w:vertAlign w:val="superscript"/>
          <w:lang w:val="sk-SK"/>
        </w:rPr>
        <w:t>14</w:t>
      </w:r>
      <w:r w:rsidRPr="00F66081">
        <w:rPr>
          <w:lang w:val="sk-SK"/>
        </w:rPr>
        <w:t>C] sitagliptínu zdravým jedincom sa približne 100</w:t>
      </w:r>
      <w:r w:rsidR="00B53FCE" w:rsidRPr="00F66081">
        <w:rPr>
          <w:lang w:val="sk-SK"/>
        </w:rPr>
        <w:t> </w:t>
      </w:r>
      <w:r w:rsidRPr="00F66081">
        <w:rPr>
          <w:lang w:val="sk-SK"/>
        </w:rPr>
        <w:t>% podanej rádioakt</w:t>
      </w:r>
      <w:r w:rsidR="00B53FCE" w:rsidRPr="00F66081">
        <w:rPr>
          <w:lang w:val="sk-SK"/>
        </w:rPr>
        <w:t>ivity eliminovalo v stolici (13 %) alebo v moči (87 </w:t>
      </w:r>
      <w:r w:rsidRPr="00F66081">
        <w:rPr>
          <w:lang w:val="sk-SK"/>
        </w:rPr>
        <w:t>%) počas jedného týždňa po podaní dávky. Zjavný terminálny t</w:t>
      </w:r>
      <w:r w:rsidRPr="00F66081">
        <w:rPr>
          <w:vertAlign w:val="subscript"/>
          <w:lang w:val="sk-SK"/>
        </w:rPr>
        <w:t>1/2</w:t>
      </w:r>
      <w:r w:rsidRPr="00F66081">
        <w:rPr>
          <w:lang w:val="sk-SK"/>
        </w:rPr>
        <w:t xml:space="preserve"> po podaní 100-mg perorálnej dávky sitagliptínu bol približne 12,4 hodiny.</w:t>
      </w:r>
    </w:p>
    <w:p w:rsidR="00532B78" w:rsidRPr="00F66081" w:rsidRDefault="00BA441E" w:rsidP="00F67A7A">
      <w:pPr>
        <w:pStyle w:val="Zkladntext"/>
        <w:spacing w:before="4"/>
        <w:ind w:left="0"/>
        <w:rPr>
          <w:lang w:val="sk-SK"/>
        </w:rPr>
      </w:pPr>
      <w:r w:rsidRPr="00F66081">
        <w:rPr>
          <w:lang w:val="sk-SK"/>
        </w:rPr>
        <w:t>Sitagliptín sa iba minimálne kumuluje pri viacnásobných dávkach. Re</w:t>
      </w:r>
      <w:r w:rsidR="00B53FCE" w:rsidRPr="00F66081">
        <w:rPr>
          <w:lang w:val="sk-SK"/>
        </w:rPr>
        <w:t>nálny klírens bol približne 350 </w:t>
      </w:r>
      <w:r w:rsidRPr="00F66081">
        <w:rPr>
          <w:lang w:val="sk-SK"/>
        </w:rPr>
        <w:t>ml/min.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suppressAutoHyphens/>
        <w:ind w:left="0"/>
        <w:rPr>
          <w:lang w:val="sk-SK"/>
        </w:rPr>
      </w:pPr>
      <w:r w:rsidRPr="00F66081">
        <w:rPr>
          <w:lang w:val="sk-SK"/>
        </w:rPr>
        <w:t>Eliminácia sitagliptínu sa uskutočňuje primárne prostredníctvom renálneho vylučovania a zahŕňa aktívnu tubulárnu sekréciu. Sitagliptín je substrátom pre ľudský organický aniónový transportér-3 (hOAT-3), ktorý sa môže zúčastňovať na renálnej eliminácii sitagliptínu. Klinický význam hOAT-3 pri transporte sitagliptínu nebol stanovený. Sitagliptín je tiež substrátom p-glykoproteínu, ktorý sa tiež môže zúčastňovať na sprostredkovaní renálnej eliminácie sitagliptínu. Cyklosporín,</w:t>
      </w:r>
      <w:r w:rsidRPr="00F66081">
        <w:rPr>
          <w:spacing w:val="-5"/>
          <w:lang w:val="sk-SK"/>
        </w:rPr>
        <w:t xml:space="preserve"> </w:t>
      </w:r>
      <w:r w:rsidRPr="00F66081">
        <w:rPr>
          <w:lang w:val="sk-SK"/>
        </w:rPr>
        <w:t>inhibítor</w:t>
      </w:r>
      <w:r w:rsidR="00B53FCE" w:rsidRPr="00F66081">
        <w:rPr>
          <w:lang w:val="sk-SK"/>
        </w:rPr>
        <w:t xml:space="preserve"> </w:t>
      </w:r>
      <w:r w:rsidRPr="00F66081">
        <w:rPr>
          <w:lang w:val="sk-SK"/>
        </w:rPr>
        <w:t xml:space="preserve">p-glykoproteínu, však neznižuje renálny klírens sitagliptínu. Sitagliptín nie je substrátom transportérov OCT2, OAT1 alebo PEPT1/2. </w:t>
      </w:r>
      <w:r w:rsidRPr="00F66081">
        <w:rPr>
          <w:i/>
          <w:lang w:val="sk-SK"/>
        </w:rPr>
        <w:t xml:space="preserve">In vitro </w:t>
      </w:r>
      <w:r w:rsidRPr="00F66081">
        <w:rPr>
          <w:lang w:val="sk-SK"/>
        </w:rPr>
        <w:t>sitagliptín v terapeuticky relevantných plazmatických koncentráciách neinhiboval transport</w:t>
      </w:r>
      <w:r w:rsidR="00B53FCE" w:rsidRPr="00F66081">
        <w:rPr>
          <w:lang w:val="sk-SK"/>
        </w:rPr>
        <w:t xml:space="preserve"> sprostredkovaný OAT3 (IC50=160 </w:t>
      </w:r>
      <w:r w:rsidRPr="00F66081">
        <w:rPr>
          <w:lang w:val="sk-SK"/>
        </w:rPr>
        <w:t>μM) al</w:t>
      </w:r>
      <w:r w:rsidR="00B53FCE" w:rsidRPr="00F66081">
        <w:rPr>
          <w:lang w:val="sk-SK"/>
        </w:rPr>
        <w:t>ebo p-glykoproteínom (až do 250 </w:t>
      </w:r>
      <w:r w:rsidRPr="00F66081">
        <w:rPr>
          <w:lang w:val="sk-SK"/>
        </w:rPr>
        <w:t>μM). V klinickej štúdii mal sitagliptín malý účinok na plazmatické koncentrácie digoxínu, čo naznačuje, že sitagliptín môže byť miernym inhibítorom p-glykoproteínu.</w:t>
      </w:r>
    </w:p>
    <w:p w:rsidR="00532B78" w:rsidRPr="00F66081" w:rsidRDefault="00532B78" w:rsidP="00F67A7A">
      <w:pPr>
        <w:pStyle w:val="Zkladntext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spacing w:before="1"/>
        <w:ind w:left="0"/>
        <w:rPr>
          <w:lang w:val="sk-SK"/>
        </w:rPr>
      </w:pPr>
      <w:r w:rsidRPr="00F66081">
        <w:rPr>
          <w:u w:val="single"/>
          <w:lang w:val="sk-SK"/>
        </w:rPr>
        <w:t>Charakteristika u pacientov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Farmakokinetika sitagliptínu bola vo všeobecnosti podobná u zd</w:t>
      </w:r>
      <w:r w:rsidR="00B53FCE" w:rsidRPr="00F66081">
        <w:rPr>
          <w:lang w:val="sk-SK"/>
        </w:rPr>
        <w:t>ravých jedincov a u pacientov s </w:t>
      </w:r>
      <w:r w:rsidRPr="00F66081">
        <w:rPr>
          <w:lang w:val="sk-SK"/>
        </w:rPr>
        <w:t>diabetom 2. typu.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rPr>
          <w:i/>
          <w:lang w:val="sk-SK"/>
        </w:rPr>
      </w:pPr>
      <w:r w:rsidRPr="00F66081">
        <w:rPr>
          <w:i/>
          <w:lang w:val="sk-SK"/>
        </w:rPr>
        <w:t>Porucha funkcie obličiek</w:t>
      </w:r>
    </w:p>
    <w:p w:rsidR="00532B78" w:rsidRPr="00F66081" w:rsidRDefault="00BA441E" w:rsidP="00F67A7A">
      <w:pPr>
        <w:pStyle w:val="Zkladntext"/>
        <w:spacing w:before="7"/>
        <w:ind w:left="0"/>
        <w:rPr>
          <w:lang w:val="sk-SK"/>
        </w:rPr>
      </w:pPr>
      <w:r w:rsidRPr="00F66081">
        <w:rPr>
          <w:lang w:val="sk-SK"/>
        </w:rPr>
        <w:t>Uskutočnila sa otvorená štúdia s jednorazovými dávkami na zhodnotenie farmakokinetiky zníženej dávky sitagliptínu (50 mg) u pacientov s rôznymi stupňami chronickej poruchy funkcie obličiek</w:t>
      </w:r>
      <w:r w:rsidR="00B53FCE" w:rsidRPr="00F66081">
        <w:rPr>
          <w:lang w:val="sk-SK"/>
        </w:rPr>
        <w:t xml:space="preserve"> v </w:t>
      </w:r>
      <w:r w:rsidRPr="00F66081">
        <w:rPr>
          <w:lang w:val="sk-SK"/>
        </w:rPr>
        <w:t xml:space="preserve">porovnaní s bežnými zdravými kontrolnými osobami. </w:t>
      </w:r>
      <w:r w:rsidR="00C71505" w:rsidRPr="00F66081">
        <w:rPr>
          <w:lang w:val="sk-SK"/>
        </w:rPr>
        <w:t xml:space="preserve">Štúdia zahŕňala pacientov s poruchou funkcie obličiek, ktorá bola klasifikovaná na základe klírensu kreatinínu ako mierna (50 až &lt; 80 ml/min), stredne ťažká (30 až &lt; 50 ml/min) a ťažká (&lt; 30 ml/min), ako aj pacientov </w:t>
      </w:r>
      <w:r w:rsidR="00C71505" w:rsidRPr="00F66081">
        <w:rPr>
          <w:bCs/>
          <w:iCs/>
          <w:lang w:val="sk-SK"/>
        </w:rPr>
        <w:t xml:space="preserve">v terminálnom štádiu ochorenia obličiek </w:t>
      </w:r>
      <w:r w:rsidR="00C71505" w:rsidRPr="00F66081">
        <w:rPr>
          <w:lang w:val="sk-SK"/>
        </w:rPr>
        <w:t>(ESRD) liečených hemodialýzou.</w:t>
      </w:r>
    </w:p>
    <w:p w:rsidR="00C71505" w:rsidRPr="00F66081" w:rsidRDefault="00C71505" w:rsidP="00F67A7A">
      <w:pPr>
        <w:pStyle w:val="Zkladntext"/>
        <w:spacing w:before="7"/>
        <w:ind w:left="0"/>
        <w:rPr>
          <w:lang w:val="sk-SK"/>
        </w:rPr>
      </w:pPr>
    </w:p>
    <w:p w:rsidR="00C71505" w:rsidRPr="00F66081" w:rsidRDefault="00C71505" w:rsidP="00F67A7A">
      <w:pPr>
        <w:widowControl/>
        <w:tabs>
          <w:tab w:val="left" w:pos="708"/>
        </w:tabs>
        <w:adjustRightInd w:val="0"/>
        <w:rPr>
          <w:lang w:val="sk-SK"/>
        </w:rPr>
      </w:pPr>
      <w:r w:rsidRPr="00F66081">
        <w:rPr>
          <w:lang w:val="sk-SK"/>
        </w:rPr>
        <w:t>U pacientov s miernou poruchou funkcie obličiek nedošlo v porovnaní so zdravými kontrolnými osobami ku klinicky významnému zvýšeniu plazmatickej koncentrácie sitagliptínu. Zistilo sa, že hodnota AUC sitagliptínu v plazme bola zvýšená približne 2</w:t>
      </w:r>
      <w:r w:rsidRPr="00F66081">
        <w:rPr>
          <w:lang w:val="sk-SK"/>
        </w:rPr>
        <w:noBreakHyphen/>
        <w:t>násobne u pacientov so stredne ťažkou poruchou funkcie a približne 4</w:t>
      </w:r>
      <w:r w:rsidRPr="00F66081">
        <w:rPr>
          <w:lang w:val="sk-SK"/>
        </w:rPr>
        <w:noBreakHyphen/>
        <w:t>násobne u pacientov s ťažkou poruchou funkcie obličiek a u pacientov s ESRD liečených hemodialýzou, v porovnaní so zdravými kontrolnými osobami. Sitagliptín sa v miernom rozsahu odstránil hemodialýzou (počas 3</w:t>
      </w:r>
      <w:r w:rsidRPr="00F66081">
        <w:rPr>
          <w:lang w:val="sk-SK"/>
        </w:rPr>
        <w:noBreakHyphen/>
        <w:t> až 4</w:t>
      </w:r>
      <w:r w:rsidRPr="00F66081">
        <w:rPr>
          <w:lang w:val="sk-SK"/>
        </w:rPr>
        <w:noBreakHyphen/>
        <w:t>hodinovej hemodialýzy, ktorá sa začala 4 hodiny po podaní dávky, sa odstránilo 13,5 % dávky). U pacientov so stredne ťažkou a ťažkou poruchou funkcie obličiek, ako aj u pacientov s ESRD, ktorí potrebujú dialýzu, sa odporúčajú nižšie dávky, aby sa u nich dosiahli podobné plazmatické koncentrácie sitagliptínu ako u pacientov s normálnou funkciou obličiek (pozri časť 4.2).</w:t>
      </w:r>
    </w:p>
    <w:p w:rsidR="00532B78" w:rsidRPr="00F66081" w:rsidRDefault="00532B78" w:rsidP="00F67A7A">
      <w:pPr>
        <w:pStyle w:val="Zkladntext"/>
        <w:ind w:left="0"/>
        <w:rPr>
          <w:lang w:val="sk-SK"/>
        </w:rPr>
      </w:pPr>
    </w:p>
    <w:p w:rsidR="00532B78" w:rsidRPr="00F66081" w:rsidRDefault="00BA441E" w:rsidP="00F67A7A">
      <w:pPr>
        <w:spacing w:before="1"/>
        <w:rPr>
          <w:i/>
          <w:lang w:val="sk-SK"/>
        </w:rPr>
      </w:pPr>
      <w:r w:rsidRPr="00F66081">
        <w:rPr>
          <w:i/>
          <w:lang w:val="sk-SK"/>
        </w:rPr>
        <w:t>Porucha funkcie pečene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U</w:t>
      </w:r>
      <w:r w:rsidR="008C05F2">
        <w:rPr>
          <w:lang w:val="sk-SK"/>
        </w:rPr>
        <w:t> </w:t>
      </w:r>
      <w:r w:rsidRPr="00F66081">
        <w:rPr>
          <w:lang w:val="sk-SK"/>
        </w:rPr>
        <w:t>pacientov s</w:t>
      </w:r>
      <w:r w:rsidR="008C05F2">
        <w:rPr>
          <w:lang w:val="sk-SK"/>
        </w:rPr>
        <w:t> </w:t>
      </w:r>
      <w:r w:rsidRPr="00F66081">
        <w:rPr>
          <w:lang w:val="sk-SK"/>
        </w:rPr>
        <w:t>miernou alebo stredne ťažkou poruchou funkcie p</w:t>
      </w:r>
      <w:r w:rsidR="00C71505" w:rsidRPr="00F66081">
        <w:rPr>
          <w:lang w:val="sk-SK"/>
        </w:rPr>
        <w:t>ečene (Childovo-Pughovo skóre ≤ </w:t>
      </w:r>
      <w:r w:rsidRPr="00F66081">
        <w:rPr>
          <w:lang w:val="sk-SK"/>
        </w:rPr>
        <w:t>9) nie je potrebná úprava dávky</w:t>
      </w:r>
      <w:r w:rsidR="00C71505" w:rsidRPr="00F66081">
        <w:rPr>
          <w:lang w:val="sk-SK"/>
        </w:rPr>
        <w:t xml:space="preserve"> </w:t>
      </w:r>
      <w:r w:rsidR="008C05F2" w:rsidRPr="008C05F2">
        <w:rPr>
          <w:lang w:val="sk-SK"/>
        </w:rPr>
        <w:t>Zinzibet</w:t>
      </w:r>
      <w:r w:rsidR="008C05F2">
        <w:rPr>
          <w:lang w:val="sk-SK"/>
        </w:rPr>
        <w:t>u</w:t>
      </w:r>
      <w:r w:rsidRPr="00F66081">
        <w:rPr>
          <w:lang w:val="sk-SK"/>
        </w:rPr>
        <w:t>. U</w:t>
      </w:r>
      <w:r w:rsidR="008C05F2">
        <w:rPr>
          <w:lang w:val="sk-SK"/>
        </w:rPr>
        <w:t> </w:t>
      </w:r>
      <w:r w:rsidRPr="00F66081">
        <w:rPr>
          <w:lang w:val="sk-SK"/>
        </w:rPr>
        <w:t>pacientov s</w:t>
      </w:r>
      <w:r w:rsidR="008C05F2">
        <w:rPr>
          <w:lang w:val="sk-SK"/>
        </w:rPr>
        <w:t> </w:t>
      </w:r>
      <w:r w:rsidRPr="00F66081">
        <w:rPr>
          <w:lang w:val="sk-SK"/>
        </w:rPr>
        <w:t>ťažkou poruchou funkcie p</w:t>
      </w:r>
      <w:r w:rsidR="00C71505" w:rsidRPr="00F66081">
        <w:rPr>
          <w:lang w:val="sk-SK"/>
        </w:rPr>
        <w:t>ečene (Childovo-Pughovo skóre &gt; </w:t>
      </w:r>
      <w:r w:rsidRPr="00F66081">
        <w:rPr>
          <w:lang w:val="sk-SK"/>
        </w:rPr>
        <w:t>9) nie je žiadna klinická skúsenosť. Vzhľadom na to, že sa sitagliptín vylučuje primárne obličkami, nepredpokladá sa, že by ťažká poruc</w:t>
      </w:r>
      <w:r w:rsidR="008C05F2">
        <w:rPr>
          <w:lang w:val="sk-SK"/>
        </w:rPr>
        <w:t>ha funkcie pečene mala vplyv na </w:t>
      </w:r>
      <w:r w:rsidRPr="00F66081">
        <w:rPr>
          <w:lang w:val="sk-SK"/>
        </w:rPr>
        <w:t>farmakokinetiku sitagliptínu.</w:t>
      </w:r>
    </w:p>
    <w:p w:rsidR="00532B78" w:rsidRPr="00F66081" w:rsidRDefault="00532B78" w:rsidP="00F67A7A">
      <w:pPr>
        <w:pStyle w:val="Zkladntext"/>
        <w:ind w:left="0"/>
        <w:rPr>
          <w:lang w:val="sk-SK"/>
        </w:rPr>
      </w:pPr>
    </w:p>
    <w:p w:rsidR="00532B78" w:rsidRPr="00F66081" w:rsidRDefault="00BA441E" w:rsidP="00F67A7A">
      <w:pPr>
        <w:rPr>
          <w:i/>
          <w:lang w:val="sk-SK"/>
        </w:rPr>
      </w:pPr>
      <w:r w:rsidRPr="00F66081">
        <w:rPr>
          <w:i/>
          <w:lang w:val="sk-SK"/>
        </w:rPr>
        <w:t>Starš</w:t>
      </w:r>
      <w:r w:rsidR="0047159C" w:rsidRPr="00F66081">
        <w:rPr>
          <w:i/>
          <w:lang w:val="sk-SK"/>
        </w:rPr>
        <w:t>ie</w:t>
      </w:r>
      <w:r w:rsidRPr="00F66081">
        <w:rPr>
          <w:i/>
          <w:lang w:val="sk-SK"/>
        </w:rPr>
        <w:t xml:space="preserve"> </w:t>
      </w:r>
      <w:r w:rsidR="00C71505" w:rsidRPr="00F66081">
        <w:rPr>
          <w:i/>
          <w:lang w:val="sk-SK"/>
        </w:rPr>
        <w:t>osoby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Nie je potrebná úprava dávky v závislosti od veku. Vychádzajúc z farmakokinetickej analýzy údajov populácie I. a II. fázy vek nemal klinicky významný vplyv na farmakokinetiku sitagliptínu. Starší jedinci (65 a</w:t>
      </w:r>
      <w:r w:rsidR="00C71505" w:rsidRPr="00F66081">
        <w:rPr>
          <w:lang w:val="sk-SK"/>
        </w:rPr>
        <w:t>ž 80 rokov) mali približne o 19 </w:t>
      </w:r>
      <w:r w:rsidRPr="00F66081">
        <w:rPr>
          <w:lang w:val="sk-SK"/>
        </w:rPr>
        <w:t>% vyššie plazmatické koncentrácie sitagliptínu</w:t>
      </w:r>
      <w:r w:rsidR="00C71505" w:rsidRPr="00F66081">
        <w:rPr>
          <w:lang w:val="sk-SK"/>
        </w:rPr>
        <w:t xml:space="preserve"> </w:t>
      </w:r>
      <w:r w:rsidRPr="00F66081">
        <w:rPr>
          <w:lang w:val="sk-SK"/>
        </w:rPr>
        <w:t>v</w:t>
      </w:r>
      <w:r w:rsidR="00C71505" w:rsidRPr="00F66081">
        <w:rPr>
          <w:lang w:val="sk-SK"/>
        </w:rPr>
        <w:t> </w:t>
      </w:r>
      <w:r w:rsidRPr="00F66081">
        <w:rPr>
          <w:lang w:val="sk-SK"/>
        </w:rPr>
        <w:t>porovnaní s mladšími osobami.</w:t>
      </w: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532B78" w:rsidRPr="00F66081" w:rsidRDefault="00BA441E" w:rsidP="00F67A7A">
      <w:pPr>
        <w:rPr>
          <w:i/>
          <w:lang w:val="sk-SK"/>
        </w:rPr>
      </w:pPr>
      <w:r w:rsidRPr="00F66081">
        <w:rPr>
          <w:i/>
          <w:lang w:val="sk-SK"/>
        </w:rPr>
        <w:t>Pediatrická populácia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Neuskutočnili sa žiadne štúdie s</w:t>
      </w:r>
      <w:r w:rsidR="00C71505" w:rsidRPr="00F66081">
        <w:rPr>
          <w:lang w:val="sk-SK"/>
        </w:rPr>
        <w:t>o</w:t>
      </w:r>
      <w:r w:rsidRPr="00F66081">
        <w:rPr>
          <w:lang w:val="sk-SK"/>
        </w:rPr>
        <w:t xml:space="preserve"> </w:t>
      </w:r>
      <w:r w:rsidR="008C05F2" w:rsidRPr="008C05F2">
        <w:rPr>
          <w:lang w:val="sk-SK"/>
        </w:rPr>
        <w:t>Zinzibet</w:t>
      </w:r>
      <w:r w:rsidR="008C05F2">
        <w:rPr>
          <w:lang w:val="sk-SK"/>
        </w:rPr>
        <w:t>om</w:t>
      </w:r>
      <w:r w:rsidR="008C05F2" w:rsidRPr="008C05F2">
        <w:rPr>
          <w:lang w:val="sk-SK"/>
        </w:rPr>
        <w:t xml:space="preserve"> </w:t>
      </w:r>
      <w:r w:rsidRPr="00F66081">
        <w:rPr>
          <w:lang w:val="sk-SK"/>
        </w:rPr>
        <w:t>u</w:t>
      </w:r>
      <w:r w:rsidR="00C71505" w:rsidRPr="00F66081">
        <w:rPr>
          <w:lang w:val="sk-SK"/>
        </w:rPr>
        <w:t xml:space="preserve"> pediatrických </w:t>
      </w:r>
      <w:r w:rsidRPr="00F66081">
        <w:rPr>
          <w:lang w:val="sk-SK"/>
        </w:rPr>
        <w:t>pacientov.</w:t>
      </w: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532B78" w:rsidRPr="00F66081" w:rsidRDefault="00BA441E" w:rsidP="00F67A7A">
      <w:pPr>
        <w:rPr>
          <w:i/>
          <w:lang w:val="sk-SK"/>
        </w:rPr>
      </w:pPr>
      <w:r w:rsidRPr="00F66081">
        <w:rPr>
          <w:i/>
          <w:lang w:val="sk-SK"/>
        </w:rPr>
        <w:t>Charakteristika iných pacientov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Nie je potrebná úprava dávky v závislosti od pohlavia, rasy alebo indexu telesnej hmotnosti (body mass index, BMI). Tieto charakteristiky nemali klinicky významný vplyv na farmakokinetiku sitagliptínu vychádzajúc z kompozitnej analýzy farmakokinetických údajov I. fázy a z analýzy farmakokinetických údajov populácie I. a II. fázy.</w:t>
      </w:r>
    </w:p>
    <w:p w:rsidR="00532B78" w:rsidRPr="00F66081" w:rsidRDefault="00532B78" w:rsidP="00F67A7A">
      <w:pPr>
        <w:pStyle w:val="Zkladntext"/>
        <w:spacing w:before="4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1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Predklinické údaje o</w:t>
      </w:r>
      <w:r w:rsidRPr="00F66081">
        <w:rPr>
          <w:spacing w:val="-1"/>
          <w:lang w:val="sk-SK"/>
        </w:rPr>
        <w:t xml:space="preserve"> </w:t>
      </w:r>
      <w:r w:rsidRPr="00F66081">
        <w:rPr>
          <w:lang w:val="sk-SK"/>
        </w:rPr>
        <w:t>bezpečnosti</w:t>
      </w:r>
    </w:p>
    <w:p w:rsidR="00532B78" w:rsidRPr="00F66081" w:rsidRDefault="00532B78" w:rsidP="00F67A7A">
      <w:pPr>
        <w:pStyle w:val="Zkladntext"/>
        <w:spacing w:before="8"/>
        <w:ind w:left="0"/>
        <w:rPr>
          <w:b/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U</w:t>
      </w:r>
      <w:r w:rsidR="008C05F2">
        <w:rPr>
          <w:lang w:val="sk-SK"/>
        </w:rPr>
        <w:t> </w:t>
      </w:r>
      <w:r w:rsidRPr="00F66081">
        <w:rPr>
          <w:lang w:val="sk-SK"/>
        </w:rPr>
        <w:t>hlodavcov sa pozorovala renálna a hepatálna toxicita pri systémových expozičných hodnotách</w:t>
      </w:r>
      <w:r w:rsidR="00C71505" w:rsidRPr="00F66081">
        <w:rPr>
          <w:lang w:val="sk-SK"/>
        </w:rPr>
        <w:t xml:space="preserve"> </w:t>
      </w:r>
      <w:r w:rsidRPr="00F66081">
        <w:rPr>
          <w:lang w:val="sk-SK"/>
        </w:rPr>
        <w:t>58-krát vyšších, ako je expozičná hladina u ľudí, pričom najvyššia neúčinná hladina bola zistená pri 19-násobku expozičnej hladiny u</w:t>
      </w:r>
      <w:r w:rsidR="008C05F2">
        <w:rPr>
          <w:lang w:val="sk-SK"/>
        </w:rPr>
        <w:t> </w:t>
      </w:r>
      <w:r w:rsidRPr="00F66081">
        <w:rPr>
          <w:lang w:val="sk-SK"/>
        </w:rPr>
        <w:t>ľudí. Pri expozíciách 67-krát vyšších ako sú klinické expozičné hladiny, sa u potkanov pozorovali abnormality rezákov, pričom najvyššia neúčinná hladina pre tento nález bola 58-krát vyššia vychádzajúc zo 14-dňovej štúdie u potkanov. Význam týchto zistení pre ľudí nie je známy. Prechodné fyzické príznaky súvisiace s</w:t>
      </w:r>
      <w:r w:rsidR="008C05F2">
        <w:rPr>
          <w:lang w:val="sk-SK"/>
        </w:rPr>
        <w:t> </w:t>
      </w:r>
      <w:r w:rsidRPr="00F66081">
        <w:rPr>
          <w:lang w:val="sk-SK"/>
        </w:rPr>
        <w:t>liečbou, z</w:t>
      </w:r>
      <w:r w:rsidR="008C05F2">
        <w:rPr>
          <w:lang w:val="sk-SK"/>
        </w:rPr>
        <w:t> </w:t>
      </w:r>
      <w:r w:rsidRPr="00F66081">
        <w:rPr>
          <w:lang w:val="sk-SK"/>
        </w:rPr>
        <w:t>ktorých niektoré poukazovali na nervovú toxicitu, napr. dýchanie s</w:t>
      </w:r>
      <w:r w:rsidR="008C05F2">
        <w:rPr>
          <w:lang w:val="sk-SK"/>
        </w:rPr>
        <w:t> </w:t>
      </w:r>
      <w:r w:rsidRPr="00F66081">
        <w:rPr>
          <w:lang w:val="sk-SK"/>
        </w:rPr>
        <w:t>otvorenými ústami, slinenie, vracanie bielej peny, ataxia, triaška, znížená aktivita a/alebo zhrbený postoj, sa pozorovali u</w:t>
      </w:r>
      <w:r w:rsidR="008C05F2">
        <w:rPr>
          <w:lang w:val="sk-SK"/>
        </w:rPr>
        <w:t> </w:t>
      </w:r>
      <w:r w:rsidRPr="00F66081">
        <w:rPr>
          <w:lang w:val="sk-SK"/>
        </w:rPr>
        <w:t>psov pri expozičných hladinách približne</w:t>
      </w:r>
      <w:r w:rsidR="00C71505" w:rsidRPr="00F66081">
        <w:rPr>
          <w:lang w:val="sk-SK"/>
        </w:rPr>
        <w:t xml:space="preserve"> </w:t>
      </w:r>
      <w:r w:rsidRPr="00F66081">
        <w:rPr>
          <w:lang w:val="sk-SK"/>
        </w:rPr>
        <w:t>23-násobne vyšších, ako je klinická expozícia. Okrem toho sa histologicky zistila veľmi mierna až mierna degenerácia kostrových svalov pri dávkach vedúcich k</w:t>
      </w:r>
      <w:r w:rsidR="008C05F2">
        <w:rPr>
          <w:lang w:val="sk-SK"/>
        </w:rPr>
        <w:t> </w:t>
      </w:r>
      <w:r w:rsidRPr="00F66081">
        <w:rPr>
          <w:lang w:val="sk-SK"/>
        </w:rPr>
        <w:t>systémovým expozíciám približne</w:t>
      </w:r>
      <w:r w:rsidR="00C71505" w:rsidRPr="00F66081">
        <w:rPr>
          <w:lang w:val="sk-SK"/>
        </w:rPr>
        <w:t xml:space="preserve"> </w:t>
      </w:r>
      <w:r w:rsidRPr="00F66081">
        <w:rPr>
          <w:lang w:val="sk-SK"/>
        </w:rPr>
        <w:t>násobne vyšším, ako je expozičná hladina u</w:t>
      </w:r>
      <w:r w:rsidR="008C05F2">
        <w:rPr>
          <w:lang w:val="sk-SK"/>
        </w:rPr>
        <w:t> </w:t>
      </w:r>
      <w:r w:rsidRPr="00F66081">
        <w:rPr>
          <w:lang w:val="sk-SK"/>
        </w:rPr>
        <w:t>ľudí. Zistilo sa, že najvyššia neúčinná hladina pre tieto nálezy je 6-násobok klinickej expozičnej hladiny.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V predklinických štúdiách sa nepreukázala genotoxicita sitagliptínu. Sitagliptín nebol karcinogénny</w:t>
      </w:r>
      <w:r w:rsidR="00C71505" w:rsidRPr="00F66081">
        <w:rPr>
          <w:lang w:val="sk-SK"/>
        </w:rPr>
        <w:t xml:space="preserve"> </w:t>
      </w:r>
      <w:r w:rsidRPr="00F66081">
        <w:rPr>
          <w:lang w:val="sk-SK"/>
        </w:rPr>
        <w:t>u</w:t>
      </w:r>
      <w:r w:rsidR="00C71505" w:rsidRPr="00F66081">
        <w:rPr>
          <w:lang w:val="sk-SK"/>
        </w:rPr>
        <w:t> </w:t>
      </w:r>
      <w:r w:rsidRPr="00F66081">
        <w:rPr>
          <w:lang w:val="sk-SK"/>
        </w:rPr>
        <w:t>myší. U potkanov došlo k zvýšenej incidencii hepatálnych adenómov a karcinómov pri systémových expozičných hladinách 58-násobne vyšších, ako je expozičná hladina u</w:t>
      </w:r>
      <w:r w:rsidR="008C05F2">
        <w:rPr>
          <w:lang w:val="sk-SK"/>
        </w:rPr>
        <w:t> </w:t>
      </w:r>
      <w:r w:rsidRPr="00F66081">
        <w:rPr>
          <w:lang w:val="sk-SK"/>
        </w:rPr>
        <w:t>ľudí. Keďže sa zistilo, že hepatotoxicita koreluje s indukciou hepatálnej neoplázie u potkanov, táto zvýšená incidencia hepatálnych tumorov u potkanov bola pravdepodobne následkom chronickej hepatálnej toxicity pri tejto vysokej dávke. Vzhľadom na vysoké bezpečnostné rozpätie (19-násobok pri najvyššej neúčinnej hladine) sa tieto neoplastické zmeny nepovažujú za významné v prípade ľudí.</w:t>
      </w: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Nepozorovali sa žiadne nežiaduce účinky na fertilitu samcov a samíc potkanov, ktorým bol sitagliptín podaný pred a počas párenia.</w:t>
      </w:r>
    </w:p>
    <w:p w:rsidR="00532B78" w:rsidRPr="00F66081" w:rsidRDefault="00532B78" w:rsidP="00F67A7A">
      <w:pPr>
        <w:pStyle w:val="Zkladntext"/>
        <w:spacing w:before="9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V pre-/postnatálnej vývojovej štúdii uskutočnenej na potkanoch sa nezistili žiadne nežiaduce účinky sitagliptínu.</w:t>
      </w:r>
    </w:p>
    <w:p w:rsidR="00C71505" w:rsidRPr="00F66081" w:rsidRDefault="00C71505" w:rsidP="00F67A7A">
      <w:pPr>
        <w:pStyle w:val="Zkladntext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Štúdie reprodukčnej toxicity preukázali v súvislosti s liečbou mierne zvýšenie výskytu fetálnych malformácií rebier (chýbajúce, hypoplastické a zvlnené rebrá) u potomkov potkanov vystavených systémovým expozičným hladinám vyšším, ako je 29-násobok expozičných hladín u ľudí. Tehotenská toxicita sa pozorovala u králikov pri viac ako 29-násobku expozičných hladín u ľudí. Vzhľadom na vysoké bezpečnostné rozpätie tieto zistenia nepoukazujú na významné riziko pre ľudskú reprodukciu. Sitagliptín sa do značnej miery vylučuje do mlieka dojčiacich potkanov (pomer mlieko/plazma: 4:1).</w:t>
      </w:r>
    </w:p>
    <w:p w:rsidR="00532B78" w:rsidRPr="00F66081" w:rsidRDefault="00532B78" w:rsidP="00F67A7A">
      <w:pPr>
        <w:pStyle w:val="Zkladntext"/>
        <w:ind w:left="0"/>
        <w:rPr>
          <w:lang w:val="sk-SK"/>
        </w:rPr>
      </w:pP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0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FARMACEUTICKÉ</w:t>
      </w:r>
      <w:r w:rsidRPr="00F66081">
        <w:rPr>
          <w:spacing w:val="-2"/>
          <w:lang w:val="sk-SK"/>
        </w:rPr>
        <w:t xml:space="preserve"> </w:t>
      </w:r>
      <w:r w:rsidRPr="00F66081">
        <w:rPr>
          <w:lang w:val="sk-SK"/>
        </w:rPr>
        <w:t>INFORMÁCIE</w:t>
      </w: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532B78" w:rsidRPr="00F66081" w:rsidRDefault="00BA441E" w:rsidP="00F67A7A">
      <w:pPr>
        <w:pStyle w:val="Odsekzoznamu"/>
        <w:numPr>
          <w:ilvl w:val="1"/>
          <w:numId w:val="17"/>
        </w:numPr>
        <w:tabs>
          <w:tab w:val="left" w:pos="0"/>
        </w:tabs>
        <w:ind w:left="567"/>
        <w:rPr>
          <w:b/>
          <w:lang w:val="sk-SK"/>
        </w:rPr>
      </w:pPr>
      <w:r w:rsidRPr="00F66081">
        <w:rPr>
          <w:b/>
          <w:lang w:val="sk-SK"/>
        </w:rPr>
        <w:t>Zoznam pomocných</w:t>
      </w:r>
      <w:r w:rsidRPr="00F66081">
        <w:rPr>
          <w:b/>
          <w:spacing w:val="-2"/>
          <w:lang w:val="sk-SK"/>
        </w:rPr>
        <w:t xml:space="preserve"> </w:t>
      </w:r>
      <w:r w:rsidRPr="00F66081">
        <w:rPr>
          <w:b/>
          <w:lang w:val="sk-SK"/>
        </w:rPr>
        <w:t>látok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Jadro tablety</w:t>
      </w:r>
      <w:r w:rsidRPr="00F66081">
        <w:rPr>
          <w:lang w:val="sk-SK"/>
        </w:rPr>
        <w:t>:</w:t>
      </w:r>
    </w:p>
    <w:p w:rsidR="00532B78" w:rsidRPr="00F66081" w:rsidRDefault="003365F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mikrokryštalická celulóza</w:t>
      </w:r>
    </w:p>
    <w:p w:rsidR="003365FE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fosforečnan vápenatý</w:t>
      </w:r>
      <w:r w:rsidR="003365FE" w:rsidRPr="00F66081">
        <w:rPr>
          <w:lang w:val="sk-SK"/>
        </w:rPr>
        <w:t>, dihydrát</w:t>
      </w:r>
    </w:p>
    <w:p w:rsidR="003365FE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kroskarmelóz</w:t>
      </w:r>
      <w:r w:rsidR="003365FE" w:rsidRPr="00F66081">
        <w:rPr>
          <w:lang w:val="sk-SK"/>
        </w:rPr>
        <w:t>a, sodná soľ</w:t>
      </w:r>
    </w:p>
    <w:p w:rsidR="00532B78" w:rsidRPr="00F66081" w:rsidRDefault="00BA441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stear</w:t>
      </w:r>
      <w:r w:rsidR="003365FE" w:rsidRPr="00F66081">
        <w:rPr>
          <w:lang w:val="sk-SK"/>
        </w:rPr>
        <w:t>an horečnatý</w:t>
      </w:r>
    </w:p>
    <w:p w:rsidR="00532B78" w:rsidRPr="00F66081" w:rsidRDefault="00BA441E" w:rsidP="00F67A7A">
      <w:pPr>
        <w:pStyle w:val="Zkladntext"/>
        <w:spacing w:before="4"/>
        <w:ind w:left="0"/>
        <w:rPr>
          <w:lang w:val="sk-SK"/>
        </w:rPr>
      </w:pPr>
      <w:r w:rsidRPr="00F66081">
        <w:rPr>
          <w:lang w:val="sk-SK"/>
        </w:rPr>
        <w:t>stearylfumar</w:t>
      </w:r>
      <w:r w:rsidR="003365FE" w:rsidRPr="00F66081">
        <w:rPr>
          <w:lang w:val="sk-SK"/>
        </w:rPr>
        <w:t>an sodný</w:t>
      </w: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DC1EF5" w:rsidRDefault="00BA441E" w:rsidP="00F67A7A">
      <w:pPr>
        <w:pStyle w:val="Zkladntext"/>
        <w:ind w:left="0"/>
        <w:rPr>
          <w:lang w:val="sk-SK"/>
        </w:rPr>
      </w:pPr>
      <w:r w:rsidRPr="00F66081">
        <w:rPr>
          <w:u w:val="single"/>
          <w:lang w:val="sk-SK"/>
        </w:rPr>
        <w:t>Filmový obal</w:t>
      </w:r>
      <w:r w:rsidRPr="00F66081">
        <w:rPr>
          <w:lang w:val="sk-SK"/>
        </w:rPr>
        <w:t>:</w:t>
      </w:r>
    </w:p>
    <w:p w:rsidR="003365FE" w:rsidRDefault="00C3198F" w:rsidP="00F67A7A">
      <w:pPr>
        <w:pStyle w:val="Zkladntext"/>
        <w:ind w:left="0"/>
        <w:rPr>
          <w:lang w:val="sk-SK"/>
        </w:rPr>
      </w:pPr>
      <w:r w:rsidRPr="00DB49B4">
        <w:rPr>
          <w:lang w:val="sk-SK"/>
        </w:rPr>
        <w:t xml:space="preserve">Zinzibet </w:t>
      </w:r>
      <w:r w:rsidR="00631880" w:rsidRPr="00DB49B4">
        <w:rPr>
          <w:lang w:val="sk-SK"/>
        </w:rPr>
        <w:t>25 mg</w:t>
      </w:r>
      <w:r w:rsidR="00DB49B4">
        <w:rPr>
          <w:lang w:val="sk-SK"/>
        </w:rPr>
        <w:t xml:space="preserve">: </w:t>
      </w:r>
      <w:r w:rsidR="003365FE" w:rsidRPr="00F66081">
        <w:rPr>
          <w:lang w:val="sk-SK"/>
        </w:rPr>
        <w:t>Opadry II 85F230012 Orange, pozostáva z:</w:t>
      </w:r>
    </w:p>
    <w:p w:rsidR="00DC1EF5" w:rsidRPr="00DB49B4" w:rsidRDefault="00C3198F" w:rsidP="00F67A7A">
      <w:pPr>
        <w:pStyle w:val="Zkladntext"/>
        <w:ind w:left="0"/>
        <w:rPr>
          <w:lang w:val="sk-SK"/>
        </w:rPr>
      </w:pPr>
      <w:r w:rsidRPr="00DB49B4">
        <w:rPr>
          <w:lang w:val="sk-SK"/>
        </w:rPr>
        <w:t xml:space="preserve">Zinzibet </w:t>
      </w:r>
      <w:r w:rsidR="00631880" w:rsidRPr="00DB49B4">
        <w:rPr>
          <w:lang w:val="sk-SK"/>
        </w:rPr>
        <w:t>50 mg</w:t>
      </w:r>
      <w:r w:rsidR="00DB49B4">
        <w:rPr>
          <w:lang w:val="sk-SK"/>
        </w:rPr>
        <w:t xml:space="preserve">: </w:t>
      </w:r>
      <w:r w:rsidR="00631880" w:rsidRPr="00DB49B4">
        <w:rPr>
          <w:lang w:val="sk-SK"/>
        </w:rPr>
        <w:t>Opadry II 85F270026 Beige</w:t>
      </w:r>
      <w:r w:rsidR="00DC1EF5" w:rsidRPr="00DB49B4">
        <w:rPr>
          <w:lang w:val="sk-SK"/>
        </w:rPr>
        <w:t>, pozostáva z:</w:t>
      </w:r>
    </w:p>
    <w:p w:rsidR="00DC1EF5" w:rsidRPr="00F66081" w:rsidRDefault="00C3198F" w:rsidP="00F67A7A">
      <w:pPr>
        <w:pStyle w:val="Zkladntext"/>
        <w:ind w:left="0"/>
        <w:rPr>
          <w:lang w:val="sk-SK"/>
        </w:rPr>
      </w:pPr>
      <w:r w:rsidRPr="00DB49B4">
        <w:rPr>
          <w:lang w:val="sk-SK"/>
        </w:rPr>
        <w:t xml:space="preserve">Zinzibet </w:t>
      </w:r>
      <w:r w:rsidR="00631880" w:rsidRPr="00DB49B4">
        <w:rPr>
          <w:lang w:val="sk-SK"/>
        </w:rPr>
        <w:t>100 mg</w:t>
      </w:r>
      <w:r w:rsidR="00DB49B4">
        <w:rPr>
          <w:lang w:val="sk-SK"/>
        </w:rPr>
        <w:t xml:space="preserve">: </w:t>
      </w:r>
      <w:r w:rsidR="00DC1EF5" w:rsidRPr="00DB49B4">
        <w:rPr>
          <w:lang w:val="sk-SK"/>
        </w:rPr>
        <w:t>Opadry II 85F230079 Orange, pozostáva z:</w:t>
      </w:r>
    </w:p>
    <w:p w:rsidR="003365FE" w:rsidRPr="00F66081" w:rsidRDefault="003365F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p</w:t>
      </w:r>
      <w:r w:rsidR="00BA441E" w:rsidRPr="00F66081">
        <w:rPr>
          <w:lang w:val="sk-SK"/>
        </w:rPr>
        <w:t>olyvinylalkohol</w:t>
      </w:r>
      <w:r w:rsidRPr="00F66081">
        <w:rPr>
          <w:lang w:val="sk-SK"/>
        </w:rPr>
        <w:t>-čiastočne hydrolyzovaný</w:t>
      </w:r>
    </w:p>
    <w:p w:rsidR="003365FE" w:rsidRPr="00F66081" w:rsidRDefault="003365F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oxid titaničitý (E171)</w:t>
      </w:r>
    </w:p>
    <w:p w:rsidR="003365FE" w:rsidRPr="00F66081" w:rsidRDefault="003365F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makrogol 3350</w:t>
      </w:r>
    </w:p>
    <w:p w:rsidR="003365FE" w:rsidRPr="00F66081" w:rsidRDefault="003365F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mastenec</w:t>
      </w:r>
    </w:p>
    <w:p w:rsidR="00460B1F" w:rsidRPr="00F66081" w:rsidRDefault="00460B1F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žltý oxid železitý (E172)</w:t>
      </w:r>
    </w:p>
    <w:p w:rsidR="003365FE" w:rsidRPr="00F66081" w:rsidRDefault="003365FE" w:rsidP="00F67A7A">
      <w:pPr>
        <w:pStyle w:val="Zkladntext"/>
        <w:spacing w:before="6"/>
        <w:ind w:left="0"/>
        <w:rPr>
          <w:lang w:val="sk-SK"/>
        </w:rPr>
      </w:pPr>
      <w:r w:rsidRPr="00F66081">
        <w:rPr>
          <w:lang w:val="sk-SK"/>
        </w:rPr>
        <w:t>červený oxid železitý (E172)</w:t>
      </w:r>
    </w:p>
    <w:p w:rsidR="00532B78" w:rsidRPr="00F66081" w:rsidRDefault="00532B78" w:rsidP="00F67A7A">
      <w:pPr>
        <w:pStyle w:val="Zkladntext"/>
        <w:spacing w:before="1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1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Inkompatibility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Neaplikovateľné.</w:t>
      </w:r>
    </w:p>
    <w:p w:rsidR="00532B78" w:rsidRPr="00F66081" w:rsidRDefault="00532B78" w:rsidP="00F67A7A">
      <w:pPr>
        <w:pStyle w:val="Zkladntext"/>
        <w:spacing w:before="6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1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Čas</w:t>
      </w:r>
      <w:r w:rsidRPr="00F66081">
        <w:rPr>
          <w:spacing w:val="-2"/>
          <w:lang w:val="sk-SK"/>
        </w:rPr>
        <w:t xml:space="preserve"> </w:t>
      </w:r>
      <w:r w:rsidRPr="00F66081">
        <w:rPr>
          <w:lang w:val="sk-SK"/>
        </w:rPr>
        <w:t>použiteľnosti</w:t>
      </w:r>
    </w:p>
    <w:p w:rsidR="00532B78" w:rsidRPr="00F66081" w:rsidRDefault="00532B78" w:rsidP="00F67A7A">
      <w:pPr>
        <w:pStyle w:val="Zkladntext"/>
        <w:spacing w:before="7"/>
        <w:ind w:left="0"/>
        <w:rPr>
          <w:lang w:val="sk-SK"/>
        </w:rPr>
      </w:pPr>
    </w:p>
    <w:p w:rsidR="00532B78" w:rsidRPr="00F66081" w:rsidRDefault="00E1146B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30</w:t>
      </w:r>
      <w:r w:rsidR="00BA441E" w:rsidRPr="00F66081">
        <w:rPr>
          <w:lang w:val="sk-SK"/>
        </w:rPr>
        <w:t xml:space="preserve"> </w:t>
      </w:r>
      <w:r w:rsidRPr="00F66081">
        <w:rPr>
          <w:lang w:val="sk-SK"/>
        </w:rPr>
        <w:t>mesiacov</w:t>
      </w:r>
    </w:p>
    <w:p w:rsidR="00532B78" w:rsidRPr="00F66081" w:rsidRDefault="00532B78" w:rsidP="00F67A7A">
      <w:pPr>
        <w:pStyle w:val="Zkladntext"/>
        <w:spacing w:before="6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1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Špeciálne upozornenia na</w:t>
      </w:r>
      <w:r w:rsidRPr="00F66081">
        <w:rPr>
          <w:spacing w:val="-1"/>
          <w:lang w:val="sk-SK"/>
        </w:rPr>
        <w:t xml:space="preserve"> </w:t>
      </w:r>
      <w:r w:rsidRPr="00F66081">
        <w:rPr>
          <w:lang w:val="sk-SK"/>
        </w:rPr>
        <w:t>uchovávanie</w:t>
      </w:r>
    </w:p>
    <w:p w:rsidR="00532B78" w:rsidRPr="00F66081" w:rsidRDefault="00532B78" w:rsidP="00F67A7A">
      <w:pPr>
        <w:pStyle w:val="Zkladntext"/>
        <w:spacing w:before="8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Tento liek nevyžaduje žiadne zvláštne podmienky na uchovávanie.</w:t>
      </w:r>
    </w:p>
    <w:p w:rsidR="00532B78" w:rsidRPr="00F66081" w:rsidRDefault="00532B78" w:rsidP="00F67A7A">
      <w:pPr>
        <w:pStyle w:val="Zkladntext"/>
        <w:spacing w:before="5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1"/>
          <w:numId w:val="17"/>
        </w:numPr>
        <w:tabs>
          <w:tab w:val="left" w:pos="0"/>
        </w:tabs>
        <w:spacing w:before="1"/>
        <w:ind w:left="567"/>
        <w:rPr>
          <w:lang w:val="sk-SK"/>
        </w:rPr>
      </w:pPr>
      <w:r w:rsidRPr="00F66081">
        <w:rPr>
          <w:lang w:val="sk-SK"/>
        </w:rPr>
        <w:t>Druh obalu a obsah</w:t>
      </w:r>
      <w:r w:rsidRPr="00F66081">
        <w:rPr>
          <w:spacing w:val="-1"/>
          <w:lang w:val="sk-SK"/>
        </w:rPr>
        <w:t xml:space="preserve"> </w:t>
      </w:r>
      <w:r w:rsidRPr="00F66081">
        <w:rPr>
          <w:lang w:val="sk-SK"/>
        </w:rPr>
        <w:t>balenia</w:t>
      </w:r>
    </w:p>
    <w:p w:rsidR="00532B78" w:rsidRPr="00F66081" w:rsidRDefault="00532B78" w:rsidP="00F67A7A">
      <w:pPr>
        <w:pStyle w:val="Zkladntext"/>
        <w:spacing w:before="7"/>
        <w:ind w:left="0"/>
        <w:rPr>
          <w:lang w:val="sk-SK"/>
        </w:rPr>
      </w:pPr>
    </w:p>
    <w:p w:rsidR="00532B78" w:rsidRPr="00F66081" w:rsidRDefault="00E1146B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B</w:t>
      </w:r>
      <w:r w:rsidR="00BA441E" w:rsidRPr="00F66081">
        <w:rPr>
          <w:lang w:val="sk-SK"/>
        </w:rPr>
        <w:t>listre (PVC/PVDC a hliník). Balenie po 28, 56 alebo 98 filmom obalených tabliet.</w:t>
      </w: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Na trh nemusia byť uvedené všetky veľkosti balenia.</w:t>
      </w:r>
    </w:p>
    <w:p w:rsidR="00532B78" w:rsidRPr="00F66081" w:rsidRDefault="00532B78" w:rsidP="00F67A7A">
      <w:pPr>
        <w:pStyle w:val="Zkladntext"/>
        <w:spacing w:before="6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1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Špeciálne opatrenia na likvidáciu</w:t>
      </w:r>
    </w:p>
    <w:p w:rsidR="00532B78" w:rsidRPr="00F66081" w:rsidRDefault="00532B78" w:rsidP="00F67A7A">
      <w:pPr>
        <w:pStyle w:val="Zkladntext"/>
        <w:spacing w:before="7"/>
        <w:ind w:left="0"/>
        <w:rPr>
          <w:b/>
          <w:lang w:val="sk-SK"/>
        </w:rPr>
      </w:pPr>
    </w:p>
    <w:p w:rsidR="00532B78" w:rsidRPr="00F66081" w:rsidRDefault="00BA441E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Všetok nepoužitý liek alebo odpad vzniknutý z lie</w:t>
      </w:r>
      <w:r w:rsidR="00E1146B" w:rsidRPr="00F66081">
        <w:rPr>
          <w:lang w:val="sk-SK"/>
        </w:rPr>
        <w:t>ku sa má zlikvidovať v</w:t>
      </w:r>
      <w:r w:rsidR="008C05F2">
        <w:rPr>
          <w:lang w:val="sk-SK"/>
        </w:rPr>
        <w:t> </w:t>
      </w:r>
      <w:r w:rsidR="00E1146B" w:rsidRPr="00F66081">
        <w:rPr>
          <w:lang w:val="sk-SK"/>
        </w:rPr>
        <w:t>súlade s </w:t>
      </w:r>
      <w:r w:rsidRPr="00F66081">
        <w:rPr>
          <w:lang w:val="sk-SK"/>
        </w:rPr>
        <w:t>národnými požiadavkami.</w:t>
      </w:r>
    </w:p>
    <w:p w:rsidR="00E1146B" w:rsidRPr="00F66081" w:rsidRDefault="00E1146B" w:rsidP="00F67A7A">
      <w:pPr>
        <w:pStyle w:val="Zkladntext"/>
        <w:ind w:left="0"/>
        <w:rPr>
          <w:lang w:val="sk-SK"/>
        </w:rPr>
      </w:pPr>
    </w:p>
    <w:p w:rsidR="00E1146B" w:rsidRPr="00F66081" w:rsidRDefault="00E1146B" w:rsidP="00F67A7A">
      <w:pPr>
        <w:pStyle w:val="Zkladntext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0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DRŽITEĽ ROZHODNUTIA O</w:t>
      </w:r>
      <w:r w:rsidRPr="00F66081">
        <w:rPr>
          <w:spacing w:val="-3"/>
          <w:lang w:val="sk-SK"/>
        </w:rPr>
        <w:t xml:space="preserve"> </w:t>
      </w:r>
      <w:r w:rsidRPr="00F66081">
        <w:rPr>
          <w:lang w:val="sk-SK"/>
        </w:rPr>
        <w:t>REGISTRÁCII</w:t>
      </w:r>
    </w:p>
    <w:p w:rsidR="00532B78" w:rsidRPr="00F66081" w:rsidRDefault="00532B78" w:rsidP="00F67A7A">
      <w:pPr>
        <w:pStyle w:val="Zkladntext"/>
        <w:spacing w:before="7"/>
        <w:ind w:left="0"/>
        <w:rPr>
          <w:b/>
          <w:lang w:val="sk-SK"/>
        </w:rPr>
      </w:pPr>
    </w:p>
    <w:p w:rsidR="00E1146B" w:rsidRPr="00F66081" w:rsidRDefault="00E1146B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Egis Pharmaceuticals PLC</w:t>
      </w:r>
    </w:p>
    <w:p w:rsidR="00E1146B" w:rsidRPr="00F66081" w:rsidRDefault="00E1146B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1106 Budapešť, Keresztúri út 30-38.</w:t>
      </w:r>
    </w:p>
    <w:p w:rsidR="00532B78" w:rsidRPr="00F66081" w:rsidRDefault="00E1146B" w:rsidP="00F67A7A">
      <w:pPr>
        <w:pStyle w:val="Zkladntext"/>
        <w:ind w:left="0"/>
        <w:rPr>
          <w:lang w:val="sk-SK"/>
        </w:rPr>
      </w:pPr>
      <w:r w:rsidRPr="00F66081">
        <w:rPr>
          <w:lang w:val="sk-SK"/>
        </w:rPr>
        <w:t>Maďarsko</w:t>
      </w:r>
    </w:p>
    <w:p w:rsidR="00532B78" w:rsidRPr="00F66081" w:rsidRDefault="00532B78" w:rsidP="00F67A7A">
      <w:pPr>
        <w:pStyle w:val="Zkladntext"/>
        <w:spacing w:before="11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0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REGISTRAČNÉ</w:t>
      </w:r>
      <w:r w:rsidRPr="00F66081">
        <w:rPr>
          <w:spacing w:val="-3"/>
          <w:lang w:val="sk-SK"/>
        </w:rPr>
        <w:t xml:space="preserve"> </w:t>
      </w:r>
      <w:r w:rsidRPr="00F66081">
        <w:rPr>
          <w:lang w:val="sk-SK"/>
        </w:rPr>
        <w:t>ČÍSL</w:t>
      </w:r>
      <w:r w:rsidR="00C3198F">
        <w:rPr>
          <w:lang w:val="sk-SK"/>
        </w:rPr>
        <w:t xml:space="preserve">A </w:t>
      </w:r>
    </w:p>
    <w:p w:rsidR="00532B78" w:rsidRPr="00F66081" w:rsidRDefault="00532B78" w:rsidP="00F67A7A">
      <w:pPr>
        <w:pStyle w:val="Zkladntext"/>
        <w:spacing w:before="7"/>
        <w:ind w:left="0"/>
        <w:rPr>
          <w:lang w:val="sk-SK"/>
        </w:rPr>
      </w:pPr>
    </w:p>
    <w:p w:rsidR="00532B78" w:rsidRDefault="00FF6D47" w:rsidP="00F67A7A">
      <w:pPr>
        <w:pStyle w:val="Zkladntext"/>
        <w:ind w:left="0"/>
        <w:rPr>
          <w:lang w:val="sk-SK"/>
        </w:rPr>
      </w:pPr>
      <w:r>
        <w:rPr>
          <w:lang w:val="sk-SK"/>
        </w:rPr>
        <w:t>Zinzibet 25 mg:</w:t>
      </w:r>
      <w:r w:rsidR="001A1971">
        <w:rPr>
          <w:lang w:val="sk-SK"/>
        </w:rPr>
        <w:tab/>
        <w:t>18/0114/18/S</w:t>
      </w:r>
    </w:p>
    <w:p w:rsidR="00FF6D47" w:rsidRPr="00C3198F" w:rsidRDefault="00FF6D47" w:rsidP="00F67A7A">
      <w:pPr>
        <w:pStyle w:val="Zkladntext"/>
        <w:ind w:left="0"/>
        <w:rPr>
          <w:lang w:val="sk-SK"/>
        </w:rPr>
      </w:pPr>
      <w:r w:rsidRPr="00C3198F">
        <w:rPr>
          <w:lang w:val="sk-SK"/>
        </w:rPr>
        <w:t>Zinzibet 5</w:t>
      </w:r>
      <w:r w:rsidR="00DC1EF5" w:rsidRPr="00C3198F">
        <w:rPr>
          <w:lang w:val="sk-SK"/>
        </w:rPr>
        <w:t>0 </w:t>
      </w:r>
      <w:r w:rsidRPr="00C3198F">
        <w:rPr>
          <w:lang w:val="sk-SK"/>
        </w:rPr>
        <w:t>mg:</w:t>
      </w:r>
      <w:r w:rsidR="001A1971">
        <w:rPr>
          <w:lang w:val="sk-SK"/>
        </w:rPr>
        <w:tab/>
        <w:t>18/0015/18-S</w:t>
      </w:r>
      <w:r w:rsidR="001A1971">
        <w:rPr>
          <w:lang w:val="sk-SK"/>
        </w:rPr>
        <w:tab/>
      </w:r>
    </w:p>
    <w:p w:rsidR="00FF6D47" w:rsidRDefault="00FF6D47" w:rsidP="00F67A7A">
      <w:pPr>
        <w:pStyle w:val="Zkladntext"/>
        <w:ind w:left="0"/>
        <w:rPr>
          <w:lang w:val="sk-SK"/>
        </w:rPr>
      </w:pPr>
      <w:r w:rsidRPr="00C3198F">
        <w:rPr>
          <w:lang w:val="sk-SK"/>
        </w:rPr>
        <w:t xml:space="preserve">Zinzibet </w:t>
      </w:r>
      <w:r w:rsidR="00DC1EF5" w:rsidRPr="00C3198F">
        <w:rPr>
          <w:lang w:val="sk-SK"/>
        </w:rPr>
        <w:t>100 </w:t>
      </w:r>
      <w:r w:rsidRPr="00C3198F">
        <w:rPr>
          <w:lang w:val="sk-SK"/>
        </w:rPr>
        <w:t>mg:</w:t>
      </w:r>
      <w:r w:rsidR="001A1971">
        <w:rPr>
          <w:lang w:val="sk-SK"/>
        </w:rPr>
        <w:t xml:space="preserve"> 18/0116/18-S</w:t>
      </w:r>
    </w:p>
    <w:p w:rsidR="00FF6D47" w:rsidRPr="00F66081" w:rsidRDefault="00FF6D47" w:rsidP="00F67A7A">
      <w:pPr>
        <w:pStyle w:val="Zkladntext"/>
        <w:ind w:left="0"/>
        <w:rPr>
          <w:lang w:val="sk-SK"/>
        </w:rPr>
      </w:pPr>
    </w:p>
    <w:p w:rsidR="00532B78" w:rsidRPr="00F66081" w:rsidRDefault="00532B78" w:rsidP="00F67A7A">
      <w:pPr>
        <w:pStyle w:val="Zkladntext"/>
        <w:spacing w:before="4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0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DÁTUM PRVEJ REGISTRÁCIE/PREDĹŽENIA</w:t>
      </w:r>
      <w:r w:rsidRPr="00F66081">
        <w:rPr>
          <w:spacing w:val="-5"/>
          <w:lang w:val="sk-SK"/>
        </w:rPr>
        <w:t xml:space="preserve"> </w:t>
      </w:r>
      <w:r w:rsidRPr="00F66081">
        <w:rPr>
          <w:lang w:val="sk-SK"/>
        </w:rPr>
        <w:t>REGISTRÁCIE</w:t>
      </w:r>
    </w:p>
    <w:p w:rsidR="00532B78" w:rsidRPr="00F66081" w:rsidRDefault="00532B78" w:rsidP="00F67A7A">
      <w:pPr>
        <w:pStyle w:val="Zkladntext"/>
        <w:spacing w:before="7"/>
        <w:ind w:left="0"/>
        <w:rPr>
          <w:lang w:val="sk-SK"/>
        </w:rPr>
      </w:pPr>
    </w:p>
    <w:p w:rsidR="00532B78" w:rsidRPr="00F66081" w:rsidRDefault="00BA441E" w:rsidP="00F67A7A">
      <w:pPr>
        <w:pStyle w:val="Zkladntext"/>
        <w:spacing w:before="1"/>
        <w:ind w:left="0"/>
        <w:rPr>
          <w:lang w:val="sk-SK"/>
        </w:rPr>
      </w:pPr>
      <w:r w:rsidRPr="00F66081">
        <w:rPr>
          <w:lang w:val="sk-SK"/>
        </w:rPr>
        <w:t xml:space="preserve">Dátum prvej registrácie: </w:t>
      </w:r>
    </w:p>
    <w:p w:rsidR="00532B78" w:rsidRPr="00F66081" w:rsidRDefault="00532B78" w:rsidP="00F67A7A">
      <w:pPr>
        <w:pStyle w:val="Zkladntext"/>
        <w:ind w:left="0"/>
        <w:rPr>
          <w:lang w:val="sk-SK"/>
        </w:rPr>
      </w:pPr>
    </w:p>
    <w:p w:rsidR="00532B78" w:rsidRPr="00F66081" w:rsidRDefault="00532B78" w:rsidP="00F67A7A">
      <w:pPr>
        <w:pStyle w:val="Zkladntext"/>
        <w:ind w:left="0"/>
        <w:rPr>
          <w:lang w:val="sk-SK"/>
        </w:rPr>
      </w:pPr>
    </w:p>
    <w:p w:rsidR="00532B78" w:rsidRPr="00F66081" w:rsidRDefault="00BA441E" w:rsidP="00F67A7A">
      <w:pPr>
        <w:pStyle w:val="Nadpis1"/>
        <w:numPr>
          <w:ilvl w:val="0"/>
          <w:numId w:val="17"/>
        </w:numPr>
        <w:tabs>
          <w:tab w:val="left" w:pos="0"/>
        </w:tabs>
        <w:ind w:left="567"/>
        <w:rPr>
          <w:lang w:val="sk-SK"/>
        </w:rPr>
      </w:pPr>
      <w:r w:rsidRPr="00F66081">
        <w:rPr>
          <w:lang w:val="sk-SK"/>
        </w:rPr>
        <w:t>DÁTUM REVÍZIE</w:t>
      </w:r>
      <w:r w:rsidRPr="00F66081">
        <w:rPr>
          <w:spacing w:val="-5"/>
          <w:lang w:val="sk-SK"/>
        </w:rPr>
        <w:t xml:space="preserve"> </w:t>
      </w:r>
      <w:r w:rsidRPr="00F66081">
        <w:rPr>
          <w:lang w:val="sk-SK"/>
        </w:rPr>
        <w:t>TEXTU</w:t>
      </w:r>
    </w:p>
    <w:p w:rsidR="00532B78" w:rsidRDefault="00532B78" w:rsidP="00F67A7A">
      <w:pPr>
        <w:pStyle w:val="Zkladntext"/>
        <w:ind w:left="0"/>
        <w:rPr>
          <w:lang w:val="sk-SK"/>
        </w:rPr>
      </w:pPr>
    </w:p>
    <w:p w:rsidR="00051DD3" w:rsidRPr="00F66081" w:rsidRDefault="00051DD3" w:rsidP="00F67A7A">
      <w:pPr>
        <w:pStyle w:val="Zkladntext"/>
        <w:ind w:left="0"/>
        <w:rPr>
          <w:lang w:val="sk-SK"/>
        </w:rPr>
      </w:pPr>
      <w:r>
        <w:rPr>
          <w:lang w:val="sk-SK"/>
        </w:rPr>
        <w:t>03/2018</w:t>
      </w:r>
    </w:p>
    <w:p w:rsidR="00532B78" w:rsidRPr="00F66081" w:rsidRDefault="00532B78" w:rsidP="00F67A7A">
      <w:pPr>
        <w:pStyle w:val="Nadpis1"/>
        <w:tabs>
          <w:tab w:val="left" w:pos="784"/>
          <w:tab w:val="left" w:pos="785"/>
        </w:tabs>
        <w:ind w:left="0"/>
        <w:rPr>
          <w:b w:val="0"/>
          <w:lang w:val="sk-SK"/>
        </w:rPr>
      </w:pPr>
    </w:p>
    <w:sectPr w:rsidR="00532B78" w:rsidRPr="00F66081" w:rsidSect="00286362">
      <w:headerReference w:type="default" r:id="rId9"/>
      <w:footerReference w:type="default" r:id="rId10"/>
      <w:pgSz w:w="11910" w:h="16840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7FE" w:rsidRDefault="003527FE">
      <w:r>
        <w:separator/>
      </w:r>
    </w:p>
  </w:endnote>
  <w:endnote w:type="continuationSeparator" w:id="0">
    <w:p w:rsidR="003527FE" w:rsidRDefault="0035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7FE" w:rsidRDefault="003527FE">
    <w:pPr>
      <w:pStyle w:val="Zkladntext"/>
      <w:spacing w:line="14" w:lineRule="auto"/>
      <w:ind w:left="0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BB65519" wp14:editId="0CEB6B2A">
              <wp:simplePos x="0" y="0"/>
              <wp:positionH relativeFrom="page">
                <wp:posOffset>3697605</wp:posOffset>
              </wp:positionH>
              <wp:positionV relativeFrom="page">
                <wp:posOffset>10099040</wp:posOffset>
              </wp:positionV>
              <wp:extent cx="163830" cy="139700"/>
              <wp:effectExtent l="1905" t="254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7FE" w:rsidRPr="004A590A" w:rsidRDefault="003527FE">
                          <w:pPr>
                            <w:spacing w:before="15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 w:rsidRPr="004A590A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A590A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A590A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6362">
                            <w:rPr>
                              <w:noProof/>
                              <w:sz w:val="18"/>
                              <w:szCs w:val="18"/>
                            </w:rPr>
                            <w:t>15</w:t>
                          </w:r>
                          <w:r w:rsidRPr="004A590A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B655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15pt;margin-top:795.2pt;width:12.9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" filled="f" stroked="f">
              <v:textbox inset="0,0,0,0">
                <w:txbxContent>
                  <w:p w:rsidR="003527FE" w:rsidRPr="004A590A" w:rsidRDefault="003527FE">
                    <w:pPr>
                      <w:spacing w:before="15"/>
                      <w:ind w:left="40"/>
                      <w:rPr>
                        <w:sz w:val="18"/>
                        <w:szCs w:val="18"/>
                      </w:rPr>
                    </w:pPr>
                    <w:r w:rsidRPr="004A590A">
                      <w:rPr>
                        <w:sz w:val="18"/>
                        <w:szCs w:val="18"/>
                      </w:rPr>
                      <w:fldChar w:fldCharType="begin"/>
                    </w:r>
                    <w:r w:rsidRPr="004A590A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4A590A">
                      <w:rPr>
                        <w:sz w:val="18"/>
                        <w:szCs w:val="18"/>
                      </w:rPr>
                      <w:fldChar w:fldCharType="separate"/>
                    </w:r>
                    <w:r w:rsidR="00286362">
                      <w:rPr>
                        <w:noProof/>
                        <w:sz w:val="18"/>
                        <w:szCs w:val="18"/>
                      </w:rPr>
                      <w:t>15</w:t>
                    </w:r>
                    <w:r w:rsidRPr="004A590A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7FE" w:rsidRDefault="003527FE">
      <w:r>
        <w:separator/>
      </w:r>
    </w:p>
  </w:footnote>
  <w:footnote w:type="continuationSeparator" w:id="0">
    <w:p w:rsidR="003527FE" w:rsidRDefault="0035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7FE" w:rsidRPr="00A14129" w:rsidRDefault="003527FE">
    <w:pPr>
      <w:pStyle w:val="Hlavika"/>
      <w:rPr>
        <w:sz w:val="18"/>
        <w:szCs w:val="18"/>
      </w:rPr>
    </w:pPr>
    <w:r w:rsidRPr="00A14129">
      <w:rPr>
        <w:sz w:val="18"/>
        <w:szCs w:val="18"/>
      </w:rPr>
      <w:t>Schválený text k rozhodnutiu o registrácii, ev. č.:</w:t>
    </w:r>
    <w:r>
      <w:rPr>
        <w:sz w:val="18"/>
        <w:szCs w:val="18"/>
      </w:rPr>
      <w:t xml:space="preserve"> </w:t>
    </w:r>
    <w:r w:rsidRPr="00A14129">
      <w:rPr>
        <w:sz w:val="18"/>
        <w:szCs w:val="18"/>
      </w:rPr>
      <w:t>2017/00294-REG</w:t>
    </w:r>
    <w:r>
      <w:rPr>
        <w:sz w:val="18"/>
        <w:szCs w:val="18"/>
      </w:rPr>
      <w:t xml:space="preserve">, </w:t>
    </w:r>
    <w:r w:rsidRPr="00C3198F">
      <w:rPr>
        <w:sz w:val="18"/>
        <w:szCs w:val="18"/>
      </w:rPr>
      <w:t>2017/0029</w:t>
    </w:r>
    <w:r>
      <w:rPr>
        <w:sz w:val="18"/>
        <w:szCs w:val="18"/>
      </w:rPr>
      <w:t>6</w:t>
    </w:r>
    <w:r w:rsidRPr="00C3198F">
      <w:rPr>
        <w:sz w:val="18"/>
        <w:szCs w:val="18"/>
      </w:rPr>
      <w:t>-REG</w:t>
    </w:r>
    <w:r>
      <w:rPr>
        <w:sz w:val="18"/>
        <w:szCs w:val="18"/>
      </w:rPr>
      <w:t xml:space="preserve">, </w:t>
    </w:r>
    <w:r w:rsidRPr="00C3198F">
      <w:rPr>
        <w:sz w:val="18"/>
        <w:szCs w:val="18"/>
      </w:rPr>
      <w:t>2017/0029</w:t>
    </w:r>
    <w:r>
      <w:rPr>
        <w:sz w:val="18"/>
        <w:szCs w:val="18"/>
      </w:rPr>
      <w:t>7</w:t>
    </w:r>
    <w:r w:rsidRPr="00C3198F">
      <w:rPr>
        <w:sz w:val="18"/>
        <w:szCs w:val="18"/>
      </w:rPr>
      <w:t>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D77"/>
    <w:multiLevelType w:val="hybridMultilevel"/>
    <w:tmpl w:val="7BD069BE"/>
    <w:lvl w:ilvl="0" w:tplc="09566756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04A518C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BB5EB740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85E063BE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F918911C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5C884F56">
      <w:numFmt w:val="bullet"/>
      <w:lvlText w:val="•"/>
      <w:lvlJc w:val="left"/>
      <w:pPr>
        <w:ind w:left="5152" w:hanging="567"/>
      </w:pPr>
      <w:rPr>
        <w:rFonts w:hint="default"/>
      </w:rPr>
    </w:lvl>
    <w:lvl w:ilvl="6" w:tplc="0DD64DDE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8F7899CA">
      <w:numFmt w:val="bullet"/>
      <w:lvlText w:val="•"/>
      <w:lvlJc w:val="left"/>
      <w:pPr>
        <w:ind w:left="6901" w:hanging="567"/>
      </w:pPr>
      <w:rPr>
        <w:rFonts w:hint="default"/>
      </w:rPr>
    </w:lvl>
    <w:lvl w:ilvl="8" w:tplc="7BAE3A2E">
      <w:numFmt w:val="bullet"/>
      <w:lvlText w:val="•"/>
      <w:lvlJc w:val="left"/>
      <w:pPr>
        <w:ind w:left="7776" w:hanging="567"/>
      </w:pPr>
      <w:rPr>
        <w:rFonts w:hint="default"/>
      </w:rPr>
    </w:lvl>
  </w:abstractNum>
  <w:abstractNum w:abstractNumId="1" w15:restartNumberingAfterBreak="0">
    <w:nsid w:val="038D5741"/>
    <w:multiLevelType w:val="hybridMultilevel"/>
    <w:tmpl w:val="0738348A"/>
    <w:lvl w:ilvl="0" w:tplc="041B0001">
      <w:start w:val="1"/>
      <w:numFmt w:val="bullet"/>
      <w:lvlText w:val=""/>
      <w:lvlJc w:val="left"/>
      <w:pPr>
        <w:ind w:left="784" w:hanging="567"/>
      </w:pPr>
      <w:rPr>
        <w:rFonts w:ascii="Symbol" w:hAnsi="Symbol" w:hint="default"/>
        <w:w w:val="99"/>
      </w:rPr>
    </w:lvl>
    <w:lvl w:ilvl="1" w:tplc="C192B384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49886E92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66BA796A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69568186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964A249A">
      <w:numFmt w:val="bullet"/>
      <w:lvlText w:val="•"/>
      <w:lvlJc w:val="left"/>
      <w:pPr>
        <w:ind w:left="5152" w:hanging="567"/>
      </w:pPr>
      <w:rPr>
        <w:rFonts w:hint="default"/>
      </w:rPr>
    </w:lvl>
    <w:lvl w:ilvl="6" w:tplc="7C34402C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50CCFDEE">
      <w:numFmt w:val="bullet"/>
      <w:lvlText w:val="•"/>
      <w:lvlJc w:val="left"/>
      <w:pPr>
        <w:ind w:left="6901" w:hanging="567"/>
      </w:pPr>
      <w:rPr>
        <w:rFonts w:hint="default"/>
      </w:rPr>
    </w:lvl>
    <w:lvl w:ilvl="8" w:tplc="623E7684">
      <w:numFmt w:val="bullet"/>
      <w:lvlText w:val="•"/>
      <w:lvlJc w:val="left"/>
      <w:pPr>
        <w:ind w:left="7776" w:hanging="567"/>
      </w:pPr>
      <w:rPr>
        <w:rFonts w:hint="default"/>
      </w:rPr>
    </w:lvl>
  </w:abstractNum>
  <w:abstractNum w:abstractNumId="2" w15:restartNumberingAfterBreak="0">
    <w:nsid w:val="04183E79"/>
    <w:multiLevelType w:val="hybridMultilevel"/>
    <w:tmpl w:val="E02EE25A"/>
    <w:lvl w:ilvl="0" w:tplc="3BC8C426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2ECBD34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E7764A38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D15645EC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CC880F2E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B59485DA">
      <w:numFmt w:val="bullet"/>
      <w:lvlText w:val="•"/>
      <w:lvlJc w:val="left"/>
      <w:pPr>
        <w:ind w:left="5152" w:hanging="567"/>
      </w:pPr>
      <w:rPr>
        <w:rFonts w:hint="default"/>
      </w:rPr>
    </w:lvl>
    <w:lvl w:ilvl="6" w:tplc="6178C882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BBBA6332">
      <w:numFmt w:val="bullet"/>
      <w:lvlText w:val="•"/>
      <w:lvlJc w:val="left"/>
      <w:pPr>
        <w:ind w:left="6901" w:hanging="567"/>
      </w:pPr>
      <w:rPr>
        <w:rFonts w:hint="default"/>
      </w:rPr>
    </w:lvl>
    <w:lvl w:ilvl="8" w:tplc="D7685464">
      <w:numFmt w:val="bullet"/>
      <w:lvlText w:val="•"/>
      <w:lvlJc w:val="left"/>
      <w:pPr>
        <w:ind w:left="7776" w:hanging="567"/>
      </w:pPr>
      <w:rPr>
        <w:rFonts w:hint="default"/>
      </w:rPr>
    </w:lvl>
  </w:abstractNum>
  <w:abstractNum w:abstractNumId="3" w15:restartNumberingAfterBreak="0">
    <w:nsid w:val="077A7AB2"/>
    <w:multiLevelType w:val="hybridMultilevel"/>
    <w:tmpl w:val="C96CD1C6"/>
    <w:lvl w:ilvl="0" w:tplc="4DC61AFE">
      <w:start w:val="1"/>
      <w:numFmt w:val="decimal"/>
      <w:lvlText w:val="%1."/>
      <w:lvlJc w:val="left"/>
      <w:pPr>
        <w:ind w:left="2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C9C8A6A4">
      <w:numFmt w:val="bullet"/>
      <w:lvlText w:val="•"/>
      <w:lvlJc w:val="left"/>
      <w:pPr>
        <w:ind w:left="1150" w:hanging="567"/>
      </w:pPr>
      <w:rPr>
        <w:rFonts w:hint="default"/>
      </w:rPr>
    </w:lvl>
    <w:lvl w:ilvl="2" w:tplc="6ED2D598">
      <w:numFmt w:val="bullet"/>
      <w:lvlText w:val="•"/>
      <w:lvlJc w:val="left"/>
      <w:pPr>
        <w:ind w:left="2081" w:hanging="567"/>
      </w:pPr>
      <w:rPr>
        <w:rFonts w:hint="default"/>
      </w:rPr>
    </w:lvl>
    <w:lvl w:ilvl="3" w:tplc="B4F21EE4">
      <w:numFmt w:val="bullet"/>
      <w:lvlText w:val="•"/>
      <w:lvlJc w:val="left"/>
      <w:pPr>
        <w:ind w:left="3011" w:hanging="567"/>
      </w:pPr>
      <w:rPr>
        <w:rFonts w:hint="default"/>
      </w:rPr>
    </w:lvl>
    <w:lvl w:ilvl="4" w:tplc="68E81D2A">
      <w:numFmt w:val="bullet"/>
      <w:lvlText w:val="•"/>
      <w:lvlJc w:val="left"/>
      <w:pPr>
        <w:ind w:left="3942" w:hanging="567"/>
      </w:pPr>
      <w:rPr>
        <w:rFonts w:hint="default"/>
      </w:rPr>
    </w:lvl>
    <w:lvl w:ilvl="5" w:tplc="4AF4E980">
      <w:numFmt w:val="bullet"/>
      <w:lvlText w:val="•"/>
      <w:lvlJc w:val="left"/>
      <w:pPr>
        <w:ind w:left="4872" w:hanging="567"/>
      </w:pPr>
      <w:rPr>
        <w:rFonts w:hint="default"/>
      </w:rPr>
    </w:lvl>
    <w:lvl w:ilvl="6" w:tplc="567404F4">
      <w:numFmt w:val="bullet"/>
      <w:lvlText w:val="•"/>
      <w:lvlJc w:val="left"/>
      <w:pPr>
        <w:ind w:left="5803" w:hanging="567"/>
      </w:pPr>
      <w:rPr>
        <w:rFonts w:hint="default"/>
      </w:rPr>
    </w:lvl>
    <w:lvl w:ilvl="7" w:tplc="403EFB28">
      <w:numFmt w:val="bullet"/>
      <w:lvlText w:val="•"/>
      <w:lvlJc w:val="left"/>
      <w:pPr>
        <w:ind w:left="6733" w:hanging="567"/>
      </w:pPr>
      <w:rPr>
        <w:rFonts w:hint="default"/>
      </w:rPr>
    </w:lvl>
    <w:lvl w:ilvl="8" w:tplc="EF482BD0">
      <w:numFmt w:val="bullet"/>
      <w:lvlText w:val="•"/>
      <w:lvlJc w:val="left"/>
      <w:pPr>
        <w:ind w:left="7664" w:hanging="567"/>
      </w:pPr>
      <w:rPr>
        <w:rFonts w:hint="default"/>
      </w:rPr>
    </w:lvl>
  </w:abstractNum>
  <w:abstractNum w:abstractNumId="4" w15:restartNumberingAfterBreak="0">
    <w:nsid w:val="07B56E19"/>
    <w:multiLevelType w:val="multilevel"/>
    <w:tmpl w:val="0D3E6C08"/>
    <w:lvl w:ilvl="0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29" w:hanging="567"/>
      </w:pPr>
      <w:rPr>
        <w:rFonts w:hint="default"/>
      </w:rPr>
    </w:lvl>
    <w:lvl w:ilvl="3">
      <w:numFmt w:val="bullet"/>
      <w:lvlText w:val="•"/>
      <w:lvlJc w:val="left"/>
      <w:pPr>
        <w:ind w:left="3403" w:hanging="567"/>
      </w:pPr>
      <w:rPr>
        <w:rFonts w:hint="default"/>
      </w:rPr>
    </w:lvl>
    <w:lvl w:ilvl="4">
      <w:numFmt w:val="bullet"/>
      <w:lvlText w:val="•"/>
      <w:lvlJc w:val="left"/>
      <w:pPr>
        <w:ind w:left="4278" w:hanging="567"/>
      </w:pPr>
      <w:rPr>
        <w:rFonts w:hint="default"/>
      </w:rPr>
    </w:lvl>
    <w:lvl w:ilvl="5">
      <w:numFmt w:val="bullet"/>
      <w:lvlText w:val="•"/>
      <w:lvlJc w:val="left"/>
      <w:pPr>
        <w:ind w:left="5152" w:hanging="567"/>
      </w:pPr>
      <w:rPr>
        <w:rFonts w:hint="default"/>
      </w:rPr>
    </w:lvl>
    <w:lvl w:ilvl="6">
      <w:numFmt w:val="bullet"/>
      <w:lvlText w:val="•"/>
      <w:lvlJc w:val="left"/>
      <w:pPr>
        <w:ind w:left="6027" w:hanging="567"/>
      </w:pPr>
      <w:rPr>
        <w:rFonts w:hint="default"/>
      </w:rPr>
    </w:lvl>
    <w:lvl w:ilvl="7">
      <w:numFmt w:val="bullet"/>
      <w:lvlText w:val="•"/>
      <w:lvlJc w:val="left"/>
      <w:pPr>
        <w:ind w:left="6901" w:hanging="567"/>
      </w:pPr>
      <w:rPr>
        <w:rFonts w:hint="default"/>
      </w:rPr>
    </w:lvl>
    <w:lvl w:ilvl="8">
      <w:numFmt w:val="bullet"/>
      <w:lvlText w:val="•"/>
      <w:lvlJc w:val="left"/>
      <w:pPr>
        <w:ind w:left="7776" w:hanging="567"/>
      </w:pPr>
      <w:rPr>
        <w:rFonts w:hint="default"/>
      </w:rPr>
    </w:lvl>
  </w:abstractNum>
  <w:abstractNum w:abstractNumId="5" w15:restartNumberingAfterBreak="0">
    <w:nsid w:val="083D470B"/>
    <w:multiLevelType w:val="hybridMultilevel"/>
    <w:tmpl w:val="83BC2D9C"/>
    <w:lvl w:ilvl="0" w:tplc="105E3D14">
      <w:start w:val="23"/>
      <w:numFmt w:val="decimal"/>
      <w:lvlText w:val="%1-"/>
      <w:lvlJc w:val="left"/>
      <w:pPr>
        <w:ind w:left="218" w:hanging="296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</w:rPr>
    </w:lvl>
    <w:lvl w:ilvl="1" w:tplc="86668998">
      <w:numFmt w:val="bullet"/>
      <w:lvlText w:val="•"/>
      <w:lvlJc w:val="left"/>
      <w:pPr>
        <w:ind w:left="1150" w:hanging="296"/>
      </w:pPr>
      <w:rPr>
        <w:rFonts w:hint="default"/>
      </w:rPr>
    </w:lvl>
    <w:lvl w:ilvl="2" w:tplc="FE6AB78C">
      <w:numFmt w:val="bullet"/>
      <w:lvlText w:val="•"/>
      <w:lvlJc w:val="left"/>
      <w:pPr>
        <w:ind w:left="2081" w:hanging="296"/>
      </w:pPr>
      <w:rPr>
        <w:rFonts w:hint="default"/>
      </w:rPr>
    </w:lvl>
    <w:lvl w:ilvl="3" w:tplc="0C5442B2">
      <w:numFmt w:val="bullet"/>
      <w:lvlText w:val="•"/>
      <w:lvlJc w:val="left"/>
      <w:pPr>
        <w:ind w:left="3011" w:hanging="296"/>
      </w:pPr>
      <w:rPr>
        <w:rFonts w:hint="default"/>
      </w:rPr>
    </w:lvl>
    <w:lvl w:ilvl="4" w:tplc="F972447C">
      <w:numFmt w:val="bullet"/>
      <w:lvlText w:val="•"/>
      <w:lvlJc w:val="left"/>
      <w:pPr>
        <w:ind w:left="3942" w:hanging="296"/>
      </w:pPr>
      <w:rPr>
        <w:rFonts w:hint="default"/>
      </w:rPr>
    </w:lvl>
    <w:lvl w:ilvl="5" w:tplc="B9DA9536">
      <w:numFmt w:val="bullet"/>
      <w:lvlText w:val="•"/>
      <w:lvlJc w:val="left"/>
      <w:pPr>
        <w:ind w:left="4872" w:hanging="296"/>
      </w:pPr>
      <w:rPr>
        <w:rFonts w:hint="default"/>
      </w:rPr>
    </w:lvl>
    <w:lvl w:ilvl="6" w:tplc="9EF82E6A">
      <w:numFmt w:val="bullet"/>
      <w:lvlText w:val="•"/>
      <w:lvlJc w:val="left"/>
      <w:pPr>
        <w:ind w:left="5803" w:hanging="296"/>
      </w:pPr>
      <w:rPr>
        <w:rFonts w:hint="default"/>
      </w:rPr>
    </w:lvl>
    <w:lvl w:ilvl="7" w:tplc="E36A1544">
      <w:numFmt w:val="bullet"/>
      <w:lvlText w:val="•"/>
      <w:lvlJc w:val="left"/>
      <w:pPr>
        <w:ind w:left="6733" w:hanging="296"/>
      </w:pPr>
      <w:rPr>
        <w:rFonts w:hint="default"/>
      </w:rPr>
    </w:lvl>
    <w:lvl w:ilvl="8" w:tplc="43B03E9E">
      <w:numFmt w:val="bullet"/>
      <w:lvlText w:val="•"/>
      <w:lvlJc w:val="left"/>
      <w:pPr>
        <w:ind w:left="7664" w:hanging="296"/>
      </w:pPr>
      <w:rPr>
        <w:rFonts w:hint="default"/>
      </w:rPr>
    </w:lvl>
  </w:abstractNum>
  <w:abstractNum w:abstractNumId="6" w15:restartNumberingAfterBreak="0">
    <w:nsid w:val="11C720EA"/>
    <w:multiLevelType w:val="hybridMultilevel"/>
    <w:tmpl w:val="E6864056"/>
    <w:lvl w:ilvl="0" w:tplc="A1C80EC0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4F05368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3A44B4EC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38600450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CC069D8E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009217CE">
      <w:numFmt w:val="bullet"/>
      <w:lvlText w:val="•"/>
      <w:lvlJc w:val="left"/>
      <w:pPr>
        <w:ind w:left="5152" w:hanging="567"/>
      </w:pPr>
      <w:rPr>
        <w:rFonts w:hint="default"/>
      </w:rPr>
    </w:lvl>
    <w:lvl w:ilvl="6" w:tplc="80D009D6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9F4837EA">
      <w:numFmt w:val="bullet"/>
      <w:lvlText w:val="•"/>
      <w:lvlJc w:val="left"/>
      <w:pPr>
        <w:ind w:left="6901" w:hanging="567"/>
      </w:pPr>
      <w:rPr>
        <w:rFonts w:hint="default"/>
      </w:rPr>
    </w:lvl>
    <w:lvl w:ilvl="8" w:tplc="69962ECA">
      <w:numFmt w:val="bullet"/>
      <w:lvlText w:val="•"/>
      <w:lvlJc w:val="left"/>
      <w:pPr>
        <w:ind w:left="7776" w:hanging="567"/>
      </w:pPr>
      <w:rPr>
        <w:rFonts w:hint="default"/>
      </w:rPr>
    </w:lvl>
  </w:abstractNum>
  <w:abstractNum w:abstractNumId="7" w15:restartNumberingAfterBreak="0">
    <w:nsid w:val="247436FE"/>
    <w:multiLevelType w:val="hybridMultilevel"/>
    <w:tmpl w:val="BD8E9C1E"/>
    <w:lvl w:ilvl="0" w:tplc="C51AFD1E">
      <w:start w:val="1"/>
      <w:numFmt w:val="upperLetter"/>
      <w:lvlText w:val="%1."/>
      <w:lvlJc w:val="left"/>
      <w:pPr>
        <w:ind w:left="1920" w:hanging="56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2DA227D0">
      <w:numFmt w:val="bullet"/>
      <w:lvlText w:val="•"/>
      <w:lvlJc w:val="left"/>
      <w:pPr>
        <w:ind w:left="2680" w:hanging="567"/>
      </w:pPr>
      <w:rPr>
        <w:rFonts w:hint="default"/>
      </w:rPr>
    </w:lvl>
    <w:lvl w:ilvl="2" w:tplc="A7563A04">
      <w:numFmt w:val="bullet"/>
      <w:lvlText w:val="•"/>
      <w:lvlJc w:val="left"/>
      <w:pPr>
        <w:ind w:left="3441" w:hanging="567"/>
      </w:pPr>
      <w:rPr>
        <w:rFonts w:hint="default"/>
      </w:rPr>
    </w:lvl>
    <w:lvl w:ilvl="3" w:tplc="0B30B216">
      <w:numFmt w:val="bullet"/>
      <w:lvlText w:val="•"/>
      <w:lvlJc w:val="left"/>
      <w:pPr>
        <w:ind w:left="4201" w:hanging="567"/>
      </w:pPr>
      <w:rPr>
        <w:rFonts w:hint="default"/>
      </w:rPr>
    </w:lvl>
    <w:lvl w:ilvl="4" w:tplc="75B043BC">
      <w:numFmt w:val="bullet"/>
      <w:lvlText w:val="•"/>
      <w:lvlJc w:val="left"/>
      <w:pPr>
        <w:ind w:left="4962" w:hanging="567"/>
      </w:pPr>
      <w:rPr>
        <w:rFonts w:hint="default"/>
      </w:rPr>
    </w:lvl>
    <w:lvl w:ilvl="5" w:tplc="D4BE190A">
      <w:numFmt w:val="bullet"/>
      <w:lvlText w:val="•"/>
      <w:lvlJc w:val="left"/>
      <w:pPr>
        <w:ind w:left="5722" w:hanging="567"/>
      </w:pPr>
      <w:rPr>
        <w:rFonts w:hint="default"/>
      </w:rPr>
    </w:lvl>
    <w:lvl w:ilvl="6" w:tplc="01543EC6">
      <w:numFmt w:val="bullet"/>
      <w:lvlText w:val="•"/>
      <w:lvlJc w:val="left"/>
      <w:pPr>
        <w:ind w:left="6483" w:hanging="567"/>
      </w:pPr>
      <w:rPr>
        <w:rFonts w:hint="default"/>
      </w:rPr>
    </w:lvl>
    <w:lvl w:ilvl="7" w:tplc="B540E510">
      <w:numFmt w:val="bullet"/>
      <w:lvlText w:val="•"/>
      <w:lvlJc w:val="left"/>
      <w:pPr>
        <w:ind w:left="7243" w:hanging="567"/>
      </w:pPr>
      <w:rPr>
        <w:rFonts w:hint="default"/>
      </w:rPr>
    </w:lvl>
    <w:lvl w:ilvl="8" w:tplc="5A68C47E">
      <w:numFmt w:val="bullet"/>
      <w:lvlText w:val="•"/>
      <w:lvlJc w:val="left"/>
      <w:pPr>
        <w:ind w:left="8004" w:hanging="567"/>
      </w:pPr>
      <w:rPr>
        <w:rFonts w:hint="default"/>
      </w:rPr>
    </w:lvl>
  </w:abstractNum>
  <w:abstractNum w:abstractNumId="8" w15:restartNumberingAfterBreak="0">
    <w:nsid w:val="2EEC5563"/>
    <w:multiLevelType w:val="multilevel"/>
    <w:tmpl w:val="F9327D70"/>
    <w:lvl w:ilvl="0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29" w:hanging="567"/>
      </w:pPr>
      <w:rPr>
        <w:rFonts w:hint="default"/>
      </w:rPr>
    </w:lvl>
    <w:lvl w:ilvl="3">
      <w:numFmt w:val="bullet"/>
      <w:lvlText w:val="•"/>
      <w:lvlJc w:val="left"/>
      <w:pPr>
        <w:ind w:left="3403" w:hanging="567"/>
      </w:pPr>
      <w:rPr>
        <w:rFonts w:hint="default"/>
      </w:rPr>
    </w:lvl>
    <w:lvl w:ilvl="4">
      <w:numFmt w:val="bullet"/>
      <w:lvlText w:val="•"/>
      <w:lvlJc w:val="left"/>
      <w:pPr>
        <w:ind w:left="4278" w:hanging="567"/>
      </w:pPr>
      <w:rPr>
        <w:rFonts w:hint="default"/>
      </w:rPr>
    </w:lvl>
    <w:lvl w:ilvl="5">
      <w:numFmt w:val="bullet"/>
      <w:lvlText w:val="•"/>
      <w:lvlJc w:val="left"/>
      <w:pPr>
        <w:ind w:left="5152" w:hanging="567"/>
      </w:pPr>
      <w:rPr>
        <w:rFonts w:hint="default"/>
      </w:rPr>
    </w:lvl>
    <w:lvl w:ilvl="6">
      <w:numFmt w:val="bullet"/>
      <w:lvlText w:val="•"/>
      <w:lvlJc w:val="left"/>
      <w:pPr>
        <w:ind w:left="6027" w:hanging="567"/>
      </w:pPr>
      <w:rPr>
        <w:rFonts w:hint="default"/>
      </w:rPr>
    </w:lvl>
    <w:lvl w:ilvl="7">
      <w:numFmt w:val="bullet"/>
      <w:lvlText w:val="•"/>
      <w:lvlJc w:val="left"/>
      <w:pPr>
        <w:ind w:left="6901" w:hanging="567"/>
      </w:pPr>
      <w:rPr>
        <w:rFonts w:hint="default"/>
      </w:rPr>
    </w:lvl>
    <w:lvl w:ilvl="8">
      <w:numFmt w:val="bullet"/>
      <w:lvlText w:val="•"/>
      <w:lvlJc w:val="left"/>
      <w:pPr>
        <w:ind w:left="7776" w:hanging="567"/>
      </w:pPr>
      <w:rPr>
        <w:rFonts w:hint="default"/>
      </w:rPr>
    </w:lvl>
  </w:abstractNum>
  <w:abstractNum w:abstractNumId="9" w15:restartNumberingAfterBreak="0">
    <w:nsid w:val="33267D35"/>
    <w:multiLevelType w:val="hybridMultilevel"/>
    <w:tmpl w:val="6790720E"/>
    <w:lvl w:ilvl="0" w:tplc="13B43540">
      <w:start w:val="1"/>
      <w:numFmt w:val="upperLetter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67A82350">
      <w:start w:val="1"/>
      <w:numFmt w:val="upperLetter"/>
      <w:lvlText w:val="%2."/>
      <w:lvlJc w:val="left"/>
      <w:pPr>
        <w:ind w:left="3803" w:hanging="26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2" w:tplc="FAFADB90">
      <w:numFmt w:val="bullet"/>
      <w:lvlText w:val="•"/>
      <w:lvlJc w:val="left"/>
      <w:pPr>
        <w:ind w:left="4436" w:hanging="269"/>
      </w:pPr>
      <w:rPr>
        <w:rFonts w:hint="default"/>
      </w:rPr>
    </w:lvl>
    <w:lvl w:ilvl="3" w:tplc="BE0E8E78">
      <w:numFmt w:val="bullet"/>
      <w:lvlText w:val="•"/>
      <w:lvlJc w:val="left"/>
      <w:pPr>
        <w:ind w:left="5072" w:hanging="269"/>
      </w:pPr>
      <w:rPr>
        <w:rFonts w:hint="default"/>
      </w:rPr>
    </w:lvl>
    <w:lvl w:ilvl="4" w:tplc="054A42C6">
      <w:numFmt w:val="bullet"/>
      <w:lvlText w:val="•"/>
      <w:lvlJc w:val="left"/>
      <w:pPr>
        <w:ind w:left="5708" w:hanging="269"/>
      </w:pPr>
      <w:rPr>
        <w:rFonts w:hint="default"/>
      </w:rPr>
    </w:lvl>
    <w:lvl w:ilvl="5" w:tplc="2216F504">
      <w:numFmt w:val="bullet"/>
      <w:lvlText w:val="•"/>
      <w:lvlJc w:val="left"/>
      <w:pPr>
        <w:ind w:left="6344" w:hanging="269"/>
      </w:pPr>
      <w:rPr>
        <w:rFonts w:hint="default"/>
      </w:rPr>
    </w:lvl>
    <w:lvl w:ilvl="6" w:tplc="581CAE02">
      <w:numFmt w:val="bullet"/>
      <w:lvlText w:val="•"/>
      <w:lvlJc w:val="left"/>
      <w:pPr>
        <w:ind w:left="6980" w:hanging="269"/>
      </w:pPr>
      <w:rPr>
        <w:rFonts w:hint="default"/>
      </w:rPr>
    </w:lvl>
    <w:lvl w:ilvl="7" w:tplc="3514CFB0">
      <w:numFmt w:val="bullet"/>
      <w:lvlText w:val="•"/>
      <w:lvlJc w:val="left"/>
      <w:pPr>
        <w:ind w:left="7616" w:hanging="269"/>
      </w:pPr>
      <w:rPr>
        <w:rFonts w:hint="default"/>
      </w:rPr>
    </w:lvl>
    <w:lvl w:ilvl="8" w:tplc="15AE03F6">
      <w:numFmt w:val="bullet"/>
      <w:lvlText w:val="•"/>
      <w:lvlJc w:val="left"/>
      <w:pPr>
        <w:ind w:left="8253" w:hanging="269"/>
      </w:pPr>
      <w:rPr>
        <w:rFonts w:hint="default"/>
      </w:rPr>
    </w:lvl>
  </w:abstractNum>
  <w:abstractNum w:abstractNumId="10" w15:restartNumberingAfterBreak="0">
    <w:nsid w:val="368B40B2"/>
    <w:multiLevelType w:val="hybridMultilevel"/>
    <w:tmpl w:val="6162760E"/>
    <w:lvl w:ilvl="0" w:tplc="8716E8E0">
      <w:start w:val="1"/>
      <w:numFmt w:val="decimal"/>
      <w:lvlText w:val="%1."/>
      <w:lvlJc w:val="left"/>
      <w:pPr>
        <w:ind w:left="2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A7EC6E2">
      <w:numFmt w:val="bullet"/>
      <w:lvlText w:val="•"/>
      <w:lvlJc w:val="left"/>
      <w:pPr>
        <w:ind w:left="1150" w:hanging="567"/>
      </w:pPr>
      <w:rPr>
        <w:rFonts w:hint="default"/>
      </w:rPr>
    </w:lvl>
    <w:lvl w:ilvl="2" w:tplc="72627EE2">
      <w:numFmt w:val="bullet"/>
      <w:lvlText w:val="•"/>
      <w:lvlJc w:val="left"/>
      <w:pPr>
        <w:ind w:left="2081" w:hanging="567"/>
      </w:pPr>
      <w:rPr>
        <w:rFonts w:hint="default"/>
      </w:rPr>
    </w:lvl>
    <w:lvl w:ilvl="3" w:tplc="2F565F20">
      <w:numFmt w:val="bullet"/>
      <w:lvlText w:val="•"/>
      <w:lvlJc w:val="left"/>
      <w:pPr>
        <w:ind w:left="3011" w:hanging="567"/>
      </w:pPr>
      <w:rPr>
        <w:rFonts w:hint="default"/>
      </w:rPr>
    </w:lvl>
    <w:lvl w:ilvl="4" w:tplc="DED2D066">
      <w:numFmt w:val="bullet"/>
      <w:lvlText w:val="•"/>
      <w:lvlJc w:val="left"/>
      <w:pPr>
        <w:ind w:left="3942" w:hanging="567"/>
      </w:pPr>
      <w:rPr>
        <w:rFonts w:hint="default"/>
      </w:rPr>
    </w:lvl>
    <w:lvl w:ilvl="5" w:tplc="709A1C5E">
      <w:numFmt w:val="bullet"/>
      <w:lvlText w:val="•"/>
      <w:lvlJc w:val="left"/>
      <w:pPr>
        <w:ind w:left="4872" w:hanging="567"/>
      </w:pPr>
      <w:rPr>
        <w:rFonts w:hint="default"/>
      </w:rPr>
    </w:lvl>
    <w:lvl w:ilvl="6" w:tplc="B1E05910">
      <w:numFmt w:val="bullet"/>
      <w:lvlText w:val="•"/>
      <w:lvlJc w:val="left"/>
      <w:pPr>
        <w:ind w:left="5803" w:hanging="567"/>
      </w:pPr>
      <w:rPr>
        <w:rFonts w:hint="default"/>
      </w:rPr>
    </w:lvl>
    <w:lvl w:ilvl="7" w:tplc="477CD1CA">
      <w:numFmt w:val="bullet"/>
      <w:lvlText w:val="•"/>
      <w:lvlJc w:val="left"/>
      <w:pPr>
        <w:ind w:left="6733" w:hanging="567"/>
      </w:pPr>
      <w:rPr>
        <w:rFonts w:hint="default"/>
      </w:rPr>
    </w:lvl>
    <w:lvl w:ilvl="8" w:tplc="C9AEC574">
      <w:numFmt w:val="bullet"/>
      <w:lvlText w:val="•"/>
      <w:lvlJc w:val="left"/>
      <w:pPr>
        <w:ind w:left="7664" w:hanging="567"/>
      </w:pPr>
      <w:rPr>
        <w:rFonts w:hint="default"/>
      </w:rPr>
    </w:lvl>
  </w:abstractNum>
  <w:abstractNum w:abstractNumId="11" w15:restartNumberingAfterBreak="0">
    <w:nsid w:val="47717C54"/>
    <w:multiLevelType w:val="hybridMultilevel"/>
    <w:tmpl w:val="0CCEABB0"/>
    <w:lvl w:ilvl="0" w:tplc="1F205742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2410FA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99ACDD50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C5EA1CE6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0D0CE708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AD088D84">
      <w:numFmt w:val="bullet"/>
      <w:lvlText w:val="•"/>
      <w:lvlJc w:val="left"/>
      <w:pPr>
        <w:ind w:left="5152" w:hanging="567"/>
      </w:pPr>
      <w:rPr>
        <w:rFonts w:hint="default"/>
      </w:rPr>
    </w:lvl>
    <w:lvl w:ilvl="6" w:tplc="89562C60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ABF8FA44">
      <w:numFmt w:val="bullet"/>
      <w:lvlText w:val="•"/>
      <w:lvlJc w:val="left"/>
      <w:pPr>
        <w:ind w:left="6901" w:hanging="567"/>
      </w:pPr>
      <w:rPr>
        <w:rFonts w:hint="default"/>
      </w:rPr>
    </w:lvl>
    <w:lvl w:ilvl="8" w:tplc="B4B4CAD6">
      <w:numFmt w:val="bullet"/>
      <w:lvlText w:val="•"/>
      <w:lvlJc w:val="left"/>
      <w:pPr>
        <w:ind w:left="7776" w:hanging="567"/>
      </w:pPr>
      <w:rPr>
        <w:rFonts w:hint="default"/>
      </w:rPr>
    </w:lvl>
  </w:abstractNum>
  <w:abstractNum w:abstractNumId="12" w15:restartNumberingAfterBreak="0">
    <w:nsid w:val="5C02123E"/>
    <w:multiLevelType w:val="hybridMultilevel"/>
    <w:tmpl w:val="CDC6B2C6"/>
    <w:lvl w:ilvl="0" w:tplc="CC686568">
      <w:numFmt w:val="bullet"/>
      <w:lvlText w:val="*"/>
      <w:lvlJc w:val="left"/>
      <w:pPr>
        <w:ind w:left="360" w:hanging="171"/>
      </w:pPr>
      <w:rPr>
        <w:rFonts w:hint="default"/>
        <w:spacing w:val="-10"/>
        <w:w w:val="100"/>
        <w:vertAlign w:val="superscript"/>
      </w:rPr>
    </w:lvl>
    <w:lvl w:ilvl="1" w:tplc="4A82E378">
      <w:numFmt w:val="bullet"/>
      <w:lvlText w:val="•"/>
      <w:lvlJc w:val="left"/>
      <w:pPr>
        <w:ind w:left="1276" w:hanging="171"/>
      </w:pPr>
      <w:rPr>
        <w:rFonts w:hint="default"/>
      </w:rPr>
    </w:lvl>
    <w:lvl w:ilvl="2" w:tplc="FF202D8E">
      <w:numFmt w:val="bullet"/>
      <w:lvlText w:val="•"/>
      <w:lvlJc w:val="left"/>
      <w:pPr>
        <w:ind w:left="2193" w:hanging="171"/>
      </w:pPr>
      <w:rPr>
        <w:rFonts w:hint="default"/>
      </w:rPr>
    </w:lvl>
    <w:lvl w:ilvl="3" w:tplc="F1726C82">
      <w:numFmt w:val="bullet"/>
      <w:lvlText w:val="•"/>
      <w:lvlJc w:val="left"/>
      <w:pPr>
        <w:ind w:left="3109" w:hanging="171"/>
      </w:pPr>
      <w:rPr>
        <w:rFonts w:hint="default"/>
      </w:rPr>
    </w:lvl>
    <w:lvl w:ilvl="4" w:tplc="4D32FE02">
      <w:numFmt w:val="bullet"/>
      <w:lvlText w:val="•"/>
      <w:lvlJc w:val="left"/>
      <w:pPr>
        <w:ind w:left="4026" w:hanging="171"/>
      </w:pPr>
      <w:rPr>
        <w:rFonts w:hint="default"/>
      </w:rPr>
    </w:lvl>
    <w:lvl w:ilvl="5" w:tplc="1DD490B4">
      <w:numFmt w:val="bullet"/>
      <w:lvlText w:val="•"/>
      <w:lvlJc w:val="left"/>
      <w:pPr>
        <w:ind w:left="4942" w:hanging="171"/>
      </w:pPr>
      <w:rPr>
        <w:rFonts w:hint="default"/>
      </w:rPr>
    </w:lvl>
    <w:lvl w:ilvl="6" w:tplc="DF74F198">
      <w:numFmt w:val="bullet"/>
      <w:lvlText w:val="•"/>
      <w:lvlJc w:val="left"/>
      <w:pPr>
        <w:ind w:left="5859" w:hanging="171"/>
      </w:pPr>
      <w:rPr>
        <w:rFonts w:hint="default"/>
      </w:rPr>
    </w:lvl>
    <w:lvl w:ilvl="7" w:tplc="E224121C">
      <w:numFmt w:val="bullet"/>
      <w:lvlText w:val="•"/>
      <w:lvlJc w:val="left"/>
      <w:pPr>
        <w:ind w:left="6775" w:hanging="171"/>
      </w:pPr>
      <w:rPr>
        <w:rFonts w:hint="default"/>
      </w:rPr>
    </w:lvl>
    <w:lvl w:ilvl="8" w:tplc="FAA66B9E">
      <w:numFmt w:val="bullet"/>
      <w:lvlText w:val="•"/>
      <w:lvlJc w:val="left"/>
      <w:pPr>
        <w:ind w:left="7692" w:hanging="171"/>
      </w:pPr>
      <w:rPr>
        <w:rFonts w:hint="default"/>
      </w:rPr>
    </w:lvl>
  </w:abstractNum>
  <w:abstractNum w:abstractNumId="13" w15:restartNumberingAfterBreak="0">
    <w:nsid w:val="652E5FA0"/>
    <w:multiLevelType w:val="multilevel"/>
    <w:tmpl w:val="8F96F78A"/>
    <w:lvl w:ilvl="0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29" w:hanging="567"/>
      </w:pPr>
      <w:rPr>
        <w:rFonts w:hint="default"/>
      </w:rPr>
    </w:lvl>
    <w:lvl w:ilvl="3">
      <w:numFmt w:val="bullet"/>
      <w:lvlText w:val="•"/>
      <w:lvlJc w:val="left"/>
      <w:pPr>
        <w:ind w:left="3403" w:hanging="567"/>
      </w:pPr>
      <w:rPr>
        <w:rFonts w:hint="default"/>
      </w:rPr>
    </w:lvl>
    <w:lvl w:ilvl="4">
      <w:numFmt w:val="bullet"/>
      <w:lvlText w:val="•"/>
      <w:lvlJc w:val="left"/>
      <w:pPr>
        <w:ind w:left="4278" w:hanging="567"/>
      </w:pPr>
      <w:rPr>
        <w:rFonts w:hint="default"/>
      </w:rPr>
    </w:lvl>
    <w:lvl w:ilvl="5">
      <w:numFmt w:val="bullet"/>
      <w:lvlText w:val="•"/>
      <w:lvlJc w:val="left"/>
      <w:pPr>
        <w:ind w:left="5152" w:hanging="567"/>
      </w:pPr>
      <w:rPr>
        <w:rFonts w:hint="default"/>
      </w:rPr>
    </w:lvl>
    <w:lvl w:ilvl="6">
      <w:numFmt w:val="bullet"/>
      <w:lvlText w:val="•"/>
      <w:lvlJc w:val="left"/>
      <w:pPr>
        <w:ind w:left="6027" w:hanging="567"/>
      </w:pPr>
      <w:rPr>
        <w:rFonts w:hint="default"/>
      </w:rPr>
    </w:lvl>
    <w:lvl w:ilvl="7">
      <w:numFmt w:val="bullet"/>
      <w:lvlText w:val="•"/>
      <w:lvlJc w:val="left"/>
      <w:pPr>
        <w:ind w:left="6901" w:hanging="567"/>
      </w:pPr>
      <w:rPr>
        <w:rFonts w:hint="default"/>
      </w:rPr>
    </w:lvl>
    <w:lvl w:ilvl="8">
      <w:numFmt w:val="bullet"/>
      <w:lvlText w:val="•"/>
      <w:lvlJc w:val="left"/>
      <w:pPr>
        <w:ind w:left="7776" w:hanging="567"/>
      </w:pPr>
      <w:rPr>
        <w:rFonts w:hint="default"/>
      </w:rPr>
    </w:lvl>
  </w:abstractNum>
  <w:abstractNum w:abstractNumId="14" w15:restartNumberingAfterBreak="0">
    <w:nsid w:val="78BC07A7"/>
    <w:multiLevelType w:val="hybridMultilevel"/>
    <w:tmpl w:val="7FC05324"/>
    <w:lvl w:ilvl="0" w:tplc="E1483FCA">
      <w:numFmt w:val="bullet"/>
      <w:lvlText w:val=""/>
      <w:lvlJc w:val="left"/>
      <w:pPr>
        <w:ind w:left="784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4009A76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3EF83D2A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CD663EB6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4A122376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B990710E">
      <w:numFmt w:val="bullet"/>
      <w:lvlText w:val="•"/>
      <w:lvlJc w:val="left"/>
      <w:pPr>
        <w:ind w:left="5152" w:hanging="567"/>
      </w:pPr>
      <w:rPr>
        <w:rFonts w:hint="default"/>
      </w:rPr>
    </w:lvl>
    <w:lvl w:ilvl="6" w:tplc="817CD3F2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6BE2363E">
      <w:numFmt w:val="bullet"/>
      <w:lvlText w:val="•"/>
      <w:lvlJc w:val="left"/>
      <w:pPr>
        <w:ind w:left="6901" w:hanging="567"/>
      </w:pPr>
      <w:rPr>
        <w:rFonts w:hint="default"/>
      </w:rPr>
    </w:lvl>
    <w:lvl w:ilvl="8" w:tplc="63065AE2">
      <w:numFmt w:val="bullet"/>
      <w:lvlText w:val="•"/>
      <w:lvlJc w:val="left"/>
      <w:pPr>
        <w:ind w:left="7776" w:hanging="567"/>
      </w:pPr>
      <w:rPr>
        <w:rFonts w:hint="default"/>
      </w:rPr>
    </w:lvl>
  </w:abstractNum>
  <w:abstractNum w:abstractNumId="15" w15:restartNumberingAfterBreak="0">
    <w:nsid w:val="7C8958E0"/>
    <w:multiLevelType w:val="hybridMultilevel"/>
    <w:tmpl w:val="A9E8D1A6"/>
    <w:lvl w:ilvl="0" w:tplc="50509792">
      <w:start w:val="1"/>
      <w:numFmt w:val="decimal"/>
      <w:lvlText w:val="%1."/>
      <w:lvlJc w:val="left"/>
      <w:pPr>
        <w:ind w:left="2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CEA90C4">
      <w:numFmt w:val="bullet"/>
      <w:lvlText w:val="•"/>
      <w:lvlJc w:val="left"/>
      <w:pPr>
        <w:ind w:left="1150" w:hanging="567"/>
      </w:pPr>
      <w:rPr>
        <w:rFonts w:hint="default"/>
      </w:rPr>
    </w:lvl>
    <w:lvl w:ilvl="2" w:tplc="1B40A662">
      <w:numFmt w:val="bullet"/>
      <w:lvlText w:val="•"/>
      <w:lvlJc w:val="left"/>
      <w:pPr>
        <w:ind w:left="2081" w:hanging="567"/>
      </w:pPr>
      <w:rPr>
        <w:rFonts w:hint="default"/>
      </w:rPr>
    </w:lvl>
    <w:lvl w:ilvl="3" w:tplc="B178F048">
      <w:numFmt w:val="bullet"/>
      <w:lvlText w:val="•"/>
      <w:lvlJc w:val="left"/>
      <w:pPr>
        <w:ind w:left="3011" w:hanging="567"/>
      </w:pPr>
      <w:rPr>
        <w:rFonts w:hint="default"/>
      </w:rPr>
    </w:lvl>
    <w:lvl w:ilvl="4" w:tplc="7BD2C082">
      <w:numFmt w:val="bullet"/>
      <w:lvlText w:val="•"/>
      <w:lvlJc w:val="left"/>
      <w:pPr>
        <w:ind w:left="3942" w:hanging="567"/>
      </w:pPr>
      <w:rPr>
        <w:rFonts w:hint="default"/>
      </w:rPr>
    </w:lvl>
    <w:lvl w:ilvl="5" w:tplc="D592BD94">
      <w:numFmt w:val="bullet"/>
      <w:lvlText w:val="•"/>
      <w:lvlJc w:val="left"/>
      <w:pPr>
        <w:ind w:left="4872" w:hanging="567"/>
      </w:pPr>
      <w:rPr>
        <w:rFonts w:hint="default"/>
      </w:rPr>
    </w:lvl>
    <w:lvl w:ilvl="6" w:tplc="8DBCED50">
      <w:numFmt w:val="bullet"/>
      <w:lvlText w:val="•"/>
      <w:lvlJc w:val="left"/>
      <w:pPr>
        <w:ind w:left="5803" w:hanging="567"/>
      </w:pPr>
      <w:rPr>
        <w:rFonts w:hint="default"/>
      </w:rPr>
    </w:lvl>
    <w:lvl w:ilvl="7" w:tplc="9724C226">
      <w:numFmt w:val="bullet"/>
      <w:lvlText w:val="•"/>
      <w:lvlJc w:val="left"/>
      <w:pPr>
        <w:ind w:left="6733" w:hanging="567"/>
      </w:pPr>
      <w:rPr>
        <w:rFonts w:hint="default"/>
      </w:rPr>
    </w:lvl>
    <w:lvl w:ilvl="8" w:tplc="9D8475C8">
      <w:numFmt w:val="bullet"/>
      <w:lvlText w:val="•"/>
      <w:lvlJc w:val="left"/>
      <w:pPr>
        <w:ind w:left="7664" w:hanging="567"/>
      </w:pPr>
      <w:rPr>
        <w:rFonts w:hint="default"/>
      </w:rPr>
    </w:lvl>
  </w:abstractNum>
  <w:abstractNum w:abstractNumId="16" w15:restartNumberingAfterBreak="0">
    <w:nsid w:val="7EBE1600"/>
    <w:multiLevelType w:val="hybridMultilevel"/>
    <w:tmpl w:val="75D266B2"/>
    <w:lvl w:ilvl="0" w:tplc="12A0C622">
      <w:start w:val="23"/>
      <w:numFmt w:val="decimal"/>
      <w:lvlText w:val="%1-"/>
      <w:lvlJc w:val="left"/>
      <w:pPr>
        <w:ind w:left="218" w:hanging="296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</w:rPr>
    </w:lvl>
    <w:lvl w:ilvl="1" w:tplc="B9986C4E">
      <w:numFmt w:val="bullet"/>
      <w:lvlText w:val="•"/>
      <w:lvlJc w:val="left"/>
      <w:pPr>
        <w:ind w:left="1150" w:hanging="296"/>
      </w:pPr>
      <w:rPr>
        <w:rFonts w:hint="default"/>
      </w:rPr>
    </w:lvl>
    <w:lvl w:ilvl="2" w:tplc="60FE7294">
      <w:numFmt w:val="bullet"/>
      <w:lvlText w:val="•"/>
      <w:lvlJc w:val="left"/>
      <w:pPr>
        <w:ind w:left="2081" w:hanging="296"/>
      </w:pPr>
      <w:rPr>
        <w:rFonts w:hint="default"/>
      </w:rPr>
    </w:lvl>
    <w:lvl w:ilvl="3" w:tplc="22928254">
      <w:numFmt w:val="bullet"/>
      <w:lvlText w:val="•"/>
      <w:lvlJc w:val="left"/>
      <w:pPr>
        <w:ind w:left="3011" w:hanging="296"/>
      </w:pPr>
      <w:rPr>
        <w:rFonts w:hint="default"/>
      </w:rPr>
    </w:lvl>
    <w:lvl w:ilvl="4" w:tplc="522EFF86">
      <w:numFmt w:val="bullet"/>
      <w:lvlText w:val="•"/>
      <w:lvlJc w:val="left"/>
      <w:pPr>
        <w:ind w:left="3942" w:hanging="296"/>
      </w:pPr>
      <w:rPr>
        <w:rFonts w:hint="default"/>
      </w:rPr>
    </w:lvl>
    <w:lvl w:ilvl="5" w:tplc="823CDEB0">
      <w:numFmt w:val="bullet"/>
      <w:lvlText w:val="•"/>
      <w:lvlJc w:val="left"/>
      <w:pPr>
        <w:ind w:left="4872" w:hanging="296"/>
      </w:pPr>
      <w:rPr>
        <w:rFonts w:hint="default"/>
      </w:rPr>
    </w:lvl>
    <w:lvl w:ilvl="6" w:tplc="9914300C">
      <w:numFmt w:val="bullet"/>
      <w:lvlText w:val="•"/>
      <w:lvlJc w:val="left"/>
      <w:pPr>
        <w:ind w:left="5803" w:hanging="296"/>
      </w:pPr>
      <w:rPr>
        <w:rFonts w:hint="default"/>
      </w:rPr>
    </w:lvl>
    <w:lvl w:ilvl="7" w:tplc="C4C2EA76">
      <w:numFmt w:val="bullet"/>
      <w:lvlText w:val="•"/>
      <w:lvlJc w:val="left"/>
      <w:pPr>
        <w:ind w:left="6733" w:hanging="296"/>
      </w:pPr>
      <w:rPr>
        <w:rFonts w:hint="default"/>
      </w:rPr>
    </w:lvl>
    <w:lvl w:ilvl="8" w:tplc="641C0320">
      <w:numFmt w:val="bullet"/>
      <w:lvlText w:val="•"/>
      <w:lvlJc w:val="left"/>
      <w:pPr>
        <w:ind w:left="7664" w:hanging="296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1"/>
  </w:num>
  <w:num w:numId="5">
    <w:abstractNumId w:val="14"/>
  </w:num>
  <w:num w:numId="6">
    <w:abstractNumId w:val="15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16"/>
  </w:num>
  <w:num w:numId="13">
    <w:abstractNumId w:val="8"/>
  </w:num>
  <w:num w:numId="14">
    <w:abstractNumId w:val="5"/>
  </w:num>
  <w:num w:numId="15">
    <w:abstractNumId w:val="12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78"/>
    <w:rsid w:val="00051DD3"/>
    <w:rsid w:val="001A1971"/>
    <w:rsid w:val="001E5AD7"/>
    <w:rsid w:val="00232A70"/>
    <w:rsid w:val="00286362"/>
    <w:rsid w:val="002B2537"/>
    <w:rsid w:val="002F5D25"/>
    <w:rsid w:val="002F6542"/>
    <w:rsid w:val="003365FE"/>
    <w:rsid w:val="00345AB7"/>
    <w:rsid w:val="003527FE"/>
    <w:rsid w:val="00460B1F"/>
    <w:rsid w:val="00465AD5"/>
    <w:rsid w:val="0047159C"/>
    <w:rsid w:val="004A590A"/>
    <w:rsid w:val="004C3E11"/>
    <w:rsid w:val="004C5973"/>
    <w:rsid w:val="004E17AC"/>
    <w:rsid w:val="004F4DAE"/>
    <w:rsid w:val="00532B78"/>
    <w:rsid w:val="00546AF3"/>
    <w:rsid w:val="005E34C7"/>
    <w:rsid w:val="00630642"/>
    <w:rsid w:val="00631880"/>
    <w:rsid w:val="007063F4"/>
    <w:rsid w:val="0071093C"/>
    <w:rsid w:val="00733B41"/>
    <w:rsid w:val="008B1003"/>
    <w:rsid w:val="008C05F2"/>
    <w:rsid w:val="00914AF3"/>
    <w:rsid w:val="00A14129"/>
    <w:rsid w:val="00B262DC"/>
    <w:rsid w:val="00B53FCE"/>
    <w:rsid w:val="00BA441E"/>
    <w:rsid w:val="00BA68DF"/>
    <w:rsid w:val="00BC38B4"/>
    <w:rsid w:val="00C15F04"/>
    <w:rsid w:val="00C3198F"/>
    <w:rsid w:val="00C66284"/>
    <w:rsid w:val="00C71505"/>
    <w:rsid w:val="00C85A89"/>
    <w:rsid w:val="00D60644"/>
    <w:rsid w:val="00D92B3A"/>
    <w:rsid w:val="00DB2376"/>
    <w:rsid w:val="00DB49B4"/>
    <w:rsid w:val="00DC1EF5"/>
    <w:rsid w:val="00E1146B"/>
    <w:rsid w:val="00EF4E21"/>
    <w:rsid w:val="00F449A8"/>
    <w:rsid w:val="00F6016F"/>
    <w:rsid w:val="00F60FA9"/>
    <w:rsid w:val="00F66081"/>
    <w:rsid w:val="00F67A7A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5A1567A-769A-4533-9C02-4E0F9210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1"/>
    <w:qFormat/>
    <w:pPr>
      <w:ind w:left="218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pPr>
      <w:ind w:left="218"/>
    </w:pPr>
  </w:style>
  <w:style w:type="paragraph" w:styleId="Odsekzoznamu">
    <w:name w:val="List Paragraph"/>
    <w:basedOn w:val="Normlny"/>
    <w:uiPriority w:val="1"/>
    <w:qFormat/>
    <w:pPr>
      <w:ind w:left="784" w:hanging="566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4A59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590A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4A59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590A"/>
    <w:rPr>
      <w:rFonts w:ascii="Times New Roman" w:eastAsia="Times New Roman" w:hAnsi="Times New Roman" w:cs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631880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3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3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6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86B7A-92AE-4FF1-85FF-A3145EA6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15</Pages>
  <Words>6814</Words>
  <Characters>38844</Characters>
  <Application>Microsoft Office Word</Application>
  <DocSecurity>0</DocSecurity>
  <Lines>323</Lines>
  <Paragraphs>91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Januvia, INN-sitagliptin</vt:lpstr>
      <vt:lpstr>Januvia, INN-sitagliptin</vt:lpstr>
    </vt:vector>
  </TitlesOfParts>
  <Company>Microsoft</Company>
  <LinksUpToDate>false</LinksUpToDate>
  <CharactersWithSpaces>45567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Januvia, INN-sitagliptin</dc:title>
  <dc:subject>EPAR</dc:subject>
  <dc:creator>CHMP</dc:creator>
  <cp:keywords>Januvia, INN-sitagliptin</cp:keywords>
  <cp:lastModifiedBy>Kristína Ráczová</cp:lastModifiedBy>
  <cp:revision>12</cp:revision>
  <dcterms:created xsi:type="dcterms:W3CDTF">2018-02-08T11:01:00Z</dcterms:created>
  <dcterms:modified xsi:type="dcterms:W3CDTF">2018-03-22T08:38:00Z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Creator">
    <vt:lpwstr>PDFfusion Version (PDFaqua) 5.4.0.0.045 Mar 12 2013 11:33:38</vt:lpwstr>
  </property>
  <property fmtid="{D5CDD505-2E9C-101B-9397-08002B2CF9AE}" pid="4" name="LastSaved">
    <vt:filetime>2018-02-07T00:00:00Z</vt:filetime>
  </property>
</Properties>
</file>