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D4F05" w14:textId="77777777" w:rsidR="00913218" w:rsidRPr="00316F06" w:rsidRDefault="00913218">
      <w:pPr>
        <w:keepNext/>
        <w:widowControl w:val="0"/>
        <w:ind w:left="567" w:hanging="567"/>
        <w:rPr>
          <w:sz w:val="18"/>
          <w:szCs w:val="18"/>
          <w:lang w:val="sk-SK"/>
        </w:rPr>
      </w:pPr>
      <w:bookmarkStart w:id="0" w:name="_GoBack"/>
      <w:bookmarkEnd w:id="0"/>
    </w:p>
    <w:p w14:paraId="250D4491" w14:textId="77777777" w:rsidR="00913218" w:rsidRPr="00316F06" w:rsidRDefault="00913218" w:rsidP="00B50D1B">
      <w:pPr>
        <w:jc w:val="center"/>
        <w:outlineLvl w:val="0"/>
        <w:rPr>
          <w:b/>
          <w:caps/>
          <w:lang w:val="sk-SK"/>
        </w:rPr>
      </w:pPr>
    </w:p>
    <w:p w14:paraId="090C28AD" w14:textId="77777777" w:rsidR="00913218" w:rsidRPr="00316F06" w:rsidRDefault="00913218" w:rsidP="00B50D1B">
      <w:pPr>
        <w:jc w:val="center"/>
        <w:outlineLvl w:val="0"/>
        <w:rPr>
          <w:b/>
          <w:caps/>
          <w:lang w:val="sk-SK"/>
        </w:rPr>
      </w:pPr>
      <w:r w:rsidRPr="00316F06">
        <w:rPr>
          <w:b/>
          <w:caps/>
          <w:lang w:val="sk-SK"/>
        </w:rPr>
        <w:t>Súhrn charakteristických vlastností lieku</w:t>
      </w:r>
    </w:p>
    <w:p w14:paraId="32811897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</w:p>
    <w:p w14:paraId="1D9924FC" w14:textId="77777777" w:rsidR="00913218" w:rsidRPr="00316F06" w:rsidRDefault="00913218" w:rsidP="00B50D1B">
      <w:pPr>
        <w:keepNext/>
        <w:widowControl w:val="0"/>
        <w:rPr>
          <w:b/>
          <w:bCs/>
          <w:lang w:val="sk-SK"/>
        </w:rPr>
      </w:pPr>
    </w:p>
    <w:p w14:paraId="172CA001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1.</w:t>
      </w:r>
      <w:r w:rsidRPr="00316F06">
        <w:rPr>
          <w:b/>
          <w:bCs/>
          <w:lang w:val="sk-SK"/>
        </w:rPr>
        <w:tab/>
        <w:t>NÁZOV LIEKU</w:t>
      </w:r>
    </w:p>
    <w:p w14:paraId="260312A4" w14:textId="77777777" w:rsidR="00913218" w:rsidRPr="00316F06" w:rsidRDefault="00913218">
      <w:pPr>
        <w:keepNext/>
        <w:widowControl w:val="0"/>
        <w:rPr>
          <w:lang w:val="sk-SK"/>
        </w:rPr>
      </w:pPr>
    </w:p>
    <w:p w14:paraId="5EEEF3F8" w14:textId="77777777" w:rsidR="00913218" w:rsidRPr="00316F06" w:rsidRDefault="00913218" w:rsidP="003F4BA6">
      <w:pPr>
        <w:tabs>
          <w:tab w:val="clear" w:pos="567"/>
        </w:tabs>
        <w:rPr>
          <w:lang w:val="sk-SK"/>
        </w:rPr>
      </w:pP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20 mg/ml </w:t>
      </w:r>
    </w:p>
    <w:p w14:paraId="10125B7F" w14:textId="77777777" w:rsidR="00913218" w:rsidRPr="00316F06" w:rsidRDefault="00913218" w:rsidP="003F4BA6">
      <w:pPr>
        <w:tabs>
          <w:tab w:val="clear" w:pos="567"/>
        </w:tabs>
        <w:rPr>
          <w:lang w:val="sk-SK"/>
        </w:rPr>
      </w:pPr>
      <w:r w:rsidRPr="00316F06">
        <w:rPr>
          <w:lang w:val="sk-SK"/>
        </w:rPr>
        <w:t>infúzny koncentrát</w:t>
      </w:r>
    </w:p>
    <w:p w14:paraId="2B4CC7EB" w14:textId="77777777" w:rsidR="00913218" w:rsidRPr="00316F06" w:rsidRDefault="00913218">
      <w:pPr>
        <w:rPr>
          <w:lang w:val="sk-SK"/>
        </w:rPr>
      </w:pPr>
    </w:p>
    <w:p w14:paraId="3B9E3F5D" w14:textId="77777777" w:rsidR="00913218" w:rsidRPr="00316F06" w:rsidRDefault="00913218">
      <w:pPr>
        <w:rPr>
          <w:lang w:val="sk-SK"/>
        </w:rPr>
      </w:pPr>
    </w:p>
    <w:p w14:paraId="40F1A714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2.</w:t>
      </w:r>
      <w:r w:rsidRPr="00316F06">
        <w:rPr>
          <w:b/>
          <w:bCs/>
          <w:lang w:val="sk-SK"/>
        </w:rPr>
        <w:tab/>
        <w:t>KVALITATÍVNE A KVANTITATÍVNE ZLOŽENIE</w:t>
      </w:r>
    </w:p>
    <w:p w14:paraId="11A3915F" w14:textId="77777777" w:rsidR="00913218" w:rsidRPr="00316F06" w:rsidRDefault="00913218">
      <w:pPr>
        <w:keepNext/>
        <w:widowControl w:val="0"/>
        <w:rPr>
          <w:lang w:val="sk-SK"/>
        </w:rPr>
      </w:pPr>
    </w:p>
    <w:p w14:paraId="4B0C9A97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Jeden mililiter infúzneho koncentrátu obsahuje 20 mg </w:t>
      </w:r>
      <w:proofErr w:type="spellStart"/>
      <w:r w:rsidRPr="00316F06">
        <w:rPr>
          <w:lang w:val="sk-SK"/>
        </w:rPr>
        <w:t>trihydrátu</w:t>
      </w:r>
      <w:proofErr w:type="spellEnd"/>
      <w:r w:rsidRPr="00316F06">
        <w:rPr>
          <w:bCs/>
          <w:noProof/>
          <w:lang w:val="sk-SK"/>
        </w:rPr>
        <w:t xml:space="preserve"> irinotekániumchloridu</w:t>
      </w:r>
      <w:r w:rsidRPr="00316F06">
        <w:rPr>
          <w:lang w:val="sk-SK"/>
        </w:rPr>
        <w:t xml:space="preserve">, ekvivalent 17,33 mg </w:t>
      </w:r>
      <w:proofErr w:type="spellStart"/>
      <w:r w:rsidRPr="00316F06">
        <w:rPr>
          <w:lang w:val="sk-SK"/>
        </w:rPr>
        <w:t>irinotekanu</w:t>
      </w:r>
      <w:proofErr w:type="spellEnd"/>
      <w:r w:rsidRPr="00316F06">
        <w:rPr>
          <w:lang w:val="sk-SK"/>
        </w:rPr>
        <w:t>.</w:t>
      </w:r>
    </w:p>
    <w:p w14:paraId="3D936BB9" w14:textId="77777777" w:rsidR="00913218" w:rsidRPr="00316F06" w:rsidRDefault="00913218">
      <w:pPr>
        <w:rPr>
          <w:lang w:val="sk-SK"/>
        </w:rPr>
      </w:pPr>
    </w:p>
    <w:p w14:paraId="5B985C04" w14:textId="77777777" w:rsidR="00913218" w:rsidRPr="00316F06" w:rsidRDefault="00913218" w:rsidP="00B6129C">
      <w:pPr>
        <w:rPr>
          <w:lang w:val="sk-SK"/>
        </w:rPr>
      </w:pPr>
      <w:r w:rsidRPr="00316F06">
        <w:rPr>
          <w:lang w:val="sk-SK"/>
        </w:rPr>
        <w:t>Každá 2 ml</w:t>
      </w:r>
      <w:r w:rsidRPr="00316F06">
        <w:rPr>
          <w:rFonts w:cs="Times New Roman"/>
          <w:lang w:val="sk-SK"/>
        </w:rPr>
        <w:t xml:space="preserve"> injekčná liekovka obsahuje 40</w:t>
      </w:r>
      <w:r w:rsidRPr="00316F06">
        <w:rPr>
          <w:lang w:val="sk-SK"/>
        </w:rPr>
        <w:t xml:space="preserve"> mg </w:t>
      </w:r>
      <w:proofErr w:type="spellStart"/>
      <w:r w:rsidRPr="00316F06">
        <w:rPr>
          <w:lang w:val="sk-SK"/>
        </w:rPr>
        <w:t>trihydrátu</w:t>
      </w:r>
      <w:proofErr w:type="spellEnd"/>
      <w:r w:rsidRPr="00316F06">
        <w:rPr>
          <w:lang w:val="sk-SK"/>
        </w:rPr>
        <w:t xml:space="preserve"> </w:t>
      </w:r>
      <w:r w:rsidRPr="00316F06">
        <w:rPr>
          <w:bCs/>
          <w:noProof/>
          <w:lang w:val="sk-SK"/>
        </w:rPr>
        <w:t>irinotekániumchloridu</w:t>
      </w:r>
      <w:r w:rsidRPr="00316F06">
        <w:rPr>
          <w:lang w:val="sk-SK"/>
        </w:rPr>
        <w:t xml:space="preserve"> (40 mg/2 ml).</w:t>
      </w:r>
    </w:p>
    <w:p w14:paraId="7F0EEE0D" w14:textId="77777777" w:rsidR="00913218" w:rsidRPr="00316F06" w:rsidRDefault="00913218" w:rsidP="00B6129C">
      <w:pPr>
        <w:rPr>
          <w:lang w:val="sk-SK"/>
        </w:rPr>
      </w:pPr>
      <w:r w:rsidRPr="00316F06">
        <w:rPr>
          <w:lang w:val="sk-SK"/>
        </w:rPr>
        <w:t>Každá 5 ml</w:t>
      </w:r>
      <w:r w:rsidRPr="00316F06">
        <w:rPr>
          <w:rFonts w:cs="Times New Roman"/>
          <w:lang w:val="sk-SK"/>
        </w:rPr>
        <w:t xml:space="preserve"> injekčná liekovka obsahuje 100</w:t>
      </w:r>
      <w:r w:rsidRPr="00316F06">
        <w:rPr>
          <w:lang w:val="sk-SK"/>
        </w:rPr>
        <w:t xml:space="preserve"> mg </w:t>
      </w:r>
      <w:proofErr w:type="spellStart"/>
      <w:r w:rsidRPr="00316F06">
        <w:rPr>
          <w:lang w:val="sk-SK"/>
        </w:rPr>
        <w:t>trihydrátu</w:t>
      </w:r>
      <w:proofErr w:type="spellEnd"/>
      <w:r w:rsidRPr="00316F06">
        <w:rPr>
          <w:bCs/>
          <w:noProof/>
          <w:lang w:val="sk-SK"/>
        </w:rPr>
        <w:t xml:space="preserve"> irinotekániumchloridu</w:t>
      </w:r>
      <w:r w:rsidRPr="00316F06">
        <w:rPr>
          <w:lang w:val="sk-SK"/>
        </w:rPr>
        <w:t xml:space="preserve"> (100 mg/5 ml).</w:t>
      </w:r>
    </w:p>
    <w:p w14:paraId="7ACF5870" w14:textId="77777777" w:rsidR="00913218" w:rsidRPr="00316F06" w:rsidRDefault="00913218" w:rsidP="00B6129C">
      <w:pPr>
        <w:rPr>
          <w:lang w:val="sk-SK"/>
        </w:rPr>
      </w:pPr>
      <w:r w:rsidRPr="00316F06">
        <w:rPr>
          <w:lang w:val="sk-SK"/>
        </w:rPr>
        <w:t>Každá 15 ml</w:t>
      </w:r>
      <w:r w:rsidRPr="00316F06">
        <w:rPr>
          <w:rFonts w:cs="Times New Roman"/>
          <w:lang w:val="sk-SK"/>
        </w:rPr>
        <w:t xml:space="preserve"> injekčná liekovka </w:t>
      </w:r>
      <w:r w:rsidRPr="00316F06">
        <w:rPr>
          <w:lang w:val="sk-SK"/>
        </w:rPr>
        <w:t xml:space="preserve">obsahuje 300 mg </w:t>
      </w:r>
      <w:proofErr w:type="spellStart"/>
      <w:r w:rsidRPr="00316F06">
        <w:rPr>
          <w:lang w:val="sk-SK"/>
        </w:rPr>
        <w:t>trihydrátu</w:t>
      </w:r>
      <w:proofErr w:type="spellEnd"/>
      <w:r w:rsidRPr="00316F06">
        <w:rPr>
          <w:lang w:val="sk-SK"/>
        </w:rPr>
        <w:t xml:space="preserve"> </w:t>
      </w:r>
      <w:r w:rsidRPr="00316F06">
        <w:rPr>
          <w:bCs/>
          <w:noProof/>
          <w:lang w:val="sk-SK"/>
        </w:rPr>
        <w:t>irinotekániumchloridu</w:t>
      </w:r>
      <w:r w:rsidRPr="00316F06">
        <w:rPr>
          <w:lang w:val="sk-SK"/>
        </w:rPr>
        <w:t xml:space="preserve"> (300 mg/15 ml).</w:t>
      </w:r>
    </w:p>
    <w:p w14:paraId="7F80BA4B" w14:textId="77777777" w:rsidR="00872995" w:rsidRPr="00316F06" w:rsidRDefault="00872995" w:rsidP="00872995">
      <w:pPr>
        <w:rPr>
          <w:lang w:val="sk-SK"/>
        </w:rPr>
      </w:pPr>
      <w:r w:rsidRPr="00316F06">
        <w:rPr>
          <w:lang w:val="sk-SK"/>
        </w:rPr>
        <w:t xml:space="preserve">Každá </w:t>
      </w:r>
      <w:r>
        <w:rPr>
          <w:lang w:val="sk-SK"/>
        </w:rPr>
        <w:t>25</w:t>
      </w:r>
      <w:r w:rsidRPr="00316F06">
        <w:rPr>
          <w:lang w:val="sk-SK"/>
        </w:rPr>
        <w:t> ml</w:t>
      </w:r>
      <w:r w:rsidRPr="00316F06">
        <w:rPr>
          <w:rFonts w:cs="Times New Roman"/>
          <w:lang w:val="sk-SK"/>
        </w:rPr>
        <w:t xml:space="preserve"> injekčná liekovka </w:t>
      </w:r>
      <w:r w:rsidRPr="00316F06">
        <w:rPr>
          <w:lang w:val="sk-SK"/>
        </w:rPr>
        <w:t xml:space="preserve">obsahuje </w:t>
      </w:r>
      <w:r>
        <w:rPr>
          <w:lang w:val="sk-SK"/>
        </w:rPr>
        <w:t>500</w:t>
      </w:r>
      <w:r w:rsidRPr="00316F06">
        <w:rPr>
          <w:lang w:val="sk-SK"/>
        </w:rPr>
        <w:t xml:space="preserve"> mg </w:t>
      </w:r>
      <w:proofErr w:type="spellStart"/>
      <w:r w:rsidRPr="00316F06">
        <w:rPr>
          <w:lang w:val="sk-SK"/>
        </w:rPr>
        <w:t>trihydrátu</w:t>
      </w:r>
      <w:proofErr w:type="spellEnd"/>
      <w:r w:rsidRPr="00316F06">
        <w:rPr>
          <w:lang w:val="sk-SK"/>
        </w:rPr>
        <w:t xml:space="preserve"> </w:t>
      </w:r>
      <w:r w:rsidRPr="00316F06">
        <w:rPr>
          <w:bCs/>
          <w:noProof/>
          <w:lang w:val="sk-SK"/>
        </w:rPr>
        <w:t>irinotekániumchloridu</w:t>
      </w:r>
      <w:r w:rsidRPr="00316F06">
        <w:rPr>
          <w:lang w:val="sk-SK"/>
        </w:rPr>
        <w:t xml:space="preserve"> (</w:t>
      </w:r>
      <w:r>
        <w:rPr>
          <w:lang w:val="sk-SK"/>
        </w:rPr>
        <w:t>500</w:t>
      </w:r>
      <w:r w:rsidRPr="00316F06">
        <w:rPr>
          <w:lang w:val="sk-SK"/>
        </w:rPr>
        <w:t> mg/</w:t>
      </w:r>
      <w:r>
        <w:rPr>
          <w:lang w:val="sk-SK"/>
        </w:rPr>
        <w:t>25</w:t>
      </w:r>
      <w:r w:rsidRPr="00316F06">
        <w:rPr>
          <w:lang w:val="sk-SK"/>
        </w:rPr>
        <w:t> ml).</w:t>
      </w:r>
    </w:p>
    <w:p w14:paraId="0877C7F6" w14:textId="77777777" w:rsidR="00872995" w:rsidRPr="00316F06" w:rsidRDefault="00872995" w:rsidP="00872995">
      <w:pPr>
        <w:rPr>
          <w:lang w:val="sk-SK"/>
        </w:rPr>
      </w:pPr>
      <w:r w:rsidRPr="00316F06">
        <w:rPr>
          <w:lang w:val="sk-SK"/>
        </w:rPr>
        <w:t xml:space="preserve">Každá </w:t>
      </w:r>
      <w:r>
        <w:rPr>
          <w:lang w:val="sk-SK"/>
        </w:rPr>
        <w:t>50</w:t>
      </w:r>
      <w:r w:rsidRPr="00316F06">
        <w:rPr>
          <w:lang w:val="sk-SK"/>
        </w:rPr>
        <w:t> ml</w:t>
      </w:r>
      <w:r w:rsidRPr="00316F06">
        <w:rPr>
          <w:rFonts w:cs="Times New Roman"/>
          <w:lang w:val="sk-SK"/>
        </w:rPr>
        <w:t xml:space="preserve"> injekčná liekovka </w:t>
      </w:r>
      <w:r w:rsidRPr="00316F06">
        <w:rPr>
          <w:lang w:val="sk-SK"/>
        </w:rPr>
        <w:t xml:space="preserve">obsahuje </w:t>
      </w:r>
      <w:r>
        <w:rPr>
          <w:lang w:val="sk-SK"/>
        </w:rPr>
        <w:t>1000</w:t>
      </w:r>
      <w:r w:rsidRPr="00316F06">
        <w:rPr>
          <w:lang w:val="sk-SK"/>
        </w:rPr>
        <w:t xml:space="preserve"> mg </w:t>
      </w:r>
      <w:proofErr w:type="spellStart"/>
      <w:r w:rsidRPr="00316F06">
        <w:rPr>
          <w:lang w:val="sk-SK"/>
        </w:rPr>
        <w:t>trihydrátu</w:t>
      </w:r>
      <w:proofErr w:type="spellEnd"/>
      <w:r w:rsidRPr="00316F06">
        <w:rPr>
          <w:lang w:val="sk-SK"/>
        </w:rPr>
        <w:t xml:space="preserve"> </w:t>
      </w:r>
      <w:r w:rsidRPr="00316F06">
        <w:rPr>
          <w:bCs/>
          <w:noProof/>
          <w:lang w:val="sk-SK"/>
        </w:rPr>
        <w:t>irinotekániumchloridu</w:t>
      </w:r>
      <w:r w:rsidRPr="00316F06">
        <w:rPr>
          <w:lang w:val="sk-SK"/>
        </w:rPr>
        <w:t xml:space="preserve"> (</w:t>
      </w:r>
      <w:r>
        <w:rPr>
          <w:lang w:val="sk-SK"/>
        </w:rPr>
        <w:t>1000</w:t>
      </w:r>
      <w:r w:rsidRPr="00316F06">
        <w:rPr>
          <w:lang w:val="sk-SK"/>
        </w:rPr>
        <w:t> mg/</w:t>
      </w:r>
      <w:r>
        <w:rPr>
          <w:lang w:val="sk-SK"/>
        </w:rPr>
        <w:t>50</w:t>
      </w:r>
      <w:r w:rsidRPr="00316F06">
        <w:rPr>
          <w:lang w:val="sk-SK"/>
        </w:rPr>
        <w:t> ml).</w:t>
      </w:r>
    </w:p>
    <w:p w14:paraId="763ECD74" w14:textId="77777777" w:rsidR="00913218" w:rsidRPr="00316F06" w:rsidRDefault="00913218">
      <w:pPr>
        <w:rPr>
          <w:lang w:val="sk-SK"/>
        </w:rPr>
      </w:pPr>
    </w:p>
    <w:p w14:paraId="625CD7F8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Pomocné látky: </w:t>
      </w:r>
      <w:proofErr w:type="spellStart"/>
      <w:r w:rsidRPr="00316F06">
        <w:rPr>
          <w:lang w:val="sk-SK"/>
        </w:rPr>
        <w:t>Sorbitol</w:t>
      </w:r>
      <w:proofErr w:type="spellEnd"/>
      <w:r w:rsidRPr="00316F06">
        <w:rPr>
          <w:lang w:val="sk-SK"/>
        </w:rPr>
        <w:t xml:space="preserve"> (E420).</w:t>
      </w:r>
    </w:p>
    <w:p w14:paraId="1ED63676" w14:textId="77777777" w:rsidR="00913218" w:rsidRPr="00316F06" w:rsidRDefault="00913218">
      <w:pPr>
        <w:rPr>
          <w:lang w:val="sk-SK"/>
        </w:rPr>
      </w:pPr>
    </w:p>
    <w:p w14:paraId="1AF41FE4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Úplný zoznam pomocných látok, pozri časť 6.1.</w:t>
      </w:r>
    </w:p>
    <w:p w14:paraId="22782B32" w14:textId="77777777" w:rsidR="00913218" w:rsidRPr="00316F06" w:rsidRDefault="00913218">
      <w:pPr>
        <w:rPr>
          <w:lang w:val="sk-SK"/>
        </w:rPr>
      </w:pPr>
    </w:p>
    <w:p w14:paraId="771DEDEF" w14:textId="77777777" w:rsidR="00913218" w:rsidRPr="00316F06" w:rsidRDefault="00913218">
      <w:pPr>
        <w:rPr>
          <w:lang w:val="sk-SK"/>
        </w:rPr>
      </w:pPr>
    </w:p>
    <w:p w14:paraId="523DE2AF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3.</w:t>
      </w:r>
      <w:r w:rsidRPr="00316F06">
        <w:rPr>
          <w:b/>
          <w:bCs/>
          <w:lang w:val="sk-SK"/>
        </w:rPr>
        <w:tab/>
        <w:t>LIEKOVÁ FORMA</w:t>
      </w:r>
    </w:p>
    <w:p w14:paraId="2B2E2CF7" w14:textId="77777777" w:rsidR="00913218" w:rsidRPr="00316F06" w:rsidRDefault="00913218">
      <w:pPr>
        <w:keepNext/>
        <w:widowControl w:val="0"/>
        <w:rPr>
          <w:lang w:val="sk-SK"/>
        </w:rPr>
      </w:pPr>
    </w:p>
    <w:p w14:paraId="257FCDF5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Infúzny koncentrát.</w:t>
      </w:r>
    </w:p>
    <w:p w14:paraId="330CFBC2" w14:textId="77777777" w:rsidR="00913218" w:rsidRPr="00316F06" w:rsidRDefault="00913218">
      <w:pPr>
        <w:rPr>
          <w:lang w:val="sk-SK"/>
        </w:rPr>
      </w:pPr>
    </w:p>
    <w:p w14:paraId="14230D75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Číry žltý roztok.</w:t>
      </w:r>
    </w:p>
    <w:p w14:paraId="1FC7FC06" w14:textId="77777777" w:rsidR="00913218" w:rsidRPr="00316F06" w:rsidRDefault="00913218">
      <w:pPr>
        <w:rPr>
          <w:lang w:val="sk-SK"/>
        </w:rPr>
      </w:pPr>
    </w:p>
    <w:p w14:paraId="561C46B3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pH 3,0 – 3,8</w:t>
      </w:r>
    </w:p>
    <w:p w14:paraId="15D116AC" w14:textId="77777777" w:rsidR="00913218" w:rsidRPr="00316F06" w:rsidRDefault="00913218">
      <w:pPr>
        <w:rPr>
          <w:lang w:val="sk-SK"/>
        </w:rPr>
      </w:pPr>
    </w:p>
    <w:p w14:paraId="115F8F91" w14:textId="77777777" w:rsidR="00913218" w:rsidRPr="00316F06" w:rsidRDefault="00913218">
      <w:pPr>
        <w:rPr>
          <w:lang w:val="sk-SK"/>
        </w:rPr>
      </w:pPr>
    </w:p>
    <w:p w14:paraId="1A13614E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4.</w:t>
      </w:r>
      <w:r w:rsidRPr="00316F06">
        <w:rPr>
          <w:b/>
          <w:bCs/>
          <w:lang w:val="sk-SK"/>
        </w:rPr>
        <w:tab/>
        <w:t>KLINICKÉ ÚDAJE</w:t>
      </w:r>
    </w:p>
    <w:p w14:paraId="7488A694" w14:textId="77777777" w:rsidR="00913218" w:rsidRPr="00316F06" w:rsidRDefault="00913218">
      <w:pPr>
        <w:keepNext/>
        <w:widowControl w:val="0"/>
        <w:rPr>
          <w:lang w:val="sk-SK"/>
        </w:rPr>
      </w:pPr>
    </w:p>
    <w:p w14:paraId="396B7347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4.1</w:t>
      </w:r>
      <w:r w:rsidRPr="00316F06">
        <w:rPr>
          <w:b/>
          <w:bCs/>
          <w:lang w:val="sk-SK"/>
        </w:rPr>
        <w:tab/>
        <w:t>Terapeutické indikácie</w:t>
      </w:r>
    </w:p>
    <w:p w14:paraId="6A3239D7" w14:textId="77777777" w:rsidR="00913218" w:rsidRPr="00316F06" w:rsidRDefault="00913218">
      <w:pPr>
        <w:keepNext/>
        <w:widowControl w:val="0"/>
        <w:rPr>
          <w:lang w:val="sk-SK"/>
        </w:rPr>
      </w:pPr>
    </w:p>
    <w:p w14:paraId="23E1DF26" w14:textId="77777777" w:rsidR="00913218" w:rsidRPr="00316F06" w:rsidRDefault="00913218">
      <w:pPr>
        <w:rPr>
          <w:lang w:val="sk-SK"/>
        </w:rPr>
      </w:pPr>
      <w:proofErr w:type="spellStart"/>
      <w:r w:rsidRPr="00316F06">
        <w:rPr>
          <w:rFonts w:cs="Times New Roman"/>
          <w:lang w:val="sk-SK"/>
        </w:rPr>
        <w:t>Irinotecan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medac</w:t>
      </w:r>
      <w:proofErr w:type="spellEnd"/>
      <w:r w:rsidRPr="00316F06">
        <w:rPr>
          <w:rFonts w:cs="Times New Roman"/>
          <w:lang w:val="sk-SK"/>
        </w:rPr>
        <w:t xml:space="preserve"> je indikovaný na liečbu pacientov s pokročilým štádiom </w:t>
      </w:r>
      <w:proofErr w:type="spellStart"/>
      <w:r w:rsidRPr="00316F06">
        <w:rPr>
          <w:rFonts w:cs="Times New Roman"/>
          <w:lang w:val="sk-SK"/>
        </w:rPr>
        <w:t>kolorektálneho</w:t>
      </w:r>
      <w:proofErr w:type="spellEnd"/>
      <w:r w:rsidRPr="00316F06">
        <w:rPr>
          <w:rFonts w:cs="Times New Roman"/>
          <w:lang w:val="sk-SK"/>
        </w:rPr>
        <w:t xml:space="preserve"> karcinómu</w:t>
      </w:r>
    </w:p>
    <w:p w14:paraId="2B3A79D1" w14:textId="77777777" w:rsidR="00913218" w:rsidRPr="00316F06" w:rsidRDefault="00913218">
      <w:pPr>
        <w:rPr>
          <w:lang w:val="sk-SK"/>
        </w:rPr>
      </w:pPr>
    </w:p>
    <w:p w14:paraId="7D600590" w14:textId="77777777" w:rsidR="00913218" w:rsidRPr="00316F06" w:rsidRDefault="00913218" w:rsidP="008A0CEC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 xml:space="preserve">ako </w:t>
      </w:r>
      <w:proofErr w:type="spellStart"/>
      <w:r w:rsidRPr="00316F06">
        <w:rPr>
          <w:lang w:val="sk-SK"/>
        </w:rPr>
        <w:t>monoterapia</w:t>
      </w:r>
      <w:proofErr w:type="spellEnd"/>
      <w:r w:rsidRPr="00316F06">
        <w:rPr>
          <w:lang w:val="sk-SK"/>
        </w:rPr>
        <w:t xml:space="preserve"> u pacientov, u ktorých zlyhal </w:t>
      </w:r>
      <w:r w:rsidRPr="00316F06">
        <w:rPr>
          <w:noProof/>
          <w:spacing w:val="-3"/>
          <w:lang w:val="sk-SK"/>
        </w:rPr>
        <w:t>štandardný</w:t>
      </w:r>
      <w:r w:rsidRPr="00316F06" w:rsidDel="00B2104F">
        <w:rPr>
          <w:rFonts w:cs="Times New Roman"/>
          <w:lang w:val="sk-SK"/>
        </w:rPr>
        <w:t xml:space="preserve"> </w:t>
      </w:r>
      <w:r w:rsidRPr="00316F06">
        <w:rPr>
          <w:rFonts w:cs="Times New Roman"/>
          <w:lang w:val="sk-SK"/>
        </w:rPr>
        <w:t>lieč</w:t>
      </w:r>
      <w:r w:rsidRPr="00316F06">
        <w:rPr>
          <w:lang w:val="sk-SK"/>
        </w:rPr>
        <w:t>ebný režim s 5</w:t>
      </w:r>
      <w:r w:rsidRPr="00316F06">
        <w:rPr>
          <w:lang w:val="sk-SK"/>
        </w:rPr>
        <w:noBreakHyphen/>
        <w:t>fluóruracilom.</w:t>
      </w:r>
    </w:p>
    <w:p w14:paraId="67C25FD1" w14:textId="77777777" w:rsidR="00913218" w:rsidRPr="00316F06" w:rsidRDefault="00913218" w:rsidP="008A0CEC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>v kombinácii s 5</w:t>
      </w:r>
      <w:r w:rsidRPr="00316F06">
        <w:rPr>
          <w:lang w:val="sk-SK"/>
        </w:rPr>
        <w:noBreakHyphen/>
        <w:t xml:space="preserve">fluóruracilom a kyselinou </w:t>
      </w:r>
      <w:proofErr w:type="spellStart"/>
      <w:r w:rsidRPr="00316F06">
        <w:rPr>
          <w:lang w:val="sk-SK"/>
        </w:rPr>
        <w:t>folínov</w:t>
      </w:r>
      <w:r w:rsidRPr="00316F06">
        <w:rPr>
          <w:rFonts w:cs="Times New Roman"/>
          <w:lang w:val="sk-SK"/>
        </w:rPr>
        <w:t>ou</w:t>
      </w:r>
      <w:proofErr w:type="spellEnd"/>
      <w:r w:rsidRPr="00316F06">
        <w:rPr>
          <w:rFonts w:cs="Times New Roman"/>
          <w:lang w:val="sk-SK"/>
        </w:rPr>
        <w:t xml:space="preserve"> u pacientov bez predchádzajúcej chemoterapie na pokročilé štádium choroby.</w:t>
      </w:r>
    </w:p>
    <w:p w14:paraId="26E2D488" w14:textId="77777777" w:rsidR="00913218" w:rsidRPr="00316F06" w:rsidRDefault="00913218" w:rsidP="008A0CEC">
      <w:pPr>
        <w:rPr>
          <w:lang w:val="sk-SK"/>
        </w:rPr>
      </w:pPr>
    </w:p>
    <w:p w14:paraId="670025B1" w14:textId="545D2845" w:rsidR="00913218" w:rsidRPr="00316F06" w:rsidRDefault="00913218" w:rsidP="008A0CEC">
      <w:pPr>
        <w:rPr>
          <w:lang w:val="sk-SK"/>
        </w:rPr>
      </w:pPr>
      <w:proofErr w:type="spellStart"/>
      <w:r w:rsidRPr="00316F06">
        <w:rPr>
          <w:rFonts w:cs="Times New Roman"/>
          <w:lang w:val="sk-SK"/>
        </w:rPr>
        <w:t>Irinotecan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medac</w:t>
      </w:r>
      <w:proofErr w:type="spellEnd"/>
      <w:r w:rsidRPr="00316F06">
        <w:rPr>
          <w:rFonts w:cs="Times New Roman"/>
          <w:lang w:val="sk-SK"/>
        </w:rPr>
        <w:t xml:space="preserve"> v kombinácii s </w:t>
      </w:r>
      <w:proofErr w:type="spellStart"/>
      <w:r w:rsidRPr="00316F06">
        <w:rPr>
          <w:rFonts w:cs="Times New Roman"/>
          <w:lang w:val="sk-SK"/>
        </w:rPr>
        <w:t>cetuximabom</w:t>
      </w:r>
      <w:proofErr w:type="spellEnd"/>
      <w:r w:rsidRPr="00316F06">
        <w:rPr>
          <w:rFonts w:cs="Times New Roman"/>
          <w:lang w:val="sk-SK"/>
        </w:rPr>
        <w:t xml:space="preserve"> je indikovaný na liečbu pacientov s </w:t>
      </w:r>
      <w:r w:rsidRPr="00316F06">
        <w:rPr>
          <w:lang w:val="sk-SK"/>
        </w:rPr>
        <w:t xml:space="preserve">metastatickým </w:t>
      </w:r>
      <w:proofErr w:type="spellStart"/>
      <w:r w:rsidRPr="00316F06">
        <w:rPr>
          <w:lang w:val="sk-SK"/>
        </w:rPr>
        <w:t>kolorektálnym</w:t>
      </w:r>
      <w:proofErr w:type="spellEnd"/>
      <w:r w:rsidRPr="00316F06">
        <w:rPr>
          <w:lang w:val="sk-SK"/>
        </w:rPr>
        <w:t xml:space="preserve"> karcinómom </w:t>
      </w:r>
      <w:r w:rsidRPr="00316F06">
        <w:rPr>
          <w:noProof/>
          <w:spacing w:val="-3"/>
          <w:lang w:val="sk-SK"/>
        </w:rPr>
        <w:t xml:space="preserve">s expresiou </w:t>
      </w:r>
      <w:r w:rsidRPr="00316F06">
        <w:rPr>
          <w:rFonts w:cs="Times New Roman"/>
          <w:lang w:val="sk-SK"/>
        </w:rPr>
        <w:t>receptora epidermálneho rastového faktora (EPGR) </w:t>
      </w:r>
      <w:r w:rsidRPr="00316F06">
        <w:rPr>
          <w:lang w:val="sk-SK"/>
        </w:rPr>
        <w:t xml:space="preserve"> po zlyhaní </w:t>
      </w:r>
      <w:proofErr w:type="spellStart"/>
      <w:r w:rsidRPr="00316F06">
        <w:rPr>
          <w:lang w:val="sk-SK"/>
        </w:rPr>
        <w:t>cytotoxickej</w:t>
      </w:r>
      <w:proofErr w:type="spellEnd"/>
      <w:r w:rsidRPr="00316F06">
        <w:rPr>
          <w:lang w:val="sk-SK"/>
        </w:rPr>
        <w:t xml:space="preserve"> terapie </w:t>
      </w:r>
      <w:r w:rsidRPr="00316F06">
        <w:rPr>
          <w:rFonts w:cs="Times New Roman"/>
          <w:lang w:val="sk-SK"/>
        </w:rPr>
        <w:t xml:space="preserve">zahŕňajúcej </w:t>
      </w:r>
      <w:proofErr w:type="spellStart"/>
      <w:r w:rsidRPr="00316F06">
        <w:rPr>
          <w:lang w:val="sk-SK"/>
        </w:rPr>
        <w:t>irinotek</w:t>
      </w:r>
      <w:r w:rsidR="005D2726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>.</w:t>
      </w:r>
    </w:p>
    <w:p w14:paraId="0BB2F1AA" w14:textId="77777777" w:rsidR="00913218" w:rsidRPr="00316F06" w:rsidRDefault="00913218" w:rsidP="008A0CEC">
      <w:pPr>
        <w:rPr>
          <w:lang w:val="sk-SK"/>
        </w:rPr>
      </w:pPr>
    </w:p>
    <w:p w14:paraId="6AEDAB9F" w14:textId="77777777" w:rsidR="00913218" w:rsidRPr="00316F06" w:rsidRDefault="00913218" w:rsidP="008A0CEC">
      <w:pPr>
        <w:rPr>
          <w:lang w:val="sk-SK"/>
        </w:rPr>
      </w:pPr>
      <w:proofErr w:type="spellStart"/>
      <w:r w:rsidRPr="00316F06">
        <w:rPr>
          <w:rFonts w:cs="Times New Roman"/>
          <w:lang w:val="sk-SK"/>
        </w:rPr>
        <w:t>Irinotecan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medac</w:t>
      </w:r>
      <w:proofErr w:type="spellEnd"/>
      <w:r w:rsidRPr="00316F06">
        <w:rPr>
          <w:rFonts w:cs="Times New Roman"/>
          <w:lang w:val="sk-SK"/>
        </w:rPr>
        <w:t xml:space="preserve"> v kombinácii s 5</w:t>
      </w:r>
      <w:r w:rsidRPr="00316F06">
        <w:rPr>
          <w:rFonts w:cs="Times New Roman"/>
          <w:lang w:val="sk-SK"/>
        </w:rPr>
        <w:noBreakHyphen/>
        <w:t xml:space="preserve">fluóruracilom, kyselinou </w:t>
      </w:r>
      <w:proofErr w:type="spellStart"/>
      <w:r w:rsidRPr="00316F06">
        <w:rPr>
          <w:rFonts w:cs="Times New Roman"/>
          <w:lang w:val="sk-SK"/>
        </w:rPr>
        <w:t>folínovou</w:t>
      </w:r>
      <w:proofErr w:type="spellEnd"/>
      <w:r w:rsidRPr="00316F06">
        <w:rPr>
          <w:rFonts w:cs="Times New Roman"/>
          <w:lang w:val="sk-SK"/>
        </w:rPr>
        <w:t xml:space="preserve"> a </w:t>
      </w:r>
      <w:proofErr w:type="spellStart"/>
      <w:r w:rsidRPr="00316F06">
        <w:rPr>
          <w:rFonts w:cs="Times New Roman"/>
          <w:lang w:val="sk-SK"/>
        </w:rPr>
        <w:t>bevacizumabom</w:t>
      </w:r>
      <w:proofErr w:type="spellEnd"/>
      <w:r w:rsidRPr="00316F06">
        <w:rPr>
          <w:rFonts w:cs="Times New Roman"/>
          <w:lang w:val="sk-SK"/>
        </w:rPr>
        <w:t xml:space="preserve"> je indikovaný na </w:t>
      </w:r>
      <w:proofErr w:type="spellStart"/>
      <w:r w:rsidRPr="00316F06">
        <w:rPr>
          <w:rFonts w:cs="Times New Roman"/>
          <w:lang w:val="sk-SK"/>
        </w:rPr>
        <w:t>prvolíniovú</w:t>
      </w:r>
      <w:proofErr w:type="spellEnd"/>
      <w:r w:rsidRPr="00316F06">
        <w:rPr>
          <w:rFonts w:cs="Times New Roman"/>
          <w:lang w:val="sk-SK"/>
        </w:rPr>
        <w:t xml:space="preserve"> liečbu pacientov s metastatickým karcinómom hrubého čreva alebo koneční</w:t>
      </w:r>
      <w:r w:rsidRPr="00316F06">
        <w:rPr>
          <w:lang w:val="sk-SK"/>
        </w:rPr>
        <w:t>ka.</w:t>
      </w:r>
    </w:p>
    <w:p w14:paraId="3ADDDAB0" w14:textId="77777777" w:rsidR="00913218" w:rsidRPr="00316F06" w:rsidRDefault="00913218">
      <w:pPr>
        <w:rPr>
          <w:lang w:val="sk-SK"/>
        </w:rPr>
      </w:pPr>
    </w:p>
    <w:p w14:paraId="6C1B6960" w14:textId="77777777" w:rsidR="00913218" w:rsidRPr="00316F06" w:rsidRDefault="00913218" w:rsidP="00E93B1D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lastRenderedPageBreak/>
        <w:t>4.2</w:t>
      </w:r>
      <w:r w:rsidRPr="00316F06">
        <w:rPr>
          <w:b/>
          <w:bCs/>
          <w:lang w:val="sk-SK"/>
        </w:rPr>
        <w:tab/>
        <w:t>Dávkovanie a spôsob podávania</w:t>
      </w:r>
    </w:p>
    <w:p w14:paraId="72A6871A" w14:textId="77777777" w:rsidR="00913218" w:rsidRPr="00316F06" w:rsidRDefault="00913218" w:rsidP="00E93B1D">
      <w:pPr>
        <w:keepNext/>
        <w:keepLines/>
        <w:rPr>
          <w:lang w:val="sk-SK"/>
        </w:rPr>
      </w:pPr>
    </w:p>
    <w:p w14:paraId="7999DA9E" w14:textId="3F4BAF3F" w:rsidR="00913218" w:rsidRPr="00316F06" w:rsidRDefault="00913218" w:rsidP="00E93B1D">
      <w:pPr>
        <w:keepNext/>
        <w:keepLines/>
        <w:rPr>
          <w:lang w:val="sk-SK"/>
        </w:rPr>
      </w:pPr>
      <w:r w:rsidRPr="00316F06">
        <w:rPr>
          <w:lang w:val="sk-SK"/>
        </w:rPr>
        <w:t xml:space="preserve">Iba pre dospelých. Po rozriedení sa infúzny roztok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</w:t>
      </w:r>
      <w:r w:rsidRPr="00316F06">
        <w:rPr>
          <w:rFonts w:cs="Times New Roman"/>
          <w:lang w:val="sk-SK"/>
        </w:rPr>
        <w:t>u</w:t>
      </w:r>
      <w:proofErr w:type="spellEnd"/>
      <w:r w:rsidRPr="00316F06">
        <w:rPr>
          <w:rFonts w:cs="Times New Roman"/>
          <w:lang w:val="sk-SK"/>
        </w:rPr>
        <w:t xml:space="preserve"> má podávať infúziou do periférnej alebo centrálnej žily.</w:t>
      </w:r>
    </w:p>
    <w:p w14:paraId="1E64C813" w14:textId="77777777" w:rsidR="00913218" w:rsidRPr="00316F06" w:rsidRDefault="00913218" w:rsidP="00E93B1D">
      <w:pPr>
        <w:keepNext/>
        <w:keepLines/>
        <w:rPr>
          <w:lang w:val="sk-SK"/>
        </w:rPr>
      </w:pPr>
    </w:p>
    <w:p w14:paraId="1B5C514E" w14:textId="77777777" w:rsidR="00913218" w:rsidRPr="00316F06" w:rsidRDefault="00913218" w:rsidP="00E93B1D">
      <w:pPr>
        <w:keepNext/>
        <w:keepLines/>
        <w:rPr>
          <w:u w:val="single"/>
          <w:lang w:val="sk-SK"/>
        </w:rPr>
      </w:pPr>
      <w:r w:rsidRPr="00316F06">
        <w:rPr>
          <w:rFonts w:cs="Times New Roman"/>
          <w:u w:val="single"/>
          <w:lang w:val="sk-SK"/>
        </w:rPr>
        <w:t>Odporúčané dávkovanie</w:t>
      </w:r>
    </w:p>
    <w:p w14:paraId="3FA7CCFE" w14:textId="77777777" w:rsidR="00913218" w:rsidRPr="00316F06" w:rsidRDefault="00913218" w:rsidP="00E93B1D">
      <w:pPr>
        <w:keepNext/>
        <w:keepLines/>
        <w:rPr>
          <w:lang w:val="sk-SK"/>
        </w:rPr>
      </w:pPr>
    </w:p>
    <w:p w14:paraId="236FF3D5" w14:textId="77777777" w:rsidR="00913218" w:rsidRPr="00316F06" w:rsidRDefault="00913218" w:rsidP="00E93B1D">
      <w:pPr>
        <w:keepNext/>
        <w:keepLines/>
        <w:rPr>
          <w:i/>
          <w:iCs/>
          <w:lang w:val="sk-SK"/>
        </w:rPr>
      </w:pPr>
      <w:r w:rsidRPr="00316F06">
        <w:rPr>
          <w:rFonts w:cs="Times New Roman"/>
          <w:i/>
          <w:iCs/>
          <w:lang w:val="sk-SK"/>
        </w:rPr>
        <w:t xml:space="preserve">Pri </w:t>
      </w:r>
      <w:proofErr w:type="spellStart"/>
      <w:r w:rsidRPr="00316F06">
        <w:rPr>
          <w:rFonts w:cs="Times New Roman"/>
          <w:i/>
          <w:iCs/>
          <w:lang w:val="sk-SK"/>
        </w:rPr>
        <w:t>monoterapii</w:t>
      </w:r>
      <w:proofErr w:type="spellEnd"/>
      <w:r w:rsidRPr="00316F06">
        <w:rPr>
          <w:rFonts w:cs="Times New Roman"/>
          <w:i/>
          <w:iCs/>
          <w:lang w:val="sk-SK"/>
        </w:rPr>
        <w:t xml:space="preserve"> (u predtým liečených pacientov):</w:t>
      </w:r>
    </w:p>
    <w:p w14:paraId="18E9F7C4" w14:textId="558EE01F" w:rsidR="00913218" w:rsidRPr="00316F06" w:rsidRDefault="00913218" w:rsidP="00E93B1D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>Odporúčané</w:t>
      </w:r>
      <w:r w:rsidRPr="00316F06">
        <w:rPr>
          <w:lang w:val="sk-SK"/>
        </w:rPr>
        <w:t xml:space="preserve"> dávkovanie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je 350 mg/m² podávaných ako intravenózna infúzia v priebehu 30 až 90 minút každé </w:t>
      </w:r>
      <w:r w:rsidRPr="00316F06">
        <w:rPr>
          <w:rFonts w:cs="Times New Roman"/>
          <w:lang w:val="sk-SK"/>
        </w:rPr>
        <w:t>3 týždne (pozri časti 4.4 a 6.6).</w:t>
      </w:r>
    </w:p>
    <w:p w14:paraId="62D2D552" w14:textId="77777777" w:rsidR="00913218" w:rsidRPr="00316F06" w:rsidRDefault="00913218">
      <w:pPr>
        <w:rPr>
          <w:lang w:val="sk-SK"/>
        </w:rPr>
      </w:pPr>
    </w:p>
    <w:p w14:paraId="4D4E90B1" w14:textId="77777777" w:rsidR="00913218" w:rsidRPr="00316F06" w:rsidRDefault="00913218" w:rsidP="008B79C3">
      <w:pPr>
        <w:keepNext/>
        <w:rPr>
          <w:i/>
          <w:iCs/>
          <w:lang w:val="sk-SK"/>
        </w:rPr>
      </w:pPr>
      <w:r w:rsidRPr="00316F06">
        <w:rPr>
          <w:rFonts w:cs="Times New Roman"/>
          <w:i/>
          <w:iCs/>
          <w:lang w:val="sk-SK"/>
        </w:rPr>
        <w:t>Pri kombinovanej terapii (u predtým neliečených pacientov):</w:t>
      </w:r>
    </w:p>
    <w:p w14:paraId="5A11B156" w14:textId="5546326A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Bezpečnosť a účinnosť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v kombinácii s 5</w:t>
      </w:r>
      <w:r w:rsidRPr="00316F06">
        <w:rPr>
          <w:lang w:val="sk-SK"/>
        </w:rPr>
        <w:noBreakHyphen/>
        <w:t>fluóruracilom (5</w:t>
      </w:r>
      <w:r w:rsidRPr="00316F06">
        <w:rPr>
          <w:lang w:val="sk-SK"/>
        </w:rPr>
        <w:noBreakHyphen/>
        <w:t>FU</w:t>
      </w:r>
      <w:r w:rsidRPr="00316F06">
        <w:rPr>
          <w:rFonts w:cs="Times New Roman"/>
          <w:lang w:val="sk-SK"/>
        </w:rPr>
        <w:t xml:space="preserve">) a kyselinou </w:t>
      </w:r>
      <w:proofErr w:type="spellStart"/>
      <w:r w:rsidRPr="00316F06">
        <w:rPr>
          <w:rFonts w:cs="Times New Roman"/>
          <w:lang w:val="sk-SK"/>
        </w:rPr>
        <w:t>folínovou</w:t>
      </w:r>
      <w:proofErr w:type="spellEnd"/>
      <w:r w:rsidRPr="00316F06">
        <w:rPr>
          <w:rFonts w:cs="Times New Roman"/>
          <w:lang w:val="sk-SK"/>
        </w:rPr>
        <w:t xml:space="preserve"> (FA) bola hodnotená pri nasledujúcom časovom pláne (pozri časť 5.1).</w:t>
      </w:r>
    </w:p>
    <w:p w14:paraId="73CD24AE" w14:textId="77777777" w:rsidR="00913218" w:rsidRPr="00316F06" w:rsidRDefault="00913218">
      <w:pPr>
        <w:rPr>
          <w:lang w:val="sk-SK"/>
        </w:rPr>
      </w:pPr>
    </w:p>
    <w:p w14:paraId="20050B64" w14:textId="0108E6BA" w:rsidR="00913218" w:rsidRPr="00316F06" w:rsidRDefault="00913218" w:rsidP="008B79C3">
      <w:pPr>
        <w:keepNext/>
        <w:rPr>
          <w:i/>
          <w:iCs/>
          <w:lang w:val="sk-SK"/>
        </w:rPr>
      </w:pPr>
      <w:proofErr w:type="spellStart"/>
      <w:r w:rsidRPr="00316F06">
        <w:rPr>
          <w:i/>
          <w:iCs/>
          <w:lang w:val="sk-SK"/>
        </w:rPr>
        <w:t>Irinotec</w:t>
      </w:r>
      <w:r w:rsidR="005D2726">
        <w:rPr>
          <w:i/>
          <w:iCs/>
          <w:lang w:val="sk-SK"/>
        </w:rPr>
        <w:t>á</w:t>
      </w:r>
      <w:r w:rsidRPr="00316F06">
        <w:rPr>
          <w:i/>
          <w:iCs/>
          <w:lang w:val="sk-SK"/>
        </w:rPr>
        <w:t>n</w:t>
      </w:r>
      <w:proofErr w:type="spellEnd"/>
      <w:r w:rsidRPr="00316F06">
        <w:rPr>
          <w:i/>
          <w:iCs/>
          <w:lang w:val="sk-SK"/>
        </w:rPr>
        <w:t xml:space="preserve"> plus 5</w:t>
      </w:r>
      <w:r w:rsidRPr="00316F06">
        <w:rPr>
          <w:i/>
          <w:iCs/>
          <w:lang w:val="sk-SK"/>
        </w:rPr>
        <w:noBreakHyphen/>
        <w:t>FU/FA podávaný každé 2 týždne:</w:t>
      </w:r>
    </w:p>
    <w:p w14:paraId="7C92CF9E" w14:textId="4D88155B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Odporúčaná dávka </w:t>
      </w:r>
      <w:proofErr w:type="spellStart"/>
      <w:r w:rsidRPr="00316F06">
        <w:rPr>
          <w:lang w:val="sk-SK"/>
        </w:rPr>
        <w:t>irinotek</w:t>
      </w:r>
      <w:r w:rsidR="005D2726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je 180 mg/m² podávaných každé 2 týždne ako intravenózna infúzia v priebehu 30 až 90 minút, nasledovaná infúziou s kyselinou </w:t>
      </w:r>
      <w:proofErr w:type="spellStart"/>
      <w:r w:rsidRPr="00316F06">
        <w:rPr>
          <w:lang w:val="sk-SK"/>
        </w:rPr>
        <w:t>folínovou</w:t>
      </w:r>
      <w:proofErr w:type="spellEnd"/>
      <w:r w:rsidRPr="00316F06">
        <w:rPr>
          <w:lang w:val="sk-SK"/>
        </w:rPr>
        <w:t xml:space="preserve"> a 5</w:t>
      </w:r>
      <w:r w:rsidRPr="00316F06">
        <w:rPr>
          <w:lang w:val="sk-SK"/>
        </w:rPr>
        <w:noBreakHyphen/>
        <w:t>fluóruracilom.</w:t>
      </w:r>
    </w:p>
    <w:p w14:paraId="2733EDDD" w14:textId="77777777" w:rsidR="00913218" w:rsidRPr="00316F06" w:rsidRDefault="00913218">
      <w:pPr>
        <w:rPr>
          <w:lang w:val="sk-SK"/>
        </w:rPr>
      </w:pPr>
    </w:p>
    <w:p w14:paraId="0E390EBB" w14:textId="6727DFD0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V súvislosti s dávkovaním a spôsobom podávania súčasne podávaného </w:t>
      </w:r>
      <w:proofErr w:type="spellStart"/>
      <w:r w:rsidRPr="00316F06">
        <w:rPr>
          <w:rFonts w:cs="Times New Roman"/>
          <w:lang w:val="sk-SK"/>
        </w:rPr>
        <w:t>cetuximabu</w:t>
      </w:r>
      <w:proofErr w:type="spellEnd"/>
      <w:r w:rsidRPr="00316F06">
        <w:rPr>
          <w:rFonts w:cs="Times New Roman"/>
          <w:lang w:val="sk-SK"/>
        </w:rPr>
        <w:t>, pozri informácie o tomto lieku.</w:t>
      </w:r>
      <w:r w:rsidRPr="00316F06">
        <w:rPr>
          <w:lang w:val="sk-SK"/>
        </w:rPr>
        <w:t xml:space="preserve"> Spravidla sa používa rovnaká dávka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, aká bol</w:t>
      </w:r>
      <w:r w:rsidRPr="00316F06">
        <w:rPr>
          <w:rFonts w:cs="Times New Roman"/>
          <w:lang w:val="sk-SK"/>
        </w:rPr>
        <w:t xml:space="preserve">a používaná v posledných cykloch pred liečebným režimom zahŕňajúcim </w:t>
      </w:r>
      <w:proofErr w:type="spellStart"/>
      <w:r w:rsidRPr="00316F06">
        <w:rPr>
          <w:lang w:val="sk-SK"/>
        </w:rPr>
        <w:t>irinotekan</w:t>
      </w:r>
      <w:proofErr w:type="spellEnd"/>
      <w:r w:rsidRPr="00316F06">
        <w:rPr>
          <w:lang w:val="sk-SK"/>
        </w:rPr>
        <w:t xml:space="preserve">.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sa nesmie podávať skôr ako 1 hodinu po skončení infúzie </w:t>
      </w:r>
      <w:proofErr w:type="spellStart"/>
      <w:r w:rsidRPr="00316F06">
        <w:rPr>
          <w:rFonts w:cs="Times New Roman"/>
          <w:lang w:val="sk-SK"/>
        </w:rPr>
        <w:t>cetuximabu</w:t>
      </w:r>
      <w:proofErr w:type="spellEnd"/>
      <w:r w:rsidRPr="00316F06">
        <w:rPr>
          <w:rFonts w:cs="Times New Roman"/>
          <w:lang w:val="sk-SK"/>
        </w:rPr>
        <w:t>.</w:t>
      </w:r>
    </w:p>
    <w:p w14:paraId="3DF6CE70" w14:textId="77777777" w:rsidR="00913218" w:rsidRPr="00316F06" w:rsidRDefault="00913218">
      <w:pPr>
        <w:rPr>
          <w:lang w:val="sk-SK"/>
        </w:rPr>
      </w:pPr>
    </w:p>
    <w:p w14:paraId="405A627F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V súvislosti s dávkovaním a spôsobom podávania súčasne podávaného </w:t>
      </w:r>
      <w:proofErr w:type="spellStart"/>
      <w:r w:rsidRPr="00316F06">
        <w:rPr>
          <w:rFonts w:cs="Times New Roman"/>
          <w:lang w:val="sk-SK"/>
        </w:rPr>
        <w:t>bevacizumabu</w:t>
      </w:r>
      <w:proofErr w:type="spellEnd"/>
      <w:r w:rsidRPr="00316F06">
        <w:rPr>
          <w:rFonts w:cs="Times New Roman"/>
          <w:lang w:val="sk-SK"/>
        </w:rPr>
        <w:t>, pozri súhrn char</w:t>
      </w:r>
      <w:r w:rsidRPr="00316F06">
        <w:rPr>
          <w:lang w:val="sk-SK"/>
        </w:rPr>
        <w:t>akteristických vlastností tohto lieku.</w:t>
      </w:r>
    </w:p>
    <w:p w14:paraId="66818ABC" w14:textId="77777777" w:rsidR="00913218" w:rsidRPr="00316F06" w:rsidRDefault="00913218">
      <w:pPr>
        <w:rPr>
          <w:lang w:val="sk-SK"/>
        </w:rPr>
      </w:pPr>
    </w:p>
    <w:p w14:paraId="12B43E05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Úpravy dávkovania</w:t>
      </w:r>
    </w:p>
    <w:p w14:paraId="27BBF2A0" w14:textId="77777777" w:rsidR="00913218" w:rsidRPr="00316F06" w:rsidRDefault="00913218">
      <w:pPr>
        <w:keepNext/>
        <w:rPr>
          <w:lang w:val="sk-SK"/>
        </w:rPr>
      </w:pPr>
    </w:p>
    <w:p w14:paraId="7057AF6D" w14:textId="7FC22D6A" w:rsidR="00913218" w:rsidRPr="00316F06" w:rsidRDefault="00913218">
      <w:pPr>
        <w:rPr>
          <w:lang w:val="sk-SK"/>
        </w:rPr>
      </w:pPr>
      <w:proofErr w:type="spellStart"/>
      <w:r w:rsidRPr="00316F06">
        <w:rPr>
          <w:rFonts w:cs="Times New Roman"/>
          <w:lang w:val="sk-SK"/>
        </w:rPr>
        <w:t>Irinotec</w:t>
      </w:r>
      <w:r w:rsidR="005D2726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sa má podávať po primeranom zotavení zo všetkých nežiaducich účinkov na stupeň 0 alebo 1 podľa stupnice NCI-CTC (National </w:t>
      </w:r>
      <w:proofErr w:type="spellStart"/>
      <w:r w:rsidRPr="00316F06">
        <w:rPr>
          <w:rFonts w:cs="Times New Roman"/>
          <w:lang w:val="sk-SK"/>
        </w:rPr>
        <w:t>Cancer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Institute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Common</w:t>
      </w:r>
      <w:proofErr w:type="spellEnd"/>
      <w:r w:rsidRPr="00316F06">
        <w:rPr>
          <w:rFonts w:cs="Times New Roman"/>
          <w:lang w:val="sk-SK"/>
        </w:rPr>
        <w:t xml:space="preserve"> Toxicity </w:t>
      </w:r>
      <w:proofErr w:type="spellStart"/>
      <w:r w:rsidRPr="00316F06">
        <w:rPr>
          <w:rFonts w:cs="Times New Roman"/>
          <w:lang w:val="sk-SK"/>
        </w:rPr>
        <w:t>Criteria</w:t>
      </w:r>
      <w:proofErr w:type="spellEnd"/>
      <w:r w:rsidRPr="00316F06">
        <w:rPr>
          <w:rFonts w:cs="Times New Roman"/>
          <w:lang w:val="sk-SK"/>
        </w:rPr>
        <w:t xml:space="preserve">) a </w:t>
      </w:r>
      <w:r w:rsidRPr="00316F06">
        <w:rPr>
          <w:lang w:val="sk-SK"/>
        </w:rPr>
        <w:t>po úplnom ústupe</w:t>
      </w:r>
      <w:r w:rsidRPr="00316F06">
        <w:rPr>
          <w:rFonts w:cs="Times New Roman"/>
          <w:lang w:val="sk-SK"/>
        </w:rPr>
        <w:t xml:space="preserve"> hnačk</w:t>
      </w:r>
      <w:r w:rsidRPr="00316F06">
        <w:rPr>
          <w:lang w:val="sk-SK"/>
        </w:rPr>
        <w:t xml:space="preserve">y spôsobenej </w:t>
      </w:r>
      <w:r w:rsidRPr="00316F06">
        <w:rPr>
          <w:rFonts w:cs="Times New Roman"/>
          <w:lang w:val="sk-SK"/>
        </w:rPr>
        <w:t>liečbou</w:t>
      </w:r>
      <w:r w:rsidRPr="00316F06">
        <w:rPr>
          <w:lang w:val="sk-SK"/>
        </w:rPr>
        <w:t>.</w:t>
      </w:r>
    </w:p>
    <w:p w14:paraId="6EF1D77D" w14:textId="77777777" w:rsidR="00913218" w:rsidRPr="00316F06" w:rsidRDefault="00913218">
      <w:pPr>
        <w:rPr>
          <w:lang w:val="sk-SK"/>
        </w:rPr>
      </w:pPr>
    </w:p>
    <w:p w14:paraId="4EE4D005" w14:textId="57552934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Na začiatku nasledujúcej infúznej liečby sa dávka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a, kde je to vhodné, dávka 5</w:t>
      </w:r>
      <w:r w:rsidRPr="00316F06">
        <w:rPr>
          <w:lang w:val="sk-SK"/>
        </w:rPr>
        <w:noBreakHyphen/>
        <w:t xml:space="preserve">FU, má </w:t>
      </w:r>
      <w:r w:rsidRPr="00316F06">
        <w:rPr>
          <w:rFonts w:cs="Times New Roman"/>
          <w:lang w:val="sk-SK"/>
        </w:rPr>
        <w:t xml:space="preserve">znížiť podľa najhoršieho stupňa nežiaducich účinkov, ktoré boli pozorované pri </w:t>
      </w:r>
      <w:r w:rsidRPr="00316F06">
        <w:rPr>
          <w:noProof/>
          <w:lang w:val="sk-SK"/>
        </w:rPr>
        <w:t xml:space="preserve">predchádzajúcej </w:t>
      </w:r>
      <w:r w:rsidRPr="00316F06">
        <w:rPr>
          <w:rFonts w:cs="Times New Roman"/>
          <w:lang w:val="sk-SK"/>
        </w:rPr>
        <w:t>infúzii.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Liečbu je potrebné odložiť o 1 –2 týždne, aby sa umožnilo zotavenie z nežiaducich účinkov súvisiacich s terapiou.</w:t>
      </w:r>
    </w:p>
    <w:p w14:paraId="3B0D222A" w14:textId="77777777" w:rsidR="00913218" w:rsidRPr="00316F06" w:rsidRDefault="00913218">
      <w:pPr>
        <w:rPr>
          <w:lang w:val="sk-SK"/>
        </w:rPr>
      </w:pPr>
    </w:p>
    <w:p w14:paraId="01E470A4" w14:textId="09AFA1C8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Pri ďalšom výskyte nežiaducich účinkov treba znížiť dávku o 15 – 20 % u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</w:t>
      </w:r>
      <w:r w:rsidRPr="00316F06">
        <w:rPr>
          <w:rFonts w:cs="Times New Roman"/>
          <w:lang w:val="sk-SK"/>
        </w:rPr>
        <w:t>u</w:t>
      </w:r>
      <w:proofErr w:type="spellEnd"/>
      <w:r w:rsidRPr="00316F06">
        <w:rPr>
          <w:rFonts w:cs="Times New Roman"/>
          <w:lang w:val="sk-SK"/>
        </w:rPr>
        <w:t xml:space="preserve"> a/alebo 5</w:t>
      </w:r>
      <w:r w:rsidRPr="00316F06">
        <w:rPr>
          <w:rFonts w:cs="Times New Roman"/>
          <w:lang w:val="sk-SK"/>
        </w:rPr>
        <w:noBreakHyphen/>
        <w:t>FU, podľa konkrétnych okolností:</w:t>
      </w:r>
    </w:p>
    <w:p w14:paraId="33C1ECB7" w14:textId="77777777" w:rsidR="00913218" w:rsidRPr="00316F06" w:rsidRDefault="00913218">
      <w:pPr>
        <w:rPr>
          <w:lang w:val="sk-SK"/>
        </w:rPr>
      </w:pPr>
    </w:p>
    <w:p w14:paraId="31A2F79C" w14:textId="77777777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Hematologická toxicita (</w:t>
      </w:r>
      <w:proofErr w:type="spellStart"/>
      <w:r w:rsidRPr="00316F06">
        <w:rPr>
          <w:rFonts w:cs="Times New Roman"/>
          <w:lang w:val="sk-SK"/>
        </w:rPr>
        <w:t>neutropénia</w:t>
      </w:r>
      <w:proofErr w:type="spellEnd"/>
      <w:r w:rsidRPr="00316F06">
        <w:rPr>
          <w:rFonts w:cs="Times New Roman"/>
          <w:lang w:val="sk-SK"/>
        </w:rPr>
        <w:t xml:space="preserve"> 4. stupňa, </w:t>
      </w:r>
      <w:proofErr w:type="spellStart"/>
      <w:r w:rsidRPr="00316F06">
        <w:rPr>
          <w:rFonts w:cs="Times New Roman"/>
          <w:lang w:val="sk-SK"/>
        </w:rPr>
        <w:t>febrilná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neutropénia</w:t>
      </w:r>
      <w:proofErr w:type="spellEnd"/>
      <w:r w:rsidRPr="00316F06">
        <w:rPr>
          <w:rFonts w:cs="Times New Roman"/>
          <w:lang w:val="sk-SK"/>
        </w:rPr>
        <w:t xml:space="preserve"> [</w:t>
      </w:r>
      <w:proofErr w:type="spellStart"/>
      <w:r w:rsidRPr="00316F06">
        <w:rPr>
          <w:rFonts w:cs="Times New Roman"/>
          <w:lang w:val="sk-SK"/>
        </w:rPr>
        <w:t>neutropénia</w:t>
      </w:r>
      <w:proofErr w:type="spellEnd"/>
      <w:r w:rsidRPr="00316F06">
        <w:rPr>
          <w:rFonts w:cs="Times New Roman"/>
          <w:lang w:val="sk-SK"/>
        </w:rPr>
        <w:t xml:space="preserve"> 3. – 4. stupňa a horúčka 2. – 4. stupňa], </w:t>
      </w:r>
      <w:proofErr w:type="spellStart"/>
      <w:r w:rsidRPr="00316F06">
        <w:rPr>
          <w:rFonts w:cs="Times New Roman"/>
          <w:lang w:val="sk-SK"/>
        </w:rPr>
        <w:t>trombocytopénia</w:t>
      </w:r>
      <w:proofErr w:type="spellEnd"/>
      <w:r w:rsidRPr="00316F06">
        <w:rPr>
          <w:rFonts w:cs="Times New Roman"/>
          <w:lang w:val="sk-SK"/>
        </w:rPr>
        <w:t xml:space="preserve"> a </w:t>
      </w:r>
      <w:proofErr w:type="spellStart"/>
      <w:r w:rsidRPr="00316F06">
        <w:rPr>
          <w:rFonts w:cs="Times New Roman"/>
          <w:lang w:val="sk-SK"/>
        </w:rPr>
        <w:t>leukocytopénia</w:t>
      </w:r>
      <w:proofErr w:type="spellEnd"/>
      <w:r w:rsidRPr="00316F06">
        <w:rPr>
          <w:rFonts w:cs="Times New Roman"/>
          <w:lang w:val="sk-SK"/>
        </w:rPr>
        <w:t xml:space="preserve"> [4. stupňa]).</w:t>
      </w:r>
    </w:p>
    <w:p w14:paraId="5401DEF5" w14:textId="77777777" w:rsidR="00913218" w:rsidRPr="00316F06" w:rsidRDefault="00913218">
      <w:pPr>
        <w:rPr>
          <w:lang w:val="sk-SK"/>
        </w:rPr>
      </w:pPr>
    </w:p>
    <w:p w14:paraId="66D33B30" w14:textId="77777777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Nehematologická toxicita (3. – 4. stupňa).</w:t>
      </w:r>
    </w:p>
    <w:p w14:paraId="509286A4" w14:textId="77777777" w:rsidR="00913218" w:rsidRPr="00316F06" w:rsidRDefault="00913218">
      <w:pPr>
        <w:rPr>
          <w:lang w:val="sk-SK"/>
        </w:rPr>
      </w:pPr>
    </w:p>
    <w:p w14:paraId="20441221" w14:textId="31DE3413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Odporúčania na úpravu </w:t>
      </w:r>
      <w:r w:rsidRPr="00316F06">
        <w:rPr>
          <w:lang w:val="sk-SK"/>
        </w:rPr>
        <w:t xml:space="preserve">dávky </w:t>
      </w:r>
      <w:proofErr w:type="spellStart"/>
      <w:r w:rsidRPr="00316F06">
        <w:rPr>
          <w:lang w:val="sk-SK"/>
        </w:rPr>
        <w:t>cetuximabu</w:t>
      </w:r>
      <w:proofErr w:type="spellEnd"/>
      <w:r w:rsidRPr="00316F06">
        <w:rPr>
          <w:lang w:val="sk-SK"/>
        </w:rPr>
        <w:t xml:space="preserve"> pri podávaní v kombinácii s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musia r</w:t>
      </w:r>
      <w:r w:rsidRPr="00316F06">
        <w:rPr>
          <w:rFonts w:cs="Times New Roman"/>
          <w:lang w:val="sk-SK"/>
        </w:rPr>
        <w:t xml:space="preserve">ešpektovať súhrn charakteristických vlastností tohto </w:t>
      </w:r>
      <w:r w:rsidRPr="00316F06">
        <w:rPr>
          <w:lang w:val="sk-SK"/>
        </w:rPr>
        <w:t>lieku.</w:t>
      </w:r>
    </w:p>
    <w:p w14:paraId="6E783994" w14:textId="77777777" w:rsidR="00913218" w:rsidRPr="00316F06" w:rsidRDefault="00913218">
      <w:pPr>
        <w:rPr>
          <w:lang w:val="sk-SK"/>
        </w:rPr>
      </w:pPr>
    </w:p>
    <w:p w14:paraId="1545C872" w14:textId="34807C25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V súvislosti s úpravou dávkovania 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 xml:space="preserve"> podávaného v kombinácii s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  <w:t>FU/FA pozri súhrn charakteristických vlastností tohto lieku.</w:t>
      </w:r>
    </w:p>
    <w:p w14:paraId="312783A0" w14:textId="77777777" w:rsidR="00913218" w:rsidRPr="00316F06" w:rsidRDefault="00913218">
      <w:pPr>
        <w:rPr>
          <w:lang w:val="sk-SK"/>
        </w:rPr>
      </w:pPr>
    </w:p>
    <w:p w14:paraId="53F14C2B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rFonts w:cs="Times New Roman"/>
          <w:u w:val="single"/>
          <w:lang w:val="sk-SK"/>
        </w:rPr>
        <w:t>Trvanie liečby</w:t>
      </w:r>
    </w:p>
    <w:p w14:paraId="6B03EC8E" w14:textId="77777777" w:rsidR="00913218" w:rsidRPr="00316F06" w:rsidRDefault="00913218">
      <w:pPr>
        <w:keepNext/>
        <w:rPr>
          <w:lang w:val="sk-SK"/>
        </w:rPr>
      </w:pPr>
    </w:p>
    <w:p w14:paraId="1096E2C0" w14:textId="663B6554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Liečba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má</w:t>
      </w:r>
      <w:r w:rsidRPr="00316F06">
        <w:rPr>
          <w:rFonts w:cs="Times New Roman"/>
          <w:lang w:val="sk-SK"/>
        </w:rPr>
        <w:t xml:space="preserve"> pokračovať</w:t>
      </w:r>
      <w:r w:rsidRPr="00316F06">
        <w:rPr>
          <w:lang w:val="sk-SK"/>
        </w:rPr>
        <w:t>,</w:t>
      </w:r>
      <w:r w:rsidRPr="00316F06">
        <w:rPr>
          <w:rFonts w:cs="Times New Roman"/>
          <w:lang w:val="sk-SK"/>
        </w:rPr>
        <w:t xml:space="preserve"> až kým nedôjde k objektívnej progresii choroby alebo neprijateľnej toxicite.</w:t>
      </w:r>
    </w:p>
    <w:p w14:paraId="07858717" w14:textId="77777777" w:rsidR="00913218" w:rsidRPr="00316F06" w:rsidRDefault="00913218">
      <w:pPr>
        <w:rPr>
          <w:lang w:val="sk-SK"/>
        </w:rPr>
      </w:pPr>
    </w:p>
    <w:p w14:paraId="289C3EB2" w14:textId="77777777" w:rsidR="00913218" w:rsidRPr="00316F06" w:rsidRDefault="00A6725F">
      <w:pPr>
        <w:keepNext/>
        <w:rPr>
          <w:u w:val="single"/>
          <w:lang w:val="sk-SK"/>
        </w:rPr>
      </w:pPr>
      <w:r>
        <w:rPr>
          <w:u w:val="single"/>
          <w:lang w:val="sk-SK"/>
        </w:rPr>
        <w:lastRenderedPageBreak/>
        <w:t>Osobitné populácie</w:t>
      </w:r>
    </w:p>
    <w:p w14:paraId="0D1DF521" w14:textId="77777777" w:rsidR="00913218" w:rsidRPr="00316F06" w:rsidRDefault="00913218">
      <w:pPr>
        <w:keepNext/>
        <w:rPr>
          <w:lang w:val="sk-SK"/>
        </w:rPr>
      </w:pPr>
    </w:p>
    <w:p w14:paraId="5151AAE2" w14:textId="3470431E" w:rsidR="00913218" w:rsidRPr="00316F06" w:rsidRDefault="00913218">
      <w:pPr>
        <w:keepNext/>
        <w:rPr>
          <w:i/>
          <w:iCs/>
          <w:lang w:val="sk-SK"/>
        </w:rPr>
      </w:pPr>
      <w:r w:rsidRPr="00316F06">
        <w:rPr>
          <w:rFonts w:cs="Times New Roman"/>
          <w:i/>
          <w:iCs/>
          <w:lang w:val="sk-SK"/>
        </w:rPr>
        <w:t>Pacienti s</w:t>
      </w:r>
      <w:r w:rsidR="00A6725F">
        <w:rPr>
          <w:rFonts w:cs="Times New Roman"/>
          <w:i/>
          <w:iCs/>
          <w:lang w:val="sk-SK"/>
        </w:rPr>
        <w:t> poruchou funkcie</w:t>
      </w:r>
      <w:r w:rsidRPr="00316F06">
        <w:rPr>
          <w:rFonts w:cs="Times New Roman"/>
          <w:i/>
          <w:iCs/>
          <w:lang w:val="sk-SK"/>
        </w:rPr>
        <w:t xml:space="preserve"> pečene:</w:t>
      </w:r>
    </w:p>
    <w:p w14:paraId="45158D46" w14:textId="77777777" w:rsidR="00913218" w:rsidRPr="00316F06" w:rsidRDefault="00913218">
      <w:pPr>
        <w:keepNext/>
        <w:rPr>
          <w:lang w:val="sk-SK"/>
        </w:rPr>
      </w:pPr>
      <w:proofErr w:type="spellStart"/>
      <w:r w:rsidRPr="00316F06">
        <w:rPr>
          <w:lang w:val="sk-SK"/>
        </w:rPr>
        <w:t>Monoterapia</w:t>
      </w:r>
      <w:proofErr w:type="spellEnd"/>
      <w:r w:rsidRPr="00316F06">
        <w:rPr>
          <w:lang w:val="sk-SK"/>
        </w:rPr>
        <w:t>:</w:t>
      </w:r>
    </w:p>
    <w:p w14:paraId="66D982DB" w14:textId="0D44614B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U pacientov s výkonnostným stavom podľa WHO </w:t>
      </w:r>
      <w:r w:rsidRPr="00316F06">
        <w:rPr>
          <w:lang w:val="sk-SK"/>
        </w:rPr>
        <w:t>≤ 2</w:t>
      </w:r>
      <w:r w:rsidRPr="00316F06">
        <w:rPr>
          <w:rFonts w:cs="Times New Roman"/>
          <w:lang w:val="sk-SK"/>
        </w:rPr>
        <w:t xml:space="preserve"> sa počiatočná dávka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má určiť podľa hladiny bilirubínu v krvi (až do 3 násobku </w:t>
      </w:r>
      <w:r w:rsidRPr="00316F06">
        <w:rPr>
          <w:lang w:val="sk-SK"/>
        </w:rPr>
        <w:t xml:space="preserve">hornej hranice normy [ULN]). U týchto pacientov s </w:t>
      </w:r>
      <w:proofErr w:type="spellStart"/>
      <w:r w:rsidRPr="00316F06">
        <w:rPr>
          <w:lang w:val="sk-SK"/>
        </w:rPr>
        <w:t>hyperbilirubínémiou</w:t>
      </w:r>
      <w:proofErr w:type="spellEnd"/>
      <w:r w:rsidRPr="00316F06">
        <w:rPr>
          <w:lang w:val="sk-SK"/>
        </w:rPr>
        <w:t xml:space="preserve"> a </w:t>
      </w:r>
      <w:proofErr w:type="spellStart"/>
      <w:r w:rsidRPr="00316F06">
        <w:rPr>
          <w:lang w:val="sk-SK"/>
        </w:rPr>
        <w:t>protrombí</w:t>
      </w:r>
      <w:r w:rsidRPr="00316F06">
        <w:rPr>
          <w:rFonts w:cs="Times New Roman"/>
          <w:lang w:val="sk-SK"/>
        </w:rPr>
        <w:t>novým</w:t>
      </w:r>
      <w:proofErr w:type="spellEnd"/>
      <w:r w:rsidRPr="00316F06">
        <w:rPr>
          <w:rFonts w:cs="Times New Roman"/>
          <w:lang w:val="sk-SK"/>
        </w:rPr>
        <w:t xml:space="preserve"> časom vyšším ako 50 % je </w:t>
      </w:r>
      <w:proofErr w:type="spellStart"/>
      <w:r w:rsidRPr="00316F06">
        <w:rPr>
          <w:rFonts w:cs="Times New Roman"/>
          <w:lang w:val="sk-SK"/>
        </w:rPr>
        <w:t>klírens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irinotek</w:t>
      </w:r>
      <w:r w:rsidR="00B6463D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znížený (pozri časť 5.2), preto je riziko </w:t>
      </w:r>
      <w:proofErr w:type="spellStart"/>
      <w:r w:rsidRPr="00316F06">
        <w:rPr>
          <w:rFonts w:cs="Times New Roman"/>
          <w:lang w:val="sk-SK"/>
        </w:rPr>
        <w:t>hemato</w:t>
      </w:r>
      <w:r w:rsidRPr="00316F06">
        <w:rPr>
          <w:lang w:val="sk-SK"/>
        </w:rPr>
        <w:t>toxicity</w:t>
      </w:r>
      <w:proofErr w:type="spellEnd"/>
      <w:r w:rsidRPr="00316F06">
        <w:rPr>
          <w:lang w:val="sk-SK"/>
        </w:rPr>
        <w:t xml:space="preserve"> zvýšené. Z </w:t>
      </w:r>
      <w:r w:rsidRPr="00316F06">
        <w:rPr>
          <w:rFonts w:cs="Times New Roman"/>
          <w:lang w:val="sk-SK"/>
        </w:rPr>
        <w:t>tohto dôvodu sa u takejto skupiny pacientov má každý týždeň monitorovať</w:t>
      </w:r>
      <w:r w:rsidRPr="00316F06">
        <w:rPr>
          <w:lang w:val="sk-SK"/>
        </w:rPr>
        <w:t xml:space="preserve"> kompletný krvný obraz.</w:t>
      </w:r>
    </w:p>
    <w:p w14:paraId="417DEFE3" w14:textId="77777777" w:rsidR="00913218" w:rsidRPr="00316F06" w:rsidRDefault="00913218">
      <w:pPr>
        <w:rPr>
          <w:lang w:val="sk-SK"/>
        </w:rPr>
      </w:pPr>
    </w:p>
    <w:p w14:paraId="1768B9A0" w14:textId="135537B1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 xml:space="preserve">U pacientov s hladinami bilirubínu až do 1,5 násobku hornej hranice normy </w:t>
      </w:r>
      <w:r w:rsidRPr="00316F06">
        <w:rPr>
          <w:rFonts w:cs="Times New Roman"/>
          <w:lang w:val="sk-SK"/>
        </w:rPr>
        <w:t xml:space="preserve">(ULN) je odporúčaná dávka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350</w:t>
      </w:r>
      <w:r w:rsidRPr="00316F06">
        <w:rPr>
          <w:lang w:val="sk-SK"/>
        </w:rPr>
        <w:t> mg/m².</w:t>
      </w:r>
    </w:p>
    <w:p w14:paraId="27A5E0A8" w14:textId="77777777" w:rsidR="00913218" w:rsidRPr="00316F06" w:rsidRDefault="00913218">
      <w:pPr>
        <w:rPr>
          <w:lang w:val="sk-SK"/>
        </w:rPr>
      </w:pPr>
    </w:p>
    <w:p w14:paraId="21A842FB" w14:textId="474632AE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>U pacientov s hladinami bilirubínu od 1,5 násobku do 3</w:t>
      </w:r>
      <w:r w:rsidRPr="00316F06">
        <w:rPr>
          <w:lang w:val="sk-SK"/>
        </w:rPr>
        <w:noBreakHyphen/>
        <w:t xml:space="preserve">násobku hornej hranice normy </w:t>
      </w:r>
      <w:r w:rsidRPr="00316F06">
        <w:rPr>
          <w:rFonts w:cs="Times New Roman"/>
          <w:lang w:val="sk-SK"/>
        </w:rPr>
        <w:t xml:space="preserve">(ULN) je odporúčaná dávka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</w:t>
      </w:r>
      <w:r w:rsidRPr="00316F06">
        <w:rPr>
          <w:lang w:val="sk-SK"/>
        </w:rPr>
        <w:t>200 mg/m².</w:t>
      </w:r>
    </w:p>
    <w:p w14:paraId="4F1E68A1" w14:textId="77777777" w:rsidR="00913218" w:rsidRPr="00316F06" w:rsidRDefault="00913218">
      <w:pPr>
        <w:rPr>
          <w:lang w:val="sk-SK"/>
        </w:rPr>
      </w:pPr>
    </w:p>
    <w:p w14:paraId="5CA0D356" w14:textId="6B130B95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>Pacienti s hladinami bilirubínu vyššími ako 3</w:t>
      </w:r>
      <w:r w:rsidRPr="00316F06">
        <w:rPr>
          <w:lang w:val="sk-SK"/>
        </w:rPr>
        <w:noBreakHyphen/>
        <w:t xml:space="preserve">násobok hornej hranice normy </w:t>
      </w:r>
      <w:r w:rsidRPr="00316F06">
        <w:rPr>
          <w:rFonts w:cs="Times New Roman"/>
          <w:lang w:val="sk-SK"/>
        </w:rPr>
        <w:t xml:space="preserve">(ULN) nesmú byť liečení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(pozri časti 4.3 a 4.4).</w:t>
      </w:r>
    </w:p>
    <w:p w14:paraId="20D864D5" w14:textId="77777777" w:rsidR="00913218" w:rsidRPr="00316F06" w:rsidRDefault="00913218">
      <w:pPr>
        <w:rPr>
          <w:lang w:val="sk-SK"/>
        </w:rPr>
      </w:pPr>
    </w:p>
    <w:p w14:paraId="28A10A02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Kombinovaná </w:t>
      </w:r>
      <w:r w:rsidR="00C72DCB">
        <w:rPr>
          <w:lang w:val="sk-SK"/>
        </w:rPr>
        <w:t>terapia</w:t>
      </w:r>
      <w:r w:rsidRPr="00316F06">
        <w:rPr>
          <w:lang w:val="sk-SK"/>
        </w:rPr>
        <w:t>:</w:t>
      </w:r>
    </w:p>
    <w:p w14:paraId="4509C545" w14:textId="0B73F5E3" w:rsidR="00913218" w:rsidRPr="00316F06" w:rsidRDefault="00913218">
      <w:pPr>
        <w:rPr>
          <w:lang w:val="sk-SK"/>
        </w:rPr>
      </w:pPr>
      <w:r w:rsidRPr="00316F06">
        <w:rPr>
          <w:lang w:val="sk-SK"/>
        </w:rPr>
        <w:t>Nie sú dostupn</w:t>
      </w:r>
      <w:r w:rsidRPr="00316F06">
        <w:rPr>
          <w:rFonts w:cs="Times New Roman"/>
          <w:lang w:val="sk-SK"/>
        </w:rPr>
        <w:t xml:space="preserve">é žiadne údaje u pacientov liečených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v kombinácii s</w:t>
      </w:r>
      <w:r w:rsidR="00A6725F">
        <w:rPr>
          <w:rFonts w:cs="Times New Roman"/>
          <w:lang w:val="sk-SK"/>
        </w:rPr>
        <w:t> poruchou funkcie pečene</w:t>
      </w:r>
      <w:r w:rsidRPr="00316F06">
        <w:rPr>
          <w:rFonts w:cs="Times New Roman"/>
          <w:lang w:val="sk-SK"/>
        </w:rPr>
        <w:t>.</w:t>
      </w:r>
    </w:p>
    <w:p w14:paraId="22E1BA0A" w14:textId="77777777" w:rsidR="00913218" w:rsidRPr="00316F06" w:rsidRDefault="00913218">
      <w:pPr>
        <w:rPr>
          <w:lang w:val="sk-SK"/>
        </w:rPr>
      </w:pPr>
    </w:p>
    <w:p w14:paraId="48AAE088" w14:textId="7AACC7B3" w:rsidR="00913218" w:rsidRPr="00316F06" w:rsidRDefault="00913218">
      <w:pPr>
        <w:keepNext/>
        <w:rPr>
          <w:i/>
          <w:iCs/>
          <w:lang w:val="sk-SK"/>
        </w:rPr>
      </w:pPr>
      <w:r w:rsidRPr="00316F06">
        <w:rPr>
          <w:rFonts w:cs="Times New Roman"/>
          <w:i/>
          <w:iCs/>
          <w:lang w:val="sk-SK"/>
        </w:rPr>
        <w:t>Pacienti s</w:t>
      </w:r>
      <w:r w:rsidR="00A6725F">
        <w:rPr>
          <w:rFonts w:cs="Times New Roman"/>
          <w:i/>
          <w:iCs/>
          <w:lang w:val="sk-SK"/>
        </w:rPr>
        <w:t> poruchou funkcie obličiek</w:t>
      </w:r>
    </w:p>
    <w:p w14:paraId="5E74A582" w14:textId="7C6C6808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Liečba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sa neodporúča u pacientov s</w:t>
      </w:r>
      <w:r w:rsidR="00A6725F">
        <w:rPr>
          <w:rFonts w:cs="Times New Roman"/>
          <w:lang w:val="sk-SK"/>
        </w:rPr>
        <w:t> poruchou funkcie obličiek</w:t>
      </w:r>
      <w:r w:rsidRPr="00316F06">
        <w:rPr>
          <w:rFonts w:cs="Times New Roman"/>
          <w:lang w:val="sk-SK"/>
        </w:rPr>
        <w:t xml:space="preserve">, pretože </w:t>
      </w:r>
      <w:r w:rsidR="00A6725F" w:rsidRPr="00175890">
        <w:rPr>
          <w:noProof/>
          <w:lang w:val="sk-SK"/>
        </w:rPr>
        <w:t>štúdie</w:t>
      </w:r>
      <w:r w:rsidR="00A6725F" w:rsidRPr="00317482">
        <w:rPr>
          <w:lang w:val="sk-SK"/>
        </w:rPr>
        <w:t xml:space="preserve"> u</w:t>
      </w:r>
      <w:r w:rsidR="00A6725F" w:rsidRPr="00175890">
        <w:rPr>
          <w:noProof/>
          <w:lang w:val="sk-SK"/>
        </w:rPr>
        <w:t> </w:t>
      </w:r>
      <w:r w:rsidR="00A6725F" w:rsidRPr="00317482">
        <w:rPr>
          <w:lang w:val="sk-SK"/>
        </w:rPr>
        <w:t xml:space="preserve">tejto skupiny pacientov </w:t>
      </w:r>
      <w:r w:rsidR="00A6725F" w:rsidRPr="00175890">
        <w:rPr>
          <w:noProof/>
          <w:lang w:val="sk-SK"/>
        </w:rPr>
        <w:t>sa neuskutočnili</w:t>
      </w:r>
      <w:r w:rsidR="00A6725F" w:rsidRPr="00316F06">
        <w:rPr>
          <w:rFonts w:cs="Times New Roman"/>
          <w:lang w:val="sk-SK"/>
        </w:rPr>
        <w:t xml:space="preserve"> </w:t>
      </w:r>
      <w:r w:rsidRPr="00316F06">
        <w:rPr>
          <w:rFonts w:cs="Times New Roman"/>
          <w:lang w:val="sk-SK"/>
        </w:rPr>
        <w:t>(pozri časti 4.4 a 5.2).</w:t>
      </w:r>
    </w:p>
    <w:p w14:paraId="3BFE5FD7" w14:textId="77777777" w:rsidR="00913218" w:rsidRPr="00316F06" w:rsidRDefault="00913218">
      <w:pPr>
        <w:rPr>
          <w:lang w:val="sk-SK"/>
        </w:rPr>
      </w:pPr>
    </w:p>
    <w:p w14:paraId="28AF9F5C" w14:textId="77777777" w:rsidR="00913218" w:rsidRPr="00316F06" w:rsidRDefault="00913218">
      <w:pPr>
        <w:keepNext/>
        <w:rPr>
          <w:i/>
          <w:iCs/>
          <w:lang w:val="sk-SK"/>
        </w:rPr>
      </w:pPr>
      <w:r w:rsidRPr="00316F06">
        <w:rPr>
          <w:i/>
          <w:iCs/>
          <w:lang w:val="sk-SK"/>
        </w:rPr>
        <w:t xml:space="preserve">Starší </w:t>
      </w:r>
      <w:r w:rsidR="00C329B0">
        <w:rPr>
          <w:i/>
          <w:iCs/>
          <w:lang w:val="sk-SK"/>
        </w:rPr>
        <w:t>pacienti</w:t>
      </w:r>
    </w:p>
    <w:p w14:paraId="7481679B" w14:textId="65DFF4F6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Neboli vykonané žiadne špecifické </w:t>
      </w:r>
      <w:proofErr w:type="spellStart"/>
      <w:r w:rsidRPr="00316F06">
        <w:rPr>
          <w:lang w:val="sk-SK"/>
        </w:rPr>
        <w:t>farmakokinetické</w:t>
      </w:r>
      <w:proofErr w:type="spellEnd"/>
      <w:r w:rsidRPr="00316F06">
        <w:rPr>
          <w:lang w:val="sk-SK"/>
        </w:rPr>
        <w:t xml:space="preserve"> </w:t>
      </w:r>
      <w:r w:rsidR="00F57CFE">
        <w:rPr>
          <w:lang w:val="sk-SK"/>
        </w:rPr>
        <w:t>štúdie</w:t>
      </w:r>
      <w:r w:rsidRPr="00316F06">
        <w:rPr>
          <w:lang w:val="sk-SK"/>
        </w:rPr>
        <w:t xml:space="preserve"> u starších pacientov. </w:t>
      </w:r>
      <w:r w:rsidRPr="00316F06">
        <w:rPr>
          <w:rFonts w:cs="Times New Roman"/>
          <w:lang w:val="sk-SK"/>
        </w:rPr>
        <w:t>Napriek tomu sa v tejto skupine pacientov musí dávka nastavovať opatrne s ohľadom na častejší výskyt z</w:t>
      </w:r>
      <w:r w:rsidRPr="00316F06">
        <w:rPr>
          <w:lang w:val="sk-SK"/>
        </w:rPr>
        <w:t xml:space="preserve">nížených biologických funkcií. </w:t>
      </w:r>
      <w:r w:rsidRPr="00316F06">
        <w:rPr>
          <w:rFonts w:cs="Times New Roman"/>
          <w:lang w:val="sk-SK"/>
        </w:rPr>
        <w:t>Túto skupinu pacientov treba sledovať intenzívnejšie (pozri časť 4.4).</w:t>
      </w:r>
    </w:p>
    <w:p w14:paraId="2370A7B0" w14:textId="77777777" w:rsidR="00913218" w:rsidRPr="00316F06" w:rsidRDefault="00913218">
      <w:pPr>
        <w:rPr>
          <w:lang w:val="sk-SK"/>
        </w:rPr>
      </w:pPr>
    </w:p>
    <w:p w14:paraId="33DDC083" w14:textId="77777777" w:rsidR="00913218" w:rsidRPr="00316F06" w:rsidRDefault="00913218" w:rsidP="001440DC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4.3</w:t>
      </w:r>
      <w:r w:rsidRPr="00316F06">
        <w:rPr>
          <w:b/>
          <w:bCs/>
          <w:lang w:val="sk-SK"/>
        </w:rPr>
        <w:tab/>
        <w:t>Kontraindikácie</w:t>
      </w:r>
    </w:p>
    <w:p w14:paraId="5D2F368F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774CE509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Chronické zápalové črevné choroby a/alebo obštrukcie čreva (pozri časť 4.4).</w:t>
      </w:r>
    </w:p>
    <w:p w14:paraId="5BFB8959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5BD0F791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 xml:space="preserve">Závažná </w:t>
      </w:r>
      <w:r w:rsidRPr="00316F06">
        <w:rPr>
          <w:rFonts w:cs="Times New Roman"/>
          <w:lang w:val="sk-SK"/>
        </w:rPr>
        <w:t xml:space="preserve">precitlivenosť </w:t>
      </w:r>
      <w:r w:rsidRPr="00316F06">
        <w:rPr>
          <w:lang w:val="sk-SK"/>
        </w:rPr>
        <w:t xml:space="preserve">na </w:t>
      </w:r>
      <w:r w:rsidRPr="00316F06">
        <w:rPr>
          <w:bCs/>
          <w:noProof/>
          <w:lang w:val="sk-SK"/>
        </w:rPr>
        <w:t>trihydrát irinotekániumchlorid</w:t>
      </w:r>
      <w:r w:rsidRPr="00316F06" w:rsidDel="008C0873">
        <w:rPr>
          <w:lang w:val="sk-SK"/>
        </w:rPr>
        <w:t xml:space="preserve"> </w:t>
      </w:r>
      <w:r w:rsidRPr="00316F06">
        <w:rPr>
          <w:lang w:val="sk-SK"/>
        </w:rPr>
        <w:t>alebo na ktorú</w:t>
      </w:r>
      <w:r w:rsidRPr="00316F06">
        <w:rPr>
          <w:rFonts w:cs="Times New Roman"/>
          <w:lang w:val="sk-SK"/>
        </w:rPr>
        <w:t xml:space="preserve">koľvek </w:t>
      </w:r>
      <w:r w:rsidRPr="00316F06">
        <w:rPr>
          <w:lang w:val="sk-SK"/>
        </w:rPr>
        <w:t xml:space="preserve">z pomocných látok </w:t>
      </w: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v anamnéze.</w:t>
      </w:r>
    </w:p>
    <w:p w14:paraId="7AB66684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4287C4EC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Laktácia (pozri časti 4.4 a 4.6).</w:t>
      </w:r>
    </w:p>
    <w:p w14:paraId="6D9A6C05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582EF74C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 xml:space="preserve">Bilirubín &gt; 3-násobok hornej hranice normy </w:t>
      </w:r>
      <w:r w:rsidRPr="00316F06">
        <w:rPr>
          <w:rFonts w:cs="Times New Roman"/>
          <w:lang w:val="sk-SK"/>
        </w:rPr>
        <w:t>(pozri časť 4.4).</w:t>
      </w:r>
    </w:p>
    <w:p w14:paraId="1CD205A3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402F0EB0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>Silné zlyhanie kostnej drene.</w:t>
      </w:r>
    </w:p>
    <w:p w14:paraId="685352EC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5FA11188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>Výkonnostný stav WHO &gt; 2.</w:t>
      </w:r>
    </w:p>
    <w:p w14:paraId="412A7A87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15AB6B02" w14:textId="77777777" w:rsidR="00913218" w:rsidRPr="00316F06" w:rsidRDefault="00913218" w:rsidP="001440DC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 xml:space="preserve">Súčasné používanie s ľubovníkom </w:t>
      </w:r>
      <w:r w:rsidRPr="00316F06">
        <w:rPr>
          <w:noProof/>
          <w:lang w:val="sk-SK"/>
        </w:rPr>
        <w:t xml:space="preserve">bodkovaným </w:t>
      </w:r>
      <w:r w:rsidRPr="00316F06">
        <w:rPr>
          <w:rFonts w:cs="Times New Roman"/>
          <w:lang w:val="sk-SK"/>
        </w:rPr>
        <w:t>(pozri časť 4.5).</w:t>
      </w:r>
    </w:p>
    <w:p w14:paraId="6C34D6A8" w14:textId="77777777" w:rsidR="00913218" w:rsidRPr="00316F06" w:rsidRDefault="00913218" w:rsidP="001440DC">
      <w:pPr>
        <w:keepNext/>
        <w:keepLines/>
        <w:rPr>
          <w:lang w:val="sk-SK"/>
        </w:rPr>
      </w:pPr>
    </w:p>
    <w:p w14:paraId="421BEE4E" w14:textId="77777777" w:rsidR="00913218" w:rsidRPr="00316F06" w:rsidRDefault="00913218" w:rsidP="001440DC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Ďalšie kontraindikácie </w:t>
      </w:r>
      <w:proofErr w:type="spellStart"/>
      <w:r w:rsidRPr="00316F06">
        <w:rPr>
          <w:rFonts w:cs="Times New Roman"/>
          <w:lang w:val="sk-SK"/>
        </w:rPr>
        <w:t>cetuximabu</w:t>
      </w:r>
      <w:proofErr w:type="spellEnd"/>
      <w:r w:rsidRPr="00316F06">
        <w:rPr>
          <w:rFonts w:cs="Times New Roman"/>
          <w:lang w:val="sk-SK"/>
        </w:rPr>
        <w:t xml:space="preserve"> alebo </w:t>
      </w:r>
      <w:proofErr w:type="spellStart"/>
      <w:r w:rsidRPr="00316F06">
        <w:rPr>
          <w:rFonts w:cs="Times New Roman"/>
          <w:lang w:val="sk-SK"/>
        </w:rPr>
        <w:t>bevacizumabu</w:t>
      </w:r>
      <w:proofErr w:type="spellEnd"/>
      <w:r w:rsidRPr="00316F06">
        <w:rPr>
          <w:rFonts w:cs="Times New Roman"/>
          <w:lang w:val="sk-SK"/>
        </w:rPr>
        <w:t xml:space="preserve"> sú uvedené v súhrne charakteristických vlastností týchto liekov.</w:t>
      </w:r>
    </w:p>
    <w:p w14:paraId="4492092B" w14:textId="77777777" w:rsidR="00913218" w:rsidRPr="00316F06" w:rsidRDefault="00913218">
      <w:pPr>
        <w:rPr>
          <w:lang w:val="sk-SK"/>
        </w:rPr>
      </w:pPr>
    </w:p>
    <w:p w14:paraId="31768080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lastRenderedPageBreak/>
        <w:t>4.4</w:t>
      </w:r>
      <w:r w:rsidRPr="00316F06">
        <w:rPr>
          <w:b/>
          <w:bCs/>
          <w:lang w:val="sk-SK"/>
        </w:rPr>
        <w:tab/>
        <w:t>Osobitné upozornenia a opatrenia pri používaní</w:t>
      </w:r>
    </w:p>
    <w:p w14:paraId="2A2C8C16" w14:textId="77777777" w:rsidR="00913218" w:rsidRPr="00316F06" w:rsidRDefault="00913218">
      <w:pPr>
        <w:keepNext/>
        <w:widowControl w:val="0"/>
        <w:rPr>
          <w:lang w:val="sk-SK"/>
        </w:rPr>
      </w:pPr>
    </w:p>
    <w:p w14:paraId="0A06FCD1" w14:textId="5BC57D86" w:rsidR="00913218" w:rsidRPr="00316F06" w:rsidRDefault="00913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lang w:val="sk-SK"/>
        </w:rPr>
      </w:pPr>
      <w:r w:rsidRPr="00316F06">
        <w:rPr>
          <w:lang w:val="sk-SK"/>
        </w:rPr>
        <w:t xml:space="preserve">Použitie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sa má o</w:t>
      </w:r>
      <w:r w:rsidRPr="00316F06">
        <w:rPr>
          <w:rFonts w:cs="Times New Roman"/>
          <w:lang w:val="sk-SK"/>
        </w:rPr>
        <w:t xml:space="preserve">bmedziť len na oddelenia špecializované na podávanie </w:t>
      </w:r>
      <w:proofErr w:type="spellStart"/>
      <w:r w:rsidRPr="00316F06">
        <w:rPr>
          <w:rFonts w:cs="Times New Roman"/>
          <w:lang w:val="sk-SK"/>
        </w:rPr>
        <w:t>cytotoxickej</w:t>
      </w:r>
      <w:proofErr w:type="spellEnd"/>
      <w:r w:rsidRPr="00316F06">
        <w:rPr>
          <w:rFonts w:cs="Times New Roman"/>
          <w:lang w:val="sk-SK"/>
        </w:rPr>
        <w:t xml:space="preserve"> chemoterapie a má sa podávať len pod dohľadom lekára kvalifikovaného na podávanie </w:t>
      </w:r>
      <w:proofErr w:type="spellStart"/>
      <w:r w:rsidRPr="00316F06">
        <w:rPr>
          <w:rFonts w:cs="Times New Roman"/>
          <w:lang w:val="sk-SK"/>
        </w:rPr>
        <w:t>protinádorovej</w:t>
      </w:r>
      <w:proofErr w:type="spellEnd"/>
      <w:r w:rsidRPr="00316F06">
        <w:rPr>
          <w:rFonts w:cs="Times New Roman"/>
          <w:lang w:val="sk-SK"/>
        </w:rPr>
        <w:t xml:space="preserve"> chemoterapie.</w:t>
      </w:r>
    </w:p>
    <w:p w14:paraId="491D82B7" w14:textId="77777777" w:rsidR="00913218" w:rsidRPr="00316F06" w:rsidRDefault="00913218">
      <w:pPr>
        <w:rPr>
          <w:lang w:val="sk-SK"/>
        </w:rPr>
      </w:pPr>
    </w:p>
    <w:p w14:paraId="0C2C8771" w14:textId="426D56B2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S ohľadom na charakter a výskyt nežiaducich účinkov sa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bude predpisovať len v nasledujúcich prípadoch po zvážení očakávaných prínosov vzhľadom na možné terapeutické riziká:</w:t>
      </w:r>
    </w:p>
    <w:p w14:paraId="2354AF2D" w14:textId="77777777" w:rsidR="00913218" w:rsidRPr="00316F06" w:rsidRDefault="00913218">
      <w:pPr>
        <w:rPr>
          <w:lang w:val="sk-SK"/>
        </w:rPr>
      </w:pPr>
    </w:p>
    <w:p w14:paraId="02D122E0" w14:textId="77777777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U pacientov, u ktorých je prítomný rizikový faktor, najmä u pacientov s výkonnostným stavom = 2 podľa klasifikácie WHO.</w:t>
      </w:r>
    </w:p>
    <w:p w14:paraId="2C339077" w14:textId="77777777" w:rsidR="00913218" w:rsidRPr="00316F06" w:rsidRDefault="00913218">
      <w:pPr>
        <w:rPr>
          <w:lang w:val="sk-SK"/>
        </w:rPr>
      </w:pPr>
    </w:p>
    <w:p w14:paraId="5139FBB3" w14:textId="77777777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 xml:space="preserve">V niekoľkých zriedkavých prípadoch, keď možno predpokladať, že pacient nebude schopný dodržiavať odporúčania týkajúce sa zvládnutia nežiaducich účinkov (potreba okamžitej a dlhodobej </w:t>
      </w:r>
      <w:proofErr w:type="spellStart"/>
      <w:r w:rsidRPr="00316F06">
        <w:rPr>
          <w:rFonts w:cs="Times New Roman"/>
          <w:lang w:val="sk-SK"/>
        </w:rPr>
        <w:t>protihnačkovej</w:t>
      </w:r>
      <w:proofErr w:type="spellEnd"/>
      <w:r w:rsidRPr="00316F06">
        <w:rPr>
          <w:rFonts w:cs="Times New Roman"/>
          <w:lang w:val="sk-SK"/>
        </w:rPr>
        <w:t xml:space="preserve"> liečby kombinovaná s vysokým príjmom tekutín pri nástupe neskorej hnačky).</w:t>
      </w:r>
      <w:r w:rsidRPr="00316F06">
        <w:rPr>
          <w:lang w:val="sk-SK"/>
        </w:rPr>
        <w:t xml:space="preserve"> U týc</w:t>
      </w:r>
      <w:r w:rsidRPr="00316F06">
        <w:rPr>
          <w:rFonts w:cs="Times New Roman"/>
          <w:lang w:val="sk-SK"/>
        </w:rPr>
        <w:t>hto pacientov sa odporúča prísny nemocničný dohľad.</w:t>
      </w:r>
    </w:p>
    <w:p w14:paraId="3879E409" w14:textId="77777777" w:rsidR="00913218" w:rsidRPr="00316F06" w:rsidRDefault="00913218">
      <w:pPr>
        <w:rPr>
          <w:lang w:val="sk-SK"/>
        </w:rPr>
      </w:pPr>
    </w:p>
    <w:p w14:paraId="372DF73A" w14:textId="77A3BC68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Ak sa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používa v </w:t>
      </w:r>
      <w:proofErr w:type="spellStart"/>
      <w:r w:rsidRPr="00316F06">
        <w:rPr>
          <w:rFonts w:cs="Times New Roman"/>
          <w:lang w:val="sk-SK"/>
        </w:rPr>
        <w:t>monoterapii</w:t>
      </w:r>
      <w:proofErr w:type="spellEnd"/>
      <w:r w:rsidRPr="00316F06">
        <w:rPr>
          <w:rFonts w:cs="Times New Roman"/>
          <w:lang w:val="sk-SK"/>
        </w:rPr>
        <w:t xml:space="preserve">, zvyčajne sa predpisuje v </w:t>
      </w:r>
      <w:r w:rsidRPr="00316F06">
        <w:rPr>
          <w:lang w:val="sk-SK"/>
        </w:rPr>
        <w:t xml:space="preserve">dávkovacom režime každé 3 týždne. </w:t>
      </w:r>
      <w:r w:rsidRPr="00316F06">
        <w:rPr>
          <w:rFonts w:cs="Times New Roman"/>
          <w:lang w:val="sk-SK"/>
        </w:rPr>
        <w:t xml:space="preserve">U pacientov, u ktorých môže byť potrebné prísnejšie sledovanie alebo u pacientov s mimoriadnym rizikom závažnej </w:t>
      </w:r>
      <w:proofErr w:type="spellStart"/>
      <w:r w:rsidRPr="00316F06">
        <w:rPr>
          <w:rFonts w:cs="Times New Roman"/>
          <w:lang w:val="sk-SK"/>
        </w:rPr>
        <w:t>neutropénie</w:t>
      </w:r>
      <w:proofErr w:type="spellEnd"/>
      <w:r w:rsidRPr="00316F06">
        <w:rPr>
          <w:rFonts w:cs="Times New Roman"/>
          <w:lang w:val="sk-SK"/>
        </w:rPr>
        <w:t xml:space="preserve"> sa však môže zvážiť týždňový dávkovací režim (pozri časť 5.1).</w:t>
      </w:r>
    </w:p>
    <w:p w14:paraId="79722A42" w14:textId="77777777" w:rsidR="00913218" w:rsidRPr="00316F06" w:rsidRDefault="00913218">
      <w:pPr>
        <w:rPr>
          <w:lang w:val="sk-SK"/>
        </w:rPr>
      </w:pPr>
    </w:p>
    <w:p w14:paraId="2BCC1D0A" w14:textId="77777777" w:rsidR="00913218" w:rsidRPr="00316F06" w:rsidRDefault="00913218">
      <w:pPr>
        <w:keepNext/>
        <w:keepLines/>
        <w:rPr>
          <w:u w:val="single"/>
          <w:lang w:val="sk-SK"/>
        </w:rPr>
      </w:pPr>
      <w:r w:rsidRPr="00316F06">
        <w:rPr>
          <w:rFonts w:cs="Times New Roman"/>
          <w:u w:val="single"/>
          <w:lang w:val="sk-SK"/>
        </w:rPr>
        <w:t>Neskorá hnačka</w:t>
      </w:r>
    </w:p>
    <w:p w14:paraId="5082D43C" w14:textId="77777777" w:rsidR="00913218" w:rsidRPr="00316F06" w:rsidRDefault="00913218">
      <w:pPr>
        <w:keepNext/>
        <w:keepLines/>
        <w:rPr>
          <w:lang w:val="sk-SK"/>
        </w:rPr>
      </w:pPr>
    </w:p>
    <w:p w14:paraId="4614E633" w14:textId="3C060439" w:rsidR="00913218" w:rsidRPr="00316F06" w:rsidRDefault="00913218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Pacientov treba upozorniť na riziko neskorej hnačky, ku ktorej dochádza viac ako 24 hodín po podaní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</w:t>
      </w:r>
      <w:r w:rsidRPr="00316F06">
        <w:rPr>
          <w:rFonts w:cs="Times New Roman"/>
          <w:lang w:val="sk-SK"/>
        </w:rPr>
        <w:t>u</w:t>
      </w:r>
      <w:proofErr w:type="spellEnd"/>
      <w:r w:rsidRPr="00316F06">
        <w:rPr>
          <w:rFonts w:cs="Times New Roman"/>
          <w:lang w:val="sk-SK"/>
        </w:rPr>
        <w:t xml:space="preserve"> a kedykoľvek pred ďalším cyklom.</w:t>
      </w:r>
      <w:r w:rsidRPr="00316F06">
        <w:rPr>
          <w:lang w:val="sk-SK"/>
        </w:rPr>
        <w:t xml:space="preserve"> V </w:t>
      </w:r>
      <w:proofErr w:type="spellStart"/>
      <w:r w:rsidRPr="00316F06">
        <w:rPr>
          <w:lang w:val="sk-SK"/>
        </w:rPr>
        <w:t>monoterapii</w:t>
      </w:r>
      <w:proofErr w:type="spellEnd"/>
      <w:r w:rsidRPr="00316F06">
        <w:rPr>
          <w:lang w:val="sk-SK"/>
        </w:rPr>
        <w:t xml:space="preserve"> bola priemerná doba nástupu prvej </w:t>
      </w:r>
      <w:r w:rsidRPr="00316F06">
        <w:rPr>
          <w:rFonts w:cs="Times New Roman"/>
          <w:lang w:val="sk-SK"/>
        </w:rPr>
        <w:t xml:space="preserve">hnačkovitej stolice na 5. deň po infúzii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. </w:t>
      </w:r>
      <w:r w:rsidRPr="00316F06">
        <w:rPr>
          <w:rFonts w:cs="Times New Roman"/>
          <w:lang w:val="sk-SK"/>
        </w:rPr>
        <w:t>Pacienti majú bezodkladne informovať svojho lekára o jej výskyte a okamžite pristúpiť k vhodnej terapii.</w:t>
      </w:r>
    </w:p>
    <w:p w14:paraId="2AD01BA7" w14:textId="77777777" w:rsidR="00913218" w:rsidRPr="00316F06" w:rsidRDefault="00913218">
      <w:pPr>
        <w:rPr>
          <w:lang w:val="sk-SK"/>
        </w:rPr>
      </w:pPr>
    </w:p>
    <w:p w14:paraId="0CC1A971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Zvýšené riziko hnačky hrozí pacientom, ktorí už v minulosti podstúpili rádioterapiu brucha/panvy, pacienti s </w:t>
      </w:r>
      <w:proofErr w:type="spellStart"/>
      <w:r w:rsidRPr="00316F06">
        <w:rPr>
          <w:rFonts w:cs="Times New Roman"/>
          <w:lang w:val="sk-SK"/>
        </w:rPr>
        <w:t>hyperleukocytózou</w:t>
      </w:r>
      <w:proofErr w:type="spellEnd"/>
      <w:r w:rsidRPr="00316F06">
        <w:rPr>
          <w:rFonts w:cs="Times New Roman"/>
          <w:lang w:val="sk-SK"/>
        </w:rPr>
        <w:t xml:space="preserve"> už na začiatku liečby, pacienti s výkonnostným stavom </w:t>
      </w:r>
      <w:r w:rsidRPr="00316F06">
        <w:rPr>
          <w:lang w:val="sk-SK"/>
        </w:rPr>
        <w:t xml:space="preserve">≥ 2 a ženy. </w:t>
      </w:r>
      <w:r w:rsidRPr="00316F06">
        <w:rPr>
          <w:rFonts w:cs="Times New Roman"/>
          <w:lang w:val="sk-SK"/>
        </w:rPr>
        <w:t xml:space="preserve">Ak hnačka nie je správne liečená, môže ohroziť život, zvlášť v prípade </w:t>
      </w:r>
      <w:r w:rsidRPr="00316F06">
        <w:rPr>
          <w:lang w:val="sk-SK"/>
        </w:rPr>
        <w:t>pacientov</w:t>
      </w:r>
      <w:r w:rsidRPr="00316F06">
        <w:rPr>
          <w:rFonts w:cs="Times New Roman"/>
          <w:lang w:val="sk-SK"/>
        </w:rPr>
        <w:t xml:space="preserve"> trpiacich súčasne aj </w:t>
      </w:r>
      <w:proofErr w:type="spellStart"/>
      <w:r w:rsidRPr="00316F06">
        <w:rPr>
          <w:rFonts w:cs="Times New Roman"/>
          <w:lang w:val="sk-SK"/>
        </w:rPr>
        <w:t>neutropéniou</w:t>
      </w:r>
      <w:proofErr w:type="spellEnd"/>
      <w:r w:rsidRPr="00316F06">
        <w:rPr>
          <w:rFonts w:cs="Times New Roman"/>
          <w:lang w:val="sk-SK"/>
        </w:rPr>
        <w:t>.</w:t>
      </w:r>
    </w:p>
    <w:p w14:paraId="7C8E0A5F" w14:textId="77777777" w:rsidR="00913218" w:rsidRPr="00316F06" w:rsidRDefault="00913218">
      <w:pPr>
        <w:rPr>
          <w:lang w:val="sk-SK"/>
        </w:rPr>
      </w:pPr>
    </w:p>
    <w:p w14:paraId="7030D2CC" w14:textId="60BDF829" w:rsidR="00913218" w:rsidRPr="00316F06" w:rsidRDefault="00913218">
      <w:pPr>
        <w:rPr>
          <w:lang w:val="sk-SK"/>
        </w:rPr>
      </w:pPr>
      <w:r w:rsidRPr="00316F06">
        <w:rPr>
          <w:lang w:val="sk-SK"/>
        </w:rPr>
        <w:t>Ihne</w:t>
      </w:r>
      <w:r w:rsidRPr="00316F06">
        <w:rPr>
          <w:rFonts w:cs="Times New Roman"/>
          <w:lang w:val="sk-SK"/>
        </w:rPr>
        <w:t>ď potom, ako sa objaví prvá hnačkovitá stolica, pacient musí začať prijímať veľké množstvá tekutín obsahujúcich elektrolyty a musí sa ihneď nasadiť dostatočná liečba proti hnačke.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Túto </w:t>
      </w:r>
      <w:proofErr w:type="spellStart"/>
      <w:r w:rsidRPr="00316F06">
        <w:rPr>
          <w:rFonts w:cs="Times New Roman"/>
          <w:lang w:val="sk-SK"/>
        </w:rPr>
        <w:t>protihnačkovú</w:t>
      </w:r>
      <w:proofErr w:type="spellEnd"/>
      <w:r w:rsidRPr="00316F06">
        <w:rPr>
          <w:rFonts w:cs="Times New Roman"/>
          <w:lang w:val="sk-SK"/>
        </w:rPr>
        <w:t xml:space="preserve"> liečbu predpisuje oddelenie, na ktorom bol podaný </w:t>
      </w:r>
      <w:proofErr w:type="spellStart"/>
      <w:r w:rsidRPr="00316F06">
        <w:rPr>
          <w:rFonts w:cs="Times New Roman"/>
          <w:lang w:val="sk-SK"/>
        </w:rPr>
        <w:t>irinote</w:t>
      </w:r>
      <w:r w:rsidRPr="00316F06">
        <w:rPr>
          <w:lang w:val="sk-SK"/>
        </w:rPr>
        <w:t>k</w:t>
      </w:r>
      <w:r w:rsidR="00A70203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. </w:t>
      </w:r>
      <w:r w:rsidRPr="00316F06">
        <w:rPr>
          <w:rFonts w:cs="Times New Roman"/>
          <w:lang w:val="sk-SK"/>
        </w:rPr>
        <w:t>Po prepustení z nemocnice musia pacienti dostať predpísané lieky, aby si mohli nasadiť liečbu ihneď, keď sa hnačka objaví.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Pacienti musia tiež informovať o výskyte hnačky svojho lekára alebo kliniku, kde dostali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>.</w:t>
      </w:r>
    </w:p>
    <w:p w14:paraId="1C13D8B8" w14:textId="77777777" w:rsidR="00913218" w:rsidRPr="00316F06" w:rsidRDefault="00913218">
      <w:pPr>
        <w:rPr>
          <w:lang w:val="sk-SK"/>
        </w:rPr>
      </w:pPr>
    </w:p>
    <w:p w14:paraId="406DC104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V súčasnosti odporúčaná liečba proti hnačke pozostáva z vysokej dávky </w:t>
      </w:r>
      <w:proofErr w:type="spellStart"/>
      <w:r w:rsidRPr="00316F06">
        <w:rPr>
          <w:rFonts w:cs="Times New Roman"/>
          <w:lang w:val="sk-SK"/>
        </w:rPr>
        <w:t>loperamidu</w:t>
      </w:r>
      <w:proofErr w:type="spellEnd"/>
      <w:r w:rsidRPr="00316F06">
        <w:rPr>
          <w:rFonts w:cs="Times New Roman"/>
          <w:lang w:val="sk-SK"/>
        </w:rPr>
        <w:t xml:space="preserve"> (4</w:t>
      </w:r>
      <w:r w:rsidRPr="00316F06">
        <w:rPr>
          <w:lang w:val="sk-SK"/>
        </w:rPr>
        <w:t> mg</w:t>
      </w:r>
      <w:r w:rsidRPr="00316F06">
        <w:rPr>
          <w:rFonts w:cs="Times New Roman"/>
          <w:lang w:val="sk-SK"/>
        </w:rPr>
        <w:t xml:space="preserve"> prvá dávka a ďalej 2</w:t>
      </w:r>
      <w:r w:rsidRPr="00316F06">
        <w:rPr>
          <w:lang w:val="sk-SK"/>
        </w:rPr>
        <w:t xml:space="preserve"> mg každé 2 hodiny). </w:t>
      </w:r>
      <w:r w:rsidRPr="00316F06">
        <w:rPr>
          <w:rFonts w:cs="Times New Roman"/>
          <w:lang w:val="sk-SK"/>
        </w:rPr>
        <w:t>Táto liečba má pokračovať 12 hodín po poslednej hnačkovitej stolici a nesmie sa meniť.</w:t>
      </w:r>
      <w:r w:rsidRPr="00316F06">
        <w:rPr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Loperamid</w:t>
      </w:r>
      <w:proofErr w:type="spellEnd"/>
      <w:r w:rsidRPr="00316F06">
        <w:rPr>
          <w:rFonts w:cs="Times New Roman"/>
          <w:lang w:val="sk-SK"/>
        </w:rPr>
        <w:t xml:space="preserve"> sa v žiadnom prípade nemá podávať v týchto dávkach dlhšie ako 48 hodín vzhľadom na riziko vzniku paralytického </w:t>
      </w:r>
      <w:proofErr w:type="spellStart"/>
      <w:r w:rsidRPr="00316F06">
        <w:rPr>
          <w:rFonts w:cs="Times New Roman"/>
          <w:lang w:val="sk-SK"/>
        </w:rPr>
        <w:t>ilea</w:t>
      </w:r>
      <w:proofErr w:type="spellEnd"/>
      <w:r w:rsidRPr="00316F06">
        <w:rPr>
          <w:rFonts w:cs="Times New Roman"/>
          <w:lang w:val="sk-SK"/>
        </w:rPr>
        <w:t>, ani kratšie ako 12 hodín.</w:t>
      </w:r>
    </w:p>
    <w:p w14:paraId="4D929CCE" w14:textId="77777777" w:rsidR="00913218" w:rsidRPr="00316F06" w:rsidRDefault="00913218">
      <w:pPr>
        <w:rPr>
          <w:lang w:val="sk-SK"/>
        </w:rPr>
      </w:pPr>
    </w:p>
    <w:p w14:paraId="0C966953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Ak je hnačka spojená so silnou </w:t>
      </w:r>
      <w:proofErr w:type="spellStart"/>
      <w:r w:rsidRPr="00316F06">
        <w:rPr>
          <w:rFonts w:cs="Times New Roman"/>
          <w:lang w:val="sk-SK"/>
        </w:rPr>
        <w:t>neutropéniou</w:t>
      </w:r>
      <w:proofErr w:type="spellEnd"/>
      <w:r w:rsidRPr="00316F06">
        <w:rPr>
          <w:rFonts w:cs="Times New Roman"/>
          <w:lang w:val="sk-SK"/>
        </w:rPr>
        <w:t xml:space="preserve"> (počet </w:t>
      </w:r>
      <w:proofErr w:type="spellStart"/>
      <w:r w:rsidRPr="00316F06">
        <w:rPr>
          <w:rFonts w:cs="Times New Roman"/>
          <w:lang w:val="sk-SK"/>
        </w:rPr>
        <w:t>neutrofilov</w:t>
      </w:r>
      <w:proofErr w:type="spellEnd"/>
      <w:r w:rsidRPr="00316F06">
        <w:rPr>
          <w:rFonts w:cs="Times New Roman"/>
          <w:lang w:val="sk-SK"/>
        </w:rPr>
        <w:t xml:space="preserve"> </w:t>
      </w:r>
      <w:r w:rsidRPr="00316F06">
        <w:rPr>
          <w:lang w:val="sk-SK"/>
        </w:rPr>
        <w:t>&lt; 500 buniek/mm³</w:t>
      </w:r>
      <w:r w:rsidRPr="00316F06">
        <w:rPr>
          <w:rFonts w:cs="Times New Roman"/>
          <w:lang w:val="sk-SK"/>
        </w:rPr>
        <w:t>), okrem liečby proti hnačke sa má podávať profylaktické širokospektrálne antibiotikum.</w:t>
      </w:r>
    </w:p>
    <w:p w14:paraId="01534A81" w14:textId="77777777" w:rsidR="00913218" w:rsidRPr="00316F06" w:rsidRDefault="00913218">
      <w:pPr>
        <w:rPr>
          <w:lang w:val="sk-SK"/>
        </w:rPr>
      </w:pPr>
    </w:p>
    <w:p w14:paraId="735DF6ED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Pri liečbe hnačky sa okrem liečby antibiotikami odporúča aj hospitalizácia v nasledujúcich prípadoch:</w:t>
      </w:r>
    </w:p>
    <w:p w14:paraId="76D6C78C" w14:textId="77777777" w:rsidR="00913218" w:rsidRPr="00316F06" w:rsidRDefault="00913218">
      <w:pPr>
        <w:rPr>
          <w:lang w:val="sk-SK"/>
        </w:rPr>
      </w:pPr>
    </w:p>
    <w:p w14:paraId="28B24F5B" w14:textId="77777777" w:rsidR="00913218" w:rsidRPr="00316F06" w:rsidRDefault="00913218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Hnačka spojená s horúčkou</w:t>
      </w:r>
    </w:p>
    <w:p w14:paraId="5B9B1586" w14:textId="77777777" w:rsidR="00913218" w:rsidRPr="00316F06" w:rsidRDefault="00913218">
      <w:pPr>
        <w:keepNext/>
        <w:keepLines/>
        <w:rPr>
          <w:lang w:val="sk-SK"/>
        </w:rPr>
      </w:pPr>
    </w:p>
    <w:p w14:paraId="679589BF" w14:textId="77777777" w:rsidR="00913218" w:rsidRPr="00316F06" w:rsidRDefault="00913218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 xml:space="preserve">Silná hnačka (vyžadujúca </w:t>
      </w:r>
      <w:proofErr w:type="spellStart"/>
      <w:r w:rsidRPr="00316F06">
        <w:rPr>
          <w:rFonts w:cs="Times New Roman"/>
          <w:lang w:val="sk-SK"/>
        </w:rPr>
        <w:t>vnútrožilovú</w:t>
      </w:r>
      <w:proofErr w:type="spellEnd"/>
      <w:r w:rsidRPr="00316F06">
        <w:rPr>
          <w:rFonts w:cs="Times New Roman"/>
          <w:lang w:val="sk-SK"/>
        </w:rPr>
        <w:t xml:space="preserve"> hydratáciu),</w:t>
      </w:r>
    </w:p>
    <w:p w14:paraId="6ED25CF2" w14:textId="77777777" w:rsidR="00913218" w:rsidRPr="00316F06" w:rsidRDefault="00913218">
      <w:pPr>
        <w:keepNext/>
        <w:keepLines/>
        <w:rPr>
          <w:lang w:val="sk-SK"/>
        </w:rPr>
      </w:pPr>
    </w:p>
    <w:p w14:paraId="174493B9" w14:textId="77777777" w:rsidR="00913218" w:rsidRPr="00316F06" w:rsidRDefault="00913218">
      <w:pPr>
        <w:keepNext/>
        <w:keepLines/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>Hnačka trvajúca dlhšie ako 48 hodín po nasadení liečby vysokými dáv</w:t>
      </w:r>
      <w:r w:rsidRPr="00316F06">
        <w:rPr>
          <w:lang w:val="sk-SK"/>
        </w:rPr>
        <w:t xml:space="preserve">kami </w:t>
      </w:r>
      <w:proofErr w:type="spellStart"/>
      <w:r w:rsidRPr="00316F06">
        <w:rPr>
          <w:lang w:val="sk-SK"/>
        </w:rPr>
        <w:t>loperamidu</w:t>
      </w:r>
      <w:proofErr w:type="spellEnd"/>
    </w:p>
    <w:p w14:paraId="3CE3D196" w14:textId="77777777" w:rsidR="00913218" w:rsidRPr="00316F06" w:rsidRDefault="00913218">
      <w:pPr>
        <w:rPr>
          <w:lang w:val="sk-SK"/>
        </w:rPr>
      </w:pPr>
    </w:p>
    <w:p w14:paraId="0AEC35DF" w14:textId="77777777" w:rsidR="00913218" w:rsidRPr="00316F06" w:rsidRDefault="00913218">
      <w:pPr>
        <w:rPr>
          <w:lang w:val="sk-SK"/>
        </w:rPr>
      </w:pPr>
      <w:proofErr w:type="spellStart"/>
      <w:r w:rsidRPr="00316F06">
        <w:rPr>
          <w:rFonts w:cs="Times New Roman"/>
          <w:lang w:val="sk-SK"/>
        </w:rPr>
        <w:lastRenderedPageBreak/>
        <w:t>Loperamid</w:t>
      </w:r>
      <w:proofErr w:type="spellEnd"/>
      <w:r w:rsidRPr="00316F06">
        <w:rPr>
          <w:rFonts w:cs="Times New Roman"/>
          <w:lang w:val="sk-SK"/>
        </w:rPr>
        <w:t xml:space="preserve"> sa nemá podávať profylakticky, a to ani pacientom, ktorí už trpeli neskorou hnačkou pri podávaní lieku v minulosti.</w:t>
      </w:r>
    </w:p>
    <w:p w14:paraId="22DB5F57" w14:textId="77777777" w:rsidR="00913218" w:rsidRPr="00316F06" w:rsidRDefault="00913218">
      <w:pPr>
        <w:rPr>
          <w:lang w:val="sk-SK"/>
        </w:rPr>
      </w:pPr>
    </w:p>
    <w:p w14:paraId="54E55057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U pacientov, ktorí už mali</w:t>
      </w:r>
      <w:r w:rsidRPr="00316F06">
        <w:rPr>
          <w:rFonts w:cs="Times New Roman"/>
          <w:lang w:val="sk-SK"/>
        </w:rPr>
        <w:t xml:space="preserve"> silnú hnačku</w:t>
      </w:r>
      <w:r w:rsidRPr="00316F06">
        <w:rPr>
          <w:lang w:val="sk-SK"/>
        </w:rPr>
        <w:t xml:space="preserve">, sa pri neskorších cykloch </w:t>
      </w:r>
      <w:r w:rsidRPr="00316F06">
        <w:rPr>
          <w:rFonts w:cs="Times New Roman"/>
          <w:lang w:val="sk-SK"/>
        </w:rPr>
        <w:t>odporúča znížená dávka (pozri časť 4.2).</w:t>
      </w:r>
    </w:p>
    <w:p w14:paraId="7C47FB3C" w14:textId="77777777" w:rsidR="00913218" w:rsidRPr="00316F06" w:rsidRDefault="00913218">
      <w:pPr>
        <w:rPr>
          <w:lang w:val="sk-SK"/>
        </w:rPr>
      </w:pPr>
    </w:p>
    <w:p w14:paraId="707E20A2" w14:textId="77777777" w:rsidR="00913218" w:rsidRPr="00316F06" w:rsidRDefault="00913218">
      <w:pPr>
        <w:keepNext/>
        <w:keepLines/>
        <w:rPr>
          <w:u w:val="single"/>
          <w:lang w:val="sk-SK"/>
        </w:rPr>
      </w:pPr>
      <w:r w:rsidRPr="00316F06">
        <w:rPr>
          <w:u w:val="single"/>
          <w:lang w:val="sk-SK"/>
        </w:rPr>
        <w:t>Hematológia</w:t>
      </w:r>
    </w:p>
    <w:p w14:paraId="31B6E003" w14:textId="77777777" w:rsidR="00913218" w:rsidRPr="00316F06" w:rsidRDefault="00913218">
      <w:pPr>
        <w:keepNext/>
        <w:keepLines/>
        <w:rPr>
          <w:lang w:val="sk-SK"/>
        </w:rPr>
      </w:pPr>
    </w:p>
    <w:p w14:paraId="4FBCA1FD" w14:textId="72E6274A" w:rsidR="00913218" w:rsidRPr="00316F06" w:rsidRDefault="00913218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Počas liečby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sa odporúča týždenné sledovanie úplného krvného obrazu.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Pacientov treba upozorniť na riziko </w:t>
      </w:r>
      <w:proofErr w:type="spellStart"/>
      <w:r w:rsidRPr="00316F06">
        <w:rPr>
          <w:rFonts w:cs="Times New Roman"/>
          <w:lang w:val="sk-SK"/>
        </w:rPr>
        <w:t>neutropénie</w:t>
      </w:r>
      <w:proofErr w:type="spellEnd"/>
      <w:r w:rsidRPr="00316F06">
        <w:rPr>
          <w:rFonts w:cs="Times New Roman"/>
          <w:lang w:val="sk-SK"/>
        </w:rPr>
        <w:t xml:space="preserve"> a na význam horúčky.</w:t>
      </w:r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Febrilnú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neutropéniu</w:t>
      </w:r>
      <w:proofErr w:type="spellEnd"/>
      <w:r w:rsidRPr="00316F06">
        <w:rPr>
          <w:lang w:val="sk-SK"/>
        </w:rPr>
        <w:t xml:space="preserve"> (teplota &gt; </w:t>
      </w:r>
      <w:r w:rsidRPr="00316F06">
        <w:rPr>
          <w:rFonts w:cs="Times New Roman"/>
          <w:lang w:val="sk-SK"/>
        </w:rPr>
        <w:t xml:space="preserve">38°C a počet </w:t>
      </w:r>
      <w:proofErr w:type="spellStart"/>
      <w:r w:rsidRPr="00316F06">
        <w:rPr>
          <w:rFonts w:cs="Times New Roman"/>
          <w:lang w:val="sk-SK"/>
        </w:rPr>
        <w:t>neutrofilov</w:t>
      </w:r>
      <w:proofErr w:type="spellEnd"/>
      <w:r w:rsidRPr="00316F06">
        <w:rPr>
          <w:rFonts w:cs="Times New Roman"/>
          <w:lang w:val="sk-SK"/>
        </w:rPr>
        <w:t xml:space="preserve"> </w:t>
      </w:r>
      <w:r w:rsidRPr="00316F06">
        <w:rPr>
          <w:lang w:val="sk-SK"/>
        </w:rPr>
        <w:t>≤ 1000 buniek/mm³</w:t>
      </w:r>
      <w:r w:rsidRPr="00316F06">
        <w:rPr>
          <w:rFonts w:cs="Times New Roman"/>
          <w:lang w:val="sk-SK"/>
        </w:rPr>
        <w:t>) treba liečiť</w:t>
      </w:r>
      <w:r w:rsidRPr="00316F06">
        <w:rPr>
          <w:lang w:val="sk-SK"/>
        </w:rPr>
        <w:t xml:space="preserve"> urgentne v nemocnici širokospektrálnymi intravenóznymi antibiotikami.</w:t>
      </w:r>
    </w:p>
    <w:p w14:paraId="129F4B04" w14:textId="77777777" w:rsidR="00913218" w:rsidRPr="00316F06" w:rsidRDefault="00913218">
      <w:pPr>
        <w:rPr>
          <w:lang w:val="sk-SK"/>
        </w:rPr>
      </w:pPr>
    </w:p>
    <w:p w14:paraId="040DA5B5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U pacientov, ktorí už mali vážne hematologické príznaky sa pri neskorších cykloch odporúča znížená dávka (pozri časť 4.2).</w:t>
      </w:r>
    </w:p>
    <w:p w14:paraId="1A9ACEA6" w14:textId="77777777" w:rsidR="00913218" w:rsidRPr="00316F06" w:rsidRDefault="00913218">
      <w:pPr>
        <w:rPr>
          <w:lang w:val="sk-SK"/>
        </w:rPr>
      </w:pPr>
    </w:p>
    <w:p w14:paraId="3FF66B21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Pacientom so silnou hnačkou hrozí zvýšené riziko infekcií a </w:t>
      </w:r>
      <w:r w:rsidRPr="00316F06">
        <w:rPr>
          <w:lang w:val="sk-SK"/>
        </w:rPr>
        <w:t xml:space="preserve">hematologickej toxicity. </w:t>
      </w:r>
      <w:r w:rsidRPr="00316F06">
        <w:rPr>
          <w:rFonts w:cs="Times New Roman"/>
          <w:lang w:val="sk-SK"/>
        </w:rPr>
        <w:t>U pacientov so silnou hnačkou sa musí monitorovať kompletný krvný obraz.</w:t>
      </w:r>
    </w:p>
    <w:p w14:paraId="6B78ACFF" w14:textId="77777777" w:rsidR="00913218" w:rsidRPr="00316F06" w:rsidRDefault="00913218">
      <w:pPr>
        <w:rPr>
          <w:lang w:val="sk-SK"/>
        </w:rPr>
      </w:pPr>
    </w:p>
    <w:p w14:paraId="0F91B4F1" w14:textId="77777777" w:rsidR="00913218" w:rsidRPr="00316F06" w:rsidRDefault="00F57CFE">
      <w:pPr>
        <w:keepNext/>
        <w:rPr>
          <w:u w:val="single"/>
          <w:lang w:val="sk-SK"/>
        </w:rPr>
      </w:pPr>
      <w:r>
        <w:rPr>
          <w:u w:val="single"/>
          <w:lang w:val="sk-SK"/>
        </w:rPr>
        <w:t>Porucha funkcie pečene</w:t>
      </w:r>
    </w:p>
    <w:p w14:paraId="63D7303B" w14:textId="77777777" w:rsidR="00913218" w:rsidRPr="00316F06" w:rsidRDefault="00913218">
      <w:pPr>
        <w:keepNext/>
        <w:rPr>
          <w:lang w:val="sk-SK"/>
        </w:rPr>
      </w:pPr>
    </w:p>
    <w:p w14:paraId="5162277E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Na začiatku i pred každým cyklom treba uskutočniť pečeňové funkčné testy.</w:t>
      </w:r>
    </w:p>
    <w:p w14:paraId="3D91E15E" w14:textId="7DF2EF9F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Týždenné monitorovanie úplného krvného obrazu treba uskutočňovať u pacientov s hodnotami bilirubínu pohybujúcimi sa v rozsahu od 1,5- do 3</w:t>
      </w:r>
      <w:r w:rsidRPr="00316F06">
        <w:rPr>
          <w:rFonts w:cs="Times New Roman"/>
          <w:lang w:val="sk-SK"/>
        </w:rPr>
        <w:noBreakHyphen/>
        <w:t xml:space="preserve">násobku </w:t>
      </w:r>
      <w:r w:rsidRPr="00316F06">
        <w:rPr>
          <w:lang w:val="sk-SK"/>
        </w:rPr>
        <w:t>hornej hranice normy</w:t>
      </w:r>
      <w:r w:rsidRPr="00316F06">
        <w:rPr>
          <w:rFonts w:cs="Times New Roman"/>
          <w:lang w:val="sk-SK"/>
        </w:rPr>
        <w:t xml:space="preserve">, s ohľadom na zníženie </w:t>
      </w:r>
      <w:proofErr w:type="spellStart"/>
      <w:r w:rsidRPr="00316F06">
        <w:rPr>
          <w:rFonts w:cs="Times New Roman"/>
          <w:lang w:val="sk-SK"/>
        </w:rPr>
        <w:t>klírensu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irinotek</w:t>
      </w:r>
      <w:r w:rsidR="00B6463D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(pozri časť 5.2) a z toho vyplývajúce riziko </w:t>
      </w:r>
      <w:proofErr w:type="spellStart"/>
      <w:r w:rsidRPr="00316F06">
        <w:rPr>
          <w:rFonts w:cs="Times New Roman"/>
          <w:lang w:val="sk-SK"/>
        </w:rPr>
        <w:t>hematotoxicity</w:t>
      </w:r>
      <w:proofErr w:type="spellEnd"/>
      <w:r w:rsidRPr="00316F06">
        <w:rPr>
          <w:rFonts w:cs="Times New Roman"/>
          <w:lang w:val="sk-SK"/>
        </w:rPr>
        <w:t xml:space="preserve"> v tejto skupine.</w:t>
      </w:r>
      <w:r w:rsidRPr="00316F06">
        <w:rPr>
          <w:lang w:val="sk-SK"/>
        </w:rPr>
        <w:t xml:space="preserve"> U pacientov s hodnotami bilirubínu &gt; 3</w:t>
      </w:r>
      <w:r w:rsidRPr="00316F06">
        <w:rPr>
          <w:lang w:val="sk-SK"/>
        </w:rPr>
        <w:noBreakHyphen/>
        <w:t>násobku hornej hranice normy </w:t>
      </w:r>
      <w:r w:rsidRPr="00316F06">
        <w:rPr>
          <w:rFonts w:cs="Times New Roman"/>
          <w:lang w:val="sk-SK"/>
        </w:rPr>
        <w:t>– pozri časť 4.3.</w:t>
      </w:r>
    </w:p>
    <w:p w14:paraId="207FAFC3" w14:textId="77777777" w:rsidR="00913218" w:rsidRPr="00316F06" w:rsidRDefault="00913218">
      <w:pPr>
        <w:rPr>
          <w:lang w:val="sk-SK"/>
        </w:rPr>
      </w:pPr>
    </w:p>
    <w:p w14:paraId="5D8692CC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Nauzea a vracanie</w:t>
      </w:r>
    </w:p>
    <w:p w14:paraId="0EBA767A" w14:textId="77777777" w:rsidR="00913218" w:rsidRPr="00316F06" w:rsidRDefault="00913218">
      <w:pPr>
        <w:keepNext/>
        <w:rPr>
          <w:lang w:val="sk-SK"/>
        </w:rPr>
      </w:pPr>
    </w:p>
    <w:p w14:paraId="225FDC0C" w14:textId="6BDF9BDF" w:rsidR="00913218" w:rsidRPr="00316F06" w:rsidRDefault="00913218">
      <w:pPr>
        <w:rPr>
          <w:lang w:val="sk-SK"/>
        </w:rPr>
      </w:pPr>
      <w:r w:rsidRPr="00316F06">
        <w:rPr>
          <w:lang w:val="sk-SK"/>
        </w:rPr>
        <w:t>Pred každým podávaní</w:t>
      </w:r>
      <w:r w:rsidRPr="00316F06">
        <w:rPr>
          <w:rFonts w:cs="Times New Roman"/>
          <w:lang w:val="sk-SK"/>
        </w:rPr>
        <w:t xml:space="preserve">m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sa odporúča profylaktická liečba </w:t>
      </w:r>
      <w:proofErr w:type="spellStart"/>
      <w:r w:rsidRPr="00316F06">
        <w:rPr>
          <w:rFonts w:cs="Times New Roman"/>
          <w:lang w:val="sk-SK"/>
        </w:rPr>
        <w:t>antiemetikom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Nauzea a vracanie sú časté.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Pacienti, ktorí vracajú v súvislosti s neskorou hnačkou, majú byť hospitalizovaní čo najskôr, aby mohli byť liečení.</w:t>
      </w:r>
    </w:p>
    <w:p w14:paraId="528974E7" w14:textId="77777777" w:rsidR="00913218" w:rsidRPr="00316F06" w:rsidRDefault="00913218">
      <w:pPr>
        <w:rPr>
          <w:lang w:val="sk-SK"/>
        </w:rPr>
      </w:pPr>
    </w:p>
    <w:p w14:paraId="7E5692C3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 xml:space="preserve">Akútny </w:t>
      </w:r>
      <w:proofErr w:type="spellStart"/>
      <w:r w:rsidRPr="00316F06">
        <w:rPr>
          <w:u w:val="single"/>
          <w:lang w:val="sk-SK"/>
        </w:rPr>
        <w:t>cholinergný</w:t>
      </w:r>
      <w:proofErr w:type="spellEnd"/>
      <w:r w:rsidRPr="00316F06">
        <w:rPr>
          <w:u w:val="single"/>
          <w:lang w:val="sk-SK"/>
        </w:rPr>
        <w:t xml:space="preserve"> syndróm</w:t>
      </w:r>
    </w:p>
    <w:p w14:paraId="5A4942AB" w14:textId="77777777" w:rsidR="00913218" w:rsidRPr="00316F06" w:rsidRDefault="00913218">
      <w:pPr>
        <w:keepNext/>
        <w:rPr>
          <w:lang w:val="sk-SK"/>
        </w:rPr>
      </w:pPr>
    </w:p>
    <w:p w14:paraId="478F6F50" w14:textId="4B49A7EF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Pri výskyte akútneho </w:t>
      </w:r>
      <w:proofErr w:type="spellStart"/>
      <w:r w:rsidRPr="00316F06">
        <w:rPr>
          <w:rFonts w:cs="Times New Roman"/>
          <w:lang w:val="sk-SK"/>
        </w:rPr>
        <w:t>cholinergného</w:t>
      </w:r>
      <w:proofErr w:type="spellEnd"/>
      <w:r w:rsidRPr="00316F06">
        <w:rPr>
          <w:rFonts w:cs="Times New Roman"/>
          <w:lang w:val="sk-SK"/>
        </w:rPr>
        <w:t xml:space="preserve"> syndrómu (definovaný ako skorá hnačka a rôzne ďalšie </w:t>
      </w:r>
      <w:r w:rsidRPr="00316F06">
        <w:rPr>
          <w:lang w:val="sk-SK"/>
        </w:rPr>
        <w:t>znaky a </w:t>
      </w:r>
      <w:r w:rsidRPr="00316F06">
        <w:rPr>
          <w:rFonts w:cs="Times New Roman"/>
          <w:lang w:val="sk-SK"/>
        </w:rPr>
        <w:t xml:space="preserve">príznaky ako potenie, kŕče v bruchu, </w:t>
      </w:r>
      <w:proofErr w:type="spellStart"/>
      <w:r w:rsidRPr="00316F06">
        <w:rPr>
          <w:rFonts w:cs="Times New Roman"/>
          <w:lang w:val="sk-SK"/>
        </w:rPr>
        <w:t>m</w:t>
      </w:r>
      <w:r w:rsidR="00F57CFE">
        <w:rPr>
          <w:rFonts w:cs="Times New Roman"/>
          <w:lang w:val="sk-SK"/>
        </w:rPr>
        <w:t>i</w:t>
      </w:r>
      <w:r w:rsidRPr="00316F06">
        <w:rPr>
          <w:rFonts w:cs="Times New Roman"/>
          <w:lang w:val="sk-SK"/>
        </w:rPr>
        <w:t>óza</w:t>
      </w:r>
      <w:proofErr w:type="spellEnd"/>
      <w:r w:rsidRPr="00316F06">
        <w:rPr>
          <w:rFonts w:cs="Times New Roman"/>
          <w:lang w:val="sk-SK"/>
        </w:rPr>
        <w:t xml:space="preserve"> a nadmerné slinenie) sa má podať atropín sulfát (0,25</w:t>
      </w:r>
      <w:r w:rsidRPr="00316F06">
        <w:rPr>
          <w:lang w:val="sk-SK"/>
        </w:rPr>
        <w:t> mg</w:t>
      </w:r>
      <w:r w:rsidRPr="00316F06">
        <w:rPr>
          <w:rFonts w:cs="Times New Roman"/>
          <w:lang w:val="sk-SK"/>
        </w:rPr>
        <w:t xml:space="preserve"> podkožne), pokiaľ nie je z klinického hľadiska kontraindikovaný (pozri časť 4.8)</w:t>
      </w:r>
      <w:r w:rsidRPr="00316F06">
        <w:rPr>
          <w:lang w:val="sk-SK"/>
        </w:rPr>
        <w:t xml:space="preserve">. </w:t>
      </w:r>
      <w:r w:rsidRPr="00316F06">
        <w:rPr>
          <w:rFonts w:cs="Times New Roman"/>
          <w:lang w:val="sk-SK"/>
        </w:rPr>
        <w:t>Zvýšená opatrnosť je potrebná u pacientov s astmou.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U pacientov trpiacich akútnym a závažným </w:t>
      </w:r>
      <w:proofErr w:type="spellStart"/>
      <w:r w:rsidRPr="00316F06">
        <w:rPr>
          <w:rFonts w:cs="Times New Roman"/>
          <w:lang w:val="sk-SK"/>
        </w:rPr>
        <w:t>cholinergným</w:t>
      </w:r>
      <w:proofErr w:type="spellEnd"/>
      <w:r w:rsidRPr="00316F06">
        <w:rPr>
          <w:rFonts w:cs="Times New Roman"/>
          <w:lang w:val="sk-SK"/>
        </w:rPr>
        <w:t xml:space="preserve"> syndrómom sa odporúča pri následných dávkach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profylakticky podávať atropín sulfát.</w:t>
      </w:r>
    </w:p>
    <w:p w14:paraId="64AE3E0E" w14:textId="77777777" w:rsidR="00913218" w:rsidRPr="00316F06" w:rsidRDefault="00913218">
      <w:pPr>
        <w:rPr>
          <w:lang w:val="sk-SK"/>
        </w:rPr>
      </w:pPr>
    </w:p>
    <w:p w14:paraId="0B8F91CE" w14:textId="77777777" w:rsidR="00913218" w:rsidRPr="00316F06" w:rsidRDefault="00C329B0">
      <w:pPr>
        <w:keepNext/>
        <w:keepLines/>
        <w:rPr>
          <w:u w:val="single"/>
          <w:lang w:val="sk-SK"/>
        </w:rPr>
      </w:pPr>
      <w:r>
        <w:rPr>
          <w:u w:val="single"/>
          <w:lang w:val="sk-SK"/>
        </w:rPr>
        <w:t>Respiračné poruchy</w:t>
      </w:r>
    </w:p>
    <w:p w14:paraId="1DD942D6" w14:textId="77777777" w:rsidR="00913218" w:rsidRPr="00316F06" w:rsidRDefault="00913218">
      <w:pPr>
        <w:keepNext/>
        <w:keepLines/>
        <w:rPr>
          <w:lang w:val="sk-SK"/>
        </w:rPr>
      </w:pPr>
    </w:p>
    <w:p w14:paraId="32E5CBA8" w14:textId="49FDCEFB" w:rsidR="00913218" w:rsidRPr="00316F06" w:rsidRDefault="00913218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Ako menej častý účinok pri liečbe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sa vyskytuje </w:t>
      </w:r>
      <w:proofErr w:type="spellStart"/>
      <w:r w:rsidRPr="00316F06">
        <w:rPr>
          <w:rFonts w:cs="Times New Roman"/>
          <w:lang w:val="sk-SK"/>
        </w:rPr>
        <w:t>intersticiálna</w:t>
      </w:r>
      <w:proofErr w:type="spellEnd"/>
      <w:r w:rsidRPr="00316F06">
        <w:rPr>
          <w:rFonts w:cs="Times New Roman"/>
          <w:lang w:val="sk-SK"/>
        </w:rPr>
        <w:t xml:space="preserve"> choroba pľúc, ktorá sa prejavuje ako pľúcne </w:t>
      </w:r>
      <w:proofErr w:type="spellStart"/>
      <w:r w:rsidRPr="00316F06">
        <w:rPr>
          <w:rFonts w:cs="Times New Roman"/>
          <w:lang w:val="sk-SK"/>
        </w:rPr>
        <w:t>infiltráty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Intersticiálna</w:t>
      </w:r>
      <w:proofErr w:type="spellEnd"/>
      <w:r w:rsidRPr="00316F06">
        <w:rPr>
          <w:rFonts w:cs="Times New Roman"/>
          <w:lang w:val="sk-SK"/>
        </w:rPr>
        <w:t xml:space="preserve"> choroba pľúc môže byť smrteľná.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Medzi rizikové faktory, ktoré môžu súvisieť so vznikom </w:t>
      </w:r>
      <w:proofErr w:type="spellStart"/>
      <w:r w:rsidRPr="00316F06">
        <w:rPr>
          <w:rFonts w:cs="Times New Roman"/>
          <w:lang w:val="sk-SK"/>
        </w:rPr>
        <w:t>intersticiálnej</w:t>
      </w:r>
      <w:proofErr w:type="spellEnd"/>
      <w:r w:rsidRPr="00316F06">
        <w:rPr>
          <w:rFonts w:cs="Times New Roman"/>
          <w:lang w:val="sk-SK"/>
        </w:rPr>
        <w:t xml:space="preserve"> choroby pľúc, patrí užívanie </w:t>
      </w:r>
      <w:proofErr w:type="spellStart"/>
      <w:r w:rsidRPr="00316F06">
        <w:rPr>
          <w:rFonts w:cs="Times New Roman"/>
          <w:lang w:val="sk-SK"/>
        </w:rPr>
        <w:t>pneumotoxických</w:t>
      </w:r>
      <w:proofErr w:type="spellEnd"/>
      <w:r w:rsidRPr="00316F06">
        <w:rPr>
          <w:rFonts w:cs="Times New Roman"/>
          <w:lang w:val="sk-SK"/>
        </w:rPr>
        <w:t xml:space="preserve"> liekov, radiačná terapia a faktory stimulujúce kolónie.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Pacientov s rizikovými faktormi je potrebné pred a počas liečby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starostlivo monitorovať na </w:t>
      </w:r>
      <w:proofErr w:type="spellStart"/>
      <w:r w:rsidRPr="00316F06">
        <w:rPr>
          <w:rFonts w:cs="Times New Roman"/>
          <w:lang w:val="sk-SK"/>
        </w:rPr>
        <w:t>respiratórne</w:t>
      </w:r>
      <w:proofErr w:type="spellEnd"/>
      <w:r w:rsidRPr="00316F06">
        <w:rPr>
          <w:rFonts w:cs="Times New Roman"/>
          <w:lang w:val="sk-SK"/>
        </w:rPr>
        <w:t xml:space="preserve"> príznaky.</w:t>
      </w:r>
    </w:p>
    <w:p w14:paraId="34C2C38C" w14:textId="77777777" w:rsidR="00913218" w:rsidRPr="00316F06" w:rsidRDefault="00913218">
      <w:pPr>
        <w:rPr>
          <w:lang w:val="sk-SK"/>
        </w:rPr>
      </w:pPr>
    </w:p>
    <w:p w14:paraId="2ED4B1B2" w14:textId="77777777" w:rsidR="00913218" w:rsidRPr="00805523" w:rsidRDefault="00913218" w:rsidP="004701E4">
      <w:pPr>
        <w:keepNext/>
        <w:rPr>
          <w:u w:val="single"/>
          <w:lang w:val="sk-SK"/>
        </w:rPr>
      </w:pPr>
      <w:proofErr w:type="spellStart"/>
      <w:r w:rsidRPr="00316F06">
        <w:rPr>
          <w:u w:val="single"/>
          <w:lang w:val="sk-SK"/>
        </w:rPr>
        <w:lastRenderedPageBreak/>
        <w:t>Extravazácia</w:t>
      </w:r>
      <w:proofErr w:type="spellEnd"/>
    </w:p>
    <w:p w14:paraId="30B1B95B" w14:textId="77777777" w:rsidR="00913218" w:rsidRPr="00805523" w:rsidRDefault="00913218" w:rsidP="004701E4">
      <w:pPr>
        <w:keepNext/>
        <w:rPr>
          <w:iCs/>
          <w:u w:val="single"/>
          <w:lang w:val="sk-SK"/>
        </w:rPr>
      </w:pPr>
    </w:p>
    <w:p w14:paraId="2D209AAC" w14:textId="28FA59FD" w:rsidR="00913218" w:rsidRPr="00805523" w:rsidRDefault="00913218" w:rsidP="004701E4">
      <w:pPr>
        <w:keepNext/>
        <w:rPr>
          <w:iCs/>
          <w:lang w:val="sk-SK"/>
        </w:rPr>
      </w:pPr>
      <w:r w:rsidRPr="00316F06">
        <w:rPr>
          <w:lang w:val="sk-SK"/>
        </w:rPr>
        <w:t>Aj keď o 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ne</w:t>
      </w:r>
      <w:proofErr w:type="spellEnd"/>
      <w:r w:rsidRPr="00316F06">
        <w:rPr>
          <w:lang w:val="sk-SK"/>
        </w:rPr>
        <w:t xml:space="preserve"> nie je známe, že by bol pľuzgierotvorný, treba dbať na to, aby sa zabránilo </w:t>
      </w:r>
      <w:proofErr w:type="spellStart"/>
      <w:r w:rsidRPr="00316F06">
        <w:rPr>
          <w:lang w:val="sk-SK"/>
        </w:rPr>
        <w:t>extravazácii</w:t>
      </w:r>
      <w:proofErr w:type="spellEnd"/>
      <w:r w:rsidRPr="00316F06">
        <w:rPr>
          <w:lang w:val="sk-SK"/>
        </w:rPr>
        <w:t xml:space="preserve"> a v mieste infúzie sledovať príznaky zápalu.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V prípade výskytu </w:t>
      </w:r>
      <w:proofErr w:type="spellStart"/>
      <w:r w:rsidRPr="00316F06">
        <w:rPr>
          <w:lang w:val="sk-SK"/>
        </w:rPr>
        <w:t>extravazácie</w:t>
      </w:r>
      <w:proofErr w:type="spellEnd"/>
      <w:r w:rsidRPr="00316F06">
        <w:rPr>
          <w:lang w:val="sk-SK"/>
        </w:rPr>
        <w:t xml:space="preserve"> sa odporúča opláchnuť miesto infúzie a aplikovať ľad.</w:t>
      </w:r>
    </w:p>
    <w:p w14:paraId="56DA7E51" w14:textId="77777777" w:rsidR="00913218" w:rsidRPr="00805523" w:rsidRDefault="00913218" w:rsidP="004701E4">
      <w:pPr>
        <w:keepNext/>
        <w:rPr>
          <w:iCs/>
          <w:lang w:val="sk-SK"/>
        </w:rPr>
      </w:pPr>
    </w:p>
    <w:p w14:paraId="172CCE5B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Starší pacienti</w:t>
      </w:r>
    </w:p>
    <w:p w14:paraId="2CF5463C" w14:textId="77777777" w:rsidR="00913218" w:rsidRPr="00316F06" w:rsidRDefault="00913218">
      <w:pPr>
        <w:keepNext/>
        <w:rPr>
          <w:lang w:val="sk-SK"/>
        </w:rPr>
      </w:pPr>
    </w:p>
    <w:p w14:paraId="58944915" w14:textId="275AFA7B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Vzhľadom na zvýšenú frekvenciu znížených biologických funkcií, predovšetkým funkcií pečene, </w:t>
      </w:r>
      <w:r w:rsidRPr="00316F06">
        <w:rPr>
          <w:lang w:val="sk-SK"/>
        </w:rPr>
        <w:t xml:space="preserve">v skupine starších pacientov treba pri </w:t>
      </w:r>
      <w:r w:rsidRPr="00316F06">
        <w:rPr>
          <w:rFonts w:cs="Times New Roman"/>
          <w:lang w:val="sk-SK"/>
        </w:rPr>
        <w:t>liečb</w:t>
      </w:r>
      <w:r w:rsidRPr="00316F06">
        <w:rPr>
          <w:lang w:val="sk-SK"/>
        </w:rPr>
        <w:t xml:space="preserve">e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po</w:t>
      </w:r>
      <w:r w:rsidRPr="00316F06">
        <w:rPr>
          <w:rFonts w:cs="Times New Roman"/>
          <w:lang w:val="sk-SK"/>
        </w:rPr>
        <w:t>stupovať opatrne (pozri časť 4.2).</w:t>
      </w:r>
    </w:p>
    <w:p w14:paraId="4BC489F0" w14:textId="77777777" w:rsidR="00913218" w:rsidRPr="00316F06" w:rsidRDefault="00913218">
      <w:pPr>
        <w:rPr>
          <w:lang w:val="sk-SK"/>
        </w:rPr>
      </w:pPr>
    </w:p>
    <w:p w14:paraId="4DEC97D3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rFonts w:cs="Times New Roman"/>
          <w:u w:val="single"/>
          <w:lang w:val="sk-SK"/>
        </w:rPr>
        <w:t xml:space="preserve">Pacienti s </w:t>
      </w:r>
      <w:r w:rsidRPr="00316F06">
        <w:rPr>
          <w:u w:val="single"/>
          <w:lang w:val="sk-SK"/>
        </w:rPr>
        <w:t xml:space="preserve">chronickým zápalovým ochorením čriev a/alebo </w:t>
      </w:r>
      <w:r w:rsidRPr="00316F06">
        <w:rPr>
          <w:rFonts w:cs="Times New Roman"/>
          <w:u w:val="single"/>
          <w:lang w:val="sk-SK"/>
        </w:rPr>
        <w:t>obštrukciou čreva</w:t>
      </w:r>
    </w:p>
    <w:p w14:paraId="0889591D" w14:textId="77777777" w:rsidR="00913218" w:rsidRPr="00316F06" w:rsidRDefault="00913218">
      <w:pPr>
        <w:keepNext/>
        <w:rPr>
          <w:lang w:val="sk-SK"/>
        </w:rPr>
      </w:pPr>
    </w:p>
    <w:p w14:paraId="182C70C0" w14:textId="684803AB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Pacienti sa nesmú liečiť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>, kým sa črevná obštrukcia neodstráni (pozri časť</w:t>
      </w:r>
      <w:r w:rsidRPr="00316F06">
        <w:rPr>
          <w:lang w:val="sk-SK"/>
        </w:rPr>
        <w:t> 4.3).</w:t>
      </w:r>
    </w:p>
    <w:p w14:paraId="7BEE269A" w14:textId="77777777" w:rsidR="00913218" w:rsidRPr="00316F06" w:rsidRDefault="00913218">
      <w:pPr>
        <w:rPr>
          <w:lang w:val="sk-SK"/>
        </w:rPr>
      </w:pPr>
    </w:p>
    <w:p w14:paraId="7A4BCC44" w14:textId="781C256E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rFonts w:cs="Times New Roman"/>
          <w:u w:val="single"/>
          <w:lang w:val="sk-SK"/>
        </w:rPr>
        <w:t>Pacienti s</w:t>
      </w:r>
      <w:r w:rsidR="00C329B0">
        <w:rPr>
          <w:rFonts w:cs="Times New Roman"/>
          <w:u w:val="single"/>
          <w:lang w:val="sk-SK"/>
        </w:rPr>
        <w:t> poruchou funkcie obličiek</w:t>
      </w:r>
    </w:p>
    <w:p w14:paraId="48E84350" w14:textId="77777777" w:rsidR="00913218" w:rsidRPr="00316F06" w:rsidRDefault="00913218">
      <w:pPr>
        <w:keepNext/>
        <w:rPr>
          <w:lang w:val="sk-SK"/>
        </w:rPr>
      </w:pPr>
    </w:p>
    <w:p w14:paraId="116B4296" w14:textId="6AD4E25F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U tejto skupiny pacientov neboli uskutočnené žiadne </w:t>
      </w:r>
      <w:r w:rsidR="00C329B0">
        <w:rPr>
          <w:rFonts w:cs="Times New Roman"/>
          <w:lang w:val="sk-SK"/>
        </w:rPr>
        <w:t>štúdie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(pozri časti 4.2 a 5.2).</w:t>
      </w:r>
    </w:p>
    <w:p w14:paraId="5AE624E5" w14:textId="77777777" w:rsidR="00913218" w:rsidRPr="00805523" w:rsidRDefault="00913218" w:rsidP="004701E4">
      <w:pPr>
        <w:rPr>
          <w:lang w:val="sk-SK"/>
        </w:rPr>
      </w:pPr>
    </w:p>
    <w:p w14:paraId="4A224C11" w14:textId="77777777" w:rsidR="00913218" w:rsidRPr="00805523" w:rsidRDefault="00913218" w:rsidP="004701E4">
      <w:pPr>
        <w:rPr>
          <w:u w:val="single"/>
          <w:lang w:val="sk-SK"/>
        </w:rPr>
      </w:pPr>
      <w:r w:rsidRPr="00316F06">
        <w:rPr>
          <w:u w:val="single"/>
          <w:lang w:val="sk-SK"/>
        </w:rPr>
        <w:t>Poruchy srdca a srdcovej činnosti</w:t>
      </w:r>
    </w:p>
    <w:p w14:paraId="20CD1114" w14:textId="77777777" w:rsidR="00913218" w:rsidRPr="00805523" w:rsidRDefault="00913218" w:rsidP="004701E4">
      <w:pPr>
        <w:rPr>
          <w:lang w:val="sk-SK"/>
        </w:rPr>
      </w:pPr>
    </w:p>
    <w:p w14:paraId="7614EB21" w14:textId="03FD48A2" w:rsidR="00913218" w:rsidRPr="00805523" w:rsidRDefault="00913218" w:rsidP="004701E4">
      <w:pPr>
        <w:rPr>
          <w:lang w:val="sk-SK"/>
        </w:rPr>
      </w:pPr>
      <w:r w:rsidRPr="00316F06">
        <w:rPr>
          <w:lang w:val="sk-SK"/>
        </w:rPr>
        <w:t xml:space="preserve">Po liečbe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boli zaznamenané ischemické srdcové príhody, najmä u pacientov so základným ochorením srdca, s inými známymi rizikovými faktormi pre vznik ochorení srdca alebo u pacientov, ktorí v minulosti podstúpili </w:t>
      </w:r>
      <w:proofErr w:type="spellStart"/>
      <w:r w:rsidRPr="00316F06">
        <w:rPr>
          <w:lang w:val="sk-SK"/>
        </w:rPr>
        <w:t>cytotoxickú</w:t>
      </w:r>
      <w:proofErr w:type="spellEnd"/>
      <w:r w:rsidRPr="00316F06">
        <w:rPr>
          <w:lang w:val="sk-SK"/>
        </w:rPr>
        <w:t xml:space="preserve"> chemoterapiu (pozri časť 4.8).</w:t>
      </w:r>
    </w:p>
    <w:p w14:paraId="1B8D3A0A" w14:textId="77777777" w:rsidR="00913218" w:rsidRPr="00805523" w:rsidRDefault="00913218" w:rsidP="004701E4">
      <w:pPr>
        <w:rPr>
          <w:lang w:val="sk-SK"/>
        </w:rPr>
      </w:pPr>
      <w:r w:rsidRPr="00316F06">
        <w:rPr>
          <w:lang w:val="sk-SK"/>
        </w:rPr>
        <w:t>Z tohto dôvodu sa pacienti so známymi rizikovými faktormi majú dôkladne sledovať a majú sa prijať opatrenia zamerané na minimalizovanie všetkých modifikovateľných rizikových faktorov (napríklad fajčenie, hypertenzia a </w:t>
      </w:r>
      <w:proofErr w:type="spellStart"/>
      <w:r w:rsidRPr="00316F06">
        <w:rPr>
          <w:lang w:val="sk-SK"/>
        </w:rPr>
        <w:t>hyperlipidémia</w:t>
      </w:r>
      <w:proofErr w:type="spellEnd"/>
      <w:r w:rsidRPr="00316F06">
        <w:rPr>
          <w:lang w:val="sk-SK"/>
        </w:rPr>
        <w:t>).</w:t>
      </w:r>
    </w:p>
    <w:p w14:paraId="13F85E70" w14:textId="77777777" w:rsidR="00913218" w:rsidRPr="00805523" w:rsidRDefault="00913218" w:rsidP="004701E4">
      <w:pPr>
        <w:rPr>
          <w:lang w:val="sk-SK"/>
        </w:rPr>
      </w:pPr>
    </w:p>
    <w:p w14:paraId="3A4BA922" w14:textId="77777777" w:rsidR="00913218" w:rsidRPr="00805523" w:rsidRDefault="00913218" w:rsidP="004701E4">
      <w:pPr>
        <w:rPr>
          <w:u w:val="single"/>
          <w:lang w:val="sk-SK"/>
        </w:rPr>
      </w:pPr>
      <w:proofErr w:type="spellStart"/>
      <w:r w:rsidRPr="00316F06">
        <w:rPr>
          <w:u w:val="single"/>
          <w:lang w:val="sk-SK"/>
        </w:rPr>
        <w:t>Imunosupresívne</w:t>
      </w:r>
      <w:proofErr w:type="spellEnd"/>
      <w:r w:rsidRPr="00316F06">
        <w:rPr>
          <w:u w:val="single"/>
          <w:lang w:val="sk-SK"/>
        </w:rPr>
        <w:t xml:space="preserve"> účinky/zvýšená náchylnosť k infekciám</w:t>
      </w:r>
    </w:p>
    <w:p w14:paraId="03A44AE8" w14:textId="77777777" w:rsidR="00913218" w:rsidRPr="00805523" w:rsidRDefault="00913218" w:rsidP="004701E4">
      <w:pPr>
        <w:rPr>
          <w:lang w:val="sk-SK"/>
        </w:rPr>
      </w:pPr>
    </w:p>
    <w:p w14:paraId="50DA59AE" w14:textId="4A98D9FC" w:rsidR="00913218" w:rsidRPr="00805523" w:rsidRDefault="00913218" w:rsidP="004701E4">
      <w:pPr>
        <w:rPr>
          <w:lang w:val="sk-SK"/>
        </w:rPr>
      </w:pPr>
      <w:r w:rsidRPr="00316F06">
        <w:rPr>
          <w:lang w:val="sk-SK"/>
        </w:rPr>
        <w:t xml:space="preserve">Podanie živých alebo oslabených živých očkovacích látok pacientom, ktorých imunitný systém je oslabený </w:t>
      </w:r>
      <w:proofErr w:type="spellStart"/>
      <w:r w:rsidRPr="00316F06">
        <w:rPr>
          <w:lang w:val="sk-SK"/>
        </w:rPr>
        <w:t>chemoterapeutikami</w:t>
      </w:r>
      <w:proofErr w:type="spellEnd"/>
      <w:r w:rsidRPr="00316F06">
        <w:rPr>
          <w:lang w:val="sk-SK"/>
        </w:rPr>
        <w:t xml:space="preserve">, ako je napríklad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>, môže mať za následok závažné alebo smrteľné infekcie.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Pacienti dostávajúci </w:t>
      </w:r>
      <w:proofErr w:type="spellStart"/>
      <w:r w:rsidRPr="00316F06">
        <w:rPr>
          <w:lang w:val="sk-SK"/>
        </w:rPr>
        <w:t>irinotek</w:t>
      </w:r>
      <w:r w:rsidR="005241B3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by sa nemali očkovať živou očkovacou látkou.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Usmrtené alebo inaktivované očkovacie látky sa môžu podávať; avšak odpoveď na takéto očkovacie látky môže byť znížená.</w:t>
      </w:r>
    </w:p>
    <w:p w14:paraId="63AF5947" w14:textId="77777777" w:rsidR="00913218" w:rsidRPr="00316F06" w:rsidRDefault="00913218">
      <w:pPr>
        <w:rPr>
          <w:lang w:val="sk-SK"/>
        </w:rPr>
      </w:pPr>
    </w:p>
    <w:p w14:paraId="5900D64D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Iné</w:t>
      </w:r>
    </w:p>
    <w:p w14:paraId="102A3C31" w14:textId="77777777" w:rsidR="00913218" w:rsidRPr="00316F06" w:rsidRDefault="00913218">
      <w:pPr>
        <w:keepNext/>
        <w:rPr>
          <w:lang w:val="sk-SK"/>
        </w:rPr>
      </w:pPr>
    </w:p>
    <w:p w14:paraId="3F53CCB6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Keďže tento liek obsahuje </w:t>
      </w:r>
      <w:proofErr w:type="spellStart"/>
      <w:r w:rsidRPr="00316F06">
        <w:rPr>
          <w:rFonts w:cs="Times New Roman"/>
          <w:lang w:val="sk-SK"/>
        </w:rPr>
        <w:t>sorbitol</w:t>
      </w:r>
      <w:proofErr w:type="spellEnd"/>
      <w:r w:rsidRPr="00316F06">
        <w:rPr>
          <w:rFonts w:cs="Times New Roman"/>
          <w:lang w:val="sk-SK"/>
        </w:rPr>
        <w:t>, pacienti so zriedkavými dedičnými problémami intolerancie fruktózy nesmú užíva tento liek.</w:t>
      </w:r>
    </w:p>
    <w:p w14:paraId="0CE142B4" w14:textId="77777777" w:rsidR="00913218" w:rsidRPr="00316F06" w:rsidRDefault="00913218">
      <w:pPr>
        <w:rPr>
          <w:lang w:val="sk-SK"/>
        </w:rPr>
      </w:pPr>
    </w:p>
    <w:p w14:paraId="38C8AC0A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Boli zaznamenané zriedkavé prípady nedostatočnosti obličiek, hypotenzie alebo cirkulačného </w:t>
      </w:r>
      <w:r w:rsidRPr="00316F06">
        <w:rPr>
          <w:lang w:val="sk-SK"/>
        </w:rPr>
        <w:t xml:space="preserve">zlyhania </w:t>
      </w:r>
      <w:r w:rsidRPr="00316F06">
        <w:rPr>
          <w:rFonts w:cs="Times New Roman"/>
          <w:lang w:val="sk-SK"/>
        </w:rPr>
        <w:t>u pacientov, ktorí boli dehydratovaní v súvislosti s hnačkou a/alebo vracaním, prípadne mali sepsu.</w:t>
      </w:r>
    </w:p>
    <w:p w14:paraId="057CBB67" w14:textId="77777777" w:rsidR="00913218" w:rsidRPr="00316F06" w:rsidRDefault="00913218">
      <w:pPr>
        <w:rPr>
          <w:lang w:val="sk-SK"/>
        </w:rPr>
      </w:pPr>
    </w:p>
    <w:p w14:paraId="1D2E01A3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Počas liečby a najmenej tri mesiace po jej skončení sa musia používať antikoncepčné prostriedky (pozri časť 4.6).</w:t>
      </w:r>
    </w:p>
    <w:p w14:paraId="09018BEE" w14:textId="77777777" w:rsidR="00913218" w:rsidRPr="00316F06" w:rsidRDefault="00913218">
      <w:pPr>
        <w:rPr>
          <w:lang w:val="sk-SK"/>
        </w:rPr>
      </w:pPr>
    </w:p>
    <w:p w14:paraId="1B61E867" w14:textId="64EF68F1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Súčasné podávanie </w:t>
      </w:r>
      <w:proofErr w:type="spellStart"/>
      <w:r w:rsidRPr="00316F06">
        <w:rPr>
          <w:rFonts w:cs="Times New Roman"/>
          <w:lang w:val="sk-SK"/>
        </w:rPr>
        <w:t>irinotek</w:t>
      </w:r>
      <w:r w:rsidR="005241B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so silným inhibítorom</w:t>
      </w:r>
      <w:r w:rsidRPr="00316F06">
        <w:rPr>
          <w:lang w:val="sk-SK"/>
        </w:rPr>
        <w:t xml:space="preserve"> (napr. </w:t>
      </w:r>
      <w:proofErr w:type="spellStart"/>
      <w:r w:rsidRPr="00316F06">
        <w:rPr>
          <w:lang w:val="sk-SK"/>
        </w:rPr>
        <w:t>ketokonazol</w:t>
      </w:r>
      <w:proofErr w:type="spellEnd"/>
      <w:r w:rsidRPr="00316F06">
        <w:rPr>
          <w:lang w:val="sk-SK"/>
        </w:rPr>
        <w:t>) alebo induktor</w:t>
      </w:r>
      <w:r w:rsidRPr="00316F06">
        <w:rPr>
          <w:rFonts w:cs="Times New Roman"/>
          <w:lang w:val="sk-SK"/>
        </w:rPr>
        <w:t xml:space="preserve">om (napr. </w:t>
      </w:r>
      <w:proofErr w:type="spellStart"/>
      <w:r w:rsidRPr="00316F06">
        <w:rPr>
          <w:rFonts w:cs="Times New Roman"/>
          <w:lang w:val="sk-SK"/>
        </w:rPr>
        <w:t>rifampicín</w:t>
      </w:r>
      <w:proofErr w:type="spellEnd"/>
      <w:r w:rsidRPr="00316F06">
        <w:rPr>
          <w:rFonts w:cs="Times New Roman"/>
          <w:lang w:val="sk-SK"/>
        </w:rPr>
        <w:t xml:space="preserve">, </w:t>
      </w:r>
      <w:proofErr w:type="spellStart"/>
      <w:r w:rsidRPr="00316F06">
        <w:rPr>
          <w:rFonts w:cs="Times New Roman"/>
          <w:lang w:val="sk-SK"/>
        </w:rPr>
        <w:t>karbamazepín</w:t>
      </w:r>
      <w:proofErr w:type="spellEnd"/>
      <w:r w:rsidRPr="00316F06">
        <w:rPr>
          <w:rFonts w:cs="Times New Roman"/>
          <w:lang w:val="sk-SK"/>
        </w:rPr>
        <w:t xml:space="preserve">, </w:t>
      </w:r>
      <w:proofErr w:type="spellStart"/>
      <w:r w:rsidRPr="00316F06">
        <w:rPr>
          <w:rFonts w:cs="Times New Roman"/>
          <w:lang w:val="sk-SK"/>
        </w:rPr>
        <w:t>fenobarbital</w:t>
      </w:r>
      <w:proofErr w:type="spellEnd"/>
      <w:r w:rsidRPr="00316F06">
        <w:rPr>
          <w:rFonts w:cs="Times New Roman"/>
          <w:lang w:val="sk-SK"/>
        </w:rPr>
        <w:t xml:space="preserve">, </w:t>
      </w:r>
      <w:proofErr w:type="spellStart"/>
      <w:r w:rsidRPr="00316F06">
        <w:rPr>
          <w:rFonts w:cs="Times New Roman"/>
          <w:lang w:val="sk-SK"/>
        </w:rPr>
        <w:t>fenytoín</w:t>
      </w:r>
      <w:proofErr w:type="spellEnd"/>
      <w:r w:rsidRPr="00316F06">
        <w:rPr>
          <w:rFonts w:cs="Times New Roman"/>
          <w:lang w:val="sk-SK"/>
        </w:rPr>
        <w:t>, ľubovník bodkovaný) cytochrómu P450 3A4 (CYP3A4) môže meniť metabolizmus a treba sa ho vystríhať (pozri časť 4.5).</w:t>
      </w:r>
    </w:p>
    <w:p w14:paraId="161D8113" w14:textId="77777777" w:rsidR="00913218" w:rsidRPr="00316F06" w:rsidRDefault="00913218">
      <w:pPr>
        <w:rPr>
          <w:lang w:val="sk-SK"/>
        </w:rPr>
      </w:pPr>
    </w:p>
    <w:p w14:paraId="04ED7E96" w14:textId="77777777" w:rsidR="00913218" w:rsidRPr="00316F06" w:rsidRDefault="00913218" w:rsidP="00175890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lastRenderedPageBreak/>
        <w:t>4.5</w:t>
      </w:r>
      <w:r w:rsidRPr="00316F06">
        <w:rPr>
          <w:b/>
          <w:bCs/>
          <w:lang w:val="sk-SK"/>
        </w:rPr>
        <w:tab/>
        <w:t>Liekové a iné interakcie</w:t>
      </w:r>
    </w:p>
    <w:p w14:paraId="261DFB50" w14:textId="77777777" w:rsidR="00913218" w:rsidRPr="00316F06" w:rsidRDefault="00913218" w:rsidP="00175890">
      <w:pPr>
        <w:keepNext/>
        <w:keepLines/>
        <w:rPr>
          <w:lang w:val="sk-SK"/>
        </w:rPr>
      </w:pPr>
    </w:p>
    <w:p w14:paraId="673EF617" w14:textId="5D7D5561" w:rsidR="00913218" w:rsidRPr="00316F06" w:rsidRDefault="00913218" w:rsidP="00175890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Interakcia medzi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a </w:t>
      </w:r>
      <w:proofErr w:type="spellStart"/>
      <w:r w:rsidRPr="00316F06">
        <w:rPr>
          <w:rFonts w:cs="Times New Roman"/>
          <w:lang w:val="sk-SK"/>
        </w:rPr>
        <w:t>neuromuskulárnymi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blokátormi</w:t>
      </w:r>
      <w:proofErr w:type="spellEnd"/>
      <w:r w:rsidRPr="00316F06">
        <w:rPr>
          <w:rFonts w:cs="Times New Roman"/>
          <w:lang w:val="sk-SK"/>
        </w:rPr>
        <w:t xml:space="preserve"> nemôže byť vylúčená.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Pretože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má </w:t>
      </w:r>
      <w:proofErr w:type="spellStart"/>
      <w:r w:rsidRPr="00316F06">
        <w:rPr>
          <w:rFonts w:cs="Times New Roman"/>
          <w:lang w:val="sk-SK"/>
        </w:rPr>
        <w:t>anticholinesterázovú</w:t>
      </w:r>
      <w:proofErr w:type="spellEnd"/>
      <w:r w:rsidRPr="00316F06">
        <w:rPr>
          <w:rFonts w:cs="Times New Roman"/>
          <w:lang w:val="sk-SK"/>
        </w:rPr>
        <w:t xml:space="preserve"> aktivitu, môže predlžovať </w:t>
      </w:r>
      <w:proofErr w:type="spellStart"/>
      <w:r w:rsidRPr="00316F06">
        <w:rPr>
          <w:rFonts w:cs="Times New Roman"/>
          <w:lang w:val="sk-SK"/>
        </w:rPr>
        <w:t>neuromuskulárne</w:t>
      </w:r>
      <w:proofErr w:type="spellEnd"/>
      <w:r w:rsidRPr="00316F06">
        <w:rPr>
          <w:rFonts w:cs="Times New Roman"/>
          <w:lang w:val="sk-SK"/>
        </w:rPr>
        <w:t xml:space="preserve"> blokovacie účinky </w:t>
      </w:r>
      <w:proofErr w:type="spellStart"/>
      <w:r w:rsidRPr="00316F06">
        <w:rPr>
          <w:rFonts w:cs="Times New Roman"/>
          <w:lang w:val="sk-SK"/>
        </w:rPr>
        <w:t>suxametónia</w:t>
      </w:r>
      <w:proofErr w:type="spellEnd"/>
      <w:r w:rsidRPr="00316F06">
        <w:rPr>
          <w:rFonts w:cs="Times New Roman"/>
          <w:lang w:val="sk-SK"/>
        </w:rPr>
        <w:t xml:space="preserve"> a </w:t>
      </w:r>
      <w:proofErr w:type="spellStart"/>
      <w:r w:rsidRPr="00316F06">
        <w:rPr>
          <w:rFonts w:cs="Times New Roman"/>
          <w:lang w:val="sk-SK"/>
        </w:rPr>
        <w:t>antagonizovať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neuromuskulárnu</w:t>
      </w:r>
      <w:proofErr w:type="spellEnd"/>
      <w:r w:rsidRPr="00316F06">
        <w:rPr>
          <w:rFonts w:cs="Times New Roman"/>
          <w:lang w:val="sk-SK"/>
        </w:rPr>
        <w:t xml:space="preserve"> blokádu </w:t>
      </w:r>
      <w:proofErr w:type="spellStart"/>
      <w:r w:rsidRPr="00316F06">
        <w:rPr>
          <w:rFonts w:cs="Times New Roman"/>
          <w:lang w:val="sk-SK"/>
        </w:rPr>
        <w:t>ne-depolarizujúcich</w:t>
      </w:r>
      <w:proofErr w:type="spellEnd"/>
      <w:r w:rsidRPr="00316F06">
        <w:rPr>
          <w:rFonts w:cs="Times New Roman"/>
          <w:lang w:val="sk-SK"/>
        </w:rPr>
        <w:t xml:space="preserve"> liekov.</w:t>
      </w:r>
    </w:p>
    <w:p w14:paraId="7573BBE0" w14:textId="77777777" w:rsidR="00913218" w:rsidRPr="00316F06" w:rsidRDefault="00913218" w:rsidP="00175890">
      <w:pPr>
        <w:keepNext/>
        <w:keepLines/>
        <w:rPr>
          <w:lang w:val="sk-SK"/>
        </w:rPr>
      </w:pPr>
    </w:p>
    <w:p w14:paraId="73FB7350" w14:textId="66FEA072" w:rsidR="00913218" w:rsidRPr="00316F06" w:rsidRDefault="00913218" w:rsidP="00175890">
      <w:pPr>
        <w:keepNext/>
        <w:keepLines/>
        <w:rPr>
          <w:lang w:val="sk-SK"/>
        </w:rPr>
      </w:pPr>
      <w:r w:rsidRPr="00316F06">
        <w:rPr>
          <w:lang w:val="sk-SK"/>
        </w:rPr>
        <w:t xml:space="preserve">Vo viacerých </w:t>
      </w:r>
      <w:proofErr w:type="spellStart"/>
      <w:r w:rsidR="005D2726">
        <w:rPr>
          <w:lang w:val="sk-SK"/>
        </w:rPr>
        <w:t>štúdiach</w:t>
      </w:r>
      <w:proofErr w:type="spellEnd"/>
      <w:r w:rsidR="005D272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sa preukázalo, že súčasné </w:t>
      </w:r>
      <w:r w:rsidRPr="00316F06">
        <w:rPr>
          <w:lang w:val="sk-SK"/>
        </w:rPr>
        <w:t xml:space="preserve">podávanie </w:t>
      </w:r>
      <w:proofErr w:type="spellStart"/>
      <w:r w:rsidRPr="00316F06">
        <w:rPr>
          <w:lang w:val="sk-SK"/>
        </w:rPr>
        <w:t>antikonvulzív</w:t>
      </w:r>
      <w:proofErr w:type="spellEnd"/>
      <w:r w:rsidRPr="00316F06">
        <w:rPr>
          <w:lang w:val="sk-SK"/>
        </w:rPr>
        <w:t xml:space="preserve"> stimulujúcich CYP3A (napr. </w:t>
      </w:r>
      <w:proofErr w:type="spellStart"/>
      <w:r w:rsidRPr="00316F06">
        <w:rPr>
          <w:lang w:val="sk-SK"/>
        </w:rPr>
        <w:t>karbamazepín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fenobarbital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fenytoín</w:t>
      </w:r>
      <w:proofErr w:type="spellEnd"/>
      <w:r w:rsidRPr="00316F06">
        <w:rPr>
          <w:lang w:val="sk-SK"/>
        </w:rPr>
        <w:t>) vyvoláva zn</w:t>
      </w:r>
      <w:r w:rsidRPr="00316F06">
        <w:rPr>
          <w:rFonts w:cs="Times New Roman"/>
          <w:lang w:val="sk-SK"/>
        </w:rPr>
        <w:t xml:space="preserve">íženie účinku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, SN</w:t>
      </w:r>
      <w:r w:rsidRPr="00316F06">
        <w:rPr>
          <w:lang w:val="sk-SK"/>
        </w:rPr>
        <w:noBreakHyphen/>
        <w:t>38 a SN</w:t>
      </w:r>
      <w:r w:rsidRPr="00316F06">
        <w:rPr>
          <w:lang w:val="sk-SK"/>
        </w:rPr>
        <w:noBreakHyphen/>
        <w:t xml:space="preserve">38 </w:t>
      </w:r>
      <w:proofErr w:type="spellStart"/>
      <w:r w:rsidRPr="00316F06">
        <w:rPr>
          <w:lang w:val="sk-SK"/>
        </w:rPr>
        <w:t>glukuronidu</w:t>
      </w:r>
      <w:proofErr w:type="spellEnd"/>
      <w:r w:rsidRPr="00316F06">
        <w:rPr>
          <w:lang w:val="sk-SK"/>
        </w:rPr>
        <w:t xml:space="preserve"> a zníženie </w:t>
      </w:r>
      <w:proofErr w:type="spellStart"/>
      <w:r w:rsidRPr="00316F06">
        <w:rPr>
          <w:lang w:val="sk-SK"/>
        </w:rPr>
        <w:t>farmakodynamický</w:t>
      </w:r>
      <w:r w:rsidRPr="00316F06">
        <w:rPr>
          <w:rFonts w:cs="Times New Roman"/>
          <w:lang w:val="sk-SK"/>
        </w:rPr>
        <w:t>ch</w:t>
      </w:r>
      <w:proofErr w:type="spellEnd"/>
      <w:r w:rsidRPr="00316F06">
        <w:rPr>
          <w:rFonts w:cs="Times New Roman"/>
          <w:lang w:val="sk-SK"/>
        </w:rPr>
        <w:t xml:space="preserve"> účinkov</w:t>
      </w:r>
      <w:r w:rsidRPr="00316F06">
        <w:rPr>
          <w:lang w:val="sk-SK"/>
        </w:rPr>
        <w:t xml:space="preserve">. Vplyvy takýchto </w:t>
      </w:r>
      <w:proofErr w:type="spellStart"/>
      <w:r w:rsidRPr="00316F06">
        <w:rPr>
          <w:lang w:val="sk-SK"/>
        </w:rPr>
        <w:t>antikonvulzívnych</w:t>
      </w:r>
      <w:proofErr w:type="spellEnd"/>
      <w:r w:rsidRPr="00316F06">
        <w:rPr>
          <w:lang w:val="sk-SK"/>
        </w:rPr>
        <w:t xml:space="preserve"> liekov sa prejavili na znížení AUC SN</w:t>
      </w:r>
      <w:r w:rsidRPr="00316F06">
        <w:rPr>
          <w:lang w:val="sk-SK"/>
        </w:rPr>
        <w:noBreakHyphen/>
        <w:t>38 a SN</w:t>
      </w:r>
      <w:r w:rsidRPr="00316F06">
        <w:rPr>
          <w:lang w:val="sk-SK"/>
        </w:rPr>
        <w:noBreakHyphen/>
        <w:t xml:space="preserve">38 </w:t>
      </w:r>
      <w:proofErr w:type="spellStart"/>
      <w:r w:rsidRPr="00316F06">
        <w:rPr>
          <w:lang w:val="sk-SK"/>
        </w:rPr>
        <w:t>glukuronidu</w:t>
      </w:r>
      <w:proofErr w:type="spellEnd"/>
      <w:r w:rsidRPr="00316F06">
        <w:rPr>
          <w:lang w:val="sk-SK"/>
        </w:rPr>
        <w:t xml:space="preserve"> o 50 % i viac. Okrem indukcie enzýmov cytochrómu P450 3A môže pri znižovaní</w:t>
      </w:r>
      <w:r w:rsidRPr="00316F06">
        <w:rPr>
          <w:rFonts w:cs="Times New Roman"/>
          <w:lang w:val="sk-SK"/>
        </w:rPr>
        <w:t xml:space="preserve"> vplyvu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a jeho </w:t>
      </w:r>
      <w:proofErr w:type="spellStart"/>
      <w:r w:rsidRPr="00316F06">
        <w:rPr>
          <w:rFonts w:cs="Times New Roman"/>
          <w:lang w:val="sk-SK"/>
        </w:rPr>
        <w:t>metabolitov</w:t>
      </w:r>
      <w:proofErr w:type="spellEnd"/>
      <w:r w:rsidRPr="00316F06">
        <w:rPr>
          <w:rFonts w:cs="Times New Roman"/>
          <w:lang w:val="sk-SK"/>
        </w:rPr>
        <w:t xml:space="preserve"> zohrávať určitú úlohu aj zvýšená </w:t>
      </w:r>
      <w:proofErr w:type="spellStart"/>
      <w:r w:rsidRPr="00316F06">
        <w:rPr>
          <w:rFonts w:cs="Times New Roman"/>
          <w:lang w:val="sk-SK"/>
        </w:rPr>
        <w:t>glukuronidácia</w:t>
      </w:r>
      <w:proofErr w:type="spellEnd"/>
      <w:r w:rsidRPr="00316F06">
        <w:rPr>
          <w:rFonts w:cs="Times New Roman"/>
          <w:lang w:val="sk-SK"/>
        </w:rPr>
        <w:t xml:space="preserve"> a zvýšená exkrécia žlče.</w:t>
      </w:r>
    </w:p>
    <w:p w14:paraId="1083B655" w14:textId="77777777" w:rsidR="00913218" w:rsidRPr="00316F06" w:rsidRDefault="00913218">
      <w:pPr>
        <w:rPr>
          <w:lang w:val="sk-SK"/>
        </w:rPr>
      </w:pPr>
    </w:p>
    <w:p w14:paraId="27F68E82" w14:textId="20AA0038" w:rsidR="00913218" w:rsidRPr="00316F06" w:rsidRDefault="005D2726">
      <w:pPr>
        <w:rPr>
          <w:lang w:val="sk-SK"/>
        </w:rPr>
      </w:pPr>
      <w:r>
        <w:rPr>
          <w:lang w:val="sk-SK"/>
        </w:rPr>
        <w:t>Štúdia preukázala</w:t>
      </w:r>
      <w:r w:rsidR="00913218" w:rsidRPr="00316F06">
        <w:rPr>
          <w:rFonts w:cs="Times New Roman"/>
          <w:lang w:val="sk-SK"/>
        </w:rPr>
        <w:t xml:space="preserve">, že súčasné podávanie </w:t>
      </w:r>
      <w:proofErr w:type="spellStart"/>
      <w:r w:rsidR="00913218" w:rsidRPr="00316F06">
        <w:rPr>
          <w:rFonts w:cs="Times New Roman"/>
          <w:lang w:val="sk-SK"/>
        </w:rPr>
        <w:t>ketokonazolu</w:t>
      </w:r>
      <w:proofErr w:type="spellEnd"/>
      <w:r w:rsidR="00913218" w:rsidRPr="00316F06">
        <w:rPr>
          <w:rFonts w:cs="Times New Roman"/>
          <w:lang w:val="sk-SK"/>
        </w:rPr>
        <w:t xml:space="preserve"> spôsobilo zníženie AUC hlavného oxidačného metabolitu APC o 87 % a zvýšen</w:t>
      </w:r>
      <w:r w:rsidR="00913218" w:rsidRPr="00316F06">
        <w:rPr>
          <w:lang w:val="sk-SK"/>
        </w:rPr>
        <w:t>ie AUC SN</w:t>
      </w:r>
      <w:r w:rsidR="00913218" w:rsidRPr="00316F06">
        <w:rPr>
          <w:lang w:val="sk-SK"/>
        </w:rPr>
        <w:noBreakHyphen/>
        <w:t xml:space="preserve">38 o 109 % v porovnaní s podávaním samotného </w:t>
      </w:r>
      <w:proofErr w:type="spellStart"/>
      <w:r w:rsidR="00913218"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="00913218" w:rsidRPr="00316F06">
        <w:rPr>
          <w:lang w:val="sk-SK"/>
        </w:rPr>
        <w:t>nu</w:t>
      </w:r>
      <w:proofErr w:type="spellEnd"/>
      <w:r w:rsidR="00913218" w:rsidRPr="00316F06">
        <w:rPr>
          <w:lang w:val="sk-SK"/>
        </w:rPr>
        <w:t>.</w:t>
      </w:r>
    </w:p>
    <w:p w14:paraId="38C5CA79" w14:textId="77777777" w:rsidR="00913218" w:rsidRPr="00316F06" w:rsidRDefault="00913218">
      <w:pPr>
        <w:rPr>
          <w:lang w:val="sk-SK"/>
        </w:rPr>
      </w:pPr>
    </w:p>
    <w:p w14:paraId="16F5551B" w14:textId="3C46531D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Opatrne treba postupovať u pacientov, ktorí súčasne užívajú lieky, o ktorých je známe, že inhibujú (napr. </w:t>
      </w:r>
      <w:proofErr w:type="spellStart"/>
      <w:r w:rsidRPr="00316F06">
        <w:rPr>
          <w:rFonts w:cs="Times New Roman"/>
          <w:lang w:val="sk-SK"/>
        </w:rPr>
        <w:t>ketokonazol</w:t>
      </w:r>
      <w:proofErr w:type="spellEnd"/>
      <w:r w:rsidRPr="00316F06">
        <w:rPr>
          <w:rFonts w:cs="Times New Roman"/>
          <w:lang w:val="sk-SK"/>
        </w:rPr>
        <w:t xml:space="preserve">) alebo stimulujú (napr. </w:t>
      </w:r>
      <w:proofErr w:type="spellStart"/>
      <w:r w:rsidRPr="00316F06">
        <w:rPr>
          <w:lang w:val="sk-SK"/>
        </w:rPr>
        <w:t>rifampicín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karbamazepín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fenobarbital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fenytoín</w:t>
      </w:r>
      <w:proofErr w:type="spellEnd"/>
      <w:r w:rsidRPr="00316F06">
        <w:rPr>
          <w:lang w:val="sk-SK"/>
        </w:rPr>
        <w:t xml:space="preserve">) metabolizmus liečiv pomocou CYP3A4. </w:t>
      </w:r>
      <w:r w:rsidRPr="00316F06">
        <w:rPr>
          <w:rFonts w:cs="Times New Roman"/>
          <w:lang w:val="sk-SK"/>
        </w:rPr>
        <w:t xml:space="preserve">Súčasné podávanie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s inhibítorom/</w:t>
      </w:r>
      <w:r w:rsidRPr="00316F06">
        <w:rPr>
          <w:lang w:val="sk-SK"/>
        </w:rPr>
        <w:t>induktor</w:t>
      </w:r>
      <w:r w:rsidRPr="00316F06">
        <w:rPr>
          <w:rFonts w:cs="Times New Roman"/>
          <w:lang w:val="sk-SK"/>
        </w:rPr>
        <w:t xml:space="preserve">om tejto metabolickej cesty môže zmeniť metabolizmus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a treba sa mu vyhýbať (pozri časť 4.</w:t>
      </w:r>
      <w:r w:rsidRPr="00316F06">
        <w:rPr>
          <w:lang w:val="sk-SK"/>
        </w:rPr>
        <w:t>4).</w:t>
      </w:r>
    </w:p>
    <w:p w14:paraId="5CCEBBC8" w14:textId="77777777" w:rsidR="00913218" w:rsidRPr="00316F06" w:rsidRDefault="00913218">
      <w:pPr>
        <w:rPr>
          <w:lang w:val="sk-SK"/>
        </w:rPr>
      </w:pPr>
    </w:p>
    <w:p w14:paraId="0206D2BC" w14:textId="47D74B82" w:rsidR="00913218" w:rsidRPr="00316F06" w:rsidRDefault="00913218" w:rsidP="00476F2F">
      <w:pPr>
        <w:rPr>
          <w:lang w:val="sk-SK"/>
        </w:rPr>
      </w:pPr>
      <w:r w:rsidRPr="00316F06">
        <w:rPr>
          <w:lang w:val="sk-SK"/>
        </w:rPr>
        <w:t>V mal</w:t>
      </w:r>
      <w:r w:rsidR="005D2726">
        <w:rPr>
          <w:lang w:val="sk-SK"/>
        </w:rPr>
        <w:t>ej</w:t>
      </w:r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farmakokinetick</w:t>
      </w:r>
      <w:r w:rsidR="005D2726">
        <w:rPr>
          <w:lang w:val="sk-SK"/>
        </w:rPr>
        <w:t>ej</w:t>
      </w:r>
      <w:proofErr w:type="spellEnd"/>
      <w:r w:rsidR="005D2726">
        <w:rPr>
          <w:lang w:val="sk-SK"/>
        </w:rPr>
        <w:t xml:space="preserve"> štúdií</w:t>
      </w:r>
      <w:r w:rsidRPr="00316F06">
        <w:rPr>
          <w:lang w:val="sk-SK"/>
        </w:rPr>
        <w:t xml:space="preserve"> (n = 5), pri ktorom sa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350 mg/m² podával spolu s </w:t>
      </w:r>
      <w:r w:rsidRPr="00316F06">
        <w:rPr>
          <w:rFonts w:cs="Times New Roman"/>
          <w:lang w:val="sk-SK"/>
        </w:rPr>
        <w:t>ľubovníkom bodkovaným (</w:t>
      </w:r>
      <w:proofErr w:type="spellStart"/>
      <w:r w:rsidRPr="00316F06">
        <w:rPr>
          <w:i/>
          <w:iCs/>
          <w:lang w:val="sk-SK"/>
        </w:rPr>
        <w:t>Hypericum</w:t>
      </w:r>
      <w:proofErr w:type="spellEnd"/>
      <w:r w:rsidRPr="00316F06">
        <w:rPr>
          <w:i/>
          <w:iCs/>
          <w:lang w:val="sk-SK"/>
        </w:rPr>
        <w:t xml:space="preserve"> </w:t>
      </w:r>
      <w:proofErr w:type="spellStart"/>
      <w:r w:rsidRPr="00316F06">
        <w:rPr>
          <w:i/>
          <w:iCs/>
          <w:lang w:val="sk-SK"/>
        </w:rPr>
        <w:t>perforatum</w:t>
      </w:r>
      <w:proofErr w:type="spellEnd"/>
      <w:r w:rsidRPr="00316F06">
        <w:rPr>
          <w:lang w:val="sk-SK"/>
        </w:rPr>
        <w:t xml:space="preserve">) 900 mg, bolo zaznamenané 42 % zníženie koncentrácie aktívneho </w:t>
      </w:r>
      <w:proofErr w:type="spellStart"/>
      <w:r w:rsidRPr="00316F06">
        <w:rPr>
          <w:lang w:val="sk-SK"/>
        </w:rPr>
        <w:t>metabolitu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, SN</w:t>
      </w:r>
      <w:r w:rsidRPr="00316F06">
        <w:rPr>
          <w:lang w:val="sk-SK"/>
        </w:rPr>
        <w:noBreakHyphen/>
        <w:t xml:space="preserve">38, v plazme. </w:t>
      </w:r>
      <w:r w:rsidRPr="00316F06">
        <w:rPr>
          <w:rFonts w:cs="Times New Roman"/>
          <w:lang w:val="sk-SK"/>
        </w:rPr>
        <w:t>Ľubovník bodkovaný znižuje hladiny SN-38 v plazme.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Z tohto dôvodu sa ľubovník bodkovaný nesmie podávať spolu s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(pozri časť 4.3).</w:t>
      </w:r>
    </w:p>
    <w:p w14:paraId="5ACF1910" w14:textId="77777777" w:rsidR="00913218" w:rsidRPr="00316F06" w:rsidRDefault="00913218">
      <w:pPr>
        <w:rPr>
          <w:lang w:val="sk-SK"/>
        </w:rPr>
      </w:pPr>
    </w:p>
    <w:p w14:paraId="56015F71" w14:textId="29789112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Súčasné podávanie 5-fluóruracilu/kyseliny </w:t>
      </w:r>
      <w:proofErr w:type="spellStart"/>
      <w:r w:rsidRPr="00316F06">
        <w:rPr>
          <w:rFonts w:cs="Times New Roman"/>
          <w:lang w:val="sk-SK"/>
        </w:rPr>
        <w:t>folínovej</w:t>
      </w:r>
      <w:proofErr w:type="spellEnd"/>
      <w:r w:rsidRPr="00316F06">
        <w:rPr>
          <w:rFonts w:cs="Times New Roman"/>
          <w:lang w:val="sk-SK"/>
        </w:rPr>
        <w:t xml:space="preserve"> v kombinovanom režime liečby nemení </w:t>
      </w:r>
      <w:proofErr w:type="spellStart"/>
      <w:r w:rsidRPr="00316F06">
        <w:rPr>
          <w:rFonts w:cs="Times New Roman"/>
          <w:lang w:val="sk-SK"/>
        </w:rPr>
        <w:t>farmakokinetiku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>.</w:t>
      </w:r>
    </w:p>
    <w:p w14:paraId="0DB760B9" w14:textId="77777777" w:rsidR="00913218" w:rsidRPr="00316F06" w:rsidRDefault="00913218">
      <w:pPr>
        <w:rPr>
          <w:lang w:val="sk-SK"/>
        </w:rPr>
      </w:pPr>
    </w:p>
    <w:p w14:paraId="4F06578C" w14:textId="11622706" w:rsidR="00913218" w:rsidRPr="00805523" w:rsidRDefault="00913218" w:rsidP="00F110C8">
      <w:pPr>
        <w:rPr>
          <w:lang w:val="sk-SK"/>
        </w:rPr>
      </w:pPr>
      <w:proofErr w:type="spellStart"/>
      <w:r w:rsidRPr="00316F06">
        <w:rPr>
          <w:lang w:val="sk-SK"/>
        </w:rPr>
        <w:t>Atazanavirsulfát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Súbežné podávanie </w:t>
      </w:r>
      <w:proofErr w:type="spellStart"/>
      <w:r w:rsidRPr="00316F06">
        <w:rPr>
          <w:lang w:val="sk-SK"/>
        </w:rPr>
        <w:t>atazanavirsulfátu</w:t>
      </w:r>
      <w:proofErr w:type="spellEnd"/>
      <w:r w:rsidRPr="00316F06">
        <w:rPr>
          <w:lang w:val="sk-SK"/>
        </w:rPr>
        <w:t>, ktorý je inhibítorom enzýmov CYP3A4 a UGT1A1, má potenciál zvyšovať systémovú expozíciu SN</w:t>
      </w:r>
      <w:r w:rsidRPr="00316F06">
        <w:rPr>
          <w:lang w:val="sk-SK"/>
        </w:rPr>
        <w:noBreakHyphen/>
        <w:t xml:space="preserve">38, ktorý je aktívnym </w:t>
      </w:r>
      <w:proofErr w:type="spellStart"/>
      <w:r w:rsidRPr="00316F06">
        <w:rPr>
          <w:lang w:val="sk-SK"/>
        </w:rPr>
        <w:t>metabolitom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Lekári by to mali zohľadniť pri súbežnom podávaní týchto liekov.</w:t>
      </w:r>
    </w:p>
    <w:p w14:paraId="4159747E" w14:textId="77777777" w:rsidR="00913218" w:rsidRPr="00805523" w:rsidRDefault="00913218" w:rsidP="004701E4">
      <w:pPr>
        <w:rPr>
          <w:lang w:val="sk-SK"/>
        </w:rPr>
      </w:pPr>
    </w:p>
    <w:p w14:paraId="1FD6EF6D" w14:textId="77777777" w:rsidR="00913218" w:rsidRPr="00805523" w:rsidRDefault="00913218" w:rsidP="004701E4">
      <w:pPr>
        <w:rPr>
          <w:u w:val="single"/>
          <w:lang w:val="sk-SK"/>
        </w:rPr>
      </w:pPr>
      <w:r w:rsidRPr="00316F06">
        <w:rPr>
          <w:u w:val="single"/>
          <w:lang w:val="sk-SK"/>
        </w:rPr>
        <w:t xml:space="preserve">Bežné interakcie u všetkých </w:t>
      </w:r>
      <w:proofErr w:type="spellStart"/>
      <w:r w:rsidRPr="00316F06">
        <w:rPr>
          <w:u w:val="single"/>
          <w:lang w:val="sk-SK"/>
        </w:rPr>
        <w:t>cytotoxík</w:t>
      </w:r>
      <w:proofErr w:type="spellEnd"/>
    </w:p>
    <w:p w14:paraId="13ABE06C" w14:textId="77777777" w:rsidR="00913218" w:rsidRPr="00805523" w:rsidRDefault="00913218" w:rsidP="004701E4">
      <w:pPr>
        <w:rPr>
          <w:lang w:val="sk-SK"/>
        </w:rPr>
      </w:pPr>
    </w:p>
    <w:p w14:paraId="43CD4F13" w14:textId="77777777" w:rsidR="00913218" w:rsidRPr="00805523" w:rsidRDefault="00913218" w:rsidP="004701E4">
      <w:pPr>
        <w:rPr>
          <w:lang w:val="sk-SK"/>
        </w:rPr>
      </w:pPr>
      <w:r w:rsidRPr="00316F06">
        <w:rPr>
          <w:lang w:val="sk-SK"/>
        </w:rPr>
        <w:t xml:space="preserve">Pri nádorových ochoreniach je bežné používanie </w:t>
      </w:r>
      <w:proofErr w:type="spellStart"/>
      <w:r w:rsidRPr="00316F06">
        <w:rPr>
          <w:lang w:val="sk-SK"/>
        </w:rPr>
        <w:t>antikoagulancií</w:t>
      </w:r>
      <w:proofErr w:type="spellEnd"/>
      <w:r w:rsidRPr="00316F06">
        <w:rPr>
          <w:lang w:val="sk-SK"/>
        </w:rPr>
        <w:t xml:space="preserve"> kvôli zvýšenému riziku </w:t>
      </w:r>
      <w:proofErr w:type="spellStart"/>
      <w:r w:rsidRPr="00316F06">
        <w:rPr>
          <w:lang w:val="sk-SK"/>
        </w:rPr>
        <w:t>trombotických</w:t>
      </w:r>
      <w:proofErr w:type="spellEnd"/>
      <w:r w:rsidRPr="00316F06">
        <w:rPr>
          <w:lang w:val="sk-SK"/>
        </w:rPr>
        <w:t xml:space="preserve"> príhod.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Ak sú indikované </w:t>
      </w:r>
      <w:proofErr w:type="spellStart"/>
      <w:r w:rsidRPr="00316F06">
        <w:rPr>
          <w:lang w:val="sk-SK"/>
        </w:rPr>
        <w:t>antikoagulanciá</w:t>
      </w:r>
      <w:proofErr w:type="spellEnd"/>
      <w:r w:rsidRPr="00316F06">
        <w:rPr>
          <w:lang w:val="sk-SK"/>
        </w:rPr>
        <w:t xml:space="preserve"> na báze antagonistov vitamínu K, je potrebná zvýšená frekvencia sledovania pomeru INR (International </w:t>
      </w:r>
      <w:proofErr w:type="spellStart"/>
      <w:r w:rsidRPr="00316F06">
        <w:rPr>
          <w:lang w:val="sk-SK"/>
        </w:rPr>
        <w:t>Normalised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Ratio</w:t>
      </w:r>
      <w:proofErr w:type="spellEnd"/>
      <w:r w:rsidRPr="00316F06">
        <w:rPr>
          <w:lang w:val="sk-SK"/>
        </w:rPr>
        <w:t xml:space="preserve">, medzinárodný normalizovaný pomer) z dôvodu ich úzkeho terapeutického indexu, vysokej individuálnej variability krvnej </w:t>
      </w:r>
      <w:proofErr w:type="spellStart"/>
      <w:r w:rsidRPr="00316F06">
        <w:rPr>
          <w:lang w:val="sk-SK"/>
        </w:rPr>
        <w:t>trombogenicity</w:t>
      </w:r>
      <w:proofErr w:type="spellEnd"/>
      <w:r w:rsidRPr="00316F06">
        <w:rPr>
          <w:lang w:val="sk-SK"/>
        </w:rPr>
        <w:t xml:space="preserve"> a možnosti interakcie medzi perorálnymi </w:t>
      </w:r>
      <w:proofErr w:type="spellStart"/>
      <w:r w:rsidRPr="00316F06">
        <w:rPr>
          <w:lang w:val="sk-SK"/>
        </w:rPr>
        <w:t>antikoagulanciami</w:t>
      </w:r>
      <w:proofErr w:type="spellEnd"/>
      <w:r w:rsidRPr="00316F06">
        <w:rPr>
          <w:lang w:val="sk-SK"/>
        </w:rPr>
        <w:t xml:space="preserve"> a protirakovinovou chemoterapiou.</w:t>
      </w:r>
    </w:p>
    <w:p w14:paraId="365F5C74" w14:textId="77777777" w:rsidR="00913218" w:rsidRPr="00805523" w:rsidRDefault="00913218" w:rsidP="004701E4">
      <w:pPr>
        <w:rPr>
          <w:lang w:val="sk-SK"/>
        </w:rPr>
      </w:pPr>
    </w:p>
    <w:p w14:paraId="036A8BBC" w14:textId="77777777" w:rsidR="00913218" w:rsidRPr="00316F06" w:rsidRDefault="00913218" w:rsidP="004701E4">
      <w:pPr>
        <w:keepNext/>
        <w:keepLines/>
        <w:rPr>
          <w:lang w:val="sk-SK"/>
        </w:rPr>
      </w:pPr>
      <w:r w:rsidRPr="00316F06">
        <w:rPr>
          <w:i/>
          <w:lang w:val="sk-SK"/>
        </w:rPr>
        <w:t>Súbežné používanie je kontraindikované</w:t>
      </w:r>
    </w:p>
    <w:p w14:paraId="297F6A9D" w14:textId="77777777" w:rsidR="00913218" w:rsidRPr="00316F06" w:rsidRDefault="00913218" w:rsidP="004701E4">
      <w:pPr>
        <w:keepNext/>
        <w:keepLines/>
        <w:numPr>
          <w:ilvl w:val="0"/>
          <w:numId w:val="4"/>
        </w:numPr>
        <w:tabs>
          <w:tab w:val="clear" w:pos="567"/>
        </w:tabs>
        <w:ind w:left="284" w:hanging="284"/>
        <w:rPr>
          <w:lang w:val="sk-SK"/>
        </w:rPr>
      </w:pPr>
      <w:r w:rsidRPr="00316F06">
        <w:rPr>
          <w:lang w:val="sk-SK"/>
        </w:rPr>
        <w:t>Očkovacia látka proti žltej zimnici: riziko smrteľnej celkovej reakcie na očkovacie látky.</w:t>
      </w:r>
    </w:p>
    <w:p w14:paraId="1829CF2C" w14:textId="77777777" w:rsidR="00913218" w:rsidRPr="00316F06" w:rsidRDefault="00913218" w:rsidP="004701E4">
      <w:pPr>
        <w:rPr>
          <w:i/>
          <w:u w:val="single"/>
          <w:lang w:val="sk-SK"/>
        </w:rPr>
      </w:pPr>
    </w:p>
    <w:p w14:paraId="16FD7F10" w14:textId="77777777" w:rsidR="00913218" w:rsidRPr="00316F06" w:rsidRDefault="00913218" w:rsidP="004701E4">
      <w:pPr>
        <w:keepNext/>
        <w:keepLines/>
        <w:rPr>
          <w:lang w:val="sk-SK"/>
        </w:rPr>
      </w:pPr>
      <w:r w:rsidRPr="00316F06">
        <w:rPr>
          <w:i/>
          <w:lang w:val="sk-SK"/>
        </w:rPr>
        <w:t>Súbežné používanie sa neodporúča</w:t>
      </w:r>
    </w:p>
    <w:p w14:paraId="16004582" w14:textId="77777777" w:rsidR="00913218" w:rsidRPr="00316F06" w:rsidRDefault="00913218" w:rsidP="004701E4">
      <w:pPr>
        <w:keepNext/>
        <w:keepLines/>
        <w:numPr>
          <w:ilvl w:val="0"/>
          <w:numId w:val="4"/>
        </w:numPr>
        <w:tabs>
          <w:tab w:val="clear" w:pos="567"/>
        </w:tabs>
        <w:ind w:left="284" w:hanging="284"/>
        <w:rPr>
          <w:lang w:val="sk-SK"/>
        </w:rPr>
      </w:pPr>
      <w:r w:rsidRPr="00316F06">
        <w:rPr>
          <w:lang w:val="sk-SK"/>
        </w:rPr>
        <w:t>Živé oslabené očkovacie látky (okrem žltej zimnice): riziko systémového ochorenia, ktoré sa môže skončiť smrťou (napríklad infekcie). Toto riziko je zvýšené u pacientov, ktorí už majú oslabený imunitný systém ich základným ochorením. Použite inaktivovanú očkovaciu látku, ak existuje (detská obrna).</w:t>
      </w:r>
    </w:p>
    <w:p w14:paraId="237744A6" w14:textId="77777777" w:rsidR="00913218" w:rsidRPr="00316F06" w:rsidRDefault="00913218" w:rsidP="004701E4">
      <w:pPr>
        <w:keepNext/>
        <w:keepLines/>
        <w:numPr>
          <w:ilvl w:val="0"/>
          <w:numId w:val="4"/>
        </w:numPr>
        <w:tabs>
          <w:tab w:val="clear" w:pos="567"/>
        </w:tabs>
        <w:ind w:left="284" w:hanging="284"/>
        <w:rPr>
          <w:lang w:val="sk-SK"/>
        </w:rPr>
      </w:pPr>
      <w:proofErr w:type="spellStart"/>
      <w:r w:rsidRPr="00316F06">
        <w:rPr>
          <w:lang w:val="sk-SK"/>
        </w:rPr>
        <w:t>Fenytoín</w:t>
      </w:r>
      <w:proofErr w:type="spellEnd"/>
      <w:r w:rsidRPr="00316F06">
        <w:rPr>
          <w:lang w:val="sk-SK"/>
        </w:rPr>
        <w:t xml:space="preserve">: riziko </w:t>
      </w:r>
      <w:proofErr w:type="spellStart"/>
      <w:r w:rsidRPr="00316F06">
        <w:rPr>
          <w:lang w:val="sk-SK"/>
        </w:rPr>
        <w:t>exacerbácie</w:t>
      </w:r>
      <w:proofErr w:type="spellEnd"/>
      <w:r w:rsidRPr="00316F06">
        <w:rPr>
          <w:lang w:val="sk-SK"/>
        </w:rPr>
        <w:t xml:space="preserve"> kŕčov v dôsledku poklesu absorpcie </w:t>
      </w:r>
      <w:proofErr w:type="spellStart"/>
      <w:r w:rsidRPr="00316F06">
        <w:rPr>
          <w:lang w:val="sk-SK"/>
        </w:rPr>
        <w:t>fenytoínu</w:t>
      </w:r>
      <w:proofErr w:type="spellEnd"/>
      <w:r w:rsidRPr="00316F06">
        <w:rPr>
          <w:lang w:val="sk-SK"/>
        </w:rPr>
        <w:t xml:space="preserve"> v tráviacom trakte spôsobeného </w:t>
      </w:r>
      <w:proofErr w:type="spellStart"/>
      <w:r w:rsidRPr="00316F06">
        <w:rPr>
          <w:lang w:val="sk-SK"/>
        </w:rPr>
        <w:t>cytotoxickými</w:t>
      </w:r>
      <w:proofErr w:type="spellEnd"/>
      <w:r w:rsidRPr="00316F06">
        <w:rPr>
          <w:lang w:val="sk-SK"/>
        </w:rPr>
        <w:t xml:space="preserve"> látkami.</w:t>
      </w:r>
    </w:p>
    <w:p w14:paraId="31916587" w14:textId="77777777" w:rsidR="00913218" w:rsidRPr="00316F06" w:rsidRDefault="00913218" w:rsidP="004701E4">
      <w:pPr>
        <w:rPr>
          <w:i/>
          <w:u w:val="single"/>
          <w:lang w:val="sk-SK"/>
        </w:rPr>
      </w:pPr>
    </w:p>
    <w:p w14:paraId="31F0C1FD" w14:textId="77777777" w:rsidR="00913218" w:rsidRPr="00316F06" w:rsidRDefault="00913218" w:rsidP="00175890">
      <w:pPr>
        <w:keepNext/>
        <w:keepLines/>
        <w:rPr>
          <w:lang w:val="sk-SK"/>
        </w:rPr>
      </w:pPr>
      <w:r w:rsidRPr="00316F06">
        <w:rPr>
          <w:i/>
          <w:lang w:val="sk-SK"/>
        </w:rPr>
        <w:lastRenderedPageBreak/>
        <w:t>Zohľadnenie súbežného používania</w:t>
      </w:r>
    </w:p>
    <w:p w14:paraId="7C4EC77F" w14:textId="77777777" w:rsidR="00913218" w:rsidRPr="00316F06" w:rsidRDefault="00913218" w:rsidP="00175890">
      <w:pPr>
        <w:keepNext/>
        <w:keepLines/>
        <w:numPr>
          <w:ilvl w:val="0"/>
          <w:numId w:val="4"/>
        </w:numPr>
        <w:tabs>
          <w:tab w:val="clear" w:pos="567"/>
        </w:tabs>
        <w:ind w:left="284" w:hanging="284"/>
        <w:rPr>
          <w:lang w:val="sk-SK"/>
        </w:rPr>
      </w:pPr>
      <w:proofErr w:type="spellStart"/>
      <w:r w:rsidRPr="00316F06">
        <w:rPr>
          <w:lang w:val="sk-SK"/>
        </w:rPr>
        <w:t>Ciklosporín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takrolimus</w:t>
      </w:r>
      <w:proofErr w:type="spellEnd"/>
      <w:r w:rsidRPr="00316F06">
        <w:rPr>
          <w:lang w:val="sk-SK"/>
        </w:rPr>
        <w:t xml:space="preserve">: nadmerná </w:t>
      </w:r>
      <w:proofErr w:type="spellStart"/>
      <w:r w:rsidRPr="00316F06">
        <w:rPr>
          <w:lang w:val="sk-SK"/>
        </w:rPr>
        <w:t>imunosupresia</w:t>
      </w:r>
      <w:proofErr w:type="spellEnd"/>
      <w:r w:rsidRPr="00316F06">
        <w:rPr>
          <w:lang w:val="sk-SK"/>
        </w:rPr>
        <w:t xml:space="preserve"> s rizikom </w:t>
      </w:r>
      <w:proofErr w:type="spellStart"/>
      <w:r w:rsidRPr="00316F06">
        <w:rPr>
          <w:lang w:val="sk-SK"/>
        </w:rPr>
        <w:t>lymfoproliferácie</w:t>
      </w:r>
      <w:proofErr w:type="spellEnd"/>
      <w:r w:rsidRPr="00316F06">
        <w:rPr>
          <w:lang w:val="sk-SK"/>
        </w:rPr>
        <w:t>.</w:t>
      </w:r>
    </w:p>
    <w:p w14:paraId="75484300" w14:textId="77777777" w:rsidR="00913218" w:rsidRPr="00316F06" w:rsidRDefault="00913218" w:rsidP="00175890">
      <w:pPr>
        <w:keepNext/>
        <w:keepLines/>
        <w:rPr>
          <w:lang w:val="sk-SK"/>
        </w:rPr>
      </w:pPr>
    </w:p>
    <w:p w14:paraId="703F5E8B" w14:textId="7D7FCF97" w:rsidR="00913218" w:rsidRPr="00316F06" w:rsidRDefault="00913218" w:rsidP="00175890">
      <w:pPr>
        <w:keepNext/>
        <w:keepLines/>
        <w:rPr>
          <w:lang w:val="sk-SK"/>
        </w:rPr>
      </w:pPr>
      <w:r w:rsidRPr="00316F06">
        <w:rPr>
          <w:lang w:val="sk-SK"/>
        </w:rPr>
        <w:t xml:space="preserve">Neexistujú žiadne dôkazy ovplyvnenia </w:t>
      </w:r>
      <w:r w:rsidRPr="00316F06">
        <w:rPr>
          <w:rFonts w:cs="Times New Roman"/>
          <w:lang w:val="sk-SK"/>
        </w:rPr>
        <w:t>bezpečnos</w:t>
      </w:r>
      <w:r w:rsidRPr="00316F06">
        <w:rPr>
          <w:lang w:val="sk-SK"/>
        </w:rPr>
        <w:t xml:space="preserve">tného profilu </w:t>
      </w:r>
      <w:proofErr w:type="spellStart"/>
      <w:r w:rsidRPr="00316F06">
        <w:rPr>
          <w:lang w:val="sk-SK"/>
        </w:rPr>
        <w:t>irinotek</w:t>
      </w:r>
      <w:r w:rsidR="00B6463D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cetuximabom</w:t>
      </w:r>
      <w:proofErr w:type="spellEnd"/>
      <w:r w:rsidRPr="00316F06">
        <w:rPr>
          <w:lang w:val="sk-SK"/>
        </w:rPr>
        <w:t xml:space="preserve"> ani naopak.</w:t>
      </w:r>
    </w:p>
    <w:p w14:paraId="4A1AEAF7" w14:textId="77777777" w:rsidR="00913218" w:rsidRPr="00316F06" w:rsidRDefault="00913218">
      <w:pPr>
        <w:rPr>
          <w:lang w:val="sk-SK"/>
        </w:rPr>
      </w:pPr>
    </w:p>
    <w:p w14:paraId="05B4D1F0" w14:textId="7A363325" w:rsidR="00913218" w:rsidRPr="00316F06" w:rsidRDefault="00913218">
      <w:pPr>
        <w:rPr>
          <w:lang w:val="sk-SK"/>
        </w:rPr>
      </w:pPr>
      <w:r w:rsidRPr="00316F06">
        <w:rPr>
          <w:lang w:val="sk-SK"/>
        </w:rPr>
        <w:t>V</w:t>
      </w:r>
      <w:r w:rsidR="00CE5787">
        <w:rPr>
          <w:lang w:val="sk-SK"/>
        </w:rPr>
        <w:t> </w:t>
      </w:r>
      <w:r w:rsidRPr="00316F06">
        <w:rPr>
          <w:lang w:val="sk-SK"/>
        </w:rPr>
        <w:t>jedn</w:t>
      </w:r>
      <w:r w:rsidR="00CE5787">
        <w:rPr>
          <w:lang w:val="sk-SK"/>
        </w:rPr>
        <w:t>ej štúdii</w:t>
      </w:r>
      <w:r w:rsidRPr="00316F06">
        <w:rPr>
          <w:lang w:val="sk-SK"/>
        </w:rPr>
        <w:t xml:space="preserve"> boli koncentrácie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podobné u pacientov užívajúcich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  <w:t xml:space="preserve">FU/FA samotný alebo v kombinácii s </w:t>
      </w:r>
      <w:proofErr w:type="spellStart"/>
      <w:r w:rsidRPr="00316F06">
        <w:rPr>
          <w:lang w:val="sk-SK"/>
        </w:rPr>
        <w:t>bevacizumabom</w:t>
      </w:r>
      <w:proofErr w:type="spellEnd"/>
      <w:r w:rsidRPr="00316F06">
        <w:rPr>
          <w:lang w:val="sk-SK"/>
        </w:rPr>
        <w:t>. Koncentrácie SN</w:t>
      </w:r>
      <w:r w:rsidRPr="00316F06">
        <w:rPr>
          <w:lang w:val="sk-SK"/>
        </w:rPr>
        <w:noBreakHyphen/>
        <w:t xml:space="preserve">38, aktívneho </w:t>
      </w:r>
      <w:proofErr w:type="spellStart"/>
      <w:r w:rsidRPr="00316F06">
        <w:rPr>
          <w:lang w:val="sk-SK"/>
        </w:rPr>
        <w:t>metabolitu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, boli analyzované na podmnožine pacientov (približne 30 na jeden smer terapie). Koncentrácie SN</w:t>
      </w:r>
      <w:r w:rsidRPr="00316F06">
        <w:rPr>
          <w:lang w:val="sk-SK"/>
        </w:rPr>
        <w:noBreakHyphen/>
        <w:t xml:space="preserve">38 boli v priemere o 33 % vyššie u pacientov užívajúcich </w:t>
      </w:r>
      <w:proofErr w:type="spellStart"/>
      <w:r w:rsidRPr="00316F06">
        <w:rPr>
          <w:lang w:val="sk-SK"/>
        </w:rPr>
        <w:t>irinotekan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  <w:t xml:space="preserve">FU/FA v kombinácii s </w:t>
      </w:r>
      <w:proofErr w:type="spellStart"/>
      <w:r w:rsidRPr="00316F06">
        <w:rPr>
          <w:lang w:val="sk-SK"/>
        </w:rPr>
        <w:t>bevacizumabom</w:t>
      </w:r>
      <w:proofErr w:type="spellEnd"/>
      <w:r w:rsidRPr="00316F06">
        <w:rPr>
          <w:lang w:val="sk-SK"/>
        </w:rPr>
        <w:t xml:space="preserve"> v porovnaní s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  <w:t xml:space="preserve">FU/FA samotným. </w:t>
      </w:r>
      <w:r w:rsidRPr="00316F06">
        <w:rPr>
          <w:rFonts w:cs="Times New Roman"/>
          <w:lang w:val="sk-SK"/>
        </w:rPr>
        <w:t>S ohľadom na veľké rozdiely medzi pacientmi a na obmedzenú veľkosť vzorky nie je isté, či pozorované zvýšenie hladín SN</w:t>
      </w:r>
      <w:r w:rsidRPr="00316F06">
        <w:rPr>
          <w:rFonts w:cs="Times New Roman"/>
          <w:lang w:val="sk-SK"/>
        </w:rPr>
        <w:noBreakHyphen/>
        <w:t xml:space="preserve">38 bolo spôsobené </w:t>
      </w:r>
      <w:proofErr w:type="spellStart"/>
      <w:r w:rsidRPr="00316F06">
        <w:rPr>
          <w:rFonts w:cs="Times New Roman"/>
          <w:lang w:val="sk-SK"/>
        </w:rPr>
        <w:t>bevacizumabom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Dochádzalo k malému zvýšeniu výskytu hnačky a nežiaducich príznakov </w:t>
      </w:r>
      <w:proofErr w:type="spellStart"/>
      <w:r w:rsidRPr="00316F06">
        <w:rPr>
          <w:rFonts w:cs="Times New Roman"/>
          <w:lang w:val="sk-SK"/>
        </w:rPr>
        <w:t>leukocytopénie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Ďalšie zníženia dávky </w:t>
      </w:r>
      <w:proofErr w:type="spellStart"/>
      <w:r w:rsidRPr="00316F06">
        <w:rPr>
          <w:rFonts w:cs="Times New Roman"/>
          <w:lang w:val="sk-SK"/>
        </w:rPr>
        <w:t>irinotekanu</w:t>
      </w:r>
      <w:proofErr w:type="spellEnd"/>
      <w:r w:rsidRPr="00316F06">
        <w:rPr>
          <w:rFonts w:cs="Times New Roman"/>
          <w:lang w:val="sk-SK"/>
        </w:rPr>
        <w:t xml:space="preserve"> boli zaznamenané u pacientov, k</w:t>
      </w:r>
      <w:r w:rsidRPr="00316F06">
        <w:rPr>
          <w:lang w:val="sk-SK"/>
        </w:rPr>
        <w:t xml:space="preserve">torí dostávali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  <w:t xml:space="preserve">FU/FA v kombinácii s 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>.</w:t>
      </w:r>
    </w:p>
    <w:p w14:paraId="04E68D41" w14:textId="77777777" w:rsidR="00913218" w:rsidRPr="00316F06" w:rsidRDefault="00913218">
      <w:pPr>
        <w:rPr>
          <w:lang w:val="sk-SK"/>
        </w:rPr>
      </w:pPr>
    </w:p>
    <w:p w14:paraId="1BC59869" w14:textId="364BDA9A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U pacientov, u ktorých dochádza k závažnej hnačke, </w:t>
      </w:r>
      <w:proofErr w:type="spellStart"/>
      <w:r w:rsidRPr="00316F06">
        <w:rPr>
          <w:rFonts w:cs="Times New Roman"/>
          <w:lang w:val="sk-SK"/>
        </w:rPr>
        <w:t>leukocytopénii</w:t>
      </w:r>
      <w:proofErr w:type="spellEnd"/>
      <w:r w:rsidRPr="00316F06">
        <w:rPr>
          <w:rFonts w:cs="Times New Roman"/>
          <w:lang w:val="sk-SK"/>
        </w:rPr>
        <w:t xml:space="preserve"> alebo </w:t>
      </w:r>
      <w:proofErr w:type="spellStart"/>
      <w:r w:rsidRPr="00316F06">
        <w:rPr>
          <w:rFonts w:cs="Times New Roman"/>
          <w:lang w:val="sk-SK"/>
        </w:rPr>
        <w:t>neutropénii</w:t>
      </w:r>
      <w:proofErr w:type="spellEnd"/>
      <w:r w:rsidRPr="00316F06">
        <w:rPr>
          <w:rFonts w:cs="Times New Roman"/>
          <w:lang w:val="sk-SK"/>
        </w:rPr>
        <w:t xml:space="preserve"> pri kombinácii </w:t>
      </w:r>
      <w:proofErr w:type="spellStart"/>
      <w:r w:rsidRPr="00316F06">
        <w:rPr>
          <w:rFonts w:cs="Times New Roman"/>
          <w:lang w:val="sk-SK"/>
        </w:rPr>
        <w:t>bevacizumabu</w:t>
      </w:r>
      <w:proofErr w:type="spellEnd"/>
      <w:r w:rsidRPr="00316F06">
        <w:rPr>
          <w:rFonts w:cs="Times New Roman"/>
          <w:lang w:val="sk-SK"/>
        </w:rPr>
        <w:t xml:space="preserve"> a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, je potrebná úprava dávky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>, ako sa špecifikuje v časti </w:t>
      </w:r>
      <w:r w:rsidRPr="00316F06">
        <w:rPr>
          <w:lang w:val="sk-SK"/>
        </w:rPr>
        <w:t>4.2.</w:t>
      </w:r>
    </w:p>
    <w:p w14:paraId="0674A48D" w14:textId="77777777" w:rsidR="00913218" w:rsidRPr="00316F06" w:rsidRDefault="00913218">
      <w:pPr>
        <w:rPr>
          <w:lang w:val="sk-SK"/>
        </w:rPr>
      </w:pPr>
    </w:p>
    <w:p w14:paraId="43D975BC" w14:textId="170E2974" w:rsidR="00913218" w:rsidRPr="00805523" w:rsidRDefault="00913218" w:rsidP="00F110C8">
      <w:pPr>
        <w:rPr>
          <w:lang w:val="sk-SK"/>
        </w:rPr>
      </w:pPr>
      <w:r w:rsidRPr="00316F06">
        <w:rPr>
          <w:lang w:val="sk-SK"/>
        </w:rPr>
        <w:t xml:space="preserve">Výsledky z vyhradeného skúšania liekových interakcií nepreukázali žiadny významný účinok 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 xml:space="preserve"> na </w:t>
      </w:r>
      <w:proofErr w:type="spellStart"/>
      <w:r w:rsidRPr="00316F06">
        <w:rPr>
          <w:lang w:val="sk-SK"/>
        </w:rPr>
        <w:t>farmakokinetické</w:t>
      </w:r>
      <w:proofErr w:type="spellEnd"/>
      <w:r w:rsidRPr="00316F06">
        <w:rPr>
          <w:lang w:val="sk-SK"/>
        </w:rPr>
        <w:t xml:space="preserve"> vlastnosti </w:t>
      </w:r>
      <w:proofErr w:type="spellStart"/>
      <w:r w:rsidRPr="00316F06">
        <w:rPr>
          <w:lang w:val="sk-SK"/>
        </w:rPr>
        <w:t>irinotek</w:t>
      </w:r>
      <w:r w:rsidR="00B6463D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a jeho aktívneho </w:t>
      </w:r>
      <w:proofErr w:type="spellStart"/>
      <w:r w:rsidRPr="00316F06">
        <w:rPr>
          <w:lang w:val="sk-SK"/>
        </w:rPr>
        <w:t>metabolitu</w:t>
      </w:r>
      <w:proofErr w:type="spellEnd"/>
      <w:r w:rsidRPr="00316F06">
        <w:rPr>
          <w:lang w:val="sk-SK"/>
        </w:rPr>
        <w:t xml:space="preserve"> SN</w:t>
      </w:r>
      <w:r w:rsidRPr="00316F06">
        <w:rPr>
          <w:lang w:val="sk-SK"/>
        </w:rPr>
        <w:noBreakHyphen/>
        <w:t>38.</w:t>
      </w:r>
      <w:r w:rsidRPr="00805523">
        <w:rPr>
          <w:noProof/>
          <w:lang w:val="sk-SK"/>
        </w:rPr>
        <w:t xml:space="preserve"> </w:t>
      </w:r>
      <w:r w:rsidRPr="00316F06">
        <w:rPr>
          <w:lang w:val="sk-SK"/>
        </w:rPr>
        <w:t>To však nevylučuje prípadné zvýšenie toxicít z dôvodu ich farmakologických vlastností.</w:t>
      </w:r>
    </w:p>
    <w:p w14:paraId="08869633" w14:textId="77777777" w:rsidR="00913218" w:rsidRPr="00805523" w:rsidRDefault="00913218" w:rsidP="004701E4">
      <w:pPr>
        <w:rPr>
          <w:lang w:val="sk-SK"/>
        </w:rPr>
      </w:pPr>
    </w:p>
    <w:p w14:paraId="2E3CE165" w14:textId="15590303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4.6</w:t>
      </w:r>
      <w:r w:rsidRPr="00316F06">
        <w:rPr>
          <w:b/>
          <w:bCs/>
          <w:lang w:val="sk-SK"/>
        </w:rPr>
        <w:tab/>
      </w:r>
      <w:proofErr w:type="spellStart"/>
      <w:r w:rsidR="00483D77">
        <w:rPr>
          <w:b/>
          <w:bCs/>
          <w:lang w:val="sk-SK"/>
        </w:rPr>
        <w:t>Fertilita</w:t>
      </w:r>
      <w:proofErr w:type="spellEnd"/>
      <w:r w:rsidR="00483D77">
        <w:rPr>
          <w:b/>
          <w:bCs/>
          <w:lang w:val="sk-SK"/>
        </w:rPr>
        <w:t>, g</w:t>
      </w:r>
      <w:r w:rsidRPr="00316F06">
        <w:rPr>
          <w:b/>
          <w:bCs/>
          <w:lang w:val="sk-SK"/>
        </w:rPr>
        <w:t xml:space="preserve">ravidita </w:t>
      </w:r>
      <w:r w:rsidR="00483D77">
        <w:rPr>
          <w:b/>
          <w:bCs/>
          <w:lang w:val="sk-SK"/>
        </w:rPr>
        <w:t xml:space="preserve">a </w:t>
      </w:r>
      <w:r w:rsidRPr="00316F06">
        <w:rPr>
          <w:b/>
          <w:bCs/>
          <w:lang w:val="sk-SK"/>
        </w:rPr>
        <w:t>laktácia</w:t>
      </w:r>
    </w:p>
    <w:p w14:paraId="709FA260" w14:textId="77777777" w:rsidR="00913218" w:rsidRPr="00316F06" w:rsidRDefault="00913218">
      <w:pPr>
        <w:keepNext/>
        <w:widowControl w:val="0"/>
        <w:rPr>
          <w:lang w:val="sk-SK"/>
        </w:rPr>
      </w:pPr>
    </w:p>
    <w:p w14:paraId="3725300A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Gravidita</w:t>
      </w:r>
    </w:p>
    <w:p w14:paraId="28B0D084" w14:textId="12D54297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Nie sú k dispozícii informácie o používaní </w:t>
      </w:r>
      <w:proofErr w:type="spellStart"/>
      <w:r w:rsidRPr="00316F06">
        <w:rPr>
          <w:lang w:val="sk-SK"/>
        </w:rPr>
        <w:t>irinotek</w:t>
      </w:r>
      <w:r w:rsidR="00517E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u gravidných žien.</w:t>
      </w:r>
    </w:p>
    <w:p w14:paraId="223C2C79" w14:textId="77777777" w:rsidR="00913218" w:rsidRPr="00316F06" w:rsidRDefault="00913218">
      <w:pPr>
        <w:rPr>
          <w:lang w:val="sk-SK"/>
        </w:rPr>
      </w:pPr>
    </w:p>
    <w:p w14:paraId="7982F399" w14:textId="33ECB505" w:rsidR="00913218" w:rsidRPr="00316F06" w:rsidRDefault="00913218">
      <w:pPr>
        <w:rPr>
          <w:lang w:val="sk-SK"/>
        </w:rPr>
      </w:pPr>
      <w:proofErr w:type="spellStart"/>
      <w:r w:rsidRPr="00316F06">
        <w:rPr>
          <w:lang w:val="sk-SK"/>
        </w:rPr>
        <w:t>Irinotek</w:t>
      </w:r>
      <w:r w:rsidR="00517E89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vykazoval </w:t>
      </w:r>
      <w:proofErr w:type="spellStart"/>
      <w:r w:rsidRPr="00316F06">
        <w:rPr>
          <w:lang w:val="sk-SK"/>
        </w:rPr>
        <w:t>embryotoxicitu</w:t>
      </w:r>
      <w:proofErr w:type="spellEnd"/>
      <w:r w:rsidRPr="00316F06">
        <w:rPr>
          <w:lang w:val="sk-SK"/>
        </w:rPr>
        <w:t xml:space="preserve"> a </w:t>
      </w:r>
      <w:proofErr w:type="spellStart"/>
      <w:r w:rsidRPr="00316F06">
        <w:rPr>
          <w:lang w:val="sk-SK"/>
        </w:rPr>
        <w:t>teratogenitu</w:t>
      </w:r>
      <w:proofErr w:type="spellEnd"/>
      <w:r w:rsidRPr="00316F06">
        <w:rPr>
          <w:lang w:val="sk-SK"/>
        </w:rPr>
        <w:t xml:space="preserve"> u zvierat (pozri časť 5.3). </w:t>
      </w:r>
      <w:r w:rsidRPr="00316F06">
        <w:rPr>
          <w:rFonts w:cs="Times New Roman"/>
          <w:lang w:val="sk-SK"/>
        </w:rPr>
        <w:t xml:space="preserve">Preto </w:t>
      </w:r>
      <w:r w:rsidRPr="00316F06">
        <w:rPr>
          <w:lang w:val="sk-SK"/>
        </w:rPr>
        <w:t>na základe výsledkov štúdií na zvieratách a mechanizmu účinku</w:t>
      </w:r>
      <w:r w:rsidRPr="00805523">
        <w:rPr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irinotek</w:t>
      </w:r>
      <w:r w:rsidR="00517E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má byť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používaný počas gravidity </w:t>
      </w:r>
      <w:r w:rsidRPr="00805523">
        <w:rPr>
          <w:lang w:val="sk-SK"/>
        </w:rPr>
        <w:t>iba v</w:t>
      </w:r>
      <w:r w:rsidRPr="00316F06">
        <w:rPr>
          <w:lang w:val="sk-SK"/>
        </w:rPr>
        <w:t> </w:t>
      </w:r>
      <w:r w:rsidRPr="00805523">
        <w:rPr>
          <w:lang w:val="sk-SK"/>
        </w:rPr>
        <w:t xml:space="preserve">nevyhnutných prípadoch. </w:t>
      </w:r>
      <w:r w:rsidRPr="00316F06">
        <w:rPr>
          <w:lang w:val="sk-SK"/>
        </w:rPr>
        <w:t>V každom jednotlivom prípade sa majú zvážiť výhody liečby oproti možnému riziku pre plod</w:t>
      </w:r>
      <w:r w:rsidRPr="00805523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(pozri časti 4.3 a 4.4).</w:t>
      </w:r>
    </w:p>
    <w:p w14:paraId="2FC82606" w14:textId="77777777" w:rsidR="00913218" w:rsidRPr="00316F06" w:rsidRDefault="00913218">
      <w:pPr>
        <w:rPr>
          <w:lang w:val="sk-SK"/>
        </w:rPr>
      </w:pPr>
    </w:p>
    <w:p w14:paraId="2C678E2C" w14:textId="77777777" w:rsidR="00913218" w:rsidRPr="00316F06" w:rsidRDefault="00913218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Ženy vo fertilnom veku</w:t>
      </w:r>
    </w:p>
    <w:p w14:paraId="1BC5E73B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Ženy vo fertilnom veku a muži musia používať účinnú antikoncepciu počas liečby a ešte </w:t>
      </w:r>
      <w:r w:rsidRPr="00316F06">
        <w:rPr>
          <w:lang w:val="sk-SK"/>
        </w:rPr>
        <w:t>1 mesiac a </w:t>
      </w:r>
      <w:r w:rsidRPr="00316F06">
        <w:rPr>
          <w:rFonts w:cs="Times New Roman"/>
          <w:lang w:val="sk-SK"/>
        </w:rPr>
        <w:t>3 mesiace po liečbe</w:t>
      </w:r>
      <w:r w:rsidRPr="00316F06">
        <w:rPr>
          <w:lang w:val="sk-SK"/>
        </w:rPr>
        <w:t>, v uvedenom poradí</w:t>
      </w:r>
      <w:r w:rsidRPr="00316F06">
        <w:rPr>
          <w:rFonts w:cs="Times New Roman"/>
          <w:lang w:val="sk-SK"/>
        </w:rPr>
        <w:t>.</w:t>
      </w:r>
    </w:p>
    <w:p w14:paraId="12449396" w14:textId="77777777" w:rsidR="00913218" w:rsidRPr="00316F06" w:rsidRDefault="00913218">
      <w:pPr>
        <w:rPr>
          <w:lang w:val="sk-SK"/>
        </w:rPr>
      </w:pPr>
    </w:p>
    <w:p w14:paraId="6BDE8A1A" w14:textId="77777777" w:rsidR="00913218" w:rsidRPr="00316F06" w:rsidRDefault="00CE5787">
      <w:pPr>
        <w:keepNext/>
        <w:rPr>
          <w:u w:val="single"/>
          <w:lang w:val="sk-SK"/>
        </w:rPr>
      </w:pPr>
      <w:r>
        <w:rPr>
          <w:u w:val="single"/>
          <w:lang w:val="sk-SK"/>
        </w:rPr>
        <w:t>Dojčenie</w:t>
      </w:r>
    </w:p>
    <w:p w14:paraId="5364F284" w14:textId="5A083B26" w:rsidR="00913218" w:rsidRPr="00316F06" w:rsidRDefault="00913218">
      <w:pPr>
        <w:rPr>
          <w:lang w:val="sk-SK"/>
        </w:rPr>
      </w:pPr>
      <w:r w:rsidRPr="00316F06">
        <w:rPr>
          <w:lang w:val="sk-SK"/>
        </w:rPr>
        <w:t>V ml</w:t>
      </w:r>
      <w:r w:rsidRPr="00316F06">
        <w:rPr>
          <w:rFonts w:cs="Times New Roman"/>
          <w:lang w:val="sk-SK"/>
        </w:rPr>
        <w:t xml:space="preserve">ieku dojčiacich potkanov bol zistený </w:t>
      </w:r>
      <w:r w:rsidRPr="00316F06">
        <w:rPr>
          <w:vertAlign w:val="superscript"/>
          <w:lang w:val="sk-SK"/>
        </w:rPr>
        <w:t>14</w:t>
      </w:r>
      <w:r w:rsidRPr="00316F06">
        <w:rPr>
          <w:lang w:val="sk-SK"/>
        </w:rPr>
        <w:t>C-irinotek</w:t>
      </w:r>
      <w:r w:rsidR="00CE5787">
        <w:rPr>
          <w:lang w:val="sk-SK"/>
        </w:rPr>
        <w:t>á</w:t>
      </w:r>
      <w:r w:rsidRPr="00316F06">
        <w:rPr>
          <w:lang w:val="sk-SK"/>
        </w:rPr>
        <w:t xml:space="preserve">n. </w:t>
      </w:r>
      <w:r w:rsidRPr="00316F06">
        <w:rPr>
          <w:rFonts w:cs="Times New Roman"/>
          <w:lang w:val="sk-SK"/>
        </w:rPr>
        <w:t xml:space="preserve">Nie je známe, či sa </w:t>
      </w:r>
      <w:proofErr w:type="spellStart"/>
      <w:r w:rsidRPr="00316F06">
        <w:rPr>
          <w:rFonts w:cs="Times New Roman"/>
          <w:lang w:val="sk-SK"/>
        </w:rPr>
        <w:t>irinotek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vylučuje do ľudského materského</w:t>
      </w:r>
      <w:r w:rsidRPr="00316F06">
        <w:rPr>
          <w:lang w:val="sk-SK"/>
        </w:rPr>
        <w:t xml:space="preserve"> mlieka. Z dôvodu </w:t>
      </w:r>
      <w:r w:rsidRPr="00316F06">
        <w:rPr>
          <w:rFonts w:cs="Times New Roman"/>
          <w:lang w:val="sk-SK"/>
        </w:rPr>
        <w:t xml:space="preserve">potenciálnych </w:t>
      </w:r>
      <w:proofErr w:type="spellStart"/>
      <w:r w:rsidRPr="00316F06">
        <w:rPr>
          <w:rFonts w:cs="Times New Roman"/>
          <w:lang w:val="sk-SK"/>
        </w:rPr>
        <w:t>nežiaducych</w:t>
      </w:r>
      <w:proofErr w:type="spellEnd"/>
      <w:r w:rsidRPr="00316F06">
        <w:rPr>
          <w:rFonts w:cs="Times New Roman"/>
          <w:lang w:val="sk-SK"/>
        </w:rPr>
        <w:t xml:space="preserve"> účinkov na dojčené deti, musí byť, počas liečby </w:t>
      </w:r>
      <w:proofErr w:type="spellStart"/>
      <w:r w:rsidRPr="00316F06">
        <w:rPr>
          <w:rFonts w:cs="Times New Roman"/>
          <w:lang w:val="sk-SK"/>
        </w:rPr>
        <w:t>irinotekan</w:t>
      </w:r>
      <w:r w:rsidR="00CE5787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m</w:t>
      </w:r>
      <w:proofErr w:type="spellEnd"/>
      <w:r w:rsidRPr="00316F06">
        <w:rPr>
          <w:rFonts w:cs="Times New Roman"/>
          <w:lang w:val="sk-SK"/>
        </w:rPr>
        <w:t xml:space="preserve"> dojčenie prerušené (pozri časť 4.3).</w:t>
      </w:r>
    </w:p>
    <w:p w14:paraId="62B8A185" w14:textId="77777777" w:rsidR="00913218" w:rsidRPr="00316F06" w:rsidRDefault="00913218">
      <w:pPr>
        <w:rPr>
          <w:lang w:val="sk-SK"/>
        </w:rPr>
      </w:pPr>
    </w:p>
    <w:p w14:paraId="601956E9" w14:textId="77777777" w:rsidR="00913218" w:rsidRPr="00805523" w:rsidRDefault="00913218" w:rsidP="002A43A8">
      <w:pPr>
        <w:rPr>
          <w:u w:val="single"/>
          <w:lang w:val="sk-SK"/>
        </w:rPr>
      </w:pPr>
      <w:proofErr w:type="spellStart"/>
      <w:r w:rsidRPr="00316F06">
        <w:rPr>
          <w:u w:val="single"/>
          <w:lang w:val="sk-SK"/>
        </w:rPr>
        <w:t>Fertilita</w:t>
      </w:r>
      <w:proofErr w:type="spellEnd"/>
    </w:p>
    <w:p w14:paraId="4728228E" w14:textId="7DBF4A9E" w:rsidR="00913218" w:rsidRPr="00805523" w:rsidRDefault="00913218" w:rsidP="002A43A8">
      <w:pPr>
        <w:rPr>
          <w:lang w:val="sk-SK"/>
        </w:rPr>
      </w:pPr>
      <w:r w:rsidRPr="00316F06">
        <w:rPr>
          <w:lang w:val="sk-SK"/>
        </w:rPr>
        <w:t xml:space="preserve">Nie sú k dispozícii žiadne údaje o vplyve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na </w:t>
      </w:r>
      <w:proofErr w:type="spellStart"/>
      <w:r w:rsidRPr="00316F06">
        <w:rPr>
          <w:lang w:val="sk-SK"/>
        </w:rPr>
        <w:t>fertilitu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U zvierat boli dokumentované nežiaduce účinky </w:t>
      </w:r>
      <w:proofErr w:type="spellStart"/>
      <w:r w:rsidRPr="00316F06">
        <w:rPr>
          <w:lang w:val="sk-SK"/>
        </w:rPr>
        <w:t>irinotek</w:t>
      </w:r>
      <w:r w:rsidR="00CE5787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na </w:t>
      </w:r>
      <w:proofErr w:type="spellStart"/>
      <w:r w:rsidRPr="00316F06">
        <w:rPr>
          <w:lang w:val="sk-SK"/>
        </w:rPr>
        <w:t>fertilitu</w:t>
      </w:r>
      <w:proofErr w:type="spellEnd"/>
      <w:r w:rsidRPr="00316F06">
        <w:rPr>
          <w:lang w:val="sk-SK"/>
        </w:rPr>
        <w:t xml:space="preserve"> potomstva (pozri časť 5.3).</w:t>
      </w:r>
    </w:p>
    <w:p w14:paraId="69C2695D" w14:textId="77777777" w:rsidR="00913218" w:rsidRPr="00805523" w:rsidRDefault="00913218" w:rsidP="002A43A8">
      <w:pPr>
        <w:rPr>
          <w:lang w:val="sk-SK"/>
        </w:rPr>
      </w:pPr>
    </w:p>
    <w:p w14:paraId="6251156F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4.7</w:t>
      </w:r>
      <w:r w:rsidRPr="00316F06">
        <w:rPr>
          <w:b/>
          <w:bCs/>
          <w:lang w:val="sk-SK"/>
        </w:rPr>
        <w:tab/>
      </w:r>
      <w:r w:rsidRPr="00316F06">
        <w:rPr>
          <w:rFonts w:cs="Times New Roman"/>
          <w:b/>
          <w:bCs/>
          <w:lang w:val="sk-SK"/>
        </w:rPr>
        <w:t>Ovplyvnenie schopnosti viesť vozidlá a obsluhovať stroje</w:t>
      </w:r>
    </w:p>
    <w:p w14:paraId="5BB03ECE" w14:textId="77777777" w:rsidR="00913218" w:rsidRPr="00316F06" w:rsidRDefault="00913218">
      <w:pPr>
        <w:keepNext/>
        <w:widowControl w:val="0"/>
        <w:rPr>
          <w:lang w:val="sk-SK"/>
        </w:rPr>
      </w:pPr>
    </w:p>
    <w:p w14:paraId="13664BDE" w14:textId="2E9E8590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Pacienti musia byť varovaní na možné závraty alebo poruchy videnia, ku ktorým môže dôjsť v priebehu 24 hodín po podaní </w:t>
      </w:r>
      <w:proofErr w:type="spellStart"/>
      <w:r w:rsidRPr="00316F06">
        <w:rPr>
          <w:rFonts w:cs="Times New Roman"/>
          <w:lang w:val="sk-SK"/>
        </w:rPr>
        <w:t>irinotek</w:t>
      </w:r>
      <w:r w:rsidR="00517E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>. Musia byť upozornení, a</w:t>
      </w:r>
      <w:r w:rsidRPr="00316F06">
        <w:rPr>
          <w:lang w:val="sk-SK"/>
        </w:rPr>
        <w:t>by neviedli vozidlá a neobsluhovali stroje, ak by sa tieto príznaky objavili.</w:t>
      </w:r>
    </w:p>
    <w:p w14:paraId="56792DC2" w14:textId="77777777" w:rsidR="00913218" w:rsidRPr="00316F06" w:rsidRDefault="00913218">
      <w:pPr>
        <w:rPr>
          <w:lang w:val="sk-SK"/>
        </w:rPr>
      </w:pPr>
    </w:p>
    <w:p w14:paraId="01DD4877" w14:textId="2FCFC26A" w:rsidR="00913218" w:rsidRPr="00316F06" w:rsidRDefault="00913218" w:rsidP="00175890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lastRenderedPageBreak/>
        <w:t>4.8</w:t>
      </w:r>
      <w:r w:rsidRPr="00316F06">
        <w:rPr>
          <w:b/>
          <w:bCs/>
          <w:lang w:val="sk-SK"/>
        </w:rPr>
        <w:tab/>
      </w:r>
      <w:r w:rsidRPr="00316F06">
        <w:rPr>
          <w:rFonts w:cs="Times New Roman"/>
          <w:b/>
          <w:bCs/>
          <w:lang w:val="sk-SK"/>
        </w:rPr>
        <w:t>Nežiaduce účinky</w:t>
      </w:r>
    </w:p>
    <w:p w14:paraId="2131C0AB" w14:textId="77777777" w:rsidR="00913218" w:rsidRPr="00316F06" w:rsidRDefault="00913218" w:rsidP="00175890">
      <w:pPr>
        <w:keepNext/>
        <w:keepLines/>
        <w:rPr>
          <w:lang w:val="sk-SK"/>
        </w:rPr>
      </w:pPr>
    </w:p>
    <w:p w14:paraId="0CB925E3" w14:textId="67B8C853" w:rsidR="00913218" w:rsidRPr="00316F06" w:rsidRDefault="00913218" w:rsidP="00175890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Nežiaduce účinky podrobne uvádzané v tejto časti sa vzťahujú na </w:t>
      </w:r>
      <w:proofErr w:type="spellStart"/>
      <w:r w:rsidRPr="00316F06">
        <w:rPr>
          <w:rFonts w:cs="Times New Roman"/>
          <w:lang w:val="sk-SK"/>
        </w:rPr>
        <w:t>irinotek</w:t>
      </w:r>
      <w:r w:rsidR="004226A1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Neexistujú žiadne dôkazy ovplyvnenia bezpečnostné</w:t>
      </w:r>
      <w:r w:rsidRPr="00316F06">
        <w:rPr>
          <w:lang w:val="sk-SK"/>
        </w:rPr>
        <w:t xml:space="preserve">ho profilu </w:t>
      </w:r>
      <w:proofErr w:type="spellStart"/>
      <w:r w:rsidRPr="00316F06">
        <w:rPr>
          <w:lang w:val="sk-SK"/>
        </w:rPr>
        <w:t>irinotek</w:t>
      </w:r>
      <w:r w:rsidR="00DC7154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cetuximabom</w:t>
      </w:r>
      <w:proofErr w:type="spellEnd"/>
      <w:r w:rsidRPr="00316F06">
        <w:rPr>
          <w:lang w:val="sk-SK"/>
        </w:rPr>
        <w:t xml:space="preserve"> ani naopak. </w:t>
      </w:r>
      <w:r w:rsidRPr="00316F06">
        <w:rPr>
          <w:rFonts w:cs="Times New Roman"/>
          <w:lang w:val="sk-SK"/>
        </w:rPr>
        <w:t xml:space="preserve">V kombinácii s </w:t>
      </w:r>
      <w:proofErr w:type="spellStart"/>
      <w:r w:rsidRPr="00316F06">
        <w:rPr>
          <w:rFonts w:cs="Times New Roman"/>
          <w:lang w:val="sk-SK"/>
        </w:rPr>
        <w:t>cetuximabom</w:t>
      </w:r>
      <w:proofErr w:type="spellEnd"/>
      <w:r w:rsidRPr="00316F06">
        <w:rPr>
          <w:rFonts w:cs="Times New Roman"/>
          <w:lang w:val="sk-SK"/>
        </w:rPr>
        <w:t xml:space="preserve"> boli ďalšie hlásené nežiaduce účinky tie, ktoré sú očakávané pri </w:t>
      </w:r>
      <w:proofErr w:type="spellStart"/>
      <w:r w:rsidRPr="00316F06">
        <w:rPr>
          <w:rFonts w:cs="Times New Roman"/>
          <w:lang w:val="sk-SK"/>
        </w:rPr>
        <w:t>cetuximabe</w:t>
      </w:r>
      <w:proofErr w:type="spellEnd"/>
      <w:r w:rsidRPr="00316F06">
        <w:rPr>
          <w:rFonts w:cs="Times New Roman"/>
          <w:lang w:val="sk-SK"/>
        </w:rPr>
        <w:t xml:space="preserve"> (ako je akné vo forme vyrážok 88 %).</w:t>
      </w:r>
      <w:r w:rsidRPr="00316F06">
        <w:rPr>
          <w:lang w:val="sk-SK"/>
        </w:rPr>
        <w:t xml:space="preserve"> Informácie o nežiaducich účinkoch 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v kombinácii s </w:t>
      </w:r>
      <w:proofErr w:type="spellStart"/>
      <w:r w:rsidRPr="00316F06">
        <w:rPr>
          <w:lang w:val="sk-SK"/>
        </w:rPr>
        <w:t>cetuximabom</w:t>
      </w:r>
      <w:proofErr w:type="spellEnd"/>
      <w:r w:rsidRPr="00316F06">
        <w:rPr>
          <w:lang w:val="sk-SK"/>
        </w:rPr>
        <w:t xml:space="preserve"> si preštudujte v príslušnom súhrne charakteristických</w:t>
      </w:r>
      <w:r w:rsidRPr="00805523">
        <w:rPr>
          <w:lang w:val="sk-SK"/>
        </w:rPr>
        <w:t xml:space="preserve"> vlastností liek</w:t>
      </w:r>
      <w:r w:rsidRPr="00316F06">
        <w:rPr>
          <w:lang w:val="sk-SK"/>
        </w:rPr>
        <w:t>u.</w:t>
      </w:r>
    </w:p>
    <w:p w14:paraId="35EF1DB4" w14:textId="77777777" w:rsidR="00913218" w:rsidRPr="00316F06" w:rsidRDefault="00913218">
      <w:pPr>
        <w:rPr>
          <w:lang w:val="sk-SK"/>
        </w:rPr>
      </w:pPr>
    </w:p>
    <w:p w14:paraId="31534A9F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I</w:t>
      </w:r>
      <w:r w:rsidRPr="00316F06">
        <w:rPr>
          <w:rFonts w:cs="Times New Roman"/>
          <w:lang w:val="sk-SK"/>
        </w:rPr>
        <w:t xml:space="preserve">nformácie o nežiaducich účinkoch v kombinácii s </w:t>
      </w:r>
      <w:proofErr w:type="spellStart"/>
      <w:r w:rsidRPr="00316F06">
        <w:rPr>
          <w:rFonts w:cs="Times New Roman"/>
          <w:lang w:val="sk-SK"/>
        </w:rPr>
        <w:t>bevacizumabom</w:t>
      </w:r>
      <w:proofErr w:type="spellEnd"/>
      <w:r w:rsidRPr="00316F06">
        <w:rPr>
          <w:rFonts w:cs="Times New Roman"/>
          <w:lang w:val="sk-SK"/>
        </w:rPr>
        <w:t xml:space="preserve"> nájdete v súhrne charakteristických vlastností lieku pre </w:t>
      </w:r>
      <w:proofErr w:type="spellStart"/>
      <w:r w:rsidRPr="00316F06">
        <w:rPr>
          <w:rFonts w:cs="Times New Roman"/>
          <w:lang w:val="sk-SK"/>
        </w:rPr>
        <w:t>bevacizumab</w:t>
      </w:r>
      <w:proofErr w:type="spellEnd"/>
      <w:r w:rsidRPr="00316F06">
        <w:rPr>
          <w:rFonts w:cs="Times New Roman"/>
          <w:lang w:val="sk-SK"/>
        </w:rPr>
        <w:t>.</w:t>
      </w:r>
    </w:p>
    <w:p w14:paraId="6362937F" w14:textId="77777777" w:rsidR="00913218" w:rsidRPr="00316F06" w:rsidRDefault="00913218">
      <w:pPr>
        <w:rPr>
          <w:lang w:val="sk-SK"/>
        </w:rPr>
      </w:pPr>
    </w:p>
    <w:p w14:paraId="57C151E4" w14:textId="36EA1642" w:rsidR="00913218" w:rsidRPr="00805523" w:rsidRDefault="00913218" w:rsidP="00356910">
      <w:pPr>
        <w:rPr>
          <w:lang w:val="sk-SK"/>
        </w:rPr>
      </w:pPr>
      <w:r w:rsidRPr="00316F06">
        <w:rPr>
          <w:lang w:val="sk-SK"/>
        </w:rPr>
        <w:t xml:space="preserve">Medzi nežiaduce účinky liekov hlásené u pacientov liečených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v kombinácii s 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patria okrem tých, ktoré boli zaznamenané pri </w:t>
      </w:r>
      <w:proofErr w:type="spellStart"/>
      <w:r w:rsidRPr="00316F06">
        <w:rPr>
          <w:lang w:val="sk-SK"/>
        </w:rPr>
        <w:t>monoterapii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alebo v skupine s vyššou frekvenciou v porovnaní s </w:t>
      </w:r>
      <w:proofErr w:type="spellStart"/>
      <w:r w:rsidRPr="00316F06">
        <w:rPr>
          <w:lang w:val="sk-SK"/>
        </w:rPr>
        <w:t>monoterapiou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>, aj nasledujúce:</w:t>
      </w:r>
      <w:r w:rsidRPr="00805523">
        <w:rPr>
          <w:lang w:val="sk-SK"/>
        </w:rPr>
        <w:t xml:space="preserve"> </w:t>
      </w:r>
      <w:r w:rsidRPr="00316F06">
        <w:rPr>
          <w:i/>
          <w:lang w:val="sk-SK"/>
        </w:rPr>
        <w:t>Veľmi časté nežiaduce účinky liekov všetkých stupňov</w:t>
      </w:r>
      <w:r w:rsidRPr="00316F06">
        <w:rPr>
          <w:lang w:val="sk-SK"/>
        </w:rPr>
        <w:t>: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trombóza/embólia. </w:t>
      </w:r>
      <w:r w:rsidRPr="00316F06">
        <w:rPr>
          <w:i/>
          <w:lang w:val="sk-SK"/>
        </w:rPr>
        <w:t>Časté nežiaduce účinky liekov všetkých stupňov:</w:t>
      </w:r>
      <w:r w:rsidRPr="00805523">
        <w:rPr>
          <w:i/>
          <w:lang w:val="sk-SK"/>
        </w:rPr>
        <w:t xml:space="preserve"> </w:t>
      </w:r>
      <w:r w:rsidRPr="00316F06">
        <w:rPr>
          <w:lang w:val="sk-SK"/>
        </w:rPr>
        <w:t xml:space="preserve">reakcia z precitlivenosti, srdcová ischémia/infarkt. </w:t>
      </w:r>
      <w:r w:rsidRPr="00316F06">
        <w:rPr>
          <w:i/>
          <w:lang w:val="sk-SK"/>
        </w:rPr>
        <w:t>Časté nežiaduce účinky liekov 3. a 4. stupňa</w:t>
      </w:r>
      <w:r w:rsidRPr="00316F06">
        <w:rPr>
          <w:lang w:val="sk-SK"/>
        </w:rPr>
        <w:t>:</w:t>
      </w:r>
      <w:r w:rsidRPr="00805523">
        <w:rPr>
          <w:lang w:val="sk-SK"/>
        </w:rPr>
        <w:t xml:space="preserve"> </w:t>
      </w:r>
      <w:proofErr w:type="spellStart"/>
      <w:r w:rsidRPr="00316F06">
        <w:rPr>
          <w:lang w:val="sk-SK"/>
        </w:rPr>
        <w:t>febrilná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neutropénia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Kompletné informácie o nežiaducich účinkoch </w:t>
      </w:r>
      <w:proofErr w:type="spellStart"/>
      <w:r w:rsidRPr="00316F06">
        <w:rPr>
          <w:lang w:val="sk-SK"/>
        </w:rPr>
        <w:t>kapecitabínu</w:t>
      </w:r>
      <w:proofErr w:type="spellEnd"/>
      <w:r w:rsidRPr="00316F06">
        <w:rPr>
          <w:lang w:val="sk-SK"/>
        </w:rPr>
        <w:t xml:space="preserve"> nájdete v súhrne charakteristických vlastností </w:t>
      </w:r>
      <w:proofErr w:type="spellStart"/>
      <w:r w:rsidRPr="00316F06">
        <w:rPr>
          <w:lang w:val="sk-SK"/>
        </w:rPr>
        <w:t>kapecitabínu</w:t>
      </w:r>
      <w:proofErr w:type="spellEnd"/>
      <w:r w:rsidRPr="00316F06">
        <w:rPr>
          <w:lang w:val="sk-SK"/>
        </w:rPr>
        <w:t>.</w:t>
      </w:r>
    </w:p>
    <w:p w14:paraId="2E6F811B" w14:textId="77777777" w:rsidR="00913218" w:rsidRPr="00805523" w:rsidRDefault="00913218" w:rsidP="00356910">
      <w:pPr>
        <w:rPr>
          <w:lang w:val="sk-SK"/>
        </w:rPr>
      </w:pPr>
    </w:p>
    <w:p w14:paraId="06B8A428" w14:textId="4D64B05A" w:rsidR="00913218" w:rsidRPr="00805523" w:rsidRDefault="00913218" w:rsidP="00356910">
      <w:pPr>
        <w:rPr>
          <w:lang w:val="sk-SK"/>
        </w:rPr>
      </w:pPr>
      <w:r w:rsidRPr="00316F06">
        <w:rPr>
          <w:lang w:val="sk-SK"/>
        </w:rPr>
        <w:t xml:space="preserve">Medzi nežiaduce účinky liekov 3. a 4. stupňa hlásené u pacientov liečených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v kombinácii s 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bevacizumabom</w:t>
      </w:r>
      <w:proofErr w:type="spellEnd"/>
      <w:r w:rsidRPr="00316F06">
        <w:rPr>
          <w:lang w:val="sk-SK"/>
        </w:rPr>
        <w:t xml:space="preserve"> patria okrem tých, ktoré boli zaznamenané pri </w:t>
      </w:r>
      <w:proofErr w:type="spellStart"/>
      <w:r w:rsidRPr="00316F06">
        <w:rPr>
          <w:lang w:val="sk-SK"/>
        </w:rPr>
        <w:t>monoterapii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alebo v skupine s vyššou frekvenciou v porovnaní s </w:t>
      </w:r>
      <w:proofErr w:type="spellStart"/>
      <w:r w:rsidRPr="00316F06">
        <w:rPr>
          <w:lang w:val="sk-SK"/>
        </w:rPr>
        <w:t>monoterapiou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>, aj nasledujúce:</w:t>
      </w:r>
      <w:r w:rsidRPr="00805523">
        <w:rPr>
          <w:lang w:val="sk-SK"/>
        </w:rPr>
        <w:t xml:space="preserve"> </w:t>
      </w:r>
      <w:r w:rsidRPr="00316F06">
        <w:rPr>
          <w:i/>
          <w:lang w:val="sk-SK"/>
        </w:rPr>
        <w:t>Časté nežiaduce účinky liekov 3. a 4. stupňa:</w:t>
      </w:r>
      <w:r w:rsidRPr="00805523">
        <w:rPr>
          <w:i/>
          <w:lang w:val="sk-SK"/>
        </w:rPr>
        <w:t xml:space="preserve"> </w:t>
      </w:r>
      <w:proofErr w:type="spellStart"/>
      <w:r w:rsidRPr="00316F06">
        <w:rPr>
          <w:lang w:val="sk-SK"/>
        </w:rPr>
        <w:t>neutropénia</w:t>
      </w:r>
      <w:proofErr w:type="spellEnd"/>
      <w:r w:rsidRPr="00316F06">
        <w:rPr>
          <w:lang w:val="sk-SK"/>
        </w:rPr>
        <w:t>, trombóza/embólia, hypertenzia a srdcová ischémia/infarkt.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Kompletné informácie o nežiaducich účinkoch </w:t>
      </w:r>
      <w:proofErr w:type="spellStart"/>
      <w:r w:rsidRPr="00316F06">
        <w:rPr>
          <w:lang w:val="sk-SK"/>
        </w:rPr>
        <w:t>kapecitabínu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 xml:space="preserve"> nájdete v súhrne charakteristických vlastností </w:t>
      </w:r>
      <w:proofErr w:type="spellStart"/>
      <w:r w:rsidRPr="00316F06">
        <w:rPr>
          <w:lang w:val="sk-SK"/>
        </w:rPr>
        <w:t>kapecitabínu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>.</w:t>
      </w:r>
    </w:p>
    <w:p w14:paraId="747E409C" w14:textId="77777777" w:rsidR="00913218" w:rsidRPr="00805523" w:rsidRDefault="00913218" w:rsidP="00356910">
      <w:pPr>
        <w:rPr>
          <w:lang w:val="sk-SK"/>
        </w:rPr>
      </w:pPr>
    </w:p>
    <w:p w14:paraId="2A8195B6" w14:textId="466F07B3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Ďalej uvedené nepriaznivé reakcie, považované za možno alebo pravdepodobne súvisiace s podávaním </w:t>
      </w:r>
      <w:proofErr w:type="spellStart"/>
      <w:r w:rsidRPr="00316F06">
        <w:rPr>
          <w:rFonts w:cs="Times New Roman"/>
          <w:lang w:val="sk-SK"/>
        </w:rPr>
        <w:t>irinotek</w:t>
      </w:r>
      <w:r w:rsidR="00B4336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>, boli hlásené od 765 pacientov pri odporúčanej dávke 350</w:t>
      </w:r>
      <w:r w:rsidRPr="00316F06">
        <w:rPr>
          <w:lang w:val="sk-SK"/>
        </w:rPr>
        <w:t xml:space="preserve"> mg/m² v prípade </w:t>
      </w:r>
      <w:proofErr w:type="spellStart"/>
      <w:r w:rsidRPr="00316F06">
        <w:rPr>
          <w:lang w:val="sk-SK"/>
        </w:rPr>
        <w:t>monoterapie</w:t>
      </w:r>
      <w:proofErr w:type="spellEnd"/>
      <w:r w:rsidRPr="00316F06">
        <w:rPr>
          <w:lang w:val="sk-SK"/>
        </w:rPr>
        <w:t>, a od 145 pacientov lie</w:t>
      </w:r>
      <w:r w:rsidRPr="00316F06">
        <w:rPr>
          <w:rFonts w:cs="Times New Roman"/>
          <w:lang w:val="sk-SK"/>
        </w:rPr>
        <w:t xml:space="preserve">čených </w:t>
      </w:r>
      <w:proofErr w:type="spellStart"/>
      <w:r w:rsidRPr="00316F06">
        <w:rPr>
          <w:rFonts w:cs="Times New Roman"/>
          <w:lang w:val="sk-SK"/>
        </w:rPr>
        <w:t>irinotek</w:t>
      </w:r>
      <w:r w:rsidR="00B4336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v kombinovanej te</w:t>
      </w:r>
      <w:r w:rsidRPr="00316F06">
        <w:rPr>
          <w:lang w:val="sk-SK"/>
        </w:rPr>
        <w:t>rapii s 5</w:t>
      </w:r>
      <w:r w:rsidRPr="00316F06">
        <w:rPr>
          <w:lang w:val="sk-SK"/>
        </w:rPr>
        <w:noBreakHyphen/>
        <w:t>FU/FA, podávanom každé</w:t>
      </w:r>
      <w:r w:rsidRPr="00316F06">
        <w:rPr>
          <w:rFonts w:cs="Times New Roman"/>
          <w:lang w:val="sk-SK"/>
        </w:rPr>
        <w:t xml:space="preserve"> 2 týždne s odporúčanou dávkou 180</w:t>
      </w:r>
      <w:r w:rsidRPr="00316F06">
        <w:rPr>
          <w:lang w:val="sk-SK"/>
        </w:rPr>
        <w:t> mg/m².</w:t>
      </w:r>
    </w:p>
    <w:p w14:paraId="48593651" w14:textId="2C873FA9" w:rsidR="00913218" w:rsidRPr="00316F06" w:rsidRDefault="00913218" w:rsidP="00A71353">
      <w:pPr>
        <w:rPr>
          <w:lang w:val="sk-SK"/>
        </w:rPr>
      </w:pPr>
      <w:r w:rsidRPr="00316F06">
        <w:rPr>
          <w:rFonts w:cs="Times New Roman"/>
          <w:lang w:val="sk-SK"/>
        </w:rPr>
        <w:t>Najčastejšie (</w:t>
      </w:r>
      <w:r w:rsidRPr="00316F06">
        <w:rPr>
          <w:lang w:val="sk-SK"/>
        </w:rPr>
        <w:t>≥</w:t>
      </w:r>
      <w:r w:rsidRPr="00316F06">
        <w:rPr>
          <w:rFonts w:cs="Times New Roman"/>
          <w:lang w:val="sk-SK"/>
        </w:rPr>
        <w:t xml:space="preserve"> 1/10) nežiaduce účinky </w:t>
      </w:r>
      <w:proofErr w:type="spellStart"/>
      <w:r w:rsidRPr="00316F06">
        <w:rPr>
          <w:rFonts w:cs="Times New Roman"/>
          <w:lang w:val="sk-SK"/>
        </w:rPr>
        <w:t>irinotek</w:t>
      </w:r>
      <w:r w:rsidR="00B4336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, obmedzujúce dávku, sú neskorá hnačka (vyskytujúca sa viac ako 24 hodín po podaní) a poruchy </w:t>
      </w:r>
      <w:r w:rsidRPr="00316F06">
        <w:rPr>
          <w:lang w:val="sk-SK"/>
        </w:rPr>
        <w:t xml:space="preserve">krvi vrátane </w:t>
      </w:r>
      <w:proofErr w:type="spellStart"/>
      <w:r w:rsidRPr="00316F06">
        <w:rPr>
          <w:lang w:val="sk-SK"/>
        </w:rPr>
        <w:t>neutropénie</w:t>
      </w:r>
      <w:proofErr w:type="spellEnd"/>
      <w:r w:rsidRPr="00316F06">
        <w:rPr>
          <w:lang w:val="sk-SK"/>
        </w:rPr>
        <w:t xml:space="preserve">, anémie a </w:t>
      </w:r>
      <w:proofErr w:type="spellStart"/>
      <w:r w:rsidRPr="00316F06">
        <w:rPr>
          <w:lang w:val="sk-SK"/>
        </w:rPr>
        <w:t>trombocytopénie</w:t>
      </w:r>
      <w:proofErr w:type="spellEnd"/>
      <w:r w:rsidRPr="00316F06">
        <w:rPr>
          <w:lang w:val="sk-SK"/>
        </w:rPr>
        <w:t>.</w:t>
      </w:r>
    </w:p>
    <w:p w14:paraId="21859B0B" w14:textId="77777777" w:rsidR="00913218" w:rsidRPr="00316F06" w:rsidRDefault="00913218">
      <w:pPr>
        <w:rPr>
          <w:lang w:val="sk-SK"/>
        </w:rPr>
      </w:pPr>
    </w:p>
    <w:p w14:paraId="1D99B1C4" w14:textId="77777777" w:rsidR="00913218" w:rsidRPr="00316F06" w:rsidRDefault="00913218" w:rsidP="008A3881">
      <w:pPr>
        <w:rPr>
          <w:lang w:val="sk-SK"/>
        </w:rPr>
      </w:pPr>
      <w:r w:rsidRPr="00316F06">
        <w:rPr>
          <w:rFonts w:cs="Times New Roman"/>
          <w:lang w:val="sk-SK"/>
        </w:rPr>
        <w:t xml:space="preserve">Vedľajšie účinky boli zhrnuté do nasledujúcej tabuľky podľa frekvencií </w:t>
      </w:r>
      <w:proofErr w:type="spellStart"/>
      <w:r w:rsidRPr="00316F06">
        <w:rPr>
          <w:rFonts w:cs="Times New Roman"/>
          <w:lang w:val="sk-SK"/>
        </w:rPr>
        <w:t>MedDRA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V rámci jednotlivých skupín frekvencií sú nežiaduce účinky usporiadané v poradí klesajúcej závažnosti.</w:t>
      </w:r>
    </w:p>
    <w:p w14:paraId="2C456B98" w14:textId="77777777" w:rsidR="00913218" w:rsidRPr="00316F06" w:rsidRDefault="00913218" w:rsidP="008A3881">
      <w:pPr>
        <w:rPr>
          <w:lang w:val="sk-SK"/>
        </w:rPr>
      </w:pPr>
    </w:p>
    <w:p w14:paraId="7E3D7351" w14:textId="77777777" w:rsidR="00913218" w:rsidRPr="00316F06" w:rsidRDefault="00913218" w:rsidP="00B518FA">
      <w:pPr>
        <w:tabs>
          <w:tab w:val="clear" w:pos="567"/>
          <w:tab w:val="left" w:pos="1701"/>
        </w:tabs>
        <w:rPr>
          <w:lang w:val="sk-SK"/>
        </w:rPr>
      </w:pPr>
      <w:r w:rsidRPr="00316F06">
        <w:rPr>
          <w:rFonts w:cs="Times New Roman"/>
          <w:lang w:val="sk-SK"/>
        </w:rPr>
        <w:t>Veľmi časté:</w:t>
      </w:r>
      <w:r w:rsidRPr="00316F06">
        <w:rPr>
          <w:lang w:val="sk-SK"/>
        </w:rPr>
        <w:tab/>
        <w:t>≥ 1/10</w:t>
      </w:r>
    </w:p>
    <w:p w14:paraId="167DE71C" w14:textId="77777777" w:rsidR="00913218" w:rsidRPr="00316F06" w:rsidRDefault="00913218" w:rsidP="00B518FA">
      <w:pPr>
        <w:tabs>
          <w:tab w:val="clear" w:pos="567"/>
          <w:tab w:val="left" w:pos="1701"/>
        </w:tabs>
        <w:rPr>
          <w:rFonts w:cs="Times New Roman"/>
          <w:lang w:val="sk-SK"/>
        </w:rPr>
      </w:pPr>
      <w:r w:rsidRPr="00316F06">
        <w:rPr>
          <w:lang w:val="sk-SK"/>
        </w:rPr>
        <w:t>Časté:</w:t>
      </w:r>
      <w:r w:rsidRPr="00316F06">
        <w:rPr>
          <w:lang w:val="sk-SK"/>
        </w:rPr>
        <w:tab/>
        <w:t>≥ </w:t>
      </w:r>
      <w:r w:rsidRPr="00316F06">
        <w:rPr>
          <w:rFonts w:cs="Times New Roman"/>
          <w:lang w:val="sk-SK"/>
        </w:rPr>
        <w:t>1/100 až &lt; 1/10</w:t>
      </w:r>
    </w:p>
    <w:p w14:paraId="7717DA3C" w14:textId="77777777" w:rsidR="00913218" w:rsidRPr="00316F06" w:rsidRDefault="00913218" w:rsidP="00B518FA">
      <w:pPr>
        <w:tabs>
          <w:tab w:val="clear" w:pos="567"/>
          <w:tab w:val="left" w:pos="1701"/>
        </w:tabs>
        <w:rPr>
          <w:rFonts w:cs="Times New Roman"/>
          <w:lang w:val="sk-SK"/>
        </w:rPr>
      </w:pPr>
      <w:r w:rsidRPr="00316F06">
        <w:rPr>
          <w:rFonts w:cs="Times New Roman"/>
          <w:lang w:val="sk-SK"/>
        </w:rPr>
        <w:t>Menej časté:</w:t>
      </w:r>
      <w:r w:rsidRPr="00316F06">
        <w:rPr>
          <w:rFonts w:cs="Times New Roman"/>
          <w:lang w:val="sk-SK"/>
        </w:rPr>
        <w:tab/>
        <w:t>≥ 1/1 000 až &lt; 1/100</w:t>
      </w:r>
    </w:p>
    <w:p w14:paraId="691C316C" w14:textId="77777777" w:rsidR="00913218" w:rsidRPr="00316F06" w:rsidRDefault="00913218" w:rsidP="00B518FA">
      <w:pPr>
        <w:tabs>
          <w:tab w:val="clear" w:pos="567"/>
          <w:tab w:val="left" w:pos="1701"/>
        </w:tabs>
        <w:rPr>
          <w:lang w:val="sk-SK"/>
        </w:rPr>
      </w:pPr>
      <w:r w:rsidRPr="00316F06">
        <w:rPr>
          <w:rFonts w:cs="Times New Roman"/>
          <w:lang w:val="sk-SK"/>
        </w:rPr>
        <w:t>Zriedkavé:</w:t>
      </w:r>
      <w:r w:rsidRPr="00316F06">
        <w:rPr>
          <w:rFonts w:cs="Times New Roman"/>
          <w:lang w:val="sk-SK"/>
        </w:rPr>
        <w:tab/>
        <w:t>≥ 1</w:t>
      </w:r>
      <w:r w:rsidRPr="00316F06">
        <w:rPr>
          <w:lang w:val="sk-SK"/>
        </w:rPr>
        <w:t>/10 000 až &lt; 1/1 000</w:t>
      </w:r>
    </w:p>
    <w:p w14:paraId="79A0DF36" w14:textId="77777777" w:rsidR="00913218" w:rsidRPr="00316F06" w:rsidRDefault="00913218" w:rsidP="00B518FA">
      <w:pPr>
        <w:tabs>
          <w:tab w:val="clear" w:pos="567"/>
          <w:tab w:val="left" w:pos="1701"/>
        </w:tabs>
        <w:rPr>
          <w:lang w:val="sk-SK"/>
        </w:rPr>
      </w:pPr>
      <w:r w:rsidRPr="00316F06">
        <w:rPr>
          <w:rFonts w:cs="Times New Roman"/>
          <w:lang w:val="sk-SK"/>
        </w:rPr>
        <w:t>Veľmi zriedkavé:</w:t>
      </w:r>
      <w:r w:rsidRPr="00316F06">
        <w:rPr>
          <w:lang w:val="sk-SK"/>
        </w:rPr>
        <w:tab/>
        <w:t>&lt; </w:t>
      </w:r>
      <w:r w:rsidRPr="00316F06">
        <w:rPr>
          <w:rFonts w:cs="Times New Roman"/>
          <w:lang w:val="sk-SK"/>
        </w:rPr>
        <w:t>1/10 000), neznáme (z dostupných údajov)</w:t>
      </w:r>
    </w:p>
    <w:p w14:paraId="2BA018CC" w14:textId="77777777" w:rsidR="00913218" w:rsidRPr="00316F06" w:rsidRDefault="00913218" w:rsidP="00257456">
      <w:pPr>
        <w:rPr>
          <w:snapToGrid w:val="0"/>
          <w:lang w:val="sk-SK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7630"/>
      </w:tblGrid>
      <w:tr w:rsidR="00913218" w:rsidRPr="00316F06" w14:paraId="45977AB5" w14:textId="77777777" w:rsidTr="006A7246">
        <w:trPr>
          <w:cantSplit/>
          <w:tblHeader/>
        </w:trPr>
        <w:tc>
          <w:tcPr>
            <w:tcW w:w="9214" w:type="dxa"/>
            <w:gridSpan w:val="2"/>
          </w:tcPr>
          <w:p w14:paraId="37E41F74" w14:textId="77777777" w:rsidR="00913218" w:rsidRPr="00316F06" w:rsidRDefault="00913218" w:rsidP="006A7246">
            <w:pPr>
              <w:keepNext/>
              <w:rPr>
                <w:b/>
                <w:bCs/>
                <w:snapToGrid w:val="0"/>
                <w:lang w:val="sk-SK"/>
              </w:rPr>
            </w:pPr>
            <w:r w:rsidRPr="00316F06">
              <w:rPr>
                <w:b/>
                <w:bCs/>
                <w:snapToGrid w:val="0"/>
                <w:lang w:val="sk-SK"/>
              </w:rPr>
              <w:t>Orgánový systém</w:t>
            </w:r>
          </w:p>
        </w:tc>
      </w:tr>
      <w:tr w:rsidR="00913218" w:rsidRPr="00316F06" w14:paraId="3E39F2F2" w14:textId="77777777" w:rsidTr="006A7246">
        <w:trPr>
          <w:cantSplit/>
          <w:tblHeader/>
        </w:trPr>
        <w:tc>
          <w:tcPr>
            <w:tcW w:w="1584" w:type="dxa"/>
          </w:tcPr>
          <w:p w14:paraId="5F4B5C3A" w14:textId="77777777" w:rsidR="00913218" w:rsidRPr="00316F06" w:rsidRDefault="00913218" w:rsidP="006A7246">
            <w:pPr>
              <w:keepNext/>
              <w:rPr>
                <w:b/>
                <w:bCs/>
                <w:snapToGrid w:val="0"/>
                <w:lang w:val="sk-SK"/>
              </w:rPr>
            </w:pPr>
            <w:r w:rsidRPr="00316F06">
              <w:rPr>
                <w:b/>
                <w:bCs/>
                <w:snapToGrid w:val="0"/>
                <w:lang w:val="sk-SK"/>
              </w:rPr>
              <w:t>Frekvencia</w:t>
            </w:r>
          </w:p>
        </w:tc>
        <w:tc>
          <w:tcPr>
            <w:tcW w:w="7630" w:type="dxa"/>
          </w:tcPr>
          <w:p w14:paraId="691DFB2E" w14:textId="77777777" w:rsidR="00913218" w:rsidRPr="00316F06" w:rsidRDefault="00913218" w:rsidP="006A7246">
            <w:pPr>
              <w:keepNext/>
              <w:rPr>
                <w:b/>
                <w:bCs/>
                <w:snapToGrid w:val="0"/>
                <w:lang w:val="sk-SK"/>
              </w:rPr>
            </w:pPr>
            <w:r w:rsidRPr="00316F06">
              <w:rPr>
                <w:rFonts w:cs="Times New Roman"/>
                <w:b/>
                <w:bCs/>
                <w:snapToGrid w:val="0"/>
                <w:lang w:val="sk-SK"/>
              </w:rPr>
              <w:t>Vedľajšie účinky</w:t>
            </w:r>
          </w:p>
        </w:tc>
      </w:tr>
      <w:tr w:rsidR="00913218" w:rsidRPr="00316F06" w14:paraId="76B1F1B5" w14:textId="77777777" w:rsidTr="006A7246">
        <w:trPr>
          <w:cantSplit/>
        </w:trPr>
        <w:tc>
          <w:tcPr>
            <w:tcW w:w="9214" w:type="dxa"/>
            <w:gridSpan w:val="2"/>
          </w:tcPr>
          <w:p w14:paraId="502A0295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Poruchy gastrointestinálneho traktu</w:t>
            </w:r>
          </w:p>
        </w:tc>
      </w:tr>
      <w:tr w:rsidR="00913218" w:rsidRPr="00DF4F61" w14:paraId="3494D623" w14:textId="77777777" w:rsidTr="006A7246">
        <w:trPr>
          <w:cantSplit/>
        </w:trPr>
        <w:tc>
          <w:tcPr>
            <w:tcW w:w="1584" w:type="dxa"/>
          </w:tcPr>
          <w:p w14:paraId="239295F5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časté</w:t>
            </w:r>
          </w:p>
        </w:tc>
        <w:tc>
          <w:tcPr>
            <w:tcW w:w="7630" w:type="dxa"/>
          </w:tcPr>
          <w:p w14:paraId="498F8C61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>Závažná neskorá hnačka</w:t>
            </w:r>
          </w:p>
          <w:p w14:paraId="23093DCE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Závažná nauzea a vracanie v prípade </w:t>
            </w:r>
            <w:proofErr w:type="spellStart"/>
            <w:r w:rsidRPr="00316F06">
              <w:rPr>
                <w:snapToGrid w:val="0"/>
                <w:lang w:val="sk-SK"/>
              </w:rPr>
              <w:t>monoterapie</w:t>
            </w:r>
            <w:proofErr w:type="spellEnd"/>
          </w:p>
        </w:tc>
      </w:tr>
      <w:tr w:rsidR="00913218" w:rsidRPr="00DF4F61" w14:paraId="23FDAE93" w14:textId="77777777" w:rsidTr="006A7246">
        <w:trPr>
          <w:cantSplit/>
        </w:trPr>
        <w:tc>
          <w:tcPr>
            <w:tcW w:w="1584" w:type="dxa"/>
          </w:tcPr>
          <w:p w14:paraId="4CE7CF6F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Časté</w:t>
            </w:r>
          </w:p>
        </w:tc>
        <w:tc>
          <w:tcPr>
            <w:tcW w:w="7630" w:type="dxa"/>
          </w:tcPr>
          <w:p w14:paraId="740DC38A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Závažná nauzea a vracanie v prípade kombinovanej terapie</w:t>
            </w:r>
          </w:p>
          <w:p w14:paraId="4F138CC1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Prípady </w:t>
            </w:r>
            <w:proofErr w:type="spellStart"/>
            <w:r w:rsidRPr="00316F06">
              <w:rPr>
                <w:snapToGrid w:val="0"/>
                <w:lang w:val="sk-SK"/>
              </w:rPr>
              <w:t>dehydrác</w:t>
            </w:r>
            <w:r w:rsidRPr="00316F06">
              <w:rPr>
                <w:rFonts w:cs="Times New Roman"/>
                <w:snapToGrid w:val="0"/>
                <w:lang w:val="sk-SK"/>
              </w:rPr>
              <w:t>ie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(súvisiace s hnačkou alebo vracaním)</w:t>
            </w:r>
          </w:p>
          <w:p w14:paraId="3C0B991D" w14:textId="5BA203DE" w:rsidR="00913218" w:rsidRPr="00316F06" w:rsidRDefault="00913218" w:rsidP="00B6463D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Zápcha spojená s </w:t>
            </w:r>
            <w:proofErr w:type="spellStart"/>
            <w:r w:rsidRPr="00316F06">
              <w:rPr>
                <w:snapToGrid w:val="0"/>
                <w:lang w:val="sk-SK"/>
              </w:rPr>
              <w:t>irinotek</w:t>
            </w:r>
            <w:r w:rsidR="00B6463D">
              <w:rPr>
                <w:snapToGrid w:val="0"/>
                <w:lang w:val="sk-SK"/>
              </w:rPr>
              <w:t>á</w:t>
            </w:r>
            <w:r w:rsidRPr="00316F06">
              <w:rPr>
                <w:snapToGrid w:val="0"/>
                <w:lang w:val="sk-SK"/>
              </w:rPr>
              <w:t>nom</w:t>
            </w:r>
            <w:proofErr w:type="spellEnd"/>
            <w:r w:rsidRPr="00316F06">
              <w:rPr>
                <w:snapToGrid w:val="0"/>
                <w:lang w:val="sk-SK"/>
              </w:rPr>
              <w:t xml:space="preserve"> alebo </w:t>
            </w:r>
            <w:proofErr w:type="spellStart"/>
            <w:r w:rsidRPr="00316F06">
              <w:rPr>
                <w:snapToGrid w:val="0"/>
                <w:lang w:val="sk-SK"/>
              </w:rPr>
              <w:t>loperamidom</w:t>
            </w:r>
            <w:proofErr w:type="spellEnd"/>
          </w:p>
        </w:tc>
      </w:tr>
      <w:tr w:rsidR="00913218" w:rsidRPr="00DF4F61" w14:paraId="54C266B8" w14:textId="77777777" w:rsidTr="006A7246">
        <w:trPr>
          <w:cantSplit/>
        </w:trPr>
        <w:tc>
          <w:tcPr>
            <w:tcW w:w="1584" w:type="dxa"/>
          </w:tcPr>
          <w:p w14:paraId="561F0A5A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lastRenderedPageBreak/>
              <w:t xml:space="preserve">Menej časté </w:t>
            </w:r>
          </w:p>
        </w:tc>
        <w:tc>
          <w:tcPr>
            <w:tcW w:w="7630" w:type="dxa"/>
          </w:tcPr>
          <w:p w14:paraId="7FDD0D70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Pseudomembránová</w:t>
            </w:r>
            <w:proofErr w:type="spellEnd"/>
            <w:r w:rsidRPr="00316F06">
              <w:rPr>
                <w:snapToGrid w:val="0"/>
                <w:lang w:val="sk-SK"/>
              </w:rPr>
              <w:t xml:space="preserve"> </w:t>
            </w:r>
            <w:proofErr w:type="spellStart"/>
            <w:r w:rsidRPr="00316F06">
              <w:rPr>
                <w:snapToGrid w:val="0"/>
                <w:lang w:val="sk-SK"/>
              </w:rPr>
              <w:t>kolitída</w:t>
            </w:r>
            <w:proofErr w:type="spellEnd"/>
            <w:r w:rsidRPr="00316F06">
              <w:rPr>
                <w:snapToGrid w:val="0"/>
                <w:lang w:val="sk-SK"/>
              </w:rPr>
              <w:t xml:space="preserve"> (jedna bola potvrdená bakteriologicky: </w:t>
            </w:r>
            <w:proofErr w:type="spellStart"/>
            <w:r w:rsidRPr="00316F06">
              <w:rPr>
                <w:i/>
                <w:iCs/>
                <w:snapToGrid w:val="0"/>
                <w:lang w:val="sk-SK"/>
              </w:rPr>
              <w:t>Clostridium</w:t>
            </w:r>
            <w:proofErr w:type="spellEnd"/>
            <w:r w:rsidRPr="00316F06">
              <w:rPr>
                <w:i/>
                <w:iCs/>
                <w:snapToGrid w:val="0"/>
                <w:lang w:val="sk-SK"/>
              </w:rPr>
              <w:t xml:space="preserve"> </w:t>
            </w:r>
            <w:proofErr w:type="spellStart"/>
            <w:r w:rsidRPr="00316F06">
              <w:rPr>
                <w:i/>
                <w:iCs/>
                <w:snapToGrid w:val="0"/>
                <w:lang w:val="sk-SK"/>
              </w:rPr>
              <w:t>difficile</w:t>
            </w:r>
            <w:proofErr w:type="spellEnd"/>
            <w:r w:rsidRPr="00316F06">
              <w:rPr>
                <w:snapToGrid w:val="0"/>
                <w:lang w:val="sk-SK"/>
              </w:rPr>
              <w:t>)</w:t>
            </w:r>
          </w:p>
          <w:p w14:paraId="5E596D5C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Renálna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nedostatočnosť, hypotenzia alebo kardio-cirkulačné zlyhanie v dôsledku </w:t>
            </w:r>
            <w:r w:rsidRPr="00316F06">
              <w:rPr>
                <w:snapToGrid w:val="0"/>
                <w:lang w:val="sk-SK"/>
              </w:rPr>
              <w:t>dehydrovania súvisiaceho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 s hnačk</w:t>
            </w:r>
            <w:r w:rsidRPr="00316F06">
              <w:rPr>
                <w:snapToGrid w:val="0"/>
                <w:lang w:val="sk-SK"/>
              </w:rPr>
              <w:t>ou a/alebo vracaním</w:t>
            </w:r>
          </w:p>
          <w:p w14:paraId="27C53D03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Črevná obštrukcia,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ileus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gastrointestinálne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krvácanie</w:t>
            </w:r>
          </w:p>
        </w:tc>
      </w:tr>
      <w:tr w:rsidR="00913218" w:rsidRPr="00316F06" w14:paraId="45D38D22" w14:textId="77777777" w:rsidTr="006A7246">
        <w:trPr>
          <w:cantSplit/>
        </w:trPr>
        <w:tc>
          <w:tcPr>
            <w:tcW w:w="1584" w:type="dxa"/>
          </w:tcPr>
          <w:p w14:paraId="40EB7763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Zriedkavé</w:t>
            </w:r>
          </w:p>
        </w:tc>
        <w:tc>
          <w:tcPr>
            <w:tcW w:w="7630" w:type="dxa"/>
          </w:tcPr>
          <w:p w14:paraId="244FE2F0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Kolitída</w:t>
            </w:r>
            <w:proofErr w:type="spellEnd"/>
            <w:r w:rsidRPr="00316F06">
              <w:rPr>
                <w:snapToGrid w:val="0"/>
                <w:lang w:val="sk-SK"/>
              </w:rPr>
              <w:t xml:space="preserve"> vrátane </w:t>
            </w:r>
            <w:proofErr w:type="spellStart"/>
            <w:r w:rsidRPr="00316F06">
              <w:rPr>
                <w:snapToGrid w:val="0"/>
                <w:lang w:val="sk-SK"/>
              </w:rPr>
              <w:t>tyflitídy</w:t>
            </w:r>
            <w:proofErr w:type="spellEnd"/>
            <w:r w:rsidRPr="00316F06">
              <w:rPr>
                <w:snapToGrid w:val="0"/>
                <w:lang w:val="sk-SK"/>
              </w:rPr>
              <w:t xml:space="preserve">, ischemická a </w:t>
            </w:r>
            <w:proofErr w:type="spellStart"/>
            <w:r w:rsidRPr="00316F06">
              <w:rPr>
                <w:snapToGrid w:val="0"/>
                <w:lang w:val="sk-SK"/>
              </w:rPr>
              <w:t>ulcerózna</w:t>
            </w:r>
            <w:proofErr w:type="spellEnd"/>
            <w:r w:rsidRPr="00316F06">
              <w:rPr>
                <w:snapToGrid w:val="0"/>
                <w:lang w:val="sk-SK"/>
              </w:rPr>
              <w:t xml:space="preserve"> </w:t>
            </w:r>
            <w:proofErr w:type="spellStart"/>
            <w:r w:rsidRPr="00316F06">
              <w:rPr>
                <w:snapToGrid w:val="0"/>
                <w:lang w:val="sk-SK"/>
              </w:rPr>
              <w:t>kolitída</w:t>
            </w:r>
            <w:proofErr w:type="spellEnd"/>
          </w:p>
          <w:p w14:paraId="27C1E017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Intestinálna</w:t>
            </w:r>
            <w:proofErr w:type="spellEnd"/>
            <w:r w:rsidRPr="00316F06">
              <w:rPr>
                <w:snapToGrid w:val="0"/>
                <w:lang w:val="sk-SK"/>
              </w:rPr>
              <w:t xml:space="preserve"> perforácia</w:t>
            </w:r>
          </w:p>
          <w:p w14:paraId="53BE9018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K ďalším </w:t>
            </w:r>
            <w:proofErr w:type="spellStart"/>
            <w:r w:rsidRPr="00316F06">
              <w:rPr>
                <w:snapToGrid w:val="0"/>
                <w:lang w:val="sk-SK"/>
              </w:rPr>
              <w:t>mierným</w:t>
            </w:r>
            <w:proofErr w:type="spellEnd"/>
            <w:r w:rsidRPr="00316F06">
              <w:rPr>
                <w:snapToGrid w:val="0"/>
                <w:lang w:val="sk-SK"/>
              </w:rPr>
              <w:t xml:space="preserve"> 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účinkom patria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anorexia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bolesti brucha a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mukozitíd</w:t>
            </w:r>
            <w:r w:rsidRPr="00316F06">
              <w:rPr>
                <w:snapToGrid w:val="0"/>
                <w:lang w:val="sk-SK"/>
              </w:rPr>
              <w:t>a</w:t>
            </w:r>
            <w:proofErr w:type="spellEnd"/>
            <w:r w:rsidRPr="00316F06">
              <w:rPr>
                <w:snapToGrid w:val="0"/>
                <w:lang w:val="sk-SK"/>
              </w:rPr>
              <w:t>.</w:t>
            </w:r>
          </w:p>
          <w:p w14:paraId="50AADC55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Symptomatická alebo asymptomatická pankreatitída</w:t>
            </w:r>
          </w:p>
        </w:tc>
      </w:tr>
      <w:tr w:rsidR="00913218" w:rsidRPr="00316F06" w14:paraId="4FEB8625" w14:textId="77777777" w:rsidTr="006A7246">
        <w:trPr>
          <w:cantSplit/>
        </w:trPr>
        <w:tc>
          <w:tcPr>
            <w:tcW w:w="9214" w:type="dxa"/>
            <w:gridSpan w:val="2"/>
          </w:tcPr>
          <w:p w14:paraId="5FDA2C8A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Poruchy krvi a lymfatického systému</w:t>
            </w:r>
          </w:p>
        </w:tc>
      </w:tr>
      <w:tr w:rsidR="00913218" w:rsidRPr="00316F06" w14:paraId="42C4000B" w14:textId="77777777" w:rsidTr="006A7246">
        <w:trPr>
          <w:cantSplit/>
        </w:trPr>
        <w:tc>
          <w:tcPr>
            <w:tcW w:w="1584" w:type="dxa"/>
          </w:tcPr>
          <w:p w14:paraId="19861562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časté</w:t>
            </w:r>
          </w:p>
        </w:tc>
        <w:tc>
          <w:tcPr>
            <w:tcW w:w="7630" w:type="dxa"/>
          </w:tcPr>
          <w:p w14:paraId="47EEFF35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Neutropénia</w:t>
            </w:r>
            <w:proofErr w:type="spellEnd"/>
            <w:r w:rsidRPr="00316F06">
              <w:rPr>
                <w:snapToGrid w:val="0"/>
                <w:lang w:val="sk-SK"/>
              </w:rPr>
              <w:t xml:space="preserve"> (reverzibilná a nekumulatívna)</w:t>
            </w:r>
          </w:p>
          <w:p w14:paraId="36C16D58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Anémia</w:t>
            </w:r>
          </w:p>
          <w:p w14:paraId="358CA1AF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Trombocytopénia</w:t>
            </w:r>
            <w:proofErr w:type="spellEnd"/>
            <w:r w:rsidRPr="00316F06">
              <w:rPr>
                <w:snapToGrid w:val="0"/>
                <w:lang w:val="sk-SK"/>
              </w:rPr>
              <w:t xml:space="preserve"> v prípade kombinovanej terapie</w:t>
            </w:r>
          </w:p>
          <w:p w14:paraId="6F2392CF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Infekčné príhody v prípade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monoterapie</w:t>
            </w:r>
            <w:proofErr w:type="spellEnd"/>
          </w:p>
        </w:tc>
      </w:tr>
      <w:tr w:rsidR="00913218" w:rsidRPr="00316F06" w14:paraId="026159B8" w14:textId="77777777" w:rsidTr="006A7246">
        <w:trPr>
          <w:cantSplit/>
        </w:trPr>
        <w:tc>
          <w:tcPr>
            <w:tcW w:w="1584" w:type="dxa"/>
          </w:tcPr>
          <w:p w14:paraId="74426E99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Časté</w:t>
            </w:r>
          </w:p>
        </w:tc>
        <w:tc>
          <w:tcPr>
            <w:tcW w:w="7630" w:type="dxa"/>
          </w:tcPr>
          <w:p w14:paraId="3399E429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Febrilná</w:t>
            </w:r>
            <w:proofErr w:type="spellEnd"/>
            <w:r w:rsidRPr="00316F06">
              <w:rPr>
                <w:snapToGrid w:val="0"/>
                <w:lang w:val="sk-SK"/>
              </w:rPr>
              <w:t xml:space="preserve"> </w:t>
            </w:r>
            <w:proofErr w:type="spellStart"/>
            <w:r w:rsidRPr="00316F06">
              <w:rPr>
                <w:snapToGrid w:val="0"/>
                <w:lang w:val="sk-SK"/>
              </w:rPr>
              <w:t>neutropénia</w:t>
            </w:r>
            <w:proofErr w:type="spellEnd"/>
          </w:p>
          <w:p w14:paraId="31D2C70C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>Infekčné príhody v prípade kombinovanej terapie</w:t>
            </w:r>
          </w:p>
          <w:p w14:paraId="7E2ADC24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Infekčné príhody spojené so závažnou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neutropéniou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mali v troch prípadoch smrteľné následky</w:t>
            </w:r>
          </w:p>
          <w:p w14:paraId="4D4C478A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Trombocytopénia</w:t>
            </w:r>
            <w:proofErr w:type="spellEnd"/>
            <w:r w:rsidRPr="00316F06">
              <w:rPr>
                <w:snapToGrid w:val="0"/>
                <w:lang w:val="sk-SK"/>
              </w:rPr>
              <w:t xml:space="preserve"> v prípade </w:t>
            </w:r>
            <w:proofErr w:type="spellStart"/>
            <w:r w:rsidRPr="00316F06">
              <w:rPr>
                <w:snapToGrid w:val="0"/>
                <w:lang w:val="sk-SK"/>
              </w:rPr>
              <w:t>monoterapie</w:t>
            </w:r>
            <w:proofErr w:type="spellEnd"/>
          </w:p>
        </w:tc>
      </w:tr>
      <w:tr w:rsidR="00913218" w:rsidRPr="00DF4F61" w14:paraId="22F5ABB8" w14:textId="77777777" w:rsidTr="006A7246">
        <w:trPr>
          <w:cantSplit/>
        </w:trPr>
        <w:tc>
          <w:tcPr>
            <w:tcW w:w="1584" w:type="dxa"/>
          </w:tcPr>
          <w:p w14:paraId="6BBBA07D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zriedkavé</w:t>
            </w:r>
          </w:p>
        </w:tc>
        <w:tc>
          <w:tcPr>
            <w:tcW w:w="7630" w:type="dxa"/>
          </w:tcPr>
          <w:p w14:paraId="1808C18B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Bol zaznamenaný jeden prípad per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iférnej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trombocytopénie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s tvorbou proti-doštičkových protilátok.</w:t>
            </w:r>
          </w:p>
        </w:tc>
      </w:tr>
      <w:tr w:rsidR="00913218" w:rsidRPr="00DF4F61" w14:paraId="5B072389" w14:textId="77777777" w:rsidTr="006A7246">
        <w:trPr>
          <w:cantSplit/>
        </w:trPr>
        <w:tc>
          <w:tcPr>
            <w:tcW w:w="9214" w:type="dxa"/>
            <w:gridSpan w:val="2"/>
          </w:tcPr>
          <w:p w14:paraId="45C96A7D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 xml:space="preserve">Poruchy kože a podkožného tkaniva </w:t>
            </w:r>
          </w:p>
        </w:tc>
      </w:tr>
      <w:tr w:rsidR="00913218" w:rsidRPr="00316F06" w14:paraId="6E1E111A" w14:textId="77777777" w:rsidTr="006A7246">
        <w:trPr>
          <w:cantSplit/>
        </w:trPr>
        <w:tc>
          <w:tcPr>
            <w:tcW w:w="1584" w:type="dxa"/>
          </w:tcPr>
          <w:p w14:paraId="3BEB2EB7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časté</w:t>
            </w:r>
          </w:p>
        </w:tc>
        <w:tc>
          <w:tcPr>
            <w:tcW w:w="7630" w:type="dxa"/>
          </w:tcPr>
          <w:p w14:paraId="486BE431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Alopécia</w:t>
            </w:r>
            <w:proofErr w:type="spellEnd"/>
            <w:r w:rsidRPr="00316F06">
              <w:rPr>
                <w:snapToGrid w:val="0"/>
                <w:lang w:val="sk-SK"/>
              </w:rPr>
              <w:t xml:space="preserve"> (reverzibilná)</w:t>
            </w:r>
          </w:p>
        </w:tc>
      </w:tr>
      <w:tr w:rsidR="00913218" w:rsidRPr="00316F06" w14:paraId="3FF646B3" w14:textId="77777777" w:rsidTr="006A7246">
        <w:trPr>
          <w:cantSplit/>
        </w:trPr>
        <w:tc>
          <w:tcPr>
            <w:tcW w:w="1584" w:type="dxa"/>
          </w:tcPr>
          <w:p w14:paraId="12830277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 xml:space="preserve">Menej časté </w:t>
            </w:r>
          </w:p>
        </w:tc>
        <w:tc>
          <w:tcPr>
            <w:tcW w:w="7630" w:type="dxa"/>
          </w:tcPr>
          <w:p w14:paraId="470257FC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Mierne kožné reakcie</w:t>
            </w:r>
          </w:p>
        </w:tc>
      </w:tr>
      <w:tr w:rsidR="00913218" w:rsidRPr="00612525" w14:paraId="1D2DEAB9" w14:textId="77777777" w:rsidTr="006A7246">
        <w:trPr>
          <w:cantSplit/>
        </w:trPr>
        <w:tc>
          <w:tcPr>
            <w:tcW w:w="9214" w:type="dxa"/>
            <w:gridSpan w:val="2"/>
          </w:tcPr>
          <w:p w14:paraId="660306EF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Celkové poruchy a reakcie v mieste podania</w:t>
            </w:r>
          </w:p>
        </w:tc>
      </w:tr>
      <w:tr w:rsidR="00913218" w:rsidRPr="00DF4F61" w14:paraId="604CC7C9" w14:textId="77777777" w:rsidTr="006A7246">
        <w:trPr>
          <w:cantSplit/>
        </w:trPr>
        <w:tc>
          <w:tcPr>
            <w:tcW w:w="1584" w:type="dxa"/>
          </w:tcPr>
          <w:p w14:paraId="05928444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časté</w:t>
            </w:r>
          </w:p>
        </w:tc>
        <w:tc>
          <w:tcPr>
            <w:tcW w:w="7630" w:type="dxa"/>
          </w:tcPr>
          <w:p w14:paraId="60E8DC00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Horúčka bez infekcie a bez súčasnej závažnej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neutropénie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v prípade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monoterapie</w:t>
            </w:r>
            <w:proofErr w:type="spellEnd"/>
          </w:p>
        </w:tc>
      </w:tr>
      <w:tr w:rsidR="00913218" w:rsidRPr="00316F06" w14:paraId="3D843682" w14:textId="77777777" w:rsidTr="006A7246">
        <w:trPr>
          <w:cantSplit/>
        </w:trPr>
        <w:tc>
          <w:tcPr>
            <w:tcW w:w="1584" w:type="dxa"/>
          </w:tcPr>
          <w:p w14:paraId="7C995769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Časté</w:t>
            </w:r>
          </w:p>
        </w:tc>
        <w:tc>
          <w:tcPr>
            <w:tcW w:w="7630" w:type="dxa"/>
          </w:tcPr>
          <w:p w14:paraId="21BB5ED8" w14:textId="77777777" w:rsidR="00913218" w:rsidRPr="00316F06" w:rsidRDefault="00913218" w:rsidP="006A7246">
            <w:pPr>
              <w:ind w:left="567" w:hanging="567"/>
              <w:rPr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Horúčka bez infekcie a bez súčasnej závažnej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neutropénie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v prípade kombinovanej terapie</w:t>
            </w:r>
          </w:p>
          <w:p w14:paraId="2C323626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Závažný prechodný akútny </w:t>
            </w:r>
            <w:proofErr w:type="spellStart"/>
            <w:r w:rsidRPr="00316F06">
              <w:rPr>
                <w:snapToGrid w:val="0"/>
                <w:lang w:val="sk-SK"/>
              </w:rPr>
              <w:t>cholinergný</w:t>
            </w:r>
            <w:proofErr w:type="spellEnd"/>
            <w:r w:rsidRPr="00316F06">
              <w:rPr>
                <w:snapToGrid w:val="0"/>
                <w:lang w:val="sk-SK"/>
              </w:rPr>
              <w:t xml:space="preserve"> syndróm (ako hlavné príznaky boli definované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 skorá hnačka a rôzne iné príznaky ako bolesti </w:t>
            </w:r>
            <w:r w:rsidRPr="00316F06">
              <w:rPr>
                <w:snapToGrid w:val="0"/>
                <w:lang w:val="sk-SK"/>
              </w:rPr>
              <w:t>brucha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,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konjunktivitída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rinitída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hypotenzia,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vazodilatácia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potenie, triaška, malátnosť, závrat, poruchy videnia,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myóza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>, slzenie a nadmerné vylučovanie slín</w:t>
            </w:r>
            <w:r w:rsidRPr="00316F06">
              <w:rPr>
                <w:snapToGrid w:val="0"/>
                <w:lang w:val="sk-SK"/>
              </w:rPr>
              <w:t>).</w:t>
            </w:r>
          </w:p>
          <w:p w14:paraId="1D5413B1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Asténia</w:t>
            </w:r>
          </w:p>
        </w:tc>
      </w:tr>
      <w:tr w:rsidR="00913218" w:rsidRPr="00DF4F61" w14:paraId="57D5324A" w14:textId="77777777" w:rsidTr="006A7246">
        <w:trPr>
          <w:cantSplit/>
        </w:trPr>
        <w:tc>
          <w:tcPr>
            <w:tcW w:w="1584" w:type="dxa"/>
          </w:tcPr>
          <w:p w14:paraId="142BDE77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 xml:space="preserve">Menej časté </w:t>
            </w:r>
          </w:p>
        </w:tc>
        <w:tc>
          <w:tcPr>
            <w:tcW w:w="7630" w:type="dxa"/>
          </w:tcPr>
          <w:p w14:paraId="72022869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Reakcie v mieste podávania infúzie</w:t>
            </w:r>
          </w:p>
        </w:tc>
      </w:tr>
      <w:tr w:rsidR="00913218" w:rsidRPr="00316F06" w14:paraId="2ADA3C1B" w14:textId="77777777" w:rsidTr="006A7246">
        <w:trPr>
          <w:cantSplit/>
        </w:trPr>
        <w:tc>
          <w:tcPr>
            <w:tcW w:w="9214" w:type="dxa"/>
            <w:gridSpan w:val="2"/>
          </w:tcPr>
          <w:p w14:paraId="28F71B2C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Laboratórne a funkčné vyšetrenia</w:t>
            </w:r>
          </w:p>
        </w:tc>
      </w:tr>
      <w:tr w:rsidR="00913218" w:rsidRPr="00DF4F61" w14:paraId="31369AF3" w14:textId="77777777" w:rsidTr="006A7246">
        <w:trPr>
          <w:cantSplit/>
        </w:trPr>
        <w:tc>
          <w:tcPr>
            <w:tcW w:w="1584" w:type="dxa"/>
          </w:tcPr>
          <w:p w14:paraId="1140987A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časté</w:t>
            </w:r>
          </w:p>
        </w:tc>
        <w:tc>
          <w:tcPr>
            <w:tcW w:w="7630" w:type="dxa"/>
          </w:tcPr>
          <w:p w14:paraId="76262A6D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Pri kombinovanej terapii boli zaznamenané prechodné zvýšenia hladiny v sére (1. a 2. stupňa)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transamináz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alkalickej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fosfatázy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alebo bilirubínu pri absencii rastúcich metastáz pečene.</w:t>
            </w:r>
          </w:p>
        </w:tc>
      </w:tr>
      <w:tr w:rsidR="00913218" w:rsidRPr="00DF4F61" w14:paraId="261EDB3B" w14:textId="77777777" w:rsidTr="006A7246">
        <w:trPr>
          <w:cantSplit/>
        </w:trPr>
        <w:tc>
          <w:tcPr>
            <w:tcW w:w="1584" w:type="dxa"/>
          </w:tcPr>
          <w:p w14:paraId="16E31FCA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Časté</w:t>
            </w:r>
          </w:p>
        </w:tc>
        <w:tc>
          <w:tcPr>
            <w:tcW w:w="7630" w:type="dxa"/>
          </w:tcPr>
          <w:p w14:paraId="2247551D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Pri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monoterapii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boli zaznamenané prechodné a mierne až stredne závažné zvýšenia sérovej hladiny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transamináz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, alkalickej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fosfatázy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alebo bilirubínu pri absencii rastúcich metastáz pečene.</w:t>
            </w:r>
          </w:p>
          <w:p w14:paraId="2598ED03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>Pri kombinovanej terapii prechodné hladiny 3. stupňa bilirubínu v sér</w:t>
            </w:r>
            <w:r w:rsidRPr="00316F06">
              <w:rPr>
                <w:snapToGrid w:val="0"/>
                <w:lang w:val="sk-SK"/>
              </w:rPr>
              <w:t>e</w:t>
            </w:r>
          </w:p>
          <w:p w14:paraId="76C95DC2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Prechodné a 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mierne až stredne závažné </w:t>
            </w:r>
            <w:r w:rsidRPr="00316F06">
              <w:rPr>
                <w:snapToGrid w:val="0"/>
                <w:lang w:val="sk-SK"/>
              </w:rPr>
              <w:t>zvýšenie hladín kreatinínu v sére</w:t>
            </w:r>
          </w:p>
        </w:tc>
      </w:tr>
      <w:tr w:rsidR="00913218" w:rsidRPr="00316F06" w14:paraId="434DFEAC" w14:textId="77777777" w:rsidTr="006A7246">
        <w:trPr>
          <w:cantSplit/>
        </w:trPr>
        <w:tc>
          <w:tcPr>
            <w:tcW w:w="1584" w:type="dxa"/>
          </w:tcPr>
          <w:p w14:paraId="08CD34BD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Zriedkavé</w:t>
            </w:r>
          </w:p>
        </w:tc>
        <w:tc>
          <w:tcPr>
            <w:tcW w:w="7630" w:type="dxa"/>
          </w:tcPr>
          <w:p w14:paraId="436CE305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Hypokaliémia</w:t>
            </w:r>
            <w:proofErr w:type="spellEnd"/>
            <w:r w:rsidRPr="00316F06">
              <w:rPr>
                <w:snapToGrid w:val="0"/>
                <w:lang w:val="sk-SK"/>
              </w:rPr>
              <w:t xml:space="preserve"> a </w:t>
            </w:r>
            <w:proofErr w:type="spellStart"/>
            <w:r w:rsidRPr="00316F06">
              <w:rPr>
                <w:snapToGrid w:val="0"/>
                <w:lang w:val="sk-SK"/>
              </w:rPr>
              <w:t>hyponatriémia</w:t>
            </w:r>
            <w:proofErr w:type="spellEnd"/>
          </w:p>
        </w:tc>
      </w:tr>
      <w:tr w:rsidR="00913218" w:rsidRPr="00DF4F61" w14:paraId="26A39E38" w14:textId="77777777" w:rsidTr="006A7246">
        <w:trPr>
          <w:cantSplit/>
        </w:trPr>
        <w:tc>
          <w:tcPr>
            <w:tcW w:w="1584" w:type="dxa"/>
          </w:tcPr>
          <w:p w14:paraId="222FEDBE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zriedkavé</w:t>
            </w:r>
          </w:p>
        </w:tc>
        <w:tc>
          <w:tcPr>
            <w:tcW w:w="7630" w:type="dxa"/>
          </w:tcPr>
          <w:p w14:paraId="23C06306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Zvýšenie </w:t>
            </w:r>
            <w:proofErr w:type="spellStart"/>
            <w:r w:rsidRPr="00316F06">
              <w:rPr>
                <w:snapToGrid w:val="0"/>
                <w:lang w:val="sk-SK"/>
              </w:rPr>
              <w:t>amylázy</w:t>
            </w:r>
            <w:proofErr w:type="spellEnd"/>
            <w:r w:rsidRPr="00316F06">
              <w:rPr>
                <w:snapToGrid w:val="0"/>
                <w:lang w:val="sk-SK"/>
              </w:rPr>
              <w:t xml:space="preserve"> a/alebo </w:t>
            </w:r>
            <w:proofErr w:type="spellStart"/>
            <w:r w:rsidRPr="00316F06">
              <w:rPr>
                <w:snapToGrid w:val="0"/>
                <w:lang w:val="sk-SK"/>
              </w:rPr>
              <w:t>lipázy</w:t>
            </w:r>
            <w:proofErr w:type="spellEnd"/>
          </w:p>
        </w:tc>
      </w:tr>
      <w:tr w:rsidR="00913218" w:rsidRPr="00DF4F61" w14:paraId="1B2E06FE" w14:textId="77777777" w:rsidTr="006A7246">
        <w:trPr>
          <w:cantSplit/>
        </w:trPr>
        <w:tc>
          <w:tcPr>
            <w:tcW w:w="9214" w:type="dxa"/>
            <w:gridSpan w:val="2"/>
          </w:tcPr>
          <w:p w14:paraId="6DF9974B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 xml:space="preserve">Poruchy dýchacej sústavy, hrudníka a </w:t>
            </w:r>
            <w:proofErr w:type="spellStart"/>
            <w:r w:rsidRPr="00316F06">
              <w:rPr>
                <w:snapToGrid w:val="0"/>
                <w:lang w:val="sk-SK"/>
              </w:rPr>
              <w:t>mediastína</w:t>
            </w:r>
            <w:proofErr w:type="spellEnd"/>
          </w:p>
        </w:tc>
      </w:tr>
      <w:tr w:rsidR="00913218" w:rsidRPr="00316F06" w14:paraId="6448849B" w14:textId="77777777" w:rsidTr="006A7246">
        <w:trPr>
          <w:cantSplit/>
        </w:trPr>
        <w:tc>
          <w:tcPr>
            <w:tcW w:w="1584" w:type="dxa"/>
          </w:tcPr>
          <w:p w14:paraId="4FCF0395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 xml:space="preserve">Menej časté </w:t>
            </w:r>
          </w:p>
        </w:tc>
        <w:tc>
          <w:tcPr>
            <w:tcW w:w="7630" w:type="dxa"/>
          </w:tcPr>
          <w:p w14:paraId="53C945A4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Intersticiálna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choroba pľúc prejavujúca sa ako pľúcne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infiltráty</w:t>
            </w:r>
            <w:proofErr w:type="spellEnd"/>
          </w:p>
          <w:p w14:paraId="6B818E99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Včasné účinky ako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dyspnoe</w:t>
            </w:r>
            <w:proofErr w:type="spellEnd"/>
          </w:p>
        </w:tc>
      </w:tr>
      <w:tr w:rsidR="00913218" w:rsidRPr="00316F06" w14:paraId="190CF77D" w14:textId="77777777" w:rsidTr="006A7246">
        <w:trPr>
          <w:cantSplit/>
        </w:trPr>
        <w:tc>
          <w:tcPr>
            <w:tcW w:w="9214" w:type="dxa"/>
            <w:gridSpan w:val="2"/>
          </w:tcPr>
          <w:p w14:paraId="4D142645" w14:textId="77777777" w:rsidR="00913218" w:rsidRPr="00316F06" w:rsidRDefault="00913218" w:rsidP="00175890">
            <w:pPr>
              <w:keepNext/>
              <w:keepLines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lastRenderedPageBreak/>
              <w:t>Poruchy imunitného systému</w:t>
            </w:r>
          </w:p>
        </w:tc>
      </w:tr>
      <w:tr w:rsidR="00913218" w:rsidRPr="00316F06" w14:paraId="2D48720F" w14:textId="77777777" w:rsidTr="006A7246">
        <w:trPr>
          <w:cantSplit/>
        </w:trPr>
        <w:tc>
          <w:tcPr>
            <w:tcW w:w="1584" w:type="dxa"/>
          </w:tcPr>
          <w:p w14:paraId="217F48C2" w14:textId="77777777" w:rsidR="00913218" w:rsidRPr="00316F06" w:rsidRDefault="00913218" w:rsidP="00175890">
            <w:pPr>
              <w:keepNext/>
              <w:keepLines/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 xml:space="preserve">Menej časté </w:t>
            </w:r>
          </w:p>
        </w:tc>
        <w:tc>
          <w:tcPr>
            <w:tcW w:w="7630" w:type="dxa"/>
          </w:tcPr>
          <w:p w14:paraId="2B1705DB" w14:textId="77777777" w:rsidR="00913218" w:rsidRPr="00316F06" w:rsidRDefault="00913218" w:rsidP="00175890">
            <w:pPr>
              <w:keepNext/>
              <w:keepLines/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Mierne alergické reakcie</w:t>
            </w:r>
          </w:p>
        </w:tc>
      </w:tr>
      <w:tr w:rsidR="00913218" w:rsidRPr="00316F06" w14:paraId="62B61D9C" w14:textId="77777777" w:rsidTr="006A7246">
        <w:trPr>
          <w:cantSplit/>
        </w:trPr>
        <w:tc>
          <w:tcPr>
            <w:tcW w:w="1584" w:type="dxa"/>
          </w:tcPr>
          <w:p w14:paraId="4F4C7893" w14:textId="77777777" w:rsidR="00913218" w:rsidRPr="00316F06" w:rsidRDefault="00913218" w:rsidP="00175890">
            <w:pPr>
              <w:keepNext/>
              <w:keepLines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Zriedkavé</w:t>
            </w:r>
          </w:p>
        </w:tc>
        <w:tc>
          <w:tcPr>
            <w:tcW w:w="7630" w:type="dxa"/>
          </w:tcPr>
          <w:p w14:paraId="43BA720C" w14:textId="77777777" w:rsidR="00913218" w:rsidRPr="00316F06" w:rsidRDefault="00913218" w:rsidP="00175890">
            <w:pPr>
              <w:keepNext/>
              <w:keepLines/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proofErr w:type="spellStart"/>
            <w:r w:rsidRPr="00316F06">
              <w:rPr>
                <w:snapToGrid w:val="0"/>
                <w:lang w:val="sk-SK"/>
              </w:rPr>
              <w:t>Anafylaktické</w:t>
            </w:r>
            <w:proofErr w:type="spellEnd"/>
            <w:r w:rsidRPr="00316F06">
              <w:rPr>
                <w:snapToGrid w:val="0"/>
                <w:lang w:val="sk-SK"/>
              </w:rPr>
              <w:t>/</w:t>
            </w:r>
            <w:proofErr w:type="spellStart"/>
            <w:r w:rsidRPr="00316F06">
              <w:rPr>
                <w:snapToGrid w:val="0"/>
                <w:lang w:val="sk-SK"/>
              </w:rPr>
              <w:t>pseudoanafylaktické</w:t>
            </w:r>
            <w:proofErr w:type="spellEnd"/>
            <w:r w:rsidRPr="00316F06">
              <w:rPr>
                <w:snapToGrid w:val="0"/>
                <w:lang w:val="sk-SK"/>
              </w:rPr>
              <w:t xml:space="preserve"> reakcie</w:t>
            </w:r>
          </w:p>
        </w:tc>
      </w:tr>
      <w:tr w:rsidR="00913218" w:rsidRPr="00316F06" w14:paraId="7105F658" w14:textId="77777777" w:rsidTr="006A7246">
        <w:trPr>
          <w:cantSplit/>
        </w:trPr>
        <w:tc>
          <w:tcPr>
            <w:tcW w:w="9214" w:type="dxa"/>
            <w:gridSpan w:val="2"/>
          </w:tcPr>
          <w:p w14:paraId="7F9ACF0C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Infekcie a nákazy</w:t>
            </w:r>
          </w:p>
        </w:tc>
      </w:tr>
      <w:tr w:rsidR="00913218" w:rsidRPr="00DF4F61" w14:paraId="08FC1059" w14:textId="77777777" w:rsidTr="006A7246">
        <w:trPr>
          <w:cantSplit/>
        </w:trPr>
        <w:tc>
          <w:tcPr>
            <w:tcW w:w="1584" w:type="dxa"/>
          </w:tcPr>
          <w:p w14:paraId="0CC878E5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 xml:space="preserve">Menej časté </w:t>
            </w:r>
          </w:p>
        </w:tc>
        <w:tc>
          <w:tcPr>
            <w:tcW w:w="7630" w:type="dxa"/>
          </w:tcPr>
          <w:p w14:paraId="01D2A477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>U pacientov, u ktorý</w:t>
            </w:r>
            <w:r w:rsidRPr="00316F06">
              <w:rPr>
                <w:rFonts w:cs="Times New Roman"/>
                <w:snapToGrid w:val="0"/>
                <w:lang w:val="sk-SK"/>
              </w:rPr>
              <w:t xml:space="preserve">ch sa vyskytla sepsa, bola zaznamenaná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renálna</w:t>
            </w:r>
            <w:proofErr w:type="spellEnd"/>
            <w:r w:rsidRPr="00316F06">
              <w:rPr>
                <w:rFonts w:cs="Times New Roman"/>
                <w:snapToGrid w:val="0"/>
                <w:lang w:val="sk-SK"/>
              </w:rPr>
              <w:t xml:space="preserve"> nedostatočnosť, hypotenzia alebo kardio-cirkulačné zlyhanie.</w:t>
            </w:r>
          </w:p>
        </w:tc>
      </w:tr>
      <w:tr w:rsidR="00913218" w:rsidRPr="00DF4F61" w14:paraId="65A18F05" w14:textId="77777777" w:rsidTr="006A7246">
        <w:trPr>
          <w:cantSplit/>
        </w:trPr>
        <w:tc>
          <w:tcPr>
            <w:tcW w:w="9214" w:type="dxa"/>
            <w:gridSpan w:val="2"/>
          </w:tcPr>
          <w:p w14:paraId="490BD2C4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Poruchy srdca a srdcovej činnosti</w:t>
            </w:r>
          </w:p>
        </w:tc>
      </w:tr>
      <w:tr w:rsidR="00913218" w:rsidRPr="00DF4F61" w14:paraId="1CB49187" w14:textId="77777777" w:rsidTr="006A7246">
        <w:trPr>
          <w:cantSplit/>
        </w:trPr>
        <w:tc>
          <w:tcPr>
            <w:tcW w:w="1584" w:type="dxa"/>
          </w:tcPr>
          <w:p w14:paraId="01F89DF8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Zriedkavé</w:t>
            </w:r>
          </w:p>
        </w:tc>
        <w:tc>
          <w:tcPr>
            <w:tcW w:w="7630" w:type="dxa"/>
          </w:tcPr>
          <w:p w14:paraId="39D0DCD4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Hypertenzia počas infúzie alebo po nej </w:t>
            </w:r>
          </w:p>
        </w:tc>
      </w:tr>
      <w:tr w:rsidR="00913218" w:rsidRPr="00DF4F61" w14:paraId="646B8A63" w14:textId="77777777" w:rsidTr="006A7246">
        <w:trPr>
          <w:cantSplit/>
        </w:trPr>
        <w:tc>
          <w:tcPr>
            <w:tcW w:w="9214" w:type="dxa"/>
            <w:gridSpan w:val="2"/>
          </w:tcPr>
          <w:p w14:paraId="563FB0B9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Poruchy kostrovej a svalovej sústavy a spojivového tkaniva</w:t>
            </w:r>
          </w:p>
        </w:tc>
      </w:tr>
      <w:tr w:rsidR="00913218" w:rsidRPr="00DF4F61" w14:paraId="20C2DEB5" w14:textId="77777777" w:rsidTr="006A7246">
        <w:trPr>
          <w:cantSplit/>
        </w:trPr>
        <w:tc>
          <w:tcPr>
            <w:tcW w:w="1584" w:type="dxa"/>
          </w:tcPr>
          <w:p w14:paraId="0CA8E85C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Zriedkavé</w:t>
            </w:r>
          </w:p>
        </w:tc>
        <w:tc>
          <w:tcPr>
            <w:tcW w:w="7630" w:type="dxa"/>
          </w:tcPr>
          <w:p w14:paraId="46E6D695" w14:textId="77777777" w:rsidR="00913218" w:rsidRPr="00316F06" w:rsidRDefault="00913218" w:rsidP="006A7246">
            <w:pPr>
              <w:ind w:left="567" w:hanging="567"/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 xml:space="preserve">Včasné príznaky ako kontrakcie svalov alebo kŕče a </w:t>
            </w:r>
            <w:proofErr w:type="spellStart"/>
            <w:r w:rsidRPr="00316F06">
              <w:rPr>
                <w:rFonts w:cs="Times New Roman"/>
                <w:snapToGrid w:val="0"/>
                <w:lang w:val="sk-SK"/>
              </w:rPr>
              <w:t>parestézia</w:t>
            </w:r>
            <w:proofErr w:type="spellEnd"/>
          </w:p>
        </w:tc>
      </w:tr>
      <w:tr w:rsidR="00913218" w:rsidRPr="00316F06" w14:paraId="1E6EB3F3" w14:textId="77777777" w:rsidTr="006A7246">
        <w:trPr>
          <w:cantSplit/>
        </w:trPr>
        <w:tc>
          <w:tcPr>
            <w:tcW w:w="9214" w:type="dxa"/>
            <w:gridSpan w:val="2"/>
          </w:tcPr>
          <w:p w14:paraId="6EE691A7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Poruchy nervového systému</w:t>
            </w:r>
          </w:p>
        </w:tc>
      </w:tr>
      <w:tr w:rsidR="00913218" w:rsidRPr="00316F06" w14:paraId="22F64729" w14:textId="77777777" w:rsidTr="006A7246">
        <w:trPr>
          <w:cantSplit/>
        </w:trPr>
        <w:tc>
          <w:tcPr>
            <w:tcW w:w="1584" w:type="dxa"/>
          </w:tcPr>
          <w:p w14:paraId="17FA238F" w14:textId="77777777" w:rsidR="00913218" w:rsidRPr="00316F06" w:rsidRDefault="00913218" w:rsidP="003B5E4C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zriedkavé</w:t>
            </w:r>
          </w:p>
        </w:tc>
        <w:tc>
          <w:tcPr>
            <w:tcW w:w="7630" w:type="dxa"/>
          </w:tcPr>
          <w:p w14:paraId="7232D3DA" w14:textId="77777777" w:rsidR="00913218" w:rsidRPr="00316F06" w:rsidRDefault="00913218" w:rsidP="003B5E4C">
            <w:pPr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rFonts w:cs="Times New Roman"/>
                <w:snapToGrid w:val="0"/>
                <w:lang w:val="sk-SK"/>
              </w:rPr>
              <w:t>Prechodné poruchy reči</w:t>
            </w:r>
          </w:p>
        </w:tc>
      </w:tr>
      <w:tr w:rsidR="00913218" w:rsidRPr="00316F06" w14:paraId="7EEB613A" w14:textId="77777777" w:rsidTr="006A7246">
        <w:trPr>
          <w:cantSplit/>
        </w:trPr>
        <w:tc>
          <w:tcPr>
            <w:tcW w:w="9214" w:type="dxa"/>
            <w:gridSpan w:val="2"/>
          </w:tcPr>
          <w:p w14:paraId="5D14B833" w14:textId="77777777" w:rsidR="00913218" w:rsidRPr="00316F06" w:rsidRDefault="00913218" w:rsidP="006A7246">
            <w:pPr>
              <w:keepNext/>
              <w:rPr>
                <w:snapToGrid w:val="0"/>
                <w:lang w:val="sk-SK"/>
              </w:rPr>
            </w:pPr>
            <w:r w:rsidRPr="00316F06">
              <w:rPr>
                <w:snapToGrid w:val="0"/>
                <w:lang w:val="sk-SK"/>
              </w:rPr>
              <w:t>Poruchy metabolizmu a výživy</w:t>
            </w:r>
          </w:p>
        </w:tc>
      </w:tr>
      <w:tr w:rsidR="00913218" w:rsidRPr="00316F06" w14:paraId="21F5A8B6" w14:textId="77777777" w:rsidTr="006A7246">
        <w:trPr>
          <w:cantSplit/>
        </w:trPr>
        <w:tc>
          <w:tcPr>
            <w:tcW w:w="1584" w:type="dxa"/>
          </w:tcPr>
          <w:p w14:paraId="26FDF312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rFonts w:cs="Times New Roman"/>
                <w:snapToGrid w:val="0"/>
                <w:lang w:val="sk-SK"/>
              </w:rPr>
              <w:t>Veľmi zriedkavé</w:t>
            </w:r>
          </w:p>
        </w:tc>
        <w:tc>
          <w:tcPr>
            <w:tcW w:w="7630" w:type="dxa"/>
          </w:tcPr>
          <w:p w14:paraId="7762BCE6" w14:textId="77777777" w:rsidR="00913218" w:rsidRPr="00316F06" w:rsidRDefault="00913218" w:rsidP="00A37FA9">
            <w:pPr>
              <w:rPr>
                <w:snapToGrid w:val="0"/>
                <w:lang w:val="sk-SK"/>
              </w:rPr>
            </w:pPr>
            <w:r w:rsidRPr="00316F06">
              <w:rPr>
                <w:lang w:val="sk-SK"/>
              </w:rPr>
              <w:t>●</w:t>
            </w:r>
            <w:r w:rsidRPr="00316F06">
              <w:rPr>
                <w:snapToGrid w:val="0"/>
                <w:sz w:val="20"/>
                <w:szCs w:val="20"/>
                <w:lang w:val="sk-SK" w:eastAsia="zh-CN"/>
              </w:rPr>
              <w:tab/>
            </w:r>
            <w:r w:rsidRPr="00316F06">
              <w:rPr>
                <w:snapToGrid w:val="0"/>
                <w:lang w:val="sk-SK"/>
              </w:rPr>
              <w:t xml:space="preserve">Syndróm </w:t>
            </w:r>
            <w:proofErr w:type="spellStart"/>
            <w:r w:rsidRPr="00316F06">
              <w:rPr>
                <w:snapToGrid w:val="0"/>
                <w:lang w:val="sk-SK"/>
              </w:rPr>
              <w:t>lýzy</w:t>
            </w:r>
            <w:proofErr w:type="spellEnd"/>
            <w:r w:rsidRPr="00316F06">
              <w:rPr>
                <w:snapToGrid w:val="0"/>
                <w:lang w:val="sk-SK"/>
              </w:rPr>
              <w:t xml:space="preserve"> tumoru</w:t>
            </w:r>
          </w:p>
        </w:tc>
      </w:tr>
    </w:tbl>
    <w:p w14:paraId="685609D5" w14:textId="77777777" w:rsidR="00913218" w:rsidRPr="00316F06" w:rsidRDefault="00913218" w:rsidP="00257456">
      <w:pPr>
        <w:rPr>
          <w:snapToGrid w:val="0"/>
          <w:lang w:val="sk-SK"/>
        </w:rPr>
      </w:pPr>
    </w:p>
    <w:p w14:paraId="47C427AA" w14:textId="77777777" w:rsidR="00913218" w:rsidRPr="00316F06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Poruchy gastrointestinálneho traktu</w:t>
      </w:r>
    </w:p>
    <w:p w14:paraId="4B328531" w14:textId="77777777" w:rsidR="00913218" w:rsidRPr="00316F06" w:rsidRDefault="00913218" w:rsidP="001246A4">
      <w:pPr>
        <w:keepNext/>
        <w:rPr>
          <w:i/>
          <w:iCs/>
          <w:lang w:val="sk-SK"/>
        </w:rPr>
      </w:pPr>
      <w:r w:rsidRPr="00316F06">
        <w:rPr>
          <w:i/>
          <w:lang w:val="sk-SK"/>
        </w:rPr>
        <w:t>Neskorá hnačka</w:t>
      </w:r>
    </w:p>
    <w:p w14:paraId="6C2C79DF" w14:textId="717B54CE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 xml:space="preserve">Hnačka (vyskytujúca sa viac ako 24 hodín po podaní) je toxicitou obmedzujúcou dávku 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</w:p>
    <w:p w14:paraId="014C4E63" w14:textId="77777777" w:rsidR="00913218" w:rsidRPr="00316F06" w:rsidRDefault="00913218" w:rsidP="001246A4">
      <w:pPr>
        <w:keepNext/>
        <w:rPr>
          <w:lang w:val="sk-SK"/>
        </w:rPr>
      </w:pPr>
    </w:p>
    <w:p w14:paraId="6767CE81" w14:textId="77777777" w:rsidR="00913218" w:rsidRPr="00316F06" w:rsidRDefault="00913218" w:rsidP="001246A4">
      <w:pPr>
        <w:keepNext/>
        <w:rPr>
          <w:lang w:val="sk-SK"/>
        </w:rPr>
      </w:pPr>
      <w:proofErr w:type="spellStart"/>
      <w:r w:rsidRPr="00316F06">
        <w:rPr>
          <w:lang w:val="sk-SK"/>
        </w:rPr>
        <w:t>Monoterapia</w:t>
      </w:r>
      <w:proofErr w:type="spellEnd"/>
      <w:r w:rsidRPr="00316F06">
        <w:rPr>
          <w:lang w:val="sk-SK"/>
        </w:rPr>
        <w:t>:</w:t>
      </w:r>
    </w:p>
    <w:p w14:paraId="146A20F4" w14:textId="4E4ABB51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 xml:space="preserve">Závažná hnačka bola zaznamenaná u 20 % pacientov, ktorí dodržiavali odporúčania na liečbu hnačky. V rámci cyklov, ktoré bolo možné vyhodnotiť, pri 14 % dochádzalo k závažnej hnačke. Medián času nástupu prvej hnačkovitej stolice bol na 5. deň po infúzii 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</w:p>
    <w:p w14:paraId="467EF9C5" w14:textId="77777777" w:rsidR="00913218" w:rsidRPr="00316F06" w:rsidRDefault="00913218" w:rsidP="001246A4">
      <w:pPr>
        <w:rPr>
          <w:lang w:val="sk-SK"/>
        </w:rPr>
      </w:pPr>
    </w:p>
    <w:p w14:paraId="1040DF33" w14:textId="77777777" w:rsidR="00913218" w:rsidRPr="00316F06" w:rsidRDefault="00913218" w:rsidP="001246A4">
      <w:pPr>
        <w:keepNext/>
        <w:rPr>
          <w:lang w:val="sk-SK"/>
        </w:rPr>
      </w:pPr>
      <w:r w:rsidRPr="00316F06">
        <w:rPr>
          <w:lang w:val="sk-SK"/>
        </w:rPr>
        <w:t>Kombinovaná terapia:</w:t>
      </w:r>
    </w:p>
    <w:p w14:paraId="23BF58D5" w14:textId="77777777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>Závažná hnačka bola zaznamenaná u 13,1 % pacientov, ktorí dodržiavali odporúčania na liečbu hnačky. V rámci cyklov, ktoré bolo možné vyhodnotiť, pri 3,9 % dochádzalo k závažnej hnačke.</w:t>
      </w:r>
    </w:p>
    <w:p w14:paraId="7EBFAAC8" w14:textId="77777777" w:rsidR="00913218" w:rsidRPr="00316F06" w:rsidRDefault="00913218" w:rsidP="001246A4">
      <w:pPr>
        <w:rPr>
          <w:lang w:val="sk-SK"/>
        </w:rPr>
      </w:pPr>
    </w:p>
    <w:p w14:paraId="1A07BED5" w14:textId="77777777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 xml:space="preserve">Boli hlásené menej časté prípady </w:t>
      </w:r>
      <w:proofErr w:type="spellStart"/>
      <w:r w:rsidRPr="00316F06">
        <w:rPr>
          <w:lang w:val="sk-SK"/>
        </w:rPr>
        <w:t>pseudomembránovej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kolitídy</w:t>
      </w:r>
      <w:proofErr w:type="spellEnd"/>
      <w:r w:rsidRPr="00316F06">
        <w:rPr>
          <w:lang w:val="sk-SK"/>
        </w:rPr>
        <w:t>, z ktorých jeden bol dokumentovaný bakteriologicky (</w:t>
      </w:r>
      <w:proofErr w:type="spellStart"/>
      <w:r w:rsidRPr="00316F06">
        <w:rPr>
          <w:i/>
          <w:lang w:val="sk-SK"/>
        </w:rPr>
        <w:t>Clostridium</w:t>
      </w:r>
      <w:proofErr w:type="spellEnd"/>
      <w:r w:rsidRPr="00316F06">
        <w:rPr>
          <w:i/>
          <w:lang w:val="sk-SK"/>
        </w:rPr>
        <w:t xml:space="preserve"> </w:t>
      </w:r>
      <w:proofErr w:type="spellStart"/>
      <w:r w:rsidRPr="00316F06">
        <w:rPr>
          <w:i/>
          <w:lang w:val="sk-SK"/>
        </w:rPr>
        <w:t>difficile</w:t>
      </w:r>
      <w:proofErr w:type="spellEnd"/>
      <w:r w:rsidRPr="00316F06">
        <w:rPr>
          <w:lang w:val="sk-SK"/>
        </w:rPr>
        <w:t>).</w:t>
      </w:r>
    </w:p>
    <w:p w14:paraId="3630B4BE" w14:textId="77777777" w:rsidR="00913218" w:rsidRPr="00316F06" w:rsidRDefault="00913218" w:rsidP="001246A4">
      <w:pPr>
        <w:rPr>
          <w:lang w:val="sk-SK"/>
        </w:rPr>
      </w:pPr>
    </w:p>
    <w:p w14:paraId="05929BD1" w14:textId="77777777" w:rsidR="00913218" w:rsidRPr="00316F06" w:rsidRDefault="00913218" w:rsidP="001246A4">
      <w:pPr>
        <w:rPr>
          <w:i/>
          <w:lang w:val="sk-SK"/>
        </w:rPr>
      </w:pPr>
      <w:r w:rsidRPr="00316F06">
        <w:rPr>
          <w:i/>
          <w:lang w:val="sk-SK"/>
        </w:rPr>
        <w:t>Nauzea a vracanie</w:t>
      </w:r>
    </w:p>
    <w:p w14:paraId="64705CA4" w14:textId="77777777" w:rsidR="00913218" w:rsidRPr="00316F06" w:rsidRDefault="00913218" w:rsidP="001246A4">
      <w:pPr>
        <w:rPr>
          <w:lang w:val="sk-SK"/>
        </w:rPr>
      </w:pPr>
    </w:p>
    <w:p w14:paraId="459EF6DD" w14:textId="77777777" w:rsidR="00913218" w:rsidRPr="00316F06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Monoterapia</w:t>
      </w:r>
      <w:proofErr w:type="spellEnd"/>
      <w:r w:rsidRPr="00316F06">
        <w:rPr>
          <w:lang w:val="sk-SK"/>
        </w:rPr>
        <w:t>:</w:t>
      </w:r>
    </w:p>
    <w:p w14:paraId="7E715CB7" w14:textId="77777777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 xml:space="preserve">Nauzea a vracanie boli závažné u približne 10 % pacientov liečených </w:t>
      </w:r>
      <w:proofErr w:type="spellStart"/>
      <w:r w:rsidRPr="00316F06">
        <w:rPr>
          <w:lang w:val="sk-SK"/>
        </w:rPr>
        <w:t>antiemetikami</w:t>
      </w:r>
      <w:proofErr w:type="spellEnd"/>
      <w:r w:rsidRPr="00316F06">
        <w:rPr>
          <w:lang w:val="sk-SK"/>
        </w:rPr>
        <w:t>.</w:t>
      </w:r>
    </w:p>
    <w:p w14:paraId="5DFECFEA" w14:textId="77777777" w:rsidR="00913218" w:rsidRPr="00316F06" w:rsidRDefault="00913218" w:rsidP="001246A4">
      <w:pPr>
        <w:rPr>
          <w:lang w:val="sk-SK"/>
        </w:rPr>
      </w:pPr>
    </w:p>
    <w:p w14:paraId="137B3261" w14:textId="77777777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>Kombinovaná terapia:</w:t>
      </w:r>
    </w:p>
    <w:p w14:paraId="78487C11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Pozorovala sa nižšia miera výskytu závažnej nevoľnosti a vracania (2,1 % resp. 2,8 % pacientov v uvedenom poradí).</w:t>
      </w:r>
    </w:p>
    <w:p w14:paraId="0FCC874C" w14:textId="77777777" w:rsidR="00913218" w:rsidRPr="00805523" w:rsidRDefault="00913218" w:rsidP="001246A4">
      <w:pPr>
        <w:rPr>
          <w:lang w:val="sk-SK"/>
        </w:rPr>
      </w:pPr>
    </w:p>
    <w:p w14:paraId="346F3079" w14:textId="77777777" w:rsidR="00913218" w:rsidRPr="00805523" w:rsidRDefault="00913218" w:rsidP="001246A4">
      <w:pPr>
        <w:rPr>
          <w:lang w:val="sk-SK"/>
        </w:rPr>
      </w:pPr>
      <w:r w:rsidRPr="00316F06">
        <w:rPr>
          <w:i/>
          <w:lang w:val="sk-SK"/>
        </w:rPr>
        <w:t>Dehydratácia</w:t>
      </w:r>
    </w:p>
    <w:p w14:paraId="28A35ED6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Boli hlásené prípady dehydratácie často súvisiace s hnačkou a/alebo vracaním.</w:t>
      </w:r>
    </w:p>
    <w:p w14:paraId="1E79F928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Pozorovali sa menej časté prípady nedostatočnosti obličiek, hypotenzie alebo kardio-cirkulačného zlyhania u pacientov, ktorí boli dehydratovaní v súvislosti s hnačkou a/alebo vracaním.</w:t>
      </w:r>
    </w:p>
    <w:p w14:paraId="48583CF6" w14:textId="77777777" w:rsidR="00913218" w:rsidRPr="00805523" w:rsidRDefault="00913218" w:rsidP="001246A4">
      <w:pPr>
        <w:rPr>
          <w:lang w:val="sk-SK"/>
        </w:rPr>
      </w:pPr>
    </w:p>
    <w:p w14:paraId="7C278381" w14:textId="77777777" w:rsidR="00913218" w:rsidRPr="00805523" w:rsidRDefault="00913218" w:rsidP="001246A4">
      <w:pPr>
        <w:rPr>
          <w:lang w:val="sk-SK"/>
        </w:rPr>
      </w:pPr>
      <w:r w:rsidRPr="00316F06">
        <w:rPr>
          <w:i/>
          <w:lang w:val="sk-SK"/>
        </w:rPr>
        <w:t>Iné gastrointestinálne poruchy</w:t>
      </w:r>
    </w:p>
    <w:p w14:paraId="12ECD969" w14:textId="2400E3CD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Pozorovala sa zápcha súvisiaca s 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a/alebo </w:t>
      </w:r>
      <w:proofErr w:type="spellStart"/>
      <w:r w:rsidRPr="00316F06">
        <w:rPr>
          <w:lang w:val="sk-SK"/>
        </w:rPr>
        <w:t>loperamidom</w:t>
      </w:r>
      <w:proofErr w:type="spellEnd"/>
      <w:r w:rsidRPr="00316F06">
        <w:rPr>
          <w:lang w:val="sk-SK"/>
        </w:rPr>
        <w:t xml:space="preserve"> s nasledovným rozdelením:</w:t>
      </w:r>
    </w:p>
    <w:p w14:paraId="235D5A0D" w14:textId="77777777" w:rsidR="00913218" w:rsidRPr="00316F06" w:rsidRDefault="00913218" w:rsidP="001246A4">
      <w:pPr>
        <w:numPr>
          <w:ilvl w:val="0"/>
          <w:numId w:val="5"/>
        </w:numPr>
        <w:tabs>
          <w:tab w:val="clear" w:pos="567"/>
        </w:tabs>
        <w:jc w:val="both"/>
        <w:rPr>
          <w:lang w:val="sk-SK"/>
        </w:rPr>
      </w:pPr>
      <w:proofErr w:type="spellStart"/>
      <w:r w:rsidRPr="00316F06">
        <w:rPr>
          <w:lang w:val="sk-SK"/>
        </w:rPr>
        <w:t>monoterapia</w:t>
      </w:r>
      <w:proofErr w:type="spellEnd"/>
      <w:r w:rsidRPr="00316F06">
        <w:rPr>
          <w:lang w:val="sk-SK"/>
        </w:rPr>
        <w:t>: u menej ako 10 % pacientov</w:t>
      </w:r>
    </w:p>
    <w:p w14:paraId="4F547472" w14:textId="77777777" w:rsidR="00913218" w:rsidRPr="00316F06" w:rsidRDefault="00913218" w:rsidP="001246A4">
      <w:pPr>
        <w:numPr>
          <w:ilvl w:val="0"/>
          <w:numId w:val="5"/>
        </w:numPr>
        <w:tabs>
          <w:tab w:val="clear" w:pos="567"/>
        </w:tabs>
        <w:jc w:val="both"/>
        <w:rPr>
          <w:lang w:val="sk-SK"/>
        </w:rPr>
      </w:pPr>
      <w:r w:rsidRPr="00316F06">
        <w:rPr>
          <w:lang w:val="sk-SK"/>
        </w:rPr>
        <w:t>kombinovaná terapia: 3,4 % pacientov.</w:t>
      </w:r>
    </w:p>
    <w:p w14:paraId="76041D71" w14:textId="77777777" w:rsidR="00913218" w:rsidRPr="00316F06" w:rsidRDefault="00913218" w:rsidP="001246A4">
      <w:pPr>
        <w:rPr>
          <w:lang w:val="sk-SK"/>
        </w:rPr>
      </w:pPr>
    </w:p>
    <w:p w14:paraId="16EA64B3" w14:textId="36A3849F" w:rsidR="00913218" w:rsidRPr="00316F06" w:rsidRDefault="00913218" w:rsidP="001246A4">
      <w:pPr>
        <w:rPr>
          <w:lang w:val="sk-SK"/>
        </w:rPr>
      </w:pPr>
      <w:r w:rsidRPr="00316F06">
        <w:rPr>
          <w:lang w:val="sk-SK"/>
        </w:rPr>
        <w:t xml:space="preserve">Boli hlásené menej časté prípady črevnej obštrukcie, </w:t>
      </w:r>
      <w:proofErr w:type="spellStart"/>
      <w:r w:rsidRPr="00316F06">
        <w:rPr>
          <w:lang w:val="sk-SK"/>
        </w:rPr>
        <w:t>ileusu</w:t>
      </w:r>
      <w:proofErr w:type="spellEnd"/>
      <w:r w:rsidRPr="00316F06">
        <w:rPr>
          <w:lang w:val="sk-SK"/>
        </w:rPr>
        <w:t xml:space="preserve"> alebo </w:t>
      </w:r>
      <w:proofErr w:type="spellStart"/>
      <w:r w:rsidRPr="00316F06">
        <w:rPr>
          <w:lang w:val="sk-SK"/>
        </w:rPr>
        <w:t>gastrointestinálneho</w:t>
      </w:r>
      <w:proofErr w:type="spellEnd"/>
      <w:r w:rsidRPr="00316F06">
        <w:rPr>
          <w:lang w:val="sk-SK"/>
        </w:rPr>
        <w:t xml:space="preserve"> krvácania a zriedkavé prípady </w:t>
      </w:r>
      <w:proofErr w:type="spellStart"/>
      <w:r w:rsidRPr="00316F06">
        <w:rPr>
          <w:lang w:val="sk-SK"/>
        </w:rPr>
        <w:t>kolitídy</w:t>
      </w:r>
      <w:proofErr w:type="spellEnd"/>
      <w:r w:rsidRPr="00316F06">
        <w:rPr>
          <w:lang w:val="sk-SK"/>
        </w:rPr>
        <w:t xml:space="preserve"> vrátane </w:t>
      </w:r>
      <w:proofErr w:type="spellStart"/>
      <w:r w:rsidRPr="00316F06">
        <w:rPr>
          <w:lang w:val="sk-SK"/>
        </w:rPr>
        <w:t>tyflitídy</w:t>
      </w:r>
      <w:proofErr w:type="spellEnd"/>
      <w:r w:rsidRPr="00316F06">
        <w:rPr>
          <w:lang w:val="sk-SK"/>
        </w:rPr>
        <w:t xml:space="preserve"> a ischemickej a </w:t>
      </w:r>
      <w:proofErr w:type="spellStart"/>
      <w:r w:rsidRPr="00316F06">
        <w:rPr>
          <w:lang w:val="sk-SK"/>
        </w:rPr>
        <w:t>ulceróznej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kolitídy</w:t>
      </w:r>
      <w:proofErr w:type="spellEnd"/>
      <w:r w:rsidRPr="00316F06">
        <w:rPr>
          <w:lang w:val="sk-SK"/>
        </w:rPr>
        <w:t xml:space="preserve">. Boli hlásené </w:t>
      </w:r>
      <w:r w:rsidRPr="00316F06">
        <w:rPr>
          <w:lang w:val="sk-SK"/>
        </w:rPr>
        <w:lastRenderedPageBreak/>
        <w:t xml:space="preserve">zriedkavé prípady perforácie čreva. K ďalším miernym účinkom patria </w:t>
      </w:r>
      <w:proofErr w:type="spellStart"/>
      <w:r w:rsidRPr="00316F06">
        <w:rPr>
          <w:lang w:val="sk-SK"/>
        </w:rPr>
        <w:t>anorexia</w:t>
      </w:r>
      <w:proofErr w:type="spellEnd"/>
      <w:r w:rsidRPr="00316F06">
        <w:rPr>
          <w:lang w:val="sk-SK"/>
        </w:rPr>
        <w:t>, bolesti brucha a </w:t>
      </w:r>
      <w:proofErr w:type="spellStart"/>
      <w:r w:rsidRPr="00316F06">
        <w:rPr>
          <w:lang w:val="sk-SK"/>
        </w:rPr>
        <w:t>mukozitída</w:t>
      </w:r>
      <w:proofErr w:type="spellEnd"/>
      <w:r w:rsidRPr="00316F06">
        <w:rPr>
          <w:lang w:val="sk-SK"/>
        </w:rPr>
        <w:t>.</w:t>
      </w:r>
      <w:r w:rsidR="00B43363">
        <w:rPr>
          <w:lang w:val="sk-SK"/>
        </w:rPr>
        <w:t xml:space="preserve"> </w:t>
      </w:r>
      <w:r w:rsidRPr="00316F06">
        <w:rPr>
          <w:lang w:val="sk-SK"/>
        </w:rPr>
        <w:t xml:space="preserve">S liečbou </w:t>
      </w:r>
      <w:proofErr w:type="spellStart"/>
      <w:r w:rsidRPr="00316F06">
        <w:rPr>
          <w:lang w:val="sk-SK"/>
        </w:rPr>
        <w:t>irinotek</w:t>
      </w:r>
      <w:r w:rsidR="00B43363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boli spojené zriedkavé prípady symptomatickej alebo asymptomatickej pankreatitídy.</w:t>
      </w:r>
    </w:p>
    <w:p w14:paraId="3925E90A" w14:textId="77777777" w:rsidR="00913218" w:rsidRPr="00316F06" w:rsidRDefault="00913218" w:rsidP="001246A4">
      <w:pPr>
        <w:rPr>
          <w:lang w:val="sk-SK"/>
        </w:rPr>
      </w:pPr>
    </w:p>
    <w:p w14:paraId="7E69FF71" w14:textId="77777777" w:rsidR="00913218" w:rsidRPr="00316F06" w:rsidRDefault="00913218" w:rsidP="001246A4">
      <w:pPr>
        <w:keepNext/>
        <w:rPr>
          <w:iCs/>
          <w:u w:val="single"/>
          <w:lang w:val="sk-SK"/>
        </w:rPr>
      </w:pPr>
      <w:r w:rsidRPr="00316F06">
        <w:rPr>
          <w:u w:val="single"/>
          <w:lang w:val="sk-SK"/>
        </w:rPr>
        <w:t>Poruchy krvi</w:t>
      </w:r>
    </w:p>
    <w:p w14:paraId="437997F3" w14:textId="77777777" w:rsidR="00913218" w:rsidRPr="00805523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Neutropénia</w:t>
      </w:r>
      <w:proofErr w:type="spellEnd"/>
      <w:r w:rsidRPr="00316F06">
        <w:rPr>
          <w:lang w:val="sk-SK"/>
        </w:rPr>
        <w:t xml:space="preserve"> je toxický účinok obmedzujúci dávku. </w:t>
      </w:r>
      <w:proofErr w:type="spellStart"/>
      <w:r w:rsidRPr="00316F06">
        <w:rPr>
          <w:lang w:val="sk-SK"/>
        </w:rPr>
        <w:t>Neutropénia</w:t>
      </w:r>
      <w:proofErr w:type="spellEnd"/>
      <w:r w:rsidRPr="00316F06">
        <w:rPr>
          <w:lang w:val="sk-SK"/>
        </w:rPr>
        <w:t xml:space="preserve"> bola reverzibilná, nie kumulatívna. Medián času do najnižšieho bodu bol 8 dní, ako pri </w:t>
      </w:r>
      <w:proofErr w:type="spellStart"/>
      <w:r w:rsidRPr="00316F06">
        <w:rPr>
          <w:lang w:val="sk-SK"/>
        </w:rPr>
        <w:t>monoterapii</w:t>
      </w:r>
      <w:proofErr w:type="spellEnd"/>
      <w:r w:rsidRPr="00316F06">
        <w:rPr>
          <w:lang w:val="sk-SK"/>
        </w:rPr>
        <w:t>, tak i pri kombinovanej terapii.</w:t>
      </w:r>
    </w:p>
    <w:p w14:paraId="2AC70F88" w14:textId="77777777" w:rsidR="00913218" w:rsidRPr="00805523" w:rsidRDefault="00913218" w:rsidP="001246A4">
      <w:pPr>
        <w:rPr>
          <w:lang w:val="sk-SK"/>
        </w:rPr>
      </w:pPr>
    </w:p>
    <w:p w14:paraId="31ABAE79" w14:textId="77777777" w:rsidR="00913218" w:rsidRPr="00316F06" w:rsidRDefault="00913218" w:rsidP="001246A4">
      <w:pPr>
        <w:keepNext/>
        <w:rPr>
          <w:lang w:val="sk-SK"/>
        </w:rPr>
      </w:pPr>
      <w:proofErr w:type="spellStart"/>
      <w:r w:rsidRPr="00316F06">
        <w:rPr>
          <w:lang w:val="sk-SK"/>
        </w:rPr>
        <w:t>Monoterapia</w:t>
      </w:r>
      <w:proofErr w:type="spellEnd"/>
      <w:r w:rsidRPr="00316F06">
        <w:rPr>
          <w:lang w:val="sk-SK"/>
        </w:rPr>
        <w:t>:</w:t>
      </w:r>
    </w:p>
    <w:p w14:paraId="2251182C" w14:textId="77777777" w:rsidR="00913218" w:rsidRPr="00316F06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Neutropénia</w:t>
      </w:r>
      <w:proofErr w:type="spellEnd"/>
      <w:r w:rsidRPr="00316F06">
        <w:rPr>
          <w:lang w:val="sk-SK"/>
        </w:rPr>
        <w:t xml:space="preserve"> bola zaznamenaná u 78,7 % pacientov a bola závažná (počet </w:t>
      </w:r>
      <w:proofErr w:type="spellStart"/>
      <w:r w:rsidRPr="00316F06">
        <w:rPr>
          <w:lang w:val="sk-SK"/>
        </w:rPr>
        <w:t>neutrofilov</w:t>
      </w:r>
      <w:proofErr w:type="spellEnd"/>
      <w:r w:rsidRPr="00316F06">
        <w:rPr>
          <w:lang w:val="sk-SK"/>
        </w:rPr>
        <w:t xml:space="preserve"> &lt; 500 buniek/mm³) u 22,6 % pacientov. Z cyklov, ktoré bolo možné vyhodnotiť, pri 18 % bol počet </w:t>
      </w:r>
      <w:proofErr w:type="spellStart"/>
      <w:r w:rsidRPr="00316F06">
        <w:rPr>
          <w:lang w:val="sk-SK"/>
        </w:rPr>
        <w:t>neutrofilov</w:t>
      </w:r>
      <w:proofErr w:type="spellEnd"/>
      <w:r w:rsidRPr="00316F06">
        <w:rPr>
          <w:lang w:val="sk-SK"/>
        </w:rPr>
        <w:t xml:space="preserve"> &lt; 1 000 buniek/mm³ vrátane 7,6 % s počtom </w:t>
      </w:r>
      <w:proofErr w:type="spellStart"/>
      <w:r w:rsidRPr="00316F06">
        <w:rPr>
          <w:lang w:val="sk-SK"/>
        </w:rPr>
        <w:t>neutrofilov</w:t>
      </w:r>
      <w:proofErr w:type="spellEnd"/>
      <w:r w:rsidRPr="00316F06">
        <w:rPr>
          <w:lang w:val="sk-SK"/>
        </w:rPr>
        <w:t xml:space="preserve"> &lt; 500 buniek/mm³.</w:t>
      </w:r>
    </w:p>
    <w:p w14:paraId="1C191D03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K úplnému zotaveniu spravidla dochádzalo do 22 dní.</w:t>
      </w:r>
    </w:p>
    <w:p w14:paraId="0A7ACB71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Horúčka so závažnou </w:t>
      </w:r>
      <w:proofErr w:type="spellStart"/>
      <w:r w:rsidRPr="00316F06">
        <w:rPr>
          <w:lang w:val="sk-SK"/>
        </w:rPr>
        <w:t>neutropéniou</w:t>
      </w:r>
      <w:proofErr w:type="spellEnd"/>
      <w:r w:rsidRPr="00316F06">
        <w:rPr>
          <w:lang w:val="sk-SK"/>
        </w:rPr>
        <w:t xml:space="preserve"> bola zaznamenaná u 6,2 % pacientov a v 1,7 % cyklov.</w:t>
      </w:r>
    </w:p>
    <w:p w14:paraId="23DB6F3E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Infekčné príhody sa vyskytli u približne 10,3 % pacientov (2,5 % cyklov) a boli spojené so závažnou </w:t>
      </w:r>
      <w:proofErr w:type="spellStart"/>
      <w:r w:rsidRPr="00316F06">
        <w:rPr>
          <w:lang w:val="sk-SK"/>
        </w:rPr>
        <w:t>neutropéniou</w:t>
      </w:r>
      <w:proofErr w:type="spellEnd"/>
      <w:r w:rsidRPr="00316F06">
        <w:rPr>
          <w:lang w:val="sk-SK"/>
        </w:rPr>
        <w:t xml:space="preserve"> u približne 5,3 % pacientov (1,1 % cyklov), pričom v dvoch prípadoch mali za následok úmrtie.</w:t>
      </w:r>
    </w:p>
    <w:p w14:paraId="3447520D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Anémia bola zaznamenaná u približne 58,7 % pacientov (8 % s hemoglobínom &lt; 8 g/dl a 0,9 % s hemoglobínom &lt; 6,5 g/dl).</w:t>
      </w:r>
    </w:p>
    <w:p w14:paraId="2F237CDD" w14:textId="77777777" w:rsidR="00913218" w:rsidRPr="00805523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Trombocytopénia</w:t>
      </w:r>
      <w:proofErr w:type="spellEnd"/>
      <w:r w:rsidRPr="00316F06">
        <w:rPr>
          <w:lang w:val="sk-SK"/>
        </w:rPr>
        <w:t xml:space="preserve"> (počet trombocytov &lt; 100 000 buniek/mm³) bola zaznamenaná u 7,4 % pacientov a v 1,8 % cyklov, pričom u 0,9 % pacientov a v 0,2 % cyklov dosahoval počet trombocytov ≤ 50 000 buniek/mm³.</w:t>
      </w:r>
    </w:p>
    <w:p w14:paraId="7F79F057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Takmer u všetkých pacientov došlo k zotaveniu do 22 dní.</w:t>
      </w:r>
    </w:p>
    <w:p w14:paraId="04063371" w14:textId="77777777" w:rsidR="00913218" w:rsidRPr="00805523" w:rsidRDefault="00913218" w:rsidP="001246A4">
      <w:pPr>
        <w:rPr>
          <w:lang w:val="sk-SK"/>
        </w:rPr>
      </w:pPr>
    </w:p>
    <w:p w14:paraId="7CF036DC" w14:textId="77777777" w:rsidR="00913218" w:rsidRPr="00805523" w:rsidRDefault="00913218" w:rsidP="001246A4">
      <w:pPr>
        <w:keepNext/>
        <w:rPr>
          <w:lang w:val="sk-SK"/>
        </w:rPr>
      </w:pPr>
      <w:r w:rsidRPr="00316F06">
        <w:rPr>
          <w:lang w:val="sk-SK"/>
        </w:rPr>
        <w:t>Kombinovaná terapia:</w:t>
      </w:r>
    </w:p>
    <w:p w14:paraId="26759AB2" w14:textId="77777777" w:rsidR="00913218" w:rsidRPr="00805523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Neutropénia</w:t>
      </w:r>
      <w:proofErr w:type="spellEnd"/>
      <w:r w:rsidRPr="00316F06">
        <w:rPr>
          <w:lang w:val="sk-SK"/>
        </w:rPr>
        <w:t xml:space="preserve"> bola zaznamenaná u 82,5 % pacientov a bola závažná (počet </w:t>
      </w:r>
      <w:proofErr w:type="spellStart"/>
      <w:r w:rsidRPr="00316F06">
        <w:rPr>
          <w:lang w:val="sk-SK"/>
        </w:rPr>
        <w:t>neutrofilov</w:t>
      </w:r>
      <w:proofErr w:type="spellEnd"/>
      <w:r w:rsidRPr="00316F06">
        <w:rPr>
          <w:lang w:val="sk-SK"/>
        </w:rPr>
        <w:t xml:space="preserve"> &lt; 500 buniek/mm³) u 9,8 % pacientov.</w:t>
      </w:r>
    </w:p>
    <w:p w14:paraId="08BC7369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Z cyklov, ktoré bolo možné vyhodnotiť, pri 67,3 % bol počet </w:t>
      </w:r>
      <w:proofErr w:type="spellStart"/>
      <w:r w:rsidRPr="00316F06">
        <w:rPr>
          <w:lang w:val="sk-SK"/>
        </w:rPr>
        <w:t>neutrofilov</w:t>
      </w:r>
      <w:proofErr w:type="spellEnd"/>
      <w:r w:rsidRPr="00316F06">
        <w:rPr>
          <w:lang w:val="sk-SK"/>
        </w:rPr>
        <w:t xml:space="preserve"> &lt; 1 000 buniek/mm³ vrátane 2,7 % s počtom </w:t>
      </w:r>
      <w:proofErr w:type="spellStart"/>
      <w:r w:rsidRPr="00316F06">
        <w:rPr>
          <w:lang w:val="sk-SK"/>
        </w:rPr>
        <w:t>neutrofilov</w:t>
      </w:r>
      <w:proofErr w:type="spellEnd"/>
      <w:r w:rsidRPr="00316F06">
        <w:rPr>
          <w:lang w:val="sk-SK"/>
        </w:rPr>
        <w:t xml:space="preserve"> &lt; 500 buniek/mm³.</w:t>
      </w:r>
    </w:p>
    <w:p w14:paraId="40A44754" w14:textId="77777777" w:rsidR="00913218" w:rsidRPr="00805523" w:rsidRDefault="00913218" w:rsidP="00F110C8">
      <w:pPr>
        <w:rPr>
          <w:lang w:val="sk-SK"/>
        </w:rPr>
      </w:pPr>
      <w:r w:rsidRPr="00316F06">
        <w:rPr>
          <w:lang w:val="sk-SK"/>
        </w:rPr>
        <w:t>K úplnému zotaveniu spravidla dochádzalo do 7 </w:t>
      </w:r>
      <w:r w:rsidRPr="00316F06">
        <w:rPr>
          <w:lang w:val="sk-SK"/>
        </w:rPr>
        <w:noBreakHyphen/>
        <w:t> 8 dní.</w:t>
      </w:r>
    </w:p>
    <w:p w14:paraId="79514697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Horúčka so závažnou </w:t>
      </w:r>
      <w:proofErr w:type="spellStart"/>
      <w:r w:rsidRPr="00316F06">
        <w:rPr>
          <w:lang w:val="sk-SK"/>
        </w:rPr>
        <w:t>neutropéniou</w:t>
      </w:r>
      <w:proofErr w:type="spellEnd"/>
      <w:r w:rsidRPr="00316F06">
        <w:rPr>
          <w:lang w:val="sk-SK"/>
        </w:rPr>
        <w:t xml:space="preserve"> bola zaznamenaná u 3,4 % pacientov a v 0,9 % cyklov.</w:t>
      </w:r>
    </w:p>
    <w:p w14:paraId="3E0E1055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Infekčné príhody sa vyskytli u približne 2 % pacientov (0,5 % cyklov) a boli spojené so závažnou </w:t>
      </w:r>
      <w:proofErr w:type="spellStart"/>
      <w:r w:rsidRPr="00316F06">
        <w:rPr>
          <w:lang w:val="sk-SK"/>
        </w:rPr>
        <w:t>neutropéniou</w:t>
      </w:r>
      <w:proofErr w:type="spellEnd"/>
      <w:r w:rsidRPr="00316F06">
        <w:rPr>
          <w:lang w:val="sk-SK"/>
        </w:rPr>
        <w:t xml:space="preserve"> u približne 2,1 % pacientov (0,5 % cyklov), pričom v jednom prípade mali za následok úmrtie.</w:t>
      </w:r>
    </w:p>
    <w:p w14:paraId="3C9561EC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Anémia bola zaznamenaná u 97,2 % pacientov (2,1 % s hemoglobínom &lt; 8 g/dl).</w:t>
      </w:r>
    </w:p>
    <w:p w14:paraId="49DA7ACB" w14:textId="77777777" w:rsidR="00913218" w:rsidRPr="00805523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Trombocytopénia</w:t>
      </w:r>
      <w:proofErr w:type="spellEnd"/>
      <w:r w:rsidRPr="00316F06">
        <w:rPr>
          <w:lang w:val="sk-SK"/>
        </w:rPr>
        <w:t xml:space="preserve"> (počet trombocytov &lt; 100 000 buniek/mm³) bola zaznamenaná u 32,6 % pacientov a v 21,8 % cyklov.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Nebola zaznamenaná závažná </w:t>
      </w:r>
      <w:proofErr w:type="spellStart"/>
      <w:r w:rsidRPr="00316F06">
        <w:rPr>
          <w:lang w:val="sk-SK"/>
        </w:rPr>
        <w:t>trombocytopénia</w:t>
      </w:r>
      <w:proofErr w:type="spellEnd"/>
      <w:r w:rsidRPr="00316F06">
        <w:rPr>
          <w:lang w:val="sk-SK"/>
        </w:rPr>
        <w:t xml:space="preserve"> (počet trombocytov &lt; 50 000 buniek/mm³).</w:t>
      </w:r>
    </w:p>
    <w:p w14:paraId="5DA59257" w14:textId="77777777" w:rsidR="00913218" w:rsidRPr="00805523" w:rsidRDefault="00913218" w:rsidP="001246A4">
      <w:pPr>
        <w:rPr>
          <w:lang w:val="sk-SK"/>
        </w:rPr>
      </w:pPr>
    </w:p>
    <w:p w14:paraId="33EBF038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Po uvedení lieku na trh bol hlásený jeden prípad periférnej </w:t>
      </w:r>
      <w:proofErr w:type="spellStart"/>
      <w:r w:rsidRPr="00316F06">
        <w:rPr>
          <w:lang w:val="sk-SK"/>
        </w:rPr>
        <w:t>trombocytopénie</w:t>
      </w:r>
      <w:proofErr w:type="spellEnd"/>
      <w:r w:rsidRPr="00316F06">
        <w:rPr>
          <w:lang w:val="sk-SK"/>
        </w:rPr>
        <w:t xml:space="preserve"> s tvorbou </w:t>
      </w:r>
      <w:proofErr w:type="spellStart"/>
      <w:r w:rsidRPr="00316F06">
        <w:rPr>
          <w:lang w:val="sk-SK"/>
        </w:rPr>
        <w:t>antitrombocytových</w:t>
      </w:r>
      <w:proofErr w:type="spellEnd"/>
      <w:r w:rsidRPr="00316F06">
        <w:rPr>
          <w:lang w:val="sk-SK"/>
        </w:rPr>
        <w:t xml:space="preserve"> protilátok.</w:t>
      </w:r>
    </w:p>
    <w:p w14:paraId="7D6B5B4C" w14:textId="77777777" w:rsidR="00913218" w:rsidRPr="00805523" w:rsidRDefault="00913218" w:rsidP="001246A4">
      <w:pPr>
        <w:rPr>
          <w:lang w:val="sk-SK"/>
        </w:rPr>
      </w:pPr>
    </w:p>
    <w:p w14:paraId="1A9A7357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Infekcie a nákazy</w:t>
      </w:r>
    </w:p>
    <w:p w14:paraId="32478655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U pacientov, u ktorých sa vyskytla sepsa, boli zaznamenané menej časté prípady </w:t>
      </w:r>
      <w:proofErr w:type="spellStart"/>
      <w:r w:rsidRPr="00316F06">
        <w:rPr>
          <w:lang w:val="sk-SK"/>
        </w:rPr>
        <w:t>renálnej</w:t>
      </w:r>
      <w:proofErr w:type="spellEnd"/>
      <w:r w:rsidRPr="00316F06">
        <w:rPr>
          <w:lang w:val="sk-SK"/>
        </w:rPr>
        <w:t xml:space="preserve"> nedostatočnosti, hypotenzie alebo kardio-cirkulačného zlyhania.</w:t>
      </w:r>
    </w:p>
    <w:p w14:paraId="7CF9276B" w14:textId="77777777" w:rsidR="00913218" w:rsidRPr="00805523" w:rsidRDefault="00913218" w:rsidP="001246A4">
      <w:pPr>
        <w:rPr>
          <w:lang w:val="sk-SK"/>
        </w:rPr>
      </w:pPr>
    </w:p>
    <w:p w14:paraId="7D6A2B14" w14:textId="77777777" w:rsidR="00913218" w:rsidRPr="00805523" w:rsidRDefault="00913218" w:rsidP="00175890">
      <w:pPr>
        <w:keepNext/>
        <w:keepLines/>
        <w:rPr>
          <w:u w:val="single"/>
          <w:lang w:val="sk-SK"/>
        </w:rPr>
      </w:pPr>
      <w:r w:rsidRPr="00316F06">
        <w:rPr>
          <w:u w:val="single"/>
          <w:lang w:val="sk-SK"/>
        </w:rPr>
        <w:t>Celkové poruchy a reakcie v mieste podania infúzie</w:t>
      </w:r>
    </w:p>
    <w:p w14:paraId="6D039E2A" w14:textId="77777777" w:rsidR="00913218" w:rsidRPr="00805523" w:rsidRDefault="00913218" w:rsidP="00175890">
      <w:pPr>
        <w:keepNext/>
        <w:keepLines/>
        <w:rPr>
          <w:i/>
          <w:lang w:val="sk-SK"/>
        </w:rPr>
      </w:pPr>
    </w:p>
    <w:p w14:paraId="3ED7B3DC" w14:textId="77777777" w:rsidR="00913218" w:rsidRPr="00805523" w:rsidRDefault="00913218" w:rsidP="00175890">
      <w:pPr>
        <w:keepNext/>
        <w:keepLines/>
        <w:rPr>
          <w:i/>
          <w:lang w:val="sk-SK"/>
        </w:rPr>
      </w:pPr>
      <w:r w:rsidRPr="00316F06">
        <w:rPr>
          <w:i/>
          <w:lang w:val="sk-SK"/>
        </w:rPr>
        <w:t xml:space="preserve">Akútny </w:t>
      </w:r>
      <w:proofErr w:type="spellStart"/>
      <w:r w:rsidRPr="00316F06">
        <w:rPr>
          <w:i/>
          <w:lang w:val="sk-SK"/>
        </w:rPr>
        <w:t>cholinergný</w:t>
      </w:r>
      <w:proofErr w:type="spellEnd"/>
      <w:r w:rsidRPr="00316F06">
        <w:rPr>
          <w:i/>
          <w:lang w:val="sk-SK"/>
        </w:rPr>
        <w:t xml:space="preserve"> syndróm</w:t>
      </w:r>
    </w:p>
    <w:p w14:paraId="741BC979" w14:textId="3A239204" w:rsidR="00913218" w:rsidRPr="00805523" w:rsidRDefault="00913218" w:rsidP="00175890">
      <w:pPr>
        <w:keepNext/>
        <w:keepLines/>
        <w:rPr>
          <w:lang w:val="sk-SK"/>
        </w:rPr>
      </w:pPr>
      <w:r w:rsidRPr="00316F06">
        <w:rPr>
          <w:lang w:val="sk-SK"/>
        </w:rPr>
        <w:t xml:space="preserve">Závažný prechodný akútny </w:t>
      </w:r>
      <w:proofErr w:type="spellStart"/>
      <w:r w:rsidRPr="00316F06">
        <w:rPr>
          <w:lang w:val="sk-SK"/>
        </w:rPr>
        <w:t>cholinergný</w:t>
      </w:r>
      <w:proofErr w:type="spellEnd"/>
      <w:r w:rsidRPr="00316F06">
        <w:rPr>
          <w:lang w:val="sk-SK"/>
        </w:rPr>
        <w:t xml:space="preserve"> syndróm bol zaznamenaný u 9 % pacientov liečených </w:t>
      </w:r>
      <w:proofErr w:type="spellStart"/>
      <w:r w:rsidRPr="00316F06">
        <w:rPr>
          <w:lang w:val="sk-SK"/>
        </w:rPr>
        <w:t>monoterapiou</w:t>
      </w:r>
      <w:proofErr w:type="spellEnd"/>
      <w:r w:rsidRPr="00316F06">
        <w:rPr>
          <w:lang w:val="sk-SK"/>
        </w:rPr>
        <w:t xml:space="preserve"> a u 1,4 % pacientov liečených kombinovanou terapiou.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Ako hlavné príznaky boli definované skorá hnačka a rôzne iné príznaky ako bolesti brucha, </w:t>
      </w:r>
      <w:proofErr w:type="spellStart"/>
      <w:r w:rsidRPr="00316F06">
        <w:rPr>
          <w:lang w:val="sk-SK"/>
        </w:rPr>
        <w:t>konjunktivitída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rinitída</w:t>
      </w:r>
      <w:proofErr w:type="spellEnd"/>
      <w:r w:rsidRPr="00316F06">
        <w:rPr>
          <w:lang w:val="sk-SK"/>
        </w:rPr>
        <w:t xml:space="preserve">, hypotenzia, </w:t>
      </w:r>
      <w:proofErr w:type="spellStart"/>
      <w:r w:rsidRPr="00316F06">
        <w:rPr>
          <w:lang w:val="sk-SK"/>
        </w:rPr>
        <w:t>vazodilatácia</w:t>
      </w:r>
      <w:proofErr w:type="spellEnd"/>
      <w:r w:rsidRPr="00316F06">
        <w:rPr>
          <w:lang w:val="sk-SK"/>
        </w:rPr>
        <w:t xml:space="preserve">, potenie, triaška, malátnosť, závrat, poruchy videnia, </w:t>
      </w:r>
      <w:proofErr w:type="spellStart"/>
      <w:r w:rsidRPr="00316F06">
        <w:rPr>
          <w:lang w:val="sk-SK"/>
        </w:rPr>
        <w:t>myóza</w:t>
      </w:r>
      <w:proofErr w:type="spellEnd"/>
      <w:r w:rsidRPr="00316F06">
        <w:rPr>
          <w:lang w:val="sk-SK"/>
        </w:rPr>
        <w:t xml:space="preserve">, slzenie a nadmerné vylučovanie slín počas infúzie alebo do 24 hodín po infúzii </w:t>
      </w:r>
      <w:proofErr w:type="spellStart"/>
      <w:r w:rsidRPr="00316F06">
        <w:rPr>
          <w:lang w:val="sk-SK"/>
        </w:rPr>
        <w:t>irinotek</w:t>
      </w:r>
      <w:r w:rsidR="00993B5E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Tieto príznaky zmiznú po podaní atropínu (pozri časť 4.4).</w:t>
      </w:r>
    </w:p>
    <w:p w14:paraId="690D1CE4" w14:textId="77777777" w:rsidR="00913218" w:rsidRPr="00805523" w:rsidRDefault="00913218" w:rsidP="001246A4">
      <w:pPr>
        <w:rPr>
          <w:lang w:val="sk-SK"/>
        </w:rPr>
      </w:pPr>
    </w:p>
    <w:p w14:paraId="371A5349" w14:textId="01A57D85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lastRenderedPageBreak/>
        <w:t xml:space="preserve">Asténia bola závažná u menej ako 10 % pacientov liečených </w:t>
      </w:r>
      <w:proofErr w:type="spellStart"/>
      <w:r w:rsidRPr="00316F06">
        <w:rPr>
          <w:lang w:val="sk-SK"/>
        </w:rPr>
        <w:t>monoterapiou</w:t>
      </w:r>
      <w:proofErr w:type="spellEnd"/>
      <w:r w:rsidRPr="00316F06">
        <w:rPr>
          <w:lang w:val="sk-SK"/>
        </w:rPr>
        <w:t xml:space="preserve"> a u 6,2 % pacientov liečených kombinovanou terapiou.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Kauzálny vzťah k </w:t>
      </w:r>
      <w:proofErr w:type="spellStart"/>
      <w:r w:rsidRPr="00316F06">
        <w:rPr>
          <w:lang w:val="sk-SK"/>
        </w:rPr>
        <w:t>irinotek</w:t>
      </w:r>
      <w:r w:rsidR="00993B5E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nebol jednoznačne stanovený.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Horúčka bez prítomnosti infekcie a bez súbežnej závažnej </w:t>
      </w:r>
      <w:proofErr w:type="spellStart"/>
      <w:r w:rsidRPr="00316F06">
        <w:rPr>
          <w:lang w:val="sk-SK"/>
        </w:rPr>
        <w:t>neutropénie</w:t>
      </w:r>
      <w:proofErr w:type="spellEnd"/>
      <w:r w:rsidRPr="00316F06">
        <w:rPr>
          <w:lang w:val="sk-SK"/>
        </w:rPr>
        <w:t xml:space="preserve"> sa vyskytovala u 12 % pacientov liečených </w:t>
      </w:r>
      <w:proofErr w:type="spellStart"/>
      <w:r w:rsidRPr="00316F06">
        <w:rPr>
          <w:lang w:val="sk-SK"/>
        </w:rPr>
        <w:t>monoterapiou</w:t>
      </w:r>
      <w:proofErr w:type="spellEnd"/>
      <w:r w:rsidRPr="00316F06">
        <w:rPr>
          <w:lang w:val="sk-SK"/>
        </w:rPr>
        <w:t xml:space="preserve"> a u 6,2 % pacientov liečených kombinovanou terapiou.</w:t>
      </w:r>
    </w:p>
    <w:p w14:paraId="07F9E60C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Boli hlásené mierne reakcie v mieste podania infúzie, aj keď menej často.</w:t>
      </w:r>
    </w:p>
    <w:p w14:paraId="18FB1BA0" w14:textId="77777777" w:rsidR="00913218" w:rsidRPr="00805523" w:rsidRDefault="00913218" w:rsidP="001246A4">
      <w:pPr>
        <w:rPr>
          <w:lang w:val="sk-SK"/>
        </w:rPr>
      </w:pPr>
    </w:p>
    <w:p w14:paraId="745F849D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Poruchy srdca a srdcovej činnosti</w:t>
      </w:r>
    </w:p>
    <w:p w14:paraId="0F6F83C8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Boli hlásené zriedkavé prípady hypertenzie počas infúzie alebo po nej.</w:t>
      </w:r>
    </w:p>
    <w:p w14:paraId="441F562A" w14:textId="77777777" w:rsidR="00913218" w:rsidRPr="00805523" w:rsidRDefault="00913218" w:rsidP="001246A4">
      <w:pPr>
        <w:rPr>
          <w:lang w:val="sk-SK"/>
        </w:rPr>
      </w:pPr>
    </w:p>
    <w:p w14:paraId="0139602E" w14:textId="77777777" w:rsidR="00913218" w:rsidRPr="00805523" w:rsidRDefault="00913218" w:rsidP="001246A4">
      <w:pPr>
        <w:keepNext/>
        <w:keepLines/>
        <w:rPr>
          <w:u w:val="single"/>
          <w:lang w:val="sk-SK"/>
        </w:rPr>
      </w:pPr>
      <w:r w:rsidRPr="00316F06">
        <w:rPr>
          <w:u w:val="single"/>
          <w:lang w:val="sk-SK"/>
        </w:rPr>
        <w:t>Poruchy dýchacej sústavy</w:t>
      </w:r>
    </w:p>
    <w:p w14:paraId="112B6CCD" w14:textId="44CD1788" w:rsidR="00913218" w:rsidRPr="00805523" w:rsidRDefault="00913218" w:rsidP="001246A4">
      <w:pPr>
        <w:keepNext/>
        <w:keepLines/>
        <w:rPr>
          <w:lang w:val="sk-SK"/>
        </w:rPr>
      </w:pPr>
      <w:r w:rsidRPr="00316F06">
        <w:rPr>
          <w:lang w:val="sk-SK"/>
        </w:rPr>
        <w:t xml:space="preserve">Ako menej častý nežiaduci účinok pri liečbe </w:t>
      </w:r>
      <w:proofErr w:type="spellStart"/>
      <w:r w:rsidRPr="00316F06">
        <w:rPr>
          <w:lang w:val="sk-SK"/>
        </w:rPr>
        <w:t>irinotek</w:t>
      </w:r>
      <w:r w:rsidR="00517E8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sa vyskytuje </w:t>
      </w:r>
      <w:proofErr w:type="spellStart"/>
      <w:r w:rsidRPr="00316F06">
        <w:rPr>
          <w:lang w:val="sk-SK"/>
        </w:rPr>
        <w:t>intersticiálna</w:t>
      </w:r>
      <w:proofErr w:type="spellEnd"/>
      <w:r w:rsidRPr="00316F06">
        <w:rPr>
          <w:lang w:val="sk-SK"/>
        </w:rPr>
        <w:t xml:space="preserve"> choroba pľúc, ktorá sa prejavuje ako pľúcne </w:t>
      </w:r>
      <w:proofErr w:type="spellStart"/>
      <w:r w:rsidRPr="00316F06">
        <w:rPr>
          <w:lang w:val="sk-SK"/>
        </w:rPr>
        <w:t>infiltráty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Boli hlásené skoré účinky, ako napríklad </w:t>
      </w:r>
      <w:proofErr w:type="spellStart"/>
      <w:r w:rsidRPr="00316F06">
        <w:rPr>
          <w:lang w:val="sk-SK"/>
        </w:rPr>
        <w:t>dyspnoe</w:t>
      </w:r>
      <w:proofErr w:type="spellEnd"/>
      <w:r w:rsidRPr="00316F06">
        <w:rPr>
          <w:lang w:val="sk-SK"/>
        </w:rPr>
        <w:t xml:space="preserve"> (pozri časť 4.4).</w:t>
      </w:r>
    </w:p>
    <w:p w14:paraId="49F9AEC5" w14:textId="77777777" w:rsidR="00913218" w:rsidRPr="00805523" w:rsidRDefault="00913218" w:rsidP="001246A4">
      <w:pPr>
        <w:rPr>
          <w:lang w:val="sk-SK"/>
        </w:rPr>
      </w:pPr>
    </w:p>
    <w:p w14:paraId="0AB286B0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Poruchy kože a podkožného tkaniva</w:t>
      </w:r>
    </w:p>
    <w:p w14:paraId="7DE5B1E6" w14:textId="77777777" w:rsidR="00913218" w:rsidRPr="00805523" w:rsidRDefault="00913218" w:rsidP="001246A4">
      <w:pPr>
        <w:rPr>
          <w:lang w:val="sk-SK"/>
        </w:rPr>
      </w:pPr>
      <w:proofErr w:type="spellStart"/>
      <w:r w:rsidRPr="00316F06">
        <w:rPr>
          <w:lang w:val="sk-SK"/>
        </w:rPr>
        <w:t>Alopécia</w:t>
      </w:r>
      <w:proofErr w:type="spellEnd"/>
      <w:r w:rsidRPr="00316F06">
        <w:rPr>
          <w:lang w:val="sk-SK"/>
        </w:rPr>
        <w:t xml:space="preserve"> bola veľmi častá a reverzibilná.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Boli hlásené mierne kožné reakcie, aj keď menej často.</w:t>
      </w:r>
    </w:p>
    <w:p w14:paraId="6FE6CBF3" w14:textId="77777777" w:rsidR="00913218" w:rsidRPr="00805523" w:rsidRDefault="00913218" w:rsidP="001246A4">
      <w:pPr>
        <w:rPr>
          <w:lang w:val="sk-SK"/>
        </w:rPr>
      </w:pPr>
    </w:p>
    <w:p w14:paraId="042B0BD0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Poruchy imunitného systému</w:t>
      </w:r>
    </w:p>
    <w:p w14:paraId="0270D8A6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Boli hlásené menej časté mierne alergické reakcie a zriedkavé prípady </w:t>
      </w:r>
      <w:proofErr w:type="spellStart"/>
      <w:r w:rsidRPr="00316F06">
        <w:rPr>
          <w:lang w:val="sk-SK"/>
        </w:rPr>
        <w:t>anafylaktických</w:t>
      </w:r>
      <w:proofErr w:type="spellEnd"/>
      <w:r w:rsidRPr="00316F06">
        <w:rPr>
          <w:lang w:val="sk-SK"/>
        </w:rPr>
        <w:t>/</w:t>
      </w:r>
      <w:proofErr w:type="spellStart"/>
      <w:r w:rsidRPr="00316F06">
        <w:rPr>
          <w:lang w:val="sk-SK"/>
        </w:rPr>
        <w:t>anafylaktoidných</w:t>
      </w:r>
      <w:proofErr w:type="spellEnd"/>
      <w:r w:rsidRPr="00316F06">
        <w:rPr>
          <w:lang w:val="sk-SK"/>
        </w:rPr>
        <w:t xml:space="preserve"> reakcií.</w:t>
      </w:r>
    </w:p>
    <w:p w14:paraId="3E34009E" w14:textId="77777777" w:rsidR="00913218" w:rsidRPr="00805523" w:rsidRDefault="00913218" w:rsidP="001246A4">
      <w:pPr>
        <w:rPr>
          <w:lang w:val="sk-SK"/>
        </w:rPr>
      </w:pPr>
    </w:p>
    <w:p w14:paraId="6C087C99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Poruchy kostrovej a svalovej sústavy</w:t>
      </w:r>
    </w:p>
    <w:p w14:paraId="1CA0EA34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Boli hlásené skoré účinky, ako napríklad kontrakcia alebo kŕče svalov a </w:t>
      </w:r>
      <w:proofErr w:type="spellStart"/>
      <w:r w:rsidRPr="00316F06">
        <w:rPr>
          <w:lang w:val="sk-SK"/>
        </w:rPr>
        <w:t>parestézia</w:t>
      </w:r>
      <w:proofErr w:type="spellEnd"/>
      <w:r w:rsidRPr="00316F06">
        <w:rPr>
          <w:lang w:val="sk-SK"/>
        </w:rPr>
        <w:t>.</w:t>
      </w:r>
    </w:p>
    <w:p w14:paraId="644580AA" w14:textId="77777777" w:rsidR="00913218" w:rsidRPr="00805523" w:rsidRDefault="00913218" w:rsidP="001246A4">
      <w:pPr>
        <w:rPr>
          <w:lang w:val="sk-SK"/>
        </w:rPr>
      </w:pPr>
    </w:p>
    <w:p w14:paraId="5965E74D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Laboratórne a funkčné vyšetrenia</w:t>
      </w:r>
    </w:p>
    <w:p w14:paraId="3567643E" w14:textId="77777777" w:rsidR="00913218" w:rsidRPr="00805523" w:rsidRDefault="00913218" w:rsidP="001246A4">
      <w:pPr>
        <w:keepNext/>
        <w:rPr>
          <w:i/>
          <w:lang w:val="sk-SK"/>
        </w:rPr>
      </w:pPr>
    </w:p>
    <w:p w14:paraId="5A7D6E3F" w14:textId="77777777" w:rsidR="00913218" w:rsidRPr="00805523" w:rsidRDefault="00913218" w:rsidP="001246A4">
      <w:pPr>
        <w:keepNext/>
        <w:rPr>
          <w:i/>
          <w:lang w:val="sk-SK"/>
        </w:rPr>
      </w:pPr>
      <w:r w:rsidRPr="00316F06">
        <w:rPr>
          <w:i/>
          <w:lang w:val="sk-SK"/>
        </w:rPr>
        <w:t>Laboratórne vyšetrenia</w:t>
      </w:r>
    </w:p>
    <w:p w14:paraId="18FB4AEB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Pri </w:t>
      </w:r>
      <w:proofErr w:type="spellStart"/>
      <w:r w:rsidRPr="00316F06">
        <w:rPr>
          <w:lang w:val="sk-SK"/>
        </w:rPr>
        <w:t>monoterapii</w:t>
      </w:r>
      <w:proofErr w:type="spellEnd"/>
      <w:r w:rsidRPr="00316F06">
        <w:rPr>
          <w:lang w:val="sk-SK"/>
        </w:rPr>
        <w:t xml:space="preserve"> boli zaznamenané prechodné a mierne až stredne závažné zvýšenia sérovej hladiny </w:t>
      </w:r>
      <w:proofErr w:type="spellStart"/>
      <w:r w:rsidRPr="00316F06">
        <w:rPr>
          <w:lang w:val="sk-SK"/>
        </w:rPr>
        <w:t>transamináz</w:t>
      </w:r>
      <w:proofErr w:type="spellEnd"/>
      <w:r w:rsidRPr="00316F06">
        <w:rPr>
          <w:lang w:val="sk-SK"/>
        </w:rPr>
        <w:t xml:space="preserve">, alkalickej </w:t>
      </w:r>
      <w:proofErr w:type="spellStart"/>
      <w:r w:rsidRPr="00316F06">
        <w:rPr>
          <w:lang w:val="sk-SK"/>
        </w:rPr>
        <w:t>fosfatázy</w:t>
      </w:r>
      <w:proofErr w:type="spellEnd"/>
      <w:r w:rsidRPr="00316F06">
        <w:rPr>
          <w:lang w:val="sk-SK"/>
        </w:rPr>
        <w:t xml:space="preserve"> alebo bilirubínu u 9,2 %, 8,1 % a 1,8 % pacientov, v uvedenom poradí, pri absencii rastúcich metastáz pečene.</w:t>
      </w:r>
    </w:p>
    <w:p w14:paraId="7B75DFA7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>Prechodné a mierne až stredné zvýšenie sérových hladín kreatinínu boli zaznamenané u 7,3 % pacientov.</w:t>
      </w:r>
    </w:p>
    <w:p w14:paraId="7411F20A" w14:textId="77777777" w:rsidR="00913218" w:rsidRPr="00805523" w:rsidRDefault="00913218" w:rsidP="00F110C8">
      <w:pPr>
        <w:rPr>
          <w:lang w:val="sk-SK"/>
        </w:rPr>
      </w:pPr>
      <w:r w:rsidRPr="00316F06">
        <w:rPr>
          <w:lang w:val="sk-SK"/>
        </w:rPr>
        <w:t xml:space="preserve">Pri kombinovanej terapii boli zaznamenané prechodné sérové hladiny (1. a 2. stupňa) SGPT, SGOT, alkalickej </w:t>
      </w:r>
      <w:proofErr w:type="spellStart"/>
      <w:r w:rsidRPr="00316F06">
        <w:rPr>
          <w:lang w:val="sk-SK"/>
        </w:rPr>
        <w:t>fosfatázy</w:t>
      </w:r>
      <w:proofErr w:type="spellEnd"/>
      <w:r w:rsidRPr="00316F06">
        <w:rPr>
          <w:lang w:val="sk-SK"/>
        </w:rPr>
        <w:t xml:space="preserve"> alebo </w:t>
      </w:r>
      <w:proofErr w:type="spellStart"/>
      <w:r w:rsidRPr="00316F06">
        <w:rPr>
          <w:lang w:val="sk-SK"/>
        </w:rPr>
        <w:t>bilirubínu</w:t>
      </w:r>
      <w:proofErr w:type="spellEnd"/>
      <w:r w:rsidRPr="00316F06">
        <w:rPr>
          <w:lang w:val="sk-SK"/>
        </w:rPr>
        <w:t xml:space="preserve"> u 15 %, 11 %, 11 % a 10 % pacientov, v uvedenom poradí, pri absencii rastúcich metastáz pečene.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Prechodný 3. stupeň bol zaznamenaný u 0 %, 0 %, 0 % a 1 % pacientov, v uvedenom poradí.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Nezaznamenal sa žiadny prípad 4. stupňa.</w:t>
      </w:r>
    </w:p>
    <w:p w14:paraId="6F7F6AE2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Veľmi zriedkavo boli hlásené zvýšenia </w:t>
      </w:r>
      <w:r w:rsidR="00517E89">
        <w:rPr>
          <w:lang w:val="sk-SK"/>
        </w:rPr>
        <w:t xml:space="preserve">hladín </w:t>
      </w:r>
      <w:proofErr w:type="spellStart"/>
      <w:r w:rsidRPr="00316F06">
        <w:rPr>
          <w:lang w:val="sk-SK"/>
        </w:rPr>
        <w:t>amylázy</w:t>
      </w:r>
      <w:proofErr w:type="spellEnd"/>
      <w:r w:rsidRPr="00316F06">
        <w:rPr>
          <w:lang w:val="sk-SK"/>
        </w:rPr>
        <w:t xml:space="preserve"> a/alebo </w:t>
      </w:r>
      <w:proofErr w:type="spellStart"/>
      <w:r w:rsidRPr="00316F06">
        <w:rPr>
          <w:lang w:val="sk-SK"/>
        </w:rPr>
        <w:t>lipázy</w:t>
      </w:r>
      <w:proofErr w:type="spellEnd"/>
      <w:r w:rsidRPr="00316F06">
        <w:rPr>
          <w:lang w:val="sk-SK"/>
        </w:rPr>
        <w:t>.</w:t>
      </w:r>
    </w:p>
    <w:p w14:paraId="063446AF" w14:textId="77777777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Bolo hlásené zriedkavé prípady </w:t>
      </w:r>
      <w:proofErr w:type="spellStart"/>
      <w:r w:rsidRPr="00316F06">
        <w:rPr>
          <w:lang w:val="sk-SK"/>
        </w:rPr>
        <w:t>hypokalémie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hyponatrémie</w:t>
      </w:r>
      <w:proofErr w:type="spellEnd"/>
      <w:r w:rsidRPr="00316F06">
        <w:rPr>
          <w:lang w:val="sk-SK"/>
        </w:rPr>
        <w:t>, väčšinou súvisiace s hnačkou a vracaním.</w:t>
      </w:r>
    </w:p>
    <w:p w14:paraId="1E884E51" w14:textId="77777777" w:rsidR="00913218" w:rsidRPr="00805523" w:rsidRDefault="00913218" w:rsidP="001246A4">
      <w:pPr>
        <w:rPr>
          <w:lang w:val="sk-SK"/>
        </w:rPr>
      </w:pPr>
    </w:p>
    <w:p w14:paraId="6E312961" w14:textId="77777777" w:rsidR="00913218" w:rsidRPr="00805523" w:rsidRDefault="00913218" w:rsidP="001246A4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Poruchy nervového systému</w:t>
      </w:r>
    </w:p>
    <w:p w14:paraId="6F0D51AA" w14:textId="0B0C8970" w:rsidR="00913218" w:rsidRPr="00805523" w:rsidRDefault="00913218" w:rsidP="001246A4">
      <w:pPr>
        <w:rPr>
          <w:lang w:val="sk-SK"/>
        </w:rPr>
      </w:pPr>
      <w:r w:rsidRPr="00316F06">
        <w:rPr>
          <w:lang w:val="sk-SK"/>
        </w:rPr>
        <w:t xml:space="preserve">Po uvedení na trh boli veľmi zriedkavo hlásené prechodné poruchy reči súvisiace s infúziami </w:t>
      </w:r>
      <w:proofErr w:type="spellStart"/>
      <w:r w:rsidRPr="00316F06">
        <w:rPr>
          <w:lang w:val="sk-SK"/>
        </w:rPr>
        <w:t>irinotek</w:t>
      </w:r>
      <w:r w:rsidR="00517E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</w:p>
    <w:p w14:paraId="6D02E875" w14:textId="77777777" w:rsidR="00913218" w:rsidRPr="00805523" w:rsidRDefault="00913218" w:rsidP="001246A4">
      <w:pPr>
        <w:rPr>
          <w:lang w:val="sk-SK"/>
        </w:rPr>
      </w:pPr>
    </w:p>
    <w:p w14:paraId="239CBA88" w14:textId="77777777" w:rsidR="00913218" w:rsidRPr="00805523" w:rsidRDefault="00913218" w:rsidP="00E26959">
      <w:pPr>
        <w:keepNext/>
        <w:keepLines/>
        <w:autoSpaceDE w:val="0"/>
        <w:autoSpaceDN w:val="0"/>
        <w:adjustRightInd w:val="0"/>
        <w:rPr>
          <w:u w:val="single"/>
          <w:lang w:val="sk-SK"/>
        </w:rPr>
      </w:pPr>
      <w:r w:rsidRPr="00316F06">
        <w:rPr>
          <w:u w:val="single"/>
          <w:lang w:val="sk-SK"/>
        </w:rPr>
        <w:t>Hlásenie podozrení na nežiaduce reakcie</w:t>
      </w:r>
    </w:p>
    <w:p w14:paraId="508FEEEB" w14:textId="7AD1303F" w:rsidR="00E26959" w:rsidRDefault="00913218" w:rsidP="00AF139D">
      <w:pPr>
        <w:keepNext/>
        <w:keepLines/>
      </w:pPr>
      <w:r w:rsidRPr="00316F06">
        <w:rPr>
          <w:lang w:val="sk-SK"/>
        </w:rPr>
        <w:t>Hlásenie podozrení na nežiaduce reakcie po registrácii lieku je dôležité.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Umožňuje priebežné monitorovanie pomeru prínosu a rizika lieku.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Od zdravotníckych pracovníkov sa vyžaduje, aby hlásili akékoľvek podozrenia na nežiaduce reakcie</w:t>
      </w:r>
      <w:r w:rsidR="00AF139D">
        <w:rPr>
          <w:lang w:val="sk-SK"/>
        </w:rPr>
        <w:t xml:space="preserve"> na</w:t>
      </w:r>
      <w:r w:rsidRPr="00316F06">
        <w:rPr>
          <w:lang w:val="sk-SK"/>
        </w:rPr>
        <w:t xml:space="preserve"> </w:t>
      </w:r>
      <w:r w:rsidR="00AF139D" w:rsidRPr="00777E50">
        <w:rPr>
          <w:highlight w:val="lightGray"/>
          <w:lang w:val="sk-SK"/>
        </w:rPr>
        <w:t xml:space="preserve">národné centrum hlásenia uvedené v </w:t>
      </w:r>
      <w:hyperlink r:id="rId7" w:history="1">
        <w:proofErr w:type="spellStart"/>
        <w:r w:rsidR="00AF139D">
          <w:rPr>
            <w:rStyle w:val="Hypertextovprepojenie"/>
            <w:highlight w:val="lightGray"/>
          </w:rPr>
          <w:t>Prílohe</w:t>
        </w:r>
        <w:proofErr w:type="spellEnd"/>
        <w:r w:rsidR="00AF139D">
          <w:rPr>
            <w:rStyle w:val="Hypertextovprepojenie"/>
            <w:highlight w:val="lightGray"/>
          </w:rPr>
          <w:t xml:space="preserve"> V</w:t>
        </w:r>
      </w:hyperlink>
      <w:r w:rsidR="00AF139D">
        <w:t>.</w:t>
      </w:r>
    </w:p>
    <w:p w14:paraId="4634E031" w14:textId="77777777" w:rsidR="00AF139D" w:rsidRPr="00316F06" w:rsidRDefault="00AF139D" w:rsidP="00AF139D">
      <w:pPr>
        <w:keepNext/>
        <w:keepLines/>
        <w:rPr>
          <w:snapToGrid w:val="0"/>
          <w:lang w:val="sk-SK"/>
        </w:rPr>
      </w:pPr>
    </w:p>
    <w:p w14:paraId="50AD7C39" w14:textId="77777777" w:rsidR="00F41CC5" w:rsidRPr="00175890" w:rsidRDefault="00F41CC5">
      <w:pPr>
        <w:keepNext/>
        <w:widowControl w:val="0"/>
        <w:ind w:left="567" w:hanging="567"/>
        <w:rPr>
          <w:b/>
          <w:lang w:val="sk-SK"/>
        </w:rPr>
      </w:pPr>
    </w:p>
    <w:p w14:paraId="2A836502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4.9</w:t>
      </w:r>
      <w:r w:rsidRPr="00316F06">
        <w:rPr>
          <w:b/>
          <w:bCs/>
          <w:lang w:val="sk-SK"/>
        </w:rPr>
        <w:tab/>
        <w:t>Predávkovanie</w:t>
      </w:r>
    </w:p>
    <w:p w14:paraId="0DC6D073" w14:textId="77777777" w:rsidR="00913218" w:rsidRPr="00316F06" w:rsidRDefault="00913218">
      <w:pPr>
        <w:keepNext/>
        <w:rPr>
          <w:lang w:val="sk-SK"/>
        </w:rPr>
      </w:pPr>
    </w:p>
    <w:p w14:paraId="1F3793A3" w14:textId="1F9AD23C" w:rsidR="00913218" w:rsidRPr="00316F06" w:rsidRDefault="00913218">
      <w:pPr>
        <w:rPr>
          <w:snapToGrid w:val="0"/>
          <w:lang w:val="sk-SK"/>
        </w:rPr>
      </w:pPr>
      <w:r w:rsidRPr="00316F06">
        <w:rPr>
          <w:snapToGrid w:val="0"/>
          <w:lang w:val="sk-SK"/>
        </w:rPr>
        <w:t>Predá</w:t>
      </w:r>
      <w:r w:rsidRPr="00316F06">
        <w:rPr>
          <w:rFonts w:cs="Times New Roman"/>
          <w:snapToGrid w:val="0"/>
          <w:lang w:val="sk-SK"/>
        </w:rPr>
        <w:t>vkovanie bolo zaznamenané pri dávkach až približne dvojnásobných oproti odporúčanej liečebnej dávke, a môže byť smrteľné.</w:t>
      </w:r>
      <w:r w:rsidRPr="00316F06">
        <w:rPr>
          <w:snapToGrid w:val="0"/>
          <w:lang w:val="sk-SK"/>
        </w:rPr>
        <w:t xml:space="preserve"> </w:t>
      </w:r>
      <w:r w:rsidRPr="00316F06">
        <w:rPr>
          <w:rFonts w:cs="Times New Roman"/>
          <w:snapToGrid w:val="0"/>
          <w:lang w:val="sk-SK"/>
        </w:rPr>
        <w:t xml:space="preserve">K najdôležitejším zaznamenaným nežiaducim účinkom patrí závažná </w:t>
      </w:r>
      <w:proofErr w:type="spellStart"/>
      <w:r w:rsidRPr="00316F06">
        <w:rPr>
          <w:rFonts w:cs="Times New Roman"/>
          <w:snapToGrid w:val="0"/>
          <w:lang w:val="sk-SK"/>
        </w:rPr>
        <w:t>neutropénia</w:t>
      </w:r>
      <w:proofErr w:type="spellEnd"/>
      <w:r w:rsidRPr="00316F06">
        <w:rPr>
          <w:rFonts w:cs="Times New Roman"/>
          <w:snapToGrid w:val="0"/>
          <w:lang w:val="sk-SK"/>
        </w:rPr>
        <w:t xml:space="preserve"> a závažná hnačka.</w:t>
      </w:r>
      <w:r w:rsidRPr="00316F06">
        <w:rPr>
          <w:snapToGrid w:val="0"/>
          <w:lang w:val="sk-SK"/>
        </w:rPr>
        <w:t xml:space="preserve"> Žiadne </w:t>
      </w:r>
      <w:proofErr w:type="spellStart"/>
      <w:r w:rsidRPr="00316F06">
        <w:rPr>
          <w:snapToGrid w:val="0"/>
          <w:lang w:val="sk-SK"/>
        </w:rPr>
        <w:t>antidotum</w:t>
      </w:r>
      <w:proofErr w:type="spellEnd"/>
      <w:r w:rsidRPr="00316F06">
        <w:rPr>
          <w:snapToGrid w:val="0"/>
          <w:lang w:val="sk-SK"/>
        </w:rPr>
        <w:t xml:space="preserve"> na </w:t>
      </w:r>
      <w:proofErr w:type="spellStart"/>
      <w:r w:rsidRPr="00316F06">
        <w:rPr>
          <w:snapToGrid w:val="0"/>
          <w:lang w:val="sk-SK"/>
        </w:rPr>
        <w:t>irinotek</w:t>
      </w:r>
      <w:r w:rsidR="00517E89">
        <w:rPr>
          <w:snapToGrid w:val="0"/>
          <w:lang w:val="sk-SK"/>
        </w:rPr>
        <w:t>á</w:t>
      </w:r>
      <w:r w:rsidRPr="00316F06">
        <w:rPr>
          <w:snapToGrid w:val="0"/>
          <w:lang w:val="sk-SK"/>
        </w:rPr>
        <w:t>n</w:t>
      </w:r>
      <w:proofErr w:type="spellEnd"/>
      <w:r w:rsidRPr="00316F06">
        <w:rPr>
          <w:snapToGrid w:val="0"/>
          <w:lang w:val="sk-SK"/>
        </w:rPr>
        <w:t xml:space="preserve"> nie je známe. </w:t>
      </w:r>
      <w:r w:rsidRPr="00316F06">
        <w:rPr>
          <w:rFonts w:cs="Times New Roman"/>
          <w:snapToGrid w:val="0"/>
          <w:lang w:val="sk-SK"/>
        </w:rPr>
        <w:t>Treba nasadiť maximálnu podpornú liečbu, aby sa zabránilo dehydratácii následkom hnačky a aby sa liečili všetky infekčné komplikácie.</w:t>
      </w:r>
    </w:p>
    <w:p w14:paraId="32278F1C" w14:textId="77777777" w:rsidR="00913218" w:rsidRPr="00316F06" w:rsidRDefault="00913218">
      <w:pPr>
        <w:rPr>
          <w:snapToGrid w:val="0"/>
          <w:lang w:val="sk-SK"/>
        </w:rPr>
      </w:pPr>
    </w:p>
    <w:p w14:paraId="32A9F62C" w14:textId="77777777" w:rsidR="00913218" w:rsidRPr="00316F06" w:rsidRDefault="00913218">
      <w:pPr>
        <w:rPr>
          <w:snapToGrid w:val="0"/>
          <w:lang w:val="sk-SK"/>
        </w:rPr>
      </w:pPr>
    </w:p>
    <w:p w14:paraId="3D55B706" w14:textId="77777777" w:rsidR="00913218" w:rsidRPr="00316F06" w:rsidRDefault="00913218" w:rsidP="00511A35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5.</w:t>
      </w:r>
      <w:r w:rsidRPr="00316F06">
        <w:rPr>
          <w:b/>
          <w:bCs/>
          <w:lang w:val="sk-SK"/>
        </w:rPr>
        <w:tab/>
        <w:t>FARMAKOLOGICKÉ VLASTNOSTI</w:t>
      </w:r>
    </w:p>
    <w:p w14:paraId="1C5B2E22" w14:textId="77777777" w:rsidR="00913218" w:rsidRPr="00316F06" w:rsidRDefault="00913218" w:rsidP="00511A35">
      <w:pPr>
        <w:keepNext/>
        <w:keepLines/>
        <w:rPr>
          <w:lang w:val="sk-SK"/>
        </w:rPr>
      </w:pPr>
    </w:p>
    <w:p w14:paraId="710596BB" w14:textId="77777777" w:rsidR="00913218" w:rsidRPr="00316F06" w:rsidRDefault="00913218" w:rsidP="00511A35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5.1</w:t>
      </w:r>
      <w:r w:rsidRPr="00316F06">
        <w:rPr>
          <w:b/>
          <w:bCs/>
          <w:lang w:val="sk-SK"/>
        </w:rPr>
        <w:tab/>
      </w:r>
      <w:proofErr w:type="spellStart"/>
      <w:r w:rsidRPr="00316F06">
        <w:rPr>
          <w:b/>
          <w:bCs/>
          <w:lang w:val="sk-SK"/>
        </w:rPr>
        <w:t>Farmakodynamické</w:t>
      </w:r>
      <w:proofErr w:type="spellEnd"/>
      <w:r w:rsidRPr="00316F06">
        <w:rPr>
          <w:b/>
          <w:bCs/>
          <w:lang w:val="sk-SK"/>
        </w:rPr>
        <w:t xml:space="preserve"> vlastnosti</w:t>
      </w:r>
    </w:p>
    <w:p w14:paraId="7E746F9A" w14:textId="77777777" w:rsidR="00913218" w:rsidRPr="00316F06" w:rsidRDefault="00913218" w:rsidP="00511A35">
      <w:pPr>
        <w:keepNext/>
        <w:keepLines/>
        <w:rPr>
          <w:lang w:val="sk-SK"/>
        </w:rPr>
      </w:pPr>
    </w:p>
    <w:p w14:paraId="53EA67E5" w14:textId="77777777" w:rsidR="00913218" w:rsidRPr="00316F06" w:rsidRDefault="00913218" w:rsidP="00511A35">
      <w:pPr>
        <w:keepNext/>
        <w:keepLines/>
        <w:rPr>
          <w:lang w:val="sk-SK"/>
        </w:rPr>
      </w:pPr>
      <w:proofErr w:type="spellStart"/>
      <w:r w:rsidRPr="00316F06">
        <w:rPr>
          <w:lang w:val="sk-SK"/>
        </w:rPr>
        <w:t>Farmakoterapeutická</w:t>
      </w:r>
      <w:proofErr w:type="spellEnd"/>
      <w:r w:rsidRPr="00316F06">
        <w:rPr>
          <w:lang w:val="sk-SK"/>
        </w:rPr>
        <w:t xml:space="preserve"> skupina: Iné </w:t>
      </w:r>
      <w:proofErr w:type="spellStart"/>
      <w:r w:rsidRPr="00316F06">
        <w:rPr>
          <w:lang w:val="sk-SK"/>
        </w:rPr>
        <w:t>cytostatiká</w:t>
      </w:r>
      <w:proofErr w:type="spellEnd"/>
      <w:r w:rsidRPr="00316F06">
        <w:rPr>
          <w:lang w:val="sk-SK"/>
        </w:rPr>
        <w:t>, ATC kód: L01XX19</w:t>
      </w:r>
    </w:p>
    <w:p w14:paraId="62A0AD42" w14:textId="77777777" w:rsidR="00913218" w:rsidRPr="00316F06" w:rsidRDefault="00913218" w:rsidP="00511A35">
      <w:pPr>
        <w:keepNext/>
        <w:keepLines/>
        <w:rPr>
          <w:lang w:val="sk-SK"/>
        </w:rPr>
      </w:pPr>
    </w:p>
    <w:p w14:paraId="49239A7D" w14:textId="77777777" w:rsidR="00913218" w:rsidRPr="00316F06" w:rsidRDefault="00913218" w:rsidP="00511A35">
      <w:pPr>
        <w:keepNext/>
        <w:keepLines/>
        <w:rPr>
          <w:u w:val="single"/>
          <w:lang w:val="sk-SK"/>
        </w:rPr>
      </w:pPr>
      <w:r w:rsidRPr="00316F06">
        <w:rPr>
          <w:u w:val="single"/>
          <w:lang w:val="sk-SK"/>
        </w:rPr>
        <w:t>Experimentálne údaje</w:t>
      </w:r>
    </w:p>
    <w:p w14:paraId="75EA7B42" w14:textId="77777777" w:rsidR="00913218" w:rsidRPr="00316F06" w:rsidRDefault="00913218" w:rsidP="00511A35">
      <w:pPr>
        <w:keepNext/>
        <w:keepLines/>
        <w:rPr>
          <w:lang w:val="sk-SK"/>
        </w:rPr>
      </w:pPr>
    </w:p>
    <w:p w14:paraId="3F87889D" w14:textId="14FBE370" w:rsidR="00913218" w:rsidRPr="00316F06" w:rsidRDefault="00913218" w:rsidP="00511A35">
      <w:pPr>
        <w:keepNext/>
        <w:keepLines/>
        <w:rPr>
          <w:lang w:val="sk-SK"/>
        </w:rPr>
      </w:pP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je </w:t>
      </w:r>
      <w:proofErr w:type="spellStart"/>
      <w:r w:rsidRPr="00316F06">
        <w:rPr>
          <w:lang w:val="sk-SK"/>
        </w:rPr>
        <w:t>semisyntetický</w:t>
      </w:r>
      <w:proofErr w:type="spellEnd"/>
      <w:r w:rsidRPr="00316F06">
        <w:rPr>
          <w:lang w:val="sk-SK"/>
        </w:rPr>
        <w:t xml:space="preserve"> derivát </w:t>
      </w:r>
      <w:proofErr w:type="spellStart"/>
      <w:r w:rsidRPr="00316F06">
        <w:rPr>
          <w:lang w:val="sk-SK"/>
        </w:rPr>
        <w:t>kamptotecínu</w:t>
      </w:r>
      <w:proofErr w:type="spellEnd"/>
      <w:r w:rsidRPr="00316F06">
        <w:rPr>
          <w:lang w:val="sk-SK"/>
        </w:rPr>
        <w:t xml:space="preserve">. Je to </w:t>
      </w:r>
      <w:proofErr w:type="spellStart"/>
      <w:r w:rsidRPr="00316F06">
        <w:rPr>
          <w:lang w:val="sk-SK"/>
        </w:rPr>
        <w:t>antineoplastická</w:t>
      </w:r>
      <w:proofErr w:type="spellEnd"/>
      <w:r w:rsidRPr="00316F06">
        <w:rPr>
          <w:lang w:val="sk-SK"/>
        </w:rPr>
        <w:t xml:space="preserve"> látka, ktorá pôsobí ako špecifický inhibítor DNA </w:t>
      </w:r>
      <w:proofErr w:type="spellStart"/>
      <w:r w:rsidRPr="00316F06">
        <w:rPr>
          <w:lang w:val="sk-SK"/>
        </w:rPr>
        <w:t>topoizomerázy</w:t>
      </w:r>
      <w:proofErr w:type="spellEnd"/>
      <w:r w:rsidRPr="00316F06">
        <w:rPr>
          <w:lang w:val="sk-SK"/>
        </w:rPr>
        <w:t xml:space="preserve"> I. </w:t>
      </w:r>
      <w:r w:rsidRPr="00316F06">
        <w:rPr>
          <w:rFonts w:cs="Times New Roman"/>
          <w:lang w:val="sk-SK"/>
        </w:rPr>
        <w:t xml:space="preserve">Vo väčšine tkanív sa metabolizuje </w:t>
      </w:r>
      <w:proofErr w:type="spellStart"/>
      <w:r w:rsidRPr="00316F06">
        <w:rPr>
          <w:rFonts w:cs="Times New Roman"/>
          <w:lang w:val="sk-SK"/>
        </w:rPr>
        <w:t>karboxylesterázou</w:t>
      </w:r>
      <w:proofErr w:type="spellEnd"/>
      <w:r w:rsidRPr="00316F06">
        <w:rPr>
          <w:rFonts w:cs="Times New Roman"/>
          <w:lang w:val="sk-SK"/>
        </w:rPr>
        <w:t xml:space="preserve"> na SN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 xml:space="preserve">38, ktorý sa ukázal byť účinnejší ako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v </w:t>
      </w:r>
      <w:proofErr w:type="spellStart"/>
      <w:r w:rsidRPr="00316F06">
        <w:rPr>
          <w:rFonts w:cs="Times New Roman"/>
          <w:lang w:val="sk-SK"/>
        </w:rPr>
        <w:t>purifikovanej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topoizomeráze</w:t>
      </w:r>
      <w:proofErr w:type="spellEnd"/>
      <w:r w:rsidRPr="00316F06">
        <w:rPr>
          <w:rFonts w:cs="Times New Roman"/>
          <w:lang w:val="sk-SK"/>
        </w:rPr>
        <w:t xml:space="preserve"> I a </w:t>
      </w:r>
      <w:proofErr w:type="spellStart"/>
      <w:r w:rsidRPr="00316F06">
        <w:rPr>
          <w:rFonts w:cs="Times New Roman"/>
          <w:lang w:val="sk-SK"/>
        </w:rPr>
        <w:t>cytotoxickejší</w:t>
      </w:r>
      <w:proofErr w:type="spellEnd"/>
      <w:r w:rsidRPr="00316F06">
        <w:rPr>
          <w:rFonts w:cs="Times New Roman"/>
          <w:lang w:val="sk-SK"/>
        </w:rPr>
        <w:t xml:space="preserve"> ako </w:t>
      </w:r>
      <w:proofErr w:type="spellStart"/>
      <w:r w:rsidRPr="00316F06">
        <w:rPr>
          <w:rFonts w:cs="Times New Roman"/>
          <w:lang w:val="sk-SK"/>
        </w:rPr>
        <w:t>irinotek</w:t>
      </w:r>
      <w:r w:rsidR="00B6463D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voči niekoľkým myšacím a ľudským kultúram z nádorových buniek.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Inhibícia DNA </w:t>
      </w:r>
      <w:proofErr w:type="spellStart"/>
      <w:r w:rsidRPr="00316F06">
        <w:rPr>
          <w:rFonts w:cs="Times New Roman"/>
          <w:lang w:val="sk-SK"/>
        </w:rPr>
        <w:t>topoizomerázy</w:t>
      </w:r>
      <w:proofErr w:type="spellEnd"/>
      <w:r w:rsidRPr="00316F06">
        <w:rPr>
          <w:rFonts w:cs="Times New Roman"/>
          <w:lang w:val="sk-SK"/>
        </w:rPr>
        <w:t xml:space="preserve"> I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alebo SN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>38 indukuje poškodenia na jednotlivých reťazcoch DNA</w:t>
      </w:r>
      <w:r w:rsidRPr="00316F06">
        <w:rPr>
          <w:lang w:val="sk-SK"/>
        </w:rPr>
        <w:t xml:space="preserve">, ktoré blokujú replikáciu DNA a sú zodpovedné za </w:t>
      </w:r>
      <w:proofErr w:type="spellStart"/>
      <w:r w:rsidRPr="00316F06">
        <w:rPr>
          <w:lang w:val="sk-SK"/>
        </w:rPr>
        <w:t>cytotoxicitu</w:t>
      </w:r>
      <w:proofErr w:type="spellEnd"/>
      <w:r w:rsidRPr="00316F06">
        <w:rPr>
          <w:lang w:val="sk-SK"/>
        </w:rPr>
        <w:t xml:space="preserve">. </w:t>
      </w:r>
      <w:r w:rsidRPr="00316F06">
        <w:rPr>
          <w:rFonts w:cs="Times New Roman"/>
          <w:lang w:val="sk-SK"/>
        </w:rPr>
        <w:t xml:space="preserve">Zistilo sa, že táto </w:t>
      </w:r>
      <w:proofErr w:type="spellStart"/>
      <w:r w:rsidRPr="00316F06">
        <w:rPr>
          <w:rFonts w:cs="Times New Roman"/>
          <w:lang w:val="sk-SK"/>
        </w:rPr>
        <w:t>cytotoxická</w:t>
      </w:r>
      <w:proofErr w:type="spellEnd"/>
      <w:r w:rsidRPr="00316F06">
        <w:rPr>
          <w:rFonts w:cs="Times New Roman"/>
          <w:lang w:val="sk-SK"/>
        </w:rPr>
        <w:t xml:space="preserve"> aktivita je časovo závislá a bola špecifická pre fázu S.</w:t>
      </w:r>
    </w:p>
    <w:p w14:paraId="4D90CF9E" w14:textId="77777777" w:rsidR="00913218" w:rsidRPr="00316F06" w:rsidRDefault="00913218">
      <w:pPr>
        <w:rPr>
          <w:lang w:val="sk-SK"/>
        </w:rPr>
      </w:pPr>
    </w:p>
    <w:p w14:paraId="4779BF68" w14:textId="1E50EF58" w:rsidR="00913218" w:rsidRPr="00316F06" w:rsidRDefault="00913218">
      <w:pPr>
        <w:rPr>
          <w:lang w:val="sk-SK"/>
        </w:rPr>
      </w:pPr>
      <w:r w:rsidRPr="00316F06">
        <w:rPr>
          <w:i/>
          <w:iCs/>
          <w:lang w:val="sk-SK"/>
        </w:rPr>
        <w:t>In vitro</w:t>
      </w:r>
      <w:r w:rsidRPr="00316F06">
        <w:rPr>
          <w:lang w:val="sk-SK"/>
        </w:rPr>
        <w:t xml:space="preserve"> sa nezistilo, že by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a SN</w:t>
      </w:r>
      <w:r w:rsidRPr="00316F06">
        <w:rPr>
          <w:lang w:val="sk-SK"/>
        </w:rPr>
        <w:noBreakHyphen/>
        <w:t>38 boli signifikantne rozpoznávané P</w:t>
      </w:r>
      <w:r w:rsidRPr="00316F06">
        <w:rPr>
          <w:lang w:val="sk-SK"/>
        </w:rPr>
        <w:noBreakHyphen/>
      </w:r>
      <w:proofErr w:type="spellStart"/>
      <w:r w:rsidRPr="00316F06">
        <w:rPr>
          <w:lang w:val="sk-SK"/>
        </w:rPr>
        <w:t>glykoproteínom</w:t>
      </w:r>
      <w:proofErr w:type="spellEnd"/>
      <w:r w:rsidRPr="00316F06">
        <w:rPr>
          <w:lang w:val="sk-SK"/>
        </w:rPr>
        <w:t xml:space="preserve"> MDR a</w:t>
      </w:r>
      <w:r w:rsidRPr="00316F06">
        <w:rPr>
          <w:rFonts w:cs="Times New Roman"/>
          <w:lang w:val="sk-SK"/>
        </w:rPr>
        <w:t xml:space="preserve"> vykazujú </w:t>
      </w:r>
      <w:proofErr w:type="spellStart"/>
      <w:r w:rsidRPr="00316F06">
        <w:rPr>
          <w:rFonts w:cs="Times New Roman"/>
          <w:lang w:val="sk-SK"/>
        </w:rPr>
        <w:t>cytotoxické</w:t>
      </w:r>
      <w:proofErr w:type="spellEnd"/>
      <w:r w:rsidRPr="00316F06">
        <w:rPr>
          <w:rFonts w:cs="Times New Roman"/>
          <w:lang w:val="sk-SK"/>
        </w:rPr>
        <w:t xml:space="preserve"> účinky proti bunkovým líniám rezistentným na </w:t>
      </w:r>
      <w:proofErr w:type="spellStart"/>
      <w:r w:rsidRPr="00316F06">
        <w:rPr>
          <w:rFonts w:cs="Times New Roman"/>
          <w:lang w:val="sk-SK"/>
        </w:rPr>
        <w:t>doxorubicín</w:t>
      </w:r>
      <w:proofErr w:type="spellEnd"/>
      <w:r w:rsidRPr="00316F06">
        <w:rPr>
          <w:rFonts w:cs="Times New Roman"/>
          <w:lang w:val="sk-SK"/>
        </w:rPr>
        <w:t xml:space="preserve"> a </w:t>
      </w:r>
      <w:proofErr w:type="spellStart"/>
      <w:r w:rsidRPr="00316F06">
        <w:rPr>
          <w:rFonts w:cs="Times New Roman"/>
          <w:lang w:val="sk-SK"/>
        </w:rPr>
        <w:t>vinblastín</w:t>
      </w:r>
      <w:proofErr w:type="spellEnd"/>
      <w:r w:rsidRPr="00316F06">
        <w:rPr>
          <w:rFonts w:cs="Times New Roman"/>
          <w:lang w:val="sk-SK"/>
        </w:rPr>
        <w:t>.</w:t>
      </w:r>
    </w:p>
    <w:p w14:paraId="24B0DEE9" w14:textId="77777777" w:rsidR="00913218" w:rsidRPr="00316F06" w:rsidRDefault="00913218">
      <w:pPr>
        <w:rPr>
          <w:lang w:val="sk-SK"/>
        </w:rPr>
      </w:pPr>
    </w:p>
    <w:p w14:paraId="30645A3A" w14:textId="2D38626E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Okrem toho má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široký </w:t>
      </w:r>
      <w:proofErr w:type="spellStart"/>
      <w:r w:rsidRPr="00316F06">
        <w:rPr>
          <w:rFonts w:cs="Times New Roman"/>
          <w:lang w:val="sk-SK"/>
        </w:rPr>
        <w:t>antitumorózny</w:t>
      </w:r>
      <w:proofErr w:type="spellEnd"/>
      <w:r w:rsidRPr="00316F06">
        <w:rPr>
          <w:rFonts w:cs="Times New Roman"/>
          <w:lang w:val="sk-SK"/>
        </w:rPr>
        <w:t xml:space="preserve"> účinok </w:t>
      </w:r>
      <w:r w:rsidRPr="00316F06">
        <w:rPr>
          <w:i/>
          <w:iCs/>
          <w:lang w:val="sk-SK"/>
        </w:rPr>
        <w:t xml:space="preserve">in </w:t>
      </w:r>
      <w:proofErr w:type="spellStart"/>
      <w:r w:rsidRPr="00316F06">
        <w:rPr>
          <w:i/>
          <w:iCs/>
          <w:lang w:val="sk-SK"/>
        </w:rPr>
        <w:t>vivo</w:t>
      </w:r>
      <w:proofErr w:type="spellEnd"/>
      <w:r w:rsidRPr="00316F06">
        <w:rPr>
          <w:i/>
          <w:iCs/>
          <w:lang w:val="sk-SK"/>
        </w:rPr>
        <w:t xml:space="preserve"> </w:t>
      </w:r>
      <w:r w:rsidRPr="00316F06">
        <w:rPr>
          <w:lang w:val="sk-SK"/>
        </w:rPr>
        <w:t xml:space="preserve">proti myšacím modelom tumorov (P03 </w:t>
      </w:r>
      <w:proofErr w:type="spellStart"/>
      <w:r w:rsidRPr="00316F06">
        <w:rPr>
          <w:lang w:val="sk-SK"/>
        </w:rPr>
        <w:t>adenokarcinóm</w:t>
      </w:r>
      <w:proofErr w:type="spellEnd"/>
      <w:r w:rsidRPr="00316F06">
        <w:rPr>
          <w:lang w:val="sk-SK"/>
        </w:rPr>
        <w:t xml:space="preserve"> pankreatického vývodu, MA16/C </w:t>
      </w:r>
      <w:proofErr w:type="spellStart"/>
      <w:r w:rsidRPr="00316F06">
        <w:rPr>
          <w:lang w:val="sk-SK"/>
        </w:rPr>
        <w:t>adenokarcinóm</w:t>
      </w:r>
      <w:proofErr w:type="spellEnd"/>
      <w:r w:rsidRPr="00316F06">
        <w:rPr>
          <w:lang w:val="sk-SK"/>
        </w:rPr>
        <w:t xml:space="preserve"> prsníka,</w:t>
      </w:r>
      <w:r w:rsidRPr="00316F06">
        <w:rPr>
          <w:rFonts w:cs="Times New Roman"/>
          <w:lang w:val="sk-SK"/>
        </w:rPr>
        <w:t xml:space="preserve"> C38 a C51 </w:t>
      </w:r>
      <w:proofErr w:type="spellStart"/>
      <w:r w:rsidRPr="00316F06">
        <w:rPr>
          <w:rFonts w:cs="Times New Roman"/>
          <w:lang w:val="sk-SK"/>
        </w:rPr>
        <w:t>adenokarcinómy</w:t>
      </w:r>
      <w:proofErr w:type="spellEnd"/>
      <w:r w:rsidRPr="00316F06">
        <w:rPr>
          <w:rFonts w:cs="Times New Roman"/>
          <w:lang w:val="sk-SK"/>
        </w:rPr>
        <w:t xml:space="preserve"> hrubého čreva) a proti ľudským </w:t>
      </w:r>
      <w:proofErr w:type="spellStart"/>
      <w:r w:rsidRPr="00316F06">
        <w:rPr>
          <w:rFonts w:cs="Times New Roman"/>
          <w:lang w:val="sk-SK"/>
        </w:rPr>
        <w:t>xenoimplantátom</w:t>
      </w:r>
      <w:proofErr w:type="spellEnd"/>
      <w:r w:rsidRPr="00316F06">
        <w:rPr>
          <w:rFonts w:cs="Times New Roman"/>
          <w:lang w:val="sk-SK"/>
        </w:rPr>
        <w:t xml:space="preserve"> (Co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 xml:space="preserve">4 </w:t>
      </w:r>
      <w:proofErr w:type="spellStart"/>
      <w:r w:rsidRPr="00316F06">
        <w:rPr>
          <w:rFonts w:cs="Times New Roman"/>
          <w:lang w:val="sk-SK"/>
        </w:rPr>
        <w:t>adenokarcinóm</w:t>
      </w:r>
      <w:proofErr w:type="spellEnd"/>
      <w:r w:rsidRPr="00316F06">
        <w:rPr>
          <w:rFonts w:cs="Times New Roman"/>
          <w:lang w:val="sk-SK"/>
        </w:rPr>
        <w:t xml:space="preserve"> hrubého čreva, Mx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 xml:space="preserve">1 </w:t>
      </w:r>
      <w:proofErr w:type="spellStart"/>
      <w:r w:rsidRPr="00316F06">
        <w:rPr>
          <w:rFonts w:cs="Times New Roman"/>
          <w:lang w:val="sk-SK"/>
        </w:rPr>
        <w:t>adenokarcinóm</w:t>
      </w:r>
      <w:proofErr w:type="spellEnd"/>
      <w:r w:rsidRPr="00316F06">
        <w:rPr>
          <w:rFonts w:cs="Times New Roman"/>
          <w:lang w:val="sk-SK"/>
        </w:rPr>
        <w:t xml:space="preserve"> prsníka, ST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>15 a SC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 xml:space="preserve">16 </w:t>
      </w:r>
      <w:proofErr w:type="spellStart"/>
      <w:r w:rsidRPr="00316F06">
        <w:rPr>
          <w:rFonts w:cs="Times New Roman"/>
          <w:lang w:val="sk-SK"/>
        </w:rPr>
        <w:t>adenokarcinóm</w:t>
      </w:r>
      <w:proofErr w:type="spellEnd"/>
      <w:r w:rsidRPr="00316F06">
        <w:rPr>
          <w:rFonts w:cs="Times New Roman"/>
          <w:lang w:val="sk-SK"/>
        </w:rPr>
        <w:t xml:space="preserve"> žalúdka).</w:t>
      </w:r>
      <w:r w:rsidRPr="00316F06">
        <w:rPr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Irinotek</w:t>
      </w:r>
      <w:r w:rsidR="00B6463D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je takisto účinný voči tumorom </w:t>
      </w:r>
      <w:proofErr w:type="spellStart"/>
      <w:r w:rsidRPr="00316F06">
        <w:rPr>
          <w:rFonts w:cs="Times New Roman"/>
          <w:lang w:val="sk-SK"/>
        </w:rPr>
        <w:t>exprimujúcim</w:t>
      </w:r>
      <w:proofErr w:type="spellEnd"/>
      <w:r w:rsidRPr="00316F06">
        <w:rPr>
          <w:rFonts w:cs="Times New Roman"/>
          <w:lang w:val="sk-SK"/>
        </w:rPr>
        <w:t xml:space="preserve"> P</w:t>
      </w:r>
      <w:r w:rsidRPr="00316F06">
        <w:rPr>
          <w:lang w:val="sk-SK"/>
        </w:rPr>
        <w:noBreakHyphen/>
      </w:r>
      <w:proofErr w:type="spellStart"/>
      <w:r w:rsidRPr="00316F06">
        <w:rPr>
          <w:rFonts w:cs="Times New Roman"/>
          <w:lang w:val="sk-SK"/>
        </w:rPr>
        <w:t>glykoproteín</w:t>
      </w:r>
      <w:proofErr w:type="spellEnd"/>
      <w:r w:rsidRPr="00316F06">
        <w:rPr>
          <w:rFonts w:cs="Times New Roman"/>
          <w:lang w:val="sk-SK"/>
        </w:rPr>
        <w:t xml:space="preserve"> MDR (leukém</w:t>
      </w:r>
      <w:r w:rsidRPr="00316F06">
        <w:rPr>
          <w:lang w:val="sk-SK"/>
        </w:rPr>
        <w:t xml:space="preserve">ie P388 rezistentné proti </w:t>
      </w:r>
      <w:proofErr w:type="spellStart"/>
      <w:r w:rsidRPr="00316F06">
        <w:rPr>
          <w:lang w:val="sk-SK"/>
        </w:rPr>
        <w:t>vinkristínu</w:t>
      </w:r>
      <w:proofErr w:type="spellEnd"/>
      <w:r w:rsidRPr="00316F06">
        <w:rPr>
          <w:lang w:val="sk-SK"/>
        </w:rPr>
        <w:t xml:space="preserve"> a </w:t>
      </w:r>
      <w:proofErr w:type="spellStart"/>
      <w:r w:rsidRPr="00316F06">
        <w:rPr>
          <w:lang w:val="sk-SK"/>
        </w:rPr>
        <w:t>doxorubicínu</w:t>
      </w:r>
      <w:proofErr w:type="spellEnd"/>
      <w:r w:rsidRPr="00316F06">
        <w:rPr>
          <w:lang w:val="sk-SK"/>
        </w:rPr>
        <w:t>).</w:t>
      </w:r>
    </w:p>
    <w:p w14:paraId="14E624C9" w14:textId="77777777" w:rsidR="00913218" w:rsidRPr="00316F06" w:rsidRDefault="00913218">
      <w:pPr>
        <w:rPr>
          <w:lang w:val="sk-SK"/>
        </w:rPr>
      </w:pPr>
    </w:p>
    <w:p w14:paraId="5C1DF1F5" w14:textId="0A75D22C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Okrem </w:t>
      </w:r>
      <w:proofErr w:type="spellStart"/>
      <w:r w:rsidRPr="00316F06">
        <w:rPr>
          <w:rFonts w:cs="Times New Roman"/>
          <w:lang w:val="sk-SK"/>
        </w:rPr>
        <w:t>antitumorózneho</w:t>
      </w:r>
      <w:proofErr w:type="spellEnd"/>
      <w:r w:rsidRPr="00316F06">
        <w:rPr>
          <w:rFonts w:cs="Times New Roman"/>
          <w:lang w:val="sk-SK"/>
        </w:rPr>
        <w:t xml:space="preserve"> účinku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je najvýznamnejším farmakologickým účinkom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inhibícia </w:t>
      </w:r>
      <w:proofErr w:type="spellStart"/>
      <w:r w:rsidRPr="00316F06">
        <w:rPr>
          <w:rFonts w:cs="Times New Roman"/>
          <w:lang w:val="sk-SK"/>
        </w:rPr>
        <w:t>acetylcholínesterázy</w:t>
      </w:r>
      <w:proofErr w:type="spellEnd"/>
      <w:r w:rsidRPr="00316F06">
        <w:rPr>
          <w:rFonts w:cs="Times New Roman"/>
          <w:lang w:val="sk-SK"/>
        </w:rPr>
        <w:t>.</w:t>
      </w:r>
    </w:p>
    <w:p w14:paraId="03D83407" w14:textId="77777777" w:rsidR="00913218" w:rsidRPr="00316F06" w:rsidRDefault="00913218">
      <w:pPr>
        <w:rPr>
          <w:lang w:val="sk-SK"/>
        </w:rPr>
      </w:pPr>
    </w:p>
    <w:p w14:paraId="185092DD" w14:textId="77777777" w:rsidR="00913218" w:rsidRPr="00316F06" w:rsidRDefault="00913218" w:rsidP="00DF4F61">
      <w:pPr>
        <w:keepNext/>
        <w:keepLines/>
        <w:rPr>
          <w:u w:val="single"/>
          <w:lang w:val="sk-SK"/>
        </w:rPr>
      </w:pPr>
      <w:r w:rsidRPr="00316F06">
        <w:rPr>
          <w:u w:val="single"/>
          <w:lang w:val="sk-SK"/>
        </w:rPr>
        <w:t>Klinické údaje</w:t>
      </w:r>
    </w:p>
    <w:p w14:paraId="661EE31A" w14:textId="77777777" w:rsidR="00913218" w:rsidRPr="00316F06" w:rsidRDefault="00913218" w:rsidP="00DF4F61">
      <w:pPr>
        <w:keepNext/>
        <w:keepLines/>
        <w:rPr>
          <w:lang w:val="sk-SK"/>
        </w:rPr>
      </w:pPr>
    </w:p>
    <w:p w14:paraId="49FB4CD6" w14:textId="77777777" w:rsidR="00913218" w:rsidRPr="00805523" w:rsidRDefault="00913218" w:rsidP="00DF4F61">
      <w:pPr>
        <w:keepNext/>
        <w:keepLines/>
        <w:rPr>
          <w:b/>
          <w:i/>
          <w:lang w:val="sk-SK"/>
        </w:rPr>
      </w:pPr>
      <w:r w:rsidRPr="00316F06">
        <w:rPr>
          <w:b/>
          <w:i/>
          <w:lang w:val="sk-SK"/>
        </w:rPr>
        <w:t xml:space="preserve">Kombinovaná terapia na </w:t>
      </w:r>
      <w:proofErr w:type="spellStart"/>
      <w:r w:rsidRPr="00316F06">
        <w:rPr>
          <w:b/>
          <w:i/>
          <w:lang w:val="sk-SK"/>
        </w:rPr>
        <w:t>prvolíniovú</w:t>
      </w:r>
      <w:proofErr w:type="spellEnd"/>
      <w:r w:rsidRPr="00316F06">
        <w:rPr>
          <w:b/>
          <w:i/>
          <w:lang w:val="sk-SK"/>
        </w:rPr>
        <w:t xml:space="preserve"> liečbu metastatického </w:t>
      </w:r>
      <w:proofErr w:type="spellStart"/>
      <w:r w:rsidRPr="00316F06">
        <w:rPr>
          <w:b/>
          <w:i/>
          <w:lang w:val="sk-SK"/>
        </w:rPr>
        <w:t>kolorektálneho</w:t>
      </w:r>
      <w:proofErr w:type="spellEnd"/>
      <w:r w:rsidRPr="00316F06">
        <w:rPr>
          <w:b/>
          <w:i/>
          <w:lang w:val="sk-SK"/>
        </w:rPr>
        <w:t xml:space="preserve"> karcinómu</w:t>
      </w:r>
    </w:p>
    <w:p w14:paraId="48BF9944" w14:textId="77777777" w:rsidR="00913218" w:rsidRPr="00316F06" w:rsidRDefault="00913218" w:rsidP="00DF4F61">
      <w:pPr>
        <w:keepNext/>
        <w:keepLines/>
        <w:rPr>
          <w:i/>
          <w:iCs/>
          <w:lang w:val="sk-SK"/>
        </w:rPr>
      </w:pPr>
    </w:p>
    <w:p w14:paraId="79679247" w14:textId="77777777" w:rsidR="00913218" w:rsidRPr="00316F06" w:rsidRDefault="00913218" w:rsidP="00DF4F61">
      <w:pPr>
        <w:keepNext/>
        <w:keepLines/>
        <w:rPr>
          <w:i/>
          <w:iCs/>
          <w:lang w:val="sk-SK"/>
        </w:rPr>
      </w:pPr>
      <w:r w:rsidRPr="00316F06">
        <w:rPr>
          <w:i/>
          <w:lang w:val="sk-SK"/>
        </w:rPr>
        <w:t>Kombinovaná terapia 5</w:t>
      </w:r>
      <w:r w:rsidRPr="00316F06">
        <w:rPr>
          <w:i/>
          <w:lang w:val="sk-SK"/>
        </w:rPr>
        <w:noBreakHyphen/>
        <w:t>FU/FA</w:t>
      </w:r>
    </w:p>
    <w:p w14:paraId="1563A010" w14:textId="2C7EA2C6" w:rsidR="00913218" w:rsidRPr="00316F06" w:rsidRDefault="00913218" w:rsidP="00DF4F61">
      <w:pPr>
        <w:keepNext/>
        <w:keepLines/>
        <w:rPr>
          <w:lang w:val="sk-SK"/>
        </w:rPr>
      </w:pPr>
      <w:r w:rsidRPr="00316F06">
        <w:rPr>
          <w:lang w:val="sk-SK"/>
        </w:rPr>
        <w:t>Klinick</w:t>
      </w:r>
      <w:r w:rsidR="009707A2">
        <w:rPr>
          <w:lang w:val="sk-SK"/>
        </w:rPr>
        <w:t>ej štúdie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fázy III sa uskutočnil</w:t>
      </w:r>
      <w:r w:rsidRPr="00316F06">
        <w:rPr>
          <w:lang w:val="sk-SK"/>
        </w:rPr>
        <w:t>o</w:t>
      </w:r>
      <w:r w:rsidRPr="00316F06">
        <w:rPr>
          <w:rFonts w:cs="Times New Roman"/>
          <w:lang w:val="sk-SK"/>
        </w:rPr>
        <w:t xml:space="preserve"> u 385 predtým neliečených pacientov s metastatickým </w:t>
      </w:r>
      <w:proofErr w:type="spellStart"/>
      <w:r w:rsidRPr="00316F06">
        <w:rPr>
          <w:rFonts w:cs="Times New Roman"/>
          <w:lang w:val="sk-SK"/>
        </w:rPr>
        <w:t>kolorektálnym</w:t>
      </w:r>
      <w:proofErr w:type="spellEnd"/>
      <w:r w:rsidRPr="00316F06">
        <w:rPr>
          <w:rFonts w:cs="Times New Roman"/>
          <w:lang w:val="sk-SK"/>
        </w:rPr>
        <w:t xml:space="preserve"> karcinómom s režimom dávkovania buď každé 2 týždne (pozri časť 4.2) alebo raz týždenne.</w:t>
      </w:r>
      <w:r w:rsidRPr="00316F06">
        <w:rPr>
          <w:lang w:val="sk-SK"/>
        </w:rPr>
        <w:t xml:space="preserve"> Pri dávk</w:t>
      </w:r>
      <w:r w:rsidRPr="00316F06">
        <w:rPr>
          <w:rFonts w:cs="Times New Roman"/>
          <w:lang w:val="sk-SK"/>
        </w:rPr>
        <w:t xml:space="preserve">ovacom režime každé 2 týždne sa 1. deň podáva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v dávke 180</w:t>
      </w:r>
      <w:r w:rsidRPr="00316F06">
        <w:rPr>
          <w:lang w:val="sk-SK"/>
        </w:rPr>
        <w:t xml:space="preserve"> mg/m² jedenkrát každé 2 týždne, a následne infúzia s kyselinou </w:t>
      </w:r>
      <w:proofErr w:type="spellStart"/>
      <w:r w:rsidRPr="00316F06">
        <w:rPr>
          <w:lang w:val="sk-SK"/>
        </w:rPr>
        <w:t>folínovou</w:t>
      </w:r>
      <w:proofErr w:type="spellEnd"/>
      <w:r w:rsidRPr="00316F06">
        <w:rPr>
          <w:lang w:val="sk-SK"/>
        </w:rPr>
        <w:t xml:space="preserve"> (200 mg/m² intravenóznou infúziou trvajúcou 2 hodiny) a s 5</w:t>
      </w:r>
      <w:r w:rsidRPr="00316F06">
        <w:rPr>
          <w:lang w:val="sk-SK"/>
        </w:rPr>
        <w:noBreakHyphen/>
        <w:t xml:space="preserve">fluóruracilom (400 mg/m² formou intravenózneho bolusu, nasledovaného intravenóznou infúziou 600 mg/m² trvajúcou 22 hodín). </w:t>
      </w:r>
      <w:r w:rsidRPr="00316F06">
        <w:rPr>
          <w:rFonts w:cs="Times New Roman"/>
          <w:lang w:val="sk-SK"/>
        </w:rPr>
        <w:t xml:space="preserve">Na 2. deň sa podáva rovnaká dávka kyseliny </w:t>
      </w:r>
      <w:proofErr w:type="spellStart"/>
      <w:r w:rsidRPr="00316F06">
        <w:rPr>
          <w:rFonts w:cs="Times New Roman"/>
          <w:lang w:val="sk-SK"/>
        </w:rPr>
        <w:t>folínovej</w:t>
      </w:r>
      <w:proofErr w:type="spellEnd"/>
      <w:r w:rsidRPr="00316F06">
        <w:rPr>
          <w:rFonts w:cs="Times New Roman"/>
          <w:lang w:val="sk-SK"/>
        </w:rPr>
        <w:t xml:space="preserve"> a 5</w:t>
      </w:r>
      <w:r w:rsidRPr="00316F06">
        <w:rPr>
          <w:rFonts w:cs="Times New Roman"/>
          <w:lang w:val="sk-SK"/>
        </w:rPr>
        <w:noBreakHyphen/>
        <w:t>fluóruracilu v rovnakom dávkovacom režime.</w:t>
      </w:r>
      <w:r w:rsidRPr="00316F06">
        <w:rPr>
          <w:lang w:val="sk-SK"/>
        </w:rPr>
        <w:t xml:space="preserve"> Pri dávkovacom režime raz týždenne sa podáva </w:t>
      </w:r>
      <w:proofErr w:type="spellStart"/>
      <w:r w:rsidRPr="00316F06">
        <w:rPr>
          <w:lang w:val="sk-SK"/>
        </w:rPr>
        <w:t>irinotek</w:t>
      </w:r>
      <w:r w:rsidR="009707A2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v dávke 80 mg/m² a následne infúzia s kyselinou </w:t>
      </w:r>
      <w:proofErr w:type="spellStart"/>
      <w:r w:rsidRPr="00316F06">
        <w:rPr>
          <w:lang w:val="sk-SK"/>
        </w:rPr>
        <w:t>folínovou</w:t>
      </w:r>
      <w:proofErr w:type="spellEnd"/>
      <w:r w:rsidRPr="00316F06">
        <w:rPr>
          <w:lang w:val="sk-SK"/>
        </w:rPr>
        <w:t xml:space="preserve"> (500 mg/m² intravenóznou infúziou trvajúcou 2 hodiny), po ktorej nasleduje podanie 5</w:t>
      </w:r>
      <w:r w:rsidRPr="00316F06">
        <w:rPr>
          <w:lang w:val="sk-SK"/>
        </w:rPr>
        <w:noBreakHyphen/>
        <w:t>fluóruracilu (2300 mg/m²</w:t>
      </w:r>
      <w:r w:rsidRPr="00316F06">
        <w:rPr>
          <w:rFonts w:cs="Times New Roman"/>
          <w:lang w:val="sk-SK"/>
        </w:rPr>
        <w:t xml:space="preserve"> intravenóznou infúziou trvajúcou 24 hodín) po dobu 6 týždňov.</w:t>
      </w:r>
    </w:p>
    <w:p w14:paraId="2A003971" w14:textId="77777777" w:rsidR="00913218" w:rsidRPr="00316F06" w:rsidRDefault="00913218">
      <w:pPr>
        <w:rPr>
          <w:lang w:val="sk-SK"/>
        </w:rPr>
      </w:pPr>
    </w:p>
    <w:p w14:paraId="65A85D4B" w14:textId="11375A27" w:rsidR="00913218" w:rsidRPr="00316F06" w:rsidRDefault="00913218" w:rsidP="00734777">
      <w:pPr>
        <w:keepNext/>
        <w:rPr>
          <w:lang w:val="sk-SK"/>
        </w:rPr>
      </w:pPr>
      <w:r w:rsidRPr="00316F06">
        <w:rPr>
          <w:rFonts w:cs="Times New Roman"/>
          <w:lang w:val="sk-SK"/>
        </w:rPr>
        <w:t xml:space="preserve">V skúšaniach s kombinovanou liečbou dvoma rôznymi hore uvedenými režimami bola účinnosť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hodnotená u 198 liečených pacientov.</w:t>
      </w:r>
    </w:p>
    <w:p w14:paraId="070FFDC3" w14:textId="77777777" w:rsidR="00913218" w:rsidRPr="00316F06" w:rsidRDefault="00913218">
      <w:pPr>
        <w:rPr>
          <w:lang w:val="sk-SK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294"/>
        <w:gridCol w:w="1085"/>
        <w:gridCol w:w="1324"/>
        <w:gridCol w:w="1056"/>
        <w:gridCol w:w="1354"/>
        <w:gridCol w:w="1026"/>
      </w:tblGrid>
      <w:tr w:rsidR="00913218" w:rsidRPr="00316F06" w14:paraId="72C21052" w14:textId="77777777">
        <w:trPr>
          <w:cantSplit/>
          <w:tblHeader/>
        </w:trPr>
        <w:tc>
          <w:tcPr>
            <w:tcW w:w="2075" w:type="dxa"/>
          </w:tcPr>
          <w:p w14:paraId="0B86CA74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</w:p>
        </w:tc>
        <w:tc>
          <w:tcPr>
            <w:tcW w:w="2379" w:type="dxa"/>
            <w:gridSpan w:val="2"/>
          </w:tcPr>
          <w:p w14:paraId="4D1188D9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 xml:space="preserve">Kombinované režimy </w:t>
            </w:r>
            <w:r w:rsidRPr="00316F06">
              <w:rPr>
                <w:lang w:val="sk-SK"/>
              </w:rPr>
              <w:br/>
              <w:t>(n = 198)</w:t>
            </w:r>
          </w:p>
        </w:tc>
        <w:tc>
          <w:tcPr>
            <w:tcW w:w="2380" w:type="dxa"/>
            <w:gridSpan w:val="2"/>
          </w:tcPr>
          <w:p w14:paraId="34BBDC5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 xml:space="preserve">Týždenný režim </w:t>
            </w:r>
            <w:r w:rsidRPr="00316F06">
              <w:rPr>
                <w:lang w:val="sk-SK"/>
              </w:rPr>
              <w:br/>
              <w:t>(n = 50)</w:t>
            </w:r>
          </w:p>
        </w:tc>
        <w:tc>
          <w:tcPr>
            <w:tcW w:w="2380" w:type="dxa"/>
            <w:gridSpan w:val="2"/>
          </w:tcPr>
          <w:p w14:paraId="260040C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 xml:space="preserve">Režim každé 2 týždne </w:t>
            </w:r>
            <w:r w:rsidRPr="00316F06">
              <w:rPr>
                <w:lang w:val="sk-SK"/>
              </w:rPr>
              <w:br/>
              <w:t>(n = 148)</w:t>
            </w:r>
          </w:p>
        </w:tc>
      </w:tr>
      <w:tr w:rsidR="00913218" w:rsidRPr="00316F06" w14:paraId="1BACCD60" w14:textId="77777777">
        <w:trPr>
          <w:cantSplit/>
          <w:tblHeader/>
        </w:trPr>
        <w:tc>
          <w:tcPr>
            <w:tcW w:w="2075" w:type="dxa"/>
          </w:tcPr>
          <w:p w14:paraId="19F90790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</w:p>
        </w:tc>
        <w:tc>
          <w:tcPr>
            <w:tcW w:w="1294" w:type="dxa"/>
          </w:tcPr>
          <w:p w14:paraId="01A3D6D7" w14:textId="138A43F1" w:rsidR="00913218" w:rsidRPr="00316F06" w:rsidRDefault="00913218" w:rsidP="009707A2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proofErr w:type="spellStart"/>
            <w:r w:rsidRPr="00316F06">
              <w:rPr>
                <w:lang w:val="sk-SK"/>
              </w:rPr>
              <w:t>Irinotek</w:t>
            </w:r>
            <w:r w:rsidR="009707A2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  <w:r w:rsidRPr="00316F06">
              <w:rPr>
                <w:lang w:val="sk-SK"/>
              </w:rPr>
              <w:t xml:space="preserve"> </w:t>
            </w:r>
            <w:r w:rsidRPr="00316F06">
              <w:rPr>
                <w:lang w:val="sk-SK"/>
              </w:rPr>
              <w:br/>
              <w:t>+ 5-FU/FA</w:t>
            </w:r>
          </w:p>
        </w:tc>
        <w:tc>
          <w:tcPr>
            <w:tcW w:w="1085" w:type="dxa"/>
          </w:tcPr>
          <w:p w14:paraId="05759A13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5-FU/FA</w:t>
            </w:r>
          </w:p>
        </w:tc>
        <w:tc>
          <w:tcPr>
            <w:tcW w:w="1324" w:type="dxa"/>
          </w:tcPr>
          <w:p w14:paraId="0BA48593" w14:textId="3A5D29C0" w:rsidR="00913218" w:rsidRPr="00316F06" w:rsidRDefault="00913218" w:rsidP="009707A2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proofErr w:type="spellStart"/>
            <w:r w:rsidRPr="00316F06">
              <w:rPr>
                <w:lang w:val="sk-SK"/>
              </w:rPr>
              <w:t>Irinotek</w:t>
            </w:r>
            <w:r w:rsidR="009707A2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  <w:r w:rsidRPr="00316F06">
              <w:rPr>
                <w:lang w:val="sk-SK"/>
              </w:rPr>
              <w:t xml:space="preserve"> </w:t>
            </w:r>
            <w:r w:rsidRPr="00316F06">
              <w:rPr>
                <w:lang w:val="sk-SK"/>
              </w:rPr>
              <w:br/>
              <w:t>+ 5-FU/FA</w:t>
            </w:r>
          </w:p>
        </w:tc>
        <w:tc>
          <w:tcPr>
            <w:tcW w:w="1056" w:type="dxa"/>
          </w:tcPr>
          <w:p w14:paraId="41A51FFF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5-FU/FA</w:t>
            </w:r>
          </w:p>
        </w:tc>
        <w:tc>
          <w:tcPr>
            <w:tcW w:w="1354" w:type="dxa"/>
          </w:tcPr>
          <w:p w14:paraId="76C955AF" w14:textId="2317833E" w:rsidR="00913218" w:rsidRPr="00316F06" w:rsidRDefault="00913218" w:rsidP="009707A2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proofErr w:type="spellStart"/>
            <w:r w:rsidRPr="00316F06">
              <w:rPr>
                <w:lang w:val="sk-SK"/>
              </w:rPr>
              <w:t>Irinotek</w:t>
            </w:r>
            <w:r w:rsidR="009707A2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  <w:r w:rsidRPr="00316F06">
              <w:rPr>
                <w:lang w:val="sk-SK"/>
              </w:rPr>
              <w:t xml:space="preserve"> </w:t>
            </w:r>
            <w:r w:rsidRPr="00316F06">
              <w:rPr>
                <w:lang w:val="sk-SK"/>
              </w:rPr>
              <w:br/>
              <w:t>+ 5-FU/FA</w:t>
            </w:r>
          </w:p>
        </w:tc>
        <w:tc>
          <w:tcPr>
            <w:tcW w:w="1026" w:type="dxa"/>
          </w:tcPr>
          <w:p w14:paraId="24E90D3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5-FU/FA</w:t>
            </w:r>
          </w:p>
        </w:tc>
      </w:tr>
      <w:tr w:rsidR="00913218" w:rsidRPr="00316F06" w14:paraId="4C3BFDCC" w14:textId="77777777">
        <w:trPr>
          <w:cantSplit/>
        </w:trPr>
        <w:tc>
          <w:tcPr>
            <w:tcW w:w="2075" w:type="dxa"/>
          </w:tcPr>
          <w:p w14:paraId="4F4F9FE9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Miera odpovede [%]</w:t>
            </w:r>
          </w:p>
        </w:tc>
        <w:tc>
          <w:tcPr>
            <w:tcW w:w="1294" w:type="dxa"/>
          </w:tcPr>
          <w:p w14:paraId="3CB684C9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40,8*</w:t>
            </w:r>
          </w:p>
        </w:tc>
        <w:tc>
          <w:tcPr>
            <w:tcW w:w="1085" w:type="dxa"/>
          </w:tcPr>
          <w:p w14:paraId="4110F660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23,1*</w:t>
            </w:r>
          </w:p>
        </w:tc>
        <w:tc>
          <w:tcPr>
            <w:tcW w:w="1324" w:type="dxa"/>
          </w:tcPr>
          <w:p w14:paraId="42C8952B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51,2*</w:t>
            </w:r>
          </w:p>
        </w:tc>
        <w:tc>
          <w:tcPr>
            <w:tcW w:w="1056" w:type="dxa"/>
          </w:tcPr>
          <w:p w14:paraId="240F79B9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28,6*</w:t>
            </w:r>
          </w:p>
        </w:tc>
        <w:tc>
          <w:tcPr>
            <w:tcW w:w="1354" w:type="dxa"/>
          </w:tcPr>
          <w:p w14:paraId="00BD85A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37,5*</w:t>
            </w:r>
          </w:p>
        </w:tc>
        <w:tc>
          <w:tcPr>
            <w:tcW w:w="1026" w:type="dxa"/>
          </w:tcPr>
          <w:p w14:paraId="01BD0A2C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21,6*</w:t>
            </w:r>
          </w:p>
        </w:tc>
      </w:tr>
      <w:tr w:rsidR="00913218" w:rsidRPr="00316F06" w14:paraId="3D1589D8" w14:textId="77777777">
        <w:trPr>
          <w:cantSplit/>
        </w:trPr>
        <w:tc>
          <w:tcPr>
            <w:tcW w:w="2075" w:type="dxa"/>
          </w:tcPr>
          <w:p w14:paraId="348448D9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2379" w:type="dxa"/>
            <w:gridSpan w:val="2"/>
          </w:tcPr>
          <w:p w14:paraId="51EB6DDE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&lt; 0,001</w:t>
            </w:r>
          </w:p>
        </w:tc>
        <w:tc>
          <w:tcPr>
            <w:tcW w:w="2380" w:type="dxa"/>
            <w:gridSpan w:val="2"/>
          </w:tcPr>
          <w:p w14:paraId="4FE2D0F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0,045</w:t>
            </w:r>
          </w:p>
        </w:tc>
        <w:tc>
          <w:tcPr>
            <w:tcW w:w="2380" w:type="dxa"/>
            <w:gridSpan w:val="2"/>
          </w:tcPr>
          <w:p w14:paraId="4B775C1C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0,005</w:t>
            </w:r>
          </w:p>
        </w:tc>
      </w:tr>
      <w:tr w:rsidR="00913218" w:rsidRPr="00316F06" w14:paraId="7A9CAD19" w14:textId="77777777">
        <w:trPr>
          <w:cantSplit/>
        </w:trPr>
        <w:tc>
          <w:tcPr>
            <w:tcW w:w="2075" w:type="dxa"/>
          </w:tcPr>
          <w:p w14:paraId="7E55FDFB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Stredná doba do progresie [mesiace]</w:t>
            </w:r>
          </w:p>
        </w:tc>
        <w:tc>
          <w:tcPr>
            <w:tcW w:w="1294" w:type="dxa"/>
          </w:tcPr>
          <w:p w14:paraId="43FD703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6,7</w:t>
            </w:r>
          </w:p>
        </w:tc>
        <w:tc>
          <w:tcPr>
            <w:tcW w:w="1085" w:type="dxa"/>
          </w:tcPr>
          <w:p w14:paraId="6CC67BFD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4,4</w:t>
            </w:r>
          </w:p>
        </w:tc>
        <w:tc>
          <w:tcPr>
            <w:tcW w:w="1324" w:type="dxa"/>
          </w:tcPr>
          <w:p w14:paraId="158F97D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7,2</w:t>
            </w:r>
          </w:p>
        </w:tc>
        <w:tc>
          <w:tcPr>
            <w:tcW w:w="1056" w:type="dxa"/>
          </w:tcPr>
          <w:p w14:paraId="40C0E16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6,5</w:t>
            </w:r>
          </w:p>
        </w:tc>
        <w:tc>
          <w:tcPr>
            <w:tcW w:w="1354" w:type="dxa"/>
          </w:tcPr>
          <w:p w14:paraId="42942581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6,5</w:t>
            </w:r>
          </w:p>
        </w:tc>
        <w:tc>
          <w:tcPr>
            <w:tcW w:w="1026" w:type="dxa"/>
          </w:tcPr>
          <w:p w14:paraId="486F8DB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3,7</w:t>
            </w:r>
          </w:p>
        </w:tc>
      </w:tr>
      <w:tr w:rsidR="00913218" w:rsidRPr="00316F06" w14:paraId="78D80BF4" w14:textId="77777777">
        <w:trPr>
          <w:cantSplit/>
        </w:trPr>
        <w:tc>
          <w:tcPr>
            <w:tcW w:w="2075" w:type="dxa"/>
          </w:tcPr>
          <w:p w14:paraId="67A98F71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2379" w:type="dxa"/>
            <w:gridSpan w:val="2"/>
          </w:tcPr>
          <w:p w14:paraId="6EF0C98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&lt; 0,001</w:t>
            </w:r>
          </w:p>
        </w:tc>
        <w:tc>
          <w:tcPr>
            <w:tcW w:w="2380" w:type="dxa"/>
            <w:gridSpan w:val="2"/>
          </w:tcPr>
          <w:p w14:paraId="267013F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NS</w:t>
            </w:r>
          </w:p>
        </w:tc>
        <w:tc>
          <w:tcPr>
            <w:tcW w:w="2380" w:type="dxa"/>
            <w:gridSpan w:val="2"/>
          </w:tcPr>
          <w:p w14:paraId="34BAAEFE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0,001</w:t>
            </w:r>
          </w:p>
        </w:tc>
      </w:tr>
      <w:tr w:rsidR="00913218" w:rsidRPr="00316F06" w14:paraId="579BB733" w14:textId="77777777">
        <w:trPr>
          <w:cantSplit/>
        </w:trPr>
        <w:tc>
          <w:tcPr>
            <w:tcW w:w="2075" w:type="dxa"/>
          </w:tcPr>
          <w:p w14:paraId="134F8D00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Stredné trvanie odpovede [mesiace]</w:t>
            </w:r>
          </w:p>
        </w:tc>
        <w:tc>
          <w:tcPr>
            <w:tcW w:w="1294" w:type="dxa"/>
          </w:tcPr>
          <w:p w14:paraId="6DE0E821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9,3</w:t>
            </w:r>
          </w:p>
        </w:tc>
        <w:tc>
          <w:tcPr>
            <w:tcW w:w="1085" w:type="dxa"/>
          </w:tcPr>
          <w:p w14:paraId="68361D7E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8,8</w:t>
            </w:r>
          </w:p>
        </w:tc>
        <w:tc>
          <w:tcPr>
            <w:tcW w:w="1324" w:type="dxa"/>
          </w:tcPr>
          <w:p w14:paraId="7F164D00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8,9</w:t>
            </w:r>
          </w:p>
        </w:tc>
        <w:tc>
          <w:tcPr>
            <w:tcW w:w="1056" w:type="dxa"/>
          </w:tcPr>
          <w:p w14:paraId="1594FE3A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6,7</w:t>
            </w:r>
          </w:p>
        </w:tc>
        <w:tc>
          <w:tcPr>
            <w:tcW w:w="1354" w:type="dxa"/>
          </w:tcPr>
          <w:p w14:paraId="0FE9A8E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9,3</w:t>
            </w:r>
          </w:p>
        </w:tc>
        <w:tc>
          <w:tcPr>
            <w:tcW w:w="1026" w:type="dxa"/>
          </w:tcPr>
          <w:p w14:paraId="12015161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9,5</w:t>
            </w:r>
          </w:p>
        </w:tc>
      </w:tr>
      <w:tr w:rsidR="00913218" w:rsidRPr="00316F06" w14:paraId="026382A9" w14:textId="77777777">
        <w:trPr>
          <w:cantSplit/>
        </w:trPr>
        <w:tc>
          <w:tcPr>
            <w:tcW w:w="2075" w:type="dxa"/>
          </w:tcPr>
          <w:p w14:paraId="0BD00BE1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2379" w:type="dxa"/>
            <w:gridSpan w:val="2"/>
          </w:tcPr>
          <w:p w14:paraId="47645CE0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NS</w:t>
            </w:r>
          </w:p>
        </w:tc>
        <w:tc>
          <w:tcPr>
            <w:tcW w:w="2380" w:type="dxa"/>
            <w:gridSpan w:val="2"/>
          </w:tcPr>
          <w:p w14:paraId="704BE8AB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0,043</w:t>
            </w:r>
          </w:p>
        </w:tc>
        <w:tc>
          <w:tcPr>
            <w:tcW w:w="2380" w:type="dxa"/>
            <w:gridSpan w:val="2"/>
          </w:tcPr>
          <w:p w14:paraId="2B29EC8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NS</w:t>
            </w:r>
          </w:p>
        </w:tc>
      </w:tr>
      <w:tr w:rsidR="00913218" w:rsidRPr="00316F06" w14:paraId="220BC146" w14:textId="77777777">
        <w:trPr>
          <w:cantSplit/>
        </w:trPr>
        <w:tc>
          <w:tcPr>
            <w:tcW w:w="2075" w:type="dxa"/>
          </w:tcPr>
          <w:p w14:paraId="3E9846CA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Stredné trvanie odpovede a stabilizácia [mesiace]</w:t>
            </w:r>
          </w:p>
        </w:tc>
        <w:tc>
          <w:tcPr>
            <w:tcW w:w="1294" w:type="dxa"/>
          </w:tcPr>
          <w:p w14:paraId="72E0927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8,6</w:t>
            </w:r>
          </w:p>
        </w:tc>
        <w:tc>
          <w:tcPr>
            <w:tcW w:w="1085" w:type="dxa"/>
          </w:tcPr>
          <w:p w14:paraId="2C5FE35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6,2</w:t>
            </w:r>
          </w:p>
        </w:tc>
        <w:tc>
          <w:tcPr>
            <w:tcW w:w="1324" w:type="dxa"/>
          </w:tcPr>
          <w:p w14:paraId="75A0F05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8,3</w:t>
            </w:r>
          </w:p>
        </w:tc>
        <w:tc>
          <w:tcPr>
            <w:tcW w:w="1056" w:type="dxa"/>
          </w:tcPr>
          <w:p w14:paraId="3A31503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6,7</w:t>
            </w:r>
          </w:p>
        </w:tc>
        <w:tc>
          <w:tcPr>
            <w:tcW w:w="1354" w:type="dxa"/>
          </w:tcPr>
          <w:p w14:paraId="10DF053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8,5</w:t>
            </w:r>
          </w:p>
        </w:tc>
        <w:tc>
          <w:tcPr>
            <w:tcW w:w="1026" w:type="dxa"/>
          </w:tcPr>
          <w:p w14:paraId="56D770B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5,6</w:t>
            </w:r>
          </w:p>
        </w:tc>
      </w:tr>
      <w:tr w:rsidR="00913218" w:rsidRPr="00316F06" w14:paraId="2E3E2D29" w14:textId="77777777">
        <w:trPr>
          <w:cantSplit/>
        </w:trPr>
        <w:tc>
          <w:tcPr>
            <w:tcW w:w="2075" w:type="dxa"/>
          </w:tcPr>
          <w:p w14:paraId="38025506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2379" w:type="dxa"/>
            <w:gridSpan w:val="2"/>
          </w:tcPr>
          <w:p w14:paraId="4C84A2AB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&lt; 0,001</w:t>
            </w:r>
          </w:p>
        </w:tc>
        <w:tc>
          <w:tcPr>
            <w:tcW w:w="2380" w:type="dxa"/>
            <w:gridSpan w:val="2"/>
          </w:tcPr>
          <w:p w14:paraId="17614BA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NS</w:t>
            </w:r>
          </w:p>
        </w:tc>
        <w:tc>
          <w:tcPr>
            <w:tcW w:w="2380" w:type="dxa"/>
            <w:gridSpan w:val="2"/>
          </w:tcPr>
          <w:p w14:paraId="0A9FC46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0,003</w:t>
            </w:r>
          </w:p>
        </w:tc>
      </w:tr>
      <w:tr w:rsidR="00913218" w:rsidRPr="00316F06" w14:paraId="0B0DA50F" w14:textId="77777777">
        <w:trPr>
          <w:cantSplit/>
        </w:trPr>
        <w:tc>
          <w:tcPr>
            <w:tcW w:w="2075" w:type="dxa"/>
          </w:tcPr>
          <w:p w14:paraId="225748E6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rFonts w:cs="Times New Roman"/>
                <w:lang w:val="sk-SK"/>
              </w:rPr>
              <w:t>Stredná doba do zlyhania liečby [mesiace]</w:t>
            </w:r>
          </w:p>
        </w:tc>
        <w:tc>
          <w:tcPr>
            <w:tcW w:w="1294" w:type="dxa"/>
          </w:tcPr>
          <w:p w14:paraId="0994729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5,3</w:t>
            </w:r>
          </w:p>
        </w:tc>
        <w:tc>
          <w:tcPr>
            <w:tcW w:w="1085" w:type="dxa"/>
          </w:tcPr>
          <w:p w14:paraId="1EFC5522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3,8</w:t>
            </w:r>
          </w:p>
        </w:tc>
        <w:tc>
          <w:tcPr>
            <w:tcW w:w="1324" w:type="dxa"/>
          </w:tcPr>
          <w:p w14:paraId="515ACA20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5,4</w:t>
            </w:r>
          </w:p>
        </w:tc>
        <w:tc>
          <w:tcPr>
            <w:tcW w:w="1056" w:type="dxa"/>
          </w:tcPr>
          <w:p w14:paraId="23090020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5,0</w:t>
            </w:r>
          </w:p>
        </w:tc>
        <w:tc>
          <w:tcPr>
            <w:tcW w:w="1354" w:type="dxa"/>
          </w:tcPr>
          <w:p w14:paraId="2B567E9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5,1</w:t>
            </w:r>
          </w:p>
        </w:tc>
        <w:tc>
          <w:tcPr>
            <w:tcW w:w="1026" w:type="dxa"/>
          </w:tcPr>
          <w:p w14:paraId="3042BB0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3,0</w:t>
            </w:r>
          </w:p>
        </w:tc>
      </w:tr>
      <w:tr w:rsidR="00913218" w:rsidRPr="00316F06" w14:paraId="42D3F194" w14:textId="77777777">
        <w:trPr>
          <w:cantSplit/>
        </w:trPr>
        <w:tc>
          <w:tcPr>
            <w:tcW w:w="2075" w:type="dxa"/>
          </w:tcPr>
          <w:p w14:paraId="2581D5B1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2379" w:type="dxa"/>
            <w:gridSpan w:val="2"/>
          </w:tcPr>
          <w:p w14:paraId="00EFA55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0,0014</w:t>
            </w:r>
          </w:p>
        </w:tc>
        <w:tc>
          <w:tcPr>
            <w:tcW w:w="2380" w:type="dxa"/>
            <w:gridSpan w:val="2"/>
          </w:tcPr>
          <w:p w14:paraId="04A6E3BC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NS</w:t>
            </w:r>
          </w:p>
        </w:tc>
        <w:tc>
          <w:tcPr>
            <w:tcW w:w="2380" w:type="dxa"/>
            <w:gridSpan w:val="2"/>
          </w:tcPr>
          <w:p w14:paraId="117B50B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&lt; 0,001</w:t>
            </w:r>
          </w:p>
        </w:tc>
      </w:tr>
      <w:tr w:rsidR="00913218" w:rsidRPr="00316F06" w14:paraId="5BDE0B18" w14:textId="77777777">
        <w:trPr>
          <w:cantSplit/>
        </w:trPr>
        <w:tc>
          <w:tcPr>
            <w:tcW w:w="2075" w:type="dxa"/>
          </w:tcPr>
          <w:p w14:paraId="57E79757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Stredná doba prežívania [mesiacov]</w:t>
            </w:r>
          </w:p>
        </w:tc>
        <w:tc>
          <w:tcPr>
            <w:tcW w:w="1294" w:type="dxa"/>
          </w:tcPr>
          <w:p w14:paraId="6AA5BB4C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16,8</w:t>
            </w:r>
          </w:p>
        </w:tc>
        <w:tc>
          <w:tcPr>
            <w:tcW w:w="1085" w:type="dxa"/>
          </w:tcPr>
          <w:p w14:paraId="730F328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14,0</w:t>
            </w:r>
          </w:p>
        </w:tc>
        <w:tc>
          <w:tcPr>
            <w:tcW w:w="1324" w:type="dxa"/>
          </w:tcPr>
          <w:p w14:paraId="2911DEFA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19,2</w:t>
            </w:r>
          </w:p>
        </w:tc>
        <w:tc>
          <w:tcPr>
            <w:tcW w:w="1056" w:type="dxa"/>
          </w:tcPr>
          <w:p w14:paraId="2DA3DB63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14,1</w:t>
            </w:r>
          </w:p>
        </w:tc>
        <w:tc>
          <w:tcPr>
            <w:tcW w:w="1354" w:type="dxa"/>
          </w:tcPr>
          <w:p w14:paraId="0224322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15,6</w:t>
            </w:r>
          </w:p>
        </w:tc>
        <w:tc>
          <w:tcPr>
            <w:tcW w:w="1026" w:type="dxa"/>
          </w:tcPr>
          <w:p w14:paraId="41A46C5D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13,0</w:t>
            </w:r>
          </w:p>
        </w:tc>
      </w:tr>
      <w:tr w:rsidR="00913218" w:rsidRPr="00316F06" w14:paraId="6F1A6E78" w14:textId="77777777">
        <w:trPr>
          <w:cantSplit/>
        </w:trPr>
        <w:tc>
          <w:tcPr>
            <w:tcW w:w="2075" w:type="dxa"/>
          </w:tcPr>
          <w:p w14:paraId="705C8A5B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2379" w:type="dxa"/>
            <w:gridSpan w:val="2"/>
          </w:tcPr>
          <w:p w14:paraId="2934C1D1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0,028</w:t>
            </w:r>
          </w:p>
        </w:tc>
        <w:tc>
          <w:tcPr>
            <w:tcW w:w="2380" w:type="dxa"/>
            <w:gridSpan w:val="2"/>
          </w:tcPr>
          <w:p w14:paraId="67FC3309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NS</w:t>
            </w:r>
          </w:p>
        </w:tc>
        <w:tc>
          <w:tcPr>
            <w:tcW w:w="2380" w:type="dxa"/>
            <w:gridSpan w:val="2"/>
          </w:tcPr>
          <w:p w14:paraId="513EBE61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0,041</w:t>
            </w:r>
          </w:p>
        </w:tc>
      </w:tr>
      <w:tr w:rsidR="00913218" w:rsidRPr="00316F06" w14:paraId="5EDE99B4" w14:textId="77777777">
        <w:trPr>
          <w:cantSplit/>
        </w:trPr>
        <w:tc>
          <w:tcPr>
            <w:tcW w:w="9214" w:type="dxa"/>
            <w:gridSpan w:val="7"/>
          </w:tcPr>
          <w:p w14:paraId="640CECA0" w14:textId="77777777" w:rsidR="00913218" w:rsidRPr="00316F06" w:rsidRDefault="00913218" w:rsidP="00EB667C">
            <w:pPr>
              <w:keepNext/>
              <w:keepLines/>
              <w:tabs>
                <w:tab w:val="clear" w:pos="567"/>
              </w:tabs>
              <w:spacing w:before="20" w:after="20"/>
              <w:ind w:left="284" w:hanging="284"/>
              <w:rPr>
                <w:sz w:val="18"/>
                <w:szCs w:val="18"/>
                <w:lang w:val="sk-SK"/>
              </w:rPr>
            </w:pPr>
            <w:r w:rsidRPr="00316F06">
              <w:rPr>
                <w:sz w:val="18"/>
                <w:szCs w:val="18"/>
                <w:lang w:val="sk-SK"/>
              </w:rPr>
              <w:t>*</w:t>
            </w:r>
            <w:r w:rsidRPr="00316F06">
              <w:rPr>
                <w:sz w:val="18"/>
                <w:szCs w:val="18"/>
                <w:lang w:val="sk-SK"/>
              </w:rPr>
              <w:tab/>
            </w:r>
            <w:r w:rsidRPr="00316F06">
              <w:rPr>
                <w:rFonts w:cs="Times New Roman"/>
                <w:sz w:val="18"/>
                <w:szCs w:val="18"/>
                <w:lang w:val="sk-SK"/>
              </w:rPr>
              <w:t xml:space="preserve">podľa </w:t>
            </w:r>
            <w:r w:rsidRPr="00316F06">
              <w:rPr>
                <w:sz w:val="18"/>
                <w:szCs w:val="18"/>
                <w:lang w:val="sk-SK"/>
              </w:rPr>
              <w:t xml:space="preserve">protokolových skupín; 5-FU = 5-fluóruracil; FA = kyselina </w:t>
            </w:r>
            <w:proofErr w:type="spellStart"/>
            <w:r w:rsidRPr="00316F06">
              <w:rPr>
                <w:sz w:val="18"/>
                <w:szCs w:val="18"/>
                <w:lang w:val="sk-SK"/>
              </w:rPr>
              <w:t>folínová</w:t>
            </w:r>
            <w:proofErr w:type="spellEnd"/>
            <w:r w:rsidRPr="00316F06">
              <w:rPr>
                <w:sz w:val="18"/>
                <w:szCs w:val="18"/>
                <w:lang w:val="sk-SK"/>
              </w:rPr>
              <w:t>; NS = nie je signifikantné</w:t>
            </w:r>
          </w:p>
        </w:tc>
      </w:tr>
    </w:tbl>
    <w:p w14:paraId="1CBB7798" w14:textId="77777777" w:rsidR="00913218" w:rsidRPr="00316F06" w:rsidRDefault="00913218">
      <w:pPr>
        <w:rPr>
          <w:lang w:val="sk-SK"/>
        </w:rPr>
      </w:pPr>
    </w:p>
    <w:p w14:paraId="5EE7B698" w14:textId="5EE4B066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Pri dávkovacom režime raz týždenne bol výskyt </w:t>
      </w:r>
      <w:r w:rsidRPr="00316F06">
        <w:rPr>
          <w:rFonts w:cs="Times New Roman"/>
          <w:lang w:val="sk-SK"/>
        </w:rPr>
        <w:t>závažnej hnačky 44,4 % u pacientov liečený</w:t>
      </w:r>
      <w:r w:rsidRPr="00316F06">
        <w:rPr>
          <w:lang w:val="sk-SK"/>
        </w:rPr>
        <w:t xml:space="preserve">ch </w:t>
      </w:r>
      <w:proofErr w:type="spellStart"/>
      <w:r w:rsidRPr="00316F06">
        <w:rPr>
          <w:lang w:val="sk-SK"/>
        </w:rPr>
        <w:t>irinotek</w:t>
      </w:r>
      <w:r w:rsidR="009707A2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v kombinácii s 5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>FU/FA a 25,6 % u pacientov liečených samotným 5</w:t>
      </w:r>
      <w:r w:rsidRPr="00316F06">
        <w:rPr>
          <w:lang w:val="sk-SK"/>
        </w:rPr>
        <w:noBreakHyphen/>
        <w:t xml:space="preserve">FU/FA. </w:t>
      </w:r>
      <w:r w:rsidRPr="00316F06">
        <w:rPr>
          <w:rFonts w:cs="Times New Roman"/>
          <w:lang w:val="sk-SK"/>
        </w:rPr>
        <w:t xml:space="preserve">Výskyt závažnej </w:t>
      </w:r>
      <w:proofErr w:type="spellStart"/>
      <w:r w:rsidRPr="00316F06">
        <w:rPr>
          <w:rFonts w:cs="Times New Roman"/>
          <w:lang w:val="sk-SK"/>
        </w:rPr>
        <w:t>neutropénie</w:t>
      </w:r>
      <w:proofErr w:type="spellEnd"/>
      <w:r w:rsidRPr="00316F06">
        <w:rPr>
          <w:rFonts w:cs="Times New Roman"/>
          <w:lang w:val="sk-SK"/>
        </w:rPr>
        <w:t xml:space="preserve"> (počet </w:t>
      </w:r>
      <w:proofErr w:type="spellStart"/>
      <w:r w:rsidRPr="00316F06">
        <w:rPr>
          <w:rFonts w:cs="Times New Roman"/>
          <w:lang w:val="sk-SK"/>
        </w:rPr>
        <w:t>neutrofilov</w:t>
      </w:r>
      <w:proofErr w:type="spellEnd"/>
      <w:r w:rsidRPr="00316F06">
        <w:rPr>
          <w:rFonts w:cs="Times New Roman"/>
          <w:lang w:val="sk-SK"/>
        </w:rPr>
        <w:t xml:space="preserve"> </w:t>
      </w:r>
      <w:r w:rsidRPr="00316F06">
        <w:rPr>
          <w:lang w:val="sk-SK"/>
        </w:rPr>
        <w:t>&lt; 500 buniek/mm</w:t>
      </w:r>
      <w:r w:rsidRPr="00316F06">
        <w:rPr>
          <w:vertAlign w:val="superscript"/>
          <w:lang w:val="sk-SK"/>
        </w:rPr>
        <w:t>3</w:t>
      </w:r>
      <w:r w:rsidRPr="00316F06">
        <w:rPr>
          <w:rFonts w:cs="Times New Roman"/>
          <w:lang w:val="sk-SK"/>
        </w:rPr>
        <w:t xml:space="preserve">) bol 5,8 % u pacientov liečených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v kombinácii s 5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>FU/FA a 2,4 % u pacientov liečený</w:t>
      </w:r>
      <w:r w:rsidRPr="00316F06">
        <w:rPr>
          <w:lang w:val="sk-SK"/>
        </w:rPr>
        <w:t>ch samotným 5</w:t>
      </w:r>
      <w:r w:rsidRPr="00316F06">
        <w:rPr>
          <w:lang w:val="sk-SK"/>
        </w:rPr>
        <w:noBreakHyphen/>
        <w:t>FU/FA.</w:t>
      </w:r>
    </w:p>
    <w:p w14:paraId="7A54BDC8" w14:textId="77777777" w:rsidR="00913218" w:rsidRPr="00316F06" w:rsidRDefault="00913218">
      <w:pPr>
        <w:rPr>
          <w:lang w:val="sk-SK"/>
        </w:rPr>
      </w:pPr>
    </w:p>
    <w:p w14:paraId="20019652" w14:textId="065026E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Okrem toho stredná doba do definitívneho zhoršenia výkonnostného stavu bola signifikantne dlhšia v skupine liečenej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v kombinácii ako v skupine liečenej samotným 5</w:t>
      </w:r>
      <w:r w:rsidRPr="00316F06">
        <w:rPr>
          <w:lang w:val="sk-SK"/>
        </w:rPr>
        <w:noBreakHyphen/>
        <w:t>FU/FA (p = 0,046).</w:t>
      </w:r>
    </w:p>
    <w:p w14:paraId="77F09A95" w14:textId="77777777" w:rsidR="00913218" w:rsidRPr="00316F06" w:rsidRDefault="00913218">
      <w:pPr>
        <w:rPr>
          <w:lang w:val="sk-SK"/>
        </w:rPr>
      </w:pPr>
    </w:p>
    <w:p w14:paraId="64673B51" w14:textId="302E7E41" w:rsidR="00913218" w:rsidRPr="00316F06" w:rsidRDefault="00913218" w:rsidP="00F110C8">
      <w:pPr>
        <w:rPr>
          <w:lang w:val="sk-SK"/>
        </w:rPr>
      </w:pPr>
      <w:r w:rsidRPr="00316F06">
        <w:rPr>
          <w:lang w:val="sk-SK"/>
        </w:rPr>
        <w:t>Kvalita života bola v</w:t>
      </w:r>
      <w:r w:rsidR="009707A2">
        <w:rPr>
          <w:lang w:val="sk-SK"/>
        </w:rPr>
        <w:t> </w:t>
      </w:r>
      <w:r w:rsidRPr="00316F06">
        <w:rPr>
          <w:lang w:val="sk-SK"/>
        </w:rPr>
        <w:t>t</w:t>
      </w:r>
      <w:r w:rsidR="009707A2">
        <w:rPr>
          <w:lang w:val="sk-SK"/>
        </w:rPr>
        <w:t xml:space="preserve">ejto štúdii </w:t>
      </w:r>
      <w:r w:rsidRPr="00316F06">
        <w:rPr>
          <w:lang w:val="sk-SK"/>
        </w:rPr>
        <w:t>fázy III hodnotená na základe dotazníka EORTC QLQ</w:t>
      </w:r>
      <w:r w:rsidRPr="00316F06">
        <w:rPr>
          <w:lang w:val="sk-SK"/>
        </w:rPr>
        <w:noBreakHyphen/>
        <w:t xml:space="preserve">C30. </w:t>
      </w:r>
      <w:r w:rsidRPr="00316F06">
        <w:rPr>
          <w:rFonts w:cs="Times New Roman"/>
          <w:lang w:val="sk-SK"/>
        </w:rPr>
        <w:t xml:space="preserve">V skupine liečenej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dochádzalo k definitívnemu zhoršeniu výkonnostného stavu konštantne neskôr.</w:t>
      </w:r>
      <w:r w:rsidRPr="00316F06">
        <w:rPr>
          <w:lang w:val="sk-SK"/>
        </w:rPr>
        <w:t xml:space="preserve"> Vývoj celkového zdravotného stavu / kvality života (</w:t>
      </w:r>
      <w:proofErr w:type="spellStart"/>
      <w:r w:rsidRPr="00316F06">
        <w:rPr>
          <w:lang w:val="sk-SK"/>
        </w:rPr>
        <w:t>Global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Health</w:t>
      </w:r>
      <w:proofErr w:type="spellEnd"/>
      <w:r w:rsidRPr="00316F06">
        <w:rPr>
          <w:lang w:val="sk-SK"/>
        </w:rPr>
        <w:t xml:space="preserve"> Status/</w:t>
      </w:r>
      <w:proofErr w:type="spellStart"/>
      <w:r w:rsidRPr="00316F06">
        <w:rPr>
          <w:lang w:val="sk-SK"/>
        </w:rPr>
        <w:t>Quality</w:t>
      </w:r>
      <w:proofErr w:type="spellEnd"/>
      <w:r w:rsidRPr="00316F06">
        <w:rPr>
          <w:lang w:val="sk-SK"/>
        </w:rPr>
        <w:t xml:space="preserve"> of </w:t>
      </w:r>
      <w:proofErr w:type="spellStart"/>
      <w:r w:rsidRPr="00316F06">
        <w:rPr>
          <w:lang w:val="sk-SK"/>
        </w:rPr>
        <w:t>Life</w:t>
      </w:r>
      <w:proofErr w:type="spellEnd"/>
      <w:r w:rsidRPr="00316F06">
        <w:rPr>
          <w:lang w:val="sk-SK"/>
        </w:rPr>
        <w:t>) bol o</w:t>
      </w:r>
      <w:r w:rsidRPr="00316F06">
        <w:rPr>
          <w:rFonts w:cs="Times New Roman"/>
          <w:lang w:val="sk-SK"/>
        </w:rPr>
        <w:t xml:space="preserve"> niečo lepší v skupine liečenej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v kombinácii, aj keď nie signifikantne, čo poukazuje na to, že účinnosť </w:t>
      </w:r>
      <w:proofErr w:type="spellStart"/>
      <w:r w:rsidRPr="00316F06">
        <w:rPr>
          <w:rFonts w:cs="Times New Roman"/>
          <w:lang w:val="sk-SK"/>
        </w:rPr>
        <w:t>irinotek</w:t>
      </w:r>
      <w:r w:rsidR="009707A2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v kombinácii možno dosiahnuť bez ovplyvnenia kvality života.</w:t>
      </w:r>
    </w:p>
    <w:p w14:paraId="675B6F8F" w14:textId="77777777" w:rsidR="00913218" w:rsidRPr="00316F06" w:rsidRDefault="00913218">
      <w:pPr>
        <w:rPr>
          <w:lang w:val="sk-SK"/>
        </w:rPr>
      </w:pPr>
    </w:p>
    <w:p w14:paraId="39D3B8AF" w14:textId="77777777" w:rsidR="00913218" w:rsidRPr="00316F06" w:rsidRDefault="00913218" w:rsidP="00175890">
      <w:pPr>
        <w:keepNext/>
        <w:keepLines/>
        <w:rPr>
          <w:i/>
          <w:iCs/>
          <w:lang w:val="sk-SK"/>
        </w:rPr>
      </w:pPr>
      <w:r w:rsidRPr="00316F06">
        <w:rPr>
          <w:i/>
          <w:iCs/>
          <w:lang w:val="sk-SK"/>
        </w:rPr>
        <w:t xml:space="preserve">Kombinovaná terapia </w:t>
      </w:r>
      <w:proofErr w:type="spellStart"/>
      <w:r w:rsidRPr="00316F06">
        <w:rPr>
          <w:i/>
          <w:lang w:val="sk-SK"/>
        </w:rPr>
        <w:t>bevacizumabom</w:t>
      </w:r>
      <w:proofErr w:type="spellEnd"/>
    </w:p>
    <w:p w14:paraId="0A60F575" w14:textId="007C0FDE" w:rsidR="00913218" w:rsidRPr="00316F06" w:rsidRDefault="00913218" w:rsidP="00175890">
      <w:pPr>
        <w:keepNext/>
        <w:keepLines/>
        <w:rPr>
          <w:lang w:val="sk-SK"/>
        </w:rPr>
      </w:pPr>
      <w:proofErr w:type="spellStart"/>
      <w:r w:rsidRPr="00316F06">
        <w:rPr>
          <w:lang w:val="sk-SK"/>
        </w:rPr>
        <w:t>Randomizované</w:t>
      </w:r>
      <w:proofErr w:type="spellEnd"/>
      <w:r w:rsidRPr="00316F06">
        <w:rPr>
          <w:lang w:val="sk-SK"/>
        </w:rPr>
        <w:t xml:space="preserve">, dvojito zaslepené klinické skúšanie fázy III s aktívnou kontrolou hodnotilo 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 xml:space="preserve"> v kombinácii s </w:t>
      </w:r>
      <w:proofErr w:type="spellStart"/>
      <w:r w:rsidRPr="00316F06">
        <w:rPr>
          <w:lang w:val="sk-SK"/>
        </w:rPr>
        <w:t>irinotek</w:t>
      </w:r>
      <w:r w:rsidR="009707A2">
        <w:rPr>
          <w:lang w:val="sk-SK"/>
        </w:rPr>
        <w:t>á</w:t>
      </w:r>
      <w:r w:rsidRPr="00316F06">
        <w:rPr>
          <w:lang w:val="sk-SK"/>
        </w:rPr>
        <w:t>n</w:t>
      </w:r>
      <w:r w:rsidR="009707A2">
        <w:rPr>
          <w:lang w:val="sk-SK"/>
        </w:rPr>
        <w:t>om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>FU/FA v prvej línii liečby metastatického karcinómu hrubého čreva alebo konečníka (</w:t>
      </w:r>
      <w:r w:rsidR="009707A2">
        <w:rPr>
          <w:rFonts w:cs="Times New Roman"/>
          <w:lang w:val="sk-SK"/>
        </w:rPr>
        <w:t>štúdia</w:t>
      </w:r>
      <w:r w:rsidRPr="00316F06">
        <w:rPr>
          <w:lang w:val="sk-SK"/>
        </w:rPr>
        <w:t xml:space="preserve"> AVF2107g). Pridanie 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 xml:space="preserve"> ku kombinácii </w:t>
      </w:r>
      <w:proofErr w:type="spellStart"/>
      <w:r w:rsidRPr="00316F06">
        <w:rPr>
          <w:lang w:val="sk-SK"/>
        </w:rPr>
        <w:t>irinotek</w:t>
      </w:r>
      <w:r w:rsidR="009707A2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>/5</w:t>
      </w:r>
      <w:r w:rsidRPr="00316F06">
        <w:rPr>
          <w:lang w:val="sk-SK"/>
        </w:rPr>
        <w:noBreakHyphen/>
        <w:t>FU/FA viedlo k štatisticky významnému zlepšeniu celkového prežívania. Klinický prínos, vyjad</w:t>
      </w:r>
      <w:r w:rsidRPr="00316F06">
        <w:rPr>
          <w:rFonts w:cs="Times New Roman"/>
          <w:lang w:val="sk-SK"/>
        </w:rPr>
        <w:t>rený celkovým prežívaním, bol pozorovaný vo všetkých vopred špecifikovaných podskupinách pacientov vrátane tých, ktoré boli definované vekom, pohlavím, výkonnostným stavom, lokalizáciou primárneho nádoru, počtom postihnutých orgánov a trvaním metastatickéh</w:t>
      </w:r>
      <w:r w:rsidRPr="00316F06">
        <w:rPr>
          <w:lang w:val="sk-SK"/>
        </w:rPr>
        <w:t xml:space="preserve">o ochorenia. Preštudujte si aj súhrn charakteristických vlastností </w:t>
      </w:r>
      <w:proofErr w:type="spellStart"/>
      <w:r w:rsidRPr="00316F06">
        <w:rPr>
          <w:lang w:val="sk-SK"/>
        </w:rPr>
        <w:t>bevacizumabu</w:t>
      </w:r>
      <w:proofErr w:type="spellEnd"/>
      <w:r w:rsidRPr="00316F06">
        <w:rPr>
          <w:lang w:val="sk-SK"/>
        </w:rPr>
        <w:t>.</w:t>
      </w:r>
    </w:p>
    <w:p w14:paraId="44B541DA" w14:textId="327978C3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Výsledky účinnosti </w:t>
      </w:r>
      <w:r w:rsidR="009707A2">
        <w:rPr>
          <w:rFonts w:cs="Times New Roman"/>
          <w:lang w:val="sk-SK"/>
        </w:rPr>
        <w:t>zo štúdie</w:t>
      </w:r>
      <w:r w:rsidRPr="00316F06">
        <w:rPr>
          <w:rFonts w:cs="Times New Roman"/>
          <w:lang w:val="sk-SK"/>
        </w:rPr>
        <w:t xml:space="preserve"> AVF2107g sú zhrnuté v nasledujúcej tabuľke.</w:t>
      </w:r>
    </w:p>
    <w:p w14:paraId="78AC1272" w14:textId="77777777" w:rsidR="00913218" w:rsidRPr="00316F06" w:rsidRDefault="00913218">
      <w:pPr>
        <w:rPr>
          <w:lang w:val="sk-SK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326"/>
        <w:gridCol w:w="3327"/>
      </w:tblGrid>
      <w:tr w:rsidR="00913218" w:rsidRPr="00DF4F61" w14:paraId="21819A2B" w14:textId="77777777">
        <w:trPr>
          <w:cantSplit/>
          <w:tblHeader/>
        </w:trPr>
        <w:tc>
          <w:tcPr>
            <w:tcW w:w="2552" w:type="dxa"/>
          </w:tcPr>
          <w:p w14:paraId="7C4C9FD6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</w:p>
        </w:tc>
        <w:tc>
          <w:tcPr>
            <w:tcW w:w="3313" w:type="dxa"/>
          </w:tcPr>
          <w:p w14:paraId="229CE1AF" w14:textId="791AA4C2" w:rsidR="00913218" w:rsidRPr="00316F06" w:rsidRDefault="00913218" w:rsidP="009707A2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 xml:space="preserve">Rameno 1 </w:t>
            </w:r>
            <w:r w:rsidRPr="00316F06">
              <w:rPr>
                <w:lang w:val="sk-SK"/>
              </w:rPr>
              <w:br/>
            </w:r>
            <w:proofErr w:type="spellStart"/>
            <w:r w:rsidRPr="00316F06">
              <w:rPr>
                <w:lang w:val="sk-SK"/>
              </w:rPr>
              <w:t>Irinotek</w:t>
            </w:r>
            <w:r w:rsidR="009707A2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  <w:r w:rsidRPr="00316F06">
              <w:rPr>
                <w:lang w:val="sk-SK"/>
              </w:rPr>
              <w:t>/5-FU/FA/placebo</w:t>
            </w:r>
          </w:p>
        </w:tc>
        <w:tc>
          <w:tcPr>
            <w:tcW w:w="3314" w:type="dxa"/>
          </w:tcPr>
          <w:p w14:paraId="778AC3AC" w14:textId="0E2F9C9B" w:rsidR="00913218" w:rsidRPr="00316F06" w:rsidRDefault="00913218" w:rsidP="009707A2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 xml:space="preserve">Rameno 2 </w:t>
            </w:r>
            <w:r w:rsidRPr="00316F06">
              <w:rPr>
                <w:lang w:val="sk-SK"/>
              </w:rPr>
              <w:br/>
            </w:r>
            <w:proofErr w:type="spellStart"/>
            <w:r w:rsidRPr="00316F06">
              <w:rPr>
                <w:lang w:val="sk-SK"/>
              </w:rPr>
              <w:t>Irinotek</w:t>
            </w:r>
            <w:r w:rsidR="009707A2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  <w:r w:rsidRPr="00316F06">
              <w:rPr>
                <w:lang w:val="sk-SK"/>
              </w:rPr>
              <w:t>/5-FU/FA/</w:t>
            </w:r>
            <w:proofErr w:type="spellStart"/>
            <w:r w:rsidRPr="00316F06">
              <w:rPr>
                <w:lang w:val="sk-SK"/>
              </w:rPr>
              <w:t>bevacizumab</w:t>
            </w:r>
            <w:proofErr w:type="spellEnd"/>
            <w:r w:rsidRPr="00316F06">
              <w:rPr>
                <w:vertAlign w:val="superscript"/>
                <w:lang w:val="sk-SK"/>
              </w:rPr>
              <w:t xml:space="preserve"> a</w:t>
            </w:r>
          </w:p>
        </w:tc>
      </w:tr>
      <w:tr w:rsidR="00913218" w:rsidRPr="00316F06" w14:paraId="7810510A" w14:textId="77777777">
        <w:trPr>
          <w:cantSplit/>
        </w:trPr>
        <w:tc>
          <w:tcPr>
            <w:tcW w:w="2552" w:type="dxa"/>
          </w:tcPr>
          <w:p w14:paraId="040420B1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rFonts w:cs="Times New Roman"/>
                <w:lang w:val="sk-SK"/>
              </w:rPr>
              <w:t>Poč</w:t>
            </w:r>
            <w:r w:rsidRPr="00316F06">
              <w:rPr>
                <w:lang w:val="sk-SK"/>
              </w:rPr>
              <w:t>et pacientov</w:t>
            </w:r>
          </w:p>
        </w:tc>
        <w:tc>
          <w:tcPr>
            <w:tcW w:w="3313" w:type="dxa"/>
          </w:tcPr>
          <w:p w14:paraId="2D66DB3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411</w:t>
            </w:r>
          </w:p>
        </w:tc>
        <w:tc>
          <w:tcPr>
            <w:tcW w:w="3314" w:type="dxa"/>
          </w:tcPr>
          <w:p w14:paraId="5DF41682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402</w:t>
            </w:r>
          </w:p>
        </w:tc>
      </w:tr>
      <w:tr w:rsidR="00913218" w:rsidRPr="00316F06" w14:paraId="7503A980" w14:textId="77777777">
        <w:trPr>
          <w:cantSplit/>
        </w:trPr>
        <w:tc>
          <w:tcPr>
            <w:tcW w:w="2552" w:type="dxa"/>
          </w:tcPr>
          <w:p w14:paraId="2501E857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Celkové prežívanie</w:t>
            </w:r>
          </w:p>
        </w:tc>
        <w:tc>
          <w:tcPr>
            <w:tcW w:w="3313" w:type="dxa"/>
          </w:tcPr>
          <w:p w14:paraId="553B273F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595D8D5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</w:tr>
      <w:tr w:rsidR="00913218" w:rsidRPr="00316F06" w14:paraId="0F96DDBB" w14:textId="77777777">
        <w:trPr>
          <w:cantSplit/>
        </w:trPr>
        <w:tc>
          <w:tcPr>
            <w:tcW w:w="2552" w:type="dxa"/>
          </w:tcPr>
          <w:p w14:paraId="288A9979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rFonts w:cs="Times New Roman"/>
                <w:i/>
                <w:iCs/>
                <w:lang w:val="sk-SK"/>
              </w:rPr>
              <w:t>Medián času [mesiace]</w:t>
            </w:r>
          </w:p>
        </w:tc>
        <w:tc>
          <w:tcPr>
            <w:tcW w:w="3313" w:type="dxa"/>
          </w:tcPr>
          <w:p w14:paraId="682E881A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15,6</w:t>
            </w:r>
          </w:p>
        </w:tc>
        <w:tc>
          <w:tcPr>
            <w:tcW w:w="3314" w:type="dxa"/>
          </w:tcPr>
          <w:p w14:paraId="5C2842C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20,3</w:t>
            </w:r>
          </w:p>
        </w:tc>
      </w:tr>
      <w:tr w:rsidR="00913218" w:rsidRPr="00316F06" w14:paraId="3299DA40" w14:textId="77777777">
        <w:trPr>
          <w:cantSplit/>
        </w:trPr>
        <w:tc>
          <w:tcPr>
            <w:tcW w:w="2552" w:type="dxa"/>
          </w:tcPr>
          <w:p w14:paraId="29C51811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rFonts w:cs="Times New Roman"/>
                <w:i/>
                <w:iCs/>
                <w:lang w:val="sk-SK"/>
              </w:rPr>
              <w:t>95 % interval spoľahlivosti</w:t>
            </w:r>
          </w:p>
        </w:tc>
        <w:tc>
          <w:tcPr>
            <w:tcW w:w="3313" w:type="dxa"/>
          </w:tcPr>
          <w:p w14:paraId="09390272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14,29 – 16,99</w:t>
            </w:r>
          </w:p>
        </w:tc>
        <w:tc>
          <w:tcPr>
            <w:tcW w:w="3314" w:type="dxa"/>
          </w:tcPr>
          <w:p w14:paraId="6B1F80B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18,46 – 24,18</w:t>
            </w:r>
          </w:p>
        </w:tc>
      </w:tr>
      <w:tr w:rsidR="00913218" w:rsidRPr="00316F06" w14:paraId="58564DFF" w14:textId="77777777">
        <w:trPr>
          <w:cantSplit/>
        </w:trPr>
        <w:tc>
          <w:tcPr>
            <w:tcW w:w="2552" w:type="dxa"/>
          </w:tcPr>
          <w:p w14:paraId="5356A722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 xml:space="preserve">Miera </w:t>
            </w:r>
            <w:proofErr w:type="spellStart"/>
            <w:r w:rsidRPr="00316F06">
              <w:rPr>
                <w:i/>
                <w:iCs/>
                <w:lang w:val="sk-SK"/>
              </w:rPr>
              <w:t>rizika</w:t>
            </w:r>
            <w:r w:rsidRPr="00316F06">
              <w:rPr>
                <w:i/>
                <w:iCs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3313" w:type="dxa"/>
          </w:tcPr>
          <w:p w14:paraId="3E56B40B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1F45EB0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0,660</w:t>
            </w:r>
          </w:p>
        </w:tc>
      </w:tr>
      <w:tr w:rsidR="00913218" w:rsidRPr="00316F06" w14:paraId="7C2E3824" w14:textId="77777777">
        <w:trPr>
          <w:cantSplit/>
        </w:trPr>
        <w:tc>
          <w:tcPr>
            <w:tcW w:w="2552" w:type="dxa"/>
          </w:tcPr>
          <w:p w14:paraId="01FB2368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>hodnota p</w:t>
            </w:r>
          </w:p>
        </w:tc>
        <w:tc>
          <w:tcPr>
            <w:tcW w:w="3313" w:type="dxa"/>
          </w:tcPr>
          <w:p w14:paraId="1A89F23F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391F2DD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0,00004</w:t>
            </w:r>
          </w:p>
        </w:tc>
      </w:tr>
      <w:tr w:rsidR="00913218" w:rsidRPr="00316F06" w14:paraId="28869817" w14:textId="77777777">
        <w:trPr>
          <w:cantSplit/>
        </w:trPr>
        <w:tc>
          <w:tcPr>
            <w:tcW w:w="2552" w:type="dxa"/>
          </w:tcPr>
          <w:p w14:paraId="142CAF46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Prežívanie bez progresie</w:t>
            </w:r>
          </w:p>
        </w:tc>
        <w:tc>
          <w:tcPr>
            <w:tcW w:w="3313" w:type="dxa"/>
          </w:tcPr>
          <w:p w14:paraId="114CBD0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47FBF8DA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</w:tr>
      <w:tr w:rsidR="00913218" w:rsidRPr="00316F06" w14:paraId="27919BB2" w14:textId="77777777">
        <w:trPr>
          <w:cantSplit/>
        </w:trPr>
        <w:tc>
          <w:tcPr>
            <w:tcW w:w="2552" w:type="dxa"/>
          </w:tcPr>
          <w:p w14:paraId="4E857C7A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rFonts w:cs="Times New Roman"/>
                <w:i/>
                <w:iCs/>
                <w:lang w:val="sk-SK"/>
              </w:rPr>
              <w:t>Medián času [mesiace]</w:t>
            </w:r>
          </w:p>
        </w:tc>
        <w:tc>
          <w:tcPr>
            <w:tcW w:w="3313" w:type="dxa"/>
          </w:tcPr>
          <w:p w14:paraId="7205312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6,2</w:t>
            </w:r>
          </w:p>
        </w:tc>
        <w:tc>
          <w:tcPr>
            <w:tcW w:w="3314" w:type="dxa"/>
          </w:tcPr>
          <w:p w14:paraId="4C3BA76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10,6</w:t>
            </w:r>
          </w:p>
        </w:tc>
      </w:tr>
      <w:tr w:rsidR="00913218" w:rsidRPr="00316F06" w14:paraId="6660E06D" w14:textId="77777777">
        <w:trPr>
          <w:cantSplit/>
        </w:trPr>
        <w:tc>
          <w:tcPr>
            <w:tcW w:w="2552" w:type="dxa"/>
          </w:tcPr>
          <w:p w14:paraId="180EB284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 xml:space="preserve">Miera </w:t>
            </w:r>
            <w:proofErr w:type="spellStart"/>
            <w:r w:rsidRPr="00316F06">
              <w:rPr>
                <w:i/>
                <w:iCs/>
                <w:lang w:val="sk-SK"/>
              </w:rPr>
              <w:t>rizika</w:t>
            </w:r>
            <w:r w:rsidRPr="00316F06">
              <w:rPr>
                <w:i/>
                <w:iCs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3313" w:type="dxa"/>
          </w:tcPr>
          <w:p w14:paraId="06E323EF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52E6413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0,54</w:t>
            </w:r>
          </w:p>
        </w:tc>
      </w:tr>
      <w:tr w:rsidR="00913218" w:rsidRPr="00316F06" w14:paraId="62F20CE6" w14:textId="77777777">
        <w:trPr>
          <w:cantSplit/>
        </w:trPr>
        <w:tc>
          <w:tcPr>
            <w:tcW w:w="2552" w:type="dxa"/>
          </w:tcPr>
          <w:p w14:paraId="2D8EA2B2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>hodnota p</w:t>
            </w:r>
          </w:p>
        </w:tc>
        <w:tc>
          <w:tcPr>
            <w:tcW w:w="3313" w:type="dxa"/>
          </w:tcPr>
          <w:p w14:paraId="54044C1F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43E929B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&lt; 0,0001</w:t>
            </w:r>
          </w:p>
        </w:tc>
      </w:tr>
      <w:tr w:rsidR="00913218" w:rsidRPr="00316F06" w14:paraId="17A4FAB4" w14:textId="77777777">
        <w:trPr>
          <w:cantSplit/>
        </w:trPr>
        <w:tc>
          <w:tcPr>
            <w:tcW w:w="2552" w:type="dxa"/>
          </w:tcPr>
          <w:p w14:paraId="7AE5AEF7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Celková miera odpovede</w:t>
            </w:r>
          </w:p>
        </w:tc>
        <w:tc>
          <w:tcPr>
            <w:tcW w:w="3313" w:type="dxa"/>
          </w:tcPr>
          <w:p w14:paraId="58762AA5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484EF1F4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</w:tr>
      <w:tr w:rsidR="00913218" w:rsidRPr="00316F06" w14:paraId="1F7903FC" w14:textId="77777777">
        <w:trPr>
          <w:cantSplit/>
        </w:trPr>
        <w:tc>
          <w:tcPr>
            <w:tcW w:w="2552" w:type="dxa"/>
          </w:tcPr>
          <w:p w14:paraId="2F3295CC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>Miera [%]</w:t>
            </w:r>
          </w:p>
        </w:tc>
        <w:tc>
          <w:tcPr>
            <w:tcW w:w="3313" w:type="dxa"/>
          </w:tcPr>
          <w:p w14:paraId="42A974BF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34,8</w:t>
            </w:r>
          </w:p>
        </w:tc>
        <w:tc>
          <w:tcPr>
            <w:tcW w:w="3314" w:type="dxa"/>
          </w:tcPr>
          <w:p w14:paraId="79F0A1B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44,8</w:t>
            </w:r>
          </w:p>
        </w:tc>
      </w:tr>
      <w:tr w:rsidR="00913218" w:rsidRPr="00316F06" w14:paraId="03F7D58E" w14:textId="77777777">
        <w:trPr>
          <w:cantSplit/>
        </w:trPr>
        <w:tc>
          <w:tcPr>
            <w:tcW w:w="2552" w:type="dxa"/>
          </w:tcPr>
          <w:p w14:paraId="009AA2DB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rFonts w:cs="Times New Roman"/>
                <w:i/>
                <w:iCs/>
                <w:lang w:val="sk-SK"/>
              </w:rPr>
              <w:t>95 % interval spoľahlivosti</w:t>
            </w:r>
          </w:p>
        </w:tc>
        <w:tc>
          <w:tcPr>
            <w:tcW w:w="3313" w:type="dxa"/>
          </w:tcPr>
          <w:p w14:paraId="476669E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30,2 – 39,6</w:t>
            </w:r>
          </w:p>
        </w:tc>
        <w:tc>
          <w:tcPr>
            <w:tcW w:w="3314" w:type="dxa"/>
          </w:tcPr>
          <w:p w14:paraId="3EF97B31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39,9 – 49,8</w:t>
            </w:r>
          </w:p>
        </w:tc>
      </w:tr>
      <w:tr w:rsidR="00913218" w:rsidRPr="00316F06" w14:paraId="0A982DFC" w14:textId="77777777">
        <w:trPr>
          <w:cantSplit/>
        </w:trPr>
        <w:tc>
          <w:tcPr>
            <w:tcW w:w="2552" w:type="dxa"/>
          </w:tcPr>
          <w:p w14:paraId="55C85864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 xml:space="preserve">hodnota p </w:t>
            </w:r>
          </w:p>
        </w:tc>
        <w:tc>
          <w:tcPr>
            <w:tcW w:w="3313" w:type="dxa"/>
          </w:tcPr>
          <w:p w14:paraId="01F3C9D3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009260CC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0,0036</w:t>
            </w:r>
          </w:p>
        </w:tc>
      </w:tr>
      <w:tr w:rsidR="00913218" w:rsidRPr="00316F06" w14:paraId="65C3E324" w14:textId="77777777">
        <w:trPr>
          <w:cantSplit/>
        </w:trPr>
        <w:tc>
          <w:tcPr>
            <w:tcW w:w="2552" w:type="dxa"/>
          </w:tcPr>
          <w:p w14:paraId="0B28C5AE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lang w:val="sk-SK"/>
              </w:rPr>
            </w:pPr>
            <w:r w:rsidRPr="00316F06">
              <w:rPr>
                <w:lang w:val="sk-SK"/>
              </w:rPr>
              <w:t>Trvanie odpovede</w:t>
            </w:r>
          </w:p>
        </w:tc>
        <w:tc>
          <w:tcPr>
            <w:tcW w:w="3313" w:type="dxa"/>
          </w:tcPr>
          <w:p w14:paraId="3634603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  <w:tc>
          <w:tcPr>
            <w:tcW w:w="3314" w:type="dxa"/>
          </w:tcPr>
          <w:p w14:paraId="125BC5E7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</w:p>
        </w:tc>
      </w:tr>
      <w:tr w:rsidR="00913218" w:rsidRPr="00316F06" w14:paraId="3EBF2FD8" w14:textId="77777777">
        <w:trPr>
          <w:cantSplit/>
        </w:trPr>
        <w:tc>
          <w:tcPr>
            <w:tcW w:w="2552" w:type="dxa"/>
          </w:tcPr>
          <w:p w14:paraId="26EDCD12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rFonts w:cs="Times New Roman"/>
                <w:i/>
                <w:iCs/>
                <w:lang w:val="sk-SK"/>
              </w:rPr>
              <w:t>Medián času [mesiace]</w:t>
            </w:r>
          </w:p>
        </w:tc>
        <w:tc>
          <w:tcPr>
            <w:tcW w:w="3313" w:type="dxa"/>
          </w:tcPr>
          <w:p w14:paraId="0BE10216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7,1</w:t>
            </w:r>
          </w:p>
        </w:tc>
        <w:tc>
          <w:tcPr>
            <w:tcW w:w="3314" w:type="dxa"/>
          </w:tcPr>
          <w:p w14:paraId="5219B19A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10,4</w:t>
            </w:r>
          </w:p>
        </w:tc>
      </w:tr>
      <w:tr w:rsidR="00913218" w:rsidRPr="00316F06" w14:paraId="18FF57ED" w14:textId="77777777">
        <w:trPr>
          <w:cantSplit/>
        </w:trPr>
        <w:tc>
          <w:tcPr>
            <w:tcW w:w="2552" w:type="dxa"/>
          </w:tcPr>
          <w:p w14:paraId="479B5593" w14:textId="77777777" w:rsidR="00913218" w:rsidRPr="00316F06" w:rsidRDefault="00913218" w:rsidP="00EB667C">
            <w:pPr>
              <w:keepNext/>
              <w:keepLines/>
              <w:spacing w:before="20" w:after="20"/>
              <w:ind w:left="113"/>
              <w:rPr>
                <w:i/>
                <w:iCs/>
                <w:lang w:val="sk-SK"/>
              </w:rPr>
            </w:pPr>
            <w:r w:rsidRPr="00316F06">
              <w:rPr>
                <w:i/>
                <w:iCs/>
                <w:lang w:val="sk-SK"/>
              </w:rPr>
              <w:t xml:space="preserve">25 – 75 </w:t>
            </w:r>
            <w:proofErr w:type="spellStart"/>
            <w:r w:rsidRPr="00316F06">
              <w:rPr>
                <w:i/>
                <w:iCs/>
                <w:lang w:val="sk-SK"/>
              </w:rPr>
              <w:t>percentil</w:t>
            </w:r>
            <w:proofErr w:type="spellEnd"/>
            <w:r w:rsidRPr="00316F06">
              <w:rPr>
                <w:i/>
                <w:iCs/>
                <w:lang w:val="sk-SK"/>
              </w:rPr>
              <w:t xml:space="preserve"> [mesiace]</w:t>
            </w:r>
          </w:p>
        </w:tc>
        <w:tc>
          <w:tcPr>
            <w:tcW w:w="3313" w:type="dxa"/>
          </w:tcPr>
          <w:p w14:paraId="2D2EB5A8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4,7 – 11,8</w:t>
            </w:r>
          </w:p>
        </w:tc>
        <w:tc>
          <w:tcPr>
            <w:tcW w:w="3314" w:type="dxa"/>
          </w:tcPr>
          <w:p w14:paraId="73FBABEB" w14:textId="77777777" w:rsidR="00913218" w:rsidRPr="00316F06" w:rsidRDefault="00913218" w:rsidP="00EB667C">
            <w:pPr>
              <w:keepNext/>
              <w:keepLines/>
              <w:spacing w:before="20" w:after="20"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6,7 – 15,0</w:t>
            </w:r>
          </w:p>
        </w:tc>
      </w:tr>
      <w:tr w:rsidR="00913218" w:rsidRPr="00316F06" w14:paraId="30DD5F32" w14:textId="77777777">
        <w:trPr>
          <w:cantSplit/>
        </w:trPr>
        <w:tc>
          <w:tcPr>
            <w:tcW w:w="9179" w:type="dxa"/>
            <w:gridSpan w:val="3"/>
          </w:tcPr>
          <w:p w14:paraId="16DCD4D3" w14:textId="77777777" w:rsidR="00913218" w:rsidRPr="00316F06" w:rsidRDefault="00913218" w:rsidP="00EB667C">
            <w:pPr>
              <w:keepNext/>
              <w:keepLines/>
              <w:spacing w:before="20" w:after="20"/>
              <w:rPr>
                <w:sz w:val="18"/>
                <w:szCs w:val="18"/>
                <w:lang w:val="sk-SK"/>
              </w:rPr>
            </w:pPr>
            <w:r w:rsidRPr="00316F06">
              <w:rPr>
                <w:sz w:val="18"/>
                <w:szCs w:val="18"/>
                <w:vertAlign w:val="superscript"/>
                <w:lang w:val="sk-SK"/>
              </w:rPr>
              <w:t>a</w:t>
            </w:r>
            <w:r w:rsidRPr="00316F06">
              <w:rPr>
                <w:sz w:val="18"/>
                <w:szCs w:val="18"/>
                <w:lang w:val="sk-SK"/>
              </w:rPr>
              <w:t xml:space="preserve"> 5 mg/kg každé 2 týždne; </w:t>
            </w:r>
            <w:r w:rsidRPr="00316F06">
              <w:rPr>
                <w:sz w:val="18"/>
                <w:szCs w:val="18"/>
                <w:vertAlign w:val="superscript"/>
                <w:lang w:val="sk-SK"/>
              </w:rPr>
              <w:t>b</w:t>
            </w:r>
            <w:r w:rsidRPr="00316F06">
              <w:rPr>
                <w:sz w:val="18"/>
                <w:szCs w:val="18"/>
                <w:lang w:val="sk-SK"/>
              </w:rPr>
              <w:t xml:space="preserve"> v porovnaní s kontrolným ramenom.</w:t>
            </w:r>
          </w:p>
        </w:tc>
      </w:tr>
    </w:tbl>
    <w:p w14:paraId="3799D203" w14:textId="77777777" w:rsidR="00913218" w:rsidRPr="00316F06" w:rsidRDefault="00913218">
      <w:pPr>
        <w:rPr>
          <w:lang w:val="sk-SK"/>
        </w:rPr>
      </w:pPr>
    </w:p>
    <w:p w14:paraId="231A968E" w14:textId="77777777" w:rsidR="00913218" w:rsidRPr="00805523" w:rsidRDefault="00913218" w:rsidP="002A3917">
      <w:pPr>
        <w:rPr>
          <w:i/>
          <w:lang w:val="sk-SK"/>
        </w:rPr>
      </w:pPr>
      <w:r w:rsidRPr="00316F06">
        <w:rPr>
          <w:i/>
          <w:lang w:val="sk-SK"/>
        </w:rPr>
        <w:t xml:space="preserve">Kombinovaná terapia </w:t>
      </w:r>
      <w:proofErr w:type="spellStart"/>
      <w:r w:rsidRPr="00316F06">
        <w:rPr>
          <w:i/>
          <w:lang w:val="sk-SK"/>
        </w:rPr>
        <w:t>cetuximabom</w:t>
      </w:r>
      <w:proofErr w:type="spellEnd"/>
    </w:p>
    <w:p w14:paraId="4E0E9AC7" w14:textId="5397943D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EMR 62 202</w:t>
      </w:r>
      <w:r w:rsidRPr="00316F06">
        <w:rPr>
          <w:lang w:val="sk-SK"/>
        </w:rPr>
        <w:noBreakHyphen/>
        <w:t>013: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v tejto </w:t>
      </w:r>
      <w:proofErr w:type="spellStart"/>
      <w:r w:rsidRPr="00316F06">
        <w:rPr>
          <w:lang w:val="sk-SK"/>
        </w:rPr>
        <w:t>randomizovanej</w:t>
      </w:r>
      <w:proofErr w:type="spellEnd"/>
      <w:r w:rsidRPr="00316F06">
        <w:rPr>
          <w:lang w:val="sk-SK"/>
        </w:rPr>
        <w:t xml:space="preserve"> štúdii u pacientov s metastatickým </w:t>
      </w:r>
      <w:proofErr w:type="spellStart"/>
      <w:r w:rsidRPr="00316F06">
        <w:rPr>
          <w:lang w:val="sk-SK"/>
        </w:rPr>
        <w:t>kolorektálnym</w:t>
      </w:r>
      <w:proofErr w:type="spellEnd"/>
      <w:r w:rsidRPr="00316F06">
        <w:rPr>
          <w:lang w:val="sk-SK"/>
        </w:rPr>
        <w:t xml:space="preserve"> karcinómom, u ktorých zatiaľ nebolo liečené metastatické ochorenie, sa porovnávala kombinácia </w:t>
      </w:r>
      <w:proofErr w:type="spellStart"/>
      <w:r w:rsidRPr="00316F06">
        <w:rPr>
          <w:lang w:val="sk-SK"/>
        </w:rPr>
        <w:t>cetuximabu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irinotek</w:t>
      </w:r>
      <w:r w:rsidR="009707A2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spolu s infúzne podávaným 5</w:t>
      </w:r>
      <w:r w:rsidRPr="00316F06">
        <w:rPr>
          <w:lang w:val="sk-SK"/>
        </w:rPr>
        <w:noBreakHyphen/>
        <w:t>FU/FA (599 pacientov) s rovnakou chemoterapiou podávanou samostatne (599 pacientov).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Podiel pacientov s nádormi s génom KRAS divokého typu v populácii pacientov, u ktorých bolo možné vyhodnotiť stav génu KRAS, bol 64 %.</w:t>
      </w:r>
    </w:p>
    <w:p w14:paraId="2154B24A" w14:textId="77777777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Údaje o účinnosti získané v rámci tejto štúdie sú zhrnuté v nižšie uvedenej tabuľke:</w:t>
      </w:r>
    </w:p>
    <w:p w14:paraId="49488D3C" w14:textId="77777777" w:rsidR="00913218" w:rsidRPr="00805523" w:rsidRDefault="00913218" w:rsidP="002A3917">
      <w:pPr>
        <w:rPr>
          <w:lang w:val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736"/>
        <w:gridCol w:w="1737"/>
        <w:gridCol w:w="1736"/>
        <w:gridCol w:w="1737"/>
      </w:tblGrid>
      <w:tr w:rsidR="00913218" w:rsidRPr="00DF4F61" w14:paraId="0D668043" w14:textId="77777777" w:rsidTr="00725C8B">
        <w:tc>
          <w:tcPr>
            <w:tcW w:w="2410" w:type="dxa"/>
            <w:vMerg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Pr>
                <w:lang w:val="sk-SK"/>
              </w:rPr>
            </w:pPr>
            <w:r w:rsidRPr="00805523">
              <w:rPr>
                <w:b/>
                <w:lang w:val="sk-SK"/>
              </w:rPr>
              <w:t>Štatistická premenná</w:t>
            </w:r>
          </w:p>
        </w:tc>
        <w:tc>
          <w:tcPr>
            <w:tcW w:w="3473" w:type="dxa"/>
            <w:gridSpan w:val="2"/>
          </w:tcPr>
          <w:p w14:paraId="7D9528CE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b/>
                <w:lang w:val="sk-SK"/>
              </w:rPr>
              <w:t>Celková populácia</w:t>
            </w:r>
          </w:p>
        </w:tc>
        <w:tc>
          <w:tcPr>
            <w:tcW w:w="3473" w:type="dxa"/>
            <w:gridSpan w:val="2"/>
          </w:tcPr>
          <w:p w14:paraId="5E4B64CA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b/>
                <w:lang w:val="sk-SK"/>
              </w:rPr>
              <w:t>Populácia s génom KRAS divokého typu</w:t>
            </w:r>
          </w:p>
        </w:tc>
      </w:tr>
      <w:tr w:rsidR="00913218" w:rsidRPr="00D85D13" w14:paraId="546F632C" w14:textId="77777777" w:rsidTr="00725C8B">
        <w:tc>
          <w:tcPr>
            <w:tcW w:w="2410" w:type="dxa"/>
            <w:vMerge/>
          </w:tcPr>
          <w:p w14:paraId="30534CE1" w14:textId="77777777" w:rsidR="00913218" w:rsidRPr="00805523" w:rsidRDefault="00913218" w:rsidP="00725C8B">
            <w:pPr>
              <w:keepNext/>
              <w:keepLines/>
              <w:rPr>
                <w:b/>
                <w:lang w:val="sk-SK"/>
              </w:rPr>
            </w:pPr>
          </w:p>
        </w:tc>
        <w:tc>
          <w:tcPr>
            <w:tcW w:w="1736" w:type="dxa"/>
          </w:tcPr>
          <w:p w14:paraId="06B9129B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proofErr w:type="spellStart"/>
            <w:r w:rsidRPr="00805523">
              <w:rPr>
                <w:b/>
                <w:lang w:val="sk-SK"/>
              </w:rPr>
              <w:t>Cetuximab</w:t>
            </w:r>
            <w:proofErr w:type="spellEnd"/>
          </w:p>
          <w:p w14:paraId="050B8700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plus FOLFIRI</w:t>
            </w:r>
          </w:p>
          <w:p w14:paraId="2646B171" w14:textId="77777777" w:rsidR="00913218" w:rsidRPr="00805523" w:rsidRDefault="00913218" w:rsidP="00F110C8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(N = 599)</w:t>
            </w:r>
          </w:p>
        </w:tc>
        <w:tc>
          <w:tcPr>
            <w:tcW w:w="1737" w:type="dxa"/>
          </w:tcPr>
          <w:p w14:paraId="0111F680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FOLFIRI</w:t>
            </w:r>
          </w:p>
          <w:p w14:paraId="292A33B0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</w:p>
          <w:p w14:paraId="530DC0B4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(N = 599)</w:t>
            </w:r>
          </w:p>
        </w:tc>
        <w:tc>
          <w:tcPr>
            <w:tcW w:w="1736" w:type="dxa"/>
          </w:tcPr>
          <w:p w14:paraId="51A68F98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proofErr w:type="spellStart"/>
            <w:r w:rsidRPr="00805523">
              <w:rPr>
                <w:b/>
                <w:lang w:val="sk-SK"/>
              </w:rPr>
              <w:t>Cetuximab</w:t>
            </w:r>
            <w:proofErr w:type="spellEnd"/>
          </w:p>
          <w:p w14:paraId="7DDFA669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plus FOLFIRI</w:t>
            </w:r>
          </w:p>
          <w:p w14:paraId="08001571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(N = 172)</w:t>
            </w:r>
          </w:p>
        </w:tc>
        <w:tc>
          <w:tcPr>
            <w:tcW w:w="1737" w:type="dxa"/>
          </w:tcPr>
          <w:p w14:paraId="064336F1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FOLFIRI</w:t>
            </w:r>
          </w:p>
          <w:p w14:paraId="5B9F7971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</w:p>
          <w:p w14:paraId="1002BF3E" w14:textId="77777777" w:rsidR="00913218" w:rsidRPr="00805523" w:rsidRDefault="00913218" w:rsidP="00725C8B">
            <w:pPr>
              <w:keepNext/>
              <w:keepLines/>
              <w:jc w:val="center"/>
              <w:rPr>
                <w:b/>
                <w:lang w:val="sk-SK"/>
              </w:rPr>
            </w:pPr>
            <w:r w:rsidRPr="00805523">
              <w:rPr>
                <w:b/>
                <w:lang w:val="sk-SK"/>
              </w:rPr>
              <w:t>(N = 176)</w:t>
            </w:r>
          </w:p>
        </w:tc>
      </w:tr>
      <w:tr w:rsidR="00913218" w:rsidRPr="00D85D13" w14:paraId="38DEB4B4" w14:textId="77777777" w:rsidTr="00725C8B">
        <w:tc>
          <w:tcPr>
            <w:tcW w:w="9356" w:type="dxa"/>
            <w:gridSpan w:val="5"/>
          </w:tcPr>
          <w:p w14:paraId="503C6AEC" w14:textId="77777777" w:rsidR="00913218" w:rsidRPr="00805523" w:rsidRDefault="00913218" w:rsidP="00725C8B">
            <w:pPr>
              <w:keepNext/>
              <w:keepLines/>
              <w:rPr>
                <w:lang w:val="sk-SK"/>
              </w:rPr>
            </w:pPr>
            <w:r w:rsidRPr="00805523">
              <w:rPr>
                <w:b/>
                <w:lang w:val="sk-SK"/>
              </w:rPr>
              <w:t>ORR</w:t>
            </w:r>
          </w:p>
        </w:tc>
      </w:tr>
      <w:tr w:rsidR="00913218" w:rsidRPr="00D85D13" w14:paraId="7D74CD8F" w14:textId="77777777" w:rsidTr="00725C8B">
        <w:tc>
          <w:tcPr>
            <w:tcW w:w="2410" w:type="dxa"/>
          </w:tcPr>
          <w:p w14:paraId="52C7367B" w14:textId="77777777" w:rsidR="00913218" w:rsidRPr="00805523" w:rsidRDefault="00913218" w:rsidP="00725C8B">
            <w:pPr>
              <w:keepNext/>
              <w:keepLines/>
              <w:ind w:left="170"/>
              <w:rPr>
                <w:lang w:val="sk-SK"/>
              </w:rPr>
            </w:pPr>
            <w:r w:rsidRPr="00805523">
              <w:rPr>
                <w:i/>
                <w:lang w:val="sk-SK"/>
              </w:rPr>
              <w:t>95 % CI</w:t>
            </w:r>
          </w:p>
        </w:tc>
        <w:tc>
          <w:tcPr>
            <w:tcW w:w="1736" w:type="dxa"/>
          </w:tcPr>
          <w:p w14:paraId="3F81E566" w14:textId="77777777" w:rsidR="00913218" w:rsidRPr="00805523" w:rsidRDefault="00913218" w:rsidP="00F110C8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46,9 (42,9, 51,0)</w:t>
            </w:r>
          </w:p>
        </w:tc>
        <w:tc>
          <w:tcPr>
            <w:tcW w:w="1737" w:type="dxa"/>
          </w:tcPr>
          <w:p w14:paraId="754A564A" w14:textId="77777777" w:rsidR="00913218" w:rsidRPr="00805523" w:rsidRDefault="00913218" w:rsidP="00F110C8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38,7 (34,8, 42,8)</w:t>
            </w:r>
          </w:p>
        </w:tc>
        <w:tc>
          <w:tcPr>
            <w:tcW w:w="1736" w:type="dxa"/>
          </w:tcPr>
          <w:p w14:paraId="3FDD45BA" w14:textId="77777777" w:rsidR="00913218" w:rsidRPr="00805523" w:rsidRDefault="00913218" w:rsidP="00F110C8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59,3 (51,6, 66,7)</w:t>
            </w:r>
          </w:p>
        </w:tc>
        <w:tc>
          <w:tcPr>
            <w:tcW w:w="1737" w:type="dxa"/>
          </w:tcPr>
          <w:p w14:paraId="26C8B92D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43,2 (35,8, 50,9)</w:t>
            </w:r>
          </w:p>
        </w:tc>
      </w:tr>
      <w:tr w:rsidR="00913218" w:rsidRPr="00D85D13" w14:paraId="58A8C19F" w14:textId="77777777" w:rsidTr="00725C8B">
        <w:tc>
          <w:tcPr>
            <w:tcW w:w="2410" w:type="dxa"/>
          </w:tcPr>
          <w:p w14:paraId="04FEDB77" w14:textId="77777777" w:rsidR="00913218" w:rsidRPr="00805523" w:rsidRDefault="00913218" w:rsidP="00725C8B">
            <w:pPr>
              <w:keepNext/>
              <w:keepLines/>
              <w:ind w:left="170"/>
              <w:rPr>
                <w:lang w:val="sk-SK"/>
              </w:rPr>
            </w:pPr>
            <w:r w:rsidRPr="00805523">
              <w:rPr>
                <w:i/>
                <w:lang w:val="sk-SK"/>
              </w:rPr>
              <w:t>Hodnota p</w:t>
            </w:r>
          </w:p>
        </w:tc>
        <w:tc>
          <w:tcPr>
            <w:tcW w:w="3473" w:type="dxa"/>
            <w:gridSpan w:val="2"/>
          </w:tcPr>
          <w:p w14:paraId="40362917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0,0038</w:t>
            </w:r>
          </w:p>
        </w:tc>
        <w:tc>
          <w:tcPr>
            <w:tcW w:w="3473" w:type="dxa"/>
            <w:gridSpan w:val="2"/>
          </w:tcPr>
          <w:p w14:paraId="78D32E6B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0,0025</w:t>
            </w:r>
          </w:p>
        </w:tc>
      </w:tr>
      <w:tr w:rsidR="00913218" w:rsidRPr="00D85D13" w14:paraId="1AED89F3" w14:textId="77777777" w:rsidTr="00725C8B">
        <w:tc>
          <w:tcPr>
            <w:tcW w:w="9356" w:type="dxa"/>
            <w:gridSpan w:val="5"/>
          </w:tcPr>
          <w:p w14:paraId="5D18C940" w14:textId="77777777" w:rsidR="00913218" w:rsidRPr="00805523" w:rsidRDefault="00913218" w:rsidP="00725C8B">
            <w:pPr>
              <w:keepNext/>
              <w:keepLines/>
              <w:rPr>
                <w:lang w:val="sk-SK"/>
              </w:rPr>
            </w:pPr>
            <w:r w:rsidRPr="00805523">
              <w:rPr>
                <w:b/>
                <w:lang w:val="sk-SK"/>
              </w:rPr>
              <w:t>PFS</w:t>
            </w:r>
          </w:p>
        </w:tc>
      </w:tr>
      <w:tr w:rsidR="00913218" w:rsidRPr="00D85D13" w14:paraId="7993E955" w14:textId="77777777" w:rsidTr="00725C8B">
        <w:tc>
          <w:tcPr>
            <w:tcW w:w="2410" w:type="dxa"/>
          </w:tcPr>
          <w:p w14:paraId="25D1DFC2" w14:textId="77777777" w:rsidR="00913218" w:rsidRPr="00805523" w:rsidRDefault="00913218">
            <w:pPr>
              <w:keepNext/>
              <w:keepLines/>
              <w:ind w:left="170"/>
              <w:rPr>
                <w:i/>
                <w:lang w:val="sk-SK"/>
              </w:rPr>
            </w:pPr>
            <w:r w:rsidRPr="00805523">
              <w:rPr>
                <w:i/>
                <w:lang w:val="sk-SK"/>
              </w:rPr>
              <w:t>Miera rizika (95 % CI)</w:t>
            </w:r>
          </w:p>
        </w:tc>
        <w:tc>
          <w:tcPr>
            <w:tcW w:w="3473" w:type="dxa"/>
            <w:gridSpan w:val="2"/>
          </w:tcPr>
          <w:p w14:paraId="7F81DCF4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0,85 (0,726, 0,998)</w:t>
            </w:r>
          </w:p>
        </w:tc>
        <w:tc>
          <w:tcPr>
            <w:tcW w:w="3473" w:type="dxa"/>
            <w:gridSpan w:val="2"/>
          </w:tcPr>
          <w:p w14:paraId="340687C9" w14:textId="77777777" w:rsidR="00913218" w:rsidRPr="00805523" w:rsidRDefault="00913218" w:rsidP="00A43D00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0,68 (0,501, 0,934)</w:t>
            </w:r>
          </w:p>
        </w:tc>
      </w:tr>
      <w:tr w:rsidR="00913218" w:rsidRPr="00D85D13" w14:paraId="4ECF28AF" w14:textId="77777777" w:rsidTr="00725C8B">
        <w:tc>
          <w:tcPr>
            <w:tcW w:w="2410" w:type="dxa"/>
          </w:tcPr>
          <w:p w14:paraId="3A6B4E60" w14:textId="77777777" w:rsidR="00913218" w:rsidRPr="00805523" w:rsidRDefault="00913218" w:rsidP="00725C8B">
            <w:pPr>
              <w:keepNext/>
              <w:keepLines/>
              <w:ind w:left="170"/>
              <w:rPr>
                <w:lang w:val="sk-SK"/>
              </w:rPr>
            </w:pPr>
            <w:r w:rsidRPr="00805523">
              <w:rPr>
                <w:i/>
                <w:lang w:val="sk-SK"/>
              </w:rPr>
              <w:t>Hodnota p</w:t>
            </w:r>
          </w:p>
        </w:tc>
        <w:tc>
          <w:tcPr>
            <w:tcW w:w="3473" w:type="dxa"/>
            <w:gridSpan w:val="2"/>
          </w:tcPr>
          <w:p w14:paraId="41AA9350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0,0479</w:t>
            </w:r>
          </w:p>
        </w:tc>
        <w:tc>
          <w:tcPr>
            <w:tcW w:w="3473" w:type="dxa"/>
            <w:gridSpan w:val="2"/>
          </w:tcPr>
          <w:p w14:paraId="47E2471E" w14:textId="77777777" w:rsidR="00913218" w:rsidRPr="00805523" w:rsidRDefault="00913218" w:rsidP="00725C8B">
            <w:pPr>
              <w:keepNext/>
              <w:keepLines/>
              <w:jc w:val="center"/>
              <w:rPr>
                <w:lang w:val="sk-SK"/>
              </w:rPr>
            </w:pPr>
            <w:r w:rsidRPr="00805523">
              <w:rPr>
                <w:lang w:val="sk-SK"/>
              </w:rPr>
              <w:t>0,0167</w:t>
            </w:r>
          </w:p>
        </w:tc>
      </w:tr>
      <w:tr w:rsidR="00913218" w:rsidRPr="00D85D13" w14:paraId="6D04720D" w14:textId="77777777" w:rsidTr="00725C8B">
        <w:tc>
          <w:tcPr>
            <w:tcW w:w="9356" w:type="dxa"/>
            <w:gridSpan w:val="5"/>
          </w:tcPr>
          <w:p w14:paraId="7C5892CB" w14:textId="77777777" w:rsidR="00913218" w:rsidRPr="00805523" w:rsidRDefault="00913218" w:rsidP="00A43D00">
            <w:pPr>
              <w:keepNext/>
              <w:keepLines/>
              <w:rPr>
                <w:i/>
                <w:lang w:val="sk-SK"/>
              </w:rPr>
            </w:pPr>
            <w:r w:rsidRPr="00805523">
              <w:rPr>
                <w:i/>
                <w:lang w:val="sk-SK"/>
              </w:rPr>
              <w:t xml:space="preserve">CI = interval spoľahlivosti, FOLFIRI = </w:t>
            </w:r>
            <w:proofErr w:type="spellStart"/>
            <w:r w:rsidRPr="00805523">
              <w:rPr>
                <w:i/>
                <w:lang w:val="sk-SK"/>
              </w:rPr>
              <w:t>irinotekan</w:t>
            </w:r>
            <w:proofErr w:type="spellEnd"/>
            <w:r w:rsidRPr="00805523">
              <w:rPr>
                <w:i/>
                <w:lang w:val="sk-SK"/>
              </w:rPr>
              <w:t xml:space="preserve"> spolu s infúzne podávanými 5</w:t>
            </w:r>
            <w:r w:rsidRPr="00805523">
              <w:rPr>
                <w:i/>
                <w:lang w:val="sk-SK"/>
              </w:rPr>
              <w:noBreakHyphen/>
              <w:t>FU/FA, ORR = miera objektívnych odpovedí (pacienti s kompletnou alebo parciálnou odpoveďou), PFS = doba prežívania bez progresie</w:t>
            </w:r>
          </w:p>
        </w:tc>
      </w:tr>
    </w:tbl>
    <w:p w14:paraId="5E9843BF" w14:textId="77777777" w:rsidR="00913218" w:rsidRPr="00316F06" w:rsidRDefault="00913218" w:rsidP="002A3917">
      <w:pPr>
        <w:rPr>
          <w:b/>
          <w:i/>
          <w:lang w:val="sk-SK"/>
        </w:rPr>
      </w:pPr>
    </w:p>
    <w:p w14:paraId="126BED4D" w14:textId="77777777" w:rsidR="00913218" w:rsidRPr="00316F06" w:rsidRDefault="00913218" w:rsidP="002A3917">
      <w:pPr>
        <w:rPr>
          <w:i/>
          <w:lang w:val="sk-SK"/>
        </w:rPr>
      </w:pPr>
      <w:r w:rsidRPr="00316F06">
        <w:rPr>
          <w:i/>
          <w:lang w:val="sk-SK"/>
        </w:rPr>
        <w:t xml:space="preserve">Kombinovaná terapia </w:t>
      </w:r>
      <w:proofErr w:type="spellStart"/>
      <w:r w:rsidRPr="00316F06">
        <w:rPr>
          <w:i/>
          <w:lang w:val="sk-SK"/>
        </w:rPr>
        <w:t>kapecitabínom</w:t>
      </w:r>
      <w:proofErr w:type="spellEnd"/>
    </w:p>
    <w:p w14:paraId="517B6090" w14:textId="20E41599" w:rsidR="00913218" w:rsidRPr="00316F06" w:rsidRDefault="00913218" w:rsidP="00F110C8">
      <w:pPr>
        <w:rPr>
          <w:lang w:val="sk-SK"/>
        </w:rPr>
      </w:pPr>
      <w:r w:rsidRPr="00316F06">
        <w:rPr>
          <w:lang w:val="sk-SK"/>
        </w:rPr>
        <w:t>Údaje z </w:t>
      </w:r>
      <w:proofErr w:type="spellStart"/>
      <w:r w:rsidRPr="00316F06">
        <w:rPr>
          <w:lang w:val="sk-SK"/>
        </w:rPr>
        <w:t>randomizovanej</w:t>
      </w:r>
      <w:proofErr w:type="spellEnd"/>
      <w:r w:rsidRPr="00316F06">
        <w:rPr>
          <w:lang w:val="sk-SK"/>
        </w:rPr>
        <w:t xml:space="preserve">, kontrolovanej štúdie fázy III (CAIRO) podporujú použitie </w:t>
      </w:r>
      <w:proofErr w:type="spellStart"/>
      <w:r w:rsidRPr="00316F06">
        <w:rPr>
          <w:lang w:val="sk-SK"/>
        </w:rPr>
        <w:t>kapecitabínu</w:t>
      </w:r>
      <w:proofErr w:type="spellEnd"/>
      <w:r w:rsidRPr="00316F06">
        <w:rPr>
          <w:lang w:val="sk-SK"/>
        </w:rPr>
        <w:t xml:space="preserve"> s počiatočnou dávkou 1 000 mg/m² po dobu 2 týždňov každé 3 týždne v kombinácii s 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na </w:t>
      </w:r>
      <w:proofErr w:type="spellStart"/>
      <w:r w:rsidRPr="00316F06">
        <w:rPr>
          <w:lang w:val="sk-SK"/>
        </w:rPr>
        <w:t>prvolíniovú</w:t>
      </w:r>
      <w:proofErr w:type="spellEnd"/>
      <w:r w:rsidRPr="00316F06">
        <w:rPr>
          <w:lang w:val="sk-SK"/>
        </w:rPr>
        <w:t xml:space="preserve"> liečbu pacientov s metastatickým </w:t>
      </w:r>
      <w:proofErr w:type="spellStart"/>
      <w:r w:rsidRPr="00316F06">
        <w:rPr>
          <w:lang w:val="sk-SK"/>
        </w:rPr>
        <w:t>kolorektálnym</w:t>
      </w:r>
      <w:proofErr w:type="spellEnd"/>
      <w:r w:rsidRPr="00316F06">
        <w:rPr>
          <w:lang w:val="sk-SK"/>
        </w:rPr>
        <w:t xml:space="preserve"> karcinómom. 820 pacientov bolo </w:t>
      </w:r>
      <w:proofErr w:type="spellStart"/>
      <w:r w:rsidRPr="00316F06">
        <w:rPr>
          <w:lang w:val="sk-SK"/>
        </w:rPr>
        <w:t>randomizovaných</w:t>
      </w:r>
      <w:proofErr w:type="spellEnd"/>
      <w:r w:rsidRPr="00316F06">
        <w:rPr>
          <w:lang w:val="sk-SK"/>
        </w:rPr>
        <w:t xml:space="preserve"> na podávanie sekvenčnej terapie (n = 410) alebo kombinovanej terapie (n = 410). </w:t>
      </w:r>
      <w:r w:rsidRPr="00316F06">
        <w:rPr>
          <w:lang w:val="sk-SK"/>
        </w:rPr>
        <w:lastRenderedPageBreak/>
        <w:t>Sekvenčná liečba pozostávala z </w:t>
      </w:r>
      <w:proofErr w:type="spellStart"/>
      <w:r w:rsidRPr="00316F06">
        <w:rPr>
          <w:lang w:val="sk-SK"/>
        </w:rPr>
        <w:t>prvolíniovej</w:t>
      </w:r>
      <w:proofErr w:type="spellEnd"/>
      <w:r w:rsidRPr="00316F06">
        <w:rPr>
          <w:lang w:val="sk-SK"/>
        </w:rPr>
        <w:t xml:space="preserve"> liečby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(1 250 mg/m² dvakrát denne po dobu 14 dní), </w:t>
      </w:r>
      <w:proofErr w:type="spellStart"/>
      <w:r w:rsidRPr="00316F06">
        <w:rPr>
          <w:lang w:val="sk-SK"/>
        </w:rPr>
        <w:t>druholíniovej</w:t>
      </w:r>
      <w:proofErr w:type="spellEnd"/>
      <w:r w:rsidRPr="00316F06">
        <w:rPr>
          <w:lang w:val="sk-SK"/>
        </w:rPr>
        <w:t xml:space="preserve"> liečby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(350 mg/m² v 1. deň) a </w:t>
      </w:r>
      <w:proofErr w:type="spellStart"/>
      <w:r w:rsidRPr="00316F06">
        <w:rPr>
          <w:lang w:val="sk-SK"/>
        </w:rPr>
        <w:t>treťolíniovej</w:t>
      </w:r>
      <w:proofErr w:type="spellEnd"/>
      <w:r w:rsidRPr="00316F06">
        <w:rPr>
          <w:lang w:val="sk-SK"/>
        </w:rPr>
        <w:t xml:space="preserve"> kombinovanej terapie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(1 000 mg/m² dvakrát denne po dobu 14 dní) s </w:t>
      </w:r>
      <w:proofErr w:type="spellStart"/>
      <w:r w:rsidRPr="00316F06">
        <w:rPr>
          <w:lang w:val="sk-SK"/>
        </w:rPr>
        <w:t>oxaliplatinou</w:t>
      </w:r>
      <w:proofErr w:type="spellEnd"/>
      <w:r w:rsidRPr="00316F06">
        <w:rPr>
          <w:lang w:val="sk-SK"/>
        </w:rPr>
        <w:t xml:space="preserve"> (130 mg/m² v 1. deň). Kombinovaná terapia pozostávala z </w:t>
      </w:r>
      <w:proofErr w:type="spellStart"/>
      <w:r w:rsidRPr="00316F06">
        <w:rPr>
          <w:lang w:val="sk-SK"/>
        </w:rPr>
        <w:t>prvolíniovej</w:t>
      </w:r>
      <w:proofErr w:type="spellEnd"/>
      <w:r w:rsidRPr="00316F06">
        <w:rPr>
          <w:lang w:val="sk-SK"/>
        </w:rPr>
        <w:t xml:space="preserve"> liečby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(1 000 mg/m² dvakrát denne po dobu 14 dní) kombinovanej s </w:t>
      </w:r>
      <w:proofErr w:type="spellStart"/>
      <w:r w:rsidRPr="00316F06">
        <w:rPr>
          <w:lang w:val="sk-SK"/>
        </w:rPr>
        <w:t>irinotek</w:t>
      </w:r>
      <w:r w:rsidR="00B6463D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(250 mg/m² v 1. deň) [XELIRI] a </w:t>
      </w:r>
      <w:proofErr w:type="spellStart"/>
      <w:r w:rsidRPr="00316F06">
        <w:rPr>
          <w:lang w:val="sk-SK"/>
        </w:rPr>
        <w:t>druholíniovej</w:t>
      </w:r>
      <w:proofErr w:type="spellEnd"/>
      <w:r w:rsidRPr="00316F06">
        <w:rPr>
          <w:lang w:val="sk-SK"/>
        </w:rPr>
        <w:t xml:space="preserve"> liečby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(1 000 mg/m² dvakrát denne po dobu 14 dní) spolu s </w:t>
      </w:r>
      <w:proofErr w:type="spellStart"/>
      <w:r w:rsidRPr="00316F06">
        <w:rPr>
          <w:lang w:val="sk-SK"/>
        </w:rPr>
        <w:t>oxaliplatinou</w:t>
      </w:r>
      <w:proofErr w:type="spellEnd"/>
      <w:r w:rsidRPr="00316F06">
        <w:rPr>
          <w:lang w:val="sk-SK"/>
        </w:rPr>
        <w:t xml:space="preserve"> (130 mg/m² v 1. deň). Všetky liečebné cykly sa podávali v 3</w:t>
      </w:r>
      <w:r w:rsidRPr="00316F06">
        <w:rPr>
          <w:lang w:val="sk-SK"/>
        </w:rPr>
        <w:noBreakHyphen/>
        <w:t xml:space="preserve">týždňových intervaloch. Pri </w:t>
      </w:r>
      <w:proofErr w:type="spellStart"/>
      <w:r w:rsidRPr="00316F06">
        <w:rPr>
          <w:lang w:val="sk-SK"/>
        </w:rPr>
        <w:t>prvolíniovej</w:t>
      </w:r>
      <w:proofErr w:type="spellEnd"/>
      <w:r w:rsidRPr="00316F06">
        <w:rPr>
          <w:lang w:val="sk-SK"/>
        </w:rPr>
        <w:t xml:space="preserve"> liečbe bol medián prežívania bez progresie ochorenia v populácii s liečebným zámerom 5,8 mesiaca (95 % CI, 5,1 </w:t>
      </w:r>
      <w:r w:rsidRPr="00316F06">
        <w:rPr>
          <w:lang w:val="sk-SK"/>
        </w:rPr>
        <w:noBreakHyphen/>
        <w:t xml:space="preserve"> 6,2 mesiaca) v prípade </w:t>
      </w:r>
      <w:proofErr w:type="spellStart"/>
      <w:r w:rsidRPr="00316F06">
        <w:rPr>
          <w:lang w:val="sk-SK"/>
        </w:rPr>
        <w:t>monoterapie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a 7,8 mesiaca (95 % CI, 7,0 </w:t>
      </w:r>
      <w:r w:rsidRPr="00316F06">
        <w:rPr>
          <w:lang w:val="sk-SK"/>
        </w:rPr>
        <w:noBreakHyphen/>
        <w:t> 8,3 mesiaca) v prípade XELIRI (p = 0,0002).</w:t>
      </w:r>
    </w:p>
    <w:p w14:paraId="053459FE" w14:textId="691D595C" w:rsidR="00913218" w:rsidRPr="00316F06" w:rsidRDefault="00913218" w:rsidP="002A3917">
      <w:pPr>
        <w:rPr>
          <w:lang w:val="sk-SK"/>
        </w:rPr>
      </w:pPr>
      <w:r w:rsidRPr="00316F06">
        <w:rPr>
          <w:lang w:val="sk-SK"/>
        </w:rPr>
        <w:t xml:space="preserve">Údaje z predbežnej analýzy </w:t>
      </w:r>
      <w:proofErr w:type="spellStart"/>
      <w:r w:rsidRPr="00316F06">
        <w:rPr>
          <w:lang w:val="sk-SK"/>
        </w:rPr>
        <w:t>multicentrickej</w:t>
      </w:r>
      <w:proofErr w:type="spellEnd"/>
      <w:r w:rsidRPr="00316F06">
        <w:rPr>
          <w:lang w:val="sk-SK"/>
        </w:rPr>
        <w:t xml:space="preserve">, </w:t>
      </w:r>
      <w:proofErr w:type="spellStart"/>
      <w:r w:rsidRPr="00316F06">
        <w:rPr>
          <w:lang w:val="sk-SK"/>
        </w:rPr>
        <w:t>randomizovanej</w:t>
      </w:r>
      <w:proofErr w:type="spellEnd"/>
      <w:r w:rsidRPr="00316F06">
        <w:rPr>
          <w:lang w:val="sk-SK"/>
        </w:rPr>
        <w:t xml:space="preserve">, kontrolovanej štúdie fázy II (AIO KRK 0604) podporujú použitie </w:t>
      </w:r>
      <w:proofErr w:type="spellStart"/>
      <w:r w:rsidRPr="00316F06">
        <w:rPr>
          <w:lang w:val="sk-SK"/>
        </w:rPr>
        <w:t>kapecitabínu</w:t>
      </w:r>
      <w:proofErr w:type="spellEnd"/>
      <w:r w:rsidRPr="00316F06">
        <w:rPr>
          <w:lang w:val="sk-SK"/>
        </w:rPr>
        <w:t xml:space="preserve"> s počiatočnou dávkou 800 mg/m² po dobu 2 týždňov každé 3 týždne v kombinácii s 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bevacizumabom</w:t>
      </w:r>
      <w:proofErr w:type="spellEnd"/>
      <w:r w:rsidRPr="00316F06">
        <w:rPr>
          <w:lang w:val="sk-SK"/>
        </w:rPr>
        <w:t xml:space="preserve"> na </w:t>
      </w:r>
      <w:proofErr w:type="spellStart"/>
      <w:r w:rsidRPr="00316F06">
        <w:rPr>
          <w:lang w:val="sk-SK"/>
        </w:rPr>
        <w:t>prvolíniovú</w:t>
      </w:r>
      <w:proofErr w:type="spellEnd"/>
      <w:r w:rsidRPr="00316F06">
        <w:rPr>
          <w:lang w:val="sk-SK"/>
        </w:rPr>
        <w:t xml:space="preserve"> liečbu pacientov s metastatickým </w:t>
      </w:r>
      <w:proofErr w:type="spellStart"/>
      <w:r w:rsidRPr="00316F06">
        <w:rPr>
          <w:lang w:val="sk-SK"/>
        </w:rPr>
        <w:t>kolorektálnym</w:t>
      </w:r>
      <w:proofErr w:type="spellEnd"/>
      <w:r w:rsidRPr="00316F06">
        <w:rPr>
          <w:lang w:val="sk-SK"/>
        </w:rPr>
        <w:t xml:space="preserve"> karcinómom.</w:t>
      </w:r>
    </w:p>
    <w:p w14:paraId="446D2B68" w14:textId="034E21A7" w:rsidR="00913218" w:rsidRPr="00316F06" w:rsidRDefault="00913218" w:rsidP="00F110C8">
      <w:pPr>
        <w:rPr>
          <w:lang w:val="sk-SK"/>
        </w:rPr>
      </w:pPr>
      <w:r w:rsidRPr="00316F06">
        <w:rPr>
          <w:lang w:val="sk-SK"/>
        </w:rPr>
        <w:t xml:space="preserve">115 pacientov bolo </w:t>
      </w:r>
      <w:proofErr w:type="spellStart"/>
      <w:r w:rsidRPr="00316F06">
        <w:rPr>
          <w:lang w:val="sk-SK"/>
        </w:rPr>
        <w:t>randomizovaných</w:t>
      </w:r>
      <w:proofErr w:type="spellEnd"/>
      <w:r w:rsidRPr="00316F06">
        <w:rPr>
          <w:lang w:val="sk-SK"/>
        </w:rPr>
        <w:t xml:space="preserve"> na liečbu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v kombinácii s 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(XELIRI) a </w:t>
      </w:r>
      <w:proofErr w:type="spellStart"/>
      <w:r w:rsidRPr="00316F06">
        <w:rPr>
          <w:lang w:val="sk-SK"/>
        </w:rPr>
        <w:t>bevacizumabom</w:t>
      </w:r>
      <w:proofErr w:type="spellEnd"/>
      <w:r w:rsidRPr="00316F06">
        <w:rPr>
          <w:lang w:val="sk-SK"/>
        </w:rPr>
        <w:t xml:space="preserve">: </w:t>
      </w:r>
      <w:proofErr w:type="spellStart"/>
      <w:r w:rsidRPr="00316F06">
        <w:rPr>
          <w:lang w:val="sk-SK"/>
        </w:rPr>
        <w:t>kapecitabín</w:t>
      </w:r>
      <w:proofErr w:type="spellEnd"/>
      <w:r w:rsidRPr="00316F06">
        <w:rPr>
          <w:lang w:val="sk-SK"/>
        </w:rPr>
        <w:t xml:space="preserve"> (800 mg/m² dvakrát denne po dobu dvoch týždňov, po ktorých nasledovala 7</w:t>
      </w:r>
      <w:r w:rsidRPr="00316F06">
        <w:rPr>
          <w:lang w:val="sk-SK"/>
        </w:rPr>
        <w:noBreakHyphen/>
        <w:t xml:space="preserve">dňová prestávka),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(200 mg/m² ako 30</w:t>
      </w:r>
      <w:r w:rsidRPr="00316F06">
        <w:rPr>
          <w:lang w:val="sk-SK"/>
        </w:rPr>
        <w:noBreakHyphen/>
        <w:t>minútová infúzia v 1. deň každé 3 týždne) a 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 xml:space="preserve"> (7,5 mg/kg ako 30</w:t>
      </w:r>
      <w:r w:rsidRPr="00316F06">
        <w:rPr>
          <w:lang w:val="sk-SK"/>
        </w:rPr>
        <w:noBreakHyphen/>
        <w:t xml:space="preserve"> až 90</w:t>
      </w:r>
      <w:r w:rsidRPr="00316F06">
        <w:rPr>
          <w:lang w:val="sk-SK"/>
        </w:rPr>
        <w:noBreakHyphen/>
        <w:t xml:space="preserve">minútová infúzia v 1. deň každé 3 týždne); spolu bolo </w:t>
      </w:r>
      <w:proofErr w:type="spellStart"/>
      <w:r w:rsidRPr="00316F06">
        <w:rPr>
          <w:lang w:val="sk-SK"/>
        </w:rPr>
        <w:t>randomizovaných</w:t>
      </w:r>
      <w:proofErr w:type="spellEnd"/>
      <w:r w:rsidRPr="00316F06">
        <w:rPr>
          <w:lang w:val="sk-SK"/>
        </w:rPr>
        <w:t xml:space="preserve"> na liečbu </w:t>
      </w:r>
      <w:proofErr w:type="spellStart"/>
      <w:r w:rsidRPr="00316F06">
        <w:rPr>
          <w:lang w:val="sk-SK"/>
        </w:rPr>
        <w:t>kapecitabínom</w:t>
      </w:r>
      <w:proofErr w:type="spellEnd"/>
      <w:r w:rsidRPr="00316F06">
        <w:rPr>
          <w:lang w:val="sk-SK"/>
        </w:rPr>
        <w:t xml:space="preserve"> v kombinácii s </w:t>
      </w:r>
      <w:proofErr w:type="spellStart"/>
      <w:r w:rsidRPr="00316F06">
        <w:rPr>
          <w:lang w:val="sk-SK"/>
        </w:rPr>
        <w:t>oxaliplatinou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bevacizumabom</w:t>
      </w:r>
      <w:proofErr w:type="spellEnd"/>
      <w:r w:rsidRPr="00316F06">
        <w:rPr>
          <w:lang w:val="sk-SK"/>
        </w:rPr>
        <w:t xml:space="preserve"> 118 pacientov: </w:t>
      </w:r>
      <w:proofErr w:type="spellStart"/>
      <w:r w:rsidRPr="00316F06">
        <w:rPr>
          <w:lang w:val="sk-SK"/>
        </w:rPr>
        <w:t>kapecitabín</w:t>
      </w:r>
      <w:proofErr w:type="spellEnd"/>
      <w:r w:rsidRPr="00316F06">
        <w:rPr>
          <w:lang w:val="sk-SK"/>
        </w:rPr>
        <w:t xml:space="preserve"> (1 000 mg/m² dvakrát denne po dobu dvoch týždňov, po ktorých nasledovala 7</w:t>
      </w:r>
      <w:r w:rsidRPr="00316F06">
        <w:rPr>
          <w:lang w:val="sk-SK"/>
        </w:rPr>
        <w:noBreakHyphen/>
        <w:t xml:space="preserve">dňová prestávka), </w:t>
      </w:r>
      <w:proofErr w:type="spellStart"/>
      <w:r w:rsidRPr="00316F06">
        <w:rPr>
          <w:lang w:val="sk-SK"/>
        </w:rPr>
        <w:t>oxaliplatina</w:t>
      </w:r>
      <w:proofErr w:type="spellEnd"/>
      <w:r w:rsidRPr="00316F06">
        <w:rPr>
          <w:lang w:val="sk-SK"/>
        </w:rPr>
        <w:t xml:space="preserve"> (130 mg/m² ako 2</w:t>
      </w:r>
      <w:r w:rsidRPr="00316F06">
        <w:rPr>
          <w:lang w:val="sk-SK"/>
        </w:rPr>
        <w:noBreakHyphen/>
        <w:t>hodinová infúzia v 1. deň každé 3 týždne) a 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 xml:space="preserve"> (7,5 mg/kg ako 30</w:t>
      </w:r>
      <w:r w:rsidRPr="00316F06">
        <w:rPr>
          <w:lang w:val="sk-SK"/>
        </w:rPr>
        <w:noBreakHyphen/>
        <w:t xml:space="preserve"> až 90</w:t>
      </w:r>
      <w:r w:rsidRPr="00316F06">
        <w:rPr>
          <w:lang w:val="sk-SK"/>
        </w:rPr>
        <w:noBreakHyphen/>
        <w:t>minútová infúzia v 1. deň každé 3 týždne).</w:t>
      </w:r>
    </w:p>
    <w:p w14:paraId="2B270F39" w14:textId="77777777" w:rsidR="00913218" w:rsidRPr="00316F06" w:rsidRDefault="00913218" w:rsidP="002A3917">
      <w:pPr>
        <w:rPr>
          <w:lang w:val="sk-SK"/>
        </w:rPr>
      </w:pPr>
    </w:p>
    <w:p w14:paraId="147FBA67" w14:textId="77777777" w:rsidR="00913218" w:rsidRPr="00316F06" w:rsidRDefault="00913218" w:rsidP="002A3917">
      <w:pPr>
        <w:rPr>
          <w:lang w:val="sk-SK"/>
        </w:rPr>
      </w:pPr>
      <w:r w:rsidRPr="00316F06">
        <w:rPr>
          <w:lang w:val="sk-SK"/>
        </w:rPr>
        <w:t xml:space="preserve">Prežívanie bez progresie ochorenia po 6 mesiacoch v populácii s liečebným zámerom bolo na úrovni 80 % (XELIRI plus 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 xml:space="preserve">) verzus 74 % (XELOX plus 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 xml:space="preserve">). Celková miera odpovede (kompletná odpoveď plus parciálna odpoveď) bola na úrovni 45 % (XELOX plus 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 xml:space="preserve">) verzus 47 % (XELIRI plus </w:t>
      </w:r>
      <w:proofErr w:type="spellStart"/>
      <w:r w:rsidRPr="00316F06">
        <w:rPr>
          <w:lang w:val="sk-SK"/>
        </w:rPr>
        <w:t>bevacizumab</w:t>
      </w:r>
      <w:proofErr w:type="spellEnd"/>
      <w:r w:rsidRPr="00316F06">
        <w:rPr>
          <w:lang w:val="sk-SK"/>
        </w:rPr>
        <w:t>).</w:t>
      </w:r>
    </w:p>
    <w:p w14:paraId="031EB9D8" w14:textId="77777777" w:rsidR="00913218" w:rsidRPr="00316F06" w:rsidRDefault="00913218" w:rsidP="002A3917">
      <w:pPr>
        <w:rPr>
          <w:lang w:val="sk-SK"/>
        </w:rPr>
      </w:pPr>
    </w:p>
    <w:p w14:paraId="4CCC3E54" w14:textId="77777777" w:rsidR="00913218" w:rsidRPr="00805523" w:rsidRDefault="00913218" w:rsidP="002A3917">
      <w:pPr>
        <w:rPr>
          <w:b/>
          <w:i/>
          <w:iCs/>
          <w:lang w:val="sk-SK"/>
        </w:rPr>
      </w:pPr>
      <w:proofErr w:type="spellStart"/>
      <w:r w:rsidRPr="00805523">
        <w:rPr>
          <w:b/>
          <w:i/>
          <w:iCs/>
          <w:lang w:val="sk-SK"/>
        </w:rPr>
        <w:t>Monoterapia</w:t>
      </w:r>
      <w:proofErr w:type="spellEnd"/>
      <w:r w:rsidRPr="00805523">
        <w:rPr>
          <w:b/>
          <w:i/>
          <w:iCs/>
          <w:lang w:val="sk-SK"/>
        </w:rPr>
        <w:t xml:space="preserve"> na </w:t>
      </w:r>
      <w:proofErr w:type="spellStart"/>
      <w:r w:rsidRPr="00805523">
        <w:rPr>
          <w:b/>
          <w:i/>
          <w:iCs/>
          <w:lang w:val="sk-SK"/>
        </w:rPr>
        <w:t>druholíniovú</w:t>
      </w:r>
      <w:proofErr w:type="spellEnd"/>
      <w:r w:rsidRPr="00805523">
        <w:rPr>
          <w:b/>
          <w:i/>
          <w:iCs/>
          <w:lang w:val="sk-SK"/>
        </w:rPr>
        <w:t xml:space="preserve"> liečbu metastatického </w:t>
      </w:r>
      <w:proofErr w:type="spellStart"/>
      <w:r w:rsidRPr="00805523">
        <w:rPr>
          <w:b/>
          <w:i/>
          <w:iCs/>
          <w:lang w:val="sk-SK"/>
        </w:rPr>
        <w:t>kolorektálneho</w:t>
      </w:r>
      <w:proofErr w:type="spellEnd"/>
      <w:r w:rsidRPr="00805523">
        <w:rPr>
          <w:b/>
          <w:i/>
          <w:iCs/>
          <w:lang w:val="sk-SK"/>
        </w:rPr>
        <w:t xml:space="preserve"> karcinómu</w:t>
      </w:r>
    </w:p>
    <w:p w14:paraId="527FF276" w14:textId="676DACF4" w:rsidR="00913218" w:rsidRPr="00316F06" w:rsidRDefault="00913218" w:rsidP="002A3917">
      <w:pPr>
        <w:rPr>
          <w:lang w:val="sk-SK"/>
        </w:rPr>
      </w:pPr>
      <w:r w:rsidRPr="00316F06">
        <w:rPr>
          <w:lang w:val="sk-SK"/>
        </w:rPr>
        <w:t xml:space="preserve">Do klinických štúdií fázy II/III bolo zaradených viac ako 980 pacientov s metastatickým </w:t>
      </w:r>
      <w:proofErr w:type="spellStart"/>
      <w:r w:rsidRPr="00316F06">
        <w:rPr>
          <w:lang w:val="sk-SK"/>
        </w:rPr>
        <w:t>kolorektálnym</w:t>
      </w:r>
      <w:proofErr w:type="spellEnd"/>
      <w:r w:rsidRPr="00316F06">
        <w:rPr>
          <w:lang w:val="sk-SK"/>
        </w:rPr>
        <w:t xml:space="preserve"> karcinómom s dávkovaním každé 3 týždne, u ktorých zlyhala predchádzajúca liečba v režime s 5</w:t>
      </w:r>
      <w:r w:rsidRPr="00316F06">
        <w:rPr>
          <w:lang w:val="sk-SK"/>
        </w:rPr>
        <w:noBreakHyphen/>
        <w:t xml:space="preserve">FU. Účinnosť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sa vyhodnocovala u 765 pacientov s dokumentovanou progresiou ochorenia pri liečbe 5</w:t>
      </w:r>
      <w:r w:rsidRPr="00316F06">
        <w:rPr>
          <w:lang w:val="sk-SK"/>
        </w:rPr>
        <w:noBreakHyphen/>
        <w:t>FU pri zaradení do štúdie.</w:t>
      </w:r>
    </w:p>
    <w:p w14:paraId="11857076" w14:textId="77777777" w:rsidR="00913218" w:rsidRPr="00316F06" w:rsidRDefault="00913218" w:rsidP="002A3917">
      <w:pPr>
        <w:rPr>
          <w:lang w:val="sk-SK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189"/>
        <w:gridCol w:w="1009"/>
        <w:gridCol w:w="1016"/>
        <w:gridCol w:w="1189"/>
        <w:gridCol w:w="893"/>
        <w:gridCol w:w="992"/>
      </w:tblGrid>
      <w:tr w:rsidR="00913218" w:rsidRPr="00316F06" w14:paraId="01B48A67" w14:textId="77777777" w:rsidTr="00805523">
        <w:tc>
          <w:tcPr>
            <w:tcW w:w="3119" w:type="dxa"/>
          </w:tcPr>
          <w:p w14:paraId="47381F4E" w14:textId="77777777" w:rsidR="00913218" w:rsidRPr="00316F06" w:rsidRDefault="00913218" w:rsidP="002F1513">
            <w:pPr>
              <w:keepNext/>
              <w:keepLines/>
              <w:rPr>
                <w:b/>
                <w:bCs/>
                <w:lang w:val="sk-SK"/>
              </w:rPr>
            </w:pPr>
            <w:r w:rsidRPr="00316F06">
              <w:rPr>
                <w:lang w:val="sk-SK"/>
              </w:rPr>
              <w:br w:type="page"/>
            </w:r>
            <w:r w:rsidRPr="00316F06">
              <w:rPr>
                <w:b/>
                <w:lang w:val="sk-SK"/>
              </w:rPr>
              <w:t>Skúšania fázy III</w:t>
            </w:r>
          </w:p>
        </w:tc>
        <w:tc>
          <w:tcPr>
            <w:tcW w:w="3214" w:type="dxa"/>
            <w:gridSpan w:val="3"/>
          </w:tcPr>
          <w:p w14:paraId="4F15D544" w14:textId="7590E9B3" w:rsidR="00913218" w:rsidRPr="00316F06" w:rsidRDefault="00913218" w:rsidP="00573879">
            <w:pPr>
              <w:keepNext/>
              <w:keepLines/>
              <w:jc w:val="center"/>
              <w:rPr>
                <w:b/>
                <w:bCs/>
                <w:lang w:val="sk-SK"/>
              </w:rPr>
            </w:pPr>
            <w:proofErr w:type="spellStart"/>
            <w:r w:rsidRPr="00316F06">
              <w:rPr>
                <w:b/>
                <w:lang w:val="sk-SK"/>
              </w:rPr>
              <w:t>Irinotek</w:t>
            </w:r>
            <w:r w:rsidR="00573879">
              <w:rPr>
                <w:b/>
                <w:lang w:val="sk-SK"/>
              </w:rPr>
              <w:t>á</w:t>
            </w:r>
            <w:r w:rsidRPr="00316F06">
              <w:rPr>
                <w:b/>
                <w:lang w:val="sk-SK"/>
              </w:rPr>
              <w:t>n</w:t>
            </w:r>
            <w:proofErr w:type="spellEnd"/>
            <w:r w:rsidRPr="00316F06">
              <w:rPr>
                <w:b/>
                <w:lang w:val="sk-SK"/>
              </w:rPr>
              <w:t xml:space="preserve"> verzus optimálna podporná liečba (</w:t>
            </w:r>
            <w:r w:rsidRPr="00316F06">
              <w:rPr>
                <w:b/>
                <w:i/>
                <w:lang w:val="sk-SK"/>
              </w:rPr>
              <w:t xml:space="preserve">Best </w:t>
            </w:r>
            <w:proofErr w:type="spellStart"/>
            <w:r w:rsidRPr="00316F06">
              <w:rPr>
                <w:b/>
                <w:i/>
                <w:lang w:val="sk-SK"/>
              </w:rPr>
              <w:t>Supportive</w:t>
            </w:r>
            <w:proofErr w:type="spellEnd"/>
            <w:r w:rsidRPr="00316F06">
              <w:rPr>
                <w:b/>
                <w:i/>
                <w:lang w:val="sk-SK"/>
              </w:rPr>
              <w:t xml:space="preserve"> </w:t>
            </w:r>
            <w:proofErr w:type="spellStart"/>
            <w:r w:rsidRPr="00316F06">
              <w:rPr>
                <w:b/>
                <w:i/>
                <w:lang w:val="sk-SK"/>
              </w:rPr>
              <w:t>Care</w:t>
            </w:r>
            <w:proofErr w:type="spellEnd"/>
            <w:r w:rsidRPr="00316F06">
              <w:rPr>
                <w:b/>
                <w:lang w:val="sk-SK"/>
              </w:rPr>
              <w:t>, BSC)</w:t>
            </w:r>
          </w:p>
        </w:tc>
        <w:tc>
          <w:tcPr>
            <w:tcW w:w="3074" w:type="dxa"/>
            <w:gridSpan w:val="3"/>
          </w:tcPr>
          <w:p w14:paraId="13A37B0E" w14:textId="53627FCC" w:rsidR="00913218" w:rsidRPr="00316F06" w:rsidRDefault="00913218" w:rsidP="00573879">
            <w:pPr>
              <w:keepNext/>
              <w:keepLines/>
              <w:jc w:val="center"/>
              <w:rPr>
                <w:b/>
                <w:bCs/>
                <w:lang w:val="sk-SK"/>
              </w:rPr>
            </w:pPr>
            <w:proofErr w:type="spellStart"/>
            <w:r w:rsidRPr="00316F06">
              <w:rPr>
                <w:b/>
                <w:lang w:val="sk-SK"/>
              </w:rPr>
              <w:t>Irinotek</w:t>
            </w:r>
            <w:r w:rsidR="00573879">
              <w:rPr>
                <w:b/>
                <w:lang w:val="sk-SK"/>
              </w:rPr>
              <w:t>á</w:t>
            </w:r>
            <w:r w:rsidRPr="00316F06">
              <w:rPr>
                <w:b/>
                <w:lang w:val="sk-SK"/>
              </w:rPr>
              <w:t>n</w:t>
            </w:r>
            <w:proofErr w:type="spellEnd"/>
            <w:r w:rsidRPr="00316F06">
              <w:rPr>
                <w:b/>
                <w:lang w:val="sk-SK"/>
              </w:rPr>
              <w:t xml:space="preserve"> verzus 5</w:t>
            </w:r>
            <w:r w:rsidRPr="00316F06">
              <w:rPr>
                <w:b/>
                <w:lang w:val="sk-SK"/>
              </w:rPr>
              <w:noBreakHyphen/>
              <w:t>fluóruracil (5</w:t>
            </w:r>
            <w:r w:rsidRPr="00316F06">
              <w:rPr>
                <w:b/>
                <w:lang w:val="sk-SK"/>
              </w:rPr>
              <w:noBreakHyphen/>
              <w:t>FU)</w:t>
            </w:r>
          </w:p>
        </w:tc>
      </w:tr>
      <w:tr w:rsidR="00913218" w:rsidRPr="00316F06" w14:paraId="74BD4CD6" w14:textId="77777777" w:rsidTr="00805523">
        <w:tc>
          <w:tcPr>
            <w:tcW w:w="3119" w:type="dxa"/>
          </w:tcPr>
          <w:p w14:paraId="062E3B62" w14:textId="77777777" w:rsidR="00913218" w:rsidRPr="00316F06" w:rsidRDefault="00913218" w:rsidP="002F1513">
            <w:pPr>
              <w:keepNext/>
              <w:keepLines/>
              <w:rPr>
                <w:lang w:val="sk-SK"/>
              </w:rPr>
            </w:pPr>
          </w:p>
        </w:tc>
        <w:tc>
          <w:tcPr>
            <w:tcW w:w="1189" w:type="dxa"/>
          </w:tcPr>
          <w:p w14:paraId="36A8C74A" w14:textId="04CD940C" w:rsidR="00913218" w:rsidRPr="00316F06" w:rsidRDefault="00913218" w:rsidP="00573879">
            <w:pPr>
              <w:keepNext/>
              <w:keepLines/>
              <w:jc w:val="center"/>
              <w:rPr>
                <w:lang w:val="sk-SK"/>
              </w:rPr>
            </w:pPr>
            <w:proofErr w:type="spellStart"/>
            <w:r w:rsidRPr="00316F06">
              <w:rPr>
                <w:lang w:val="sk-SK"/>
              </w:rPr>
              <w:t>Irinotek</w:t>
            </w:r>
            <w:r w:rsidR="00573879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</w:p>
        </w:tc>
        <w:tc>
          <w:tcPr>
            <w:tcW w:w="1009" w:type="dxa"/>
          </w:tcPr>
          <w:p w14:paraId="03F24490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BSC</w:t>
            </w:r>
          </w:p>
        </w:tc>
        <w:tc>
          <w:tcPr>
            <w:tcW w:w="1016" w:type="dxa"/>
          </w:tcPr>
          <w:p w14:paraId="003CFC9E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  <w:tc>
          <w:tcPr>
            <w:tcW w:w="1189" w:type="dxa"/>
          </w:tcPr>
          <w:p w14:paraId="3EB3E4A2" w14:textId="5DB54927" w:rsidR="00913218" w:rsidRPr="00316F06" w:rsidRDefault="00913218" w:rsidP="00573879">
            <w:pPr>
              <w:keepNext/>
              <w:keepLines/>
              <w:jc w:val="center"/>
              <w:rPr>
                <w:lang w:val="sk-SK"/>
              </w:rPr>
            </w:pPr>
            <w:proofErr w:type="spellStart"/>
            <w:r w:rsidRPr="00316F06">
              <w:rPr>
                <w:lang w:val="sk-SK"/>
              </w:rPr>
              <w:t>Irinotek</w:t>
            </w:r>
            <w:r w:rsidR="00573879">
              <w:rPr>
                <w:lang w:val="sk-SK"/>
              </w:rPr>
              <w:t>á</w:t>
            </w:r>
            <w:r w:rsidRPr="00316F06">
              <w:rPr>
                <w:lang w:val="sk-SK"/>
              </w:rPr>
              <w:t>n</w:t>
            </w:r>
            <w:proofErr w:type="spellEnd"/>
          </w:p>
        </w:tc>
        <w:tc>
          <w:tcPr>
            <w:tcW w:w="893" w:type="dxa"/>
          </w:tcPr>
          <w:p w14:paraId="1656ED47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5</w:t>
            </w:r>
            <w:r w:rsidRPr="00316F06">
              <w:rPr>
                <w:lang w:val="sk-SK"/>
              </w:rPr>
              <w:noBreakHyphen/>
              <w:t>FU</w:t>
            </w:r>
          </w:p>
        </w:tc>
        <w:tc>
          <w:tcPr>
            <w:tcW w:w="992" w:type="dxa"/>
          </w:tcPr>
          <w:p w14:paraId="1FD9772A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Hodnota p</w:t>
            </w:r>
          </w:p>
        </w:tc>
      </w:tr>
      <w:tr w:rsidR="00913218" w:rsidRPr="00316F06" w14:paraId="17BC7144" w14:textId="77777777" w:rsidTr="00805523">
        <w:tc>
          <w:tcPr>
            <w:tcW w:w="3119" w:type="dxa"/>
          </w:tcPr>
          <w:p w14:paraId="1D39B1FE" w14:textId="77777777" w:rsidR="00913218" w:rsidRPr="00316F06" w:rsidRDefault="00913218" w:rsidP="002F1513">
            <w:pPr>
              <w:keepNext/>
              <w:keepLines/>
              <w:rPr>
                <w:lang w:val="sk-SK"/>
              </w:rPr>
            </w:pPr>
            <w:r w:rsidRPr="00316F06">
              <w:rPr>
                <w:lang w:val="sk-SK"/>
              </w:rPr>
              <w:t>Počet pacientov</w:t>
            </w:r>
          </w:p>
        </w:tc>
        <w:tc>
          <w:tcPr>
            <w:tcW w:w="1189" w:type="dxa"/>
          </w:tcPr>
          <w:p w14:paraId="496E27AD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183</w:t>
            </w:r>
          </w:p>
        </w:tc>
        <w:tc>
          <w:tcPr>
            <w:tcW w:w="1009" w:type="dxa"/>
          </w:tcPr>
          <w:p w14:paraId="21F4FFDA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90</w:t>
            </w:r>
          </w:p>
        </w:tc>
        <w:tc>
          <w:tcPr>
            <w:tcW w:w="1016" w:type="dxa"/>
          </w:tcPr>
          <w:p w14:paraId="4F08062B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</w:p>
        </w:tc>
        <w:tc>
          <w:tcPr>
            <w:tcW w:w="1189" w:type="dxa"/>
          </w:tcPr>
          <w:p w14:paraId="01E16D67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127</w:t>
            </w:r>
          </w:p>
        </w:tc>
        <w:tc>
          <w:tcPr>
            <w:tcW w:w="893" w:type="dxa"/>
          </w:tcPr>
          <w:p w14:paraId="402EAA5C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129</w:t>
            </w:r>
          </w:p>
        </w:tc>
        <w:tc>
          <w:tcPr>
            <w:tcW w:w="992" w:type="dxa"/>
          </w:tcPr>
          <w:p w14:paraId="594A7020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</w:p>
        </w:tc>
      </w:tr>
      <w:tr w:rsidR="00913218" w:rsidRPr="00316F06" w14:paraId="1FDF5D27" w14:textId="77777777" w:rsidTr="00805523">
        <w:tc>
          <w:tcPr>
            <w:tcW w:w="3119" w:type="dxa"/>
          </w:tcPr>
          <w:p w14:paraId="3351F7EC" w14:textId="77777777" w:rsidR="00913218" w:rsidRPr="00316F06" w:rsidRDefault="00913218" w:rsidP="002F1513">
            <w:pPr>
              <w:keepNext/>
              <w:keepLines/>
              <w:rPr>
                <w:lang w:val="sk-SK"/>
              </w:rPr>
            </w:pPr>
            <w:r w:rsidRPr="00316F06">
              <w:rPr>
                <w:lang w:val="sk-SK"/>
              </w:rPr>
              <w:t>PFS po 6 mesiacoch [%]</w:t>
            </w:r>
          </w:p>
        </w:tc>
        <w:tc>
          <w:tcPr>
            <w:tcW w:w="1189" w:type="dxa"/>
          </w:tcPr>
          <w:p w14:paraId="6AA0F7BE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NA</w:t>
            </w:r>
          </w:p>
        </w:tc>
        <w:tc>
          <w:tcPr>
            <w:tcW w:w="1009" w:type="dxa"/>
          </w:tcPr>
          <w:p w14:paraId="3C4D1A27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NA</w:t>
            </w:r>
          </w:p>
        </w:tc>
        <w:tc>
          <w:tcPr>
            <w:tcW w:w="1016" w:type="dxa"/>
          </w:tcPr>
          <w:p w14:paraId="74F113BF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</w:p>
        </w:tc>
        <w:tc>
          <w:tcPr>
            <w:tcW w:w="1189" w:type="dxa"/>
          </w:tcPr>
          <w:p w14:paraId="5F8F6E76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33,5</w:t>
            </w:r>
          </w:p>
        </w:tc>
        <w:tc>
          <w:tcPr>
            <w:tcW w:w="893" w:type="dxa"/>
          </w:tcPr>
          <w:p w14:paraId="1C8D8A3F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26,7</w:t>
            </w:r>
          </w:p>
        </w:tc>
        <w:tc>
          <w:tcPr>
            <w:tcW w:w="992" w:type="dxa"/>
          </w:tcPr>
          <w:p w14:paraId="7CFD6382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0,03</w:t>
            </w:r>
          </w:p>
        </w:tc>
      </w:tr>
      <w:tr w:rsidR="00913218" w:rsidRPr="00316F06" w14:paraId="605D49F1" w14:textId="77777777" w:rsidTr="00805523">
        <w:tc>
          <w:tcPr>
            <w:tcW w:w="3119" w:type="dxa"/>
          </w:tcPr>
          <w:p w14:paraId="57055C6F" w14:textId="77777777" w:rsidR="00913218" w:rsidRPr="00316F06" w:rsidRDefault="00913218" w:rsidP="002F1513">
            <w:pPr>
              <w:keepNext/>
              <w:keepLines/>
              <w:rPr>
                <w:lang w:val="sk-SK"/>
              </w:rPr>
            </w:pPr>
            <w:r w:rsidRPr="00316F06">
              <w:rPr>
                <w:lang w:val="sk-SK"/>
              </w:rPr>
              <w:t>Prežívanie po 12 mesiacoch [%]</w:t>
            </w:r>
          </w:p>
        </w:tc>
        <w:tc>
          <w:tcPr>
            <w:tcW w:w="1189" w:type="dxa"/>
          </w:tcPr>
          <w:p w14:paraId="03B8022B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36,2</w:t>
            </w:r>
          </w:p>
        </w:tc>
        <w:tc>
          <w:tcPr>
            <w:tcW w:w="1009" w:type="dxa"/>
          </w:tcPr>
          <w:p w14:paraId="4537D80E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13,8</w:t>
            </w:r>
          </w:p>
        </w:tc>
        <w:tc>
          <w:tcPr>
            <w:tcW w:w="1016" w:type="dxa"/>
          </w:tcPr>
          <w:p w14:paraId="0A685FEA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0,0001</w:t>
            </w:r>
          </w:p>
        </w:tc>
        <w:tc>
          <w:tcPr>
            <w:tcW w:w="1189" w:type="dxa"/>
          </w:tcPr>
          <w:p w14:paraId="61344AC7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44,8</w:t>
            </w:r>
          </w:p>
        </w:tc>
        <w:tc>
          <w:tcPr>
            <w:tcW w:w="893" w:type="dxa"/>
          </w:tcPr>
          <w:p w14:paraId="2E25AC08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32,4</w:t>
            </w:r>
          </w:p>
        </w:tc>
        <w:tc>
          <w:tcPr>
            <w:tcW w:w="992" w:type="dxa"/>
          </w:tcPr>
          <w:p w14:paraId="76456C6B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0,0351</w:t>
            </w:r>
          </w:p>
        </w:tc>
      </w:tr>
      <w:tr w:rsidR="00913218" w:rsidRPr="00316F06" w14:paraId="29730020" w14:textId="77777777" w:rsidTr="00805523">
        <w:tc>
          <w:tcPr>
            <w:tcW w:w="3119" w:type="dxa"/>
          </w:tcPr>
          <w:p w14:paraId="75EA932A" w14:textId="77777777" w:rsidR="00913218" w:rsidRPr="00316F06" w:rsidRDefault="00913218" w:rsidP="002F1513">
            <w:pPr>
              <w:keepNext/>
              <w:keepLines/>
              <w:rPr>
                <w:lang w:val="sk-SK"/>
              </w:rPr>
            </w:pPr>
            <w:r w:rsidRPr="00316F06">
              <w:rPr>
                <w:lang w:val="sk-SK"/>
              </w:rPr>
              <w:t>Medián prežívania [mesiace]</w:t>
            </w:r>
          </w:p>
        </w:tc>
        <w:tc>
          <w:tcPr>
            <w:tcW w:w="1189" w:type="dxa"/>
          </w:tcPr>
          <w:p w14:paraId="431CB2AF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9,2</w:t>
            </w:r>
          </w:p>
        </w:tc>
        <w:tc>
          <w:tcPr>
            <w:tcW w:w="1009" w:type="dxa"/>
          </w:tcPr>
          <w:p w14:paraId="3EFFCA27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6,5</w:t>
            </w:r>
          </w:p>
        </w:tc>
        <w:tc>
          <w:tcPr>
            <w:tcW w:w="1016" w:type="dxa"/>
          </w:tcPr>
          <w:p w14:paraId="75FB0731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0,0001</w:t>
            </w:r>
          </w:p>
        </w:tc>
        <w:tc>
          <w:tcPr>
            <w:tcW w:w="1189" w:type="dxa"/>
          </w:tcPr>
          <w:p w14:paraId="3A4FD884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10,8</w:t>
            </w:r>
          </w:p>
        </w:tc>
        <w:tc>
          <w:tcPr>
            <w:tcW w:w="893" w:type="dxa"/>
          </w:tcPr>
          <w:p w14:paraId="24320138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8,5</w:t>
            </w:r>
          </w:p>
        </w:tc>
        <w:tc>
          <w:tcPr>
            <w:tcW w:w="992" w:type="dxa"/>
          </w:tcPr>
          <w:p w14:paraId="2D657CD7" w14:textId="77777777" w:rsidR="00913218" w:rsidRPr="00316F06" w:rsidRDefault="00913218" w:rsidP="002F1513">
            <w:pPr>
              <w:keepNext/>
              <w:keepLines/>
              <w:jc w:val="center"/>
              <w:rPr>
                <w:lang w:val="sk-SK"/>
              </w:rPr>
            </w:pPr>
            <w:r w:rsidRPr="00316F06">
              <w:rPr>
                <w:lang w:val="sk-SK"/>
              </w:rPr>
              <w:t>0,0351</w:t>
            </w:r>
          </w:p>
        </w:tc>
      </w:tr>
      <w:tr w:rsidR="00913218" w:rsidRPr="00316F06" w14:paraId="7E681965" w14:textId="77777777" w:rsidTr="00805523">
        <w:tc>
          <w:tcPr>
            <w:tcW w:w="9407" w:type="dxa"/>
            <w:gridSpan w:val="7"/>
          </w:tcPr>
          <w:p w14:paraId="3BD8920F" w14:textId="77777777" w:rsidR="00913218" w:rsidRPr="00805523" w:rsidRDefault="00913218" w:rsidP="002F1513">
            <w:pPr>
              <w:keepNext/>
              <w:keepLines/>
              <w:rPr>
                <w:lang w:val="sk-SK"/>
              </w:rPr>
            </w:pPr>
            <w:r w:rsidRPr="00316F06">
              <w:rPr>
                <w:lang w:val="sk-SK"/>
              </w:rPr>
              <w:t>PFS = prežívanie bez progresie ochorenia, NA = neaplikovateľné</w:t>
            </w:r>
          </w:p>
        </w:tc>
      </w:tr>
    </w:tbl>
    <w:p w14:paraId="7AA3309F" w14:textId="77777777" w:rsidR="00913218" w:rsidRPr="00805523" w:rsidRDefault="00913218" w:rsidP="002A3917">
      <w:pPr>
        <w:rPr>
          <w:lang w:val="sk-SK"/>
        </w:rPr>
      </w:pPr>
    </w:p>
    <w:p w14:paraId="618D4A68" w14:textId="77777777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V štúdiách fázy II uskutočnených u 455 pacientov s dávkovaním každé 3 týždne dosahovalo prežívanie bez progresie ochorenia po 6 mesiacoch úroveň 30 % a medián doby prežívania bol 9 mesiacov.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Medián doby do progresie ochorenia bol 18 týždňov.</w:t>
      </w:r>
    </w:p>
    <w:p w14:paraId="046C615C" w14:textId="77777777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Okrem toho sa uskutočnili nekomparatívne štúdie fázy II u 304 pacientov liečených dávkovaním raz týždenne, v dávke 125 mg/m² podávanej vo forme intravenóznej infúzie trvajúcej 90 minút počas 4 po sebe nasledujúcich týždňov, po ktorých nasledovala dvojtýždňová prestávka.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V týchto štúdiách bol medián doby do progresie ochorenia 17 týždňov a medián doby prežívania 10 mesiacov.</w:t>
      </w:r>
    </w:p>
    <w:p w14:paraId="4CDFB746" w14:textId="77777777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Podobný bezpečnostný profil bol zaznamenaný pri dávkovaní raz týždenne u 193 pacientov s počiatočnou dávkou 125 mg/m², v porovnaní s dávkovaním každé 3 týždne.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Medián doby do nástupu prvej hnačkovitej stolice bol 11. deň.</w:t>
      </w:r>
    </w:p>
    <w:p w14:paraId="3D86E2C1" w14:textId="77777777" w:rsidR="00913218" w:rsidRPr="00805523" w:rsidRDefault="00913218" w:rsidP="002A3917">
      <w:pPr>
        <w:rPr>
          <w:lang w:val="sk-SK"/>
        </w:rPr>
      </w:pPr>
    </w:p>
    <w:p w14:paraId="7AB5D649" w14:textId="0EC4513C" w:rsidR="00913218" w:rsidRPr="00805523" w:rsidRDefault="00913218" w:rsidP="002A3917">
      <w:pPr>
        <w:rPr>
          <w:i/>
          <w:lang w:val="sk-SK"/>
        </w:rPr>
      </w:pPr>
      <w:r w:rsidRPr="00316F06">
        <w:rPr>
          <w:i/>
          <w:lang w:val="sk-SK"/>
        </w:rPr>
        <w:lastRenderedPageBreak/>
        <w:t>Kombinácia s </w:t>
      </w:r>
      <w:proofErr w:type="spellStart"/>
      <w:r w:rsidRPr="00316F06">
        <w:rPr>
          <w:i/>
          <w:lang w:val="sk-SK"/>
        </w:rPr>
        <w:t>cetuximabom</w:t>
      </w:r>
      <w:proofErr w:type="spellEnd"/>
      <w:r w:rsidRPr="00316F06">
        <w:rPr>
          <w:i/>
          <w:lang w:val="sk-SK"/>
        </w:rPr>
        <w:t xml:space="preserve"> po zlyhaní </w:t>
      </w:r>
      <w:proofErr w:type="spellStart"/>
      <w:r w:rsidRPr="00316F06">
        <w:rPr>
          <w:i/>
          <w:lang w:val="sk-SK"/>
        </w:rPr>
        <w:t>cytotoxickej</w:t>
      </w:r>
      <w:proofErr w:type="spellEnd"/>
      <w:r w:rsidRPr="00316F06">
        <w:rPr>
          <w:i/>
          <w:lang w:val="sk-SK"/>
        </w:rPr>
        <w:t xml:space="preserve"> liečby obsahujúcej</w:t>
      </w:r>
      <w:r w:rsidRPr="00316F06">
        <w:rPr>
          <w:lang w:val="sk-SK"/>
        </w:rPr>
        <w:t xml:space="preserve"> </w:t>
      </w:r>
      <w:proofErr w:type="spellStart"/>
      <w:r w:rsidRPr="00316F06">
        <w:rPr>
          <w:i/>
          <w:lang w:val="sk-SK"/>
        </w:rPr>
        <w:t>irinotek</w:t>
      </w:r>
      <w:r w:rsidR="00573879">
        <w:rPr>
          <w:i/>
          <w:lang w:val="sk-SK"/>
        </w:rPr>
        <w:t>á</w:t>
      </w:r>
      <w:r w:rsidRPr="00316F06">
        <w:rPr>
          <w:i/>
          <w:lang w:val="sk-SK"/>
        </w:rPr>
        <w:t>n</w:t>
      </w:r>
      <w:proofErr w:type="spellEnd"/>
    </w:p>
    <w:p w14:paraId="2CEA95FF" w14:textId="2342FD2E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 xml:space="preserve">Účinnosť kombinácie </w:t>
      </w:r>
      <w:proofErr w:type="spellStart"/>
      <w:r w:rsidRPr="00316F06">
        <w:rPr>
          <w:lang w:val="sk-SK"/>
        </w:rPr>
        <w:t>cetuximabu</w:t>
      </w:r>
      <w:proofErr w:type="spellEnd"/>
      <w:r w:rsidRPr="00316F06">
        <w:rPr>
          <w:lang w:val="sk-SK"/>
        </w:rPr>
        <w:t xml:space="preserve"> s 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sa skúmala v dvoch klinických štúdiách.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Kombinovanú terapiu dostávalo spolu 356 pacientov s metastatickým </w:t>
      </w:r>
      <w:proofErr w:type="spellStart"/>
      <w:r w:rsidRPr="00316F06">
        <w:rPr>
          <w:lang w:val="sk-SK"/>
        </w:rPr>
        <w:t>kolorektálnym</w:t>
      </w:r>
      <w:proofErr w:type="spellEnd"/>
      <w:r w:rsidRPr="00316F06">
        <w:rPr>
          <w:lang w:val="sk-SK"/>
        </w:rPr>
        <w:t xml:space="preserve"> karcinómom s </w:t>
      </w:r>
      <w:proofErr w:type="spellStart"/>
      <w:r w:rsidRPr="00316F06">
        <w:rPr>
          <w:lang w:val="sk-SK"/>
        </w:rPr>
        <w:t>expresiou</w:t>
      </w:r>
      <w:proofErr w:type="spellEnd"/>
      <w:r w:rsidRPr="00316F06">
        <w:rPr>
          <w:lang w:val="sk-SK"/>
        </w:rPr>
        <w:t xml:space="preserve"> EGFR, u ktorých bola nedávna </w:t>
      </w:r>
      <w:proofErr w:type="spellStart"/>
      <w:r w:rsidRPr="00316F06">
        <w:rPr>
          <w:lang w:val="sk-SK"/>
        </w:rPr>
        <w:t>cytotoxická</w:t>
      </w:r>
      <w:proofErr w:type="spellEnd"/>
      <w:r w:rsidRPr="00316F06">
        <w:rPr>
          <w:lang w:val="sk-SK"/>
        </w:rPr>
        <w:t xml:space="preserve"> liečba obsahujúca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neúspešná a ktorí mali výkonnostný stav podľa </w:t>
      </w:r>
      <w:proofErr w:type="spellStart"/>
      <w:r w:rsidRPr="00316F06">
        <w:rPr>
          <w:lang w:val="sk-SK"/>
        </w:rPr>
        <w:t>Karnofského</w:t>
      </w:r>
      <w:proofErr w:type="spellEnd"/>
      <w:r w:rsidRPr="00316F06">
        <w:rPr>
          <w:lang w:val="sk-SK"/>
        </w:rPr>
        <w:t xml:space="preserve"> minimálne 60 %, ale z ktorých väčšina mala výkonnostný stav podľa </w:t>
      </w:r>
      <w:proofErr w:type="spellStart"/>
      <w:r w:rsidRPr="00316F06">
        <w:rPr>
          <w:lang w:val="sk-SK"/>
        </w:rPr>
        <w:t>Karnofského</w:t>
      </w:r>
      <w:proofErr w:type="spellEnd"/>
      <w:r w:rsidRPr="00316F06">
        <w:rPr>
          <w:lang w:val="sk-SK"/>
        </w:rPr>
        <w:t xml:space="preserve"> ≥ 80 %.</w:t>
      </w:r>
    </w:p>
    <w:p w14:paraId="3E892BA2" w14:textId="5BF7859B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EMR 62 202</w:t>
      </w:r>
      <w:r w:rsidRPr="00316F06">
        <w:rPr>
          <w:lang w:val="sk-SK"/>
        </w:rPr>
        <w:noBreakHyphen/>
        <w:t>007: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táto </w:t>
      </w:r>
      <w:proofErr w:type="spellStart"/>
      <w:r w:rsidRPr="00316F06">
        <w:rPr>
          <w:lang w:val="sk-SK"/>
        </w:rPr>
        <w:t>randomizovaná</w:t>
      </w:r>
      <w:proofErr w:type="spellEnd"/>
      <w:r w:rsidRPr="00316F06">
        <w:rPr>
          <w:lang w:val="sk-SK"/>
        </w:rPr>
        <w:t xml:space="preserve"> štúdia porovnávala kombináciu </w:t>
      </w:r>
      <w:proofErr w:type="spellStart"/>
      <w:r w:rsidRPr="00316F06">
        <w:rPr>
          <w:lang w:val="sk-SK"/>
        </w:rPr>
        <w:t>cetuximabu</w:t>
      </w:r>
      <w:proofErr w:type="spellEnd"/>
      <w:r w:rsidRPr="00316F06">
        <w:rPr>
          <w:lang w:val="sk-SK"/>
        </w:rPr>
        <w:t xml:space="preserve"> a 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(218 pacientov) s </w:t>
      </w:r>
      <w:proofErr w:type="spellStart"/>
      <w:r w:rsidRPr="00316F06">
        <w:rPr>
          <w:lang w:val="sk-SK"/>
        </w:rPr>
        <w:t>monoterapiou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cetuximabom</w:t>
      </w:r>
      <w:proofErr w:type="spellEnd"/>
      <w:r w:rsidRPr="00316F06">
        <w:rPr>
          <w:lang w:val="sk-SK"/>
        </w:rPr>
        <w:t xml:space="preserve"> (111 pacientov).</w:t>
      </w:r>
    </w:p>
    <w:p w14:paraId="2F5BB115" w14:textId="77777777" w:rsidR="00913218" w:rsidRPr="00805523" w:rsidRDefault="00913218" w:rsidP="002A3917">
      <w:pPr>
        <w:rPr>
          <w:lang w:val="sk-SK"/>
        </w:rPr>
      </w:pPr>
      <w:r w:rsidRPr="00316F06">
        <w:rPr>
          <w:lang w:val="sk-SK"/>
        </w:rPr>
        <w:t>IMCL CP02</w:t>
      </w:r>
      <w:r w:rsidRPr="00316F06">
        <w:rPr>
          <w:lang w:val="sk-SK"/>
        </w:rPr>
        <w:noBreakHyphen/>
        <w:t>9923: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táto otvorená štúdia s jednou liečebnou skupinou skúmala kombinovanú terapiu u 138 pacientov.</w:t>
      </w:r>
    </w:p>
    <w:p w14:paraId="6BA53430" w14:textId="77777777" w:rsidR="00913218" w:rsidRPr="00805523" w:rsidRDefault="00913218" w:rsidP="002A3917">
      <w:pPr>
        <w:keepNext/>
        <w:rPr>
          <w:lang w:val="sk-SK"/>
        </w:rPr>
      </w:pPr>
      <w:r w:rsidRPr="00316F06">
        <w:rPr>
          <w:lang w:val="sk-SK"/>
        </w:rPr>
        <w:t>Údaje o účinnosti z týchto štúdií sú zhrnuté v nasledujúcej tabuľke.</w:t>
      </w:r>
    </w:p>
    <w:p w14:paraId="3BD0132B" w14:textId="77777777" w:rsidR="00913218" w:rsidRPr="00805523" w:rsidRDefault="00913218" w:rsidP="002A3917">
      <w:pPr>
        <w:keepNext/>
        <w:rPr>
          <w:lang w:val="sk-SK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567"/>
        <w:gridCol w:w="863"/>
        <w:gridCol w:w="950"/>
        <w:gridCol w:w="863"/>
        <w:gridCol w:w="950"/>
        <w:gridCol w:w="889"/>
        <w:gridCol w:w="950"/>
        <w:gridCol w:w="889"/>
        <w:gridCol w:w="950"/>
      </w:tblGrid>
      <w:tr w:rsidR="00913218" w:rsidRPr="00D85D13" w14:paraId="61AA4565" w14:textId="77777777" w:rsidTr="00805523">
        <w:tc>
          <w:tcPr>
            <w:tcW w:w="1560" w:type="dxa"/>
          </w:tcPr>
          <w:p w14:paraId="387C2A85" w14:textId="77777777" w:rsidR="00913218" w:rsidRPr="00805523" w:rsidRDefault="00913218" w:rsidP="00725C8B">
            <w:pPr>
              <w:keepNext/>
              <w:keepLines/>
              <w:rPr>
                <w:rFonts w:cs="Times New Roman"/>
                <w:b/>
                <w:lang w:val="sk-SK"/>
              </w:rPr>
            </w:pPr>
            <w:r w:rsidRPr="00805523">
              <w:rPr>
                <w:rFonts w:cs="Times New Roman"/>
                <w:b/>
                <w:lang w:val="sk-SK"/>
              </w:rPr>
              <w:t>Štúdia</w:t>
            </w:r>
          </w:p>
        </w:tc>
        <w:tc>
          <w:tcPr>
            <w:tcW w:w="576" w:type="dxa"/>
          </w:tcPr>
          <w:p w14:paraId="0E77F840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b/>
                <w:lang w:val="sk-SK"/>
              </w:rPr>
            </w:pPr>
            <w:r w:rsidRPr="00805523">
              <w:rPr>
                <w:rFonts w:cs="Times New Roman"/>
                <w:b/>
                <w:lang w:val="sk-SK"/>
              </w:rPr>
              <w:t>n</w:t>
            </w:r>
          </w:p>
        </w:tc>
        <w:tc>
          <w:tcPr>
            <w:tcW w:w="1827" w:type="dxa"/>
            <w:gridSpan w:val="2"/>
          </w:tcPr>
          <w:p w14:paraId="2B7B711D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b/>
                <w:lang w:val="sk-SK"/>
              </w:rPr>
            </w:pPr>
            <w:r w:rsidRPr="00805523">
              <w:rPr>
                <w:rFonts w:cs="Times New Roman"/>
                <w:b/>
                <w:lang w:val="sk-SK"/>
              </w:rPr>
              <w:t>ORR</w:t>
            </w:r>
          </w:p>
        </w:tc>
        <w:tc>
          <w:tcPr>
            <w:tcW w:w="1827" w:type="dxa"/>
            <w:gridSpan w:val="2"/>
          </w:tcPr>
          <w:p w14:paraId="39AF326A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b/>
                <w:lang w:val="sk-SK"/>
              </w:rPr>
            </w:pPr>
            <w:r w:rsidRPr="00805523">
              <w:rPr>
                <w:rFonts w:cs="Times New Roman"/>
                <w:b/>
                <w:lang w:val="sk-SK"/>
              </w:rPr>
              <w:t>DCR</w:t>
            </w:r>
          </w:p>
        </w:tc>
        <w:tc>
          <w:tcPr>
            <w:tcW w:w="1796" w:type="dxa"/>
            <w:gridSpan w:val="2"/>
          </w:tcPr>
          <w:p w14:paraId="112DCDEC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b/>
                <w:lang w:val="sk-SK"/>
              </w:rPr>
            </w:pPr>
            <w:r w:rsidRPr="00805523">
              <w:rPr>
                <w:rFonts w:cs="Times New Roman"/>
                <w:b/>
                <w:lang w:val="sk-SK"/>
              </w:rPr>
              <w:t>PFS (mesiace)</w:t>
            </w:r>
          </w:p>
        </w:tc>
        <w:tc>
          <w:tcPr>
            <w:tcW w:w="1738" w:type="dxa"/>
            <w:gridSpan w:val="2"/>
          </w:tcPr>
          <w:p w14:paraId="2541A02B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b/>
                <w:lang w:val="sk-SK"/>
              </w:rPr>
            </w:pPr>
            <w:r w:rsidRPr="00805523">
              <w:rPr>
                <w:rFonts w:cs="Times New Roman"/>
                <w:b/>
                <w:lang w:val="sk-SK"/>
              </w:rPr>
              <w:t>OS (mesiace)</w:t>
            </w:r>
          </w:p>
        </w:tc>
      </w:tr>
      <w:tr w:rsidR="00913218" w:rsidRPr="00D85D13" w14:paraId="0477871C" w14:textId="77777777" w:rsidTr="00805523">
        <w:tc>
          <w:tcPr>
            <w:tcW w:w="1560" w:type="dxa"/>
          </w:tcPr>
          <w:p w14:paraId="5C35213C" w14:textId="77777777" w:rsidR="00913218" w:rsidRPr="00805523" w:rsidRDefault="00913218" w:rsidP="00725C8B">
            <w:pPr>
              <w:keepNext/>
              <w:keepLines/>
              <w:rPr>
                <w:rFonts w:cs="Times New Roman"/>
                <w:lang w:val="sk-SK"/>
              </w:rPr>
            </w:pPr>
          </w:p>
        </w:tc>
        <w:tc>
          <w:tcPr>
            <w:tcW w:w="576" w:type="dxa"/>
          </w:tcPr>
          <w:p w14:paraId="7D48EA10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</w:p>
        </w:tc>
        <w:tc>
          <w:tcPr>
            <w:tcW w:w="915" w:type="dxa"/>
          </w:tcPr>
          <w:p w14:paraId="71485DE6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n [%]</w:t>
            </w:r>
          </w:p>
        </w:tc>
        <w:tc>
          <w:tcPr>
            <w:tcW w:w="912" w:type="dxa"/>
          </w:tcPr>
          <w:p w14:paraId="00472497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95 % CI</w:t>
            </w:r>
          </w:p>
        </w:tc>
        <w:tc>
          <w:tcPr>
            <w:tcW w:w="915" w:type="dxa"/>
          </w:tcPr>
          <w:p w14:paraId="445354DA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n [%]</w:t>
            </w:r>
          </w:p>
        </w:tc>
        <w:tc>
          <w:tcPr>
            <w:tcW w:w="912" w:type="dxa"/>
          </w:tcPr>
          <w:p w14:paraId="4BEAF82D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95 % CI</w:t>
            </w:r>
          </w:p>
        </w:tc>
        <w:tc>
          <w:tcPr>
            <w:tcW w:w="886" w:type="dxa"/>
          </w:tcPr>
          <w:p w14:paraId="103FBB6E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Medián</w:t>
            </w:r>
          </w:p>
        </w:tc>
        <w:tc>
          <w:tcPr>
            <w:tcW w:w="910" w:type="dxa"/>
          </w:tcPr>
          <w:p w14:paraId="78061FB5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95 % CI</w:t>
            </w:r>
          </w:p>
        </w:tc>
        <w:tc>
          <w:tcPr>
            <w:tcW w:w="827" w:type="dxa"/>
          </w:tcPr>
          <w:p w14:paraId="1DFB5E2A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Medián</w:t>
            </w:r>
          </w:p>
        </w:tc>
        <w:tc>
          <w:tcPr>
            <w:tcW w:w="911" w:type="dxa"/>
          </w:tcPr>
          <w:p w14:paraId="4F582B07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95 % CI</w:t>
            </w:r>
          </w:p>
        </w:tc>
      </w:tr>
      <w:tr w:rsidR="00913218" w:rsidRPr="00D85D13" w14:paraId="6B97244D" w14:textId="77777777" w:rsidTr="00805523">
        <w:tc>
          <w:tcPr>
            <w:tcW w:w="9324" w:type="dxa"/>
            <w:gridSpan w:val="10"/>
          </w:tcPr>
          <w:p w14:paraId="7886EF4C" w14:textId="41CD787B" w:rsidR="00913218" w:rsidRPr="00805523" w:rsidRDefault="00913218" w:rsidP="00573879">
            <w:pPr>
              <w:keepNext/>
              <w:keepLines/>
              <w:rPr>
                <w:rFonts w:cs="Times New Roman"/>
                <w:lang w:val="sk-SK"/>
              </w:rPr>
            </w:pPr>
            <w:proofErr w:type="spellStart"/>
            <w:r w:rsidRPr="00805523">
              <w:rPr>
                <w:rFonts w:cs="Times New Roman"/>
                <w:lang w:val="sk-SK"/>
              </w:rPr>
              <w:t>Cetuximab</w:t>
            </w:r>
            <w:proofErr w:type="spellEnd"/>
            <w:r w:rsidRPr="00805523">
              <w:rPr>
                <w:rFonts w:cs="Times New Roman"/>
                <w:lang w:val="sk-SK"/>
              </w:rPr>
              <w:t xml:space="preserve"> + </w:t>
            </w:r>
            <w:proofErr w:type="spellStart"/>
            <w:r w:rsidRPr="00805523">
              <w:rPr>
                <w:rFonts w:cs="Times New Roman"/>
                <w:lang w:val="sk-SK"/>
              </w:rPr>
              <w:t>irinotek</w:t>
            </w:r>
            <w:r w:rsidR="00573879">
              <w:rPr>
                <w:rFonts w:cs="Times New Roman"/>
                <w:lang w:val="sk-SK"/>
              </w:rPr>
              <w:t>á</w:t>
            </w:r>
            <w:r w:rsidRPr="00805523">
              <w:rPr>
                <w:rFonts w:cs="Times New Roman"/>
                <w:lang w:val="sk-SK"/>
              </w:rPr>
              <w:t>n</w:t>
            </w:r>
            <w:proofErr w:type="spellEnd"/>
          </w:p>
        </w:tc>
      </w:tr>
      <w:tr w:rsidR="00913218" w:rsidRPr="00D85D13" w14:paraId="729135F0" w14:textId="77777777" w:rsidTr="00805523">
        <w:tc>
          <w:tcPr>
            <w:tcW w:w="1560" w:type="dxa"/>
          </w:tcPr>
          <w:p w14:paraId="20589B2E" w14:textId="77777777" w:rsidR="00913218" w:rsidRPr="00805523" w:rsidRDefault="00913218" w:rsidP="00F110C8">
            <w:pPr>
              <w:keepNext/>
              <w:keepLines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EMR 62</w:t>
            </w:r>
            <w:r w:rsidRPr="00805523">
              <w:rPr>
                <w:rFonts w:cs="Times New Roman"/>
                <w:lang w:val="sk-SK"/>
              </w:rPr>
              <w:br/>
              <w:t>202</w:t>
            </w:r>
            <w:r w:rsidRPr="00805523">
              <w:rPr>
                <w:rFonts w:cs="Times New Roman"/>
                <w:lang w:val="sk-SK"/>
              </w:rPr>
              <w:noBreakHyphen/>
              <w:t>007</w:t>
            </w:r>
          </w:p>
        </w:tc>
        <w:tc>
          <w:tcPr>
            <w:tcW w:w="576" w:type="dxa"/>
          </w:tcPr>
          <w:p w14:paraId="0245FB46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218</w:t>
            </w:r>
          </w:p>
        </w:tc>
        <w:tc>
          <w:tcPr>
            <w:tcW w:w="915" w:type="dxa"/>
          </w:tcPr>
          <w:p w14:paraId="51C54B73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50 (22,9)</w:t>
            </w:r>
          </w:p>
        </w:tc>
        <w:tc>
          <w:tcPr>
            <w:tcW w:w="912" w:type="dxa"/>
          </w:tcPr>
          <w:p w14:paraId="18EC5C44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17,5, 29,1</w:t>
            </w:r>
          </w:p>
        </w:tc>
        <w:tc>
          <w:tcPr>
            <w:tcW w:w="915" w:type="dxa"/>
          </w:tcPr>
          <w:p w14:paraId="3E9C4CE2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121 (55,5)</w:t>
            </w:r>
          </w:p>
        </w:tc>
        <w:tc>
          <w:tcPr>
            <w:tcW w:w="912" w:type="dxa"/>
          </w:tcPr>
          <w:p w14:paraId="0D3E4C14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48,6, 62,2</w:t>
            </w:r>
          </w:p>
        </w:tc>
        <w:tc>
          <w:tcPr>
            <w:tcW w:w="886" w:type="dxa"/>
          </w:tcPr>
          <w:p w14:paraId="29F943CE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4,1</w:t>
            </w:r>
          </w:p>
        </w:tc>
        <w:tc>
          <w:tcPr>
            <w:tcW w:w="910" w:type="dxa"/>
          </w:tcPr>
          <w:p w14:paraId="5AAAF393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2,8, 4,3</w:t>
            </w:r>
          </w:p>
        </w:tc>
        <w:tc>
          <w:tcPr>
            <w:tcW w:w="827" w:type="dxa"/>
          </w:tcPr>
          <w:p w14:paraId="6B4F4204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8,6</w:t>
            </w:r>
          </w:p>
        </w:tc>
        <w:tc>
          <w:tcPr>
            <w:tcW w:w="911" w:type="dxa"/>
          </w:tcPr>
          <w:p w14:paraId="5AA477B5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7,6, 9,6</w:t>
            </w:r>
          </w:p>
        </w:tc>
      </w:tr>
      <w:tr w:rsidR="00913218" w:rsidRPr="00D85D13" w14:paraId="638CFE7E" w14:textId="77777777" w:rsidTr="00805523">
        <w:tc>
          <w:tcPr>
            <w:tcW w:w="1560" w:type="dxa"/>
          </w:tcPr>
          <w:p w14:paraId="47CF3A90" w14:textId="77777777" w:rsidR="00913218" w:rsidRPr="00805523" w:rsidRDefault="00913218" w:rsidP="00F110C8">
            <w:pPr>
              <w:keepNext/>
              <w:keepLines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IMCL</w:t>
            </w:r>
            <w:r w:rsidRPr="00805523">
              <w:rPr>
                <w:rFonts w:cs="Times New Roman"/>
                <w:lang w:val="sk-SK"/>
              </w:rPr>
              <w:br/>
              <w:t>CP02</w:t>
            </w:r>
            <w:r w:rsidRPr="00805523">
              <w:rPr>
                <w:rFonts w:cs="Times New Roman"/>
                <w:lang w:val="sk-SK"/>
              </w:rPr>
              <w:noBreakHyphen/>
              <w:t>9923</w:t>
            </w:r>
          </w:p>
        </w:tc>
        <w:tc>
          <w:tcPr>
            <w:tcW w:w="576" w:type="dxa"/>
          </w:tcPr>
          <w:p w14:paraId="7406823F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138</w:t>
            </w:r>
          </w:p>
        </w:tc>
        <w:tc>
          <w:tcPr>
            <w:tcW w:w="915" w:type="dxa"/>
          </w:tcPr>
          <w:p w14:paraId="38BFA638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21 (15,2)</w:t>
            </w:r>
          </w:p>
        </w:tc>
        <w:tc>
          <w:tcPr>
            <w:tcW w:w="912" w:type="dxa"/>
          </w:tcPr>
          <w:p w14:paraId="2B588B6F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9,7, 22,3</w:t>
            </w:r>
          </w:p>
        </w:tc>
        <w:tc>
          <w:tcPr>
            <w:tcW w:w="915" w:type="dxa"/>
          </w:tcPr>
          <w:p w14:paraId="7EE9FA09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84 (60,9)</w:t>
            </w:r>
          </w:p>
        </w:tc>
        <w:tc>
          <w:tcPr>
            <w:tcW w:w="912" w:type="dxa"/>
          </w:tcPr>
          <w:p w14:paraId="712A2DDE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52,2, 69,1</w:t>
            </w:r>
          </w:p>
        </w:tc>
        <w:tc>
          <w:tcPr>
            <w:tcW w:w="886" w:type="dxa"/>
          </w:tcPr>
          <w:p w14:paraId="7A2E8E90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2,9</w:t>
            </w:r>
          </w:p>
        </w:tc>
        <w:tc>
          <w:tcPr>
            <w:tcW w:w="910" w:type="dxa"/>
          </w:tcPr>
          <w:p w14:paraId="67202053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2,6, 4,1</w:t>
            </w:r>
          </w:p>
        </w:tc>
        <w:tc>
          <w:tcPr>
            <w:tcW w:w="827" w:type="dxa"/>
          </w:tcPr>
          <w:p w14:paraId="5684ED4A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8,4</w:t>
            </w:r>
          </w:p>
        </w:tc>
        <w:tc>
          <w:tcPr>
            <w:tcW w:w="911" w:type="dxa"/>
          </w:tcPr>
          <w:p w14:paraId="44900141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7,2, 10,3</w:t>
            </w:r>
          </w:p>
        </w:tc>
      </w:tr>
      <w:tr w:rsidR="00913218" w:rsidRPr="00D85D13" w14:paraId="6F618D4C" w14:textId="77777777" w:rsidTr="00805523">
        <w:tc>
          <w:tcPr>
            <w:tcW w:w="9324" w:type="dxa"/>
            <w:gridSpan w:val="10"/>
          </w:tcPr>
          <w:p w14:paraId="330C067C" w14:textId="77777777" w:rsidR="00913218" w:rsidRPr="00805523" w:rsidRDefault="00913218" w:rsidP="00725C8B">
            <w:pPr>
              <w:keepNext/>
              <w:keepLines/>
              <w:rPr>
                <w:rFonts w:cs="Times New Roman"/>
                <w:lang w:val="sk-SK"/>
              </w:rPr>
            </w:pPr>
            <w:proofErr w:type="spellStart"/>
            <w:r w:rsidRPr="00805523">
              <w:rPr>
                <w:rFonts w:cs="Times New Roman"/>
                <w:lang w:val="sk-SK"/>
              </w:rPr>
              <w:t>Cetuximab</w:t>
            </w:r>
            <w:proofErr w:type="spellEnd"/>
          </w:p>
        </w:tc>
      </w:tr>
      <w:tr w:rsidR="00913218" w:rsidRPr="00D85D13" w14:paraId="3F83810F" w14:textId="77777777" w:rsidTr="00805523">
        <w:tc>
          <w:tcPr>
            <w:tcW w:w="1560" w:type="dxa"/>
          </w:tcPr>
          <w:p w14:paraId="0C769D0A" w14:textId="77777777" w:rsidR="00913218" w:rsidRPr="00805523" w:rsidRDefault="00913218" w:rsidP="00F110C8">
            <w:pPr>
              <w:keepNext/>
              <w:keepLines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EMR 62</w:t>
            </w:r>
            <w:r w:rsidRPr="00805523">
              <w:rPr>
                <w:rFonts w:cs="Times New Roman"/>
                <w:lang w:val="sk-SK"/>
              </w:rPr>
              <w:br/>
              <w:t>202</w:t>
            </w:r>
            <w:r w:rsidRPr="00805523">
              <w:rPr>
                <w:rFonts w:cs="Times New Roman"/>
                <w:lang w:val="sk-SK"/>
              </w:rPr>
              <w:noBreakHyphen/>
              <w:t>007</w:t>
            </w:r>
          </w:p>
        </w:tc>
        <w:tc>
          <w:tcPr>
            <w:tcW w:w="576" w:type="dxa"/>
          </w:tcPr>
          <w:p w14:paraId="3D7348D9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111</w:t>
            </w:r>
          </w:p>
        </w:tc>
        <w:tc>
          <w:tcPr>
            <w:tcW w:w="915" w:type="dxa"/>
          </w:tcPr>
          <w:p w14:paraId="0ABE79DD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12 (10,8)</w:t>
            </w:r>
          </w:p>
        </w:tc>
        <w:tc>
          <w:tcPr>
            <w:tcW w:w="912" w:type="dxa"/>
          </w:tcPr>
          <w:p w14:paraId="4855BC45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5,7, 18,1</w:t>
            </w:r>
          </w:p>
        </w:tc>
        <w:tc>
          <w:tcPr>
            <w:tcW w:w="915" w:type="dxa"/>
          </w:tcPr>
          <w:p w14:paraId="1C248A9F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36 (32,4)</w:t>
            </w:r>
          </w:p>
        </w:tc>
        <w:tc>
          <w:tcPr>
            <w:tcW w:w="912" w:type="dxa"/>
          </w:tcPr>
          <w:p w14:paraId="40E6AA49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23,9, 42,0</w:t>
            </w:r>
          </w:p>
        </w:tc>
        <w:tc>
          <w:tcPr>
            <w:tcW w:w="886" w:type="dxa"/>
          </w:tcPr>
          <w:p w14:paraId="6C1F9905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1,5</w:t>
            </w:r>
          </w:p>
        </w:tc>
        <w:tc>
          <w:tcPr>
            <w:tcW w:w="910" w:type="dxa"/>
          </w:tcPr>
          <w:p w14:paraId="133E413E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1,4, 2,0</w:t>
            </w:r>
          </w:p>
        </w:tc>
        <w:tc>
          <w:tcPr>
            <w:tcW w:w="827" w:type="dxa"/>
          </w:tcPr>
          <w:p w14:paraId="565994B4" w14:textId="77777777" w:rsidR="00913218" w:rsidRPr="00805523" w:rsidRDefault="00913218" w:rsidP="00725C8B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6,9</w:t>
            </w:r>
          </w:p>
        </w:tc>
        <w:tc>
          <w:tcPr>
            <w:tcW w:w="911" w:type="dxa"/>
          </w:tcPr>
          <w:p w14:paraId="45AAAB89" w14:textId="77777777" w:rsidR="00913218" w:rsidRPr="00805523" w:rsidRDefault="00913218" w:rsidP="00F110C8">
            <w:pPr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5,6, 9,1</w:t>
            </w:r>
          </w:p>
        </w:tc>
      </w:tr>
      <w:tr w:rsidR="00913218" w:rsidRPr="00D85D13" w14:paraId="60122EB3" w14:textId="77777777" w:rsidTr="00805523">
        <w:tc>
          <w:tcPr>
            <w:tcW w:w="9324" w:type="dxa"/>
            <w:gridSpan w:val="10"/>
          </w:tcPr>
          <w:p w14:paraId="32FAF192" w14:textId="77777777" w:rsidR="00913218" w:rsidRPr="00805523" w:rsidRDefault="00913218" w:rsidP="00725C8B">
            <w:pPr>
              <w:keepNext/>
              <w:keepLines/>
              <w:rPr>
                <w:rFonts w:cs="Times New Roman"/>
                <w:lang w:val="sk-SK"/>
              </w:rPr>
            </w:pPr>
            <w:r w:rsidRPr="00805523">
              <w:rPr>
                <w:rFonts w:cs="Times New Roman"/>
                <w:lang w:val="sk-SK"/>
              </w:rPr>
              <w:t>CI = interval spoľahlivosti, DCR = miera kontroly ochorenia (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disease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control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rate</w:t>
            </w:r>
            <w:r w:rsidRPr="00805523">
              <w:rPr>
                <w:rFonts w:cs="Times New Roman"/>
                <w:lang w:val="sk-SK"/>
              </w:rPr>
              <w:t>) (pacienti s kompletnou odpoveďou, parciálnou odpoveďou alebo stabilizovaným ochorením po dobu minimálne 6 týždňov), ORR = miera objektívnej odpovede (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objective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response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rate</w:t>
            </w:r>
            <w:r w:rsidRPr="00805523">
              <w:rPr>
                <w:rFonts w:cs="Times New Roman"/>
                <w:lang w:val="sk-SK"/>
              </w:rPr>
              <w:t>) (pacienti s kompletnou alebo parciálnou odpoveďou), OS = celková doba prežívania (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overall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survival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time</w:t>
            </w:r>
            <w:proofErr w:type="spellEnd"/>
            <w:r w:rsidRPr="00805523">
              <w:rPr>
                <w:rFonts w:cs="Times New Roman"/>
                <w:lang w:val="sk-SK"/>
              </w:rPr>
              <w:t>), PFS = prežívanie bez progresie ochorenia (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progression-free</w:t>
            </w:r>
            <w:proofErr w:type="spellEnd"/>
            <w:r w:rsidRPr="00805523">
              <w:rPr>
                <w:rFonts w:cs="Times New Roman"/>
                <w:i/>
                <w:iCs/>
                <w:lang w:val="sk-SK"/>
              </w:rPr>
              <w:t xml:space="preserve"> </w:t>
            </w:r>
            <w:proofErr w:type="spellStart"/>
            <w:r w:rsidRPr="00805523">
              <w:rPr>
                <w:rFonts w:cs="Times New Roman"/>
                <w:i/>
                <w:iCs/>
                <w:lang w:val="sk-SK"/>
              </w:rPr>
              <w:t>survival</w:t>
            </w:r>
            <w:proofErr w:type="spellEnd"/>
            <w:r w:rsidRPr="00805523">
              <w:rPr>
                <w:rFonts w:cs="Times New Roman"/>
                <w:lang w:val="sk-SK"/>
              </w:rPr>
              <w:t>)</w:t>
            </w:r>
          </w:p>
        </w:tc>
      </w:tr>
    </w:tbl>
    <w:p w14:paraId="34967FDD" w14:textId="77777777" w:rsidR="00913218" w:rsidRPr="00316F06" w:rsidRDefault="00913218" w:rsidP="002A3917">
      <w:pPr>
        <w:rPr>
          <w:lang w:val="sk-SK"/>
        </w:rPr>
      </w:pPr>
    </w:p>
    <w:p w14:paraId="0CB41E46" w14:textId="0293D31D" w:rsidR="00913218" w:rsidRPr="00316F06" w:rsidRDefault="00913218" w:rsidP="002A3917">
      <w:pPr>
        <w:keepNext/>
        <w:keepLines/>
        <w:rPr>
          <w:lang w:val="sk-SK"/>
        </w:rPr>
      </w:pPr>
      <w:r w:rsidRPr="00316F06">
        <w:rPr>
          <w:lang w:val="sk-SK"/>
        </w:rPr>
        <w:t xml:space="preserve">Na základe hodnotenia miery objektívnej odpovede (ORR), miery kontroly ochorenia (DCR) a prežívania bez progresie ochorenia (PFS) bola účinnosť kombinácie </w:t>
      </w:r>
      <w:proofErr w:type="spellStart"/>
      <w:r w:rsidRPr="00316F06">
        <w:rPr>
          <w:lang w:val="sk-SK"/>
        </w:rPr>
        <w:t>cetuximabu</w:t>
      </w:r>
      <w:proofErr w:type="spellEnd"/>
      <w:r w:rsidRPr="00316F06">
        <w:rPr>
          <w:lang w:val="sk-SK"/>
        </w:rPr>
        <w:t xml:space="preserve"> s 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lepšia v porovnaní s účinnosťou </w:t>
      </w:r>
      <w:proofErr w:type="spellStart"/>
      <w:r w:rsidRPr="00316F06">
        <w:rPr>
          <w:lang w:val="sk-SK"/>
        </w:rPr>
        <w:t>monoterapie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cetuximabom</w:t>
      </w:r>
      <w:proofErr w:type="spellEnd"/>
      <w:r w:rsidRPr="00316F06">
        <w:rPr>
          <w:lang w:val="sk-SK"/>
        </w:rPr>
        <w:t>. V </w:t>
      </w:r>
      <w:proofErr w:type="spellStart"/>
      <w:r w:rsidRPr="00316F06">
        <w:rPr>
          <w:lang w:val="sk-SK"/>
        </w:rPr>
        <w:t>randomizovanom</w:t>
      </w:r>
      <w:proofErr w:type="spellEnd"/>
      <w:r w:rsidRPr="00316F06">
        <w:rPr>
          <w:lang w:val="sk-SK"/>
        </w:rPr>
        <w:t xml:space="preserve"> skúšaní sa nepreukázali žiadne účinky na celkové prežívanie (miera rizika 0,91, p = 0,48).</w:t>
      </w:r>
    </w:p>
    <w:p w14:paraId="74FA26DD" w14:textId="77777777" w:rsidR="00913218" w:rsidRPr="00316F06" w:rsidRDefault="00913218" w:rsidP="002A3917">
      <w:pPr>
        <w:keepNext/>
        <w:rPr>
          <w:iCs/>
          <w:u w:val="single"/>
          <w:lang w:val="sk-SK"/>
        </w:rPr>
      </w:pPr>
    </w:p>
    <w:p w14:paraId="3BB1D868" w14:textId="77777777" w:rsidR="00913218" w:rsidRPr="00316F06" w:rsidRDefault="00913218">
      <w:pPr>
        <w:keepNext/>
        <w:rPr>
          <w:u w:val="single"/>
          <w:lang w:val="sk-SK"/>
        </w:rPr>
      </w:pPr>
      <w:proofErr w:type="spellStart"/>
      <w:r w:rsidRPr="00316F06">
        <w:rPr>
          <w:u w:val="single"/>
          <w:lang w:val="sk-SK"/>
        </w:rPr>
        <w:t>Farmakokinetické</w:t>
      </w:r>
      <w:proofErr w:type="spellEnd"/>
      <w:r w:rsidRPr="00316F06">
        <w:rPr>
          <w:u w:val="single"/>
          <w:lang w:val="sk-SK"/>
        </w:rPr>
        <w:t>/</w:t>
      </w:r>
      <w:proofErr w:type="spellStart"/>
      <w:r w:rsidRPr="00316F06">
        <w:rPr>
          <w:u w:val="single"/>
          <w:lang w:val="sk-SK"/>
        </w:rPr>
        <w:t>farmakodynamické</w:t>
      </w:r>
      <w:proofErr w:type="spellEnd"/>
      <w:r w:rsidRPr="00316F06">
        <w:rPr>
          <w:u w:val="single"/>
          <w:lang w:val="sk-SK"/>
        </w:rPr>
        <w:t xml:space="preserve"> údaje</w:t>
      </w:r>
    </w:p>
    <w:p w14:paraId="30C7EBD1" w14:textId="77777777" w:rsidR="00913218" w:rsidRPr="00316F06" w:rsidRDefault="00913218">
      <w:pPr>
        <w:keepNext/>
        <w:rPr>
          <w:lang w:val="sk-SK"/>
        </w:rPr>
      </w:pPr>
    </w:p>
    <w:p w14:paraId="00AE8932" w14:textId="0F70B9A9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Intenzita hlavných príznakov toxicity spojených s </w:t>
      </w:r>
      <w:proofErr w:type="spellStart"/>
      <w:r w:rsidRPr="00316F06">
        <w:rPr>
          <w:rFonts w:cs="Times New Roman"/>
          <w:lang w:val="sk-SK"/>
        </w:rPr>
        <w:t>irinotek</w:t>
      </w:r>
      <w:r w:rsidR="0057387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nom</w:t>
      </w:r>
      <w:proofErr w:type="spellEnd"/>
      <w:r w:rsidRPr="00316F06">
        <w:rPr>
          <w:rFonts w:cs="Times New Roman"/>
          <w:lang w:val="sk-SK"/>
        </w:rPr>
        <w:t xml:space="preserve"> (napr. </w:t>
      </w:r>
      <w:proofErr w:type="spellStart"/>
      <w:r w:rsidRPr="00316F06">
        <w:rPr>
          <w:rFonts w:cs="Times New Roman"/>
          <w:lang w:val="sk-SK"/>
        </w:rPr>
        <w:t>neutropénia</w:t>
      </w:r>
      <w:proofErr w:type="spellEnd"/>
      <w:r w:rsidRPr="00316F06">
        <w:rPr>
          <w:rFonts w:cs="Times New Roman"/>
          <w:lang w:val="sk-SK"/>
        </w:rPr>
        <w:t xml:space="preserve"> a hnačka) súvisí s expozíciou (AUC) východiskovej látky a metabolitu SN</w:t>
      </w:r>
      <w:r w:rsidRPr="00316F06">
        <w:rPr>
          <w:lang w:val="sk-SK"/>
        </w:rPr>
        <w:noBreakHyphen/>
      </w:r>
      <w:r w:rsidRPr="00316F06">
        <w:rPr>
          <w:rFonts w:cs="Times New Roman"/>
          <w:lang w:val="sk-SK"/>
        </w:rPr>
        <w:t>38.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V </w:t>
      </w:r>
      <w:proofErr w:type="spellStart"/>
      <w:r w:rsidRPr="00316F06">
        <w:rPr>
          <w:rFonts w:cs="Times New Roman"/>
          <w:lang w:val="sk-SK"/>
        </w:rPr>
        <w:t>monoterapii</w:t>
      </w:r>
      <w:proofErr w:type="spellEnd"/>
      <w:r w:rsidRPr="00316F06">
        <w:rPr>
          <w:rFonts w:cs="Times New Roman"/>
          <w:lang w:val="sk-SK"/>
        </w:rPr>
        <w:t xml:space="preserve"> sa pozorovali významné korelácie medzi hematologickou toxicitou (pokles bielych krviniek a </w:t>
      </w:r>
      <w:proofErr w:type="spellStart"/>
      <w:r w:rsidRPr="00316F06">
        <w:rPr>
          <w:rFonts w:cs="Times New Roman"/>
          <w:lang w:val="sk-SK"/>
        </w:rPr>
        <w:t>neutrofilov</w:t>
      </w:r>
      <w:proofErr w:type="spellEnd"/>
      <w:r w:rsidRPr="00316F06">
        <w:rPr>
          <w:rFonts w:cs="Times New Roman"/>
          <w:lang w:val="sk-SK"/>
        </w:rPr>
        <w:t xml:space="preserve"> v najnižšom bode) alebo intenzitou hnačky a hodnotami AUC </w:t>
      </w:r>
      <w:proofErr w:type="spellStart"/>
      <w:r w:rsidRPr="00316F06">
        <w:rPr>
          <w:rFonts w:cs="Times New Roman"/>
          <w:lang w:val="sk-SK"/>
        </w:rPr>
        <w:t>irinotek</w:t>
      </w:r>
      <w:r w:rsidR="0057387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aj </w:t>
      </w:r>
      <w:proofErr w:type="spellStart"/>
      <w:r w:rsidRPr="00316F06">
        <w:rPr>
          <w:rFonts w:cs="Times New Roman"/>
          <w:lang w:val="sk-SK"/>
        </w:rPr>
        <w:t>metabolitu</w:t>
      </w:r>
      <w:proofErr w:type="spellEnd"/>
      <w:r w:rsidRPr="00316F06">
        <w:rPr>
          <w:rFonts w:cs="Times New Roman"/>
          <w:lang w:val="sk-SK"/>
        </w:rPr>
        <w:t xml:space="preserve"> SN–38.</w:t>
      </w:r>
    </w:p>
    <w:p w14:paraId="42D1F597" w14:textId="77777777" w:rsidR="00913218" w:rsidRPr="00805523" w:rsidRDefault="00913218" w:rsidP="00216DF3">
      <w:pPr>
        <w:rPr>
          <w:lang w:val="sk-SK"/>
        </w:rPr>
      </w:pPr>
    </w:p>
    <w:p w14:paraId="0BC78511" w14:textId="77777777" w:rsidR="00913218" w:rsidRPr="00805523" w:rsidRDefault="00913218" w:rsidP="00216DF3">
      <w:pPr>
        <w:rPr>
          <w:i/>
          <w:lang w:val="sk-SK"/>
        </w:rPr>
      </w:pPr>
      <w:r w:rsidRPr="00316F06">
        <w:rPr>
          <w:i/>
          <w:lang w:val="sk-SK"/>
        </w:rPr>
        <w:t>Pacienti so zníženou aktivitou génu UGT1A1:</w:t>
      </w:r>
    </w:p>
    <w:p w14:paraId="004888A3" w14:textId="2AE3035A" w:rsidR="00913218" w:rsidRPr="00805523" w:rsidRDefault="00913218" w:rsidP="00216DF3">
      <w:pPr>
        <w:rPr>
          <w:lang w:val="sk-SK"/>
        </w:rPr>
      </w:pPr>
      <w:r w:rsidRPr="00316F06">
        <w:rPr>
          <w:lang w:val="sk-SK"/>
        </w:rPr>
        <w:t xml:space="preserve">Na metabolickej </w:t>
      </w:r>
      <w:proofErr w:type="spellStart"/>
      <w:r w:rsidRPr="00316F06">
        <w:rPr>
          <w:lang w:val="sk-SK"/>
        </w:rPr>
        <w:t>inaktivácii</w:t>
      </w:r>
      <w:proofErr w:type="spellEnd"/>
      <w:r w:rsidRPr="00316F06">
        <w:rPr>
          <w:lang w:val="sk-SK"/>
        </w:rPr>
        <w:t xml:space="preserve"> SN</w:t>
      </w:r>
      <w:r w:rsidRPr="00316F06">
        <w:rPr>
          <w:lang w:val="sk-SK"/>
        </w:rPr>
        <w:noBreakHyphen/>
        <w:t xml:space="preserve">38, čo je aktívny </w:t>
      </w:r>
      <w:proofErr w:type="spellStart"/>
      <w:r w:rsidRPr="00316F06">
        <w:rPr>
          <w:lang w:val="sk-SK"/>
        </w:rPr>
        <w:t>metabolit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, na neaktívny SN</w:t>
      </w:r>
      <w:r w:rsidRPr="00316F06">
        <w:rPr>
          <w:lang w:val="sk-SK"/>
        </w:rPr>
        <w:noBreakHyphen/>
        <w:t>38 </w:t>
      </w:r>
      <w:proofErr w:type="spellStart"/>
      <w:r w:rsidRPr="00316F06">
        <w:rPr>
          <w:lang w:val="sk-SK"/>
        </w:rPr>
        <w:t>glukuronid</w:t>
      </w:r>
      <w:proofErr w:type="spellEnd"/>
      <w:r w:rsidRPr="00316F06">
        <w:rPr>
          <w:lang w:val="sk-SK"/>
        </w:rPr>
        <w:t xml:space="preserve"> (SN</w:t>
      </w:r>
      <w:r w:rsidRPr="00316F06">
        <w:rPr>
          <w:lang w:val="sk-SK"/>
        </w:rPr>
        <w:noBreakHyphen/>
        <w:t xml:space="preserve">38G) sa podieľa </w:t>
      </w:r>
      <w:proofErr w:type="spellStart"/>
      <w:r w:rsidRPr="00316F06">
        <w:rPr>
          <w:lang w:val="sk-SK"/>
        </w:rPr>
        <w:t>uridíndifosfát-glukuronozyltransferáza</w:t>
      </w:r>
      <w:proofErr w:type="spellEnd"/>
      <w:r w:rsidRPr="00316F06">
        <w:rPr>
          <w:lang w:val="sk-SK"/>
        </w:rPr>
        <w:t xml:space="preserve"> 1A1 (UGT1A1).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Gén UGT1A1 je vysoko polymorfný, čo má z následok variabilné metabolické účinky u jednotlivých pacientov.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Jeden konkrétny variant génu UGT1A1 zahŕňa polymorfizmus v promočnej oblasti známej ako variant UGT1A1*28.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Tento variant a ďalšie vrodené poruchy </w:t>
      </w:r>
      <w:proofErr w:type="spellStart"/>
      <w:r w:rsidRPr="00316F06">
        <w:rPr>
          <w:lang w:val="sk-SK"/>
        </w:rPr>
        <w:t>expresie</w:t>
      </w:r>
      <w:proofErr w:type="spellEnd"/>
      <w:r w:rsidRPr="00316F06">
        <w:rPr>
          <w:lang w:val="sk-SK"/>
        </w:rPr>
        <w:t xml:space="preserve"> UGT1A1 (ako napríklad </w:t>
      </w:r>
      <w:proofErr w:type="spellStart"/>
      <w:r w:rsidRPr="00316F06">
        <w:rPr>
          <w:lang w:val="sk-SK"/>
        </w:rPr>
        <w:t>Criglerov-Najjarov</w:t>
      </w:r>
      <w:proofErr w:type="spellEnd"/>
      <w:r w:rsidRPr="00316F06">
        <w:rPr>
          <w:lang w:val="sk-SK"/>
        </w:rPr>
        <w:t xml:space="preserve"> syndróm a </w:t>
      </w:r>
      <w:proofErr w:type="spellStart"/>
      <w:r w:rsidRPr="00316F06">
        <w:rPr>
          <w:lang w:val="sk-SK"/>
        </w:rPr>
        <w:t>Gilbertov</w:t>
      </w:r>
      <w:proofErr w:type="spellEnd"/>
      <w:r w:rsidRPr="00316F06">
        <w:rPr>
          <w:lang w:val="sk-SK"/>
        </w:rPr>
        <w:t xml:space="preserve"> syndróm) súvisia so zníženou aktivitou tohto enzýmu.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Údaje z metaanalýzy naznačujú, že u osôb s </w:t>
      </w:r>
      <w:proofErr w:type="spellStart"/>
      <w:r w:rsidRPr="00316F06">
        <w:rPr>
          <w:lang w:val="sk-SK"/>
        </w:rPr>
        <w:t>Criglerovým-Najjarovým</w:t>
      </w:r>
      <w:proofErr w:type="spellEnd"/>
      <w:r w:rsidRPr="00316F06">
        <w:rPr>
          <w:lang w:val="sk-SK"/>
        </w:rPr>
        <w:t xml:space="preserve"> syndrómom (typy 1 a 2) alebo u osôb </w:t>
      </w:r>
      <w:proofErr w:type="spellStart"/>
      <w:r w:rsidR="00612525">
        <w:rPr>
          <w:lang w:val="sk-SK"/>
        </w:rPr>
        <w:t>s</w:t>
      </w:r>
      <w:r w:rsidRPr="00316F06">
        <w:rPr>
          <w:lang w:val="sk-SK"/>
        </w:rPr>
        <w:t>alel</w:t>
      </w:r>
      <w:r w:rsidR="00612525">
        <w:rPr>
          <w:lang w:val="sk-SK"/>
        </w:rPr>
        <w:t>o</w:t>
      </w:r>
      <w:r w:rsidRPr="00316F06">
        <w:rPr>
          <w:lang w:val="sk-SK"/>
        </w:rPr>
        <w:t>u</w:t>
      </w:r>
      <w:proofErr w:type="spellEnd"/>
      <w:r w:rsidRPr="00316F06">
        <w:rPr>
          <w:lang w:val="sk-SK"/>
        </w:rPr>
        <w:t xml:space="preserve"> </w:t>
      </w:r>
      <w:r w:rsidR="00612525" w:rsidRPr="002C3924">
        <w:rPr>
          <w:lang w:val="sk-SK"/>
        </w:rPr>
        <w:t>variantov</w:t>
      </w:r>
      <w:r w:rsidR="00612525" w:rsidRPr="00316F06">
        <w:rPr>
          <w:lang w:val="sk-SK"/>
        </w:rPr>
        <w:t xml:space="preserve"> </w:t>
      </w:r>
      <w:r w:rsidRPr="00316F06">
        <w:rPr>
          <w:lang w:val="sk-SK"/>
        </w:rPr>
        <w:t>UGT1A1*28 </w:t>
      </w:r>
      <w:r w:rsidR="002C3924">
        <w:rPr>
          <w:lang w:val="sk-SK"/>
        </w:rPr>
        <w:t xml:space="preserve"> a/alebo UGT1A1*</w:t>
      </w:r>
      <w:r w:rsidR="002C3924" w:rsidRPr="002C3924">
        <w:rPr>
          <w:lang w:val="sk-SK"/>
        </w:rPr>
        <w:t xml:space="preserve">6 </w:t>
      </w:r>
      <w:r w:rsidRPr="00316F06">
        <w:rPr>
          <w:lang w:val="sk-SK"/>
        </w:rPr>
        <w:t>(</w:t>
      </w:r>
      <w:proofErr w:type="spellStart"/>
      <w:r w:rsidRPr="00316F06">
        <w:rPr>
          <w:lang w:val="sk-SK"/>
        </w:rPr>
        <w:t>Gilbertov</w:t>
      </w:r>
      <w:proofErr w:type="spellEnd"/>
      <w:r w:rsidRPr="00316F06">
        <w:rPr>
          <w:lang w:val="sk-SK"/>
        </w:rPr>
        <w:t xml:space="preserve"> syndróm) existuje po podaní stredných alebo vysokých dávok (&gt; 150 mg/m²)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zvýšené riziko hematologickej toxicity (3. a 4. stupňa).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Vzťah medzi genotypom UGT1A1 a výskytom hnačky vyvolanej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nom</w:t>
      </w:r>
      <w:proofErr w:type="spellEnd"/>
      <w:r w:rsidRPr="00316F06">
        <w:rPr>
          <w:lang w:val="sk-SK"/>
        </w:rPr>
        <w:t xml:space="preserve"> nebol stanovený.</w:t>
      </w:r>
    </w:p>
    <w:p w14:paraId="79AE962D" w14:textId="5BA957F2" w:rsidR="00913218" w:rsidRPr="00805523" w:rsidRDefault="00913218" w:rsidP="00216DF3">
      <w:pPr>
        <w:rPr>
          <w:lang w:val="sk-SK"/>
        </w:rPr>
      </w:pPr>
      <w:r w:rsidRPr="00316F06">
        <w:rPr>
          <w:lang w:val="sk-SK"/>
        </w:rPr>
        <w:t>Pacientom, o ktorých je známe, že sú homozygotní pre UGT1A1*28</w:t>
      </w:r>
      <w:r w:rsidR="002C3924" w:rsidRPr="00383752">
        <w:rPr>
          <w:lang w:val="sk-SK"/>
        </w:rPr>
        <w:t xml:space="preserve"> </w:t>
      </w:r>
      <w:r w:rsidR="002C3924">
        <w:rPr>
          <w:lang w:val="sk-SK"/>
        </w:rPr>
        <w:t>a/alebo UGT1A1*</w:t>
      </w:r>
      <w:r w:rsidR="002C3924" w:rsidRPr="002C3924">
        <w:rPr>
          <w:lang w:val="sk-SK"/>
        </w:rPr>
        <w:t>6</w:t>
      </w:r>
      <w:r w:rsidRPr="00316F06">
        <w:rPr>
          <w:lang w:val="sk-SK"/>
        </w:rPr>
        <w:t xml:space="preserve">, sa má podávať obvykle indikovaná počiatočná dávka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U týchto pacientov sa však majú sledovať hematologické toxicity.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U pacientov, u ktorých sa pri predchádzajúcej liečbe vyskytla hematologická toxicita, sa má zvážiť znížená počiatočná dávka </w:t>
      </w:r>
      <w:proofErr w:type="spellStart"/>
      <w:r w:rsidRPr="00316F06">
        <w:rPr>
          <w:lang w:val="sk-SK"/>
        </w:rPr>
        <w:t>irinotek</w:t>
      </w:r>
      <w:r w:rsidR="0057387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>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Presné zníženie počiatočnej dávky v tejto </w:t>
      </w:r>
      <w:r w:rsidRPr="00316F06">
        <w:rPr>
          <w:lang w:val="sk-SK"/>
        </w:rPr>
        <w:lastRenderedPageBreak/>
        <w:t>populácii pacientov nebolo stanovené a prípadné následné úpravy dávky majú byť založené na tom, ako pacient znáša liečbu (pozri časti 4.2 a 4.4).</w:t>
      </w:r>
    </w:p>
    <w:p w14:paraId="39C428B2" w14:textId="0A9FBE27" w:rsidR="00913218" w:rsidRPr="00805523" w:rsidRDefault="00913218" w:rsidP="00216DF3">
      <w:pPr>
        <w:rPr>
          <w:lang w:val="sk-SK"/>
        </w:rPr>
      </w:pPr>
      <w:r w:rsidRPr="00316F06">
        <w:rPr>
          <w:lang w:val="sk-SK"/>
        </w:rPr>
        <w:t>V súčasn</w:t>
      </w:r>
      <w:r w:rsidR="00517E89">
        <w:rPr>
          <w:lang w:val="sk-SK"/>
        </w:rPr>
        <w:t>osti</w:t>
      </w:r>
      <w:r w:rsidRPr="00316F06">
        <w:rPr>
          <w:lang w:val="sk-SK"/>
        </w:rPr>
        <w:t xml:space="preserve"> nie je k dispozícii dostatok údajov na vyvodenie záveru o klinickej prospešnosti </w:t>
      </w:r>
      <w:proofErr w:type="spellStart"/>
      <w:r w:rsidRPr="00316F06">
        <w:rPr>
          <w:lang w:val="sk-SK"/>
        </w:rPr>
        <w:t>genotypovania</w:t>
      </w:r>
      <w:proofErr w:type="spellEnd"/>
      <w:r w:rsidRPr="00316F06">
        <w:rPr>
          <w:lang w:val="sk-SK"/>
        </w:rPr>
        <w:t xml:space="preserve"> UGT1A1.</w:t>
      </w:r>
    </w:p>
    <w:p w14:paraId="355A0F8E" w14:textId="77777777" w:rsidR="00913218" w:rsidRPr="00316F06" w:rsidRDefault="00913218">
      <w:pPr>
        <w:rPr>
          <w:lang w:val="sk-SK"/>
        </w:rPr>
      </w:pPr>
    </w:p>
    <w:p w14:paraId="5B137AB9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5.2</w:t>
      </w:r>
      <w:r w:rsidRPr="00316F06">
        <w:rPr>
          <w:b/>
          <w:bCs/>
          <w:lang w:val="sk-SK"/>
        </w:rPr>
        <w:tab/>
      </w:r>
      <w:proofErr w:type="spellStart"/>
      <w:r w:rsidRPr="00316F06">
        <w:rPr>
          <w:b/>
          <w:bCs/>
          <w:lang w:val="sk-SK"/>
        </w:rPr>
        <w:t>Farmakokinetické</w:t>
      </w:r>
      <w:proofErr w:type="spellEnd"/>
      <w:r w:rsidRPr="00316F06">
        <w:rPr>
          <w:b/>
          <w:bCs/>
          <w:lang w:val="sk-SK"/>
        </w:rPr>
        <w:t xml:space="preserve"> vlastnosti</w:t>
      </w:r>
    </w:p>
    <w:p w14:paraId="1557F7A2" w14:textId="77777777" w:rsidR="00913218" w:rsidRPr="00316F06" w:rsidRDefault="00913218">
      <w:pPr>
        <w:keepNext/>
        <w:rPr>
          <w:lang w:val="sk-SK"/>
        </w:rPr>
      </w:pPr>
    </w:p>
    <w:p w14:paraId="6AC3AEF5" w14:textId="6FD88CF1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V </w:t>
      </w:r>
      <w:r w:rsidR="008F0920">
        <w:rPr>
          <w:lang w:val="sk-SK"/>
        </w:rPr>
        <w:t>štúdii</w:t>
      </w:r>
      <w:r w:rsidRPr="00316F06">
        <w:rPr>
          <w:lang w:val="sk-SK"/>
        </w:rPr>
        <w:t xml:space="preserve"> fázy I so 60 pacientmi s dávkovacím režimom 100 až 750 mg/m²</w:t>
      </w:r>
      <w:r w:rsidRPr="00316F06">
        <w:rPr>
          <w:rFonts w:cs="Times New Roman"/>
          <w:lang w:val="sk-SK"/>
        </w:rPr>
        <w:t xml:space="preserve"> každé 3 týždne vo forme 30-minútovej intravenóznej infúzie sa ukázalo, že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</w:t>
      </w:r>
      <w:proofErr w:type="spellEnd"/>
      <w:r w:rsidRPr="00316F06">
        <w:rPr>
          <w:rFonts w:cs="Times New Roman"/>
          <w:lang w:val="sk-SK"/>
        </w:rPr>
        <w:t xml:space="preserve"> má dvojfázový alebo trojfázový eliminačný profil.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Priemerný plazmatický </w:t>
      </w:r>
      <w:proofErr w:type="spellStart"/>
      <w:r w:rsidRPr="00316F06">
        <w:rPr>
          <w:rFonts w:cs="Times New Roman"/>
          <w:lang w:val="sk-SK"/>
        </w:rPr>
        <w:t>klírens</w:t>
      </w:r>
      <w:proofErr w:type="spellEnd"/>
      <w:r w:rsidRPr="00316F06">
        <w:rPr>
          <w:rFonts w:cs="Times New Roman"/>
          <w:lang w:val="sk-SK"/>
        </w:rPr>
        <w:t xml:space="preserve"> bol 15 l/h/m</w:t>
      </w:r>
      <w:r w:rsidRPr="00316F06">
        <w:rPr>
          <w:snapToGrid w:val="0"/>
          <w:lang w:val="sk-SK"/>
        </w:rPr>
        <w:t>²</w:t>
      </w:r>
      <w:r w:rsidRPr="00316F06">
        <w:rPr>
          <w:rFonts w:cs="Times New Roman"/>
          <w:lang w:val="sk-SK"/>
        </w:rPr>
        <w:t xml:space="preserve"> a distribučný objem </w:t>
      </w:r>
      <w:r w:rsidRPr="00316F06">
        <w:rPr>
          <w:lang w:val="sk-SK"/>
        </w:rPr>
        <w:t>v rovnovážnom stave (</w:t>
      </w:r>
      <w:proofErr w:type="spellStart"/>
      <w:r w:rsidRPr="00316F06">
        <w:rPr>
          <w:lang w:val="sk-SK"/>
        </w:rPr>
        <w:t>V</w:t>
      </w:r>
      <w:r w:rsidRPr="00316F06">
        <w:rPr>
          <w:vertAlign w:val="subscript"/>
          <w:lang w:val="sk-SK"/>
        </w:rPr>
        <w:t>ss</w:t>
      </w:r>
      <w:proofErr w:type="spellEnd"/>
      <w:r w:rsidRPr="00316F06">
        <w:rPr>
          <w:lang w:val="sk-SK"/>
        </w:rPr>
        <w:t xml:space="preserve">) 157 l/m². </w:t>
      </w:r>
      <w:r w:rsidRPr="00316F06">
        <w:rPr>
          <w:rFonts w:cs="Times New Roman"/>
          <w:lang w:val="sk-SK"/>
        </w:rPr>
        <w:t>Priemerný plazmatický polčas prvej fázy trojfázového modelu bol 12 minút, druhej fázy 2,5 hodiny a polčas terminálnej fázy bol 14,2 hodín</w:t>
      </w:r>
      <w:r w:rsidRPr="00316F06">
        <w:rPr>
          <w:lang w:val="sk-SK"/>
        </w:rPr>
        <w:t xml:space="preserve">. </w:t>
      </w:r>
      <w:r w:rsidRPr="00316F06">
        <w:rPr>
          <w:rFonts w:cs="Times New Roman"/>
          <w:lang w:val="sk-SK"/>
        </w:rPr>
        <w:t>Preukázalo sa, že SN-38 má dvojfázový eliminačný profil s priemerným polčasom ter</w:t>
      </w:r>
      <w:r w:rsidRPr="00316F06">
        <w:rPr>
          <w:lang w:val="sk-SK"/>
        </w:rPr>
        <w:t xml:space="preserve">minálnej eliminácie 13,8 hodín. </w:t>
      </w:r>
      <w:r w:rsidRPr="00316F06">
        <w:rPr>
          <w:rFonts w:cs="Times New Roman"/>
          <w:lang w:val="sk-SK"/>
        </w:rPr>
        <w:t>Na konci infúzie pri odporúčanej dávke 350</w:t>
      </w:r>
      <w:r w:rsidRPr="00316F06">
        <w:rPr>
          <w:lang w:val="sk-SK"/>
        </w:rPr>
        <w:t xml:space="preserve"> mg/m² bola priemerná maximálna plazmatická koncentrácia </w:t>
      </w:r>
      <w:proofErr w:type="spellStart"/>
      <w:r w:rsidRPr="00316F06">
        <w:rPr>
          <w:lang w:val="sk-SK"/>
        </w:rPr>
        <w:t>irinotek</w:t>
      </w:r>
      <w:r w:rsidR="00A70203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7,7 µg/ml a SN-38 56 </w:t>
      </w:r>
      <w:proofErr w:type="spellStart"/>
      <w:r w:rsidRPr="00316F06">
        <w:rPr>
          <w:lang w:val="sk-SK"/>
        </w:rPr>
        <w:t>ng</w:t>
      </w:r>
      <w:proofErr w:type="spellEnd"/>
      <w:r w:rsidRPr="00316F06">
        <w:rPr>
          <w:lang w:val="sk-SK"/>
        </w:rPr>
        <w:t>/ml. Priemerné hodnoty plochy pod krivkou (AUC) boli 34 µ</w:t>
      </w:r>
      <w:proofErr w:type="spellStart"/>
      <w:r w:rsidRPr="00316F06">
        <w:rPr>
          <w:lang w:val="sk-SK"/>
        </w:rPr>
        <w:t>g</w:t>
      </w:r>
      <w:r w:rsidRPr="00316F06">
        <w:rPr>
          <w:rFonts w:cs="Times New Roman"/>
          <w:lang w:val="sk-SK"/>
        </w:rPr>
        <w:t>·</w:t>
      </w:r>
      <w:r w:rsidRPr="00316F06">
        <w:rPr>
          <w:lang w:val="sk-SK"/>
        </w:rPr>
        <w:t>h</w:t>
      </w:r>
      <w:proofErr w:type="spellEnd"/>
      <w:r w:rsidRPr="00316F06">
        <w:rPr>
          <w:lang w:val="sk-SK"/>
        </w:rPr>
        <w:t xml:space="preserve">/ml pre </w:t>
      </w:r>
      <w:proofErr w:type="spellStart"/>
      <w:r w:rsidRPr="00316F06">
        <w:rPr>
          <w:lang w:val="sk-SK"/>
        </w:rPr>
        <w:t>irinotek</w:t>
      </w:r>
      <w:r w:rsidR="00A70203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a 451 </w:t>
      </w:r>
      <w:proofErr w:type="spellStart"/>
      <w:r w:rsidRPr="00316F06">
        <w:rPr>
          <w:lang w:val="sk-SK"/>
        </w:rPr>
        <w:t>ng</w:t>
      </w:r>
      <w:r w:rsidRPr="00316F06">
        <w:rPr>
          <w:rFonts w:cs="Times New Roman"/>
          <w:lang w:val="sk-SK"/>
        </w:rPr>
        <w:t>·</w:t>
      </w:r>
      <w:r w:rsidRPr="00316F06">
        <w:rPr>
          <w:lang w:val="sk-SK"/>
        </w:rPr>
        <w:t>h</w:t>
      </w:r>
      <w:proofErr w:type="spellEnd"/>
      <w:r w:rsidRPr="00316F06">
        <w:rPr>
          <w:lang w:val="sk-SK"/>
        </w:rPr>
        <w:t xml:space="preserve">/ml pre SN-38. </w:t>
      </w:r>
      <w:r w:rsidRPr="00316F06">
        <w:rPr>
          <w:rFonts w:cs="Times New Roman"/>
          <w:lang w:val="sk-SK"/>
        </w:rPr>
        <w:t xml:space="preserve">Veľká </w:t>
      </w:r>
      <w:proofErr w:type="spellStart"/>
      <w:r w:rsidRPr="00316F06">
        <w:rPr>
          <w:rFonts w:cs="Times New Roman"/>
          <w:lang w:val="sk-SK"/>
        </w:rPr>
        <w:t>interindividuálna</w:t>
      </w:r>
      <w:proofErr w:type="spellEnd"/>
      <w:r w:rsidRPr="00316F06">
        <w:rPr>
          <w:rFonts w:cs="Times New Roman"/>
          <w:lang w:val="sk-SK"/>
        </w:rPr>
        <w:t xml:space="preserve"> variabilita </w:t>
      </w:r>
      <w:proofErr w:type="spellStart"/>
      <w:r w:rsidRPr="00316F06">
        <w:rPr>
          <w:rFonts w:cs="Times New Roman"/>
          <w:lang w:val="sk-SK"/>
        </w:rPr>
        <w:t>farmakokinetických</w:t>
      </w:r>
      <w:proofErr w:type="spellEnd"/>
      <w:r w:rsidRPr="00316F06">
        <w:rPr>
          <w:rFonts w:cs="Times New Roman"/>
          <w:lang w:val="sk-SK"/>
        </w:rPr>
        <w:t xml:space="preserve"> parametrov sa zvyčajne pozorovala pri SN-38.</w:t>
      </w:r>
    </w:p>
    <w:p w14:paraId="701BD42D" w14:textId="77777777" w:rsidR="00913218" w:rsidRPr="00316F06" w:rsidRDefault="00913218">
      <w:pPr>
        <w:rPr>
          <w:lang w:val="sk-SK"/>
        </w:rPr>
      </w:pPr>
    </w:p>
    <w:p w14:paraId="76A7C71E" w14:textId="07DA9DA5" w:rsidR="00913218" w:rsidRPr="00316F06" w:rsidRDefault="00913218" w:rsidP="00E13AB4">
      <w:pPr>
        <w:keepNext/>
        <w:keepLines/>
        <w:rPr>
          <w:lang w:val="sk-SK"/>
        </w:rPr>
      </w:pPr>
      <w:r w:rsidRPr="00316F06">
        <w:rPr>
          <w:rFonts w:cs="Times New Roman"/>
          <w:lang w:val="sk-SK"/>
        </w:rPr>
        <w:t xml:space="preserve">V skúšaniach fázy II sa uskutočnili populačné </w:t>
      </w:r>
      <w:proofErr w:type="spellStart"/>
      <w:r w:rsidRPr="00316F06">
        <w:rPr>
          <w:rFonts w:cs="Times New Roman"/>
          <w:lang w:val="sk-SK"/>
        </w:rPr>
        <w:t>farmakokinetické</w:t>
      </w:r>
      <w:proofErr w:type="spellEnd"/>
      <w:r w:rsidRPr="00316F06">
        <w:rPr>
          <w:rFonts w:cs="Times New Roman"/>
          <w:lang w:val="sk-SK"/>
        </w:rPr>
        <w:t xml:space="preserve"> analýzy </w:t>
      </w:r>
      <w:proofErr w:type="spellStart"/>
      <w:r w:rsidRPr="00316F06">
        <w:rPr>
          <w:rFonts w:cs="Times New Roman"/>
          <w:lang w:val="sk-SK"/>
        </w:rPr>
        <w:t>irinotek</w:t>
      </w:r>
      <w:r w:rsidR="00A70203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u 148 pacientov s metastatickým </w:t>
      </w:r>
      <w:proofErr w:type="spellStart"/>
      <w:r w:rsidRPr="00316F06">
        <w:rPr>
          <w:rFonts w:cs="Times New Roman"/>
          <w:lang w:val="sk-SK"/>
        </w:rPr>
        <w:t>kolorektálnym</w:t>
      </w:r>
      <w:proofErr w:type="spellEnd"/>
      <w:r w:rsidRPr="00316F06">
        <w:rPr>
          <w:rFonts w:cs="Times New Roman"/>
          <w:lang w:val="sk-SK"/>
        </w:rPr>
        <w:t xml:space="preserve"> karcinómom, ktorí boli liečení rôznymi režimami a rôznymi dávkami.</w:t>
      </w:r>
      <w:r w:rsidRPr="00316F06">
        <w:rPr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Farmakokinetické</w:t>
      </w:r>
      <w:proofErr w:type="spellEnd"/>
      <w:r w:rsidRPr="00316F06">
        <w:rPr>
          <w:rFonts w:cs="Times New Roman"/>
          <w:lang w:val="sk-SK"/>
        </w:rPr>
        <w:t xml:space="preserve"> parametre určené </w:t>
      </w:r>
      <w:proofErr w:type="spellStart"/>
      <w:r w:rsidRPr="00316F06">
        <w:rPr>
          <w:rFonts w:cs="Times New Roman"/>
          <w:lang w:val="sk-SK"/>
        </w:rPr>
        <w:t>trojkompartmentovým</w:t>
      </w:r>
      <w:proofErr w:type="spellEnd"/>
      <w:r w:rsidRPr="00316F06">
        <w:rPr>
          <w:rFonts w:cs="Times New Roman"/>
          <w:lang w:val="sk-SK"/>
        </w:rPr>
        <w:t xml:space="preserve"> modelom boli podobné ako parametre pozorované v </w:t>
      </w:r>
      <w:r w:rsidR="005F4F89">
        <w:rPr>
          <w:rFonts w:cs="Times New Roman"/>
          <w:lang w:val="sk-SK"/>
        </w:rPr>
        <w:t>štúdiách</w:t>
      </w:r>
      <w:r w:rsidRPr="00316F06">
        <w:rPr>
          <w:lang w:val="sk-SK"/>
        </w:rPr>
        <w:t xml:space="preserve"> fázy I. Všetky </w:t>
      </w:r>
      <w:r w:rsidR="005F4F89">
        <w:rPr>
          <w:lang w:val="sk-SK"/>
        </w:rPr>
        <w:t>štúdie</w:t>
      </w:r>
      <w:r w:rsidRPr="00316F06">
        <w:rPr>
          <w:lang w:val="sk-SK"/>
        </w:rPr>
        <w:t xml:space="preserve"> preukázali, že expozícia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a SN-38 sa zvyšuje úmerne s podanou dávkou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. Ich </w:t>
      </w:r>
      <w:proofErr w:type="spellStart"/>
      <w:r w:rsidRPr="00316F06">
        <w:rPr>
          <w:rFonts w:cs="Times New Roman"/>
          <w:lang w:val="sk-SK"/>
        </w:rPr>
        <w:t>farmakokinetiky</w:t>
      </w:r>
      <w:proofErr w:type="spellEnd"/>
      <w:r w:rsidRPr="00316F06">
        <w:rPr>
          <w:rFonts w:cs="Times New Roman"/>
          <w:lang w:val="sk-SK"/>
        </w:rPr>
        <w:t xml:space="preserve"> nezávisia od počtu predchádzajúcich cyklov a od režimu podávania dávok.</w:t>
      </w:r>
    </w:p>
    <w:p w14:paraId="1D8EC502" w14:textId="77777777" w:rsidR="00913218" w:rsidRPr="00316F06" w:rsidRDefault="00913218">
      <w:pPr>
        <w:rPr>
          <w:lang w:val="sk-SK"/>
        </w:rPr>
      </w:pPr>
    </w:p>
    <w:p w14:paraId="0928A1FD" w14:textId="68DE8075" w:rsidR="00913218" w:rsidRPr="00316F06" w:rsidRDefault="00913218" w:rsidP="005B3903">
      <w:pPr>
        <w:rPr>
          <w:lang w:val="sk-SK"/>
        </w:rPr>
      </w:pPr>
      <w:r w:rsidRPr="00316F06">
        <w:rPr>
          <w:lang w:val="sk-SK"/>
        </w:rPr>
        <w:t xml:space="preserve">Väzba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na plazmatické bielkoviny </w:t>
      </w:r>
      <w:r w:rsidRPr="00316F06">
        <w:rPr>
          <w:i/>
          <w:iCs/>
          <w:lang w:val="sk-SK"/>
        </w:rPr>
        <w:t xml:space="preserve">in vitro </w:t>
      </w:r>
      <w:r w:rsidRPr="00316F06">
        <w:rPr>
          <w:lang w:val="sk-SK"/>
        </w:rPr>
        <w:t>bola približne 65 % a SN-38 95 %.</w:t>
      </w:r>
    </w:p>
    <w:p w14:paraId="76DB2C97" w14:textId="77777777" w:rsidR="00913218" w:rsidRPr="00316F06" w:rsidRDefault="00913218">
      <w:pPr>
        <w:rPr>
          <w:lang w:val="sk-SK"/>
        </w:rPr>
      </w:pPr>
    </w:p>
    <w:p w14:paraId="514A9A36" w14:textId="139CF33D" w:rsidR="00913218" w:rsidRPr="00316F06" w:rsidRDefault="005F4F89">
      <w:pPr>
        <w:rPr>
          <w:lang w:val="sk-SK"/>
        </w:rPr>
      </w:pPr>
      <w:r>
        <w:rPr>
          <w:lang w:val="sk-SK"/>
        </w:rPr>
        <w:t>Štúdie</w:t>
      </w:r>
      <w:r w:rsidR="00913218" w:rsidRPr="00316F06">
        <w:rPr>
          <w:lang w:val="sk-SK"/>
        </w:rPr>
        <w:t xml:space="preserve"> hmotnostnej bilancie a metabolizmu s</w:t>
      </w:r>
      <w:r w:rsidR="00913218" w:rsidRPr="00316F06">
        <w:rPr>
          <w:rFonts w:cs="Times New Roman"/>
          <w:lang w:val="sk-SK"/>
        </w:rPr>
        <w:t xml:space="preserve"> liečivom značeným </w:t>
      </w:r>
      <w:r w:rsidR="00913218" w:rsidRPr="00316F06">
        <w:rPr>
          <w:vertAlign w:val="superscript"/>
          <w:lang w:val="sk-SK"/>
        </w:rPr>
        <w:t>14</w:t>
      </w:r>
      <w:r w:rsidR="00913218" w:rsidRPr="00316F06">
        <w:rPr>
          <w:rFonts w:cs="Times New Roman"/>
          <w:lang w:val="sk-SK"/>
        </w:rPr>
        <w:t xml:space="preserve">C preukázali, že viac ako 50 % intravenózne podanej dávky </w:t>
      </w:r>
      <w:proofErr w:type="spellStart"/>
      <w:r w:rsidR="00913218" w:rsidRPr="00316F06">
        <w:rPr>
          <w:rFonts w:cs="Times New Roman"/>
          <w:lang w:val="sk-SK"/>
        </w:rPr>
        <w:t>irinotek</w:t>
      </w:r>
      <w:r>
        <w:rPr>
          <w:rFonts w:cs="Times New Roman"/>
          <w:lang w:val="sk-SK"/>
        </w:rPr>
        <w:t>á</w:t>
      </w:r>
      <w:r w:rsidR="00913218" w:rsidRPr="00316F06">
        <w:rPr>
          <w:rFonts w:cs="Times New Roman"/>
          <w:lang w:val="sk-SK"/>
        </w:rPr>
        <w:t>nu</w:t>
      </w:r>
      <w:proofErr w:type="spellEnd"/>
      <w:r w:rsidR="00913218" w:rsidRPr="00316F06">
        <w:rPr>
          <w:rFonts w:cs="Times New Roman"/>
          <w:lang w:val="sk-SK"/>
        </w:rPr>
        <w:t xml:space="preserve"> sa vylučuje v nezmenenej forme, z toho 33 % stolicou hlavne žlčou a 22 % močom.</w:t>
      </w:r>
    </w:p>
    <w:p w14:paraId="360ADF1C" w14:textId="77777777" w:rsidR="00913218" w:rsidRPr="00316F06" w:rsidRDefault="00913218">
      <w:pPr>
        <w:rPr>
          <w:lang w:val="sk-SK"/>
        </w:rPr>
      </w:pPr>
    </w:p>
    <w:p w14:paraId="5A1E18AD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Existujú dve cesty metabolizmu, z ktorých každou sa metabolizuje najmenej 12 % dávky:</w:t>
      </w:r>
    </w:p>
    <w:p w14:paraId="4FA58714" w14:textId="77777777" w:rsidR="00913218" w:rsidRPr="00316F06" w:rsidRDefault="00913218">
      <w:pPr>
        <w:rPr>
          <w:lang w:val="sk-SK"/>
        </w:rPr>
      </w:pPr>
    </w:p>
    <w:p w14:paraId="1C3BE921" w14:textId="072C1EDD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</w:r>
      <w:r w:rsidRPr="00316F06">
        <w:rPr>
          <w:rFonts w:cs="Times New Roman"/>
          <w:lang w:val="sk-SK"/>
        </w:rPr>
        <w:t xml:space="preserve">Hydrolýza </w:t>
      </w:r>
      <w:proofErr w:type="spellStart"/>
      <w:r w:rsidRPr="00316F06">
        <w:rPr>
          <w:rFonts w:cs="Times New Roman"/>
          <w:lang w:val="sk-SK"/>
        </w:rPr>
        <w:t>karboxylesterázou</w:t>
      </w:r>
      <w:proofErr w:type="spellEnd"/>
      <w:r w:rsidRPr="00316F06">
        <w:rPr>
          <w:rFonts w:cs="Times New Roman"/>
          <w:lang w:val="sk-SK"/>
        </w:rPr>
        <w:t xml:space="preserve"> na účinný </w:t>
      </w:r>
      <w:proofErr w:type="spellStart"/>
      <w:r w:rsidRPr="00316F06">
        <w:rPr>
          <w:rFonts w:cs="Times New Roman"/>
          <w:lang w:val="sk-SK"/>
        </w:rPr>
        <w:t>metabolit</w:t>
      </w:r>
      <w:proofErr w:type="spellEnd"/>
      <w:r w:rsidRPr="00316F06">
        <w:rPr>
          <w:rFonts w:cs="Times New Roman"/>
          <w:lang w:val="sk-SK"/>
        </w:rPr>
        <w:t xml:space="preserve"> SN-38. SN-38 sa eliminuje prevažne </w:t>
      </w:r>
      <w:proofErr w:type="spellStart"/>
      <w:r w:rsidRPr="00316F06">
        <w:rPr>
          <w:rFonts w:cs="Times New Roman"/>
          <w:lang w:val="sk-SK"/>
        </w:rPr>
        <w:t>glukuronidáciou</w:t>
      </w:r>
      <w:proofErr w:type="spellEnd"/>
      <w:r w:rsidRPr="00316F06">
        <w:rPr>
          <w:rFonts w:cs="Times New Roman"/>
          <w:lang w:val="sk-SK"/>
        </w:rPr>
        <w:t xml:space="preserve"> a ďalej žlčovou a </w:t>
      </w:r>
      <w:proofErr w:type="spellStart"/>
      <w:r w:rsidRPr="00316F06">
        <w:rPr>
          <w:rFonts w:cs="Times New Roman"/>
          <w:lang w:val="sk-SK"/>
        </w:rPr>
        <w:t>renálnou</w:t>
      </w:r>
      <w:proofErr w:type="spellEnd"/>
      <w:r w:rsidRPr="00316F06">
        <w:rPr>
          <w:rFonts w:cs="Times New Roman"/>
          <w:lang w:val="sk-SK"/>
        </w:rPr>
        <w:t xml:space="preserve"> exkréciou (menej ako 0,5 % dávky </w:t>
      </w:r>
      <w:proofErr w:type="spellStart"/>
      <w:r w:rsidRPr="00316F06">
        <w:rPr>
          <w:rFonts w:cs="Times New Roman"/>
          <w:lang w:val="sk-SK"/>
        </w:rPr>
        <w:t>irinotek</w:t>
      </w:r>
      <w:r w:rsidR="005F4F89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>).</w:t>
      </w:r>
      <w:r w:rsidRPr="00316F06">
        <w:rPr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Glukuronid</w:t>
      </w:r>
      <w:proofErr w:type="spellEnd"/>
      <w:r w:rsidRPr="00316F06">
        <w:rPr>
          <w:rFonts w:cs="Times New Roman"/>
          <w:lang w:val="sk-SK"/>
        </w:rPr>
        <w:t xml:space="preserve"> SN-38 sa následne pravdepodobne hydrolyzuje v črevách.</w:t>
      </w:r>
    </w:p>
    <w:p w14:paraId="416B48D1" w14:textId="77777777" w:rsidR="00913218" w:rsidRPr="00316F06" w:rsidRDefault="00913218">
      <w:pPr>
        <w:rPr>
          <w:lang w:val="sk-SK"/>
        </w:rPr>
      </w:pPr>
    </w:p>
    <w:p w14:paraId="4BD54BBF" w14:textId="77777777" w:rsidR="00913218" w:rsidRPr="00316F06" w:rsidRDefault="00913218" w:rsidP="0053208E">
      <w:pPr>
        <w:ind w:left="567" w:hanging="567"/>
        <w:rPr>
          <w:lang w:val="sk-SK"/>
        </w:rPr>
      </w:pPr>
      <w:r w:rsidRPr="00316F06">
        <w:rPr>
          <w:lang w:val="sk-SK"/>
        </w:rPr>
        <w:t>●</w:t>
      </w:r>
      <w:r w:rsidRPr="00316F06">
        <w:rPr>
          <w:lang w:val="sk-SK"/>
        </w:rPr>
        <w:tab/>
        <w:t>Enzymatické oxidácie cytochrómu P450 3A, ktoré vedú</w:t>
      </w:r>
      <w:r w:rsidRPr="00316F06">
        <w:rPr>
          <w:rFonts w:cs="Times New Roman"/>
          <w:lang w:val="sk-SK"/>
        </w:rPr>
        <w:t xml:space="preserve"> k otvoreniu vonkajšieho </w:t>
      </w:r>
      <w:proofErr w:type="spellStart"/>
      <w:r w:rsidRPr="00316F06">
        <w:rPr>
          <w:rFonts w:cs="Times New Roman"/>
          <w:lang w:val="sk-SK"/>
        </w:rPr>
        <w:t>piperidínového</w:t>
      </w:r>
      <w:proofErr w:type="spellEnd"/>
      <w:r w:rsidRPr="00316F06">
        <w:rPr>
          <w:rFonts w:cs="Times New Roman"/>
          <w:lang w:val="sk-SK"/>
        </w:rPr>
        <w:t xml:space="preserve"> cyklu s tvorbou APC (derivát kyseliny </w:t>
      </w:r>
      <w:proofErr w:type="spellStart"/>
      <w:r w:rsidRPr="00316F06">
        <w:rPr>
          <w:rFonts w:cs="Times New Roman"/>
          <w:lang w:val="sk-SK"/>
        </w:rPr>
        <w:t>aminopentánovej</w:t>
      </w:r>
      <w:proofErr w:type="spellEnd"/>
      <w:r w:rsidRPr="00316F06">
        <w:rPr>
          <w:rFonts w:cs="Times New Roman"/>
          <w:lang w:val="sk-SK"/>
        </w:rPr>
        <w:t xml:space="preserve">) a NPC (primárny </w:t>
      </w:r>
      <w:proofErr w:type="spellStart"/>
      <w:r w:rsidRPr="00316F06">
        <w:rPr>
          <w:rFonts w:cs="Times New Roman"/>
          <w:lang w:val="sk-SK"/>
        </w:rPr>
        <w:t>aminoderivát</w:t>
      </w:r>
      <w:proofErr w:type="spellEnd"/>
      <w:r w:rsidRPr="00316F06">
        <w:rPr>
          <w:rFonts w:cs="Times New Roman"/>
          <w:lang w:val="sk-SK"/>
        </w:rPr>
        <w:t>) (pozri časť 4.5).</w:t>
      </w:r>
    </w:p>
    <w:p w14:paraId="50C7C5B6" w14:textId="77777777" w:rsidR="00913218" w:rsidRPr="00316F06" w:rsidRDefault="00913218">
      <w:pPr>
        <w:rPr>
          <w:lang w:val="sk-SK"/>
        </w:rPr>
      </w:pPr>
    </w:p>
    <w:p w14:paraId="1AF8C377" w14:textId="42A8C480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V plazme prevažuje nemodifikovaný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, po ktorom nasleduje APC, </w:t>
      </w:r>
      <w:proofErr w:type="spellStart"/>
      <w:r w:rsidRPr="00316F06">
        <w:rPr>
          <w:lang w:val="sk-SK"/>
        </w:rPr>
        <w:t>glukuronid</w:t>
      </w:r>
      <w:proofErr w:type="spellEnd"/>
      <w:r w:rsidRPr="00316F06">
        <w:rPr>
          <w:lang w:val="sk-SK"/>
        </w:rPr>
        <w:t xml:space="preserve"> SN-38 a SN-38. Významnú </w:t>
      </w:r>
      <w:proofErr w:type="spellStart"/>
      <w:r w:rsidRPr="00316F06">
        <w:rPr>
          <w:lang w:val="sk-SK"/>
        </w:rPr>
        <w:t>cytotoxickú</w:t>
      </w:r>
      <w:proofErr w:type="spellEnd"/>
      <w:r w:rsidRPr="00316F06">
        <w:rPr>
          <w:lang w:val="sk-SK"/>
        </w:rPr>
        <w:t xml:space="preserve"> aktivitu má iba SN-38.</w:t>
      </w:r>
    </w:p>
    <w:p w14:paraId="546F78BB" w14:textId="77777777" w:rsidR="00913218" w:rsidRPr="00316F06" w:rsidRDefault="00913218">
      <w:pPr>
        <w:rPr>
          <w:lang w:val="sk-SK"/>
        </w:rPr>
      </w:pPr>
    </w:p>
    <w:p w14:paraId="5377893B" w14:textId="3D6F6CE1" w:rsidR="00913218" w:rsidRPr="00316F06" w:rsidRDefault="00913218">
      <w:pPr>
        <w:rPr>
          <w:lang w:val="sk-SK"/>
        </w:rPr>
      </w:pPr>
      <w:proofErr w:type="spellStart"/>
      <w:r w:rsidRPr="00316F06">
        <w:rPr>
          <w:lang w:val="sk-SK"/>
        </w:rPr>
        <w:t>Klírens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je znížený približne o 40 % u pacientov s </w:t>
      </w:r>
      <w:proofErr w:type="spellStart"/>
      <w:r w:rsidRPr="00316F06">
        <w:rPr>
          <w:lang w:val="sk-SK"/>
        </w:rPr>
        <w:t>bilirubinémiou</w:t>
      </w:r>
      <w:proofErr w:type="spellEnd"/>
      <w:r w:rsidRPr="00316F06">
        <w:rPr>
          <w:lang w:val="sk-SK"/>
        </w:rPr>
        <w:t xml:space="preserve"> v rozsahu od 1,5- do 3-násobku hornej hranice normy. U týchto pacientov dávka </w:t>
      </w:r>
      <w:proofErr w:type="spellStart"/>
      <w:r w:rsidRPr="00316F06">
        <w:rPr>
          <w:lang w:val="sk-SK"/>
        </w:rPr>
        <w:t>irinotek</w:t>
      </w:r>
      <w:r w:rsidR="005F4F89">
        <w:rPr>
          <w:lang w:val="sk-SK"/>
        </w:rPr>
        <w:t>á</w:t>
      </w:r>
      <w:r w:rsidRPr="00316F06">
        <w:rPr>
          <w:lang w:val="sk-SK"/>
        </w:rPr>
        <w:t>nu</w:t>
      </w:r>
      <w:proofErr w:type="spellEnd"/>
      <w:r w:rsidRPr="00316F06">
        <w:rPr>
          <w:lang w:val="sk-SK"/>
        </w:rPr>
        <w:t xml:space="preserve"> 200 mg/m² spô</w:t>
      </w:r>
      <w:r w:rsidRPr="00316F06">
        <w:rPr>
          <w:rFonts w:cs="Times New Roman"/>
          <w:lang w:val="sk-SK"/>
        </w:rPr>
        <w:t>sobuje plazmatickú expozíciu lieku, ktorá je porovnateľná s expozíciou pozorovanou pri dávke 350</w:t>
      </w:r>
      <w:r w:rsidRPr="00316F06">
        <w:rPr>
          <w:lang w:val="sk-SK"/>
        </w:rPr>
        <w:t> mg/m²</w:t>
      </w:r>
      <w:r w:rsidRPr="00316F06">
        <w:rPr>
          <w:rFonts w:cs="Times New Roman"/>
          <w:lang w:val="sk-SK"/>
        </w:rPr>
        <w:t xml:space="preserve"> u pacientov s karcinómom a s normálnymi pečeňovými parametrami.</w:t>
      </w:r>
    </w:p>
    <w:p w14:paraId="2BD87A78" w14:textId="77777777" w:rsidR="00913218" w:rsidRPr="00316F06" w:rsidRDefault="00913218">
      <w:pPr>
        <w:rPr>
          <w:lang w:val="sk-SK"/>
        </w:rPr>
      </w:pPr>
    </w:p>
    <w:p w14:paraId="2ADF25DC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5.3</w:t>
      </w:r>
      <w:r w:rsidRPr="00316F06">
        <w:rPr>
          <w:b/>
          <w:bCs/>
          <w:lang w:val="sk-SK"/>
        </w:rPr>
        <w:tab/>
      </w:r>
      <w:r w:rsidRPr="00316F06">
        <w:rPr>
          <w:rFonts w:cs="Times New Roman"/>
          <w:b/>
          <w:bCs/>
          <w:lang w:val="sk-SK"/>
        </w:rPr>
        <w:t>Predklinické údaje o bezpečnosti</w:t>
      </w:r>
    </w:p>
    <w:p w14:paraId="4DBC41B6" w14:textId="77777777" w:rsidR="00913218" w:rsidRPr="00316F06" w:rsidRDefault="00913218">
      <w:pPr>
        <w:keepNext/>
        <w:rPr>
          <w:lang w:val="sk-SK"/>
        </w:rPr>
      </w:pPr>
    </w:p>
    <w:p w14:paraId="4A31C652" w14:textId="76B0CEA0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Preukázalo sa, že </w:t>
      </w:r>
      <w:proofErr w:type="spellStart"/>
      <w:r w:rsidRPr="00316F06">
        <w:rPr>
          <w:lang w:val="sk-SK"/>
        </w:rPr>
        <w:t>irinotek</w:t>
      </w:r>
      <w:r w:rsidR="008F0920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a SN -38 sú </w:t>
      </w:r>
      <w:r w:rsidRPr="00316F06">
        <w:rPr>
          <w:i/>
          <w:iCs/>
          <w:lang w:val="sk-SK"/>
        </w:rPr>
        <w:t xml:space="preserve">in vitro </w:t>
      </w:r>
      <w:r w:rsidRPr="00316F06">
        <w:rPr>
          <w:lang w:val="sk-SK"/>
        </w:rPr>
        <w:t xml:space="preserve">mutagénne v teste chromozomálnych aberácií na bunkách CHO, rovnako ako v </w:t>
      </w:r>
      <w:r w:rsidRPr="00316F06">
        <w:rPr>
          <w:i/>
          <w:iCs/>
          <w:lang w:val="sk-SK"/>
        </w:rPr>
        <w:t xml:space="preserve">in </w:t>
      </w:r>
      <w:proofErr w:type="spellStart"/>
      <w:r w:rsidRPr="00316F06">
        <w:rPr>
          <w:i/>
          <w:iCs/>
          <w:lang w:val="sk-SK"/>
        </w:rPr>
        <w:t>vivo</w:t>
      </w:r>
      <w:proofErr w:type="spellEnd"/>
      <w:r w:rsidRPr="00316F06">
        <w:rPr>
          <w:i/>
          <w:iCs/>
          <w:lang w:val="sk-SK"/>
        </w:rPr>
        <w:t xml:space="preserve"> </w:t>
      </w:r>
      <w:proofErr w:type="spellStart"/>
      <w:r w:rsidRPr="00316F06">
        <w:rPr>
          <w:lang w:val="sk-SK"/>
        </w:rPr>
        <w:t>mikronukleovom</w:t>
      </w:r>
      <w:proofErr w:type="spellEnd"/>
      <w:r w:rsidRPr="00316F06">
        <w:rPr>
          <w:lang w:val="sk-SK"/>
        </w:rPr>
        <w:t xml:space="preserve"> teste na myšiach. </w:t>
      </w:r>
      <w:proofErr w:type="spellStart"/>
      <w:r w:rsidRPr="00316F06">
        <w:rPr>
          <w:lang w:val="sk-SK"/>
        </w:rPr>
        <w:t>Amesov</w:t>
      </w:r>
      <w:proofErr w:type="spellEnd"/>
      <w:r w:rsidRPr="00316F06">
        <w:rPr>
          <w:lang w:val="sk-SK"/>
        </w:rPr>
        <w:t xml:space="preserve"> test však mutagénny potenciál nedokázal.</w:t>
      </w:r>
    </w:p>
    <w:p w14:paraId="72922482" w14:textId="77777777" w:rsidR="00913218" w:rsidRPr="00316F06" w:rsidRDefault="00913218">
      <w:pPr>
        <w:rPr>
          <w:lang w:val="sk-SK"/>
        </w:rPr>
      </w:pPr>
    </w:p>
    <w:p w14:paraId="6B8F7E91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lastRenderedPageBreak/>
        <w:t>U potkanov liečených raz týždenne po dobu 13 týždňov maximálnou dávkou 150</w:t>
      </w:r>
      <w:r w:rsidRPr="00316F06">
        <w:rPr>
          <w:lang w:val="sk-SK"/>
        </w:rPr>
        <w:t> mg/m</w:t>
      </w:r>
      <w:r w:rsidRPr="00316F06">
        <w:rPr>
          <w:vertAlign w:val="superscript"/>
          <w:lang w:val="sk-SK"/>
        </w:rPr>
        <w:t>²</w:t>
      </w:r>
      <w:r w:rsidRPr="00316F06">
        <w:rPr>
          <w:rFonts w:cs="Times New Roman"/>
          <w:lang w:val="sk-SK"/>
        </w:rPr>
        <w:t xml:space="preserve"> (čo je menej ako polovica odporúčanej dávky u ľudí) sa </w:t>
      </w:r>
      <w:r w:rsidRPr="00316F06">
        <w:rPr>
          <w:lang w:val="sk-SK"/>
        </w:rPr>
        <w:t xml:space="preserve">po </w:t>
      </w:r>
      <w:r w:rsidRPr="00316F06">
        <w:rPr>
          <w:rFonts w:cs="Times New Roman"/>
          <w:lang w:val="sk-SK"/>
        </w:rPr>
        <w:t>91 týždňo</w:t>
      </w:r>
      <w:r w:rsidRPr="00316F06">
        <w:rPr>
          <w:lang w:val="sk-SK"/>
        </w:rPr>
        <w:t xml:space="preserve">ch od </w:t>
      </w:r>
      <w:r w:rsidRPr="00316F06">
        <w:rPr>
          <w:rFonts w:cs="Times New Roman"/>
          <w:lang w:val="sk-SK"/>
        </w:rPr>
        <w:t>ukončen</w:t>
      </w:r>
      <w:r w:rsidRPr="00316F06">
        <w:rPr>
          <w:lang w:val="sk-SK"/>
        </w:rPr>
        <w:t xml:space="preserve">ia </w:t>
      </w:r>
      <w:r w:rsidRPr="00316F06">
        <w:rPr>
          <w:rFonts w:cs="Times New Roman"/>
          <w:lang w:val="sk-SK"/>
        </w:rPr>
        <w:t>liečby nepozorovali žiadne tumory súvisiace s liečbou.</w:t>
      </w:r>
    </w:p>
    <w:p w14:paraId="7AF77DBA" w14:textId="77777777" w:rsidR="00913218" w:rsidRPr="00316F06" w:rsidRDefault="00913218">
      <w:pPr>
        <w:rPr>
          <w:lang w:val="sk-SK"/>
        </w:rPr>
      </w:pPr>
    </w:p>
    <w:p w14:paraId="039F4EEC" w14:textId="77F3B6A0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 xml:space="preserve">Skúšania toxicity po jednorazovom a opakovanom podaní </w:t>
      </w:r>
      <w:proofErr w:type="spellStart"/>
      <w:r w:rsidRPr="00316F06">
        <w:rPr>
          <w:rFonts w:cs="Times New Roman"/>
          <w:lang w:val="sk-SK"/>
        </w:rPr>
        <w:t>irinotek</w:t>
      </w:r>
      <w:r w:rsidR="008F0920">
        <w:rPr>
          <w:rFonts w:cs="Times New Roman"/>
          <w:lang w:val="sk-SK"/>
        </w:rPr>
        <w:t>á</w:t>
      </w:r>
      <w:r w:rsidRPr="00316F06">
        <w:rPr>
          <w:rFonts w:cs="Times New Roman"/>
          <w:lang w:val="sk-SK"/>
        </w:rPr>
        <w:t>nu</w:t>
      </w:r>
      <w:proofErr w:type="spellEnd"/>
      <w:r w:rsidRPr="00316F06">
        <w:rPr>
          <w:rFonts w:cs="Times New Roman"/>
          <w:lang w:val="sk-SK"/>
        </w:rPr>
        <w:t xml:space="preserve"> sa uskutočnili na myšiach, potkanoch a psoch.</w:t>
      </w:r>
      <w:r w:rsidRPr="00316F06">
        <w:rPr>
          <w:lang w:val="sk-SK"/>
        </w:rPr>
        <w:t xml:space="preserve"> Boli pozorované t</w:t>
      </w:r>
      <w:r w:rsidRPr="00316F06">
        <w:rPr>
          <w:rFonts w:cs="Times New Roman"/>
          <w:lang w:val="sk-SK"/>
        </w:rPr>
        <w:t xml:space="preserve">oxické účinky hlavne na </w:t>
      </w:r>
      <w:proofErr w:type="spellStart"/>
      <w:r w:rsidRPr="00316F06">
        <w:rPr>
          <w:rFonts w:cs="Times New Roman"/>
          <w:lang w:val="sk-SK"/>
        </w:rPr>
        <w:t>hematopoetický</w:t>
      </w:r>
      <w:proofErr w:type="spellEnd"/>
      <w:r w:rsidRPr="00316F06">
        <w:rPr>
          <w:rFonts w:cs="Times New Roman"/>
          <w:lang w:val="sk-SK"/>
        </w:rPr>
        <w:t xml:space="preserve"> a lymfatický systém.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U psov bola hlásená neskorá hnačka spojená s atrofiou a fokálnou nekrózou črevnej sliznice.</w:t>
      </w:r>
      <w:r w:rsidRPr="00316F06">
        <w:rPr>
          <w:lang w:val="sk-SK"/>
        </w:rPr>
        <w:t xml:space="preserve"> U psov bola pozorovaná aj </w:t>
      </w:r>
      <w:proofErr w:type="spellStart"/>
      <w:r w:rsidRPr="00316F06">
        <w:rPr>
          <w:lang w:val="sk-SK"/>
        </w:rPr>
        <w:t>alopécia</w:t>
      </w:r>
      <w:proofErr w:type="spellEnd"/>
      <w:r w:rsidRPr="00316F06">
        <w:rPr>
          <w:lang w:val="sk-SK"/>
        </w:rPr>
        <w:t xml:space="preserve">. </w:t>
      </w:r>
      <w:r w:rsidRPr="00316F06">
        <w:rPr>
          <w:rFonts w:cs="Times New Roman"/>
          <w:lang w:val="sk-SK"/>
        </w:rPr>
        <w:t>Závažnosť týchto účinkov závisela od dávky a účinky boli reverzibiln</w:t>
      </w:r>
      <w:r w:rsidRPr="00316F06">
        <w:rPr>
          <w:lang w:val="sk-SK"/>
        </w:rPr>
        <w:t>é.</w:t>
      </w:r>
    </w:p>
    <w:p w14:paraId="11A35B13" w14:textId="77777777" w:rsidR="00913218" w:rsidRPr="00316F06" w:rsidRDefault="00913218">
      <w:pPr>
        <w:rPr>
          <w:lang w:val="sk-SK"/>
        </w:rPr>
      </w:pPr>
    </w:p>
    <w:p w14:paraId="42E9A93D" w14:textId="57654267" w:rsidR="00913218" w:rsidRPr="00805523" w:rsidRDefault="00913218" w:rsidP="00216DF3">
      <w:pPr>
        <w:keepNext/>
        <w:keepLines/>
        <w:rPr>
          <w:u w:val="single"/>
          <w:lang w:val="sk-SK"/>
        </w:rPr>
      </w:pPr>
      <w:r w:rsidRPr="00316F06">
        <w:rPr>
          <w:u w:val="single"/>
          <w:lang w:val="sk-SK"/>
        </w:rPr>
        <w:t>R</w:t>
      </w:r>
      <w:r w:rsidR="008F0920">
        <w:rPr>
          <w:u w:val="single"/>
          <w:lang w:val="sk-SK"/>
        </w:rPr>
        <w:t>eprodukcia</w:t>
      </w:r>
    </w:p>
    <w:p w14:paraId="190E71FD" w14:textId="77777777" w:rsidR="00913218" w:rsidRPr="00805523" w:rsidRDefault="00913218" w:rsidP="00216DF3">
      <w:pPr>
        <w:keepNext/>
        <w:keepLines/>
        <w:rPr>
          <w:bCs/>
          <w:lang w:val="sk-SK"/>
        </w:rPr>
      </w:pPr>
      <w:proofErr w:type="spellStart"/>
      <w:r w:rsidRPr="00316F06">
        <w:rPr>
          <w:lang w:val="sk-SK"/>
        </w:rPr>
        <w:t>Irinotek</w:t>
      </w:r>
      <w:r w:rsidR="008F0920">
        <w:rPr>
          <w:lang w:val="sk-SK"/>
        </w:rPr>
        <w:t>á</w:t>
      </w:r>
      <w:r w:rsidRPr="00316F06">
        <w:rPr>
          <w:lang w:val="sk-SK"/>
        </w:rPr>
        <w:t>n</w:t>
      </w:r>
      <w:proofErr w:type="spellEnd"/>
      <w:r w:rsidRPr="00316F06">
        <w:rPr>
          <w:lang w:val="sk-SK"/>
        </w:rPr>
        <w:t xml:space="preserve"> bol </w:t>
      </w:r>
      <w:proofErr w:type="spellStart"/>
      <w:r w:rsidRPr="00316F06">
        <w:rPr>
          <w:lang w:val="sk-SK"/>
        </w:rPr>
        <w:t>teratogénny</w:t>
      </w:r>
      <w:proofErr w:type="spellEnd"/>
      <w:r w:rsidRPr="00316F06">
        <w:rPr>
          <w:lang w:val="sk-SK"/>
        </w:rPr>
        <w:t xml:space="preserve"> u potkanov a králikov pri dávkach nižších ako terapeutická dávka u ľudí.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 xml:space="preserve">U potkanov bol zaznamenaný pokles </w:t>
      </w:r>
      <w:proofErr w:type="spellStart"/>
      <w:r w:rsidRPr="00316F06">
        <w:rPr>
          <w:lang w:val="sk-SK"/>
        </w:rPr>
        <w:t>fertility</w:t>
      </w:r>
      <w:proofErr w:type="spellEnd"/>
      <w:r w:rsidRPr="00316F06">
        <w:rPr>
          <w:lang w:val="sk-SK"/>
        </w:rPr>
        <w:t xml:space="preserve"> mláďat narodených liečeným zvieratám s externými abnormalitami.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Tento účinok nebol zaznamenaný u morfologicky normálnych mláďat.</w:t>
      </w:r>
      <w:r w:rsidRPr="00805523">
        <w:rPr>
          <w:lang w:val="sk-SK"/>
        </w:rPr>
        <w:t xml:space="preserve"> </w:t>
      </w:r>
      <w:r w:rsidRPr="00316F06">
        <w:rPr>
          <w:lang w:val="sk-SK"/>
        </w:rPr>
        <w:t>U gravidných potkanov došlo k zníženiu hmotnosti placenty a u ich potomstva k poklesu životaschopnosti plodu a zvýšeniu porúch správania.</w:t>
      </w:r>
    </w:p>
    <w:p w14:paraId="5A37AECE" w14:textId="77777777" w:rsidR="00913218" w:rsidRPr="00805523" w:rsidRDefault="00913218" w:rsidP="00216DF3">
      <w:pPr>
        <w:rPr>
          <w:bCs/>
          <w:lang w:val="sk-SK"/>
        </w:rPr>
      </w:pPr>
    </w:p>
    <w:p w14:paraId="253A0202" w14:textId="77777777" w:rsidR="00913218" w:rsidRPr="00316F06" w:rsidRDefault="00913218">
      <w:pPr>
        <w:rPr>
          <w:lang w:val="sk-SK"/>
        </w:rPr>
      </w:pPr>
    </w:p>
    <w:p w14:paraId="3D6BD327" w14:textId="77777777" w:rsidR="00913218" w:rsidRPr="00316F06" w:rsidRDefault="00913218" w:rsidP="004F1B7C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6.</w:t>
      </w:r>
      <w:r w:rsidRPr="00316F06">
        <w:rPr>
          <w:b/>
          <w:bCs/>
          <w:lang w:val="sk-SK"/>
        </w:rPr>
        <w:tab/>
        <w:t>FARMACEUTICKÉ INFORMÁCIE</w:t>
      </w:r>
    </w:p>
    <w:p w14:paraId="6C90637F" w14:textId="77777777" w:rsidR="00913218" w:rsidRPr="00316F06" w:rsidRDefault="00913218" w:rsidP="004F1B7C">
      <w:pPr>
        <w:keepNext/>
        <w:keepLines/>
        <w:rPr>
          <w:lang w:val="sk-SK"/>
        </w:rPr>
      </w:pPr>
    </w:p>
    <w:p w14:paraId="7A45E14A" w14:textId="77777777" w:rsidR="00913218" w:rsidRPr="00316F06" w:rsidRDefault="00913218" w:rsidP="004F1B7C">
      <w:pPr>
        <w:keepNext/>
        <w:keepLines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6.1</w:t>
      </w:r>
      <w:r w:rsidRPr="00316F06">
        <w:rPr>
          <w:b/>
          <w:bCs/>
          <w:lang w:val="sk-SK"/>
        </w:rPr>
        <w:tab/>
        <w:t>Zoznam pomocných látok</w:t>
      </w:r>
    </w:p>
    <w:p w14:paraId="65E0D223" w14:textId="77777777" w:rsidR="00913218" w:rsidRPr="00316F06" w:rsidRDefault="00913218" w:rsidP="004F1B7C">
      <w:pPr>
        <w:keepNext/>
        <w:keepLines/>
        <w:rPr>
          <w:lang w:val="sk-SK"/>
        </w:rPr>
      </w:pPr>
    </w:p>
    <w:p w14:paraId="7CEA6519" w14:textId="77777777" w:rsidR="00913218" w:rsidRPr="00316F06" w:rsidRDefault="00913218" w:rsidP="004F1B7C">
      <w:pPr>
        <w:keepNext/>
        <w:keepLines/>
        <w:rPr>
          <w:lang w:val="sk-SK"/>
        </w:rPr>
      </w:pPr>
      <w:proofErr w:type="spellStart"/>
      <w:r w:rsidRPr="00316F06">
        <w:rPr>
          <w:lang w:val="sk-SK"/>
        </w:rPr>
        <w:t>Sorbitol</w:t>
      </w:r>
      <w:proofErr w:type="spellEnd"/>
      <w:r w:rsidRPr="00316F06">
        <w:rPr>
          <w:lang w:val="sk-SK"/>
        </w:rPr>
        <w:t xml:space="preserve"> (E420)</w:t>
      </w:r>
    </w:p>
    <w:p w14:paraId="47356EDC" w14:textId="77777777" w:rsidR="00913218" w:rsidRPr="00316F06" w:rsidRDefault="00913218" w:rsidP="004F1B7C">
      <w:pPr>
        <w:keepNext/>
        <w:keepLines/>
        <w:rPr>
          <w:lang w:val="sk-SK"/>
        </w:rPr>
      </w:pPr>
      <w:r w:rsidRPr="00316F06">
        <w:rPr>
          <w:lang w:val="sk-SK"/>
        </w:rPr>
        <w:t>Kyselina ml</w:t>
      </w:r>
      <w:r w:rsidRPr="00316F06">
        <w:rPr>
          <w:rFonts w:cs="Times New Roman"/>
          <w:lang w:val="sk-SK"/>
        </w:rPr>
        <w:t>iečna</w:t>
      </w:r>
    </w:p>
    <w:p w14:paraId="67EAD4A5" w14:textId="77777777" w:rsidR="00913218" w:rsidRPr="00316F06" w:rsidRDefault="00913218" w:rsidP="004F1B7C">
      <w:pPr>
        <w:keepNext/>
        <w:keepLines/>
        <w:rPr>
          <w:lang w:val="sk-SK"/>
        </w:rPr>
      </w:pPr>
      <w:r w:rsidRPr="00316F06">
        <w:rPr>
          <w:lang w:val="sk-SK"/>
        </w:rPr>
        <w:t>Hydroxid sodný (na úpravu pH na 3,5)</w:t>
      </w:r>
    </w:p>
    <w:p w14:paraId="36ECBF45" w14:textId="77777777" w:rsidR="00913218" w:rsidRPr="00316F06" w:rsidRDefault="00913218" w:rsidP="004F1B7C">
      <w:pPr>
        <w:keepNext/>
        <w:keepLines/>
        <w:rPr>
          <w:lang w:val="sk-SK"/>
        </w:rPr>
      </w:pPr>
      <w:r w:rsidRPr="00316F06">
        <w:rPr>
          <w:lang w:val="sk-SK"/>
        </w:rPr>
        <w:t>Voda na injekcie</w:t>
      </w:r>
    </w:p>
    <w:p w14:paraId="3372812D" w14:textId="77777777" w:rsidR="00913218" w:rsidRPr="00316F06" w:rsidRDefault="00913218">
      <w:pPr>
        <w:rPr>
          <w:lang w:val="sk-SK"/>
        </w:rPr>
      </w:pPr>
    </w:p>
    <w:p w14:paraId="4AD25D49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6.2</w:t>
      </w:r>
      <w:r w:rsidRPr="00316F06">
        <w:rPr>
          <w:b/>
          <w:bCs/>
          <w:lang w:val="sk-SK"/>
        </w:rPr>
        <w:tab/>
        <w:t>Inkompatibility</w:t>
      </w:r>
    </w:p>
    <w:p w14:paraId="03518D5E" w14:textId="77777777" w:rsidR="00913218" w:rsidRPr="00316F06" w:rsidRDefault="00913218">
      <w:pPr>
        <w:keepNext/>
        <w:rPr>
          <w:lang w:val="sk-SK"/>
        </w:rPr>
      </w:pPr>
    </w:p>
    <w:p w14:paraId="6AA90C70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Tento liek sa nesmie miešať s inými liekmi okrem tých, ktoré sú uvedené v časti 6.6.</w:t>
      </w:r>
    </w:p>
    <w:p w14:paraId="724F14DB" w14:textId="77777777" w:rsidR="00913218" w:rsidRPr="00316F06" w:rsidRDefault="00913218">
      <w:pPr>
        <w:rPr>
          <w:lang w:val="sk-SK"/>
        </w:rPr>
      </w:pPr>
    </w:p>
    <w:p w14:paraId="5EE0032D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6.3</w:t>
      </w:r>
      <w:r w:rsidRPr="00316F06">
        <w:rPr>
          <w:b/>
          <w:bCs/>
          <w:lang w:val="sk-SK"/>
        </w:rPr>
        <w:tab/>
      </w:r>
      <w:r w:rsidRPr="00316F06">
        <w:rPr>
          <w:rFonts w:cs="Times New Roman"/>
          <w:b/>
          <w:bCs/>
          <w:lang w:val="sk-SK"/>
        </w:rPr>
        <w:t>Čas použiteľnosti</w:t>
      </w:r>
    </w:p>
    <w:p w14:paraId="52E6CBA9" w14:textId="77777777" w:rsidR="00913218" w:rsidRPr="00316F06" w:rsidRDefault="00913218" w:rsidP="00A402BC">
      <w:pPr>
        <w:keepNext/>
        <w:rPr>
          <w:lang w:val="sk-SK"/>
        </w:rPr>
      </w:pPr>
    </w:p>
    <w:p w14:paraId="7B1FE4F6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3 roky.</w:t>
      </w:r>
    </w:p>
    <w:p w14:paraId="119FB804" w14:textId="77777777" w:rsidR="00913218" w:rsidRPr="00316F06" w:rsidRDefault="00913218">
      <w:pPr>
        <w:rPr>
          <w:lang w:val="sk-SK"/>
        </w:rPr>
      </w:pPr>
    </w:p>
    <w:p w14:paraId="376334AA" w14:textId="77777777" w:rsidR="00913218" w:rsidRPr="00316F06" w:rsidRDefault="00913218" w:rsidP="00A402BC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Riedený liek (infúzny roztok)</w:t>
      </w:r>
    </w:p>
    <w:p w14:paraId="73E834F9" w14:textId="77777777" w:rsidR="00913218" w:rsidRPr="00316F06" w:rsidRDefault="00913218" w:rsidP="00A402BC">
      <w:pPr>
        <w:keepNext/>
        <w:rPr>
          <w:lang w:val="sk-SK"/>
        </w:rPr>
      </w:pPr>
    </w:p>
    <w:p w14:paraId="2E451EC8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Po nariedení v 0,9 % roztoku chloridu sodného alebo 5 % roztoku </w:t>
      </w:r>
      <w:proofErr w:type="spellStart"/>
      <w:r w:rsidRPr="00316F06">
        <w:rPr>
          <w:lang w:val="sk-SK"/>
        </w:rPr>
        <w:t>dextrózy</w:t>
      </w:r>
      <w:proofErr w:type="spellEnd"/>
      <w:r w:rsidRPr="00316F06">
        <w:rPr>
          <w:lang w:val="sk-SK"/>
        </w:rPr>
        <w:t xml:space="preserve"> sa preukázala chemická a fyzikálna stabilita používania po dobu do 6 hodín pri izbovej teplote (približne 2</w:t>
      </w:r>
      <w:r w:rsidRPr="00316F06">
        <w:rPr>
          <w:rFonts w:cs="Times New Roman"/>
          <w:lang w:val="sk-SK"/>
        </w:rPr>
        <w:t>5 °C) a okolitom osvetlení, alebo 48 hodín pri uchovávaní v chladničke (približne 2 °C – 8 °C).</w:t>
      </w:r>
    </w:p>
    <w:p w14:paraId="2CBAAEE8" w14:textId="77777777" w:rsidR="00913218" w:rsidRPr="00316F06" w:rsidRDefault="00913218">
      <w:pPr>
        <w:rPr>
          <w:lang w:val="sk-SK"/>
        </w:rPr>
      </w:pPr>
    </w:p>
    <w:p w14:paraId="10D4C25E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Z mikrobiologického hľadiska sa tento infúzny roztok má použiť okamžite.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Ak sa nepoužije okamžite, za čas a podmienky uchovávania pred použitím zodpovedá používateľ. Spravidla sa nesmie uchovávať dlhšie ako 6 hodín pri izbovej teplote alebo 24 hodín ak sa uchováva pri teplote 2 °C – 8 °C , ak sa riedenie neuskutočnilo za  kontrolovaných a </w:t>
      </w:r>
      <w:r w:rsidRPr="00316F06">
        <w:rPr>
          <w:lang w:val="sk-SK"/>
        </w:rPr>
        <w:t>validovaných</w:t>
      </w:r>
      <w:r w:rsidRPr="00316F06">
        <w:rPr>
          <w:rFonts w:cs="Times New Roman"/>
          <w:lang w:val="sk-SK"/>
        </w:rPr>
        <w:t xml:space="preserve"> aseptických</w:t>
      </w:r>
      <w:r w:rsidRPr="00316F06">
        <w:rPr>
          <w:lang w:val="sk-SK"/>
        </w:rPr>
        <w:t xml:space="preserve"> podmienok</w:t>
      </w:r>
      <w:r w:rsidRPr="00316F06">
        <w:rPr>
          <w:rFonts w:cs="Times New Roman"/>
          <w:lang w:val="sk-SK"/>
        </w:rPr>
        <w:t>.</w:t>
      </w:r>
    </w:p>
    <w:p w14:paraId="4D313995" w14:textId="77777777" w:rsidR="00913218" w:rsidRPr="00316F06" w:rsidRDefault="00913218">
      <w:pPr>
        <w:rPr>
          <w:lang w:val="sk-SK"/>
        </w:rPr>
      </w:pPr>
    </w:p>
    <w:p w14:paraId="747AF420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6.4</w:t>
      </w:r>
      <w:r w:rsidRPr="00316F06">
        <w:rPr>
          <w:b/>
          <w:bCs/>
          <w:lang w:val="sk-SK"/>
        </w:rPr>
        <w:tab/>
        <w:t>Špeciálne upozornenia na uchovávanie</w:t>
      </w:r>
    </w:p>
    <w:p w14:paraId="2BF45827" w14:textId="77777777" w:rsidR="00913218" w:rsidRPr="00316F06" w:rsidRDefault="00913218" w:rsidP="00A402BC">
      <w:pPr>
        <w:keepNext/>
        <w:rPr>
          <w:lang w:val="sk-SK"/>
        </w:rPr>
      </w:pPr>
    </w:p>
    <w:p w14:paraId="57E692A1" w14:textId="77777777" w:rsidR="00913218" w:rsidRPr="00316F06" w:rsidRDefault="00913218" w:rsidP="00C73E33">
      <w:pPr>
        <w:rPr>
          <w:lang w:val="sk-SK"/>
        </w:rPr>
      </w:pPr>
      <w:r w:rsidRPr="00316F06">
        <w:rPr>
          <w:rFonts w:cs="Times New Roman"/>
          <w:lang w:val="sk-SK"/>
        </w:rPr>
        <w:t>Neuchovávajte v mrazničke.</w:t>
      </w:r>
    </w:p>
    <w:p w14:paraId="439408C0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Injekčnú liekovku uchovávajte vo vonkajšom obale na ochranu pred svetlom.</w:t>
      </w:r>
    </w:p>
    <w:p w14:paraId="2120748F" w14:textId="77777777" w:rsidR="00913218" w:rsidRPr="00316F06" w:rsidRDefault="00913218">
      <w:pPr>
        <w:rPr>
          <w:lang w:val="sk-SK"/>
        </w:rPr>
      </w:pPr>
    </w:p>
    <w:p w14:paraId="75245E60" w14:textId="77777777" w:rsidR="00913218" w:rsidRPr="00316F06" w:rsidRDefault="00913218">
      <w:pPr>
        <w:rPr>
          <w:lang w:val="sk-SK"/>
        </w:rPr>
      </w:pPr>
      <w:r w:rsidRPr="00316F06">
        <w:rPr>
          <w:rFonts w:cs="Times New Roman"/>
          <w:lang w:val="sk-SK"/>
        </w:rPr>
        <w:t>Podmienky na uchovávanie nariedeného lieku, pozri časť 6.3.</w:t>
      </w:r>
    </w:p>
    <w:p w14:paraId="0F456D35" w14:textId="77777777" w:rsidR="00913218" w:rsidRPr="00316F06" w:rsidRDefault="00913218">
      <w:pPr>
        <w:rPr>
          <w:lang w:val="sk-SK"/>
        </w:rPr>
      </w:pPr>
    </w:p>
    <w:p w14:paraId="757B461E" w14:textId="77777777" w:rsidR="00913218" w:rsidRPr="00316F06" w:rsidRDefault="00913218">
      <w:pPr>
        <w:keepNext/>
        <w:keepLines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lastRenderedPageBreak/>
        <w:t>6.5</w:t>
      </w:r>
      <w:r w:rsidRPr="00316F06">
        <w:rPr>
          <w:b/>
          <w:bCs/>
          <w:lang w:val="sk-SK"/>
        </w:rPr>
        <w:tab/>
        <w:t>Druh obalu a obsah balenia</w:t>
      </w:r>
    </w:p>
    <w:p w14:paraId="153DF220" w14:textId="77777777" w:rsidR="00913218" w:rsidRPr="00316F06" w:rsidRDefault="00913218">
      <w:pPr>
        <w:keepNext/>
        <w:keepLines/>
        <w:rPr>
          <w:lang w:val="sk-SK"/>
        </w:rPr>
      </w:pPr>
    </w:p>
    <w:p w14:paraId="047E6775" w14:textId="77777777" w:rsidR="00913218" w:rsidRPr="00316F06" w:rsidRDefault="00913218">
      <w:pPr>
        <w:keepNext/>
        <w:keepLines/>
        <w:rPr>
          <w:lang w:val="sk-SK"/>
        </w:rPr>
      </w:pP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40 mg:</w:t>
      </w:r>
    </w:p>
    <w:p w14:paraId="00539EF7" w14:textId="77777777" w:rsidR="00913218" w:rsidRPr="00316F06" w:rsidRDefault="00913218">
      <w:pPr>
        <w:keepNext/>
        <w:keepLines/>
        <w:rPr>
          <w:lang w:val="sk-SK"/>
        </w:rPr>
      </w:pPr>
      <w:r w:rsidRPr="00316F06">
        <w:rPr>
          <w:lang w:val="sk-SK"/>
        </w:rPr>
        <w:t>2 ml</w:t>
      </w:r>
      <w:r w:rsidRPr="00316F06">
        <w:rPr>
          <w:rFonts w:cs="Times New Roman"/>
          <w:lang w:val="sk-SK"/>
        </w:rPr>
        <w:t xml:space="preserve"> hnedá sklenená injekčná liekovka, s </w:t>
      </w:r>
      <w:proofErr w:type="spellStart"/>
      <w:r w:rsidRPr="00316F06">
        <w:rPr>
          <w:rFonts w:cs="Times New Roman"/>
          <w:lang w:val="sk-SK"/>
        </w:rPr>
        <w:t>halobutylkaučukovým</w:t>
      </w:r>
      <w:proofErr w:type="spellEnd"/>
      <w:r w:rsidRPr="00316F06">
        <w:rPr>
          <w:rFonts w:cs="Times New Roman"/>
          <w:lang w:val="sk-SK"/>
        </w:rPr>
        <w:t xml:space="preserve"> uzáverom s povlakom z inertného </w:t>
      </w:r>
      <w:proofErr w:type="spellStart"/>
      <w:r w:rsidRPr="00316F06">
        <w:rPr>
          <w:rFonts w:cs="Times New Roman"/>
          <w:lang w:val="sk-SK"/>
        </w:rPr>
        <w:t>fluóropolyméru</w:t>
      </w:r>
      <w:proofErr w:type="spellEnd"/>
      <w:r w:rsidRPr="00316F06">
        <w:rPr>
          <w:rFonts w:cs="Times New Roman"/>
          <w:lang w:val="sk-SK"/>
        </w:rPr>
        <w:t xml:space="preserve"> na vnútornej strane.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Balenie obsahuje jednu injekčnú liekovku.</w:t>
      </w:r>
    </w:p>
    <w:p w14:paraId="23062AB2" w14:textId="77777777" w:rsidR="00913218" w:rsidRPr="00316F06" w:rsidRDefault="00913218">
      <w:pPr>
        <w:rPr>
          <w:lang w:val="sk-SK"/>
        </w:rPr>
      </w:pPr>
    </w:p>
    <w:p w14:paraId="3EA0B4A6" w14:textId="77777777" w:rsidR="00913218" w:rsidRPr="00316F06" w:rsidRDefault="00913218">
      <w:pPr>
        <w:rPr>
          <w:lang w:val="sk-SK"/>
        </w:rPr>
      </w:pP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100 mg:</w:t>
      </w:r>
    </w:p>
    <w:p w14:paraId="363F1F32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5 ml</w:t>
      </w:r>
      <w:r w:rsidRPr="00316F06">
        <w:rPr>
          <w:rFonts w:cs="Times New Roman"/>
          <w:lang w:val="sk-SK"/>
        </w:rPr>
        <w:t xml:space="preserve"> hnedá sklenená injekčná liekovka, s </w:t>
      </w:r>
      <w:proofErr w:type="spellStart"/>
      <w:r w:rsidRPr="00316F06">
        <w:rPr>
          <w:rFonts w:cs="Times New Roman"/>
          <w:lang w:val="sk-SK"/>
        </w:rPr>
        <w:t>halobutylkaučukovým</w:t>
      </w:r>
      <w:proofErr w:type="spellEnd"/>
      <w:r w:rsidRPr="00316F06">
        <w:rPr>
          <w:rFonts w:cs="Times New Roman"/>
          <w:lang w:val="sk-SK"/>
        </w:rPr>
        <w:t xml:space="preserve"> uzáverom s povlakom z in</w:t>
      </w:r>
      <w:r w:rsidRPr="00316F06">
        <w:rPr>
          <w:lang w:val="sk-SK"/>
        </w:rPr>
        <w:t xml:space="preserve">ertného </w:t>
      </w:r>
      <w:proofErr w:type="spellStart"/>
      <w:r w:rsidRPr="00316F06">
        <w:rPr>
          <w:lang w:val="sk-SK"/>
        </w:rPr>
        <w:t>fluóropolyméru</w:t>
      </w:r>
      <w:proofErr w:type="spellEnd"/>
      <w:r w:rsidRPr="00316F06">
        <w:rPr>
          <w:lang w:val="sk-SK"/>
        </w:rPr>
        <w:t xml:space="preserve"> na vnútornej strane. </w:t>
      </w:r>
      <w:r w:rsidRPr="00316F06">
        <w:rPr>
          <w:rFonts w:cs="Times New Roman"/>
          <w:lang w:val="sk-SK"/>
        </w:rPr>
        <w:t>Balenie obsahuje jednu injekčnú liekovku.</w:t>
      </w:r>
    </w:p>
    <w:p w14:paraId="2E9C814E" w14:textId="77777777" w:rsidR="00913218" w:rsidRPr="00316F06" w:rsidRDefault="00913218">
      <w:pPr>
        <w:rPr>
          <w:lang w:val="sk-SK"/>
        </w:rPr>
      </w:pPr>
    </w:p>
    <w:p w14:paraId="45195365" w14:textId="77777777" w:rsidR="00913218" w:rsidRPr="00316F06" w:rsidRDefault="00913218">
      <w:pPr>
        <w:rPr>
          <w:lang w:val="sk-SK"/>
        </w:rPr>
      </w:pP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300 mg:</w:t>
      </w:r>
    </w:p>
    <w:p w14:paraId="77A11D29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15 ml</w:t>
      </w:r>
      <w:r w:rsidRPr="00316F06">
        <w:rPr>
          <w:rFonts w:cs="Times New Roman"/>
          <w:lang w:val="sk-SK"/>
        </w:rPr>
        <w:t xml:space="preserve"> hnedá sklenená injekčná liekovka, s </w:t>
      </w:r>
      <w:proofErr w:type="spellStart"/>
      <w:r w:rsidRPr="00316F06">
        <w:rPr>
          <w:rFonts w:cs="Times New Roman"/>
          <w:lang w:val="sk-SK"/>
        </w:rPr>
        <w:t>halobutylkaučukovým</w:t>
      </w:r>
      <w:proofErr w:type="spellEnd"/>
      <w:r w:rsidRPr="00316F06">
        <w:rPr>
          <w:rFonts w:cs="Times New Roman"/>
          <w:lang w:val="sk-SK"/>
        </w:rPr>
        <w:t xml:space="preserve"> uzáverom s povlakom z inertného </w:t>
      </w:r>
      <w:proofErr w:type="spellStart"/>
      <w:r w:rsidRPr="00316F06">
        <w:rPr>
          <w:rFonts w:cs="Times New Roman"/>
          <w:lang w:val="sk-SK"/>
        </w:rPr>
        <w:t>fluóropolyméru</w:t>
      </w:r>
      <w:proofErr w:type="spellEnd"/>
      <w:r w:rsidRPr="00316F06">
        <w:rPr>
          <w:rFonts w:cs="Times New Roman"/>
          <w:lang w:val="sk-SK"/>
        </w:rPr>
        <w:t xml:space="preserve"> na vnútornej strane.</w:t>
      </w:r>
      <w:r w:rsidRPr="00316F06">
        <w:rPr>
          <w:lang w:val="sk-SK"/>
        </w:rPr>
        <w:t xml:space="preserve"> Balenie obsah</w:t>
      </w:r>
      <w:r w:rsidRPr="00316F06">
        <w:rPr>
          <w:rFonts w:cs="Times New Roman"/>
          <w:lang w:val="sk-SK"/>
        </w:rPr>
        <w:t>uje jednu injekčnú liekovku.</w:t>
      </w:r>
    </w:p>
    <w:p w14:paraId="7AE89511" w14:textId="77777777" w:rsidR="00913218" w:rsidRDefault="00913218">
      <w:pPr>
        <w:rPr>
          <w:lang w:val="sk-SK"/>
        </w:rPr>
      </w:pPr>
    </w:p>
    <w:p w14:paraId="47ABB206" w14:textId="77777777" w:rsidR="00872995" w:rsidRPr="00316F06" w:rsidRDefault="00872995" w:rsidP="00872995">
      <w:pPr>
        <w:rPr>
          <w:lang w:val="sk-SK"/>
        </w:rPr>
      </w:pP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</w:t>
      </w:r>
      <w:r>
        <w:rPr>
          <w:lang w:val="sk-SK"/>
        </w:rPr>
        <w:t>500</w:t>
      </w:r>
      <w:r w:rsidRPr="00316F06">
        <w:rPr>
          <w:lang w:val="sk-SK"/>
        </w:rPr>
        <w:t> mg:</w:t>
      </w:r>
    </w:p>
    <w:p w14:paraId="20D96BF8" w14:textId="77777777" w:rsidR="00872995" w:rsidRPr="00316F06" w:rsidRDefault="00872995" w:rsidP="00872995">
      <w:pPr>
        <w:rPr>
          <w:lang w:val="sk-SK"/>
        </w:rPr>
      </w:pPr>
      <w:r>
        <w:rPr>
          <w:lang w:val="sk-SK"/>
        </w:rPr>
        <w:t>25</w:t>
      </w:r>
      <w:r w:rsidRPr="00316F06">
        <w:rPr>
          <w:lang w:val="sk-SK"/>
        </w:rPr>
        <w:t> ml</w:t>
      </w:r>
      <w:r w:rsidRPr="00316F06">
        <w:rPr>
          <w:rFonts w:cs="Times New Roman"/>
          <w:lang w:val="sk-SK"/>
        </w:rPr>
        <w:t xml:space="preserve"> hnedá sklenená injekčná liekovka, s </w:t>
      </w:r>
      <w:proofErr w:type="spellStart"/>
      <w:r w:rsidRPr="00316F06">
        <w:rPr>
          <w:rFonts w:cs="Times New Roman"/>
          <w:lang w:val="sk-SK"/>
        </w:rPr>
        <w:t>halobutylkaučukovým</w:t>
      </w:r>
      <w:proofErr w:type="spellEnd"/>
      <w:r w:rsidRPr="00316F06">
        <w:rPr>
          <w:rFonts w:cs="Times New Roman"/>
          <w:lang w:val="sk-SK"/>
        </w:rPr>
        <w:t xml:space="preserve"> uzáverom s povlakom z inertného </w:t>
      </w:r>
      <w:proofErr w:type="spellStart"/>
      <w:r w:rsidRPr="00316F06">
        <w:rPr>
          <w:rFonts w:cs="Times New Roman"/>
          <w:lang w:val="sk-SK"/>
        </w:rPr>
        <w:t>fluóropolyméru</w:t>
      </w:r>
      <w:proofErr w:type="spellEnd"/>
      <w:r w:rsidRPr="00316F06">
        <w:rPr>
          <w:rFonts w:cs="Times New Roman"/>
          <w:lang w:val="sk-SK"/>
        </w:rPr>
        <w:t xml:space="preserve"> na vnútornej strane.</w:t>
      </w:r>
      <w:r w:rsidRPr="00316F06">
        <w:rPr>
          <w:lang w:val="sk-SK"/>
        </w:rPr>
        <w:t xml:space="preserve"> Balenie obsah</w:t>
      </w:r>
      <w:r w:rsidRPr="00316F06">
        <w:rPr>
          <w:rFonts w:cs="Times New Roman"/>
          <w:lang w:val="sk-SK"/>
        </w:rPr>
        <w:t>uje jednu injekčnú liekovku.</w:t>
      </w:r>
    </w:p>
    <w:p w14:paraId="500FD020" w14:textId="77777777" w:rsidR="00872995" w:rsidRDefault="00872995">
      <w:pPr>
        <w:rPr>
          <w:lang w:val="sk-SK"/>
        </w:rPr>
      </w:pPr>
    </w:p>
    <w:p w14:paraId="09B03CF6" w14:textId="77777777" w:rsidR="00872995" w:rsidRPr="00316F06" w:rsidRDefault="00872995" w:rsidP="00872995">
      <w:pPr>
        <w:rPr>
          <w:lang w:val="sk-SK"/>
        </w:rPr>
      </w:pP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</w:t>
      </w:r>
      <w:r>
        <w:rPr>
          <w:lang w:val="sk-SK"/>
        </w:rPr>
        <w:t>1000</w:t>
      </w:r>
      <w:r w:rsidRPr="00316F06">
        <w:rPr>
          <w:lang w:val="sk-SK"/>
        </w:rPr>
        <w:t> mg:</w:t>
      </w:r>
    </w:p>
    <w:p w14:paraId="491F5AF8" w14:textId="77777777" w:rsidR="00872995" w:rsidRPr="00316F06" w:rsidRDefault="00872995" w:rsidP="00872995">
      <w:pPr>
        <w:rPr>
          <w:lang w:val="sk-SK"/>
        </w:rPr>
      </w:pPr>
      <w:r>
        <w:rPr>
          <w:lang w:val="sk-SK"/>
        </w:rPr>
        <w:t>5</w:t>
      </w:r>
      <w:r w:rsidR="00F65587">
        <w:rPr>
          <w:lang w:val="sk-SK"/>
        </w:rPr>
        <w:t>0</w:t>
      </w:r>
      <w:r w:rsidRPr="00316F06">
        <w:rPr>
          <w:lang w:val="sk-SK"/>
        </w:rPr>
        <w:t> ml</w:t>
      </w:r>
      <w:r w:rsidRPr="00316F06">
        <w:rPr>
          <w:rFonts w:cs="Times New Roman"/>
          <w:lang w:val="sk-SK"/>
        </w:rPr>
        <w:t xml:space="preserve"> hnedá sklenená injekčná liekovka, s </w:t>
      </w:r>
      <w:proofErr w:type="spellStart"/>
      <w:r w:rsidRPr="00316F06">
        <w:rPr>
          <w:rFonts w:cs="Times New Roman"/>
          <w:lang w:val="sk-SK"/>
        </w:rPr>
        <w:t>halobutylkaučukovým</w:t>
      </w:r>
      <w:proofErr w:type="spellEnd"/>
      <w:r w:rsidRPr="00316F06">
        <w:rPr>
          <w:rFonts w:cs="Times New Roman"/>
          <w:lang w:val="sk-SK"/>
        </w:rPr>
        <w:t xml:space="preserve"> uzáverom s povlakom z inertného </w:t>
      </w:r>
      <w:proofErr w:type="spellStart"/>
      <w:r w:rsidRPr="00316F06">
        <w:rPr>
          <w:rFonts w:cs="Times New Roman"/>
          <w:lang w:val="sk-SK"/>
        </w:rPr>
        <w:t>fluóropolyméru</w:t>
      </w:r>
      <w:proofErr w:type="spellEnd"/>
      <w:r w:rsidRPr="00316F06">
        <w:rPr>
          <w:rFonts w:cs="Times New Roman"/>
          <w:lang w:val="sk-SK"/>
        </w:rPr>
        <w:t xml:space="preserve"> na vnútornej strane.</w:t>
      </w:r>
      <w:r w:rsidRPr="00316F06">
        <w:rPr>
          <w:lang w:val="sk-SK"/>
        </w:rPr>
        <w:t xml:space="preserve"> Balenie obsah</w:t>
      </w:r>
      <w:r w:rsidRPr="00316F06">
        <w:rPr>
          <w:rFonts w:cs="Times New Roman"/>
          <w:lang w:val="sk-SK"/>
        </w:rPr>
        <w:t>uje jednu injekčnú liekovku.</w:t>
      </w:r>
    </w:p>
    <w:p w14:paraId="52F1BF5F" w14:textId="77777777" w:rsidR="00872995" w:rsidRPr="00316F06" w:rsidRDefault="00872995">
      <w:pPr>
        <w:rPr>
          <w:lang w:val="sk-SK"/>
        </w:rPr>
      </w:pPr>
    </w:p>
    <w:p w14:paraId="1F479334" w14:textId="77777777" w:rsidR="00913218" w:rsidRPr="00316F06" w:rsidRDefault="00913218" w:rsidP="00756164">
      <w:pPr>
        <w:rPr>
          <w:lang w:val="sk-SK"/>
        </w:rPr>
      </w:pPr>
      <w:r w:rsidRPr="00316F06">
        <w:rPr>
          <w:rFonts w:cs="Times New Roman"/>
          <w:lang w:val="sk-SK"/>
        </w:rPr>
        <w:t>Nie všetky veľkosti balenia musia byť uvedené na trh.</w:t>
      </w:r>
    </w:p>
    <w:p w14:paraId="17E6F6C1" w14:textId="77777777" w:rsidR="00913218" w:rsidRPr="00316F06" w:rsidRDefault="00913218">
      <w:pPr>
        <w:rPr>
          <w:lang w:val="sk-SK"/>
        </w:rPr>
      </w:pPr>
    </w:p>
    <w:p w14:paraId="1294FAD2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6.6</w:t>
      </w:r>
      <w:r w:rsidRPr="00316F06">
        <w:rPr>
          <w:b/>
          <w:bCs/>
          <w:lang w:val="sk-SK"/>
        </w:rPr>
        <w:tab/>
        <w:t>Špeciálne opatrenia na likvidáciu a iné zaobchádzanie s liekom</w:t>
      </w:r>
    </w:p>
    <w:p w14:paraId="7867004F" w14:textId="77777777" w:rsidR="00913218" w:rsidRPr="00316F06" w:rsidRDefault="00913218" w:rsidP="00A402BC">
      <w:pPr>
        <w:keepNext/>
        <w:rPr>
          <w:lang w:val="sk-SK"/>
        </w:rPr>
      </w:pPr>
    </w:p>
    <w:p w14:paraId="2283D57B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 xml:space="preserve">Podobne ako iné </w:t>
      </w:r>
      <w:proofErr w:type="spellStart"/>
      <w:r w:rsidRPr="00316F06">
        <w:rPr>
          <w:lang w:val="sk-SK"/>
        </w:rPr>
        <w:t>antineoplastické</w:t>
      </w:r>
      <w:proofErr w:type="spellEnd"/>
      <w:r w:rsidRPr="00316F06">
        <w:rPr>
          <w:lang w:val="sk-SK"/>
        </w:rPr>
        <w:t xml:space="preserve"> látky je u lieku </w:t>
      </w: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medac</w:t>
      </w:r>
      <w:proofErr w:type="spellEnd"/>
      <w:r w:rsidRPr="00316F06">
        <w:rPr>
          <w:rFonts w:cs="Times New Roman"/>
          <w:lang w:val="sk-SK"/>
        </w:rPr>
        <w:t xml:space="preserve"> potrebná zvýšená opatrnosť pri príprave</w:t>
      </w:r>
      <w:r w:rsidRPr="00316F06">
        <w:rPr>
          <w:lang w:val="sk-SK"/>
        </w:rPr>
        <w:t xml:space="preserve"> a manipulácii.</w:t>
      </w:r>
    </w:p>
    <w:p w14:paraId="36A1900C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Používanie ochranných okuliarov, masky a rukavíc je povinné.</w:t>
      </w:r>
    </w:p>
    <w:p w14:paraId="6F1FF752" w14:textId="77777777" w:rsidR="00913218" w:rsidRPr="00316F06" w:rsidRDefault="00913218">
      <w:pPr>
        <w:rPr>
          <w:lang w:val="sk-SK"/>
        </w:rPr>
      </w:pPr>
    </w:p>
    <w:p w14:paraId="385FF243" w14:textId="77777777" w:rsidR="00913218" w:rsidRPr="00316F06" w:rsidRDefault="00913218" w:rsidP="00A402BC">
      <w:pPr>
        <w:rPr>
          <w:lang w:val="sk-SK"/>
        </w:rPr>
      </w:pPr>
      <w:r w:rsidRPr="00316F06">
        <w:rPr>
          <w:lang w:val="sk-SK"/>
        </w:rPr>
        <w:t xml:space="preserve">Ak by sa </w:t>
      </w: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infúzny koncentrát</w:t>
      </w:r>
      <w:r w:rsidRPr="00316F06" w:rsidDel="00FA3B19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>alebo pripravený infúzny roztok dostali do kontaktu s pokožkou, musí sa okamžite a dôkladne umyť mydlom a vodou.</w:t>
      </w:r>
      <w:r w:rsidRPr="00316F06">
        <w:rPr>
          <w:lang w:val="sk-SK"/>
        </w:rPr>
        <w:t xml:space="preserve"> </w:t>
      </w:r>
      <w:r w:rsidRPr="00316F06">
        <w:rPr>
          <w:rFonts w:cs="Times New Roman"/>
          <w:lang w:val="sk-SK"/>
        </w:rPr>
        <w:t xml:space="preserve">Ak by sa </w:t>
      </w:r>
      <w:proofErr w:type="spellStart"/>
      <w:r w:rsidRPr="00316F06">
        <w:rPr>
          <w:rFonts w:cs="Times New Roman"/>
          <w:lang w:val="sk-SK"/>
        </w:rPr>
        <w:t>Irinotecan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medac</w:t>
      </w:r>
      <w:proofErr w:type="spellEnd"/>
      <w:r w:rsidRPr="00316F06">
        <w:rPr>
          <w:rFonts w:cs="Times New Roman"/>
          <w:lang w:val="sk-SK"/>
        </w:rPr>
        <w:t xml:space="preserve"> infúzny koncentrát alebo pripravený infúzny roztok dostali do kontaktu so sliznicami, musia sa okamžite umyť vodou.</w:t>
      </w:r>
    </w:p>
    <w:p w14:paraId="53DDB65A" w14:textId="77777777" w:rsidR="00913218" w:rsidRPr="00316F06" w:rsidRDefault="00913218" w:rsidP="00A402BC">
      <w:pPr>
        <w:rPr>
          <w:lang w:val="sk-SK"/>
        </w:rPr>
      </w:pPr>
    </w:p>
    <w:p w14:paraId="7BA97581" w14:textId="77777777" w:rsidR="00913218" w:rsidRPr="00316F06" w:rsidRDefault="00913218" w:rsidP="00A402BC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Príprava intravenózneho roztoku</w:t>
      </w:r>
    </w:p>
    <w:p w14:paraId="2F0DDBC3" w14:textId="77777777" w:rsidR="00913218" w:rsidRPr="00316F06" w:rsidRDefault="00913218" w:rsidP="00A402BC">
      <w:pPr>
        <w:keepNext/>
        <w:rPr>
          <w:lang w:val="sk-SK"/>
        </w:rPr>
      </w:pPr>
    </w:p>
    <w:p w14:paraId="41B49218" w14:textId="77777777" w:rsidR="00913218" w:rsidRPr="00316F06" w:rsidRDefault="00913218" w:rsidP="00A402BC">
      <w:pPr>
        <w:rPr>
          <w:lang w:val="sk-SK"/>
        </w:rPr>
      </w:pPr>
      <w:r w:rsidRPr="00316F06">
        <w:rPr>
          <w:lang w:val="sk-SK"/>
        </w:rPr>
        <w:t xml:space="preserve">Ako všetky iné lieky podávané injekciou musí sa </w:t>
      </w:r>
      <w:proofErr w:type="spellStart"/>
      <w:r w:rsidRPr="00316F06">
        <w:rPr>
          <w:lang w:val="sk-SK"/>
        </w:rPr>
        <w:t>Irinotecan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medac</w:t>
      </w:r>
      <w:proofErr w:type="spellEnd"/>
      <w:r w:rsidRPr="00316F06">
        <w:rPr>
          <w:lang w:val="sk-SK"/>
        </w:rPr>
        <w:t xml:space="preserve"> infúzny intravenózny roztok priprav</w:t>
      </w:r>
      <w:r w:rsidRPr="00316F06">
        <w:rPr>
          <w:rFonts w:cs="Times New Roman"/>
          <w:lang w:val="sk-SK"/>
        </w:rPr>
        <w:t xml:space="preserve">ovať </w:t>
      </w:r>
      <w:r w:rsidRPr="00316F06">
        <w:rPr>
          <w:lang w:val="sk-SK"/>
        </w:rPr>
        <w:t xml:space="preserve">aseptickou metódou </w:t>
      </w:r>
      <w:r w:rsidRPr="00316F06">
        <w:rPr>
          <w:rFonts w:cs="Times New Roman"/>
          <w:lang w:val="sk-SK"/>
        </w:rPr>
        <w:t>(pozri časť 6.3).</w:t>
      </w:r>
    </w:p>
    <w:p w14:paraId="47557CC8" w14:textId="77777777" w:rsidR="00913218" w:rsidRPr="00316F06" w:rsidRDefault="00913218" w:rsidP="00A402BC">
      <w:pPr>
        <w:rPr>
          <w:lang w:val="sk-SK"/>
        </w:rPr>
      </w:pPr>
    </w:p>
    <w:p w14:paraId="35A0EB3C" w14:textId="77777777" w:rsidR="00913218" w:rsidRPr="00316F06" w:rsidRDefault="00913218" w:rsidP="00A402BC">
      <w:pPr>
        <w:rPr>
          <w:lang w:val="sk-SK"/>
        </w:rPr>
      </w:pPr>
      <w:r w:rsidRPr="00316F06">
        <w:rPr>
          <w:rFonts w:cs="Times New Roman"/>
          <w:lang w:val="sk-SK"/>
        </w:rPr>
        <w:t xml:space="preserve">Ak by ste v injekčných liekovkách alebo po rozriedení spozorovali usadeniny, liek sa musí zlikvidovať v súlade so štandardnými predpismi na likvidáciu </w:t>
      </w:r>
      <w:proofErr w:type="spellStart"/>
      <w:r w:rsidRPr="00316F06">
        <w:rPr>
          <w:rFonts w:cs="Times New Roman"/>
          <w:lang w:val="sk-SK"/>
        </w:rPr>
        <w:t>cytotoxických</w:t>
      </w:r>
      <w:proofErr w:type="spellEnd"/>
      <w:r w:rsidRPr="00316F06">
        <w:rPr>
          <w:rFonts w:cs="Times New Roman"/>
          <w:lang w:val="sk-SK"/>
        </w:rPr>
        <w:t xml:space="preserve"> látok.</w:t>
      </w:r>
    </w:p>
    <w:p w14:paraId="796D29D2" w14:textId="77777777" w:rsidR="00913218" w:rsidRPr="00316F06" w:rsidRDefault="00913218" w:rsidP="00A402BC">
      <w:pPr>
        <w:rPr>
          <w:lang w:val="sk-SK"/>
        </w:rPr>
      </w:pPr>
    </w:p>
    <w:p w14:paraId="6BEA5300" w14:textId="77777777" w:rsidR="00913218" w:rsidRPr="00316F06" w:rsidRDefault="00913218" w:rsidP="00A402BC">
      <w:pPr>
        <w:rPr>
          <w:lang w:val="sk-SK"/>
        </w:rPr>
      </w:pPr>
      <w:r w:rsidRPr="00316F06">
        <w:rPr>
          <w:lang w:val="sk-SK"/>
        </w:rPr>
        <w:t>Asepticky vy</w:t>
      </w:r>
      <w:r w:rsidRPr="00316F06">
        <w:rPr>
          <w:rFonts w:cs="Times New Roman"/>
          <w:lang w:val="sk-SK"/>
        </w:rPr>
        <w:t xml:space="preserve">tiahnite požadované množstvo lieku </w:t>
      </w:r>
      <w:proofErr w:type="spellStart"/>
      <w:r w:rsidRPr="00316F06">
        <w:rPr>
          <w:rFonts w:cs="Times New Roman"/>
          <w:lang w:val="sk-SK"/>
        </w:rPr>
        <w:t>Irinotecan</w:t>
      </w:r>
      <w:proofErr w:type="spellEnd"/>
      <w:r w:rsidRPr="00316F06">
        <w:rPr>
          <w:rFonts w:cs="Times New Roman"/>
          <w:lang w:val="sk-SK"/>
        </w:rPr>
        <w:t xml:space="preserve"> </w:t>
      </w:r>
      <w:proofErr w:type="spellStart"/>
      <w:r w:rsidRPr="00316F06">
        <w:rPr>
          <w:rFonts w:cs="Times New Roman"/>
          <w:lang w:val="sk-SK"/>
        </w:rPr>
        <w:t>medac</w:t>
      </w:r>
      <w:proofErr w:type="spellEnd"/>
      <w:r w:rsidRPr="00316F06">
        <w:rPr>
          <w:rFonts w:cs="Times New Roman"/>
          <w:lang w:val="sk-SK"/>
        </w:rPr>
        <w:t xml:space="preserve"> infúzny koncentrát z injekčnej liekovky kalibrovanou striekačkou a vstreknite do 250</w:t>
      </w:r>
      <w:r w:rsidRPr="00316F06">
        <w:rPr>
          <w:lang w:val="sk-SK"/>
        </w:rPr>
        <w:t> ml</w:t>
      </w:r>
      <w:r w:rsidRPr="00316F06">
        <w:rPr>
          <w:rFonts w:cs="Times New Roman"/>
          <w:lang w:val="sk-SK"/>
        </w:rPr>
        <w:t xml:space="preserve"> infúzneho vrecka alebo do fľaše obsahujúcej buď 0,9 % roztok chloridu sodného alebo 5 % roztok </w:t>
      </w:r>
      <w:proofErr w:type="spellStart"/>
      <w:r w:rsidRPr="00316F06">
        <w:rPr>
          <w:rFonts w:cs="Times New Roman"/>
          <w:lang w:val="sk-SK"/>
        </w:rPr>
        <w:t>dextrózy</w:t>
      </w:r>
      <w:proofErr w:type="spellEnd"/>
      <w:r w:rsidRPr="00316F06">
        <w:rPr>
          <w:rFonts w:cs="Times New Roman"/>
          <w:lang w:val="sk-SK"/>
        </w:rPr>
        <w:t>.</w:t>
      </w:r>
      <w:r w:rsidRPr="00316F06">
        <w:rPr>
          <w:lang w:val="sk-SK"/>
        </w:rPr>
        <w:t xml:space="preserve"> Infúzny intravenó</w:t>
      </w:r>
      <w:r w:rsidRPr="00316F06">
        <w:rPr>
          <w:rFonts w:cs="Times New Roman"/>
          <w:lang w:val="sk-SK"/>
        </w:rPr>
        <w:t>zny roztok sa následne musí dôkladne rozmiešať ručným otáčaním.</w:t>
      </w:r>
    </w:p>
    <w:p w14:paraId="177F0EA1" w14:textId="77777777" w:rsidR="00913218" w:rsidRPr="00316F06" w:rsidRDefault="00913218" w:rsidP="00A402BC">
      <w:pPr>
        <w:rPr>
          <w:lang w:val="sk-SK"/>
        </w:rPr>
      </w:pPr>
    </w:p>
    <w:p w14:paraId="0060F20F" w14:textId="77777777" w:rsidR="00913218" w:rsidRPr="00316F06" w:rsidRDefault="00913218" w:rsidP="00A402BC">
      <w:pPr>
        <w:keepNext/>
        <w:rPr>
          <w:u w:val="single"/>
          <w:lang w:val="sk-SK"/>
        </w:rPr>
      </w:pPr>
      <w:r w:rsidRPr="00316F06">
        <w:rPr>
          <w:u w:val="single"/>
          <w:lang w:val="sk-SK"/>
        </w:rPr>
        <w:t>Likvidácia</w:t>
      </w:r>
    </w:p>
    <w:p w14:paraId="2232EC70" w14:textId="77777777" w:rsidR="00913218" w:rsidRPr="00316F06" w:rsidRDefault="00913218" w:rsidP="00A402BC">
      <w:pPr>
        <w:keepNext/>
        <w:rPr>
          <w:lang w:val="sk-SK"/>
        </w:rPr>
      </w:pPr>
    </w:p>
    <w:p w14:paraId="16A54701" w14:textId="77777777" w:rsidR="00913218" w:rsidRPr="00316F06" w:rsidRDefault="00913218" w:rsidP="00A402BC">
      <w:pPr>
        <w:rPr>
          <w:lang w:val="sk-SK"/>
        </w:rPr>
      </w:pPr>
      <w:r w:rsidRPr="00316F06">
        <w:rPr>
          <w:rFonts w:cs="Times New Roman"/>
          <w:lang w:val="sk-SK"/>
        </w:rPr>
        <w:t xml:space="preserve">Všetky materiály používané na riedenie a podávanie sa musia likvidovať podľa štandardných nemocničných postupov likvidácie </w:t>
      </w:r>
      <w:proofErr w:type="spellStart"/>
      <w:r w:rsidRPr="00316F06">
        <w:rPr>
          <w:rFonts w:cs="Times New Roman"/>
          <w:lang w:val="sk-SK"/>
        </w:rPr>
        <w:t>cytotoxických</w:t>
      </w:r>
      <w:proofErr w:type="spellEnd"/>
      <w:r w:rsidRPr="00316F06">
        <w:rPr>
          <w:rFonts w:cs="Times New Roman"/>
          <w:lang w:val="sk-SK"/>
        </w:rPr>
        <w:t xml:space="preserve"> látok.</w:t>
      </w:r>
    </w:p>
    <w:p w14:paraId="5DA1A9B5" w14:textId="77777777" w:rsidR="00913218" w:rsidRPr="00316F06" w:rsidRDefault="00913218" w:rsidP="00A402BC">
      <w:pPr>
        <w:rPr>
          <w:lang w:val="sk-SK"/>
        </w:rPr>
      </w:pPr>
    </w:p>
    <w:p w14:paraId="1DF87560" w14:textId="77777777" w:rsidR="00913218" w:rsidRPr="00316F06" w:rsidRDefault="00913218" w:rsidP="00756164">
      <w:pPr>
        <w:rPr>
          <w:lang w:val="sk-SK"/>
        </w:rPr>
      </w:pPr>
      <w:r w:rsidRPr="00316F06">
        <w:rPr>
          <w:lang w:val="sk-SK"/>
        </w:rPr>
        <w:t>Iba na jedno použitie.</w:t>
      </w:r>
    </w:p>
    <w:p w14:paraId="5FBB9793" w14:textId="77777777" w:rsidR="00913218" w:rsidRPr="00316F06" w:rsidRDefault="00913218" w:rsidP="00A402BC">
      <w:pPr>
        <w:rPr>
          <w:lang w:val="sk-SK"/>
        </w:rPr>
      </w:pPr>
    </w:p>
    <w:p w14:paraId="3AB2C8FB" w14:textId="77777777" w:rsidR="00913218" w:rsidRPr="00316F06" w:rsidRDefault="00913218" w:rsidP="00A402BC">
      <w:pPr>
        <w:rPr>
          <w:lang w:val="sk-SK"/>
        </w:rPr>
      </w:pPr>
    </w:p>
    <w:p w14:paraId="77D51235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lastRenderedPageBreak/>
        <w:t>7.</w:t>
      </w:r>
      <w:r w:rsidRPr="00316F06">
        <w:rPr>
          <w:b/>
          <w:bCs/>
          <w:lang w:val="sk-SK"/>
        </w:rPr>
        <w:tab/>
        <w:t>DRŽ</w:t>
      </w:r>
      <w:r w:rsidRPr="00316F06">
        <w:rPr>
          <w:rFonts w:cs="Times New Roman"/>
          <w:b/>
          <w:bCs/>
          <w:lang w:val="sk-SK"/>
        </w:rPr>
        <w:t>ITEĽ ROZHODNUTIA O REGISTRÁCII</w:t>
      </w:r>
    </w:p>
    <w:p w14:paraId="442870F7" w14:textId="77777777" w:rsidR="00913218" w:rsidRPr="00316F06" w:rsidRDefault="00913218" w:rsidP="00A402BC">
      <w:pPr>
        <w:keepNext/>
        <w:rPr>
          <w:lang w:val="sk-SK"/>
        </w:rPr>
      </w:pPr>
    </w:p>
    <w:p w14:paraId="5E829B5B" w14:textId="77777777" w:rsidR="00913218" w:rsidRPr="00316F06" w:rsidRDefault="00913218">
      <w:pPr>
        <w:rPr>
          <w:lang w:val="sk-SK"/>
        </w:rPr>
      </w:pPr>
      <w:proofErr w:type="spellStart"/>
      <w:r w:rsidRPr="00316F06">
        <w:rPr>
          <w:lang w:val="sk-SK"/>
        </w:rPr>
        <w:t>medac</w:t>
      </w:r>
      <w:proofErr w:type="spellEnd"/>
    </w:p>
    <w:p w14:paraId="538ED3EA" w14:textId="77777777" w:rsidR="00913218" w:rsidRPr="00316F06" w:rsidRDefault="00913218">
      <w:pPr>
        <w:rPr>
          <w:lang w:val="sk-SK"/>
        </w:rPr>
      </w:pPr>
      <w:proofErr w:type="spellStart"/>
      <w:r w:rsidRPr="00316F06">
        <w:rPr>
          <w:lang w:val="sk-SK"/>
        </w:rPr>
        <w:t>Gesellschaft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für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klinische</w:t>
      </w:r>
      <w:proofErr w:type="spellEnd"/>
      <w:r w:rsidRPr="00316F06">
        <w:rPr>
          <w:lang w:val="sk-SK"/>
        </w:rPr>
        <w:t xml:space="preserve"> </w:t>
      </w:r>
      <w:proofErr w:type="spellStart"/>
      <w:r w:rsidRPr="00316F06">
        <w:rPr>
          <w:lang w:val="sk-SK"/>
        </w:rPr>
        <w:t>Spezialpräparate</w:t>
      </w:r>
      <w:proofErr w:type="spellEnd"/>
      <w:r w:rsidRPr="00316F06">
        <w:rPr>
          <w:lang w:val="sk-SK"/>
        </w:rPr>
        <w:t xml:space="preserve"> mbH</w:t>
      </w:r>
    </w:p>
    <w:p w14:paraId="29649A64" w14:textId="77777777" w:rsidR="00913218" w:rsidRPr="00316F06" w:rsidRDefault="00913218" w:rsidP="00BF2DA4">
      <w:pPr>
        <w:rPr>
          <w:lang w:val="sk-SK"/>
        </w:rPr>
      </w:pPr>
      <w:proofErr w:type="spellStart"/>
      <w:r w:rsidRPr="00316F06">
        <w:rPr>
          <w:lang w:val="sk-SK"/>
        </w:rPr>
        <w:t>Theaterstr</w:t>
      </w:r>
      <w:proofErr w:type="spellEnd"/>
      <w:r w:rsidRPr="00316F06">
        <w:rPr>
          <w:lang w:val="sk-SK"/>
        </w:rPr>
        <w:t>. 6</w:t>
      </w:r>
    </w:p>
    <w:p w14:paraId="1383B4C4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22880 </w:t>
      </w:r>
      <w:proofErr w:type="spellStart"/>
      <w:r w:rsidRPr="00316F06">
        <w:rPr>
          <w:lang w:val="sk-SK"/>
        </w:rPr>
        <w:t>Wedel</w:t>
      </w:r>
      <w:proofErr w:type="spellEnd"/>
    </w:p>
    <w:p w14:paraId="3EBA6CCA" w14:textId="77777777" w:rsidR="00913218" w:rsidRPr="00316F06" w:rsidRDefault="00913218">
      <w:pPr>
        <w:rPr>
          <w:lang w:val="sk-SK"/>
        </w:rPr>
      </w:pPr>
      <w:r w:rsidRPr="00316F06">
        <w:rPr>
          <w:lang w:val="sk-SK"/>
        </w:rPr>
        <w:t>Nemecko</w:t>
      </w:r>
    </w:p>
    <w:p w14:paraId="10EC53F5" w14:textId="77777777" w:rsidR="00913218" w:rsidRPr="00316F06" w:rsidRDefault="00913218">
      <w:pPr>
        <w:rPr>
          <w:lang w:val="sk-SK"/>
        </w:rPr>
      </w:pPr>
    </w:p>
    <w:p w14:paraId="555D97EC" w14:textId="77777777" w:rsidR="00913218" w:rsidRPr="00316F06" w:rsidRDefault="00913218">
      <w:pPr>
        <w:rPr>
          <w:lang w:val="sk-SK"/>
        </w:rPr>
      </w:pPr>
    </w:p>
    <w:p w14:paraId="029A223D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8.</w:t>
      </w:r>
      <w:r w:rsidRPr="00316F06">
        <w:rPr>
          <w:b/>
          <w:bCs/>
          <w:lang w:val="sk-SK"/>
        </w:rPr>
        <w:tab/>
      </w:r>
      <w:r w:rsidRPr="00316F06">
        <w:rPr>
          <w:rFonts w:cs="Times New Roman"/>
          <w:b/>
          <w:bCs/>
          <w:lang w:val="sk-SK"/>
        </w:rPr>
        <w:t>REGISTRAČNÉ ČÍSLO</w:t>
      </w:r>
    </w:p>
    <w:p w14:paraId="6E20280B" w14:textId="77777777" w:rsidR="00913218" w:rsidRPr="00316F06" w:rsidRDefault="00913218" w:rsidP="00A402BC">
      <w:pPr>
        <w:keepNext/>
        <w:rPr>
          <w:lang w:val="sk-SK"/>
        </w:rPr>
      </w:pPr>
    </w:p>
    <w:p w14:paraId="62AD1C71" w14:textId="77777777" w:rsidR="00913218" w:rsidRPr="00316F06" w:rsidRDefault="00913218">
      <w:pPr>
        <w:rPr>
          <w:lang w:val="sk-SK"/>
        </w:rPr>
      </w:pPr>
      <w:r w:rsidRPr="00316F06">
        <w:rPr>
          <w:iCs/>
          <w:lang w:val="sk-SK"/>
        </w:rPr>
        <w:t>44/0381/09-S</w:t>
      </w:r>
    </w:p>
    <w:p w14:paraId="262901C8" w14:textId="77777777" w:rsidR="00913218" w:rsidRPr="00316F06" w:rsidRDefault="00913218">
      <w:pPr>
        <w:rPr>
          <w:lang w:val="sk-SK"/>
        </w:rPr>
      </w:pPr>
    </w:p>
    <w:p w14:paraId="0E360A42" w14:textId="77777777" w:rsidR="00913218" w:rsidRPr="00316F06" w:rsidRDefault="00913218">
      <w:pPr>
        <w:rPr>
          <w:lang w:val="sk-SK"/>
        </w:rPr>
      </w:pPr>
    </w:p>
    <w:p w14:paraId="4A344D15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9.</w:t>
      </w:r>
      <w:r w:rsidRPr="00316F06">
        <w:rPr>
          <w:b/>
          <w:bCs/>
          <w:lang w:val="sk-SK"/>
        </w:rPr>
        <w:tab/>
      </w:r>
      <w:r w:rsidRPr="00316F06">
        <w:rPr>
          <w:rFonts w:cs="Times New Roman"/>
          <w:b/>
          <w:bCs/>
          <w:lang w:val="sk-SK"/>
        </w:rPr>
        <w:t>DÁTUM PRVEJ REGISTRÁCIE/PREDĹŽENIA REGISTRÁCIE</w:t>
      </w:r>
    </w:p>
    <w:p w14:paraId="537E06EE" w14:textId="77777777" w:rsidR="00913218" w:rsidRPr="00316F06" w:rsidRDefault="00913218" w:rsidP="00A402BC">
      <w:pPr>
        <w:keepNext/>
        <w:rPr>
          <w:lang w:val="sk-SK"/>
        </w:rPr>
      </w:pPr>
    </w:p>
    <w:p w14:paraId="24DCAC4F" w14:textId="7ADD6C05" w:rsidR="00913218" w:rsidRDefault="00B427C6" w:rsidP="00A402BC">
      <w:pPr>
        <w:rPr>
          <w:iCs/>
          <w:lang w:val="sk-SK"/>
        </w:rPr>
      </w:pPr>
      <w:r>
        <w:rPr>
          <w:iCs/>
          <w:lang w:val="sk-SK"/>
        </w:rPr>
        <w:t xml:space="preserve">Dátum prvej registrácie: </w:t>
      </w:r>
      <w:r w:rsidR="00913218" w:rsidRPr="00316F06">
        <w:rPr>
          <w:iCs/>
          <w:lang w:val="sk-SK"/>
        </w:rPr>
        <w:t>17.</w:t>
      </w:r>
      <w:r>
        <w:rPr>
          <w:iCs/>
          <w:lang w:val="sk-SK"/>
        </w:rPr>
        <w:t xml:space="preserve">júna </w:t>
      </w:r>
      <w:r w:rsidR="00913218" w:rsidRPr="00316F06">
        <w:rPr>
          <w:iCs/>
          <w:lang w:val="sk-SK"/>
        </w:rPr>
        <w:t>2009</w:t>
      </w:r>
    </w:p>
    <w:p w14:paraId="1B85E77E" w14:textId="7677A7A0" w:rsidR="00AF139D" w:rsidRPr="00AF139D" w:rsidRDefault="00AF139D" w:rsidP="005B3949">
      <w:pPr>
        <w:pStyle w:val="Default"/>
        <w:rPr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</w:p>
    <w:p w14:paraId="40CB0FFE" w14:textId="77777777" w:rsidR="00913218" w:rsidRPr="00316F06" w:rsidRDefault="00913218">
      <w:pPr>
        <w:rPr>
          <w:lang w:val="sk-SK"/>
        </w:rPr>
      </w:pPr>
    </w:p>
    <w:p w14:paraId="49314D14" w14:textId="77777777" w:rsidR="00913218" w:rsidRPr="00316F06" w:rsidRDefault="00913218">
      <w:pPr>
        <w:rPr>
          <w:lang w:val="sk-SK"/>
        </w:rPr>
      </w:pPr>
    </w:p>
    <w:p w14:paraId="0366CEE3" w14:textId="77777777" w:rsidR="00913218" w:rsidRPr="00316F06" w:rsidRDefault="00913218">
      <w:pPr>
        <w:keepNext/>
        <w:widowControl w:val="0"/>
        <w:ind w:left="567" w:hanging="567"/>
        <w:rPr>
          <w:b/>
          <w:bCs/>
          <w:lang w:val="sk-SK"/>
        </w:rPr>
      </w:pPr>
      <w:r w:rsidRPr="00316F06">
        <w:rPr>
          <w:b/>
          <w:bCs/>
          <w:lang w:val="sk-SK"/>
        </w:rPr>
        <w:t>10.</w:t>
      </w:r>
      <w:r w:rsidRPr="00316F06">
        <w:rPr>
          <w:b/>
          <w:bCs/>
          <w:lang w:val="sk-SK"/>
        </w:rPr>
        <w:tab/>
        <w:t>DÁTUM REVÍZIE TEXTU</w:t>
      </w:r>
    </w:p>
    <w:p w14:paraId="1A1B8D0B" w14:textId="77777777" w:rsidR="00913218" w:rsidRPr="00316F06" w:rsidRDefault="00913218" w:rsidP="00A402BC">
      <w:pPr>
        <w:keepNext/>
        <w:rPr>
          <w:lang w:val="sk-SK"/>
        </w:rPr>
      </w:pPr>
    </w:p>
    <w:p w14:paraId="1DC3F569" w14:textId="1576F0E0" w:rsidR="00913218" w:rsidRPr="00316F06" w:rsidRDefault="009F2F1B">
      <w:pPr>
        <w:rPr>
          <w:lang w:val="sk-SK"/>
        </w:rPr>
      </w:pPr>
      <w:r>
        <w:rPr>
          <w:lang w:val="sk-SK"/>
        </w:rPr>
        <w:t>03/2018</w:t>
      </w:r>
    </w:p>
    <w:p w14:paraId="01AA86E1" w14:textId="77777777" w:rsidR="00913218" w:rsidRPr="00316F06" w:rsidRDefault="00913218">
      <w:pPr>
        <w:rPr>
          <w:lang w:val="sk-SK"/>
        </w:rPr>
      </w:pPr>
    </w:p>
    <w:sectPr w:rsidR="00913218" w:rsidRPr="00316F06" w:rsidSect="00285CE7">
      <w:headerReference w:type="default" r:id="rId8"/>
      <w:footerReference w:type="defaul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A029" w14:textId="77777777" w:rsidR="005A0C96" w:rsidRDefault="005A0C96">
      <w:r>
        <w:separator/>
      </w:r>
    </w:p>
  </w:endnote>
  <w:endnote w:type="continuationSeparator" w:id="0">
    <w:p w14:paraId="6E061EF0" w14:textId="77777777" w:rsidR="005A0C96" w:rsidRDefault="005A0C96">
      <w:r>
        <w:continuationSeparator/>
      </w:r>
    </w:p>
  </w:endnote>
  <w:endnote w:type="continuationNotice" w:id="1">
    <w:p w14:paraId="095AD8E4" w14:textId="77777777" w:rsidR="005A0C96" w:rsidRDefault="005A0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5F3E" w14:textId="77777777" w:rsidR="001B7607" w:rsidRPr="00851BBE" w:rsidRDefault="001B7607" w:rsidP="00850972">
    <w:pPr>
      <w:pStyle w:val="Pta"/>
      <w:pBdr>
        <w:top w:val="single" w:sz="4" w:space="1" w:color="auto"/>
      </w:pBdr>
      <w:rPr>
        <w:noProof/>
        <w:sz w:val="20"/>
        <w:szCs w:val="20"/>
      </w:rPr>
    </w:pPr>
    <w:proofErr w:type="spellStart"/>
    <w:r>
      <w:rPr>
        <w:sz w:val="20"/>
        <w:szCs w:val="20"/>
      </w:rPr>
      <w:t>spc</w:t>
    </w:r>
    <w:proofErr w:type="spellEnd"/>
    <w:r w:rsidRPr="00851BBE">
      <w:rPr>
        <w:sz w:val="20"/>
        <w:szCs w:val="20"/>
      </w:rPr>
      <w:t xml:space="preserve"> (</w:t>
    </w:r>
    <w:r>
      <w:rPr>
        <w:sz w:val="20"/>
        <w:szCs w:val="20"/>
      </w:rPr>
      <w:t>SK</w:t>
    </w:r>
    <w:r w:rsidRPr="00851BBE">
      <w:rPr>
        <w:sz w:val="20"/>
        <w:szCs w:val="20"/>
      </w:rPr>
      <w:t xml:space="preserve">) Irinotecan </w:t>
    </w:r>
    <w:proofErr w:type="spellStart"/>
    <w:r w:rsidRPr="00851BBE">
      <w:rPr>
        <w:sz w:val="20"/>
        <w:szCs w:val="20"/>
      </w:rPr>
      <w:t>medac</w:t>
    </w:r>
    <w:proofErr w:type="spellEnd"/>
    <w:r w:rsidRPr="00851BBE">
      <w:rPr>
        <w:sz w:val="20"/>
        <w:szCs w:val="20"/>
      </w:rPr>
      <w:t xml:space="preserve"> 20</w:t>
    </w:r>
    <w:r>
      <w:rPr>
        <w:sz w:val="20"/>
        <w:szCs w:val="20"/>
      </w:rPr>
      <w:t xml:space="preserve"> mg/ml </w:t>
    </w:r>
    <w:r w:rsidRPr="003F48F5">
      <w:rPr>
        <w:sz w:val="20"/>
        <w:szCs w:val="20"/>
        <w:lang w:val="ro-RO"/>
      </w:rPr>
      <w:t>concentrate for solution for infusion</w:t>
    </w:r>
  </w:p>
  <w:p w14:paraId="65DBAD78" w14:textId="77777777" w:rsidR="001B7607" w:rsidRPr="00BF2DA4" w:rsidRDefault="001B7607" w:rsidP="00285CE7">
    <w:pPr>
      <w:pStyle w:val="Pta"/>
    </w:pPr>
    <w:r>
      <w:rPr>
        <w:noProof/>
        <w:sz w:val="20"/>
        <w:szCs w:val="20"/>
      </w:rPr>
      <w:t>National version: 01/2016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E3BC1" w14:textId="77777777" w:rsidR="005A0C96" w:rsidRDefault="005A0C96">
      <w:r>
        <w:separator/>
      </w:r>
    </w:p>
  </w:footnote>
  <w:footnote w:type="continuationSeparator" w:id="0">
    <w:p w14:paraId="6AB68DDE" w14:textId="77777777" w:rsidR="005A0C96" w:rsidRDefault="005A0C96">
      <w:r>
        <w:continuationSeparator/>
      </w:r>
    </w:p>
  </w:footnote>
  <w:footnote w:type="continuationNotice" w:id="1">
    <w:p w14:paraId="19B5FA90" w14:textId="77777777" w:rsidR="005A0C96" w:rsidRDefault="005A0C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C9EE" w14:textId="706C797E" w:rsidR="001B7607" w:rsidRPr="00447F2D" w:rsidRDefault="00AF139D" w:rsidP="00BA2FA7">
    <w:pPr>
      <w:pStyle w:val="Hlavika"/>
      <w:tabs>
        <w:tab w:val="center" w:pos="4536"/>
      </w:tabs>
      <w:rPr>
        <w:lang w:val="sk-SK"/>
      </w:rPr>
    </w:pPr>
    <w:r>
      <w:rPr>
        <w:lang w:val="sk-SK"/>
      </w:rPr>
      <w:t>Schválený text k rozhodnutiu o predĺžení, ev. č.: 2013/01349-PRE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BBA"/>
    <w:multiLevelType w:val="hybridMultilevel"/>
    <w:tmpl w:val="C4602454"/>
    <w:lvl w:ilvl="0" w:tplc="5616083E">
      <w:start w:val="2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CFB"/>
    <w:multiLevelType w:val="hybridMultilevel"/>
    <w:tmpl w:val="8458BF78"/>
    <w:lvl w:ilvl="0" w:tplc="D1AAD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4A0D22D8"/>
    <w:multiLevelType w:val="hybridMultilevel"/>
    <w:tmpl w:val="F6B8AFB2"/>
    <w:lvl w:ilvl="0" w:tplc="D1AAD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418A"/>
    <w:multiLevelType w:val="hybridMultilevel"/>
    <w:tmpl w:val="2F0058E4"/>
    <w:lvl w:ilvl="0" w:tplc="1B6C7E0A">
      <w:start w:val="2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668BE"/>
    <w:rsid w:val="00010661"/>
    <w:rsid w:val="00013161"/>
    <w:rsid w:val="00013835"/>
    <w:rsid w:val="00016183"/>
    <w:rsid w:val="00030BDA"/>
    <w:rsid w:val="00031739"/>
    <w:rsid w:val="000412E6"/>
    <w:rsid w:val="00041E56"/>
    <w:rsid w:val="00047494"/>
    <w:rsid w:val="000526AF"/>
    <w:rsid w:val="0005624B"/>
    <w:rsid w:val="0005702B"/>
    <w:rsid w:val="00062974"/>
    <w:rsid w:val="00063151"/>
    <w:rsid w:val="00067C5B"/>
    <w:rsid w:val="000701E2"/>
    <w:rsid w:val="00070B42"/>
    <w:rsid w:val="00075E14"/>
    <w:rsid w:val="00094440"/>
    <w:rsid w:val="0009473C"/>
    <w:rsid w:val="0009753D"/>
    <w:rsid w:val="000A2E4D"/>
    <w:rsid w:val="000A307D"/>
    <w:rsid w:val="000A60F3"/>
    <w:rsid w:val="000B619A"/>
    <w:rsid w:val="000B79DF"/>
    <w:rsid w:val="000C7498"/>
    <w:rsid w:val="000D072A"/>
    <w:rsid w:val="000D17BA"/>
    <w:rsid w:val="000D5FB7"/>
    <w:rsid w:val="000E1804"/>
    <w:rsid w:val="000E4FA9"/>
    <w:rsid w:val="000E6EA0"/>
    <w:rsid w:val="000F0D7D"/>
    <w:rsid w:val="000F1EB0"/>
    <w:rsid w:val="000F2336"/>
    <w:rsid w:val="000F521C"/>
    <w:rsid w:val="001012F2"/>
    <w:rsid w:val="0010388A"/>
    <w:rsid w:val="001042BD"/>
    <w:rsid w:val="00105B19"/>
    <w:rsid w:val="001246A4"/>
    <w:rsid w:val="0014130D"/>
    <w:rsid w:val="001413E2"/>
    <w:rsid w:val="00143B96"/>
    <w:rsid w:val="001440DC"/>
    <w:rsid w:val="00150F03"/>
    <w:rsid w:val="00151176"/>
    <w:rsid w:val="00156C9D"/>
    <w:rsid w:val="001575B8"/>
    <w:rsid w:val="00162C41"/>
    <w:rsid w:val="001668BE"/>
    <w:rsid w:val="001709D4"/>
    <w:rsid w:val="00175890"/>
    <w:rsid w:val="00194AB9"/>
    <w:rsid w:val="001A0F08"/>
    <w:rsid w:val="001A1D37"/>
    <w:rsid w:val="001A497C"/>
    <w:rsid w:val="001B0410"/>
    <w:rsid w:val="001B22AE"/>
    <w:rsid w:val="001B30B0"/>
    <w:rsid w:val="001B3B71"/>
    <w:rsid w:val="001B7607"/>
    <w:rsid w:val="001C0AD9"/>
    <w:rsid w:val="001C1FE6"/>
    <w:rsid w:val="001C25FC"/>
    <w:rsid w:val="001C285E"/>
    <w:rsid w:val="001C783E"/>
    <w:rsid w:val="001D1A47"/>
    <w:rsid w:val="001D6E7E"/>
    <w:rsid w:val="001E4908"/>
    <w:rsid w:val="001E7F65"/>
    <w:rsid w:val="001F2A65"/>
    <w:rsid w:val="002149BF"/>
    <w:rsid w:val="00216DF3"/>
    <w:rsid w:val="0022318D"/>
    <w:rsid w:val="002244A9"/>
    <w:rsid w:val="00232043"/>
    <w:rsid w:val="00235AB1"/>
    <w:rsid w:val="00236416"/>
    <w:rsid w:val="0023764E"/>
    <w:rsid w:val="00251672"/>
    <w:rsid w:val="00252A69"/>
    <w:rsid w:val="00257456"/>
    <w:rsid w:val="002731BA"/>
    <w:rsid w:val="002756EC"/>
    <w:rsid w:val="00282E80"/>
    <w:rsid w:val="00284136"/>
    <w:rsid w:val="00284D73"/>
    <w:rsid w:val="00285CE7"/>
    <w:rsid w:val="002978E3"/>
    <w:rsid w:val="002A00F1"/>
    <w:rsid w:val="002A1403"/>
    <w:rsid w:val="002A3917"/>
    <w:rsid w:val="002A3AC4"/>
    <w:rsid w:val="002A43A8"/>
    <w:rsid w:val="002B3D3E"/>
    <w:rsid w:val="002B752A"/>
    <w:rsid w:val="002C161A"/>
    <w:rsid w:val="002C3843"/>
    <w:rsid w:val="002C3924"/>
    <w:rsid w:val="002D6A95"/>
    <w:rsid w:val="002E21E9"/>
    <w:rsid w:val="002E3B47"/>
    <w:rsid w:val="002E4995"/>
    <w:rsid w:val="002E6CFB"/>
    <w:rsid w:val="002F1513"/>
    <w:rsid w:val="002F2B55"/>
    <w:rsid w:val="00300090"/>
    <w:rsid w:val="00301E13"/>
    <w:rsid w:val="003024A0"/>
    <w:rsid w:val="003029B6"/>
    <w:rsid w:val="00302C95"/>
    <w:rsid w:val="003165C2"/>
    <w:rsid w:val="00316F06"/>
    <w:rsid w:val="00317482"/>
    <w:rsid w:val="00321836"/>
    <w:rsid w:val="0032668A"/>
    <w:rsid w:val="00330712"/>
    <w:rsid w:val="00333609"/>
    <w:rsid w:val="0034338E"/>
    <w:rsid w:val="00356910"/>
    <w:rsid w:val="00370158"/>
    <w:rsid w:val="00372B15"/>
    <w:rsid w:val="00377515"/>
    <w:rsid w:val="003809FD"/>
    <w:rsid w:val="00383752"/>
    <w:rsid w:val="003839EA"/>
    <w:rsid w:val="00385890"/>
    <w:rsid w:val="00393F34"/>
    <w:rsid w:val="00397E37"/>
    <w:rsid w:val="003A63CC"/>
    <w:rsid w:val="003B3CCC"/>
    <w:rsid w:val="003B45B8"/>
    <w:rsid w:val="003B5E4C"/>
    <w:rsid w:val="003B6AA4"/>
    <w:rsid w:val="003D435B"/>
    <w:rsid w:val="003F402B"/>
    <w:rsid w:val="003F48F5"/>
    <w:rsid w:val="003F4BA6"/>
    <w:rsid w:val="004030EF"/>
    <w:rsid w:val="0041044B"/>
    <w:rsid w:val="00416CC1"/>
    <w:rsid w:val="00417CDB"/>
    <w:rsid w:val="00420B25"/>
    <w:rsid w:val="004226A1"/>
    <w:rsid w:val="004336A2"/>
    <w:rsid w:val="00434183"/>
    <w:rsid w:val="00434E9D"/>
    <w:rsid w:val="00435986"/>
    <w:rsid w:val="0044057D"/>
    <w:rsid w:val="0044358C"/>
    <w:rsid w:val="004437B5"/>
    <w:rsid w:val="00447F2D"/>
    <w:rsid w:val="00453607"/>
    <w:rsid w:val="004546CD"/>
    <w:rsid w:val="00465608"/>
    <w:rsid w:val="004701E4"/>
    <w:rsid w:val="00470318"/>
    <w:rsid w:val="00476330"/>
    <w:rsid w:val="00476E3B"/>
    <w:rsid w:val="00476F2F"/>
    <w:rsid w:val="00483D77"/>
    <w:rsid w:val="004846E6"/>
    <w:rsid w:val="00486C51"/>
    <w:rsid w:val="004921E1"/>
    <w:rsid w:val="00493189"/>
    <w:rsid w:val="00495E04"/>
    <w:rsid w:val="004A0112"/>
    <w:rsid w:val="004A0599"/>
    <w:rsid w:val="004A0E17"/>
    <w:rsid w:val="004A12C8"/>
    <w:rsid w:val="004A2A16"/>
    <w:rsid w:val="004A42FF"/>
    <w:rsid w:val="004A6AA9"/>
    <w:rsid w:val="004B012F"/>
    <w:rsid w:val="004B1AB5"/>
    <w:rsid w:val="004B3067"/>
    <w:rsid w:val="004C0C5A"/>
    <w:rsid w:val="004C3B7F"/>
    <w:rsid w:val="004C436A"/>
    <w:rsid w:val="004D2AAE"/>
    <w:rsid w:val="004D71E8"/>
    <w:rsid w:val="004E1864"/>
    <w:rsid w:val="004E4D01"/>
    <w:rsid w:val="004E6AB4"/>
    <w:rsid w:val="004E74D3"/>
    <w:rsid w:val="004F1B7C"/>
    <w:rsid w:val="00503833"/>
    <w:rsid w:val="00505644"/>
    <w:rsid w:val="005108B6"/>
    <w:rsid w:val="00511A35"/>
    <w:rsid w:val="00512053"/>
    <w:rsid w:val="005126DC"/>
    <w:rsid w:val="00512A46"/>
    <w:rsid w:val="0051705B"/>
    <w:rsid w:val="005177D4"/>
    <w:rsid w:val="00517E89"/>
    <w:rsid w:val="00521615"/>
    <w:rsid w:val="0052396E"/>
    <w:rsid w:val="005241B3"/>
    <w:rsid w:val="005248C7"/>
    <w:rsid w:val="00524FA6"/>
    <w:rsid w:val="005275DD"/>
    <w:rsid w:val="0053208E"/>
    <w:rsid w:val="00570C71"/>
    <w:rsid w:val="00573879"/>
    <w:rsid w:val="005778E2"/>
    <w:rsid w:val="00577B03"/>
    <w:rsid w:val="00591333"/>
    <w:rsid w:val="005922E0"/>
    <w:rsid w:val="00593D88"/>
    <w:rsid w:val="0059670B"/>
    <w:rsid w:val="005A0A39"/>
    <w:rsid w:val="005A0C96"/>
    <w:rsid w:val="005A641B"/>
    <w:rsid w:val="005B0F27"/>
    <w:rsid w:val="005B3903"/>
    <w:rsid w:val="005B3949"/>
    <w:rsid w:val="005C2E87"/>
    <w:rsid w:val="005C737F"/>
    <w:rsid w:val="005D2726"/>
    <w:rsid w:val="005D4061"/>
    <w:rsid w:val="005E3F35"/>
    <w:rsid w:val="005E5249"/>
    <w:rsid w:val="005F4F89"/>
    <w:rsid w:val="0060009F"/>
    <w:rsid w:val="00604831"/>
    <w:rsid w:val="006059C4"/>
    <w:rsid w:val="00612525"/>
    <w:rsid w:val="00614362"/>
    <w:rsid w:val="00615F9F"/>
    <w:rsid w:val="00617216"/>
    <w:rsid w:val="00617FEC"/>
    <w:rsid w:val="0062729E"/>
    <w:rsid w:val="00633A71"/>
    <w:rsid w:val="006352F8"/>
    <w:rsid w:val="006354AF"/>
    <w:rsid w:val="00637386"/>
    <w:rsid w:val="006414C1"/>
    <w:rsid w:val="006423D9"/>
    <w:rsid w:val="00642AFE"/>
    <w:rsid w:val="00650238"/>
    <w:rsid w:val="006538E8"/>
    <w:rsid w:val="00676D3F"/>
    <w:rsid w:val="00681EB6"/>
    <w:rsid w:val="00684E95"/>
    <w:rsid w:val="00691D44"/>
    <w:rsid w:val="006A2819"/>
    <w:rsid w:val="006A7246"/>
    <w:rsid w:val="006B7343"/>
    <w:rsid w:val="006C2D7E"/>
    <w:rsid w:val="006C5F46"/>
    <w:rsid w:val="006D0C71"/>
    <w:rsid w:val="006D279E"/>
    <w:rsid w:val="006D66C2"/>
    <w:rsid w:val="006E2095"/>
    <w:rsid w:val="006E37B0"/>
    <w:rsid w:val="006E77B2"/>
    <w:rsid w:val="006F4F23"/>
    <w:rsid w:val="006F5D7D"/>
    <w:rsid w:val="006F5E77"/>
    <w:rsid w:val="006F77FB"/>
    <w:rsid w:val="00701A38"/>
    <w:rsid w:val="00706E13"/>
    <w:rsid w:val="00725A8F"/>
    <w:rsid w:val="00725C8B"/>
    <w:rsid w:val="00733915"/>
    <w:rsid w:val="00733FBA"/>
    <w:rsid w:val="00734777"/>
    <w:rsid w:val="007449B6"/>
    <w:rsid w:val="00745626"/>
    <w:rsid w:val="007521A8"/>
    <w:rsid w:val="00752D6E"/>
    <w:rsid w:val="0075411A"/>
    <w:rsid w:val="00754916"/>
    <w:rsid w:val="00756164"/>
    <w:rsid w:val="007605A8"/>
    <w:rsid w:val="00761BAC"/>
    <w:rsid w:val="007812BE"/>
    <w:rsid w:val="007816A5"/>
    <w:rsid w:val="007865F5"/>
    <w:rsid w:val="00787CAF"/>
    <w:rsid w:val="00794A30"/>
    <w:rsid w:val="00794EFE"/>
    <w:rsid w:val="00795E7D"/>
    <w:rsid w:val="007A0E96"/>
    <w:rsid w:val="007A59B9"/>
    <w:rsid w:val="007B5505"/>
    <w:rsid w:val="007C0083"/>
    <w:rsid w:val="007D103F"/>
    <w:rsid w:val="007D373D"/>
    <w:rsid w:val="007D59E2"/>
    <w:rsid w:val="007D6ABB"/>
    <w:rsid w:val="007E4EF5"/>
    <w:rsid w:val="00805523"/>
    <w:rsid w:val="00822F62"/>
    <w:rsid w:val="00824433"/>
    <w:rsid w:val="00825597"/>
    <w:rsid w:val="00833CA9"/>
    <w:rsid w:val="00834F61"/>
    <w:rsid w:val="00842D34"/>
    <w:rsid w:val="00844A7B"/>
    <w:rsid w:val="00844C80"/>
    <w:rsid w:val="00850972"/>
    <w:rsid w:val="00851BBE"/>
    <w:rsid w:val="00854631"/>
    <w:rsid w:val="00862FB7"/>
    <w:rsid w:val="008666DE"/>
    <w:rsid w:val="00872995"/>
    <w:rsid w:val="00880015"/>
    <w:rsid w:val="00883049"/>
    <w:rsid w:val="00887593"/>
    <w:rsid w:val="00894DCC"/>
    <w:rsid w:val="00895AB7"/>
    <w:rsid w:val="008960BB"/>
    <w:rsid w:val="0089740C"/>
    <w:rsid w:val="00897D47"/>
    <w:rsid w:val="008A074A"/>
    <w:rsid w:val="008A0CEC"/>
    <w:rsid w:val="008A3881"/>
    <w:rsid w:val="008A574F"/>
    <w:rsid w:val="008A698F"/>
    <w:rsid w:val="008B416E"/>
    <w:rsid w:val="008B5A9C"/>
    <w:rsid w:val="008B737E"/>
    <w:rsid w:val="008B79C3"/>
    <w:rsid w:val="008C0873"/>
    <w:rsid w:val="008C561A"/>
    <w:rsid w:val="008C78F0"/>
    <w:rsid w:val="008D15A4"/>
    <w:rsid w:val="008D60D7"/>
    <w:rsid w:val="008E0BF6"/>
    <w:rsid w:val="008E1254"/>
    <w:rsid w:val="008E4453"/>
    <w:rsid w:val="008E5A39"/>
    <w:rsid w:val="008E762B"/>
    <w:rsid w:val="008F0920"/>
    <w:rsid w:val="008F1C47"/>
    <w:rsid w:val="008F6F4C"/>
    <w:rsid w:val="008F6FA6"/>
    <w:rsid w:val="00902F18"/>
    <w:rsid w:val="009055C7"/>
    <w:rsid w:val="00905D38"/>
    <w:rsid w:val="00907C62"/>
    <w:rsid w:val="00913218"/>
    <w:rsid w:val="00913E34"/>
    <w:rsid w:val="00922128"/>
    <w:rsid w:val="00922B45"/>
    <w:rsid w:val="0092757B"/>
    <w:rsid w:val="00927BDA"/>
    <w:rsid w:val="009355FF"/>
    <w:rsid w:val="009443C0"/>
    <w:rsid w:val="00944E50"/>
    <w:rsid w:val="00950AAC"/>
    <w:rsid w:val="009537B4"/>
    <w:rsid w:val="009572ED"/>
    <w:rsid w:val="009707A2"/>
    <w:rsid w:val="00976DD7"/>
    <w:rsid w:val="00993849"/>
    <w:rsid w:val="00993B5E"/>
    <w:rsid w:val="00996C4F"/>
    <w:rsid w:val="0099718E"/>
    <w:rsid w:val="009977D3"/>
    <w:rsid w:val="009A03CC"/>
    <w:rsid w:val="009A0C5E"/>
    <w:rsid w:val="009A7288"/>
    <w:rsid w:val="009B1323"/>
    <w:rsid w:val="009B53A4"/>
    <w:rsid w:val="009C7C2F"/>
    <w:rsid w:val="009E1B8B"/>
    <w:rsid w:val="009E3FEB"/>
    <w:rsid w:val="009E4B2F"/>
    <w:rsid w:val="009F2735"/>
    <w:rsid w:val="009F2F1B"/>
    <w:rsid w:val="00A01664"/>
    <w:rsid w:val="00A04E86"/>
    <w:rsid w:val="00A06855"/>
    <w:rsid w:val="00A12968"/>
    <w:rsid w:val="00A1446C"/>
    <w:rsid w:val="00A24681"/>
    <w:rsid w:val="00A25595"/>
    <w:rsid w:val="00A26698"/>
    <w:rsid w:val="00A30A60"/>
    <w:rsid w:val="00A328FD"/>
    <w:rsid w:val="00A356B6"/>
    <w:rsid w:val="00A37FA9"/>
    <w:rsid w:val="00A402BC"/>
    <w:rsid w:val="00A4049D"/>
    <w:rsid w:val="00A4074C"/>
    <w:rsid w:val="00A40B61"/>
    <w:rsid w:val="00A43D00"/>
    <w:rsid w:val="00A53B88"/>
    <w:rsid w:val="00A64C74"/>
    <w:rsid w:val="00A6698D"/>
    <w:rsid w:val="00A6725F"/>
    <w:rsid w:val="00A70203"/>
    <w:rsid w:val="00A71353"/>
    <w:rsid w:val="00A748D9"/>
    <w:rsid w:val="00A834BC"/>
    <w:rsid w:val="00A84A46"/>
    <w:rsid w:val="00A84FF5"/>
    <w:rsid w:val="00A91217"/>
    <w:rsid w:val="00A917F6"/>
    <w:rsid w:val="00AA32FB"/>
    <w:rsid w:val="00AB6682"/>
    <w:rsid w:val="00AC44DD"/>
    <w:rsid w:val="00AC51C1"/>
    <w:rsid w:val="00AC57FB"/>
    <w:rsid w:val="00AD533F"/>
    <w:rsid w:val="00AE03BC"/>
    <w:rsid w:val="00AE12C8"/>
    <w:rsid w:val="00AF139D"/>
    <w:rsid w:val="00AF1D2A"/>
    <w:rsid w:val="00AF4D24"/>
    <w:rsid w:val="00B02765"/>
    <w:rsid w:val="00B03D23"/>
    <w:rsid w:val="00B05F72"/>
    <w:rsid w:val="00B2104F"/>
    <w:rsid w:val="00B2223D"/>
    <w:rsid w:val="00B222EA"/>
    <w:rsid w:val="00B2394B"/>
    <w:rsid w:val="00B30F8F"/>
    <w:rsid w:val="00B36318"/>
    <w:rsid w:val="00B427C6"/>
    <w:rsid w:val="00B43363"/>
    <w:rsid w:val="00B43380"/>
    <w:rsid w:val="00B45EBD"/>
    <w:rsid w:val="00B46043"/>
    <w:rsid w:val="00B50D1B"/>
    <w:rsid w:val="00B518FA"/>
    <w:rsid w:val="00B51C3D"/>
    <w:rsid w:val="00B54032"/>
    <w:rsid w:val="00B55B43"/>
    <w:rsid w:val="00B55F5A"/>
    <w:rsid w:val="00B55FF7"/>
    <w:rsid w:val="00B6129C"/>
    <w:rsid w:val="00B61E8C"/>
    <w:rsid w:val="00B6463D"/>
    <w:rsid w:val="00B7509C"/>
    <w:rsid w:val="00B8417C"/>
    <w:rsid w:val="00B855C3"/>
    <w:rsid w:val="00B94791"/>
    <w:rsid w:val="00BA2FA7"/>
    <w:rsid w:val="00BA5AC6"/>
    <w:rsid w:val="00BA7D25"/>
    <w:rsid w:val="00BB3041"/>
    <w:rsid w:val="00BB6621"/>
    <w:rsid w:val="00BB7F78"/>
    <w:rsid w:val="00BC60BF"/>
    <w:rsid w:val="00BD08B7"/>
    <w:rsid w:val="00BD1B24"/>
    <w:rsid w:val="00BD335A"/>
    <w:rsid w:val="00BD6968"/>
    <w:rsid w:val="00BD7327"/>
    <w:rsid w:val="00BE6829"/>
    <w:rsid w:val="00BF1FB6"/>
    <w:rsid w:val="00BF2DA4"/>
    <w:rsid w:val="00BF7806"/>
    <w:rsid w:val="00C03F48"/>
    <w:rsid w:val="00C06794"/>
    <w:rsid w:val="00C10773"/>
    <w:rsid w:val="00C11E11"/>
    <w:rsid w:val="00C1466F"/>
    <w:rsid w:val="00C218F7"/>
    <w:rsid w:val="00C2333A"/>
    <w:rsid w:val="00C23BC3"/>
    <w:rsid w:val="00C23F91"/>
    <w:rsid w:val="00C326D5"/>
    <w:rsid w:val="00C329B0"/>
    <w:rsid w:val="00C33969"/>
    <w:rsid w:val="00C34C41"/>
    <w:rsid w:val="00C37AAC"/>
    <w:rsid w:val="00C42E68"/>
    <w:rsid w:val="00C512F1"/>
    <w:rsid w:val="00C54708"/>
    <w:rsid w:val="00C55232"/>
    <w:rsid w:val="00C63ACB"/>
    <w:rsid w:val="00C65641"/>
    <w:rsid w:val="00C72DCB"/>
    <w:rsid w:val="00C73E33"/>
    <w:rsid w:val="00C77AAA"/>
    <w:rsid w:val="00C8316E"/>
    <w:rsid w:val="00C833B4"/>
    <w:rsid w:val="00C83899"/>
    <w:rsid w:val="00C87D63"/>
    <w:rsid w:val="00C901F1"/>
    <w:rsid w:val="00C92695"/>
    <w:rsid w:val="00C9375C"/>
    <w:rsid w:val="00CA162E"/>
    <w:rsid w:val="00CA2625"/>
    <w:rsid w:val="00CB0F50"/>
    <w:rsid w:val="00CB462F"/>
    <w:rsid w:val="00CB6264"/>
    <w:rsid w:val="00CC32CB"/>
    <w:rsid w:val="00CC55E9"/>
    <w:rsid w:val="00CC67EE"/>
    <w:rsid w:val="00CC6AC2"/>
    <w:rsid w:val="00CD0ECC"/>
    <w:rsid w:val="00CD26CF"/>
    <w:rsid w:val="00CE078A"/>
    <w:rsid w:val="00CE4762"/>
    <w:rsid w:val="00CE5787"/>
    <w:rsid w:val="00CF03C9"/>
    <w:rsid w:val="00CF7CE5"/>
    <w:rsid w:val="00D003D5"/>
    <w:rsid w:val="00D02170"/>
    <w:rsid w:val="00D0546F"/>
    <w:rsid w:val="00D05A3E"/>
    <w:rsid w:val="00D1280B"/>
    <w:rsid w:val="00D135FC"/>
    <w:rsid w:val="00D255D7"/>
    <w:rsid w:val="00D27340"/>
    <w:rsid w:val="00D31B9D"/>
    <w:rsid w:val="00D3646D"/>
    <w:rsid w:val="00D4593C"/>
    <w:rsid w:val="00D605E8"/>
    <w:rsid w:val="00D63B12"/>
    <w:rsid w:val="00D66748"/>
    <w:rsid w:val="00D70981"/>
    <w:rsid w:val="00D753D0"/>
    <w:rsid w:val="00D75CD2"/>
    <w:rsid w:val="00D76FD4"/>
    <w:rsid w:val="00D85D13"/>
    <w:rsid w:val="00D85F73"/>
    <w:rsid w:val="00D920E6"/>
    <w:rsid w:val="00D931C9"/>
    <w:rsid w:val="00D94A96"/>
    <w:rsid w:val="00DA0D3E"/>
    <w:rsid w:val="00DA5DFB"/>
    <w:rsid w:val="00DA7BC9"/>
    <w:rsid w:val="00DB1E9B"/>
    <w:rsid w:val="00DB53D3"/>
    <w:rsid w:val="00DB6D49"/>
    <w:rsid w:val="00DB70D5"/>
    <w:rsid w:val="00DC0440"/>
    <w:rsid w:val="00DC0B5B"/>
    <w:rsid w:val="00DC2035"/>
    <w:rsid w:val="00DC7154"/>
    <w:rsid w:val="00DD1F36"/>
    <w:rsid w:val="00DD24DE"/>
    <w:rsid w:val="00DD3764"/>
    <w:rsid w:val="00DD6EB2"/>
    <w:rsid w:val="00DE5903"/>
    <w:rsid w:val="00DE65FE"/>
    <w:rsid w:val="00DF48D3"/>
    <w:rsid w:val="00DF4F61"/>
    <w:rsid w:val="00E13AB4"/>
    <w:rsid w:val="00E14914"/>
    <w:rsid w:val="00E244B0"/>
    <w:rsid w:val="00E261E3"/>
    <w:rsid w:val="00E26959"/>
    <w:rsid w:val="00E43503"/>
    <w:rsid w:val="00E43FFC"/>
    <w:rsid w:val="00E44F51"/>
    <w:rsid w:val="00E5352F"/>
    <w:rsid w:val="00E5731A"/>
    <w:rsid w:val="00E62F2D"/>
    <w:rsid w:val="00E648B4"/>
    <w:rsid w:val="00E65A0A"/>
    <w:rsid w:val="00E711E0"/>
    <w:rsid w:val="00E824D1"/>
    <w:rsid w:val="00E8476B"/>
    <w:rsid w:val="00E84C55"/>
    <w:rsid w:val="00E85CAC"/>
    <w:rsid w:val="00E93B1D"/>
    <w:rsid w:val="00EA4A28"/>
    <w:rsid w:val="00EA6B97"/>
    <w:rsid w:val="00EB064A"/>
    <w:rsid w:val="00EB667C"/>
    <w:rsid w:val="00EB76A6"/>
    <w:rsid w:val="00EC32AF"/>
    <w:rsid w:val="00EC3654"/>
    <w:rsid w:val="00EC7F22"/>
    <w:rsid w:val="00ED3000"/>
    <w:rsid w:val="00ED3F0E"/>
    <w:rsid w:val="00ED686B"/>
    <w:rsid w:val="00EE6091"/>
    <w:rsid w:val="00EF0DFA"/>
    <w:rsid w:val="00F0356A"/>
    <w:rsid w:val="00F0615E"/>
    <w:rsid w:val="00F102A0"/>
    <w:rsid w:val="00F107C6"/>
    <w:rsid w:val="00F110C8"/>
    <w:rsid w:val="00F175FB"/>
    <w:rsid w:val="00F20922"/>
    <w:rsid w:val="00F222F4"/>
    <w:rsid w:val="00F2339A"/>
    <w:rsid w:val="00F3705F"/>
    <w:rsid w:val="00F37839"/>
    <w:rsid w:val="00F41CC5"/>
    <w:rsid w:val="00F42F34"/>
    <w:rsid w:val="00F456EC"/>
    <w:rsid w:val="00F4742D"/>
    <w:rsid w:val="00F50F47"/>
    <w:rsid w:val="00F52FF1"/>
    <w:rsid w:val="00F53B26"/>
    <w:rsid w:val="00F57517"/>
    <w:rsid w:val="00F57CFE"/>
    <w:rsid w:val="00F633D6"/>
    <w:rsid w:val="00F65587"/>
    <w:rsid w:val="00F730A8"/>
    <w:rsid w:val="00F735B3"/>
    <w:rsid w:val="00F749A2"/>
    <w:rsid w:val="00F81BD2"/>
    <w:rsid w:val="00F846C0"/>
    <w:rsid w:val="00F858F5"/>
    <w:rsid w:val="00F90F0E"/>
    <w:rsid w:val="00F947F7"/>
    <w:rsid w:val="00F95D3A"/>
    <w:rsid w:val="00F9709B"/>
    <w:rsid w:val="00FA0EDF"/>
    <w:rsid w:val="00FA12A5"/>
    <w:rsid w:val="00FA2363"/>
    <w:rsid w:val="00FA3B19"/>
    <w:rsid w:val="00FA3C74"/>
    <w:rsid w:val="00FA43C2"/>
    <w:rsid w:val="00FA45CE"/>
    <w:rsid w:val="00FA70D9"/>
    <w:rsid w:val="00FA7BB7"/>
    <w:rsid w:val="00FB1DCE"/>
    <w:rsid w:val="00FB2728"/>
    <w:rsid w:val="00FB6EBD"/>
    <w:rsid w:val="00FB73F4"/>
    <w:rsid w:val="00FB7564"/>
    <w:rsid w:val="00FC39AE"/>
    <w:rsid w:val="00FD0118"/>
    <w:rsid w:val="00FD45F6"/>
    <w:rsid w:val="00FD5ACA"/>
    <w:rsid w:val="00FD5B40"/>
    <w:rsid w:val="00FE1C1D"/>
    <w:rsid w:val="00FE325E"/>
    <w:rsid w:val="00FE7B6D"/>
    <w:rsid w:val="00FF13B7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3662B"/>
  <w14:defaultImageDpi w14:val="0"/>
  <w15:docId w15:val="{93B2B07F-345C-432E-A60E-BBD2E4E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</w:pPr>
    <w:rPr>
      <w:rFonts w:cs="Shruti"/>
      <w:sz w:val="22"/>
      <w:szCs w:val="22"/>
      <w:lang w:val="en-GB" w:eastAsia="de-DE" w:bidi="gu-IN"/>
    </w:rPr>
  </w:style>
  <w:style w:type="paragraph" w:styleId="Nadpis1">
    <w:name w:val="heading 1"/>
    <w:basedOn w:val="Normlny"/>
    <w:next w:val="Normlny"/>
    <w:link w:val="Nadpis1Char"/>
    <w:uiPriority w:val="99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/>
      <w:b/>
      <w:kern w:val="32"/>
      <w:sz w:val="32"/>
      <w:lang w:val="en-GB" w:eastAsia="de-DE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/>
      <w:b/>
      <w:i/>
      <w:sz w:val="28"/>
      <w:lang w:val="en-GB" w:eastAsia="de-DE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  <w:lang w:val="en-GB" w:eastAsia="de-DE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/>
      <w:b/>
      <w:sz w:val="28"/>
      <w:lang w:val="en-GB" w:eastAsia="de-DE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/>
      <w:b/>
      <w:i/>
      <w:sz w:val="26"/>
      <w:lang w:val="en-GB" w:eastAsia="de-D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lang w:val="en-GB" w:eastAsia="de-DE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/>
      <w:sz w:val="24"/>
      <w:lang w:val="en-GB" w:eastAsia="de-DE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/>
      <w:i/>
      <w:sz w:val="24"/>
      <w:lang w:val="en-GB" w:eastAsia="de-DE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/>
      <w:lang w:val="en-GB" w:eastAsia="de-DE"/>
    </w:rPr>
  </w:style>
  <w:style w:type="paragraph" w:styleId="Hlavika">
    <w:name w:val="header"/>
    <w:basedOn w:val="Normlny"/>
    <w:link w:val="HlavikaChar"/>
    <w:uiPriority w:val="99"/>
    <w:rsid w:val="00F9709B"/>
    <w:pPr>
      <w:tabs>
        <w:tab w:val="right" w:pos="9072"/>
      </w:tabs>
    </w:pPr>
    <w:rPr>
      <w:sz w:val="18"/>
      <w:szCs w:val="18"/>
    </w:rPr>
  </w:style>
  <w:style w:type="character" w:customStyle="1" w:styleId="HlavikaChar">
    <w:name w:val="Hlavička Char"/>
    <w:link w:val="Hlavika"/>
    <w:uiPriority w:val="99"/>
    <w:semiHidden/>
    <w:locked/>
    <w:rPr>
      <w:lang w:val="en-GB" w:eastAsia="de-DE"/>
    </w:rPr>
  </w:style>
  <w:style w:type="paragraph" w:styleId="Pta">
    <w:name w:val="footer"/>
    <w:basedOn w:val="Normlny"/>
    <w:link w:val="PtaChar"/>
    <w:uiPriority w:val="99"/>
    <w:rsid w:val="00F9709B"/>
    <w:pPr>
      <w:tabs>
        <w:tab w:val="right" w:pos="9072"/>
      </w:tabs>
    </w:pPr>
    <w:rPr>
      <w:sz w:val="18"/>
      <w:szCs w:val="18"/>
    </w:rPr>
  </w:style>
  <w:style w:type="character" w:customStyle="1" w:styleId="PtaChar">
    <w:name w:val="Päta Char"/>
    <w:link w:val="Pta"/>
    <w:uiPriority w:val="99"/>
    <w:locked/>
    <w:rPr>
      <w:lang w:val="en-GB" w:eastAsia="de-DE"/>
    </w:rPr>
  </w:style>
  <w:style w:type="character" w:styleId="slostrany">
    <w:name w:val="page number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lang w:val="en-GB" w:eastAsia="de-DE"/>
    </w:rPr>
  </w:style>
  <w:style w:type="paragraph" w:styleId="Zkladntext3">
    <w:name w:val="Body Text 3"/>
    <w:basedOn w:val="Normlny"/>
    <w:link w:val="Zkladntext3Char"/>
    <w:uiPriority w:val="99"/>
    <w:pPr>
      <w:tabs>
        <w:tab w:val="clear" w:pos="567"/>
      </w:tabs>
      <w:autoSpaceDE w:val="0"/>
      <w:autoSpaceDN w:val="0"/>
      <w:adjustRightInd w:val="0"/>
      <w:jc w:val="both"/>
    </w:pPr>
    <w:rPr>
      <w:color w:val="0000FF"/>
      <w:lang w:eastAsia="en-GB"/>
    </w:rPr>
  </w:style>
  <w:style w:type="character" w:customStyle="1" w:styleId="Zkladntext3Char">
    <w:name w:val="Základný text 3 Char"/>
    <w:link w:val="Zkladntext3"/>
    <w:uiPriority w:val="99"/>
    <w:semiHidden/>
    <w:locked/>
    <w:rPr>
      <w:sz w:val="16"/>
      <w:lang w:val="en-GB" w:eastAsia="de-DE"/>
    </w:rPr>
  </w:style>
  <w:style w:type="paragraph" w:styleId="Zarkazkladnhotextu2">
    <w:name w:val="Body Text Indent 2"/>
    <w:basedOn w:val="Normlny"/>
    <w:link w:val="Zarkazkladnhotextu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lang w:val="en-GB" w:eastAsia="de-DE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</w:pPr>
    <w:rPr>
      <w:i/>
      <w:iCs/>
      <w:color w:val="008000"/>
    </w:rPr>
  </w:style>
  <w:style w:type="character" w:customStyle="1" w:styleId="ZkladntextChar">
    <w:name w:val="Základný text Char"/>
    <w:link w:val="Zkladntext"/>
    <w:uiPriority w:val="99"/>
    <w:semiHidden/>
    <w:locked/>
    <w:rPr>
      <w:lang w:val="en-GB" w:eastAsia="de-DE"/>
    </w:rPr>
  </w:style>
  <w:style w:type="paragraph" w:styleId="Zkladntext2">
    <w:name w:val="Body Text 2"/>
    <w:basedOn w:val="Normlny"/>
    <w:link w:val="Zkladn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customStyle="1" w:styleId="Zkladntext2Char">
    <w:name w:val="Základný text 2 Char"/>
    <w:link w:val="Zkladntext2"/>
    <w:uiPriority w:val="99"/>
    <w:semiHidden/>
    <w:locked/>
    <w:rPr>
      <w:lang w:val="en-GB" w:eastAsia="de-DE"/>
    </w:rPr>
  </w:style>
  <w:style w:type="character" w:styleId="Odkaznakomentr">
    <w:name w:val="annotation reference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sz w:val="20"/>
      <w:lang w:val="en-GB" w:eastAsia="de-DE"/>
    </w:rPr>
  </w:style>
  <w:style w:type="paragraph" w:customStyle="1" w:styleId="EMEAEnBodyText">
    <w:name w:val="EMEA En Body Text"/>
    <w:basedOn w:val="Normlny"/>
    <w:uiPriority w:val="99"/>
    <w:pPr>
      <w:tabs>
        <w:tab w:val="clear" w:pos="567"/>
      </w:tabs>
      <w:spacing w:before="120" w:after="120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/>
      <w:sz w:val="16"/>
      <w:lang w:val="en-GB" w:eastAsia="de-DE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pPr>
      <w:numPr>
        <w:numId w:val="1"/>
      </w:numPr>
      <w:tabs>
        <w:tab w:val="clear" w:pos="567"/>
      </w:tabs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uiPriority w:val="99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sz w:val="16"/>
      <w:lang w:val="en-GB" w:eastAsia="de-DE"/>
    </w:rPr>
  </w:style>
  <w:style w:type="character" w:styleId="PouitHypertextovPrepojenie">
    <w:name w:val="FollowedHyperlink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Shruti"/>
      <w:lang w:val="en-US" w:eastAsia="en-US" w:bidi="gu-IN"/>
    </w:rPr>
  </w:style>
  <w:style w:type="paragraph" w:styleId="Normlnywebov">
    <w:name w:val="Normal (Web)"/>
    <w:basedOn w:val="Normlny"/>
    <w:uiPriority w:val="99"/>
    <w:pPr>
      <w:tabs>
        <w:tab w:val="clear" w:pos="567"/>
      </w:tabs>
      <w:spacing w:before="100" w:beforeAutospacing="1" w:after="100" w:afterAutospacing="1"/>
    </w:pPr>
    <w:rPr>
      <w:sz w:val="24"/>
      <w:szCs w:val="24"/>
      <w:lang w:val="de-DE"/>
    </w:rPr>
  </w:style>
  <w:style w:type="paragraph" w:styleId="Normlnysozarkami">
    <w:name w:val="Normal Indent"/>
    <w:basedOn w:val="Normlny"/>
    <w:uiPriority w:val="99"/>
    <w:pPr>
      <w:tabs>
        <w:tab w:val="clear" w:pos="567"/>
      </w:tabs>
      <w:spacing w:after="120"/>
      <w:ind w:left="720"/>
    </w:pPr>
    <w:rPr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0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  <w:lang w:val="en-GB" w:eastAsia="de-DE"/>
    </w:rPr>
  </w:style>
  <w:style w:type="paragraph" w:styleId="Textvysvetlivky">
    <w:name w:val="endnote text"/>
    <w:basedOn w:val="Normlny"/>
    <w:link w:val="TextvysvetlivkyChar"/>
    <w:uiPriority w:val="99"/>
    <w:semiHidden/>
  </w:style>
  <w:style w:type="character" w:customStyle="1" w:styleId="TextvysvetlivkyChar">
    <w:name w:val="Text vysvetlivky Char"/>
    <w:link w:val="Textvysvetlivky"/>
    <w:uiPriority w:val="99"/>
    <w:semiHidden/>
    <w:locked/>
    <w:rPr>
      <w:sz w:val="20"/>
      <w:lang w:val="en-GB" w:eastAsia="de-DE"/>
    </w:rPr>
  </w:style>
  <w:style w:type="table" w:styleId="Mriekatabuky">
    <w:name w:val="Table Grid"/>
    <w:basedOn w:val="Normlnatabuka"/>
    <w:uiPriority w:val="99"/>
    <w:rsid w:val="00257456"/>
    <w:pPr>
      <w:tabs>
        <w:tab w:val="left" w:pos="567"/>
      </w:tabs>
    </w:pPr>
    <w:rPr>
      <w:rFonts w:cs="Shruti"/>
      <w:lang w:eastAsia="zh-CN"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8768</Words>
  <Characters>49980</Characters>
  <Application>Microsoft Office Word</Application>
  <DocSecurity>0</DocSecurity>
  <Lines>416</Lines>
  <Paragraphs>117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medac GmbH</Company>
  <LinksUpToDate>false</LinksUpToDate>
  <CharactersWithSpaces>58631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Dr. Oliver Kooistra</dc:creator>
  <cp:lastModifiedBy>Bolebruchová Monika</cp:lastModifiedBy>
  <cp:revision>3</cp:revision>
  <cp:lastPrinted>2018-03-22T13:52:00Z</cp:lastPrinted>
  <dcterms:created xsi:type="dcterms:W3CDTF">2018-03-22T13:52:00Z</dcterms:created>
  <dcterms:modified xsi:type="dcterms:W3CDTF">2018-03-22T13:52:00Z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5/4/2016 10:20:18 AM</vt:lpwstr>
  </property>
  <property fmtid="{D5CDD505-2E9C-101B-9397-08002B2CF9AE}" pid="3" name="OS_LastOpenUser">
    <vt:lpwstr>NEUMANNS</vt:lpwstr>
  </property>
</Properties>
</file>