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218" w:rsidRPr="004A7288" w:rsidRDefault="00467218" w:rsidP="00BE44AE">
      <w:pPr>
        <w:pStyle w:val="Nadpis1"/>
        <w:jc w:val="center"/>
        <w:rPr>
          <w:rFonts w:cs="Times New Roman"/>
          <w:sz w:val="22"/>
          <w:szCs w:val="22"/>
          <w:lang w:val="sk-SK"/>
        </w:rPr>
      </w:pPr>
      <w:r w:rsidRPr="004A7288">
        <w:rPr>
          <w:rFonts w:cs="Times New Roman"/>
          <w:sz w:val="22"/>
          <w:szCs w:val="22"/>
          <w:lang w:val="sk-SK"/>
        </w:rPr>
        <w:t>S</w:t>
      </w:r>
      <w:r w:rsidR="00BE44AE" w:rsidRPr="004A7288">
        <w:rPr>
          <w:rFonts w:cs="Times New Roman"/>
          <w:sz w:val="22"/>
          <w:szCs w:val="22"/>
          <w:lang w:val="sk-SK"/>
        </w:rPr>
        <w:t>ÚH</w:t>
      </w:r>
      <w:r w:rsidRPr="004A7288">
        <w:rPr>
          <w:rFonts w:cs="Times New Roman"/>
          <w:sz w:val="22"/>
          <w:szCs w:val="22"/>
          <w:lang w:val="sk-SK"/>
        </w:rPr>
        <w:t>R</w:t>
      </w:r>
      <w:r w:rsidR="00BE44AE" w:rsidRPr="004A7288">
        <w:rPr>
          <w:rFonts w:cs="Times New Roman"/>
          <w:sz w:val="22"/>
          <w:szCs w:val="22"/>
          <w:lang w:val="sk-SK"/>
        </w:rPr>
        <w:t>N</w:t>
      </w:r>
      <w:r w:rsidRPr="004A7288">
        <w:rPr>
          <w:rFonts w:cs="Times New Roman"/>
          <w:sz w:val="22"/>
          <w:szCs w:val="22"/>
          <w:lang w:val="sk-SK"/>
        </w:rPr>
        <w:t xml:space="preserve"> </w:t>
      </w:r>
      <w:r w:rsidR="00BE44AE" w:rsidRPr="004A7288">
        <w:rPr>
          <w:rFonts w:cs="Times New Roman"/>
          <w:sz w:val="22"/>
          <w:szCs w:val="22"/>
          <w:lang w:val="sk-SK"/>
        </w:rPr>
        <w:t>CHARAK</w:t>
      </w:r>
      <w:r w:rsidRPr="004A7288">
        <w:rPr>
          <w:rFonts w:cs="Times New Roman"/>
          <w:sz w:val="22"/>
          <w:szCs w:val="22"/>
          <w:lang w:val="sk-SK"/>
        </w:rPr>
        <w:t>TERISTIC</w:t>
      </w:r>
      <w:r w:rsidR="00BE44AE" w:rsidRPr="004A7288">
        <w:rPr>
          <w:rFonts w:cs="Times New Roman"/>
          <w:sz w:val="22"/>
          <w:szCs w:val="22"/>
          <w:lang w:val="sk-SK"/>
        </w:rPr>
        <w:t>KÝCH VLASTNOSTÍ LIEKU</w:t>
      </w:r>
    </w:p>
    <w:p w:rsidR="00467218" w:rsidRPr="004A7288" w:rsidRDefault="00467218" w:rsidP="00005545">
      <w:pPr>
        <w:spacing w:after="0"/>
        <w:jc w:val="left"/>
        <w:rPr>
          <w:sz w:val="22"/>
          <w:szCs w:val="22"/>
        </w:rPr>
      </w:pPr>
    </w:p>
    <w:p w:rsidR="00BE44AE" w:rsidRPr="004A7288" w:rsidRDefault="00BE44AE" w:rsidP="00005545">
      <w:pPr>
        <w:spacing w:after="0"/>
        <w:jc w:val="left"/>
        <w:rPr>
          <w:sz w:val="22"/>
          <w:szCs w:val="22"/>
        </w:rPr>
      </w:pPr>
    </w:p>
    <w:p w:rsidR="00467218" w:rsidRPr="004A7288" w:rsidRDefault="00467218" w:rsidP="00005545">
      <w:pPr>
        <w:pStyle w:val="Nadpis2"/>
        <w:jc w:val="left"/>
        <w:rPr>
          <w:rFonts w:cs="Times New Roman"/>
          <w:sz w:val="22"/>
          <w:szCs w:val="22"/>
          <w:lang w:val="sk-SK"/>
        </w:rPr>
      </w:pPr>
      <w:r w:rsidRPr="004A7288">
        <w:rPr>
          <w:rFonts w:cs="Times New Roman"/>
          <w:sz w:val="22"/>
          <w:szCs w:val="22"/>
          <w:lang w:val="sk-SK"/>
        </w:rPr>
        <w:t>1</w:t>
      </w:r>
      <w:r w:rsidR="00293E1A" w:rsidRPr="004A7288">
        <w:rPr>
          <w:rFonts w:cs="Times New Roman"/>
          <w:sz w:val="22"/>
          <w:szCs w:val="22"/>
          <w:lang w:val="sk-SK"/>
        </w:rPr>
        <w:t>.</w:t>
      </w:r>
      <w:r w:rsidRPr="004A7288">
        <w:rPr>
          <w:rFonts w:cs="Times New Roman"/>
          <w:sz w:val="22"/>
          <w:szCs w:val="22"/>
          <w:lang w:val="sk-SK"/>
        </w:rPr>
        <w:tab/>
        <w:t>N</w:t>
      </w:r>
      <w:r w:rsidR="00BE44AE" w:rsidRPr="004A7288">
        <w:rPr>
          <w:rFonts w:cs="Times New Roman"/>
          <w:sz w:val="22"/>
          <w:szCs w:val="22"/>
          <w:lang w:val="sk-SK"/>
        </w:rPr>
        <w:t xml:space="preserve">ÁZOV </w:t>
      </w:r>
      <w:r w:rsidRPr="004A7288">
        <w:rPr>
          <w:rFonts w:cs="Times New Roman"/>
          <w:sz w:val="22"/>
          <w:szCs w:val="22"/>
          <w:lang w:val="sk-SK"/>
        </w:rPr>
        <w:t>L</w:t>
      </w:r>
      <w:r w:rsidR="00BE44AE" w:rsidRPr="004A7288">
        <w:rPr>
          <w:rFonts w:cs="Times New Roman"/>
          <w:sz w:val="22"/>
          <w:szCs w:val="22"/>
          <w:lang w:val="sk-SK"/>
        </w:rPr>
        <w:t>IEKU</w:t>
      </w:r>
    </w:p>
    <w:p w:rsidR="00637BF2" w:rsidRPr="004A7288" w:rsidRDefault="00637BF2" w:rsidP="00005545">
      <w:pPr>
        <w:spacing w:after="0"/>
        <w:jc w:val="left"/>
        <w:rPr>
          <w:sz w:val="22"/>
          <w:szCs w:val="22"/>
          <w:highlight w:val="lightGray"/>
        </w:rPr>
      </w:pPr>
    </w:p>
    <w:p w:rsidR="00C7371E" w:rsidRPr="004A7288" w:rsidRDefault="000C6A6E" w:rsidP="00005545">
      <w:pPr>
        <w:jc w:val="left"/>
        <w:rPr>
          <w:sz w:val="22"/>
          <w:szCs w:val="22"/>
        </w:rPr>
      </w:pPr>
      <w:r w:rsidRPr="004A7288">
        <w:rPr>
          <w:sz w:val="22"/>
          <w:szCs w:val="22"/>
        </w:rPr>
        <w:t>Ibalgin Junior</w:t>
      </w:r>
    </w:p>
    <w:p w:rsidR="00005545" w:rsidRPr="004A7288" w:rsidRDefault="00005545" w:rsidP="00005545">
      <w:pPr>
        <w:jc w:val="left"/>
        <w:rPr>
          <w:noProof/>
          <w:color w:val="000000"/>
          <w:sz w:val="22"/>
          <w:szCs w:val="22"/>
        </w:rPr>
      </w:pPr>
      <w:r w:rsidRPr="004A7288">
        <w:rPr>
          <w:sz w:val="22"/>
          <w:szCs w:val="22"/>
        </w:rPr>
        <w:t>200</w:t>
      </w:r>
      <w:r w:rsidR="00AA2F5B" w:rsidRPr="004A7288">
        <w:rPr>
          <w:sz w:val="22"/>
          <w:szCs w:val="22"/>
        </w:rPr>
        <w:t xml:space="preserve"> </w:t>
      </w:r>
      <w:r w:rsidRPr="004A7288">
        <w:rPr>
          <w:sz w:val="22"/>
          <w:szCs w:val="22"/>
        </w:rPr>
        <w:t>mg/5</w:t>
      </w:r>
      <w:r w:rsidR="00AA2F5B" w:rsidRPr="004A7288">
        <w:rPr>
          <w:sz w:val="22"/>
          <w:szCs w:val="22"/>
        </w:rPr>
        <w:t xml:space="preserve"> </w:t>
      </w:r>
      <w:r w:rsidRPr="004A7288">
        <w:rPr>
          <w:sz w:val="22"/>
          <w:szCs w:val="22"/>
        </w:rPr>
        <w:t xml:space="preserve">ml </w:t>
      </w:r>
      <w:r w:rsidR="00BE44AE" w:rsidRPr="004A7288">
        <w:rPr>
          <w:sz w:val="22"/>
          <w:szCs w:val="22"/>
        </w:rPr>
        <w:t>per</w:t>
      </w:r>
      <w:r w:rsidRPr="004A7288">
        <w:rPr>
          <w:noProof/>
          <w:color w:val="000000"/>
          <w:sz w:val="22"/>
          <w:szCs w:val="22"/>
        </w:rPr>
        <w:t>or</w:t>
      </w:r>
      <w:r w:rsidR="00BE44AE" w:rsidRPr="004A7288">
        <w:rPr>
          <w:noProof/>
          <w:color w:val="000000"/>
          <w:sz w:val="22"/>
          <w:szCs w:val="22"/>
        </w:rPr>
        <w:t>á</w:t>
      </w:r>
      <w:r w:rsidRPr="004A7288">
        <w:rPr>
          <w:noProof/>
          <w:color w:val="000000"/>
          <w:sz w:val="22"/>
          <w:szCs w:val="22"/>
        </w:rPr>
        <w:t>l</w:t>
      </w:r>
      <w:r w:rsidR="00BE44AE" w:rsidRPr="004A7288">
        <w:rPr>
          <w:noProof/>
          <w:color w:val="000000"/>
          <w:sz w:val="22"/>
          <w:szCs w:val="22"/>
        </w:rPr>
        <w:t>na</w:t>
      </w:r>
      <w:r w:rsidRPr="004A7288">
        <w:rPr>
          <w:noProof/>
          <w:color w:val="000000"/>
          <w:sz w:val="22"/>
          <w:szCs w:val="22"/>
        </w:rPr>
        <w:t xml:space="preserve"> suspen</w:t>
      </w:r>
      <w:r w:rsidR="00BE44AE" w:rsidRPr="004A7288">
        <w:rPr>
          <w:noProof/>
          <w:color w:val="000000"/>
          <w:sz w:val="22"/>
          <w:szCs w:val="22"/>
        </w:rPr>
        <w:t>z</w:t>
      </w:r>
      <w:r w:rsidRPr="004A7288">
        <w:rPr>
          <w:noProof/>
          <w:color w:val="000000"/>
          <w:sz w:val="22"/>
          <w:szCs w:val="22"/>
        </w:rPr>
        <w:t>i</w:t>
      </w:r>
      <w:r w:rsidR="00BE44AE" w:rsidRPr="004A7288">
        <w:rPr>
          <w:noProof/>
          <w:color w:val="000000"/>
          <w:sz w:val="22"/>
          <w:szCs w:val="22"/>
        </w:rPr>
        <w:t>a</w:t>
      </w:r>
    </w:p>
    <w:p w:rsidR="00BB143B" w:rsidRPr="004A7288" w:rsidRDefault="00BB143B" w:rsidP="00005545">
      <w:pPr>
        <w:spacing w:after="0"/>
        <w:jc w:val="left"/>
        <w:rPr>
          <w:sz w:val="22"/>
          <w:szCs w:val="22"/>
        </w:rPr>
      </w:pPr>
    </w:p>
    <w:p w:rsidR="0017514C" w:rsidRPr="004A7288" w:rsidRDefault="0017514C" w:rsidP="00005545">
      <w:pPr>
        <w:spacing w:after="0"/>
        <w:jc w:val="left"/>
        <w:rPr>
          <w:sz w:val="22"/>
          <w:szCs w:val="22"/>
        </w:rPr>
      </w:pPr>
    </w:p>
    <w:p w:rsidR="00467218" w:rsidRPr="004A7288" w:rsidRDefault="00467218" w:rsidP="00005545">
      <w:pPr>
        <w:pStyle w:val="Nadpis2"/>
        <w:jc w:val="left"/>
        <w:rPr>
          <w:rFonts w:cs="Times New Roman"/>
          <w:sz w:val="22"/>
          <w:szCs w:val="22"/>
          <w:lang w:val="sk-SK"/>
        </w:rPr>
      </w:pPr>
      <w:r w:rsidRPr="004A7288">
        <w:rPr>
          <w:rFonts w:cs="Times New Roman"/>
          <w:sz w:val="22"/>
          <w:szCs w:val="22"/>
          <w:lang w:val="sk-SK"/>
        </w:rPr>
        <w:t>2</w:t>
      </w:r>
      <w:r w:rsidR="00293E1A" w:rsidRPr="004A7288">
        <w:rPr>
          <w:rFonts w:cs="Times New Roman"/>
          <w:sz w:val="22"/>
          <w:szCs w:val="22"/>
          <w:lang w:val="sk-SK"/>
        </w:rPr>
        <w:t>.</w:t>
      </w:r>
      <w:r w:rsidRPr="004A7288">
        <w:rPr>
          <w:rFonts w:cs="Times New Roman"/>
          <w:sz w:val="22"/>
          <w:szCs w:val="22"/>
          <w:lang w:val="sk-SK"/>
        </w:rPr>
        <w:tab/>
      </w:r>
      <w:r w:rsidR="00F04D06" w:rsidRPr="004A7288">
        <w:rPr>
          <w:rFonts w:cs="Times New Roman"/>
          <w:noProof/>
          <w:sz w:val="22"/>
          <w:szCs w:val="22"/>
          <w:lang w:val="sk-SK"/>
        </w:rPr>
        <w:t>KVALITATÍVNE A KVANTITATÍVNE ZLOŽENIE</w:t>
      </w:r>
      <w:r w:rsidR="00F04D06" w:rsidRPr="004A7288">
        <w:rPr>
          <w:rFonts w:cs="Times New Roman"/>
          <w:sz w:val="22"/>
          <w:szCs w:val="22"/>
          <w:lang w:val="sk-SK"/>
        </w:rPr>
        <w:t xml:space="preserve"> </w:t>
      </w:r>
    </w:p>
    <w:p w:rsidR="00467218" w:rsidRPr="004A7288" w:rsidRDefault="00467218" w:rsidP="00005545">
      <w:pPr>
        <w:spacing w:after="0"/>
        <w:jc w:val="left"/>
        <w:rPr>
          <w:sz w:val="22"/>
          <w:szCs w:val="22"/>
        </w:rPr>
      </w:pPr>
    </w:p>
    <w:p w:rsidR="00467218" w:rsidRPr="004A7288" w:rsidRDefault="00F04D06" w:rsidP="00005545">
      <w:pPr>
        <w:spacing w:after="0"/>
        <w:jc w:val="left"/>
        <w:rPr>
          <w:sz w:val="22"/>
          <w:szCs w:val="22"/>
        </w:rPr>
      </w:pPr>
      <w:r w:rsidRPr="004A7288">
        <w:rPr>
          <w:sz w:val="22"/>
          <w:szCs w:val="22"/>
        </w:rPr>
        <w:t>Každý</w:t>
      </w:r>
      <w:r w:rsidR="00467218" w:rsidRPr="004A7288">
        <w:rPr>
          <w:sz w:val="22"/>
          <w:szCs w:val="22"/>
        </w:rPr>
        <w:t xml:space="preserve"> 1</w:t>
      </w:r>
      <w:r w:rsidR="00C64A5B" w:rsidRPr="004A7288">
        <w:rPr>
          <w:sz w:val="22"/>
          <w:szCs w:val="22"/>
        </w:rPr>
        <w:t xml:space="preserve"> </w:t>
      </w:r>
      <w:r w:rsidR="00467218" w:rsidRPr="004A7288">
        <w:rPr>
          <w:sz w:val="22"/>
          <w:szCs w:val="22"/>
        </w:rPr>
        <w:t xml:space="preserve">ml </w:t>
      </w:r>
      <w:r w:rsidRPr="004A7288">
        <w:rPr>
          <w:sz w:val="22"/>
          <w:szCs w:val="22"/>
        </w:rPr>
        <w:t>per</w:t>
      </w:r>
      <w:r w:rsidR="00467218" w:rsidRPr="004A7288">
        <w:rPr>
          <w:sz w:val="22"/>
          <w:szCs w:val="22"/>
        </w:rPr>
        <w:t>or</w:t>
      </w:r>
      <w:r w:rsidRPr="004A7288">
        <w:rPr>
          <w:sz w:val="22"/>
          <w:szCs w:val="22"/>
        </w:rPr>
        <w:t>á</w:t>
      </w:r>
      <w:r w:rsidR="00467218" w:rsidRPr="004A7288">
        <w:rPr>
          <w:sz w:val="22"/>
          <w:szCs w:val="22"/>
        </w:rPr>
        <w:t>l</w:t>
      </w:r>
      <w:r w:rsidRPr="004A7288">
        <w:rPr>
          <w:sz w:val="22"/>
          <w:szCs w:val="22"/>
        </w:rPr>
        <w:t>nej</w:t>
      </w:r>
      <w:r w:rsidR="00467218" w:rsidRPr="004A7288">
        <w:rPr>
          <w:sz w:val="22"/>
          <w:szCs w:val="22"/>
        </w:rPr>
        <w:t xml:space="preserve"> suspen</w:t>
      </w:r>
      <w:r w:rsidRPr="004A7288">
        <w:rPr>
          <w:sz w:val="22"/>
          <w:szCs w:val="22"/>
        </w:rPr>
        <w:t>zie</w:t>
      </w:r>
      <w:r w:rsidR="00467218" w:rsidRPr="004A7288">
        <w:rPr>
          <w:sz w:val="22"/>
          <w:szCs w:val="22"/>
        </w:rPr>
        <w:t xml:space="preserve"> o</w:t>
      </w:r>
      <w:r w:rsidRPr="004A7288">
        <w:rPr>
          <w:sz w:val="22"/>
          <w:szCs w:val="22"/>
        </w:rPr>
        <w:t>bsahuje 40 mg</w:t>
      </w:r>
      <w:r w:rsidR="00467218" w:rsidRPr="004A7288">
        <w:rPr>
          <w:sz w:val="22"/>
          <w:szCs w:val="22"/>
        </w:rPr>
        <w:t xml:space="preserve"> </w:t>
      </w:r>
      <w:r w:rsidR="008D3117" w:rsidRPr="004A7288">
        <w:rPr>
          <w:sz w:val="22"/>
          <w:szCs w:val="22"/>
        </w:rPr>
        <w:t>ibuprofénu</w:t>
      </w:r>
      <w:r w:rsidRPr="004A7288">
        <w:rPr>
          <w:sz w:val="22"/>
          <w:szCs w:val="22"/>
        </w:rPr>
        <w:t>.</w:t>
      </w:r>
    </w:p>
    <w:p w:rsidR="00AA6308" w:rsidRPr="004A7288" w:rsidRDefault="00AA6308" w:rsidP="00005545">
      <w:pPr>
        <w:spacing w:after="0"/>
        <w:jc w:val="left"/>
        <w:rPr>
          <w:sz w:val="22"/>
          <w:szCs w:val="22"/>
        </w:rPr>
      </w:pPr>
    </w:p>
    <w:p w:rsidR="00467218" w:rsidRPr="004A7288" w:rsidRDefault="00F04D06" w:rsidP="00005545">
      <w:pPr>
        <w:spacing w:after="0"/>
        <w:jc w:val="left"/>
        <w:rPr>
          <w:sz w:val="22"/>
          <w:szCs w:val="22"/>
        </w:rPr>
      </w:pPr>
      <w:r w:rsidRPr="004A7288">
        <w:rPr>
          <w:sz w:val="22"/>
          <w:szCs w:val="22"/>
          <w:u w:val="single"/>
        </w:rPr>
        <w:t>Pomocná látka so známym účinkom</w:t>
      </w:r>
      <w:r w:rsidR="00467218" w:rsidRPr="004A7288">
        <w:rPr>
          <w:sz w:val="22"/>
          <w:szCs w:val="22"/>
          <w:u w:val="single"/>
        </w:rPr>
        <w:t>:</w:t>
      </w:r>
      <w:r w:rsidR="008800CC" w:rsidRPr="004A7288">
        <w:rPr>
          <w:sz w:val="22"/>
          <w:szCs w:val="22"/>
        </w:rPr>
        <w:t xml:space="preserve"> sorbitol</w:t>
      </w:r>
      <w:r w:rsidR="00EA43AC" w:rsidRPr="004A7288">
        <w:rPr>
          <w:sz w:val="22"/>
          <w:szCs w:val="22"/>
        </w:rPr>
        <w:t>.</w:t>
      </w:r>
    </w:p>
    <w:p w:rsidR="00467218" w:rsidRPr="004A7288" w:rsidRDefault="00467218" w:rsidP="00005545">
      <w:pPr>
        <w:spacing w:after="0"/>
        <w:jc w:val="left"/>
        <w:rPr>
          <w:sz w:val="22"/>
          <w:szCs w:val="22"/>
        </w:rPr>
      </w:pPr>
    </w:p>
    <w:p w:rsidR="00467218" w:rsidRPr="004A7288" w:rsidRDefault="00F04D06" w:rsidP="00005545">
      <w:pPr>
        <w:spacing w:after="0"/>
        <w:jc w:val="left"/>
        <w:rPr>
          <w:sz w:val="22"/>
          <w:szCs w:val="22"/>
        </w:rPr>
      </w:pPr>
      <w:r w:rsidRPr="004A7288">
        <w:rPr>
          <w:sz w:val="22"/>
          <w:szCs w:val="22"/>
        </w:rPr>
        <w:t xml:space="preserve">Úplný zoznam pomocných látok, pozri časť </w:t>
      </w:r>
      <w:r w:rsidR="00467218" w:rsidRPr="004A7288">
        <w:rPr>
          <w:sz w:val="22"/>
          <w:szCs w:val="22"/>
        </w:rPr>
        <w:t>6.1.</w:t>
      </w:r>
    </w:p>
    <w:p w:rsidR="00467218" w:rsidRPr="004A7288" w:rsidRDefault="00467218" w:rsidP="00005545">
      <w:pPr>
        <w:spacing w:after="0"/>
        <w:jc w:val="left"/>
        <w:rPr>
          <w:sz w:val="22"/>
          <w:szCs w:val="22"/>
        </w:rPr>
      </w:pPr>
    </w:p>
    <w:p w:rsidR="00467218" w:rsidRPr="004A7288" w:rsidRDefault="00467218" w:rsidP="00005545">
      <w:pPr>
        <w:spacing w:after="0"/>
        <w:jc w:val="left"/>
        <w:rPr>
          <w:sz w:val="22"/>
          <w:szCs w:val="22"/>
        </w:rPr>
      </w:pPr>
    </w:p>
    <w:p w:rsidR="00467218" w:rsidRPr="004A7288" w:rsidRDefault="00467218" w:rsidP="00005545">
      <w:pPr>
        <w:pStyle w:val="Nadpis2"/>
        <w:jc w:val="left"/>
        <w:rPr>
          <w:rFonts w:cs="Times New Roman"/>
          <w:sz w:val="22"/>
          <w:szCs w:val="22"/>
          <w:lang w:val="sk-SK"/>
        </w:rPr>
      </w:pPr>
      <w:r w:rsidRPr="004A7288">
        <w:rPr>
          <w:rFonts w:cs="Times New Roman"/>
          <w:sz w:val="22"/>
          <w:szCs w:val="22"/>
          <w:lang w:val="sk-SK"/>
        </w:rPr>
        <w:t>3</w:t>
      </w:r>
      <w:r w:rsidR="00293E1A" w:rsidRPr="004A7288">
        <w:rPr>
          <w:rFonts w:cs="Times New Roman"/>
          <w:sz w:val="22"/>
          <w:szCs w:val="22"/>
          <w:lang w:val="sk-SK"/>
        </w:rPr>
        <w:t>.</w:t>
      </w:r>
      <w:r w:rsidRPr="004A7288">
        <w:rPr>
          <w:rFonts w:cs="Times New Roman"/>
          <w:sz w:val="22"/>
          <w:szCs w:val="22"/>
          <w:lang w:val="sk-SK"/>
        </w:rPr>
        <w:tab/>
      </w:r>
      <w:r w:rsidR="00F04D06" w:rsidRPr="004A7288">
        <w:rPr>
          <w:rFonts w:cs="Times New Roman"/>
          <w:noProof/>
          <w:sz w:val="22"/>
          <w:szCs w:val="22"/>
          <w:lang w:val="sk-SK"/>
        </w:rPr>
        <w:t>LIEKOVÁ FORMA</w:t>
      </w:r>
    </w:p>
    <w:p w:rsidR="00005545" w:rsidRPr="004A7288" w:rsidRDefault="00005545" w:rsidP="00005545">
      <w:pPr>
        <w:spacing w:after="0"/>
        <w:jc w:val="left"/>
        <w:rPr>
          <w:sz w:val="22"/>
          <w:szCs w:val="22"/>
        </w:rPr>
      </w:pPr>
    </w:p>
    <w:p w:rsidR="00467218" w:rsidRPr="004A7288" w:rsidRDefault="00F04D06" w:rsidP="00005545">
      <w:pPr>
        <w:spacing w:after="0"/>
        <w:jc w:val="left"/>
        <w:rPr>
          <w:sz w:val="22"/>
          <w:szCs w:val="22"/>
        </w:rPr>
      </w:pPr>
      <w:r w:rsidRPr="004A7288">
        <w:rPr>
          <w:sz w:val="22"/>
          <w:szCs w:val="22"/>
        </w:rPr>
        <w:t>Pero</w:t>
      </w:r>
      <w:r w:rsidR="00467218" w:rsidRPr="004A7288">
        <w:rPr>
          <w:sz w:val="22"/>
          <w:szCs w:val="22"/>
        </w:rPr>
        <w:t>r</w:t>
      </w:r>
      <w:r w:rsidRPr="004A7288">
        <w:rPr>
          <w:sz w:val="22"/>
          <w:szCs w:val="22"/>
        </w:rPr>
        <w:t>á</w:t>
      </w:r>
      <w:r w:rsidR="00467218" w:rsidRPr="004A7288">
        <w:rPr>
          <w:sz w:val="22"/>
          <w:szCs w:val="22"/>
        </w:rPr>
        <w:t>l</w:t>
      </w:r>
      <w:r w:rsidRPr="004A7288">
        <w:rPr>
          <w:sz w:val="22"/>
          <w:szCs w:val="22"/>
        </w:rPr>
        <w:t>na suspenz</w:t>
      </w:r>
      <w:r w:rsidR="00467218" w:rsidRPr="004A7288">
        <w:rPr>
          <w:sz w:val="22"/>
          <w:szCs w:val="22"/>
        </w:rPr>
        <w:t>i</w:t>
      </w:r>
      <w:r w:rsidRPr="004A7288">
        <w:rPr>
          <w:sz w:val="22"/>
          <w:szCs w:val="22"/>
        </w:rPr>
        <w:t>a</w:t>
      </w:r>
      <w:r w:rsidR="00467218" w:rsidRPr="004A7288">
        <w:rPr>
          <w:sz w:val="22"/>
          <w:szCs w:val="22"/>
        </w:rPr>
        <w:t>.</w:t>
      </w:r>
    </w:p>
    <w:p w:rsidR="00467218" w:rsidRPr="004A7288" w:rsidRDefault="006370E5" w:rsidP="00005545">
      <w:pPr>
        <w:spacing w:after="0"/>
        <w:jc w:val="left"/>
        <w:rPr>
          <w:sz w:val="22"/>
          <w:szCs w:val="22"/>
        </w:rPr>
      </w:pPr>
      <w:r w:rsidRPr="004A7288">
        <w:rPr>
          <w:sz w:val="22"/>
          <w:szCs w:val="22"/>
        </w:rPr>
        <w:t xml:space="preserve">Opis </w:t>
      </w:r>
      <w:r w:rsidR="00D377C0" w:rsidRPr="004A7288">
        <w:rPr>
          <w:sz w:val="22"/>
          <w:szCs w:val="22"/>
        </w:rPr>
        <w:t>lieku</w:t>
      </w:r>
      <w:r w:rsidRPr="004A7288">
        <w:rPr>
          <w:sz w:val="22"/>
          <w:szCs w:val="22"/>
        </w:rPr>
        <w:t>: r</w:t>
      </w:r>
      <w:r w:rsidR="004E35B3" w:rsidRPr="004A7288">
        <w:rPr>
          <w:sz w:val="22"/>
          <w:szCs w:val="22"/>
        </w:rPr>
        <w:t>u</w:t>
      </w:r>
      <w:r w:rsidR="00F04D06" w:rsidRPr="004A7288">
        <w:rPr>
          <w:sz w:val="22"/>
          <w:szCs w:val="22"/>
        </w:rPr>
        <w:t>žová</w:t>
      </w:r>
      <w:r w:rsidR="00056FC7" w:rsidRPr="004A7288">
        <w:rPr>
          <w:sz w:val="22"/>
          <w:szCs w:val="22"/>
        </w:rPr>
        <w:t xml:space="preserve"> vis</w:t>
      </w:r>
      <w:r w:rsidR="00F04D06" w:rsidRPr="004A7288">
        <w:rPr>
          <w:sz w:val="22"/>
          <w:szCs w:val="22"/>
        </w:rPr>
        <w:t>kózna</w:t>
      </w:r>
      <w:r w:rsidR="00056FC7" w:rsidRPr="004A7288">
        <w:rPr>
          <w:sz w:val="22"/>
          <w:szCs w:val="22"/>
        </w:rPr>
        <w:t xml:space="preserve"> suspen</w:t>
      </w:r>
      <w:r w:rsidR="00F04D06" w:rsidRPr="004A7288">
        <w:rPr>
          <w:sz w:val="22"/>
          <w:szCs w:val="22"/>
        </w:rPr>
        <w:t>z</w:t>
      </w:r>
      <w:r w:rsidR="00056FC7" w:rsidRPr="004A7288">
        <w:rPr>
          <w:sz w:val="22"/>
          <w:szCs w:val="22"/>
        </w:rPr>
        <w:t>i</w:t>
      </w:r>
      <w:r w:rsidR="00F04D06" w:rsidRPr="004A7288">
        <w:rPr>
          <w:sz w:val="22"/>
          <w:szCs w:val="22"/>
        </w:rPr>
        <w:t xml:space="preserve">a </w:t>
      </w:r>
      <w:r w:rsidR="00AA6308" w:rsidRPr="004A7288">
        <w:rPr>
          <w:sz w:val="22"/>
          <w:szCs w:val="22"/>
        </w:rPr>
        <w:t>s </w:t>
      </w:r>
      <w:r w:rsidR="00660123" w:rsidRPr="004A7288">
        <w:rPr>
          <w:sz w:val="22"/>
          <w:szCs w:val="22"/>
        </w:rPr>
        <w:t>príchuťou</w:t>
      </w:r>
      <w:r w:rsidR="00AA6308" w:rsidRPr="004A7288">
        <w:rPr>
          <w:sz w:val="22"/>
          <w:szCs w:val="22"/>
        </w:rPr>
        <w:t xml:space="preserve"> malín</w:t>
      </w:r>
      <w:r w:rsidR="00AA7480" w:rsidRPr="004A7288">
        <w:rPr>
          <w:sz w:val="22"/>
          <w:szCs w:val="22"/>
        </w:rPr>
        <w:t xml:space="preserve"> a </w:t>
      </w:r>
      <w:r w:rsidR="00AA6308" w:rsidRPr="004A7288">
        <w:rPr>
          <w:sz w:val="22"/>
          <w:szCs w:val="22"/>
        </w:rPr>
        <w:t>čerešní</w:t>
      </w:r>
      <w:r w:rsidR="00592A9D" w:rsidRPr="004A7288">
        <w:rPr>
          <w:sz w:val="22"/>
          <w:szCs w:val="22"/>
        </w:rPr>
        <w:t>.</w:t>
      </w:r>
    </w:p>
    <w:p w:rsidR="00467218" w:rsidRPr="004A7288" w:rsidRDefault="00467218" w:rsidP="00005545">
      <w:pPr>
        <w:spacing w:after="0"/>
        <w:jc w:val="left"/>
        <w:rPr>
          <w:sz w:val="22"/>
          <w:szCs w:val="22"/>
        </w:rPr>
      </w:pPr>
    </w:p>
    <w:p w:rsidR="00637BF2" w:rsidRPr="004A7288" w:rsidRDefault="00637BF2" w:rsidP="00005545">
      <w:pPr>
        <w:spacing w:after="0"/>
        <w:jc w:val="left"/>
        <w:rPr>
          <w:sz w:val="22"/>
          <w:szCs w:val="22"/>
        </w:rPr>
      </w:pPr>
    </w:p>
    <w:p w:rsidR="00467218" w:rsidRPr="004A7288" w:rsidRDefault="00467218" w:rsidP="00005545">
      <w:pPr>
        <w:pStyle w:val="Nadpis2"/>
        <w:jc w:val="left"/>
        <w:rPr>
          <w:rFonts w:cs="Times New Roman"/>
          <w:sz w:val="22"/>
          <w:szCs w:val="22"/>
          <w:lang w:val="sk-SK"/>
        </w:rPr>
      </w:pPr>
      <w:r w:rsidRPr="004A7288">
        <w:rPr>
          <w:rFonts w:cs="Times New Roman"/>
          <w:sz w:val="22"/>
          <w:szCs w:val="22"/>
          <w:lang w:val="sk-SK"/>
        </w:rPr>
        <w:t>4</w:t>
      </w:r>
      <w:r w:rsidR="00293E1A" w:rsidRPr="004A7288">
        <w:rPr>
          <w:rFonts w:cs="Times New Roman"/>
          <w:sz w:val="22"/>
          <w:szCs w:val="22"/>
          <w:lang w:val="sk-SK"/>
        </w:rPr>
        <w:t>.</w:t>
      </w:r>
      <w:r w:rsidR="00F04D06" w:rsidRPr="004A7288">
        <w:rPr>
          <w:rFonts w:cs="Times New Roman"/>
          <w:sz w:val="22"/>
          <w:szCs w:val="22"/>
          <w:lang w:val="sk-SK"/>
        </w:rPr>
        <w:tab/>
        <w:t>K</w:t>
      </w:r>
      <w:r w:rsidRPr="004A7288">
        <w:rPr>
          <w:rFonts w:cs="Times New Roman"/>
          <w:sz w:val="22"/>
          <w:szCs w:val="22"/>
          <w:lang w:val="sk-SK"/>
        </w:rPr>
        <w:t>LINIC</w:t>
      </w:r>
      <w:r w:rsidR="00F04D06" w:rsidRPr="004A7288">
        <w:rPr>
          <w:rFonts w:cs="Times New Roman"/>
          <w:sz w:val="22"/>
          <w:szCs w:val="22"/>
          <w:lang w:val="sk-SK"/>
        </w:rPr>
        <w:t>KÉ</w:t>
      </w:r>
      <w:r w:rsidRPr="004A7288">
        <w:rPr>
          <w:rFonts w:cs="Times New Roman"/>
          <w:sz w:val="22"/>
          <w:szCs w:val="22"/>
          <w:lang w:val="sk-SK"/>
        </w:rPr>
        <w:t xml:space="preserve"> </w:t>
      </w:r>
      <w:r w:rsidR="00F04D06" w:rsidRPr="004A7288">
        <w:rPr>
          <w:rFonts w:cs="Times New Roman"/>
          <w:sz w:val="22"/>
          <w:szCs w:val="22"/>
          <w:lang w:val="sk-SK"/>
        </w:rPr>
        <w:t>ÚDAJE</w:t>
      </w:r>
    </w:p>
    <w:p w:rsidR="00467218" w:rsidRPr="004A7288" w:rsidRDefault="00467218" w:rsidP="00005545">
      <w:pPr>
        <w:spacing w:after="0"/>
        <w:jc w:val="left"/>
        <w:rPr>
          <w:sz w:val="22"/>
          <w:szCs w:val="22"/>
        </w:rPr>
      </w:pPr>
    </w:p>
    <w:p w:rsidR="00467218" w:rsidRPr="004A7288" w:rsidRDefault="00F04D06" w:rsidP="00005545">
      <w:pPr>
        <w:spacing w:after="0"/>
        <w:jc w:val="left"/>
        <w:rPr>
          <w:b/>
          <w:sz w:val="22"/>
          <w:szCs w:val="22"/>
        </w:rPr>
      </w:pPr>
      <w:r w:rsidRPr="004A7288">
        <w:rPr>
          <w:b/>
          <w:sz w:val="22"/>
          <w:szCs w:val="22"/>
        </w:rPr>
        <w:t>4.1</w:t>
      </w:r>
      <w:r w:rsidRPr="004A7288">
        <w:rPr>
          <w:b/>
          <w:sz w:val="22"/>
          <w:szCs w:val="22"/>
        </w:rPr>
        <w:tab/>
        <w:t>T</w:t>
      </w:r>
      <w:r w:rsidR="00467218" w:rsidRPr="004A7288">
        <w:rPr>
          <w:b/>
          <w:sz w:val="22"/>
          <w:szCs w:val="22"/>
        </w:rPr>
        <w:t>erapeutic</w:t>
      </w:r>
      <w:r w:rsidRPr="004A7288">
        <w:rPr>
          <w:b/>
          <w:sz w:val="22"/>
          <w:szCs w:val="22"/>
        </w:rPr>
        <w:t>ké</w:t>
      </w:r>
      <w:r w:rsidR="00467218" w:rsidRPr="004A7288">
        <w:rPr>
          <w:b/>
          <w:sz w:val="22"/>
          <w:szCs w:val="22"/>
        </w:rPr>
        <w:t xml:space="preserve"> indi</w:t>
      </w:r>
      <w:r w:rsidRPr="004A7288">
        <w:rPr>
          <w:b/>
          <w:sz w:val="22"/>
          <w:szCs w:val="22"/>
        </w:rPr>
        <w:t>kác</w:t>
      </w:r>
      <w:r w:rsidR="00467218" w:rsidRPr="004A7288">
        <w:rPr>
          <w:b/>
          <w:sz w:val="22"/>
          <w:szCs w:val="22"/>
        </w:rPr>
        <w:t>i</w:t>
      </w:r>
      <w:r w:rsidRPr="004A7288">
        <w:rPr>
          <w:b/>
          <w:sz w:val="22"/>
          <w:szCs w:val="22"/>
        </w:rPr>
        <w:t>e</w:t>
      </w:r>
    </w:p>
    <w:p w:rsidR="00005545" w:rsidRPr="004A7288" w:rsidRDefault="00005545" w:rsidP="00005545">
      <w:pPr>
        <w:spacing w:after="0"/>
        <w:jc w:val="left"/>
        <w:rPr>
          <w:sz w:val="22"/>
          <w:szCs w:val="22"/>
        </w:rPr>
      </w:pPr>
    </w:p>
    <w:p w:rsidR="0087332C" w:rsidRPr="004A7288" w:rsidRDefault="00AA6308" w:rsidP="00005545">
      <w:pPr>
        <w:spacing w:after="0"/>
        <w:jc w:val="left"/>
        <w:rPr>
          <w:sz w:val="22"/>
          <w:szCs w:val="22"/>
        </w:rPr>
      </w:pPr>
      <w:r w:rsidRPr="004A7288">
        <w:rPr>
          <w:sz w:val="22"/>
          <w:szCs w:val="22"/>
        </w:rPr>
        <w:t>Na krátkodobú symptomatickú liečbu miernej až stredne silnej bolesti.</w:t>
      </w:r>
    </w:p>
    <w:p w:rsidR="00AA6308" w:rsidRPr="004A7288" w:rsidRDefault="00AA6308" w:rsidP="00AA6308">
      <w:pPr>
        <w:spacing w:after="0"/>
        <w:rPr>
          <w:sz w:val="22"/>
          <w:szCs w:val="22"/>
        </w:rPr>
      </w:pPr>
      <w:r w:rsidRPr="004A7288">
        <w:rPr>
          <w:sz w:val="22"/>
          <w:szCs w:val="22"/>
        </w:rPr>
        <w:t>Na krátkodobú symptomatickú liečbu horúčky.</w:t>
      </w:r>
    </w:p>
    <w:p w:rsidR="00467218" w:rsidRPr="004A7288" w:rsidRDefault="00467218" w:rsidP="00005545">
      <w:pPr>
        <w:spacing w:after="0"/>
        <w:jc w:val="left"/>
        <w:rPr>
          <w:sz w:val="22"/>
          <w:szCs w:val="22"/>
        </w:rPr>
      </w:pPr>
      <w:r w:rsidRPr="004A7288">
        <w:rPr>
          <w:sz w:val="22"/>
          <w:szCs w:val="22"/>
        </w:rPr>
        <w:t xml:space="preserve"> </w:t>
      </w:r>
    </w:p>
    <w:p w:rsidR="00467218" w:rsidRPr="004A7288" w:rsidRDefault="00467218" w:rsidP="00005545">
      <w:pPr>
        <w:spacing w:after="0"/>
        <w:jc w:val="left"/>
        <w:rPr>
          <w:b/>
          <w:sz w:val="22"/>
          <w:szCs w:val="22"/>
        </w:rPr>
      </w:pPr>
      <w:r w:rsidRPr="004A7288">
        <w:rPr>
          <w:b/>
          <w:sz w:val="22"/>
          <w:szCs w:val="22"/>
        </w:rPr>
        <w:t>4.2</w:t>
      </w:r>
      <w:r w:rsidRPr="004A7288">
        <w:rPr>
          <w:b/>
          <w:sz w:val="22"/>
          <w:szCs w:val="22"/>
        </w:rPr>
        <w:tab/>
      </w:r>
      <w:r w:rsidR="00F04D06" w:rsidRPr="004A7288">
        <w:rPr>
          <w:b/>
          <w:noProof/>
          <w:sz w:val="22"/>
          <w:szCs w:val="22"/>
        </w:rPr>
        <w:t>Dávkovanie a spôsob podávania</w:t>
      </w:r>
    </w:p>
    <w:p w:rsidR="00592A9D" w:rsidRPr="004A7288" w:rsidRDefault="00592A9D" w:rsidP="00005545">
      <w:pPr>
        <w:spacing w:after="0"/>
        <w:jc w:val="left"/>
        <w:rPr>
          <w:sz w:val="22"/>
          <w:szCs w:val="22"/>
        </w:rPr>
      </w:pPr>
    </w:p>
    <w:p w:rsidR="00467218" w:rsidRPr="004A7288" w:rsidRDefault="00AA6308" w:rsidP="00005545">
      <w:pPr>
        <w:spacing w:after="0"/>
        <w:jc w:val="left"/>
        <w:rPr>
          <w:sz w:val="22"/>
          <w:szCs w:val="22"/>
        </w:rPr>
      </w:pPr>
      <w:r w:rsidRPr="004A7288">
        <w:rPr>
          <w:sz w:val="22"/>
          <w:szCs w:val="22"/>
        </w:rPr>
        <w:t>Na bolesť a horúčku</w:t>
      </w:r>
      <w:r w:rsidR="00467218" w:rsidRPr="004A7288">
        <w:rPr>
          <w:sz w:val="22"/>
          <w:szCs w:val="22"/>
        </w:rPr>
        <w:t xml:space="preserve">: </w:t>
      </w:r>
      <w:r w:rsidRPr="004A7288">
        <w:rPr>
          <w:sz w:val="22"/>
          <w:szCs w:val="22"/>
        </w:rPr>
        <w:t xml:space="preserve">Denná dávka </w:t>
      </w:r>
      <w:r w:rsidR="000C6A6E" w:rsidRPr="004A7288">
        <w:rPr>
          <w:sz w:val="22"/>
          <w:szCs w:val="22"/>
        </w:rPr>
        <w:t>Ibalgin</w:t>
      </w:r>
      <w:r w:rsidR="00305A8F" w:rsidRPr="004A7288">
        <w:rPr>
          <w:sz w:val="22"/>
          <w:szCs w:val="22"/>
        </w:rPr>
        <w:t>u</w:t>
      </w:r>
      <w:r w:rsidR="000C6A6E" w:rsidRPr="004A7288">
        <w:rPr>
          <w:sz w:val="22"/>
          <w:szCs w:val="22"/>
        </w:rPr>
        <w:t xml:space="preserve"> Junior</w:t>
      </w:r>
      <w:r w:rsidRPr="004A7288">
        <w:rPr>
          <w:sz w:val="22"/>
          <w:szCs w:val="22"/>
        </w:rPr>
        <w:t xml:space="preserve"> je</w:t>
      </w:r>
      <w:r w:rsidR="00467218" w:rsidRPr="004A7288">
        <w:rPr>
          <w:sz w:val="22"/>
          <w:szCs w:val="22"/>
        </w:rPr>
        <w:t xml:space="preserve"> 20</w:t>
      </w:r>
      <w:r w:rsidRPr="004A7288">
        <w:rPr>
          <w:sz w:val="22"/>
          <w:szCs w:val="22"/>
        </w:rPr>
        <w:t xml:space="preserve"> </w:t>
      </w:r>
      <w:r w:rsidR="00467218" w:rsidRPr="004A7288">
        <w:rPr>
          <w:sz w:val="22"/>
          <w:szCs w:val="22"/>
        </w:rPr>
        <w:t>-</w:t>
      </w:r>
      <w:r w:rsidRPr="004A7288">
        <w:rPr>
          <w:sz w:val="22"/>
          <w:szCs w:val="22"/>
        </w:rPr>
        <w:t xml:space="preserve"> </w:t>
      </w:r>
      <w:r w:rsidR="00467218" w:rsidRPr="004A7288">
        <w:rPr>
          <w:sz w:val="22"/>
          <w:szCs w:val="22"/>
        </w:rPr>
        <w:t xml:space="preserve">30 mg/kg </w:t>
      </w:r>
      <w:r w:rsidRPr="004A7288">
        <w:rPr>
          <w:sz w:val="22"/>
          <w:szCs w:val="22"/>
        </w:rPr>
        <w:t>telesnej hmotnosti v rozdelených dávkach</w:t>
      </w:r>
      <w:r w:rsidR="00467218" w:rsidRPr="004A7288">
        <w:rPr>
          <w:sz w:val="22"/>
          <w:szCs w:val="22"/>
        </w:rPr>
        <w:t xml:space="preserve">. </w:t>
      </w:r>
      <w:r w:rsidR="004E35B3" w:rsidRPr="004A7288">
        <w:rPr>
          <w:sz w:val="22"/>
          <w:szCs w:val="22"/>
        </w:rPr>
        <w:t xml:space="preserve">Použitím priloženej </w:t>
      </w:r>
      <w:r w:rsidR="003F4D9E" w:rsidRPr="004A7288">
        <w:rPr>
          <w:sz w:val="22"/>
          <w:szCs w:val="22"/>
        </w:rPr>
        <w:t>meracej pomôcky</w:t>
      </w:r>
      <w:r w:rsidR="004E35B3" w:rsidRPr="004A7288">
        <w:rPr>
          <w:sz w:val="22"/>
          <w:szCs w:val="22"/>
        </w:rPr>
        <w:t xml:space="preserve"> sa to dá docieliť nasledovn</w:t>
      </w:r>
      <w:r w:rsidR="006B316F" w:rsidRPr="004A7288">
        <w:rPr>
          <w:sz w:val="22"/>
          <w:szCs w:val="22"/>
        </w:rPr>
        <w:t>e</w:t>
      </w:r>
      <w:r w:rsidR="00467218" w:rsidRPr="004A7288">
        <w:rPr>
          <w:sz w:val="22"/>
          <w:szCs w:val="22"/>
        </w:rPr>
        <w:t>:</w:t>
      </w:r>
    </w:p>
    <w:p w:rsidR="00467218" w:rsidRPr="004A7288" w:rsidRDefault="00467218" w:rsidP="00005545">
      <w:pPr>
        <w:spacing w:after="0"/>
        <w:jc w:val="left"/>
        <w:rPr>
          <w:sz w:val="22"/>
          <w:szCs w:val="22"/>
        </w:rPr>
      </w:pPr>
    </w:p>
    <w:tbl>
      <w:tblPr>
        <w:tblW w:w="0" w:type="auto"/>
        <w:tblInd w:w="147" w:type="dxa"/>
        <w:tblLayout w:type="fixed"/>
        <w:tblCellMar>
          <w:left w:w="0" w:type="dxa"/>
          <w:right w:w="0" w:type="dxa"/>
        </w:tblCellMar>
        <w:tblLook w:val="01E0"/>
      </w:tblPr>
      <w:tblGrid>
        <w:gridCol w:w="2691"/>
        <w:gridCol w:w="2842"/>
        <w:gridCol w:w="2842"/>
      </w:tblGrid>
      <w:tr w:rsidR="00637BF2" w:rsidRPr="004A7288" w:rsidTr="00B80CA0">
        <w:trPr>
          <w:trHeight w:hRule="exact" w:val="562"/>
        </w:trPr>
        <w:tc>
          <w:tcPr>
            <w:tcW w:w="2691" w:type="dxa"/>
            <w:tcBorders>
              <w:top w:val="single" w:sz="4" w:space="0" w:color="000000"/>
              <w:left w:val="single" w:sz="4" w:space="0" w:color="000000"/>
              <w:bottom w:val="single" w:sz="4" w:space="0" w:color="000000"/>
              <w:right w:val="single" w:sz="4" w:space="0" w:color="000000"/>
            </w:tcBorders>
          </w:tcPr>
          <w:p w:rsidR="00637BF2" w:rsidRPr="004A7288" w:rsidRDefault="004E35B3" w:rsidP="00005545">
            <w:pPr>
              <w:spacing w:after="0"/>
              <w:ind w:left="102" w:right="-20"/>
              <w:jc w:val="left"/>
              <w:rPr>
                <w:rFonts w:eastAsia="Times New Roman"/>
                <w:sz w:val="22"/>
                <w:szCs w:val="22"/>
              </w:rPr>
            </w:pPr>
            <w:r w:rsidRPr="004A7288">
              <w:rPr>
                <w:rFonts w:eastAsia="Times New Roman"/>
                <w:spacing w:val="1"/>
                <w:sz w:val="22"/>
                <w:szCs w:val="22"/>
              </w:rPr>
              <w:t>Vek dieťaťa</w:t>
            </w:r>
          </w:p>
          <w:p w:rsidR="00637BF2" w:rsidRPr="004A7288" w:rsidRDefault="00637BF2" w:rsidP="004E35B3">
            <w:pPr>
              <w:spacing w:after="0"/>
              <w:ind w:left="102" w:right="-20"/>
              <w:jc w:val="left"/>
              <w:rPr>
                <w:rFonts w:eastAsia="Times New Roman"/>
                <w:sz w:val="22"/>
                <w:szCs w:val="22"/>
              </w:rPr>
            </w:pPr>
            <w:r w:rsidRPr="004A7288">
              <w:rPr>
                <w:rFonts w:eastAsia="Times New Roman"/>
                <w:sz w:val="22"/>
                <w:szCs w:val="22"/>
              </w:rPr>
              <w:t>(</w:t>
            </w:r>
            <w:r w:rsidR="004E35B3" w:rsidRPr="004A7288">
              <w:rPr>
                <w:rFonts w:eastAsia="Times New Roman"/>
                <w:spacing w:val="1"/>
                <w:sz w:val="22"/>
                <w:szCs w:val="22"/>
              </w:rPr>
              <w:t>hmotnosť</w:t>
            </w:r>
            <w:r w:rsidRPr="004A7288">
              <w:rPr>
                <w:rFonts w:eastAsia="Times New Roman"/>
                <w:sz w:val="22"/>
                <w:szCs w:val="22"/>
              </w:rPr>
              <w:t>)</w:t>
            </w:r>
          </w:p>
        </w:tc>
        <w:tc>
          <w:tcPr>
            <w:tcW w:w="2842" w:type="dxa"/>
            <w:tcBorders>
              <w:top w:val="single" w:sz="4" w:space="0" w:color="000000"/>
              <w:left w:val="single" w:sz="4" w:space="0" w:color="000000"/>
              <w:bottom w:val="single" w:sz="4" w:space="0" w:color="000000"/>
              <w:right w:val="single" w:sz="4" w:space="0" w:color="000000"/>
            </w:tcBorders>
          </w:tcPr>
          <w:p w:rsidR="00637BF2" w:rsidRPr="004A7288" w:rsidRDefault="00836629" w:rsidP="004E35B3">
            <w:pPr>
              <w:spacing w:after="0"/>
              <w:ind w:left="102" w:right="-20"/>
              <w:jc w:val="left"/>
              <w:rPr>
                <w:rFonts w:eastAsia="Times New Roman"/>
                <w:sz w:val="22"/>
                <w:szCs w:val="22"/>
              </w:rPr>
            </w:pPr>
            <w:r w:rsidRPr="004A7288">
              <w:rPr>
                <w:rFonts w:eastAsia="Times New Roman"/>
                <w:sz w:val="22"/>
                <w:szCs w:val="22"/>
              </w:rPr>
              <w:t>Individu</w:t>
            </w:r>
            <w:r w:rsidR="004E35B3" w:rsidRPr="004A7288">
              <w:rPr>
                <w:rFonts w:eastAsia="Times New Roman"/>
                <w:sz w:val="22"/>
                <w:szCs w:val="22"/>
              </w:rPr>
              <w:t>á</w:t>
            </w:r>
            <w:r w:rsidRPr="004A7288">
              <w:rPr>
                <w:rFonts w:eastAsia="Times New Roman"/>
                <w:sz w:val="22"/>
                <w:szCs w:val="22"/>
              </w:rPr>
              <w:t>l</w:t>
            </w:r>
            <w:r w:rsidR="004E35B3" w:rsidRPr="004A7288">
              <w:rPr>
                <w:rFonts w:eastAsia="Times New Roman"/>
                <w:sz w:val="22"/>
                <w:szCs w:val="22"/>
              </w:rPr>
              <w:t>na</w:t>
            </w:r>
            <w:r w:rsidRPr="004A7288">
              <w:rPr>
                <w:rFonts w:eastAsia="Times New Roman"/>
                <w:sz w:val="22"/>
                <w:szCs w:val="22"/>
              </w:rPr>
              <w:t xml:space="preserve"> d</w:t>
            </w:r>
            <w:r w:rsidR="004E35B3" w:rsidRPr="004A7288">
              <w:rPr>
                <w:rFonts w:eastAsia="Times New Roman"/>
                <w:sz w:val="22"/>
                <w:szCs w:val="22"/>
              </w:rPr>
              <w:t>ávka</w:t>
            </w:r>
          </w:p>
        </w:tc>
        <w:tc>
          <w:tcPr>
            <w:tcW w:w="2842" w:type="dxa"/>
            <w:tcBorders>
              <w:top w:val="single" w:sz="4" w:space="0" w:color="000000"/>
              <w:left w:val="single" w:sz="4" w:space="0" w:color="000000"/>
              <w:bottom w:val="single" w:sz="4" w:space="0" w:color="000000"/>
              <w:right w:val="single" w:sz="4" w:space="0" w:color="000000"/>
            </w:tcBorders>
          </w:tcPr>
          <w:p w:rsidR="00637BF2" w:rsidRPr="004A7288" w:rsidRDefault="00637BF2" w:rsidP="004E35B3">
            <w:pPr>
              <w:spacing w:after="0"/>
              <w:ind w:left="102" w:right="-20"/>
              <w:jc w:val="left"/>
              <w:rPr>
                <w:rFonts w:eastAsia="Times New Roman"/>
                <w:sz w:val="22"/>
                <w:szCs w:val="22"/>
              </w:rPr>
            </w:pPr>
            <w:r w:rsidRPr="004A7288">
              <w:rPr>
                <w:rFonts w:eastAsia="Times New Roman"/>
                <w:spacing w:val="-1"/>
                <w:sz w:val="22"/>
                <w:szCs w:val="22"/>
              </w:rPr>
              <w:t>Fr</w:t>
            </w:r>
            <w:r w:rsidRPr="004A7288">
              <w:rPr>
                <w:rFonts w:eastAsia="Times New Roman"/>
                <w:sz w:val="22"/>
                <w:szCs w:val="22"/>
              </w:rPr>
              <w:t>e</w:t>
            </w:r>
            <w:r w:rsidR="004E35B3" w:rsidRPr="004A7288">
              <w:rPr>
                <w:rFonts w:eastAsia="Times New Roman"/>
                <w:sz w:val="22"/>
                <w:szCs w:val="22"/>
              </w:rPr>
              <w:t>kv</w:t>
            </w:r>
            <w:r w:rsidRPr="004A7288">
              <w:rPr>
                <w:rFonts w:eastAsia="Times New Roman"/>
                <w:spacing w:val="-1"/>
                <w:sz w:val="22"/>
                <w:szCs w:val="22"/>
              </w:rPr>
              <w:t>e</w:t>
            </w:r>
            <w:r w:rsidRPr="004A7288">
              <w:rPr>
                <w:rFonts w:eastAsia="Times New Roman"/>
                <w:sz w:val="22"/>
                <w:szCs w:val="22"/>
              </w:rPr>
              <w:t>n</w:t>
            </w:r>
            <w:r w:rsidRPr="004A7288">
              <w:rPr>
                <w:rFonts w:eastAsia="Times New Roman"/>
                <w:spacing w:val="4"/>
                <w:sz w:val="22"/>
                <w:szCs w:val="22"/>
              </w:rPr>
              <w:t>c</w:t>
            </w:r>
            <w:r w:rsidR="004E35B3" w:rsidRPr="004A7288">
              <w:rPr>
                <w:rFonts w:eastAsia="Times New Roman"/>
                <w:spacing w:val="4"/>
                <w:sz w:val="22"/>
                <w:szCs w:val="22"/>
              </w:rPr>
              <w:t>ia</w:t>
            </w:r>
            <w:r w:rsidRPr="004A7288">
              <w:rPr>
                <w:rFonts w:eastAsia="Times New Roman"/>
                <w:spacing w:val="-5"/>
                <w:sz w:val="22"/>
                <w:szCs w:val="22"/>
              </w:rPr>
              <w:t xml:space="preserve"> </w:t>
            </w:r>
            <w:r w:rsidR="004E35B3" w:rsidRPr="004A7288">
              <w:rPr>
                <w:rFonts w:eastAsia="Times New Roman"/>
                <w:spacing w:val="-5"/>
                <w:sz w:val="22"/>
                <w:szCs w:val="22"/>
              </w:rPr>
              <w:t>za</w:t>
            </w:r>
            <w:r w:rsidRPr="004A7288">
              <w:rPr>
                <w:rFonts w:eastAsia="Times New Roman"/>
                <w:sz w:val="22"/>
                <w:szCs w:val="22"/>
              </w:rPr>
              <w:t xml:space="preserve"> 24 ho</w:t>
            </w:r>
            <w:r w:rsidR="004E35B3" w:rsidRPr="004A7288">
              <w:rPr>
                <w:rFonts w:eastAsia="Times New Roman"/>
                <w:sz w:val="22"/>
                <w:szCs w:val="22"/>
              </w:rPr>
              <w:t>dín</w:t>
            </w:r>
          </w:p>
        </w:tc>
      </w:tr>
      <w:tr w:rsidR="00637BF2" w:rsidRPr="004A7288" w:rsidTr="00B76DF5">
        <w:trPr>
          <w:trHeight w:hRule="exact" w:val="652"/>
        </w:trPr>
        <w:tc>
          <w:tcPr>
            <w:tcW w:w="2691" w:type="dxa"/>
            <w:tcBorders>
              <w:top w:val="single" w:sz="4" w:space="0" w:color="000000"/>
              <w:left w:val="single" w:sz="4" w:space="0" w:color="000000"/>
              <w:bottom w:val="single" w:sz="4" w:space="0" w:color="000000"/>
              <w:right w:val="single" w:sz="4" w:space="0" w:color="000000"/>
            </w:tcBorders>
          </w:tcPr>
          <w:p w:rsidR="00637BF2" w:rsidRPr="004A7288" w:rsidRDefault="00637BF2" w:rsidP="004E35B3">
            <w:pPr>
              <w:spacing w:after="0"/>
              <w:ind w:left="102" w:right="-20"/>
              <w:jc w:val="left"/>
              <w:rPr>
                <w:rFonts w:eastAsia="Times New Roman"/>
                <w:sz w:val="22"/>
                <w:szCs w:val="22"/>
              </w:rPr>
            </w:pPr>
            <w:r w:rsidRPr="004A7288">
              <w:rPr>
                <w:rFonts w:eastAsia="Times New Roman"/>
                <w:sz w:val="22"/>
                <w:szCs w:val="22"/>
              </w:rPr>
              <w:t>6</w:t>
            </w:r>
            <w:r w:rsidR="00082C3B">
              <w:rPr>
                <w:rFonts w:eastAsia="Times New Roman"/>
                <w:sz w:val="22"/>
                <w:szCs w:val="22"/>
              </w:rPr>
              <w:t xml:space="preserve"> - 9</w:t>
            </w:r>
            <w:r w:rsidR="00082C3B">
              <w:rPr>
                <w:rFonts w:eastAsia="Times New Roman"/>
                <w:spacing w:val="2"/>
                <w:sz w:val="22"/>
                <w:szCs w:val="22"/>
              </w:rPr>
              <w:t xml:space="preserve"> rokov </w:t>
            </w:r>
            <w:r w:rsidR="00082C3B">
              <w:rPr>
                <w:rFonts w:eastAsia="Times New Roman"/>
                <w:sz w:val="22"/>
                <w:szCs w:val="22"/>
              </w:rPr>
              <w:t>(20 - 29 k</w:t>
            </w:r>
            <w:r w:rsidR="00082C3B">
              <w:rPr>
                <w:rFonts w:eastAsia="Times New Roman"/>
                <w:spacing w:val="-2"/>
                <w:sz w:val="22"/>
                <w:szCs w:val="22"/>
              </w:rPr>
              <w:t>g</w:t>
            </w:r>
            <w:r w:rsidR="00082C3B">
              <w:rPr>
                <w:rFonts w:eastAsia="Times New Roman"/>
                <w:sz w:val="22"/>
                <w:szCs w:val="22"/>
              </w:rPr>
              <w:t>)</w:t>
            </w:r>
          </w:p>
        </w:tc>
        <w:tc>
          <w:tcPr>
            <w:tcW w:w="2842" w:type="dxa"/>
            <w:tcBorders>
              <w:top w:val="single" w:sz="4" w:space="0" w:color="000000"/>
              <w:left w:val="single" w:sz="4" w:space="0" w:color="000000"/>
              <w:bottom w:val="single" w:sz="4" w:space="0" w:color="000000"/>
              <w:right w:val="single" w:sz="4" w:space="0" w:color="000000"/>
            </w:tcBorders>
          </w:tcPr>
          <w:p w:rsidR="00836629" w:rsidRPr="004A7288" w:rsidRDefault="00082C3B" w:rsidP="00005545">
            <w:pPr>
              <w:spacing w:after="0"/>
              <w:ind w:left="102" w:right="-20"/>
              <w:jc w:val="left"/>
              <w:rPr>
                <w:rFonts w:eastAsia="Times New Roman"/>
                <w:sz w:val="22"/>
                <w:szCs w:val="22"/>
              </w:rPr>
            </w:pPr>
            <w:r>
              <w:rPr>
                <w:rFonts w:eastAsia="Times New Roman"/>
                <w:sz w:val="22"/>
                <w:szCs w:val="22"/>
              </w:rPr>
              <w:t>5</w:t>
            </w:r>
            <w:r w:rsidR="008D3117">
              <w:rPr>
                <w:rFonts w:eastAsia="Times New Roman"/>
                <w:sz w:val="22"/>
                <w:szCs w:val="22"/>
              </w:rPr>
              <w:t xml:space="preserve"> </w:t>
            </w:r>
            <w:r>
              <w:rPr>
                <w:rFonts w:eastAsia="Times New Roman"/>
                <w:sz w:val="22"/>
                <w:szCs w:val="22"/>
              </w:rPr>
              <w:t>ml</w:t>
            </w:r>
          </w:p>
          <w:p w:rsidR="00637BF2" w:rsidRPr="004A7288" w:rsidRDefault="00082C3B" w:rsidP="004E35B3">
            <w:pPr>
              <w:spacing w:after="0"/>
              <w:ind w:left="102" w:right="351"/>
              <w:jc w:val="left"/>
              <w:rPr>
                <w:rFonts w:eastAsia="Times New Roman"/>
                <w:sz w:val="22"/>
                <w:szCs w:val="22"/>
              </w:rPr>
            </w:pPr>
            <w:r>
              <w:rPr>
                <w:rFonts w:eastAsia="Times New Roman"/>
                <w:sz w:val="22"/>
                <w:szCs w:val="22"/>
              </w:rPr>
              <w:t>(200 m</w:t>
            </w:r>
            <w:r>
              <w:rPr>
                <w:rFonts w:eastAsia="Times New Roman"/>
                <w:spacing w:val="-2"/>
                <w:sz w:val="22"/>
                <w:szCs w:val="22"/>
              </w:rPr>
              <w:t>g</w:t>
            </w:r>
            <w:r>
              <w:rPr>
                <w:rFonts w:eastAsia="Times New Roman"/>
                <w:sz w:val="22"/>
                <w:szCs w:val="22"/>
              </w:rPr>
              <w:t xml:space="preserve"> </w:t>
            </w:r>
            <w:r w:rsidR="008D3117">
              <w:rPr>
                <w:rFonts w:eastAsia="Times New Roman"/>
                <w:sz w:val="22"/>
                <w:szCs w:val="22"/>
              </w:rPr>
              <w:t>ibuprofénu</w:t>
            </w:r>
            <w:r>
              <w:rPr>
                <w:rFonts w:eastAsia="Times New Roman"/>
                <w:spacing w:val="-1"/>
                <w:sz w:val="22"/>
                <w:szCs w:val="22"/>
              </w:rPr>
              <w:t>)</w:t>
            </w:r>
          </w:p>
        </w:tc>
        <w:tc>
          <w:tcPr>
            <w:tcW w:w="2842" w:type="dxa"/>
            <w:tcBorders>
              <w:top w:val="single" w:sz="4" w:space="0" w:color="000000"/>
              <w:left w:val="single" w:sz="4" w:space="0" w:color="000000"/>
              <w:bottom w:val="single" w:sz="4" w:space="0" w:color="000000"/>
              <w:right w:val="single" w:sz="4" w:space="0" w:color="000000"/>
            </w:tcBorders>
          </w:tcPr>
          <w:p w:rsidR="00637BF2" w:rsidRPr="004A7288" w:rsidRDefault="00082C3B" w:rsidP="00005545">
            <w:pPr>
              <w:spacing w:after="0"/>
              <w:ind w:left="102" w:right="-20"/>
              <w:jc w:val="left"/>
              <w:rPr>
                <w:rFonts w:eastAsia="Times New Roman"/>
                <w:sz w:val="22"/>
                <w:szCs w:val="22"/>
              </w:rPr>
            </w:pPr>
            <w:r>
              <w:rPr>
                <w:rFonts w:eastAsia="Times New Roman"/>
                <w:sz w:val="22"/>
                <w:szCs w:val="22"/>
              </w:rPr>
              <w:t>3-krát</w:t>
            </w:r>
          </w:p>
          <w:p w:rsidR="00836629" w:rsidRPr="004A7288" w:rsidRDefault="00082C3B" w:rsidP="004E35B3">
            <w:pPr>
              <w:spacing w:after="0"/>
              <w:ind w:left="102" w:right="-20"/>
              <w:jc w:val="left"/>
              <w:rPr>
                <w:rFonts w:eastAsia="Times New Roman"/>
                <w:sz w:val="22"/>
                <w:szCs w:val="22"/>
              </w:rPr>
            </w:pPr>
            <w:r>
              <w:rPr>
                <w:rFonts w:eastAsia="Times New Roman"/>
                <w:sz w:val="22"/>
                <w:szCs w:val="22"/>
              </w:rPr>
              <w:t xml:space="preserve">(600 mg </w:t>
            </w:r>
            <w:r w:rsidR="008D3117">
              <w:rPr>
                <w:rFonts w:eastAsia="Times New Roman"/>
                <w:sz w:val="22"/>
                <w:szCs w:val="22"/>
              </w:rPr>
              <w:t>ibuprofénu</w:t>
            </w:r>
            <w:r>
              <w:rPr>
                <w:rFonts w:eastAsia="Times New Roman"/>
                <w:sz w:val="22"/>
                <w:szCs w:val="22"/>
              </w:rPr>
              <w:t>)</w:t>
            </w:r>
          </w:p>
        </w:tc>
      </w:tr>
      <w:tr w:rsidR="00637BF2" w:rsidRPr="004A7288" w:rsidTr="00B76DF5">
        <w:trPr>
          <w:trHeight w:hRule="exact" w:val="704"/>
        </w:trPr>
        <w:tc>
          <w:tcPr>
            <w:tcW w:w="2691" w:type="dxa"/>
            <w:tcBorders>
              <w:top w:val="single" w:sz="4" w:space="0" w:color="000000"/>
              <w:left w:val="single" w:sz="4" w:space="0" w:color="000000"/>
              <w:bottom w:val="single" w:sz="4" w:space="0" w:color="000000"/>
              <w:right w:val="single" w:sz="4" w:space="0" w:color="000000"/>
            </w:tcBorders>
          </w:tcPr>
          <w:p w:rsidR="00637BF2" w:rsidRPr="004A7288" w:rsidRDefault="00637BF2" w:rsidP="004E35B3">
            <w:pPr>
              <w:spacing w:after="0"/>
              <w:ind w:left="102" w:right="-20"/>
              <w:jc w:val="left"/>
              <w:rPr>
                <w:rFonts w:eastAsia="Times New Roman"/>
                <w:sz w:val="22"/>
                <w:szCs w:val="22"/>
              </w:rPr>
            </w:pPr>
            <w:r w:rsidRPr="004A7288">
              <w:rPr>
                <w:rFonts w:eastAsia="Times New Roman"/>
                <w:sz w:val="22"/>
                <w:szCs w:val="22"/>
              </w:rPr>
              <w:t>9</w:t>
            </w:r>
            <w:r w:rsidR="00082C3B">
              <w:rPr>
                <w:rFonts w:eastAsia="Times New Roman"/>
                <w:sz w:val="22"/>
                <w:szCs w:val="22"/>
              </w:rPr>
              <w:t xml:space="preserve"> - 12</w:t>
            </w:r>
            <w:r w:rsidR="00082C3B">
              <w:rPr>
                <w:rFonts w:eastAsia="Times New Roman"/>
                <w:spacing w:val="2"/>
                <w:sz w:val="22"/>
                <w:szCs w:val="22"/>
              </w:rPr>
              <w:t xml:space="preserve"> </w:t>
            </w:r>
            <w:r w:rsidR="00082C3B">
              <w:rPr>
                <w:rFonts w:eastAsia="Times New Roman"/>
                <w:spacing w:val="-5"/>
                <w:sz w:val="22"/>
                <w:szCs w:val="22"/>
              </w:rPr>
              <w:t>rokov</w:t>
            </w:r>
            <w:r w:rsidR="00082C3B">
              <w:rPr>
                <w:rFonts w:eastAsia="Times New Roman"/>
                <w:spacing w:val="2"/>
                <w:sz w:val="22"/>
                <w:szCs w:val="22"/>
              </w:rPr>
              <w:t xml:space="preserve"> </w:t>
            </w:r>
            <w:r w:rsidR="00082C3B">
              <w:rPr>
                <w:rFonts w:eastAsia="Times New Roman"/>
                <w:sz w:val="22"/>
                <w:szCs w:val="22"/>
              </w:rPr>
              <w:t>(30 – 40 k</w:t>
            </w:r>
            <w:r w:rsidR="00082C3B">
              <w:rPr>
                <w:rFonts w:eastAsia="Times New Roman"/>
                <w:spacing w:val="-2"/>
                <w:sz w:val="22"/>
                <w:szCs w:val="22"/>
              </w:rPr>
              <w:t>g</w:t>
            </w:r>
            <w:r w:rsidR="00082C3B">
              <w:rPr>
                <w:rFonts w:eastAsia="Times New Roman"/>
                <w:sz w:val="22"/>
                <w:szCs w:val="22"/>
              </w:rPr>
              <w:t>)</w:t>
            </w:r>
          </w:p>
        </w:tc>
        <w:tc>
          <w:tcPr>
            <w:tcW w:w="2842" w:type="dxa"/>
            <w:tcBorders>
              <w:top w:val="single" w:sz="4" w:space="0" w:color="000000"/>
              <w:left w:val="single" w:sz="4" w:space="0" w:color="000000"/>
              <w:bottom w:val="single" w:sz="4" w:space="0" w:color="000000"/>
              <w:right w:val="single" w:sz="4" w:space="0" w:color="000000"/>
            </w:tcBorders>
          </w:tcPr>
          <w:p w:rsidR="00836629" w:rsidRPr="004A7288" w:rsidRDefault="00082C3B">
            <w:pPr>
              <w:spacing w:after="0"/>
              <w:ind w:left="102" w:right="-20"/>
              <w:jc w:val="left"/>
              <w:rPr>
                <w:rFonts w:eastAsia="Times New Roman"/>
                <w:sz w:val="22"/>
                <w:szCs w:val="22"/>
              </w:rPr>
            </w:pPr>
            <w:r>
              <w:rPr>
                <w:rFonts w:eastAsia="Times New Roman"/>
                <w:sz w:val="22"/>
                <w:szCs w:val="22"/>
              </w:rPr>
              <w:t>7,5</w:t>
            </w:r>
            <w:r w:rsidR="008D3117">
              <w:rPr>
                <w:rFonts w:eastAsia="Times New Roman"/>
                <w:sz w:val="22"/>
                <w:szCs w:val="22"/>
              </w:rPr>
              <w:t xml:space="preserve"> </w:t>
            </w:r>
            <w:r>
              <w:rPr>
                <w:rFonts w:eastAsia="Times New Roman"/>
                <w:sz w:val="22"/>
                <w:szCs w:val="22"/>
              </w:rPr>
              <w:t>ml</w:t>
            </w:r>
          </w:p>
          <w:p w:rsidR="00637BF2" w:rsidRPr="004A7288" w:rsidRDefault="00082C3B" w:rsidP="004E35B3">
            <w:pPr>
              <w:spacing w:after="0"/>
              <w:ind w:left="102" w:right="-20"/>
              <w:jc w:val="left"/>
              <w:rPr>
                <w:rFonts w:eastAsia="Times New Roman"/>
                <w:sz w:val="22"/>
                <w:szCs w:val="22"/>
              </w:rPr>
            </w:pPr>
            <w:r>
              <w:rPr>
                <w:rFonts w:eastAsia="Times New Roman"/>
                <w:sz w:val="22"/>
                <w:szCs w:val="22"/>
              </w:rPr>
              <w:t>(300 m</w:t>
            </w:r>
            <w:r>
              <w:rPr>
                <w:rFonts w:eastAsia="Times New Roman"/>
                <w:spacing w:val="-2"/>
                <w:sz w:val="22"/>
                <w:szCs w:val="22"/>
              </w:rPr>
              <w:t>g</w:t>
            </w:r>
            <w:r>
              <w:rPr>
                <w:rFonts w:eastAsia="Times New Roman"/>
                <w:sz w:val="22"/>
                <w:szCs w:val="22"/>
              </w:rPr>
              <w:t xml:space="preserve"> </w:t>
            </w:r>
            <w:r w:rsidR="008D3117">
              <w:rPr>
                <w:rFonts w:eastAsia="Times New Roman"/>
                <w:sz w:val="22"/>
                <w:szCs w:val="22"/>
              </w:rPr>
              <w:t>ibuprofénu</w:t>
            </w:r>
            <w:r>
              <w:rPr>
                <w:rFonts w:eastAsia="Times New Roman"/>
                <w:sz w:val="22"/>
                <w:szCs w:val="22"/>
              </w:rPr>
              <w:t>)</w:t>
            </w:r>
          </w:p>
        </w:tc>
        <w:tc>
          <w:tcPr>
            <w:tcW w:w="2842" w:type="dxa"/>
            <w:tcBorders>
              <w:top w:val="single" w:sz="4" w:space="0" w:color="000000"/>
              <w:left w:val="single" w:sz="4" w:space="0" w:color="000000"/>
              <w:bottom w:val="single" w:sz="4" w:space="0" w:color="000000"/>
              <w:right w:val="single" w:sz="4" w:space="0" w:color="000000"/>
            </w:tcBorders>
          </w:tcPr>
          <w:p w:rsidR="00637BF2" w:rsidRPr="004A7288" w:rsidRDefault="00082C3B" w:rsidP="00005545">
            <w:pPr>
              <w:spacing w:after="0"/>
              <w:ind w:left="102" w:right="-20"/>
              <w:jc w:val="left"/>
              <w:rPr>
                <w:rFonts w:eastAsia="Times New Roman"/>
                <w:sz w:val="22"/>
                <w:szCs w:val="22"/>
              </w:rPr>
            </w:pPr>
            <w:r>
              <w:rPr>
                <w:rFonts w:eastAsia="Times New Roman"/>
                <w:sz w:val="22"/>
                <w:szCs w:val="22"/>
              </w:rPr>
              <w:t>3-krát</w:t>
            </w:r>
          </w:p>
          <w:p w:rsidR="00836629" w:rsidRPr="004A7288" w:rsidRDefault="00082C3B" w:rsidP="00005545">
            <w:pPr>
              <w:spacing w:after="0"/>
              <w:ind w:left="102" w:right="-20"/>
              <w:jc w:val="left"/>
              <w:rPr>
                <w:rFonts w:eastAsia="Times New Roman"/>
                <w:sz w:val="22"/>
                <w:szCs w:val="22"/>
              </w:rPr>
            </w:pPr>
            <w:r>
              <w:rPr>
                <w:rFonts w:eastAsia="Times New Roman"/>
                <w:sz w:val="22"/>
                <w:szCs w:val="22"/>
              </w:rPr>
              <w:t xml:space="preserve">(900 mg </w:t>
            </w:r>
            <w:r w:rsidR="008D3117">
              <w:rPr>
                <w:rFonts w:eastAsia="Times New Roman"/>
                <w:sz w:val="22"/>
                <w:szCs w:val="22"/>
              </w:rPr>
              <w:t>ibuprofénu</w:t>
            </w:r>
            <w:r>
              <w:rPr>
                <w:rFonts w:eastAsia="Times New Roman"/>
                <w:sz w:val="22"/>
                <w:szCs w:val="22"/>
              </w:rPr>
              <w:t>)</w:t>
            </w:r>
          </w:p>
        </w:tc>
      </w:tr>
    </w:tbl>
    <w:p w:rsidR="00467218" w:rsidRPr="004A7288" w:rsidRDefault="00467218" w:rsidP="00005545">
      <w:pPr>
        <w:spacing w:after="0"/>
        <w:jc w:val="left"/>
        <w:rPr>
          <w:sz w:val="22"/>
          <w:szCs w:val="22"/>
        </w:rPr>
      </w:pPr>
    </w:p>
    <w:p w:rsidR="00467218" w:rsidRPr="004A7288" w:rsidRDefault="00082C3B" w:rsidP="00005545">
      <w:pPr>
        <w:spacing w:after="0"/>
        <w:jc w:val="left"/>
        <w:rPr>
          <w:sz w:val="22"/>
          <w:szCs w:val="22"/>
        </w:rPr>
      </w:pPr>
      <w:r>
        <w:rPr>
          <w:sz w:val="22"/>
          <w:szCs w:val="22"/>
        </w:rPr>
        <w:t>Dávky sa majú podávať približne každých 6 až 8 hodín.</w:t>
      </w:r>
    </w:p>
    <w:p w:rsidR="001758CC" w:rsidRPr="004A7288" w:rsidRDefault="001758CC" w:rsidP="008577B4">
      <w:pPr>
        <w:rPr>
          <w:sz w:val="22"/>
          <w:szCs w:val="22"/>
        </w:rPr>
      </w:pPr>
    </w:p>
    <w:p w:rsidR="008148E2" w:rsidRPr="004A7288" w:rsidRDefault="00082C3B" w:rsidP="008577B4">
      <w:pPr>
        <w:rPr>
          <w:sz w:val="22"/>
          <w:szCs w:val="22"/>
        </w:rPr>
      </w:pPr>
      <w:r w:rsidRPr="00082C3B">
        <w:rPr>
          <w:sz w:val="22"/>
          <w:szCs w:val="22"/>
        </w:rPr>
        <w:t>Nežiaduce účinky možno minimalizovať podávaním najnižšej účinnej dávky počas najkratšej potrebnej doby na kontrolu príznakov (pozri časť 4.4).</w:t>
      </w:r>
    </w:p>
    <w:p w:rsidR="008148E2" w:rsidRPr="004A7288" w:rsidRDefault="008148E2" w:rsidP="008577B4">
      <w:pPr>
        <w:rPr>
          <w:sz w:val="22"/>
          <w:szCs w:val="22"/>
        </w:rPr>
      </w:pPr>
    </w:p>
    <w:p w:rsidR="008577B4" w:rsidRPr="004A7288" w:rsidRDefault="00082C3B" w:rsidP="006F70AE">
      <w:pPr>
        <w:spacing w:after="0"/>
        <w:jc w:val="left"/>
        <w:rPr>
          <w:sz w:val="22"/>
          <w:szCs w:val="22"/>
        </w:rPr>
      </w:pPr>
      <w:r>
        <w:rPr>
          <w:sz w:val="22"/>
          <w:szCs w:val="22"/>
        </w:rPr>
        <w:t xml:space="preserve">Ak u detí od </w:t>
      </w:r>
      <w:r>
        <w:rPr>
          <w:iCs/>
          <w:sz w:val="22"/>
          <w:szCs w:val="22"/>
        </w:rPr>
        <w:t>6 rokov</w:t>
      </w:r>
      <w:r>
        <w:rPr>
          <w:sz w:val="22"/>
          <w:szCs w:val="22"/>
        </w:rPr>
        <w:t xml:space="preserve"> a dospievajúcich </w:t>
      </w:r>
      <w:r w:rsidR="006F70AE" w:rsidRPr="004A7288">
        <w:rPr>
          <w:sz w:val="22"/>
          <w:szCs w:val="22"/>
        </w:rPr>
        <w:t>je tento liek potrebné podávať viac ako 3 dni alebo sa príznaky ochorenia zhoršujú, je potrebné poradiť sa s lekárom.</w:t>
      </w:r>
    </w:p>
    <w:p w:rsidR="00A42588" w:rsidRPr="004A7288" w:rsidRDefault="00A42588" w:rsidP="00A42588">
      <w:pPr>
        <w:spacing w:after="0"/>
        <w:jc w:val="left"/>
        <w:rPr>
          <w:sz w:val="22"/>
          <w:szCs w:val="22"/>
        </w:rPr>
      </w:pPr>
    </w:p>
    <w:p w:rsidR="00A42588" w:rsidRPr="004A7288" w:rsidRDefault="00082C3B" w:rsidP="00A42588">
      <w:pPr>
        <w:spacing w:after="0"/>
        <w:jc w:val="left"/>
        <w:rPr>
          <w:sz w:val="22"/>
          <w:szCs w:val="22"/>
        </w:rPr>
      </w:pPr>
      <w:r>
        <w:rPr>
          <w:sz w:val="22"/>
          <w:szCs w:val="22"/>
        </w:rPr>
        <w:t xml:space="preserve">Liek nie je určený pre deti mladšie ako 6 rokov alebo s hmotnosťou menej ako 20 kg. </w:t>
      </w:r>
    </w:p>
    <w:p w:rsidR="00A42588" w:rsidRPr="004A7288" w:rsidRDefault="00A42588" w:rsidP="00D23DF0">
      <w:pPr>
        <w:pStyle w:val="Zkladntext"/>
        <w:rPr>
          <w:sz w:val="22"/>
          <w:szCs w:val="22"/>
          <w:lang w:val="sk-SK"/>
        </w:rPr>
      </w:pPr>
    </w:p>
    <w:p w:rsidR="00D23DF0" w:rsidRPr="004A7288" w:rsidRDefault="00082C3B" w:rsidP="00D23DF0">
      <w:pPr>
        <w:pStyle w:val="Zkladntext"/>
        <w:rPr>
          <w:sz w:val="22"/>
          <w:szCs w:val="22"/>
          <w:lang w:val="sk-SK"/>
        </w:rPr>
      </w:pPr>
      <w:r>
        <w:rPr>
          <w:sz w:val="22"/>
          <w:szCs w:val="22"/>
          <w:lang w:val="sk-SK"/>
        </w:rPr>
        <w:t>Suspenzia sa má zapiť dostatočným množstvom tekutiny.</w:t>
      </w:r>
    </w:p>
    <w:p w:rsidR="00467218" w:rsidRPr="004A7288" w:rsidRDefault="00082C3B" w:rsidP="00005545">
      <w:pPr>
        <w:spacing w:after="0"/>
        <w:jc w:val="left"/>
        <w:rPr>
          <w:sz w:val="22"/>
          <w:szCs w:val="22"/>
        </w:rPr>
      </w:pPr>
      <w:r>
        <w:rPr>
          <w:sz w:val="22"/>
          <w:szCs w:val="22"/>
        </w:rPr>
        <w:t>Pre pacientov s citlivým žalúdkom sa odporúča, aby sa Ibalgin Junior užíval s jedlom.</w:t>
      </w:r>
    </w:p>
    <w:p w:rsidR="00637BF2" w:rsidRPr="004A7288" w:rsidRDefault="00637BF2" w:rsidP="00005545">
      <w:pPr>
        <w:spacing w:after="0"/>
        <w:jc w:val="left"/>
        <w:rPr>
          <w:sz w:val="22"/>
          <w:szCs w:val="22"/>
        </w:rPr>
      </w:pPr>
    </w:p>
    <w:p w:rsidR="00467218" w:rsidRPr="004A7288" w:rsidRDefault="00082C3B" w:rsidP="00005545">
      <w:pPr>
        <w:spacing w:after="0"/>
        <w:jc w:val="left"/>
        <w:rPr>
          <w:sz w:val="22"/>
          <w:szCs w:val="22"/>
        </w:rPr>
      </w:pPr>
      <w:r>
        <w:rPr>
          <w:sz w:val="22"/>
          <w:szCs w:val="22"/>
        </w:rPr>
        <w:t>Na perorálne použitie.</w:t>
      </w:r>
    </w:p>
    <w:p w:rsidR="0087332C" w:rsidRPr="004A7288" w:rsidRDefault="0087332C" w:rsidP="00005545">
      <w:pPr>
        <w:spacing w:after="0"/>
        <w:jc w:val="left"/>
        <w:rPr>
          <w:sz w:val="22"/>
          <w:szCs w:val="22"/>
        </w:rPr>
      </w:pPr>
    </w:p>
    <w:p w:rsidR="00467218" w:rsidRPr="004A7288" w:rsidRDefault="00082C3B" w:rsidP="00005545">
      <w:pPr>
        <w:spacing w:after="0"/>
        <w:jc w:val="left"/>
        <w:rPr>
          <w:sz w:val="22"/>
          <w:szCs w:val="22"/>
        </w:rPr>
      </w:pPr>
      <w:r>
        <w:rPr>
          <w:sz w:val="22"/>
          <w:szCs w:val="22"/>
        </w:rPr>
        <w:t>Len na krátkodobé použitie.</w:t>
      </w:r>
    </w:p>
    <w:p w:rsidR="00467218" w:rsidRPr="004A7288" w:rsidRDefault="00467218" w:rsidP="00005545">
      <w:pPr>
        <w:spacing w:after="0"/>
        <w:jc w:val="left"/>
        <w:rPr>
          <w:sz w:val="22"/>
          <w:szCs w:val="22"/>
        </w:rPr>
      </w:pPr>
    </w:p>
    <w:p w:rsidR="00467218" w:rsidRPr="004A7288" w:rsidRDefault="00082C3B" w:rsidP="00005545">
      <w:pPr>
        <w:spacing w:after="0"/>
        <w:jc w:val="left"/>
        <w:rPr>
          <w:sz w:val="22"/>
          <w:szCs w:val="22"/>
        </w:rPr>
      </w:pPr>
      <w:r>
        <w:rPr>
          <w:sz w:val="22"/>
          <w:szCs w:val="22"/>
        </w:rPr>
        <w:t>Ak sa príznaky zhoršia, je potrebné vyhľadať lekársku pomoc.</w:t>
      </w:r>
    </w:p>
    <w:p w:rsidR="00467218" w:rsidRPr="004A7288" w:rsidRDefault="00467218" w:rsidP="00005545">
      <w:pPr>
        <w:spacing w:after="0"/>
        <w:jc w:val="left"/>
        <w:rPr>
          <w:sz w:val="22"/>
          <w:szCs w:val="22"/>
        </w:rPr>
      </w:pPr>
    </w:p>
    <w:p w:rsidR="006F70AE" w:rsidRPr="004A7288" w:rsidRDefault="00082C3B" w:rsidP="00777BDB">
      <w:pPr>
        <w:pStyle w:val="Zkladntext"/>
        <w:rPr>
          <w:sz w:val="22"/>
          <w:szCs w:val="22"/>
          <w:lang w:val="sk-SK"/>
        </w:rPr>
      </w:pPr>
      <w:r>
        <w:rPr>
          <w:sz w:val="22"/>
          <w:szCs w:val="22"/>
          <w:lang w:val="sk-SK"/>
        </w:rPr>
        <w:t>Ak príznaky u dieťaťa pretrvávajú dlhšie ako 3 dni, je potrebné vyhľadať lekársku pomoc.</w:t>
      </w:r>
    </w:p>
    <w:p w:rsidR="006F70AE" w:rsidRPr="004A7288" w:rsidRDefault="006F70AE" w:rsidP="006F70AE">
      <w:pPr>
        <w:pStyle w:val="Zkladntext"/>
        <w:jc w:val="both"/>
        <w:rPr>
          <w:sz w:val="22"/>
          <w:szCs w:val="22"/>
          <w:lang w:val="sk-SK"/>
        </w:rPr>
      </w:pPr>
    </w:p>
    <w:p w:rsidR="00467218" w:rsidRPr="004A7288" w:rsidRDefault="00082C3B" w:rsidP="006F70AE">
      <w:pPr>
        <w:spacing w:after="0"/>
        <w:jc w:val="left"/>
        <w:rPr>
          <w:sz w:val="22"/>
          <w:szCs w:val="22"/>
        </w:rPr>
      </w:pPr>
      <w:r>
        <w:rPr>
          <w:bCs/>
          <w:sz w:val="22"/>
          <w:szCs w:val="22"/>
        </w:rPr>
        <w:t xml:space="preserve">Nežiaduce účinky sa majú minimalizovať podávaním najnižšej účinnej dávky počas najkratšej doby potrebnej na zvládnutie príznakov </w:t>
      </w:r>
      <w:r>
        <w:rPr>
          <w:sz w:val="22"/>
          <w:szCs w:val="22"/>
        </w:rPr>
        <w:t>(pozri časť 4.4).</w:t>
      </w:r>
    </w:p>
    <w:p w:rsidR="00467218" w:rsidRPr="004A7288" w:rsidRDefault="00467218" w:rsidP="00005545">
      <w:pPr>
        <w:spacing w:after="0"/>
        <w:jc w:val="left"/>
        <w:rPr>
          <w:sz w:val="22"/>
          <w:szCs w:val="22"/>
        </w:rPr>
      </w:pPr>
    </w:p>
    <w:p w:rsidR="00467218" w:rsidRPr="004A7288" w:rsidRDefault="00082C3B" w:rsidP="00005545">
      <w:pPr>
        <w:spacing w:after="0"/>
        <w:jc w:val="left"/>
        <w:rPr>
          <w:sz w:val="22"/>
          <w:szCs w:val="22"/>
          <w:u w:val="single"/>
        </w:rPr>
      </w:pPr>
      <w:r>
        <w:rPr>
          <w:sz w:val="22"/>
          <w:szCs w:val="22"/>
          <w:u w:val="single"/>
        </w:rPr>
        <w:t>Osobitné skupiny pacientov</w:t>
      </w:r>
    </w:p>
    <w:p w:rsidR="00467218" w:rsidRPr="004A7288" w:rsidRDefault="00467218" w:rsidP="00005545">
      <w:pPr>
        <w:spacing w:after="0"/>
        <w:jc w:val="left"/>
        <w:rPr>
          <w:sz w:val="22"/>
          <w:szCs w:val="22"/>
        </w:rPr>
      </w:pPr>
    </w:p>
    <w:p w:rsidR="00467218" w:rsidRPr="004A7288" w:rsidRDefault="00082C3B" w:rsidP="00005545">
      <w:pPr>
        <w:spacing w:after="0"/>
        <w:jc w:val="left"/>
        <w:rPr>
          <w:i/>
          <w:sz w:val="22"/>
          <w:szCs w:val="22"/>
        </w:rPr>
      </w:pPr>
      <w:r>
        <w:rPr>
          <w:i/>
          <w:sz w:val="22"/>
          <w:szCs w:val="22"/>
        </w:rPr>
        <w:t>Porucha funkcie obličiek (pozri časť 5.2):</w:t>
      </w:r>
    </w:p>
    <w:p w:rsidR="00467218" w:rsidRPr="004A7288" w:rsidRDefault="00082C3B" w:rsidP="00005545">
      <w:pPr>
        <w:spacing w:after="0"/>
        <w:jc w:val="left"/>
        <w:rPr>
          <w:sz w:val="22"/>
          <w:szCs w:val="22"/>
        </w:rPr>
      </w:pPr>
      <w:r>
        <w:rPr>
          <w:sz w:val="22"/>
          <w:szCs w:val="22"/>
        </w:rPr>
        <w:t>U pacientov s miernou až stredne závažnou poruchou funkcie obličiek nie je potrebné žiadne zníženie dávky (pacienti so závažnou renálnou insuficienciou, pozri časť 4.3).</w:t>
      </w:r>
    </w:p>
    <w:p w:rsidR="00467218" w:rsidRPr="004A7288" w:rsidRDefault="00467218" w:rsidP="00005545">
      <w:pPr>
        <w:spacing w:after="0"/>
        <w:jc w:val="left"/>
        <w:rPr>
          <w:i/>
          <w:sz w:val="22"/>
          <w:szCs w:val="22"/>
        </w:rPr>
      </w:pPr>
    </w:p>
    <w:p w:rsidR="00467218" w:rsidRPr="004A7288" w:rsidRDefault="00082C3B" w:rsidP="00005545">
      <w:pPr>
        <w:spacing w:after="0"/>
        <w:jc w:val="left"/>
        <w:rPr>
          <w:i/>
          <w:sz w:val="22"/>
          <w:szCs w:val="22"/>
        </w:rPr>
      </w:pPr>
      <w:r>
        <w:rPr>
          <w:i/>
          <w:sz w:val="22"/>
          <w:szCs w:val="22"/>
        </w:rPr>
        <w:t>Porucha funkcie pečene (pozri časť 5.2):</w:t>
      </w:r>
    </w:p>
    <w:p w:rsidR="00467218" w:rsidRPr="004A7288" w:rsidRDefault="00082C3B" w:rsidP="00005545">
      <w:pPr>
        <w:spacing w:after="0"/>
        <w:jc w:val="left"/>
        <w:rPr>
          <w:sz w:val="22"/>
          <w:szCs w:val="22"/>
        </w:rPr>
      </w:pPr>
      <w:r>
        <w:rPr>
          <w:sz w:val="22"/>
          <w:szCs w:val="22"/>
        </w:rPr>
        <w:t>U pacientov s miernou až stredne závažnou poruchou funkcie pečene nie je potrebné žiadne zníženie dávky (pacienti so závažnou hepatálnou dysfunkciou, pozri časť 4.3).</w:t>
      </w:r>
    </w:p>
    <w:p w:rsidR="00467218" w:rsidRPr="004A7288" w:rsidRDefault="00467218" w:rsidP="00005545">
      <w:pPr>
        <w:spacing w:after="0"/>
        <w:jc w:val="left"/>
        <w:rPr>
          <w:sz w:val="22"/>
          <w:szCs w:val="22"/>
        </w:rPr>
      </w:pPr>
    </w:p>
    <w:p w:rsidR="00467218" w:rsidRPr="004A7288" w:rsidRDefault="00082C3B" w:rsidP="00005545">
      <w:pPr>
        <w:spacing w:after="0"/>
        <w:jc w:val="left"/>
        <w:rPr>
          <w:b/>
          <w:sz w:val="22"/>
          <w:szCs w:val="22"/>
        </w:rPr>
      </w:pPr>
      <w:r>
        <w:rPr>
          <w:b/>
          <w:sz w:val="22"/>
          <w:szCs w:val="22"/>
        </w:rPr>
        <w:t>4.3</w:t>
      </w:r>
      <w:r>
        <w:rPr>
          <w:b/>
          <w:sz w:val="22"/>
          <w:szCs w:val="22"/>
        </w:rPr>
        <w:tab/>
        <w:t>Kontraindikácie</w:t>
      </w:r>
    </w:p>
    <w:p w:rsidR="00592A9D" w:rsidRPr="004A7288" w:rsidRDefault="00592A9D" w:rsidP="001B460D">
      <w:pPr>
        <w:spacing w:after="0"/>
        <w:jc w:val="left"/>
        <w:rPr>
          <w:sz w:val="22"/>
          <w:szCs w:val="22"/>
        </w:rPr>
      </w:pPr>
    </w:p>
    <w:p w:rsidR="00467218" w:rsidRPr="004A7288" w:rsidRDefault="00082C3B" w:rsidP="001B460D">
      <w:pPr>
        <w:spacing w:after="0"/>
        <w:jc w:val="left"/>
        <w:rPr>
          <w:sz w:val="22"/>
          <w:szCs w:val="22"/>
        </w:rPr>
      </w:pPr>
      <w:r>
        <w:rPr>
          <w:sz w:val="22"/>
          <w:szCs w:val="22"/>
        </w:rPr>
        <w:t>Precitlivenosť na liečivo alebo na iné nesteroidné protizápalové lieky (NSAID) alebo na ktorúkoľvek z pomocných látok uvedených v časti 6.1.</w:t>
      </w:r>
    </w:p>
    <w:p w:rsidR="00467218" w:rsidRPr="004A7288" w:rsidRDefault="00467218" w:rsidP="001B460D">
      <w:pPr>
        <w:spacing w:after="0"/>
        <w:jc w:val="left"/>
        <w:rPr>
          <w:sz w:val="22"/>
          <w:szCs w:val="22"/>
        </w:rPr>
      </w:pPr>
    </w:p>
    <w:p w:rsidR="00F37785" w:rsidRPr="004A7288" w:rsidRDefault="00082C3B" w:rsidP="001B460D">
      <w:pPr>
        <w:spacing w:after="0"/>
        <w:jc w:val="left"/>
        <w:rPr>
          <w:sz w:val="22"/>
          <w:szCs w:val="22"/>
        </w:rPr>
      </w:pPr>
      <w:r>
        <w:rPr>
          <w:sz w:val="22"/>
          <w:szCs w:val="22"/>
        </w:rPr>
        <w:t>Pacienti s anamnézou bronchospazmu, astmy, rinitídy alebo urtikárie v súvislosti s užívaním kyseliny acetylsalicylovej (ASA) alebo iných nesteroidných antiflogistík.</w:t>
      </w:r>
    </w:p>
    <w:p w:rsidR="00F37785" w:rsidRPr="004A7288" w:rsidRDefault="00F37785" w:rsidP="001B460D">
      <w:pPr>
        <w:spacing w:after="0"/>
        <w:jc w:val="left"/>
        <w:rPr>
          <w:sz w:val="22"/>
          <w:szCs w:val="22"/>
        </w:rPr>
      </w:pPr>
    </w:p>
    <w:p w:rsidR="00F37785" w:rsidRPr="004A7288" w:rsidRDefault="00082C3B" w:rsidP="001B460D">
      <w:pPr>
        <w:spacing w:after="0"/>
        <w:jc w:val="left"/>
        <w:rPr>
          <w:sz w:val="22"/>
          <w:szCs w:val="22"/>
        </w:rPr>
      </w:pPr>
      <w:r>
        <w:rPr>
          <w:sz w:val="22"/>
          <w:szCs w:val="22"/>
        </w:rPr>
        <w:t>Pacienti s anamnézou gastrointestinálneho krvácania alebo perforácie, ktoré súviseli s predchádzajúcou liečbou NSAID.</w:t>
      </w:r>
    </w:p>
    <w:p w:rsidR="00F37785" w:rsidRPr="004A7288" w:rsidRDefault="00F37785" w:rsidP="001B460D">
      <w:pPr>
        <w:spacing w:after="0"/>
        <w:jc w:val="left"/>
        <w:rPr>
          <w:sz w:val="22"/>
          <w:szCs w:val="22"/>
        </w:rPr>
      </w:pPr>
    </w:p>
    <w:p w:rsidR="00F37785" w:rsidRPr="004A7288" w:rsidRDefault="00082C3B" w:rsidP="001B460D">
      <w:pPr>
        <w:spacing w:after="0"/>
        <w:jc w:val="left"/>
        <w:rPr>
          <w:sz w:val="22"/>
          <w:szCs w:val="22"/>
        </w:rPr>
      </w:pPr>
      <w:r>
        <w:rPr>
          <w:sz w:val="22"/>
          <w:szCs w:val="22"/>
        </w:rPr>
        <w:t>Pacienti s aktívnym alebo s anamnézou rekurentného peptického vredu / hemorágie (dve alebo viac zreteľných epizód potvrdenej ulcerácie alebo krvácania).</w:t>
      </w:r>
    </w:p>
    <w:p w:rsidR="00F37785" w:rsidRPr="004A7288" w:rsidRDefault="00F37785" w:rsidP="001B460D">
      <w:pPr>
        <w:spacing w:after="0"/>
        <w:jc w:val="left"/>
        <w:rPr>
          <w:sz w:val="22"/>
          <w:szCs w:val="22"/>
        </w:rPr>
      </w:pPr>
    </w:p>
    <w:p w:rsidR="00F37785" w:rsidRPr="004A7288" w:rsidRDefault="00082C3B" w:rsidP="001B460D">
      <w:pPr>
        <w:spacing w:after="0"/>
        <w:jc w:val="left"/>
        <w:rPr>
          <w:sz w:val="22"/>
          <w:szCs w:val="22"/>
        </w:rPr>
      </w:pPr>
      <w:r>
        <w:rPr>
          <w:sz w:val="22"/>
          <w:szCs w:val="22"/>
        </w:rPr>
        <w:t>Cerebrovaskulárne alebo iné aktívne krvácanie.</w:t>
      </w:r>
    </w:p>
    <w:p w:rsidR="00F37785" w:rsidRPr="004A7288" w:rsidRDefault="00F37785" w:rsidP="001B460D">
      <w:pPr>
        <w:spacing w:after="0"/>
        <w:jc w:val="left"/>
        <w:rPr>
          <w:sz w:val="22"/>
          <w:szCs w:val="22"/>
        </w:rPr>
      </w:pPr>
    </w:p>
    <w:p w:rsidR="00F37785" w:rsidRPr="004A7288" w:rsidRDefault="00082C3B" w:rsidP="001B460D">
      <w:pPr>
        <w:spacing w:after="0"/>
        <w:jc w:val="left"/>
        <w:rPr>
          <w:sz w:val="22"/>
          <w:szCs w:val="22"/>
        </w:rPr>
      </w:pPr>
      <w:r>
        <w:rPr>
          <w:sz w:val="22"/>
          <w:szCs w:val="22"/>
        </w:rPr>
        <w:t>Pacienti so závažným zlyhaním pečene, závažným renálnym zlyhaním alebo závažným srdcovým zlyhaním (trieda IV NYHA) (pozri časť 4.4).</w:t>
      </w:r>
    </w:p>
    <w:p w:rsidR="00F37785" w:rsidRPr="004A7288" w:rsidRDefault="00F37785" w:rsidP="001B460D">
      <w:pPr>
        <w:spacing w:after="0"/>
        <w:jc w:val="left"/>
        <w:rPr>
          <w:sz w:val="22"/>
          <w:szCs w:val="22"/>
        </w:rPr>
      </w:pPr>
    </w:p>
    <w:p w:rsidR="00F37785" w:rsidRPr="004A7288" w:rsidRDefault="00082C3B" w:rsidP="001B460D">
      <w:pPr>
        <w:spacing w:after="0"/>
        <w:jc w:val="left"/>
        <w:rPr>
          <w:sz w:val="22"/>
          <w:szCs w:val="22"/>
        </w:rPr>
      </w:pPr>
      <w:r>
        <w:rPr>
          <w:sz w:val="22"/>
          <w:szCs w:val="22"/>
        </w:rPr>
        <w:t>Poruchy koagulácie (</w:t>
      </w:r>
      <w:r w:rsidR="008D3117">
        <w:rPr>
          <w:sz w:val="22"/>
          <w:szCs w:val="22"/>
        </w:rPr>
        <w:t>ibuprofén</w:t>
      </w:r>
      <w:r>
        <w:rPr>
          <w:sz w:val="22"/>
          <w:szCs w:val="22"/>
        </w:rPr>
        <w:t xml:space="preserve"> môže zvýšiť čas krvácania).</w:t>
      </w:r>
    </w:p>
    <w:p w:rsidR="00F37785" w:rsidRPr="004A7288" w:rsidRDefault="00F37785" w:rsidP="001B460D">
      <w:pPr>
        <w:spacing w:after="0"/>
        <w:jc w:val="left"/>
        <w:rPr>
          <w:sz w:val="22"/>
          <w:szCs w:val="22"/>
        </w:rPr>
      </w:pPr>
    </w:p>
    <w:p w:rsidR="00F37785" w:rsidRPr="004A7288" w:rsidRDefault="00082C3B" w:rsidP="001B460D">
      <w:pPr>
        <w:spacing w:after="0"/>
        <w:jc w:val="left"/>
        <w:rPr>
          <w:sz w:val="22"/>
          <w:szCs w:val="22"/>
        </w:rPr>
      </w:pPr>
      <w:r>
        <w:rPr>
          <w:sz w:val="22"/>
          <w:szCs w:val="22"/>
        </w:rPr>
        <w:t>Neobjasnené poruchy krvotvorby, ako je trombocytopénia.</w:t>
      </w:r>
    </w:p>
    <w:p w:rsidR="00F37785" w:rsidRPr="004A7288" w:rsidRDefault="00F37785" w:rsidP="001B460D">
      <w:pPr>
        <w:spacing w:after="0"/>
        <w:jc w:val="left"/>
        <w:rPr>
          <w:sz w:val="22"/>
          <w:szCs w:val="22"/>
        </w:rPr>
      </w:pPr>
    </w:p>
    <w:p w:rsidR="00467218" w:rsidRPr="004A7288" w:rsidRDefault="00082C3B" w:rsidP="001B460D">
      <w:pPr>
        <w:spacing w:after="0"/>
        <w:jc w:val="left"/>
        <w:rPr>
          <w:sz w:val="22"/>
          <w:szCs w:val="22"/>
        </w:rPr>
      </w:pPr>
      <w:r>
        <w:rPr>
          <w:sz w:val="22"/>
          <w:szCs w:val="22"/>
        </w:rPr>
        <w:t>Posledný trimester gravidity (pozri časť 4.6).</w:t>
      </w:r>
    </w:p>
    <w:p w:rsidR="00467218" w:rsidRPr="004A7288" w:rsidRDefault="00467218" w:rsidP="001B460D">
      <w:pPr>
        <w:spacing w:after="0"/>
        <w:jc w:val="left"/>
        <w:rPr>
          <w:sz w:val="22"/>
          <w:szCs w:val="22"/>
        </w:rPr>
      </w:pPr>
    </w:p>
    <w:p w:rsidR="00467218" w:rsidRPr="004A7288" w:rsidRDefault="00082C3B" w:rsidP="00005545">
      <w:pPr>
        <w:spacing w:after="0"/>
        <w:jc w:val="left"/>
        <w:rPr>
          <w:b/>
          <w:sz w:val="22"/>
          <w:szCs w:val="22"/>
        </w:rPr>
      </w:pPr>
      <w:r>
        <w:rPr>
          <w:b/>
          <w:sz w:val="22"/>
          <w:szCs w:val="22"/>
        </w:rPr>
        <w:t>4.4</w:t>
      </w:r>
      <w:r>
        <w:rPr>
          <w:b/>
          <w:sz w:val="22"/>
          <w:szCs w:val="22"/>
        </w:rPr>
        <w:tab/>
      </w:r>
      <w:r>
        <w:rPr>
          <w:b/>
          <w:bCs/>
          <w:sz w:val="22"/>
          <w:szCs w:val="22"/>
        </w:rPr>
        <w:t>Osobitné upozornenia a opatrenia pri používaní</w:t>
      </w:r>
    </w:p>
    <w:p w:rsidR="00005545" w:rsidRPr="004A7288" w:rsidRDefault="00005545" w:rsidP="00005545">
      <w:pPr>
        <w:spacing w:after="0"/>
        <w:jc w:val="left"/>
        <w:rPr>
          <w:sz w:val="22"/>
          <w:szCs w:val="22"/>
        </w:rPr>
      </w:pPr>
    </w:p>
    <w:p w:rsidR="00467218" w:rsidRPr="004A7288" w:rsidRDefault="00082C3B" w:rsidP="00005545">
      <w:pPr>
        <w:spacing w:after="0"/>
        <w:jc w:val="left"/>
        <w:rPr>
          <w:sz w:val="22"/>
          <w:szCs w:val="22"/>
        </w:rPr>
      </w:pPr>
      <w:r>
        <w:rPr>
          <w:sz w:val="22"/>
          <w:szCs w:val="22"/>
        </w:rPr>
        <w:t>Opatrnosť je potrebná u pacientov:</w:t>
      </w:r>
    </w:p>
    <w:p w:rsidR="00467218" w:rsidRPr="004A7288" w:rsidRDefault="00082C3B" w:rsidP="00005545">
      <w:pPr>
        <w:pStyle w:val="Odsekzoznamu"/>
        <w:numPr>
          <w:ilvl w:val="0"/>
          <w:numId w:val="1"/>
        </w:numPr>
        <w:spacing w:after="0"/>
        <w:jc w:val="left"/>
        <w:rPr>
          <w:sz w:val="22"/>
          <w:szCs w:val="22"/>
        </w:rPr>
      </w:pPr>
      <w:r>
        <w:rPr>
          <w:sz w:val="22"/>
          <w:szCs w:val="22"/>
        </w:rPr>
        <w:t>so systémovým lupus erythematosus, rovnako ako u pacientov so zmiešaným ochorením spojivového tkaniva z dôvodu zvýšeného rizika aseptickej meningitídy (pozri čas 4.8);</w:t>
      </w:r>
    </w:p>
    <w:p w:rsidR="00467218" w:rsidRPr="004A7288" w:rsidRDefault="00082C3B" w:rsidP="00005545">
      <w:pPr>
        <w:pStyle w:val="Odsekzoznamu"/>
        <w:numPr>
          <w:ilvl w:val="0"/>
          <w:numId w:val="1"/>
        </w:numPr>
        <w:spacing w:after="0"/>
        <w:jc w:val="left"/>
        <w:rPr>
          <w:sz w:val="22"/>
          <w:szCs w:val="22"/>
        </w:rPr>
      </w:pPr>
      <w:r>
        <w:rPr>
          <w:sz w:val="22"/>
          <w:szCs w:val="22"/>
        </w:rPr>
        <w:lastRenderedPageBreak/>
        <w:t>s anamnézou hypertenzie a/alebo srdcového zlyhania, pretože v súvislosti s liečbu NSAID sa zaznamenala retencia tekutín a edém (pozri časť 4.3 a časť 4.8);</w:t>
      </w:r>
    </w:p>
    <w:p w:rsidR="00467218" w:rsidRPr="004A7288" w:rsidRDefault="00082C3B" w:rsidP="00005545">
      <w:pPr>
        <w:pStyle w:val="Odsekzoznamu"/>
        <w:numPr>
          <w:ilvl w:val="0"/>
          <w:numId w:val="1"/>
        </w:numPr>
        <w:spacing w:after="0"/>
        <w:jc w:val="left"/>
        <w:rPr>
          <w:sz w:val="22"/>
          <w:szCs w:val="22"/>
        </w:rPr>
      </w:pPr>
      <w:r>
        <w:rPr>
          <w:sz w:val="22"/>
          <w:szCs w:val="22"/>
        </w:rPr>
        <w:t>s poruchou funkcie obličiek, pretože funkcia obličiek sa môže ďalej zhoršiť (pozri časť 4.3 a časť 4.8);</w:t>
      </w:r>
    </w:p>
    <w:p w:rsidR="00467218" w:rsidRPr="004A7288" w:rsidRDefault="00082C3B" w:rsidP="00005545">
      <w:pPr>
        <w:pStyle w:val="Odsekzoznamu"/>
        <w:numPr>
          <w:ilvl w:val="0"/>
          <w:numId w:val="1"/>
        </w:numPr>
        <w:spacing w:after="0"/>
        <w:jc w:val="left"/>
        <w:rPr>
          <w:sz w:val="22"/>
          <w:szCs w:val="22"/>
        </w:rPr>
      </w:pPr>
      <w:r>
        <w:rPr>
          <w:sz w:val="22"/>
          <w:szCs w:val="22"/>
        </w:rPr>
        <w:t>s dysfunkciou pečene (pozri časť 4.3 a časť 4.8);</w:t>
      </w:r>
    </w:p>
    <w:p w:rsidR="00467218" w:rsidRPr="004A7288" w:rsidRDefault="00082C3B" w:rsidP="00005545">
      <w:pPr>
        <w:pStyle w:val="Odsekzoznamu"/>
        <w:numPr>
          <w:ilvl w:val="0"/>
          <w:numId w:val="1"/>
        </w:numPr>
        <w:spacing w:after="0"/>
        <w:jc w:val="left"/>
        <w:rPr>
          <w:sz w:val="22"/>
          <w:szCs w:val="22"/>
        </w:rPr>
      </w:pPr>
      <w:r>
        <w:rPr>
          <w:sz w:val="22"/>
          <w:szCs w:val="22"/>
        </w:rPr>
        <w:t>bezprostredne po závažnom chirurgickom zákroku.</w:t>
      </w:r>
    </w:p>
    <w:p w:rsidR="00467218" w:rsidRPr="004A7288" w:rsidRDefault="00467218" w:rsidP="00005545">
      <w:pPr>
        <w:spacing w:after="0"/>
        <w:jc w:val="left"/>
        <w:rPr>
          <w:sz w:val="22"/>
          <w:szCs w:val="22"/>
        </w:rPr>
      </w:pPr>
    </w:p>
    <w:p w:rsidR="00800E96" w:rsidRPr="004A7288" w:rsidRDefault="00082C3B" w:rsidP="00800E96">
      <w:pPr>
        <w:spacing w:after="0"/>
        <w:jc w:val="left"/>
        <w:rPr>
          <w:sz w:val="22"/>
          <w:szCs w:val="22"/>
        </w:rPr>
      </w:pPr>
      <w:r>
        <w:rPr>
          <w:sz w:val="22"/>
          <w:szCs w:val="22"/>
        </w:rPr>
        <w:t>U pacientov, ktorí trpia bronchiálnou astmou alebo alergickým ochorením alebo u pacientov s anamnézou týchto ochorení môže dôjsť k bronchospazmu.</w:t>
      </w:r>
    </w:p>
    <w:p w:rsidR="00800E96" w:rsidRPr="004A7288" w:rsidRDefault="00800E96" w:rsidP="00800E96">
      <w:pPr>
        <w:spacing w:after="0"/>
        <w:jc w:val="left"/>
        <w:rPr>
          <w:sz w:val="22"/>
          <w:szCs w:val="22"/>
        </w:rPr>
      </w:pPr>
    </w:p>
    <w:p w:rsidR="00800E96" w:rsidRPr="004A7288" w:rsidRDefault="00082C3B" w:rsidP="00800E96">
      <w:pPr>
        <w:spacing w:after="0"/>
        <w:jc w:val="left"/>
        <w:rPr>
          <w:bCs/>
          <w:sz w:val="22"/>
          <w:szCs w:val="22"/>
        </w:rPr>
      </w:pPr>
      <w:r>
        <w:rPr>
          <w:bCs/>
          <w:sz w:val="22"/>
          <w:szCs w:val="22"/>
        </w:rPr>
        <w:t>Nežiaduce účinky sa môžu minimalizovať užívaním najnižšej účinnej dávky počas najkratšej doby potrebnej na zvládnutie príznakov (pozri gastrointestinálne a kardiovaskulárne riziká).</w:t>
      </w:r>
    </w:p>
    <w:p w:rsidR="00467218" w:rsidRPr="004A7288" w:rsidRDefault="00467218" w:rsidP="00005545">
      <w:pPr>
        <w:spacing w:after="0"/>
        <w:jc w:val="left"/>
        <w:rPr>
          <w:sz w:val="22"/>
          <w:szCs w:val="22"/>
        </w:rPr>
      </w:pPr>
    </w:p>
    <w:p w:rsidR="00467218" w:rsidRPr="004A7288" w:rsidRDefault="00082C3B" w:rsidP="00005545">
      <w:pPr>
        <w:spacing w:after="0"/>
        <w:jc w:val="left"/>
        <w:rPr>
          <w:sz w:val="22"/>
          <w:szCs w:val="22"/>
        </w:rPr>
      </w:pPr>
      <w:r>
        <w:rPr>
          <w:bCs/>
          <w:sz w:val="22"/>
          <w:szCs w:val="22"/>
        </w:rPr>
        <w:t xml:space="preserve">Je potrebné sa vyhnúť súbežnému užívaniu </w:t>
      </w:r>
      <w:r w:rsidR="008D3117">
        <w:rPr>
          <w:bCs/>
          <w:sz w:val="22"/>
          <w:szCs w:val="22"/>
        </w:rPr>
        <w:t>ibuprofénu</w:t>
      </w:r>
      <w:r>
        <w:rPr>
          <w:sz w:val="22"/>
          <w:szCs w:val="22"/>
        </w:rPr>
        <w:t xml:space="preserve"> s NSAID, vrátane selektívnych inhibítorov cyklooxygenázy-2.</w:t>
      </w:r>
    </w:p>
    <w:p w:rsidR="00467218" w:rsidRPr="004A7288" w:rsidRDefault="00467218" w:rsidP="00005545">
      <w:pPr>
        <w:spacing w:after="0"/>
        <w:jc w:val="left"/>
        <w:rPr>
          <w:sz w:val="22"/>
          <w:szCs w:val="22"/>
        </w:rPr>
      </w:pPr>
    </w:p>
    <w:p w:rsidR="00800E96" w:rsidRPr="004A7288" w:rsidRDefault="00082C3B" w:rsidP="00862AA5">
      <w:pPr>
        <w:spacing w:after="0"/>
        <w:rPr>
          <w:i/>
          <w:spacing w:val="-3"/>
          <w:sz w:val="22"/>
          <w:szCs w:val="22"/>
          <w:u w:val="single"/>
        </w:rPr>
      </w:pPr>
      <w:r>
        <w:rPr>
          <w:i/>
          <w:spacing w:val="-3"/>
          <w:sz w:val="22"/>
          <w:szCs w:val="22"/>
          <w:u w:val="single"/>
        </w:rPr>
        <w:t>Staršie osoby</w:t>
      </w:r>
    </w:p>
    <w:p w:rsidR="00467218" w:rsidRPr="004A7288" w:rsidRDefault="00082C3B" w:rsidP="00800E96">
      <w:pPr>
        <w:spacing w:after="0"/>
        <w:jc w:val="left"/>
        <w:rPr>
          <w:sz w:val="22"/>
          <w:szCs w:val="22"/>
        </w:rPr>
      </w:pPr>
      <w:r>
        <w:rPr>
          <w:spacing w:val="-3"/>
          <w:sz w:val="22"/>
          <w:szCs w:val="22"/>
        </w:rPr>
        <w:t xml:space="preserve">Starší pacienti majú zvýšenú frekvenciu nežiaducich reakcií spôsobených užívaním NSAID, najmä gastrointestinálneho krvácania a perforácie, ktoré môžu byť fatálne (pozri časť </w:t>
      </w:r>
      <w:r>
        <w:rPr>
          <w:sz w:val="22"/>
          <w:szCs w:val="22"/>
        </w:rPr>
        <w:t>4.2).</w:t>
      </w:r>
    </w:p>
    <w:p w:rsidR="00467218" w:rsidRPr="004A7288" w:rsidRDefault="00467218" w:rsidP="00005545">
      <w:pPr>
        <w:spacing w:after="0"/>
        <w:jc w:val="left"/>
        <w:rPr>
          <w:sz w:val="22"/>
          <w:szCs w:val="22"/>
        </w:rPr>
      </w:pPr>
    </w:p>
    <w:p w:rsidR="00467218" w:rsidRPr="004A7288" w:rsidRDefault="00082C3B" w:rsidP="00005545">
      <w:pPr>
        <w:spacing w:after="0"/>
        <w:jc w:val="left"/>
        <w:rPr>
          <w:i/>
          <w:sz w:val="22"/>
          <w:szCs w:val="22"/>
          <w:u w:val="single"/>
        </w:rPr>
      </w:pPr>
      <w:r>
        <w:rPr>
          <w:i/>
          <w:sz w:val="22"/>
          <w:szCs w:val="22"/>
          <w:u w:val="single"/>
        </w:rPr>
        <w:t>Gastrointestinálna bezpečnosť</w:t>
      </w:r>
    </w:p>
    <w:p w:rsidR="00862AA5" w:rsidRPr="004A7288" w:rsidRDefault="00082C3B" w:rsidP="00862AA5">
      <w:pPr>
        <w:spacing w:after="0"/>
        <w:jc w:val="left"/>
        <w:rPr>
          <w:sz w:val="22"/>
          <w:szCs w:val="22"/>
          <w:lang w:eastAsia="cs-CZ"/>
        </w:rPr>
      </w:pPr>
      <w:r>
        <w:rPr>
          <w:sz w:val="22"/>
          <w:szCs w:val="22"/>
          <w:lang w:eastAsia="cs-CZ"/>
        </w:rPr>
        <w:t xml:space="preserve">Gastrointestinálne krvácanie, ulcerácia alebo perforácia, ktoré môžu byť fatálne, boli hlásené v súvislosti so všetkými </w:t>
      </w:r>
      <w:r>
        <w:rPr>
          <w:sz w:val="22"/>
          <w:szCs w:val="22"/>
        </w:rPr>
        <w:t>NSAID</w:t>
      </w:r>
      <w:r>
        <w:rPr>
          <w:sz w:val="22"/>
          <w:szCs w:val="22"/>
          <w:lang w:eastAsia="cs-CZ"/>
        </w:rPr>
        <w:t xml:space="preserve"> kedykoľvek počas liečby, a to s varovnými príznakmi alebo bez nich, aj bez predchádzajúcej anamnézy závažných gastrointestinálnych príhod.</w:t>
      </w:r>
    </w:p>
    <w:p w:rsidR="00862AA5" w:rsidRPr="004A7288" w:rsidRDefault="00862AA5" w:rsidP="00862AA5">
      <w:pPr>
        <w:spacing w:after="0"/>
        <w:jc w:val="left"/>
        <w:rPr>
          <w:sz w:val="22"/>
          <w:szCs w:val="22"/>
          <w:lang w:eastAsia="cs-CZ"/>
        </w:rPr>
      </w:pPr>
    </w:p>
    <w:p w:rsidR="00862AA5" w:rsidRPr="004A7288" w:rsidRDefault="00082C3B" w:rsidP="00862AA5">
      <w:pPr>
        <w:spacing w:after="0"/>
        <w:jc w:val="left"/>
        <w:rPr>
          <w:sz w:val="22"/>
          <w:szCs w:val="22"/>
        </w:rPr>
      </w:pPr>
      <w:r>
        <w:rPr>
          <w:sz w:val="22"/>
          <w:szCs w:val="22"/>
          <w:lang w:eastAsia="cs-CZ"/>
        </w:rPr>
        <w:t xml:space="preserve">Riziko gastrointestinálneho krvácania, ulcerácie alebo perforácie je vyššie so zvyšujúcimi sa dávkami </w:t>
      </w:r>
      <w:r>
        <w:rPr>
          <w:sz w:val="22"/>
          <w:szCs w:val="22"/>
        </w:rPr>
        <w:t>NSAID</w:t>
      </w:r>
      <w:r>
        <w:rPr>
          <w:sz w:val="22"/>
          <w:szCs w:val="22"/>
          <w:lang w:eastAsia="cs-CZ"/>
        </w:rPr>
        <w:t xml:space="preserve"> a u pacientov s anamnézou vredu, predovšetkým komplikovaným s hemorágiou alebo perforáciou (pozri časť 4.3) a u starších osôb. Títo pacienti majú začínať liečbu najnižšou dostupnou dávkou. </w:t>
      </w:r>
      <w:r>
        <w:rPr>
          <w:sz w:val="22"/>
          <w:szCs w:val="22"/>
        </w:rPr>
        <w:t>U týchto pacientov a takisto u pacientov vyžadujúcich súbežnú liečbu nízkou dávkou kyseliny acetylsalicylovej alebo inými liečivami, ktoré pravdepodobne zvyšujú gastrointestinálne riziko, sa má zvážiť kombinovaná liečba s protektívnymi látkami (napr. misoprostolom alebo inhibítormi protónovej pumpy) (pozri nižšie a 4.5).</w:t>
      </w:r>
    </w:p>
    <w:p w:rsidR="00862AA5" w:rsidRPr="004A7288" w:rsidRDefault="00862AA5" w:rsidP="00862AA5">
      <w:pPr>
        <w:spacing w:after="0"/>
        <w:jc w:val="left"/>
        <w:rPr>
          <w:sz w:val="22"/>
          <w:szCs w:val="22"/>
        </w:rPr>
      </w:pPr>
    </w:p>
    <w:p w:rsidR="00467218" w:rsidRPr="004A7288" w:rsidRDefault="00082C3B" w:rsidP="00862AA5">
      <w:pPr>
        <w:spacing w:after="0"/>
        <w:jc w:val="left"/>
        <w:rPr>
          <w:sz w:val="22"/>
          <w:szCs w:val="22"/>
        </w:rPr>
      </w:pPr>
      <w:r>
        <w:rPr>
          <w:sz w:val="22"/>
          <w:szCs w:val="22"/>
        </w:rPr>
        <w:t>Pacienti s </w:t>
      </w:r>
      <w:r>
        <w:rPr>
          <w:bCs/>
          <w:sz w:val="22"/>
          <w:szCs w:val="22"/>
        </w:rPr>
        <w:t>anamnézou gastrointestinálnej toxicity, predovšetkým staršie osoby, musia byť poučení, aby hlásili akékoľvek nezvyčajné abdominálne príznaky (obzvlášť gastrointestinálne krvácanie) predovšetkým na začiatku liečby. O</w:t>
      </w:r>
      <w:r>
        <w:rPr>
          <w:sz w:val="22"/>
          <w:szCs w:val="22"/>
          <w:lang w:eastAsia="cs-CZ"/>
        </w:rPr>
        <w:t>patrnosť sa odporúča u pacientov liečených súbežne liekmi, ktoré môžu zvyšovať riziko ulcerácie alebo krvácania, ako sú perorálne kortikosteroidy, antikoagulanciá ako warfarín, selektívne inhibítory spätného vychytávania sérotonínu alebo antiagregačné látky ako kyselina acetylsalicylová (pozri časť</w:t>
      </w:r>
      <w:r w:rsidR="008D3117">
        <w:rPr>
          <w:sz w:val="22"/>
          <w:szCs w:val="22"/>
          <w:lang w:eastAsia="cs-CZ"/>
        </w:rPr>
        <w:t xml:space="preserve"> </w:t>
      </w:r>
      <w:r>
        <w:rPr>
          <w:sz w:val="22"/>
          <w:szCs w:val="22"/>
        </w:rPr>
        <w:t>4.5).</w:t>
      </w:r>
    </w:p>
    <w:p w:rsidR="00467218" w:rsidRPr="004A7288" w:rsidRDefault="00467218" w:rsidP="00862AA5">
      <w:pPr>
        <w:spacing w:after="0"/>
        <w:jc w:val="left"/>
        <w:rPr>
          <w:sz w:val="22"/>
          <w:szCs w:val="22"/>
        </w:rPr>
      </w:pPr>
    </w:p>
    <w:p w:rsidR="00467218" w:rsidRPr="004A7288" w:rsidRDefault="00082C3B" w:rsidP="00862AA5">
      <w:pPr>
        <w:spacing w:after="0"/>
        <w:jc w:val="left"/>
        <w:rPr>
          <w:sz w:val="22"/>
          <w:szCs w:val="22"/>
        </w:rPr>
      </w:pPr>
      <w:r>
        <w:rPr>
          <w:sz w:val="22"/>
          <w:szCs w:val="22"/>
          <w:lang w:eastAsia="cs-CZ"/>
        </w:rPr>
        <w:t xml:space="preserve">Ak sa u pacientov užívajúcich </w:t>
      </w:r>
      <w:r w:rsidR="008D3117">
        <w:rPr>
          <w:sz w:val="22"/>
          <w:szCs w:val="22"/>
          <w:lang w:eastAsia="cs-CZ"/>
        </w:rPr>
        <w:t>ibuprofén</w:t>
      </w:r>
      <w:r>
        <w:rPr>
          <w:sz w:val="22"/>
          <w:szCs w:val="22"/>
          <w:lang w:eastAsia="cs-CZ"/>
        </w:rPr>
        <w:t xml:space="preserve"> vyskytne gastrointestinálne krvácanie alebo ulcerácia, liečba sa má ukončiť</w:t>
      </w:r>
      <w:r>
        <w:rPr>
          <w:sz w:val="22"/>
          <w:szCs w:val="22"/>
        </w:rPr>
        <w:t>.</w:t>
      </w:r>
    </w:p>
    <w:p w:rsidR="00467218" w:rsidRPr="004A7288" w:rsidRDefault="00467218" w:rsidP="00862AA5">
      <w:pPr>
        <w:spacing w:after="0"/>
        <w:jc w:val="left"/>
        <w:rPr>
          <w:sz w:val="22"/>
          <w:szCs w:val="22"/>
        </w:rPr>
      </w:pPr>
    </w:p>
    <w:p w:rsidR="00467218" w:rsidRPr="004A7288" w:rsidRDefault="00082C3B" w:rsidP="00862AA5">
      <w:pPr>
        <w:spacing w:after="0"/>
        <w:jc w:val="left"/>
        <w:rPr>
          <w:sz w:val="22"/>
          <w:szCs w:val="22"/>
        </w:rPr>
      </w:pPr>
      <w:r>
        <w:rPr>
          <w:sz w:val="22"/>
          <w:szCs w:val="22"/>
        </w:rPr>
        <w:t xml:space="preserve">NSAID </w:t>
      </w:r>
      <w:r>
        <w:rPr>
          <w:sz w:val="22"/>
          <w:szCs w:val="22"/>
          <w:lang w:eastAsia="cs-CZ"/>
        </w:rPr>
        <w:t>sa majú podávať opatrne u pacientov s anamnézou gastrointestinálneho ochorenia (ulcerózna kolitída, Crohnova choroba), pretože môže dôjsť k exacerbácii týchto ochorení (pozri časť</w:t>
      </w:r>
      <w:r>
        <w:rPr>
          <w:sz w:val="22"/>
          <w:szCs w:val="22"/>
        </w:rPr>
        <w:t xml:space="preserve"> 4.8).</w:t>
      </w:r>
    </w:p>
    <w:p w:rsidR="00467218" w:rsidRPr="004A7288" w:rsidRDefault="00467218" w:rsidP="00005545">
      <w:pPr>
        <w:spacing w:after="0"/>
        <w:jc w:val="left"/>
        <w:rPr>
          <w:sz w:val="22"/>
          <w:szCs w:val="22"/>
        </w:rPr>
      </w:pPr>
    </w:p>
    <w:p w:rsidR="00467218" w:rsidRPr="004A7288" w:rsidRDefault="00082C3B" w:rsidP="00005545">
      <w:pPr>
        <w:spacing w:after="0"/>
        <w:jc w:val="left"/>
        <w:rPr>
          <w:i/>
          <w:sz w:val="22"/>
          <w:szCs w:val="22"/>
          <w:u w:val="single"/>
        </w:rPr>
      </w:pPr>
      <w:r>
        <w:rPr>
          <w:i/>
          <w:sz w:val="22"/>
          <w:szCs w:val="22"/>
          <w:u w:val="single"/>
        </w:rPr>
        <w:t>Kožné reakcie</w:t>
      </w:r>
    </w:p>
    <w:p w:rsidR="003A1E14" w:rsidRPr="004A7288" w:rsidRDefault="00082C3B" w:rsidP="003A1E14">
      <w:pPr>
        <w:spacing w:after="0"/>
        <w:jc w:val="left"/>
        <w:rPr>
          <w:sz w:val="22"/>
          <w:szCs w:val="22"/>
          <w:lang w:eastAsia="cs-CZ"/>
        </w:rPr>
      </w:pPr>
      <w:r>
        <w:rPr>
          <w:sz w:val="22"/>
          <w:szCs w:val="22"/>
          <w:lang w:eastAsia="cs-CZ"/>
        </w:rPr>
        <w:t xml:space="preserve">V súvislosti s užívaním </w:t>
      </w:r>
      <w:r>
        <w:rPr>
          <w:sz w:val="22"/>
          <w:szCs w:val="22"/>
        </w:rPr>
        <w:t>NSAID</w:t>
      </w:r>
      <w:r>
        <w:rPr>
          <w:sz w:val="22"/>
          <w:szCs w:val="22"/>
          <w:lang w:eastAsia="cs-CZ"/>
        </w:rPr>
        <w:t xml:space="preserve"> sa veľmi zriedkavo zaznamenali závažné kožné reakcie, z ktorých niektoré boli fatálne, vrátane exfoliatívnej dermatitídy, Stevensovho-Johnsonovho syndrómu a toxickej epidermálnej nekrolýzy (pozri časť 4.8). Zdá sa, že pacienti sú vystavení najvyššiemu riziku týchto reakcií na začiatku liečby, vo väčšine prípadov sa reakcia vyskytne v priebehu prvého mesiaca liečby. </w:t>
      </w:r>
    </w:p>
    <w:p w:rsidR="003A1E14" w:rsidRPr="004A7288" w:rsidRDefault="003A1E14" w:rsidP="003A1E14">
      <w:pPr>
        <w:spacing w:after="0"/>
        <w:jc w:val="left"/>
        <w:rPr>
          <w:sz w:val="22"/>
          <w:szCs w:val="22"/>
          <w:lang w:eastAsia="cs-CZ"/>
        </w:rPr>
      </w:pPr>
    </w:p>
    <w:p w:rsidR="003A1E14" w:rsidRPr="004A7288" w:rsidRDefault="00082C3B" w:rsidP="003A1E14">
      <w:pPr>
        <w:spacing w:after="0"/>
        <w:jc w:val="left"/>
        <w:rPr>
          <w:sz w:val="22"/>
          <w:szCs w:val="22"/>
          <w:lang w:eastAsia="cs-CZ"/>
        </w:rPr>
      </w:pPr>
      <w:r>
        <w:rPr>
          <w:sz w:val="22"/>
          <w:szCs w:val="22"/>
        </w:rPr>
        <w:t xml:space="preserve">Ibalgin Junior </w:t>
      </w:r>
      <w:r>
        <w:rPr>
          <w:sz w:val="22"/>
          <w:szCs w:val="22"/>
          <w:lang w:eastAsia="cs-CZ"/>
        </w:rPr>
        <w:t>sa má vysadiť pri prvom výskyte kožnej vyrážky, mukóznych lézií alebo pri akomkoľvek inom prejave hypersenzitivity.</w:t>
      </w:r>
    </w:p>
    <w:p w:rsidR="003A1E14" w:rsidRPr="004A7288" w:rsidRDefault="003A1E14" w:rsidP="003A1E14">
      <w:pPr>
        <w:spacing w:after="0"/>
        <w:jc w:val="left"/>
        <w:rPr>
          <w:sz w:val="22"/>
          <w:szCs w:val="22"/>
          <w:lang w:eastAsia="cs-CZ"/>
        </w:rPr>
      </w:pPr>
    </w:p>
    <w:p w:rsidR="00467218" w:rsidRPr="004A7288" w:rsidRDefault="00082C3B" w:rsidP="003A1E14">
      <w:pPr>
        <w:spacing w:after="0"/>
        <w:jc w:val="left"/>
        <w:rPr>
          <w:sz w:val="22"/>
          <w:szCs w:val="22"/>
        </w:rPr>
      </w:pPr>
      <w:r>
        <w:rPr>
          <w:sz w:val="22"/>
          <w:szCs w:val="22"/>
        </w:rPr>
        <w:t>Výnimočne môžu spôsobiť závažné infekčné komplikácie kože a mäkkých tkanív na počiatku ovčie kiahne.</w:t>
      </w:r>
      <w:r w:rsidR="008D3117">
        <w:rPr>
          <w:sz w:val="22"/>
          <w:szCs w:val="22"/>
        </w:rPr>
        <w:t xml:space="preserve"> </w:t>
      </w:r>
      <w:r>
        <w:rPr>
          <w:sz w:val="22"/>
          <w:szCs w:val="22"/>
        </w:rPr>
        <w:t xml:space="preserve">Dosiaľ nemožno vylúčiť, že NSAID prispievajú k zhoršeniu týchto infekcií. Preto sa odporúča vyhýbať sa užívaniu </w:t>
      </w:r>
      <w:r w:rsidR="008D3117">
        <w:rPr>
          <w:sz w:val="22"/>
          <w:szCs w:val="22"/>
        </w:rPr>
        <w:t>ibuprofénu</w:t>
      </w:r>
      <w:r>
        <w:rPr>
          <w:sz w:val="22"/>
          <w:szCs w:val="22"/>
        </w:rPr>
        <w:t xml:space="preserve"> v prípade ovčích kiahní.</w:t>
      </w:r>
    </w:p>
    <w:p w:rsidR="00467218" w:rsidRPr="004A7288" w:rsidRDefault="00467218" w:rsidP="00005545">
      <w:pPr>
        <w:spacing w:after="0"/>
        <w:jc w:val="left"/>
        <w:rPr>
          <w:sz w:val="22"/>
          <w:szCs w:val="22"/>
        </w:rPr>
      </w:pPr>
    </w:p>
    <w:p w:rsidR="00467218" w:rsidRPr="004A7288" w:rsidRDefault="00082C3B" w:rsidP="00005545">
      <w:pPr>
        <w:spacing w:after="0"/>
        <w:jc w:val="left"/>
        <w:rPr>
          <w:sz w:val="22"/>
          <w:szCs w:val="22"/>
          <w:u w:val="single"/>
        </w:rPr>
      </w:pPr>
      <w:r>
        <w:rPr>
          <w:sz w:val="22"/>
          <w:szCs w:val="22"/>
          <w:u w:val="single"/>
        </w:rPr>
        <w:t>Kardiovaskulárne a cerebrovaskulárne účinky</w:t>
      </w:r>
    </w:p>
    <w:p w:rsidR="001B460D" w:rsidRPr="004A7288" w:rsidRDefault="00082C3B" w:rsidP="001B460D">
      <w:pPr>
        <w:jc w:val="left"/>
        <w:rPr>
          <w:spacing w:val="-4"/>
          <w:sz w:val="22"/>
          <w:szCs w:val="22"/>
        </w:rPr>
      </w:pPr>
      <w:r>
        <w:rPr>
          <w:spacing w:val="-4"/>
          <w:sz w:val="22"/>
          <w:szCs w:val="22"/>
        </w:rPr>
        <w:t>Opatrnosť (konzultácia s lekárom alebo lekárnikom) je potrebná pred začiatkom liečby u pacientov s anamnézou hypertenzie a/alebo srdcového zlyhania, pretože v súvislosti s terapiou NSAID bola hlásená retencia tekutín, hypertenzia a edémy.</w:t>
      </w:r>
    </w:p>
    <w:p w:rsidR="001B460D" w:rsidRPr="004A7288" w:rsidRDefault="001B460D" w:rsidP="001B460D">
      <w:pPr>
        <w:spacing w:after="0"/>
        <w:jc w:val="left"/>
        <w:rPr>
          <w:spacing w:val="-4"/>
          <w:sz w:val="22"/>
          <w:szCs w:val="22"/>
        </w:rPr>
      </w:pPr>
    </w:p>
    <w:p w:rsidR="001B460D" w:rsidRPr="004A7288" w:rsidRDefault="00082C3B" w:rsidP="001B460D">
      <w:pPr>
        <w:spacing w:after="0"/>
        <w:jc w:val="left"/>
        <w:rPr>
          <w:spacing w:val="-4"/>
          <w:sz w:val="22"/>
          <w:szCs w:val="22"/>
        </w:rPr>
      </w:pPr>
      <w:r>
        <w:rPr>
          <w:spacing w:val="-4"/>
          <w:sz w:val="22"/>
          <w:szCs w:val="22"/>
        </w:rPr>
        <w:t xml:space="preserve">Klinické štúdie naznačili, že používanie </w:t>
      </w:r>
      <w:r w:rsidR="008D3117">
        <w:rPr>
          <w:spacing w:val="-4"/>
          <w:sz w:val="22"/>
          <w:szCs w:val="22"/>
        </w:rPr>
        <w:t>ibuprofénu</w:t>
      </w:r>
      <w:r>
        <w:rPr>
          <w:spacing w:val="-4"/>
          <w:sz w:val="22"/>
          <w:szCs w:val="22"/>
        </w:rPr>
        <w:t xml:space="preserve">, najmä vo vysokých dávkach (2 400 mg denne) , môže byť spojené s malým zvýšeným rizikom arteriálnych trombotických udalostí (napríklad infarkt myokardu alebo mozgová príhoda). Epidemiologické štúdie celkovo nenaznačujú, že by nízke dávky </w:t>
      </w:r>
      <w:r w:rsidR="008D3117">
        <w:rPr>
          <w:spacing w:val="-4"/>
          <w:sz w:val="22"/>
          <w:szCs w:val="22"/>
        </w:rPr>
        <w:t>ibuprofénu</w:t>
      </w:r>
      <w:r>
        <w:rPr>
          <w:spacing w:val="-4"/>
          <w:sz w:val="22"/>
          <w:szCs w:val="22"/>
        </w:rPr>
        <w:t xml:space="preserve"> ( </w:t>
      </w:r>
      <w:r w:rsidRPr="00082C3B">
        <w:rPr>
          <w:sz w:val="22"/>
          <w:szCs w:val="22"/>
        </w:rPr>
        <w:t xml:space="preserve">≤ </w:t>
      </w:r>
      <w:r w:rsidR="005A2214" w:rsidRPr="004A7288">
        <w:rPr>
          <w:spacing w:val="-4"/>
          <w:sz w:val="22"/>
          <w:szCs w:val="22"/>
        </w:rPr>
        <w:t>1</w:t>
      </w:r>
      <w:r>
        <w:rPr>
          <w:spacing w:val="-4"/>
          <w:sz w:val="22"/>
          <w:szCs w:val="22"/>
        </w:rPr>
        <w:t xml:space="preserve"> 200 mg denne) boli spojené so zvýšeným rizikom </w:t>
      </w:r>
      <w:r>
        <w:rPr>
          <w:sz w:val="22"/>
          <w:szCs w:val="22"/>
        </w:rPr>
        <w:t>arteriálnych trombotických udalostí</w:t>
      </w:r>
      <w:r>
        <w:rPr>
          <w:spacing w:val="-4"/>
          <w:sz w:val="22"/>
          <w:szCs w:val="22"/>
        </w:rPr>
        <w:t>.</w:t>
      </w:r>
    </w:p>
    <w:p w:rsidR="00A26675" w:rsidRPr="004A7288" w:rsidRDefault="00A26675" w:rsidP="001B460D">
      <w:pPr>
        <w:spacing w:after="0"/>
        <w:jc w:val="left"/>
        <w:rPr>
          <w:spacing w:val="-4"/>
          <w:sz w:val="22"/>
          <w:szCs w:val="22"/>
        </w:rPr>
      </w:pPr>
    </w:p>
    <w:p w:rsidR="00A26675" w:rsidRPr="004A7288" w:rsidRDefault="00082C3B" w:rsidP="003209BB">
      <w:pPr>
        <w:pStyle w:val="BodytextAgency"/>
        <w:spacing w:after="0" w:line="240" w:lineRule="auto"/>
        <w:rPr>
          <w:rFonts w:ascii="Times New Roman" w:hAnsi="Times New Roman" w:cs="Times New Roman"/>
          <w:sz w:val="22"/>
          <w:szCs w:val="22"/>
          <w:lang w:val="sk-SK"/>
        </w:rPr>
      </w:pPr>
      <w:r>
        <w:rPr>
          <w:rFonts w:ascii="Times New Roman" w:hAnsi="Times New Roman" w:cs="Times New Roman"/>
          <w:sz w:val="22"/>
          <w:szCs w:val="22"/>
          <w:lang w:val="sk-SK"/>
        </w:rPr>
        <w:t xml:space="preserve">Pacienti s nekontrolovanou hypertenziou, kongestívnym zlyhaním srdca (triedy II – III NYHA), diagnostikovaným ischemickým ochorením srdca, ochorením periférnych artérií a cerebrovaskulárnym ochorením majú byť liečení </w:t>
      </w:r>
      <w:r w:rsidR="008D3117">
        <w:rPr>
          <w:rFonts w:ascii="Times New Roman" w:hAnsi="Times New Roman" w:cs="Times New Roman"/>
          <w:sz w:val="22"/>
          <w:szCs w:val="22"/>
          <w:lang w:val="sk-SK"/>
        </w:rPr>
        <w:t>ibuprofénom</w:t>
      </w:r>
      <w:r>
        <w:rPr>
          <w:rFonts w:ascii="Times New Roman" w:hAnsi="Times New Roman" w:cs="Times New Roman"/>
          <w:sz w:val="22"/>
          <w:szCs w:val="22"/>
          <w:lang w:val="sk-SK"/>
        </w:rPr>
        <w:t xml:space="preserve"> len po dôkladnom zvážení a nemajú sa používať vysoké dávky (2 400 mg denne). </w:t>
      </w:r>
    </w:p>
    <w:p w:rsidR="00A26675" w:rsidRPr="004A7288" w:rsidRDefault="00A26675" w:rsidP="003209BB">
      <w:pPr>
        <w:pStyle w:val="BodytextAgency"/>
        <w:spacing w:after="0" w:line="240" w:lineRule="auto"/>
        <w:rPr>
          <w:rFonts w:ascii="Times New Roman" w:hAnsi="Times New Roman" w:cs="Times New Roman"/>
          <w:sz w:val="22"/>
          <w:szCs w:val="22"/>
          <w:lang w:val="sk-SK"/>
        </w:rPr>
      </w:pPr>
    </w:p>
    <w:p w:rsidR="00A26675" w:rsidRPr="004A7288" w:rsidRDefault="00082C3B" w:rsidP="00A26675">
      <w:pPr>
        <w:spacing w:after="0"/>
        <w:jc w:val="left"/>
        <w:rPr>
          <w:spacing w:val="-4"/>
          <w:sz w:val="22"/>
          <w:szCs w:val="22"/>
        </w:rPr>
      </w:pPr>
      <w:r>
        <w:rPr>
          <w:sz w:val="22"/>
          <w:szCs w:val="22"/>
        </w:rPr>
        <w:t>Pred začatím dlhodobej liečby pacientov s rizikovými faktormi pre vznik kardiovaskulárnych udalostí</w:t>
      </w:r>
      <w:r w:rsidRPr="00082C3B">
        <w:rPr>
          <w:sz w:val="22"/>
          <w:szCs w:val="22"/>
        </w:rPr>
        <w:t xml:space="preserve"> (napr. hypertenzia, </w:t>
      </w:r>
      <w:r>
        <w:rPr>
          <w:sz w:val="22"/>
          <w:szCs w:val="22"/>
        </w:rPr>
        <w:t xml:space="preserve">hyperlipidémia, diabetes mellitus, fajčenie) je potrebné dôsledné zváženie, najmä v prípade, že sú potrebné vysoké dávky </w:t>
      </w:r>
      <w:r w:rsidR="008D3117">
        <w:rPr>
          <w:sz w:val="22"/>
          <w:szCs w:val="22"/>
        </w:rPr>
        <w:t>ibuprofénu</w:t>
      </w:r>
      <w:r>
        <w:rPr>
          <w:sz w:val="22"/>
          <w:szCs w:val="22"/>
        </w:rPr>
        <w:t xml:space="preserve"> (2 400 mg denne).</w:t>
      </w:r>
    </w:p>
    <w:p w:rsidR="00467218" w:rsidRPr="004A7288" w:rsidRDefault="00467218" w:rsidP="00005545">
      <w:pPr>
        <w:spacing w:after="0"/>
        <w:jc w:val="left"/>
        <w:rPr>
          <w:sz w:val="22"/>
          <w:szCs w:val="22"/>
        </w:rPr>
      </w:pPr>
    </w:p>
    <w:p w:rsidR="00467218" w:rsidRPr="004A7288" w:rsidRDefault="00082C3B" w:rsidP="00005545">
      <w:pPr>
        <w:spacing w:after="0"/>
        <w:jc w:val="left"/>
        <w:rPr>
          <w:sz w:val="22"/>
          <w:szCs w:val="22"/>
          <w:u w:val="single"/>
        </w:rPr>
      </w:pPr>
      <w:r>
        <w:rPr>
          <w:i/>
          <w:sz w:val="22"/>
          <w:szCs w:val="22"/>
          <w:u w:val="single"/>
        </w:rPr>
        <w:t>Ďalšie poznámky</w:t>
      </w:r>
    </w:p>
    <w:p w:rsidR="001B460D" w:rsidRPr="004A7288" w:rsidRDefault="00082C3B" w:rsidP="001B460D">
      <w:pPr>
        <w:spacing w:after="0"/>
        <w:jc w:val="left"/>
        <w:rPr>
          <w:sz w:val="22"/>
          <w:szCs w:val="22"/>
        </w:rPr>
      </w:pPr>
      <w:r>
        <w:rPr>
          <w:sz w:val="22"/>
          <w:szCs w:val="22"/>
        </w:rPr>
        <w:t>Veľmi zriedkavo sa pozorovali závažné akútne hypersenzitívne reakcie (napríklad anafylaktický šok). Pri výskyte prvých príznakov hypersenzitívnej reakcie po užití/podaní Ibalginu Junior sa musí liečba ukončiť. Odborný personál musí začať medicínsky požadované opatrenia v súlade so príznakmi.</w:t>
      </w:r>
    </w:p>
    <w:p w:rsidR="001B460D" w:rsidRPr="004A7288" w:rsidRDefault="001B460D" w:rsidP="001B460D">
      <w:pPr>
        <w:spacing w:after="0"/>
        <w:jc w:val="left"/>
        <w:rPr>
          <w:sz w:val="22"/>
          <w:szCs w:val="22"/>
        </w:rPr>
      </w:pPr>
    </w:p>
    <w:p w:rsidR="00467218" w:rsidRPr="004A7288" w:rsidRDefault="008D3117" w:rsidP="001B460D">
      <w:pPr>
        <w:spacing w:after="0"/>
        <w:jc w:val="left"/>
        <w:rPr>
          <w:sz w:val="22"/>
          <w:szCs w:val="22"/>
        </w:rPr>
      </w:pPr>
      <w:r>
        <w:rPr>
          <w:sz w:val="22"/>
          <w:szCs w:val="22"/>
        </w:rPr>
        <w:t>Ibuprofén</w:t>
      </w:r>
      <w:r w:rsidR="00082C3B">
        <w:rPr>
          <w:sz w:val="22"/>
          <w:szCs w:val="22"/>
        </w:rPr>
        <w:t>, liečivo Ibalginu Junior, môže prechodne inhibovať funkciu krvných doštičiek (agregáciu trombocytov). Preto sa majú pacienti s poruchami koagulácie starostlivo sledovať.</w:t>
      </w:r>
    </w:p>
    <w:p w:rsidR="00467218" w:rsidRPr="004A7288" w:rsidRDefault="00467218" w:rsidP="001B460D">
      <w:pPr>
        <w:spacing w:after="0"/>
        <w:jc w:val="left"/>
        <w:rPr>
          <w:sz w:val="22"/>
          <w:szCs w:val="22"/>
        </w:rPr>
      </w:pPr>
    </w:p>
    <w:p w:rsidR="00467218" w:rsidRPr="004A7288" w:rsidRDefault="00082C3B" w:rsidP="00DB6FB2">
      <w:pPr>
        <w:spacing w:after="0"/>
        <w:jc w:val="left"/>
        <w:rPr>
          <w:sz w:val="22"/>
          <w:szCs w:val="22"/>
        </w:rPr>
      </w:pPr>
      <w:r>
        <w:rPr>
          <w:sz w:val="22"/>
          <w:szCs w:val="22"/>
          <w:lang w:eastAsia="en-US"/>
        </w:rPr>
        <w:t>Výsledky experimentálnych skúšaní naznačujú oslabenie inhibičného účinku kyseliny acetylsalicylovej na agregáciu trombocytov, keď sa podáva súbežne s </w:t>
      </w:r>
      <w:r w:rsidR="008D3117">
        <w:rPr>
          <w:sz w:val="22"/>
          <w:szCs w:val="22"/>
          <w:lang w:eastAsia="en-US"/>
        </w:rPr>
        <w:t>ibuprofénom</w:t>
      </w:r>
      <w:r>
        <w:rPr>
          <w:sz w:val="22"/>
          <w:szCs w:val="22"/>
          <w:lang w:eastAsia="en-US"/>
        </w:rPr>
        <w:t xml:space="preserve">. Táto interakcia môže znižovať požadovaný protektívny účinok ASA na kardiovaskulárny systém. </w:t>
      </w:r>
      <w:r w:rsidR="008D3117">
        <w:rPr>
          <w:sz w:val="22"/>
          <w:szCs w:val="22"/>
          <w:lang w:eastAsia="en-US"/>
        </w:rPr>
        <w:t>Ibuprofén</w:t>
      </w:r>
      <w:r>
        <w:rPr>
          <w:sz w:val="22"/>
          <w:szCs w:val="22"/>
          <w:lang w:eastAsia="en-US"/>
        </w:rPr>
        <w:t xml:space="preserve"> sa má preto používať len veľmi opatrne u pacientov užívajúcich ASA na inhibíciu agregácie trombocytov (pozri časť</w:t>
      </w:r>
      <w:r>
        <w:rPr>
          <w:sz w:val="22"/>
          <w:szCs w:val="22"/>
        </w:rPr>
        <w:t xml:space="preserve"> 4.5).</w:t>
      </w:r>
    </w:p>
    <w:p w:rsidR="00467218" w:rsidRPr="004A7288" w:rsidRDefault="00467218" w:rsidP="00DB6FB2">
      <w:pPr>
        <w:spacing w:after="0"/>
        <w:jc w:val="left"/>
        <w:rPr>
          <w:sz w:val="22"/>
          <w:szCs w:val="22"/>
        </w:rPr>
      </w:pPr>
    </w:p>
    <w:p w:rsidR="00DB6FB2" w:rsidRPr="004A7288" w:rsidRDefault="00082C3B" w:rsidP="00DB6FB2">
      <w:pPr>
        <w:spacing w:after="0"/>
        <w:jc w:val="left"/>
        <w:rPr>
          <w:sz w:val="22"/>
          <w:szCs w:val="22"/>
        </w:rPr>
      </w:pPr>
      <w:r>
        <w:rPr>
          <w:sz w:val="22"/>
          <w:szCs w:val="22"/>
        </w:rPr>
        <w:t>Pri dlhodobom podávaní Ibalginu Junior sa vyžadujú pravidelné kontroly pečeňových hodnôt, funkcie obličiek, rovnako aj krvného obrazu.</w:t>
      </w:r>
    </w:p>
    <w:p w:rsidR="00DB6FB2" w:rsidRPr="004A7288" w:rsidRDefault="00DB6FB2" w:rsidP="00DB6FB2">
      <w:pPr>
        <w:spacing w:after="0"/>
        <w:jc w:val="left"/>
        <w:rPr>
          <w:sz w:val="22"/>
          <w:szCs w:val="22"/>
        </w:rPr>
      </w:pPr>
    </w:p>
    <w:p w:rsidR="00DB6FB2" w:rsidRPr="004A7288" w:rsidRDefault="00082C3B" w:rsidP="00DB6FB2">
      <w:pPr>
        <w:spacing w:after="0"/>
        <w:jc w:val="left"/>
        <w:rPr>
          <w:sz w:val="22"/>
          <w:szCs w:val="22"/>
        </w:rPr>
      </w:pPr>
      <w:r>
        <w:rPr>
          <w:sz w:val="22"/>
          <w:szCs w:val="22"/>
        </w:rPr>
        <w:t>Počas dlhodobého používania liekov proti bolesti sa môže objaviť bolesť hlavy, ktorá sa nesmie liečiť zvýšenými dávkami lieku.</w:t>
      </w:r>
    </w:p>
    <w:p w:rsidR="00DB6FB2" w:rsidRPr="004A7288" w:rsidRDefault="00DB6FB2" w:rsidP="00DB6FB2">
      <w:pPr>
        <w:spacing w:after="0"/>
        <w:jc w:val="left"/>
        <w:rPr>
          <w:sz w:val="22"/>
          <w:szCs w:val="22"/>
        </w:rPr>
      </w:pPr>
    </w:p>
    <w:p w:rsidR="00DB6FB2" w:rsidRPr="004A7288" w:rsidRDefault="00082C3B" w:rsidP="00DB6FB2">
      <w:pPr>
        <w:spacing w:after="0"/>
        <w:jc w:val="left"/>
        <w:rPr>
          <w:sz w:val="22"/>
          <w:szCs w:val="22"/>
        </w:rPr>
      </w:pPr>
      <w:r>
        <w:rPr>
          <w:sz w:val="22"/>
          <w:szCs w:val="22"/>
        </w:rPr>
        <w:t>Vo všeobecnosti môže mať chronické užívanie liekov proti bolesti, predovšetkým kombinácia niekoľkých liečiv na uvoľnenie bolesti, za následok trvalé poškodenie obličiek s rizikom zlyhania obličiek (analgetická nefropatia). Riziko sa môže zvýšiť pri fyzickej záťaži spojenej s úbytkom soli a dehydratáciou, preto je potrebné tomu zabrániť.</w:t>
      </w:r>
    </w:p>
    <w:p w:rsidR="00DB6FB2" w:rsidRPr="004A7288" w:rsidRDefault="00DB6FB2" w:rsidP="00DB6FB2">
      <w:pPr>
        <w:spacing w:after="0"/>
        <w:jc w:val="left"/>
        <w:rPr>
          <w:sz w:val="22"/>
          <w:szCs w:val="22"/>
        </w:rPr>
      </w:pPr>
    </w:p>
    <w:p w:rsidR="00DB6FB2" w:rsidRPr="004A7288" w:rsidRDefault="00082C3B" w:rsidP="00DB6FB2">
      <w:pPr>
        <w:spacing w:after="0"/>
        <w:jc w:val="left"/>
        <w:rPr>
          <w:sz w:val="22"/>
          <w:szCs w:val="22"/>
        </w:rPr>
      </w:pPr>
      <w:r>
        <w:rPr>
          <w:sz w:val="22"/>
          <w:szCs w:val="22"/>
        </w:rPr>
        <w:t>Dospelí pacienti, ktorí užívajú nesteroidné antiflogistiká na zmiernenie bolesti alebo kyselinu acetylsalicylovú s dennými dávkami prevyšujúcimi 75 mg, sa majú vyhnúť užívaniu tohto lieku.</w:t>
      </w:r>
    </w:p>
    <w:p w:rsidR="00DB6FB2" w:rsidRPr="004A7288" w:rsidRDefault="00DB6FB2" w:rsidP="00DB6FB2">
      <w:pPr>
        <w:spacing w:after="0"/>
        <w:jc w:val="left"/>
        <w:rPr>
          <w:sz w:val="22"/>
          <w:szCs w:val="22"/>
        </w:rPr>
      </w:pPr>
    </w:p>
    <w:p w:rsidR="00DB6FB2" w:rsidRPr="004A7288" w:rsidRDefault="00082C3B" w:rsidP="00DB6FB2">
      <w:pPr>
        <w:spacing w:after="0"/>
        <w:jc w:val="left"/>
        <w:rPr>
          <w:sz w:val="22"/>
          <w:szCs w:val="22"/>
        </w:rPr>
      </w:pPr>
      <w:r>
        <w:rPr>
          <w:sz w:val="22"/>
          <w:szCs w:val="22"/>
        </w:rPr>
        <w:t>U dehydrovaných detí a dospievajúcich existuje riziko poškodenia obličiek.</w:t>
      </w:r>
    </w:p>
    <w:p w:rsidR="00DB6FB2" w:rsidRPr="004A7288" w:rsidRDefault="00DB6FB2" w:rsidP="00DB6FB2">
      <w:pPr>
        <w:spacing w:after="0"/>
        <w:jc w:val="left"/>
        <w:rPr>
          <w:sz w:val="22"/>
          <w:szCs w:val="22"/>
        </w:rPr>
      </w:pPr>
    </w:p>
    <w:p w:rsidR="00467218" w:rsidRPr="004A7288" w:rsidRDefault="00082C3B" w:rsidP="00DB6FB2">
      <w:pPr>
        <w:spacing w:after="0"/>
        <w:jc w:val="left"/>
        <w:rPr>
          <w:sz w:val="22"/>
          <w:szCs w:val="22"/>
        </w:rPr>
      </w:pPr>
      <w:r>
        <w:rPr>
          <w:sz w:val="22"/>
          <w:szCs w:val="22"/>
        </w:rPr>
        <w:t>NSAID môžu maskovať príznaky infekcie a horúčky.</w:t>
      </w:r>
    </w:p>
    <w:p w:rsidR="008A6324" w:rsidRPr="004A7288" w:rsidRDefault="008A6324" w:rsidP="00005545">
      <w:pPr>
        <w:spacing w:after="0"/>
        <w:jc w:val="left"/>
        <w:rPr>
          <w:sz w:val="22"/>
          <w:szCs w:val="22"/>
          <w:highlight w:val="lightGray"/>
        </w:rPr>
      </w:pPr>
    </w:p>
    <w:p w:rsidR="00DB6FB2" w:rsidRPr="004A7288" w:rsidRDefault="00082C3B" w:rsidP="00005545">
      <w:pPr>
        <w:spacing w:after="0"/>
        <w:jc w:val="left"/>
        <w:rPr>
          <w:bCs/>
          <w:sz w:val="22"/>
          <w:szCs w:val="22"/>
          <w:u w:val="single"/>
        </w:rPr>
      </w:pPr>
      <w:r>
        <w:rPr>
          <w:sz w:val="22"/>
          <w:szCs w:val="22"/>
          <w:u w:val="single"/>
        </w:rPr>
        <w:t xml:space="preserve">Tento liek </w:t>
      </w:r>
      <w:r>
        <w:rPr>
          <w:bCs/>
          <w:sz w:val="22"/>
          <w:szCs w:val="22"/>
          <w:u w:val="single"/>
        </w:rPr>
        <w:t xml:space="preserve">obsahuje sorbitol. </w:t>
      </w:r>
    </w:p>
    <w:p w:rsidR="00467218" w:rsidRPr="004A7288" w:rsidRDefault="00082C3B" w:rsidP="00005545">
      <w:pPr>
        <w:spacing w:after="0"/>
        <w:jc w:val="left"/>
        <w:rPr>
          <w:sz w:val="22"/>
          <w:szCs w:val="22"/>
        </w:rPr>
      </w:pPr>
      <w:r>
        <w:rPr>
          <w:bCs/>
          <w:sz w:val="22"/>
          <w:szCs w:val="22"/>
        </w:rPr>
        <w:t>P</w:t>
      </w:r>
      <w:r>
        <w:rPr>
          <w:sz w:val="22"/>
          <w:szCs w:val="22"/>
        </w:rPr>
        <w:t>acienti so zriedkavými dedičnými problémami s intoleranciou fruktózy nemajú tento liek užívať.</w:t>
      </w:r>
    </w:p>
    <w:p w:rsidR="008A6324" w:rsidRPr="004A7288" w:rsidRDefault="008A6324" w:rsidP="00005545">
      <w:pPr>
        <w:spacing w:after="0"/>
        <w:jc w:val="left"/>
        <w:rPr>
          <w:sz w:val="22"/>
          <w:szCs w:val="22"/>
        </w:rPr>
      </w:pPr>
    </w:p>
    <w:p w:rsidR="00467218" w:rsidRPr="004A7288" w:rsidRDefault="00082C3B" w:rsidP="00005545">
      <w:pPr>
        <w:spacing w:after="0"/>
        <w:jc w:val="left"/>
        <w:rPr>
          <w:b/>
          <w:sz w:val="22"/>
          <w:szCs w:val="22"/>
        </w:rPr>
      </w:pPr>
      <w:r>
        <w:rPr>
          <w:b/>
          <w:sz w:val="22"/>
          <w:szCs w:val="22"/>
        </w:rPr>
        <w:t>4.5</w:t>
      </w:r>
      <w:r>
        <w:rPr>
          <w:b/>
          <w:sz w:val="22"/>
          <w:szCs w:val="22"/>
        </w:rPr>
        <w:tab/>
      </w:r>
      <w:r>
        <w:rPr>
          <w:b/>
          <w:bCs/>
          <w:sz w:val="22"/>
          <w:szCs w:val="22"/>
        </w:rPr>
        <w:t>Liekové a iné interakcie</w:t>
      </w:r>
    </w:p>
    <w:p w:rsidR="00005545" w:rsidRPr="004A7288" w:rsidRDefault="00005545" w:rsidP="00005545">
      <w:pPr>
        <w:spacing w:after="0"/>
        <w:jc w:val="left"/>
        <w:rPr>
          <w:sz w:val="22"/>
          <w:szCs w:val="22"/>
        </w:rPr>
      </w:pPr>
    </w:p>
    <w:p w:rsidR="00467218" w:rsidRPr="004A7288" w:rsidRDefault="00082C3B" w:rsidP="00005545">
      <w:pPr>
        <w:spacing w:after="0"/>
        <w:jc w:val="left"/>
        <w:rPr>
          <w:sz w:val="22"/>
          <w:szCs w:val="22"/>
        </w:rPr>
      </w:pPr>
      <w:r>
        <w:rPr>
          <w:sz w:val="22"/>
          <w:szCs w:val="22"/>
        </w:rPr>
        <w:t xml:space="preserve">U pacientov užívajúcich </w:t>
      </w:r>
      <w:r w:rsidR="008D3117">
        <w:rPr>
          <w:sz w:val="22"/>
          <w:szCs w:val="22"/>
        </w:rPr>
        <w:t>ibuprofén</w:t>
      </w:r>
      <w:r>
        <w:rPr>
          <w:sz w:val="22"/>
          <w:szCs w:val="22"/>
        </w:rPr>
        <w:t xml:space="preserve"> súbežne s liekmi uvedenými nižšie sa má zvážiť sledovanie klinických a biologických parametrov.</w:t>
      </w:r>
    </w:p>
    <w:p w:rsidR="00467218" w:rsidRPr="004A7288" w:rsidRDefault="00467218" w:rsidP="00005545">
      <w:pPr>
        <w:spacing w:after="0"/>
        <w:jc w:val="left"/>
        <w:rPr>
          <w:sz w:val="22"/>
          <w:szCs w:val="22"/>
        </w:rPr>
      </w:pPr>
    </w:p>
    <w:p w:rsidR="00467218" w:rsidRPr="004A7288" w:rsidRDefault="00082C3B" w:rsidP="00005545">
      <w:pPr>
        <w:spacing w:after="0"/>
        <w:jc w:val="left"/>
        <w:rPr>
          <w:sz w:val="22"/>
          <w:szCs w:val="22"/>
          <w:u w:val="single"/>
        </w:rPr>
      </w:pPr>
      <w:r>
        <w:rPr>
          <w:sz w:val="22"/>
          <w:szCs w:val="22"/>
          <w:u w:val="single"/>
        </w:rPr>
        <w:t>Súbežné užívanie s nasledujúcimi liekmi sa neodporúča:</w:t>
      </w:r>
    </w:p>
    <w:p w:rsidR="00467218" w:rsidRPr="004A7288" w:rsidRDefault="00467218" w:rsidP="00005545">
      <w:pPr>
        <w:spacing w:after="0"/>
        <w:jc w:val="left"/>
        <w:rPr>
          <w:sz w:val="22"/>
          <w:szCs w:val="22"/>
        </w:rPr>
      </w:pPr>
    </w:p>
    <w:p w:rsidR="00467218" w:rsidRPr="004A7288" w:rsidRDefault="00082C3B" w:rsidP="00005545">
      <w:pPr>
        <w:pStyle w:val="Odsekzoznamu"/>
        <w:numPr>
          <w:ilvl w:val="0"/>
          <w:numId w:val="2"/>
        </w:numPr>
        <w:spacing w:after="0"/>
        <w:jc w:val="left"/>
        <w:rPr>
          <w:sz w:val="22"/>
          <w:szCs w:val="22"/>
        </w:rPr>
      </w:pPr>
      <w:r>
        <w:rPr>
          <w:sz w:val="22"/>
          <w:szCs w:val="22"/>
        </w:rPr>
        <w:t>Kyselina acetylsalicylová alebo iné NSAID a glukokortikoidy. Môžu zvýšiť riziko nežiaducich reakcií v gastrointestinálnom trakte.</w:t>
      </w:r>
    </w:p>
    <w:p w:rsidR="008F5593" w:rsidRPr="004A7288" w:rsidRDefault="008F5593" w:rsidP="003209BB">
      <w:pPr>
        <w:pStyle w:val="Odsekzoznamu"/>
        <w:spacing w:after="0"/>
        <w:ind w:left="360"/>
        <w:jc w:val="left"/>
        <w:rPr>
          <w:sz w:val="22"/>
          <w:szCs w:val="22"/>
        </w:rPr>
      </w:pPr>
    </w:p>
    <w:p w:rsidR="00DA44D0" w:rsidRPr="004A7288" w:rsidRDefault="00082C3B" w:rsidP="003209BB">
      <w:pPr>
        <w:pStyle w:val="Odsekzoznamu"/>
        <w:numPr>
          <w:ilvl w:val="0"/>
          <w:numId w:val="2"/>
        </w:numPr>
        <w:spacing w:after="0"/>
        <w:jc w:val="left"/>
        <w:rPr>
          <w:sz w:val="22"/>
          <w:szCs w:val="22"/>
        </w:rPr>
      </w:pPr>
      <w:r>
        <w:rPr>
          <w:sz w:val="22"/>
          <w:szCs w:val="22"/>
          <w:u w:val="single"/>
        </w:rPr>
        <w:t>Kyselina acetylsalicylová</w:t>
      </w:r>
      <w:r>
        <w:rPr>
          <w:sz w:val="22"/>
          <w:szCs w:val="22"/>
        </w:rPr>
        <w:t xml:space="preserve">. </w:t>
      </w:r>
    </w:p>
    <w:p w:rsidR="008F5593" w:rsidRPr="004A7288" w:rsidRDefault="00082C3B" w:rsidP="00005545">
      <w:pPr>
        <w:pStyle w:val="Odsekzoznamu"/>
        <w:numPr>
          <w:ilvl w:val="0"/>
          <w:numId w:val="2"/>
        </w:numPr>
        <w:spacing w:after="0"/>
        <w:jc w:val="left"/>
        <w:rPr>
          <w:sz w:val="22"/>
          <w:szCs w:val="22"/>
        </w:rPr>
      </w:pPr>
      <w:r>
        <w:rPr>
          <w:sz w:val="22"/>
          <w:szCs w:val="22"/>
        </w:rPr>
        <w:t xml:space="preserve">Súčasné podávanie </w:t>
      </w:r>
      <w:r w:rsidR="008D3117">
        <w:rPr>
          <w:sz w:val="22"/>
          <w:szCs w:val="22"/>
        </w:rPr>
        <w:t>ibuprofénu</w:t>
      </w:r>
      <w:r>
        <w:rPr>
          <w:sz w:val="22"/>
          <w:szCs w:val="22"/>
        </w:rPr>
        <w:t xml:space="preserve"> a kyseliny acetylsalicylovej sa neodporúča z dôvodu možných zvýšených nežiaducich udalostí.</w:t>
      </w:r>
    </w:p>
    <w:p w:rsidR="00467218" w:rsidRPr="004A7288" w:rsidRDefault="00082C3B" w:rsidP="00005545">
      <w:pPr>
        <w:spacing w:after="0"/>
        <w:ind w:left="360"/>
        <w:jc w:val="left"/>
        <w:rPr>
          <w:sz w:val="22"/>
          <w:szCs w:val="22"/>
        </w:rPr>
      </w:pPr>
      <w:r>
        <w:rPr>
          <w:sz w:val="22"/>
          <w:szCs w:val="22"/>
        </w:rPr>
        <w:t xml:space="preserve">Experimentálne údaje naznačujú, že </w:t>
      </w:r>
      <w:r w:rsidR="008D3117">
        <w:rPr>
          <w:sz w:val="22"/>
          <w:szCs w:val="22"/>
        </w:rPr>
        <w:t>ibuprofén</w:t>
      </w:r>
      <w:r>
        <w:rPr>
          <w:sz w:val="22"/>
          <w:szCs w:val="22"/>
        </w:rPr>
        <w:t xml:space="preserve"> môže pri súčasnom dávkovaní kompet</w:t>
      </w:r>
      <w:r w:rsidR="008D3117">
        <w:rPr>
          <w:sz w:val="22"/>
          <w:szCs w:val="22"/>
        </w:rPr>
        <w:t>i</w:t>
      </w:r>
      <w:r>
        <w:rPr>
          <w:sz w:val="22"/>
          <w:szCs w:val="22"/>
        </w:rPr>
        <w:t xml:space="preserve">tívne inhibovať účinok nízkej dávky kyseliny acetylsalicylovej na agregáciu trombocytov. </w:t>
      </w:r>
      <w:r>
        <w:rPr>
          <w:spacing w:val="-3"/>
          <w:sz w:val="22"/>
          <w:szCs w:val="22"/>
        </w:rPr>
        <w:t xml:space="preserve">Hoci existujú </w:t>
      </w:r>
      <w:r>
        <w:rPr>
          <w:sz w:val="22"/>
          <w:szCs w:val="22"/>
        </w:rPr>
        <w:t xml:space="preserve">nejasnosti s ohľadom na extrapoláciu týchto údajov na klinickú situáciu, nedá sa vylúčiť možnosť, že pravidelné dlhodobé používanie </w:t>
      </w:r>
      <w:r w:rsidR="008D3117">
        <w:rPr>
          <w:sz w:val="22"/>
          <w:szCs w:val="22"/>
        </w:rPr>
        <w:t>ibuprofénu</w:t>
      </w:r>
      <w:r>
        <w:rPr>
          <w:sz w:val="22"/>
          <w:szCs w:val="22"/>
        </w:rPr>
        <w:t xml:space="preserve"> môže znížiť kardioprotektívny účinok nízkej dávky kyseliny acetylsalicylovej. V prípade príležitostného používania </w:t>
      </w:r>
      <w:r w:rsidR="008D3117">
        <w:rPr>
          <w:sz w:val="22"/>
          <w:szCs w:val="22"/>
        </w:rPr>
        <w:t>ibuprofénu</w:t>
      </w:r>
      <w:r>
        <w:rPr>
          <w:sz w:val="22"/>
          <w:szCs w:val="22"/>
        </w:rPr>
        <w:t xml:space="preserve"> sa žiaden klinicky relevantný účinok nepovažuje za pravdepodobný (pozri časť 5.1).</w:t>
      </w:r>
    </w:p>
    <w:p w:rsidR="00467218" w:rsidRPr="004A7288" w:rsidRDefault="00467218" w:rsidP="00005545">
      <w:pPr>
        <w:spacing w:after="0"/>
        <w:jc w:val="left"/>
        <w:rPr>
          <w:sz w:val="22"/>
          <w:szCs w:val="22"/>
        </w:rPr>
      </w:pPr>
    </w:p>
    <w:p w:rsidR="00467218" w:rsidRPr="004A7288" w:rsidRDefault="00082C3B" w:rsidP="00005545">
      <w:pPr>
        <w:spacing w:after="0"/>
        <w:jc w:val="left"/>
        <w:rPr>
          <w:sz w:val="22"/>
          <w:szCs w:val="22"/>
          <w:u w:val="single"/>
        </w:rPr>
      </w:pPr>
      <w:r>
        <w:rPr>
          <w:sz w:val="22"/>
          <w:szCs w:val="22"/>
          <w:u w:val="single"/>
        </w:rPr>
        <w:t>Opatrenia, ktoré sú potrebné počas súbežného užívania s nasledujúcimi liekmi:</w:t>
      </w:r>
    </w:p>
    <w:p w:rsidR="00467218" w:rsidRPr="004A7288" w:rsidRDefault="00467218" w:rsidP="00005545">
      <w:pPr>
        <w:spacing w:after="0"/>
        <w:jc w:val="left"/>
        <w:rPr>
          <w:sz w:val="22"/>
          <w:szCs w:val="22"/>
        </w:rPr>
      </w:pPr>
    </w:p>
    <w:p w:rsidR="00467218" w:rsidRPr="004A7288" w:rsidRDefault="00082C3B" w:rsidP="00005545">
      <w:pPr>
        <w:pStyle w:val="Odsekzoznamu"/>
        <w:numPr>
          <w:ilvl w:val="0"/>
          <w:numId w:val="2"/>
        </w:numPr>
        <w:spacing w:after="0"/>
        <w:jc w:val="left"/>
        <w:rPr>
          <w:sz w:val="22"/>
          <w:szCs w:val="22"/>
        </w:rPr>
      </w:pPr>
      <w:r>
        <w:rPr>
          <w:sz w:val="22"/>
          <w:szCs w:val="22"/>
        </w:rPr>
        <w:t>Diuretiká, ACE inhibítory, beta-blokátory a antagonisty angiotenzínu II:</w:t>
      </w:r>
    </w:p>
    <w:p w:rsidR="00467218" w:rsidRPr="004A7288" w:rsidRDefault="00082C3B" w:rsidP="00005545">
      <w:pPr>
        <w:spacing w:after="0"/>
        <w:ind w:left="360"/>
        <w:jc w:val="left"/>
        <w:rPr>
          <w:sz w:val="22"/>
          <w:szCs w:val="22"/>
        </w:rPr>
      </w:pPr>
      <w:r>
        <w:rPr>
          <w:sz w:val="22"/>
          <w:szCs w:val="22"/>
        </w:rPr>
        <w:t>NSAID môžu znížiť účinok diuretík a iných antihypertenzív. U niektorých pacientov so zhoršenou funkciou obličiek (napr. u dehydrovaných pacientov alebo starších pacientov so zhoršenou funkciou obličiek) môže mať súbežné podávanie inhibítora ACE, beta-blokátora alebo antagonistov angiotenzínu II a látok, ktoré inhibujú cyklooxygenázu, za následok ďalšie zhoršenie funkcie obličiek, vrátane možného akútneho zlyhania obličiek, ktoré je zvyčajne reverzibilné. Preto sa má kombinácia podávať opatrne, predovšetkým u starších pacientov. Pacienti majú byť adekvátne hydratovaní a je potrebné zvážiť sledovanie funkcie obličiek po začatí súbežnej liečby a potom pravidelne.</w:t>
      </w:r>
    </w:p>
    <w:p w:rsidR="00467218" w:rsidRPr="004A7288" w:rsidRDefault="00467218" w:rsidP="00005545">
      <w:pPr>
        <w:spacing w:after="0"/>
        <w:jc w:val="left"/>
        <w:rPr>
          <w:sz w:val="22"/>
          <w:szCs w:val="22"/>
        </w:rPr>
      </w:pPr>
    </w:p>
    <w:p w:rsidR="00467218" w:rsidRPr="004A7288" w:rsidRDefault="00082C3B" w:rsidP="00005545">
      <w:pPr>
        <w:spacing w:after="0"/>
        <w:ind w:left="360"/>
        <w:jc w:val="left"/>
        <w:rPr>
          <w:sz w:val="22"/>
          <w:szCs w:val="22"/>
        </w:rPr>
      </w:pPr>
      <w:r>
        <w:rPr>
          <w:sz w:val="22"/>
          <w:szCs w:val="22"/>
        </w:rPr>
        <w:t>Súbežné podávanie Ibalginu Junior a draslík šetriacich diuretík môže viesť k hyperkaliémii.</w:t>
      </w:r>
    </w:p>
    <w:p w:rsidR="00467218" w:rsidRPr="004A7288" w:rsidRDefault="00467218" w:rsidP="00005545">
      <w:pPr>
        <w:spacing w:after="0"/>
        <w:jc w:val="left"/>
        <w:rPr>
          <w:sz w:val="22"/>
          <w:szCs w:val="22"/>
        </w:rPr>
      </w:pPr>
    </w:p>
    <w:p w:rsidR="00467218" w:rsidRPr="004A7288" w:rsidRDefault="00082C3B" w:rsidP="00005545">
      <w:pPr>
        <w:pStyle w:val="Odsekzoznamu"/>
        <w:numPr>
          <w:ilvl w:val="0"/>
          <w:numId w:val="2"/>
        </w:numPr>
        <w:spacing w:after="0"/>
        <w:jc w:val="left"/>
        <w:rPr>
          <w:sz w:val="22"/>
          <w:szCs w:val="22"/>
        </w:rPr>
      </w:pPr>
      <w:r>
        <w:rPr>
          <w:sz w:val="22"/>
          <w:szCs w:val="22"/>
        </w:rPr>
        <w:t>Digoxín, fenytoín, lítium:</w:t>
      </w:r>
    </w:p>
    <w:p w:rsidR="00467218" w:rsidRPr="004A7288" w:rsidRDefault="00082C3B" w:rsidP="00005545">
      <w:pPr>
        <w:spacing w:after="0"/>
        <w:ind w:left="360"/>
        <w:jc w:val="left"/>
        <w:rPr>
          <w:sz w:val="22"/>
          <w:szCs w:val="22"/>
        </w:rPr>
      </w:pPr>
      <w:r>
        <w:rPr>
          <w:sz w:val="22"/>
          <w:szCs w:val="22"/>
        </w:rPr>
        <w:t>Súbežné užívanie Ibalginu Junior s liekmi obsahujúcimi digoxín, fenytoín alebo lítium môže zvýšiť sérové hladiny týchto liekov. Kontrola sérových hladín lítia, digoxínu a fenytoínu sa pri správnom používaní zvyčajne nevyžaduje (maximálne po dobu 3 až 4 dní).</w:t>
      </w:r>
    </w:p>
    <w:p w:rsidR="00467218" w:rsidRPr="004A7288" w:rsidRDefault="00467218" w:rsidP="00005545">
      <w:pPr>
        <w:spacing w:after="0"/>
        <w:jc w:val="left"/>
        <w:rPr>
          <w:sz w:val="22"/>
          <w:szCs w:val="22"/>
        </w:rPr>
      </w:pPr>
    </w:p>
    <w:p w:rsidR="00731373" w:rsidRPr="004A7288" w:rsidRDefault="00082C3B" w:rsidP="00005545">
      <w:pPr>
        <w:pStyle w:val="Odsekzoznamu"/>
        <w:numPr>
          <w:ilvl w:val="0"/>
          <w:numId w:val="2"/>
        </w:numPr>
        <w:spacing w:after="0"/>
        <w:jc w:val="left"/>
        <w:rPr>
          <w:sz w:val="22"/>
          <w:szCs w:val="22"/>
        </w:rPr>
      </w:pPr>
      <w:r>
        <w:rPr>
          <w:sz w:val="22"/>
          <w:szCs w:val="22"/>
        </w:rPr>
        <w:t xml:space="preserve">Metotrexát: </w:t>
      </w:r>
    </w:p>
    <w:p w:rsidR="00467218" w:rsidRPr="004A7288" w:rsidRDefault="00082C3B" w:rsidP="00731373">
      <w:pPr>
        <w:pStyle w:val="Odsekzoznamu"/>
        <w:spacing w:after="0"/>
        <w:ind w:left="360"/>
        <w:jc w:val="left"/>
        <w:rPr>
          <w:sz w:val="22"/>
          <w:szCs w:val="22"/>
        </w:rPr>
      </w:pPr>
      <w:r>
        <w:rPr>
          <w:sz w:val="22"/>
          <w:szCs w:val="22"/>
        </w:rPr>
        <w:t xml:space="preserve">Existuje dôkaz o potenciálnom zvýšení plazmatických hladín metotrexátu. NSAID inhibujú tubulárnu sekréciu metotrexátu a môže sa objaviť zníženie klírensu metotrexátu. Pri vysoko dávkovej metotrexátovej liečbe sa treba vyhýbať </w:t>
      </w:r>
      <w:r w:rsidR="008D3117">
        <w:rPr>
          <w:sz w:val="22"/>
          <w:szCs w:val="22"/>
        </w:rPr>
        <w:t>ibuprofénu</w:t>
      </w:r>
      <w:r>
        <w:rPr>
          <w:sz w:val="22"/>
          <w:szCs w:val="22"/>
        </w:rPr>
        <w:t xml:space="preserve"> (NSAID). Riziko interakcie medzi NSAID a metotrexátom sa musí tiež vziať do úvahy pri nízko dávkovej metotrexátovej liečbe, predovšetkým u pacientov s poruchou funkcie obličiek. Keď sa metotrexát kombinuje s NSAID, je potrebné sledovať funkciu obličiek. Opatrnosť sa odporúča, ak sa obidva lieky, NSAID aj metotrexát, podávajú v priebehu 24 hodín, pretože plazmatické hladiny metotrexátu sa môžu zvýšiť a to môže viesť k zvýšeniu toxicity.</w:t>
      </w:r>
    </w:p>
    <w:p w:rsidR="00467218" w:rsidRPr="004A7288" w:rsidRDefault="00467218" w:rsidP="00005545">
      <w:pPr>
        <w:spacing w:after="0"/>
        <w:jc w:val="left"/>
        <w:rPr>
          <w:sz w:val="22"/>
          <w:szCs w:val="22"/>
        </w:rPr>
      </w:pPr>
    </w:p>
    <w:p w:rsidR="00731373" w:rsidRPr="004A7288" w:rsidRDefault="00082C3B" w:rsidP="00005545">
      <w:pPr>
        <w:pStyle w:val="Odsekzoznamu"/>
        <w:numPr>
          <w:ilvl w:val="0"/>
          <w:numId w:val="2"/>
        </w:numPr>
        <w:spacing w:after="0"/>
        <w:jc w:val="left"/>
        <w:rPr>
          <w:sz w:val="22"/>
          <w:szCs w:val="22"/>
        </w:rPr>
      </w:pPr>
      <w:r>
        <w:rPr>
          <w:sz w:val="22"/>
          <w:szCs w:val="22"/>
        </w:rPr>
        <w:t xml:space="preserve">Takrolimus: </w:t>
      </w:r>
    </w:p>
    <w:p w:rsidR="00467218" w:rsidRPr="004A7288" w:rsidRDefault="00082C3B" w:rsidP="00731373">
      <w:pPr>
        <w:pStyle w:val="Odsekzoznamu"/>
        <w:spacing w:after="0"/>
        <w:ind w:left="360"/>
        <w:jc w:val="left"/>
        <w:rPr>
          <w:sz w:val="22"/>
          <w:szCs w:val="22"/>
        </w:rPr>
      </w:pPr>
      <w:r>
        <w:rPr>
          <w:sz w:val="22"/>
          <w:szCs w:val="22"/>
        </w:rPr>
        <w:lastRenderedPageBreak/>
        <w:t>Riziko nefrotoxicity je zvýšené, keď sa obidva lieky podávajú súbežne.</w:t>
      </w:r>
    </w:p>
    <w:p w:rsidR="00467218" w:rsidRPr="004A7288" w:rsidRDefault="00467218" w:rsidP="00005545">
      <w:pPr>
        <w:spacing w:after="0"/>
        <w:jc w:val="left"/>
        <w:rPr>
          <w:sz w:val="22"/>
          <w:szCs w:val="22"/>
        </w:rPr>
      </w:pPr>
    </w:p>
    <w:p w:rsidR="00731373" w:rsidRPr="004A7288" w:rsidRDefault="00082C3B" w:rsidP="00005545">
      <w:pPr>
        <w:pStyle w:val="Odsekzoznamu"/>
        <w:numPr>
          <w:ilvl w:val="0"/>
          <w:numId w:val="2"/>
        </w:numPr>
        <w:spacing w:after="0"/>
        <w:jc w:val="left"/>
        <w:rPr>
          <w:sz w:val="22"/>
          <w:szCs w:val="22"/>
        </w:rPr>
      </w:pPr>
      <w:r>
        <w:rPr>
          <w:sz w:val="22"/>
          <w:szCs w:val="22"/>
        </w:rPr>
        <w:t xml:space="preserve">Cyklosporín: </w:t>
      </w:r>
    </w:p>
    <w:p w:rsidR="00467218" w:rsidRPr="004A7288" w:rsidRDefault="00082C3B" w:rsidP="00731373">
      <w:pPr>
        <w:pStyle w:val="Odsekzoznamu"/>
        <w:spacing w:after="0"/>
        <w:ind w:left="360"/>
        <w:jc w:val="left"/>
        <w:rPr>
          <w:sz w:val="22"/>
          <w:szCs w:val="22"/>
        </w:rPr>
      </w:pPr>
      <w:r>
        <w:rPr>
          <w:sz w:val="22"/>
          <w:szCs w:val="22"/>
        </w:rPr>
        <w:t>Existuje obmedzený dôkaz o možnej interakcii, ktorá vedie k zvýšenému riziku nefrotoxicity.</w:t>
      </w:r>
    </w:p>
    <w:p w:rsidR="00467218" w:rsidRPr="004A7288" w:rsidRDefault="00467218" w:rsidP="00005545">
      <w:pPr>
        <w:spacing w:after="0"/>
        <w:jc w:val="left"/>
        <w:rPr>
          <w:sz w:val="22"/>
          <w:szCs w:val="22"/>
        </w:rPr>
      </w:pPr>
    </w:p>
    <w:p w:rsidR="00731373" w:rsidRPr="004A7288" w:rsidRDefault="00082C3B" w:rsidP="00005545">
      <w:pPr>
        <w:pStyle w:val="Odsekzoznamu"/>
        <w:numPr>
          <w:ilvl w:val="0"/>
          <w:numId w:val="2"/>
        </w:numPr>
        <w:spacing w:after="0"/>
        <w:jc w:val="left"/>
        <w:rPr>
          <w:sz w:val="22"/>
          <w:szCs w:val="22"/>
        </w:rPr>
      </w:pPr>
      <w:r>
        <w:rPr>
          <w:sz w:val="22"/>
          <w:szCs w:val="22"/>
        </w:rPr>
        <w:t xml:space="preserve">Kortikosteroidy: </w:t>
      </w:r>
    </w:p>
    <w:p w:rsidR="00467218" w:rsidRPr="004A7288" w:rsidRDefault="00082C3B" w:rsidP="00731373">
      <w:pPr>
        <w:pStyle w:val="Odsekzoznamu"/>
        <w:spacing w:after="0"/>
        <w:ind w:left="360"/>
        <w:jc w:val="left"/>
        <w:rPr>
          <w:sz w:val="22"/>
          <w:szCs w:val="22"/>
        </w:rPr>
      </w:pPr>
      <w:r>
        <w:rPr>
          <w:sz w:val="22"/>
          <w:szCs w:val="22"/>
        </w:rPr>
        <w:t>Zvýšené riziko gastrointestinálnej ulcerácie alebo krvácania (pozri časť 4.4).</w:t>
      </w:r>
    </w:p>
    <w:p w:rsidR="00467218" w:rsidRPr="004A7288" w:rsidRDefault="00467218" w:rsidP="00005545">
      <w:pPr>
        <w:spacing w:after="0"/>
        <w:jc w:val="left"/>
        <w:rPr>
          <w:sz w:val="22"/>
          <w:szCs w:val="22"/>
        </w:rPr>
      </w:pPr>
    </w:p>
    <w:p w:rsidR="00731373" w:rsidRPr="004A7288" w:rsidRDefault="00082C3B" w:rsidP="00005545">
      <w:pPr>
        <w:pStyle w:val="Odsekzoznamu"/>
        <w:numPr>
          <w:ilvl w:val="0"/>
          <w:numId w:val="2"/>
        </w:numPr>
        <w:spacing w:after="0"/>
        <w:jc w:val="left"/>
        <w:rPr>
          <w:sz w:val="22"/>
          <w:szCs w:val="22"/>
        </w:rPr>
      </w:pPr>
      <w:r>
        <w:rPr>
          <w:sz w:val="22"/>
          <w:szCs w:val="22"/>
        </w:rPr>
        <w:t xml:space="preserve">Antikoagulanciá: </w:t>
      </w:r>
    </w:p>
    <w:p w:rsidR="00467218" w:rsidRPr="004A7288" w:rsidRDefault="00082C3B" w:rsidP="00731373">
      <w:pPr>
        <w:pStyle w:val="Odsekzoznamu"/>
        <w:spacing w:after="0"/>
        <w:ind w:left="360"/>
        <w:jc w:val="left"/>
        <w:rPr>
          <w:sz w:val="22"/>
          <w:szCs w:val="22"/>
        </w:rPr>
      </w:pPr>
      <w:r>
        <w:rPr>
          <w:sz w:val="22"/>
          <w:szCs w:val="22"/>
        </w:rPr>
        <w:t>NSAID môžu zosilniť účinky antikoagulancií, ako je warfarín (pozri časť 4.4).</w:t>
      </w:r>
    </w:p>
    <w:p w:rsidR="00467218" w:rsidRPr="004A7288" w:rsidRDefault="00467218" w:rsidP="00005545">
      <w:pPr>
        <w:spacing w:after="0"/>
        <w:jc w:val="left"/>
        <w:rPr>
          <w:sz w:val="22"/>
          <w:szCs w:val="22"/>
        </w:rPr>
      </w:pPr>
    </w:p>
    <w:p w:rsidR="00731373" w:rsidRPr="004A7288" w:rsidRDefault="00082C3B" w:rsidP="00765608">
      <w:pPr>
        <w:pStyle w:val="Odsekzoznamu"/>
        <w:numPr>
          <w:ilvl w:val="0"/>
          <w:numId w:val="2"/>
        </w:numPr>
        <w:spacing w:after="0"/>
        <w:jc w:val="left"/>
        <w:rPr>
          <w:sz w:val="22"/>
          <w:szCs w:val="22"/>
        </w:rPr>
      </w:pPr>
      <w:r>
        <w:rPr>
          <w:sz w:val="22"/>
          <w:szCs w:val="22"/>
        </w:rPr>
        <w:t xml:space="preserve">Antiagregačné látky a selektívne inhibítory spätného vychytávania sérotonínu (SSRI): </w:t>
      </w:r>
    </w:p>
    <w:p w:rsidR="00467218" w:rsidRPr="004A7288" w:rsidRDefault="00082C3B" w:rsidP="00731373">
      <w:pPr>
        <w:pStyle w:val="Odsekzoznamu"/>
        <w:spacing w:after="0"/>
        <w:ind w:left="360"/>
        <w:jc w:val="left"/>
        <w:rPr>
          <w:sz w:val="22"/>
          <w:szCs w:val="22"/>
        </w:rPr>
      </w:pPr>
      <w:r>
        <w:rPr>
          <w:sz w:val="22"/>
          <w:szCs w:val="22"/>
        </w:rPr>
        <w:t>zvýšené riziko gastrointestinálneho krvácania (pozri časť 4.4).</w:t>
      </w:r>
    </w:p>
    <w:p w:rsidR="00467218" w:rsidRPr="004A7288" w:rsidRDefault="00082C3B" w:rsidP="00005545">
      <w:pPr>
        <w:spacing w:after="0"/>
        <w:ind w:left="360"/>
        <w:jc w:val="left"/>
        <w:rPr>
          <w:sz w:val="22"/>
          <w:szCs w:val="22"/>
        </w:rPr>
      </w:pPr>
      <w:r>
        <w:rPr>
          <w:sz w:val="22"/>
          <w:szCs w:val="22"/>
        </w:rPr>
        <w:t xml:space="preserve"> </w:t>
      </w:r>
    </w:p>
    <w:p w:rsidR="00467218" w:rsidRPr="004A7288" w:rsidRDefault="00082C3B" w:rsidP="00005545">
      <w:pPr>
        <w:pStyle w:val="Odsekzoznamu"/>
        <w:numPr>
          <w:ilvl w:val="0"/>
          <w:numId w:val="3"/>
        </w:numPr>
        <w:spacing w:after="0"/>
        <w:jc w:val="left"/>
        <w:rPr>
          <w:sz w:val="22"/>
          <w:szCs w:val="22"/>
        </w:rPr>
      </w:pPr>
      <w:r>
        <w:rPr>
          <w:sz w:val="22"/>
          <w:szCs w:val="22"/>
        </w:rPr>
        <w:t>Deriváty sulfonylmočoviny:</w:t>
      </w:r>
    </w:p>
    <w:p w:rsidR="00467218" w:rsidRPr="004A7288" w:rsidRDefault="00082C3B" w:rsidP="00005545">
      <w:pPr>
        <w:spacing w:after="0"/>
        <w:ind w:left="360"/>
        <w:jc w:val="left"/>
        <w:rPr>
          <w:sz w:val="22"/>
          <w:szCs w:val="22"/>
        </w:rPr>
      </w:pPr>
      <w:r>
        <w:rPr>
          <w:sz w:val="22"/>
          <w:szCs w:val="22"/>
        </w:rPr>
        <w:t xml:space="preserve">Klinické testy preukázali interakcie medzi NSAID a antidiabetikami (deriváty sulfonylmočoviny). Hoci interakcie medzi </w:t>
      </w:r>
      <w:r w:rsidR="008D3117">
        <w:rPr>
          <w:sz w:val="22"/>
          <w:szCs w:val="22"/>
        </w:rPr>
        <w:t>ibuprofénom</w:t>
      </w:r>
      <w:r>
        <w:rPr>
          <w:sz w:val="22"/>
          <w:szCs w:val="22"/>
        </w:rPr>
        <w:t xml:space="preserve"> a derivátmi sulfonylmočoviny sa dosiaľ nepopísali, preventívne sa pri súbežnom užívaní odporúča kontrola hodnôt glukózy v krvi.</w:t>
      </w:r>
    </w:p>
    <w:p w:rsidR="00467218" w:rsidRPr="004A7288" w:rsidRDefault="00467218" w:rsidP="00005545">
      <w:pPr>
        <w:spacing w:after="0"/>
        <w:jc w:val="left"/>
        <w:rPr>
          <w:sz w:val="22"/>
          <w:szCs w:val="22"/>
        </w:rPr>
      </w:pPr>
    </w:p>
    <w:p w:rsidR="00467218" w:rsidRPr="004A7288" w:rsidRDefault="00082C3B" w:rsidP="00005545">
      <w:pPr>
        <w:pStyle w:val="Odsekzoznamu"/>
        <w:numPr>
          <w:ilvl w:val="0"/>
          <w:numId w:val="3"/>
        </w:numPr>
        <w:spacing w:after="0"/>
        <w:jc w:val="left"/>
        <w:rPr>
          <w:sz w:val="22"/>
          <w:szCs w:val="22"/>
        </w:rPr>
      </w:pPr>
      <w:r>
        <w:rPr>
          <w:sz w:val="22"/>
          <w:szCs w:val="22"/>
        </w:rPr>
        <w:t>Zidovudín:</w:t>
      </w:r>
    </w:p>
    <w:p w:rsidR="00467218" w:rsidRPr="004A7288" w:rsidRDefault="00082C3B" w:rsidP="00005545">
      <w:pPr>
        <w:spacing w:after="0"/>
        <w:ind w:left="360"/>
        <w:jc w:val="left"/>
        <w:rPr>
          <w:sz w:val="22"/>
          <w:szCs w:val="22"/>
        </w:rPr>
      </w:pPr>
      <w:r>
        <w:rPr>
          <w:sz w:val="22"/>
          <w:szCs w:val="22"/>
        </w:rPr>
        <w:t xml:space="preserve">Existuje zvýšené riziko hemartróz a hematómu u HIV+ hemofilikov, ktorí užívajú súčasne liečbu zidovudínom a </w:t>
      </w:r>
      <w:r w:rsidR="008D3117">
        <w:rPr>
          <w:sz w:val="22"/>
          <w:szCs w:val="22"/>
        </w:rPr>
        <w:t>ibuprofénom</w:t>
      </w:r>
      <w:r>
        <w:rPr>
          <w:sz w:val="22"/>
          <w:szCs w:val="22"/>
        </w:rPr>
        <w:t>.</w:t>
      </w:r>
    </w:p>
    <w:p w:rsidR="00467218" w:rsidRPr="004A7288" w:rsidRDefault="00467218" w:rsidP="00005545">
      <w:pPr>
        <w:spacing w:after="0"/>
        <w:jc w:val="left"/>
        <w:rPr>
          <w:sz w:val="22"/>
          <w:szCs w:val="22"/>
        </w:rPr>
      </w:pPr>
    </w:p>
    <w:p w:rsidR="00467218" w:rsidRPr="004A7288" w:rsidRDefault="00082C3B" w:rsidP="00005545">
      <w:pPr>
        <w:pStyle w:val="Odsekzoznamu"/>
        <w:numPr>
          <w:ilvl w:val="0"/>
          <w:numId w:val="3"/>
        </w:numPr>
        <w:spacing w:after="0"/>
        <w:jc w:val="left"/>
        <w:rPr>
          <w:sz w:val="22"/>
          <w:szCs w:val="22"/>
        </w:rPr>
      </w:pPr>
      <w:r>
        <w:rPr>
          <w:sz w:val="22"/>
          <w:szCs w:val="22"/>
        </w:rPr>
        <w:t>Probenecid a sulfinpyrazón:</w:t>
      </w:r>
    </w:p>
    <w:p w:rsidR="00467218" w:rsidRPr="004A7288" w:rsidRDefault="00082C3B" w:rsidP="00005545">
      <w:pPr>
        <w:spacing w:after="0"/>
        <w:ind w:left="360"/>
        <w:jc w:val="left"/>
        <w:rPr>
          <w:sz w:val="22"/>
          <w:szCs w:val="22"/>
        </w:rPr>
      </w:pPr>
      <w:r>
        <w:rPr>
          <w:sz w:val="22"/>
          <w:szCs w:val="22"/>
        </w:rPr>
        <w:t xml:space="preserve">Lieky, ktoré obsahujú probenecid alebo sulfinpyrazón, môžu oneskoriť vylučovanie </w:t>
      </w:r>
      <w:r w:rsidR="008D3117">
        <w:rPr>
          <w:sz w:val="22"/>
          <w:szCs w:val="22"/>
        </w:rPr>
        <w:t>ibuprofénu</w:t>
      </w:r>
      <w:r>
        <w:rPr>
          <w:sz w:val="22"/>
          <w:szCs w:val="22"/>
        </w:rPr>
        <w:t>.</w:t>
      </w:r>
    </w:p>
    <w:p w:rsidR="00467218" w:rsidRPr="004A7288" w:rsidRDefault="00467218" w:rsidP="00005545">
      <w:pPr>
        <w:spacing w:after="0"/>
        <w:jc w:val="left"/>
        <w:rPr>
          <w:sz w:val="22"/>
          <w:szCs w:val="22"/>
        </w:rPr>
      </w:pPr>
    </w:p>
    <w:p w:rsidR="00467218" w:rsidRPr="004A7288" w:rsidRDefault="00082C3B" w:rsidP="00005545">
      <w:pPr>
        <w:pStyle w:val="Odsekzoznamu"/>
        <w:numPr>
          <w:ilvl w:val="0"/>
          <w:numId w:val="3"/>
        </w:numPr>
        <w:spacing w:after="0"/>
        <w:jc w:val="left"/>
        <w:rPr>
          <w:sz w:val="22"/>
          <w:szCs w:val="22"/>
        </w:rPr>
      </w:pPr>
      <w:r>
        <w:rPr>
          <w:sz w:val="22"/>
          <w:szCs w:val="22"/>
        </w:rPr>
        <w:t>Baklofén:</w:t>
      </w:r>
    </w:p>
    <w:p w:rsidR="00467218" w:rsidRPr="004A7288" w:rsidRDefault="00082C3B" w:rsidP="00005545">
      <w:pPr>
        <w:spacing w:after="0"/>
        <w:ind w:firstLine="360"/>
        <w:jc w:val="left"/>
        <w:rPr>
          <w:sz w:val="22"/>
          <w:szCs w:val="22"/>
        </w:rPr>
      </w:pPr>
      <w:r>
        <w:rPr>
          <w:sz w:val="22"/>
          <w:szCs w:val="22"/>
        </w:rPr>
        <w:t xml:space="preserve">Po začatí liečby </w:t>
      </w:r>
      <w:r w:rsidR="008D3117">
        <w:rPr>
          <w:sz w:val="22"/>
          <w:szCs w:val="22"/>
        </w:rPr>
        <w:t>ibuprofénom</w:t>
      </w:r>
      <w:r>
        <w:rPr>
          <w:sz w:val="22"/>
          <w:szCs w:val="22"/>
        </w:rPr>
        <w:t xml:space="preserve"> sa môže vyvinúť toxicita baklofénu.</w:t>
      </w:r>
    </w:p>
    <w:p w:rsidR="00467218" w:rsidRPr="004A7288" w:rsidRDefault="00467218" w:rsidP="00005545">
      <w:pPr>
        <w:spacing w:after="0"/>
        <w:jc w:val="left"/>
        <w:rPr>
          <w:sz w:val="22"/>
          <w:szCs w:val="22"/>
        </w:rPr>
      </w:pPr>
    </w:p>
    <w:p w:rsidR="00467218" w:rsidRPr="004A7288" w:rsidRDefault="00082C3B" w:rsidP="00005545">
      <w:pPr>
        <w:pStyle w:val="Odsekzoznamu"/>
        <w:numPr>
          <w:ilvl w:val="0"/>
          <w:numId w:val="3"/>
        </w:numPr>
        <w:spacing w:after="0"/>
        <w:jc w:val="left"/>
        <w:rPr>
          <w:sz w:val="22"/>
          <w:szCs w:val="22"/>
        </w:rPr>
      </w:pPr>
      <w:r>
        <w:rPr>
          <w:sz w:val="22"/>
          <w:szCs w:val="22"/>
        </w:rPr>
        <w:t>Ritonavir:</w:t>
      </w:r>
    </w:p>
    <w:p w:rsidR="00467218" w:rsidRPr="004A7288" w:rsidRDefault="00082C3B" w:rsidP="00005545">
      <w:pPr>
        <w:spacing w:after="0"/>
        <w:ind w:firstLine="360"/>
        <w:jc w:val="left"/>
        <w:rPr>
          <w:sz w:val="22"/>
          <w:szCs w:val="22"/>
        </w:rPr>
      </w:pPr>
      <w:r>
        <w:rPr>
          <w:sz w:val="22"/>
          <w:szCs w:val="22"/>
        </w:rPr>
        <w:t>Ritonavir môže zvyšovať plazmatické koncentrácie NSAID.</w:t>
      </w:r>
    </w:p>
    <w:p w:rsidR="00467218" w:rsidRPr="004A7288" w:rsidRDefault="00467218" w:rsidP="00005545">
      <w:pPr>
        <w:spacing w:after="0"/>
        <w:jc w:val="left"/>
        <w:rPr>
          <w:sz w:val="22"/>
          <w:szCs w:val="22"/>
        </w:rPr>
      </w:pPr>
    </w:p>
    <w:p w:rsidR="00467218" w:rsidRPr="004A7288" w:rsidRDefault="00082C3B" w:rsidP="00005545">
      <w:pPr>
        <w:pStyle w:val="Odsekzoznamu"/>
        <w:numPr>
          <w:ilvl w:val="0"/>
          <w:numId w:val="3"/>
        </w:numPr>
        <w:spacing w:after="0"/>
        <w:jc w:val="left"/>
        <w:rPr>
          <w:sz w:val="22"/>
          <w:szCs w:val="22"/>
        </w:rPr>
      </w:pPr>
      <w:r>
        <w:rPr>
          <w:sz w:val="22"/>
          <w:szCs w:val="22"/>
        </w:rPr>
        <w:t>Aminoglykozidy: NSAID môžu znížiť vylučovanie aminoglykozidov.</w:t>
      </w:r>
    </w:p>
    <w:p w:rsidR="00467218" w:rsidRPr="004A7288" w:rsidRDefault="00467218" w:rsidP="00005545">
      <w:pPr>
        <w:spacing w:after="0"/>
        <w:jc w:val="left"/>
        <w:rPr>
          <w:sz w:val="22"/>
          <w:szCs w:val="22"/>
        </w:rPr>
      </w:pPr>
    </w:p>
    <w:p w:rsidR="00731373" w:rsidRPr="004A7288" w:rsidRDefault="00082C3B" w:rsidP="00005545">
      <w:pPr>
        <w:pStyle w:val="Odsekzoznamu"/>
        <w:numPr>
          <w:ilvl w:val="0"/>
          <w:numId w:val="3"/>
        </w:numPr>
        <w:spacing w:after="0"/>
        <w:jc w:val="left"/>
        <w:rPr>
          <w:sz w:val="22"/>
          <w:szCs w:val="22"/>
        </w:rPr>
      </w:pPr>
      <w:r>
        <w:rPr>
          <w:sz w:val="22"/>
          <w:szCs w:val="22"/>
        </w:rPr>
        <w:t xml:space="preserve">Chinolónové antibiotiká: </w:t>
      </w:r>
    </w:p>
    <w:p w:rsidR="00467218" w:rsidRPr="004A7288" w:rsidRDefault="00082C3B" w:rsidP="00731373">
      <w:pPr>
        <w:pStyle w:val="Odsekzoznamu"/>
        <w:spacing w:after="0"/>
        <w:ind w:left="360"/>
        <w:jc w:val="left"/>
        <w:rPr>
          <w:sz w:val="22"/>
          <w:szCs w:val="22"/>
        </w:rPr>
      </w:pPr>
      <w:r>
        <w:rPr>
          <w:sz w:val="22"/>
          <w:szCs w:val="22"/>
        </w:rPr>
        <w:t>Údaje u zvierat naznačujú, že NSAID môžu zvyšovať riziko kŕčov v súvislosti s chinolónovými antibiotikami. U pacientov užívajúcich NSAID a chinolóny môže byť riziko rozvoja kŕčov zvýšené.</w:t>
      </w:r>
    </w:p>
    <w:p w:rsidR="00467218" w:rsidRPr="004A7288" w:rsidRDefault="00467218" w:rsidP="00005545">
      <w:pPr>
        <w:spacing w:after="0"/>
        <w:jc w:val="left"/>
        <w:rPr>
          <w:sz w:val="22"/>
          <w:szCs w:val="22"/>
        </w:rPr>
      </w:pPr>
    </w:p>
    <w:p w:rsidR="00467218" w:rsidRPr="004A7288" w:rsidRDefault="00082C3B" w:rsidP="00005545">
      <w:pPr>
        <w:pStyle w:val="Odsekzoznamu"/>
        <w:numPr>
          <w:ilvl w:val="0"/>
          <w:numId w:val="3"/>
        </w:numPr>
        <w:spacing w:after="0"/>
        <w:jc w:val="left"/>
        <w:rPr>
          <w:sz w:val="22"/>
          <w:szCs w:val="22"/>
        </w:rPr>
      </w:pPr>
      <w:r>
        <w:rPr>
          <w:sz w:val="22"/>
          <w:szCs w:val="22"/>
        </w:rPr>
        <w:t xml:space="preserve">V štúdii s vorikonazolom a flukonazolom (inhibítormi CYP2C9) sa preukázalo zvýšenie expozície S (+) ibuprofenu približne o  80 – 100 %. Zníženie dávky </w:t>
      </w:r>
      <w:r w:rsidR="008D3117">
        <w:rPr>
          <w:sz w:val="22"/>
          <w:szCs w:val="22"/>
        </w:rPr>
        <w:t>ibuprofénu</w:t>
      </w:r>
      <w:r>
        <w:rPr>
          <w:sz w:val="22"/>
          <w:szCs w:val="22"/>
        </w:rPr>
        <w:t xml:space="preserve"> sa má zvážiť pri súbežnom podávaní silných inhibítorov CYP2C9, predovšetkým keď sa podáva vysoká dávka </w:t>
      </w:r>
      <w:r w:rsidR="008D3117">
        <w:rPr>
          <w:sz w:val="22"/>
          <w:szCs w:val="22"/>
        </w:rPr>
        <w:t>ibuprofénu</w:t>
      </w:r>
      <w:r>
        <w:rPr>
          <w:sz w:val="22"/>
          <w:szCs w:val="22"/>
        </w:rPr>
        <w:t xml:space="preserve"> buď s vorikonazolom, alebo flukonazolom.</w:t>
      </w:r>
    </w:p>
    <w:p w:rsidR="00467218" w:rsidRPr="004A7288" w:rsidRDefault="00467218" w:rsidP="00005545">
      <w:pPr>
        <w:spacing w:after="0"/>
        <w:jc w:val="left"/>
        <w:rPr>
          <w:sz w:val="22"/>
          <w:szCs w:val="22"/>
        </w:rPr>
      </w:pPr>
    </w:p>
    <w:p w:rsidR="002B4091" w:rsidRPr="004A7288" w:rsidRDefault="00082C3B" w:rsidP="00005545">
      <w:pPr>
        <w:pStyle w:val="Odsekzoznamu"/>
        <w:numPr>
          <w:ilvl w:val="0"/>
          <w:numId w:val="3"/>
        </w:numPr>
        <w:spacing w:after="0"/>
        <w:jc w:val="left"/>
        <w:rPr>
          <w:sz w:val="22"/>
          <w:szCs w:val="22"/>
        </w:rPr>
      </w:pPr>
      <w:r>
        <w:rPr>
          <w:sz w:val="22"/>
          <w:szCs w:val="22"/>
        </w:rPr>
        <w:t xml:space="preserve">Kaptopril: </w:t>
      </w:r>
    </w:p>
    <w:p w:rsidR="00467218" w:rsidRPr="004A7288" w:rsidRDefault="00082C3B" w:rsidP="002B4091">
      <w:pPr>
        <w:pStyle w:val="Odsekzoznamu"/>
        <w:spacing w:after="0"/>
        <w:ind w:left="360"/>
        <w:jc w:val="left"/>
        <w:rPr>
          <w:sz w:val="22"/>
          <w:szCs w:val="22"/>
        </w:rPr>
      </w:pPr>
      <w:r>
        <w:rPr>
          <w:sz w:val="22"/>
          <w:szCs w:val="22"/>
        </w:rPr>
        <w:t xml:space="preserve">Experimentálne štúdie naznačujú, že </w:t>
      </w:r>
      <w:r w:rsidR="008D3117">
        <w:rPr>
          <w:sz w:val="22"/>
          <w:szCs w:val="22"/>
        </w:rPr>
        <w:t>ibuprofén</w:t>
      </w:r>
      <w:r>
        <w:rPr>
          <w:sz w:val="22"/>
          <w:szCs w:val="22"/>
        </w:rPr>
        <w:t xml:space="preserve"> inhibuje účinok kaptoprilu na vylučovanie sodíka.</w:t>
      </w:r>
    </w:p>
    <w:p w:rsidR="00467218" w:rsidRPr="004A7288" w:rsidRDefault="00467218" w:rsidP="00005545">
      <w:pPr>
        <w:spacing w:after="0"/>
        <w:jc w:val="left"/>
        <w:rPr>
          <w:sz w:val="22"/>
          <w:szCs w:val="22"/>
        </w:rPr>
      </w:pPr>
    </w:p>
    <w:p w:rsidR="002B4091" w:rsidRPr="004A7288" w:rsidRDefault="00082C3B" w:rsidP="00005545">
      <w:pPr>
        <w:pStyle w:val="Odsekzoznamu"/>
        <w:numPr>
          <w:ilvl w:val="0"/>
          <w:numId w:val="3"/>
        </w:numPr>
        <w:spacing w:after="0"/>
        <w:jc w:val="left"/>
        <w:rPr>
          <w:sz w:val="22"/>
          <w:szCs w:val="22"/>
        </w:rPr>
      </w:pPr>
      <w:r>
        <w:rPr>
          <w:sz w:val="22"/>
          <w:szCs w:val="22"/>
        </w:rPr>
        <w:t xml:space="preserve">Kolestyramín: </w:t>
      </w:r>
    </w:p>
    <w:p w:rsidR="00467218" w:rsidRPr="004A7288" w:rsidRDefault="00082C3B" w:rsidP="002B4091">
      <w:pPr>
        <w:pStyle w:val="Odsekzoznamu"/>
        <w:spacing w:after="0"/>
        <w:ind w:left="360"/>
        <w:jc w:val="left"/>
        <w:rPr>
          <w:sz w:val="22"/>
          <w:szCs w:val="22"/>
        </w:rPr>
      </w:pPr>
      <w:r>
        <w:rPr>
          <w:sz w:val="22"/>
          <w:szCs w:val="22"/>
        </w:rPr>
        <w:t xml:space="preserve">Pri súbežnom podávaní </w:t>
      </w:r>
      <w:r w:rsidR="008D3117">
        <w:rPr>
          <w:sz w:val="22"/>
          <w:szCs w:val="22"/>
        </w:rPr>
        <w:t>ibuprofénu</w:t>
      </w:r>
      <w:r>
        <w:rPr>
          <w:sz w:val="22"/>
          <w:szCs w:val="22"/>
        </w:rPr>
        <w:t xml:space="preserve"> a kolestyramínu sa absorpcia </w:t>
      </w:r>
      <w:r w:rsidR="008D3117">
        <w:rPr>
          <w:sz w:val="22"/>
          <w:szCs w:val="22"/>
        </w:rPr>
        <w:t>ibuprofénu</w:t>
      </w:r>
      <w:r>
        <w:rPr>
          <w:sz w:val="22"/>
          <w:szCs w:val="22"/>
        </w:rPr>
        <w:t xml:space="preserve"> oneskoruje a znižuje (25 %). Liek sa má podávať s niekoľkohodinovým odstupom.</w:t>
      </w:r>
    </w:p>
    <w:p w:rsidR="00467218" w:rsidRPr="004A7288" w:rsidRDefault="00467218" w:rsidP="00005545">
      <w:pPr>
        <w:spacing w:after="0"/>
        <w:jc w:val="left"/>
        <w:rPr>
          <w:sz w:val="22"/>
          <w:szCs w:val="22"/>
        </w:rPr>
      </w:pPr>
    </w:p>
    <w:p w:rsidR="00467218" w:rsidRPr="004A7288" w:rsidRDefault="00082C3B" w:rsidP="00005545">
      <w:pPr>
        <w:spacing w:after="0"/>
        <w:jc w:val="left"/>
        <w:rPr>
          <w:b/>
          <w:sz w:val="22"/>
          <w:szCs w:val="22"/>
        </w:rPr>
      </w:pPr>
      <w:r>
        <w:rPr>
          <w:b/>
          <w:sz w:val="22"/>
          <w:szCs w:val="22"/>
        </w:rPr>
        <w:t>4.6</w:t>
      </w:r>
      <w:r>
        <w:rPr>
          <w:b/>
          <w:sz w:val="22"/>
          <w:szCs w:val="22"/>
        </w:rPr>
        <w:tab/>
        <w:t xml:space="preserve">Fertilita, </w:t>
      </w:r>
      <w:r>
        <w:rPr>
          <w:b/>
          <w:bCs/>
          <w:sz w:val="22"/>
          <w:szCs w:val="22"/>
        </w:rPr>
        <w:t>gravidita a laktácia</w:t>
      </w:r>
    </w:p>
    <w:p w:rsidR="00005545" w:rsidRPr="004A7288" w:rsidRDefault="00005545" w:rsidP="00005545">
      <w:pPr>
        <w:spacing w:after="0"/>
        <w:jc w:val="left"/>
        <w:rPr>
          <w:sz w:val="22"/>
          <w:szCs w:val="22"/>
          <w:u w:val="single"/>
        </w:rPr>
      </w:pPr>
    </w:p>
    <w:p w:rsidR="00467218" w:rsidRPr="004A7288" w:rsidRDefault="00082C3B" w:rsidP="00005545">
      <w:pPr>
        <w:spacing w:after="0"/>
        <w:jc w:val="left"/>
        <w:rPr>
          <w:sz w:val="22"/>
          <w:szCs w:val="22"/>
          <w:u w:val="single"/>
        </w:rPr>
      </w:pPr>
      <w:r>
        <w:rPr>
          <w:sz w:val="22"/>
          <w:szCs w:val="22"/>
          <w:u w:val="single"/>
        </w:rPr>
        <w:t>Gravidita</w:t>
      </w:r>
    </w:p>
    <w:p w:rsidR="00467218" w:rsidRPr="004A7288" w:rsidRDefault="00082C3B" w:rsidP="00A70048">
      <w:pPr>
        <w:jc w:val="left"/>
        <w:rPr>
          <w:sz w:val="22"/>
          <w:szCs w:val="22"/>
        </w:rPr>
      </w:pPr>
      <w:r>
        <w:rPr>
          <w:sz w:val="22"/>
          <w:szCs w:val="22"/>
        </w:rPr>
        <w:lastRenderedPageBreak/>
        <w:t xml:space="preserve">Inhibícia syntézy prostaglandínov môže nepriaznivo ovplyvňovať graviditu a/alebo vývoj embrya alebo plodu. Údaje z epidemiologických štúdií naznačujú zvýšené riziko spontánneho potratu, malformácií srdca a gastroschízy po používaní inhibítorov syntézy prostaglandínov v začiatkoch gravidity. </w:t>
      </w:r>
      <w:r>
        <w:rPr>
          <w:sz w:val="22"/>
          <w:szCs w:val="22"/>
          <w:lang w:eastAsia="cs-CZ"/>
        </w:rPr>
        <w:t>Predpokladá sa, že riziko sa zvyšuje s dávkou a trvaním liečby. U zvierat sa preukázalo, že podávanie inhibítora syntézy prostaglandínov spôsobuje zvýšenie pre- a postimplantačnej straty a embryo-fetálnej letality. Okrem toho sa u zvierat, ktoré dostávali počas organogenézy inhibítor syntézy prostaglandínov, zaznamenala zvýšená incidencia rôznych malformácií, vrátane kardiovaskulárnych.</w:t>
      </w:r>
    </w:p>
    <w:p w:rsidR="00467218" w:rsidRPr="004A7288" w:rsidRDefault="00082C3B" w:rsidP="00005545">
      <w:pPr>
        <w:spacing w:after="0"/>
        <w:jc w:val="left"/>
        <w:rPr>
          <w:sz w:val="22"/>
          <w:szCs w:val="22"/>
        </w:rPr>
      </w:pPr>
      <w:r>
        <w:rPr>
          <w:sz w:val="22"/>
          <w:szCs w:val="22"/>
        </w:rPr>
        <w:t xml:space="preserve"> </w:t>
      </w:r>
    </w:p>
    <w:p w:rsidR="00467218" w:rsidRPr="004A7288" w:rsidRDefault="00082C3B" w:rsidP="00005545">
      <w:pPr>
        <w:spacing w:after="0"/>
        <w:jc w:val="left"/>
        <w:rPr>
          <w:sz w:val="22"/>
          <w:szCs w:val="22"/>
        </w:rPr>
      </w:pPr>
      <w:r>
        <w:rPr>
          <w:sz w:val="22"/>
          <w:szCs w:val="22"/>
        </w:rPr>
        <w:t xml:space="preserve">Ak to nie je nevyhnutné, </w:t>
      </w:r>
      <w:r w:rsidR="008D3117">
        <w:rPr>
          <w:sz w:val="22"/>
          <w:szCs w:val="22"/>
        </w:rPr>
        <w:t>ibuprofén</w:t>
      </w:r>
      <w:r>
        <w:rPr>
          <w:sz w:val="22"/>
          <w:szCs w:val="22"/>
        </w:rPr>
        <w:t xml:space="preserve"> sa nemá podávať počas prvého a druhého trimestra gravidity. Ak </w:t>
      </w:r>
      <w:r w:rsidR="008D3117">
        <w:rPr>
          <w:sz w:val="22"/>
          <w:szCs w:val="22"/>
        </w:rPr>
        <w:t>ibuprofén</w:t>
      </w:r>
      <w:r>
        <w:rPr>
          <w:sz w:val="22"/>
          <w:szCs w:val="22"/>
        </w:rPr>
        <w:t xml:space="preserve"> užíva žena, ktorá sa snaží otehotnieť alebo žena v prvom alebo druhom trimestri gravidity, je nutné, aby užívala čo najnižšie dávky a aby liečba trvala čo najkratšie.</w:t>
      </w:r>
    </w:p>
    <w:p w:rsidR="00467218" w:rsidRPr="004A7288" w:rsidRDefault="00467218" w:rsidP="00005545">
      <w:pPr>
        <w:spacing w:after="0"/>
        <w:jc w:val="left"/>
        <w:rPr>
          <w:sz w:val="22"/>
          <w:szCs w:val="22"/>
        </w:rPr>
      </w:pPr>
    </w:p>
    <w:p w:rsidR="00467218" w:rsidRPr="004A7288" w:rsidRDefault="00082C3B" w:rsidP="00005545">
      <w:pPr>
        <w:spacing w:after="0"/>
        <w:jc w:val="left"/>
        <w:rPr>
          <w:sz w:val="22"/>
          <w:szCs w:val="22"/>
        </w:rPr>
      </w:pPr>
      <w:r>
        <w:rPr>
          <w:sz w:val="22"/>
          <w:szCs w:val="22"/>
        </w:rPr>
        <w:t>V priebehu tretieho trimestra gravidity môžu všetky inhibítory syntézy prostaglandínov vystaviť plod nasledujúcim stavom:</w:t>
      </w:r>
    </w:p>
    <w:p w:rsidR="00467218" w:rsidRPr="004A7288" w:rsidRDefault="00082C3B" w:rsidP="00005545">
      <w:pPr>
        <w:pStyle w:val="Odsekzoznamu"/>
        <w:numPr>
          <w:ilvl w:val="0"/>
          <w:numId w:val="4"/>
        </w:numPr>
        <w:spacing w:after="0"/>
        <w:jc w:val="left"/>
        <w:rPr>
          <w:sz w:val="22"/>
          <w:szCs w:val="22"/>
        </w:rPr>
      </w:pPr>
      <w:r>
        <w:rPr>
          <w:sz w:val="22"/>
          <w:szCs w:val="22"/>
        </w:rPr>
        <w:t>kardiopulmonálnej toxicite (s predčasným uzáverom ductus arteriosus a pulmonálnou hypertenziou);</w:t>
      </w:r>
    </w:p>
    <w:p w:rsidR="00B76DF5" w:rsidRPr="004A7288" w:rsidRDefault="00082C3B" w:rsidP="00005545">
      <w:pPr>
        <w:pStyle w:val="Odsekzoznamu"/>
        <w:numPr>
          <w:ilvl w:val="0"/>
          <w:numId w:val="4"/>
        </w:numPr>
        <w:spacing w:after="0"/>
        <w:jc w:val="left"/>
        <w:rPr>
          <w:sz w:val="22"/>
          <w:szCs w:val="22"/>
        </w:rPr>
      </w:pPr>
      <w:r>
        <w:rPr>
          <w:sz w:val="22"/>
          <w:szCs w:val="22"/>
        </w:rPr>
        <w:t>renálnej dysfunkcii, ktorá môže progredovať do zlyhania obličiek s oligohydramniónom;</w:t>
      </w:r>
    </w:p>
    <w:p w:rsidR="00467218" w:rsidRPr="004A7288" w:rsidRDefault="00082C3B" w:rsidP="003209BB">
      <w:pPr>
        <w:spacing w:after="0"/>
        <w:jc w:val="left"/>
        <w:rPr>
          <w:sz w:val="22"/>
          <w:szCs w:val="22"/>
        </w:rPr>
      </w:pPr>
      <w:r>
        <w:rPr>
          <w:sz w:val="22"/>
          <w:szCs w:val="22"/>
        </w:rPr>
        <w:t>matku a novorodenca, na konci gravidity:</w:t>
      </w:r>
    </w:p>
    <w:p w:rsidR="00467218" w:rsidRPr="004A7288" w:rsidRDefault="00082C3B" w:rsidP="00005545">
      <w:pPr>
        <w:pStyle w:val="Odsekzoznamu"/>
        <w:numPr>
          <w:ilvl w:val="0"/>
          <w:numId w:val="4"/>
        </w:numPr>
        <w:spacing w:after="0"/>
        <w:jc w:val="left"/>
        <w:rPr>
          <w:sz w:val="22"/>
          <w:szCs w:val="22"/>
        </w:rPr>
      </w:pPr>
      <w:r>
        <w:rPr>
          <w:bCs/>
          <w:iCs/>
          <w:sz w:val="22"/>
          <w:szCs w:val="22"/>
          <w:lang w:eastAsia="en-US"/>
        </w:rPr>
        <w:t>možnému predĺženiu času krvácania, antiagregačnému účinku, ktorý sa môže vyskytnúť dokonca aj pri veľmi nízkych dávkach</w:t>
      </w:r>
      <w:r>
        <w:rPr>
          <w:sz w:val="22"/>
          <w:szCs w:val="22"/>
        </w:rPr>
        <w:t>;</w:t>
      </w:r>
    </w:p>
    <w:p w:rsidR="00C631EC" w:rsidRPr="004A7288" w:rsidRDefault="00082C3B" w:rsidP="00005545">
      <w:pPr>
        <w:pStyle w:val="Odsekzoznamu"/>
        <w:numPr>
          <w:ilvl w:val="0"/>
          <w:numId w:val="4"/>
        </w:numPr>
        <w:spacing w:after="0"/>
        <w:jc w:val="left"/>
        <w:rPr>
          <w:sz w:val="22"/>
          <w:szCs w:val="22"/>
        </w:rPr>
      </w:pPr>
      <w:r>
        <w:rPr>
          <w:bCs/>
          <w:iCs/>
          <w:sz w:val="22"/>
          <w:szCs w:val="22"/>
          <w:lang w:eastAsia="en-US"/>
        </w:rPr>
        <w:t>inhibícii kontrakcií maternice, ktoré majú za následok oneskorený alebo predĺžený pôrod</w:t>
      </w:r>
      <w:r>
        <w:rPr>
          <w:sz w:val="22"/>
          <w:szCs w:val="22"/>
        </w:rPr>
        <w:t xml:space="preserve">. </w:t>
      </w:r>
    </w:p>
    <w:p w:rsidR="00766C6E" w:rsidRPr="004A7288" w:rsidRDefault="00766C6E" w:rsidP="00194B27">
      <w:pPr>
        <w:spacing w:after="0"/>
        <w:jc w:val="left"/>
        <w:rPr>
          <w:sz w:val="22"/>
          <w:szCs w:val="22"/>
        </w:rPr>
      </w:pPr>
    </w:p>
    <w:p w:rsidR="00467218" w:rsidRPr="004A7288" w:rsidRDefault="00082C3B" w:rsidP="00194B27">
      <w:pPr>
        <w:spacing w:after="0"/>
        <w:jc w:val="left"/>
        <w:rPr>
          <w:sz w:val="22"/>
          <w:szCs w:val="22"/>
        </w:rPr>
      </w:pPr>
      <w:r>
        <w:rPr>
          <w:sz w:val="22"/>
          <w:szCs w:val="22"/>
          <w:lang w:eastAsia="cs-CZ"/>
        </w:rPr>
        <w:t xml:space="preserve">V dôsledku toho je </w:t>
      </w:r>
      <w:r w:rsidR="008D3117">
        <w:rPr>
          <w:sz w:val="22"/>
          <w:szCs w:val="22"/>
          <w:lang w:eastAsia="cs-CZ"/>
        </w:rPr>
        <w:t>ibuprofén</w:t>
      </w:r>
      <w:r>
        <w:rPr>
          <w:sz w:val="22"/>
          <w:szCs w:val="22"/>
          <w:lang w:eastAsia="cs-CZ"/>
        </w:rPr>
        <w:t xml:space="preserve"> kontraindikovaný počas tretieho trimestra gravidity.</w:t>
      </w:r>
    </w:p>
    <w:p w:rsidR="00467218" w:rsidRPr="004A7288" w:rsidRDefault="00467218" w:rsidP="00005545">
      <w:pPr>
        <w:spacing w:after="0"/>
        <w:jc w:val="left"/>
        <w:rPr>
          <w:sz w:val="22"/>
          <w:szCs w:val="22"/>
        </w:rPr>
      </w:pPr>
    </w:p>
    <w:p w:rsidR="00467218" w:rsidRPr="004A7288" w:rsidRDefault="00082C3B" w:rsidP="00005545">
      <w:pPr>
        <w:spacing w:after="0"/>
        <w:jc w:val="left"/>
        <w:rPr>
          <w:sz w:val="22"/>
          <w:szCs w:val="22"/>
          <w:u w:val="single"/>
        </w:rPr>
      </w:pPr>
      <w:r>
        <w:rPr>
          <w:sz w:val="22"/>
          <w:szCs w:val="22"/>
          <w:u w:val="single"/>
        </w:rPr>
        <w:t>Dojčenie</w:t>
      </w:r>
    </w:p>
    <w:p w:rsidR="00467218" w:rsidRPr="004A7288" w:rsidRDefault="00082C3B" w:rsidP="00005545">
      <w:pPr>
        <w:spacing w:after="0"/>
        <w:jc w:val="left"/>
        <w:rPr>
          <w:sz w:val="22"/>
          <w:szCs w:val="22"/>
        </w:rPr>
      </w:pPr>
      <w:r>
        <w:rPr>
          <w:sz w:val="22"/>
          <w:szCs w:val="22"/>
          <w:lang w:eastAsia="cs-CZ"/>
        </w:rPr>
        <w:t xml:space="preserve">Len malé množstvá </w:t>
      </w:r>
      <w:r w:rsidR="008D3117">
        <w:rPr>
          <w:sz w:val="22"/>
          <w:szCs w:val="22"/>
          <w:lang w:eastAsia="cs-CZ"/>
        </w:rPr>
        <w:t>ibuprofénu</w:t>
      </w:r>
      <w:r>
        <w:rPr>
          <w:sz w:val="22"/>
          <w:szCs w:val="22"/>
          <w:lang w:eastAsia="cs-CZ"/>
        </w:rPr>
        <w:t xml:space="preserve"> a jeho metabolitov prechádzajú do materského mlieka. Pretože nie sú doposiaľ známe žiadne škodlivé účinky na dieťa, počas krátkodobého užívania </w:t>
      </w:r>
      <w:r w:rsidR="008D3117">
        <w:rPr>
          <w:sz w:val="22"/>
          <w:szCs w:val="22"/>
          <w:lang w:eastAsia="cs-CZ"/>
        </w:rPr>
        <w:t>ibuprofénu</w:t>
      </w:r>
      <w:r>
        <w:rPr>
          <w:sz w:val="22"/>
          <w:szCs w:val="22"/>
          <w:lang w:eastAsia="cs-CZ"/>
        </w:rPr>
        <w:t xml:space="preserve"> v odporúčaných dávkach nie je zvyčajne potrebné prerušiť dojčenie.</w:t>
      </w:r>
    </w:p>
    <w:p w:rsidR="00467218" w:rsidRPr="004A7288" w:rsidRDefault="00467218" w:rsidP="00005545">
      <w:pPr>
        <w:spacing w:after="0"/>
        <w:jc w:val="left"/>
        <w:rPr>
          <w:sz w:val="22"/>
          <w:szCs w:val="22"/>
        </w:rPr>
      </w:pPr>
    </w:p>
    <w:p w:rsidR="00766C6E" w:rsidRPr="004A7288" w:rsidRDefault="00082C3B" w:rsidP="00766C6E">
      <w:pPr>
        <w:rPr>
          <w:sz w:val="22"/>
          <w:szCs w:val="22"/>
          <w:u w:val="single"/>
        </w:rPr>
      </w:pPr>
      <w:r>
        <w:rPr>
          <w:sz w:val="22"/>
          <w:szCs w:val="22"/>
          <w:u w:val="single"/>
        </w:rPr>
        <w:t xml:space="preserve">Fertilita </w:t>
      </w:r>
    </w:p>
    <w:p w:rsidR="00467218" w:rsidRPr="004A7288" w:rsidRDefault="00082C3B" w:rsidP="00766C6E">
      <w:pPr>
        <w:spacing w:after="0"/>
        <w:jc w:val="left"/>
        <w:rPr>
          <w:sz w:val="22"/>
          <w:szCs w:val="22"/>
        </w:rPr>
      </w:pPr>
      <w:r>
        <w:rPr>
          <w:spacing w:val="-4"/>
          <w:sz w:val="22"/>
          <w:szCs w:val="22"/>
        </w:rPr>
        <w:t>Existuje dôkaz, že lieky, ktoré inhibujú cyklooxygenázu/syntézu prostaglandínov môžu mať negatívny vplyv na plodnosť žien vzhľadom na ich účinok na ovuláciu. Tento účinok je reverzibilný po prerušení liečby</w:t>
      </w:r>
      <w:r>
        <w:rPr>
          <w:sz w:val="22"/>
          <w:szCs w:val="22"/>
        </w:rPr>
        <w:t>.</w:t>
      </w:r>
    </w:p>
    <w:p w:rsidR="00B76DF5" w:rsidRPr="004A7288" w:rsidRDefault="00B76DF5" w:rsidP="00005545">
      <w:pPr>
        <w:spacing w:after="0"/>
        <w:jc w:val="left"/>
        <w:rPr>
          <w:sz w:val="22"/>
          <w:szCs w:val="22"/>
        </w:rPr>
      </w:pPr>
    </w:p>
    <w:p w:rsidR="00467218" w:rsidRPr="004A7288" w:rsidRDefault="00082C3B" w:rsidP="00005545">
      <w:pPr>
        <w:spacing w:after="0"/>
        <w:jc w:val="left"/>
        <w:rPr>
          <w:b/>
          <w:sz w:val="22"/>
          <w:szCs w:val="22"/>
        </w:rPr>
      </w:pPr>
      <w:r>
        <w:rPr>
          <w:b/>
          <w:sz w:val="22"/>
          <w:szCs w:val="22"/>
        </w:rPr>
        <w:t>4.7</w:t>
      </w:r>
      <w:r>
        <w:rPr>
          <w:b/>
          <w:sz w:val="22"/>
          <w:szCs w:val="22"/>
        </w:rPr>
        <w:tab/>
      </w:r>
      <w:r>
        <w:rPr>
          <w:b/>
          <w:bCs/>
          <w:sz w:val="22"/>
          <w:szCs w:val="22"/>
        </w:rPr>
        <w:t>Ovplyvnenie schopnosti viesť vozidlá a obsluhovať stroje</w:t>
      </w:r>
    </w:p>
    <w:p w:rsidR="00005545" w:rsidRPr="004A7288" w:rsidRDefault="00005545" w:rsidP="00005545">
      <w:pPr>
        <w:spacing w:after="0"/>
        <w:jc w:val="left"/>
        <w:rPr>
          <w:sz w:val="22"/>
          <w:szCs w:val="22"/>
        </w:rPr>
      </w:pPr>
    </w:p>
    <w:p w:rsidR="00467218" w:rsidRPr="004A7288" w:rsidRDefault="00082C3B" w:rsidP="00005545">
      <w:pPr>
        <w:spacing w:after="0"/>
        <w:jc w:val="left"/>
        <w:rPr>
          <w:sz w:val="22"/>
          <w:szCs w:val="22"/>
        </w:rPr>
      </w:pPr>
      <w:r>
        <w:rPr>
          <w:sz w:val="22"/>
          <w:szCs w:val="22"/>
        </w:rPr>
        <w:t>Pri krátkodobom užívaní tento liek nemá žiadny alebo má zanedbateľný vplyv na schopnosť viesť vozidlá a obsluhovať stroje.</w:t>
      </w:r>
    </w:p>
    <w:p w:rsidR="00B76DF5" w:rsidRPr="004A7288" w:rsidRDefault="00B76DF5" w:rsidP="00005545">
      <w:pPr>
        <w:spacing w:after="0"/>
        <w:jc w:val="left"/>
        <w:rPr>
          <w:sz w:val="22"/>
          <w:szCs w:val="22"/>
        </w:rPr>
      </w:pPr>
    </w:p>
    <w:p w:rsidR="00467218" w:rsidRPr="004A7288" w:rsidRDefault="00082C3B" w:rsidP="00005545">
      <w:pPr>
        <w:spacing w:after="0"/>
        <w:jc w:val="left"/>
        <w:rPr>
          <w:b/>
          <w:sz w:val="22"/>
          <w:szCs w:val="22"/>
        </w:rPr>
      </w:pPr>
      <w:r>
        <w:rPr>
          <w:b/>
          <w:sz w:val="22"/>
          <w:szCs w:val="22"/>
        </w:rPr>
        <w:t>4.8</w:t>
      </w:r>
      <w:r>
        <w:rPr>
          <w:b/>
          <w:sz w:val="22"/>
          <w:szCs w:val="22"/>
        </w:rPr>
        <w:tab/>
      </w:r>
      <w:r>
        <w:rPr>
          <w:b/>
          <w:bCs/>
          <w:sz w:val="22"/>
          <w:szCs w:val="22"/>
        </w:rPr>
        <w:t>Nežiaduce účinky</w:t>
      </w:r>
    </w:p>
    <w:p w:rsidR="00005545" w:rsidRPr="004A7288" w:rsidRDefault="00005545" w:rsidP="00005545">
      <w:pPr>
        <w:spacing w:after="0"/>
        <w:jc w:val="left"/>
        <w:rPr>
          <w:sz w:val="22"/>
          <w:szCs w:val="22"/>
        </w:rPr>
      </w:pPr>
    </w:p>
    <w:p w:rsidR="00467218" w:rsidRPr="004A7288" w:rsidRDefault="00082C3B" w:rsidP="00005545">
      <w:pPr>
        <w:spacing w:after="0"/>
        <w:jc w:val="left"/>
        <w:rPr>
          <w:sz w:val="22"/>
          <w:szCs w:val="22"/>
        </w:rPr>
      </w:pPr>
      <w:r>
        <w:rPr>
          <w:bCs/>
          <w:sz w:val="22"/>
          <w:szCs w:val="22"/>
        </w:rPr>
        <w:t>Pri hodnotení nežiaducich účinkov sa ako základ použili nasledujúce frekvencie</w:t>
      </w:r>
      <w:r>
        <w:rPr>
          <w:sz w:val="22"/>
          <w:szCs w:val="22"/>
        </w:rPr>
        <w:t>:</w:t>
      </w:r>
    </w:p>
    <w:p w:rsidR="00467218" w:rsidRPr="004A7288" w:rsidRDefault="00467218" w:rsidP="00005545">
      <w:pPr>
        <w:spacing w:after="0"/>
        <w:jc w:val="left"/>
        <w:rPr>
          <w:sz w:val="22"/>
          <w:szCs w:val="22"/>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09"/>
        <w:gridCol w:w="4820"/>
      </w:tblGrid>
      <w:tr w:rsidR="00B76DF5" w:rsidRPr="004A7288" w:rsidTr="00B76DF5">
        <w:tc>
          <w:tcPr>
            <w:tcW w:w="1809" w:type="dxa"/>
          </w:tcPr>
          <w:p w:rsidR="00B76DF5" w:rsidRPr="004A7288" w:rsidRDefault="00082C3B" w:rsidP="00B23F1D">
            <w:pPr>
              <w:spacing w:after="0"/>
              <w:jc w:val="left"/>
              <w:rPr>
                <w:sz w:val="22"/>
                <w:szCs w:val="22"/>
              </w:rPr>
            </w:pPr>
            <w:r>
              <w:rPr>
                <w:sz w:val="22"/>
                <w:szCs w:val="22"/>
              </w:rPr>
              <w:t>Veľmi časté:</w:t>
            </w:r>
          </w:p>
        </w:tc>
        <w:tc>
          <w:tcPr>
            <w:tcW w:w="4820" w:type="dxa"/>
          </w:tcPr>
          <w:p w:rsidR="00B76DF5" w:rsidRPr="004A7288" w:rsidRDefault="00082C3B" w:rsidP="00005545">
            <w:pPr>
              <w:spacing w:after="0"/>
              <w:jc w:val="left"/>
              <w:rPr>
                <w:sz w:val="22"/>
                <w:szCs w:val="22"/>
              </w:rPr>
            </w:pPr>
            <w:r>
              <w:rPr>
                <w:sz w:val="22"/>
                <w:szCs w:val="22"/>
              </w:rPr>
              <w:t>≥ 1/10</w:t>
            </w:r>
          </w:p>
        </w:tc>
      </w:tr>
      <w:tr w:rsidR="00B76DF5" w:rsidRPr="004A7288" w:rsidTr="00B76DF5">
        <w:tc>
          <w:tcPr>
            <w:tcW w:w="1809" w:type="dxa"/>
          </w:tcPr>
          <w:p w:rsidR="00B76DF5" w:rsidRPr="004A7288" w:rsidRDefault="00B23F1D" w:rsidP="00005545">
            <w:pPr>
              <w:spacing w:after="0"/>
              <w:jc w:val="left"/>
              <w:rPr>
                <w:sz w:val="22"/>
                <w:szCs w:val="22"/>
              </w:rPr>
            </w:pPr>
            <w:r w:rsidRPr="004A7288">
              <w:rPr>
                <w:sz w:val="22"/>
                <w:szCs w:val="22"/>
              </w:rPr>
              <w:t>Časté</w:t>
            </w:r>
            <w:r w:rsidR="00082C3B">
              <w:rPr>
                <w:sz w:val="22"/>
                <w:szCs w:val="22"/>
              </w:rPr>
              <w:t>:</w:t>
            </w:r>
          </w:p>
        </w:tc>
        <w:tc>
          <w:tcPr>
            <w:tcW w:w="4820" w:type="dxa"/>
          </w:tcPr>
          <w:p w:rsidR="00B76DF5" w:rsidRPr="004A7288" w:rsidRDefault="00082C3B" w:rsidP="00D377C0">
            <w:pPr>
              <w:spacing w:after="0"/>
              <w:jc w:val="left"/>
              <w:rPr>
                <w:sz w:val="22"/>
                <w:szCs w:val="22"/>
              </w:rPr>
            </w:pPr>
            <w:r>
              <w:rPr>
                <w:sz w:val="22"/>
                <w:szCs w:val="22"/>
              </w:rPr>
              <w:t>≥ 1/100 až &lt; 1/10</w:t>
            </w:r>
          </w:p>
        </w:tc>
      </w:tr>
      <w:tr w:rsidR="00B76DF5" w:rsidRPr="004A7288" w:rsidTr="00B76DF5">
        <w:tc>
          <w:tcPr>
            <w:tcW w:w="1809" w:type="dxa"/>
          </w:tcPr>
          <w:p w:rsidR="00B76DF5" w:rsidRPr="004A7288" w:rsidRDefault="00B23F1D" w:rsidP="00005545">
            <w:pPr>
              <w:spacing w:after="0"/>
              <w:jc w:val="left"/>
              <w:rPr>
                <w:sz w:val="22"/>
                <w:szCs w:val="22"/>
              </w:rPr>
            </w:pPr>
            <w:r w:rsidRPr="004A7288">
              <w:rPr>
                <w:sz w:val="22"/>
                <w:szCs w:val="22"/>
              </w:rPr>
              <w:t>Menej časté</w:t>
            </w:r>
            <w:r w:rsidR="00082C3B">
              <w:rPr>
                <w:sz w:val="22"/>
                <w:szCs w:val="22"/>
              </w:rPr>
              <w:t>:</w:t>
            </w:r>
          </w:p>
        </w:tc>
        <w:tc>
          <w:tcPr>
            <w:tcW w:w="4820" w:type="dxa"/>
          </w:tcPr>
          <w:p w:rsidR="00B76DF5" w:rsidRPr="004A7288" w:rsidRDefault="00082C3B" w:rsidP="00D377C0">
            <w:pPr>
              <w:spacing w:after="0"/>
              <w:jc w:val="left"/>
              <w:rPr>
                <w:sz w:val="22"/>
                <w:szCs w:val="22"/>
              </w:rPr>
            </w:pPr>
            <w:r>
              <w:rPr>
                <w:sz w:val="22"/>
                <w:szCs w:val="22"/>
              </w:rPr>
              <w:t>≥ 1/1 000 až &lt; 1/100</w:t>
            </w:r>
          </w:p>
        </w:tc>
      </w:tr>
      <w:tr w:rsidR="00B76DF5" w:rsidRPr="004A7288" w:rsidTr="00B76DF5">
        <w:tc>
          <w:tcPr>
            <w:tcW w:w="1809" w:type="dxa"/>
          </w:tcPr>
          <w:p w:rsidR="00B76DF5" w:rsidRPr="004A7288" w:rsidRDefault="00B23F1D" w:rsidP="00005545">
            <w:pPr>
              <w:spacing w:after="0"/>
              <w:jc w:val="left"/>
              <w:rPr>
                <w:sz w:val="22"/>
                <w:szCs w:val="22"/>
              </w:rPr>
            </w:pPr>
            <w:r w:rsidRPr="004A7288">
              <w:rPr>
                <w:sz w:val="22"/>
                <w:szCs w:val="22"/>
              </w:rPr>
              <w:t>Zriedkavé</w:t>
            </w:r>
            <w:r w:rsidR="00082C3B">
              <w:rPr>
                <w:sz w:val="22"/>
                <w:szCs w:val="22"/>
              </w:rPr>
              <w:t>:</w:t>
            </w:r>
          </w:p>
        </w:tc>
        <w:tc>
          <w:tcPr>
            <w:tcW w:w="4820" w:type="dxa"/>
          </w:tcPr>
          <w:p w:rsidR="00B76DF5" w:rsidRPr="004A7288" w:rsidRDefault="00082C3B" w:rsidP="00D377C0">
            <w:pPr>
              <w:spacing w:after="0"/>
              <w:jc w:val="left"/>
              <w:rPr>
                <w:sz w:val="22"/>
                <w:szCs w:val="22"/>
              </w:rPr>
            </w:pPr>
            <w:r>
              <w:rPr>
                <w:sz w:val="22"/>
                <w:szCs w:val="22"/>
              </w:rPr>
              <w:t>≥ 1/10 000 až &lt; 1/1 000</w:t>
            </w:r>
          </w:p>
        </w:tc>
      </w:tr>
      <w:tr w:rsidR="00B76DF5" w:rsidRPr="004A7288" w:rsidTr="00B76DF5">
        <w:tc>
          <w:tcPr>
            <w:tcW w:w="1809" w:type="dxa"/>
          </w:tcPr>
          <w:p w:rsidR="00B76DF5" w:rsidRPr="004A7288" w:rsidRDefault="00B23F1D" w:rsidP="00005545">
            <w:pPr>
              <w:spacing w:after="0"/>
              <w:jc w:val="left"/>
              <w:rPr>
                <w:sz w:val="22"/>
                <w:szCs w:val="22"/>
              </w:rPr>
            </w:pPr>
            <w:r w:rsidRPr="004A7288">
              <w:rPr>
                <w:sz w:val="22"/>
                <w:szCs w:val="22"/>
              </w:rPr>
              <w:t>Veľmi zriedkavé</w:t>
            </w:r>
            <w:r w:rsidR="00082C3B">
              <w:rPr>
                <w:sz w:val="22"/>
                <w:szCs w:val="22"/>
              </w:rPr>
              <w:t>:</w:t>
            </w:r>
          </w:p>
        </w:tc>
        <w:tc>
          <w:tcPr>
            <w:tcW w:w="4820" w:type="dxa"/>
          </w:tcPr>
          <w:p w:rsidR="00B76DF5" w:rsidRPr="004A7288" w:rsidRDefault="00082C3B" w:rsidP="006C7E11">
            <w:pPr>
              <w:spacing w:after="0"/>
              <w:jc w:val="left"/>
              <w:rPr>
                <w:sz w:val="22"/>
                <w:szCs w:val="22"/>
              </w:rPr>
            </w:pPr>
            <w:r>
              <w:rPr>
                <w:sz w:val="22"/>
                <w:szCs w:val="22"/>
              </w:rPr>
              <w:t>&lt; 1/10 000</w:t>
            </w:r>
          </w:p>
        </w:tc>
      </w:tr>
      <w:tr w:rsidR="00B76DF5" w:rsidRPr="004A7288" w:rsidTr="00B76DF5">
        <w:tc>
          <w:tcPr>
            <w:tcW w:w="1809" w:type="dxa"/>
          </w:tcPr>
          <w:p w:rsidR="00B76DF5" w:rsidRPr="004A7288" w:rsidRDefault="00EE214F" w:rsidP="00005545">
            <w:pPr>
              <w:spacing w:after="0"/>
              <w:jc w:val="left"/>
              <w:rPr>
                <w:sz w:val="22"/>
                <w:szCs w:val="22"/>
              </w:rPr>
            </w:pPr>
            <w:r w:rsidRPr="004A7288">
              <w:rPr>
                <w:sz w:val="22"/>
                <w:szCs w:val="22"/>
              </w:rPr>
              <w:t>N</w:t>
            </w:r>
            <w:r w:rsidR="00082C3B">
              <w:rPr>
                <w:sz w:val="22"/>
                <w:szCs w:val="22"/>
              </w:rPr>
              <w:t>eznáme:</w:t>
            </w:r>
          </w:p>
        </w:tc>
        <w:tc>
          <w:tcPr>
            <w:tcW w:w="4820" w:type="dxa"/>
          </w:tcPr>
          <w:p w:rsidR="00B76DF5" w:rsidRPr="004A7288" w:rsidRDefault="00082C3B" w:rsidP="00375189">
            <w:pPr>
              <w:spacing w:after="0"/>
              <w:jc w:val="left"/>
              <w:rPr>
                <w:sz w:val="22"/>
                <w:szCs w:val="22"/>
              </w:rPr>
            </w:pPr>
            <w:r>
              <w:rPr>
                <w:iCs/>
                <w:sz w:val="22"/>
                <w:szCs w:val="22"/>
              </w:rPr>
              <w:t>z dostupných údajov</w:t>
            </w:r>
          </w:p>
        </w:tc>
      </w:tr>
    </w:tbl>
    <w:p w:rsidR="00467218" w:rsidRPr="004A7288" w:rsidRDefault="00467218" w:rsidP="00005545">
      <w:pPr>
        <w:spacing w:after="0"/>
        <w:jc w:val="left"/>
        <w:rPr>
          <w:sz w:val="22"/>
          <w:szCs w:val="22"/>
        </w:rPr>
      </w:pPr>
    </w:p>
    <w:p w:rsidR="00467218" w:rsidRPr="004A7288" w:rsidRDefault="00082C3B" w:rsidP="00005545">
      <w:pPr>
        <w:spacing w:after="0"/>
        <w:jc w:val="left"/>
        <w:rPr>
          <w:sz w:val="22"/>
          <w:szCs w:val="22"/>
        </w:rPr>
      </w:pPr>
      <w:r>
        <w:rPr>
          <w:bCs/>
          <w:sz w:val="22"/>
          <w:szCs w:val="22"/>
        </w:rPr>
        <w:t xml:space="preserve">Zoznam nasledujúcich nežiaducich účinkov pozostáva zo všetkých nežiaducich účinkov, ktoré sa objavili počas liečby </w:t>
      </w:r>
      <w:r w:rsidR="008D3117">
        <w:rPr>
          <w:bCs/>
          <w:sz w:val="22"/>
          <w:szCs w:val="22"/>
        </w:rPr>
        <w:t>ibuprofénom</w:t>
      </w:r>
      <w:r>
        <w:rPr>
          <w:bCs/>
          <w:sz w:val="22"/>
          <w:szCs w:val="22"/>
        </w:rPr>
        <w:t xml:space="preserve">, aj tých, ktoré sa vyskytovali pri vysoko dávkovej dlhodobej liečbe u pacientov s reumatizmom. Uvedené frekvencie, ktoré siahajú až za veľmi zriedkavé hlásenia, sa </w:t>
      </w:r>
      <w:r>
        <w:rPr>
          <w:bCs/>
          <w:sz w:val="22"/>
          <w:szCs w:val="22"/>
        </w:rPr>
        <w:lastRenderedPageBreak/>
        <w:t xml:space="preserve">vzťahujú na krátkodobé používanie denných dávok až do maximálnej dávky 1 200 mg </w:t>
      </w:r>
      <w:r w:rsidR="008D3117">
        <w:rPr>
          <w:bCs/>
          <w:sz w:val="22"/>
          <w:szCs w:val="22"/>
        </w:rPr>
        <w:t>ibuprofénu</w:t>
      </w:r>
      <w:r>
        <w:rPr>
          <w:bCs/>
          <w:sz w:val="22"/>
          <w:szCs w:val="22"/>
        </w:rPr>
        <w:t xml:space="preserve"> vo forme perorálnych liekových foriem a maximálne 1 800 mg pre čapíky (= 30 ml perorálnej suspenzie </w:t>
      </w:r>
      <w:r>
        <w:rPr>
          <w:sz w:val="22"/>
          <w:szCs w:val="22"/>
        </w:rPr>
        <w:t xml:space="preserve">Ibalginu Junior </w:t>
      </w:r>
      <w:r>
        <w:rPr>
          <w:bCs/>
          <w:sz w:val="22"/>
          <w:szCs w:val="22"/>
        </w:rPr>
        <w:t>t.j. maximálnej dennej dávke pre dospelých a deti staršie ako 12 rokov).</w:t>
      </w:r>
    </w:p>
    <w:p w:rsidR="00467218" w:rsidRPr="004A7288" w:rsidRDefault="00467218" w:rsidP="00005545">
      <w:pPr>
        <w:spacing w:after="0"/>
        <w:jc w:val="left"/>
        <w:rPr>
          <w:sz w:val="22"/>
          <w:szCs w:val="22"/>
        </w:rPr>
      </w:pPr>
    </w:p>
    <w:p w:rsidR="00467218" w:rsidRPr="004A7288" w:rsidRDefault="00082C3B" w:rsidP="003B1735">
      <w:pPr>
        <w:spacing w:after="0"/>
        <w:jc w:val="left"/>
        <w:rPr>
          <w:sz w:val="22"/>
          <w:szCs w:val="22"/>
          <w:u w:val="single"/>
        </w:rPr>
      </w:pPr>
      <w:r>
        <w:rPr>
          <w:sz w:val="22"/>
          <w:szCs w:val="22"/>
          <w:u w:val="single"/>
        </w:rPr>
        <w:t>Infekcie a nákazy</w:t>
      </w:r>
    </w:p>
    <w:p w:rsidR="00EE214F" w:rsidRPr="004A7288" w:rsidRDefault="00082C3B" w:rsidP="00777BDB">
      <w:pPr>
        <w:spacing w:after="0"/>
        <w:jc w:val="left"/>
        <w:rPr>
          <w:bCs/>
          <w:iCs/>
          <w:sz w:val="22"/>
          <w:szCs w:val="22"/>
        </w:rPr>
      </w:pPr>
      <w:r>
        <w:rPr>
          <w:bCs/>
          <w:iCs/>
          <w:sz w:val="22"/>
          <w:szCs w:val="22"/>
        </w:rPr>
        <w:t>Exacerbácia zápalov v súvislosti s infekciou (napr. rozvoj nekrotizujúcich fasciitíd) sa veľmi zriedkavo zaznamenala pri používaní nesteroidných antiflogistík. To pravdepodobne súvisí s mechanizmom pôsobenia nesteroidných antiflogistík.</w:t>
      </w:r>
    </w:p>
    <w:p w:rsidR="00EE214F" w:rsidRPr="004A7288" w:rsidRDefault="00EE214F" w:rsidP="00777BDB">
      <w:pPr>
        <w:spacing w:after="0"/>
        <w:jc w:val="left"/>
        <w:rPr>
          <w:bCs/>
          <w:iCs/>
          <w:sz w:val="22"/>
          <w:szCs w:val="22"/>
        </w:rPr>
      </w:pPr>
    </w:p>
    <w:p w:rsidR="003B1735" w:rsidRPr="004A7288" w:rsidRDefault="00082C3B" w:rsidP="00777BDB">
      <w:pPr>
        <w:spacing w:after="0"/>
        <w:jc w:val="left"/>
        <w:rPr>
          <w:bCs/>
          <w:iCs/>
          <w:sz w:val="22"/>
          <w:szCs w:val="22"/>
        </w:rPr>
      </w:pPr>
      <w:r>
        <w:rPr>
          <w:bCs/>
          <w:iCs/>
          <w:sz w:val="22"/>
          <w:szCs w:val="22"/>
        </w:rPr>
        <w:t xml:space="preserve">Ak sa počas používania </w:t>
      </w:r>
      <w:r>
        <w:rPr>
          <w:sz w:val="22"/>
          <w:szCs w:val="22"/>
        </w:rPr>
        <w:t xml:space="preserve">Ibalginu Junior </w:t>
      </w:r>
      <w:r>
        <w:rPr>
          <w:bCs/>
          <w:iCs/>
          <w:sz w:val="22"/>
          <w:szCs w:val="22"/>
        </w:rPr>
        <w:t>objavia príznaky infekcie alebo sa zhoršia, pacientovi sa odporúča bez meškania navštíviť svojho lekára. Je potrebné vyšetriť, či to nie je indikácia na antiinfekčnú/antibiotickú liečbu.</w:t>
      </w:r>
    </w:p>
    <w:p w:rsidR="003B1735" w:rsidRPr="004A7288" w:rsidRDefault="003B1735" w:rsidP="00777BDB">
      <w:pPr>
        <w:spacing w:after="0"/>
        <w:jc w:val="left"/>
        <w:rPr>
          <w:bCs/>
          <w:iCs/>
          <w:sz w:val="22"/>
          <w:szCs w:val="22"/>
        </w:rPr>
      </w:pPr>
    </w:p>
    <w:p w:rsidR="00467218" w:rsidRPr="004A7288" w:rsidRDefault="00082C3B" w:rsidP="003B1735">
      <w:pPr>
        <w:spacing w:after="0"/>
        <w:jc w:val="left"/>
        <w:rPr>
          <w:sz w:val="22"/>
          <w:szCs w:val="22"/>
        </w:rPr>
      </w:pPr>
      <w:r>
        <w:rPr>
          <w:bCs/>
          <w:iCs/>
          <w:sz w:val="22"/>
          <w:szCs w:val="22"/>
        </w:rPr>
        <w:t>Príznaky aseptickej meningitídy so stuhnutosťou šije, bolesťou hlavy, nauzeou, vracaním, horúčkou alebo zahmleným vedomím sa pozorovali pri ibuprof</w:t>
      </w:r>
      <w:r w:rsidR="008D3117">
        <w:rPr>
          <w:bCs/>
          <w:iCs/>
          <w:sz w:val="22"/>
          <w:szCs w:val="22"/>
        </w:rPr>
        <w:t>é</w:t>
      </w:r>
      <w:r>
        <w:rPr>
          <w:bCs/>
          <w:iCs/>
          <w:sz w:val="22"/>
          <w:szCs w:val="22"/>
        </w:rPr>
        <w:t>ne veľmi zriedkavo. Zdá sa, že pacienti s autoimúnnymi poruchami (SLE, zmiešané ochorenie spojivového tkaniva) sú náchylnejší.</w:t>
      </w:r>
    </w:p>
    <w:p w:rsidR="00467218" w:rsidRPr="004A7288" w:rsidRDefault="00467218" w:rsidP="00005545">
      <w:pPr>
        <w:spacing w:after="0"/>
        <w:jc w:val="left"/>
        <w:rPr>
          <w:sz w:val="22"/>
          <w:szCs w:val="22"/>
        </w:rPr>
      </w:pPr>
    </w:p>
    <w:p w:rsidR="00467218" w:rsidRPr="004A7288" w:rsidRDefault="00082C3B" w:rsidP="00005545">
      <w:pPr>
        <w:spacing w:after="0"/>
        <w:jc w:val="left"/>
        <w:rPr>
          <w:sz w:val="22"/>
          <w:szCs w:val="22"/>
          <w:u w:val="single"/>
        </w:rPr>
      </w:pPr>
      <w:r>
        <w:rPr>
          <w:sz w:val="22"/>
          <w:szCs w:val="22"/>
          <w:u w:val="single"/>
        </w:rPr>
        <w:t>Poruchy krvi a lymfatického systému</w:t>
      </w:r>
    </w:p>
    <w:p w:rsidR="00467218" w:rsidRPr="004A7288" w:rsidRDefault="00082C3B" w:rsidP="00005545">
      <w:pPr>
        <w:spacing w:after="0"/>
        <w:jc w:val="left"/>
        <w:rPr>
          <w:i/>
          <w:sz w:val="22"/>
          <w:szCs w:val="22"/>
        </w:rPr>
      </w:pPr>
      <w:r>
        <w:rPr>
          <w:i/>
          <w:sz w:val="22"/>
          <w:szCs w:val="22"/>
        </w:rPr>
        <w:t>Veľmi zriedkavé:</w:t>
      </w:r>
    </w:p>
    <w:p w:rsidR="00467218" w:rsidRPr="004A7288" w:rsidRDefault="00082C3B" w:rsidP="00005545">
      <w:pPr>
        <w:spacing w:after="0"/>
        <w:jc w:val="left"/>
        <w:rPr>
          <w:sz w:val="22"/>
          <w:szCs w:val="22"/>
        </w:rPr>
      </w:pPr>
      <w:r>
        <w:rPr>
          <w:bCs/>
          <w:iCs/>
          <w:sz w:val="22"/>
          <w:szCs w:val="22"/>
        </w:rPr>
        <w:t>Hematopoetické poruchy (anémia, leukopénia, trombocytopénia, pancytopénia, agranulocytóza). Prvými príznakmi sú: horúčka, bolesť v krku, povrchové ranky v ústach, príznaky podobné chrípke, závažná vyčerpanosť, krvácanie z nosa a kože.</w:t>
      </w:r>
    </w:p>
    <w:p w:rsidR="00467218" w:rsidRPr="004A7288" w:rsidRDefault="00467218" w:rsidP="00005545">
      <w:pPr>
        <w:spacing w:after="0"/>
        <w:jc w:val="left"/>
        <w:rPr>
          <w:sz w:val="22"/>
          <w:szCs w:val="22"/>
        </w:rPr>
      </w:pPr>
    </w:p>
    <w:p w:rsidR="00467218" w:rsidRPr="004A7288" w:rsidRDefault="00082C3B" w:rsidP="003B1735">
      <w:pPr>
        <w:spacing w:after="0"/>
        <w:jc w:val="left"/>
        <w:rPr>
          <w:sz w:val="22"/>
          <w:szCs w:val="22"/>
          <w:u w:val="single"/>
        </w:rPr>
      </w:pPr>
      <w:r>
        <w:rPr>
          <w:sz w:val="22"/>
          <w:szCs w:val="22"/>
          <w:u w:val="single"/>
        </w:rPr>
        <w:t>Poruchy imunitného systému</w:t>
      </w:r>
    </w:p>
    <w:p w:rsidR="00467218" w:rsidRPr="004A7288" w:rsidRDefault="00082C3B" w:rsidP="003B1735">
      <w:pPr>
        <w:spacing w:after="0"/>
        <w:jc w:val="left"/>
        <w:rPr>
          <w:i/>
          <w:sz w:val="22"/>
          <w:szCs w:val="22"/>
        </w:rPr>
      </w:pPr>
      <w:r>
        <w:rPr>
          <w:i/>
          <w:sz w:val="22"/>
          <w:szCs w:val="22"/>
        </w:rPr>
        <w:t>Menej časté:</w:t>
      </w:r>
    </w:p>
    <w:p w:rsidR="003B1735" w:rsidRPr="004A7288" w:rsidRDefault="00082C3B" w:rsidP="00777BDB">
      <w:pPr>
        <w:spacing w:after="0"/>
        <w:jc w:val="left"/>
        <w:rPr>
          <w:bCs/>
          <w:iCs/>
          <w:sz w:val="22"/>
          <w:szCs w:val="22"/>
        </w:rPr>
      </w:pPr>
      <w:r>
        <w:rPr>
          <w:bCs/>
          <w:iCs/>
          <w:sz w:val="22"/>
          <w:szCs w:val="22"/>
        </w:rPr>
        <w:t>Hypersenzitívne reakcie s kožnými vyrážkami a svrbením, rovnako ako astmatické záchvaty (pravdepodobne s poklesom krvného tlaku).</w:t>
      </w:r>
    </w:p>
    <w:p w:rsidR="003B1735" w:rsidRPr="004A7288" w:rsidRDefault="003B1735" w:rsidP="00777BDB">
      <w:pPr>
        <w:spacing w:after="0"/>
        <w:jc w:val="left"/>
        <w:rPr>
          <w:bCs/>
          <w:iCs/>
          <w:sz w:val="22"/>
          <w:szCs w:val="22"/>
        </w:rPr>
      </w:pPr>
    </w:p>
    <w:p w:rsidR="00467218" w:rsidRPr="004A7288" w:rsidRDefault="00082C3B" w:rsidP="003B1735">
      <w:pPr>
        <w:spacing w:after="0"/>
        <w:jc w:val="left"/>
        <w:rPr>
          <w:sz w:val="22"/>
          <w:szCs w:val="22"/>
        </w:rPr>
      </w:pPr>
      <w:r>
        <w:rPr>
          <w:bCs/>
          <w:iCs/>
          <w:sz w:val="22"/>
          <w:szCs w:val="22"/>
        </w:rPr>
        <w:t xml:space="preserve">Pacienta je potrebné poučiť, aby v takomto prípade okamžite informoval svojho lekára a viac neužíval </w:t>
      </w:r>
      <w:r>
        <w:rPr>
          <w:sz w:val="22"/>
          <w:szCs w:val="22"/>
        </w:rPr>
        <w:t>Ibalgin Junior.</w:t>
      </w:r>
    </w:p>
    <w:p w:rsidR="00467218" w:rsidRPr="004A7288" w:rsidRDefault="00467218" w:rsidP="00005545">
      <w:pPr>
        <w:spacing w:after="0"/>
        <w:jc w:val="left"/>
        <w:rPr>
          <w:sz w:val="22"/>
          <w:szCs w:val="22"/>
        </w:rPr>
      </w:pPr>
    </w:p>
    <w:p w:rsidR="00467218" w:rsidRPr="004A7288" w:rsidRDefault="00082C3B" w:rsidP="00005545">
      <w:pPr>
        <w:spacing w:after="0"/>
        <w:jc w:val="left"/>
        <w:rPr>
          <w:i/>
          <w:sz w:val="22"/>
          <w:szCs w:val="22"/>
        </w:rPr>
      </w:pPr>
      <w:r>
        <w:rPr>
          <w:i/>
          <w:sz w:val="22"/>
          <w:szCs w:val="22"/>
        </w:rPr>
        <w:t>Veľmi zriedkavé:</w:t>
      </w:r>
    </w:p>
    <w:p w:rsidR="00E168F1" w:rsidRPr="004A7288" w:rsidRDefault="00082C3B" w:rsidP="00E168F1">
      <w:pPr>
        <w:spacing w:after="0"/>
        <w:jc w:val="left"/>
        <w:rPr>
          <w:bCs/>
          <w:iCs/>
          <w:sz w:val="22"/>
          <w:szCs w:val="22"/>
        </w:rPr>
      </w:pPr>
      <w:r>
        <w:rPr>
          <w:bCs/>
          <w:iCs/>
          <w:sz w:val="22"/>
          <w:szCs w:val="22"/>
        </w:rPr>
        <w:t>Závažné celkové hypersenzitívne reakcie. Môžu sa prejavovať ako edém tváre, opuch jazyka, opuch vnútorného hrtana so stiahnutím dýchacích ciest, respiračná tieseň, zrýchlený pulz, pokles krvného tlaku až na život ohrozujúci šok.</w:t>
      </w:r>
    </w:p>
    <w:p w:rsidR="00E168F1" w:rsidRPr="004A7288" w:rsidRDefault="00E168F1" w:rsidP="00E168F1">
      <w:pPr>
        <w:spacing w:after="0"/>
        <w:jc w:val="left"/>
        <w:rPr>
          <w:bCs/>
          <w:iCs/>
          <w:sz w:val="22"/>
          <w:szCs w:val="22"/>
        </w:rPr>
      </w:pPr>
    </w:p>
    <w:p w:rsidR="00467218" w:rsidRPr="004A7288" w:rsidRDefault="00082C3B" w:rsidP="00E168F1">
      <w:pPr>
        <w:spacing w:after="0"/>
        <w:jc w:val="left"/>
        <w:rPr>
          <w:sz w:val="22"/>
          <w:szCs w:val="22"/>
        </w:rPr>
      </w:pPr>
      <w:r>
        <w:rPr>
          <w:bCs/>
          <w:iCs/>
          <w:sz w:val="22"/>
          <w:szCs w:val="22"/>
        </w:rPr>
        <w:t>Ak sa vyskytne jeden z tých príznakov, ktorý sa môže objaviť dokonca už pri prvom užití, je nevyhnutná okamžitá pomoc lekára.</w:t>
      </w:r>
    </w:p>
    <w:p w:rsidR="00467218" w:rsidRPr="004A7288" w:rsidRDefault="00467218" w:rsidP="00E168F1">
      <w:pPr>
        <w:spacing w:after="0"/>
        <w:jc w:val="left"/>
        <w:rPr>
          <w:sz w:val="22"/>
          <w:szCs w:val="22"/>
        </w:rPr>
      </w:pPr>
    </w:p>
    <w:p w:rsidR="00467218" w:rsidRPr="004A7288" w:rsidRDefault="00082C3B" w:rsidP="00005545">
      <w:pPr>
        <w:spacing w:after="0"/>
        <w:jc w:val="left"/>
        <w:rPr>
          <w:sz w:val="22"/>
          <w:szCs w:val="22"/>
          <w:u w:val="single"/>
        </w:rPr>
      </w:pPr>
      <w:r>
        <w:rPr>
          <w:sz w:val="22"/>
          <w:szCs w:val="22"/>
          <w:u w:val="single"/>
        </w:rPr>
        <w:t>Psychické poruchy</w:t>
      </w:r>
    </w:p>
    <w:p w:rsidR="00467218" w:rsidRPr="004A7288" w:rsidRDefault="00082C3B" w:rsidP="00005545">
      <w:pPr>
        <w:spacing w:after="0"/>
        <w:jc w:val="left"/>
        <w:rPr>
          <w:i/>
          <w:sz w:val="22"/>
          <w:szCs w:val="22"/>
        </w:rPr>
      </w:pPr>
      <w:r>
        <w:rPr>
          <w:i/>
          <w:sz w:val="22"/>
          <w:szCs w:val="22"/>
        </w:rPr>
        <w:t>Veľmi zriedkavé:</w:t>
      </w:r>
    </w:p>
    <w:p w:rsidR="00467218" w:rsidRPr="004A7288" w:rsidRDefault="00082C3B" w:rsidP="00005545">
      <w:pPr>
        <w:spacing w:after="0"/>
        <w:jc w:val="left"/>
        <w:rPr>
          <w:sz w:val="22"/>
          <w:szCs w:val="22"/>
        </w:rPr>
      </w:pPr>
      <w:r>
        <w:rPr>
          <w:sz w:val="22"/>
          <w:szCs w:val="22"/>
        </w:rPr>
        <w:t>Psychotické reakcie, depresia.</w:t>
      </w:r>
    </w:p>
    <w:p w:rsidR="00467218" w:rsidRPr="004A7288" w:rsidRDefault="00467218" w:rsidP="00005545">
      <w:pPr>
        <w:spacing w:after="0"/>
        <w:jc w:val="left"/>
        <w:rPr>
          <w:sz w:val="22"/>
          <w:szCs w:val="22"/>
        </w:rPr>
      </w:pPr>
    </w:p>
    <w:p w:rsidR="00467218" w:rsidRPr="004A7288" w:rsidRDefault="00082C3B" w:rsidP="00005545">
      <w:pPr>
        <w:spacing w:after="0"/>
        <w:jc w:val="left"/>
        <w:rPr>
          <w:sz w:val="22"/>
          <w:szCs w:val="22"/>
          <w:u w:val="single"/>
        </w:rPr>
      </w:pPr>
      <w:r>
        <w:rPr>
          <w:sz w:val="22"/>
          <w:szCs w:val="22"/>
          <w:u w:val="single"/>
        </w:rPr>
        <w:t>Poruchy nervového systému</w:t>
      </w:r>
    </w:p>
    <w:p w:rsidR="00467218" w:rsidRPr="004A7288" w:rsidRDefault="00082C3B" w:rsidP="00005545">
      <w:pPr>
        <w:spacing w:after="0"/>
        <w:jc w:val="left"/>
        <w:rPr>
          <w:i/>
          <w:sz w:val="22"/>
          <w:szCs w:val="22"/>
        </w:rPr>
      </w:pPr>
      <w:r>
        <w:rPr>
          <w:i/>
          <w:sz w:val="22"/>
          <w:szCs w:val="22"/>
        </w:rPr>
        <w:t>Menej časté:</w:t>
      </w:r>
    </w:p>
    <w:p w:rsidR="00467218" w:rsidRPr="004A7288" w:rsidRDefault="00082C3B" w:rsidP="00005545">
      <w:pPr>
        <w:spacing w:after="0"/>
        <w:jc w:val="left"/>
        <w:rPr>
          <w:sz w:val="22"/>
          <w:szCs w:val="22"/>
        </w:rPr>
      </w:pPr>
      <w:r>
        <w:rPr>
          <w:bCs/>
          <w:iCs/>
          <w:sz w:val="22"/>
          <w:szCs w:val="22"/>
        </w:rPr>
        <w:t>Poruchy centrálneho nervového systému, ako je bolesť hlavy, závrat, nespavosť, agitácia, podráždenosť alebo vyčerpanosť.</w:t>
      </w:r>
    </w:p>
    <w:p w:rsidR="00467218" w:rsidRPr="004A7288" w:rsidRDefault="00467218" w:rsidP="00005545">
      <w:pPr>
        <w:spacing w:after="0"/>
        <w:jc w:val="left"/>
        <w:rPr>
          <w:sz w:val="22"/>
          <w:szCs w:val="22"/>
        </w:rPr>
      </w:pPr>
    </w:p>
    <w:p w:rsidR="00467218" w:rsidRPr="004A7288" w:rsidRDefault="00082C3B" w:rsidP="00005545">
      <w:pPr>
        <w:spacing w:after="0"/>
        <w:jc w:val="left"/>
        <w:rPr>
          <w:sz w:val="22"/>
          <w:szCs w:val="22"/>
          <w:u w:val="single"/>
        </w:rPr>
      </w:pPr>
      <w:r>
        <w:rPr>
          <w:sz w:val="22"/>
          <w:szCs w:val="22"/>
          <w:u w:val="single"/>
        </w:rPr>
        <w:t>Poruchy oka</w:t>
      </w:r>
    </w:p>
    <w:p w:rsidR="00467218" w:rsidRPr="004A7288" w:rsidRDefault="00082C3B" w:rsidP="00005545">
      <w:pPr>
        <w:spacing w:after="0"/>
        <w:jc w:val="left"/>
        <w:rPr>
          <w:i/>
          <w:sz w:val="22"/>
          <w:szCs w:val="22"/>
        </w:rPr>
      </w:pPr>
      <w:r>
        <w:rPr>
          <w:i/>
          <w:sz w:val="22"/>
          <w:szCs w:val="22"/>
        </w:rPr>
        <w:t>Menej časté:</w:t>
      </w:r>
    </w:p>
    <w:p w:rsidR="00467218" w:rsidRPr="004A7288" w:rsidRDefault="00082C3B" w:rsidP="00005545">
      <w:pPr>
        <w:spacing w:after="0"/>
        <w:jc w:val="left"/>
        <w:rPr>
          <w:sz w:val="22"/>
          <w:szCs w:val="22"/>
        </w:rPr>
      </w:pPr>
      <w:r>
        <w:rPr>
          <w:sz w:val="22"/>
          <w:szCs w:val="22"/>
        </w:rPr>
        <w:t>Poruchy videnia.</w:t>
      </w:r>
    </w:p>
    <w:p w:rsidR="00467218" w:rsidRPr="004A7288" w:rsidRDefault="00467218" w:rsidP="00005545">
      <w:pPr>
        <w:spacing w:after="0"/>
        <w:jc w:val="left"/>
        <w:rPr>
          <w:sz w:val="22"/>
          <w:szCs w:val="22"/>
        </w:rPr>
      </w:pPr>
    </w:p>
    <w:p w:rsidR="00467218" w:rsidRPr="004A7288" w:rsidRDefault="00082C3B" w:rsidP="00005545">
      <w:pPr>
        <w:spacing w:after="0"/>
        <w:jc w:val="left"/>
        <w:rPr>
          <w:sz w:val="22"/>
          <w:szCs w:val="22"/>
          <w:u w:val="single"/>
        </w:rPr>
      </w:pPr>
      <w:r>
        <w:rPr>
          <w:sz w:val="22"/>
          <w:szCs w:val="22"/>
          <w:u w:val="single"/>
        </w:rPr>
        <w:t>Poruchy ucha a labyrintu</w:t>
      </w:r>
    </w:p>
    <w:p w:rsidR="002A615E" w:rsidRPr="004A7288" w:rsidRDefault="00082C3B" w:rsidP="00005545">
      <w:pPr>
        <w:spacing w:after="0"/>
        <w:jc w:val="left"/>
        <w:rPr>
          <w:sz w:val="22"/>
          <w:szCs w:val="22"/>
        </w:rPr>
      </w:pPr>
      <w:r>
        <w:rPr>
          <w:i/>
          <w:sz w:val="22"/>
          <w:szCs w:val="22"/>
        </w:rPr>
        <w:t>Zriedkavé:</w:t>
      </w:r>
      <w:r>
        <w:rPr>
          <w:sz w:val="22"/>
          <w:szCs w:val="22"/>
        </w:rPr>
        <w:t xml:space="preserve"> </w:t>
      </w:r>
    </w:p>
    <w:p w:rsidR="00A4713F" w:rsidRPr="004A7288" w:rsidRDefault="00082C3B" w:rsidP="00005545">
      <w:pPr>
        <w:spacing w:after="0"/>
        <w:jc w:val="left"/>
        <w:rPr>
          <w:sz w:val="22"/>
          <w:szCs w:val="22"/>
        </w:rPr>
      </w:pPr>
      <w:r>
        <w:rPr>
          <w:sz w:val="22"/>
          <w:szCs w:val="22"/>
        </w:rPr>
        <w:t>Tinnitus.</w:t>
      </w:r>
    </w:p>
    <w:p w:rsidR="00FA3B2E" w:rsidRPr="004A7288" w:rsidRDefault="00FA3B2E" w:rsidP="00005545">
      <w:pPr>
        <w:spacing w:after="0"/>
        <w:jc w:val="left"/>
        <w:rPr>
          <w:i/>
          <w:sz w:val="22"/>
          <w:szCs w:val="22"/>
        </w:rPr>
      </w:pPr>
    </w:p>
    <w:p w:rsidR="00A4713F" w:rsidRPr="004A7288" w:rsidRDefault="00082C3B" w:rsidP="00005545">
      <w:pPr>
        <w:spacing w:after="0"/>
        <w:jc w:val="left"/>
        <w:rPr>
          <w:i/>
          <w:sz w:val="22"/>
          <w:szCs w:val="22"/>
        </w:rPr>
      </w:pPr>
      <w:r>
        <w:rPr>
          <w:i/>
          <w:sz w:val="22"/>
          <w:szCs w:val="22"/>
        </w:rPr>
        <w:t>Neznáme:</w:t>
      </w:r>
    </w:p>
    <w:p w:rsidR="00A4713F" w:rsidRPr="004A7288" w:rsidRDefault="00082C3B" w:rsidP="00005545">
      <w:pPr>
        <w:spacing w:after="0"/>
        <w:jc w:val="left"/>
        <w:rPr>
          <w:sz w:val="22"/>
          <w:szCs w:val="22"/>
        </w:rPr>
      </w:pPr>
      <w:r>
        <w:rPr>
          <w:sz w:val="22"/>
          <w:szCs w:val="22"/>
        </w:rPr>
        <w:t>Porucha sluchu.</w:t>
      </w:r>
    </w:p>
    <w:p w:rsidR="00467218" w:rsidRPr="004A7288" w:rsidRDefault="00467218" w:rsidP="00005545">
      <w:pPr>
        <w:spacing w:after="0"/>
        <w:jc w:val="left"/>
        <w:rPr>
          <w:sz w:val="22"/>
          <w:szCs w:val="22"/>
        </w:rPr>
      </w:pPr>
    </w:p>
    <w:p w:rsidR="00467218" w:rsidRPr="004A7288" w:rsidRDefault="00082C3B" w:rsidP="00005545">
      <w:pPr>
        <w:spacing w:after="0"/>
        <w:jc w:val="left"/>
        <w:rPr>
          <w:sz w:val="22"/>
          <w:szCs w:val="22"/>
          <w:u w:val="single"/>
        </w:rPr>
      </w:pPr>
      <w:r>
        <w:rPr>
          <w:sz w:val="22"/>
          <w:szCs w:val="22"/>
          <w:u w:val="single"/>
        </w:rPr>
        <w:t>Poruchy srdca a srdcovej činnosti</w:t>
      </w:r>
    </w:p>
    <w:p w:rsidR="00467218" w:rsidRPr="004A7288" w:rsidRDefault="00082C3B" w:rsidP="00005545">
      <w:pPr>
        <w:spacing w:after="0"/>
        <w:jc w:val="left"/>
        <w:rPr>
          <w:i/>
          <w:sz w:val="22"/>
          <w:szCs w:val="22"/>
        </w:rPr>
      </w:pPr>
      <w:r>
        <w:rPr>
          <w:i/>
          <w:sz w:val="22"/>
          <w:szCs w:val="22"/>
        </w:rPr>
        <w:t>Veľmi zriedkavé:</w:t>
      </w:r>
    </w:p>
    <w:p w:rsidR="00467218" w:rsidRPr="004A7288" w:rsidRDefault="00082C3B" w:rsidP="00005545">
      <w:pPr>
        <w:pStyle w:val="Odsekzoznamu"/>
        <w:numPr>
          <w:ilvl w:val="0"/>
          <w:numId w:val="13"/>
        </w:numPr>
        <w:spacing w:after="0"/>
        <w:jc w:val="left"/>
        <w:rPr>
          <w:sz w:val="22"/>
          <w:szCs w:val="22"/>
        </w:rPr>
      </w:pPr>
      <w:r>
        <w:rPr>
          <w:sz w:val="22"/>
          <w:szCs w:val="22"/>
        </w:rPr>
        <w:t>Palpitácie, srdcové zlyhanie, infarkt myokardu.</w:t>
      </w:r>
    </w:p>
    <w:p w:rsidR="00467218" w:rsidRPr="004A7288" w:rsidRDefault="00082C3B" w:rsidP="00005545">
      <w:pPr>
        <w:pStyle w:val="Odsekzoznamu"/>
        <w:numPr>
          <w:ilvl w:val="0"/>
          <w:numId w:val="13"/>
        </w:numPr>
        <w:spacing w:after="0"/>
        <w:jc w:val="left"/>
        <w:rPr>
          <w:sz w:val="22"/>
          <w:szCs w:val="22"/>
        </w:rPr>
      </w:pPr>
      <w:r>
        <w:rPr>
          <w:bCs/>
          <w:iCs/>
          <w:sz w:val="22"/>
          <w:szCs w:val="22"/>
        </w:rPr>
        <w:t xml:space="preserve">Edém, hypertenzia a srdcové zlyhanie sa zaznamenalo v súvislosti s liečbou </w:t>
      </w:r>
      <w:r>
        <w:rPr>
          <w:sz w:val="22"/>
          <w:szCs w:val="22"/>
        </w:rPr>
        <w:t>NSAID.</w:t>
      </w:r>
    </w:p>
    <w:p w:rsidR="00467218" w:rsidRPr="004A7288" w:rsidRDefault="00467218" w:rsidP="00005545">
      <w:pPr>
        <w:spacing w:after="0"/>
        <w:jc w:val="left"/>
        <w:rPr>
          <w:sz w:val="22"/>
          <w:szCs w:val="22"/>
        </w:rPr>
      </w:pPr>
    </w:p>
    <w:p w:rsidR="00467218" w:rsidRPr="004A7288" w:rsidRDefault="00082C3B" w:rsidP="00005545">
      <w:pPr>
        <w:spacing w:after="0"/>
        <w:jc w:val="left"/>
        <w:rPr>
          <w:sz w:val="22"/>
          <w:szCs w:val="22"/>
        </w:rPr>
      </w:pPr>
      <w:r>
        <w:rPr>
          <w:sz w:val="22"/>
          <w:szCs w:val="22"/>
        </w:rPr>
        <w:t xml:space="preserve">Klinické štúdie naznačili, že používanie </w:t>
      </w:r>
      <w:r w:rsidR="008D3117">
        <w:rPr>
          <w:sz w:val="22"/>
          <w:szCs w:val="22"/>
        </w:rPr>
        <w:t>ibuprofénu</w:t>
      </w:r>
      <w:r>
        <w:rPr>
          <w:sz w:val="22"/>
          <w:szCs w:val="22"/>
        </w:rPr>
        <w:t>, najmä vo vysokých dávkach (2 400 mg denne) môže byť spojené s malým zvýšeným rizikom arteriálnych trombotických udalostí (napríklad infarktu myokardu alebo mozgová príhoda) (pozri časť 4.4).</w:t>
      </w:r>
    </w:p>
    <w:p w:rsidR="00467218" w:rsidRPr="004A7288" w:rsidRDefault="00467218" w:rsidP="00005545">
      <w:pPr>
        <w:spacing w:after="0"/>
        <w:jc w:val="left"/>
        <w:rPr>
          <w:sz w:val="22"/>
          <w:szCs w:val="22"/>
        </w:rPr>
      </w:pPr>
    </w:p>
    <w:p w:rsidR="00467218" w:rsidRPr="004A7288" w:rsidRDefault="00082C3B" w:rsidP="00005545">
      <w:pPr>
        <w:spacing w:after="0"/>
        <w:jc w:val="left"/>
        <w:rPr>
          <w:sz w:val="22"/>
          <w:szCs w:val="22"/>
          <w:u w:val="single"/>
        </w:rPr>
      </w:pPr>
      <w:r>
        <w:rPr>
          <w:sz w:val="22"/>
          <w:szCs w:val="22"/>
          <w:u w:val="single"/>
        </w:rPr>
        <w:t>Poruchy ciev</w:t>
      </w:r>
    </w:p>
    <w:p w:rsidR="00467218" w:rsidRPr="004A7288" w:rsidRDefault="00082C3B" w:rsidP="00005545">
      <w:pPr>
        <w:spacing w:after="0"/>
        <w:jc w:val="left"/>
        <w:rPr>
          <w:i/>
          <w:sz w:val="22"/>
          <w:szCs w:val="22"/>
        </w:rPr>
      </w:pPr>
      <w:r>
        <w:rPr>
          <w:i/>
          <w:sz w:val="22"/>
          <w:szCs w:val="22"/>
        </w:rPr>
        <w:t>Veľmi zriedkavé:</w:t>
      </w:r>
    </w:p>
    <w:p w:rsidR="00467218" w:rsidRPr="004A7288" w:rsidRDefault="00082C3B" w:rsidP="00005545">
      <w:pPr>
        <w:spacing w:after="0"/>
        <w:jc w:val="left"/>
        <w:rPr>
          <w:sz w:val="22"/>
          <w:szCs w:val="22"/>
        </w:rPr>
      </w:pPr>
      <w:r>
        <w:rPr>
          <w:sz w:val="22"/>
          <w:szCs w:val="22"/>
        </w:rPr>
        <w:t>Arteriálna hypertenzia.</w:t>
      </w:r>
    </w:p>
    <w:p w:rsidR="00467218" w:rsidRPr="004A7288" w:rsidRDefault="00467218" w:rsidP="00005545">
      <w:pPr>
        <w:spacing w:after="0"/>
        <w:jc w:val="left"/>
        <w:rPr>
          <w:sz w:val="22"/>
          <w:szCs w:val="22"/>
        </w:rPr>
      </w:pPr>
    </w:p>
    <w:p w:rsidR="00467218" w:rsidRPr="004A7288" w:rsidRDefault="00082C3B" w:rsidP="00005545">
      <w:pPr>
        <w:spacing w:after="0"/>
        <w:jc w:val="left"/>
        <w:rPr>
          <w:sz w:val="22"/>
          <w:szCs w:val="22"/>
          <w:u w:val="single"/>
        </w:rPr>
      </w:pPr>
      <w:r>
        <w:rPr>
          <w:sz w:val="22"/>
          <w:szCs w:val="22"/>
          <w:u w:val="single"/>
        </w:rPr>
        <w:t>Poruchy gastrointestinálneho traktu</w:t>
      </w:r>
    </w:p>
    <w:p w:rsidR="00467218" w:rsidRPr="004A7288" w:rsidRDefault="00082C3B" w:rsidP="00005545">
      <w:pPr>
        <w:spacing w:after="0"/>
        <w:jc w:val="left"/>
        <w:rPr>
          <w:sz w:val="22"/>
          <w:szCs w:val="22"/>
        </w:rPr>
      </w:pPr>
      <w:r>
        <w:rPr>
          <w:sz w:val="22"/>
          <w:szCs w:val="22"/>
        </w:rPr>
        <w:t>Najčastejšie pozorované nežiaduce udalosti sú gastrointestinálneho charakteru. Môžu sa vyskytnúť peptické vredy, perforácia alebo gastrointestinálne krvácanie, niekedy fatálne, predovšetkým u starších pacientov (pozri časť 4.4). Po podaní sa zaznamenala nauzea, vracanie, hnačka, flatulencia, zápcha, dyspepsia, bolesť brucha, meléna, hemateméza, ulcerózna stomatitída, exacerbácia kolitídy a Crohnova choroba (pozri časť 4.4). Menej často sa pozorovala gastritída.</w:t>
      </w:r>
    </w:p>
    <w:p w:rsidR="00467218" w:rsidRPr="004A7288" w:rsidRDefault="00467218" w:rsidP="00005545">
      <w:pPr>
        <w:spacing w:after="0"/>
        <w:jc w:val="left"/>
        <w:rPr>
          <w:sz w:val="22"/>
          <w:szCs w:val="22"/>
        </w:rPr>
      </w:pPr>
    </w:p>
    <w:p w:rsidR="00467218" w:rsidRPr="004A7288" w:rsidRDefault="00082C3B" w:rsidP="000D7C6C">
      <w:pPr>
        <w:spacing w:after="0"/>
        <w:jc w:val="left"/>
        <w:rPr>
          <w:i/>
          <w:sz w:val="22"/>
          <w:szCs w:val="22"/>
        </w:rPr>
      </w:pPr>
      <w:r>
        <w:rPr>
          <w:i/>
          <w:sz w:val="22"/>
          <w:szCs w:val="22"/>
        </w:rPr>
        <w:t>Časté:</w:t>
      </w:r>
    </w:p>
    <w:p w:rsidR="000D7C6C" w:rsidRPr="004A7288" w:rsidRDefault="00082C3B" w:rsidP="000D7C6C">
      <w:pPr>
        <w:spacing w:after="0"/>
        <w:jc w:val="left"/>
        <w:rPr>
          <w:sz w:val="22"/>
          <w:szCs w:val="22"/>
        </w:rPr>
      </w:pPr>
      <w:r>
        <w:rPr>
          <w:sz w:val="22"/>
          <w:szCs w:val="22"/>
        </w:rPr>
        <w:t>Gastrointestinálne ťažkosti ako je pálenie záhy, bolesť brucha, nauzea, vracanie, flatulencia, hnačka, zápcha a mierne gastrointestinálne straty krvi, ktoré môžu vo výnimočných prípadoch spôsobiť anémiu.</w:t>
      </w:r>
    </w:p>
    <w:p w:rsidR="00467218" w:rsidRPr="004A7288" w:rsidRDefault="00467218" w:rsidP="000D7C6C">
      <w:pPr>
        <w:spacing w:after="0"/>
        <w:jc w:val="left"/>
        <w:rPr>
          <w:sz w:val="22"/>
          <w:szCs w:val="22"/>
        </w:rPr>
      </w:pPr>
    </w:p>
    <w:p w:rsidR="00467218" w:rsidRPr="004A7288" w:rsidRDefault="00082C3B" w:rsidP="00005545">
      <w:pPr>
        <w:spacing w:after="0"/>
        <w:jc w:val="left"/>
        <w:rPr>
          <w:i/>
          <w:sz w:val="22"/>
          <w:szCs w:val="22"/>
        </w:rPr>
      </w:pPr>
      <w:r>
        <w:rPr>
          <w:i/>
          <w:sz w:val="22"/>
          <w:szCs w:val="22"/>
        </w:rPr>
        <w:t>Menej časté:</w:t>
      </w:r>
    </w:p>
    <w:p w:rsidR="00467218" w:rsidRPr="004A7288" w:rsidRDefault="00082C3B" w:rsidP="00005545">
      <w:pPr>
        <w:spacing w:after="0"/>
        <w:jc w:val="left"/>
        <w:rPr>
          <w:sz w:val="22"/>
          <w:szCs w:val="22"/>
        </w:rPr>
      </w:pPr>
      <w:r>
        <w:rPr>
          <w:sz w:val="22"/>
          <w:szCs w:val="22"/>
        </w:rPr>
        <w:t>Gastrointestinálne vredy, potenciálne s krvácaním a perforáciou. Ulcerózna stomatitída, exacerbácia kolitídy a Crohnova choroba (pozri časť 4.4), gastritída.</w:t>
      </w:r>
    </w:p>
    <w:p w:rsidR="00467218" w:rsidRPr="004A7288" w:rsidRDefault="00467218" w:rsidP="00005545">
      <w:pPr>
        <w:spacing w:after="0"/>
        <w:jc w:val="left"/>
        <w:rPr>
          <w:sz w:val="22"/>
          <w:szCs w:val="22"/>
        </w:rPr>
      </w:pPr>
    </w:p>
    <w:p w:rsidR="00467218" w:rsidRPr="004A7288" w:rsidRDefault="00082C3B" w:rsidP="00005545">
      <w:pPr>
        <w:spacing w:after="0"/>
        <w:jc w:val="left"/>
        <w:rPr>
          <w:i/>
          <w:sz w:val="22"/>
          <w:szCs w:val="22"/>
        </w:rPr>
      </w:pPr>
      <w:r>
        <w:rPr>
          <w:i/>
          <w:sz w:val="22"/>
          <w:szCs w:val="22"/>
        </w:rPr>
        <w:t>Veľmi zriedkavé:</w:t>
      </w:r>
    </w:p>
    <w:p w:rsidR="00F36C05" w:rsidRPr="004A7288" w:rsidRDefault="00082C3B" w:rsidP="00F36C05">
      <w:pPr>
        <w:spacing w:after="0"/>
        <w:jc w:val="left"/>
        <w:rPr>
          <w:sz w:val="22"/>
          <w:szCs w:val="22"/>
        </w:rPr>
      </w:pPr>
      <w:r>
        <w:rPr>
          <w:sz w:val="22"/>
          <w:szCs w:val="22"/>
        </w:rPr>
        <w:t>Ezofagitída, pankreatitída, tvorba intestinálnych striktúr podobných diafragme.</w:t>
      </w:r>
    </w:p>
    <w:p w:rsidR="00F36C05" w:rsidRPr="004A7288" w:rsidRDefault="00F36C05" w:rsidP="00F36C05">
      <w:pPr>
        <w:jc w:val="left"/>
        <w:rPr>
          <w:sz w:val="22"/>
          <w:szCs w:val="22"/>
        </w:rPr>
      </w:pPr>
    </w:p>
    <w:p w:rsidR="00467218" w:rsidRPr="004A7288" w:rsidRDefault="00082C3B" w:rsidP="00F36C05">
      <w:pPr>
        <w:spacing w:after="0"/>
        <w:jc w:val="left"/>
        <w:rPr>
          <w:sz w:val="22"/>
          <w:szCs w:val="22"/>
        </w:rPr>
      </w:pPr>
      <w:r>
        <w:rPr>
          <w:sz w:val="22"/>
          <w:szCs w:val="22"/>
        </w:rPr>
        <w:t>Pacienta je potrebné poučiť, aby ukončil užívanie lieku a okamžite navštívil lekára, ak sa vyskytne závažná bolesť v nadbrušku alebo meléna alebo hemateméza.</w:t>
      </w:r>
    </w:p>
    <w:p w:rsidR="00467218" w:rsidRPr="004A7288" w:rsidRDefault="00467218" w:rsidP="00005545">
      <w:pPr>
        <w:spacing w:after="0"/>
        <w:jc w:val="left"/>
        <w:rPr>
          <w:sz w:val="22"/>
          <w:szCs w:val="22"/>
        </w:rPr>
      </w:pPr>
    </w:p>
    <w:p w:rsidR="00467218" w:rsidRPr="004A7288" w:rsidRDefault="00082C3B" w:rsidP="00005545">
      <w:pPr>
        <w:spacing w:after="0"/>
        <w:jc w:val="left"/>
        <w:rPr>
          <w:sz w:val="22"/>
          <w:szCs w:val="22"/>
          <w:u w:val="single"/>
        </w:rPr>
      </w:pPr>
      <w:r>
        <w:rPr>
          <w:sz w:val="22"/>
          <w:szCs w:val="22"/>
          <w:u w:val="single"/>
        </w:rPr>
        <w:t>Poruchy pečene a žlčových ciest</w:t>
      </w:r>
    </w:p>
    <w:p w:rsidR="00467218" w:rsidRPr="004A7288" w:rsidRDefault="00082C3B" w:rsidP="00005545">
      <w:pPr>
        <w:spacing w:after="0"/>
        <w:jc w:val="left"/>
        <w:rPr>
          <w:i/>
          <w:sz w:val="22"/>
          <w:szCs w:val="22"/>
        </w:rPr>
      </w:pPr>
      <w:r>
        <w:rPr>
          <w:i/>
          <w:sz w:val="22"/>
          <w:szCs w:val="22"/>
        </w:rPr>
        <w:t>Veľmi zriedkavé:</w:t>
      </w:r>
    </w:p>
    <w:p w:rsidR="00467218" w:rsidRPr="004A7288" w:rsidRDefault="00082C3B" w:rsidP="00005545">
      <w:pPr>
        <w:spacing w:after="0"/>
        <w:jc w:val="left"/>
        <w:rPr>
          <w:sz w:val="22"/>
          <w:szCs w:val="22"/>
        </w:rPr>
      </w:pPr>
      <w:r>
        <w:rPr>
          <w:sz w:val="22"/>
          <w:szCs w:val="22"/>
        </w:rPr>
        <w:t>Dysf</w:t>
      </w:r>
      <w:r>
        <w:rPr>
          <w:bCs/>
          <w:iCs/>
          <w:sz w:val="22"/>
          <w:szCs w:val="22"/>
        </w:rPr>
        <w:t>unkcia pečene, poškodenie pečene, predovšetkým pri dlhodobej liečbe, zlyhanie pečene, akútna hepatitída.</w:t>
      </w:r>
    </w:p>
    <w:p w:rsidR="00467218" w:rsidRPr="004A7288" w:rsidRDefault="00467218" w:rsidP="00005545">
      <w:pPr>
        <w:spacing w:after="0"/>
        <w:jc w:val="left"/>
        <w:rPr>
          <w:sz w:val="22"/>
          <w:szCs w:val="22"/>
        </w:rPr>
      </w:pPr>
    </w:p>
    <w:p w:rsidR="00467218" w:rsidRPr="004A7288" w:rsidRDefault="00082C3B" w:rsidP="00005545">
      <w:pPr>
        <w:spacing w:after="0"/>
        <w:jc w:val="left"/>
        <w:rPr>
          <w:sz w:val="22"/>
          <w:szCs w:val="22"/>
          <w:u w:val="single"/>
        </w:rPr>
      </w:pPr>
      <w:r>
        <w:rPr>
          <w:sz w:val="22"/>
          <w:szCs w:val="22"/>
          <w:u w:val="single"/>
        </w:rPr>
        <w:t>Poruchy kože a podkožného tkaniva</w:t>
      </w:r>
    </w:p>
    <w:p w:rsidR="00467218" w:rsidRPr="004A7288" w:rsidRDefault="00082C3B" w:rsidP="00005545">
      <w:pPr>
        <w:spacing w:after="0"/>
        <w:jc w:val="left"/>
        <w:rPr>
          <w:i/>
          <w:sz w:val="22"/>
          <w:szCs w:val="22"/>
        </w:rPr>
      </w:pPr>
      <w:r>
        <w:rPr>
          <w:i/>
          <w:sz w:val="22"/>
          <w:szCs w:val="22"/>
        </w:rPr>
        <w:t>Veľmi zriedkavé:</w:t>
      </w:r>
    </w:p>
    <w:p w:rsidR="00467218" w:rsidRPr="004A7288" w:rsidRDefault="00082C3B" w:rsidP="00005545">
      <w:pPr>
        <w:pStyle w:val="Odsekzoznamu"/>
        <w:numPr>
          <w:ilvl w:val="0"/>
          <w:numId w:val="12"/>
        </w:numPr>
        <w:spacing w:after="0"/>
        <w:jc w:val="left"/>
        <w:rPr>
          <w:sz w:val="22"/>
          <w:szCs w:val="22"/>
        </w:rPr>
      </w:pPr>
      <w:r>
        <w:rPr>
          <w:bCs/>
          <w:iCs/>
          <w:sz w:val="22"/>
          <w:szCs w:val="22"/>
        </w:rPr>
        <w:t>Môžu sa vyskytnú závažné formy kožných reakcií, ako je multiformný erytém.</w:t>
      </w:r>
    </w:p>
    <w:p w:rsidR="00467218" w:rsidRPr="004A7288" w:rsidRDefault="00467218" w:rsidP="00005545">
      <w:pPr>
        <w:spacing w:after="0"/>
        <w:jc w:val="left"/>
        <w:rPr>
          <w:sz w:val="22"/>
          <w:szCs w:val="22"/>
        </w:rPr>
      </w:pPr>
    </w:p>
    <w:p w:rsidR="00467218" w:rsidRPr="004A7288" w:rsidRDefault="00082C3B" w:rsidP="00005545">
      <w:pPr>
        <w:pStyle w:val="Odsekzoznamu"/>
        <w:numPr>
          <w:ilvl w:val="0"/>
          <w:numId w:val="12"/>
        </w:numPr>
        <w:spacing w:after="0"/>
        <w:jc w:val="left"/>
        <w:rPr>
          <w:sz w:val="22"/>
          <w:szCs w:val="22"/>
        </w:rPr>
      </w:pPr>
      <w:r>
        <w:rPr>
          <w:bCs/>
          <w:iCs/>
          <w:sz w:val="22"/>
          <w:szCs w:val="22"/>
        </w:rPr>
        <w:t>Bulózne reakcie vrátane Stevensovho-Johnsonovho syndrómu a toxickej epidermálnej nekrolýzy.</w:t>
      </w:r>
    </w:p>
    <w:p w:rsidR="00467218" w:rsidRPr="004A7288" w:rsidRDefault="00467218" w:rsidP="00005545">
      <w:pPr>
        <w:spacing w:after="0"/>
        <w:jc w:val="left"/>
        <w:rPr>
          <w:sz w:val="22"/>
          <w:szCs w:val="22"/>
        </w:rPr>
      </w:pPr>
    </w:p>
    <w:p w:rsidR="00467218" w:rsidRPr="004A7288" w:rsidRDefault="00082C3B" w:rsidP="00005545">
      <w:pPr>
        <w:pStyle w:val="Odsekzoznamu"/>
        <w:numPr>
          <w:ilvl w:val="0"/>
          <w:numId w:val="12"/>
        </w:numPr>
        <w:spacing w:after="0"/>
        <w:jc w:val="left"/>
        <w:rPr>
          <w:sz w:val="22"/>
          <w:szCs w:val="22"/>
        </w:rPr>
      </w:pPr>
      <w:r>
        <w:rPr>
          <w:bCs/>
          <w:iCs/>
          <w:sz w:val="22"/>
          <w:szCs w:val="22"/>
        </w:rPr>
        <w:t>Výnimočne sa môžu počas ovčích kiahní vyskytnúť závažné infekčné komplikácie kože a mäkkých tkanív</w:t>
      </w:r>
      <w:r>
        <w:rPr>
          <w:sz w:val="22"/>
          <w:szCs w:val="22"/>
        </w:rPr>
        <w:t>.</w:t>
      </w:r>
    </w:p>
    <w:p w:rsidR="00467218" w:rsidRPr="004A7288" w:rsidRDefault="00467218" w:rsidP="00005545">
      <w:pPr>
        <w:spacing w:after="0"/>
        <w:jc w:val="left"/>
        <w:rPr>
          <w:sz w:val="22"/>
          <w:szCs w:val="22"/>
        </w:rPr>
      </w:pPr>
    </w:p>
    <w:p w:rsidR="00467218" w:rsidRPr="004A7288" w:rsidRDefault="00082C3B" w:rsidP="006F2A03">
      <w:pPr>
        <w:spacing w:after="0"/>
        <w:jc w:val="left"/>
        <w:rPr>
          <w:sz w:val="22"/>
          <w:szCs w:val="22"/>
          <w:u w:val="single"/>
        </w:rPr>
      </w:pPr>
      <w:r>
        <w:rPr>
          <w:sz w:val="22"/>
          <w:szCs w:val="22"/>
          <w:u w:val="single"/>
        </w:rPr>
        <w:t>Poruchy obličiek a močových ciest</w:t>
      </w:r>
    </w:p>
    <w:p w:rsidR="00467218" w:rsidRPr="004A7288" w:rsidRDefault="00082C3B" w:rsidP="006F2A03">
      <w:pPr>
        <w:spacing w:after="0"/>
        <w:jc w:val="left"/>
        <w:rPr>
          <w:i/>
          <w:sz w:val="22"/>
          <w:szCs w:val="22"/>
        </w:rPr>
      </w:pPr>
      <w:r>
        <w:rPr>
          <w:i/>
          <w:sz w:val="22"/>
          <w:szCs w:val="22"/>
        </w:rPr>
        <w:t>Veľmi zriedkavé:</w:t>
      </w:r>
    </w:p>
    <w:p w:rsidR="006F2A03" w:rsidRPr="004A7288" w:rsidRDefault="00082C3B" w:rsidP="006F2A03">
      <w:pPr>
        <w:numPr>
          <w:ilvl w:val="0"/>
          <w:numId w:val="14"/>
        </w:numPr>
        <w:spacing w:after="0"/>
        <w:jc w:val="left"/>
        <w:rPr>
          <w:bCs/>
          <w:iCs/>
          <w:sz w:val="22"/>
          <w:szCs w:val="22"/>
        </w:rPr>
      </w:pPr>
      <w:r>
        <w:rPr>
          <w:bCs/>
          <w:iCs/>
          <w:sz w:val="22"/>
          <w:szCs w:val="22"/>
        </w:rPr>
        <w:lastRenderedPageBreak/>
        <w:t>Môže sa vyskytnúť zníženie vylučovania moču, edém, predovšetkým u pacientov s arteriálnou hypertenziou. Taktiež sa môže vyskytnúť renálna insuficiencia, nefrotický syndróm, intersticiálna nefritída, ktoré môžu byť sprevádzané akútnym renálnym zlyhaním.</w:t>
      </w:r>
    </w:p>
    <w:p w:rsidR="00467218" w:rsidRPr="004A7288" w:rsidRDefault="00082C3B" w:rsidP="006F2A03">
      <w:pPr>
        <w:pStyle w:val="Odsekzoznamu"/>
        <w:numPr>
          <w:ilvl w:val="0"/>
          <w:numId w:val="14"/>
        </w:numPr>
        <w:spacing w:after="0"/>
        <w:jc w:val="left"/>
        <w:rPr>
          <w:sz w:val="22"/>
          <w:szCs w:val="22"/>
        </w:rPr>
      </w:pPr>
      <w:r>
        <w:rPr>
          <w:bCs/>
          <w:iCs/>
          <w:sz w:val="22"/>
          <w:szCs w:val="22"/>
        </w:rPr>
        <w:t>Papilárna nekróza, predovšetkým pri dlhodobom používaní.</w:t>
      </w:r>
    </w:p>
    <w:p w:rsidR="00467218" w:rsidRPr="004A7288" w:rsidRDefault="00082C3B" w:rsidP="006F2A03">
      <w:pPr>
        <w:pStyle w:val="Odsekzoznamu"/>
        <w:numPr>
          <w:ilvl w:val="0"/>
          <w:numId w:val="14"/>
        </w:numPr>
        <w:spacing w:after="0"/>
        <w:jc w:val="left"/>
        <w:rPr>
          <w:sz w:val="22"/>
          <w:szCs w:val="22"/>
        </w:rPr>
      </w:pPr>
      <w:r>
        <w:rPr>
          <w:bCs/>
          <w:iCs/>
          <w:sz w:val="22"/>
          <w:szCs w:val="22"/>
        </w:rPr>
        <w:t>Zvýšené sérové koncentrácie močoviny</w:t>
      </w:r>
      <w:r>
        <w:rPr>
          <w:sz w:val="22"/>
          <w:szCs w:val="22"/>
        </w:rPr>
        <w:t>.</w:t>
      </w:r>
    </w:p>
    <w:p w:rsidR="00592A9D" w:rsidRPr="004A7288" w:rsidRDefault="00592A9D" w:rsidP="006F2A03">
      <w:pPr>
        <w:spacing w:after="0"/>
        <w:jc w:val="left"/>
        <w:rPr>
          <w:rFonts w:eastAsia="Times New Roman"/>
          <w:color w:val="000000"/>
          <w:sz w:val="22"/>
          <w:szCs w:val="22"/>
        </w:rPr>
      </w:pPr>
    </w:p>
    <w:p w:rsidR="00EE214F" w:rsidRPr="004A7288" w:rsidRDefault="00082C3B" w:rsidP="00E31103">
      <w:pPr>
        <w:spacing w:after="0"/>
        <w:jc w:val="left"/>
        <w:rPr>
          <w:sz w:val="22"/>
          <w:szCs w:val="22"/>
          <w:u w:val="single"/>
        </w:rPr>
      </w:pPr>
      <w:r>
        <w:rPr>
          <w:noProof/>
          <w:sz w:val="22"/>
          <w:szCs w:val="22"/>
          <w:u w:val="single"/>
        </w:rPr>
        <w:t>Hlásenie podozrení na nežiaduce reakcie</w:t>
      </w:r>
    </w:p>
    <w:p w:rsidR="00EE214F" w:rsidRPr="004A7288" w:rsidRDefault="00082C3B" w:rsidP="00E31103">
      <w:pPr>
        <w:suppressLineNumbers/>
        <w:autoSpaceDE w:val="0"/>
        <w:autoSpaceDN w:val="0"/>
        <w:adjustRightInd w:val="0"/>
        <w:spacing w:after="0"/>
        <w:jc w:val="left"/>
        <w:rPr>
          <w:noProof/>
          <w:sz w:val="22"/>
          <w:szCs w:val="22"/>
        </w:rPr>
      </w:pPr>
      <w:r>
        <w:rPr>
          <w:noProof/>
          <w:sz w:val="22"/>
          <w:szCs w:val="22"/>
        </w:rPr>
        <w:t>Hlásenie podozrení na nežiaduce reakcie po registrácii lieku je dôležité.</w:t>
      </w:r>
      <w:r>
        <w:rPr>
          <w:sz w:val="22"/>
          <w:szCs w:val="22"/>
        </w:rPr>
        <w:t xml:space="preserve"> </w:t>
      </w:r>
      <w:r>
        <w:rPr>
          <w:noProof/>
          <w:sz w:val="22"/>
          <w:szCs w:val="22"/>
        </w:rPr>
        <w:t>Umožňuje priebežné monitorovanie pomeru prínosu a rizika lieku.</w:t>
      </w:r>
      <w:r>
        <w:rPr>
          <w:sz w:val="22"/>
          <w:szCs w:val="22"/>
        </w:rPr>
        <w:t xml:space="preserve"> Od </w:t>
      </w:r>
      <w:r>
        <w:rPr>
          <w:noProof/>
          <w:sz w:val="22"/>
          <w:szCs w:val="22"/>
        </w:rPr>
        <w:t xml:space="preserve">zdravotníckych pracovníkov sa vyžaduje, aby hlásili akékoľvek podozrenia na nežiaduce reakcie na </w:t>
      </w:r>
      <w:r>
        <w:rPr>
          <w:noProof/>
          <w:sz w:val="22"/>
          <w:szCs w:val="22"/>
          <w:highlight w:val="lightGray"/>
        </w:rPr>
        <w:t>národné centrum hlásenia uvedené v </w:t>
      </w:r>
      <w:hyperlink r:id="rId9" w:history="1">
        <w:r>
          <w:rPr>
            <w:rStyle w:val="Hypertextovprepojenie"/>
            <w:noProof/>
            <w:sz w:val="22"/>
            <w:szCs w:val="22"/>
            <w:highlight w:val="lightGray"/>
          </w:rPr>
          <w:t>Prílohe V</w:t>
        </w:r>
      </w:hyperlink>
      <w:r w:rsidR="005A2214" w:rsidRPr="004A7288">
        <w:rPr>
          <w:noProof/>
          <w:sz w:val="22"/>
          <w:szCs w:val="22"/>
        </w:rPr>
        <w:t>.</w:t>
      </w:r>
    </w:p>
    <w:p w:rsidR="000F4BDC" w:rsidRPr="004A7288" w:rsidRDefault="000F4BDC" w:rsidP="00E31103">
      <w:pPr>
        <w:spacing w:after="0"/>
        <w:jc w:val="left"/>
        <w:rPr>
          <w:sz w:val="22"/>
          <w:szCs w:val="22"/>
        </w:rPr>
      </w:pPr>
    </w:p>
    <w:p w:rsidR="00467218" w:rsidRPr="004A7288" w:rsidRDefault="00082C3B" w:rsidP="00005545">
      <w:pPr>
        <w:spacing w:after="0"/>
        <w:jc w:val="left"/>
        <w:rPr>
          <w:b/>
          <w:sz w:val="22"/>
          <w:szCs w:val="22"/>
        </w:rPr>
      </w:pPr>
      <w:r w:rsidRPr="00082C3B">
        <w:rPr>
          <w:b/>
          <w:sz w:val="22"/>
          <w:szCs w:val="22"/>
        </w:rPr>
        <w:t>4.9</w:t>
      </w:r>
      <w:r w:rsidRPr="00082C3B">
        <w:rPr>
          <w:b/>
          <w:sz w:val="22"/>
          <w:szCs w:val="22"/>
        </w:rPr>
        <w:tab/>
        <w:t>Predávkovanie</w:t>
      </w:r>
    </w:p>
    <w:p w:rsidR="00005545" w:rsidRPr="004A7288" w:rsidRDefault="00005545" w:rsidP="00005545">
      <w:pPr>
        <w:spacing w:after="0"/>
        <w:jc w:val="left"/>
        <w:rPr>
          <w:sz w:val="22"/>
          <w:szCs w:val="22"/>
          <w:u w:val="single"/>
        </w:rPr>
      </w:pPr>
    </w:p>
    <w:p w:rsidR="00467218" w:rsidRPr="004A7288" w:rsidRDefault="00082C3B" w:rsidP="00005545">
      <w:pPr>
        <w:spacing w:after="0"/>
        <w:jc w:val="left"/>
        <w:rPr>
          <w:sz w:val="22"/>
          <w:szCs w:val="22"/>
          <w:u w:val="single"/>
        </w:rPr>
      </w:pPr>
      <w:r w:rsidRPr="00082C3B">
        <w:rPr>
          <w:sz w:val="22"/>
          <w:szCs w:val="22"/>
          <w:u w:val="single"/>
        </w:rPr>
        <w:t>Príznaky</w:t>
      </w:r>
    </w:p>
    <w:p w:rsidR="00467218" w:rsidRPr="004A7288" w:rsidRDefault="00082C3B" w:rsidP="00005545">
      <w:pPr>
        <w:spacing w:after="0"/>
        <w:jc w:val="left"/>
        <w:rPr>
          <w:sz w:val="22"/>
          <w:szCs w:val="22"/>
        </w:rPr>
      </w:pPr>
      <w:r w:rsidRPr="00082C3B">
        <w:rPr>
          <w:sz w:val="22"/>
          <w:szCs w:val="22"/>
        </w:rPr>
        <w:t>Medzi príznaky predávkovania môže patriť nauzea, vracanie, bolesť brucha, bolesť hlavy, závrat, ospalosť, nystagmus, rozmazané videnie, tinnitus a zriedkavo hypotenzia, metabolická acidóza, renálne zlyhanie a strata vedomia.</w:t>
      </w:r>
    </w:p>
    <w:p w:rsidR="00467218" w:rsidRPr="004A7288" w:rsidRDefault="00467218" w:rsidP="00005545">
      <w:pPr>
        <w:spacing w:after="0"/>
        <w:jc w:val="left"/>
        <w:rPr>
          <w:sz w:val="22"/>
          <w:szCs w:val="22"/>
        </w:rPr>
      </w:pPr>
    </w:p>
    <w:p w:rsidR="00467218" w:rsidRPr="004A7288" w:rsidRDefault="00082C3B" w:rsidP="00005545">
      <w:pPr>
        <w:spacing w:after="0"/>
        <w:jc w:val="left"/>
        <w:rPr>
          <w:sz w:val="22"/>
          <w:szCs w:val="22"/>
          <w:u w:val="single"/>
        </w:rPr>
      </w:pPr>
      <w:r w:rsidRPr="00082C3B">
        <w:rPr>
          <w:sz w:val="22"/>
          <w:szCs w:val="22"/>
          <w:u w:val="single"/>
        </w:rPr>
        <w:t>Liečba</w:t>
      </w:r>
    </w:p>
    <w:p w:rsidR="00467218" w:rsidRPr="004A7288" w:rsidRDefault="00082C3B" w:rsidP="00005545">
      <w:pPr>
        <w:spacing w:after="0"/>
        <w:jc w:val="left"/>
        <w:rPr>
          <w:sz w:val="22"/>
          <w:szCs w:val="22"/>
        </w:rPr>
      </w:pPr>
      <w:r w:rsidRPr="00082C3B">
        <w:rPr>
          <w:sz w:val="22"/>
          <w:szCs w:val="22"/>
        </w:rPr>
        <w:t>Neexistuje žiadne špecifické antidotum.</w:t>
      </w:r>
    </w:p>
    <w:p w:rsidR="00467218" w:rsidRPr="004A7288" w:rsidRDefault="00467218" w:rsidP="00005545">
      <w:pPr>
        <w:spacing w:after="0"/>
        <w:jc w:val="left"/>
        <w:rPr>
          <w:sz w:val="22"/>
          <w:szCs w:val="22"/>
        </w:rPr>
      </w:pPr>
    </w:p>
    <w:p w:rsidR="00467218" w:rsidRPr="004A7288" w:rsidRDefault="00082C3B" w:rsidP="00141E0D">
      <w:pPr>
        <w:spacing w:after="0"/>
        <w:jc w:val="left"/>
        <w:rPr>
          <w:sz w:val="22"/>
          <w:szCs w:val="22"/>
        </w:rPr>
      </w:pPr>
      <w:r w:rsidRPr="00082C3B">
        <w:rPr>
          <w:sz w:val="22"/>
          <w:szCs w:val="22"/>
        </w:rPr>
        <w:t>Pacientov treba liečiť symptomaticky podľa potreby. V prípade potreby sa aplikuje podporná starostlivosť.</w:t>
      </w:r>
    </w:p>
    <w:p w:rsidR="00467218" w:rsidRPr="004A7288" w:rsidRDefault="00467218" w:rsidP="00005545">
      <w:pPr>
        <w:spacing w:after="0"/>
        <w:jc w:val="left"/>
        <w:rPr>
          <w:sz w:val="22"/>
          <w:szCs w:val="22"/>
        </w:rPr>
      </w:pPr>
    </w:p>
    <w:p w:rsidR="00467218" w:rsidRPr="004A7288" w:rsidRDefault="00467218" w:rsidP="00005545">
      <w:pPr>
        <w:spacing w:after="0"/>
        <w:jc w:val="left"/>
        <w:rPr>
          <w:sz w:val="22"/>
          <w:szCs w:val="22"/>
        </w:rPr>
      </w:pPr>
    </w:p>
    <w:p w:rsidR="00467218" w:rsidRPr="004A7288" w:rsidRDefault="00082C3B" w:rsidP="00005545">
      <w:pPr>
        <w:pStyle w:val="Nadpis2"/>
        <w:jc w:val="left"/>
        <w:rPr>
          <w:rFonts w:cs="Times New Roman"/>
          <w:sz w:val="22"/>
          <w:szCs w:val="22"/>
          <w:lang w:val="sk-SK"/>
        </w:rPr>
      </w:pPr>
      <w:r w:rsidRPr="00082C3B">
        <w:rPr>
          <w:rFonts w:cs="Times New Roman"/>
          <w:sz w:val="22"/>
          <w:szCs w:val="22"/>
          <w:lang w:val="sk-SK"/>
        </w:rPr>
        <w:t>5.</w:t>
      </w:r>
      <w:r w:rsidRPr="00082C3B">
        <w:rPr>
          <w:rFonts w:cs="Times New Roman"/>
          <w:sz w:val="22"/>
          <w:szCs w:val="22"/>
          <w:lang w:val="sk-SK"/>
        </w:rPr>
        <w:tab/>
      </w:r>
      <w:r w:rsidRPr="00082C3B">
        <w:rPr>
          <w:rFonts w:cs="Times New Roman"/>
          <w:bCs w:val="0"/>
          <w:sz w:val="22"/>
          <w:szCs w:val="22"/>
          <w:lang w:val="sk-SK"/>
        </w:rPr>
        <w:t>FARMAKOLOGICKÉ VLASTNOSTI</w:t>
      </w:r>
    </w:p>
    <w:p w:rsidR="00467218" w:rsidRPr="004A7288" w:rsidRDefault="00467218" w:rsidP="00005545">
      <w:pPr>
        <w:spacing w:after="0"/>
        <w:jc w:val="left"/>
        <w:rPr>
          <w:sz w:val="22"/>
          <w:szCs w:val="22"/>
        </w:rPr>
      </w:pPr>
    </w:p>
    <w:p w:rsidR="00467218" w:rsidRPr="004A7288" w:rsidRDefault="00082C3B" w:rsidP="00005545">
      <w:pPr>
        <w:spacing w:after="0"/>
        <w:jc w:val="left"/>
        <w:rPr>
          <w:b/>
          <w:sz w:val="22"/>
          <w:szCs w:val="22"/>
        </w:rPr>
      </w:pPr>
      <w:r w:rsidRPr="00082C3B">
        <w:rPr>
          <w:b/>
          <w:sz w:val="22"/>
          <w:szCs w:val="22"/>
        </w:rPr>
        <w:t>5.1</w:t>
      </w:r>
      <w:r w:rsidRPr="00082C3B">
        <w:rPr>
          <w:b/>
          <w:sz w:val="22"/>
          <w:szCs w:val="22"/>
        </w:rPr>
        <w:tab/>
      </w:r>
      <w:r w:rsidRPr="00082C3B">
        <w:rPr>
          <w:b/>
          <w:bCs/>
          <w:sz w:val="22"/>
          <w:szCs w:val="22"/>
        </w:rPr>
        <w:t>Farmakodynamické vlastnosti</w:t>
      </w:r>
    </w:p>
    <w:p w:rsidR="00005545" w:rsidRPr="004A7288" w:rsidRDefault="00005545" w:rsidP="00005545">
      <w:pPr>
        <w:spacing w:after="0"/>
        <w:jc w:val="left"/>
        <w:rPr>
          <w:sz w:val="22"/>
          <w:szCs w:val="22"/>
        </w:rPr>
      </w:pPr>
    </w:p>
    <w:p w:rsidR="00467218" w:rsidRPr="004A7288" w:rsidRDefault="00082C3B" w:rsidP="00005545">
      <w:pPr>
        <w:spacing w:after="0"/>
        <w:jc w:val="left"/>
        <w:rPr>
          <w:sz w:val="22"/>
          <w:szCs w:val="22"/>
        </w:rPr>
      </w:pPr>
      <w:r w:rsidRPr="00082C3B">
        <w:rPr>
          <w:sz w:val="22"/>
          <w:szCs w:val="22"/>
        </w:rPr>
        <w:t>Farmakoterapeutická skupina: antiflogistiká a antireumatiká, nesteroidné; deriváty kyseliny propiónovej, ATC kód: M01AE01</w:t>
      </w:r>
    </w:p>
    <w:p w:rsidR="00467218" w:rsidRPr="004A7288" w:rsidRDefault="00467218" w:rsidP="00E31103">
      <w:pPr>
        <w:spacing w:after="0"/>
        <w:jc w:val="left"/>
        <w:rPr>
          <w:sz w:val="22"/>
          <w:szCs w:val="22"/>
        </w:rPr>
      </w:pPr>
    </w:p>
    <w:p w:rsidR="00C46F19" w:rsidRPr="004A7288" w:rsidRDefault="008D3117" w:rsidP="00777BDB">
      <w:pPr>
        <w:tabs>
          <w:tab w:val="left" w:pos="0"/>
        </w:tabs>
        <w:spacing w:after="0"/>
        <w:jc w:val="left"/>
        <w:rPr>
          <w:sz w:val="22"/>
          <w:szCs w:val="22"/>
        </w:rPr>
      </w:pPr>
      <w:r w:rsidRPr="00082C3B">
        <w:rPr>
          <w:sz w:val="22"/>
          <w:szCs w:val="22"/>
        </w:rPr>
        <w:t>Ibuprofén</w:t>
      </w:r>
      <w:r w:rsidR="00082C3B" w:rsidRPr="00082C3B">
        <w:rPr>
          <w:sz w:val="22"/>
          <w:szCs w:val="22"/>
        </w:rPr>
        <w:t xml:space="preserve"> je nesteroidné antiflogistikum (NSAID), ktorého účinnosť sa dokázala v obvyklých experimentálnych modeloch zápalov u zvierat a spočíva v inhibícii syntézy prostaglandínov. U ľudí </w:t>
      </w:r>
      <w:r w:rsidRPr="00082C3B">
        <w:rPr>
          <w:sz w:val="22"/>
          <w:szCs w:val="22"/>
        </w:rPr>
        <w:t>ibuprofén</w:t>
      </w:r>
      <w:r w:rsidR="00082C3B" w:rsidRPr="00082C3B">
        <w:rPr>
          <w:sz w:val="22"/>
          <w:szCs w:val="22"/>
        </w:rPr>
        <w:t xml:space="preserve"> znižuje bolesť pri zápaloch, opuch a horúčku. Okrem toho </w:t>
      </w:r>
      <w:r w:rsidRPr="00082C3B">
        <w:rPr>
          <w:sz w:val="22"/>
          <w:szCs w:val="22"/>
        </w:rPr>
        <w:t>ibuprofén</w:t>
      </w:r>
      <w:r w:rsidR="00082C3B" w:rsidRPr="00082C3B">
        <w:rPr>
          <w:sz w:val="22"/>
          <w:szCs w:val="22"/>
        </w:rPr>
        <w:t xml:space="preserve"> reverzibilne inhibuje agregáciu krvných doštičiek.</w:t>
      </w:r>
    </w:p>
    <w:p w:rsidR="00C46F19" w:rsidRPr="004A7288" w:rsidRDefault="00C46F19" w:rsidP="00777BDB">
      <w:pPr>
        <w:tabs>
          <w:tab w:val="left" w:pos="0"/>
        </w:tabs>
        <w:spacing w:after="0"/>
        <w:jc w:val="left"/>
        <w:rPr>
          <w:sz w:val="22"/>
          <w:szCs w:val="22"/>
        </w:rPr>
      </w:pPr>
    </w:p>
    <w:p w:rsidR="00C46F19" w:rsidRPr="004A7288" w:rsidRDefault="00082C3B" w:rsidP="00777BDB">
      <w:pPr>
        <w:tabs>
          <w:tab w:val="left" w:pos="0"/>
        </w:tabs>
        <w:spacing w:after="0"/>
        <w:jc w:val="left"/>
        <w:rPr>
          <w:sz w:val="22"/>
          <w:szCs w:val="22"/>
        </w:rPr>
      </w:pPr>
      <w:r w:rsidRPr="00082C3B">
        <w:rPr>
          <w:sz w:val="22"/>
          <w:szCs w:val="22"/>
        </w:rPr>
        <w:t xml:space="preserve">Klinická účinnosť </w:t>
      </w:r>
      <w:r w:rsidR="008D3117" w:rsidRPr="00082C3B">
        <w:rPr>
          <w:sz w:val="22"/>
          <w:szCs w:val="22"/>
        </w:rPr>
        <w:t>ibuprofénu</w:t>
      </w:r>
      <w:r w:rsidRPr="00082C3B">
        <w:rPr>
          <w:sz w:val="22"/>
          <w:szCs w:val="22"/>
        </w:rPr>
        <w:t xml:space="preserve"> sa preukázala pri symptomatickej liečbe miernej až stredne silnej bolesti, ako je bolesť zubov, bolesť hlavy a pri symptomatickej liečbe horúčky.</w:t>
      </w:r>
    </w:p>
    <w:p w:rsidR="00C46F19" w:rsidRPr="004A7288" w:rsidRDefault="00C46F19" w:rsidP="00777BDB">
      <w:pPr>
        <w:tabs>
          <w:tab w:val="left" w:pos="0"/>
        </w:tabs>
        <w:spacing w:after="0"/>
        <w:rPr>
          <w:sz w:val="22"/>
          <w:szCs w:val="22"/>
        </w:rPr>
      </w:pPr>
    </w:p>
    <w:p w:rsidR="00467218" w:rsidRPr="004A7288" w:rsidRDefault="00082C3B" w:rsidP="00C46F19">
      <w:pPr>
        <w:spacing w:after="0"/>
        <w:jc w:val="left"/>
        <w:rPr>
          <w:sz w:val="22"/>
          <w:szCs w:val="22"/>
        </w:rPr>
      </w:pPr>
      <w:r w:rsidRPr="00082C3B">
        <w:rPr>
          <w:sz w:val="22"/>
          <w:szCs w:val="22"/>
        </w:rPr>
        <w:t xml:space="preserve">Analgetická dávka pre deti je 7 až 10 mg/kg na dávku, pričom maximálna dávka je 30 mg/kg/deň. </w:t>
      </w:r>
      <w:r w:rsidR="008D3117" w:rsidRPr="00082C3B">
        <w:rPr>
          <w:sz w:val="22"/>
          <w:szCs w:val="22"/>
        </w:rPr>
        <w:t>Ibuprofén</w:t>
      </w:r>
      <w:r w:rsidRPr="00082C3B">
        <w:rPr>
          <w:sz w:val="22"/>
          <w:szCs w:val="22"/>
        </w:rPr>
        <w:t xml:space="preserve"> začína účinkovať v priebehu 15 minút a znižuje horúčku u detí po dobu až 8 hodín.</w:t>
      </w:r>
    </w:p>
    <w:p w:rsidR="00467218" w:rsidRPr="004A7288" w:rsidRDefault="00467218" w:rsidP="00005545">
      <w:pPr>
        <w:spacing w:after="0"/>
        <w:jc w:val="left"/>
        <w:rPr>
          <w:sz w:val="22"/>
          <w:szCs w:val="22"/>
        </w:rPr>
      </w:pPr>
    </w:p>
    <w:p w:rsidR="00467218" w:rsidRPr="004A7288" w:rsidRDefault="00082C3B" w:rsidP="00005545">
      <w:pPr>
        <w:spacing w:after="0"/>
        <w:jc w:val="left"/>
        <w:rPr>
          <w:sz w:val="22"/>
          <w:szCs w:val="22"/>
        </w:rPr>
      </w:pPr>
      <w:r w:rsidRPr="00082C3B">
        <w:rPr>
          <w:sz w:val="22"/>
          <w:szCs w:val="22"/>
        </w:rPr>
        <w:t xml:space="preserve">Experimentálne údaje naznačujú, že </w:t>
      </w:r>
      <w:r w:rsidR="008D3117" w:rsidRPr="00082C3B">
        <w:rPr>
          <w:sz w:val="22"/>
          <w:szCs w:val="22"/>
        </w:rPr>
        <w:t>ibuprofén</w:t>
      </w:r>
      <w:r w:rsidRPr="00082C3B">
        <w:rPr>
          <w:sz w:val="22"/>
          <w:szCs w:val="22"/>
        </w:rPr>
        <w:t xml:space="preserve"> môže pri súčasnom dávkovaní kompetetívne inhibovať účinok nízkej dávky kyseliny acetylsalicylovej na agregáciu trombocytov. Niektoré farmakodynamické štúdie preukázali, že pri jednej dávke </w:t>
      </w:r>
      <w:r w:rsidR="008D3117" w:rsidRPr="00082C3B">
        <w:rPr>
          <w:sz w:val="22"/>
          <w:szCs w:val="22"/>
        </w:rPr>
        <w:t>ibuprofénu</w:t>
      </w:r>
      <w:r w:rsidRPr="00082C3B">
        <w:rPr>
          <w:sz w:val="22"/>
          <w:szCs w:val="22"/>
        </w:rPr>
        <w:t xml:space="preserve"> 400 mg užitého v priebehu 8 hodín pred alebo v priebehu 30 minút po užití dávky kyseliny acetylsalicylovej s okamžitým uvoľňovaním (81 mg) došlo k zníženému účinku kyseliny acetylsalicylovej na tvorbu tromboxánu alebo na agregáciu trombocytov. Hoci existujú nejasnosti s ohľadom na extrapoláciu týchto údajov na klinickú situáciu, nedá sa vylúčiť možnosť, že pravidelné dlhodobé používanie </w:t>
      </w:r>
      <w:r w:rsidR="008D3117" w:rsidRPr="00082C3B">
        <w:rPr>
          <w:sz w:val="22"/>
          <w:szCs w:val="22"/>
        </w:rPr>
        <w:t>ibuprofénu</w:t>
      </w:r>
      <w:r w:rsidRPr="00082C3B">
        <w:rPr>
          <w:sz w:val="22"/>
          <w:szCs w:val="22"/>
        </w:rPr>
        <w:t xml:space="preserve"> môže znížiť kardioprotektívny účinok nízkej dávky kyseliny acetylsalicylovej. V prípade príležitostného používania </w:t>
      </w:r>
      <w:r w:rsidR="008D3117" w:rsidRPr="00082C3B">
        <w:rPr>
          <w:sz w:val="22"/>
          <w:szCs w:val="22"/>
        </w:rPr>
        <w:t>ibuprofénu</w:t>
      </w:r>
      <w:r w:rsidRPr="00082C3B">
        <w:rPr>
          <w:sz w:val="22"/>
          <w:szCs w:val="22"/>
        </w:rPr>
        <w:t xml:space="preserve"> sa žiaden klinicky relevantný účinok nepovažuje za pravdepodobný (pozri časť 4.5).</w:t>
      </w:r>
    </w:p>
    <w:p w:rsidR="00467218" w:rsidRPr="004A7288" w:rsidRDefault="00467218" w:rsidP="00005545">
      <w:pPr>
        <w:spacing w:after="0"/>
        <w:jc w:val="left"/>
        <w:rPr>
          <w:sz w:val="22"/>
          <w:szCs w:val="22"/>
        </w:rPr>
      </w:pPr>
    </w:p>
    <w:p w:rsidR="00467218" w:rsidRPr="004A7288" w:rsidRDefault="00082C3B" w:rsidP="00005545">
      <w:pPr>
        <w:spacing w:after="0"/>
        <w:jc w:val="left"/>
        <w:rPr>
          <w:b/>
          <w:sz w:val="22"/>
          <w:szCs w:val="22"/>
        </w:rPr>
      </w:pPr>
      <w:r w:rsidRPr="00082C3B">
        <w:rPr>
          <w:b/>
          <w:sz w:val="22"/>
          <w:szCs w:val="22"/>
        </w:rPr>
        <w:t>5.2</w:t>
      </w:r>
      <w:r w:rsidRPr="00082C3B">
        <w:rPr>
          <w:b/>
          <w:sz w:val="22"/>
          <w:szCs w:val="22"/>
        </w:rPr>
        <w:tab/>
      </w:r>
      <w:r w:rsidRPr="00082C3B">
        <w:rPr>
          <w:b/>
          <w:bCs/>
          <w:sz w:val="22"/>
          <w:szCs w:val="22"/>
        </w:rPr>
        <w:t>Farmakokinetické vlastnosti</w:t>
      </w:r>
    </w:p>
    <w:p w:rsidR="00005545" w:rsidRPr="004A7288" w:rsidRDefault="00005545" w:rsidP="00005545">
      <w:pPr>
        <w:spacing w:after="0"/>
        <w:jc w:val="left"/>
        <w:rPr>
          <w:sz w:val="22"/>
          <w:szCs w:val="22"/>
        </w:rPr>
      </w:pPr>
    </w:p>
    <w:p w:rsidR="0022293B" w:rsidRPr="004A7288" w:rsidRDefault="00082C3B" w:rsidP="0022293B">
      <w:pPr>
        <w:autoSpaceDE w:val="0"/>
        <w:autoSpaceDN w:val="0"/>
        <w:adjustRightInd w:val="0"/>
        <w:jc w:val="left"/>
        <w:rPr>
          <w:rFonts w:eastAsia="SimSun"/>
          <w:iCs/>
          <w:sz w:val="22"/>
          <w:szCs w:val="22"/>
          <w:lang w:eastAsia="zh-CN"/>
        </w:rPr>
      </w:pPr>
      <w:r w:rsidRPr="00082C3B">
        <w:rPr>
          <w:rFonts w:eastAsia="SimSun"/>
          <w:iCs/>
          <w:sz w:val="22"/>
          <w:szCs w:val="22"/>
          <w:lang w:eastAsia="zh-CN"/>
        </w:rPr>
        <w:t xml:space="preserve">U detí sa neuskutočnili žiadne špeciálne farmakokinetické štúdie. Literárne údaje potvrdzujú, že absorpcia, metabolizmus a eliminácia </w:t>
      </w:r>
      <w:r w:rsidR="008D3117" w:rsidRPr="00082C3B">
        <w:rPr>
          <w:rFonts w:eastAsia="SimSun"/>
          <w:iCs/>
          <w:color w:val="000000" w:themeColor="text1"/>
          <w:sz w:val="22"/>
          <w:szCs w:val="22"/>
          <w:lang w:eastAsia="zh-CN"/>
        </w:rPr>
        <w:t>ibuprofénu</w:t>
      </w:r>
      <w:r w:rsidRPr="00082C3B">
        <w:rPr>
          <w:rFonts w:eastAsia="SimSun"/>
          <w:iCs/>
          <w:color w:val="000000" w:themeColor="text1"/>
          <w:sz w:val="22"/>
          <w:szCs w:val="22"/>
          <w:lang w:eastAsia="zh-CN"/>
        </w:rPr>
        <w:t xml:space="preserve"> </w:t>
      </w:r>
      <w:r w:rsidRPr="00082C3B">
        <w:rPr>
          <w:rFonts w:eastAsia="SimSun"/>
          <w:iCs/>
          <w:sz w:val="22"/>
          <w:szCs w:val="22"/>
          <w:lang w:eastAsia="zh-CN"/>
        </w:rPr>
        <w:t>u detí postupuje rovnakým spôsobom ako u dospelých.</w:t>
      </w:r>
    </w:p>
    <w:p w:rsidR="0022293B" w:rsidRPr="004A7288" w:rsidRDefault="0022293B" w:rsidP="0022293B">
      <w:pPr>
        <w:autoSpaceDE w:val="0"/>
        <w:autoSpaceDN w:val="0"/>
        <w:adjustRightInd w:val="0"/>
        <w:jc w:val="left"/>
        <w:rPr>
          <w:rFonts w:eastAsia="SimSun"/>
          <w:iCs/>
          <w:sz w:val="22"/>
          <w:szCs w:val="22"/>
          <w:lang w:eastAsia="zh-CN"/>
        </w:rPr>
      </w:pPr>
    </w:p>
    <w:p w:rsidR="00467218" w:rsidRPr="004A7288" w:rsidRDefault="00082C3B" w:rsidP="0022293B">
      <w:pPr>
        <w:spacing w:after="0"/>
        <w:jc w:val="left"/>
        <w:rPr>
          <w:sz w:val="22"/>
          <w:szCs w:val="22"/>
        </w:rPr>
      </w:pPr>
      <w:r w:rsidRPr="00082C3B">
        <w:rPr>
          <w:rFonts w:eastAsia="SimSun"/>
          <w:iCs/>
          <w:sz w:val="22"/>
          <w:szCs w:val="22"/>
          <w:lang w:eastAsia="zh-CN"/>
        </w:rPr>
        <w:t xml:space="preserve">Po perorálnom podaní sa </w:t>
      </w:r>
      <w:r w:rsidR="008D3117" w:rsidRPr="00082C3B">
        <w:rPr>
          <w:rFonts w:eastAsia="SimSun"/>
          <w:iCs/>
          <w:sz w:val="22"/>
          <w:szCs w:val="22"/>
          <w:lang w:eastAsia="zh-CN"/>
        </w:rPr>
        <w:t>ibuprofén</w:t>
      </w:r>
      <w:r w:rsidRPr="00082C3B">
        <w:rPr>
          <w:rFonts w:eastAsia="SimSun"/>
          <w:iCs/>
          <w:sz w:val="22"/>
          <w:szCs w:val="22"/>
          <w:lang w:eastAsia="zh-CN"/>
        </w:rPr>
        <w:t xml:space="preserve"> čiastočne absorbuje v žalúdku a následne sa úplne absorbuje v tenkom čreve. Po metabolizácii v pečeni (po hydroxylácii, karboxylácii, konjugácii) sa farmakologicky neaktívne metabolity úplne eliminujú, predovšetkým obličkami (90 %) a takisto žlčou. Polčas eliminácie u zdravých osôb a u pacientov, ktorí trpia ochoreniami pečene alebo obličiek je 1,8 až 3,5 hodiny. Väzba na plazmatické bielkoviny je približne 99 %.</w:t>
      </w:r>
    </w:p>
    <w:p w:rsidR="00467218" w:rsidRPr="004A7288" w:rsidRDefault="00467218" w:rsidP="00005545">
      <w:pPr>
        <w:spacing w:after="0"/>
        <w:jc w:val="left"/>
        <w:rPr>
          <w:sz w:val="22"/>
          <w:szCs w:val="22"/>
        </w:rPr>
      </w:pPr>
    </w:p>
    <w:p w:rsidR="00467218" w:rsidRPr="004A7288" w:rsidRDefault="00082C3B" w:rsidP="00005545">
      <w:pPr>
        <w:spacing w:after="0"/>
        <w:jc w:val="left"/>
        <w:rPr>
          <w:i/>
          <w:sz w:val="22"/>
          <w:szCs w:val="22"/>
          <w:u w:val="single"/>
        </w:rPr>
      </w:pPr>
      <w:r w:rsidRPr="00082C3B">
        <w:rPr>
          <w:i/>
          <w:sz w:val="22"/>
          <w:szCs w:val="22"/>
          <w:u w:val="single"/>
        </w:rPr>
        <w:t>Porucha funkcie obličiek</w:t>
      </w:r>
    </w:p>
    <w:p w:rsidR="00467218" w:rsidRPr="004A7288" w:rsidRDefault="00082C3B" w:rsidP="00005545">
      <w:pPr>
        <w:spacing w:after="0"/>
        <w:jc w:val="left"/>
        <w:rPr>
          <w:color w:val="000000" w:themeColor="text1"/>
          <w:sz w:val="22"/>
          <w:szCs w:val="22"/>
        </w:rPr>
      </w:pPr>
      <w:r w:rsidRPr="00082C3B">
        <w:rPr>
          <w:sz w:val="22"/>
          <w:szCs w:val="22"/>
        </w:rPr>
        <w:t xml:space="preserve">Keďže </w:t>
      </w:r>
      <w:r w:rsidR="008D3117" w:rsidRPr="00082C3B">
        <w:rPr>
          <w:sz w:val="22"/>
          <w:szCs w:val="22"/>
        </w:rPr>
        <w:t>ibuprofén</w:t>
      </w:r>
      <w:r w:rsidRPr="00082C3B">
        <w:rPr>
          <w:sz w:val="22"/>
          <w:szCs w:val="22"/>
        </w:rPr>
        <w:t xml:space="preserve"> a jeho metabolity sú eliminované predovšetkým obličkami, u pacientov s rozličnými stupňami poruchy funkcie obličiek sa môže prejavovať zmenená farmakokinetika lieku. U pacientov s poruchou renálnej funkcie sa zaznamenala znížená väzba na bielkoviny, zvýšené plazmatické hladiny celkového </w:t>
      </w:r>
      <w:r w:rsidR="008D3117" w:rsidRPr="00082C3B">
        <w:rPr>
          <w:color w:val="000000" w:themeColor="text1"/>
          <w:sz w:val="22"/>
          <w:szCs w:val="22"/>
        </w:rPr>
        <w:t>ibuprofénu</w:t>
      </w:r>
      <w:r w:rsidRPr="00082C3B">
        <w:rPr>
          <w:color w:val="000000" w:themeColor="text1"/>
          <w:sz w:val="22"/>
          <w:szCs w:val="22"/>
        </w:rPr>
        <w:t xml:space="preserve"> a neviazaného (S)-</w:t>
      </w:r>
      <w:r w:rsidR="008D3117" w:rsidRPr="00082C3B">
        <w:rPr>
          <w:color w:val="000000" w:themeColor="text1"/>
          <w:sz w:val="22"/>
          <w:szCs w:val="22"/>
        </w:rPr>
        <w:t>ibuprofénu</w:t>
      </w:r>
      <w:r w:rsidRPr="00082C3B">
        <w:rPr>
          <w:color w:val="000000" w:themeColor="text1"/>
          <w:sz w:val="22"/>
          <w:szCs w:val="22"/>
        </w:rPr>
        <w:t>, vyššie hodnoty AUC pre (S)-</w:t>
      </w:r>
      <w:r w:rsidR="008D3117" w:rsidRPr="00082C3B">
        <w:rPr>
          <w:color w:val="000000" w:themeColor="text1"/>
          <w:sz w:val="22"/>
          <w:szCs w:val="22"/>
        </w:rPr>
        <w:t>ibuprofén</w:t>
      </w:r>
      <w:r w:rsidRPr="00082C3B">
        <w:rPr>
          <w:color w:val="000000" w:themeColor="text1"/>
          <w:sz w:val="22"/>
          <w:szCs w:val="22"/>
        </w:rPr>
        <w:t xml:space="preserve"> a zvýšené enantiomerické pomery AUC (S/R) v porovnaní so zdravými kontrolami. U pacientov s terminálnym štádiom renálneho ochorenia na dialýze bola priemerná voľná frakcia </w:t>
      </w:r>
      <w:r w:rsidR="008D3117" w:rsidRPr="00082C3B">
        <w:rPr>
          <w:color w:val="000000" w:themeColor="text1"/>
          <w:sz w:val="22"/>
          <w:szCs w:val="22"/>
        </w:rPr>
        <w:t>ibuprofénu</w:t>
      </w:r>
      <w:r w:rsidRPr="00082C3B">
        <w:rPr>
          <w:color w:val="000000" w:themeColor="text1"/>
          <w:sz w:val="22"/>
          <w:szCs w:val="22"/>
        </w:rPr>
        <w:t xml:space="preserve"> približne 3 % v porovnaní s približne 1 % u zdravých dobrovoľníkov. Závažná porucha renálnej funkcie môže mať za následok kumuláciu metabolitov </w:t>
      </w:r>
      <w:r w:rsidR="008D3117" w:rsidRPr="00082C3B">
        <w:rPr>
          <w:color w:val="000000" w:themeColor="text1"/>
          <w:sz w:val="22"/>
          <w:szCs w:val="22"/>
        </w:rPr>
        <w:t>ibuprofénu</w:t>
      </w:r>
      <w:r w:rsidRPr="00082C3B">
        <w:rPr>
          <w:color w:val="000000" w:themeColor="text1"/>
          <w:sz w:val="22"/>
          <w:szCs w:val="22"/>
        </w:rPr>
        <w:t>. Význam tohto účinku nie je známy. Metabolity sa dajú odstrániť hemodialýzou (pozri tiež časť</w:t>
      </w:r>
      <w:r w:rsidR="008D3117">
        <w:rPr>
          <w:color w:val="000000" w:themeColor="text1"/>
          <w:sz w:val="22"/>
          <w:szCs w:val="22"/>
        </w:rPr>
        <w:t xml:space="preserve"> </w:t>
      </w:r>
      <w:r w:rsidRPr="00082C3B">
        <w:rPr>
          <w:color w:val="000000" w:themeColor="text1"/>
          <w:sz w:val="22"/>
          <w:szCs w:val="22"/>
        </w:rPr>
        <w:t>4.3).</w:t>
      </w:r>
    </w:p>
    <w:p w:rsidR="00467218" w:rsidRPr="004A7288" w:rsidRDefault="00467218" w:rsidP="00005545">
      <w:pPr>
        <w:spacing w:after="0"/>
        <w:jc w:val="left"/>
        <w:rPr>
          <w:color w:val="000000" w:themeColor="text1"/>
          <w:sz w:val="22"/>
          <w:szCs w:val="22"/>
        </w:rPr>
      </w:pPr>
    </w:p>
    <w:p w:rsidR="00467218" w:rsidRPr="004A7288" w:rsidRDefault="00082C3B" w:rsidP="00005545">
      <w:pPr>
        <w:spacing w:after="0"/>
        <w:jc w:val="left"/>
        <w:rPr>
          <w:i/>
          <w:color w:val="000000" w:themeColor="text1"/>
          <w:sz w:val="22"/>
          <w:szCs w:val="22"/>
        </w:rPr>
      </w:pPr>
      <w:r w:rsidRPr="00082C3B">
        <w:rPr>
          <w:i/>
          <w:color w:val="000000" w:themeColor="text1"/>
          <w:sz w:val="22"/>
          <w:szCs w:val="22"/>
        </w:rPr>
        <w:t>Porucha funkcie pečene</w:t>
      </w:r>
    </w:p>
    <w:p w:rsidR="00467218" w:rsidRPr="004A7288" w:rsidRDefault="00082C3B" w:rsidP="00005545">
      <w:pPr>
        <w:spacing w:after="0"/>
        <w:jc w:val="left"/>
        <w:rPr>
          <w:color w:val="000000" w:themeColor="text1"/>
          <w:sz w:val="22"/>
          <w:szCs w:val="22"/>
        </w:rPr>
      </w:pPr>
      <w:r w:rsidRPr="00082C3B">
        <w:rPr>
          <w:color w:val="000000" w:themeColor="text1"/>
          <w:sz w:val="22"/>
          <w:szCs w:val="22"/>
        </w:rPr>
        <w:t xml:space="preserve">Alkoholické ochorenie pečene s miernou až stredne závažnou poruchou funkcie pečene nemalo za následok významne zmenené farmakokinetické parametre. Ochorenie pečene môže zmeniť kinetiku dispozície </w:t>
      </w:r>
      <w:r w:rsidR="008D3117" w:rsidRPr="00082C3B">
        <w:rPr>
          <w:color w:val="000000" w:themeColor="text1"/>
          <w:sz w:val="22"/>
          <w:szCs w:val="22"/>
        </w:rPr>
        <w:t>ibuprofénu</w:t>
      </w:r>
      <w:r w:rsidRPr="00082C3B">
        <w:rPr>
          <w:color w:val="000000" w:themeColor="text1"/>
          <w:sz w:val="22"/>
          <w:szCs w:val="22"/>
        </w:rPr>
        <w:t>. U pacientov s cirhózou so stredne závažnou poruchou funkcie pečene (Childovo Pughovo skóre 6 </w:t>
      </w:r>
      <w:r w:rsidRPr="00082C3B">
        <w:rPr>
          <w:color w:val="000000" w:themeColor="text1"/>
          <w:sz w:val="22"/>
          <w:szCs w:val="22"/>
        </w:rPr>
        <w:noBreakHyphen/>
        <w:t> 10) sa pozorovalo priemerne dvojnásobné predĺženie polčasu a enantiomerický pomer AUC (S/R) bol významne nižší v porovnaní so zdravými kontrolami, čo svedčí o poruche metabolickej inverzie (R)-ibuprof</w:t>
      </w:r>
      <w:r w:rsidR="008D3117">
        <w:rPr>
          <w:color w:val="000000" w:themeColor="text1"/>
          <w:sz w:val="22"/>
          <w:szCs w:val="22"/>
        </w:rPr>
        <w:t>é</w:t>
      </w:r>
      <w:r w:rsidRPr="00082C3B">
        <w:rPr>
          <w:color w:val="000000" w:themeColor="text1"/>
          <w:sz w:val="22"/>
          <w:szCs w:val="22"/>
        </w:rPr>
        <w:t>nu na aktívny (S)-enantiomér (pozri tiež časť 4.3).</w:t>
      </w:r>
    </w:p>
    <w:p w:rsidR="00467218" w:rsidRPr="004A7288" w:rsidRDefault="00467218" w:rsidP="00005545">
      <w:pPr>
        <w:spacing w:after="0"/>
        <w:jc w:val="left"/>
        <w:rPr>
          <w:color w:val="000000" w:themeColor="text1"/>
          <w:sz w:val="22"/>
          <w:szCs w:val="22"/>
        </w:rPr>
      </w:pPr>
    </w:p>
    <w:p w:rsidR="00467218" w:rsidRPr="004A7288" w:rsidRDefault="00082C3B" w:rsidP="0022293B">
      <w:pPr>
        <w:spacing w:after="0"/>
        <w:jc w:val="left"/>
        <w:rPr>
          <w:b/>
          <w:color w:val="000000" w:themeColor="text1"/>
          <w:sz w:val="22"/>
          <w:szCs w:val="22"/>
        </w:rPr>
      </w:pPr>
      <w:r w:rsidRPr="00082C3B">
        <w:rPr>
          <w:b/>
          <w:color w:val="000000" w:themeColor="text1"/>
          <w:sz w:val="22"/>
          <w:szCs w:val="22"/>
        </w:rPr>
        <w:t>5.3</w:t>
      </w:r>
      <w:r w:rsidRPr="00082C3B">
        <w:rPr>
          <w:b/>
          <w:color w:val="000000" w:themeColor="text1"/>
          <w:sz w:val="22"/>
          <w:szCs w:val="22"/>
        </w:rPr>
        <w:tab/>
      </w:r>
      <w:r w:rsidRPr="00082C3B">
        <w:rPr>
          <w:b/>
          <w:bCs/>
          <w:color w:val="000000" w:themeColor="text1"/>
          <w:sz w:val="22"/>
          <w:szCs w:val="22"/>
        </w:rPr>
        <w:t>Predklinické údaje o bezpečnosti</w:t>
      </w:r>
    </w:p>
    <w:p w:rsidR="00005545" w:rsidRPr="004A7288" w:rsidRDefault="00005545" w:rsidP="0022293B">
      <w:pPr>
        <w:spacing w:after="0"/>
        <w:jc w:val="left"/>
        <w:rPr>
          <w:color w:val="000000" w:themeColor="text1"/>
          <w:sz w:val="22"/>
          <w:szCs w:val="22"/>
        </w:rPr>
      </w:pPr>
    </w:p>
    <w:p w:rsidR="0022293B" w:rsidRPr="004A7288" w:rsidRDefault="00082C3B" w:rsidP="00777BDB">
      <w:pPr>
        <w:spacing w:after="0"/>
        <w:jc w:val="left"/>
        <w:rPr>
          <w:color w:val="000000" w:themeColor="text1"/>
          <w:sz w:val="22"/>
          <w:szCs w:val="22"/>
          <w:lang w:eastAsia="cs-CZ"/>
        </w:rPr>
      </w:pPr>
      <w:r w:rsidRPr="00082C3B">
        <w:rPr>
          <w:color w:val="000000" w:themeColor="text1"/>
          <w:sz w:val="22"/>
          <w:szCs w:val="22"/>
          <w:lang w:eastAsia="cs-CZ"/>
        </w:rPr>
        <w:t xml:space="preserve">Subchronická a chronická toxicita </w:t>
      </w:r>
      <w:r w:rsidR="008D3117" w:rsidRPr="00082C3B">
        <w:rPr>
          <w:color w:val="000000" w:themeColor="text1"/>
          <w:sz w:val="22"/>
          <w:szCs w:val="22"/>
          <w:lang w:eastAsia="cs-CZ"/>
        </w:rPr>
        <w:t>ibuprofénu</w:t>
      </w:r>
      <w:r w:rsidRPr="00082C3B">
        <w:rPr>
          <w:color w:val="000000" w:themeColor="text1"/>
          <w:sz w:val="22"/>
          <w:szCs w:val="22"/>
          <w:lang w:eastAsia="cs-CZ"/>
        </w:rPr>
        <w:t xml:space="preserve"> sa v pokusoch na zvieratách prejavovala predovšetkým léziami a ulceráciami v gastrointestinálnom trakte. </w:t>
      </w:r>
      <w:r w:rsidR="008D3117" w:rsidRPr="00082C3B">
        <w:rPr>
          <w:color w:val="000000" w:themeColor="text1"/>
          <w:sz w:val="22"/>
          <w:szCs w:val="22"/>
          <w:lang w:eastAsia="cs-CZ"/>
        </w:rPr>
        <w:t>Ibuprofén</w:t>
      </w:r>
      <w:r w:rsidRPr="00082C3B">
        <w:rPr>
          <w:color w:val="000000" w:themeColor="text1"/>
          <w:sz w:val="22"/>
          <w:szCs w:val="22"/>
          <w:lang w:eastAsia="cs-CZ"/>
        </w:rPr>
        <w:t xml:space="preserve"> nevykazoval žiadny klinicky významný dôkaz o mutagénnom potenciáli v</w:t>
      </w:r>
      <w:r w:rsidRPr="00082C3B">
        <w:rPr>
          <w:i/>
          <w:color w:val="000000" w:themeColor="text1"/>
          <w:sz w:val="22"/>
          <w:szCs w:val="22"/>
          <w:lang w:eastAsia="cs-CZ"/>
        </w:rPr>
        <w:t xml:space="preserve"> in vitro </w:t>
      </w:r>
      <w:r w:rsidRPr="00082C3B">
        <w:rPr>
          <w:color w:val="000000" w:themeColor="text1"/>
          <w:sz w:val="22"/>
          <w:szCs w:val="22"/>
          <w:lang w:eastAsia="cs-CZ"/>
        </w:rPr>
        <w:t>a</w:t>
      </w:r>
      <w:r w:rsidRPr="00082C3B">
        <w:rPr>
          <w:i/>
          <w:color w:val="000000" w:themeColor="text1"/>
          <w:sz w:val="22"/>
          <w:szCs w:val="22"/>
          <w:lang w:eastAsia="cs-CZ"/>
        </w:rPr>
        <w:t> in vivo</w:t>
      </w:r>
      <w:r w:rsidRPr="00082C3B">
        <w:rPr>
          <w:color w:val="000000" w:themeColor="text1"/>
          <w:sz w:val="22"/>
          <w:szCs w:val="22"/>
          <w:lang w:eastAsia="cs-CZ"/>
        </w:rPr>
        <w:t xml:space="preserve"> štúdiách. V štúdiách u potkanov a myší sa nezistil žiadny dôkaz o karcinogénnych účinkoch </w:t>
      </w:r>
      <w:r w:rsidR="008D3117" w:rsidRPr="00082C3B">
        <w:rPr>
          <w:color w:val="000000" w:themeColor="text1"/>
          <w:sz w:val="22"/>
          <w:szCs w:val="22"/>
          <w:lang w:eastAsia="cs-CZ"/>
        </w:rPr>
        <w:t>ibuprofénu</w:t>
      </w:r>
      <w:r w:rsidRPr="00082C3B">
        <w:rPr>
          <w:color w:val="000000" w:themeColor="text1"/>
          <w:sz w:val="22"/>
          <w:szCs w:val="22"/>
          <w:lang w:eastAsia="cs-CZ"/>
        </w:rPr>
        <w:t>.</w:t>
      </w:r>
    </w:p>
    <w:p w:rsidR="0022293B" w:rsidRPr="004A7288" w:rsidRDefault="0022293B" w:rsidP="00777BDB">
      <w:pPr>
        <w:spacing w:after="0"/>
        <w:jc w:val="left"/>
        <w:rPr>
          <w:color w:val="000000" w:themeColor="text1"/>
          <w:sz w:val="22"/>
          <w:szCs w:val="22"/>
          <w:lang w:eastAsia="cs-CZ"/>
        </w:rPr>
      </w:pPr>
    </w:p>
    <w:p w:rsidR="00467218" w:rsidRPr="004A7288" w:rsidRDefault="008D3117" w:rsidP="0022293B">
      <w:pPr>
        <w:spacing w:after="0"/>
        <w:jc w:val="left"/>
        <w:rPr>
          <w:sz w:val="22"/>
          <w:szCs w:val="22"/>
        </w:rPr>
      </w:pPr>
      <w:r w:rsidRPr="00082C3B">
        <w:rPr>
          <w:color w:val="000000" w:themeColor="text1"/>
          <w:sz w:val="22"/>
          <w:szCs w:val="22"/>
          <w:lang w:eastAsia="cs-CZ"/>
        </w:rPr>
        <w:t>Ibuprofén</w:t>
      </w:r>
      <w:r w:rsidR="00082C3B" w:rsidRPr="00082C3B">
        <w:rPr>
          <w:color w:val="000000" w:themeColor="text1"/>
          <w:sz w:val="22"/>
          <w:szCs w:val="22"/>
          <w:lang w:eastAsia="cs-CZ"/>
        </w:rPr>
        <w:t xml:space="preserve"> inhiboval ovuláciu u králikov a vyvolal</w:t>
      </w:r>
      <w:r w:rsidR="00082C3B" w:rsidRPr="00082C3B">
        <w:rPr>
          <w:sz w:val="22"/>
          <w:szCs w:val="22"/>
          <w:lang w:eastAsia="cs-CZ"/>
        </w:rPr>
        <w:t xml:space="preserve"> poruchy implantácie u rôznych živočíšnych druhov (králik, potkan, myš). V experimentálnych štúdiách u potkanov a králikov sa preukázalo, že </w:t>
      </w:r>
      <w:r w:rsidRPr="00082C3B">
        <w:rPr>
          <w:sz w:val="22"/>
          <w:szCs w:val="22"/>
          <w:lang w:eastAsia="cs-CZ"/>
        </w:rPr>
        <w:t>ibuprofén</w:t>
      </w:r>
      <w:r w:rsidR="00082C3B" w:rsidRPr="00082C3B">
        <w:rPr>
          <w:sz w:val="22"/>
          <w:szCs w:val="22"/>
          <w:lang w:eastAsia="cs-CZ"/>
        </w:rPr>
        <w:t xml:space="preserve"> prechádza cez placentu. Po podaní dávok toxických pre matku sa pozoroval zvýšený výskyt malformácií (defektov ventrikulárneho septa) u potomstva potkanov.</w:t>
      </w:r>
    </w:p>
    <w:p w:rsidR="00467218" w:rsidRPr="004A7288" w:rsidRDefault="00467218" w:rsidP="0022293B">
      <w:pPr>
        <w:spacing w:after="0"/>
        <w:jc w:val="left"/>
        <w:rPr>
          <w:sz w:val="22"/>
          <w:szCs w:val="22"/>
        </w:rPr>
      </w:pPr>
    </w:p>
    <w:p w:rsidR="007332C5" w:rsidRPr="004A7288" w:rsidRDefault="007332C5" w:rsidP="00005545">
      <w:pPr>
        <w:spacing w:after="0"/>
        <w:jc w:val="left"/>
        <w:rPr>
          <w:sz w:val="22"/>
          <w:szCs w:val="22"/>
        </w:rPr>
      </w:pPr>
    </w:p>
    <w:p w:rsidR="00467218" w:rsidRPr="004A7288" w:rsidRDefault="00082C3B" w:rsidP="00005545">
      <w:pPr>
        <w:pStyle w:val="Nadpis2"/>
        <w:jc w:val="left"/>
        <w:rPr>
          <w:rFonts w:cs="Times New Roman"/>
          <w:sz w:val="22"/>
          <w:szCs w:val="22"/>
          <w:lang w:val="sk-SK"/>
        </w:rPr>
      </w:pPr>
      <w:r w:rsidRPr="00082C3B">
        <w:rPr>
          <w:rFonts w:cs="Times New Roman"/>
          <w:sz w:val="22"/>
          <w:szCs w:val="22"/>
          <w:lang w:val="sk-SK"/>
        </w:rPr>
        <w:t>6.</w:t>
      </w:r>
      <w:r w:rsidRPr="00082C3B">
        <w:rPr>
          <w:rFonts w:cs="Times New Roman"/>
          <w:sz w:val="22"/>
          <w:szCs w:val="22"/>
          <w:lang w:val="sk-SK"/>
        </w:rPr>
        <w:tab/>
      </w:r>
      <w:r w:rsidRPr="00082C3B">
        <w:rPr>
          <w:rFonts w:cs="Times New Roman"/>
          <w:bCs w:val="0"/>
          <w:sz w:val="22"/>
          <w:szCs w:val="22"/>
          <w:lang w:val="sk-SK"/>
        </w:rPr>
        <w:t>FARMACEUTICKÉ INFORMÁCIE</w:t>
      </w:r>
    </w:p>
    <w:p w:rsidR="00467218" w:rsidRPr="004A7288" w:rsidRDefault="00467218" w:rsidP="00005545">
      <w:pPr>
        <w:spacing w:after="0"/>
        <w:jc w:val="left"/>
        <w:rPr>
          <w:sz w:val="22"/>
          <w:szCs w:val="22"/>
        </w:rPr>
      </w:pPr>
    </w:p>
    <w:p w:rsidR="00467218" w:rsidRPr="004A7288" w:rsidRDefault="00082C3B" w:rsidP="00005545">
      <w:pPr>
        <w:spacing w:after="0"/>
        <w:jc w:val="left"/>
        <w:rPr>
          <w:b/>
          <w:sz w:val="22"/>
          <w:szCs w:val="22"/>
        </w:rPr>
      </w:pPr>
      <w:r w:rsidRPr="00082C3B">
        <w:rPr>
          <w:b/>
          <w:sz w:val="22"/>
          <w:szCs w:val="22"/>
        </w:rPr>
        <w:t>6.1</w:t>
      </w:r>
      <w:r w:rsidRPr="00082C3B">
        <w:rPr>
          <w:b/>
          <w:sz w:val="22"/>
          <w:szCs w:val="22"/>
        </w:rPr>
        <w:tab/>
      </w:r>
      <w:r w:rsidRPr="00082C3B">
        <w:rPr>
          <w:b/>
          <w:bCs/>
          <w:sz w:val="22"/>
          <w:szCs w:val="22"/>
        </w:rPr>
        <w:t>Zoznam pomocných látok</w:t>
      </w:r>
    </w:p>
    <w:p w:rsidR="00467218" w:rsidRPr="004A7288" w:rsidRDefault="00467218" w:rsidP="00005545">
      <w:pPr>
        <w:spacing w:after="0"/>
        <w:jc w:val="left"/>
        <w:rPr>
          <w:sz w:val="22"/>
          <w:szCs w:val="22"/>
        </w:rPr>
      </w:pPr>
    </w:p>
    <w:p w:rsidR="00467218" w:rsidRPr="004A7288" w:rsidRDefault="00082C3B" w:rsidP="00005545">
      <w:pPr>
        <w:spacing w:after="0"/>
        <w:jc w:val="left"/>
        <w:rPr>
          <w:sz w:val="22"/>
          <w:szCs w:val="22"/>
        </w:rPr>
      </w:pPr>
      <w:r w:rsidRPr="00082C3B">
        <w:rPr>
          <w:sz w:val="22"/>
          <w:szCs w:val="22"/>
        </w:rPr>
        <w:t>tekutý sorbitol (nekryštalizujúci)</w:t>
      </w:r>
    </w:p>
    <w:p w:rsidR="00467218" w:rsidRPr="004A7288" w:rsidRDefault="00082C3B" w:rsidP="00005545">
      <w:pPr>
        <w:spacing w:after="0"/>
        <w:jc w:val="left"/>
        <w:rPr>
          <w:sz w:val="22"/>
          <w:szCs w:val="22"/>
        </w:rPr>
      </w:pPr>
      <w:r w:rsidRPr="00082C3B">
        <w:rPr>
          <w:sz w:val="22"/>
          <w:szCs w:val="22"/>
        </w:rPr>
        <w:t>mikrokryštalická celulóza a sodná soľ karmelózy</w:t>
      </w:r>
    </w:p>
    <w:p w:rsidR="00467218" w:rsidRPr="004A7288" w:rsidRDefault="00082C3B" w:rsidP="00005545">
      <w:pPr>
        <w:spacing w:after="0"/>
        <w:jc w:val="left"/>
        <w:rPr>
          <w:sz w:val="22"/>
          <w:szCs w:val="22"/>
        </w:rPr>
      </w:pPr>
      <w:r w:rsidRPr="00082C3B">
        <w:rPr>
          <w:sz w:val="22"/>
          <w:szCs w:val="22"/>
        </w:rPr>
        <w:t>sodná soľ karmelózy</w:t>
      </w:r>
    </w:p>
    <w:p w:rsidR="00467218" w:rsidRPr="004A7288" w:rsidRDefault="00082C3B" w:rsidP="00005545">
      <w:pPr>
        <w:spacing w:after="0"/>
        <w:jc w:val="left"/>
        <w:rPr>
          <w:sz w:val="22"/>
          <w:szCs w:val="22"/>
        </w:rPr>
      </w:pPr>
      <w:r w:rsidRPr="00082C3B">
        <w:rPr>
          <w:sz w:val="22"/>
          <w:szCs w:val="22"/>
        </w:rPr>
        <w:t>monohydrát kyseliny citrónovej</w:t>
      </w:r>
    </w:p>
    <w:p w:rsidR="00056FC7" w:rsidRPr="004A7288" w:rsidRDefault="00082C3B" w:rsidP="00005545">
      <w:pPr>
        <w:spacing w:after="0"/>
        <w:jc w:val="left"/>
        <w:rPr>
          <w:sz w:val="22"/>
          <w:szCs w:val="22"/>
        </w:rPr>
      </w:pPr>
      <w:r w:rsidRPr="00082C3B">
        <w:rPr>
          <w:sz w:val="22"/>
          <w:szCs w:val="22"/>
        </w:rPr>
        <w:t xml:space="preserve">benzoan sodný </w:t>
      </w:r>
    </w:p>
    <w:p w:rsidR="00056FC7" w:rsidRPr="004A7288" w:rsidRDefault="00082C3B" w:rsidP="00005545">
      <w:pPr>
        <w:spacing w:after="0"/>
        <w:jc w:val="left"/>
        <w:rPr>
          <w:sz w:val="22"/>
          <w:szCs w:val="22"/>
        </w:rPr>
      </w:pPr>
      <w:r w:rsidRPr="00082C3B">
        <w:rPr>
          <w:sz w:val="22"/>
          <w:szCs w:val="22"/>
        </w:rPr>
        <w:t>chlorid sodný</w:t>
      </w:r>
    </w:p>
    <w:p w:rsidR="00056FC7" w:rsidRPr="004A7288" w:rsidRDefault="00082C3B" w:rsidP="00005545">
      <w:pPr>
        <w:spacing w:after="0"/>
        <w:jc w:val="left"/>
        <w:rPr>
          <w:sz w:val="22"/>
          <w:szCs w:val="22"/>
        </w:rPr>
      </w:pPr>
      <w:r w:rsidRPr="00082C3B">
        <w:rPr>
          <w:sz w:val="22"/>
          <w:szCs w:val="22"/>
        </w:rPr>
        <w:t>malinová príchuť</w:t>
      </w:r>
    </w:p>
    <w:p w:rsidR="00056FC7" w:rsidRPr="004A7288" w:rsidRDefault="00082C3B" w:rsidP="00005545">
      <w:pPr>
        <w:spacing w:after="0"/>
        <w:jc w:val="left"/>
        <w:rPr>
          <w:sz w:val="22"/>
          <w:szCs w:val="22"/>
        </w:rPr>
      </w:pPr>
      <w:r w:rsidRPr="00082C3B">
        <w:rPr>
          <w:sz w:val="22"/>
          <w:szCs w:val="22"/>
        </w:rPr>
        <w:lastRenderedPageBreak/>
        <w:t>čerešňová príchuť</w:t>
      </w:r>
    </w:p>
    <w:p w:rsidR="00056FC7" w:rsidRPr="004A7288" w:rsidRDefault="00082C3B" w:rsidP="00C22359">
      <w:pPr>
        <w:spacing w:after="0"/>
        <w:jc w:val="left"/>
        <w:rPr>
          <w:sz w:val="22"/>
          <w:szCs w:val="22"/>
        </w:rPr>
      </w:pPr>
      <w:r w:rsidRPr="00082C3B">
        <w:rPr>
          <w:sz w:val="22"/>
          <w:szCs w:val="22"/>
        </w:rPr>
        <w:t>taumatín E-597</w:t>
      </w:r>
    </w:p>
    <w:p w:rsidR="00056FC7" w:rsidRPr="004A7288" w:rsidRDefault="00082C3B" w:rsidP="00C22359">
      <w:pPr>
        <w:spacing w:after="0"/>
        <w:jc w:val="left"/>
        <w:rPr>
          <w:sz w:val="22"/>
          <w:szCs w:val="22"/>
        </w:rPr>
      </w:pPr>
      <w:r w:rsidRPr="00082C3B">
        <w:rPr>
          <w:sz w:val="22"/>
          <w:szCs w:val="22"/>
        </w:rPr>
        <w:t>sukralóza</w:t>
      </w:r>
    </w:p>
    <w:p w:rsidR="00056FC7" w:rsidRPr="004A7288" w:rsidRDefault="00082C3B" w:rsidP="00C22359">
      <w:pPr>
        <w:spacing w:after="0"/>
        <w:jc w:val="left"/>
        <w:rPr>
          <w:sz w:val="22"/>
          <w:szCs w:val="22"/>
        </w:rPr>
      </w:pPr>
      <w:r w:rsidRPr="00082C3B">
        <w:rPr>
          <w:sz w:val="22"/>
          <w:szCs w:val="22"/>
        </w:rPr>
        <w:t>dihydrát sodnej soli sacharínu</w:t>
      </w:r>
    </w:p>
    <w:p w:rsidR="00056FC7" w:rsidRPr="004A7288" w:rsidRDefault="00082C3B" w:rsidP="00005545">
      <w:pPr>
        <w:spacing w:after="0"/>
        <w:jc w:val="left"/>
        <w:rPr>
          <w:sz w:val="22"/>
          <w:szCs w:val="22"/>
        </w:rPr>
      </w:pPr>
      <w:r w:rsidRPr="00082C3B">
        <w:rPr>
          <w:sz w:val="22"/>
          <w:szCs w:val="22"/>
        </w:rPr>
        <w:t xml:space="preserve">polysorbát 60 </w:t>
      </w:r>
    </w:p>
    <w:p w:rsidR="00056FC7" w:rsidRPr="004A7288" w:rsidRDefault="00082C3B" w:rsidP="00005545">
      <w:pPr>
        <w:spacing w:after="0"/>
        <w:jc w:val="left"/>
        <w:rPr>
          <w:sz w:val="22"/>
          <w:szCs w:val="22"/>
        </w:rPr>
      </w:pPr>
      <w:r w:rsidRPr="00082C3B">
        <w:rPr>
          <w:sz w:val="22"/>
          <w:szCs w:val="22"/>
        </w:rPr>
        <w:t>ružový extrakt antokyanínu E-163</w:t>
      </w:r>
    </w:p>
    <w:p w:rsidR="00056FC7" w:rsidRPr="004A7288" w:rsidRDefault="00082C3B" w:rsidP="00005545">
      <w:pPr>
        <w:spacing w:after="0"/>
        <w:jc w:val="left"/>
        <w:rPr>
          <w:sz w:val="22"/>
          <w:szCs w:val="22"/>
        </w:rPr>
      </w:pPr>
      <w:r w:rsidRPr="00082C3B">
        <w:rPr>
          <w:sz w:val="22"/>
          <w:szCs w:val="22"/>
        </w:rPr>
        <w:t>čistená voda</w:t>
      </w:r>
    </w:p>
    <w:p w:rsidR="00056FC7" w:rsidRPr="004A7288" w:rsidRDefault="00056FC7" w:rsidP="00005545">
      <w:pPr>
        <w:spacing w:after="0"/>
        <w:jc w:val="left"/>
        <w:rPr>
          <w:sz w:val="22"/>
          <w:szCs w:val="22"/>
        </w:rPr>
      </w:pPr>
    </w:p>
    <w:p w:rsidR="00467218" w:rsidRPr="004A7288" w:rsidRDefault="00082C3B" w:rsidP="00005545">
      <w:pPr>
        <w:spacing w:after="0"/>
        <w:jc w:val="left"/>
        <w:rPr>
          <w:b/>
          <w:sz w:val="22"/>
          <w:szCs w:val="22"/>
        </w:rPr>
      </w:pPr>
      <w:r w:rsidRPr="00082C3B">
        <w:rPr>
          <w:b/>
          <w:sz w:val="22"/>
          <w:szCs w:val="22"/>
        </w:rPr>
        <w:t>6.2</w:t>
      </w:r>
      <w:r w:rsidRPr="00082C3B">
        <w:rPr>
          <w:b/>
          <w:sz w:val="22"/>
          <w:szCs w:val="22"/>
        </w:rPr>
        <w:tab/>
        <w:t>Inkompatibility</w:t>
      </w:r>
    </w:p>
    <w:p w:rsidR="007332C5" w:rsidRPr="004A7288" w:rsidRDefault="007332C5" w:rsidP="00005545">
      <w:pPr>
        <w:spacing w:after="0"/>
        <w:jc w:val="left"/>
        <w:rPr>
          <w:b/>
          <w:sz w:val="22"/>
          <w:szCs w:val="22"/>
        </w:rPr>
      </w:pPr>
    </w:p>
    <w:p w:rsidR="00467218" w:rsidRPr="004A7288" w:rsidRDefault="00082C3B" w:rsidP="00005545">
      <w:pPr>
        <w:spacing w:after="0"/>
        <w:jc w:val="left"/>
        <w:rPr>
          <w:sz w:val="22"/>
          <w:szCs w:val="22"/>
        </w:rPr>
      </w:pPr>
      <w:r w:rsidRPr="00082C3B">
        <w:rPr>
          <w:sz w:val="22"/>
          <w:szCs w:val="22"/>
        </w:rPr>
        <w:t>Neaplikovateľné.</w:t>
      </w:r>
    </w:p>
    <w:p w:rsidR="00467218" w:rsidRPr="004A7288" w:rsidRDefault="00467218" w:rsidP="00005545">
      <w:pPr>
        <w:spacing w:after="0"/>
        <w:jc w:val="left"/>
        <w:rPr>
          <w:sz w:val="22"/>
          <w:szCs w:val="22"/>
        </w:rPr>
      </w:pPr>
    </w:p>
    <w:p w:rsidR="00467218" w:rsidRPr="004A7288" w:rsidRDefault="00082C3B" w:rsidP="00005545">
      <w:pPr>
        <w:spacing w:after="0"/>
        <w:jc w:val="left"/>
        <w:rPr>
          <w:b/>
          <w:sz w:val="22"/>
          <w:szCs w:val="22"/>
        </w:rPr>
      </w:pPr>
      <w:r w:rsidRPr="00082C3B">
        <w:rPr>
          <w:b/>
          <w:sz w:val="22"/>
          <w:szCs w:val="22"/>
        </w:rPr>
        <w:t>6.3</w:t>
      </w:r>
      <w:r w:rsidRPr="00082C3B">
        <w:rPr>
          <w:b/>
          <w:sz w:val="22"/>
          <w:szCs w:val="22"/>
        </w:rPr>
        <w:tab/>
      </w:r>
      <w:r w:rsidRPr="00082C3B">
        <w:rPr>
          <w:b/>
          <w:bCs/>
          <w:sz w:val="22"/>
          <w:szCs w:val="22"/>
        </w:rPr>
        <w:t>Čas použiteľnosti</w:t>
      </w:r>
    </w:p>
    <w:p w:rsidR="007332C5" w:rsidRPr="004A7288" w:rsidRDefault="007332C5" w:rsidP="00005545">
      <w:pPr>
        <w:spacing w:after="0"/>
        <w:jc w:val="left"/>
        <w:rPr>
          <w:b/>
          <w:sz w:val="22"/>
          <w:szCs w:val="22"/>
        </w:rPr>
      </w:pPr>
    </w:p>
    <w:p w:rsidR="00467218" w:rsidRPr="004A7288" w:rsidRDefault="00082C3B" w:rsidP="00005545">
      <w:pPr>
        <w:spacing w:after="0"/>
        <w:jc w:val="left"/>
        <w:rPr>
          <w:sz w:val="22"/>
          <w:szCs w:val="22"/>
        </w:rPr>
      </w:pPr>
      <w:r w:rsidRPr="00082C3B">
        <w:rPr>
          <w:sz w:val="22"/>
          <w:szCs w:val="22"/>
        </w:rPr>
        <w:t>2 roky</w:t>
      </w:r>
    </w:p>
    <w:p w:rsidR="00467218" w:rsidRPr="004A7288" w:rsidRDefault="00467218" w:rsidP="00005545">
      <w:pPr>
        <w:spacing w:after="0"/>
        <w:jc w:val="left"/>
        <w:rPr>
          <w:sz w:val="22"/>
          <w:szCs w:val="22"/>
          <w:highlight w:val="yellow"/>
        </w:rPr>
      </w:pPr>
    </w:p>
    <w:p w:rsidR="00467218" w:rsidRPr="004A7288" w:rsidRDefault="00082C3B" w:rsidP="00005545">
      <w:pPr>
        <w:spacing w:after="0"/>
        <w:jc w:val="left"/>
        <w:rPr>
          <w:sz w:val="22"/>
          <w:szCs w:val="22"/>
        </w:rPr>
      </w:pPr>
      <w:r w:rsidRPr="00082C3B">
        <w:rPr>
          <w:sz w:val="22"/>
          <w:szCs w:val="22"/>
        </w:rPr>
        <w:t>Čas použiteľnosti po prvom otvorení fľašky: 6 mesiacov.</w:t>
      </w:r>
    </w:p>
    <w:p w:rsidR="00467218" w:rsidRPr="004A7288" w:rsidRDefault="00467218" w:rsidP="00005545">
      <w:pPr>
        <w:spacing w:after="0"/>
        <w:jc w:val="left"/>
        <w:rPr>
          <w:sz w:val="22"/>
          <w:szCs w:val="22"/>
        </w:rPr>
      </w:pPr>
    </w:p>
    <w:p w:rsidR="00467218" w:rsidRPr="004A7288" w:rsidRDefault="00082C3B" w:rsidP="00005545">
      <w:pPr>
        <w:spacing w:after="0"/>
        <w:jc w:val="left"/>
        <w:rPr>
          <w:b/>
          <w:sz w:val="22"/>
          <w:szCs w:val="22"/>
        </w:rPr>
      </w:pPr>
      <w:r w:rsidRPr="00082C3B">
        <w:rPr>
          <w:b/>
          <w:sz w:val="22"/>
          <w:szCs w:val="22"/>
        </w:rPr>
        <w:t>6.4</w:t>
      </w:r>
      <w:r w:rsidRPr="00082C3B">
        <w:rPr>
          <w:b/>
          <w:sz w:val="22"/>
          <w:szCs w:val="22"/>
        </w:rPr>
        <w:tab/>
      </w:r>
      <w:r w:rsidRPr="00082C3B">
        <w:rPr>
          <w:b/>
          <w:bCs/>
          <w:sz w:val="22"/>
          <w:szCs w:val="22"/>
        </w:rPr>
        <w:t>Špeciálne upozornenia na uchovávanie</w:t>
      </w:r>
    </w:p>
    <w:p w:rsidR="007332C5" w:rsidRPr="004A7288" w:rsidRDefault="007332C5" w:rsidP="00005545">
      <w:pPr>
        <w:spacing w:after="0"/>
        <w:jc w:val="left"/>
        <w:rPr>
          <w:b/>
          <w:sz w:val="22"/>
          <w:szCs w:val="22"/>
        </w:rPr>
      </w:pPr>
    </w:p>
    <w:p w:rsidR="00467218" w:rsidRPr="004A7288" w:rsidRDefault="00082C3B" w:rsidP="00005545">
      <w:pPr>
        <w:spacing w:after="0"/>
        <w:jc w:val="left"/>
        <w:rPr>
          <w:sz w:val="22"/>
          <w:szCs w:val="22"/>
        </w:rPr>
      </w:pPr>
      <w:r w:rsidRPr="00082C3B">
        <w:rPr>
          <w:sz w:val="22"/>
          <w:szCs w:val="22"/>
        </w:rPr>
        <w:t xml:space="preserve">Tento liek nevyžaduje žiadne zvláštne podmienky na uchovávanie. </w:t>
      </w:r>
    </w:p>
    <w:p w:rsidR="00467218" w:rsidRPr="004A7288" w:rsidRDefault="00082C3B" w:rsidP="00005545">
      <w:pPr>
        <w:spacing w:after="0"/>
        <w:jc w:val="left"/>
        <w:rPr>
          <w:sz w:val="22"/>
          <w:szCs w:val="22"/>
        </w:rPr>
      </w:pPr>
      <w:r w:rsidRPr="00082C3B">
        <w:rPr>
          <w:sz w:val="22"/>
          <w:szCs w:val="22"/>
        </w:rPr>
        <w:t>Po prvom otvorení uchovávajte do 25 °C.</w:t>
      </w:r>
    </w:p>
    <w:p w:rsidR="0036057B" w:rsidRPr="004A7288" w:rsidRDefault="0036057B" w:rsidP="00005545">
      <w:pPr>
        <w:spacing w:after="0"/>
        <w:jc w:val="left"/>
        <w:rPr>
          <w:sz w:val="22"/>
          <w:szCs w:val="22"/>
        </w:rPr>
      </w:pPr>
    </w:p>
    <w:p w:rsidR="00467218" w:rsidRPr="004A7288" w:rsidRDefault="00082C3B" w:rsidP="00005545">
      <w:pPr>
        <w:spacing w:after="0"/>
        <w:jc w:val="left"/>
        <w:rPr>
          <w:b/>
          <w:sz w:val="22"/>
          <w:szCs w:val="22"/>
        </w:rPr>
      </w:pPr>
      <w:r w:rsidRPr="00082C3B">
        <w:rPr>
          <w:b/>
          <w:sz w:val="22"/>
          <w:szCs w:val="22"/>
        </w:rPr>
        <w:t>6.5</w:t>
      </w:r>
      <w:r w:rsidRPr="00082C3B">
        <w:rPr>
          <w:b/>
          <w:sz w:val="22"/>
          <w:szCs w:val="22"/>
        </w:rPr>
        <w:tab/>
      </w:r>
      <w:r w:rsidRPr="00082C3B">
        <w:rPr>
          <w:b/>
          <w:bCs/>
          <w:sz w:val="22"/>
          <w:szCs w:val="22"/>
        </w:rPr>
        <w:t>Druh obalu a obsah balenia</w:t>
      </w:r>
    </w:p>
    <w:p w:rsidR="007332C5" w:rsidRPr="004A7288" w:rsidRDefault="007332C5" w:rsidP="00005545">
      <w:pPr>
        <w:spacing w:after="0"/>
        <w:jc w:val="left"/>
        <w:rPr>
          <w:b/>
          <w:sz w:val="22"/>
          <w:szCs w:val="22"/>
        </w:rPr>
      </w:pPr>
    </w:p>
    <w:p w:rsidR="00056FC7" w:rsidRPr="004A7288" w:rsidRDefault="00082C3B" w:rsidP="00005545">
      <w:pPr>
        <w:spacing w:after="0"/>
        <w:jc w:val="left"/>
        <w:rPr>
          <w:sz w:val="22"/>
          <w:szCs w:val="22"/>
        </w:rPr>
      </w:pPr>
      <w:r w:rsidRPr="00082C3B">
        <w:rPr>
          <w:sz w:val="22"/>
          <w:szCs w:val="22"/>
          <w:u w:val="single"/>
        </w:rPr>
        <w:t>Druh obalu:</w:t>
      </w:r>
      <w:r w:rsidRPr="00082C3B">
        <w:rPr>
          <w:sz w:val="22"/>
          <w:szCs w:val="22"/>
        </w:rPr>
        <w:t xml:space="preserve"> fľaška z tmavého skla (hydrolytická trieda III) s plastovou vložkou s bielym skrutkovacím bezpečnostným uzáverom z polypropylénu. </w:t>
      </w:r>
    </w:p>
    <w:p w:rsidR="00467218" w:rsidRPr="004A7288" w:rsidRDefault="00082C3B" w:rsidP="00005545">
      <w:pPr>
        <w:spacing w:after="0"/>
        <w:jc w:val="left"/>
        <w:rPr>
          <w:sz w:val="22"/>
          <w:szCs w:val="22"/>
        </w:rPr>
      </w:pPr>
      <w:r w:rsidRPr="00082C3B">
        <w:rPr>
          <w:sz w:val="22"/>
          <w:szCs w:val="22"/>
        </w:rPr>
        <w:t>Balenie obsahuje meraciu pomôcku: dávkovaciu pipetu (trubičku) (6 ml) s vyznačenými dávkami.</w:t>
      </w:r>
    </w:p>
    <w:p w:rsidR="00C04680" w:rsidRPr="004A7288" w:rsidRDefault="00C04680" w:rsidP="00005545">
      <w:pPr>
        <w:spacing w:after="0"/>
        <w:jc w:val="left"/>
        <w:rPr>
          <w:sz w:val="22"/>
          <w:szCs w:val="22"/>
        </w:rPr>
      </w:pPr>
    </w:p>
    <w:p w:rsidR="00467218" w:rsidRPr="004A7288" w:rsidRDefault="00082C3B" w:rsidP="00005545">
      <w:pPr>
        <w:spacing w:after="0"/>
        <w:jc w:val="left"/>
        <w:rPr>
          <w:sz w:val="22"/>
          <w:szCs w:val="22"/>
        </w:rPr>
      </w:pPr>
      <w:r w:rsidRPr="00082C3B">
        <w:rPr>
          <w:sz w:val="22"/>
          <w:szCs w:val="22"/>
          <w:u w:val="single"/>
        </w:rPr>
        <w:t>Veľkosť balenia</w:t>
      </w:r>
      <w:r w:rsidRPr="00082C3B">
        <w:rPr>
          <w:sz w:val="22"/>
          <w:szCs w:val="22"/>
        </w:rPr>
        <w:t>: 1 × 100 ml (1 fľaška obsahuje 100 ml suspenzie).</w:t>
      </w:r>
    </w:p>
    <w:p w:rsidR="00467218" w:rsidRPr="004A7288" w:rsidRDefault="00467218" w:rsidP="00005545">
      <w:pPr>
        <w:spacing w:after="0"/>
        <w:jc w:val="left"/>
        <w:rPr>
          <w:sz w:val="22"/>
          <w:szCs w:val="22"/>
        </w:rPr>
      </w:pPr>
    </w:p>
    <w:p w:rsidR="00467218" w:rsidRPr="004A7288" w:rsidRDefault="00082C3B" w:rsidP="00005545">
      <w:pPr>
        <w:spacing w:after="0"/>
        <w:jc w:val="left"/>
        <w:rPr>
          <w:b/>
          <w:sz w:val="22"/>
          <w:szCs w:val="22"/>
        </w:rPr>
      </w:pPr>
      <w:r w:rsidRPr="00082C3B">
        <w:rPr>
          <w:b/>
          <w:sz w:val="22"/>
          <w:szCs w:val="22"/>
        </w:rPr>
        <w:t>6.6</w:t>
      </w:r>
      <w:r w:rsidRPr="00082C3B">
        <w:rPr>
          <w:b/>
          <w:sz w:val="22"/>
          <w:szCs w:val="22"/>
        </w:rPr>
        <w:tab/>
      </w:r>
      <w:r w:rsidRPr="00082C3B">
        <w:rPr>
          <w:b/>
          <w:bCs/>
          <w:sz w:val="22"/>
          <w:szCs w:val="22"/>
        </w:rPr>
        <w:t>Špeciálne opatrenia na likvidáciu a iné zaobchádzanie s liekom</w:t>
      </w:r>
    </w:p>
    <w:p w:rsidR="007332C5" w:rsidRPr="004A7288" w:rsidRDefault="007332C5" w:rsidP="00005545">
      <w:pPr>
        <w:spacing w:after="0"/>
        <w:jc w:val="left"/>
        <w:rPr>
          <w:b/>
          <w:sz w:val="22"/>
          <w:szCs w:val="22"/>
        </w:rPr>
      </w:pPr>
    </w:p>
    <w:p w:rsidR="00467218" w:rsidRPr="004A7288" w:rsidRDefault="00082C3B" w:rsidP="00005545">
      <w:pPr>
        <w:spacing w:after="0"/>
        <w:jc w:val="left"/>
        <w:rPr>
          <w:sz w:val="22"/>
          <w:szCs w:val="22"/>
        </w:rPr>
      </w:pPr>
      <w:r w:rsidRPr="00082C3B">
        <w:rPr>
          <w:sz w:val="22"/>
          <w:szCs w:val="22"/>
        </w:rPr>
        <w:t>Žiadne zvláštne požiadavky.</w:t>
      </w:r>
    </w:p>
    <w:p w:rsidR="007332C5" w:rsidRPr="004A7288" w:rsidRDefault="007332C5" w:rsidP="00005545">
      <w:pPr>
        <w:spacing w:after="0"/>
        <w:jc w:val="left"/>
        <w:rPr>
          <w:sz w:val="22"/>
          <w:szCs w:val="22"/>
        </w:rPr>
      </w:pPr>
    </w:p>
    <w:p w:rsidR="00984216" w:rsidRPr="004A7288" w:rsidRDefault="00082C3B" w:rsidP="00005545">
      <w:pPr>
        <w:pStyle w:val="Zkladntext"/>
        <w:tabs>
          <w:tab w:val="left" w:pos="0"/>
        </w:tabs>
        <w:rPr>
          <w:b/>
          <w:sz w:val="22"/>
          <w:szCs w:val="22"/>
          <w:u w:val="single"/>
          <w:lang w:val="sk-SK"/>
        </w:rPr>
      </w:pPr>
      <w:r w:rsidRPr="00082C3B">
        <w:rPr>
          <w:b/>
          <w:sz w:val="22"/>
          <w:szCs w:val="22"/>
          <w:u w:val="single"/>
          <w:lang w:val="sk-SK"/>
        </w:rPr>
        <w:t>Návod na použitie:</w:t>
      </w:r>
    </w:p>
    <w:p w:rsidR="00984216" w:rsidRPr="004A7288" w:rsidRDefault="00082C3B" w:rsidP="00005545">
      <w:pPr>
        <w:pStyle w:val="Zkladntext"/>
        <w:tabs>
          <w:tab w:val="left" w:pos="0"/>
        </w:tabs>
        <w:rPr>
          <w:sz w:val="22"/>
          <w:szCs w:val="22"/>
          <w:lang w:val="sk-SK"/>
        </w:rPr>
      </w:pPr>
      <w:r w:rsidRPr="00082C3B">
        <w:rPr>
          <w:sz w:val="22"/>
          <w:szCs w:val="22"/>
          <w:lang w:val="sk-SK"/>
        </w:rPr>
        <w:t>Každé balenie obsahuje dávkovaciu pipetu (dávkovacia trubička s piestom) o objeme 6 ml.</w:t>
      </w:r>
    </w:p>
    <w:p w:rsidR="005D59EE" w:rsidRPr="004A7288" w:rsidRDefault="005D59EE" w:rsidP="00005545">
      <w:pPr>
        <w:pStyle w:val="Znaka"/>
        <w:spacing w:after="0" w:line="240" w:lineRule="auto"/>
        <w:ind w:left="0"/>
        <w:jc w:val="left"/>
        <w:rPr>
          <w:rFonts w:ascii="Times New Roman" w:hAnsi="Times New Roman"/>
          <w:color w:val="auto"/>
          <w:sz w:val="22"/>
          <w:highlight w:val="yellow"/>
          <w:lang w:val="sk-SK" w:eastAsia="en-US" w:bidi="en-US"/>
        </w:rPr>
      </w:pPr>
    </w:p>
    <w:p w:rsidR="005D59EE" w:rsidRPr="004A7288" w:rsidRDefault="00082C3B" w:rsidP="001D7E3F">
      <w:pPr>
        <w:spacing w:after="0"/>
        <w:jc w:val="left"/>
        <w:rPr>
          <w:sz w:val="22"/>
          <w:szCs w:val="22"/>
        </w:rPr>
      </w:pPr>
      <w:r w:rsidRPr="00082C3B">
        <w:rPr>
          <w:sz w:val="22"/>
          <w:szCs w:val="22"/>
        </w:rPr>
        <w:t>1. Obsah uzatvorenej fľašky dôkladne pretrepte (asi 5 sekúnd).</w:t>
      </w:r>
    </w:p>
    <w:p w:rsidR="005D59EE" w:rsidRPr="004A7288" w:rsidRDefault="00082C3B" w:rsidP="001D7E3F">
      <w:pPr>
        <w:spacing w:after="0"/>
        <w:jc w:val="left"/>
        <w:rPr>
          <w:sz w:val="22"/>
          <w:szCs w:val="22"/>
        </w:rPr>
      </w:pPr>
      <w:r w:rsidRPr="00082C3B">
        <w:rPr>
          <w:color w:val="000000"/>
          <w:sz w:val="22"/>
          <w:szCs w:val="22"/>
        </w:rPr>
        <w:t>2.</w:t>
      </w:r>
      <w:r w:rsidRPr="00082C3B">
        <w:rPr>
          <w:sz w:val="22"/>
          <w:szCs w:val="22"/>
        </w:rPr>
        <w:t xml:space="preserve"> Fľaška má bezpečnostný uzáver, ktorý nedovoľuje, aby ju otvorili deti. Uzáver otvoríte tak, že ho stlačíte pevne nadol a odskrutkujete proti smeru hodinových ručičiek.</w:t>
      </w:r>
    </w:p>
    <w:p w:rsidR="005D59EE" w:rsidRPr="004A7288" w:rsidRDefault="00082C3B" w:rsidP="001D7E3F">
      <w:pPr>
        <w:spacing w:after="0"/>
        <w:jc w:val="left"/>
        <w:rPr>
          <w:sz w:val="22"/>
          <w:szCs w:val="22"/>
        </w:rPr>
      </w:pPr>
      <w:r w:rsidRPr="00082C3B">
        <w:rPr>
          <w:sz w:val="22"/>
          <w:szCs w:val="22"/>
        </w:rPr>
        <w:t>3. Zatlačte dávkovaciu pipetu cez hrdlo fľaše do suspenzie. Fľaška sa neobracia hore dnom.</w:t>
      </w:r>
    </w:p>
    <w:p w:rsidR="005D59EE" w:rsidRPr="004A7288" w:rsidRDefault="00082C3B" w:rsidP="001D7E3F">
      <w:pPr>
        <w:spacing w:after="0"/>
        <w:jc w:val="left"/>
        <w:rPr>
          <w:sz w:val="22"/>
          <w:szCs w:val="22"/>
        </w:rPr>
      </w:pPr>
      <w:r w:rsidRPr="00082C3B">
        <w:rPr>
          <w:sz w:val="22"/>
          <w:szCs w:val="22"/>
        </w:rPr>
        <w:t>4. Pomocou piestu dávkovacej pipety natiahnite požadovanú dávku suspenzie (podľa značenia na trubičke - ml).</w:t>
      </w:r>
    </w:p>
    <w:p w:rsidR="005D59EE" w:rsidRPr="004A7288" w:rsidRDefault="00082C3B" w:rsidP="001D7E3F">
      <w:pPr>
        <w:spacing w:after="0"/>
        <w:jc w:val="left"/>
        <w:rPr>
          <w:sz w:val="22"/>
          <w:szCs w:val="22"/>
        </w:rPr>
      </w:pPr>
      <w:r w:rsidRPr="00082C3B">
        <w:rPr>
          <w:sz w:val="22"/>
          <w:szCs w:val="22"/>
        </w:rPr>
        <w:t>5. Vyberte dávkovaciu pipetu z hrdla fľašky.</w:t>
      </w:r>
    </w:p>
    <w:p w:rsidR="005D59EE" w:rsidRPr="004A7288" w:rsidRDefault="00082C3B" w:rsidP="001D7E3F">
      <w:pPr>
        <w:spacing w:after="0"/>
        <w:jc w:val="left"/>
        <w:rPr>
          <w:sz w:val="22"/>
          <w:szCs w:val="22"/>
        </w:rPr>
      </w:pPr>
      <w:r w:rsidRPr="00082C3B">
        <w:rPr>
          <w:sz w:val="22"/>
          <w:szCs w:val="22"/>
        </w:rPr>
        <w:t>6. Podajte suspenziu dieťaťu buď vložením konca dávkovacej pipety do úst a jemným tlakom na piest, alebo vystreknutím suspenzie na lyžičku a podaním lyžičkou.</w:t>
      </w:r>
    </w:p>
    <w:p w:rsidR="005D59EE" w:rsidRPr="004A7288" w:rsidRDefault="00082C3B" w:rsidP="001D7E3F">
      <w:pPr>
        <w:spacing w:after="0"/>
        <w:jc w:val="left"/>
        <w:rPr>
          <w:sz w:val="22"/>
          <w:szCs w:val="22"/>
        </w:rPr>
      </w:pPr>
      <w:r w:rsidRPr="00082C3B">
        <w:rPr>
          <w:sz w:val="22"/>
          <w:szCs w:val="22"/>
        </w:rPr>
        <w:t xml:space="preserve">7. Po použití fľašku opäť starostlivo zatvorte. Dávkovaciu pipetu umyte teplou vodou a nechajte vyschnúť. </w:t>
      </w:r>
    </w:p>
    <w:p w:rsidR="005D59EE" w:rsidRPr="004A7288" w:rsidRDefault="005D59EE" w:rsidP="001D7E3F">
      <w:pPr>
        <w:spacing w:after="0"/>
        <w:jc w:val="left"/>
        <w:rPr>
          <w:sz w:val="22"/>
          <w:szCs w:val="22"/>
        </w:rPr>
      </w:pPr>
    </w:p>
    <w:p w:rsidR="0016573E" w:rsidRPr="004A7288" w:rsidRDefault="0016573E" w:rsidP="00005545">
      <w:pPr>
        <w:spacing w:after="0"/>
        <w:jc w:val="left"/>
        <w:rPr>
          <w:sz w:val="22"/>
          <w:szCs w:val="22"/>
        </w:rPr>
      </w:pPr>
    </w:p>
    <w:p w:rsidR="00467218" w:rsidRPr="004A7288" w:rsidRDefault="00082C3B" w:rsidP="00005545">
      <w:pPr>
        <w:pStyle w:val="Nadpis2"/>
        <w:jc w:val="left"/>
        <w:rPr>
          <w:rFonts w:cs="Times New Roman"/>
          <w:sz w:val="22"/>
          <w:szCs w:val="22"/>
          <w:lang w:val="sk-SK"/>
        </w:rPr>
      </w:pPr>
      <w:r w:rsidRPr="00082C3B">
        <w:rPr>
          <w:rFonts w:cs="Times New Roman"/>
          <w:sz w:val="22"/>
          <w:szCs w:val="22"/>
          <w:lang w:val="sk-SK"/>
        </w:rPr>
        <w:t>7.</w:t>
      </w:r>
      <w:r w:rsidRPr="00082C3B">
        <w:rPr>
          <w:rFonts w:cs="Times New Roman"/>
          <w:sz w:val="22"/>
          <w:szCs w:val="22"/>
          <w:lang w:val="sk-SK"/>
        </w:rPr>
        <w:tab/>
        <w:t>DRŽITEĽ ROZHODNUTIA O REGISTRÁCII</w:t>
      </w:r>
    </w:p>
    <w:p w:rsidR="00467218" w:rsidRPr="004A7288" w:rsidRDefault="00467218" w:rsidP="00005545">
      <w:pPr>
        <w:spacing w:after="0"/>
        <w:jc w:val="left"/>
        <w:rPr>
          <w:sz w:val="22"/>
          <w:szCs w:val="22"/>
        </w:rPr>
      </w:pPr>
    </w:p>
    <w:p w:rsidR="0016573E" w:rsidRDefault="00082C3B" w:rsidP="00005545">
      <w:pPr>
        <w:spacing w:after="0"/>
        <w:jc w:val="left"/>
        <w:rPr>
          <w:sz w:val="22"/>
          <w:szCs w:val="22"/>
          <w:lang w:eastAsia="cs-CZ"/>
        </w:rPr>
      </w:pPr>
      <w:r w:rsidRPr="00082C3B">
        <w:rPr>
          <w:sz w:val="22"/>
          <w:szCs w:val="22"/>
          <w:lang w:eastAsia="cs-CZ"/>
        </w:rPr>
        <w:t>sanofi-aventis Slovakia s.r.o., Einsteinova 24, 851 01 Bratislava, Slovenská republika</w:t>
      </w:r>
    </w:p>
    <w:p w:rsidR="001440D9" w:rsidRDefault="001440D9" w:rsidP="00005545">
      <w:pPr>
        <w:spacing w:after="0"/>
        <w:jc w:val="left"/>
        <w:rPr>
          <w:sz w:val="22"/>
          <w:szCs w:val="22"/>
          <w:lang w:eastAsia="cs-CZ"/>
        </w:rPr>
      </w:pPr>
    </w:p>
    <w:p w:rsidR="001440D9" w:rsidRPr="004A7288" w:rsidRDefault="001440D9" w:rsidP="00005545">
      <w:pPr>
        <w:spacing w:after="0"/>
        <w:jc w:val="left"/>
        <w:rPr>
          <w:sz w:val="22"/>
          <w:szCs w:val="22"/>
        </w:rPr>
      </w:pPr>
    </w:p>
    <w:p w:rsidR="00467218" w:rsidRPr="004A7288" w:rsidRDefault="00082C3B" w:rsidP="00005545">
      <w:pPr>
        <w:pStyle w:val="Nadpis2"/>
        <w:jc w:val="left"/>
        <w:rPr>
          <w:rFonts w:cs="Times New Roman"/>
          <w:sz w:val="22"/>
          <w:szCs w:val="22"/>
          <w:lang w:val="sk-SK"/>
        </w:rPr>
      </w:pPr>
      <w:r w:rsidRPr="00082C3B">
        <w:rPr>
          <w:rFonts w:cs="Times New Roman"/>
          <w:sz w:val="22"/>
          <w:szCs w:val="22"/>
          <w:lang w:val="sk-SK"/>
        </w:rPr>
        <w:t>8.</w:t>
      </w:r>
      <w:r w:rsidRPr="00082C3B">
        <w:rPr>
          <w:rFonts w:cs="Times New Roman"/>
          <w:sz w:val="22"/>
          <w:szCs w:val="22"/>
          <w:lang w:val="sk-SK"/>
        </w:rPr>
        <w:tab/>
        <w:t>REGISTRAČNÉ ČÍSLO</w:t>
      </w:r>
    </w:p>
    <w:p w:rsidR="00ED08EE" w:rsidRPr="004A7288" w:rsidRDefault="00ED08EE" w:rsidP="00005545">
      <w:pPr>
        <w:spacing w:after="0"/>
        <w:jc w:val="left"/>
        <w:rPr>
          <w:sz w:val="22"/>
          <w:szCs w:val="22"/>
          <w:highlight w:val="lightGray"/>
        </w:rPr>
      </w:pPr>
    </w:p>
    <w:p w:rsidR="00467218" w:rsidRPr="004A7288" w:rsidRDefault="00082C3B" w:rsidP="00005545">
      <w:pPr>
        <w:spacing w:after="0"/>
        <w:jc w:val="left"/>
        <w:rPr>
          <w:sz w:val="22"/>
          <w:szCs w:val="22"/>
        </w:rPr>
      </w:pPr>
      <w:r w:rsidRPr="00082C3B">
        <w:rPr>
          <w:sz w:val="22"/>
          <w:szCs w:val="22"/>
        </w:rPr>
        <w:t>07/0103/15-S</w:t>
      </w:r>
    </w:p>
    <w:p w:rsidR="0016573E" w:rsidRDefault="0016573E" w:rsidP="00005545">
      <w:pPr>
        <w:spacing w:after="0"/>
        <w:jc w:val="left"/>
        <w:rPr>
          <w:sz w:val="22"/>
          <w:szCs w:val="22"/>
        </w:rPr>
      </w:pPr>
    </w:p>
    <w:p w:rsidR="001440D9" w:rsidRPr="004A7288" w:rsidRDefault="001440D9" w:rsidP="00005545">
      <w:pPr>
        <w:spacing w:after="0"/>
        <w:jc w:val="left"/>
        <w:rPr>
          <w:sz w:val="22"/>
          <w:szCs w:val="22"/>
        </w:rPr>
      </w:pPr>
    </w:p>
    <w:p w:rsidR="00467218" w:rsidRPr="004A7288" w:rsidRDefault="00082C3B" w:rsidP="00005545">
      <w:pPr>
        <w:pStyle w:val="Nadpis2"/>
        <w:jc w:val="left"/>
        <w:rPr>
          <w:rFonts w:cs="Times New Roman"/>
          <w:sz w:val="22"/>
          <w:szCs w:val="22"/>
          <w:lang w:val="sk-SK"/>
        </w:rPr>
      </w:pPr>
      <w:r w:rsidRPr="00082C3B">
        <w:rPr>
          <w:rFonts w:cs="Times New Roman"/>
          <w:sz w:val="22"/>
          <w:szCs w:val="22"/>
          <w:lang w:val="sk-SK"/>
        </w:rPr>
        <w:t>9.</w:t>
      </w:r>
      <w:r w:rsidRPr="00082C3B">
        <w:rPr>
          <w:rFonts w:cs="Times New Roman"/>
          <w:sz w:val="22"/>
          <w:szCs w:val="22"/>
          <w:lang w:val="sk-SK"/>
        </w:rPr>
        <w:tab/>
        <w:t>DÁTUM PRVEJ REGISTRÁCIE/PREDĹŽENIA REGISTRÁCIE</w:t>
      </w:r>
    </w:p>
    <w:p w:rsidR="00467218" w:rsidRPr="004A7288" w:rsidRDefault="00467218" w:rsidP="00005545">
      <w:pPr>
        <w:spacing w:after="0"/>
        <w:jc w:val="left"/>
        <w:rPr>
          <w:sz w:val="22"/>
          <w:szCs w:val="22"/>
        </w:rPr>
      </w:pPr>
    </w:p>
    <w:p w:rsidR="0016573E" w:rsidRPr="004A7288" w:rsidRDefault="00082C3B" w:rsidP="0016573E">
      <w:pPr>
        <w:spacing w:after="0"/>
        <w:jc w:val="left"/>
        <w:rPr>
          <w:sz w:val="22"/>
          <w:szCs w:val="22"/>
        </w:rPr>
      </w:pPr>
      <w:r w:rsidRPr="00082C3B">
        <w:rPr>
          <w:sz w:val="22"/>
          <w:szCs w:val="22"/>
        </w:rPr>
        <w:t>Dátum prvej registrácie: 23. marca 2015</w:t>
      </w:r>
    </w:p>
    <w:p w:rsidR="00467218" w:rsidRPr="004A7288" w:rsidRDefault="00467218" w:rsidP="00005545">
      <w:pPr>
        <w:spacing w:after="0"/>
        <w:jc w:val="left"/>
        <w:rPr>
          <w:sz w:val="22"/>
          <w:szCs w:val="22"/>
        </w:rPr>
      </w:pPr>
    </w:p>
    <w:p w:rsidR="0016573E" w:rsidRPr="004A7288" w:rsidRDefault="0016573E" w:rsidP="00005545">
      <w:pPr>
        <w:spacing w:after="0"/>
        <w:jc w:val="left"/>
        <w:rPr>
          <w:sz w:val="22"/>
          <w:szCs w:val="22"/>
        </w:rPr>
      </w:pPr>
    </w:p>
    <w:p w:rsidR="0051607C" w:rsidRPr="004A7288" w:rsidRDefault="00082C3B" w:rsidP="00005545">
      <w:pPr>
        <w:pStyle w:val="Nadpis2"/>
        <w:jc w:val="left"/>
        <w:rPr>
          <w:rFonts w:cs="Times New Roman"/>
          <w:sz w:val="22"/>
          <w:szCs w:val="22"/>
          <w:lang w:val="sk-SK"/>
        </w:rPr>
      </w:pPr>
      <w:r w:rsidRPr="00082C3B">
        <w:rPr>
          <w:rFonts w:cs="Times New Roman"/>
          <w:sz w:val="22"/>
          <w:szCs w:val="22"/>
          <w:lang w:val="sk-SK"/>
        </w:rPr>
        <w:t>10.</w:t>
      </w:r>
      <w:r w:rsidRPr="00082C3B">
        <w:rPr>
          <w:rFonts w:cs="Times New Roman"/>
          <w:sz w:val="22"/>
          <w:szCs w:val="22"/>
          <w:lang w:val="sk-SK"/>
        </w:rPr>
        <w:tab/>
        <w:t>DÁTUM REVÍZIE TEXTU</w:t>
      </w:r>
    </w:p>
    <w:p w:rsidR="00ED08EE" w:rsidRPr="004A7288" w:rsidRDefault="00ED08EE" w:rsidP="00005545">
      <w:pPr>
        <w:spacing w:after="0"/>
        <w:jc w:val="left"/>
        <w:rPr>
          <w:sz w:val="22"/>
          <w:szCs w:val="22"/>
          <w:highlight w:val="lightGray"/>
        </w:rPr>
      </w:pPr>
    </w:p>
    <w:p w:rsidR="00467218" w:rsidRPr="004A7288" w:rsidRDefault="00082C3B" w:rsidP="00BE44AE">
      <w:pPr>
        <w:spacing w:after="0"/>
        <w:jc w:val="left"/>
        <w:rPr>
          <w:sz w:val="22"/>
          <w:szCs w:val="22"/>
        </w:rPr>
      </w:pPr>
      <w:r w:rsidRPr="00082C3B">
        <w:rPr>
          <w:sz w:val="22"/>
          <w:szCs w:val="22"/>
        </w:rPr>
        <w:t>03/2018</w:t>
      </w:r>
    </w:p>
    <w:sectPr w:rsidR="00467218" w:rsidRPr="004A7288" w:rsidSect="008D3117">
      <w:headerReference w:type="default" r:id="rId10"/>
      <w:footerReference w:type="default" r:id="rId11"/>
      <w:headerReference w:type="first" r:id="rId12"/>
      <w:footerReference w:type="first" r:id="rId13"/>
      <w:pgSz w:w="11900" w:h="16840"/>
      <w:pgMar w:top="1417" w:right="1417" w:bottom="1417" w:left="1417" w:header="708" w:footer="708"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3117" w:rsidRDefault="008D3117" w:rsidP="00844E8E">
      <w:pPr>
        <w:spacing w:after="0"/>
      </w:pPr>
      <w:r>
        <w:separator/>
      </w:r>
    </w:p>
  </w:endnote>
  <w:endnote w:type="continuationSeparator" w:id="0">
    <w:p w:rsidR="008D3117" w:rsidRDefault="008D3117" w:rsidP="00844E8E">
      <w:pPr>
        <w:spacing w:after="0"/>
      </w:pPr>
      <w:r>
        <w:continuationSeparator/>
      </w:r>
    </w:p>
  </w:endnote>
  <w:endnote w:type="continuationNotice" w:id="1">
    <w:p w:rsidR="008D3117" w:rsidRDefault="008D3117">
      <w:pPr>
        <w:spacing w:after="0"/>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Verdana">
    <w:panose1 w:val="020B0604030504040204"/>
    <w:charset w:val="EE"/>
    <w:family w:val="swiss"/>
    <w:pitch w:val="variable"/>
    <w:sig w:usb0="20000287" w:usb1="00000000" w:usb2="00000000" w:usb3="00000000" w:csb0="0000019F" w:csb1="00000000"/>
  </w:font>
  <w:font w:name="Tahoma">
    <w:panose1 w:val="020B0604030504040204"/>
    <w:charset w:val="EE"/>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4881978"/>
      <w:docPartObj>
        <w:docPartGallery w:val="Page Numbers (Bottom of Page)"/>
        <w:docPartUnique/>
      </w:docPartObj>
    </w:sdtPr>
    <w:sdtEndPr>
      <w:rPr>
        <w:sz w:val="18"/>
        <w:szCs w:val="18"/>
      </w:rPr>
    </w:sdtEndPr>
    <w:sdtContent>
      <w:p w:rsidR="008D3117" w:rsidRPr="003209BB" w:rsidRDefault="008D3117">
        <w:pPr>
          <w:pStyle w:val="Pta"/>
          <w:jc w:val="center"/>
          <w:rPr>
            <w:sz w:val="18"/>
            <w:szCs w:val="18"/>
          </w:rPr>
        </w:pPr>
        <w:r w:rsidRPr="003209BB">
          <w:rPr>
            <w:sz w:val="18"/>
            <w:szCs w:val="18"/>
          </w:rPr>
          <w:fldChar w:fldCharType="begin"/>
        </w:r>
        <w:r w:rsidRPr="003209BB">
          <w:rPr>
            <w:sz w:val="18"/>
            <w:szCs w:val="18"/>
          </w:rPr>
          <w:instrText>PAGE   \* MERGEFORMAT</w:instrText>
        </w:r>
        <w:r w:rsidRPr="003209BB">
          <w:rPr>
            <w:sz w:val="18"/>
            <w:szCs w:val="18"/>
          </w:rPr>
          <w:fldChar w:fldCharType="separate"/>
        </w:r>
        <w:r w:rsidR="001440D9">
          <w:rPr>
            <w:noProof/>
            <w:sz w:val="18"/>
            <w:szCs w:val="18"/>
          </w:rPr>
          <w:t>13</w:t>
        </w:r>
        <w:r w:rsidRPr="003209BB">
          <w:rPr>
            <w:sz w:val="18"/>
            <w:szCs w:val="18"/>
          </w:rPr>
          <w:fldChar w:fldCharType="end"/>
        </w:r>
      </w:p>
    </w:sdtContent>
  </w:sdt>
  <w:p w:rsidR="008D3117" w:rsidRDefault="008D3117">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4781360"/>
      <w:docPartObj>
        <w:docPartGallery w:val="Page Numbers (Bottom of Page)"/>
        <w:docPartUnique/>
      </w:docPartObj>
    </w:sdtPr>
    <w:sdtEndPr>
      <w:rPr>
        <w:sz w:val="22"/>
        <w:szCs w:val="22"/>
      </w:rPr>
    </w:sdtEndPr>
    <w:sdtContent>
      <w:p w:rsidR="008D3117" w:rsidRPr="001D7E3F" w:rsidRDefault="008D3117">
        <w:pPr>
          <w:pStyle w:val="Pta"/>
          <w:jc w:val="center"/>
          <w:rPr>
            <w:sz w:val="22"/>
            <w:szCs w:val="22"/>
          </w:rPr>
        </w:pPr>
        <w:r w:rsidRPr="001D7E3F">
          <w:rPr>
            <w:sz w:val="22"/>
            <w:szCs w:val="22"/>
          </w:rPr>
          <w:fldChar w:fldCharType="begin"/>
        </w:r>
        <w:r w:rsidRPr="001D7E3F">
          <w:rPr>
            <w:sz w:val="22"/>
            <w:szCs w:val="22"/>
          </w:rPr>
          <w:instrText>PAGE   \* MERGEFORMAT</w:instrText>
        </w:r>
        <w:r w:rsidRPr="001D7E3F">
          <w:rPr>
            <w:sz w:val="22"/>
            <w:szCs w:val="22"/>
          </w:rPr>
          <w:fldChar w:fldCharType="separate"/>
        </w:r>
        <w:r>
          <w:rPr>
            <w:noProof/>
            <w:sz w:val="22"/>
            <w:szCs w:val="22"/>
          </w:rPr>
          <w:t>1</w:t>
        </w:r>
        <w:r w:rsidRPr="001D7E3F">
          <w:rPr>
            <w:sz w:val="22"/>
            <w:szCs w:val="22"/>
          </w:rPr>
          <w:fldChar w:fldCharType="end"/>
        </w:r>
      </w:p>
    </w:sdtContent>
  </w:sdt>
  <w:p w:rsidR="008D3117" w:rsidRDefault="008D3117">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3117" w:rsidRDefault="008D3117" w:rsidP="00844E8E">
      <w:pPr>
        <w:spacing w:after="0"/>
      </w:pPr>
      <w:r>
        <w:separator/>
      </w:r>
    </w:p>
  </w:footnote>
  <w:footnote w:type="continuationSeparator" w:id="0">
    <w:p w:rsidR="008D3117" w:rsidRDefault="008D3117" w:rsidP="00844E8E">
      <w:pPr>
        <w:spacing w:after="0"/>
      </w:pPr>
      <w:r>
        <w:continuationSeparator/>
      </w:r>
    </w:p>
  </w:footnote>
  <w:footnote w:type="continuationNotice" w:id="1">
    <w:p w:rsidR="008D3117" w:rsidRDefault="008D3117">
      <w:pPr>
        <w:spacing w:after="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117" w:rsidRDefault="008D3117" w:rsidP="00A55AD3">
    <w:pPr>
      <w:pStyle w:val="Hlavika"/>
      <w:rPr>
        <w:sz w:val="18"/>
        <w:szCs w:val="18"/>
      </w:rPr>
    </w:pPr>
    <w:r>
      <w:rPr>
        <w:sz w:val="18"/>
        <w:szCs w:val="18"/>
      </w:rPr>
      <w:t>Schválený text k rozhodnutiu o prevode, ev. č.: 2018/00143-TR</w:t>
    </w:r>
  </w:p>
  <w:p w:rsidR="008D3117" w:rsidRPr="00A55AD3" w:rsidRDefault="008D3117" w:rsidP="00A55AD3">
    <w:pPr>
      <w:pStyle w:val="Hlavika"/>
    </w:pPr>
    <w:bookmarkStart w:id="0" w:name="_GoBack"/>
    <w:bookmarkEnd w:id="0"/>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117" w:rsidRDefault="008D3117" w:rsidP="00A55AD3">
    <w:pPr>
      <w:pStyle w:val="Hlavika"/>
      <w:rPr>
        <w:sz w:val="18"/>
        <w:szCs w:val="18"/>
      </w:rPr>
    </w:pPr>
  </w:p>
  <w:p w:rsidR="008D3117" w:rsidRPr="003209BB" w:rsidRDefault="008D3117">
    <w:pPr>
      <w:pStyle w:val="Hlavika"/>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66CF9"/>
    <w:multiLevelType w:val="hybridMultilevel"/>
    <w:tmpl w:val="D12E5F02"/>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
    <w:nsid w:val="05B34AC5"/>
    <w:multiLevelType w:val="hybridMultilevel"/>
    <w:tmpl w:val="6978B30E"/>
    <w:lvl w:ilvl="0" w:tplc="C7B01E7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8A01E16"/>
    <w:multiLevelType w:val="hybridMultilevel"/>
    <w:tmpl w:val="E94CB1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08E5739B"/>
    <w:multiLevelType w:val="hybridMultilevel"/>
    <w:tmpl w:val="31725884"/>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nsid w:val="09D31A24"/>
    <w:multiLevelType w:val="hybridMultilevel"/>
    <w:tmpl w:val="8700A6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0FD51DAA"/>
    <w:multiLevelType w:val="hybridMultilevel"/>
    <w:tmpl w:val="98D83A82"/>
    <w:lvl w:ilvl="0" w:tplc="C7B01E74">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nsid w:val="14203BB6"/>
    <w:multiLevelType w:val="hybridMultilevel"/>
    <w:tmpl w:val="7D8AB602"/>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nsid w:val="2B230CF7"/>
    <w:multiLevelType w:val="hybridMultilevel"/>
    <w:tmpl w:val="27D8F7F2"/>
    <w:lvl w:ilvl="0" w:tplc="C7B01E7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2B5776BC"/>
    <w:multiLevelType w:val="hybridMultilevel"/>
    <w:tmpl w:val="A6D60C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31511CCE"/>
    <w:multiLevelType w:val="hybridMultilevel"/>
    <w:tmpl w:val="6368E4B4"/>
    <w:lvl w:ilvl="0" w:tplc="C7B01E74">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nsid w:val="320C2550"/>
    <w:multiLevelType w:val="hybridMultilevel"/>
    <w:tmpl w:val="2C842F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3CB05B3A"/>
    <w:multiLevelType w:val="hybridMultilevel"/>
    <w:tmpl w:val="08D886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438A419E"/>
    <w:multiLevelType w:val="hybridMultilevel"/>
    <w:tmpl w:val="F488926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nsid w:val="477A59BA"/>
    <w:multiLevelType w:val="hybridMultilevel"/>
    <w:tmpl w:val="B930021C"/>
    <w:lvl w:ilvl="0" w:tplc="A9849990">
      <w:start w:val="1"/>
      <w:numFmt w:val="decimal"/>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4EA95FBB"/>
    <w:multiLevelType w:val="hybridMultilevel"/>
    <w:tmpl w:val="67A473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50FC1678"/>
    <w:multiLevelType w:val="hybridMultilevel"/>
    <w:tmpl w:val="99C6C50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6">
    <w:nsid w:val="5F4941C8"/>
    <w:multiLevelType w:val="hybridMultilevel"/>
    <w:tmpl w:val="9EFCBA1A"/>
    <w:lvl w:ilvl="0" w:tplc="C7B01E74">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7">
    <w:nsid w:val="5FCF59FC"/>
    <w:multiLevelType w:val="hybridMultilevel"/>
    <w:tmpl w:val="DFD0E18E"/>
    <w:lvl w:ilvl="0" w:tplc="C7B01E74">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8">
    <w:nsid w:val="63B84FDB"/>
    <w:multiLevelType w:val="hybridMultilevel"/>
    <w:tmpl w:val="A56A75DC"/>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9">
    <w:nsid w:val="67BC5BBE"/>
    <w:multiLevelType w:val="hybridMultilevel"/>
    <w:tmpl w:val="EF3213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6E15722C"/>
    <w:multiLevelType w:val="hybridMultilevel"/>
    <w:tmpl w:val="83A849C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74652434"/>
    <w:multiLevelType w:val="hybridMultilevel"/>
    <w:tmpl w:val="1A326C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791140E4"/>
    <w:multiLevelType w:val="hybridMultilevel"/>
    <w:tmpl w:val="2C78466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7AF01B59"/>
    <w:multiLevelType w:val="hybridMultilevel"/>
    <w:tmpl w:val="95C093B0"/>
    <w:lvl w:ilvl="0" w:tplc="25A0E2BC">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4">
    <w:nsid w:val="7C0C3C1D"/>
    <w:multiLevelType w:val="hybridMultilevel"/>
    <w:tmpl w:val="C614A350"/>
    <w:lvl w:ilvl="0" w:tplc="2182F528">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nsid w:val="7C5F22C8"/>
    <w:multiLevelType w:val="hybridMultilevel"/>
    <w:tmpl w:val="1BF25E56"/>
    <w:lvl w:ilvl="0" w:tplc="C7B01E7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nsid w:val="7C883A67"/>
    <w:multiLevelType w:val="hybridMultilevel"/>
    <w:tmpl w:val="000AC48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7">
    <w:nsid w:val="7D696A31"/>
    <w:multiLevelType w:val="hybridMultilevel"/>
    <w:tmpl w:val="3B3A714C"/>
    <w:lvl w:ilvl="0" w:tplc="C7B01E74">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num w:numId="1">
    <w:abstractNumId w:val="1"/>
  </w:num>
  <w:num w:numId="2">
    <w:abstractNumId w:val="26"/>
  </w:num>
  <w:num w:numId="3">
    <w:abstractNumId w:val="15"/>
  </w:num>
  <w:num w:numId="4">
    <w:abstractNumId w:val="0"/>
  </w:num>
  <w:num w:numId="5">
    <w:abstractNumId w:val="7"/>
  </w:num>
  <w:num w:numId="6">
    <w:abstractNumId w:val="2"/>
  </w:num>
  <w:num w:numId="7">
    <w:abstractNumId w:val="27"/>
  </w:num>
  <w:num w:numId="8">
    <w:abstractNumId w:val="9"/>
  </w:num>
  <w:num w:numId="9">
    <w:abstractNumId w:val="25"/>
  </w:num>
  <w:num w:numId="10">
    <w:abstractNumId w:val="19"/>
  </w:num>
  <w:num w:numId="11">
    <w:abstractNumId w:val="10"/>
  </w:num>
  <w:num w:numId="12">
    <w:abstractNumId w:val="5"/>
  </w:num>
  <w:num w:numId="13">
    <w:abstractNumId w:val="17"/>
  </w:num>
  <w:num w:numId="14">
    <w:abstractNumId w:val="16"/>
  </w:num>
  <w:num w:numId="15">
    <w:abstractNumId w:val="6"/>
  </w:num>
  <w:num w:numId="16">
    <w:abstractNumId w:val="3"/>
  </w:num>
  <w:num w:numId="17">
    <w:abstractNumId w:val="11"/>
  </w:num>
  <w:num w:numId="18">
    <w:abstractNumId w:val="22"/>
  </w:num>
  <w:num w:numId="19">
    <w:abstractNumId w:val="4"/>
  </w:num>
  <w:num w:numId="20">
    <w:abstractNumId w:val="14"/>
  </w:num>
  <w:num w:numId="21">
    <w:abstractNumId w:val="20"/>
  </w:num>
  <w:num w:numId="22">
    <w:abstractNumId w:val="18"/>
  </w:num>
  <w:num w:numId="23">
    <w:abstractNumId w:val="23"/>
  </w:num>
  <w:num w:numId="24">
    <w:abstractNumId w:val="12"/>
  </w:num>
  <w:num w:numId="25">
    <w:abstractNumId w:val="13"/>
  </w:num>
  <w:num w:numId="26">
    <w:abstractNumId w:val="8"/>
  </w:num>
  <w:num w:numId="27">
    <w:abstractNumId w:val="21"/>
  </w:num>
  <w:num w:numId="2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hyphenationZone w:val="425"/>
  <w:drawingGridHorizontalSpacing w:val="12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ulTrailSpace/>
    <w:useFELayout/>
  </w:compat>
  <w:rsids>
    <w:rsidRoot w:val="0051607C"/>
    <w:rsid w:val="00005545"/>
    <w:rsid w:val="00011860"/>
    <w:rsid w:val="000132EF"/>
    <w:rsid w:val="0003022B"/>
    <w:rsid w:val="000454E8"/>
    <w:rsid w:val="00056FC7"/>
    <w:rsid w:val="00082C3B"/>
    <w:rsid w:val="000A0E8E"/>
    <w:rsid w:val="000B09AD"/>
    <w:rsid w:val="000B69B0"/>
    <w:rsid w:val="000C6A6E"/>
    <w:rsid w:val="000C7DD9"/>
    <w:rsid w:val="000D108B"/>
    <w:rsid w:val="000D7A94"/>
    <w:rsid w:val="000D7C6C"/>
    <w:rsid w:val="000E06CB"/>
    <w:rsid w:val="000F0697"/>
    <w:rsid w:val="000F4BDC"/>
    <w:rsid w:val="00115A29"/>
    <w:rsid w:val="00130EE1"/>
    <w:rsid w:val="00131C78"/>
    <w:rsid w:val="00141E0D"/>
    <w:rsid w:val="001440D9"/>
    <w:rsid w:val="00145000"/>
    <w:rsid w:val="00145763"/>
    <w:rsid w:val="001475F4"/>
    <w:rsid w:val="0015057A"/>
    <w:rsid w:val="0016573E"/>
    <w:rsid w:val="0017514C"/>
    <w:rsid w:val="001758CC"/>
    <w:rsid w:val="00176245"/>
    <w:rsid w:val="001823EF"/>
    <w:rsid w:val="001902B0"/>
    <w:rsid w:val="00194B27"/>
    <w:rsid w:val="001B460D"/>
    <w:rsid w:val="001B6A64"/>
    <w:rsid w:val="001D7E3F"/>
    <w:rsid w:val="001E6043"/>
    <w:rsid w:val="001F0244"/>
    <w:rsid w:val="001F640B"/>
    <w:rsid w:val="001F682A"/>
    <w:rsid w:val="00202E1C"/>
    <w:rsid w:val="00210597"/>
    <w:rsid w:val="00211036"/>
    <w:rsid w:val="00211209"/>
    <w:rsid w:val="00213C1F"/>
    <w:rsid w:val="0022293B"/>
    <w:rsid w:val="002351E9"/>
    <w:rsid w:val="00240403"/>
    <w:rsid w:val="00241E75"/>
    <w:rsid w:val="002506D0"/>
    <w:rsid w:val="0025122B"/>
    <w:rsid w:val="0025152D"/>
    <w:rsid w:val="002602FA"/>
    <w:rsid w:val="00265424"/>
    <w:rsid w:val="00271CDD"/>
    <w:rsid w:val="00277EB3"/>
    <w:rsid w:val="00293E1A"/>
    <w:rsid w:val="002A2D44"/>
    <w:rsid w:val="002A615E"/>
    <w:rsid w:val="002A7654"/>
    <w:rsid w:val="002B2996"/>
    <w:rsid w:val="002B3FC1"/>
    <w:rsid w:val="002B4091"/>
    <w:rsid w:val="002D1583"/>
    <w:rsid w:val="002D2A77"/>
    <w:rsid w:val="002D3CDC"/>
    <w:rsid w:val="002E06CD"/>
    <w:rsid w:val="002E3047"/>
    <w:rsid w:val="002E6BDB"/>
    <w:rsid w:val="002E729D"/>
    <w:rsid w:val="002F4216"/>
    <w:rsid w:val="002F5E9E"/>
    <w:rsid w:val="003023AD"/>
    <w:rsid w:val="00305A8F"/>
    <w:rsid w:val="00311960"/>
    <w:rsid w:val="003209BB"/>
    <w:rsid w:val="00320FAF"/>
    <w:rsid w:val="00330F7C"/>
    <w:rsid w:val="00344AD4"/>
    <w:rsid w:val="00350DE1"/>
    <w:rsid w:val="00351266"/>
    <w:rsid w:val="003579C5"/>
    <w:rsid w:val="0036057B"/>
    <w:rsid w:val="00367A57"/>
    <w:rsid w:val="00375189"/>
    <w:rsid w:val="00384C84"/>
    <w:rsid w:val="003877D5"/>
    <w:rsid w:val="003920B8"/>
    <w:rsid w:val="00395D4A"/>
    <w:rsid w:val="00397139"/>
    <w:rsid w:val="003A1E14"/>
    <w:rsid w:val="003A1F51"/>
    <w:rsid w:val="003A267D"/>
    <w:rsid w:val="003B1359"/>
    <w:rsid w:val="003B1735"/>
    <w:rsid w:val="003B1DC3"/>
    <w:rsid w:val="003D4B47"/>
    <w:rsid w:val="003E01F4"/>
    <w:rsid w:val="003E2E8E"/>
    <w:rsid w:val="003F0BE0"/>
    <w:rsid w:val="003F3482"/>
    <w:rsid w:val="003F4D9E"/>
    <w:rsid w:val="003F529C"/>
    <w:rsid w:val="003F67D5"/>
    <w:rsid w:val="00401F97"/>
    <w:rsid w:val="0040640C"/>
    <w:rsid w:val="004100E0"/>
    <w:rsid w:val="00417A42"/>
    <w:rsid w:val="00426F11"/>
    <w:rsid w:val="00434815"/>
    <w:rsid w:val="00441286"/>
    <w:rsid w:val="004471F0"/>
    <w:rsid w:val="00450E29"/>
    <w:rsid w:val="00457BA3"/>
    <w:rsid w:val="00460185"/>
    <w:rsid w:val="00462238"/>
    <w:rsid w:val="00463FCF"/>
    <w:rsid w:val="00464C1E"/>
    <w:rsid w:val="00466B93"/>
    <w:rsid w:val="00467218"/>
    <w:rsid w:val="004718C8"/>
    <w:rsid w:val="00492337"/>
    <w:rsid w:val="004A7288"/>
    <w:rsid w:val="004B5EFF"/>
    <w:rsid w:val="004B6271"/>
    <w:rsid w:val="004C0BC4"/>
    <w:rsid w:val="004C6A15"/>
    <w:rsid w:val="004D1B45"/>
    <w:rsid w:val="004D386B"/>
    <w:rsid w:val="004E1CB9"/>
    <w:rsid w:val="004E35B3"/>
    <w:rsid w:val="004F044B"/>
    <w:rsid w:val="00506AE8"/>
    <w:rsid w:val="0051607C"/>
    <w:rsid w:val="005409E0"/>
    <w:rsid w:val="00540B52"/>
    <w:rsid w:val="005462AD"/>
    <w:rsid w:val="00546ABD"/>
    <w:rsid w:val="0055560C"/>
    <w:rsid w:val="00566E68"/>
    <w:rsid w:val="0057153D"/>
    <w:rsid w:val="00572B5C"/>
    <w:rsid w:val="00573113"/>
    <w:rsid w:val="00580C48"/>
    <w:rsid w:val="005878A8"/>
    <w:rsid w:val="00587CE3"/>
    <w:rsid w:val="00592A9D"/>
    <w:rsid w:val="0059784C"/>
    <w:rsid w:val="005A2214"/>
    <w:rsid w:val="005B3468"/>
    <w:rsid w:val="005D22B6"/>
    <w:rsid w:val="005D59EE"/>
    <w:rsid w:val="00605AFD"/>
    <w:rsid w:val="00616666"/>
    <w:rsid w:val="006233AF"/>
    <w:rsid w:val="00626480"/>
    <w:rsid w:val="006267A8"/>
    <w:rsid w:val="00636589"/>
    <w:rsid w:val="0063661F"/>
    <w:rsid w:val="006370E5"/>
    <w:rsid w:val="00637BF2"/>
    <w:rsid w:val="00642864"/>
    <w:rsid w:val="006428E7"/>
    <w:rsid w:val="0064480C"/>
    <w:rsid w:val="006508E3"/>
    <w:rsid w:val="00652DB4"/>
    <w:rsid w:val="00660123"/>
    <w:rsid w:val="006708A8"/>
    <w:rsid w:val="00675653"/>
    <w:rsid w:val="00681818"/>
    <w:rsid w:val="006863C3"/>
    <w:rsid w:val="00687731"/>
    <w:rsid w:val="006A3341"/>
    <w:rsid w:val="006B316F"/>
    <w:rsid w:val="006B6E2F"/>
    <w:rsid w:val="006C22FA"/>
    <w:rsid w:val="006C7E11"/>
    <w:rsid w:val="006C7E31"/>
    <w:rsid w:val="006E4300"/>
    <w:rsid w:val="006E7362"/>
    <w:rsid w:val="006F2A03"/>
    <w:rsid w:val="006F3D39"/>
    <w:rsid w:val="006F70AE"/>
    <w:rsid w:val="00703F51"/>
    <w:rsid w:val="00704A35"/>
    <w:rsid w:val="007101E1"/>
    <w:rsid w:val="00712FD5"/>
    <w:rsid w:val="00726EC9"/>
    <w:rsid w:val="00731373"/>
    <w:rsid w:val="007332C5"/>
    <w:rsid w:val="00736300"/>
    <w:rsid w:val="007546B5"/>
    <w:rsid w:val="007548B6"/>
    <w:rsid w:val="00761DB4"/>
    <w:rsid w:val="00765608"/>
    <w:rsid w:val="00766C6E"/>
    <w:rsid w:val="00770F18"/>
    <w:rsid w:val="007711D0"/>
    <w:rsid w:val="00776A02"/>
    <w:rsid w:val="00777340"/>
    <w:rsid w:val="00777BDB"/>
    <w:rsid w:val="0078384F"/>
    <w:rsid w:val="007A0930"/>
    <w:rsid w:val="007B10B9"/>
    <w:rsid w:val="007B1F5A"/>
    <w:rsid w:val="007C0166"/>
    <w:rsid w:val="007D6911"/>
    <w:rsid w:val="007F7244"/>
    <w:rsid w:val="00800141"/>
    <w:rsid w:val="00800E96"/>
    <w:rsid w:val="00806F01"/>
    <w:rsid w:val="00807E3D"/>
    <w:rsid w:val="00812617"/>
    <w:rsid w:val="00812ABB"/>
    <w:rsid w:val="00813CE6"/>
    <w:rsid w:val="008148E2"/>
    <w:rsid w:val="008175BC"/>
    <w:rsid w:val="00827704"/>
    <w:rsid w:val="00836629"/>
    <w:rsid w:val="00844E8E"/>
    <w:rsid w:val="00846030"/>
    <w:rsid w:val="008532AE"/>
    <w:rsid w:val="008577B4"/>
    <w:rsid w:val="00862AA5"/>
    <w:rsid w:val="0087212F"/>
    <w:rsid w:val="0087332C"/>
    <w:rsid w:val="008800CC"/>
    <w:rsid w:val="00882D3A"/>
    <w:rsid w:val="00893F29"/>
    <w:rsid w:val="0089774B"/>
    <w:rsid w:val="008A05E2"/>
    <w:rsid w:val="008A0CDE"/>
    <w:rsid w:val="008A3F27"/>
    <w:rsid w:val="008A6324"/>
    <w:rsid w:val="008A712E"/>
    <w:rsid w:val="008B22AB"/>
    <w:rsid w:val="008B3E12"/>
    <w:rsid w:val="008B4CFA"/>
    <w:rsid w:val="008C55CB"/>
    <w:rsid w:val="008D272E"/>
    <w:rsid w:val="008D3117"/>
    <w:rsid w:val="008D498D"/>
    <w:rsid w:val="008D6539"/>
    <w:rsid w:val="008F0410"/>
    <w:rsid w:val="008F2109"/>
    <w:rsid w:val="008F225D"/>
    <w:rsid w:val="008F5593"/>
    <w:rsid w:val="009014B4"/>
    <w:rsid w:val="009116A9"/>
    <w:rsid w:val="0091580F"/>
    <w:rsid w:val="009159D5"/>
    <w:rsid w:val="00925388"/>
    <w:rsid w:val="00926063"/>
    <w:rsid w:val="00926C55"/>
    <w:rsid w:val="009367BD"/>
    <w:rsid w:val="00942A5E"/>
    <w:rsid w:val="00951C2C"/>
    <w:rsid w:val="00962E54"/>
    <w:rsid w:val="00963E65"/>
    <w:rsid w:val="009654DA"/>
    <w:rsid w:val="009701BB"/>
    <w:rsid w:val="00973A61"/>
    <w:rsid w:val="00983443"/>
    <w:rsid w:val="00984216"/>
    <w:rsid w:val="00984873"/>
    <w:rsid w:val="009B3774"/>
    <w:rsid w:val="009D611D"/>
    <w:rsid w:val="009D6DAB"/>
    <w:rsid w:val="009E0927"/>
    <w:rsid w:val="009E232C"/>
    <w:rsid w:val="009E277E"/>
    <w:rsid w:val="009E2C13"/>
    <w:rsid w:val="009E45B0"/>
    <w:rsid w:val="009F07EE"/>
    <w:rsid w:val="009F40E6"/>
    <w:rsid w:val="00A012AB"/>
    <w:rsid w:val="00A040A9"/>
    <w:rsid w:val="00A160AB"/>
    <w:rsid w:val="00A16C88"/>
    <w:rsid w:val="00A22570"/>
    <w:rsid w:val="00A25E59"/>
    <w:rsid w:val="00A26675"/>
    <w:rsid w:val="00A30A3B"/>
    <w:rsid w:val="00A37239"/>
    <w:rsid w:val="00A42588"/>
    <w:rsid w:val="00A463E9"/>
    <w:rsid w:val="00A4713F"/>
    <w:rsid w:val="00A50689"/>
    <w:rsid w:val="00A5370A"/>
    <w:rsid w:val="00A55AD3"/>
    <w:rsid w:val="00A62AB2"/>
    <w:rsid w:val="00A6311C"/>
    <w:rsid w:val="00A70048"/>
    <w:rsid w:val="00A83CFB"/>
    <w:rsid w:val="00A92301"/>
    <w:rsid w:val="00A959AE"/>
    <w:rsid w:val="00A96D28"/>
    <w:rsid w:val="00AA0C64"/>
    <w:rsid w:val="00AA2F5B"/>
    <w:rsid w:val="00AA3A7C"/>
    <w:rsid w:val="00AA42A4"/>
    <w:rsid w:val="00AA5C50"/>
    <w:rsid w:val="00AA6308"/>
    <w:rsid w:val="00AA7480"/>
    <w:rsid w:val="00AB4C18"/>
    <w:rsid w:val="00AD2082"/>
    <w:rsid w:val="00AD7134"/>
    <w:rsid w:val="00AD7214"/>
    <w:rsid w:val="00AD7E61"/>
    <w:rsid w:val="00AE3DB8"/>
    <w:rsid w:val="00B00330"/>
    <w:rsid w:val="00B04357"/>
    <w:rsid w:val="00B16399"/>
    <w:rsid w:val="00B168E1"/>
    <w:rsid w:val="00B2131D"/>
    <w:rsid w:val="00B23F1D"/>
    <w:rsid w:val="00B245F3"/>
    <w:rsid w:val="00B24D6A"/>
    <w:rsid w:val="00B44C56"/>
    <w:rsid w:val="00B44E64"/>
    <w:rsid w:val="00B513BA"/>
    <w:rsid w:val="00B52EBA"/>
    <w:rsid w:val="00B55579"/>
    <w:rsid w:val="00B64A9B"/>
    <w:rsid w:val="00B76DF5"/>
    <w:rsid w:val="00B80CA0"/>
    <w:rsid w:val="00B92E4C"/>
    <w:rsid w:val="00BA6F6F"/>
    <w:rsid w:val="00BA7966"/>
    <w:rsid w:val="00BB0116"/>
    <w:rsid w:val="00BB143B"/>
    <w:rsid w:val="00BC009C"/>
    <w:rsid w:val="00BC3827"/>
    <w:rsid w:val="00BC7620"/>
    <w:rsid w:val="00BD1A52"/>
    <w:rsid w:val="00BD376D"/>
    <w:rsid w:val="00BD3960"/>
    <w:rsid w:val="00BE02EA"/>
    <w:rsid w:val="00BE054D"/>
    <w:rsid w:val="00BE44AE"/>
    <w:rsid w:val="00BF2950"/>
    <w:rsid w:val="00BF46A0"/>
    <w:rsid w:val="00C00AD1"/>
    <w:rsid w:val="00C021B0"/>
    <w:rsid w:val="00C024DE"/>
    <w:rsid w:val="00C04680"/>
    <w:rsid w:val="00C1037F"/>
    <w:rsid w:val="00C215E6"/>
    <w:rsid w:val="00C22359"/>
    <w:rsid w:val="00C24A00"/>
    <w:rsid w:val="00C36936"/>
    <w:rsid w:val="00C43524"/>
    <w:rsid w:val="00C46F19"/>
    <w:rsid w:val="00C62FA5"/>
    <w:rsid w:val="00C631EC"/>
    <w:rsid w:val="00C64A5B"/>
    <w:rsid w:val="00C72612"/>
    <w:rsid w:val="00C7371E"/>
    <w:rsid w:val="00C835A4"/>
    <w:rsid w:val="00C85BD2"/>
    <w:rsid w:val="00C956AC"/>
    <w:rsid w:val="00C97369"/>
    <w:rsid w:val="00CA1727"/>
    <w:rsid w:val="00CA553A"/>
    <w:rsid w:val="00CB3CAA"/>
    <w:rsid w:val="00CB5473"/>
    <w:rsid w:val="00CB7AB0"/>
    <w:rsid w:val="00CB7FC0"/>
    <w:rsid w:val="00CD42A3"/>
    <w:rsid w:val="00CE1665"/>
    <w:rsid w:val="00CE31A6"/>
    <w:rsid w:val="00CE51E0"/>
    <w:rsid w:val="00CF1492"/>
    <w:rsid w:val="00CF3F96"/>
    <w:rsid w:val="00CF5074"/>
    <w:rsid w:val="00D13452"/>
    <w:rsid w:val="00D144C9"/>
    <w:rsid w:val="00D230FC"/>
    <w:rsid w:val="00D23DF0"/>
    <w:rsid w:val="00D277AE"/>
    <w:rsid w:val="00D33B0A"/>
    <w:rsid w:val="00D3646C"/>
    <w:rsid w:val="00D377C0"/>
    <w:rsid w:val="00D411E0"/>
    <w:rsid w:val="00D43BCB"/>
    <w:rsid w:val="00D451AB"/>
    <w:rsid w:val="00D5696E"/>
    <w:rsid w:val="00D57D73"/>
    <w:rsid w:val="00D633B0"/>
    <w:rsid w:val="00D8297B"/>
    <w:rsid w:val="00D91856"/>
    <w:rsid w:val="00D968AF"/>
    <w:rsid w:val="00DA44D0"/>
    <w:rsid w:val="00DA6694"/>
    <w:rsid w:val="00DB6E92"/>
    <w:rsid w:val="00DB6FB2"/>
    <w:rsid w:val="00DD48CD"/>
    <w:rsid w:val="00DD4BC9"/>
    <w:rsid w:val="00DE2EED"/>
    <w:rsid w:val="00DE6855"/>
    <w:rsid w:val="00DE6AAC"/>
    <w:rsid w:val="00DF0BBB"/>
    <w:rsid w:val="00E07FD7"/>
    <w:rsid w:val="00E11A0D"/>
    <w:rsid w:val="00E168F1"/>
    <w:rsid w:val="00E240DE"/>
    <w:rsid w:val="00E24C74"/>
    <w:rsid w:val="00E25BFD"/>
    <w:rsid w:val="00E31103"/>
    <w:rsid w:val="00E3636C"/>
    <w:rsid w:val="00E36B5B"/>
    <w:rsid w:val="00E51ACF"/>
    <w:rsid w:val="00E550DD"/>
    <w:rsid w:val="00E56A4F"/>
    <w:rsid w:val="00E75137"/>
    <w:rsid w:val="00E82B37"/>
    <w:rsid w:val="00E86D97"/>
    <w:rsid w:val="00E921AF"/>
    <w:rsid w:val="00EA43AC"/>
    <w:rsid w:val="00ED08EE"/>
    <w:rsid w:val="00ED323E"/>
    <w:rsid w:val="00EE214F"/>
    <w:rsid w:val="00EE319F"/>
    <w:rsid w:val="00EE3B9F"/>
    <w:rsid w:val="00F04D06"/>
    <w:rsid w:val="00F259F5"/>
    <w:rsid w:val="00F26AFB"/>
    <w:rsid w:val="00F31650"/>
    <w:rsid w:val="00F36C05"/>
    <w:rsid w:val="00F375A1"/>
    <w:rsid w:val="00F37785"/>
    <w:rsid w:val="00F5211C"/>
    <w:rsid w:val="00F55550"/>
    <w:rsid w:val="00F60CAF"/>
    <w:rsid w:val="00F61CEB"/>
    <w:rsid w:val="00F81238"/>
    <w:rsid w:val="00F82AB6"/>
    <w:rsid w:val="00F85B84"/>
    <w:rsid w:val="00F93822"/>
    <w:rsid w:val="00F97BF0"/>
    <w:rsid w:val="00FA3B2E"/>
    <w:rsid w:val="00FA5338"/>
    <w:rsid w:val="00FB61C1"/>
    <w:rsid w:val="00FB739C"/>
    <w:rsid w:val="00FD4809"/>
    <w:rsid w:val="00FE118E"/>
    <w:rsid w:val="00FE4052"/>
    <w:rsid w:val="00FF20E5"/>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2" w:qFormat="1"/>
    <w:lsdException w:name="heading 3" w:uiPriority="9"/>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y">
    <w:name w:val="Normal"/>
    <w:qFormat/>
    <w:rsid w:val="00467218"/>
    <w:pPr>
      <w:spacing w:after="60"/>
      <w:jc w:val="both"/>
    </w:pPr>
    <w:rPr>
      <w:sz w:val="24"/>
      <w:szCs w:val="24"/>
      <w:lang w:val="sk-SK" w:eastAsia="fr-FR"/>
    </w:rPr>
  </w:style>
  <w:style w:type="paragraph" w:styleId="Nadpis1">
    <w:name w:val="heading 1"/>
    <w:basedOn w:val="Normlny"/>
    <w:next w:val="Normlny"/>
    <w:link w:val="Nadpis1Char"/>
    <w:uiPriority w:val="1"/>
    <w:qFormat/>
    <w:rsid w:val="00467218"/>
    <w:pPr>
      <w:keepNext/>
      <w:spacing w:after="0"/>
      <w:outlineLvl w:val="0"/>
    </w:pPr>
    <w:rPr>
      <w:rFonts w:cs="Arial"/>
      <w:b/>
      <w:bCs/>
      <w:caps/>
      <w:kern w:val="32"/>
      <w:sz w:val="28"/>
      <w:szCs w:val="32"/>
      <w:lang w:val="de-DE" w:eastAsia="de-DE"/>
    </w:rPr>
  </w:style>
  <w:style w:type="paragraph" w:styleId="Nadpis2">
    <w:name w:val="heading 2"/>
    <w:basedOn w:val="Normlny"/>
    <w:next w:val="Normlny"/>
    <w:link w:val="Nadpis2Char"/>
    <w:uiPriority w:val="2"/>
    <w:qFormat/>
    <w:rsid w:val="00467218"/>
    <w:pPr>
      <w:keepNext/>
      <w:spacing w:after="0"/>
      <w:outlineLvl w:val="1"/>
    </w:pPr>
    <w:rPr>
      <w:rFonts w:cs="Arial"/>
      <w:b/>
      <w:bCs/>
      <w:caps/>
      <w:lang w:val="en-GB" w:eastAsia="de-D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2LAB">
    <w:name w:val="2 LAB"/>
    <w:basedOn w:val="Nadpis2"/>
    <w:link w:val="2LABChar"/>
    <w:uiPriority w:val="3"/>
    <w:qFormat/>
    <w:rsid w:val="00467218"/>
    <w:pPr>
      <w:pBdr>
        <w:top w:val="single" w:sz="4" w:space="1" w:color="auto"/>
        <w:left w:val="single" w:sz="4" w:space="4" w:color="auto"/>
        <w:bottom w:val="single" w:sz="4" w:space="1" w:color="auto"/>
        <w:right w:val="single" w:sz="4" w:space="4" w:color="auto"/>
      </w:pBdr>
    </w:pPr>
    <w:rPr>
      <w:noProof/>
    </w:rPr>
  </w:style>
  <w:style w:type="character" w:customStyle="1" w:styleId="2LABChar">
    <w:name w:val="2 LAB Char"/>
    <w:link w:val="2LAB"/>
    <w:uiPriority w:val="3"/>
    <w:rsid w:val="00467218"/>
    <w:rPr>
      <w:rFonts w:cs="Arial"/>
      <w:b/>
      <w:bCs/>
      <w:caps/>
      <w:noProof/>
      <w:sz w:val="24"/>
      <w:szCs w:val="24"/>
      <w:lang w:val="en-GB" w:eastAsia="de-DE"/>
    </w:rPr>
  </w:style>
  <w:style w:type="character" w:customStyle="1" w:styleId="Nadpis2Char">
    <w:name w:val="Nadpis 2 Char"/>
    <w:link w:val="Nadpis2"/>
    <w:uiPriority w:val="2"/>
    <w:rsid w:val="00467218"/>
    <w:rPr>
      <w:rFonts w:cs="Arial"/>
      <w:b/>
      <w:bCs/>
      <w:caps/>
      <w:sz w:val="24"/>
      <w:szCs w:val="24"/>
      <w:lang w:val="en-GB" w:eastAsia="de-DE"/>
    </w:rPr>
  </w:style>
  <w:style w:type="paragraph" w:customStyle="1" w:styleId="NorLAB">
    <w:name w:val="Nor LAB"/>
    <w:basedOn w:val="Normlny"/>
    <w:link w:val="NorLABChar"/>
    <w:uiPriority w:val="5"/>
    <w:qFormat/>
    <w:rsid w:val="00467218"/>
    <w:pPr>
      <w:pBdr>
        <w:top w:val="single" w:sz="4" w:space="1" w:color="auto"/>
        <w:left w:val="single" w:sz="4" w:space="4" w:color="auto"/>
        <w:bottom w:val="single" w:sz="4" w:space="1" w:color="auto"/>
        <w:right w:val="single" w:sz="4" w:space="4" w:color="auto"/>
      </w:pBdr>
    </w:pPr>
    <w:rPr>
      <w:b/>
      <w:caps/>
      <w:noProof/>
    </w:rPr>
  </w:style>
  <w:style w:type="character" w:customStyle="1" w:styleId="NorLABChar">
    <w:name w:val="Nor LAB Char"/>
    <w:link w:val="NorLAB"/>
    <w:uiPriority w:val="5"/>
    <w:rsid w:val="00467218"/>
    <w:rPr>
      <w:b/>
      <w:caps/>
      <w:noProof/>
      <w:sz w:val="24"/>
      <w:szCs w:val="24"/>
      <w:lang w:val="fr-FR" w:eastAsia="fr-FR"/>
    </w:rPr>
  </w:style>
  <w:style w:type="paragraph" w:customStyle="1" w:styleId="2PIL">
    <w:name w:val="2 PIL"/>
    <w:basedOn w:val="Nadpis2"/>
    <w:link w:val="2PILChar"/>
    <w:uiPriority w:val="4"/>
    <w:qFormat/>
    <w:rsid w:val="00CB7AB0"/>
    <w:pPr>
      <w:keepNext w:val="0"/>
      <w:tabs>
        <w:tab w:val="left" w:pos="360"/>
      </w:tabs>
      <w:jc w:val="left"/>
    </w:pPr>
    <w:rPr>
      <w:caps w:val="0"/>
    </w:rPr>
  </w:style>
  <w:style w:type="character" w:customStyle="1" w:styleId="2PILChar">
    <w:name w:val="2 PIL Char"/>
    <w:link w:val="2PIL"/>
    <w:uiPriority w:val="4"/>
    <w:rsid w:val="00CB7AB0"/>
    <w:rPr>
      <w:rFonts w:cs="Arial"/>
      <w:b/>
      <w:bCs/>
      <w:sz w:val="24"/>
      <w:szCs w:val="24"/>
      <w:lang w:val="en-GB" w:eastAsia="de-DE"/>
    </w:rPr>
  </w:style>
  <w:style w:type="paragraph" w:customStyle="1" w:styleId="Tun">
    <w:name w:val="Tučné"/>
    <w:basedOn w:val="Normlny"/>
    <w:link w:val="TunChar"/>
    <w:uiPriority w:val="6"/>
    <w:qFormat/>
    <w:rsid w:val="00467218"/>
    <w:rPr>
      <w:b/>
      <w:bCs/>
      <w:lang w:val="en-GB" w:eastAsia="de-DE"/>
    </w:rPr>
  </w:style>
  <w:style w:type="character" w:customStyle="1" w:styleId="TunChar">
    <w:name w:val="Tučné Char"/>
    <w:link w:val="Tun"/>
    <w:uiPriority w:val="6"/>
    <w:rsid w:val="00467218"/>
    <w:rPr>
      <w:b/>
      <w:bCs/>
      <w:sz w:val="24"/>
      <w:szCs w:val="24"/>
      <w:lang w:val="en-GB" w:eastAsia="de-DE"/>
    </w:rPr>
  </w:style>
  <w:style w:type="character" w:customStyle="1" w:styleId="Nadpis1Char">
    <w:name w:val="Nadpis 1 Char"/>
    <w:link w:val="Nadpis1"/>
    <w:uiPriority w:val="1"/>
    <w:rsid w:val="00467218"/>
    <w:rPr>
      <w:rFonts w:cs="Arial"/>
      <w:b/>
      <w:bCs/>
      <w:caps/>
      <w:kern w:val="32"/>
      <w:sz w:val="28"/>
      <w:szCs w:val="32"/>
      <w:lang w:val="de-DE" w:eastAsia="de-DE"/>
    </w:rPr>
  </w:style>
  <w:style w:type="character" w:styleId="Siln">
    <w:name w:val="Strong"/>
    <w:basedOn w:val="Predvolenpsmoodseku"/>
    <w:uiPriority w:val="22"/>
    <w:qFormat/>
    <w:rsid w:val="00467218"/>
    <w:rPr>
      <w:b/>
      <w:bCs/>
    </w:rPr>
  </w:style>
  <w:style w:type="character" w:styleId="Zvraznenie">
    <w:name w:val="Emphasis"/>
    <w:basedOn w:val="Predvolenpsmoodseku"/>
    <w:qFormat/>
    <w:rsid w:val="00467218"/>
    <w:rPr>
      <w:i/>
      <w:iCs/>
    </w:rPr>
  </w:style>
  <w:style w:type="paragraph" w:styleId="Odsekzoznamu">
    <w:name w:val="List Paragraph"/>
    <w:basedOn w:val="Normlny"/>
    <w:uiPriority w:val="34"/>
    <w:rsid w:val="00637BF2"/>
    <w:pPr>
      <w:ind w:left="720"/>
      <w:contextualSpacing/>
    </w:pPr>
  </w:style>
  <w:style w:type="table" w:styleId="Mriekatabuky">
    <w:name w:val="Table Grid"/>
    <w:basedOn w:val="Normlnatabuka"/>
    <w:uiPriority w:val="59"/>
    <w:rsid w:val="00CB7A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naka">
    <w:name w:val="Znaèka"/>
    <w:rsid w:val="005D59EE"/>
    <w:pPr>
      <w:widowControl w:val="0"/>
      <w:adjustRightInd w:val="0"/>
      <w:spacing w:after="200" w:line="360" w:lineRule="atLeast"/>
      <w:ind w:left="288"/>
      <w:jc w:val="both"/>
      <w:textAlignment w:val="baseline"/>
    </w:pPr>
    <w:rPr>
      <w:rFonts w:ascii="Calibri" w:eastAsia="Times New Roman" w:hAnsi="Calibri"/>
      <w:color w:val="000000"/>
      <w:sz w:val="24"/>
      <w:szCs w:val="22"/>
      <w:lang w:val="cs-CZ" w:eastAsia="cs-CZ"/>
    </w:rPr>
  </w:style>
  <w:style w:type="paragraph" w:styleId="Zkladntext">
    <w:name w:val="Body Text"/>
    <w:basedOn w:val="Normlny"/>
    <w:link w:val="ZkladntextChar"/>
    <w:rsid w:val="005D59EE"/>
    <w:pPr>
      <w:spacing w:after="0"/>
      <w:jc w:val="left"/>
    </w:pPr>
    <w:rPr>
      <w:rFonts w:eastAsia="Times New Roman"/>
      <w:color w:val="000000"/>
      <w:lang w:val="en-US" w:eastAsia="en-US" w:bidi="en-US"/>
    </w:rPr>
  </w:style>
  <w:style w:type="character" w:customStyle="1" w:styleId="ZkladntextChar">
    <w:name w:val="Základný text Char"/>
    <w:basedOn w:val="Predvolenpsmoodseku"/>
    <w:link w:val="Zkladntext"/>
    <w:rsid w:val="005D59EE"/>
    <w:rPr>
      <w:rFonts w:eastAsia="Times New Roman"/>
      <w:color w:val="000000"/>
      <w:sz w:val="24"/>
      <w:szCs w:val="24"/>
      <w:lang w:bidi="en-US"/>
    </w:rPr>
  </w:style>
  <w:style w:type="paragraph" w:customStyle="1" w:styleId="H3-text1">
    <w:name w:val="H3 - text 1"/>
    <w:basedOn w:val="Normlny"/>
    <w:rsid w:val="005D59EE"/>
    <w:pPr>
      <w:snapToGrid w:val="0"/>
      <w:spacing w:after="0"/>
    </w:pPr>
    <w:rPr>
      <w:rFonts w:eastAsia="Times New Roman"/>
      <w:color w:val="000000"/>
      <w:szCs w:val="20"/>
      <w:lang w:val="cs-CZ" w:eastAsia="cs-CZ"/>
    </w:rPr>
  </w:style>
  <w:style w:type="paragraph" w:customStyle="1" w:styleId="Default">
    <w:name w:val="Default"/>
    <w:rsid w:val="00984216"/>
    <w:pPr>
      <w:autoSpaceDE w:val="0"/>
      <w:autoSpaceDN w:val="0"/>
      <w:adjustRightInd w:val="0"/>
    </w:pPr>
    <w:rPr>
      <w:rFonts w:ascii="Verdana" w:eastAsia="Times New Roman" w:hAnsi="Verdana" w:cs="Verdana"/>
      <w:color w:val="000000"/>
      <w:sz w:val="24"/>
      <w:szCs w:val="24"/>
      <w:lang w:val="nl-NL" w:eastAsia="nl-NL"/>
    </w:rPr>
  </w:style>
  <w:style w:type="paragraph" w:styleId="Hlavika">
    <w:name w:val="header"/>
    <w:basedOn w:val="Normlny"/>
    <w:link w:val="HlavikaChar"/>
    <w:unhideWhenUsed/>
    <w:rsid w:val="00844E8E"/>
    <w:pPr>
      <w:tabs>
        <w:tab w:val="center" w:pos="4536"/>
        <w:tab w:val="right" w:pos="9072"/>
      </w:tabs>
      <w:spacing w:after="0"/>
    </w:pPr>
  </w:style>
  <w:style w:type="character" w:customStyle="1" w:styleId="HlavikaChar">
    <w:name w:val="Hlavička Char"/>
    <w:basedOn w:val="Predvolenpsmoodseku"/>
    <w:link w:val="Hlavika"/>
    <w:rsid w:val="00844E8E"/>
    <w:rPr>
      <w:sz w:val="24"/>
      <w:szCs w:val="24"/>
      <w:lang w:val="fr-FR" w:eastAsia="fr-FR"/>
    </w:rPr>
  </w:style>
  <w:style w:type="paragraph" w:styleId="Pta">
    <w:name w:val="footer"/>
    <w:basedOn w:val="Normlny"/>
    <w:link w:val="PtaChar"/>
    <w:uiPriority w:val="99"/>
    <w:unhideWhenUsed/>
    <w:rsid w:val="00844E8E"/>
    <w:pPr>
      <w:tabs>
        <w:tab w:val="center" w:pos="4536"/>
        <w:tab w:val="right" w:pos="9072"/>
      </w:tabs>
      <w:spacing w:after="0"/>
    </w:pPr>
  </w:style>
  <w:style w:type="character" w:customStyle="1" w:styleId="PtaChar">
    <w:name w:val="Päta Char"/>
    <w:basedOn w:val="Predvolenpsmoodseku"/>
    <w:link w:val="Pta"/>
    <w:uiPriority w:val="99"/>
    <w:rsid w:val="00844E8E"/>
    <w:rPr>
      <w:sz w:val="24"/>
      <w:szCs w:val="24"/>
      <w:lang w:val="fr-FR" w:eastAsia="fr-FR"/>
    </w:rPr>
  </w:style>
  <w:style w:type="character" w:styleId="Odkaznakomentr">
    <w:name w:val="annotation reference"/>
    <w:basedOn w:val="Predvolenpsmoodseku"/>
    <w:uiPriority w:val="99"/>
    <w:semiHidden/>
    <w:unhideWhenUsed/>
    <w:rsid w:val="00BD3960"/>
    <w:rPr>
      <w:sz w:val="16"/>
      <w:szCs w:val="16"/>
    </w:rPr>
  </w:style>
  <w:style w:type="paragraph" w:styleId="Textkomentra">
    <w:name w:val="annotation text"/>
    <w:basedOn w:val="Normlny"/>
    <w:link w:val="TextkomentraChar"/>
    <w:uiPriority w:val="99"/>
    <w:semiHidden/>
    <w:unhideWhenUsed/>
    <w:rsid w:val="00BD3960"/>
    <w:rPr>
      <w:sz w:val="20"/>
      <w:szCs w:val="20"/>
    </w:rPr>
  </w:style>
  <w:style w:type="character" w:customStyle="1" w:styleId="TextkomentraChar">
    <w:name w:val="Text komentára Char"/>
    <w:basedOn w:val="Predvolenpsmoodseku"/>
    <w:link w:val="Textkomentra"/>
    <w:uiPriority w:val="99"/>
    <w:semiHidden/>
    <w:rsid w:val="00BD3960"/>
    <w:rPr>
      <w:lang w:val="fr-FR" w:eastAsia="fr-FR"/>
    </w:rPr>
  </w:style>
  <w:style w:type="paragraph" w:styleId="Predmetkomentra">
    <w:name w:val="annotation subject"/>
    <w:basedOn w:val="Textkomentra"/>
    <w:next w:val="Textkomentra"/>
    <w:link w:val="PredmetkomentraChar"/>
    <w:uiPriority w:val="99"/>
    <w:semiHidden/>
    <w:unhideWhenUsed/>
    <w:rsid w:val="00BD3960"/>
    <w:rPr>
      <w:b/>
      <w:bCs/>
    </w:rPr>
  </w:style>
  <w:style w:type="character" w:customStyle="1" w:styleId="PredmetkomentraChar">
    <w:name w:val="Predmet komentára Char"/>
    <w:basedOn w:val="TextkomentraChar"/>
    <w:link w:val="Predmetkomentra"/>
    <w:uiPriority w:val="99"/>
    <w:semiHidden/>
    <w:rsid w:val="00BD3960"/>
    <w:rPr>
      <w:b/>
      <w:bCs/>
      <w:lang w:val="fr-FR" w:eastAsia="fr-FR"/>
    </w:rPr>
  </w:style>
  <w:style w:type="paragraph" w:styleId="Textbubliny">
    <w:name w:val="Balloon Text"/>
    <w:basedOn w:val="Normlny"/>
    <w:link w:val="TextbublinyChar"/>
    <w:uiPriority w:val="99"/>
    <w:semiHidden/>
    <w:unhideWhenUsed/>
    <w:rsid w:val="00BD3960"/>
    <w:pPr>
      <w:spacing w:after="0"/>
    </w:pPr>
    <w:rPr>
      <w:rFonts w:ascii="Tahoma" w:hAnsi="Tahoma" w:cs="Tahoma"/>
      <w:sz w:val="16"/>
      <w:szCs w:val="16"/>
    </w:rPr>
  </w:style>
  <w:style w:type="character" w:customStyle="1" w:styleId="TextbublinyChar">
    <w:name w:val="Text bubliny Char"/>
    <w:basedOn w:val="Predvolenpsmoodseku"/>
    <w:link w:val="Textbubliny"/>
    <w:uiPriority w:val="99"/>
    <w:semiHidden/>
    <w:rsid w:val="00BD3960"/>
    <w:rPr>
      <w:rFonts w:ascii="Tahoma" w:hAnsi="Tahoma" w:cs="Tahoma"/>
      <w:sz w:val="16"/>
      <w:szCs w:val="16"/>
      <w:lang w:val="fr-FR" w:eastAsia="fr-FR"/>
    </w:rPr>
  </w:style>
  <w:style w:type="paragraph" w:styleId="Revzia">
    <w:name w:val="Revision"/>
    <w:hidden/>
    <w:uiPriority w:val="99"/>
    <w:semiHidden/>
    <w:rsid w:val="00776A02"/>
    <w:rPr>
      <w:sz w:val="24"/>
      <w:szCs w:val="24"/>
      <w:lang w:val="fr-FR" w:eastAsia="fr-FR"/>
    </w:rPr>
  </w:style>
  <w:style w:type="paragraph" w:styleId="Popis">
    <w:name w:val="caption"/>
    <w:basedOn w:val="Normlny"/>
    <w:next w:val="Normlny"/>
    <w:uiPriority w:val="35"/>
    <w:unhideWhenUsed/>
    <w:qFormat/>
    <w:rsid w:val="00E07FD7"/>
    <w:pPr>
      <w:spacing w:after="200"/>
    </w:pPr>
    <w:rPr>
      <w:b/>
      <w:bCs/>
      <w:color w:val="4F81BD" w:themeColor="accent1"/>
      <w:sz w:val="18"/>
      <w:szCs w:val="18"/>
    </w:rPr>
  </w:style>
  <w:style w:type="character" w:styleId="Hypertextovprepojenie">
    <w:name w:val="Hyperlink"/>
    <w:rsid w:val="00EE214F"/>
    <w:rPr>
      <w:color w:val="0000FF"/>
      <w:u w:val="single"/>
    </w:rPr>
  </w:style>
  <w:style w:type="character" w:customStyle="1" w:styleId="BodytextAgencyChar">
    <w:name w:val="Body text (Agency) Char"/>
    <w:link w:val="BodytextAgency"/>
    <w:locked/>
    <w:rsid w:val="00A26675"/>
    <w:rPr>
      <w:rFonts w:ascii="Verdana" w:eastAsia="Verdana" w:hAnsi="Verdana" w:cs="Verdana"/>
      <w:sz w:val="18"/>
      <w:szCs w:val="18"/>
      <w:lang w:val="en-GB" w:eastAsia="en-GB"/>
    </w:rPr>
  </w:style>
  <w:style w:type="paragraph" w:customStyle="1" w:styleId="BodytextAgency">
    <w:name w:val="Body text (Agency)"/>
    <w:basedOn w:val="Normlny"/>
    <w:link w:val="BodytextAgencyChar"/>
    <w:qFormat/>
    <w:rsid w:val="00A26675"/>
    <w:pPr>
      <w:spacing w:after="140" w:line="280" w:lineRule="atLeast"/>
      <w:jc w:val="left"/>
    </w:pPr>
    <w:rPr>
      <w:rFonts w:ascii="Verdana" w:eastAsia="Verdana" w:hAnsi="Verdana" w:cs="Verdana"/>
      <w:sz w:val="18"/>
      <w:szCs w:val="18"/>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2" w:qFormat="1"/>
    <w:lsdException w:name="heading 3" w:uiPriority="9"/>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y">
    <w:name w:val="Normal"/>
    <w:qFormat/>
    <w:rsid w:val="00467218"/>
    <w:pPr>
      <w:spacing w:after="60"/>
      <w:jc w:val="both"/>
    </w:pPr>
    <w:rPr>
      <w:sz w:val="24"/>
      <w:szCs w:val="24"/>
      <w:lang w:val="fr-FR" w:eastAsia="fr-FR"/>
    </w:rPr>
  </w:style>
  <w:style w:type="paragraph" w:styleId="Nadpis1">
    <w:name w:val="heading 1"/>
    <w:basedOn w:val="Normlny"/>
    <w:next w:val="Normlny"/>
    <w:link w:val="Nadpis1Char"/>
    <w:uiPriority w:val="1"/>
    <w:qFormat/>
    <w:rsid w:val="00467218"/>
    <w:pPr>
      <w:keepNext/>
      <w:spacing w:after="0"/>
      <w:outlineLvl w:val="0"/>
    </w:pPr>
    <w:rPr>
      <w:rFonts w:cs="Arial"/>
      <w:b/>
      <w:bCs/>
      <w:caps/>
      <w:kern w:val="32"/>
      <w:sz w:val="28"/>
      <w:szCs w:val="32"/>
      <w:lang w:val="de-DE" w:eastAsia="de-DE"/>
    </w:rPr>
  </w:style>
  <w:style w:type="paragraph" w:styleId="Nadpis2">
    <w:name w:val="heading 2"/>
    <w:basedOn w:val="Normlny"/>
    <w:next w:val="Normlny"/>
    <w:link w:val="Nadpis2Char"/>
    <w:uiPriority w:val="2"/>
    <w:qFormat/>
    <w:rsid w:val="00467218"/>
    <w:pPr>
      <w:keepNext/>
      <w:spacing w:after="0"/>
      <w:outlineLvl w:val="1"/>
    </w:pPr>
    <w:rPr>
      <w:rFonts w:cs="Arial"/>
      <w:b/>
      <w:bCs/>
      <w:caps/>
      <w:lang w:val="en-GB" w:eastAsia="de-D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2LAB">
    <w:name w:val="2 LAB"/>
    <w:basedOn w:val="Nadpis2"/>
    <w:link w:val="2LABChar"/>
    <w:uiPriority w:val="3"/>
    <w:qFormat/>
    <w:rsid w:val="00467218"/>
    <w:pPr>
      <w:pBdr>
        <w:top w:val="single" w:sz="4" w:space="1" w:color="auto"/>
        <w:left w:val="single" w:sz="4" w:space="4" w:color="auto"/>
        <w:bottom w:val="single" w:sz="4" w:space="1" w:color="auto"/>
        <w:right w:val="single" w:sz="4" w:space="4" w:color="auto"/>
      </w:pBdr>
    </w:pPr>
    <w:rPr>
      <w:noProof/>
    </w:rPr>
  </w:style>
  <w:style w:type="character" w:customStyle="1" w:styleId="2LABChar">
    <w:name w:val="2 LAB Char"/>
    <w:link w:val="2LAB"/>
    <w:uiPriority w:val="3"/>
    <w:rsid w:val="00467218"/>
    <w:rPr>
      <w:rFonts w:cs="Arial"/>
      <w:b/>
      <w:bCs/>
      <w:caps/>
      <w:noProof/>
      <w:sz w:val="24"/>
      <w:szCs w:val="24"/>
      <w:lang w:val="en-GB" w:eastAsia="de-DE"/>
    </w:rPr>
  </w:style>
  <w:style w:type="character" w:customStyle="1" w:styleId="Nadpis2Char">
    <w:name w:val="Nadpis 2 Char"/>
    <w:link w:val="Nadpis2"/>
    <w:uiPriority w:val="2"/>
    <w:rsid w:val="00467218"/>
    <w:rPr>
      <w:rFonts w:cs="Arial"/>
      <w:b/>
      <w:bCs/>
      <w:caps/>
      <w:sz w:val="24"/>
      <w:szCs w:val="24"/>
      <w:lang w:val="en-GB" w:eastAsia="de-DE"/>
    </w:rPr>
  </w:style>
  <w:style w:type="paragraph" w:customStyle="1" w:styleId="NorLAB">
    <w:name w:val="Nor LAB"/>
    <w:basedOn w:val="Normlny"/>
    <w:link w:val="NorLABChar"/>
    <w:uiPriority w:val="5"/>
    <w:qFormat/>
    <w:rsid w:val="00467218"/>
    <w:pPr>
      <w:pBdr>
        <w:top w:val="single" w:sz="4" w:space="1" w:color="auto"/>
        <w:left w:val="single" w:sz="4" w:space="4" w:color="auto"/>
        <w:bottom w:val="single" w:sz="4" w:space="1" w:color="auto"/>
        <w:right w:val="single" w:sz="4" w:space="4" w:color="auto"/>
      </w:pBdr>
    </w:pPr>
    <w:rPr>
      <w:b/>
      <w:caps/>
      <w:noProof/>
    </w:rPr>
  </w:style>
  <w:style w:type="character" w:customStyle="1" w:styleId="NorLABChar">
    <w:name w:val="Nor LAB Char"/>
    <w:link w:val="NorLAB"/>
    <w:uiPriority w:val="5"/>
    <w:rsid w:val="00467218"/>
    <w:rPr>
      <w:b/>
      <w:caps/>
      <w:noProof/>
      <w:sz w:val="24"/>
      <w:szCs w:val="24"/>
      <w:lang w:val="fr-FR" w:eastAsia="fr-FR"/>
    </w:rPr>
  </w:style>
  <w:style w:type="paragraph" w:customStyle="1" w:styleId="2PIL">
    <w:name w:val="2 PIL"/>
    <w:basedOn w:val="Nadpis2"/>
    <w:link w:val="2PILChar"/>
    <w:uiPriority w:val="4"/>
    <w:qFormat/>
    <w:rsid w:val="00CB7AB0"/>
    <w:pPr>
      <w:keepNext w:val="0"/>
      <w:tabs>
        <w:tab w:val="left" w:pos="360"/>
      </w:tabs>
      <w:jc w:val="left"/>
    </w:pPr>
    <w:rPr>
      <w:caps w:val="0"/>
    </w:rPr>
  </w:style>
  <w:style w:type="character" w:customStyle="1" w:styleId="2PILChar">
    <w:name w:val="2 PIL Char"/>
    <w:link w:val="2PIL"/>
    <w:uiPriority w:val="4"/>
    <w:rsid w:val="00CB7AB0"/>
    <w:rPr>
      <w:rFonts w:cs="Arial"/>
      <w:b/>
      <w:bCs/>
      <w:sz w:val="24"/>
      <w:szCs w:val="24"/>
      <w:lang w:val="en-GB" w:eastAsia="de-DE"/>
    </w:rPr>
  </w:style>
  <w:style w:type="paragraph" w:customStyle="1" w:styleId="Tun">
    <w:name w:val="Tučné"/>
    <w:basedOn w:val="Normlny"/>
    <w:link w:val="TunChar"/>
    <w:uiPriority w:val="6"/>
    <w:qFormat/>
    <w:rsid w:val="00467218"/>
    <w:rPr>
      <w:b/>
      <w:bCs/>
      <w:lang w:val="en-GB" w:eastAsia="de-DE"/>
    </w:rPr>
  </w:style>
  <w:style w:type="character" w:customStyle="1" w:styleId="TunChar">
    <w:name w:val="Tučné Char"/>
    <w:link w:val="Tun"/>
    <w:uiPriority w:val="6"/>
    <w:rsid w:val="00467218"/>
    <w:rPr>
      <w:b/>
      <w:bCs/>
      <w:sz w:val="24"/>
      <w:szCs w:val="24"/>
      <w:lang w:val="en-GB" w:eastAsia="de-DE"/>
    </w:rPr>
  </w:style>
  <w:style w:type="character" w:customStyle="1" w:styleId="Nadpis1Char">
    <w:name w:val="Nadpis 1 Char"/>
    <w:link w:val="Nadpis1"/>
    <w:uiPriority w:val="1"/>
    <w:rsid w:val="00467218"/>
    <w:rPr>
      <w:rFonts w:cs="Arial"/>
      <w:b/>
      <w:bCs/>
      <w:caps/>
      <w:kern w:val="32"/>
      <w:sz w:val="28"/>
      <w:szCs w:val="32"/>
      <w:lang w:val="de-DE" w:eastAsia="de-DE"/>
    </w:rPr>
  </w:style>
  <w:style w:type="character" w:styleId="Siln">
    <w:name w:val="Strong"/>
    <w:basedOn w:val="Predvolenpsmoodseku"/>
    <w:uiPriority w:val="22"/>
    <w:qFormat/>
    <w:rsid w:val="00467218"/>
    <w:rPr>
      <w:b/>
      <w:bCs/>
    </w:rPr>
  </w:style>
  <w:style w:type="character" w:styleId="Zvraznenie">
    <w:name w:val="Emphasis"/>
    <w:basedOn w:val="Predvolenpsmoodseku"/>
    <w:qFormat/>
    <w:rsid w:val="00467218"/>
    <w:rPr>
      <w:i/>
      <w:iCs/>
    </w:rPr>
  </w:style>
  <w:style w:type="paragraph" w:styleId="Odsekzoznamu">
    <w:name w:val="List Paragraph"/>
    <w:basedOn w:val="Normlny"/>
    <w:uiPriority w:val="34"/>
    <w:rsid w:val="00637BF2"/>
    <w:pPr>
      <w:ind w:left="720"/>
      <w:contextualSpacing/>
    </w:pPr>
  </w:style>
  <w:style w:type="table" w:styleId="Mriekatabuky">
    <w:name w:val="Table Grid"/>
    <w:basedOn w:val="Normlnatabuka"/>
    <w:uiPriority w:val="59"/>
    <w:rsid w:val="00CB7A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a">
    <w:name w:val="Znaèka"/>
    <w:rsid w:val="005D59EE"/>
    <w:pPr>
      <w:widowControl w:val="0"/>
      <w:adjustRightInd w:val="0"/>
      <w:spacing w:after="200" w:line="360" w:lineRule="atLeast"/>
      <w:ind w:left="288"/>
      <w:jc w:val="both"/>
      <w:textAlignment w:val="baseline"/>
    </w:pPr>
    <w:rPr>
      <w:rFonts w:ascii="Calibri" w:eastAsia="Times New Roman" w:hAnsi="Calibri"/>
      <w:color w:val="000000"/>
      <w:sz w:val="24"/>
      <w:szCs w:val="22"/>
      <w:lang w:val="cs-CZ" w:eastAsia="cs-CZ"/>
    </w:rPr>
  </w:style>
  <w:style w:type="paragraph" w:styleId="Zkladntext">
    <w:name w:val="Body Text"/>
    <w:basedOn w:val="Normlny"/>
    <w:link w:val="ZkladntextChar"/>
    <w:rsid w:val="005D59EE"/>
    <w:pPr>
      <w:spacing w:after="0"/>
      <w:jc w:val="left"/>
    </w:pPr>
    <w:rPr>
      <w:rFonts w:eastAsia="Times New Roman"/>
      <w:color w:val="000000"/>
      <w:lang w:val="en-US" w:eastAsia="en-US" w:bidi="en-US"/>
    </w:rPr>
  </w:style>
  <w:style w:type="character" w:customStyle="1" w:styleId="ZkladntextChar">
    <w:name w:val="Základný text Char"/>
    <w:basedOn w:val="Predvolenpsmoodseku"/>
    <w:link w:val="Zkladntext"/>
    <w:rsid w:val="005D59EE"/>
    <w:rPr>
      <w:rFonts w:eastAsia="Times New Roman"/>
      <w:color w:val="000000"/>
      <w:sz w:val="24"/>
      <w:szCs w:val="24"/>
      <w:lang w:bidi="en-US"/>
    </w:rPr>
  </w:style>
  <w:style w:type="paragraph" w:customStyle="1" w:styleId="H3-text1">
    <w:name w:val="H3 - text 1"/>
    <w:basedOn w:val="Normlny"/>
    <w:rsid w:val="005D59EE"/>
    <w:pPr>
      <w:snapToGrid w:val="0"/>
      <w:spacing w:after="0"/>
    </w:pPr>
    <w:rPr>
      <w:rFonts w:eastAsia="Times New Roman"/>
      <w:color w:val="000000"/>
      <w:szCs w:val="20"/>
      <w:lang w:val="cs-CZ" w:eastAsia="cs-CZ"/>
    </w:rPr>
  </w:style>
  <w:style w:type="paragraph" w:customStyle="1" w:styleId="Default">
    <w:name w:val="Default"/>
    <w:rsid w:val="00984216"/>
    <w:pPr>
      <w:autoSpaceDE w:val="0"/>
      <w:autoSpaceDN w:val="0"/>
      <w:adjustRightInd w:val="0"/>
    </w:pPr>
    <w:rPr>
      <w:rFonts w:ascii="Verdana" w:eastAsia="Times New Roman" w:hAnsi="Verdana" w:cs="Verdana"/>
      <w:color w:val="000000"/>
      <w:sz w:val="24"/>
      <w:szCs w:val="24"/>
      <w:lang w:val="nl-NL" w:eastAsia="nl-NL"/>
    </w:rPr>
  </w:style>
  <w:style w:type="paragraph" w:styleId="Hlavika">
    <w:name w:val="header"/>
    <w:basedOn w:val="Normlny"/>
    <w:link w:val="HlavikaChar"/>
    <w:unhideWhenUsed/>
    <w:rsid w:val="00844E8E"/>
    <w:pPr>
      <w:tabs>
        <w:tab w:val="center" w:pos="4536"/>
        <w:tab w:val="right" w:pos="9072"/>
      </w:tabs>
      <w:spacing w:after="0"/>
    </w:pPr>
  </w:style>
  <w:style w:type="character" w:customStyle="1" w:styleId="HlavikaChar">
    <w:name w:val="Hlavička Char"/>
    <w:basedOn w:val="Predvolenpsmoodseku"/>
    <w:link w:val="Hlavika"/>
    <w:rsid w:val="00844E8E"/>
    <w:rPr>
      <w:sz w:val="24"/>
      <w:szCs w:val="24"/>
      <w:lang w:val="fr-FR" w:eastAsia="fr-FR"/>
    </w:rPr>
  </w:style>
  <w:style w:type="paragraph" w:styleId="Pta">
    <w:name w:val="footer"/>
    <w:basedOn w:val="Normlny"/>
    <w:link w:val="PtaChar"/>
    <w:uiPriority w:val="99"/>
    <w:unhideWhenUsed/>
    <w:rsid w:val="00844E8E"/>
    <w:pPr>
      <w:tabs>
        <w:tab w:val="center" w:pos="4536"/>
        <w:tab w:val="right" w:pos="9072"/>
      </w:tabs>
      <w:spacing w:after="0"/>
    </w:pPr>
  </w:style>
  <w:style w:type="character" w:customStyle="1" w:styleId="PtaChar">
    <w:name w:val="Päta Char"/>
    <w:basedOn w:val="Predvolenpsmoodseku"/>
    <w:link w:val="Pta"/>
    <w:uiPriority w:val="99"/>
    <w:rsid w:val="00844E8E"/>
    <w:rPr>
      <w:sz w:val="24"/>
      <w:szCs w:val="24"/>
      <w:lang w:val="fr-FR" w:eastAsia="fr-FR"/>
    </w:rPr>
  </w:style>
  <w:style w:type="character" w:styleId="Odkaznakomentr">
    <w:name w:val="annotation reference"/>
    <w:basedOn w:val="Predvolenpsmoodseku"/>
    <w:uiPriority w:val="99"/>
    <w:semiHidden/>
    <w:unhideWhenUsed/>
    <w:rsid w:val="00BD3960"/>
    <w:rPr>
      <w:sz w:val="16"/>
      <w:szCs w:val="16"/>
    </w:rPr>
  </w:style>
  <w:style w:type="paragraph" w:styleId="Textkomentra">
    <w:name w:val="annotation text"/>
    <w:basedOn w:val="Normlny"/>
    <w:link w:val="TextkomentraChar"/>
    <w:uiPriority w:val="99"/>
    <w:semiHidden/>
    <w:unhideWhenUsed/>
    <w:rsid w:val="00BD3960"/>
    <w:rPr>
      <w:sz w:val="20"/>
      <w:szCs w:val="20"/>
    </w:rPr>
  </w:style>
  <w:style w:type="character" w:customStyle="1" w:styleId="TextkomentraChar">
    <w:name w:val="Text komentára Char"/>
    <w:basedOn w:val="Predvolenpsmoodseku"/>
    <w:link w:val="Textkomentra"/>
    <w:uiPriority w:val="99"/>
    <w:semiHidden/>
    <w:rsid w:val="00BD3960"/>
    <w:rPr>
      <w:lang w:val="fr-FR" w:eastAsia="fr-FR"/>
    </w:rPr>
  </w:style>
  <w:style w:type="paragraph" w:styleId="Predmetkomentra">
    <w:name w:val="annotation subject"/>
    <w:basedOn w:val="Textkomentra"/>
    <w:next w:val="Textkomentra"/>
    <w:link w:val="PredmetkomentraChar"/>
    <w:uiPriority w:val="99"/>
    <w:semiHidden/>
    <w:unhideWhenUsed/>
    <w:rsid w:val="00BD3960"/>
    <w:rPr>
      <w:b/>
      <w:bCs/>
    </w:rPr>
  </w:style>
  <w:style w:type="character" w:customStyle="1" w:styleId="PredmetkomentraChar">
    <w:name w:val="Predmet komentára Char"/>
    <w:basedOn w:val="TextkomentraChar"/>
    <w:link w:val="Predmetkomentra"/>
    <w:uiPriority w:val="99"/>
    <w:semiHidden/>
    <w:rsid w:val="00BD3960"/>
    <w:rPr>
      <w:b/>
      <w:bCs/>
      <w:lang w:val="fr-FR" w:eastAsia="fr-FR"/>
    </w:rPr>
  </w:style>
  <w:style w:type="paragraph" w:styleId="Textbubliny">
    <w:name w:val="Balloon Text"/>
    <w:basedOn w:val="Normlny"/>
    <w:link w:val="TextbublinyChar"/>
    <w:uiPriority w:val="99"/>
    <w:semiHidden/>
    <w:unhideWhenUsed/>
    <w:rsid w:val="00BD3960"/>
    <w:pPr>
      <w:spacing w:after="0"/>
    </w:pPr>
    <w:rPr>
      <w:rFonts w:ascii="Tahoma" w:hAnsi="Tahoma" w:cs="Tahoma"/>
      <w:sz w:val="16"/>
      <w:szCs w:val="16"/>
    </w:rPr>
  </w:style>
  <w:style w:type="character" w:customStyle="1" w:styleId="TextbublinyChar">
    <w:name w:val="Text bubliny Char"/>
    <w:basedOn w:val="Predvolenpsmoodseku"/>
    <w:link w:val="Textbubliny"/>
    <w:uiPriority w:val="99"/>
    <w:semiHidden/>
    <w:rsid w:val="00BD3960"/>
    <w:rPr>
      <w:rFonts w:ascii="Tahoma" w:hAnsi="Tahoma" w:cs="Tahoma"/>
      <w:sz w:val="16"/>
      <w:szCs w:val="16"/>
      <w:lang w:val="fr-FR" w:eastAsia="fr-FR"/>
    </w:rPr>
  </w:style>
  <w:style w:type="paragraph" w:styleId="Revzia">
    <w:name w:val="Revision"/>
    <w:hidden/>
    <w:uiPriority w:val="99"/>
    <w:semiHidden/>
    <w:rsid w:val="00776A02"/>
    <w:rPr>
      <w:sz w:val="24"/>
      <w:szCs w:val="24"/>
      <w:lang w:val="fr-FR" w:eastAsia="fr-FR"/>
    </w:rPr>
  </w:style>
  <w:style w:type="paragraph" w:styleId="Popis">
    <w:name w:val="caption"/>
    <w:basedOn w:val="Normlny"/>
    <w:next w:val="Normlny"/>
    <w:uiPriority w:val="35"/>
    <w:unhideWhenUsed/>
    <w:qFormat/>
    <w:rsid w:val="00E07FD7"/>
    <w:pPr>
      <w:spacing w:after="200"/>
    </w:pPr>
    <w:rPr>
      <w:b/>
      <w:bCs/>
      <w:color w:val="4F81BD" w:themeColor="accent1"/>
      <w:sz w:val="18"/>
      <w:szCs w:val="18"/>
    </w:rPr>
  </w:style>
  <w:style w:type="character" w:styleId="Hypertextovprepojenie">
    <w:name w:val="Hyperlink"/>
    <w:rsid w:val="00EE214F"/>
    <w:rPr>
      <w:color w:val="0000FF"/>
      <w:u w:val="single"/>
    </w:rPr>
  </w:style>
  <w:style w:type="character" w:customStyle="1" w:styleId="BodytextAgencyChar">
    <w:name w:val="Body text (Agency) Char"/>
    <w:link w:val="BodytextAgency"/>
    <w:locked/>
    <w:rsid w:val="00A26675"/>
    <w:rPr>
      <w:rFonts w:ascii="Verdana" w:eastAsia="Verdana" w:hAnsi="Verdana" w:cs="Verdana"/>
      <w:sz w:val="18"/>
      <w:szCs w:val="18"/>
      <w:lang w:val="en-GB" w:eastAsia="en-GB"/>
    </w:rPr>
  </w:style>
  <w:style w:type="paragraph" w:customStyle="1" w:styleId="BodytextAgency">
    <w:name w:val="Body text (Agency)"/>
    <w:basedOn w:val="Normlny"/>
    <w:link w:val="BodytextAgencyChar"/>
    <w:qFormat/>
    <w:rsid w:val="00A26675"/>
    <w:pPr>
      <w:spacing w:after="140" w:line="280" w:lineRule="atLeast"/>
      <w:jc w:val="left"/>
    </w:pPr>
    <w:rPr>
      <w:rFonts w:ascii="Verdana" w:eastAsia="Verdana" w:hAnsi="Verdana" w:cs="Verdana"/>
      <w:sz w:val="18"/>
      <w:szCs w:val="18"/>
      <w:lang w:val="en-GB" w:eastAsia="en-GB"/>
    </w:rPr>
  </w:style>
</w:styles>
</file>

<file path=word/webSettings.xml><?xml version="1.0" encoding="utf-8"?>
<w:webSettings xmlns:r="http://schemas.openxmlformats.org/officeDocument/2006/relationships" xmlns:w="http://schemas.openxmlformats.org/wordprocessingml/2006/main">
  <w:divs>
    <w:div w:id="914516611">
      <w:bodyDiv w:val="1"/>
      <w:marLeft w:val="0"/>
      <w:marRight w:val="0"/>
      <w:marTop w:val="0"/>
      <w:marBottom w:val="0"/>
      <w:divBdr>
        <w:top w:val="none" w:sz="0" w:space="0" w:color="auto"/>
        <w:left w:val="none" w:sz="0" w:space="0" w:color="auto"/>
        <w:bottom w:val="none" w:sz="0" w:space="0" w:color="auto"/>
        <w:right w:val="none" w:sz="0" w:space="0" w:color="auto"/>
      </w:divBdr>
    </w:div>
    <w:div w:id="1374111675">
      <w:bodyDiv w:val="1"/>
      <w:marLeft w:val="0"/>
      <w:marRight w:val="0"/>
      <w:marTop w:val="0"/>
      <w:marBottom w:val="0"/>
      <w:divBdr>
        <w:top w:val="none" w:sz="0" w:space="0" w:color="auto"/>
        <w:left w:val="none" w:sz="0" w:space="0" w:color="auto"/>
        <w:bottom w:val="none" w:sz="0" w:space="0" w:color="auto"/>
        <w:right w:val="none" w:sz="0" w:space="0" w:color="auto"/>
      </w:divBdr>
    </w:div>
    <w:div w:id="1800948548">
      <w:bodyDiv w:val="1"/>
      <w:marLeft w:val="0"/>
      <w:marRight w:val="0"/>
      <w:marTop w:val="0"/>
      <w:marBottom w:val="0"/>
      <w:divBdr>
        <w:top w:val="none" w:sz="0" w:space="0" w:color="auto"/>
        <w:left w:val="none" w:sz="0" w:space="0" w:color="auto"/>
        <w:bottom w:val="none" w:sz="0" w:space="0" w:color="auto"/>
        <w:right w:val="none" w:sz="0" w:space="0" w:color="auto"/>
      </w:divBdr>
    </w:div>
    <w:div w:id="20003096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DFCB1-54F0-49E5-9537-3102A28D3A9D}">
  <ds:schemaRefs>
    <ds:schemaRef ds:uri="http://schemas.openxmlformats.org/officeDocument/2006/bibliography"/>
  </ds:schemaRefs>
</ds:datastoreItem>
</file>

<file path=customXml/itemProps2.xml><?xml version="1.0" encoding="utf-8"?>
<ds:datastoreItem xmlns:ds="http://schemas.openxmlformats.org/officeDocument/2006/customXml" ds:itemID="{DAADF6ED-04AA-463C-8DAE-FB730A9B0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13</Pages>
  <Words>4587</Words>
  <Characters>26150</Characters>
  <Application>Microsoft Office Word</Application>
  <DocSecurity>0</DocSecurity>
  <Lines>217</Lines>
  <Paragraphs>61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Microsoft Word - 8510986341285100200_spc-doc.doc</vt:lpstr>
      <vt:lpstr>Microsoft Word - 8510986341285100200_spc-doc.doc</vt:lpstr>
    </vt:vector>
  </TitlesOfParts>
  <Company>sanofi-aventis</Company>
  <LinksUpToDate>false</LinksUpToDate>
  <CharactersWithSpaces>30676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- 8510986341285100200_spc-doc.doc</dc:title>
  <dc:subject>null</dc:subject>
  <dc:creator>PDFBox</dc:creator>
  <cp:keywords>null</cp:keywords>
  <cp:lastModifiedBy>Andrea Krajčí</cp:lastModifiedBy>
  <cp:revision>6</cp:revision>
  <cp:lastPrinted>2017-05-15T11:55:00Z</cp:lastPrinted>
  <dcterms:created xsi:type="dcterms:W3CDTF">2017-05-18T13:12:00Z</dcterms:created>
  <dcterms:modified xsi:type="dcterms:W3CDTF">2018-03-26T10:54:00Z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2012-06-20T00:00:00Z</vt:filetime>
  </property>
  <property fmtid="{D5CDD505-2E9C-101B-9397-08002B2CF9AE}" pid="3" name="LastSaved">
    <vt:filetime>2013-09-25T00:00:00Z</vt:filetime>
  </property>
  <property fmtid="{D5CDD505-2E9C-101B-9397-08002B2CF9AE}" pid="4" name="_NewReviewCycle">
    <vt:lpwstr/>
  </property>
  <property fmtid="{D5CDD505-2E9C-101B-9397-08002B2CF9AE}" pid="5" name="_AdHocReviewCycleID">
    <vt:i4>-1283802823</vt:i4>
  </property>
  <property fmtid="{D5CDD505-2E9C-101B-9397-08002B2CF9AE}" pid="6" name="_EmailSubject">
    <vt:lpwstr>[EXTERNAL] Ibalgin 600, Ibalgin Junior  - transfer</vt:lpwstr>
  </property>
  <property fmtid="{D5CDD505-2E9C-101B-9397-08002B2CF9AE}" pid="7" name="_AuthorEmail">
    <vt:lpwstr>Miroslava.Laifrova@sanofi.com</vt:lpwstr>
  </property>
  <property fmtid="{D5CDD505-2E9C-101B-9397-08002B2CF9AE}" pid="8" name="_AuthorEmailDisplayName">
    <vt:lpwstr>Laifrova, Miroslava /SK</vt:lpwstr>
  </property>
  <property fmtid="{D5CDD505-2E9C-101B-9397-08002B2CF9AE}" pid="9" name="_ReviewingToolsShownOnce">
    <vt:lpwstr/>
  </property>
</Properties>
</file>