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5C" w:rsidRPr="007B093D" w:rsidRDefault="0042435C" w:rsidP="0042435C">
      <w:pPr>
        <w:spacing w:line="240" w:lineRule="auto"/>
        <w:rPr>
          <w:szCs w:val="22"/>
          <w:lang w:val="sk-SK"/>
        </w:rPr>
      </w:pPr>
      <w:bookmarkStart w:id="0" w:name="_GoBack"/>
      <w:bookmarkEnd w:id="0"/>
    </w:p>
    <w:p w:rsidR="0042435C" w:rsidRPr="007B093D" w:rsidRDefault="0042435C" w:rsidP="0042435C">
      <w:pPr>
        <w:pStyle w:val="Nadpis5"/>
        <w:spacing w:line="240" w:lineRule="auto"/>
        <w:jc w:val="center"/>
        <w:rPr>
          <w:b/>
          <w:szCs w:val="22"/>
          <w:lang w:val="sk-SK"/>
        </w:rPr>
      </w:pPr>
      <w:r w:rsidRPr="007B093D">
        <w:rPr>
          <w:b/>
          <w:szCs w:val="22"/>
          <w:lang w:val="sk-SK"/>
        </w:rPr>
        <w:t>SÚHRN CHARAKTERISTICKÝCH VLASTNOSTÍ LIEKU</w:t>
      </w:r>
    </w:p>
    <w:p w:rsidR="0042435C" w:rsidRPr="007B093D" w:rsidRDefault="0042435C" w:rsidP="0042435C">
      <w:pPr>
        <w:tabs>
          <w:tab w:val="left" w:pos="540"/>
        </w:tabs>
        <w:spacing w:line="240" w:lineRule="auto"/>
        <w:rPr>
          <w:b/>
          <w:szCs w:val="22"/>
          <w:lang w:val="sk-SK"/>
        </w:rPr>
      </w:pPr>
    </w:p>
    <w:p w:rsidR="0042435C" w:rsidRPr="007B093D" w:rsidRDefault="0042435C" w:rsidP="0042435C">
      <w:pPr>
        <w:tabs>
          <w:tab w:val="left" w:pos="540"/>
        </w:tabs>
        <w:spacing w:line="240" w:lineRule="auto"/>
        <w:rPr>
          <w:b/>
          <w:szCs w:val="22"/>
          <w:lang w:val="sk-SK"/>
        </w:rPr>
      </w:pPr>
    </w:p>
    <w:p w:rsidR="0042435C" w:rsidRPr="007B093D" w:rsidRDefault="0042435C" w:rsidP="0042435C">
      <w:pPr>
        <w:tabs>
          <w:tab w:val="left" w:pos="540"/>
        </w:tabs>
        <w:spacing w:line="240" w:lineRule="auto"/>
        <w:rPr>
          <w:b/>
          <w:szCs w:val="22"/>
          <w:lang w:val="sk-SK"/>
        </w:rPr>
      </w:pPr>
      <w:r w:rsidRPr="007B093D">
        <w:rPr>
          <w:b/>
          <w:szCs w:val="22"/>
          <w:lang w:val="sk-SK"/>
        </w:rPr>
        <w:t>1.</w:t>
      </w:r>
      <w:r w:rsidRPr="007B093D">
        <w:rPr>
          <w:b/>
          <w:szCs w:val="22"/>
          <w:lang w:val="sk-SK"/>
        </w:rPr>
        <w:tab/>
        <w:t>NÁZOV LIEKU</w:t>
      </w:r>
    </w:p>
    <w:p w:rsidR="0042435C" w:rsidRPr="007B093D" w:rsidRDefault="0042435C" w:rsidP="0042435C">
      <w:pPr>
        <w:pStyle w:val="Hlavika"/>
        <w:rPr>
          <w:rFonts w:ascii="Times New Roman" w:hAnsi="Times New Roman"/>
          <w:strike/>
          <w:sz w:val="22"/>
          <w:szCs w:val="22"/>
          <w:lang w:val="sk-SK"/>
        </w:rPr>
      </w:pPr>
    </w:p>
    <w:p w:rsidR="0042435C" w:rsidRPr="007B093D" w:rsidRDefault="0042435C" w:rsidP="0042435C">
      <w:pPr>
        <w:spacing w:line="240" w:lineRule="auto"/>
        <w:rPr>
          <w:szCs w:val="22"/>
          <w:lang w:val="sk-SK"/>
        </w:rPr>
      </w:pPr>
      <w:r w:rsidRPr="007B093D">
        <w:rPr>
          <w:szCs w:val="22"/>
          <w:lang w:val="sk-SK"/>
        </w:rPr>
        <w:t>PRESTARIUM A 5 mg</w:t>
      </w:r>
    </w:p>
    <w:p w:rsidR="0042435C" w:rsidRPr="007B093D" w:rsidRDefault="0042435C" w:rsidP="0042435C">
      <w:pPr>
        <w:spacing w:line="240" w:lineRule="auto"/>
        <w:rPr>
          <w:szCs w:val="22"/>
          <w:lang w:val="sk-SK"/>
        </w:rPr>
      </w:pPr>
      <w:r w:rsidRPr="007B093D">
        <w:rPr>
          <w:szCs w:val="22"/>
          <w:lang w:val="sk-SK"/>
        </w:rPr>
        <w:t>filmom obalené tablety</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2.</w:t>
      </w:r>
      <w:r w:rsidRPr="007B093D">
        <w:rPr>
          <w:b/>
          <w:szCs w:val="22"/>
          <w:lang w:val="sk-SK"/>
        </w:rPr>
        <w:tab/>
        <w:t>KVALITATÍVNE A KVANTITATÍVNE ZLOŽENIE</w:t>
      </w:r>
    </w:p>
    <w:p w:rsidR="0042435C" w:rsidRPr="007B093D" w:rsidRDefault="0042435C" w:rsidP="0042435C">
      <w:pPr>
        <w:spacing w:line="240" w:lineRule="auto"/>
        <w:rPr>
          <w:szCs w:val="22"/>
          <w:lang w:val="sk-SK"/>
        </w:rPr>
      </w:pPr>
    </w:p>
    <w:p w:rsidR="0042435C" w:rsidRPr="007B093D" w:rsidRDefault="0042435C" w:rsidP="0042435C">
      <w:pPr>
        <w:tabs>
          <w:tab w:val="left" w:leader="dot" w:pos="7938"/>
        </w:tabs>
        <w:spacing w:line="240" w:lineRule="auto"/>
        <w:rPr>
          <w:bCs/>
          <w:iCs/>
          <w:szCs w:val="22"/>
          <w:lang w:val="sk-SK"/>
        </w:rPr>
      </w:pPr>
      <w:r w:rsidRPr="007B093D">
        <w:rPr>
          <w:bCs/>
          <w:iCs/>
          <w:szCs w:val="22"/>
          <w:lang w:val="sk-SK"/>
        </w:rPr>
        <w:t>Perindoprilarginín.</w:t>
      </w:r>
    </w:p>
    <w:p w:rsidR="0042435C" w:rsidRPr="007B093D" w:rsidRDefault="0042435C" w:rsidP="0042435C">
      <w:pPr>
        <w:tabs>
          <w:tab w:val="left" w:leader="dot" w:pos="7938"/>
        </w:tabs>
        <w:spacing w:line="240" w:lineRule="auto"/>
        <w:rPr>
          <w:bCs/>
          <w:iCs/>
          <w:szCs w:val="22"/>
          <w:lang w:val="sk-SK"/>
        </w:rPr>
      </w:pPr>
      <w:r w:rsidRPr="007B093D">
        <w:rPr>
          <w:bCs/>
          <w:iCs/>
          <w:szCs w:val="22"/>
          <w:lang w:val="sk-SK"/>
        </w:rPr>
        <w:t xml:space="preserve">Jedna filmom obalená tableta obsahuje 3,395 mg perindoprilu, množstvo zodpovedajúce 5 mg perindoprilarginínu. </w:t>
      </w:r>
    </w:p>
    <w:p w:rsidR="0042435C" w:rsidRPr="007B093D" w:rsidRDefault="0042435C" w:rsidP="0042435C">
      <w:pPr>
        <w:tabs>
          <w:tab w:val="left" w:leader="dot" w:pos="7938"/>
        </w:tabs>
        <w:spacing w:line="240" w:lineRule="auto"/>
        <w:rPr>
          <w:bCs/>
          <w:iCs/>
          <w:szCs w:val="22"/>
          <w:lang w:val="sk-SK"/>
        </w:rPr>
      </w:pPr>
    </w:p>
    <w:p w:rsidR="0042435C" w:rsidRPr="007B093D" w:rsidRDefault="0042435C" w:rsidP="0042435C">
      <w:pPr>
        <w:spacing w:line="240" w:lineRule="auto"/>
        <w:rPr>
          <w:szCs w:val="22"/>
          <w:lang w:val="sk-SK"/>
        </w:rPr>
      </w:pPr>
      <w:r w:rsidRPr="00376DD3">
        <w:rPr>
          <w:szCs w:val="22"/>
          <w:u w:val="single"/>
          <w:lang w:val="sk-SK"/>
        </w:rPr>
        <w:t>Pomocná látka so známym účinkom:</w:t>
      </w:r>
      <w:r w:rsidRPr="007B093D">
        <w:rPr>
          <w:szCs w:val="22"/>
          <w:lang w:val="sk-SK"/>
        </w:rPr>
        <w:t xml:space="preserve"> 72,58 mg monohydrátu laktózy.</w:t>
      </w:r>
    </w:p>
    <w:p w:rsidR="0042435C" w:rsidRPr="007B093D" w:rsidRDefault="0042435C" w:rsidP="0042435C">
      <w:pPr>
        <w:spacing w:line="240" w:lineRule="auto"/>
        <w:rPr>
          <w:szCs w:val="22"/>
          <w:lang w:val="sk-SK"/>
        </w:rPr>
      </w:pPr>
      <w:r w:rsidRPr="007B093D">
        <w:rPr>
          <w:szCs w:val="22"/>
          <w:lang w:val="sk-SK"/>
        </w:rPr>
        <w:t>Úplný zoznam pomocných látok, pozri časť 6.1.</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keepNext/>
        <w:spacing w:line="240" w:lineRule="auto"/>
        <w:rPr>
          <w:b/>
          <w:szCs w:val="22"/>
          <w:lang w:val="sk-SK"/>
        </w:rPr>
      </w:pPr>
      <w:r w:rsidRPr="007B093D">
        <w:rPr>
          <w:b/>
          <w:szCs w:val="22"/>
          <w:lang w:val="sk-SK"/>
        </w:rPr>
        <w:t>3.</w:t>
      </w:r>
      <w:r w:rsidRPr="007B093D">
        <w:rPr>
          <w:b/>
          <w:szCs w:val="22"/>
          <w:lang w:val="sk-SK"/>
        </w:rPr>
        <w:tab/>
        <w:t>LIEKOVÁ FORMA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lang w:val="sk-SK"/>
        </w:rPr>
        <w:t>Filmom obalená tableta.</w:t>
      </w:r>
    </w:p>
    <w:p w:rsidR="0042435C" w:rsidRPr="007B093D" w:rsidRDefault="0042435C" w:rsidP="0042435C">
      <w:pPr>
        <w:spacing w:line="240" w:lineRule="auto"/>
        <w:rPr>
          <w:szCs w:val="22"/>
          <w:lang w:val="sk-SK"/>
        </w:rPr>
      </w:pPr>
      <w:r w:rsidRPr="007B093D">
        <w:rPr>
          <w:szCs w:val="22"/>
          <w:lang w:val="sk-SK"/>
        </w:rPr>
        <w:t xml:space="preserve">Svetlozelené oválne filmom obalené tablety s vyrazeným logom </w:t>
      </w:r>
      <w:r w:rsidRPr="007B093D">
        <w:rPr>
          <w:b/>
          <w:bCs/>
          <w:noProof/>
          <w:position w:val="-12"/>
          <w:szCs w:val="22"/>
          <w:lang w:val="sk-SK" w:eastAsia="sk-SK"/>
        </w:rPr>
        <w:drawing>
          <wp:inline distT="0" distB="0" distL="0" distR="0" wp14:anchorId="3271ED96" wp14:editId="57B46EC2">
            <wp:extent cx="278130" cy="212090"/>
            <wp:effectExtent l="0" t="0" r="762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7B093D">
        <w:rPr>
          <w:szCs w:val="22"/>
          <w:lang w:val="sk-SK"/>
        </w:rPr>
        <w:t>na jednej strane a s deliacou ryhou po oboch bočných hranách. Tableta sa môže rozdeliť na rovnaké dávky.</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4.</w:t>
      </w:r>
      <w:r w:rsidRPr="007B093D">
        <w:rPr>
          <w:b/>
          <w:szCs w:val="22"/>
          <w:lang w:val="sk-SK"/>
        </w:rPr>
        <w:tab/>
        <w:t>KLINICKÉ ÚDAJE</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4.1</w:t>
      </w:r>
      <w:r w:rsidRPr="007B093D">
        <w:rPr>
          <w:b/>
          <w:szCs w:val="22"/>
          <w:lang w:val="sk-SK"/>
        </w:rPr>
        <w:tab/>
        <w:t>Terapeutické indikácie</w:t>
      </w:r>
    </w:p>
    <w:p w:rsidR="0042435C" w:rsidRPr="007B093D" w:rsidRDefault="0042435C" w:rsidP="0042435C">
      <w:pPr>
        <w:pStyle w:val="Hlavika"/>
        <w:tabs>
          <w:tab w:val="left" w:pos="2268"/>
        </w:tabs>
        <w:rPr>
          <w:rFonts w:ascii="Times New Roman" w:hAnsi="Times New Roman"/>
          <w:sz w:val="22"/>
          <w:szCs w:val="22"/>
          <w:lang w:val="sk-SK"/>
        </w:rPr>
      </w:pPr>
    </w:p>
    <w:p w:rsidR="0042435C" w:rsidRPr="007B093D" w:rsidRDefault="0042435C" w:rsidP="0042435C">
      <w:pPr>
        <w:pStyle w:val="Hlavika"/>
        <w:tabs>
          <w:tab w:val="left" w:pos="2268"/>
        </w:tabs>
        <w:rPr>
          <w:rFonts w:ascii="Times New Roman" w:hAnsi="Times New Roman"/>
          <w:sz w:val="22"/>
          <w:szCs w:val="22"/>
          <w:u w:val="single"/>
          <w:lang w:val="sk-SK"/>
        </w:rPr>
      </w:pPr>
      <w:r w:rsidRPr="007B093D">
        <w:rPr>
          <w:rFonts w:ascii="Times New Roman" w:hAnsi="Times New Roman"/>
          <w:sz w:val="22"/>
          <w:szCs w:val="22"/>
          <w:u w:val="single"/>
          <w:lang w:val="sk-SK"/>
        </w:rPr>
        <w:t>Hypertenzia:</w:t>
      </w:r>
    </w:p>
    <w:p w:rsidR="0042435C" w:rsidRPr="007B093D" w:rsidRDefault="0042435C" w:rsidP="0042435C">
      <w:pPr>
        <w:pStyle w:val="Hlavika"/>
        <w:tabs>
          <w:tab w:val="left" w:pos="2268"/>
        </w:tabs>
        <w:rPr>
          <w:rFonts w:ascii="Times New Roman" w:hAnsi="Times New Roman"/>
          <w:sz w:val="22"/>
          <w:szCs w:val="22"/>
          <w:lang w:val="sk-SK"/>
        </w:rPr>
      </w:pPr>
      <w:r w:rsidRPr="007B093D">
        <w:rPr>
          <w:rFonts w:ascii="Times New Roman" w:hAnsi="Times New Roman"/>
          <w:bCs/>
          <w:iCs/>
          <w:sz w:val="22"/>
          <w:szCs w:val="22"/>
          <w:lang w:val="sk-SK"/>
        </w:rPr>
        <w:t>Liečba hypertenzie.</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bCs/>
          <w:iCs/>
          <w:szCs w:val="22"/>
          <w:u w:val="single"/>
          <w:lang w:val="sk-SK"/>
        </w:rPr>
        <w:t>Srdcové zlyhanie</w:t>
      </w:r>
      <w:r w:rsidRPr="007B093D">
        <w:rPr>
          <w:szCs w:val="22"/>
          <w:u w:val="single"/>
          <w:lang w:val="sk-SK"/>
        </w:rPr>
        <w:t>:</w:t>
      </w:r>
    </w:p>
    <w:p w:rsidR="0042435C" w:rsidRPr="007B093D" w:rsidRDefault="0042435C" w:rsidP="0042435C">
      <w:pPr>
        <w:spacing w:line="240" w:lineRule="auto"/>
        <w:rPr>
          <w:szCs w:val="22"/>
          <w:lang w:val="sk-SK"/>
        </w:rPr>
      </w:pPr>
      <w:r w:rsidRPr="007B093D">
        <w:rPr>
          <w:szCs w:val="22"/>
          <w:lang w:val="sk-SK"/>
        </w:rPr>
        <w:t>Liečba symptomatického srdcového zlyhania.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Stabilná koronárna choroba srdca</w:t>
      </w:r>
      <w:r w:rsidRPr="007B093D">
        <w:rPr>
          <w:szCs w:val="22"/>
          <w:lang w:val="sk-SK"/>
        </w:rPr>
        <w:t>:</w:t>
      </w:r>
    </w:p>
    <w:p w:rsidR="0042435C" w:rsidRPr="007B093D" w:rsidRDefault="0042435C" w:rsidP="0042435C">
      <w:pPr>
        <w:spacing w:line="240" w:lineRule="auto"/>
        <w:rPr>
          <w:szCs w:val="22"/>
          <w:lang w:val="sk-SK"/>
        </w:rPr>
      </w:pPr>
      <w:r w:rsidRPr="007B093D">
        <w:rPr>
          <w:szCs w:val="22"/>
          <w:lang w:val="sk-SK"/>
        </w:rPr>
        <w:t xml:space="preserve">Zníženie rizika srdcových príhod u pacientov s infarktom myokardu a/alebo revaskularizáciou v anamnéze. </w:t>
      </w:r>
    </w:p>
    <w:p w:rsidR="0042435C" w:rsidRPr="007B093D" w:rsidRDefault="0042435C" w:rsidP="0042435C">
      <w:pPr>
        <w:spacing w:line="240" w:lineRule="auto"/>
        <w:rPr>
          <w:szCs w:val="22"/>
          <w:lang w:val="sk-SK"/>
        </w:rPr>
      </w:pPr>
    </w:p>
    <w:p w:rsidR="0042435C" w:rsidRPr="007B093D" w:rsidRDefault="0042435C" w:rsidP="0042435C">
      <w:pPr>
        <w:numPr>
          <w:ilvl w:val="1"/>
          <w:numId w:val="1"/>
        </w:numPr>
        <w:tabs>
          <w:tab w:val="decimal" w:pos="-142"/>
        </w:tabs>
        <w:spacing w:line="240" w:lineRule="auto"/>
        <w:ind w:left="0" w:firstLine="0"/>
        <w:rPr>
          <w:b/>
          <w:szCs w:val="22"/>
          <w:lang w:val="sk-SK"/>
        </w:rPr>
      </w:pPr>
      <w:r w:rsidRPr="007B093D">
        <w:rPr>
          <w:b/>
          <w:szCs w:val="22"/>
          <w:lang w:val="sk-SK"/>
        </w:rPr>
        <w:t>Dávkovanie a spôsob podávania</w:t>
      </w:r>
    </w:p>
    <w:p w:rsidR="0042435C" w:rsidRPr="007B093D" w:rsidRDefault="0042435C" w:rsidP="0042435C">
      <w:pPr>
        <w:tabs>
          <w:tab w:val="decimal" w:pos="426"/>
          <w:tab w:val="decimal" w:pos="709"/>
        </w:tabs>
        <w:spacing w:line="240" w:lineRule="auto"/>
        <w:rPr>
          <w:szCs w:val="22"/>
          <w:lang w:val="sk-SK"/>
        </w:rPr>
      </w:pPr>
    </w:p>
    <w:p w:rsidR="0042435C" w:rsidRPr="007B093D" w:rsidRDefault="0042435C" w:rsidP="0042435C">
      <w:pPr>
        <w:tabs>
          <w:tab w:val="left" w:pos="1985"/>
        </w:tabs>
        <w:spacing w:line="240" w:lineRule="auto"/>
        <w:rPr>
          <w:szCs w:val="22"/>
          <w:lang w:val="sk-SK"/>
        </w:rPr>
      </w:pPr>
      <w:r w:rsidRPr="007B093D">
        <w:rPr>
          <w:szCs w:val="22"/>
          <w:u w:val="single"/>
          <w:lang w:val="sk-SK"/>
        </w:rPr>
        <w:t>Dávkovanie</w:t>
      </w:r>
    </w:p>
    <w:p w:rsidR="0042435C" w:rsidRPr="007B093D" w:rsidRDefault="0042435C" w:rsidP="0042435C">
      <w:pPr>
        <w:spacing w:line="240" w:lineRule="auto"/>
        <w:rPr>
          <w:szCs w:val="22"/>
          <w:lang w:val="sk-SK"/>
        </w:rPr>
      </w:pPr>
      <w:r w:rsidRPr="007B093D">
        <w:rPr>
          <w:szCs w:val="22"/>
          <w:lang w:val="sk-SK"/>
        </w:rPr>
        <w:t>Dávka sa má určiť individuálne podľa profilu pacienta (pozri časť 4.4) a odozvy tlaku krvi.</w:t>
      </w:r>
    </w:p>
    <w:p w:rsidR="0042435C" w:rsidRPr="007B093D" w:rsidRDefault="0042435C" w:rsidP="0042435C">
      <w:pPr>
        <w:pStyle w:val="Hlavika"/>
        <w:tabs>
          <w:tab w:val="left" w:pos="2268"/>
        </w:tabs>
        <w:rPr>
          <w:rFonts w:ascii="Times New Roman" w:hAnsi="Times New Roman"/>
          <w:sz w:val="22"/>
          <w:szCs w:val="22"/>
          <w:u w:val="single"/>
          <w:lang w:val="sk-SK"/>
        </w:rPr>
      </w:pPr>
    </w:p>
    <w:p w:rsidR="0042435C" w:rsidRPr="007B093D" w:rsidRDefault="0042435C" w:rsidP="0042435C">
      <w:pPr>
        <w:pStyle w:val="Hlavika"/>
        <w:tabs>
          <w:tab w:val="left" w:pos="2268"/>
        </w:tabs>
        <w:rPr>
          <w:rFonts w:ascii="Times New Roman" w:hAnsi="Times New Roman"/>
          <w:sz w:val="22"/>
          <w:szCs w:val="22"/>
          <w:u w:val="single"/>
          <w:lang w:val="sk-SK"/>
        </w:rPr>
      </w:pPr>
      <w:r w:rsidRPr="007B093D">
        <w:rPr>
          <w:rFonts w:ascii="Times New Roman" w:hAnsi="Times New Roman"/>
          <w:sz w:val="22"/>
          <w:szCs w:val="22"/>
          <w:u w:val="single"/>
          <w:lang w:val="sk-SK"/>
        </w:rPr>
        <w:t>- Hypertenzia:</w:t>
      </w:r>
    </w:p>
    <w:p w:rsidR="0042435C" w:rsidRPr="007B093D" w:rsidRDefault="0042435C" w:rsidP="0042435C">
      <w:pPr>
        <w:pStyle w:val="Hlavika"/>
        <w:tabs>
          <w:tab w:val="decimal" w:pos="426"/>
          <w:tab w:val="decimal" w:pos="709"/>
        </w:tabs>
        <w:rPr>
          <w:rFonts w:ascii="Times New Roman" w:hAnsi="Times New Roman"/>
          <w:bCs/>
          <w:iCs/>
          <w:sz w:val="22"/>
          <w:szCs w:val="22"/>
          <w:lang w:val="sk-SK"/>
        </w:rPr>
      </w:pPr>
      <w:r w:rsidRPr="007B093D">
        <w:rPr>
          <w:rFonts w:ascii="Times New Roman" w:hAnsi="Times New Roman"/>
          <w:bCs/>
          <w:iCs/>
          <w:sz w:val="22"/>
          <w:szCs w:val="22"/>
          <w:lang w:val="sk-SK"/>
        </w:rPr>
        <w:t>P</w:t>
      </w:r>
      <w:r w:rsidR="007C6187">
        <w:rPr>
          <w:rFonts w:ascii="Times New Roman" w:hAnsi="Times New Roman"/>
          <w:bCs/>
          <w:iCs/>
          <w:sz w:val="22"/>
          <w:szCs w:val="22"/>
          <w:lang w:val="sk-SK"/>
        </w:rPr>
        <w:t>RESTARIUM</w:t>
      </w:r>
      <w:r w:rsidRPr="007B093D">
        <w:rPr>
          <w:rFonts w:ascii="Times New Roman" w:hAnsi="Times New Roman"/>
          <w:bCs/>
          <w:iCs/>
          <w:sz w:val="22"/>
          <w:szCs w:val="22"/>
          <w:lang w:val="sk-SK"/>
        </w:rPr>
        <w:t xml:space="preserve"> A 5 mg sa môže používať v monoterapii alebo v kombinácii s inými triedami antihypertenzív (pozri časti 4.3, 4.4, 4.5 a 5.1). </w:t>
      </w:r>
    </w:p>
    <w:p w:rsidR="0042435C" w:rsidRPr="007B093D" w:rsidRDefault="0042435C" w:rsidP="0042435C">
      <w:pPr>
        <w:tabs>
          <w:tab w:val="decimal" w:pos="426"/>
          <w:tab w:val="decimal" w:pos="709"/>
        </w:tabs>
        <w:spacing w:line="240" w:lineRule="auto"/>
        <w:rPr>
          <w:b/>
          <w:i/>
          <w:szCs w:val="22"/>
          <w:lang w:val="sk-SK"/>
        </w:rPr>
      </w:pPr>
      <w:r w:rsidRPr="007B093D">
        <w:rPr>
          <w:szCs w:val="22"/>
          <w:lang w:val="sk-SK"/>
        </w:rPr>
        <w:t>Odporúčaná úvodná dávka je 5 mg podaná raz denne ráno.</w:t>
      </w:r>
    </w:p>
    <w:p w:rsidR="0042435C" w:rsidRPr="007B093D" w:rsidRDefault="0042435C" w:rsidP="0042435C">
      <w:pPr>
        <w:spacing w:line="240" w:lineRule="auto"/>
        <w:rPr>
          <w:bCs/>
          <w:iCs/>
          <w:szCs w:val="22"/>
          <w:lang w:val="sk-SK"/>
        </w:rPr>
      </w:pPr>
      <w:r w:rsidRPr="007B093D">
        <w:rPr>
          <w:bCs/>
          <w:iCs/>
          <w:szCs w:val="22"/>
          <w:lang w:val="sk-SK"/>
        </w:rPr>
        <w:t xml:space="preserve">U pacientov so silno aktivovaným </w:t>
      </w:r>
      <w:r w:rsidR="00D6647E">
        <w:rPr>
          <w:bCs/>
          <w:iCs/>
          <w:szCs w:val="22"/>
          <w:lang w:val="sk-SK"/>
        </w:rPr>
        <w:t xml:space="preserve">systémom </w:t>
      </w:r>
      <w:r w:rsidRPr="007B093D">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úvodná dávka 2,5 mg a liečbu je potrebné začať pod lekárskym dohľadom.</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Po jednom mesiaci liečby môže byť dávka zvýšená na 10 mg raz denne.</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lastRenderedPageBreak/>
        <w:t>Po začatí liečby P</w:t>
      </w:r>
      <w:r w:rsidR="0072709E">
        <w:rPr>
          <w:bCs/>
          <w:iCs/>
          <w:szCs w:val="22"/>
          <w:lang w:val="sk-SK"/>
        </w:rPr>
        <w:t>RESTARIOM</w:t>
      </w:r>
      <w:r w:rsidRPr="007B093D">
        <w:rPr>
          <w:bCs/>
          <w:iCs/>
          <w:szCs w:val="22"/>
          <w:lang w:val="sk-SK"/>
        </w:rPr>
        <w:t> A 5 mg môže dôjsť k symptomatickej hypotenzii; s väčšou pravdepodobnosťou sa môže vyskytnúť u pacientov súbežne liečených diuretikami. Odporúča sa preto opatrnosť, keďže títo pacienti môžu mať depléciu solí a/alebo objemu.</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Ak je to možné, diuretikum sa má vysadiť 2 až 3 dni pred začatím liečby P</w:t>
      </w:r>
      <w:r w:rsidR="0072709E">
        <w:rPr>
          <w:bCs/>
          <w:iCs/>
          <w:szCs w:val="22"/>
          <w:lang w:val="sk-SK"/>
        </w:rPr>
        <w:t>RESTARIOM</w:t>
      </w:r>
      <w:r w:rsidRPr="007B093D">
        <w:rPr>
          <w:bCs/>
          <w:iCs/>
          <w:szCs w:val="22"/>
          <w:lang w:val="sk-SK"/>
        </w:rPr>
        <w:t> A 5 mg (pozri časť 4.4).</w:t>
      </w:r>
    </w:p>
    <w:p w:rsidR="0042435C" w:rsidRPr="007B093D" w:rsidRDefault="0042435C" w:rsidP="0042435C">
      <w:pPr>
        <w:spacing w:line="240" w:lineRule="auto"/>
        <w:rPr>
          <w:bCs/>
          <w:iCs/>
          <w:szCs w:val="22"/>
          <w:lang w:val="sk-SK"/>
        </w:rPr>
      </w:pPr>
      <w:r w:rsidRPr="007B093D">
        <w:rPr>
          <w:bCs/>
          <w:iCs/>
          <w:szCs w:val="22"/>
          <w:lang w:val="sk-SK"/>
        </w:rPr>
        <w:t>U hypertenzných pacientov, u ktorých nie je možné diuretikum vysadiť, sa má liečba P</w:t>
      </w:r>
      <w:r w:rsidR="0072709E">
        <w:rPr>
          <w:bCs/>
          <w:iCs/>
          <w:szCs w:val="22"/>
          <w:lang w:val="sk-SK"/>
        </w:rPr>
        <w:t>RESTARIOM</w:t>
      </w:r>
      <w:r w:rsidRPr="007B093D">
        <w:rPr>
          <w:bCs/>
          <w:iCs/>
          <w:szCs w:val="22"/>
          <w:lang w:val="sk-SK"/>
        </w:rPr>
        <w:t xml:space="preserve"> A začínať dávkou 2,5 mg. Majú byť monitorované funkcie </w:t>
      </w:r>
      <w:r w:rsidR="006B12E1">
        <w:rPr>
          <w:bCs/>
          <w:iCs/>
          <w:szCs w:val="22"/>
          <w:lang w:val="sk-SK"/>
        </w:rPr>
        <w:t xml:space="preserve">obličiek </w:t>
      </w:r>
      <w:r w:rsidRPr="007B093D">
        <w:rPr>
          <w:bCs/>
          <w:iCs/>
          <w:szCs w:val="22"/>
          <w:lang w:val="sk-SK"/>
        </w:rPr>
        <w:t>a kaliémia. Ďalšie dávkovanie P</w:t>
      </w:r>
      <w:r w:rsidR="0072709E">
        <w:rPr>
          <w:bCs/>
          <w:iCs/>
          <w:szCs w:val="22"/>
          <w:lang w:val="sk-SK"/>
        </w:rPr>
        <w:t>RESTARIA</w:t>
      </w:r>
      <w:r w:rsidRPr="007B093D">
        <w:rPr>
          <w:bCs/>
          <w:iCs/>
          <w:szCs w:val="22"/>
          <w:lang w:val="sk-SK"/>
        </w:rPr>
        <w:t> A má byť prispôsobené odozve tlaku krvi. Ak je to potrebné, môže sa znovu začať s diuretickou liečbou.</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U starších pacientov sa má liečba začať dávkou 2,5 mg, a túto je možné po jednom mesiaci postupne zvýšiť na 5 mg, potom v prípade potreby na 10 mg v závislosti od funkci</w:t>
      </w:r>
      <w:r w:rsidR="00000012">
        <w:rPr>
          <w:bCs/>
          <w:iCs/>
          <w:szCs w:val="22"/>
          <w:lang w:val="sk-SK"/>
        </w:rPr>
        <w:t>e</w:t>
      </w:r>
      <w:r w:rsidR="006B12E1">
        <w:rPr>
          <w:bCs/>
          <w:iCs/>
          <w:szCs w:val="22"/>
          <w:lang w:val="sk-SK"/>
        </w:rPr>
        <w:t xml:space="preserve"> obličiek</w:t>
      </w:r>
      <w:r w:rsidRPr="007B093D">
        <w:rPr>
          <w:bCs/>
          <w:iCs/>
          <w:szCs w:val="22"/>
          <w:lang w:val="sk-SK"/>
        </w:rPr>
        <w:t xml:space="preserve"> (pozri tabuľku nižšie).</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szCs w:val="22"/>
          <w:u w:val="single"/>
          <w:lang w:val="sk-SK"/>
        </w:rPr>
        <w:t>- Symptomatické srdcové zlyhanie:</w:t>
      </w:r>
    </w:p>
    <w:p w:rsidR="0042435C" w:rsidRPr="007B093D" w:rsidRDefault="0042435C" w:rsidP="0042435C">
      <w:pPr>
        <w:spacing w:line="240" w:lineRule="auto"/>
        <w:rPr>
          <w:szCs w:val="22"/>
          <w:lang w:val="sk-SK"/>
        </w:rPr>
      </w:pPr>
      <w:r w:rsidRPr="007B093D">
        <w:rPr>
          <w:szCs w:val="22"/>
          <w:lang w:val="sk-SK"/>
        </w:rPr>
        <w:t xml:space="preserve">Odporúča sa, aby sa liečba </w:t>
      </w:r>
      <w:r w:rsidRPr="007B093D">
        <w:rPr>
          <w:szCs w:val="22"/>
          <w:lang w:val="sk-SK" w:eastAsia="sk-SK"/>
        </w:rPr>
        <w:t>P</w:t>
      </w:r>
      <w:r w:rsidR="0072709E">
        <w:rPr>
          <w:bCs/>
          <w:iCs/>
          <w:szCs w:val="22"/>
          <w:lang w:val="sk-SK"/>
        </w:rPr>
        <w:t>RESTARIOM</w:t>
      </w:r>
      <w:r w:rsidRPr="007B093D">
        <w:rPr>
          <w:szCs w:val="22"/>
          <w:lang w:val="sk-SK" w:eastAsia="sk-SK"/>
        </w:rPr>
        <w:t> A</w:t>
      </w:r>
      <w:r w:rsidRPr="007B093D">
        <w:rPr>
          <w:szCs w:val="22"/>
          <w:lang w:val="sk-SK"/>
        </w:rPr>
        <w:t>, ktoré sa zvyčajne podáva v kombinácii s draslík nešetriacim diuretikom a/alebo digoxínom a/alebo beta-blokátorom, začala pod starostlivým lekárskym dohľadom odporúčanou úvodnou dávkou 2,5 mg užitou ráno. Ak je táto dávka dobre znášaná, môže byť po 2 týždňoch zvýšená na 5 mg raz denne. Úprava dávky má byť založená na klinickej odpovedi každého pacienta.</w:t>
      </w:r>
    </w:p>
    <w:p w:rsidR="0042435C" w:rsidRPr="007B093D" w:rsidRDefault="0042435C" w:rsidP="0042435C">
      <w:pPr>
        <w:spacing w:line="240" w:lineRule="auto"/>
        <w:rPr>
          <w:szCs w:val="22"/>
          <w:lang w:val="sk-SK"/>
        </w:rPr>
      </w:pPr>
      <w:r w:rsidRPr="007B093D">
        <w:rPr>
          <w:szCs w:val="22"/>
          <w:lang w:val="sk-SK"/>
        </w:rPr>
        <w:t>Pri závažnom srdcovom zlyhaní a u iných pacientov považovaných za vysokorizikových (pacienti s </w:t>
      </w:r>
      <w:r w:rsidR="00D6647E">
        <w:rPr>
          <w:szCs w:val="22"/>
          <w:lang w:val="sk-SK"/>
        </w:rPr>
        <w:t>poruchou</w:t>
      </w:r>
      <w:r w:rsidR="00D6647E" w:rsidRPr="007B093D">
        <w:rPr>
          <w:szCs w:val="22"/>
          <w:lang w:val="sk-SK"/>
        </w:rPr>
        <w:t xml:space="preserve"> </w:t>
      </w:r>
      <w:r w:rsidRPr="007B093D">
        <w:rPr>
          <w:szCs w:val="22"/>
          <w:lang w:val="sk-SK"/>
        </w:rPr>
        <w:t>funkci</w:t>
      </w:r>
      <w:r w:rsidR="00000012">
        <w:rPr>
          <w:szCs w:val="22"/>
          <w:lang w:val="sk-SK"/>
        </w:rPr>
        <w:t>e</w:t>
      </w:r>
      <w:r w:rsidRPr="007B093D">
        <w:rPr>
          <w:szCs w:val="22"/>
          <w:lang w:val="sk-SK"/>
        </w:rPr>
        <w:t xml:space="preserve"> </w:t>
      </w:r>
      <w:r w:rsidR="006B12E1">
        <w:rPr>
          <w:szCs w:val="22"/>
          <w:lang w:val="sk-SK"/>
        </w:rPr>
        <w:t xml:space="preserve">obličiek </w:t>
      </w:r>
      <w:r w:rsidRPr="007B093D">
        <w:rPr>
          <w:szCs w:val="22"/>
          <w:lang w:val="sk-SK"/>
        </w:rPr>
        <w:t>a tendenciou k vzniku nerovnováhy elektrolytov, pacienti súbežne užívajúci diuretiká a/alebo vazodilatanciá) sa má liečba začínať pod starostlivým dohľadom (pozri časť 4.4).</w:t>
      </w:r>
    </w:p>
    <w:p w:rsidR="0042435C" w:rsidRPr="007B093D" w:rsidRDefault="0042435C" w:rsidP="0042435C">
      <w:pPr>
        <w:tabs>
          <w:tab w:val="left" w:pos="3828"/>
        </w:tabs>
        <w:spacing w:line="240" w:lineRule="auto"/>
        <w:rPr>
          <w:szCs w:val="22"/>
          <w:lang w:val="sk-SK"/>
        </w:rPr>
      </w:pPr>
      <w:r w:rsidRPr="007B093D">
        <w:rPr>
          <w:szCs w:val="22"/>
          <w:lang w:val="sk-SK"/>
        </w:rPr>
        <w:t xml:space="preserve">Pacienti s vysokým rizikom symptomatickej hypotenzie, napr. pacienti s depléciou solí s alebo bez hyponatriémie, pacienti s hypovolémiou alebo pacienti, ktorí užívali intenzívnu liečbu diuretikami, majú byť stabilizovaní pokiaľ možno ešte pred začatím liečby </w:t>
      </w:r>
      <w:r w:rsidRPr="007B093D">
        <w:rPr>
          <w:szCs w:val="22"/>
          <w:lang w:val="sk-SK" w:eastAsia="sk-SK"/>
        </w:rPr>
        <w:t>P</w:t>
      </w:r>
      <w:r w:rsidR="0072709E">
        <w:rPr>
          <w:bCs/>
          <w:iCs/>
          <w:szCs w:val="22"/>
          <w:lang w:val="sk-SK"/>
        </w:rPr>
        <w:t>RESTARIOM</w:t>
      </w:r>
      <w:r w:rsidRPr="007B093D">
        <w:rPr>
          <w:szCs w:val="22"/>
          <w:lang w:val="sk-SK" w:eastAsia="sk-SK"/>
        </w:rPr>
        <w:t> A</w:t>
      </w:r>
      <w:r w:rsidRPr="007B093D">
        <w:rPr>
          <w:szCs w:val="22"/>
          <w:lang w:val="sk-SK"/>
        </w:rPr>
        <w:t>. Má sa pozorne monitorovať tlak krvi, funkcie</w:t>
      </w:r>
      <w:r w:rsidR="006B12E1">
        <w:rPr>
          <w:szCs w:val="22"/>
          <w:lang w:val="sk-SK"/>
        </w:rPr>
        <w:t xml:space="preserve"> obličiek</w:t>
      </w:r>
      <w:r w:rsidRPr="007B093D">
        <w:rPr>
          <w:szCs w:val="22"/>
          <w:lang w:val="sk-SK"/>
        </w:rPr>
        <w:t xml:space="preserve"> a kaliémia, a to pred, aj počas liečby P</w:t>
      </w:r>
      <w:r w:rsidR="0072709E">
        <w:rPr>
          <w:bCs/>
          <w:iCs/>
          <w:szCs w:val="22"/>
          <w:lang w:val="sk-SK"/>
        </w:rPr>
        <w:t>RESTARIOM</w:t>
      </w:r>
      <w:r w:rsidRPr="007B093D">
        <w:rPr>
          <w:szCs w:val="22"/>
          <w:lang w:val="sk-SK"/>
        </w:rPr>
        <w:t> A 5 mg (pozri časť 4.4).</w:t>
      </w:r>
    </w:p>
    <w:p w:rsidR="0042435C" w:rsidRPr="007B093D" w:rsidRDefault="0042435C" w:rsidP="0042435C">
      <w:pPr>
        <w:tabs>
          <w:tab w:val="decimal" w:pos="426"/>
          <w:tab w:val="decimal" w:pos="709"/>
        </w:tabs>
        <w:spacing w:line="240" w:lineRule="auto"/>
        <w:rPr>
          <w:bCs/>
          <w:iCs/>
          <w:szCs w:val="22"/>
          <w:lang w:val="sk-SK"/>
        </w:rPr>
      </w:pPr>
    </w:p>
    <w:p w:rsidR="0042435C" w:rsidRPr="007B093D" w:rsidRDefault="0042435C" w:rsidP="0042435C">
      <w:pPr>
        <w:pStyle w:val="Zarkazkladnhotextu3"/>
        <w:spacing w:line="240" w:lineRule="auto"/>
        <w:ind w:left="0"/>
        <w:jc w:val="left"/>
        <w:rPr>
          <w:bCs/>
          <w:szCs w:val="22"/>
          <w:lang w:val="sk-SK"/>
        </w:rPr>
      </w:pPr>
      <w:r w:rsidRPr="007B093D">
        <w:rPr>
          <w:szCs w:val="22"/>
          <w:u w:val="single"/>
          <w:lang w:val="sk-SK"/>
        </w:rPr>
        <w:t>- Stabilná koronárna choroba srdca</w:t>
      </w:r>
      <w:r w:rsidRPr="007B093D">
        <w:rPr>
          <w:bCs/>
          <w:szCs w:val="22"/>
          <w:u w:val="single"/>
          <w:lang w:val="sk-SK"/>
        </w:rPr>
        <w:t>:</w:t>
      </w:r>
    </w:p>
    <w:p w:rsidR="0042435C" w:rsidRPr="007B093D" w:rsidRDefault="0042435C" w:rsidP="0042435C">
      <w:pPr>
        <w:pStyle w:val="Zarkazkladnhotextu3"/>
        <w:spacing w:line="240" w:lineRule="auto"/>
        <w:ind w:left="0"/>
        <w:jc w:val="left"/>
        <w:rPr>
          <w:bCs/>
          <w:iCs/>
          <w:szCs w:val="22"/>
          <w:lang w:val="sk-SK"/>
        </w:rPr>
      </w:pPr>
      <w:r w:rsidRPr="007B093D">
        <w:rPr>
          <w:bCs/>
          <w:iCs/>
          <w:szCs w:val="22"/>
          <w:lang w:val="sk-SK"/>
        </w:rPr>
        <w:t>Liečba P</w:t>
      </w:r>
      <w:r w:rsidR="0072709E">
        <w:rPr>
          <w:bCs/>
          <w:iCs/>
          <w:szCs w:val="22"/>
          <w:lang w:val="sk-SK"/>
        </w:rPr>
        <w:t>RESTARIOM</w:t>
      </w:r>
      <w:r w:rsidRPr="007B093D">
        <w:rPr>
          <w:bCs/>
          <w:iCs/>
          <w:szCs w:val="22"/>
          <w:lang w:val="sk-SK"/>
        </w:rPr>
        <w:t> A sa má začínať dávkou 5 mg raz denne počas dvoch týždňov, potom sa môže zvýšiť na 10 mg raz denne, a to v závislosti od funkci</w:t>
      </w:r>
      <w:r w:rsidR="00000012">
        <w:rPr>
          <w:bCs/>
          <w:iCs/>
          <w:szCs w:val="22"/>
          <w:lang w:val="sk-SK"/>
        </w:rPr>
        <w:t>e</w:t>
      </w:r>
      <w:r w:rsidR="006B12E1">
        <w:rPr>
          <w:bCs/>
          <w:iCs/>
          <w:szCs w:val="22"/>
          <w:lang w:val="sk-SK"/>
        </w:rPr>
        <w:t xml:space="preserve"> obličiek</w:t>
      </w:r>
      <w:r w:rsidRPr="007B093D">
        <w:rPr>
          <w:bCs/>
          <w:iCs/>
          <w:szCs w:val="22"/>
          <w:lang w:val="sk-SK"/>
        </w:rPr>
        <w:t xml:space="preserve">, a za predpokladu, že dávka 5 mg je dobre znášaná. </w:t>
      </w:r>
    </w:p>
    <w:p w:rsidR="0042435C" w:rsidRPr="007B093D" w:rsidRDefault="0042435C" w:rsidP="0042435C">
      <w:pPr>
        <w:tabs>
          <w:tab w:val="decimal" w:pos="426"/>
          <w:tab w:val="decimal" w:pos="709"/>
        </w:tabs>
        <w:spacing w:line="240" w:lineRule="auto"/>
        <w:rPr>
          <w:bCs/>
          <w:szCs w:val="22"/>
          <w:lang w:val="sk-SK" w:eastAsia="fr-FR"/>
        </w:rPr>
      </w:pPr>
      <w:r w:rsidRPr="007B093D">
        <w:rPr>
          <w:bCs/>
          <w:iCs/>
          <w:szCs w:val="22"/>
          <w:lang w:val="sk-SK"/>
        </w:rPr>
        <w:t>Starší pacienti majú užívať 2,5 mg raz denne počas jedného týždňa, potom 5 mg raz denne ďalší týždeň, pred zvýšením dávky až na 10 mg raz denne v závislosti od funkci</w:t>
      </w:r>
      <w:r w:rsidR="00000012">
        <w:rPr>
          <w:bCs/>
          <w:iCs/>
          <w:szCs w:val="22"/>
          <w:lang w:val="sk-SK"/>
        </w:rPr>
        <w:t>e</w:t>
      </w:r>
      <w:r w:rsidR="006B12E1">
        <w:rPr>
          <w:bCs/>
          <w:iCs/>
          <w:szCs w:val="22"/>
          <w:lang w:val="sk-SK"/>
        </w:rPr>
        <w:t xml:space="preserve"> obličiek</w:t>
      </w:r>
      <w:r w:rsidRPr="007B093D">
        <w:rPr>
          <w:bCs/>
          <w:iCs/>
          <w:szCs w:val="22"/>
          <w:lang w:val="sk-SK"/>
        </w:rPr>
        <w:t xml:space="preserve"> (pozri Tabuľku č. 1 „</w:t>
      </w:r>
      <w:r w:rsidRPr="007B093D">
        <w:rPr>
          <w:bCs/>
          <w:szCs w:val="22"/>
          <w:lang w:val="sk-SK" w:eastAsia="fr-FR"/>
        </w:rPr>
        <w:t xml:space="preserve">Úprava dávkovania pri </w:t>
      </w:r>
      <w:r w:rsidR="006B12E1">
        <w:rPr>
          <w:bCs/>
          <w:szCs w:val="22"/>
          <w:lang w:val="sk-SK" w:eastAsia="fr-FR"/>
        </w:rPr>
        <w:t>poruche</w:t>
      </w:r>
      <w:r w:rsidR="006B12E1" w:rsidRPr="007B093D">
        <w:rPr>
          <w:bCs/>
          <w:szCs w:val="22"/>
          <w:lang w:val="sk-SK" w:eastAsia="fr-FR"/>
        </w:rPr>
        <w:t xml:space="preserve"> </w:t>
      </w:r>
      <w:r w:rsidRPr="007B093D">
        <w:rPr>
          <w:bCs/>
          <w:szCs w:val="22"/>
          <w:lang w:val="sk-SK" w:eastAsia="fr-FR"/>
        </w:rPr>
        <w:t>funkcie obličiek”). Dávka sa má zvýšiť, len ak je predchádzajúca nižšia dávka dobre znášaná.</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bCs/>
          <w:iCs/>
          <w:szCs w:val="22"/>
          <w:u w:val="single"/>
          <w:lang w:val="sk-SK"/>
        </w:rPr>
      </w:pPr>
      <w:r w:rsidRPr="007B093D">
        <w:rPr>
          <w:szCs w:val="22"/>
          <w:u w:val="single"/>
          <w:lang w:val="sk-SK"/>
        </w:rPr>
        <w:t>Osobitné skupiny pacientov:</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szCs w:val="22"/>
          <w:u w:val="single"/>
          <w:lang w:val="sk-SK"/>
        </w:rPr>
        <w:t>Pacienti s poruchou funkcie obličiek:</w:t>
      </w:r>
    </w:p>
    <w:p w:rsidR="0042435C" w:rsidRPr="007B093D" w:rsidRDefault="0042435C" w:rsidP="0042435C">
      <w:pPr>
        <w:spacing w:line="240" w:lineRule="auto"/>
        <w:rPr>
          <w:bCs/>
          <w:iCs/>
          <w:szCs w:val="22"/>
          <w:lang w:val="sk-SK"/>
        </w:rPr>
      </w:pPr>
      <w:r w:rsidRPr="007B093D">
        <w:rPr>
          <w:szCs w:val="22"/>
          <w:lang w:val="sk-SK"/>
        </w:rPr>
        <w:t>U pacientov s poruchou funkcie obličiek má byť dávkovanie upravené podľa hodnôt klírensu kreatinínu, ako je popísané v Tabuľke č. 1 uvedenej nižšie:</w:t>
      </w:r>
      <w:r w:rsidRPr="007B093D">
        <w:rPr>
          <w:bCs/>
          <w:iCs/>
          <w:szCs w:val="22"/>
          <w:lang w:val="sk-SK"/>
        </w:rPr>
        <w:t xml:space="preserve"> </w:t>
      </w:r>
    </w:p>
    <w:p w:rsidR="0042435C" w:rsidRPr="007B093D" w:rsidRDefault="0042435C" w:rsidP="0042435C">
      <w:pPr>
        <w:spacing w:line="240" w:lineRule="auto"/>
        <w:rPr>
          <w:bCs/>
          <w:iCs/>
          <w:szCs w:val="22"/>
          <w:lang w:val="sk-SK"/>
        </w:rPr>
      </w:pPr>
    </w:p>
    <w:p w:rsidR="0042435C" w:rsidRPr="007B093D" w:rsidRDefault="0042435C" w:rsidP="0042435C">
      <w:pPr>
        <w:pStyle w:val="Nadpis2"/>
        <w:tabs>
          <w:tab w:val="left" w:pos="4536"/>
        </w:tabs>
        <w:spacing w:before="0" w:after="0" w:line="240" w:lineRule="auto"/>
        <w:rPr>
          <w:rFonts w:ascii="Times New Roman" w:hAnsi="Times New Roman"/>
          <w:b w:val="0"/>
          <w:i w:val="0"/>
          <w:iCs/>
          <w:sz w:val="22"/>
          <w:szCs w:val="22"/>
          <w:lang w:val="sk-SK" w:eastAsia="fr-FR"/>
        </w:rPr>
      </w:pPr>
      <w:r w:rsidRPr="007B093D">
        <w:rPr>
          <w:rFonts w:ascii="Times New Roman" w:hAnsi="Times New Roman"/>
          <w:b w:val="0"/>
          <w:i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4961"/>
      </w:tblGrid>
      <w:tr w:rsidR="0042435C" w:rsidRPr="00D6647E" w:rsidTr="0042435C">
        <w:trPr>
          <w:trHeight w:val="493"/>
        </w:trPr>
        <w:tc>
          <w:tcPr>
            <w:tcW w:w="4181" w:type="dxa"/>
            <w:tcBorders>
              <w:top w:val="single" w:sz="4" w:space="0" w:color="auto"/>
              <w:left w:val="single" w:sz="4" w:space="0" w:color="auto"/>
              <w:bottom w:val="single" w:sz="4" w:space="0" w:color="auto"/>
              <w:right w:val="single" w:sz="4" w:space="0" w:color="auto"/>
            </w:tcBorders>
            <w:vAlign w:val="center"/>
            <w:hideMark/>
          </w:tcPr>
          <w:p w:rsidR="0042435C" w:rsidRPr="00376DD3" w:rsidRDefault="0042435C">
            <w:pPr>
              <w:pStyle w:val="Nzov"/>
              <w:jc w:val="left"/>
              <w:rPr>
                <w:rFonts w:ascii="Times New Roman" w:hAnsi="Times New Roman"/>
                <w:b w:val="0"/>
                <w:iCs/>
                <w:sz w:val="22"/>
                <w:szCs w:val="22"/>
                <w:lang w:val="sk-SK"/>
              </w:rPr>
            </w:pPr>
            <w:r w:rsidRPr="00376DD3">
              <w:rPr>
                <w:rFonts w:ascii="Times New Roman" w:hAnsi="Times New Roman"/>
                <w:b w:val="0"/>
                <w:bCs w:val="0"/>
                <w:iCs/>
                <w:sz w:val="22"/>
                <w:szCs w:val="22"/>
                <w:lang w:val="sk-SK"/>
              </w:rPr>
              <w:t>Klírens kreatinínu (ml/min)</w:t>
            </w:r>
          </w:p>
        </w:tc>
        <w:tc>
          <w:tcPr>
            <w:tcW w:w="4961" w:type="dxa"/>
            <w:tcBorders>
              <w:top w:val="single" w:sz="4" w:space="0" w:color="auto"/>
              <w:left w:val="single" w:sz="4" w:space="0" w:color="auto"/>
              <w:bottom w:val="single" w:sz="4" w:space="0" w:color="auto"/>
              <w:right w:val="single" w:sz="4" w:space="0" w:color="auto"/>
            </w:tcBorders>
            <w:vAlign w:val="center"/>
            <w:hideMark/>
          </w:tcPr>
          <w:p w:rsidR="0042435C" w:rsidRPr="00376DD3" w:rsidRDefault="0042435C">
            <w:pPr>
              <w:pStyle w:val="Nzov"/>
              <w:jc w:val="left"/>
              <w:rPr>
                <w:rFonts w:ascii="Times New Roman" w:hAnsi="Times New Roman"/>
                <w:b w:val="0"/>
                <w:iCs/>
                <w:sz w:val="22"/>
                <w:szCs w:val="22"/>
                <w:lang w:val="sk-SK"/>
              </w:rPr>
            </w:pPr>
            <w:r w:rsidRPr="00376DD3">
              <w:rPr>
                <w:rFonts w:ascii="Times New Roman" w:hAnsi="Times New Roman"/>
                <w:b w:val="0"/>
                <w:bCs w:val="0"/>
                <w:iCs/>
                <w:sz w:val="22"/>
                <w:szCs w:val="22"/>
                <w:lang w:val="sk-SK"/>
              </w:rPr>
              <w:t>Odporúčaná dávka</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vertAlign w:val="subscript"/>
                <w:lang w:val="sk-SK"/>
              </w:rPr>
            </w:pPr>
            <w:r w:rsidRPr="007B093D">
              <w:rPr>
                <w:bCs/>
                <w:iCs/>
                <w:szCs w:val="22"/>
                <w:lang w:val="sk-SK"/>
              </w:rPr>
              <w:t>Cl</w:t>
            </w:r>
            <w:r w:rsidRPr="007B093D">
              <w:rPr>
                <w:bCs/>
                <w:iCs/>
                <w:szCs w:val="22"/>
                <w:vertAlign w:val="subscript"/>
                <w:lang w:val="sk-SK"/>
              </w:rPr>
              <w:t xml:space="preserve">CR </w:t>
            </w:r>
            <w:r w:rsidRPr="007B093D">
              <w:rPr>
                <w:bCs/>
                <w:iCs/>
                <w:szCs w:val="22"/>
                <w:lang w:val="sk-SK"/>
              </w:rPr>
              <w:t>≥ 60</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5 mg denne</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30 &lt; Cl</w:t>
            </w:r>
            <w:r w:rsidRPr="007B093D">
              <w:rPr>
                <w:bCs/>
                <w:iCs/>
                <w:szCs w:val="22"/>
                <w:vertAlign w:val="subscript"/>
                <w:lang w:val="sk-SK"/>
              </w:rPr>
              <w:t>CR</w:t>
            </w:r>
            <w:r w:rsidRPr="007B093D">
              <w:rPr>
                <w:bCs/>
                <w:iCs/>
                <w:szCs w:val="22"/>
                <w:lang w:val="sk-SK"/>
              </w:rPr>
              <w:t xml:space="preserve"> &lt; 60</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2,5 mg denne</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15 &lt; Cl</w:t>
            </w:r>
            <w:r w:rsidRPr="007B093D">
              <w:rPr>
                <w:bCs/>
                <w:iCs/>
                <w:szCs w:val="22"/>
                <w:vertAlign w:val="subscript"/>
                <w:lang w:val="sk-SK"/>
              </w:rPr>
              <w:t>CR</w:t>
            </w:r>
            <w:r w:rsidRPr="007B093D">
              <w:rPr>
                <w:bCs/>
                <w:iCs/>
                <w:szCs w:val="22"/>
                <w:lang w:val="sk-SK"/>
              </w:rPr>
              <w:t xml:space="preserve"> &lt; 30</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2,5 mg každý druhý deň</w:t>
            </w:r>
          </w:p>
        </w:tc>
      </w:tr>
      <w:tr w:rsidR="0042435C" w:rsidRPr="007B093D" w:rsidTr="0042435C">
        <w:trPr>
          <w:cantSplit/>
          <w:trHeight w:val="340"/>
        </w:trPr>
        <w:tc>
          <w:tcPr>
            <w:tcW w:w="9142" w:type="dxa"/>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pStyle w:val="Hlavika"/>
              <w:rPr>
                <w:rFonts w:ascii="Times New Roman" w:hAnsi="Times New Roman"/>
                <w:bCs/>
                <w:iCs/>
                <w:sz w:val="22"/>
                <w:szCs w:val="22"/>
                <w:lang w:val="sk-SK"/>
              </w:rPr>
            </w:pPr>
            <w:r w:rsidRPr="007B093D">
              <w:rPr>
                <w:rFonts w:ascii="Times New Roman" w:hAnsi="Times New Roman"/>
                <w:bCs/>
                <w:iCs/>
                <w:sz w:val="22"/>
                <w:szCs w:val="22"/>
                <w:lang w:val="sk-SK"/>
              </w:rPr>
              <w:t>Hemodialyzovaní pacienti *</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Cl</w:t>
            </w:r>
            <w:r w:rsidRPr="007B093D">
              <w:rPr>
                <w:bCs/>
                <w:iCs/>
                <w:szCs w:val="22"/>
                <w:vertAlign w:val="subscript"/>
                <w:lang w:val="sk-SK"/>
              </w:rPr>
              <w:t>CR</w:t>
            </w:r>
            <w:r w:rsidRPr="007B093D">
              <w:rPr>
                <w:bCs/>
                <w:iCs/>
                <w:szCs w:val="22"/>
                <w:lang w:val="sk-SK"/>
              </w:rPr>
              <w:t xml:space="preserve"> &lt; 15</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 xml:space="preserve">2,5 mg </w:t>
            </w:r>
            <w:r w:rsidRPr="007B093D">
              <w:rPr>
                <w:szCs w:val="22"/>
                <w:lang w:val="sk-SK"/>
              </w:rPr>
              <w:t>v deň dialýzy</w:t>
            </w:r>
          </w:p>
        </w:tc>
      </w:tr>
    </w:tbl>
    <w:p w:rsidR="0042435C" w:rsidRPr="007B093D" w:rsidRDefault="0042435C" w:rsidP="0042435C">
      <w:pPr>
        <w:spacing w:line="240" w:lineRule="auto"/>
        <w:rPr>
          <w:bCs/>
          <w:iCs/>
          <w:szCs w:val="22"/>
          <w:lang w:val="sk-SK"/>
        </w:rPr>
      </w:pPr>
      <w:r w:rsidRPr="007B093D">
        <w:rPr>
          <w:bCs/>
          <w:iCs/>
          <w:szCs w:val="22"/>
          <w:lang w:val="sk-SK"/>
        </w:rPr>
        <w:t xml:space="preserve">* </w:t>
      </w:r>
      <w:r w:rsidRPr="007B093D">
        <w:rPr>
          <w:szCs w:val="22"/>
          <w:lang w:val="sk-SK"/>
        </w:rPr>
        <w:t>Dialyzačný klírens perindoprilátu je 70 ml/min</w:t>
      </w:r>
      <w:r w:rsidRPr="007B093D">
        <w:rPr>
          <w:bCs/>
          <w:iCs/>
          <w:szCs w:val="22"/>
          <w:lang w:val="sk-SK"/>
        </w:rPr>
        <w:t>.</w:t>
      </w:r>
    </w:p>
    <w:p w:rsidR="0042435C" w:rsidRPr="007B093D" w:rsidRDefault="0042435C" w:rsidP="0042435C">
      <w:pPr>
        <w:spacing w:line="240" w:lineRule="auto"/>
        <w:rPr>
          <w:bCs/>
          <w:iCs/>
          <w:szCs w:val="22"/>
          <w:lang w:val="sk-SK"/>
        </w:rPr>
      </w:pPr>
      <w:r w:rsidRPr="007B093D">
        <w:rPr>
          <w:szCs w:val="22"/>
          <w:lang w:val="sk-SK"/>
        </w:rPr>
        <w:lastRenderedPageBreak/>
        <w:t>Hemodialyzovaní pacienti majú dávku užiť po dialýze.</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szCs w:val="22"/>
          <w:u w:val="single"/>
          <w:lang w:val="sk-SK"/>
        </w:rPr>
        <w:t>Pacienti s poruchou funkcie pečene:</w:t>
      </w:r>
    </w:p>
    <w:p w:rsidR="0042435C" w:rsidRPr="007B093D" w:rsidRDefault="0042435C" w:rsidP="0042435C">
      <w:pPr>
        <w:tabs>
          <w:tab w:val="decimal" w:pos="426"/>
          <w:tab w:val="decimal" w:pos="709"/>
        </w:tabs>
        <w:spacing w:line="240" w:lineRule="auto"/>
        <w:rPr>
          <w:szCs w:val="22"/>
          <w:lang w:val="sk-SK"/>
        </w:rPr>
      </w:pPr>
      <w:r w:rsidRPr="007B093D">
        <w:rPr>
          <w:szCs w:val="22"/>
          <w:lang w:val="sk-SK"/>
        </w:rPr>
        <w:t>U pacientov s poruchou funkcie pečene nie je potrebná úprava dávkovania (pozri časti 4.4 a 5.2</w:t>
      </w:r>
      <w:r w:rsidRPr="007B093D">
        <w:rPr>
          <w:bCs/>
          <w:iCs/>
          <w:szCs w:val="22"/>
          <w:lang w:val="sk-SK"/>
        </w:rPr>
        <w:t>).</w:t>
      </w:r>
      <w:r w:rsidRPr="007B093D">
        <w:rPr>
          <w:b/>
          <w:i/>
          <w:szCs w:val="22"/>
          <w:lang w:val="sk-SK"/>
        </w:rPr>
        <w:t xml:space="preserve"> </w:t>
      </w:r>
    </w:p>
    <w:p w:rsidR="0042435C" w:rsidRPr="007B093D" w:rsidRDefault="0042435C" w:rsidP="0042435C">
      <w:pPr>
        <w:tabs>
          <w:tab w:val="decimal" w:pos="426"/>
          <w:tab w:val="decimal" w:pos="709"/>
        </w:tabs>
        <w:spacing w:line="240" w:lineRule="auto"/>
        <w:rPr>
          <w:bCs/>
          <w:iCs/>
          <w:szCs w:val="22"/>
          <w:u w:val="single"/>
          <w:lang w:val="sk-SK"/>
        </w:rPr>
      </w:pPr>
    </w:p>
    <w:p w:rsidR="0042435C" w:rsidRPr="00376DD3" w:rsidRDefault="0042435C" w:rsidP="0042435C">
      <w:pPr>
        <w:tabs>
          <w:tab w:val="decimal" w:pos="426"/>
          <w:tab w:val="decimal" w:pos="709"/>
        </w:tabs>
        <w:spacing w:line="240" w:lineRule="auto"/>
        <w:rPr>
          <w:bCs/>
          <w:i/>
          <w:iCs/>
          <w:szCs w:val="22"/>
          <w:lang w:val="sk-SK"/>
        </w:rPr>
      </w:pPr>
      <w:r w:rsidRPr="00376DD3">
        <w:rPr>
          <w:i/>
          <w:szCs w:val="22"/>
          <w:lang w:val="sk-SK"/>
        </w:rPr>
        <w:t>- Pediatrická populácia</w:t>
      </w:r>
    </w:p>
    <w:p w:rsidR="0042435C" w:rsidRPr="007B093D" w:rsidRDefault="0042435C" w:rsidP="0042435C">
      <w:pPr>
        <w:tabs>
          <w:tab w:val="decimal" w:pos="426"/>
          <w:tab w:val="decimal" w:pos="709"/>
        </w:tabs>
        <w:spacing w:line="240" w:lineRule="auto"/>
        <w:rPr>
          <w:bCs/>
          <w:iCs/>
          <w:szCs w:val="22"/>
          <w:lang w:val="sk-SK"/>
        </w:rPr>
      </w:pPr>
      <w:r w:rsidRPr="007B093D">
        <w:rPr>
          <w:szCs w:val="22"/>
          <w:lang w:val="sk-SK"/>
        </w:rPr>
        <w:t>Bezpečnosť a účinnosť perindoprilu u detí a dospievajúcich vo veku do 18 rokov nebola stanovená. V súčasnosti dostupné údaje sú opísané v časti 5.1, ale neumožňujú uviesť odporúčania na dávkovanie.</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Použitie u detí a dospievajúcich sa preto neodporúča.</w:t>
      </w:r>
    </w:p>
    <w:p w:rsidR="0042435C" w:rsidRPr="007B093D" w:rsidRDefault="0042435C" w:rsidP="0042435C">
      <w:pPr>
        <w:tabs>
          <w:tab w:val="decimal" w:pos="426"/>
          <w:tab w:val="decimal" w:pos="709"/>
        </w:tabs>
        <w:spacing w:line="240" w:lineRule="auto"/>
        <w:rPr>
          <w:bCs/>
          <w:iCs/>
          <w:szCs w:val="22"/>
          <w:lang w:val="sk-SK"/>
        </w:rPr>
      </w:pPr>
    </w:p>
    <w:p w:rsidR="0042435C" w:rsidRPr="007B093D" w:rsidRDefault="0042435C" w:rsidP="0042435C">
      <w:pPr>
        <w:spacing w:line="240" w:lineRule="auto"/>
        <w:rPr>
          <w:szCs w:val="22"/>
          <w:lang w:val="sk-SK"/>
        </w:rPr>
      </w:pPr>
      <w:r w:rsidRPr="007B093D">
        <w:rPr>
          <w:szCs w:val="22"/>
          <w:u w:val="single"/>
          <w:lang w:val="sk-SK"/>
        </w:rPr>
        <w:t>Spôsob podávania</w:t>
      </w:r>
    </w:p>
    <w:p w:rsidR="0042435C" w:rsidRPr="007B093D" w:rsidRDefault="0042435C" w:rsidP="0042435C">
      <w:pPr>
        <w:spacing w:line="240" w:lineRule="auto"/>
        <w:rPr>
          <w:szCs w:val="22"/>
          <w:lang w:val="sk-SK"/>
        </w:rPr>
      </w:pPr>
      <w:r w:rsidRPr="007B093D">
        <w:rPr>
          <w:szCs w:val="22"/>
          <w:lang w:val="sk-SK"/>
        </w:rPr>
        <w:t>Na perorálne použitie.</w:t>
      </w:r>
    </w:p>
    <w:p w:rsidR="0042435C" w:rsidRPr="007B093D" w:rsidRDefault="0042435C" w:rsidP="0042435C">
      <w:pPr>
        <w:tabs>
          <w:tab w:val="decimal" w:pos="426"/>
          <w:tab w:val="decimal" w:pos="709"/>
        </w:tabs>
        <w:spacing w:line="240" w:lineRule="auto"/>
        <w:rPr>
          <w:bCs/>
          <w:iCs/>
          <w:szCs w:val="22"/>
          <w:lang w:val="sk-SK"/>
        </w:rPr>
      </w:pPr>
      <w:r w:rsidRPr="007B093D">
        <w:rPr>
          <w:szCs w:val="22"/>
          <w:lang w:val="sk-SK"/>
        </w:rPr>
        <w:t>P</w:t>
      </w:r>
      <w:r w:rsidR="007C6187">
        <w:rPr>
          <w:bCs/>
          <w:iCs/>
          <w:szCs w:val="22"/>
          <w:lang w:val="sk-SK"/>
        </w:rPr>
        <w:t>RESTARIUM</w:t>
      </w:r>
      <w:r w:rsidRPr="007B093D">
        <w:rPr>
          <w:szCs w:val="22"/>
          <w:lang w:val="sk-SK"/>
        </w:rPr>
        <w:t> A 5 mg sa odporúča užívať raz denne ráno pred jedlom.</w:t>
      </w:r>
    </w:p>
    <w:p w:rsidR="0042435C" w:rsidRPr="007B093D" w:rsidRDefault="0042435C" w:rsidP="0042435C">
      <w:pPr>
        <w:pStyle w:val="Hlavika"/>
        <w:rPr>
          <w:rFonts w:ascii="Times New Roman" w:hAnsi="Times New Roman"/>
          <w:sz w:val="22"/>
          <w:szCs w:val="22"/>
          <w:lang w:val="sk-SK"/>
        </w:rPr>
      </w:pPr>
    </w:p>
    <w:p w:rsidR="0042435C" w:rsidRPr="007B093D" w:rsidRDefault="0042435C" w:rsidP="0042435C">
      <w:pPr>
        <w:numPr>
          <w:ilvl w:val="1"/>
          <w:numId w:val="1"/>
        </w:numPr>
        <w:tabs>
          <w:tab w:val="left" w:pos="0"/>
        </w:tabs>
        <w:spacing w:line="240" w:lineRule="auto"/>
        <w:ind w:left="0" w:firstLine="0"/>
        <w:rPr>
          <w:b/>
          <w:szCs w:val="22"/>
          <w:lang w:val="sk-SK"/>
        </w:rPr>
      </w:pPr>
      <w:r w:rsidRPr="007B093D">
        <w:rPr>
          <w:b/>
          <w:szCs w:val="22"/>
          <w:lang w:val="sk-SK"/>
        </w:rPr>
        <w:t>Kontraindikácie</w:t>
      </w:r>
    </w:p>
    <w:p w:rsidR="0042435C" w:rsidRPr="007B093D" w:rsidRDefault="0042435C" w:rsidP="0042435C">
      <w:pPr>
        <w:spacing w:line="240" w:lineRule="auto"/>
        <w:ind w:left="360"/>
        <w:rPr>
          <w:b/>
          <w:szCs w:val="22"/>
          <w:lang w:val="sk-SK"/>
        </w:rPr>
      </w:pPr>
    </w:p>
    <w:p w:rsidR="0042435C" w:rsidRPr="007B093D" w:rsidRDefault="0042435C" w:rsidP="0042435C">
      <w:pPr>
        <w:numPr>
          <w:ilvl w:val="0"/>
          <w:numId w:val="2"/>
        </w:numPr>
        <w:tabs>
          <w:tab w:val="num" w:pos="1778"/>
        </w:tabs>
        <w:spacing w:line="240" w:lineRule="auto"/>
        <w:ind w:left="357" w:hanging="357"/>
        <w:rPr>
          <w:szCs w:val="22"/>
          <w:lang w:val="sk-SK"/>
        </w:rPr>
      </w:pPr>
      <w:r w:rsidRPr="007B093D">
        <w:rPr>
          <w:szCs w:val="22"/>
          <w:lang w:val="sk-SK"/>
        </w:rPr>
        <w:t>Precitlivenosť na liečivo alebo na ktorúkoľvek z pomocných látok uvedených v časti 6.1 alebo na ktorýkoľvek iný inhibítor ACE;</w:t>
      </w:r>
    </w:p>
    <w:p w:rsidR="0042435C" w:rsidRPr="007B093D" w:rsidRDefault="0042435C" w:rsidP="0042435C">
      <w:pPr>
        <w:numPr>
          <w:ilvl w:val="0"/>
          <w:numId w:val="2"/>
        </w:numPr>
        <w:tabs>
          <w:tab w:val="num" w:pos="1778"/>
        </w:tabs>
        <w:spacing w:line="240" w:lineRule="auto"/>
        <w:ind w:left="357" w:hanging="357"/>
        <w:rPr>
          <w:szCs w:val="22"/>
          <w:lang w:val="sk-SK"/>
        </w:rPr>
      </w:pPr>
      <w:r w:rsidRPr="007B093D">
        <w:rPr>
          <w:szCs w:val="22"/>
          <w:lang w:val="sk-SK"/>
        </w:rPr>
        <w:t>Angioedém v súvislosti s predchádzajúcou liečbou inhibítorom ACE v anamnéze;</w:t>
      </w:r>
    </w:p>
    <w:p w:rsidR="0042435C" w:rsidRPr="007B093D" w:rsidRDefault="0042435C" w:rsidP="0042435C">
      <w:pPr>
        <w:numPr>
          <w:ilvl w:val="0"/>
          <w:numId w:val="2"/>
        </w:numPr>
        <w:tabs>
          <w:tab w:val="num" w:pos="1778"/>
        </w:tabs>
        <w:spacing w:line="240" w:lineRule="auto"/>
        <w:ind w:left="357" w:hanging="357"/>
        <w:rPr>
          <w:b/>
          <w:i/>
          <w:szCs w:val="22"/>
          <w:lang w:val="sk-SK"/>
        </w:rPr>
      </w:pPr>
      <w:r w:rsidRPr="007B093D">
        <w:rPr>
          <w:szCs w:val="22"/>
          <w:lang w:val="sk-SK"/>
        </w:rPr>
        <w:t>Dedičný alebo idiopatický angioedém;</w:t>
      </w:r>
    </w:p>
    <w:p w:rsidR="0042435C" w:rsidRPr="007B093D" w:rsidRDefault="0042435C" w:rsidP="0042435C">
      <w:pPr>
        <w:numPr>
          <w:ilvl w:val="0"/>
          <w:numId w:val="3"/>
        </w:numPr>
        <w:spacing w:line="240" w:lineRule="auto"/>
        <w:rPr>
          <w:szCs w:val="22"/>
          <w:lang w:val="sk-SK"/>
        </w:rPr>
      </w:pPr>
      <w:r w:rsidRPr="007B093D">
        <w:rPr>
          <w:szCs w:val="22"/>
          <w:lang w:val="sk-SK"/>
        </w:rPr>
        <w:t xml:space="preserve">Druhý a tretí trimester gravidity (pozri časti </w:t>
      </w:r>
      <w:smartTag w:uri="urn:schemas-microsoft-com:office:smarttags" w:element="metricconverter">
        <w:smartTagPr>
          <w:attr w:name="ProductID" w:val="4.4 a"/>
        </w:smartTagPr>
        <w:r w:rsidRPr="007B093D">
          <w:rPr>
            <w:szCs w:val="22"/>
            <w:lang w:val="sk-SK"/>
          </w:rPr>
          <w:t>4.4 a</w:t>
        </w:r>
      </w:smartTag>
      <w:r w:rsidRPr="007B093D">
        <w:rPr>
          <w:szCs w:val="22"/>
          <w:lang w:val="sk-SK"/>
        </w:rPr>
        <w:t xml:space="preserve"> 4.6);</w:t>
      </w:r>
    </w:p>
    <w:p w:rsidR="007458FE" w:rsidRDefault="0042435C" w:rsidP="0042435C">
      <w:pPr>
        <w:numPr>
          <w:ilvl w:val="0"/>
          <w:numId w:val="3"/>
        </w:numPr>
        <w:rPr>
          <w:szCs w:val="22"/>
          <w:lang w:val="sk-SK"/>
        </w:rPr>
      </w:pPr>
      <w:r w:rsidRPr="007B093D">
        <w:rPr>
          <w:szCs w:val="22"/>
          <w:lang w:val="sk-SK"/>
        </w:rPr>
        <w:t>Súbežné použitie P</w:t>
      </w:r>
      <w:r w:rsidR="0072709E">
        <w:rPr>
          <w:szCs w:val="22"/>
          <w:lang w:val="sk-SK"/>
        </w:rPr>
        <w:t>RESTARIA</w:t>
      </w:r>
      <w:r w:rsidRPr="007B093D">
        <w:rPr>
          <w:szCs w:val="22"/>
          <w:lang w:val="sk-SK"/>
        </w:rPr>
        <w:t xml:space="preserve"> A 5 mg s liekmi obsahujúcimi aliskiren je kontraindikované u pacientov s diabetom mellitus alebo poruchou funkcie obličiek (GFR &lt; 60 ml/min/1,73 m</w:t>
      </w:r>
      <w:r w:rsidRPr="007B093D">
        <w:rPr>
          <w:szCs w:val="22"/>
          <w:vertAlign w:val="superscript"/>
          <w:lang w:val="sk-SK"/>
        </w:rPr>
        <w:t>2</w:t>
      </w:r>
      <w:r w:rsidRPr="007B093D">
        <w:rPr>
          <w:szCs w:val="22"/>
          <w:lang w:val="sk-SK"/>
        </w:rPr>
        <w:t>) (pozri časti 4.5 a 5.1)</w:t>
      </w:r>
      <w:r w:rsidR="007458FE">
        <w:rPr>
          <w:szCs w:val="22"/>
          <w:lang w:val="sk-SK"/>
        </w:rPr>
        <w:t>,</w:t>
      </w:r>
    </w:p>
    <w:p w:rsidR="007458FE" w:rsidRDefault="007458FE" w:rsidP="007458FE">
      <w:pPr>
        <w:numPr>
          <w:ilvl w:val="0"/>
          <w:numId w:val="3"/>
        </w:numPr>
        <w:tabs>
          <w:tab w:val="clear" w:pos="567"/>
        </w:tabs>
        <w:spacing w:line="240" w:lineRule="auto"/>
        <w:rPr>
          <w:lang w:val="sk-SK"/>
        </w:rPr>
      </w:pPr>
      <w:r>
        <w:rPr>
          <w:lang w:val="sk-SK" w:eastAsia="sk-SK"/>
        </w:rPr>
        <w:t>Súbežné používanie so sakubitrilom/valsartanom (pozri časti 4.4 a 4.5).</w:t>
      </w:r>
    </w:p>
    <w:p w:rsidR="007458FE" w:rsidRDefault="007458FE" w:rsidP="007458FE">
      <w:pPr>
        <w:numPr>
          <w:ilvl w:val="0"/>
          <w:numId w:val="3"/>
        </w:numPr>
        <w:tabs>
          <w:tab w:val="clear" w:pos="567"/>
        </w:tabs>
        <w:spacing w:line="240" w:lineRule="auto"/>
        <w:rPr>
          <w:lang w:val="sk-SK"/>
        </w:rPr>
      </w:pPr>
      <w:r>
        <w:rPr>
          <w:lang w:val="sk-SK" w:eastAsia="sk-SK"/>
        </w:rPr>
        <w:t>Extrakorporálne terapie vedúce ku kontaktu krvi s negatívne nabitými povrchmi (pozri časť 4.5),</w:t>
      </w:r>
    </w:p>
    <w:p w:rsidR="0042435C" w:rsidRPr="007B093D" w:rsidRDefault="007458FE" w:rsidP="007458FE">
      <w:pPr>
        <w:numPr>
          <w:ilvl w:val="0"/>
          <w:numId w:val="3"/>
        </w:numPr>
        <w:rPr>
          <w:szCs w:val="22"/>
          <w:lang w:val="sk-SK"/>
        </w:rPr>
      </w:pPr>
      <w:r>
        <w:rPr>
          <w:lang w:val="sk-SK"/>
        </w:rPr>
        <w:t>Významná bilaterálna stenóza renálnej artérie alebo stenóza artérie jednej funkčnej obličky (pozri časť 4.4)</w:t>
      </w:r>
      <w:r w:rsidR="0042435C" w:rsidRPr="007B093D">
        <w:rPr>
          <w:szCs w:val="22"/>
          <w:lang w:val="sk-SK"/>
        </w:rPr>
        <w:t>.</w:t>
      </w:r>
    </w:p>
    <w:p w:rsidR="0042435C" w:rsidRPr="007B093D" w:rsidRDefault="0042435C" w:rsidP="0042435C">
      <w:pPr>
        <w:pStyle w:val="Hlavika"/>
        <w:rPr>
          <w:rFonts w:ascii="Times New Roman" w:hAnsi="Times New Roman"/>
          <w:sz w:val="22"/>
          <w:szCs w:val="22"/>
          <w:lang w:val="sk-SK"/>
        </w:rPr>
      </w:pPr>
    </w:p>
    <w:p w:rsidR="0042435C" w:rsidRPr="007B093D" w:rsidRDefault="0042435C" w:rsidP="0042435C">
      <w:pPr>
        <w:keepNext/>
        <w:spacing w:line="240" w:lineRule="auto"/>
        <w:rPr>
          <w:b/>
          <w:szCs w:val="22"/>
          <w:lang w:val="sk-SK"/>
        </w:rPr>
      </w:pPr>
      <w:r w:rsidRPr="007B093D">
        <w:rPr>
          <w:b/>
          <w:szCs w:val="22"/>
          <w:lang w:val="sk-SK"/>
        </w:rPr>
        <w:t>4.4</w:t>
      </w:r>
      <w:r w:rsidRPr="007B093D">
        <w:rPr>
          <w:b/>
          <w:szCs w:val="22"/>
          <w:lang w:val="sk-SK"/>
        </w:rPr>
        <w:tab/>
        <w:t>Osobitné upozornenia a opatrenia pri používaní</w:t>
      </w:r>
    </w:p>
    <w:p w:rsidR="0042435C" w:rsidRPr="007B093D" w:rsidRDefault="0042435C" w:rsidP="0042435C">
      <w:pPr>
        <w:keepNext/>
        <w:spacing w:line="240" w:lineRule="auto"/>
        <w:rPr>
          <w:b/>
          <w:szCs w:val="22"/>
          <w:lang w:val="sk-SK"/>
        </w:rPr>
      </w:pPr>
    </w:p>
    <w:p w:rsidR="0042435C" w:rsidRPr="007B093D" w:rsidRDefault="0042435C" w:rsidP="0042435C">
      <w:pPr>
        <w:spacing w:line="240" w:lineRule="auto"/>
        <w:rPr>
          <w:szCs w:val="22"/>
          <w:lang w:val="sk-SK"/>
        </w:rPr>
      </w:pPr>
      <w:r w:rsidRPr="007B093D">
        <w:rPr>
          <w:szCs w:val="22"/>
          <w:u w:val="single"/>
          <w:lang w:val="sk-SK"/>
        </w:rPr>
        <w:t>Stabilná koronárna choroba srdca</w:t>
      </w:r>
      <w:r w:rsidRPr="007B093D">
        <w:rPr>
          <w:szCs w:val="22"/>
          <w:lang w:val="sk-SK"/>
        </w:rPr>
        <w:t xml:space="preserve">: </w:t>
      </w:r>
    </w:p>
    <w:p w:rsidR="0042435C" w:rsidRPr="007B093D" w:rsidRDefault="0042435C" w:rsidP="0042435C">
      <w:pPr>
        <w:spacing w:line="240" w:lineRule="auto"/>
        <w:rPr>
          <w:szCs w:val="22"/>
          <w:lang w:val="sk-SK"/>
        </w:rPr>
      </w:pPr>
      <w:bookmarkStart w:id="1" w:name="_Toc92713989"/>
      <w:bookmarkStart w:id="2" w:name="_Toc92698445"/>
      <w:r w:rsidRPr="007B093D">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7B093D">
        <w:rPr>
          <w:szCs w:val="22"/>
          <w:lang w:val="sk-SK"/>
        </w:rPr>
        <w:t xml:space="preserve"> </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Hypotenzia:</w:t>
      </w:r>
    </w:p>
    <w:p w:rsidR="0042435C" w:rsidRPr="007B093D" w:rsidRDefault="0042435C" w:rsidP="0042435C">
      <w:pPr>
        <w:tabs>
          <w:tab w:val="left" w:pos="3261"/>
        </w:tabs>
        <w:spacing w:line="240" w:lineRule="auto"/>
        <w:rPr>
          <w:szCs w:val="22"/>
          <w:lang w:val="sk-SK"/>
        </w:rPr>
      </w:pPr>
      <w:r w:rsidRPr="007B093D">
        <w:rPr>
          <w:szCs w:val="22"/>
          <w:lang w:val="sk-SK"/>
        </w:rPr>
        <w:t xml:space="preserve">Inhibítory ACE môžu spôsobiť pokles tlaku krvi. Symptomatická hypotenzia je zriedkavá u pacientov s hypertenziou bez komplikácií a s väčšou pravdepodobnosťou k nej môže dôjsť u pacientov s hypovolémiou, napr. spôsobenou diuretikami, obmedzením príjmu soli v potrave,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slučkových diuretík, u pacientov s hyponatriémiou alebo s </w:t>
      </w:r>
      <w:r w:rsidR="00D6647E">
        <w:rPr>
          <w:szCs w:val="22"/>
          <w:lang w:val="sk-SK"/>
        </w:rPr>
        <w:t>poruchou</w:t>
      </w:r>
      <w:r w:rsidR="00D6647E" w:rsidRPr="007B093D">
        <w:rPr>
          <w:szCs w:val="22"/>
          <w:lang w:val="sk-SK"/>
        </w:rPr>
        <w:t xml:space="preserve"> </w:t>
      </w:r>
      <w:r w:rsidRPr="007B093D">
        <w:rPr>
          <w:szCs w:val="22"/>
          <w:lang w:val="sk-SK"/>
        </w:rPr>
        <w:t>funkci</w:t>
      </w:r>
      <w:r w:rsidR="00000012">
        <w:rPr>
          <w:szCs w:val="22"/>
          <w:lang w:val="sk-SK"/>
        </w:rPr>
        <w:t>e</w:t>
      </w:r>
      <w:r w:rsidR="006B12E1">
        <w:rPr>
          <w:szCs w:val="22"/>
          <w:lang w:val="sk-SK"/>
        </w:rPr>
        <w:t xml:space="preserve"> obličiek</w:t>
      </w:r>
      <w:r w:rsidRPr="007B093D">
        <w:rPr>
          <w:szCs w:val="22"/>
          <w:lang w:val="sk-SK"/>
        </w:rPr>
        <w:t>.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rsidR="0042435C" w:rsidRPr="007B093D" w:rsidRDefault="0042435C" w:rsidP="0042435C">
      <w:pPr>
        <w:spacing w:line="240" w:lineRule="auto"/>
        <w:rPr>
          <w:szCs w:val="22"/>
          <w:lang w:val="sk-SK"/>
        </w:rPr>
      </w:pPr>
      <w:r w:rsidRPr="007B093D">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7B093D">
        <w:rPr>
          <w:bCs/>
          <w:iCs/>
          <w:szCs w:val="22"/>
          <w:lang w:val="sk-SK"/>
        </w:rPr>
        <w:t>.</w:t>
      </w:r>
    </w:p>
    <w:p w:rsidR="0042435C" w:rsidRPr="007B093D" w:rsidRDefault="0042435C" w:rsidP="0042435C">
      <w:pPr>
        <w:spacing w:line="240" w:lineRule="auto"/>
        <w:rPr>
          <w:szCs w:val="22"/>
          <w:lang w:val="sk-SK"/>
        </w:rPr>
      </w:pPr>
      <w:r w:rsidRPr="007B093D">
        <w:rPr>
          <w:szCs w:val="22"/>
          <w:lang w:val="sk-SK"/>
        </w:rPr>
        <w:lastRenderedPageBreak/>
        <w:t>U niektorých pacientov s kongestívnym srdcovým zlyhaním, ktorí majú normálny alebo nízky tlak krvi, môže dôjsť pri liečbe P</w:t>
      </w:r>
      <w:r w:rsidR="0072709E">
        <w:rPr>
          <w:bCs/>
          <w:iCs/>
          <w:szCs w:val="22"/>
          <w:lang w:val="sk-SK"/>
        </w:rPr>
        <w:t>RESTARIOM</w:t>
      </w:r>
      <w:r w:rsidRPr="007B093D">
        <w:rPr>
          <w:bCs/>
          <w:iCs/>
          <w:szCs w:val="22"/>
          <w:lang w:val="sk-SK"/>
        </w:rPr>
        <w:t> </w:t>
      </w:r>
      <w:r w:rsidRPr="007B093D">
        <w:rPr>
          <w:szCs w:val="22"/>
          <w:lang w:val="sk-SK"/>
        </w:rPr>
        <w:t>A 5 mg</w:t>
      </w:r>
      <w:r w:rsidRPr="007B093D">
        <w:rPr>
          <w:szCs w:val="22"/>
          <w:vertAlign w:val="superscript"/>
          <w:lang w:val="sk-SK"/>
        </w:rPr>
        <w:t xml:space="preserve">  </w:t>
      </w:r>
      <w:r w:rsidRPr="007B093D">
        <w:rPr>
          <w:szCs w:val="22"/>
          <w:lang w:val="sk-SK"/>
        </w:rPr>
        <w:t>k ďalšiemu zníženiu celkového tlaku krvi. Takýto účinok sa dá očakávať a zvyčajne nie je dôvodom na ukončenie liečby. Ak sa hypotenzia stane symptomatickou, môže byť potrebné dávku znížiť alebo P</w:t>
      </w:r>
      <w:r w:rsidR="007C6187">
        <w:rPr>
          <w:bCs/>
          <w:iCs/>
          <w:szCs w:val="22"/>
          <w:lang w:val="sk-SK"/>
        </w:rPr>
        <w:t>RESTARIUM</w:t>
      </w:r>
      <w:r w:rsidRPr="007B093D">
        <w:rPr>
          <w:szCs w:val="22"/>
          <w:lang w:val="sk-SK"/>
        </w:rPr>
        <w:t> A 5 mg vysadiť.</w:t>
      </w:r>
    </w:p>
    <w:p w:rsidR="0042435C" w:rsidRPr="007B093D" w:rsidRDefault="0042435C" w:rsidP="0042435C">
      <w:pPr>
        <w:pStyle w:val="Nadpis3"/>
        <w:spacing w:before="0" w:after="0" w:line="240" w:lineRule="auto"/>
        <w:rPr>
          <w:b w:val="0"/>
          <w:kern w:val="0"/>
          <w:sz w:val="22"/>
          <w:szCs w:val="22"/>
          <w:u w:val="single"/>
          <w:lang w:val="sk-SK" w:eastAsia="fr-FR"/>
        </w:rPr>
      </w:pPr>
      <w:bookmarkStart w:id="3" w:name="_Toc34031374"/>
      <w:bookmarkStart w:id="4" w:name="_Toc29797813"/>
    </w:p>
    <w:bookmarkEnd w:id="3"/>
    <w:bookmarkEnd w:id="4"/>
    <w:p w:rsidR="0042435C" w:rsidRPr="007B093D" w:rsidRDefault="0042435C" w:rsidP="0042435C">
      <w:pPr>
        <w:pStyle w:val="Nadpis3"/>
        <w:spacing w:before="0" w:after="0" w:line="240" w:lineRule="auto"/>
        <w:rPr>
          <w:b w:val="0"/>
          <w:bCs/>
          <w:iCs/>
          <w:kern w:val="0"/>
          <w:sz w:val="22"/>
          <w:szCs w:val="22"/>
          <w:u w:val="single"/>
          <w:lang w:val="sk-SK" w:eastAsia="fr-FR"/>
        </w:rPr>
      </w:pPr>
      <w:r w:rsidRPr="007B093D">
        <w:rPr>
          <w:b w:val="0"/>
          <w:bCs/>
          <w:iCs/>
          <w:kern w:val="0"/>
          <w:sz w:val="22"/>
          <w:szCs w:val="22"/>
          <w:u w:val="single"/>
          <w:lang w:val="sk-SK" w:eastAsia="fr-FR"/>
        </w:rPr>
        <w:t>Stenóza aortálnej a mitrálnej chlopne/hypertrofická kardiomyopatia:</w:t>
      </w:r>
    </w:p>
    <w:p w:rsidR="0042435C" w:rsidRPr="007B093D" w:rsidRDefault="0042435C" w:rsidP="0042435C">
      <w:pPr>
        <w:spacing w:line="240" w:lineRule="auto"/>
        <w:rPr>
          <w:szCs w:val="22"/>
          <w:lang w:val="sk-SK"/>
        </w:rPr>
      </w:pPr>
      <w:r w:rsidRPr="007B093D">
        <w:rPr>
          <w:szCs w:val="22"/>
          <w:lang w:val="sk-SK"/>
        </w:rPr>
        <w:t>Rovnako ako aj iné inhibítory ACE, P</w:t>
      </w:r>
      <w:r w:rsidR="007C6187">
        <w:rPr>
          <w:bCs/>
          <w:iCs/>
          <w:szCs w:val="22"/>
          <w:lang w:val="sk-SK"/>
        </w:rPr>
        <w:t>RESTARIUM</w:t>
      </w:r>
      <w:r w:rsidRPr="007B093D">
        <w:rPr>
          <w:szCs w:val="22"/>
          <w:lang w:val="sk-SK"/>
        </w:rPr>
        <w:t> A 5 mg sa má podávať opatrne pacientom so stenózou mitrálnej chlopne a obštrukciou prietoku ľavej komory, ako je aortálna stenóza alebo hypertrofická kardiomyopatia.</w:t>
      </w:r>
    </w:p>
    <w:p w:rsidR="0042435C" w:rsidRPr="007B093D" w:rsidRDefault="0042435C" w:rsidP="0042435C">
      <w:pPr>
        <w:spacing w:line="240" w:lineRule="auto"/>
        <w:rPr>
          <w:szCs w:val="22"/>
          <w:lang w:val="sk-SK"/>
        </w:rPr>
      </w:pPr>
    </w:p>
    <w:p w:rsidR="0042435C" w:rsidRPr="007B093D" w:rsidRDefault="00D6647E" w:rsidP="0042435C">
      <w:pPr>
        <w:pStyle w:val="Nadpis3"/>
        <w:spacing w:before="0" w:after="0" w:line="240" w:lineRule="auto"/>
        <w:rPr>
          <w:b w:val="0"/>
          <w:bCs/>
          <w:iCs/>
          <w:kern w:val="0"/>
          <w:sz w:val="22"/>
          <w:szCs w:val="22"/>
          <w:u w:val="single"/>
          <w:lang w:val="sk-SK" w:eastAsia="fr-FR"/>
        </w:rPr>
      </w:pPr>
      <w:r>
        <w:rPr>
          <w:b w:val="0"/>
          <w:bCs/>
          <w:sz w:val="22"/>
          <w:szCs w:val="22"/>
          <w:u w:val="single"/>
          <w:lang w:val="sk-SK"/>
        </w:rPr>
        <w:t>Porucha</w:t>
      </w:r>
      <w:r w:rsidRPr="007B093D">
        <w:rPr>
          <w:b w:val="0"/>
          <w:bCs/>
          <w:sz w:val="22"/>
          <w:szCs w:val="22"/>
          <w:u w:val="single"/>
          <w:lang w:val="sk-SK"/>
        </w:rPr>
        <w:t xml:space="preserve"> </w:t>
      </w:r>
      <w:r w:rsidR="0042435C" w:rsidRPr="007B093D">
        <w:rPr>
          <w:b w:val="0"/>
          <w:bCs/>
          <w:sz w:val="22"/>
          <w:szCs w:val="22"/>
          <w:u w:val="single"/>
          <w:lang w:val="sk-SK"/>
        </w:rPr>
        <w:t>funkci</w:t>
      </w:r>
      <w:r w:rsidR="0023553B">
        <w:rPr>
          <w:b w:val="0"/>
          <w:bCs/>
          <w:sz w:val="22"/>
          <w:szCs w:val="22"/>
          <w:u w:val="single"/>
          <w:lang w:val="sk-SK"/>
        </w:rPr>
        <w:t>e obličiek</w:t>
      </w:r>
      <w:r w:rsidR="0042435C" w:rsidRPr="007B093D">
        <w:rPr>
          <w:b w:val="0"/>
          <w:bCs/>
          <w:iCs/>
          <w:kern w:val="0"/>
          <w:sz w:val="22"/>
          <w:szCs w:val="22"/>
          <w:u w:val="single"/>
          <w:lang w:val="sk-SK" w:eastAsia="fr-FR"/>
        </w:rPr>
        <w:t>:</w:t>
      </w:r>
    </w:p>
    <w:p w:rsidR="0042435C" w:rsidRPr="007B093D" w:rsidRDefault="0042435C" w:rsidP="0042435C">
      <w:pPr>
        <w:spacing w:line="240" w:lineRule="auto"/>
        <w:rPr>
          <w:szCs w:val="22"/>
          <w:lang w:val="sk-SK"/>
        </w:rPr>
      </w:pPr>
      <w:r w:rsidRPr="007B093D">
        <w:rPr>
          <w:szCs w:val="22"/>
          <w:lang w:val="sk-SK"/>
        </w:rPr>
        <w:t xml:space="preserve">V prípade </w:t>
      </w:r>
      <w:r w:rsidR="00D6647E">
        <w:rPr>
          <w:szCs w:val="22"/>
          <w:lang w:val="sk-SK"/>
        </w:rPr>
        <w:t>poruchy</w:t>
      </w:r>
      <w:r w:rsidR="00D6647E" w:rsidRPr="007B093D">
        <w:rPr>
          <w:szCs w:val="22"/>
          <w:lang w:val="sk-SK"/>
        </w:rPr>
        <w:t xml:space="preserve"> </w:t>
      </w:r>
      <w:r w:rsidRPr="007B093D">
        <w:rPr>
          <w:szCs w:val="22"/>
          <w:lang w:val="sk-SK"/>
        </w:rPr>
        <w:t>funkci</w:t>
      </w:r>
      <w:r w:rsidR="006B12E1">
        <w:rPr>
          <w:szCs w:val="22"/>
          <w:lang w:val="sk-SK"/>
        </w:rPr>
        <w:t>e obličiek</w:t>
      </w:r>
      <w:r w:rsidRPr="007B093D">
        <w:rPr>
          <w:szCs w:val="22"/>
          <w:lang w:val="sk-SK"/>
        </w:rPr>
        <w:t xml:space="preserve"> (klírens kreatinínu &lt; 60 ml/min) sa má úvodné dávkovanie perindoprilu upraviť podľa pacientovho klírensu kreatinínu (pozri časť 4.2) a následne podľa pacientovej odpovede na liečbu. U týchto pacientov je rutinné monitorovanie kaliémie a hladín kreatinínu súčasťou bežnej lekárskej praxe (pozri časť 4.8).</w:t>
      </w:r>
    </w:p>
    <w:p w:rsidR="0042435C" w:rsidRPr="007B093D" w:rsidRDefault="0042435C" w:rsidP="0042435C">
      <w:pPr>
        <w:spacing w:line="240" w:lineRule="auto"/>
        <w:rPr>
          <w:szCs w:val="22"/>
          <w:lang w:val="sk-SK"/>
        </w:rPr>
      </w:pPr>
      <w:r w:rsidRPr="007B093D">
        <w:rPr>
          <w:szCs w:val="22"/>
          <w:lang w:val="sk-SK"/>
        </w:rPr>
        <w:t xml:space="preserve">U pacientov so symptomatickým srdcovým zlyhaním môže viesť hypotenzia navodená po začatí liečby ACE inhibítormi k ďalšiemu </w:t>
      </w:r>
      <w:r w:rsidR="002831D0" w:rsidRPr="007B093D">
        <w:rPr>
          <w:szCs w:val="22"/>
          <w:lang w:val="sk-SK"/>
        </w:rPr>
        <w:t>po</w:t>
      </w:r>
      <w:r w:rsidR="002831D0">
        <w:rPr>
          <w:szCs w:val="22"/>
          <w:lang w:val="sk-SK"/>
        </w:rPr>
        <w:t>rušeniu</w:t>
      </w:r>
      <w:r w:rsidR="002831D0" w:rsidRPr="007B093D">
        <w:rPr>
          <w:szCs w:val="22"/>
          <w:lang w:val="sk-SK"/>
        </w:rPr>
        <w:t xml:space="preserve"> </w:t>
      </w:r>
      <w:r w:rsidRPr="007B093D">
        <w:rPr>
          <w:szCs w:val="22"/>
          <w:lang w:val="sk-SK"/>
        </w:rPr>
        <w:t>funkci</w:t>
      </w:r>
      <w:r w:rsidR="00000012">
        <w:rPr>
          <w:szCs w:val="22"/>
          <w:lang w:val="sk-SK"/>
        </w:rPr>
        <w:t>e</w:t>
      </w:r>
      <w:r w:rsidR="006B12E1">
        <w:rPr>
          <w:szCs w:val="22"/>
          <w:lang w:val="sk-SK"/>
        </w:rPr>
        <w:t xml:space="preserve"> obličiek</w:t>
      </w:r>
      <w:r w:rsidRPr="007B093D">
        <w:rPr>
          <w:szCs w:val="22"/>
          <w:lang w:val="sk-SK"/>
        </w:rPr>
        <w:t>. V takejto situácii bolo zaznamenané akútne, zvyčajne reverzibilné renálne zlyhanie.</w:t>
      </w:r>
    </w:p>
    <w:p w:rsidR="0042435C" w:rsidRPr="007B093D" w:rsidRDefault="0042435C" w:rsidP="0042435C">
      <w:pPr>
        <w:spacing w:line="240" w:lineRule="auto"/>
        <w:rPr>
          <w:szCs w:val="22"/>
          <w:lang w:val="sk-SK"/>
        </w:rPr>
      </w:pPr>
      <w:r w:rsidRPr="007B093D">
        <w:rPr>
          <w:szCs w:val="22"/>
          <w:lang w:val="sk-SK"/>
        </w:rPr>
        <w:t>U niektorých pacientov s bilaterálnou stenózou renálnej artérie alebo stenózou renálnej artérie solitérnej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0072709E">
        <w:rPr>
          <w:bCs/>
          <w:iCs/>
          <w:szCs w:val="22"/>
          <w:lang w:val="sk-SK"/>
        </w:rPr>
        <w:t>RESTARIOM</w:t>
      </w:r>
      <w:r w:rsidRPr="007B093D">
        <w:rPr>
          <w:szCs w:val="22"/>
          <w:lang w:val="sk-SK"/>
        </w:rPr>
        <w:t> A 5 mg majú byť monitorované funkcie</w:t>
      </w:r>
      <w:r w:rsidR="006B12E1">
        <w:rPr>
          <w:szCs w:val="22"/>
          <w:lang w:val="sk-SK"/>
        </w:rPr>
        <w:t xml:space="preserve"> obličiek</w:t>
      </w:r>
      <w:r w:rsidRPr="007B093D">
        <w:rPr>
          <w:szCs w:val="22"/>
          <w:lang w:val="sk-SK"/>
        </w:rPr>
        <w:t>.</w:t>
      </w:r>
    </w:p>
    <w:p w:rsidR="0042435C" w:rsidRPr="007B093D" w:rsidRDefault="0042435C" w:rsidP="0042435C">
      <w:pPr>
        <w:spacing w:line="240" w:lineRule="auto"/>
        <w:rPr>
          <w:szCs w:val="22"/>
          <w:lang w:val="sk-SK"/>
        </w:rPr>
      </w:pPr>
      <w:r w:rsidRPr="007B093D">
        <w:rPr>
          <w:szCs w:val="22"/>
          <w:lang w:val="sk-SK"/>
        </w:rPr>
        <w:t>U niektorých hypertonikov bez zjavného preexistujúceho renovaskulárneho ochorenia došlo k zvýšeniu hladín urey v krvi a sérového kreatinínu, ktoré bolo zvyčajne mierne a prechodné, a to najmä, ak bolo P</w:t>
      </w:r>
      <w:r w:rsidR="007C6187">
        <w:rPr>
          <w:bCs/>
          <w:iCs/>
          <w:szCs w:val="22"/>
          <w:lang w:val="sk-SK"/>
        </w:rPr>
        <w:t>RESTARIUM</w:t>
      </w:r>
      <w:r w:rsidRPr="007B093D">
        <w:rPr>
          <w:szCs w:val="22"/>
          <w:lang w:val="sk-SK"/>
        </w:rPr>
        <w:t> A 5 mg podávané súbežne s diuretikom. K tomu môže dôjsť s väčšou pravdepodobnosťou u pacientov s preexistujúc</w:t>
      </w:r>
      <w:r w:rsidR="00B32997">
        <w:rPr>
          <w:szCs w:val="22"/>
          <w:lang w:val="sk-SK"/>
        </w:rPr>
        <w:t>ou</w:t>
      </w:r>
      <w:r w:rsidRPr="007B093D">
        <w:rPr>
          <w:szCs w:val="22"/>
          <w:lang w:val="sk-SK"/>
        </w:rPr>
        <w:t xml:space="preserve"> </w:t>
      </w:r>
      <w:r w:rsidR="00B32997" w:rsidRPr="007B093D">
        <w:rPr>
          <w:szCs w:val="22"/>
          <w:lang w:val="sk-SK"/>
        </w:rPr>
        <w:t>po</w:t>
      </w:r>
      <w:r w:rsidR="00B32997">
        <w:rPr>
          <w:szCs w:val="22"/>
          <w:lang w:val="sk-SK"/>
        </w:rPr>
        <w:t>ruchou</w:t>
      </w:r>
      <w:r w:rsidR="00B32997" w:rsidRPr="007B093D">
        <w:rPr>
          <w:szCs w:val="22"/>
          <w:lang w:val="sk-SK"/>
        </w:rPr>
        <w:t xml:space="preserve"> </w:t>
      </w:r>
      <w:r w:rsidRPr="007B093D">
        <w:rPr>
          <w:szCs w:val="22"/>
          <w:lang w:val="sk-SK"/>
        </w:rPr>
        <w:t>funkcie obličiek. Môže byť potrebné znížiť dávku a/alebo vysadiť diuretikum a/alebo P</w:t>
      </w:r>
      <w:r w:rsidR="007C6187">
        <w:rPr>
          <w:szCs w:val="22"/>
          <w:lang w:val="sk-SK"/>
        </w:rPr>
        <w:t>RESTARIUM</w:t>
      </w:r>
      <w:r w:rsidRPr="007B093D">
        <w:rPr>
          <w:szCs w:val="22"/>
          <w:lang w:val="sk-SK"/>
        </w:rPr>
        <w:t> A 5 mg.</w:t>
      </w:r>
    </w:p>
    <w:p w:rsidR="0042435C" w:rsidRPr="007B093D" w:rsidRDefault="0042435C" w:rsidP="0042435C">
      <w:pPr>
        <w:spacing w:line="240" w:lineRule="auto"/>
        <w:rPr>
          <w:szCs w:val="22"/>
          <w:lang w:val="sk-SK"/>
        </w:rPr>
      </w:pPr>
    </w:p>
    <w:p w:rsidR="0042435C" w:rsidRPr="007B093D" w:rsidRDefault="0042435C" w:rsidP="0042435C">
      <w:pPr>
        <w:pStyle w:val="Nadpis3"/>
        <w:spacing w:before="0" w:after="0" w:line="240" w:lineRule="auto"/>
        <w:rPr>
          <w:b w:val="0"/>
          <w:bCs/>
          <w:iCs/>
          <w:kern w:val="0"/>
          <w:sz w:val="22"/>
          <w:szCs w:val="22"/>
          <w:u w:val="single"/>
          <w:lang w:val="sk-SK" w:eastAsia="fr-FR"/>
        </w:rPr>
      </w:pPr>
      <w:r w:rsidRPr="007B093D">
        <w:rPr>
          <w:b w:val="0"/>
          <w:bCs/>
          <w:sz w:val="22"/>
          <w:szCs w:val="22"/>
          <w:u w:val="single"/>
          <w:lang w:val="sk-SK"/>
        </w:rPr>
        <w:t>Hemodialyzovaní pacienti</w:t>
      </w:r>
      <w:r w:rsidRPr="007B093D">
        <w:rPr>
          <w:b w:val="0"/>
          <w:bCs/>
          <w:iCs/>
          <w:kern w:val="0"/>
          <w:sz w:val="22"/>
          <w:szCs w:val="22"/>
          <w:u w:val="single"/>
          <w:lang w:val="sk-SK" w:eastAsia="fr-FR"/>
        </w:rPr>
        <w:t>:</w:t>
      </w:r>
    </w:p>
    <w:p w:rsidR="0042435C" w:rsidRPr="007B093D" w:rsidRDefault="0042435C" w:rsidP="0042435C">
      <w:pPr>
        <w:spacing w:line="240" w:lineRule="auto"/>
        <w:rPr>
          <w:szCs w:val="22"/>
          <w:lang w:val="sk-SK"/>
        </w:rPr>
      </w:pPr>
      <w:r w:rsidRPr="007B093D">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kern w:val="28"/>
          <w:szCs w:val="22"/>
          <w:u w:val="single"/>
          <w:lang w:val="sk-SK"/>
        </w:rPr>
      </w:pPr>
      <w:r w:rsidRPr="007B093D">
        <w:rPr>
          <w:bCs/>
          <w:kern w:val="28"/>
          <w:szCs w:val="22"/>
          <w:u w:val="single"/>
          <w:lang w:val="sk-SK"/>
        </w:rPr>
        <w:t>Transplantácia obličky:</w:t>
      </w:r>
    </w:p>
    <w:p w:rsidR="0042435C" w:rsidRPr="007B093D" w:rsidRDefault="0042435C" w:rsidP="0042435C">
      <w:pPr>
        <w:spacing w:line="240" w:lineRule="auto"/>
        <w:rPr>
          <w:bCs/>
          <w:iCs/>
          <w:szCs w:val="22"/>
          <w:lang w:val="sk-SK"/>
        </w:rPr>
      </w:pPr>
      <w:r w:rsidRPr="007B093D">
        <w:rPr>
          <w:szCs w:val="22"/>
          <w:lang w:val="sk-SK"/>
        </w:rPr>
        <w:t>S podávaním P</w:t>
      </w:r>
      <w:r w:rsidR="0072709E">
        <w:rPr>
          <w:bCs/>
          <w:iCs/>
          <w:szCs w:val="22"/>
          <w:lang w:val="sk-SK"/>
        </w:rPr>
        <w:t>RESTARIA</w:t>
      </w:r>
      <w:r w:rsidRPr="007B093D">
        <w:rPr>
          <w:szCs w:val="22"/>
          <w:lang w:val="sk-SK"/>
        </w:rPr>
        <w:t> A 5 mg pacientom po nedávnej transplantácii obličky nie sú skúsenosti</w:t>
      </w:r>
      <w:r w:rsidRPr="007B093D">
        <w:rPr>
          <w:bCs/>
          <w:iCs/>
          <w:szCs w:val="22"/>
          <w:lang w:val="sk-SK"/>
        </w:rPr>
        <w:t>.</w:t>
      </w:r>
    </w:p>
    <w:p w:rsidR="0042435C" w:rsidRDefault="0042435C" w:rsidP="0042435C">
      <w:pPr>
        <w:spacing w:line="240" w:lineRule="auto"/>
        <w:rPr>
          <w:bCs/>
          <w:iCs/>
          <w:szCs w:val="22"/>
          <w:lang w:val="sk-SK"/>
        </w:rPr>
      </w:pPr>
    </w:p>
    <w:p w:rsidR="007458FE" w:rsidRPr="00441553" w:rsidRDefault="007458FE" w:rsidP="007458FE">
      <w:pPr>
        <w:rPr>
          <w:bCs/>
          <w:iCs/>
          <w:szCs w:val="22"/>
          <w:u w:val="single"/>
          <w:lang w:val="sk-SK"/>
        </w:rPr>
      </w:pPr>
      <w:r w:rsidRPr="00441553">
        <w:rPr>
          <w:bCs/>
          <w:iCs/>
          <w:szCs w:val="22"/>
          <w:u w:val="single"/>
          <w:lang w:val="sk-SK"/>
        </w:rPr>
        <w:t>Renovaskulárna hypertenzia</w:t>
      </w:r>
    </w:p>
    <w:p w:rsidR="007458FE" w:rsidRDefault="007458FE" w:rsidP="007458FE">
      <w:pPr>
        <w:spacing w:line="240" w:lineRule="auto"/>
        <w:rPr>
          <w:bCs/>
          <w:iCs/>
          <w:szCs w:val="22"/>
          <w:lang w:val="sk-SK"/>
        </w:rPr>
      </w:pPr>
      <w:r w:rsidRPr="00CA21BF">
        <w:rPr>
          <w:bCs/>
          <w:iCs/>
          <w:szCs w:val="22"/>
          <w:lang w:val="sk-SK"/>
        </w:rPr>
        <w:t>Existuje zvýšené riziko hypotenzie alebo renálnej insuficiencie u pacientov s bilaterálnou stenózou renálnej artérie alebo stenózou artérie jednej funkčnej obličky, liečených ACE inhibítormi (pozri časť 4.3). Liečba diuretikami môže byť podporný faktor. Strata renálnej funkcie sa môže objaviť len s minimálnymi zmenami sérového kreatinínu dokonca u pacientov s unilaterálnou stenózou renálnej artérie.</w:t>
      </w:r>
    </w:p>
    <w:p w:rsidR="007458FE" w:rsidRPr="007B093D" w:rsidRDefault="007458FE" w:rsidP="007458FE">
      <w:pPr>
        <w:spacing w:line="240" w:lineRule="auto"/>
        <w:rPr>
          <w:bCs/>
          <w:iCs/>
          <w:szCs w:val="22"/>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Precitlivenosť/angioedém:</w:t>
      </w:r>
    </w:p>
    <w:p w:rsidR="0042435C" w:rsidRPr="007B093D" w:rsidRDefault="0042435C" w:rsidP="0042435C">
      <w:pPr>
        <w:spacing w:line="240" w:lineRule="auto"/>
        <w:rPr>
          <w:szCs w:val="22"/>
          <w:lang w:val="sk-SK"/>
        </w:rPr>
      </w:pPr>
      <w:r w:rsidRPr="007B093D">
        <w:rPr>
          <w:szCs w:val="22"/>
          <w:lang w:val="sk-SK"/>
        </w:rPr>
        <w:t>U pacientov liečených inhibítormi ACE, vrátane P</w:t>
      </w:r>
      <w:r w:rsidR="0072709E">
        <w:rPr>
          <w:bCs/>
          <w:iCs/>
          <w:szCs w:val="22"/>
          <w:lang w:val="sk-SK"/>
        </w:rPr>
        <w:t>RESTARIA</w:t>
      </w:r>
      <w:r w:rsidRPr="007B093D">
        <w:rPr>
          <w:szCs w:val="22"/>
          <w:lang w:val="sk-SK"/>
        </w:rPr>
        <w:t> A 5 mg, boli zriedkavo pozorované prípady angioedému tváre, končatín, pier, slizníc, jazyka, hlasiviek a/alebo hrtana (pozri časť 4.8). Tieto prípady sa môžu vyskytnúť kedykoľvek počas liečby</w:t>
      </w:r>
      <w:r w:rsidRPr="007B093D">
        <w:rPr>
          <w:bCs/>
          <w:iCs/>
          <w:szCs w:val="22"/>
          <w:lang w:val="sk-SK"/>
        </w:rPr>
        <w:t xml:space="preserve">. </w:t>
      </w:r>
      <w:r w:rsidRPr="007B093D">
        <w:rPr>
          <w:szCs w:val="22"/>
          <w:lang w:val="sk-SK"/>
        </w:rPr>
        <w:t>V takýchto prípadoch má byť P</w:t>
      </w:r>
      <w:r w:rsidR="007C6187">
        <w:rPr>
          <w:bCs/>
          <w:iCs/>
          <w:szCs w:val="22"/>
          <w:lang w:val="sk-SK"/>
        </w:rPr>
        <w:t>RESTARIUM</w:t>
      </w:r>
      <w:r w:rsidRPr="007B093D">
        <w:rPr>
          <w:szCs w:val="22"/>
          <w:lang w:val="sk-SK"/>
        </w:rPr>
        <w:t> A 5 mg okamžite vysadené a až do úplného vymiznutia symptómov má prebiehať primerané monitorovanie. V prípadoch, kde sa opuch obmedzil na oblasť tváre a pier, sa stav zvyčajne upravil bez liečby, hoci antihistaminiká boli pri zmierňovaní symptómov užitočné.</w:t>
      </w:r>
    </w:p>
    <w:p w:rsidR="0042435C" w:rsidRPr="007B093D" w:rsidRDefault="0042435C" w:rsidP="0042435C">
      <w:pPr>
        <w:spacing w:line="240" w:lineRule="auto"/>
        <w:rPr>
          <w:szCs w:val="22"/>
          <w:lang w:val="sk-SK"/>
        </w:rPr>
      </w:pPr>
      <w:r w:rsidRPr="007B093D">
        <w:rPr>
          <w:szCs w:val="22"/>
          <w:lang w:val="sk-SK"/>
        </w:rPr>
        <w:lastRenderedPageBreak/>
        <w:t>Angioedém spojený s edémom hrtana môže byť fatálny. V prípadoch, kedy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rsidR="0042435C" w:rsidRPr="007B093D" w:rsidRDefault="0042435C" w:rsidP="0042435C">
      <w:pPr>
        <w:spacing w:line="240" w:lineRule="auto"/>
        <w:rPr>
          <w:szCs w:val="22"/>
          <w:lang w:val="sk-SK"/>
        </w:rPr>
      </w:pPr>
      <w:r w:rsidRPr="007B093D">
        <w:rPr>
          <w:szCs w:val="22"/>
          <w:lang w:val="sk-SK"/>
        </w:rPr>
        <w:t>U pacientov s anamnézou angioedému nesúvisiaceho s liečbou inhibítormi ACE môže byť riziko angioedému počas užívania inhibítorov ACE zvýšené (pozri časť 4.3).</w:t>
      </w:r>
    </w:p>
    <w:p w:rsidR="007019FE" w:rsidRDefault="0042435C" w:rsidP="007019FE">
      <w:pPr>
        <w:spacing w:line="240" w:lineRule="auto"/>
        <w:rPr>
          <w:bCs/>
          <w:szCs w:val="22"/>
          <w:lang w:val="sk-SK"/>
        </w:rPr>
      </w:pPr>
      <w:r w:rsidRPr="007B093D">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w:t>
      </w:r>
      <w:r w:rsidR="00542CAF">
        <w:rPr>
          <w:bCs/>
          <w:szCs w:val="22"/>
          <w:lang w:val="sk-SK"/>
        </w:rPr>
        <w:t xml:space="preserve"> ACE</w:t>
      </w:r>
      <w:r w:rsidRPr="007B093D">
        <w:rPr>
          <w:bCs/>
          <w:szCs w:val="22"/>
          <w:lang w:val="sk-SK"/>
        </w:rPr>
        <w:t xml:space="preserve"> s bolesťou brucha.</w:t>
      </w:r>
      <w:r w:rsidR="007019FE" w:rsidRPr="007019FE">
        <w:rPr>
          <w:bCs/>
          <w:szCs w:val="22"/>
          <w:lang w:val="sk-SK"/>
        </w:rPr>
        <w:t xml:space="preserve"> </w:t>
      </w:r>
    </w:p>
    <w:p w:rsidR="007458FE" w:rsidRDefault="007458FE" w:rsidP="007019FE">
      <w:pPr>
        <w:spacing w:line="240" w:lineRule="auto"/>
        <w:rPr>
          <w:bCs/>
          <w:szCs w:val="22"/>
          <w:lang w:val="sk-SK"/>
        </w:rPr>
      </w:pPr>
    </w:p>
    <w:p w:rsidR="007458FE" w:rsidRDefault="007458FE" w:rsidP="007019FE">
      <w:pPr>
        <w:spacing w:line="240" w:lineRule="auto"/>
        <w:rPr>
          <w:bCs/>
          <w:szCs w:val="22"/>
          <w:lang w:val="sk-SK"/>
        </w:rPr>
      </w:pPr>
      <w:r>
        <w:rPr>
          <w:bCs/>
          <w:lang w:val="sk-SK"/>
        </w:rPr>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7458FE" w:rsidRDefault="007458FE" w:rsidP="007019FE">
      <w:pPr>
        <w:spacing w:line="240" w:lineRule="auto"/>
        <w:rPr>
          <w:bCs/>
          <w:szCs w:val="22"/>
          <w:lang w:val="sk-SK"/>
        </w:rPr>
      </w:pPr>
    </w:p>
    <w:p w:rsidR="007019FE" w:rsidRPr="007019FE" w:rsidRDefault="007019FE" w:rsidP="007019FE">
      <w:pPr>
        <w:spacing w:line="240" w:lineRule="auto"/>
        <w:rPr>
          <w:bCs/>
          <w:szCs w:val="22"/>
          <w:lang w:val="sk-SK"/>
        </w:rPr>
      </w:pPr>
      <w:r w:rsidRPr="007019FE">
        <w:rPr>
          <w:bCs/>
          <w:szCs w:val="22"/>
          <w:lang w:val="sk-SK"/>
        </w:rPr>
        <w:t>Súbežné použitie inhibítorov mTOR (napr. sirolimus, everolimus, temsirolimus):</w:t>
      </w:r>
    </w:p>
    <w:p w:rsidR="0042435C" w:rsidRPr="007B093D" w:rsidRDefault="007019FE" w:rsidP="0042435C">
      <w:pPr>
        <w:spacing w:line="240" w:lineRule="auto"/>
        <w:rPr>
          <w:szCs w:val="22"/>
          <w:lang w:val="sk-SK"/>
        </w:rPr>
      </w:pPr>
      <w:r w:rsidRPr="007019FE">
        <w:rPr>
          <w:bCs/>
          <w:szCs w:val="22"/>
          <w:lang w:val="sk-SK"/>
        </w:rPr>
        <w:t>Pacienti súbežne užívajúci liečbu inhibítormi mTOR (napr. sirolimus, everolimus, temsirolimus) môžu mať zvýšené riziko angioedému (napr. opuch dýchacích ciest alebo jazyka, s</w:t>
      </w:r>
      <w:r w:rsidR="00891105">
        <w:rPr>
          <w:bCs/>
          <w:szCs w:val="22"/>
          <w:lang w:val="sk-SK"/>
        </w:rPr>
        <w:t> </w:t>
      </w:r>
      <w:r w:rsidR="00D6647E">
        <w:rPr>
          <w:bCs/>
          <w:szCs w:val="22"/>
          <w:lang w:val="sk-SK"/>
        </w:rPr>
        <w:t xml:space="preserve">poruchou dýchania </w:t>
      </w:r>
      <w:r w:rsidRPr="007019FE">
        <w:rPr>
          <w:bCs/>
          <w:szCs w:val="22"/>
          <w:lang w:val="sk-SK"/>
        </w:rPr>
        <w:t xml:space="preserve">alebo bez </w:t>
      </w:r>
      <w:r w:rsidR="00D6647E">
        <w:rPr>
          <w:bCs/>
          <w:szCs w:val="22"/>
          <w:lang w:val="sk-SK"/>
        </w:rPr>
        <w:t>nej</w:t>
      </w:r>
      <w:r w:rsidRPr="007019FE">
        <w:rPr>
          <w:bCs/>
          <w:szCs w:val="22"/>
          <w:lang w:val="sk-SK"/>
        </w:rPr>
        <w:t>)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Anafylaktoidné reakcie počas aferézy lipoproteínov s nízkou hustotou (LDL):</w:t>
      </w:r>
    </w:p>
    <w:p w:rsidR="0042435C" w:rsidRPr="007B093D" w:rsidRDefault="0042435C" w:rsidP="0042435C">
      <w:pPr>
        <w:spacing w:line="240" w:lineRule="auto"/>
        <w:rPr>
          <w:szCs w:val="22"/>
          <w:lang w:val="sk-SK"/>
        </w:rPr>
      </w:pPr>
      <w:r w:rsidRPr="007B093D">
        <w:rPr>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Anafylaktické reakcie počas desenzibilizácie:</w:t>
      </w:r>
    </w:p>
    <w:p w:rsidR="0042435C" w:rsidRPr="007B093D" w:rsidRDefault="0042435C" w:rsidP="0042435C">
      <w:pPr>
        <w:spacing w:line="240" w:lineRule="auto"/>
        <w:rPr>
          <w:szCs w:val="22"/>
          <w:lang w:val="sk-SK"/>
        </w:rPr>
      </w:pPr>
      <w:r w:rsidRPr="007B093D">
        <w:rPr>
          <w:szCs w:val="22"/>
          <w:lang w:val="sk-SK"/>
        </w:rPr>
        <w:t>U pacientov užívajúcich inhibítory ACE počas desenzibilizácie (napr. hymenoptera venom) boli zaznamenané anafylaktické reakcie.</w:t>
      </w:r>
      <w:r w:rsidRPr="007B093D">
        <w:rPr>
          <w:b/>
          <w:i/>
          <w:szCs w:val="22"/>
          <w:lang w:val="sk-SK"/>
        </w:rPr>
        <w:t xml:space="preserve"> </w:t>
      </w:r>
      <w:r w:rsidRPr="007B093D">
        <w:rPr>
          <w:szCs w:val="22"/>
          <w:lang w:val="sk-SK"/>
        </w:rPr>
        <w:t>U týchto pacientov sa spomínaným reakciám predišlo dočasným vysadením inhibítorov ACE, ale pri náhodnej opätovnej expozícii sa tieto reakcie objavili znova.</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Hepatálne zlyhanie:</w:t>
      </w:r>
    </w:p>
    <w:p w:rsidR="0042435C" w:rsidRPr="007B093D" w:rsidRDefault="0042435C" w:rsidP="0042435C">
      <w:pPr>
        <w:spacing w:line="240" w:lineRule="auto"/>
        <w:rPr>
          <w:szCs w:val="22"/>
          <w:lang w:val="sk-SK"/>
        </w:rPr>
      </w:pPr>
      <w:r w:rsidRPr="007B093D">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rsidR="0042435C" w:rsidRPr="007B093D" w:rsidRDefault="0042435C" w:rsidP="0042435C">
      <w:pPr>
        <w:keepNext/>
        <w:spacing w:line="240" w:lineRule="auto"/>
        <w:rPr>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Neutropénia/Agranulocytóza/Trombocytopénia/Anémia:</w:t>
      </w:r>
    </w:p>
    <w:p w:rsidR="0042435C" w:rsidRPr="007B093D" w:rsidRDefault="0042435C" w:rsidP="0042435C">
      <w:pPr>
        <w:spacing w:line="240" w:lineRule="auto"/>
        <w:rPr>
          <w:szCs w:val="22"/>
          <w:lang w:val="sk-SK"/>
        </w:rPr>
      </w:pPr>
      <w:r w:rsidRPr="007B093D">
        <w:rPr>
          <w:szCs w:val="22"/>
          <w:lang w:val="sk-SK"/>
        </w:rPr>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AD0609">
        <w:rPr>
          <w:szCs w:val="22"/>
          <w:lang w:val="sk-SK"/>
        </w:rPr>
        <w:t>u</w:t>
      </w:r>
      <w:r w:rsidRPr="007B093D">
        <w:rPr>
          <w:szCs w:val="22"/>
          <w:lang w:val="sk-SK"/>
        </w:rPr>
        <w:t xml:space="preserve"> </w:t>
      </w:r>
      <w:r w:rsidR="00AD0609" w:rsidRPr="007B093D">
        <w:rPr>
          <w:szCs w:val="22"/>
          <w:lang w:val="sk-SK"/>
        </w:rPr>
        <w:t>po</w:t>
      </w:r>
      <w:r w:rsidR="00AD0609">
        <w:rPr>
          <w:szCs w:val="22"/>
          <w:lang w:val="sk-SK"/>
        </w:rPr>
        <w:t>ruchu</w:t>
      </w:r>
      <w:r w:rsidR="00AD0609" w:rsidRPr="007B093D">
        <w:rPr>
          <w:szCs w:val="22"/>
          <w:lang w:val="sk-SK"/>
        </w:rPr>
        <w:t xml:space="preserve"> </w:t>
      </w:r>
      <w:r w:rsidRPr="007B093D">
        <w:rPr>
          <w:szCs w:val="22"/>
          <w:lang w:val="sk-SK"/>
        </w:rPr>
        <w:t>funkci</w:t>
      </w:r>
      <w:r w:rsidR="00000012">
        <w:rPr>
          <w:szCs w:val="22"/>
          <w:lang w:val="sk-SK"/>
        </w:rPr>
        <w:t>e</w:t>
      </w:r>
      <w:r w:rsidR="006B12E1">
        <w:rPr>
          <w:szCs w:val="22"/>
          <w:lang w:val="sk-SK"/>
        </w:rPr>
        <w:t xml:space="preserve"> obličiek</w:t>
      </w:r>
      <w:r w:rsidRPr="007B093D">
        <w:rPr>
          <w:szCs w:val="22"/>
          <w:lang w:val="sk-SK"/>
        </w:rPr>
        <w:t>.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Rasa:</w:t>
      </w:r>
    </w:p>
    <w:p w:rsidR="0042435C" w:rsidRPr="007B093D" w:rsidRDefault="0042435C" w:rsidP="0042435C">
      <w:pPr>
        <w:spacing w:line="240" w:lineRule="auto"/>
        <w:rPr>
          <w:bCs/>
          <w:iCs/>
          <w:szCs w:val="22"/>
          <w:lang w:val="sk-SK"/>
        </w:rPr>
      </w:pPr>
      <w:r w:rsidRPr="007B093D">
        <w:rPr>
          <w:szCs w:val="22"/>
          <w:lang w:val="sk-SK"/>
        </w:rPr>
        <w:t xml:space="preserve">Inhibítory </w:t>
      </w:r>
      <w:r w:rsidR="00542CAF">
        <w:rPr>
          <w:szCs w:val="22"/>
          <w:lang w:val="sk-SK"/>
        </w:rPr>
        <w:t xml:space="preserve">ACE </w:t>
      </w:r>
      <w:r w:rsidRPr="007B093D">
        <w:rPr>
          <w:szCs w:val="22"/>
          <w:lang w:val="sk-SK"/>
        </w:rPr>
        <w:t>spôsobujú vyššie percento angioedému u pacientov čiernej rasy než u pacientov iných rás.</w:t>
      </w:r>
      <w:r w:rsidRPr="007B093D">
        <w:rPr>
          <w:bCs/>
          <w:iCs/>
          <w:szCs w:val="22"/>
          <w:lang w:val="sk-SK"/>
        </w:rPr>
        <w:t xml:space="preserve"> </w:t>
      </w:r>
    </w:p>
    <w:p w:rsidR="0042435C" w:rsidRPr="007B093D" w:rsidRDefault="0042435C" w:rsidP="0042435C">
      <w:pPr>
        <w:pStyle w:val="EMEAEnBodyText"/>
        <w:tabs>
          <w:tab w:val="left" w:pos="567"/>
        </w:tabs>
        <w:spacing w:before="0" w:after="0"/>
        <w:jc w:val="left"/>
        <w:rPr>
          <w:szCs w:val="22"/>
          <w:lang w:val="sk-SK"/>
        </w:rPr>
      </w:pPr>
      <w:r w:rsidRPr="007B093D">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Kašeľ:</w:t>
      </w:r>
    </w:p>
    <w:p w:rsidR="0042435C" w:rsidRPr="007B093D" w:rsidRDefault="0042435C" w:rsidP="0042435C">
      <w:pPr>
        <w:spacing w:line="240" w:lineRule="auto"/>
        <w:rPr>
          <w:szCs w:val="22"/>
          <w:lang w:val="sk-SK"/>
        </w:rPr>
      </w:pPr>
      <w:r w:rsidRPr="007B093D">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Operácia/anestézia:</w:t>
      </w:r>
    </w:p>
    <w:p w:rsidR="0042435C" w:rsidRPr="007B093D" w:rsidRDefault="0042435C" w:rsidP="0042435C">
      <w:pPr>
        <w:spacing w:line="240" w:lineRule="auto"/>
        <w:rPr>
          <w:szCs w:val="22"/>
          <w:lang w:val="sk-SK"/>
        </w:rPr>
      </w:pPr>
      <w:r w:rsidRPr="007B093D">
        <w:rPr>
          <w:szCs w:val="22"/>
          <w:lang w:val="sk-SK"/>
        </w:rPr>
        <w:t>U pacientov, ktorí sa podrobujú závažnému chirurgickému výkonu alebo počas anestézie látkami vyvolávajúcimi hypotenziu, môže P</w:t>
      </w:r>
      <w:r w:rsidR="007C6187">
        <w:rPr>
          <w:bCs/>
          <w:iCs/>
          <w:szCs w:val="22"/>
          <w:lang w:val="sk-SK"/>
        </w:rPr>
        <w:t>RESTARIUM</w:t>
      </w:r>
      <w:r w:rsidRPr="007B093D">
        <w:rPr>
          <w:szCs w:val="22"/>
          <w:lang w:val="sk-SK"/>
        </w:rPr>
        <w:t> A 5 mg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rsidR="0042435C" w:rsidRPr="007B093D" w:rsidRDefault="0042435C" w:rsidP="0042435C">
      <w:pPr>
        <w:pStyle w:val="Nadpis3"/>
        <w:spacing w:before="0" w:after="0" w:line="240" w:lineRule="auto"/>
        <w:rPr>
          <w:b w:val="0"/>
          <w:kern w:val="0"/>
          <w:sz w:val="22"/>
          <w:szCs w:val="22"/>
          <w:u w:val="single"/>
          <w:lang w:val="sk-SK" w:eastAsia="fr-FR"/>
        </w:rPr>
      </w:pPr>
      <w:bookmarkStart w:id="5" w:name="_Toc34031375"/>
      <w:bookmarkStart w:id="6" w:name="_Toc29797814"/>
    </w:p>
    <w:p w:rsidR="0042435C" w:rsidRPr="007B093D" w:rsidRDefault="0042435C" w:rsidP="0042435C">
      <w:pPr>
        <w:pStyle w:val="Nadpis3"/>
        <w:spacing w:before="0" w:after="0" w:line="240" w:lineRule="auto"/>
        <w:rPr>
          <w:b w:val="0"/>
          <w:kern w:val="0"/>
          <w:sz w:val="22"/>
          <w:szCs w:val="22"/>
          <w:u w:val="single"/>
          <w:lang w:val="sk-SK" w:eastAsia="fr-FR"/>
        </w:rPr>
      </w:pPr>
      <w:r w:rsidRPr="007B093D">
        <w:rPr>
          <w:b w:val="0"/>
          <w:kern w:val="0"/>
          <w:sz w:val="22"/>
          <w:szCs w:val="22"/>
          <w:u w:val="single"/>
          <w:lang w:val="sk-SK" w:eastAsia="fr-FR"/>
        </w:rPr>
        <w:t>Hyperkaliémia</w:t>
      </w:r>
      <w:bookmarkEnd w:id="5"/>
      <w:bookmarkEnd w:id="6"/>
      <w:r w:rsidRPr="007B093D">
        <w:rPr>
          <w:b w:val="0"/>
          <w:kern w:val="0"/>
          <w:sz w:val="22"/>
          <w:szCs w:val="22"/>
          <w:u w:val="single"/>
          <w:lang w:val="sk-SK" w:eastAsia="fr-FR"/>
        </w:rPr>
        <w:t>:</w:t>
      </w:r>
    </w:p>
    <w:p w:rsidR="0042435C" w:rsidRPr="007B093D" w:rsidRDefault="0042435C" w:rsidP="0042435C">
      <w:pPr>
        <w:spacing w:line="240" w:lineRule="auto"/>
        <w:rPr>
          <w:szCs w:val="22"/>
          <w:lang w:val="sk-SK"/>
        </w:rPr>
      </w:pPr>
      <w:r w:rsidRPr="007B093D">
        <w:rPr>
          <w:szCs w:val="22"/>
          <w:lang w:val="sk-SK"/>
        </w:rPr>
        <w:t>Zvýšenie hladín draslíka v sére bolo pozorované u niektorých pacientov liečených inhibítormi ACE, vrátane perindoprilu. Medzi rizikové faktory výskytu hy</w:t>
      </w:r>
      <w:r w:rsidRPr="007B093D">
        <w:rPr>
          <w:bCs/>
          <w:iCs/>
          <w:szCs w:val="22"/>
          <w:lang w:val="sk-SK"/>
        </w:rPr>
        <w:t>perkaliémie patria renálna insuficiencia, zhoršenie funkcie</w:t>
      </w:r>
      <w:r w:rsidR="006B12E1">
        <w:rPr>
          <w:bCs/>
          <w:iCs/>
          <w:szCs w:val="22"/>
          <w:lang w:val="sk-SK"/>
        </w:rPr>
        <w:t xml:space="preserve"> obličiek</w:t>
      </w:r>
      <w:r w:rsidRPr="007B093D">
        <w:rPr>
          <w:bCs/>
          <w:iCs/>
          <w:szCs w:val="22"/>
          <w:lang w:val="sk-SK"/>
        </w:rPr>
        <w:t xml:space="preserve">, vek (&gt; 70 rokov), diabetes mellitus, pridružené udalosti, obzvlášť dehydratácia, akútna srdcová dekompenzácia, metabolická acidóza a súbežné užívanie </w:t>
      </w:r>
      <w:r w:rsidRPr="007B093D">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7458FE">
        <w:rPr>
          <w:szCs w:val="22"/>
          <w:lang w:val="sk-SK"/>
        </w:rPr>
        <w:t>, kotrimoxazol, známy tiež ako trimetoprim/sulfametoxazol</w:t>
      </w:r>
      <w:r w:rsidRPr="007B093D">
        <w:rPr>
          <w:szCs w:val="22"/>
          <w:lang w:val="sk-SK"/>
        </w:rPr>
        <w:t>). Použitie doplnkov draslíka, draslík šetriacich diuretík alebo soľných náhrad s obsahom draslíka môže hlavne u pacientov s</w:t>
      </w:r>
      <w:r w:rsidR="00BC6250">
        <w:rPr>
          <w:szCs w:val="22"/>
          <w:lang w:val="sk-SK"/>
        </w:rPr>
        <w:t> poruchou funkcie obličiek</w:t>
      </w:r>
      <w:r w:rsidRPr="007B093D">
        <w:rPr>
          <w:szCs w:val="22"/>
          <w:lang w:val="sk-SK"/>
        </w:rPr>
        <w:t xml:space="preserve"> viesť k významnému nárastu draslíka v sére</w:t>
      </w:r>
      <w:r w:rsidRPr="007B093D">
        <w:rPr>
          <w:bCs/>
          <w:iCs/>
          <w:szCs w:val="22"/>
          <w:lang w:val="sk-SK"/>
        </w:rPr>
        <w:t xml:space="preserve">. Hyperkaliémia môže spôsobiť vážne, niekedy fatálne arytmie. </w:t>
      </w:r>
      <w:r w:rsidRPr="007B093D">
        <w:rPr>
          <w:szCs w:val="22"/>
          <w:lang w:val="sk-SK"/>
        </w:rPr>
        <w:t>Ak sa súbežné použitie vyššie uvedených látok považuje za potrebné, majú sa užívať s opatrnosťou a s častým sledovaním hladiny draslíka v sére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szCs w:val="22"/>
          <w:u w:val="single"/>
          <w:lang w:val="sk-SK" w:eastAsia="fr-FR"/>
        </w:rPr>
      </w:pPr>
      <w:r w:rsidRPr="007B093D">
        <w:rPr>
          <w:szCs w:val="22"/>
          <w:u w:val="single"/>
          <w:lang w:val="sk-SK" w:eastAsia="fr-FR"/>
        </w:rPr>
        <w:t>Diabetickí pacienti:</w:t>
      </w:r>
    </w:p>
    <w:p w:rsidR="0042435C" w:rsidRPr="007B093D" w:rsidRDefault="0042435C" w:rsidP="0042435C">
      <w:pPr>
        <w:spacing w:line="240" w:lineRule="auto"/>
        <w:rPr>
          <w:szCs w:val="22"/>
          <w:lang w:val="sk-SK"/>
        </w:rPr>
      </w:pPr>
      <w:r w:rsidRPr="007B093D">
        <w:rPr>
          <w:szCs w:val="22"/>
          <w:lang w:val="sk-SK"/>
        </w:rPr>
        <w:t>U pacientov s diabetom liečených perorálnymi antidiabetikami alebo inzulínom má byť počas prvého mesiaca liečby inhibítorom ACE starostlivo monitorovaná glykémia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Lítium:</w:t>
      </w:r>
    </w:p>
    <w:p w:rsidR="0042435C" w:rsidRPr="007B093D" w:rsidRDefault="0042435C" w:rsidP="0042435C">
      <w:pPr>
        <w:spacing w:line="240" w:lineRule="auto"/>
        <w:rPr>
          <w:szCs w:val="22"/>
          <w:lang w:val="sk-SK"/>
        </w:rPr>
      </w:pPr>
      <w:r w:rsidRPr="007B093D">
        <w:rPr>
          <w:szCs w:val="22"/>
          <w:lang w:val="sk-SK"/>
        </w:rPr>
        <w:t>Všeobecne sa kombinácia lítia a perindoprilu neodporúča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szCs w:val="22"/>
          <w:u w:val="single"/>
          <w:lang w:val="sk-SK"/>
        </w:rPr>
        <w:t>Draslík šetriace lieky, doplnky draslíka alebo soľné náhrady s obsahom draslíka:</w:t>
      </w:r>
    </w:p>
    <w:p w:rsidR="0042435C" w:rsidRPr="007B093D" w:rsidRDefault="0042435C" w:rsidP="0042435C">
      <w:pPr>
        <w:spacing w:line="240" w:lineRule="auto"/>
        <w:rPr>
          <w:szCs w:val="22"/>
          <w:lang w:val="sk-SK"/>
        </w:rPr>
      </w:pPr>
      <w:r w:rsidRPr="007B093D">
        <w:rPr>
          <w:szCs w:val="22"/>
          <w:lang w:val="sk-SK"/>
        </w:rPr>
        <w:t>Všeobecne sa kombinácia perindoprilu a draslík šetriacich liekov, doplnkov draslíka alebo soľných náhrad s obsahom draslíka neodporúča (pozri časť 4.5).</w:t>
      </w:r>
    </w:p>
    <w:p w:rsidR="0042435C" w:rsidRPr="007B093D" w:rsidRDefault="0042435C" w:rsidP="0042435C">
      <w:pPr>
        <w:spacing w:line="240" w:lineRule="auto"/>
        <w:rPr>
          <w:szCs w:val="22"/>
          <w:lang w:val="sk-SK"/>
        </w:rPr>
      </w:pPr>
    </w:p>
    <w:p w:rsidR="0042435C" w:rsidRPr="007B093D" w:rsidRDefault="0042435C" w:rsidP="0042435C">
      <w:pPr>
        <w:pStyle w:val="Texttelo"/>
        <w:rPr>
          <w:rFonts w:ascii="Times New Roman" w:hAnsi="Times New Roman"/>
          <w:color w:val="auto"/>
          <w:spacing w:val="0"/>
          <w:sz w:val="22"/>
          <w:szCs w:val="22"/>
          <w:u w:val="single"/>
          <w:lang w:val="sk-SK"/>
        </w:rPr>
      </w:pPr>
      <w:r w:rsidRPr="007B093D">
        <w:rPr>
          <w:rFonts w:ascii="Times New Roman" w:hAnsi="Times New Roman"/>
          <w:color w:val="auto"/>
          <w:spacing w:val="0"/>
          <w:sz w:val="22"/>
          <w:szCs w:val="22"/>
          <w:u w:val="single"/>
          <w:lang w:val="sk-SK"/>
        </w:rPr>
        <w:t>Duálna inhibícia systému renín-angiotenzín-aldosterón (RAAS)</w:t>
      </w:r>
    </w:p>
    <w:p w:rsidR="0042435C" w:rsidRPr="007B093D" w:rsidRDefault="0042435C" w:rsidP="0042435C">
      <w:pPr>
        <w:pStyle w:val="Texttelo"/>
        <w:rPr>
          <w:rFonts w:ascii="Times New Roman" w:hAnsi="Times New Roman"/>
          <w:color w:val="auto"/>
          <w:spacing w:val="0"/>
          <w:sz w:val="22"/>
          <w:szCs w:val="22"/>
          <w:lang w:val="sk-SK"/>
        </w:rPr>
      </w:pPr>
      <w:r w:rsidRPr="007B093D">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42435C" w:rsidRPr="007B093D" w:rsidRDefault="0042435C" w:rsidP="0042435C">
      <w:pPr>
        <w:pStyle w:val="Texttelo"/>
        <w:rPr>
          <w:rFonts w:ascii="Times New Roman" w:hAnsi="Times New Roman"/>
          <w:color w:val="auto"/>
          <w:spacing w:val="0"/>
          <w:sz w:val="22"/>
          <w:szCs w:val="22"/>
          <w:lang w:val="sk-SK"/>
        </w:rPr>
      </w:pPr>
      <w:r w:rsidRPr="007B093D">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rsidR="0042435C" w:rsidRPr="007B093D" w:rsidRDefault="0042435C" w:rsidP="0042435C">
      <w:pPr>
        <w:pStyle w:val="Texttelo"/>
        <w:rPr>
          <w:rFonts w:ascii="Times New Roman" w:hAnsi="Times New Roman"/>
          <w:color w:val="auto"/>
          <w:spacing w:val="0"/>
          <w:sz w:val="22"/>
          <w:szCs w:val="22"/>
          <w:lang w:val="sk-SK"/>
        </w:rPr>
      </w:pPr>
      <w:r w:rsidRPr="007B093D">
        <w:rPr>
          <w:rFonts w:ascii="Times New Roman" w:hAnsi="Times New Roman"/>
          <w:color w:val="auto"/>
          <w:spacing w:val="0"/>
          <w:sz w:val="22"/>
          <w:szCs w:val="22"/>
          <w:lang w:val="sk-SK"/>
        </w:rPr>
        <w:t>Inhibítory ACE a blokátory receptorov angiotenzínu II sa nemajú súbežne používať u pacientov s diabetickou nefropatiou.</w:t>
      </w:r>
    </w:p>
    <w:p w:rsidR="0042435C" w:rsidRDefault="0042435C" w:rsidP="0042435C">
      <w:pPr>
        <w:spacing w:line="240" w:lineRule="auto"/>
        <w:rPr>
          <w:szCs w:val="22"/>
          <w:lang w:val="sk-SK"/>
        </w:rPr>
      </w:pPr>
    </w:p>
    <w:p w:rsidR="007458FE" w:rsidRPr="00CA21BF" w:rsidRDefault="007458FE" w:rsidP="007458FE">
      <w:pPr>
        <w:spacing w:line="240" w:lineRule="auto"/>
        <w:rPr>
          <w:szCs w:val="22"/>
          <w:u w:val="single"/>
          <w:lang w:val="sk-SK" w:eastAsia="cs-CZ"/>
        </w:rPr>
      </w:pPr>
      <w:r w:rsidRPr="00CA21BF">
        <w:rPr>
          <w:szCs w:val="22"/>
          <w:u w:val="single"/>
          <w:lang w:val="sk-SK" w:eastAsia="cs-CZ"/>
        </w:rPr>
        <w:lastRenderedPageBreak/>
        <w:t>Primárny aldosteronizmus</w:t>
      </w:r>
    </w:p>
    <w:p w:rsidR="007458FE" w:rsidRDefault="007458FE" w:rsidP="007458FE">
      <w:pPr>
        <w:spacing w:line="240" w:lineRule="auto"/>
        <w:rPr>
          <w:szCs w:val="22"/>
          <w:lang w:val="sk-SK" w:eastAsia="cs-CZ"/>
        </w:rPr>
      </w:pPr>
      <w:r w:rsidRPr="00441553">
        <w:rPr>
          <w:szCs w:val="22"/>
          <w:lang w:val="sk-SK" w:eastAsia="cs-CZ"/>
        </w:rPr>
        <w:t>Pacienti s primárnym aldosteronizmom vo všeobecnosti nebudú odpovedať na antihypertenzívnu liečbu pôsobiacu prostredníctvom inhibície renín-angiotenzínového systému. Preto sa užívanie tohto lieku neodporúča.</w:t>
      </w:r>
    </w:p>
    <w:p w:rsidR="007458FE" w:rsidRPr="007B093D" w:rsidRDefault="007458FE" w:rsidP="007458FE">
      <w:pPr>
        <w:spacing w:line="240" w:lineRule="auto"/>
        <w:rPr>
          <w:szCs w:val="22"/>
          <w:lang w:val="sk-SK"/>
        </w:rPr>
      </w:pPr>
    </w:p>
    <w:p w:rsidR="0042435C" w:rsidRPr="007B093D" w:rsidRDefault="0042435C" w:rsidP="0042435C">
      <w:pPr>
        <w:spacing w:line="240" w:lineRule="auto"/>
        <w:rPr>
          <w:szCs w:val="22"/>
          <w:u w:val="single"/>
          <w:lang w:val="sk-SK"/>
        </w:rPr>
      </w:pPr>
      <w:r w:rsidRPr="007B093D">
        <w:rPr>
          <w:szCs w:val="22"/>
          <w:u w:val="single"/>
          <w:lang w:val="sk-SK"/>
        </w:rPr>
        <w:t>Gravidita:</w:t>
      </w:r>
    </w:p>
    <w:p w:rsidR="0042435C" w:rsidRPr="007B093D" w:rsidRDefault="0042435C" w:rsidP="0042435C">
      <w:pPr>
        <w:spacing w:line="240" w:lineRule="auto"/>
        <w:rPr>
          <w:szCs w:val="22"/>
          <w:lang w:val="sk-SK"/>
        </w:rPr>
      </w:pPr>
      <w:r w:rsidRPr="007B093D">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Pomocné látky:</w:t>
      </w:r>
    </w:p>
    <w:p w:rsidR="0042435C" w:rsidRPr="007B093D" w:rsidRDefault="0042435C" w:rsidP="0042435C">
      <w:pPr>
        <w:spacing w:line="240" w:lineRule="auto"/>
        <w:rPr>
          <w:szCs w:val="22"/>
          <w:lang w:val="sk-SK"/>
        </w:rPr>
      </w:pPr>
      <w:r w:rsidRPr="007B093D">
        <w:rPr>
          <w:bCs/>
          <w:iCs/>
          <w:szCs w:val="22"/>
          <w:lang w:val="sk-SK"/>
        </w:rPr>
        <w:t>V dôsledku prítomnosti laktózy nemajú tento liek užívať pacienti so zriedkavými dedičnými problémami galaktózovej intolerancie, glukózo-galaktózovej malabsorbcie alebo lapónskeho deficitu laktázy.</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4.5</w:t>
      </w:r>
      <w:r w:rsidRPr="007B093D">
        <w:rPr>
          <w:b/>
          <w:szCs w:val="22"/>
          <w:lang w:val="sk-SK"/>
        </w:rPr>
        <w:tab/>
        <w:t>Liekové a iné interakcie</w:t>
      </w:r>
    </w:p>
    <w:p w:rsidR="0042435C" w:rsidRPr="007B093D" w:rsidRDefault="0042435C" w:rsidP="0042435C">
      <w:pPr>
        <w:rPr>
          <w:b/>
          <w:i/>
          <w:szCs w:val="22"/>
          <w:u w:val="single"/>
          <w:lang w:val="sk-SK"/>
        </w:rPr>
      </w:pPr>
    </w:p>
    <w:p w:rsidR="0042435C" w:rsidRPr="007B093D" w:rsidRDefault="0042435C" w:rsidP="0042435C">
      <w:pPr>
        <w:rPr>
          <w:b/>
          <w:i/>
          <w:szCs w:val="22"/>
          <w:u w:val="single"/>
          <w:lang w:val="sk-SK"/>
        </w:rPr>
      </w:pPr>
      <w:r w:rsidRPr="007B093D">
        <w:rPr>
          <w:b/>
          <w:i/>
          <w:szCs w:val="22"/>
          <w:u w:val="single"/>
          <w:lang w:val="sk-SK"/>
        </w:rPr>
        <w:t xml:space="preserve">Duálna inhibícia systému renín-angiotenzín-aldosterón (RAAS) inhibítormi ACE, antagonistami angiotenzínového receptora alebo aliskirenom </w:t>
      </w:r>
    </w:p>
    <w:p w:rsidR="0042435C" w:rsidRPr="007B093D" w:rsidRDefault="0042435C" w:rsidP="0042435C">
      <w:pPr>
        <w:rPr>
          <w:szCs w:val="22"/>
          <w:lang w:val="sk-SK"/>
        </w:rPr>
      </w:pPr>
      <w:r w:rsidRPr="007B093D">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spacing w:line="240" w:lineRule="auto"/>
        <w:rPr>
          <w:szCs w:val="22"/>
          <w:lang w:val="sk-SK"/>
        </w:rPr>
      </w:pPr>
      <w:r w:rsidRPr="007B093D">
        <w:rPr>
          <w:b/>
          <w:i/>
          <w:szCs w:val="22"/>
          <w:u w:val="single"/>
          <w:lang w:val="sk-SK"/>
        </w:rPr>
        <w:t>Lieky indukujúce hyperkaliémiu</w:t>
      </w:r>
    </w:p>
    <w:p w:rsidR="0042435C" w:rsidRPr="007B093D" w:rsidRDefault="0042435C" w:rsidP="0042435C">
      <w:pPr>
        <w:spacing w:line="240" w:lineRule="auto"/>
        <w:rPr>
          <w:szCs w:val="22"/>
          <w:lang w:val="sk-SK"/>
        </w:rPr>
      </w:pPr>
      <w:r w:rsidRPr="007B093D">
        <w:rPr>
          <w:szCs w:val="22"/>
          <w:lang w:val="sk-SK"/>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u w:val="single"/>
          <w:lang w:val="sk-SK"/>
        </w:rPr>
      </w:pPr>
      <w:r w:rsidRPr="007B093D">
        <w:rPr>
          <w:b/>
          <w:i/>
          <w:szCs w:val="22"/>
          <w:u w:val="single"/>
          <w:lang w:val="sk-SK"/>
        </w:rPr>
        <w:t>Kontraindikované súbežné použitie (pozri časti 4.3):</w:t>
      </w:r>
    </w:p>
    <w:p w:rsidR="0042435C" w:rsidRPr="007B093D" w:rsidRDefault="0042435C" w:rsidP="0042435C">
      <w:pPr>
        <w:spacing w:line="240" w:lineRule="auto"/>
        <w:rPr>
          <w:szCs w:val="22"/>
          <w:lang w:val="sk-SK"/>
        </w:rPr>
      </w:pPr>
      <w:r w:rsidRPr="007B093D">
        <w:rPr>
          <w:szCs w:val="22"/>
          <w:u w:val="single"/>
          <w:lang w:val="sk-SK"/>
        </w:rPr>
        <w:t>Aliskiren:</w:t>
      </w:r>
    </w:p>
    <w:p w:rsidR="0042435C" w:rsidRPr="007B093D" w:rsidRDefault="0042435C" w:rsidP="0042435C">
      <w:pPr>
        <w:spacing w:line="240" w:lineRule="auto"/>
        <w:rPr>
          <w:szCs w:val="22"/>
          <w:lang w:val="sk-SK"/>
        </w:rPr>
      </w:pPr>
      <w:r w:rsidRPr="007B093D">
        <w:rPr>
          <w:szCs w:val="22"/>
          <w:lang w:val="sk-SK"/>
        </w:rPr>
        <w:t>U diabetických pacientov alebo pacientov s </w:t>
      </w:r>
      <w:r w:rsidR="0059333F" w:rsidRPr="007B093D">
        <w:rPr>
          <w:szCs w:val="22"/>
          <w:lang w:val="sk-SK"/>
        </w:rPr>
        <w:t>po</w:t>
      </w:r>
      <w:r w:rsidR="0059333F">
        <w:rPr>
          <w:szCs w:val="22"/>
          <w:lang w:val="sk-SK"/>
        </w:rPr>
        <w:t>ruchou</w:t>
      </w:r>
      <w:r w:rsidR="0059333F" w:rsidRPr="007B093D">
        <w:rPr>
          <w:szCs w:val="22"/>
          <w:lang w:val="sk-SK"/>
        </w:rPr>
        <w:t xml:space="preserve"> </w:t>
      </w:r>
      <w:r w:rsidRPr="007B093D">
        <w:rPr>
          <w:szCs w:val="22"/>
          <w:lang w:val="sk-SK"/>
        </w:rPr>
        <w:t>funkcie obličiek sa zvyšuje riziko hyperkaliémie, zhoršuje funkcia obličiek a kardiovaskulárna morbidita a mortalita.</w:t>
      </w:r>
    </w:p>
    <w:p w:rsidR="0042435C" w:rsidRDefault="0042435C" w:rsidP="0042435C">
      <w:pPr>
        <w:spacing w:line="240" w:lineRule="auto"/>
        <w:rPr>
          <w:szCs w:val="22"/>
          <w:lang w:val="sk-SK"/>
        </w:rPr>
      </w:pPr>
    </w:p>
    <w:p w:rsidR="007458FE" w:rsidRPr="00CA21BF" w:rsidRDefault="007458FE" w:rsidP="007458FE">
      <w:pPr>
        <w:rPr>
          <w:szCs w:val="22"/>
          <w:lang w:val="sk-SK"/>
        </w:rPr>
      </w:pPr>
      <w:r w:rsidRPr="00441553">
        <w:rPr>
          <w:szCs w:val="22"/>
          <w:u w:val="single"/>
          <w:lang w:val="sk-SK"/>
        </w:rPr>
        <w:t>Extrakorporálne terapie:</w:t>
      </w:r>
      <w:r w:rsidRPr="00CA21BF">
        <w:rPr>
          <w:szCs w:val="22"/>
          <w:lang w:val="sk-SK"/>
        </w:rPr>
        <w:t xml:space="preserve"> Extrakorporálne terapie vedúce ku kontaktu krvi s negatívne nabitými povrchmi, ako dialýza alebo hemofiltrácia s určitými vysoko-priepustnými membránami (napr. polyakrylonitrilové membrány) a aferéza lipoproteínov s nízkou hustotou so síranom dextránu v dôsledku zvýšeného rizika závažných anafylaktoidných reakcií (pozri časť 4.3). Pokiaľ je táto liečba potrebná, má sa zvážiť použitie iného typu dialyzačnej membrány alebo inej triedy antihypertenzív. </w:t>
      </w:r>
    </w:p>
    <w:p w:rsidR="007458FE" w:rsidRPr="00CA21BF" w:rsidRDefault="007458FE" w:rsidP="007458FE">
      <w:pPr>
        <w:rPr>
          <w:szCs w:val="22"/>
          <w:lang w:val="sk-SK"/>
        </w:rPr>
      </w:pPr>
    </w:p>
    <w:p w:rsidR="007458FE" w:rsidRDefault="007458FE" w:rsidP="007458FE">
      <w:pPr>
        <w:spacing w:line="240" w:lineRule="auto"/>
        <w:rPr>
          <w:szCs w:val="22"/>
          <w:lang w:val="sk-SK"/>
        </w:rPr>
      </w:pPr>
      <w:r w:rsidRPr="00441553">
        <w:rPr>
          <w:szCs w:val="22"/>
          <w:u w:val="single"/>
          <w:lang w:val="sk-SK"/>
        </w:rPr>
        <w:t>Sakubitril/valsartan:</w:t>
      </w:r>
      <w:r w:rsidRPr="00CA21BF">
        <w:rPr>
          <w:szCs w:val="22"/>
          <w:lang w:val="sk-SK"/>
        </w:rPr>
        <w:t xml:space="preserve"> Súbežné používanie perindoprilu so sakubitrilom/valsartanom je kontraindikované, pretože súbežná inhibí</w:t>
      </w:r>
      <w:r>
        <w:rPr>
          <w:szCs w:val="22"/>
          <w:lang w:val="sk-SK"/>
        </w:rPr>
        <w:t xml:space="preserve">cia neprilyzínu (NEP) a ACE </w:t>
      </w:r>
      <w:r w:rsidRPr="00CA21BF">
        <w:rPr>
          <w:szCs w:val="22"/>
          <w:lang w:val="sk-SK"/>
        </w:rPr>
        <w:t>môže zvyšovať riziko angioedému. Liečba sakubitrilom/valsartanom sa nesmie začať skôr ako 36 hodín po užití poslednej dávky perindoprilu. Liečba perindoprilom sa nesmie začať skôr ako 36 hodín po poslednej dávke saku</w:t>
      </w:r>
      <w:r>
        <w:rPr>
          <w:szCs w:val="22"/>
          <w:lang w:val="sk-SK"/>
        </w:rPr>
        <w:t>bitrilu/valsartanu (pozri časti</w:t>
      </w:r>
      <w:r w:rsidRPr="00CA21BF">
        <w:rPr>
          <w:szCs w:val="22"/>
          <w:lang w:val="sk-SK"/>
        </w:rPr>
        <w:t xml:space="preserve"> 4.3 a 4.4).</w:t>
      </w:r>
    </w:p>
    <w:p w:rsidR="007458FE" w:rsidRPr="007B093D" w:rsidRDefault="007458FE" w:rsidP="0042435C">
      <w:pPr>
        <w:spacing w:line="240" w:lineRule="auto"/>
        <w:rPr>
          <w:szCs w:val="22"/>
          <w:lang w:val="sk-SK"/>
        </w:rPr>
      </w:pPr>
    </w:p>
    <w:p w:rsidR="0042435C" w:rsidRPr="007B093D" w:rsidRDefault="0042435C" w:rsidP="0042435C">
      <w:pPr>
        <w:spacing w:line="240" w:lineRule="auto"/>
        <w:rPr>
          <w:szCs w:val="22"/>
          <w:u w:val="single"/>
          <w:lang w:val="sk-SK"/>
        </w:rPr>
      </w:pPr>
      <w:r w:rsidRPr="007B093D">
        <w:rPr>
          <w:b/>
          <w:i/>
          <w:szCs w:val="22"/>
          <w:u w:val="single"/>
          <w:lang w:val="sk-SK"/>
        </w:rPr>
        <w:t>Súbežné použitie, ktoré sa neodporúča (pozri časť 4.4):</w:t>
      </w:r>
    </w:p>
    <w:p w:rsidR="0042435C" w:rsidRPr="007B093D" w:rsidRDefault="0042435C" w:rsidP="0042435C">
      <w:pPr>
        <w:spacing w:line="240" w:lineRule="auto"/>
        <w:rPr>
          <w:szCs w:val="22"/>
          <w:lang w:val="sk-SK"/>
        </w:rPr>
      </w:pPr>
      <w:r w:rsidRPr="007B093D">
        <w:rPr>
          <w:szCs w:val="22"/>
          <w:u w:val="single"/>
          <w:lang w:val="sk-SK"/>
        </w:rPr>
        <w:t>Aliskiren:</w:t>
      </w:r>
    </w:p>
    <w:p w:rsidR="0042435C" w:rsidRPr="007B093D" w:rsidRDefault="0042435C" w:rsidP="0042435C">
      <w:pPr>
        <w:spacing w:line="240" w:lineRule="auto"/>
        <w:rPr>
          <w:szCs w:val="22"/>
          <w:lang w:val="sk-SK"/>
        </w:rPr>
      </w:pPr>
      <w:r w:rsidRPr="007B093D">
        <w:rPr>
          <w:szCs w:val="22"/>
          <w:lang w:val="sk-SK"/>
        </w:rPr>
        <w:t>U iných pacientov, ako sú diabetickí pacienti a pacienti s </w:t>
      </w:r>
      <w:r w:rsidR="00380988" w:rsidRPr="007B093D">
        <w:rPr>
          <w:szCs w:val="22"/>
          <w:lang w:val="sk-SK"/>
        </w:rPr>
        <w:t>po</w:t>
      </w:r>
      <w:r w:rsidR="00380988">
        <w:rPr>
          <w:szCs w:val="22"/>
          <w:lang w:val="sk-SK"/>
        </w:rPr>
        <w:t>ruchou</w:t>
      </w:r>
      <w:r w:rsidR="00380988" w:rsidRPr="007B093D">
        <w:rPr>
          <w:szCs w:val="22"/>
          <w:lang w:val="sk-SK"/>
        </w:rPr>
        <w:t xml:space="preserve"> </w:t>
      </w:r>
      <w:r w:rsidRPr="007B093D">
        <w:rPr>
          <w:szCs w:val="22"/>
          <w:lang w:val="sk-SK"/>
        </w:rPr>
        <w:t>funkcie obličiek, sa zvyšuje riziko hyperkaliémie, zhoršuje funkcia obličiek a kardiovaskulárna morbidita a mortalita.</w:t>
      </w:r>
    </w:p>
    <w:p w:rsidR="0042435C" w:rsidRPr="007B093D" w:rsidRDefault="0042435C" w:rsidP="0042435C">
      <w:pPr>
        <w:spacing w:line="240" w:lineRule="auto"/>
        <w:rPr>
          <w:szCs w:val="22"/>
          <w:u w:val="single"/>
          <w:lang w:val="sk-SK"/>
        </w:rPr>
      </w:pPr>
    </w:p>
    <w:p w:rsidR="0042435C" w:rsidRPr="007B093D" w:rsidRDefault="0042435C" w:rsidP="0042435C">
      <w:pPr>
        <w:pStyle w:val="Zkladntext"/>
        <w:rPr>
          <w:i w:val="0"/>
          <w:color w:val="auto"/>
          <w:szCs w:val="22"/>
          <w:lang w:val="sk-SK"/>
        </w:rPr>
      </w:pPr>
      <w:r w:rsidRPr="007B093D">
        <w:rPr>
          <w:i w:val="0"/>
          <w:color w:val="auto"/>
          <w:szCs w:val="22"/>
          <w:u w:val="single"/>
          <w:lang w:val="sk-SK"/>
        </w:rPr>
        <w:t>Súbežná liečba inhibítorom ACE a blokátorom receptorov angiotenzínu:</w:t>
      </w:r>
    </w:p>
    <w:p w:rsidR="0042435C" w:rsidRPr="007B093D" w:rsidRDefault="0042435C" w:rsidP="0042435C">
      <w:pPr>
        <w:tabs>
          <w:tab w:val="left" w:pos="0"/>
        </w:tabs>
        <w:spacing w:line="240" w:lineRule="auto"/>
        <w:rPr>
          <w:bCs/>
          <w:szCs w:val="22"/>
          <w:u w:val="single"/>
          <w:lang w:val="sk-SK"/>
        </w:rPr>
      </w:pPr>
      <w:r w:rsidRPr="007B093D">
        <w:rPr>
          <w:szCs w:val="22"/>
          <w:lang w:val="sk-SK"/>
        </w:rPr>
        <w:t xml:space="preserve">V literatúre sa zaznamenalo, že u pacientov s preukázaným aterosklerotickým ochorením, srdcovým zlyhaním alebo diabetom s poškodením cieľových orgánov sa súbežná liečba inhibítorom ACE a blokátorom receptorov angiotenzínu spája s vyššou frekvenciou hypotenzie, synkopy, hyperkaliémie a zhoršenia funkcie obličiek (vrátane akútneho zlyhania obličiek) v porovnaní s použitím samotnej látky </w:t>
      </w:r>
      <w:r w:rsidR="00D6647E">
        <w:rPr>
          <w:szCs w:val="22"/>
          <w:lang w:val="sk-SK"/>
        </w:rPr>
        <w:t xml:space="preserve">systému </w:t>
      </w:r>
      <w:r w:rsidRPr="007B093D">
        <w:rPr>
          <w:szCs w:val="22"/>
          <w:lang w:val="sk-SK"/>
        </w:rPr>
        <w:t>renín-angiotenzín-aldosterón. Duálna blokáda (napr. kombinácia inhibítora ACE s antagonistom receptorov angiotenzínu II) sa má obmedziť na individuálne definované prípady s dôkladným monitorovaním funkci</w:t>
      </w:r>
      <w:r w:rsidR="00000012">
        <w:rPr>
          <w:szCs w:val="22"/>
          <w:lang w:val="sk-SK"/>
        </w:rPr>
        <w:t>e</w:t>
      </w:r>
      <w:r w:rsidR="006B12E1">
        <w:rPr>
          <w:szCs w:val="22"/>
          <w:lang w:val="sk-SK"/>
        </w:rPr>
        <w:t xml:space="preserve"> obličiek</w:t>
      </w:r>
      <w:r w:rsidRPr="007B093D">
        <w:rPr>
          <w:szCs w:val="22"/>
          <w:lang w:val="sk-SK"/>
        </w:rPr>
        <w:t>, hladín draslíka a krvného tlaku.</w:t>
      </w:r>
    </w:p>
    <w:p w:rsidR="0042435C" w:rsidRPr="007B093D" w:rsidRDefault="0042435C" w:rsidP="0042435C">
      <w:pPr>
        <w:pStyle w:val="Nadpis4"/>
        <w:spacing w:line="240" w:lineRule="auto"/>
        <w:jc w:val="left"/>
        <w:rPr>
          <w:b w:val="0"/>
          <w:bCs/>
          <w:szCs w:val="22"/>
          <w:u w:val="single"/>
          <w:lang w:val="sk-SK"/>
        </w:rPr>
      </w:pPr>
    </w:p>
    <w:p w:rsidR="0042435C" w:rsidRPr="007B093D" w:rsidRDefault="0042435C" w:rsidP="0042435C">
      <w:pPr>
        <w:tabs>
          <w:tab w:val="clear" w:pos="567"/>
          <w:tab w:val="left" w:pos="1650"/>
        </w:tabs>
        <w:spacing w:line="240" w:lineRule="auto"/>
        <w:rPr>
          <w:bCs/>
          <w:szCs w:val="22"/>
          <w:lang w:val="sk-SK" w:eastAsia="cs-CZ"/>
        </w:rPr>
      </w:pPr>
      <w:r w:rsidRPr="007B093D">
        <w:rPr>
          <w:bCs/>
          <w:szCs w:val="22"/>
          <w:u w:val="single"/>
          <w:lang w:val="sk-SK" w:eastAsia="cs-CZ"/>
        </w:rPr>
        <w:t>Estramustín:</w:t>
      </w:r>
    </w:p>
    <w:p w:rsidR="0042435C" w:rsidRPr="007B093D" w:rsidRDefault="0042435C" w:rsidP="0042435C">
      <w:pPr>
        <w:spacing w:line="240" w:lineRule="auto"/>
        <w:rPr>
          <w:bCs/>
          <w:szCs w:val="22"/>
          <w:lang w:val="sk-SK" w:eastAsia="cs-CZ"/>
        </w:rPr>
      </w:pPr>
      <w:r w:rsidRPr="007B093D">
        <w:rPr>
          <w:bCs/>
          <w:szCs w:val="22"/>
          <w:lang w:val="sk-SK" w:eastAsia="cs-CZ"/>
        </w:rPr>
        <w:t>Riziko zvýšenia nežiaducich účinkov ako angioneurotický edém (angioedém).</w:t>
      </w:r>
    </w:p>
    <w:p w:rsidR="007019FE" w:rsidRDefault="007019FE" w:rsidP="007019FE">
      <w:pPr>
        <w:spacing w:line="240" w:lineRule="auto"/>
        <w:rPr>
          <w:szCs w:val="22"/>
          <w:lang w:val="sk-SK"/>
        </w:rPr>
      </w:pPr>
    </w:p>
    <w:p w:rsidR="00BF7140" w:rsidRDefault="007458FE" w:rsidP="007019FE">
      <w:pPr>
        <w:spacing w:line="240" w:lineRule="auto"/>
        <w:rPr>
          <w:b/>
          <w:bCs/>
          <w:i/>
          <w:iCs/>
          <w:szCs w:val="22"/>
          <w:lang w:val="sk-SK"/>
        </w:rPr>
      </w:pPr>
      <w:r w:rsidRPr="00FC796E">
        <w:rPr>
          <w:bCs/>
          <w:iCs/>
          <w:szCs w:val="22"/>
          <w:u w:val="single"/>
          <w:lang w:val="sk-SK"/>
        </w:rPr>
        <w:t>Kotrimoxazol (trimetoprim/sulfametoxazol):</w:t>
      </w:r>
      <w:r>
        <w:rPr>
          <w:b/>
          <w:bCs/>
          <w:i/>
          <w:iCs/>
          <w:szCs w:val="22"/>
          <w:lang w:val="sk-SK"/>
        </w:rPr>
        <w:t xml:space="preserve"> </w:t>
      </w:r>
    </w:p>
    <w:p w:rsidR="007458FE" w:rsidRDefault="007458FE" w:rsidP="007019FE">
      <w:pPr>
        <w:spacing w:line="240" w:lineRule="auto"/>
        <w:rPr>
          <w:szCs w:val="22"/>
          <w:lang w:val="sk-SK"/>
        </w:rPr>
      </w:pPr>
      <w:r w:rsidRPr="00441553">
        <w:rPr>
          <w:bCs/>
          <w:iCs/>
          <w:szCs w:val="22"/>
          <w:lang w:val="sk-SK"/>
        </w:rPr>
        <w:t>Pacienti súbežne užívajúci kotrimoxazol (trimetoprim/sulfametoxazol) môžu mať zvýšené riziko hyperkaliémie (pozri časť 4.4).</w:t>
      </w:r>
    </w:p>
    <w:p w:rsidR="007458FE" w:rsidRPr="007B093D" w:rsidRDefault="007458FE" w:rsidP="007019FE">
      <w:pPr>
        <w:spacing w:line="240" w:lineRule="auto"/>
        <w:rPr>
          <w:szCs w:val="22"/>
          <w:lang w:val="sk-SK"/>
        </w:rPr>
      </w:pPr>
    </w:p>
    <w:p w:rsidR="0042435C" w:rsidRPr="007B093D" w:rsidRDefault="0042435C" w:rsidP="0042435C">
      <w:pPr>
        <w:pStyle w:val="Nadpis4"/>
        <w:spacing w:line="240" w:lineRule="auto"/>
        <w:jc w:val="left"/>
        <w:rPr>
          <w:b w:val="0"/>
          <w:bCs/>
          <w:noProof w:val="0"/>
          <w:szCs w:val="22"/>
          <w:u w:val="single"/>
          <w:lang w:val="sk-SK"/>
        </w:rPr>
      </w:pPr>
      <w:r w:rsidRPr="007B093D">
        <w:rPr>
          <w:b w:val="0"/>
          <w:bCs/>
          <w:noProof w:val="0"/>
          <w:szCs w:val="22"/>
          <w:u w:val="single"/>
          <w:lang w:val="sk-SK"/>
        </w:rPr>
        <w:t>Draslík šetriace diuretiká (napr. triamterén, amilorid,...), soli draslíka:</w:t>
      </w:r>
    </w:p>
    <w:p w:rsidR="0042435C" w:rsidRPr="007B093D" w:rsidRDefault="0042435C" w:rsidP="0042435C">
      <w:pPr>
        <w:tabs>
          <w:tab w:val="left" w:pos="0"/>
        </w:tabs>
        <w:spacing w:line="240" w:lineRule="auto"/>
        <w:rPr>
          <w:szCs w:val="22"/>
          <w:lang w:val="sk-SK"/>
        </w:rPr>
      </w:pPr>
      <w:r w:rsidRPr="007B093D">
        <w:rPr>
          <w:szCs w:val="22"/>
          <w:lang w:val="sk-SK"/>
        </w:rPr>
        <w:t>Hyperkaliémia (potenciálne smrteľná), najmä v spojení s</w:t>
      </w:r>
      <w:r w:rsidR="00380988">
        <w:rPr>
          <w:szCs w:val="22"/>
          <w:lang w:val="sk-SK"/>
        </w:rPr>
        <w:t> </w:t>
      </w:r>
      <w:r w:rsidR="00380988" w:rsidRPr="007B093D">
        <w:rPr>
          <w:szCs w:val="22"/>
          <w:lang w:val="sk-SK"/>
        </w:rPr>
        <w:t>po</w:t>
      </w:r>
      <w:r w:rsidR="00380988">
        <w:rPr>
          <w:szCs w:val="22"/>
          <w:lang w:val="sk-SK"/>
        </w:rPr>
        <w:t xml:space="preserve">ruchou </w:t>
      </w:r>
      <w:r w:rsidRPr="007B093D">
        <w:rPr>
          <w:szCs w:val="22"/>
          <w:lang w:val="sk-SK"/>
        </w:rPr>
        <w:t>funkcie obličiek (aditívne hyperkal</w:t>
      </w:r>
      <w:r w:rsidR="00380988">
        <w:rPr>
          <w:szCs w:val="22"/>
          <w:lang w:val="sk-SK"/>
        </w:rPr>
        <w:t>i</w:t>
      </w:r>
      <w:r w:rsidRPr="007B093D">
        <w:rPr>
          <w:szCs w:val="22"/>
          <w:lang w:val="sk-SK"/>
        </w:rPr>
        <w:t>emické účinky). 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tabs>
          <w:tab w:val="left" w:pos="0"/>
        </w:tabs>
        <w:spacing w:line="240" w:lineRule="auto"/>
        <w:rPr>
          <w:bCs/>
          <w:szCs w:val="22"/>
          <w:u w:val="single"/>
          <w:lang w:val="sk-SK"/>
        </w:rPr>
      </w:pPr>
      <w:r w:rsidRPr="007B093D">
        <w:rPr>
          <w:bCs/>
          <w:szCs w:val="22"/>
          <w:u w:val="single"/>
          <w:lang w:val="sk-SK"/>
        </w:rPr>
        <w:t>Lítium:</w:t>
      </w:r>
    </w:p>
    <w:p w:rsidR="0042435C" w:rsidRPr="007B093D" w:rsidRDefault="0042435C" w:rsidP="0042435C">
      <w:pPr>
        <w:autoSpaceDE w:val="0"/>
        <w:autoSpaceDN w:val="0"/>
        <w:adjustRightInd w:val="0"/>
        <w:spacing w:line="240" w:lineRule="auto"/>
        <w:rPr>
          <w:szCs w:val="22"/>
          <w:lang w:val="sk-SK"/>
        </w:rPr>
      </w:pPr>
      <w:r w:rsidRPr="007B093D">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spacing w:line="240" w:lineRule="auto"/>
        <w:rPr>
          <w:b/>
          <w:i/>
          <w:szCs w:val="22"/>
          <w:u w:val="single"/>
          <w:lang w:val="sk-SK"/>
        </w:rPr>
      </w:pPr>
      <w:r w:rsidRPr="007B093D">
        <w:rPr>
          <w:b/>
          <w:i/>
          <w:szCs w:val="22"/>
          <w:u w:val="single"/>
          <w:lang w:val="sk-SK"/>
        </w:rPr>
        <w:t>Súbežné použitie, ktoré si vyžaduje osobitnú starostlivosť:</w:t>
      </w:r>
    </w:p>
    <w:p w:rsidR="0042435C" w:rsidRPr="007B093D" w:rsidRDefault="0042435C" w:rsidP="0042435C">
      <w:pPr>
        <w:spacing w:line="240" w:lineRule="auto"/>
        <w:rPr>
          <w:szCs w:val="22"/>
          <w:lang w:val="sk-SK"/>
        </w:rPr>
      </w:pPr>
      <w:r w:rsidRPr="007B093D">
        <w:rPr>
          <w:szCs w:val="22"/>
          <w:u w:val="single"/>
          <w:lang w:val="sk-SK"/>
        </w:rPr>
        <w:t>Antidiabetiká (inzulíny, perorálne hypoglykemizujúce látky):</w:t>
      </w:r>
    </w:p>
    <w:p w:rsidR="0042435C" w:rsidRPr="007B093D" w:rsidRDefault="0042435C" w:rsidP="0042435C">
      <w:pPr>
        <w:spacing w:line="240" w:lineRule="auto"/>
        <w:rPr>
          <w:szCs w:val="22"/>
          <w:lang w:val="sk-SK"/>
        </w:rPr>
      </w:pPr>
      <w:r w:rsidRPr="007B093D">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w:t>
      </w:r>
      <w:r w:rsidR="006B12E1">
        <w:rPr>
          <w:szCs w:val="22"/>
          <w:lang w:val="sk-SK"/>
        </w:rPr>
        <w:t>poruchou</w:t>
      </w:r>
      <w:r w:rsidR="006B12E1" w:rsidRPr="007B093D">
        <w:rPr>
          <w:szCs w:val="22"/>
          <w:lang w:val="sk-SK"/>
        </w:rPr>
        <w:t xml:space="preserve"> </w:t>
      </w:r>
      <w:r w:rsidRPr="007B093D">
        <w:rPr>
          <w:szCs w:val="22"/>
          <w:lang w:val="sk-SK"/>
        </w:rPr>
        <w:t>funkcie obličiek.</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Baklofén:</w:t>
      </w:r>
    </w:p>
    <w:p w:rsidR="0042435C" w:rsidRPr="007B093D" w:rsidRDefault="0042435C" w:rsidP="0042435C">
      <w:pPr>
        <w:spacing w:line="240" w:lineRule="auto"/>
        <w:rPr>
          <w:szCs w:val="22"/>
          <w:lang w:val="sk-SK"/>
        </w:rPr>
      </w:pPr>
      <w:r w:rsidRPr="007B093D">
        <w:rPr>
          <w:szCs w:val="22"/>
          <w:lang w:val="sk-SK"/>
        </w:rPr>
        <w:t>Zvýšený antihypertenzný účinok. Monitorovanie krvného tlaku a v prípade potreby úprava dávky antihypertenzíva.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Diuretiká nešetriace draslík:</w:t>
      </w:r>
    </w:p>
    <w:p w:rsidR="0042435C" w:rsidRPr="007B093D" w:rsidRDefault="0042435C" w:rsidP="0042435C">
      <w:pPr>
        <w:spacing w:line="240" w:lineRule="auto"/>
        <w:rPr>
          <w:szCs w:val="22"/>
          <w:lang w:val="sk-SK"/>
        </w:rPr>
      </w:pPr>
      <w:r w:rsidRPr="007B093D">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rsidR="0042435C" w:rsidRPr="007B093D" w:rsidRDefault="0042435C" w:rsidP="0042435C">
      <w:pPr>
        <w:spacing w:line="240" w:lineRule="auto"/>
        <w:rPr>
          <w:szCs w:val="22"/>
          <w:lang w:val="sk-SK"/>
        </w:rPr>
      </w:pPr>
      <w:r w:rsidRPr="007B093D">
        <w:rPr>
          <w:i/>
          <w:szCs w:val="22"/>
          <w:lang w:val="sk-SK"/>
        </w:rPr>
        <w:t>Pri arteriálnej hypertenzii</w:t>
      </w:r>
      <w:r w:rsidRPr="007B093D">
        <w:rPr>
          <w:szCs w:val="22"/>
          <w:lang w:val="sk-SK"/>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rsidR="0042435C" w:rsidRPr="007B093D" w:rsidRDefault="0042435C" w:rsidP="0042435C">
      <w:pPr>
        <w:spacing w:line="240" w:lineRule="auto"/>
        <w:rPr>
          <w:szCs w:val="22"/>
          <w:lang w:val="sk-SK"/>
        </w:rPr>
      </w:pPr>
      <w:r w:rsidRPr="007B093D">
        <w:rPr>
          <w:i/>
          <w:szCs w:val="22"/>
          <w:lang w:val="sk-SK"/>
        </w:rPr>
        <w:t>Pri kongestívnom srdcovom zlyhaní liečenom diuretikom</w:t>
      </w:r>
      <w:r w:rsidRPr="007B093D">
        <w:rPr>
          <w:szCs w:val="22"/>
          <w:lang w:val="sk-SK"/>
        </w:rPr>
        <w:t xml:space="preserve"> sa má začať liečba inhibítorom ACE s veľmi nízkou dávkou, prípadne po znížení dávky pridaného diuretika nešetriaceho draslík.</w:t>
      </w:r>
    </w:p>
    <w:p w:rsidR="0042435C" w:rsidRPr="007B093D" w:rsidRDefault="0042435C" w:rsidP="0042435C">
      <w:pPr>
        <w:tabs>
          <w:tab w:val="left" w:pos="0"/>
        </w:tabs>
        <w:spacing w:line="240" w:lineRule="auto"/>
        <w:rPr>
          <w:bCs/>
          <w:szCs w:val="22"/>
          <w:u w:val="single"/>
          <w:lang w:val="sk-SK"/>
        </w:rPr>
      </w:pPr>
      <w:r w:rsidRPr="007B093D">
        <w:rPr>
          <w:szCs w:val="22"/>
          <w:lang w:val="sk-SK"/>
        </w:rPr>
        <w:t>Vo všetkých prípadoch sa musí monitorovať funkcia obličiek (hladiny kreatinínu) počas prvých niekoľkých týždňov liečby inhibítorom ACE.</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tabs>
          <w:tab w:val="left" w:pos="0"/>
        </w:tabs>
        <w:spacing w:line="240" w:lineRule="auto"/>
        <w:rPr>
          <w:bCs/>
          <w:szCs w:val="22"/>
          <w:u w:val="single"/>
          <w:lang w:val="sk-SK"/>
        </w:rPr>
      </w:pPr>
      <w:r w:rsidRPr="007B093D">
        <w:rPr>
          <w:bCs/>
          <w:szCs w:val="22"/>
          <w:u w:val="single"/>
          <w:lang w:val="sk-SK"/>
        </w:rPr>
        <w:t>Draslík šetriace diuretiká (eplerenón, spironolaktón):</w:t>
      </w:r>
    </w:p>
    <w:p w:rsidR="0042435C" w:rsidRPr="007B093D" w:rsidRDefault="0042435C" w:rsidP="0042435C">
      <w:pPr>
        <w:spacing w:line="240" w:lineRule="auto"/>
        <w:rPr>
          <w:szCs w:val="22"/>
          <w:lang w:val="sk-SK"/>
        </w:rPr>
      </w:pPr>
      <w:r w:rsidRPr="007B093D">
        <w:rPr>
          <w:szCs w:val="22"/>
          <w:lang w:val="sk-SK"/>
        </w:rPr>
        <w:lastRenderedPageBreak/>
        <w:t>Eplerenón a spironolaktón v dávkach medzi 12,5 mg až 50 mg denne a nízke dávky inhibítorov ACE:</w:t>
      </w:r>
    </w:p>
    <w:p w:rsidR="0042435C" w:rsidRPr="007B093D" w:rsidRDefault="0042435C" w:rsidP="0042435C">
      <w:pPr>
        <w:spacing w:line="240" w:lineRule="auto"/>
        <w:rPr>
          <w:szCs w:val="22"/>
          <w:lang w:val="sk-SK"/>
        </w:rPr>
      </w:pPr>
      <w:r w:rsidRPr="007B093D">
        <w:rPr>
          <w:szCs w:val="22"/>
          <w:lang w:val="sk-SK"/>
        </w:rPr>
        <w:t>Pri liečbe srdcového zlyhania triedy II - IV (NYHA) s ejekčnou frakciou &lt; 40 % a predtým liečbou inhibítormi ACE a slučkovými diuretikami je riziko hyperkaliémie potenciálne smrteľné, najmä v prípade nedodržania preskripčných odporúčaní týkajúcich sa tejto kombinácie.</w:t>
      </w:r>
    </w:p>
    <w:p w:rsidR="0042435C" w:rsidRPr="007B093D" w:rsidRDefault="0042435C" w:rsidP="0042435C">
      <w:pPr>
        <w:spacing w:line="240" w:lineRule="auto"/>
        <w:rPr>
          <w:szCs w:val="22"/>
          <w:lang w:val="sk-SK"/>
        </w:rPr>
      </w:pPr>
      <w:r w:rsidRPr="007B093D">
        <w:rPr>
          <w:szCs w:val="22"/>
          <w:lang w:val="sk-SK"/>
        </w:rPr>
        <w:t>Pred začatím liečby touto kombináciou skontrolujte absenciu hyperkaliémie a </w:t>
      </w:r>
      <w:r w:rsidR="00705203" w:rsidRPr="007B093D">
        <w:rPr>
          <w:szCs w:val="22"/>
          <w:lang w:val="sk-SK"/>
        </w:rPr>
        <w:t>po</w:t>
      </w:r>
      <w:r w:rsidR="00705203">
        <w:rPr>
          <w:szCs w:val="22"/>
          <w:lang w:val="sk-SK"/>
        </w:rPr>
        <w:t>ruchy</w:t>
      </w:r>
      <w:r w:rsidR="00705203" w:rsidRPr="007B093D">
        <w:rPr>
          <w:szCs w:val="22"/>
          <w:lang w:val="sk-SK"/>
        </w:rPr>
        <w:t xml:space="preserve"> </w:t>
      </w:r>
      <w:r w:rsidRPr="007B093D">
        <w:rPr>
          <w:szCs w:val="22"/>
          <w:lang w:val="sk-SK"/>
        </w:rPr>
        <w:t>funkcie obličiek.</w:t>
      </w:r>
    </w:p>
    <w:p w:rsidR="0042435C" w:rsidRPr="007B093D" w:rsidRDefault="0042435C" w:rsidP="0042435C">
      <w:pPr>
        <w:spacing w:line="240" w:lineRule="auto"/>
        <w:rPr>
          <w:szCs w:val="22"/>
          <w:lang w:val="sk-SK"/>
        </w:rPr>
      </w:pPr>
      <w:r w:rsidRPr="007B093D">
        <w:rPr>
          <w:szCs w:val="22"/>
          <w:lang w:val="sk-SK"/>
        </w:rPr>
        <w:t>Dôkladné monitorovanie kaliémie a kreatinémie sa odporúča v prvom mesiaci liečby raz týždenne na začiatku a potom raz za mesiac.</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tabs>
          <w:tab w:val="left" w:pos="0"/>
        </w:tabs>
        <w:spacing w:line="240" w:lineRule="auto"/>
        <w:rPr>
          <w:bCs/>
          <w:szCs w:val="22"/>
          <w:u w:val="single"/>
          <w:lang w:val="sk-SK"/>
        </w:rPr>
      </w:pPr>
      <w:r w:rsidRPr="007B093D">
        <w:rPr>
          <w:szCs w:val="22"/>
          <w:u w:val="single"/>
          <w:lang w:val="sk-SK"/>
        </w:rPr>
        <w:t xml:space="preserve">Nesteroidné antiflogistiká (NSA) vrátane aspirínu </w:t>
      </w:r>
      <w:r w:rsidRPr="007B093D">
        <w:rPr>
          <w:szCs w:val="22"/>
          <w:u w:val="single"/>
          <w:lang w:val="sk-SK"/>
        </w:rPr>
        <w:sym w:font="Symbol" w:char="F0B3"/>
      </w:r>
      <w:r w:rsidRPr="007B093D">
        <w:rPr>
          <w:szCs w:val="22"/>
          <w:u w:val="single"/>
          <w:lang w:val="sk-SK"/>
        </w:rPr>
        <w:t xml:space="preserve"> 3 g/deň</w:t>
      </w:r>
      <w:r w:rsidRPr="007B093D">
        <w:rPr>
          <w:bCs/>
          <w:szCs w:val="22"/>
          <w:u w:val="single"/>
          <w:lang w:val="sk-SK"/>
        </w:rPr>
        <w:t>:</w:t>
      </w:r>
    </w:p>
    <w:p w:rsidR="0042435C" w:rsidRPr="007B093D" w:rsidRDefault="0042435C" w:rsidP="0042435C">
      <w:pPr>
        <w:tabs>
          <w:tab w:val="left" w:pos="0"/>
        </w:tabs>
        <w:spacing w:line="240" w:lineRule="auto"/>
        <w:rPr>
          <w:szCs w:val="22"/>
          <w:lang w:val="sk-SK"/>
        </w:rPr>
      </w:pPr>
      <w:r w:rsidRPr="007B093D">
        <w:rPr>
          <w:szCs w:val="22"/>
          <w:lang w:val="sk-SK"/>
        </w:rPr>
        <w:t>Ak sa inhibítory ACE podávajú súbežne s nesteroidnými antiflogistikami (t.j. kyselina acetylsalicylová v protizápalových dávkovacích režimoch, COX-2 inhibítory a neselektívne NSA), môže dôjsť k oslabeniu antihypertenzného účinku. Súbežné užívanie inhibítorov ACE a NSA môže viesť k zvýšenému riziku zhoršenia funkci</w:t>
      </w:r>
      <w:r w:rsidR="00000012">
        <w:rPr>
          <w:szCs w:val="22"/>
          <w:lang w:val="sk-SK"/>
        </w:rPr>
        <w:t>e</w:t>
      </w:r>
      <w:r w:rsidR="006B12E1">
        <w:rPr>
          <w:szCs w:val="22"/>
          <w:lang w:val="sk-SK"/>
        </w:rPr>
        <w:t xml:space="preserve"> obličiek</w:t>
      </w:r>
      <w:r w:rsidRPr="007B093D">
        <w:rPr>
          <w:szCs w:val="22"/>
          <w:lang w:val="sk-SK"/>
        </w:rPr>
        <w:t>, vrátane možnosti akútneho renálneho zlyhania, a k zvýšeniu sérových hladín draslíka, predovšetkým u pacientov s preexistujúcim oslabením funkci</w:t>
      </w:r>
      <w:r w:rsidR="00000012">
        <w:rPr>
          <w:szCs w:val="22"/>
          <w:lang w:val="sk-SK"/>
        </w:rPr>
        <w:t>e</w:t>
      </w:r>
      <w:r w:rsidR="006B12E1">
        <w:rPr>
          <w:szCs w:val="22"/>
          <w:lang w:val="sk-SK"/>
        </w:rPr>
        <w:t xml:space="preserve"> obličiek</w:t>
      </w:r>
      <w:r w:rsidRPr="007B093D">
        <w:rPr>
          <w:szCs w:val="22"/>
          <w:lang w:val="sk-SK"/>
        </w:rPr>
        <w:t>. Táto kombinácia sa má podávať opatrne, predovšetkým u starších pacientov. Pacienti majú byť primerane hydratovaní a má sa zvážiť monitorovanie funkci</w:t>
      </w:r>
      <w:r w:rsidR="00000012">
        <w:rPr>
          <w:szCs w:val="22"/>
          <w:lang w:val="sk-SK"/>
        </w:rPr>
        <w:t>e</w:t>
      </w:r>
      <w:r w:rsidRPr="007B093D">
        <w:rPr>
          <w:szCs w:val="22"/>
          <w:lang w:val="sk-SK"/>
        </w:rPr>
        <w:t xml:space="preserve"> </w:t>
      </w:r>
      <w:r w:rsidR="006B12E1">
        <w:rPr>
          <w:szCs w:val="22"/>
          <w:lang w:val="sk-SK"/>
        </w:rPr>
        <w:t xml:space="preserve">obličiek </w:t>
      </w:r>
      <w:r w:rsidRPr="007B093D">
        <w:rPr>
          <w:szCs w:val="22"/>
          <w:lang w:val="sk-SK"/>
        </w:rPr>
        <w:t>po začatí súbežnej liečby a potom v pravidelných intervaloch.</w:t>
      </w:r>
    </w:p>
    <w:p w:rsidR="0042435C" w:rsidRDefault="0042435C" w:rsidP="0042435C">
      <w:pPr>
        <w:spacing w:line="240" w:lineRule="auto"/>
        <w:rPr>
          <w:szCs w:val="22"/>
          <w:lang w:val="sk-SK"/>
        </w:rPr>
      </w:pPr>
    </w:p>
    <w:p w:rsidR="007458FE" w:rsidRPr="00D6647E" w:rsidRDefault="007458FE" w:rsidP="007458FE">
      <w:pPr>
        <w:spacing w:line="240" w:lineRule="auto"/>
        <w:rPr>
          <w:bCs/>
          <w:szCs w:val="22"/>
          <w:lang w:val="sk-SK"/>
        </w:rPr>
      </w:pPr>
      <w:r w:rsidRPr="00376DD3">
        <w:rPr>
          <w:color w:val="000000"/>
          <w:szCs w:val="22"/>
          <w:u w:val="single"/>
          <w:lang w:val="sk-SK"/>
        </w:rPr>
        <w:t>Racekadotril</w:t>
      </w:r>
    </w:p>
    <w:p w:rsidR="007458FE" w:rsidRPr="007019FE" w:rsidRDefault="007458FE" w:rsidP="007458FE">
      <w:pPr>
        <w:spacing w:line="240" w:lineRule="auto"/>
        <w:rPr>
          <w:szCs w:val="22"/>
          <w:lang w:val="sk-SK"/>
        </w:rPr>
      </w:pPr>
      <w:r w:rsidRPr="007019FE">
        <w:rPr>
          <w:szCs w:val="22"/>
          <w:lang w:val="sk-SK"/>
        </w:rPr>
        <w:t>Inhibítory ACE (napr. perindopril) sú známe tým, že spôsobujú angioedém. Toto riziko sa môže zvýšiť pri súbežnom užívaní s </w:t>
      </w:r>
      <w:r w:rsidRPr="00376DD3">
        <w:rPr>
          <w:color w:val="000000"/>
          <w:szCs w:val="22"/>
          <w:lang w:val="sk-SK"/>
        </w:rPr>
        <w:t xml:space="preserve">racekadotrilom </w:t>
      </w:r>
      <w:r w:rsidRPr="007019FE">
        <w:rPr>
          <w:szCs w:val="22"/>
          <w:lang w:val="sk-SK"/>
        </w:rPr>
        <w:t>(liek používaný proti akútnej hnačke).</w:t>
      </w:r>
    </w:p>
    <w:p w:rsidR="007458FE" w:rsidRPr="007019FE" w:rsidRDefault="007458FE" w:rsidP="007458FE">
      <w:pPr>
        <w:spacing w:line="240" w:lineRule="auto"/>
        <w:rPr>
          <w:szCs w:val="22"/>
          <w:lang w:val="sk-SK"/>
        </w:rPr>
      </w:pPr>
    </w:p>
    <w:p w:rsidR="007458FE" w:rsidRPr="007019FE" w:rsidRDefault="007458FE" w:rsidP="007458FE">
      <w:pPr>
        <w:spacing w:line="240" w:lineRule="auto"/>
        <w:rPr>
          <w:szCs w:val="22"/>
          <w:u w:val="single"/>
          <w:lang w:val="sk-SK"/>
        </w:rPr>
      </w:pPr>
      <w:r w:rsidRPr="007019FE">
        <w:rPr>
          <w:szCs w:val="22"/>
          <w:u w:val="single"/>
          <w:lang w:val="sk-SK"/>
        </w:rPr>
        <w:t>Inhibítory mTOR (napr. sirolimus, everolimus, temsirolimus)</w:t>
      </w:r>
    </w:p>
    <w:p w:rsidR="007458FE" w:rsidRDefault="007458FE" w:rsidP="0042435C">
      <w:pPr>
        <w:spacing w:line="240" w:lineRule="auto"/>
        <w:rPr>
          <w:szCs w:val="22"/>
          <w:lang w:val="sk-SK"/>
        </w:rPr>
      </w:pPr>
      <w:r w:rsidRPr="007019FE">
        <w:rPr>
          <w:szCs w:val="22"/>
          <w:lang w:val="sk-SK"/>
        </w:rPr>
        <w:t>Pacienti užívajúci súbežnú liečbu inhibítormi mTOR môžu mať zvýšené riziko angioedému (pozri časť 4.4).</w:t>
      </w:r>
    </w:p>
    <w:p w:rsidR="007458FE" w:rsidRPr="007B093D" w:rsidRDefault="007458FE" w:rsidP="0042435C">
      <w:pPr>
        <w:spacing w:line="240" w:lineRule="auto"/>
        <w:rPr>
          <w:szCs w:val="22"/>
          <w:lang w:val="sk-SK"/>
        </w:rPr>
      </w:pPr>
    </w:p>
    <w:p w:rsidR="0042435C" w:rsidRPr="007B093D" w:rsidRDefault="0042435C" w:rsidP="0042435C">
      <w:pPr>
        <w:tabs>
          <w:tab w:val="left" w:pos="0"/>
        </w:tabs>
        <w:spacing w:line="240" w:lineRule="auto"/>
        <w:ind w:left="357" w:hanging="357"/>
        <w:rPr>
          <w:bCs/>
          <w:szCs w:val="22"/>
          <w:u w:val="single"/>
          <w:lang w:val="sk-SK"/>
        </w:rPr>
      </w:pPr>
      <w:r w:rsidRPr="007B093D">
        <w:rPr>
          <w:b/>
          <w:i/>
          <w:szCs w:val="22"/>
          <w:u w:val="single"/>
          <w:lang w:val="sk-SK"/>
        </w:rPr>
        <w:t>Súbežné použitie, ktoré vyžaduje určitú starostlivosť:</w:t>
      </w:r>
    </w:p>
    <w:p w:rsidR="0042435C" w:rsidRPr="007B093D" w:rsidRDefault="0042435C" w:rsidP="0042435C">
      <w:pPr>
        <w:tabs>
          <w:tab w:val="left" w:pos="0"/>
        </w:tabs>
        <w:spacing w:line="240" w:lineRule="auto"/>
        <w:ind w:left="357" w:hanging="357"/>
        <w:rPr>
          <w:bCs/>
          <w:szCs w:val="22"/>
          <w:u w:val="single"/>
          <w:lang w:val="sk-SK"/>
        </w:rPr>
      </w:pPr>
      <w:r w:rsidRPr="007B093D">
        <w:rPr>
          <w:szCs w:val="22"/>
          <w:u w:val="single"/>
          <w:lang w:val="sk-SK"/>
        </w:rPr>
        <w:t>Antihypertenzíva a vazodilatanciá</w:t>
      </w:r>
      <w:r w:rsidRPr="007B093D">
        <w:rPr>
          <w:bCs/>
          <w:szCs w:val="22"/>
          <w:u w:val="single"/>
          <w:lang w:val="sk-SK"/>
        </w:rPr>
        <w:t>:</w:t>
      </w:r>
    </w:p>
    <w:p w:rsidR="0042435C" w:rsidRPr="007B093D" w:rsidRDefault="0042435C" w:rsidP="0042435C">
      <w:pPr>
        <w:spacing w:line="240" w:lineRule="auto"/>
        <w:rPr>
          <w:szCs w:val="22"/>
          <w:lang w:val="sk-SK"/>
        </w:rPr>
      </w:pPr>
      <w:r w:rsidRPr="007B093D">
        <w:rPr>
          <w:szCs w:val="22"/>
          <w:lang w:val="sk-SK"/>
        </w:rPr>
        <w:t>Súbežné použitie týchto liekov môže zvyšovať hypotenzný účinok perindoprilu. Súbežné použitie s nitroglycerínom a inými nitrátmi alebo inými vazodilatanciami môže viesť k ďalšiemu zníženiu tlaku krvi.</w:t>
      </w:r>
    </w:p>
    <w:p w:rsidR="0042435C" w:rsidRPr="007B093D" w:rsidRDefault="0042435C" w:rsidP="0042435C">
      <w:pPr>
        <w:pStyle w:val="nr2g"/>
        <w:tabs>
          <w:tab w:val="left" w:pos="0"/>
        </w:tabs>
        <w:ind w:left="0"/>
        <w:jc w:val="left"/>
        <w:rPr>
          <w:bCs/>
          <w:sz w:val="22"/>
          <w:szCs w:val="22"/>
          <w:u w:val="single"/>
          <w:lang w:val="sk-SK"/>
        </w:rPr>
      </w:pPr>
    </w:p>
    <w:p w:rsidR="0042435C" w:rsidRPr="007B093D" w:rsidRDefault="0042435C" w:rsidP="0042435C">
      <w:pPr>
        <w:tabs>
          <w:tab w:val="clear" w:pos="567"/>
          <w:tab w:val="left" w:pos="708"/>
        </w:tabs>
        <w:spacing w:line="240" w:lineRule="auto"/>
        <w:jc w:val="both"/>
        <w:rPr>
          <w:szCs w:val="22"/>
          <w:lang w:val="sk-SK" w:eastAsia="cs-CZ"/>
        </w:rPr>
      </w:pPr>
      <w:r w:rsidRPr="007B093D">
        <w:rPr>
          <w:szCs w:val="22"/>
          <w:u w:val="single"/>
          <w:lang w:val="sk-SK" w:eastAsia="cs-CZ"/>
        </w:rPr>
        <w:t>Gliptíny (linagliptín, saxagliptín, sitagliptín, vildagliptín):</w:t>
      </w:r>
    </w:p>
    <w:p w:rsidR="0042435C" w:rsidRPr="007B093D" w:rsidRDefault="0042435C" w:rsidP="0042435C">
      <w:pPr>
        <w:pStyle w:val="nr2g"/>
        <w:tabs>
          <w:tab w:val="left" w:pos="0"/>
        </w:tabs>
        <w:ind w:left="0"/>
        <w:jc w:val="left"/>
        <w:rPr>
          <w:bCs/>
          <w:sz w:val="22"/>
          <w:szCs w:val="22"/>
          <w:u w:val="single"/>
          <w:lang w:val="sk-SK"/>
        </w:rPr>
      </w:pPr>
      <w:r w:rsidRPr="007B093D">
        <w:rPr>
          <w:sz w:val="22"/>
          <w:szCs w:val="22"/>
          <w:lang w:val="sk-SK" w:eastAsia="cs-CZ"/>
        </w:rPr>
        <w:t>Zvýšené riziko angioedému, vzhľadom na dipeptidylpeptidázu IV (DPP-IV) znížená aktivita gliptínu u pacientov súbežne liečených inhibítorom ACE.</w:t>
      </w:r>
    </w:p>
    <w:p w:rsidR="0042435C" w:rsidRPr="007B093D" w:rsidRDefault="0042435C" w:rsidP="0042435C">
      <w:pPr>
        <w:pStyle w:val="Hlavika"/>
        <w:tabs>
          <w:tab w:val="left" w:pos="540"/>
        </w:tabs>
        <w:rPr>
          <w:rFonts w:ascii="Times New Roman" w:hAnsi="Times New Roman"/>
          <w:bCs/>
          <w:iCs/>
          <w:sz w:val="22"/>
          <w:szCs w:val="22"/>
          <w:u w:val="single"/>
          <w:lang w:val="sk-SK"/>
        </w:rPr>
      </w:pPr>
    </w:p>
    <w:p w:rsidR="0042435C" w:rsidRPr="007B093D" w:rsidRDefault="0042435C" w:rsidP="0042435C">
      <w:pPr>
        <w:pStyle w:val="Hlavika"/>
        <w:tabs>
          <w:tab w:val="left" w:pos="540"/>
        </w:tabs>
        <w:rPr>
          <w:rFonts w:ascii="Times New Roman" w:hAnsi="Times New Roman"/>
          <w:bCs/>
          <w:iCs/>
          <w:sz w:val="22"/>
          <w:szCs w:val="22"/>
          <w:u w:val="single"/>
          <w:lang w:val="sk-SK"/>
        </w:rPr>
      </w:pPr>
      <w:r w:rsidRPr="007B093D">
        <w:rPr>
          <w:rFonts w:ascii="Times New Roman" w:hAnsi="Times New Roman"/>
          <w:sz w:val="22"/>
          <w:szCs w:val="22"/>
          <w:u w:val="single"/>
          <w:lang w:val="sk-SK"/>
        </w:rPr>
        <w:t>Tricyklické antidepresíva/Antipsychotiká/Anestetiká</w:t>
      </w:r>
      <w:r w:rsidRPr="007B093D">
        <w:rPr>
          <w:rFonts w:ascii="Times New Roman" w:hAnsi="Times New Roman"/>
          <w:bCs/>
          <w:iCs/>
          <w:sz w:val="22"/>
          <w:szCs w:val="22"/>
          <w:u w:val="single"/>
          <w:lang w:val="sk-SK"/>
        </w:rPr>
        <w:t>:</w:t>
      </w:r>
    </w:p>
    <w:p w:rsidR="0042435C" w:rsidRPr="007B093D" w:rsidRDefault="0042435C" w:rsidP="0042435C">
      <w:pPr>
        <w:tabs>
          <w:tab w:val="left" w:pos="540"/>
        </w:tabs>
        <w:spacing w:line="240" w:lineRule="auto"/>
        <w:rPr>
          <w:szCs w:val="22"/>
          <w:lang w:val="sk-SK"/>
        </w:rPr>
      </w:pPr>
      <w:r w:rsidRPr="007B093D">
        <w:rPr>
          <w:szCs w:val="22"/>
          <w:lang w:val="sk-SK"/>
        </w:rPr>
        <w:t>Súbežné použitie určitých anestetík, tricyklických antidepresív a antipsychotík spolu s inhibítormi ACE môže viesť k ďalšiemu zníženiu tlaku krvi (pozri časť 4.4).</w:t>
      </w:r>
    </w:p>
    <w:p w:rsidR="0042435C" w:rsidRPr="007B093D" w:rsidRDefault="0042435C" w:rsidP="0042435C">
      <w:pPr>
        <w:pStyle w:val="Nadpis5"/>
        <w:spacing w:line="240" w:lineRule="auto"/>
        <w:jc w:val="left"/>
        <w:rPr>
          <w:szCs w:val="22"/>
          <w:u w:val="single"/>
          <w:lang w:val="sk-SK"/>
        </w:rPr>
      </w:pPr>
    </w:p>
    <w:p w:rsidR="0042435C" w:rsidRPr="007B093D" w:rsidRDefault="0042435C" w:rsidP="0042435C">
      <w:pPr>
        <w:pStyle w:val="Nadpis5"/>
        <w:spacing w:line="240" w:lineRule="auto"/>
        <w:jc w:val="left"/>
        <w:rPr>
          <w:szCs w:val="22"/>
          <w:u w:val="single"/>
          <w:lang w:val="sk-SK"/>
        </w:rPr>
      </w:pPr>
      <w:r w:rsidRPr="007B093D">
        <w:rPr>
          <w:szCs w:val="22"/>
          <w:u w:val="single"/>
          <w:lang w:val="sk-SK"/>
        </w:rPr>
        <w:t>Sympatomimetiká:</w:t>
      </w:r>
    </w:p>
    <w:p w:rsidR="0042435C" w:rsidRPr="007B093D" w:rsidRDefault="0042435C" w:rsidP="0042435C">
      <w:pPr>
        <w:pStyle w:val="EMEAEnBodyText"/>
        <w:tabs>
          <w:tab w:val="left" w:pos="0"/>
          <w:tab w:val="left" w:pos="567"/>
        </w:tabs>
        <w:spacing w:before="0" w:after="0"/>
        <w:jc w:val="left"/>
        <w:rPr>
          <w:bCs/>
          <w:iCs/>
          <w:szCs w:val="22"/>
          <w:lang w:val="sk-SK"/>
        </w:rPr>
      </w:pPr>
      <w:r w:rsidRPr="007B093D">
        <w:rPr>
          <w:szCs w:val="22"/>
          <w:lang w:val="sk-SK"/>
        </w:rPr>
        <w:t>Sympatomimetiká môžu znížiť antihypertenzný účinok inhibítorov ACE</w:t>
      </w:r>
      <w:r w:rsidRPr="007B093D">
        <w:rPr>
          <w:bCs/>
          <w:iCs/>
          <w:szCs w:val="22"/>
          <w:lang w:val="sk-SK"/>
        </w:rPr>
        <w:t>.</w:t>
      </w:r>
    </w:p>
    <w:p w:rsidR="0042435C" w:rsidRPr="007B093D" w:rsidRDefault="0042435C" w:rsidP="0042435C">
      <w:pPr>
        <w:pStyle w:val="nr2g"/>
        <w:tabs>
          <w:tab w:val="left" w:pos="0"/>
        </w:tabs>
        <w:ind w:left="0"/>
        <w:jc w:val="left"/>
        <w:rPr>
          <w:bCs/>
          <w:iCs/>
          <w:sz w:val="22"/>
          <w:szCs w:val="22"/>
          <w:u w:val="single"/>
          <w:lang w:val="sk-SK"/>
        </w:rPr>
      </w:pPr>
    </w:p>
    <w:p w:rsidR="0042435C" w:rsidRPr="007B093D" w:rsidRDefault="0042435C" w:rsidP="0042435C">
      <w:pPr>
        <w:pStyle w:val="EMEAEnBodyText"/>
        <w:tabs>
          <w:tab w:val="left" w:pos="567"/>
        </w:tabs>
        <w:spacing w:before="0" w:after="0"/>
        <w:jc w:val="left"/>
        <w:rPr>
          <w:szCs w:val="22"/>
          <w:u w:val="single"/>
          <w:lang w:val="sk-SK"/>
        </w:rPr>
      </w:pPr>
      <w:r w:rsidRPr="007B093D">
        <w:rPr>
          <w:szCs w:val="22"/>
          <w:u w:val="single"/>
          <w:lang w:val="sk-SK"/>
        </w:rPr>
        <w:t>Zlato:</w:t>
      </w:r>
    </w:p>
    <w:p w:rsidR="0042435C" w:rsidRPr="007B093D" w:rsidRDefault="0042435C" w:rsidP="0042435C">
      <w:pPr>
        <w:pStyle w:val="EMEAEnBodyText"/>
        <w:tabs>
          <w:tab w:val="left" w:pos="567"/>
        </w:tabs>
        <w:spacing w:before="0" w:after="0"/>
        <w:jc w:val="left"/>
        <w:rPr>
          <w:szCs w:val="22"/>
          <w:lang w:val="sk-SK"/>
        </w:rPr>
      </w:pPr>
      <w:r w:rsidRPr="007B093D">
        <w:rPr>
          <w:szCs w:val="22"/>
          <w:lang w:val="sk-SK"/>
        </w:rPr>
        <w:t>Nitritoidné reakcie (symptómy zahŕňajú sčervenanie tváre, nauzeu, vracanie a hypotenziu) boli zriedkavo hlásené u pacientov liečených injekčným zlatom (aurotiomalát sodný) a súbežne inhibítormi ACE vrátane perindoprilu.</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4.6</w:t>
      </w:r>
      <w:r w:rsidRPr="007B093D">
        <w:rPr>
          <w:b/>
          <w:szCs w:val="22"/>
          <w:lang w:val="sk-SK"/>
        </w:rPr>
        <w:tab/>
        <w:t>Fertilita, gravidita a laktácia</w:t>
      </w:r>
    </w:p>
    <w:p w:rsidR="0042435C" w:rsidRPr="007B093D" w:rsidRDefault="0042435C" w:rsidP="0042435C">
      <w:pPr>
        <w:spacing w:line="240" w:lineRule="auto"/>
        <w:rPr>
          <w:bCs/>
          <w:szCs w:val="22"/>
          <w:u w:val="single"/>
          <w:lang w:val="sk-SK"/>
        </w:rPr>
      </w:pPr>
    </w:p>
    <w:p w:rsidR="0042435C" w:rsidRDefault="0042435C" w:rsidP="0042435C">
      <w:pPr>
        <w:spacing w:line="240" w:lineRule="auto"/>
        <w:rPr>
          <w:bCs/>
          <w:szCs w:val="22"/>
          <w:u w:val="single"/>
          <w:lang w:val="sk-SK"/>
        </w:rPr>
      </w:pPr>
      <w:r w:rsidRPr="007B093D">
        <w:rPr>
          <w:bCs/>
          <w:szCs w:val="22"/>
          <w:u w:val="single"/>
          <w:lang w:val="sk-SK"/>
        </w:rPr>
        <w:t>Gravidita</w:t>
      </w:r>
    </w:p>
    <w:p w:rsidR="00D6647E" w:rsidRPr="007B093D" w:rsidRDefault="00D6647E" w:rsidP="0042435C">
      <w:pPr>
        <w:spacing w:line="240" w:lineRule="auto"/>
        <w:rPr>
          <w:bCs/>
          <w:szCs w:val="22"/>
          <w:u w:val="single"/>
          <w:lang w:val="sk-SK"/>
        </w:rPr>
      </w:pPr>
    </w:p>
    <w:p w:rsidR="0042435C" w:rsidRPr="007B093D" w:rsidRDefault="0042435C" w:rsidP="0042435C">
      <w:pPr>
        <w:pBdr>
          <w:top w:val="single" w:sz="4" w:space="1" w:color="auto"/>
          <w:left w:val="single" w:sz="4" w:space="4" w:color="auto"/>
          <w:bottom w:val="single" w:sz="4" w:space="1" w:color="auto"/>
          <w:right w:val="single" w:sz="4" w:space="4" w:color="auto"/>
        </w:pBdr>
        <w:spacing w:line="240" w:lineRule="auto"/>
        <w:rPr>
          <w:bCs/>
          <w:szCs w:val="22"/>
          <w:lang w:val="sk-SK"/>
        </w:rPr>
      </w:pPr>
      <w:r w:rsidRPr="007B093D">
        <w:rPr>
          <w:bCs/>
          <w:szCs w:val="22"/>
          <w:lang w:val="sk-SK"/>
        </w:rPr>
        <w:lastRenderedPageBreak/>
        <w:t xml:space="preserve">Používanie inhibítorov ACE sa neodporúča počas prvého trimestra gravidity (pozri časť 4.4). Používanie inhibítorov ACE </w:t>
      </w:r>
      <w:r w:rsidRPr="007B093D">
        <w:rPr>
          <w:szCs w:val="22"/>
          <w:lang w:val="sk-SK"/>
        </w:rPr>
        <w:t>je kontraindikované počas 2. a 3. trimestra gravidity (pozri časti 4.3 a 4.4).</w:t>
      </w:r>
    </w:p>
    <w:p w:rsidR="0042435C" w:rsidRPr="007B093D" w:rsidRDefault="0042435C" w:rsidP="0042435C">
      <w:pPr>
        <w:spacing w:line="240" w:lineRule="auto"/>
        <w:rPr>
          <w:szCs w:val="22"/>
          <w:lang w:val="sk-SK"/>
        </w:rPr>
      </w:pPr>
      <w:r w:rsidRPr="007B093D">
        <w:rPr>
          <w:szCs w:val="22"/>
          <w:lang w:val="sk-SK"/>
        </w:rPr>
        <w:t>Epidemiologický dôkaz týkajúci sa rizika teratogenity po expozícii inhibítorom ACE počas prvého trimestra gravidity nebol presvedčivý; malé zvýšenie rizika však nemožno vylúčiť.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začať alternatívnu liečbu.</w:t>
      </w:r>
    </w:p>
    <w:p w:rsidR="0042435C" w:rsidRPr="007B093D" w:rsidRDefault="0042435C" w:rsidP="0042435C">
      <w:pPr>
        <w:spacing w:line="240" w:lineRule="auto"/>
        <w:rPr>
          <w:szCs w:val="22"/>
          <w:lang w:val="sk-SK"/>
        </w:rPr>
      </w:pPr>
      <w:r w:rsidRPr="007B093D">
        <w:rPr>
          <w:szCs w:val="22"/>
          <w:lang w:val="sk-SK"/>
        </w:rPr>
        <w:t>Je známe, že expozícia liečbe inhibítorom ACE počas druhého a tretieho trimestra vyvoláva humánnu fetotoxicitu (znížené funkcie</w:t>
      </w:r>
      <w:r w:rsidR="006B12E1">
        <w:rPr>
          <w:szCs w:val="22"/>
          <w:lang w:val="sk-SK"/>
        </w:rPr>
        <w:t xml:space="preserve"> obličiek</w:t>
      </w:r>
      <w:r w:rsidRPr="007B093D">
        <w:rPr>
          <w:szCs w:val="22"/>
          <w:lang w:val="sk-SK"/>
        </w:rPr>
        <w:t>, oligohydramnion, spomalenie osifikácie lebky) a neonatálnu toxicitu (renálne zlyhanie, hypotenzia, hyperkaliémia) (pozri časť 5.3). Ak by došlo k expozícii inhibítorom ACE od druhého trimestra gravidity, odporúča sa vykonať ultrazvukovú kontrolu funkci</w:t>
      </w:r>
      <w:r w:rsidR="00000012">
        <w:rPr>
          <w:szCs w:val="22"/>
          <w:lang w:val="sk-SK"/>
        </w:rPr>
        <w:t>e</w:t>
      </w:r>
      <w:r w:rsidRPr="007B093D">
        <w:rPr>
          <w:szCs w:val="22"/>
          <w:lang w:val="sk-SK"/>
        </w:rPr>
        <w:t xml:space="preserve"> </w:t>
      </w:r>
      <w:r w:rsidR="006B12E1">
        <w:rPr>
          <w:szCs w:val="22"/>
          <w:lang w:val="sk-SK"/>
        </w:rPr>
        <w:t xml:space="preserve">obličiek </w:t>
      </w:r>
      <w:r w:rsidRPr="007B093D">
        <w:rPr>
          <w:szCs w:val="22"/>
          <w:lang w:val="sk-SK"/>
        </w:rPr>
        <w:t>a lebky. U dojčiat, ktorých matky užívali inhibítory ACE, sa má starostlivo sledovať hypotenzia (pozri tiež časti 4.3 a 4.4).</w:t>
      </w:r>
    </w:p>
    <w:p w:rsidR="0042435C" w:rsidRPr="007B093D" w:rsidRDefault="0042435C" w:rsidP="0042435C">
      <w:pPr>
        <w:spacing w:line="240" w:lineRule="auto"/>
        <w:rPr>
          <w:bCs/>
          <w:szCs w:val="22"/>
          <w:u w:val="single"/>
          <w:lang w:val="sk-SK"/>
        </w:rPr>
      </w:pPr>
    </w:p>
    <w:p w:rsidR="0042435C" w:rsidRPr="007B093D" w:rsidRDefault="00863525" w:rsidP="0042435C">
      <w:pPr>
        <w:spacing w:line="240" w:lineRule="auto"/>
        <w:rPr>
          <w:bCs/>
          <w:szCs w:val="22"/>
          <w:u w:val="single"/>
          <w:lang w:val="sk-SK"/>
        </w:rPr>
      </w:pPr>
      <w:r>
        <w:rPr>
          <w:bCs/>
          <w:szCs w:val="22"/>
          <w:u w:val="single"/>
          <w:lang w:val="sk-SK"/>
        </w:rPr>
        <w:t>Dojčenie</w:t>
      </w:r>
    </w:p>
    <w:p w:rsidR="0042435C" w:rsidRPr="007B093D" w:rsidRDefault="0042435C" w:rsidP="0042435C">
      <w:pPr>
        <w:spacing w:line="240" w:lineRule="auto"/>
        <w:rPr>
          <w:szCs w:val="22"/>
          <w:lang w:val="sk-SK"/>
        </w:rPr>
      </w:pPr>
      <w:r w:rsidRPr="007B093D">
        <w:rPr>
          <w:szCs w:val="22"/>
          <w:lang w:val="sk-SK"/>
        </w:rPr>
        <w:t>Pretože nie sú dostupné žiadne informácie týkajúce sa užívania P</w:t>
      </w:r>
      <w:r w:rsidR="0072709E">
        <w:rPr>
          <w:bCs/>
          <w:iCs/>
          <w:szCs w:val="22"/>
          <w:lang w:val="sk-SK"/>
        </w:rPr>
        <w:t>RESTARIA</w:t>
      </w:r>
      <w:r w:rsidRPr="007B093D">
        <w:rPr>
          <w:szCs w:val="22"/>
          <w:lang w:val="sk-SK"/>
        </w:rPr>
        <w:t> A 5 mg počas dojčenia, P</w:t>
      </w:r>
      <w:r w:rsidR="007C6187">
        <w:rPr>
          <w:bCs/>
          <w:iCs/>
          <w:szCs w:val="22"/>
          <w:lang w:val="sk-SK"/>
        </w:rPr>
        <w:t>RESTARIUM</w:t>
      </w:r>
      <w:r w:rsidRPr="007B093D">
        <w:rPr>
          <w:szCs w:val="22"/>
          <w:lang w:val="sk-SK"/>
        </w:rPr>
        <w:t> A 5 mg sa neodporúča a uprednostňuje sa alternatívna liečba s lepšie stanoveným profilom bezpečnosti počas dojčenia, najmä počas dojčenia novorodenca alebo predčasne narodeného dieťaťa.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Fertilita</w:t>
      </w:r>
    </w:p>
    <w:p w:rsidR="0042435C" w:rsidRPr="007B093D" w:rsidRDefault="0042435C" w:rsidP="0042435C">
      <w:pPr>
        <w:spacing w:line="240" w:lineRule="auto"/>
        <w:rPr>
          <w:szCs w:val="22"/>
          <w:lang w:val="sk-SK"/>
        </w:rPr>
      </w:pPr>
      <w:r w:rsidRPr="007B093D">
        <w:rPr>
          <w:szCs w:val="22"/>
          <w:lang w:val="sk-SK"/>
        </w:rPr>
        <w:t>Nepozoroval sa žiadny účinok na reprodukčnú schopnosť alebo fertilitu.</w:t>
      </w: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4.7</w:t>
      </w:r>
      <w:r w:rsidRPr="007B093D">
        <w:rPr>
          <w:b/>
          <w:szCs w:val="22"/>
          <w:lang w:val="sk-SK"/>
        </w:rPr>
        <w:tab/>
        <w:t>Ovplyvnenie schopnosti viesť vozidlá a obsluhovať stroje</w:t>
      </w:r>
    </w:p>
    <w:p w:rsidR="0042435C" w:rsidRPr="007B093D" w:rsidRDefault="0042435C" w:rsidP="0042435C">
      <w:pPr>
        <w:spacing w:line="240" w:lineRule="auto"/>
        <w:rPr>
          <w:bCs/>
          <w:iCs/>
          <w:szCs w:val="22"/>
          <w:lang w:val="sk-SK"/>
        </w:rPr>
      </w:pPr>
    </w:p>
    <w:p w:rsidR="0042435C" w:rsidRPr="007B093D" w:rsidRDefault="0042435C" w:rsidP="0042435C">
      <w:pPr>
        <w:spacing w:line="240" w:lineRule="auto"/>
        <w:rPr>
          <w:szCs w:val="22"/>
          <w:lang w:val="sk-SK"/>
        </w:rPr>
      </w:pPr>
      <w:r w:rsidRPr="007B093D">
        <w:rPr>
          <w:szCs w:val="22"/>
          <w:lang w:val="sk-SK"/>
        </w:rPr>
        <w:t>P</w:t>
      </w:r>
      <w:r w:rsidR="007C6187">
        <w:rPr>
          <w:bCs/>
          <w:iCs/>
          <w:szCs w:val="22"/>
          <w:lang w:val="sk-SK"/>
        </w:rPr>
        <w:t>RESTARIUM</w:t>
      </w:r>
      <w:r w:rsidRPr="007B093D">
        <w:rPr>
          <w:szCs w:val="22"/>
          <w:lang w:val="sk-SK"/>
        </w:rPr>
        <w:t> A 5mg nemá žiadny vplyv na schopnosť viesť vozidlá a obsluhovať stroje, ale u niektorých pacientov sa môžu vyskytnúť individuálne reakcie súvisiace s nízkym tlakom krvi, najmä na začiatku liečby alebo v kombinácii s inými antihypertenzívami.</w:t>
      </w:r>
    </w:p>
    <w:p w:rsidR="0042435C" w:rsidRPr="007B093D" w:rsidRDefault="0042435C" w:rsidP="0042435C">
      <w:pPr>
        <w:spacing w:line="240" w:lineRule="auto"/>
        <w:rPr>
          <w:szCs w:val="22"/>
          <w:lang w:val="sk-SK"/>
        </w:rPr>
      </w:pPr>
      <w:r w:rsidRPr="007B093D">
        <w:rPr>
          <w:szCs w:val="22"/>
          <w:lang w:val="sk-SK"/>
        </w:rPr>
        <w:t>V dôsledku toho môže byť schopnosť viesť vozidlá alebo obsluhovať stroje znížená.</w:t>
      </w: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4.8</w:t>
      </w:r>
      <w:r w:rsidRPr="007B093D">
        <w:rPr>
          <w:b/>
          <w:szCs w:val="22"/>
          <w:lang w:val="sk-SK"/>
        </w:rPr>
        <w:tab/>
        <w:t>Nežiaduce účinky</w:t>
      </w:r>
    </w:p>
    <w:p w:rsidR="0042435C" w:rsidRPr="007B093D" w:rsidRDefault="0042435C" w:rsidP="0042435C">
      <w:pPr>
        <w:spacing w:line="240" w:lineRule="auto"/>
        <w:rPr>
          <w:bCs/>
          <w:iCs/>
          <w:szCs w:val="22"/>
          <w:lang w:val="sk-SK"/>
        </w:rPr>
      </w:pPr>
    </w:p>
    <w:p w:rsidR="0042435C" w:rsidRPr="007B093D" w:rsidRDefault="0042435C" w:rsidP="0042435C">
      <w:pPr>
        <w:numPr>
          <w:ilvl w:val="0"/>
          <w:numId w:val="4"/>
        </w:numPr>
        <w:tabs>
          <w:tab w:val="clear" w:pos="567"/>
          <w:tab w:val="left" w:pos="708"/>
        </w:tabs>
        <w:spacing w:line="240" w:lineRule="auto"/>
        <w:rPr>
          <w:szCs w:val="22"/>
          <w:lang w:val="sk-SK"/>
        </w:rPr>
      </w:pPr>
      <w:r w:rsidRPr="007B093D">
        <w:rPr>
          <w:szCs w:val="22"/>
          <w:lang w:val="sk-SK"/>
        </w:rPr>
        <w:t>Súhrn bezpečnostného profilu</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lang w:val="sk-SK"/>
        </w:rPr>
        <w:t>Bezpečnostný profil perindoprilu je zhodný s bezpečnostným profilom inhibítorov ACE:</w:t>
      </w:r>
    </w:p>
    <w:p w:rsidR="0042435C" w:rsidRPr="007B093D" w:rsidRDefault="0042435C" w:rsidP="0042435C">
      <w:pPr>
        <w:spacing w:line="240" w:lineRule="auto"/>
        <w:rPr>
          <w:szCs w:val="22"/>
          <w:lang w:val="sk-SK"/>
        </w:rPr>
      </w:pPr>
      <w:r w:rsidRPr="007B093D">
        <w:rPr>
          <w:szCs w:val="22"/>
          <w:lang w:val="sk-SK"/>
        </w:rPr>
        <w:t>- Medzi najčastejšie nežiaduce účinky hlásené v klinických skúšaniach a pozorované pri perindoprile patria: závrat, bolesť hlavy, parestézia, vertigo, poruchy zraku, tinnitus, hypotenzia, kašeľ, dyspnoe, bolesť brucha, zápcha, hnačka, dysgeúzia, dyspepsia, nauzea, vracanie, pruritus, vyrážka, svalové kŕče a asténia.</w:t>
      </w:r>
    </w:p>
    <w:p w:rsidR="0042435C" w:rsidRPr="007B093D" w:rsidRDefault="0042435C" w:rsidP="0042435C">
      <w:pPr>
        <w:spacing w:line="240" w:lineRule="auto"/>
        <w:rPr>
          <w:szCs w:val="22"/>
          <w:lang w:val="sk-SK"/>
        </w:rPr>
      </w:pPr>
    </w:p>
    <w:p w:rsidR="0042435C" w:rsidRPr="007B093D" w:rsidRDefault="0042435C" w:rsidP="0042435C">
      <w:pPr>
        <w:numPr>
          <w:ilvl w:val="0"/>
          <w:numId w:val="4"/>
        </w:numPr>
        <w:spacing w:line="240" w:lineRule="auto"/>
        <w:rPr>
          <w:szCs w:val="22"/>
          <w:lang w:val="sk-SK"/>
        </w:rPr>
      </w:pPr>
      <w:r w:rsidRPr="007B093D">
        <w:rPr>
          <w:szCs w:val="22"/>
          <w:lang w:val="sk-SK"/>
        </w:rPr>
        <w:t>Tabuľkový zoznam nežiaducich reakcií</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lang w:val="sk-SK"/>
        </w:rPr>
        <w:t>Počas klinických skúšaní a/alebo postmarketingového použitia s perindoprilom boli pozorované nasledujúce nežiaduce účinky, ktoré sú zoradené podľa nasledujúcej frekvencie:</w:t>
      </w:r>
    </w:p>
    <w:p w:rsidR="0042435C" w:rsidRPr="007B093D" w:rsidRDefault="0042435C" w:rsidP="0042435C">
      <w:pPr>
        <w:spacing w:line="240" w:lineRule="auto"/>
        <w:rPr>
          <w:szCs w:val="22"/>
          <w:lang w:val="sk-SK"/>
        </w:rPr>
      </w:pPr>
      <w:r w:rsidRPr="007B093D">
        <w:rPr>
          <w:szCs w:val="22"/>
          <w:lang w:val="sk-SK"/>
        </w:rPr>
        <w:t>veľmi časté (</w:t>
      </w:r>
      <w:r w:rsidRPr="007B093D">
        <w:rPr>
          <w:bCs/>
          <w:iCs/>
          <w:szCs w:val="22"/>
          <w:lang w:val="sk-SK"/>
        </w:rPr>
        <w:sym w:font="Symbol" w:char="F0B3"/>
      </w:r>
      <w:r w:rsidRPr="007B093D">
        <w:rPr>
          <w:szCs w:val="22"/>
          <w:lang w:val="sk-SK"/>
        </w:rPr>
        <w:t>1/10); časté (</w:t>
      </w:r>
      <w:r w:rsidRPr="007B093D">
        <w:rPr>
          <w:bCs/>
          <w:iCs/>
          <w:szCs w:val="22"/>
          <w:lang w:val="sk-SK"/>
        </w:rPr>
        <w:sym w:font="Symbol" w:char="F0B3"/>
      </w:r>
      <w:r w:rsidRPr="007B093D">
        <w:rPr>
          <w:szCs w:val="22"/>
          <w:lang w:val="sk-SK"/>
        </w:rPr>
        <w:t>1/100 až &lt;1/10); menej časté (</w:t>
      </w:r>
      <w:r w:rsidRPr="007B093D">
        <w:rPr>
          <w:bCs/>
          <w:iCs/>
          <w:szCs w:val="22"/>
          <w:lang w:val="sk-SK"/>
        </w:rPr>
        <w:sym w:font="Symbol" w:char="F0B3"/>
      </w:r>
      <w:r w:rsidRPr="007B093D">
        <w:rPr>
          <w:szCs w:val="22"/>
          <w:lang w:val="sk-SK"/>
        </w:rPr>
        <w:t>1/1 000 až &lt;1/100); zriedkavé (</w:t>
      </w:r>
      <w:r w:rsidRPr="007B093D">
        <w:rPr>
          <w:bCs/>
          <w:iCs/>
          <w:szCs w:val="22"/>
          <w:lang w:val="sk-SK"/>
        </w:rPr>
        <w:sym w:font="Symbol" w:char="F0B3"/>
      </w:r>
      <w:r w:rsidRPr="007B093D">
        <w:rPr>
          <w:szCs w:val="22"/>
          <w:lang w:val="sk-SK"/>
        </w:rPr>
        <w:t>1/10 000 až &lt;1/1 000); veľmi zriedkavé (&lt;1/10 000); neznáme (z dostupných údajov)</w:t>
      </w:r>
      <w:r w:rsidRPr="007B093D">
        <w:rPr>
          <w:bCs/>
          <w:iCs/>
          <w:szCs w:val="22"/>
          <w:lang w:val="sk-SK"/>
        </w:rPr>
        <w:t>.</w:t>
      </w:r>
    </w:p>
    <w:p w:rsidR="0042435C" w:rsidRPr="007B093D" w:rsidRDefault="0042435C" w:rsidP="0042435C">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2633"/>
        <w:gridCol w:w="18"/>
        <w:gridCol w:w="4509"/>
        <w:gridCol w:w="24"/>
        <w:gridCol w:w="1877"/>
        <w:gridCol w:w="13"/>
      </w:tblGrid>
      <w:tr w:rsidR="0042435C" w:rsidRPr="007B093D" w:rsidTr="0042435C">
        <w:trPr>
          <w:gridBefore w:val="1"/>
          <w:wBefore w:w="7" w:type="pct"/>
          <w:cantSplit/>
          <w:tblHeader/>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bCs/>
                <w:szCs w:val="22"/>
                <w:lang w:val="sk-SK"/>
              </w:rPr>
            </w:pPr>
            <w:r w:rsidRPr="007B093D">
              <w:rPr>
                <w:b/>
                <w:bCs/>
                <w:szCs w:val="22"/>
                <w:lang w:val="sk-SK"/>
              </w:rPr>
              <w:t>Trieda orgánových systémov podľa MedDRA</w:t>
            </w:r>
          </w:p>
        </w:tc>
        <w:tc>
          <w:tcPr>
            <w:tcW w:w="2494"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bCs/>
                <w:szCs w:val="22"/>
                <w:lang w:val="sk-SK"/>
              </w:rPr>
            </w:pPr>
            <w:r w:rsidRPr="007B093D">
              <w:rPr>
                <w:b/>
                <w:bCs/>
                <w:szCs w:val="22"/>
                <w:lang w:val="sk-SK"/>
              </w:rPr>
              <w:t>Nežiaduce účinky</w:t>
            </w:r>
          </w:p>
        </w:tc>
        <w:tc>
          <w:tcPr>
            <w:tcW w:w="1040"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bCs/>
                <w:szCs w:val="22"/>
                <w:lang w:val="sk-SK"/>
              </w:rPr>
            </w:pPr>
            <w:r w:rsidRPr="007B093D">
              <w:rPr>
                <w:b/>
                <w:bCs/>
                <w:szCs w:val="22"/>
                <w:lang w:val="sk-SK"/>
              </w:rPr>
              <w:t>Frekvencia</w:t>
            </w:r>
          </w:p>
        </w:tc>
      </w:tr>
      <w:tr w:rsidR="0042435C" w:rsidRPr="007B093D" w:rsidTr="0042435C">
        <w:trPr>
          <w:gridAfter w:val="1"/>
          <w:wAfter w:w="7" w:type="pct"/>
          <w:cantSplit/>
          <w:trHeight w:val="27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 xml:space="preserve">Poruchy krvi a lymfatického systému </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Eozinofília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Agranulocytóza alebo pancytopénia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 xml:space="preserve">Zníženie hemoglobínu a hematokritu </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Leukopénia/neutropénia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Hemolytická anémia u pacientov s kongenitálnou deficienciou G-6PDH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Trombocytopénia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4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metabolizmu a výživy</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Hypoglykémia (pozri časti 4.4 a 4.5)</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Hyperkaliémia, reverzibilná po vysadení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Hyponatriémia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Psychické poruchy</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Poruchy nálady</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5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Poruchy spánku</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nervového systému</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Závrat</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Bolesť hlavy</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4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Parestézia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Vertigo</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Somnolencia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Synkopa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i/>
                <w:szCs w:val="22"/>
                <w:lang w:val="sk-SK"/>
              </w:rPr>
            </w:pPr>
            <w:r w:rsidRPr="007B093D">
              <w:rPr>
                <w:szCs w:val="22"/>
                <w:lang w:val="sk-SK"/>
              </w:rPr>
              <w:t>Zmätenosť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oka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Poruchy zraku</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ucha a labyrintu</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Tinnitus</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3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srdca a srdcovej činnosti</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Palpitácie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Tachykardia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Angína pektoris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Arytmia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Infarkt myokardu, pravdepodobne sekundárny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45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ciev</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Hypotenzia (a účinky súvisiace s hypotenziou)</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Vaskulitída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Mozgová príhoda, pravdepodobne sekundárna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324"/>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dýchacej sústavy, hrudníka a mediastína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Kašeľ</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Dyspnoe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Bronchospazmus</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Eozinofilná pneumónia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Rinitída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41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gastrointestinálneho traktu</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Bolesť brucha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Zápcha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Hnačka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Dysgeúzia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Dyspepsia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Nauzea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Vracanie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Sucho v ústach</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Pankreatitída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9"/>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pečene a žlčových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Hepatitída, buď cytolitická alebo cholestatická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11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pStyle w:val="Zkladntext"/>
              <w:rPr>
                <w:b/>
                <w:bCs/>
                <w:iCs/>
                <w:color w:val="auto"/>
                <w:szCs w:val="22"/>
                <w:lang w:val="sk-SK"/>
              </w:rPr>
            </w:pPr>
            <w:r w:rsidRPr="007B093D">
              <w:rPr>
                <w:b/>
                <w:bCs/>
                <w:i w:val="0"/>
                <w:iCs/>
                <w:color w:val="auto"/>
                <w:szCs w:val="22"/>
                <w:lang w:val="sk-SK"/>
              </w:rPr>
              <w:t>Poruchy kože a podkožného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Pruritus</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Vyrážka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Urtikária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Angioedém tváre, končatín, pier, slizníc, jazyka, hlasiviek a/alebo hrtana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Fotosenzitívne reakcie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i/>
                <w:szCs w:val="22"/>
                <w:lang w:val="sk-SK"/>
              </w:rPr>
            </w:pPr>
            <w:r w:rsidRPr="007B093D">
              <w:rPr>
                <w:szCs w:val="22"/>
                <w:lang w:val="sk-SK"/>
              </w:rPr>
              <w:t>Pemfigoid</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r w:rsidRPr="007B093D">
              <w:rPr>
                <w:bCs/>
                <w:iCs/>
                <w:szCs w:val="22"/>
                <w:lang w:val="sk-SK"/>
              </w:rPr>
              <w:t>*</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i/>
                <w:szCs w:val="22"/>
                <w:lang w:val="sk-SK"/>
              </w:rPr>
            </w:pPr>
            <w:r w:rsidRPr="007B093D">
              <w:rPr>
                <w:szCs w:val="22"/>
                <w:lang w:val="sk-SK"/>
              </w:rPr>
              <w:t>Hyperhydróza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7019FE" w:rsidRPr="007B093D" w:rsidTr="00376DD3">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tcPr>
          <w:p w:rsidR="007019FE" w:rsidRPr="007B093D" w:rsidRDefault="007019FE" w:rsidP="007019FE">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tcPr>
          <w:p w:rsidR="007019FE" w:rsidRPr="007B093D" w:rsidRDefault="007019FE" w:rsidP="007019FE">
            <w:pPr>
              <w:spacing w:line="240" w:lineRule="auto"/>
              <w:rPr>
                <w:szCs w:val="22"/>
                <w:lang w:val="sk-SK"/>
              </w:rPr>
            </w:pPr>
            <w:r w:rsidRPr="002E42AD">
              <w:t>Zhoršenie psoriázy</w:t>
            </w:r>
          </w:p>
        </w:tc>
        <w:tc>
          <w:tcPr>
            <w:tcW w:w="1046" w:type="pct"/>
            <w:gridSpan w:val="2"/>
            <w:tcBorders>
              <w:top w:val="single" w:sz="4" w:space="0" w:color="auto"/>
              <w:left w:val="single" w:sz="4" w:space="0" w:color="auto"/>
              <w:bottom w:val="single" w:sz="4" w:space="0" w:color="auto"/>
              <w:right w:val="single" w:sz="4" w:space="0" w:color="auto"/>
            </w:tcBorders>
          </w:tcPr>
          <w:p w:rsidR="007019FE" w:rsidRPr="007B093D" w:rsidRDefault="007019FE">
            <w:pPr>
              <w:spacing w:line="240" w:lineRule="auto"/>
              <w:jc w:val="center"/>
              <w:rPr>
                <w:szCs w:val="22"/>
                <w:lang w:val="sk-SK"/>
              </w:rPr>
            </w:pPr>
            <w:r w:rsidRPr="002E42AD">
              <w:t xml:space="preserve">Zriedkavé* </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Multiformný erytém</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76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kostrovej a svalovej sústavy a spojivového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Svalové kŕče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Artralgia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Myalgia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09"/>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obličiek a močových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Renálna insuficiencia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Akútne zlyhanie obličiek</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566"/>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reprodukčného systému a prsníkov</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Erektilná dysfunkcia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6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Celkové poruchy a reakcie v mieste podania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Asténia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Bolesť na hrudi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Nevoľnosť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Periférny edém</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Pyrexia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5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Laboratórne a funkčné vyšetrenia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močoviny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r w:rsidRPr="007B093D">
              <w:rPr>
                <w:bCs/>
                <w:iCs/>
                <w:szCs w:val="22"/>
                <w:lang w:val="sk-SK"/>
              </w:rPr>
              <w:t>*</w:t>
            </w:r>
          </w:p>
        </w:tc>
      </w:tr>
      <w:tr w:rsidR="0042435C" w:rsidRPr="007B093D" w:rsidTr="0042435C">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kreatinínu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r w:rsidRPr="007B093D">
              <w:rPr>
                <w:bCs/>
                <w:iCs/>
                <w:szCs w:val="22"/>
                <w:lang w:val="sk-SK"/>
              </w:rPr>
              <w:t>*</w:t>
            </w:r>
          </w:p>
        </w:tc>
      </w:tr>
      <w:tr w:rsidR="0042435C" w:rsidRPr="007B093D" w:rsidTr="0042435C">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bilirubínu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Zriedkavé</w:t>
            </w:r>
          </w:p>
        </w:tc>
      </w:tr>
      <w:tr w:rsidR="0042435C" w:rsidRPr="007B093D" w:rsidTr="0042435C">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pečeňových enzýmov</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Zriedkavé</w:t>
            </w:r>
          </w:p>
        </w:tc>
      </w:tr>
      <w:tr w:rsidR="0042435C" w:rsidRPr="007B093D" w:rsidTr="0042435C">
        <w:trPr>
          <w:gridBefore w:val="1"/>
          <w:wBefore w:w="7" w:type="pct"/>
          <w:cantSplit/>
          <w:trHeight w:val="352"/>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i/>
                <w:szCs w:val="22"/>
                <w:lang w:val="sk-SK"/>
              </w:rPr>
            </w:pPr>
            <w:r w:rsidRPr="007B093D">
              <w:rPr>
                <w:b/>
                <w:bCs/>
                <w:i/>
                <w:szCs w:val="22"/>
                <w:lang w:val="sk-SK"/>
              </w:rPr>
              <w:t>Úrazy, otravy a komplikácie liečebného postupu</w:t>
            </w:r>
          </w:p>
        </w:tc>
        <w:tc>
          <w:tcPr>
            <w:tcW w:w="2494"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Pád</w:t>
            </w:r>
          </w:p>
        </w:tc>
        <w:tc>
          <w:tcPr>
            <w:tcW w:w="1040"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i/>
                <w:szCs w:val="22"/>
                <w:lang w:val="sk-SK"/>
              </w:rPr>
            </w:pPr>
            <w:r w:rsidRPr="007B093D">
              <w:rPr>
                <w:szCs w:val="22"/>
                <w:lang w:val="sk-SK"/>
              </w:rPr>
              <w:t>Menej časté*</w:t>
            </w:r>
          </w:p>
        </w:tc>
      </w:tr>
    </w:tbl>
    <w:p w:rsidR="0042435C" w:rsidRPr="007B093D" w:rsidRDefault="0042435C" w:rsidP="0042435C">
      <w:pPr>
        <w:spacing w:line="240" w:lineRule="auto"/>
        <w:rPr>
          <w:bCs/>
          <w:iCs/>
          <w:szCs w:val="22"/>
          <w:u w:val="single"/>
          <w:lang w:val="sk-SK"/>
        </w:rPr>
      </w:pPr>
      <w:r w:rsidRPr="007B093D">
        <w:rPr>
          <w:i/>
          <w:szCs w:val="22"/>
          <w:lang w:val="sk-SK"/>
        </w:rPr>
        <w:t>* Frekvencia vypočítaná z klinických skúšaní pre nežiaduce účinky zistené zo spontánnych hlásení</w:t>
      </w:r>
    </w:p>
    <w:p w:rsidR="0042435C" w:rsidRDefault="0042435C" w:rsidP="0042435C">
      <w:pPr>
        <w:spacing w:line="240" w:lineRule="auto"/>
        <w:rPr>
          <w:bCs/>
          <w:iCs/>
          <w:szCs w:val="22"/>
          <w:lang w:val="sk-SK"/>
        </w:rPr>
      </w:pPr>
    </w:p>
    <w:p w:rsidR="007458FE" w:rsidRDefault="007458FE" w:rsidP="0042435C">
      <w:pPr>
        <w:spacing w:line="240" w:lineRule="auto"/>
        <w:rPr>
          <w:bCs/>
          <w:iCs/>
          <w:szCs w:val="22"/>
          <w:lang w:val="sk-SK"/>
        </w:rPr>
      </w:pPr>
      <w:r w:rsidRPr="00441553">
        <w:rPr>
          <w:szCs w:val="22"/>
          <w:lang w:val="sk-SK"/>
        </w:rPr>
        <w:t>Boli hlásené prípady SIADH s inými ACE inhibítormi. SIADH môže byť považovaný za veľmi zriedkavú, ale možnú komplikáciu spojenú s liečbou ACE inhibítormi, vrátane perindoprilu.</w:t>
      </w:r>
    </w:p>
    <w:p w:rsidR="007458FE" w:rsidRPr="007B093D" w:rsidRDefault="007458FE" w:rsidP="0042435C">
      <w:pPr>
        <w:spacing w:line="240" w:lineRule="auto"/>
        <w:rPr>
          <w:bCs/>
          <w:iCs/>
          <w:szCs w:val="22"/>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 xml:space="preserve">Klinické štúdie: </w:t>
      </w:r>
    </w:p>
    <w:p w:rsidR="0042435C" w:rsidRPr="007B093D" w:rsidRDefault="0042435C" w:rsidP="0042435C">
      <w:pPr>
        <w:spacing w:line="240" w:lineRule="auto"/>
        <w:rPr>
          <w:bCs/>
          <w:iCs/>
          <w:szCs w:val="22"/>
          <w:lang w:val="sk-SK"/>
        </w:rPr>
      </w:pPr>
      <w:r w:rsidRPr="007B093D">
        <w:rPr>
          <w:bCs/>
          <w:iCs/>
          <w:szCs w:val="22"/>
          <w:lang w:val="sk-SK"/>
        </w:rPr>
        <w:lastRenderedPageBreak/>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p>
    <w:p w:rsidR="0042435C" w:rsidRPr="007B093D" w:rsidRDefault="0042435C" w:rsidP="0042435C">
      <w:pPr>
        <w:spacing w:line="240" w:lineRule="auto"/>
        <w:rPr>
          <w:bCs/>
          <w:iCs/>
          <w:szCs w:val="22"/>
          <w:lang w:val="sk-SK"/>
        </w:rPr>
      </w:pPr>
    </w:p>
    <w:p w:rsidR="0042435C" w:rsidRPr="007B093D" w:rsidRDefault="0042435C" w:rsidP="0042435C">
      <w:pPr>
        <w:suppressLineNumbers/>
        <w:autoSpaceDE w:val="0"/>
        <w:autoSpaceDN w:val="0"/>
        <w:adjustRightInd w:val="0"/>
        <w:spacing w:line="240" w:lineRule="auto"/>
        <w:rPr>
          <w:szCs w:val="22"/>
          <w:u w:val="single"/>
          <w:lang w:val="sk-SK"/>
        </w:rPr>
      </w:pPr>
      <w:r w:rsidRPr="007B093D">
        <w:rPr>
          <w:noProof/>
          <w:szCs w:val="22"/>
          <w:u w:val="single"/>
          <w:lang w:val="sk-SK"/>
        </w:rPr>
        <w:t>Hlásenie podozrení na nežiaduce reakcie</w:t>
      </w:r>
    </w:p>
    <w:p w:rsidR="0042435C" w:rsidRPr="007B093D" w:rsidRDefault="0042435C" w:rsidP="0042435C">
      <w:pPr>
        <w:spacing w:line="240" w:lineRule="auto"/>
        <w:rPr>
          <w:bCs/>
          <w:iCs/>
          <w:szCs w:val="22"/>
          <w:lang w:val="sk-SK"/>
        </w:rPr>
      </w:pPr>
      <w:r w:rsidRPr="007B093D">
        <w:rPr>
          <w:noProof/>
          <w:szCs w:val="22"/>
          <w:lang w:val="sk-SK"/>
        </w:rPr>
        <w:t>Hlásenie podozrení na nežiaduce reakcie po registrácii lieku je dôležité.</w:t>
      </w:r>
      <w:r w:rsidRPr="007B093D">
        <w:rPr>
          <w:szCs w:val="22"/>
          <w:lang w:val="sk-SK"/>
        </w:rPr>
        <w:t xml:space="preserve"> </w:t>
      </w:r>
      <w:r w:rsidRPr="007B093D">
        <w:rPr>
          <w:noProof/>
          <w:szCs w:val="22"/>
          <w:lang w:val="sk-SK"/>
        </w:rPr>
        <w:t>Umožňuje priebežné monitorovanie pomeru prínosu a rizika lieku.</w:t>
      </w:r>
      <w:r w:rsidRPr="007B093D">
        <w:rPr>
          <w:szCs w:val="22"/>
          <w:lang w:val="sk-SK"/>
        </w:rPr>
        <w:t xml:space="preserve"> Od </w:t>
      </w:r>
      <w:r w:rsidRPr="007B093D">
        <w:rPr>
          <w:noProof/>
          <w:szCs w:val="22"/>
          <w:lang w:val="sk-SK"/>
        </w:rPr>
        <w:t xml:space="preserve">zdravotníckych pracovníkov sa vyžaduje, aby hlásili akékoľvek podozrenia na nežiaduce reakcie </w:t>
      </w:r>
      <w:r w:rsidR="00863525">
        <w:rPr>
          <w:noProof/>
          <w:szCs w:val="22"/>
          <w:lang w:val="sk-SK"/>
        </w:rPr>
        <w:t>na</w:t>
      </w:r>
      <w:r w:rsidR="00863525" w:rsidRPr="007B093D">
        <w:rPr>
          <w:noProof/>
          <w:szCs w:val="22"/>
          <w:lang w:val="sk-SK"/>
        </w:rPr>
        <w:t xml:space="preserve"> </w:t>
      </w:r>
      <w:r w:rsidRPr="00376DD3">
        <w:rPr>
          <w:noProof/>
          <w:szCs w:val="22"/>
          <w:highlight w:val="lightGray"/>
          <w:lang w:val="sk-SK"/>
        </w:rPr>
        <w:t xml:space="preserve">národné </w:t>
      </w:r>
      <w:r w:rsidR="00863525" w:rsidRPr="00376DD3">
        <w:rPr>
          <w:noProof/>
          <w:szCs w:val="22"/>
          <w:highlight w:val="lightGray"/>
          <w:lang w:val="sk-SK"/>
        </w:rPr>
        <w:t xml:space="preserve">centrum </w:t>
      </w:r>
      <w:r w:rsidRPr="00376DD3">
        <w:rPr>
          <w:noProof/>
          <w:szCs w:val="22"/>
          <w:highlight w:val="lightGray"/>
          <w:lang w:val="sk-SK"/>
        </w:rPr>
        <w:t>hlásenia uvedené v </w:t>
      </w:r>
      <w:hyperlink r:id="rId10" w:history="1">
        <w:r w:rsidRPr="00376DD3">
          <w:rPr>
            <w:rStyle w:val="Hypertextovprepojenie"/>
            <w:noProof/>
            <w:szCs w:val="22"/>
            <w:highlight w:val="lightGray"/>
            <w:lang w:val="sk-SK"/>
          </w:rPr>
          <w:t>Prílohe V</w:t>
        </w:r>
      </w:hyperlink>
      <w:r w:rsidRPr="007B093D">
        <w:rPr>
          <w:noProof/>
          <w:szCs w:val="22"/>
          <w:lang w:val="sk-SK"/>
        </w:rPr>
        <w:t>.</w:t>
      </w:r>
    </w:p>
    <w:p w:rsidR="0042435C" w:rsidRPr="007B093D" w:rsidRDefault="0042435C" w:rsidP="0042435C">
      <w:pPr>
        <w:spacing w:line="240" w:lineRule="auto"/>
        <w:rPr>
          <w:bCs/>
          <w:iCs/>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4.9</w:t>
      </w:r>
      <w:r w:rsidRPr="007B093D">
        <w:rPr>
          <w:b/>
          <w:szCs w:val="22"/>
          <w:lang w:val="sk-SK"/>
        </w:rPr>
        <w:tab/>
        <w:t>Predávkovanie</w:t>
      </w:r>
    </w:p>
    <w:p w:rsidR="0042435C" w:rsidRPr="007B093D" w:rsidRDefault="0042435C" w:rsidP="0042435C">
      <w:pPr>
        <w:spacing w:line="240" w:lineRule="auto"/>
        <w:rPr>
          <w:bCs/>
          <w:iCs/>
          <w:szCs w:val="22"/>
          <w:lang w:val="sk-SK"/>
        </w:rPr>
      </w:pPr>
    </w:p>
    <w:p w:rsidR="0042435C" w:rsidRPr="007B093D" w:rsidRDefault="0042435C" w:rsidP="0042435C">
      <w:pPr>
        <w:spacing w:line="240" w:lineRule="auto"/>
        <w:rPr>
          <w:szCs w:val="22"/>
          <w:lang w:val="sk-SK"/>
        </w:rPr>
      </w:pPr>
      <w:r w:rsidRPr="007B093D">
        <w:rPr>
          <w:szCs w:val="22"/>
          <w:lang w:val="sk-SK"/>
        </w:rPr>
        <w:t>O predávkovaní u ľudí sú k dispozícii len obmedzené údaje. Medzi symptómy spojené s predávkovaním inhibítormi ACE môže patriť hypotenzia, obehový šok, poruchy elektrolytov, renálne zlyhanie, hyperventilácia, tachykardia, palpitácie, bradykardia, závraty, anxiozita a kašeľ.</w:t>
      </w:r>
    </w:p>
    <w:p w:rsidR="0042435C" w:rsidRPr="007B093D" w:rsidRDefault="0042435C" w:rsidP="0042435C">
      <w:pPr>
        <w:spacing w:line="240" w:lineRule="auto"/>
        <w:rPr>
          <w:szCs w:val="22"/>
          <w:lang w:val="sk-SK"/>
        </w:rPr>
      </w:pPr>
      <w:r w:rsidRPr="007B093D">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rsidR="0042435C" w:rsidRPr="007B093D" w:rsidRDefault="0042435C" w:rsidP="0042435C">
      <w:pPr>
        <w:keepNext/>
        <w:spacing w:line="240" w:lineRule="auto"/>
        <w:rPr>
          <w:b/>
          <w:szCs w:val="22"/>
          <w:lang w:val="sk-SK"/>
        </w:rPr>
      </w:pPr>
    </w:p>
    <w:p w:rsidR="0042435C" w:rsidRPr="007B093D" w:rsidRDefault="0042435C" w:rsidP="0042435C">
      <w:pPr>
        <w:keepNext/>
        <w:spacing w:line="240" w:lineRule="auto"/>
        <w:rPr>
          <w:b/>
          <w:szCs w:val="22"/>
          <w:lang w:val="sk-SK"/>
        </w:rPr>
      </w:pPr>
    </w:p>
    <w:p w:rsidR="0042435C" w:rsidRPr="007B093D" w:rsidRDefault="0042435C" w:rsidP="0042435C">
      <w:pPr>
        <w:keepNext/>
        <w:spacing w:line="240" w:lineRule="auto"/>
        <w:rPr>
          <w:b/>
          <w:szCs w:val="22"/>
          <w:lang w:val="sk-SK"/>
        </w:rPr>
      </w:pPr>
      <w:r w:rsidRPr="007B093D">
        <w:rPr>
          <w:b/>
          <w:szCs w:val="22"/>
          <w:lang w:val="sk-SK"/>
        </w:rPr>
        <w:t>5.</w:t>
      </w:r>
      <w:r w:rsidRPr="007B093D">
        <w:rPr>
          <w:b/>
          <w:szCs w:val="22"/>
          <w:lang w:val="sk-SK"/>
        </w:rPr>
        <w:tab/>
        <w:t>FARMAKOLOGICKÉ VLASTNOSTI</w:t>
      </w:r>
    </w:p>
    <w:p w:rsidR="0042435C" w:rsidRPr="007B093D" w:rsidRDefault="0042435C" w:rsidP="0042435C">
      <w:pPr>
        <w:keepNext/>
        <w:spacing w:line="240" w:lineRule="auto"/>
        <w:rPr>
          <w:b/>
          <w:szCs w:val="22"/>
          <w:lang w:val="sk-SK"/>
        </w:rPr>
      </w:pPr>
    </w:p>
    <w:p w:rsidR="0042435C" w:rsidRPr="007B093D" w:rsidRDefault="0042435C" w:rsidP="0042435C">
      <w:pPr>
        <w:keepNext/>
        <w:spacing w:line="240" w:lineRule="auto"/>
        <w:rPr>
          <w:b/>
          <w:szCs w:val="22"/>
          <w:lang w:val="sk-SK"/>
        </w:rPr>
      </w:pPr>
      <w:r w:rsidRPr="007B093D">
        <w:rPr>
          <w:b/>
          <w:szCs w:val="22"/>
          <w:lang w:val="sk-SK"/>
        </w:rPr>
        <w:t>5.1</w:t>
      </w:r>
      <w:r w:rsidRPr="007B093D">
        <w:rPr>
          <w:b/>
          <w:szCs w:val="22"/>
          <w:lang w:val="sk-SK"/>
        </w:rPr>
        <w:tab/>
        <w:t>Farmakodynamické vlastnosti</w:t>
      </w:r>
    </w:p>
    <w:p w:rsidR="0042435C" w:rsidRPr="007B093D" w:rsidRDefault="0042435C" w:rsidP="0042435C">
      <w:pPr>
        <w:pStyle w:val="Hlavika"/>
        <w:rPr>
          <w:rFonts w:ascii="Times New Roman" w:hAnsi="Times New Roman"/>
          <w:sz w:val="22"/>
          <w:szCs w:val="22"/>
          <w:lang w:val="sk-SK"/>
        </w:rPr>
      </w:pPr>
    </w:p>
    <w:p w:rsidR="0042435C" w:rsidRPr="007B093D" w:rsidRDefault="0042435C" w:rsidP="0042435C">
      <w:pPr>
        <w:spacing w:line="240" w:lineRule="auto"/>
        <w:rPr>
          <w:szCs w:val="22"/>
          <w:lang w:val="sk-SK"/>
        </w:rPr>
      </w:pPr>
      <w:r w:rsidRPr="007B093D">
        <w:rPr>
          <w:szCs w:val="22"/>
          <w:lang w:val="sk-SK"/>
        </w:rPr>
        <w:t xml:space="preserve">Farmakoterapeutická skupina: </w:t>
      </w:r>
      <w:r w:rsidR="00A35081">
        <w:rPr>
          <w:szCs w:val="22"/>
          <w:lang w:val="sk-SK"/>
        </w:rPr>
        <w:t>i</w:t>
      </w:r>
      <w:r w:rsidRPr="007B093D">
        <w:rPr>
          <w:szCs w:val="22"/>
          <w:lang w:val="sk-SK"/>
        </w:rPr>
        <w:t>nhibítory enzýmu konvertujúceho angiotenzín</w:t>
      </w:r>
      <w:r w:rsidR="00A35081">
        <w:rPr>
          <w:szCs w:val="22"/>
          <w:lang w:val="sk-SK"/>
        </w:rPr>
        <w:t>,</w:t>
      </w:r>
      <w:r w:rsidRPr="007B093D">
        <w:rPr>
          <w:szCs w:val="22"/>
          <w:lang w:val="sk-SK"/>
        </w:rPr>
        <w:t xml:space="preserve"> ATC kód: C09AA04</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lang w:val="sk-SK"/>
        </w:rPr>
      </w:pPr>
      <w:r w:rsidRPr="007B093D">
        <w:rPr>
          <w:szCs w:val="22"/>
          <w:u w:val="single"/>
          <w:lang w:val="sk-SK"/>
        </w:rPr>
        <w:t>Mechanizmus účinku</w:t>
      </w:r>
    </w:p>
    <w:p w:rsidR="0042435C" w:rsidRPr="007B093D" w:rsidRDefault="0042435C" w:rsidP="0042435C">
      <w:pPr>
        <w:spacing w:line="240" w:lineRule="auto"/>
        <w:rPr>
          <w:szCs w:val="22"/>
          <w:lang w:val="sk-SK"/>
        </w:rPr>
      </w:pPr>
      <w:r w:rsidRPr="007B093D">
        <w:rPr>
          <w:szCs w:val="22"/>
          <w:lang w:val="sk-SK"/>
        </w:rPr>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rsidR="0042435C" w:rsidRPr="007B093D" w:rsidRDefault="0042435C" w:rsidP="0042435C">
      <w:pPr>
        <w:spacing w:line="240" w:lineRule="auto"/>
        <w:rPr>
          <w:szCs w:val="22"/>
          <w:lang w:val="sk-SK"/>
        </w:rPr>
      </w:pPr>
      <w:r w:rsidRPr="007B093D">
        <w:rPr>
          <w:szCs w:val="22"/>
          <w:lang w:val="sk-SK"/>
        </w:rPr>
        <w:t xml:space="preserve">Perindopril pôsobí prostredníctvom svojho aktívneho metabolitu, perindoprilátu. Ostatné metabolity nemajú </w:t>
      </w:r>
      <w:r w:rsidRPr="007B093D">
        <w:rPr>
          <w:i/>
          <w:szCs w:val="22"/>
          <w:lang w:val="sk-SK"/>
        </w:rPr>
        <w:t>in vitro</w:t>
      </w:r>
      <w:r w:rsidRPr="007B093D">
        <w:rPr>
          <w:szCs w:val="22"/>
          <w:lang w:val="sk-SK"/>
        </w:rPr>
        <w:t xml:space="preserve"> žiadnu ACE inhibičnú aktivitu.</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Klinická účinnosť a bezpečnosť</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Hypertenzia:</w:t>
      </w:r>
    </w:p>
    <w:p w:rsidR="0042435C" w:rsidRPr="007B093D" w:rsidRDefault="0042435C" w:rsidP="0042435C">
      <w:pPr>
        <w:spacing w:line="240" w:lineRule="auto"/>
        <w:rPr>
          <w:szCs w:val="22"/>
          <w:lang w:val="sk-SK"/>
        </w:rPr>
      </w:pPr>
      <w:r w:rsidRPr="007B093D">
        <w:rPr>
          <w:szCs w:val="22"/>
          <w:lang w:val="sk-SK"/>
        </w:rPr>
        <w:t>Perindopril je účinný pri všetkých stupňoch hypertenzie: miernej, stredne ťažkej, ťažkej; spôsobuje zníženie systolického a diastolického tlaku krvi v polohe ležmo aj v stoji.</w:t>
      </w:r>
    </w:p>
    <w:p w:rsidR="0042435C" w:rsidRPr="007B093D" w:rsidRDefault="0042435C" w:rsidP="0042435C">
      <w:pPr>
        <w:spacing w:line="240" w:lineRule="auto"/>
        <w:rPr>
          <w:szCs w:val="22"/>
          <w:lang w:val="sk-SK"/>
        </w:rPr>
      </w:pPr>
      <w:r w:rsidRPr="007B093D">
        <w:rPr>
          <w:szCs w:val="22"/>
          <w:lang w:val="sk-SK"/>
        </w:rPr>
        <w:t>Perindopril znižuje periférnu cievnu rezistenciu, čo vedie k zníženiu tlaku krvi. Dôsledkom toho sa zvyšuje periférny prietok krvi bez ovplyvnenia srdcovej frekvencie.</w:t>
      </w:r>
    </w:p>
    <w:p w:rsidR="0042435C" w:rsidRPr="007B093D" w:rsidRDefault="0042435C" w:rsidP="0042435C">
      <w:pPr>
        <w:spacing w:line="240" w:lineRule="auto"/>
        <w:rPr>
          <w:szCs w:val="22"/>
          <w:lang w:val="sk-SK"/>
        </w:rPr>
      </w:pPr>
      <w:r w:rsidRPr="007B093D">
        <w:rPr>
          <w:szCs w:val="22"/>
          <w:lang w:val="sk-SK"/>
        </w:rPr>
        <w:t xml:space="preserve">Spravidla sa zvyšuje prietok krvi obličkami, kým rýchlosť glomerulárnej filtrácie (GFR) sa zvyčajne nemení. </w:t>
      </w:r>
    </w:p>
    <w:p w:rsidR="0042435C" w:rsidRPr="007B093D" w:rsidRDefault="0042435C" w:rsidP="0042435C">
      <w:pPr>
        <w:spacing w:line="240" w:lineRule="auto"/>
        <w:rPr>
          <w:szCs w:val="22"/>
          <w:lang w:val="sk-SK"/>
        </w:rPr>
      </w:pPr>
      <w:r w:rsidRPr="007B093D">
        <w:rPr>
          <w:szCs w:val="22"/>
          <w:lang w:val="sk-SK"/>
        </w:rPr>
        <w:lastRenderedPageBreak/>
        <w:t xml:space="preserve">Antihypertenzný účinok je maximálny medzi </w:t>
      </w:r>
      <w:smartTag w:uri="urn:schemas-microsoft-com:office:smarttags" w:element="metricconverter">
        <w:smartTagPr>
          <w:attr w:name="ProductID" w:val="4 a"/>
        </w:smartTagPr>
        <w:r w:rsidRPr="007B093D">
          <w:rPr>
            <w:szCs w:val="22"/>
            <w:lang w:val="sk-SK"/>
          </w:rPr>
          <w:t>4 a</w:t>
        </w:r>
      </w:smartTag>
      <w:r w:rsidRPr="007B093D">
        <w:rPr>
          <w:szCs w:val="22"/>
          <w:lang w:val="sk-SK"/>
        </w:rPr>
        <w:t xml:space="preserve"> 6 hodinou po podaní jednorazovej dávky a pretrváva najmenej 24 hodín: účinok v čase minimálnej účinnosti predstavuje približne 87–100% účinku v čase maximálnej účinnosti.</w:t>
      </w:r>
    </w:p>
    <w:p w:rsidR="0042435C" w:rsidRPr="007B093D" w:rsidRDefault="0042435C" w:rsidP="0042435C">
      <w:pPr>
        <w:spacing w:line="240" w:lineRule="auto"/>
        <w:rPr>
          <w:szCs w:val="22"/>
          <w:lang w:val="sk-SK"/>
        </w:rPr>
      </w:pPr>
      <w:r w:rsidRPr="007B093D">
        <w:rPr>
          <w:szCs w:val="22"/>
          <w:lang w:val="sk-SK"/>
        </w:rPr>
        <w:t>K zníženiu tlaku krvi dochádza rýchlo. U reagujúcich pacientov sa normalizácia tlaku dosiahne v priebehu jedného mesiaca a pretrváva bez výskytu tachyfylaxie.</w:t>
      </w:r>
    </w:p>
    <w:p w:rsidR="0042435C" w:rsidRPr="007B093D" w:rsidRDefault="0042435C" w:rsidP="0042435C">
      <w:pPr>
        <w:spacing w:line="240" w:lineRule="auto"/>
        <w:rPr>
          <w:szCs w:val="22"/>
          <w:lang w:val="sk-SK"/>
        </w:rPr>
      </w:pPr>
      <w:r w:rsidRPr="007B093D">
        <w:rPr>
          <w:szCs w:val="22"/>
          <w:lang w:val="sk-SK"/>
        </w:rPr>
        <w:t xml:space="preserve">Ukončenie liečby nevedie k </w:t>
      </w:r>
      <w:r w:rsidRPr="007B093D">
        <w:rPr>
          <w:i/>
          <w:iCs/>
          <w:szCs w:val="22"/>
          <w:lang w:val="sk-SK"/>
        </w:rPr>
        <w:t>rebound</w:t>
      </w:r>
      <w:r w:rsidRPr="007B093D">
        <w:rPr>
          <w:szCs w:val="22"/>
          <w:lang w:val="sk-SK"/>
        </w:rPr>
        <w:t xml:space="preserve"> efektu.</w:t>
      </w:r>
    </w:p>
    <w:p w:rsidR="0042435C" w:rsidRPr="007B093D" w:rsidRDefault="0042435C" w:rsidP="0042435C">
      <w:pPr>
        <w:spacing w:line="240" w:lineRule="auto"/>
        <w:rPr>
          <w:szCs w:val="22"/>
          <w:lang w:val="sk-SK"/>
        </w:rPr>
      </w:pPr>
      <w:r w:rsidRPr="007B093D">
        <w:rPr>
          <w:szCs w:val="22"/>
          <w:lang w:val="sk-SK"/>
        </w:rPr>
        <w:t>Perindopril redukuje hypertrofiu ľavej komory.</w:t>
      </w:r>
    </w:p>
    <w:p w:rsidR="0042435C" w:rsidRPr="007B093D" w:rsidRDefault="0042435C" w:rsidP="0042435C">
      <w:pPr>
        <w:spacing w:line="240" w:lineRule="auto"/>
        <w:rPr>
          <w:szCs w:val="22"/>
          <w:lang w:val="sk-SK"/>
        </w:rPr>
      </w:pPr>
      <w:r w:rsidRPr="007B093D">
        <w:rPr>
          <w:szCs w:val="22"/>
          <w:lang w:val="sk-SK"/>
        </w:rPr>
        <w:t>U ľudí boli potvrdené vazodilatačné vlastnosti perindoprilu. Perindopril zlepšuje elasticitu veľkých artérií a znižuje pomer média:</w:t>
      </w:r>
      <w:r w:rsidR="00DD261C">
        <w:rPr>
          <w:szCs w:val="22"/>
          <w:lang w:val="sk-SK"/>
        </w:rPr>
        <w:t xml:space="preserve"> </w:t>
      </w:r>
      <w:r w:rsidRPr="007B093D">
        <w:rPr>
          <w:szCs w:val="22"/>
          <w:lang w:val="sk-SK"/>
        </w:rPr>
        <w:t>lúmen malých artérií.</w:t>
      </w:r>
    </w:p>
    <w:p w:rsidR="0042435C" w:rsidRPr="007B093D" w:rsidRDefault="0042435C" w:rsidP="0042435C">
      <w:pPr>
        <w:pStyle w:val="EMEAEnBodyText"/>
        <w:tabs>
          <w:tab w:val="left" w:pos="567"/>
        </w:tabs>
        <w:spacing w:before="0" w:after="0"/>
        <w:jc w:val="left"/>
        <w:rPr>
          <w:szCs w:val="22"/>
          <w:lang w:val="sk-SK"/>
        </w:rPr>
      </w:pPr>
      <w:r w:rsidRPr="007B093D">
        <w:rPr>
          <w:szCs w:val="22"/>
          <w:lang w:val="sk-SK"/>
        </w:rPr>
        <w:t xml:space="preserve">Súbežná liečba tiazidovými diuretikami má aditívny synergický účinok. Kombinácia inhibítora </w:t>
      </w:r>
      <w:r w:rsidR="00F1352E">
        <w:rPr>
          <w:szCs w:val="22"/>
          <w:lang w:val="sk-SK"/>
        </w:rPr>
        <w:t xml:space="preserve">ACE </w:t>
      </w:r>
      <w:r w:rsidRPr="007B093D">
        <w:rPr>
          <w:szCs w:val="22"/>
          <w:lang w:val="sk-SK"/>
        </w:rPr>
        <w:t>a tiazidu taktiež znižuje riziko hypokaliémie vyvolanej liečbou diuretikami.</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Srdcové zlyhanie:</w:t>
      </w:r>
    </w:p>
    <w:p w:rsidR="0042435C" w:rsidRPr="007B093D" w:rsidRDefault="0042435C" w:rsidP="0042435C">
      <w:pPr>
        <w:spacing w:line="240" w:lineRule="auto"/>
        <w:rPr>
          <w:szCs w:val="22"/>
          <w:lang w:val="sk-SK"/>
        </w:rPr>
      </w:pPr>
      <w:r w:rsidRPr="007B093D">
        <w:rPr>
          <w:szCs w:val="22"/>
          <w:lang w:val="sk-SK"/>
        </w:rPr>
        <w:t xml:space="preserve">Perindopril znižuje prácu srdca znížením </w:t>
      </w:r>
      <w:r w:rsidRPr="007B093D">
        <w:rPr>
          <w:i/>
          <w:iCs/>
          <w:szCs w:val="22"/>
          <w:lang w:val="sk-SK"/>
        </w:rPr>
        <w:t>preloadu</w:t>
      </w:r>
      <w:r w:rsidRPr="007B093D">
        <w:rPr>
          <w:szCs w:val="22"/>
          <w:lang w:val="sk-SK"/>
        </w:rPr>
        <w:t xml:space="preserve"> a </w:t>
      </w:r>
      <w:r w:rsidRPr="007B093D">
        <w:rPr>
          <w:i/>
          <w:iCs/>
          <w:szCs w:val="22"/>
          <w:lang w:val="sk-SK"/>
        </w:rPr>
        <w:t>afterloadu</w:t>
      </w:r>
      <w:r w:rsidRPr="007B093D">
        <w:rPr>
          <w:szCs w:val="22"/>
          <w:lang w:val="sk-SK"/>
        </w:rPr>
        <w:t>.</w:t>
      </w:r>
    </w:p>
    <w:p w:rsidR="0042435C" w:rsidRPr="007B093D" w:rsidRDefault="0042435C" w:rsidP="0042435C">
      <w:pPr>
        <w:spacing w:line="240" w:lineRule="auto"/>
        <w:rPr>
          <w:szCs w:val="22"/>
          <w:lang w:val="sk-SK"/>
        </w:rPr>
      </w:pPr>
      <w:r w:rsidRPr="007B093D">
        <w:rPr>
          <w:szCs w:val="22"/>
          <w:lang w:val="sk-SK"/>
        </w:rPr>
        <w:t>Štúdie u pacientov so srdcovým zlyhaním preukázali:</w:t>
      </w:r>
    </w:p>
    <w:p w:rsidR="0042435C" w:rsidRPr="007B093D" w:rsidRDefault="0042435C" w:rsidP="0042435C">
      <w:pPr>
        <w:spacing w:line="240" w:lineRule="auto"/>
        <w:rPr>
          <w:szCs w:val="22"/>
          <w:lang w:val="sk-SK"/>
        </w:rPr>
      </w:pPr>
      <w:r w:rsidRPr="007B093D">
        <w:rPr>
          <w:szCs w:val="22"/>
          <w:lang w:val="sk-SK"/>
        </w:rPr>
        <w:t xml:space="preserve">                –    zníženie plniacich tlakov ľavej a pravej komory,</w:t>
      </w:r>
    </w:p>
    <w:p w:rsidR="0042435C" w:rsidRPr="007B093D" w:rsidRDefault="0042435C" w:rsidP="0042435C">
      <w:pPr>
        <w:numPr>
          <w:ilvl w:val="0"/>
          <w:numId w:val="5"/>
        </w:numPr>
        <w:spacing w:line="240" w:lineRule="auto"/>
        <w:rPr>
          <w:szCs w:val="22"/>
          <w:lang w:val="sk-SK"/>
        </w:rPr>
      </w:pPr>
      <w:r w:rsidRPr="007B093D">
        <w:rPr>
          <w:szCs w:val="22"/>
          <w:lang w:val="sk-SK"/>
        </w:rPr>
        <w:t>zníženie celkovej periférnej cievnej rezistencie,</w:t>
      </w:r>
    </w:p>
    <w:p w:rsidR="0042435C" w:rsidRPr="007B093D" w:rsidRDefault="0042435C" w:rsidP="0042435C">
      <w:pPr>
        <w:numPr>
          <w:ilvl w:val="0"/>
          <w:numId w:val="5"/>
        </w:numPr>
        <w:spacing w:line="240" w:lineRule="auto"/>
        <w:rPr>
          <w:szCs w:val="22"/>
          <w:lang w:val="sk-SK"/>
        </w:rPr>
      </w:pPr>
      <w:r w:rsidRPr="007B093D">
        <w:rPr>
          <w:szCs w:val="22"/>
          <w:lang w:val="sk-SK"/>
        </w:rPr>
        <w:t>zvýšenie srdcového výdaja a zlepšenie kardiálneho indexu.</w:t>
      </w:r>
    </w:p>
    <w:p w:rsidR="0042435C" w:rsidRPr="007B093D" w:rsidRDefault="0042435C" w:rsidP="0042435C">
      <w:pPr>
        <w:tabs>
          <w:tab w:val="left" w:pos="284"/>
        </w:tabs>
        <w:spacing w:line="240" w:lineRule="auto"/>
        <w:rPr>
          <w:szCs w:val="22"/>
          <w:lang w:val="sk-SK"/>
        </w:rPr>
      </w:pPr>
      <w:r w:rsidRPr="007B093D">
        <w:rPr>
          <w:szCs w:val="22"/>
          <w:lang w:val="sk-SK"/>
        </w:rPr>
        <w:t xml:space="preserve">V porovnávajúcich štúdiách neviedlo podanie prvej dávky 2,5 mg </w:t>
      </w:r>
      <w:r w:rsidRPr="007B093D">
        <w:rPr>
          <w:szCs w:val="22"/>
          <w:lang w:val="sk-SK" w:eastAsia="sk-SK"/>
        </w:rPr>
        <w:t>perindoprilarginínu</w:t>
      </w:r>
      <w:r w:rsidRPr="007B093D">
        <w:rPr>
          <w:szCs w:val="22"/>
          <w:lang w:val="sk-SK"/>
        </w:rPr>
        <w:t xml:space="preserve"> pacientom s miernym až stredne závažným srdcovým zlyhaním v porovnaní s placebom k žiadnemu signifikantnému zníženiu tlaku krvi.</w:t>
      </w:r>
    </w:p>
    <w:p w:rsidR="0042435C" w:rsidRPr="007B093D" w:rsidRDefault="0042435C" w:rsidP="0042435C">
      <w:pPr>
        <w:tabs>
          <w:tab w:val="left" w:pos="284"/>
        </w:tabs>
        <w:spacing w:line="240" w:lineRule="auto"/>
        <w:rPr>
          <w:szCs w:val="22"/>
          <w:lang w:val="sk-SK"/>
        </w:rPr>
      </w:pPr>
    </w:p>
    <w:p w:rsidR="0042435C" w:rsidRPr="007B093D" w:rsidRDefault="0042435C" w:rsidP="0042435C">
      <w:pPr>
        <w:spacing w:line="240" w:lineRule="auto"/>
        <w:rPr>
          <w:rFonts w:eastAsia="Arial Unicode MS"/>
          <w:szCs w:val="22"/>
          <w:u w:val="single"/>
          <w:lang w:val="sk-SK"/>
        </w:rPr>
      </w:pPr>
      <w:r w:rsidRPr="007B093D">
        <w:rPr>
          <w:rFonts w:eastAsia="Arial Unicode MS"/>
          <w:szCs w:val="22"/>
          <w:u w:val="single"/>
          <w:lang w:val="sk-SK"/>
        </w:rPr>
        <w:t>Pacienti so stabilnou koronárnou chorobou srdca:</w:t>
      </w:r>
    </w:p>
    <w:p w:rsidR="0042435C" w:rsidRPr="007B093D" w:rsidRDefault="0042435C" w:rsidP="0042435C">
      <w:pPr>
        <w:pStyle w:val="Zarkazkladnhotextu"/>
        <w:ind w:left="0"/>
        <w:jc w:val="left"/>
        <w:rPr>
          <w:lang w:val="sk-SK"/>
        </w:rPr>
      </w:pPr>
      <w:r w:rsidRPr="007B093D">
        <w:rPr>
          <w:lang w:val="sk-SK"/>
        </w:rPr>
        <w:t>Štúdia EUROPA bola multicentrická, medzinárodná, randomizovaná, dvojito zaslepená, placebom kontrolovaná klinická štúdia, ktorá trvala 4 roky.</w:t>
      </w:r>
    </w:p>
    <w:p w:rsidR="0042435C" w:rsidRPr="007B093D" w:rsidRDefault="0042435C" w:rsidP="0042435C">
      <w:pPr>
        <w:pStyle w:val="Zarkazkladnhotextu"/>
        <w:ind w:left="0"/>
        <w:jc w:val="left"/>
        <w:rPr>
          <w:lang w:val="sk-SK"/>
        </w:rPr>
      </w:pPr>
      <w:r w:rsidRPr="007B093D">
        <w:rPr>
          <w:lang w:val="sk-SK"/>
        </w:rPr>
        <w:t xml:space="preserve">Dvanásťtisícdvestoosemnásť (12 218) pacientov vo veku nad 18 rokov bolo randomizovaných na 8 mg </w:t>
      </w:r>
      <w:r w:rsidRPr="007B093D">
        <w:rPr>
          <w:i/>
          <w:lang w:val="sk-SK"/>
        </w:rPr>
        <w:t>terc</w:t>
      </w:r>
      <w:r w:rsidRPr="007B093D">
        <w:rPr>
          <w:lang w:val="sk-SK"/>
        </w:rPr>
        <w:t xml:space="preserve">-butylamínovej soli perindoprilu (ekvivalentných s 10 mg perindoprilarginínu) (n=6 110) alebo placebo (n=6 108). </w:t>
      </w:r>
    </w:p>
    <w:p w:rsidR="0042435C" w:rsidRPr="007B093D" w:rsidRDefault="0042435C" w:rsidP="0042435C">
      <w:pPr>
        <w:pStyle w:val="Zarkazkladnhotextu"/>
        <w:ind w:left="0"/>
        <w:jc w:val="left"/>
        <w:rPr>
          <w:lang w:val="sk-SK"/>
        </w:rPr>
      </w:pPr>
      <w:r w:rsidRPr="007B093D">
        <w:rPr>
          <w:lang w:val="sk-SK"/>
        </w:rPr>
        <w:t>Populácia v štúdii mala potvrdenú koronárnu chorobu srdca bez klinických známok srdcového zlyhania. Celkovo 90% pacientov prekonalo v minulosti infarkt myokardu a/alebo boli po koronárnej revaskularizácii. Väčšine pacientov bol skúšaný produkt pridaný ku konvenčnej liečbe zahŕňajúcej antiagregačné látky, hypolipidemiká a beta-blokátory.</w:t>
      </w:r>
    </w:p>
    <w:p w:rsidR="0042435C" w:rsidRPr="007B093D" w:rsidRDefault="0042435C" w:rsidP="0042435C">
      <w:pPr>
        <w:pStyle w:val="Zarkazkladnhotextu"/>
        <w:ind w:left="0"/>
        <w:jc w:val="left"/>
        <w:rPr>
          <w:lang w:val="sk-SK"/>
        </w:rPr>
      </w:pPr>
      <w:r w:rsidRPr="007B093D">
        <w:rPr>
          <w:lang w:val="sk-SK"/>
        </w:rPr>
        <w:t xml:space="preserve">Hlavné hodnotiace kritérium účinnosti bol kompozit </w:t>
      </w:r>
      <w:r w:rsidRPr="007B093D">
        <w:rPr>
          <w:lang w:val="sk-SK" w:eastAsia="en-US"/>
        </w:rPr>
        <w:t xml:space="preserve">kardiovaskulárnej mortality, nefatálneho infarktu myokardu a/alebo zastavenia srdca s úspešnou resuscitáciou. Liečba 8 mg </w:t>
      </w:r>
      <w:r w:rsidRPr="007B093D">
        <w:rPr>
          <w:i/>
          <w:lang w:val="sk-SK" w:eastAsia="en-US"/>
        </w:rPr>
        <w:t>terc</w:t>
      </w:r>
      <w:r w:rsidRPr="007B093D">
        <w:rPr>
          <w:lang w:val="sk-SK" w:eastAsia="en-US"/>
        </w:rPr>
        <w:t>-butylamínovej soli perindoprilu (</w:t>
      </w:r>
      <w:r w:rsidRPr="007B093D">
        <w:rPr>
          <w:lang w:val="sk-SK"/>
        </w:rPr>
        <w:t>ekvivalentných s </w:t>
      </w:r>
      <w:r w:rsidRPr="007B093D">
        <w:rPr>
          <w:lang w:val="sk-SK" w:eastAsia="en-US"/>
        </w:rPr>
        <w:t>10 </w:t>
      </w:r>
      <w:r w:rsidRPr="007B093D">
        <w:rPr>
          <w:lang w:val="sk-SK"/>
        </w:rPr>
        <w:t>mg perindoprilarginínu) raz denne viedla k signifikantnému absolútnemu zníženiu primárneho cieľa o 1,9% (zníženie relatívneho rizika o 20%, 95% IS [9,4; 28,6] – p&lt;0,001).</w:t>
      </w:r>
    </w:p>
    <w:p w:rsidR="0042435C" w:rsidRPr="007B093D" w:rsidRDefault="0042435C" w:rsidP="0042435C">
      <w:pPr>
        <w:pStyle w:val="Zarkazkladnhotextu"/>
        <w:ind w:left="0"/>
        <w:jc w:val="left"/>
        <w:rPr>
          <w:lang w:val="sk-SK"/>
        </w:rPr>
      </w:pPr>
      <w:r w:rsidRPr="007B093D">
        <w:rPr>
          <w:lang w:val="sk-SK"/>
        </w:rPr>
        <w:t>U pacientov s infarktom myokardu a/alebo revaskularizáciou v anamnéze bolo v porovnaní s placebom pozorované absolútne zníženie primárneho cieľa o 2,2%, zodpovedajúce zníženiu relatívneho rizika (RRR) o 22,4% (95% IS [12,0; 31,6] – p&lt;0,001).</w:t>
      </w:r>
    </w:p>
    <w:p w:rsidR="0042435C" w:rsidRPr="007B093D" w:rsidRDefault="0042435C" w:rsidP="0042435C">
      <w:pPr>
        <w:pStyle w:val="Zarkazkladnhotextu"/>
        <w:ind w:left="0"/>
        <w:jc w:val="left"/>
        <w:rPr>
          <w:lang w:val="sk-SK"/>
        </w:rPr>
      </w:pPr>
    </w:p>
    <w:p w:rsidR="0042435C" w:rsidRPr="007B093D" w:rsidRDefault="0042435C" w:rsidP="0042435C">
      <w:pPr>
        <w:pStyle w:val="Zarkazkladnhotextu"/>
        <w:ind w:left="0"/>
        <w:rPr>
          <w:u w:val="single"/>
          <w:lang w:val="sk-SK"/>
        </w:rPr>
      </w:pPr>
      <w:r w:rsidRPr="007B093D">
        <w:rPr>
          <w:u w:val="single"/>
          <w:lang w:val="sk-SK"/>
        </w:rPr>
        <w:t>Použitie v pediatrickej populácii:</w:t>
      </w:r>
    </w:p>
    <w:p w:rsidR="0042435C" w:rsidRPr="007B093D" w:rsidRDefault="0042435C" w:rsidP="0042435C">
      <w:pPr>
        <w:pStyle w:val="Zarkazkladnhotextu"/>
        <w:ind w:left="0"/>
        <w:rPr>
          <w:lang w:val="sk-SK"/>
        </w:rPr>
      </w:pPr>
      <w:r w:rsidRPr="007B093D">
        <w:rPr>
          <w:lang w:val="sk-SK"/>
        </w:rPr>
        <w:t>Bezpečnosť a účinnosť perindoprilu u detí a dospievajúcich mladších ako 18 rokov nebola stanovená.</w:t>
      </w:r>
    </w:p>
    <w:p w:rsidR="0042435C" w:rsidRPr="007B093D" w:rsidRDefault="0042435C" w:rsidP="0042435C">
      <w:pPr>
        <w:pStyle w:val="Zarkazkladnhotextu"/>
        <w:ind w:left="0"/>
        <w:rPr>
          <w:lang w:val="sk-SK"/>
        </w:rPr>
      </w:pPr>
      <w:r w:rsidRPr="007B093D">
        <w:rPr>
          <w:lang w:val="sk-SK"/>
        </w:rPr>
        <w:t>V otvorenej neporovnávacej klinickej štúdii u 62 detí s hypertenziou vo veku 2 až 15 rokov s rýchlosťou glomerulárnej filtrácie &gt; 30 ml/min/1,73 m</w:t>
      </w:r>
      <w:r w:rsidRPr="007B093D">
        <w:rPr>
          <w:vertAlign w:val="superscript"/>
          <w:lang w:val="sk-SK"/>
        </w:rPr>
        <w:t>2</w:t>
      </w:r>
      <w:r w:rsidRPr="007B093D">
        <w:rPr>
          <w:lang w:val="sk-SK"/>
        </w:rPr>
        <w:t>, dostávali pacienti perindopril s priemernou dávkou 0,07 mg/kg. Dávka bola individualizovaná podľa profilu pacienta a odpovede krvného tlaku až do maximálnej dávky 0,135 mg/kg/deň.</w:t>
      </w:r>
    </w:p>
    <w:p w:rsidR="0042435C" w:rsidRPr="007B093D" w:rsidRDefault="0042435C" w:rsidP="0042435C">
      <w:pPr>
        <w:pStyle w:val="Zarkazkladnhotextu"/>
        <w:ind w:left="0"/>
        <w:rPr>
          <w:lang w:val="sk-SK"/>
        </w:rPr>
      </w:pPr>
      <w:r w:rsidRPr="007B093D">
        <w:rPr>
          <w:lang w:val="sk-SK"/>
        </w:rPr>
        <w:t>59 pacientov dokončilo obdobie troch mesiacov a 36 pacientov dokončilo predĺžené obdobie štúdie, t.j. boli sledovaní najmenej 24 mesiacov (priemerné trvanie štúdie: 44 mesiacov).</w:t>
      </w:r>
    </w:p>
    <w:p w:rsidR="0042435C" w:rsidRPr="007B093D" w:rsidRDefault="0042435C" w:rsidP="0042435C">
      <w:pPr>
        <w:pStyle w:val="Zarkazkladnhotextu"/>
        <w:ind w:left="0"/>
        <w:rPr>
          <w:lang w:val="sk-SK"/>
        </w:rPr>
      </w:pPr>
      <w:r w:rsidRPr="007B093D">
        <w:rPr>
          <w:lang w:val="sk-SK"/>
        </w:rPr>
        <w:t>Systolický a diastolický krvný tlak zostal stabilný od zaradenia do štúdie až po posledné hodnotenie u pacientov, ktorí boli už liečení inými antihypertenzívami, a znížil sa u pacientov bez skúsenosti s liečbou.</w:t>
      </w:r>
    </w:p>
    <w:p w:rsidR="0042435C" w:rsidRPr="007B093D" w:rsidRDefault="0042435C" w:rsidP="0042435C">
      <w:pPr>
        <w:pStyle w:val="Zarkazkladnhotextu"/>
        <w:ind w:left="0"/>
        <w:rPr>
          <w:lang w:val="sk-SK"/>
        </w:rPr>
      </w:pPr>
      <w:r w:rsidRPr="007B093D">
        <w:rPr>
          <w:lang w:val="sk-SK"/>
        </w:rPr>
        <w:t>Viac ako 75 % detí malo pri poslednom hodnotení systolický a diastolický krvný tlak pod 95. percentilom.</w:t>
      </w:r>
    </w:p>
    <w:p w:rsidR="0042435C" w:rsidRPr="007B093D" w:rsidRDefault="0042435C" w:rsidP="0042435C">
      <w:pPr>
        <w:pStyle w:val="Zarkazkladnhotextu"/>
        <w:ind w:left="0"/>
        <w:jc w:val="left"/>
        <w:rPr>
          <w:lang w:val="sk-SK"/>
        </w:rPr>
      </w:pPr>
      <w:r w:rsidRPr="007B093D">
        <w:rPr>
          <w:lang w:val="sk-SK"/>
        </w:rPr>
        <w:t>Bezpečnosť bola zhodná so známym bezpečnostným profilom perindoprilu.</w:t>
      </w:r>
    </w:p>
    <w:p w:rsidR="0042435C" w:rsidRPr="007B093D" w:rsidRDefault="0042435C" w:rsidP="0042435C">
      <w:pPr>
        <w:pStyle w:val="Zarkazkladnhotextu"/>
        <w:ind w:left="0"/>
        <w:jc w:val="left"/>
        <w:rPr>
          <w:lang w:val="sk-SK"/>
        </w:rPr>
      </w:pPr>
    </w:p>
    <w:p w:rsidR="0042435C" w:rsidRPr="007B093D" w:rsidRDefault="0042435C" w:rsidP="0042435C">
      <w:pPr>
        <w:tabs>
          <w:tab w:val="clear" w:pos="567"/>
          <w:tab w:val="left" w:pos="708"/>
        </w:tabs>
        <w:autoSpaceDE w:val="0"/>
        <w:autoSpaceDN w:val="0"/>
        <w:adjustRightInd w:val="0"/>
        <w:spacing w:line="240" w:lineRule="auto"/>
        <w:rPr>
          <w:bCs/>
          <w:szCs w:val="22"/>
          <w:u w:val="single"/>
          <w:lang w:val="sk-SK"/>
        </w:rPr>
      </w:pPr>
      <w:r w:rsidRPr="007B093D">
        <w:rPr>
          <w:szCs w:val="22"/>
          <w:u w:val="single"/>
          <w:lang w:val="sk-SK" w:eastAsia="en-GB"/>
        </w:rPr>
        <w:t xml:space="preserve">Údaje z klinických skúšaní duálnej inhibície systému </w:t>
      </w:r>
      <w:r w:rsidRPr="007B093D">
        <w:rPr>
          <w:bCs/>
          <w:szCs w:val="22"/>
          <w:u w:val="single"/>
          <w:lang w:val="sk-SK"/>
        </w:rPr>
        <w:t>renín-angiotenzín-aldosterón (RAAS):</w:t>
      </w:r>
    </w:p>
    <w:p w:rsidR="0042435C" w:rsidRPr="007B093D" w:rsidRDefault="0042435C" w:rsidP="0042435C">
      <w:pPr>
        <w:pStyle w:val="Bezriadkovania"/>
        <w:rPr>
          <w:szCs w:val="22"/>
          <w:lang w:val="sk-SK"/>
        </w:rPr>
      </w:pPr>
      <w:r w:rsidRPr="007B093D">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42435C" w:rsidRPr="007B093D" w:rsidRDefault="0042435C" w:rsidP="0042435C">
      <w:pPr>
        <w:pStyle w:val="Bezriadkovania"/>
        <w:rPr>
          <w:szCs w:val="22"/>
          <w:lang w:val="fr-FR"/>
        </w:rPr>
      </w:pPr>
      <w:r w:rsidRPr="007B093D">
        <w:rPr>
          <w:szCs w:val="22"/>
          <w:lang w:val="sk-SK"/>
        </w:rPr>
        <w:t xml:space="preserve">Skúšanie ONTARGET sa vykonalo u pacientov s kardiovaskulárnym alebo cerebrovaskulárnym ochorením v anamnéze, alebo u pacientov s diabetom mellitus 2. typu, u ktorých sa preukázalo poškodenie cieľových orgánov. </w:t>
      </w:r>
      <w:r w:rsidRPr="007B093D">
        <w:rPr>
          <w:szCs w:val="22"/>
          <w:lang w:val="fr-FR"/>
        </w:rPr>
        <w:t>Skúšanie VA NEPHRON-D sa vykonalo u pacientov s diabetom mellitus 2. typu a diabetickou nefropatiou.</w:t>
      </w:r>
    </w:p>
    <w:p w:rsidR="0042435C" w:rsidRPr="007B093D" w:rsidRDefault="0042435C" w:rsidP="0042435C">
      <w:pPr>
        <w:pStyle w:val="Bezriadkovania"/>
        <w:rPr>
          <w:szCs w:val="22"/>
          <w:lang w:val="fr-FR"/>
        </w:rPr>
      </w:pPr>
      <w:r w:rsidRPr="007B093D">
        <w:rPr>
          <w:szCs w:val="22"/>
          <w:lang w:val="fr-FR"/>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42435C" w:rsidRPr="007B093D" w:rsidRDefault="0042435C" w:rsidP="0042435C">
      <w:pPr>
        <w:pStyle w:val="Bezriadkovania"/>
        <w:rPr>
          <w:szCs w:val="22"/>
          <w:lang w:val="fr-FR"/>
        </w:rPr>
      </w:pPr>
      <w:r w:rsidRPr="007B093D">
        <w:rPr>
          <w:szCs w:val="22"/>
          <w:lang w:val="fr-FR"/>
        </w:rPr>
        <w:t>Vzhľadom na podobné farmakodynamické vlastnosti sú tieto výsledky relevantné aj pre ostatné inhibítory ACE a blokátory receptorov angiotenzínu II.</w:t>
      </w:r>
    </w:p>
    <w:p w:rsidR="0042435C" w:rsidRPr="007B093D" w:rsidRDefault="0042435C" w:rsidP="0042435C">
      <w:pPr>
        <w:pStyle w:val="Bezriadkovania"/>
        <w:rPr>
          <w:szCs w:val="22"/>
          <w:lang w:val="fr-FR"/>
        </w:rPr>
      </w:pPr>
    </w:p>
    <w:p w:rsidR="0042435C" w:rsidRPr="007B093D" w:rsidRDefault="0042435C" w:rsidP="0042435C">
      <w:pPr>
        <w:pStyle w:val="Bezriadkovania"/>
        <w:rPr>
          <w:szCs w:val="22"/>
          <w:lang w:val="fr-FR"/>
        </w:rPr>
      </w:pPr>
      <w:r w:rsidRPr="007B093D">
        <w:rPr>
          <w:szCs w:val="22"/>
          <w:lang w:val="fr-FR"/>
        </w:rPr>
        <w:t>Inhibítory ACE a blokátory receptorov angiotenzínu II sa preto nemajú používať súbežne u pacientov s diabetickou nefropatiou.</w:t>
      </w:r>
    </w:p>
    <w:p w:rsidR="0042435C" w:rsidRPr="007B093D" w:rsidRDefault="0042435C" w:rsidP="0042435C">
      <w:pPr>
        <w:pStyle w:val="Bezriadkovania"/>
        <w:rPr>
          <w:szCs w:val="22"/>
          <w:lang w:val="fr-FR"/>
        </w:rPr>
      </w:pPr>
    </w:p>
    <w:p w:rsidR="0042435C" w:rsidRPr="007B093D" w:rsidRDefault="0042435C" w:rsidP="0042435C">
      <w:pPr>
        <w:keepNext/>
        <w:keepLines/>
        <w:rPr>
          <w:szCs w:val="22"/>
          <w:lang w:val="sk-SK"/>
        </w:rPr>
      </w:pPr>
      <w:r w:rsidRPr="007B093D">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42435C" w:rsidRPr="007B093D" w:rsidRDefault="0042435C" w:rsidP="0042435C">
      <w:pPr>
        <w:keepNext/>
        <w:keepLines/>
        <w:spacing w:line="240" w:lineRule="auto"/>
        <w:rPr>
          <w:b/>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5.2</w:t>
      </w:r>
      <w:r w:rsidRPr="007B093D">
        <w:rPr>
          <w:b/>
          <w:szCs w:val="22"/>
          <w:lang w:val="sk-SK"/>
        </w:rPr>
        <w:tab/>
        <w:t>Farmakokinetické vlastnosti</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Absorpcia</w:t>
      </w:r>
    </w:p>
    <w:p w:rsidR="0042435C" w:rsidRPr="007B093D" w:rsidRDefault="0042435C" w:rsidP="0042435C">
      <w:pPr>
        <w:spacing w:line="240" w:lineRule="auto"/>
        <w:rPr>
          <w:szCs w:val="22"/>
          <w:lang w:val="sk-SK"/>
        </w:rPr>
      </w:pPr>
      <w:r w:rsidRPr="007B093D">
        <w:rPr>
          <w:szCs w:val="22"/>
          <w:lang w:val="sk-SK"/>
        </w:rPr>
        <w:t>Po perorálnom podaní je absorpcia perindoprilu rýchla a maximálna koncentrácia sa dosiahne v priebehu 1 hodiny. Plazmatický polčas perindoprilu je 1 hodina.</w:t>
      </w:r>
    </w:p>
    <w:p w:rsidR="0042435C" w:rsidRPr="007B093D" w:rsidRDefault="0042435C" w:rsidP="0042435C">
      <w:pPr>
        <w:spacing w:line="240" w:lineRule="auto"/>
        <w:rPr>
          <w:szCs w:val="22"/>
          <w:lang w:val="sk-SK"/>
        </w:rPr>
      </w:pPr>
      <w:r w:rsidRPr="007B093D">
        <w:rPr>
          <w:szCs w:val="22"/>
          <w:lang w:val="sk-SK"/>
        </w:rPr>
        <w:t>Perindopril je prekurzor.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42435C" w:rsidRPr="007B093D" w:rsidRDefault="0042435C" w:rsidP="0042435C">
      <w:pPr>
        <w:spacing w:line="240" w:lineRule="auto"/>
        <w:rPr>
          <w:szCs w:val="22"/>
          <w:lang w:val="sk-SK"/>
        </w:rPr>
      </w:pPr>
      <w:r w:rsidRPr="007B093D">
        <w:rPr>
          <w:szCs w:val="22"/>
          <w:lang w:val="sk-SK"/>
        </w:rPr>
        <w:t>Keďže požitie jedla znižuje premenu na perindoprilát, a tým aj biodostupnosť, p</w:t>
      </w:r>
      <w:r w:rsidRPr="007B093D">
        <w:rPr>
          <w:szCs w:val="22"/>
          <w:lang w:val="sk-SK" w:eastAsia="sk-SK"/>
        </w:rPr>
        <w:t>erindoprilarginín</w:t>
      </w:r>
      <w:r w:rsidRPr="007B093D">
        <w:rPr>
          <w:szCs w:val="22"/>
          <w:lang w:val="sk-SK"/>
        </w:rPr>
        <w:t xml:space="preserve"> sa má podávať perorálne v jednorazovej dennej dávke ráno pred jedlom.</w:t>
      </w:r>
    </w:p>
    <w:p w:rsidR="0042435C" w:rsidRPr="007B093D" w:rsidRDefault="0042435C" w:rsidP="0042435C">
      <w:pPr>
        <w:spacing w:line="240" w:lineRule="auto"/>
        <w:rPr>
          <w:szCs w:val="22"/>
          <w:lang w:val="sk-SK"/>
        </w:rPr>
      </w:pPr>
      <w:r w:rsidRPr="007B093D">
        <w:rPr>
          <w:szCs w:val="22"/>
          <w:lang w:val="sk-SK"/>
        </w:rPr>
        <w:t>Bol dokázaný lineárny vzťah medzi dávkou perindoprilu a jeho expozíciou v plazme.</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bCs/>
          <w:iCs/>
          <w:szCs w:val="22"/>
          <w:lang w:val="sk-SK"/>
        </w:rPr>
      </w:pPr>
      <w:r w:rsidRPr="007B093D">
        <w:rPr>
          <w:szCs w:val="22"/>
          <w:u w:val="single"/>
          <w:lang w:val="sk-SK"/>
        </w:rPr>
        <w:t>Distribúcia</w:t>
      </w:r>
    </w:p>
    <w:p w:rsidR="0042435C" w:rsidRPr="007B093D" w:rsidRDefault="0042435C" w:rsidP="0042435C">
      <w:pPr>
        <w:spacing w:line="240" w:lineRule="auto"/>
        <w:rPr>
          <w:bCs/>
          <w:iCs/>
          <w:szCs w:val="22"/>
          <w:lang w:val="sk-SK"/>
        </w:rPr>
      </w:pPr>
      <w:r w:rsidRPr="007B093D">
        <w:rPr>
          <w:bCs/>
          <w:iCs/>
          <w:szCs w:val="22"/>
          <w:lang w:val="sk-SK"/>
        </w:rPr>
        <w:t>Distribučný objem neviazaného perindoprilátu je približne 0,2 l/kg. Väzba perindoprilátu na plazmatické bielkoviny je 20 %, prevažne na angiotenzín-konvertujúci enzým, ale je závislá od koncentrácie.</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lang w:val="sk-SK"/>
        </w:rPr>
      </w:pPr>
      <w:r w:rsidRPr="007B093D">
        <w:rPr>
          <w:szCs w:val="22"/>
          <w:u w:val="single"/>
          <w:lang w:val="sk-SK"/>
        </w:rPr>
        <w:t>Eliminácia</w:t>
      </w:r>
    </w:p>
    <w:p w:rsidR="0042435C" w:rsidRPr="007B093D" w:rsidRDefault="0042435C" w:rsidP="0042435C">
      <w:pPr>
        <w:spacing w:line="240" w:lineRule="auto"/>
        <w:rPr>
          <w:szCs w:val="22"/>
          <w:lang w:val="sk-SK"/>
        </w:rPr>
      </w:pPr>
      <w:r w:rsidRPr="007B093D">
        <w:rPr>
          <w:szCs w:val="22"/>
          <w:lang w:val="sk-SK"/>
        </w:rPr>
        <w:t>Perindoprilát sa eliminuje močom a konečný polčas neviazanej frakcie je približne 17 hodín, takže rovnovážny stav sa dosiahne v priebehu 4 dní.</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lang w:val="sk-SK"/>
        </w:rPr>
      </w:pPr>
      <w:r w:rsidRPr="007B093D">
        <w:rPr>
          <w:szCs w:val="22"/>
          <w:u w:val="single"/>
          <w:lang w:val="sk-SK"/>
        </w:rPr>
        <w:t>Osobitné skupiny pacientov</w:t>
      </w:r>
    </w:p>
    <w:p w:rsidR="0042435C" w:rsidRPr="007B093D" w:rsidRDefault="0042435C" w:rsidP="0042435C">
      <w:pPr>
        <w:spacing w:line="240" w:lineRule="auto"/>
        <w:rPr>
          <w:szCs w:val="22"/>
          <w:lang w:val="sk-SK"/>
        </w:rPr>
      </w:pPr>
      <w:r w:rsidRPr="007B093D">
        <w:rPr>
          <w:szCs w:val="22"/>
          <w:lang w:val="sk-SK"/>
        </w:rPr>
        <w:t xml:space="preserve">Vylučovanie perindoprilátu je znížené u starších osôb, a tiež u pacientov so srdcovým alebo renálnym zlyhaním. Úprava dávkovania pri renálnej insuficiencii sa vyžaduje v závislosti od stupňa </w:t>
      </w:r>
      <w:r w:rsidR="00F1352E" w:rsidRPr="007B093D">
        <w:rPr>
          <w:szCs w:val="22"/>
          <w:lang w:val="sk-SK"/>
        </w:rPr>
        <w:t>po</w:t>
      </w:r>
      <w:r w:rsidR="00F1352E">
        <w:rPr>
          <w:szCs w:val="22"/>
          <w:lang w:val="sk-SK"/>
        </w:rPr>
        <w:t>ruchy</w:t>
      </w:r>
      <w:r w:rsidR="00F1352E" w:rsidRPr="007B093D">
        <w:rPr>
          <w:szCs w:val="22"/>
          <w:lang w:val="sk-SK"/>
        </w:rPr>
        <w:t xml:space="preserve"> </w:t>
      </w:r>
      <w:r w:rsidRPr="007B093D">
        <w:rPr>
          <w:szCs w:val="22"/>
          <w:lang w:val="sk-SK"/>
        </w:rPr>
        <w:t>(klírensu kreatinínu).</w:t>
      </w:r>
    </w:p>
    <w:p w:rsidR="0042435C" w:rsidRPr="007B093D" w:rsidRDefault="0042435C" w:rsidP="0042435C">
      <w:pPr>
        <w:spacing w:line="240" w:lineRule="auto"/>
        <w:rPr>
          <w:szCs w:val="22"/>
          <w:lang w:val="sk-SK"/>
        </w:rPr>
      </w:pPr>
      <w:r w:rsidRPr="007B093D">
        <w:rPr>
          <w:szCs w:val="22"/>
          <w:lang w:val="sk-SK"/>
        </w:rPr>
        <w:t>Dialyzačný klírens perindoprilátu je 70 ml/min.</w:t>
      </w:r>
    </w:p>
    <w:p w:rsidR="0042435C" w:rsidRPr="007B093D" w:rsidRDefault="0042435C" w:rsidP="0042435C">
      <w:pPr>
        <w:spacing w:line="240" w:lineRule="auto"/>
        <w:rPr>
          <w:szCs w:val="22"/>
          <w:lang w:val="sk-SK"/>
        </w:rPr>
      </w:pPr>
      <w:r w:rsidRPr="007B093D">
        <w:rPr>
          <w:szCs w:val="22"/>
          <w:lang w:val="sk-SK"/>
        </w:rPr>
        <w:lastRenderedPageBreak/>
        <w:t>Kinetika perindoprilu je modifikovaná u pacientov s cirhózou: hepatálny klírens pôvodnej molekuly je znížený o polovicu. Množstvo vytvoreného perindoprilátu však nie je znížené, a preto nie je nutná úprava dávkovania (pozri časti 4.2 a 4.4).</w:t>
      </w:r>
    </w:p>
    <w:p w:rsidR="0042435C" w:rsidRPr="007B093D" w:rsidRDefault="0042435C" w:rsidP="0042435C">
      <w:pPr>
        <w:spacing w:line="240" w:lineRule="auto"/>
        <w:rPr>
          <w:bCs/>
          <w:iCs/>
          <w:szCs w:val="22"/>
          <w:lang w:val="sk-SK"/>
        </w:rPr>
      </w:pPr>
    </w:p>
    <w:p w:rsidR="0042435C" w:rsidRPr="007B093D" w:rsidRDefault="0042435C" w:rsidP="0042435C">
      <w:pPr>
        <w:keepNext/>
        <w:spacing w:line="240" w:lineRule="auto"/>
        <w:rPr>
          <w:b/>
          <w:szCs w:val="22"/>
          <w:lang w:val="sk-SK"/>
        </w:rPr>
      </w:pPr>
      <w:r w:rsidRPr="007B093D">
        <w:rPr>
          <w:b/>
          <w:szCs w:val="22"/>
          <w:lang w:val="sk-SK"/>
        </w:rPr>
        <w:t>5.3</w:t>
      </w:r>
      <w:r w:rsidRPr="007B093D">
        <w:rPr>
          <w:b/>
          <w:szCs w:val="22"/>
          <w:lang w:val="sk-SK"/>
        </w:rPr>
        <w:tab/>
        <w:t>Predklinické údaje o bezpečnosti</w:t>
      </w:r>
    </w:p>
    <w:p w:rsidR="0042435C" w:rsidRPr="007B093D" w:rsidRDefault="0042435C" w:rsidP="0042435C">
      <w:pPr>
        <w:spacing w:line="240" w:lineRule="auto"/>
        <w:rPr>
          <w:bCs/>
          <w:iCs/>
          <w:szCs w:val="22"/>
          <w:lang w:val="sk-SK"/>
        </w:rPr>
      </w:pPr>
    </w:p>
    <w:p w:rsidR="0042435C" w:rsidRPr="007B093D" w:rsidRDefault="0042435C" w:rsidP="0042435C">
      <w:pPr>
        <w:spacing w:line="240" w:lineRule="auto"/>
        <w:rPr>
          <w:bCs/>
          <w:iCs/>
          <w:szCs w:val="22"/>
          <w:lang w:val="sk-SK"/>
        </w:rPr>
      </w:pPr>
      <w:r w:rsidRPr="007B093D">
        <w:rPr>
          <w:szCs w:val="22"/>
          <w:lang w:val="sk-SK"/>
        </w:rPr>
        <w:t>V štúdiách chronickej perorálnej toxicity (na potkanoch a opiciach) sú cieľovým orgánom obličky s reverzibilným poškodením</w:t>
      </w:r>
      <w:r w:rsidRPr="007B093D">
        <w:rPr>
          <w:bCs/>
          <w:iCs/>
          <w:szCs w:val="22"/>
          <w:lang w:val="sk-SK"/>
        </w:rPr>
        <w:t>.</w:t>
      </w:r>
    </w:p>
    <w:p w:rsidR="0042435C" w:rsidRPr="007B093D" w:rsidRDefault="0042435C" w:rsidP="0042435C">
      <w:pPr>
        <w:spacing w:line="240" w:lineRule="auto"/>
        <w:rPr>
          <w:szCs w:val="22"/>
          <w:lang w:val="sk-SK"/>
        </w:rPr>
      </w:pPr>
      <w:r w:rsidRPr="007B093D">
        <w:rPr>
          <w:szCs w:val="22"/>
          <w:lang w:val="sk-SK"/>
        </w:rPr>
        <w:t xml:space="preserve">Mutagenita nebola pozorovaná v </w:t>
      </w:r>
      <w:r w:rsidRPr="007B093D">
        <w:rPr>
          <w:i/>
          <w:szCs w:val="22"/>
          <w:lang w:val="sk-SK"/>
        </w:rPr>
        <w:t>in vitro</w:t>
      </w:r>
      <w:r w:rsidRPr="007B093D">
        <w:rPr>
          <w:szCs w:val="22"/>
          <w:lang w:val="sk-SK"/>
        </w:rPr>
        <w:t xml:space="preserve">, ani v </w:t>
      </w:r>
      <w:r w:rsidRPr="007B093D">
        <w:rPr>
          <w:i/>
          <w:szCs w:val="22"/>
          <w:lang w:val="sk-SK"/>
        </w:rPr>
        <w:t>in vivo</w:t>
      </w:r>
      <w:r w:rsidRPr="007B093D">
        <w:rPr>
          <w:szCs w:val="22"/>
          <w:lang w:val="sk-SK"/>
        </w:rPr>
        <w:t xml:space="preserve"> štúdiách.</w:t>
      </w:r>
    </w:p>
    <w:p w:rsidR="0042435C" w:rsidRPr="007B093D" w:rsidRDefault="0042435C" w:rsidP="0042435C">
      <w:pPr>
        <w:spacing w:line="240" w:lineRule="auto"/>
        <w:rPr>
          <w:szCs w:val="22"/>
          <w:lang w:val="sk-SK"/>
        </w:rPr>
      </w:pPr>
      <w:r w:rsidRPr="007B093D">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narušená ani u samcov, ani u samíc potkanov.</w:t>
      </w:r>
    </w:p>
    <w:p w:rsidR="0042435C" w:rsidRPr="007B093D" w:rsidRDefault="0042435C" w:rsidP="0042435C">
      <w:pPr>
        <w:spacing w:line="240" w:lineRule="auto"/>
        <w:rPr>
          <w:szCs w:val="22"/>
          <w:lang w:val="sk-SK"/>
        </w:rPr>
      </w:pPr>
      <w:r w:rsidRPr="007B093D">
        <w:rPr>
          <w:szCs w:val="22"/>
          <w:lang w:val="sk-SK"/>
        </w:rPr>
        <w:t>V dlhodobých štúdiách na potkanoch a myšiach nebola pozorovaná karcinogenita.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w:t>
      </w:r>
      <w:r w:rsidRPr="007B093D">
        <w:rPr>
          <w:b/>
          <w:szCs w:val="22"/>
          <w:lang w:val="sk-SK"/>
        </w:rPr>
        <w:tab/>
        <w:t xml:space="preserve">FARMACEUTICKÉ </w:t>
      </w:r>
      <w:r w:rsidRPr="007B093D">
        <w:rPr>
          <w:b/>
          <w:caps/>
          <w:szCs w:val="22"/>
          <w:lang w:val="sk-SK"/>
        </w:rPr>
        <w:t>INFORMÁCIE</w:t>
      </w:r>
    </w:p>
    <w:p w:rsidR="0042435C" w:rsidRPr="007B093D" w:rsidRDefault="0042435C" w:rsidP="0042435C">
      <w:pPr>
        <w:keepNext/>
        <w:keepLines/>
        <w:spacing w:line="240" w:lineRule="auto"/>
        <w:rPr>
          <w:b/>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6.1</w:t>
      </w:r>
      <w:r w:rsidRPr="007B093D">
        <w:rPr>
          <w:b/>
          <w:szCs w:val="22"/>
          <w:lang w:val="sk-SK"/>
        </w:rPr>
        <w:tab/>
        <w:t>Zoznam pomocných látok</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rPr>
          <w:i/>
          <w:iCs/>
          <w:szCs w:val="22"/>
          <w:lang w:val="sk-SK"/>
        </w:rPr>
      </w:pPr>
      <w:r w:rsidRPr="007B093D">
        <w:rPr>
          <w:i/>
          <w:iCs/>
          <w:szCs w:val="22"/>
          <w:lang w:val="sk-SK"/>
        </w:rPr>
        <w:t>Jadro:</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onohydrát laktózy</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agnéziumstearát</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 xml:space="preserve">altodextrín </w:t>
      </w:r>
    </w:p>
    <w:p w:rsidR="0042435C" w:rsidRPr="007B093D" w:rsidRDefault="00A35081" w:rsidP="0042435C">
      <w:pPr>
        <w:spacing w:line="240" w:lineRule="auto"/>
        <w:rPr>
          <w:szCs w:val="22"/>
          <w:lang w:val="sk-SK"/>
        </w:rPr>
      </w:pPr>
      <w:r>
        <w:rPr>
          <w:szCs w:val="22"/>
          <w:lang w:val="sk-SK"/>
        </w:rPr>
        <w:t>k</w:t>
      </w:r>
      <w:r w:rsidR="0042435C" w:rsidRPr="007B093D">
        <w:rPr>
          <w:szCs w:val="22"/>
          <w:lang w:val="sk-SK"/>
        </w:rPr>
        <w:t xml:space="preserve">oloidný oxid kremičitý hydrofóbny </w:t>
      </w:r>
    </w:p>
    <w:p w:rsidR="0042435C" w:rsidRPr="007B093D" w:rsidRDefault="00A35081" w:rsidP="0042435C">
      <w:pPr>
        <w:spacing w:line="240" w:lineRule="auto"/>
        <w:rPr>
          <w:szCs w:val="22"/>
          <w:lang w:val="sk-SK"/>
        </w:rPr>
      </w:pPr>
      <w:r>
        <w:rPr>
          <w:szCs w:val="22"/>
          <w:lang w:val="sk-SK"/>
        </w:rPr>
        <w:t>s</w:t>
      </w:r>
      <w:r w:rsidR="0042435C" w:rsidRPr="007B093D">
        <w:rPr>
          <w:szCs w:val="22"/>
          <w:lang w:val="sk-SK"/>
        </w:rPr>
        <w:t>odná soľ karboxymetylškrobu (typ A)</w:t>
      </w:r>
    </w:p>
    <w:p w:rsidR="00A35081" w:rsidRDefault="00A35081" w:rsidP="0042435C">
      <w:pPr>
        <w:tabs>
          <w:tab w:val="left" w:pos="7080"/>
        </w:tabs>
        <w:spacing w:line="240" w:lineRule="auto"/>
        <w:rPr>
          <w:i/>
          <w:iCs/>
          <w:szCs w:val="22"/>
          <w:lang w:val="sk-SK"/>
        </w:rPr>
      </w:pPr>
    </w:p>
    <w:p w:rsidR="0042435C" w:rsidRPr="007B093D" w:rsidRDefault="0042435C" w:rsidP="0042435C">
      <w:pPr>
        <w:tabs>
          <w:tab w:val="left" w:pos="7080"/>
        </w:tabs>
        <w:spacing w:line="240" w:lineRule="auto"/>
        <w:rPr>
          <w:szCs w:val="22"/>
          <w:lang w:val="sk-SK"/>
        </w:rPr>
      </w:pPr>
      <w:r w:rsidRPr="007B093D">
        <w:rPr>
          <w:i/>
          <w:iCs/>
          <w:szCs w:val="22"/>
          <w:lang w:val="sk-SK"/>
        </w:rPr>
        <w:t xml:space="preserve">Filmotvorná vrstva: </w:t>
      </w:r>
    </w:p>
    <w:p w:rsidR="0042435C" w:rsidRPr="007B093D" w:rsidRDefault="00A35081" w:rsidP="0042435C">
      <w:pPr>
        <w:spacing w:line="240" w:lineRule="auto"/>
        <w:rPr>
          <w:szCs w:val="22"/>
          <w:lang w:val="sk-SK"/>
        </w:rPr>
      </w:pPr>
      <w:r>
        <w:rPr>
          <w:szCs w:val="22"/>
          <w:lang w:val="sk-SK"/>
        </w:rPr>
        <w:t>g</w:t>
      </w:r>
      <w:r w:rsidR="0042435C" w:rsidRPr="007B093D">
        <w:rPr>
          <w:szCs w:val="22"/>
          <w:lang w:val="sk-SK"/>
        </w:rPr>
        <w:t>lycerol</w:t>
      </w:r>
    </w:p>
    <w:p w:rsidR="0042435C" w:rsidRPr="007B093D" w:rsidRDefault="00A35081" w:rsidP="0042435C">
      <w:pPr>
        <w:spacing w:line="240" w:lineRule="auto"/>
        <w:rPr>
          <w:szCs w:val="22"/>
          <w:lang w:val="sk-SK"/>
        </w:rPr>
      </w:pPr>
      <w:r>
        <w:rPr>
          <w:szCs w:val="22"/>
          <w:lang w:val="sk-SK"/>
        </w:rPr>
        <w:t>h</w:t>
      </w:r>
      <w:r w:rsidR="0042435C" w:rsidRPr="007B093D">
        <w:rPr>
          <w:szCs w:val="22"/>
          <w:lang w:val="sk-SK"/>
        </w:rPr>
        <w:t>ypromelóza</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eďnatý komplex chlorofylínu</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akrogol 6000</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 xml:space="preserve">agnéziumstearát </w:t>
      </w:r>
    </w:p>
    <w:p w:rsidR="0042435C" w:rsidRPr="007B093D" w:rsidRDefault="00A35081" w:rsidP="0042435C">
      <w:pPr>
        <w:spacing w:line="240" w:lineRule="auto"/>
        <w:rPr>
          <w:szCs w:val="22"/>
          <w:lang w:val="sk-SK"/>
        </w:rPr>
      </w:pPr>
      <w:r>
        <w:rPr>
          <w:szCs w:val="22"/>
          <w:lang w:val="sk-SK"/>
        </w:rPr>
        <w:t>o</w:t>
      </w:r>
      <w:r w:rsidR="0042435C" w:rsidRPr="007B093D">
        <w:rPr>
          <w:szCs w:val="22"/>
          <w:lang w:val="sk-SK"/>
        </w:rPr>
        <w:t>xid titaničitý</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6.2</w:t>
      </w:r>
      <w:r w:rsidRPr="007B093D">
        <w:rPr>
          <w:b/>
          <w:szCs w:val="22"/>
          <w:lang w:val="sk-SK"/>
        </w:rPr>
        <w:tab/>
        <w:t>Inkompatibility</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ind w:left="476" w:hanging="476"/>
        <w:rPr>
          <w:szCs w:val="22"/>
          <w:lang w:val="sk-SK"/>
        </w:rPr>
      </w:pPr>
      <w:r w:rsidRPr="007B093D">
        <w:rPr>
          <w:szCs w:val="22"/>
          <w:lang w:val="sk-SK"/>
        </w:rPr>
        <w:t>Neaplikovateľné.</w:t>
      </w:r>
    </w:p>
    <w:p w:rsidR="0042435C" w:rsidRPr="007B093D" w:rsidRDefault="0042435C" w:rsidP="0042435C">
      <w:pPr>
        <w:spacing w:line="240" w:lineRule="auto"/>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6.3</w:t>
      </w:r>
      <w:r w:rsidRPr="007B093D">
        <w:rPr>
          <w:b/>
          <w:szCs w:val="22"/>
          <w:lang w:val="sk-SK"/>
        </w:rPr>
        <w:tab/>
        <w:t>Čas použiteľnosti</w:t>
      </w:r>
    </w:p>
    <w:p w:rsidR="0042435C" w:rsidRPr="007B093D" w:rsidRDefault="0042435C" w:rsidP="0042435C">
      <w:pPr>
        <w:tabs>
          <w:tab w:val="left" w:pos="7080"/>
        </w:tabs>
        <w:spacing w:line="240" w:lineRule="auto"/>
        <w:ind w:left="476" w:hanging="476"/>
        <w:rPr>
          <w:iCs/>
          <w:szCs w:val="22"/>
          <w:lang w:val="sk-SK"/>
        </w:rPr>
      </w:pPr>
    </w:p>
    <w:p w:rsidR="0042435C" w:rsidRPr="007B093D" w:rsidRDefault="0042435C" w:rsidP="0042435C">
      <w:pPr>
        <w:tabs>
          <w:tab w:val="left" w:pos="7080"/>
        </w:tabs>
        <w:spacing w:line="240" w:lineRule="auto"/>
        <w:ind w:left="476" w:hanging="476"/>
        <w:rPr>
          <w:iCs/>
          <w:szCs w:val="22"/>
          <w:lang w:val="sk-SK"/>
        </w:rPr>
      </w:pPr>
      <w:r w:rsidRPr="007B093D">
        <w:rPr>
          <w:iCs/>
          <w:szCs w:val="22"/>
          <w:lang w:val="sk-SK"/>
        </w:rPr>
        <w:t>3 roky.</w:t>
      </w:r>
    </w:p>
    <w:p w:rsidR="0042435C" w:rsidRPr="007B093D" w:rsidRDefault="0042435C" w:rsidP="0042435C">
      <w:pPr>
        <w:spacing w:line="240" w:lineRule="auto"/>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6.4</w:t>
      </w:r>
      <w:r w:rsidRPr="007B093D">
        <w:rPr>
          <w:b/>
          <w:szCs w:val="22"/>
          <w:lang w:val="sk-SK"/>
        </w:rPr>
        <w:tab/>
        <w:t>Špeciálne upozornenia na uchovávanie</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ind w:left="476" w:hanging="476"/>
        <w:rPr>
          <w:szCs w:val="22"/>
          <w:lang w:val="sk-SK"/>
        </w:rPr>
      </w:pPr>
      <w:r w:rsidRPr="007B093D">
        <w:rPr>
          <w:szCs w:val="22"/>
          <w:lang w:val="sk-SK"/>
        </w:rPr>
        <w:t xml:space="preserve">Obal </w:t>
      </w:r>
      <w:r w:rsidR="00A35081">
        <w:rPr>
          <w:szCs w:val="22"/>
          <w:lang w:val="sk-SK"/>
        </w:rPr>
        <w:t>u</w:t>
      </w:r>
      <w:r w:rsidR="001C257D">
        <w:rPr>
          <w:szCs w:val="22"/>
          <w:lang w:val="sk-SK"/>
        </w:rPr>
        <w:t>držia</w:t>
      </w:r>
      <w:r w:rsidR="00A35081">
        <w:rPr>
          <w:szCs w:val="22"/>
          <w:lang w:val="sk-SK"/>
        </w:rPr>
        <w:t>vajte</w:t>
      </w:r>
      <w:r w:rsidR="00A35081" w:rsidRPr="007B093D">
        <w:rPr>
          <w:szCs w:val="22"/>
          <w:lang w:val="sk-SK"/>
        </w:rPr>
        <w:t xml:space="preserve"> </w:t>
      </w:r>
      <w:r w:rsidRPr="007B093D">
        <w:rPr>
          <w:szCs w:val="22"/>
          <w:lang w:val="sk-SK"/>
        </w:rPr>
        <w:t xml:space="preserve">dôkladne uzatvorený na ochranu pred vlhkosťou.  </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b/>
          <w:szCs w:val="22"/>
          <w:lang w:val="sk-SK"/>
        </w:rPr>
      </w:pPr>
      <w:r w:rsidRPr="007B093D">
        <w:rPr>
          <w:b/>
          <w:szCs w:val="22"/>
          <w:lang w:val="sk-SK"/>
        </w:rPr>
        <w:t>6.5</w:t>
      </w:r>
      <w:r w:rsidRPr="007B093D">
        <w:rPr>
          <w:b/>
          <w:szCs w:val="22"/>
          <w:lang w:val="sk-SK"/>
        </w:rPr>
        <w:tab/>
        <w:t>Druh obalu a obsah balenia</w:t>
      </w:r>
    </w:p>
    <w:p w:rsidR="0042435C" w:rsidRPr="007B093D" w:rsidRDefault="0042435C" w:rsidP="0042435C">
      <w:pPr>
        <w:tabs>
          <w:tab w:val="left" w:pos="7080"/>
        </w:tabs>
        <w:spacing w:line="240" w:lineRule="auto"/>
        <w:ind w:left="476" w:hanging="476"/>
        <w:rPr>
          <w:i/>
          <w:iCs/>
          <w:szCs w:val="22"/>
          <w:lang w:val="sk-SK"/>
        </w:rPr>
      </w:pPr>
    </w:p>
    <w:p w:rsidR="0042435C" w:rsidRPr="007B093D" w:rsidRDefault="0042435C" w:rsidP="0042435C">
      <w:pPr>
        <w:tabs>
          <w:tab w:val="left" w:pos="7080"/>
        </w:tabs>
        <w:spacing w:line="240" w:lineRule="auto"/>
        <w:rPr>
          <w:szCs w:val="22"/>
          <w:lang w:val="sk-SK"/>
        </w:rPr>
      </w:pPr>
      <w:r w:rsidRPr="007B093D">
        <w:rPr>
          <w:szCs w:val="22"/>
          <w:lang w:val="sk-SK"/>
        </w:rPr>
        <w:t>Biely polypropylénový obal na tablety vybavený polyetylénovým reduktorom prietoku a bielou nepriehľadnou zátkou obsahujúcou gélové vysúšadlo.</w:t>
      </w:r>
    </w:p>
    <w:p w:rsidR="0042435C" w:rsidRPr="007B093D" w:rsidRDefault="0042435C" w:rsidP="0042435C">
      <w:pPr>
        <w:tabs>
          <w:tab w:val="left" w:pos="7080"/>
        </w:tabs>
        <w:spacing w:line="240" w:lineRule="auto"/>
        <w:rPr>
          <w:szCs w:val="22"/>
          <w:lang w:val="sk-SK"/>
        </w:rPr>
      </w:pPr>
      <w:r w:rsidRPr="007B093D">
        <w:rPr>
          <w:szCs w:val="22"/>
          <w:lang w:val="sk-SK"/>
        </w:rPr>
        <w:t xml:space="preserve">Škatuľka s 5, 10, 14, 20, </w:t>
      </w:r>
      <w:r w:rsidR="00EB6317">
        <w:rPr>
          <w:szCs w:val="22"/>
          <w:lang w:val="sk-SK"/>
        </w:rPr>
        <w:t xml:space="preserve">28, </w:t>
      </w:r>
      <w:r w:rsidRPr="007B093D">
        <w:rPr>
          <w:szCs w:val="22"/>
          <w:lang w:val="sk-SK"/>
        </w:rPr>
        <w:t>30, 50, 60 (60 alebo 2 obaly s 30 tabletami),</w:t>
      </w:r>
      <w:r w:rsidR="00EB6317">
        <w:rPr>
          <w:szCs w:val="22"/>
          <w:lang w:val="sk-SK"/>
        </w:rPr>
        <w:t xml:space="preserve"> 84 (84 alebo 3 obaly s 28 tabletami),</w:t>
      </w:r>
      <w:r w:rsidRPr="007B093D">
        <w:rPr>
          <w:szCs w:val="22"/>
          <w:lang w:val="sk-SK"/>
        </w:rPr>
        <w:t xml:space="preserve"> 90 (90 alebo 3 obaly s 30 tabletami), 100 (100 alebo 2 obaly s 50 tabletami), 120 (120 alebo 4 obaly s 30 tabletami) alebo 500 tabletami (500 alebo 10 obalov s 50 tabletami).</w:t>
      </w:r>
    </w:p>
    <w:p w:rsidR="0042435C" w:rsidRPr="007B093D" w:rsidRDefault="0042435C" w:rsidP="0042435C">
      <w:pPr>
        <w:tabs>
          <w:tab w:val="left" w:pos="7080"/>
        </w:tabs>
        <w:spacing w:line="240" w:lineRule="auto"/>
        <w:rPr>
          <w:szCs w:val="22"/>
          <w:lang w:val="sk-SK"/>
        </w:rPr>
      </w:pPr>
    </w:p>
    <w:p w:rsidR="0042435C" w:rsidRPr="007B093D" w:rsidRDefault="0042435C" w:rsidP="0042435C">
      <w:pPr>
        <w:tabs>
          <w:tab w:val="left" w:pos="7080"/>
        </w:tabs>
        <w:spacing w:line="240" w:lineRule="auto"/>
        <w:rPr>
          <w:szCs w:val="22"/>
          <w:lang w:val="sk-SK"/>
        </w:rPr>
      </w:pPr>
      <w:r w:rsidRPr="007B093D">
        <w:rPr>
          <w:szCs w:val="22"/>
          <w:lang w:val="sk-SK"/>
        </w:rPr>
        <w:t xml:space="preserve">Na trh nemusia byť uvedené všetky veľkosti balenia. </w:t>
      </w: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6.6</w:t>
      </w:r>
      <w:r w:rsidRPr="007B093D">
        <w:rPr>
          <w:b/>
          <w:szCs w:val="22"/>
          <w:lang w:val="sk-SK"/>
        </w:rPr>
        <w:tab/>
        <w:t>Špeciálne opatrenia na likvidáciu</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rPr>
          <w:szCs w:val="22"/>
          <w:lang w:val="sk-SK"/>
        </w:rPr>
      </w:pPr>
      <w:r w:rsidRPr="007B093D">
        <w:rPr>
          <w:szCs w:val="22"/>
          <w:lang w:val="sk-SK"/>
        </w:rPr>
        <w:t>Žiadne zvláštne požiadavky.</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7.</w:t>
      </w:r>
      <w:r w:rsidRPr="007B093D">
        <w:rPr>
          <w:b/>
          <w:szCs w:val="22"/>
          <w:lang w:val="sk-SK"/>
        </w:rPr>
        <w:tab/>
      </w:r>
      <w:r w:rsidRPr="007B093D">
        <w:rPr>
          <w:b/>
          <w:caps/>
          <w:szCs w:val="22"/>
          <w:lang w:val="sk-SK"/>
        </w:rPr>
        <w:t>DržiteĽ rozhodnutia O REGISTRÁCII</w:t>
      </w:r>
    </w:p>
    <w:p w:rsidR="0042435C" w:rsidRPr="007B093D" w:rsidRDefault="0042435C" w:rsidP="0042435C">
      <w:pPr>
        <w:spacing w:line="240" w:lineRule="auto"/>
        <w:rPr>
          <w:i/>
          <w:szCs w:val="22"/>
          <w:lang w:val="sk-SK"/>
        </w:rPr>
      </w:pPr>
    </w:p>
    <w:p w:rsidR="008D287C" w:rsidRPr="00371596" w:rsidRDefault="008D287C" w:rsidP="008D287C">
      <w:pPr>
        <w:rPr>
          <w:lang w:val="sk-SK"/>
        </w:rPr>
      </w:pPr>
      <w:r w:rsidRPr="00371596">
        <w:rPr>
          <w:lang w:val="sk-SK"/>
        </w:rPr>
        <w:t>ANPHARM Przedsiębiorstwo Farmaceutyczne S.A.</w:t>
      </w:r>
    </w:p>
    <w:p w:rsidR="008D287C" w:rsidRPr="00371596" w:rsidRDefault="008D287C" w:rsidP="008D287C">
      <w:pPr>
        <w:rPr>
          <w:lang w:val="sk-SK" w:eastAsia="fr-FR"/>
        </w:rPr>
      </w:pPr>
      <w:r w:rsidRPr="00371596">
        <w:rPr>
          <w:lang w:val="sk-SK" w:eastAsia="fr-FR"/>
        </w:rPr>
        <w:t>ul. Annopol 6B</w:t>
      </w:r>
    </w:p>
    <w:p w:rsidR="008D287C" w:rsidRPr="00371596" w:rsidRDefault="008D287C" w:rsidP="008D287C">
      <w:pPr>
        <w:rPr>
          <w:lang w:val="sk-SK" w:eastAsia="fr-FR"/>
        </w:rPr>
      </w:pPr>
      <w:r w:rsidRPr="00371596">
        <w:rPr>
          <w:lang w:val="sk-SK" w:eastAsia="fr-FR"/>
        </w:rPr>
        <w:t>03-236 Varšava</w:t>
      </w:r>
    </w:p>
    <w:p w:rsidR="0042435C" w:rsidRPr="007B093D" w:rsidRDefault="008D287C" w:rsidP="0042435C">
      <w:pPr>
        <w:tabs>
          <w:tab w:val="left" w:pos="284"/>
        </w:tabs>
        <w:spacing w:line="240" w:lineRule="auto"/>
        <w:rPr>
          <w:szCs w:val="22"/>
          <w:lang w:val="sk-SK"/>
        </w:rPr>
      </w:pPr>
      <w:r w:rsidRPr="00371596">
        <w:rPr>
          <w:lang w:val="sk-SK" w:eastAsia="fr-FR"/>
        </w:rPr>
        <w:t>Poľsko</w:t>
      </w:r>
    </w:p>
    <w:p w:rsidR="0042435C" w:rsidRPr="007B093D" w:rsidRDefault="0042435C" w:rsidP="0042435C">
      <w:pPr>
        <w:spacing w:line="240" w:lineRule="auto"/>
        <w:rPr>
          <w:iCs/>
          <w:szCs w:val="22"/>
          <w:lang w:val="sk-SK"/>
        </w:rPr>
      </w:pPr>
    </w:p>
    <w:p w:rsidR="0042435C" w:rsidRPr="007B093D" w:rsidRDefault="0042435C" w:rsidP="0042435C">
      <w:pPr>
        <w:spacing w:line="240" w:lineRule="auto"/>
        <w:rPr>
          <w:i/>
          <w:szCs w:val="22"/>
          <w:lang w:val="sk-SK"/>
        </w:rPr>
      </w:pPr>
    </w:p>
    <w:p w:rsidR="0042435C" w:rsidRPr="007B093D" w:rsidRDefault="0042435C" w:rsidP="0042435C">
      <w:pPr>
        <w:spacing w:line="240" w:lineRule="auto"/>
        <w:rPr>
          <w:b/>
          <w:szCs w:val="22"/>
          <w:lang w:val="sk-SK"/>
        </w:rPr>
      </w:pPr>
      <w:r w:rsidRPr="007B093D">
        <w:rPr>
          <w:b/>
          <w:szCs w:val="22"/>
          <w:lang w:val="sk-SK"/>
        </w:rPr>
        <w:t>8.</w:t>
      </w:r>
      <w:r w:rsidRPr="007B093D">
        <w:rPr>
          <w:b/>
          <w:szCs w:val="22"/>
          <w:lang w:val="sk-SK"/>
        </w:rPr>
        <w:tab/>
        <w:t>REGISTRAČNÉ ČÍSLO</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Cs/>
          <w:iCs/>
          <w:szCs w:val="22"/>
          <w:lang w:val="sk-SK"/>
        </w:rPr>
      </w:pPr>
      <w:r w:rsidRPr="007B093D">
        <w:rPr>
          <w:bCs/>
          <w:iCs/>
          <w:szCs w:val="22"/>
          <w:lang w:val="sk-SK"/>
        </w:rPr>
        <w:t>58/0154/05-S</w:t>
      </w:r>
    </w:p>
    <w:p w:rsidR="0042435C" w:rsidRPr="007B093D" w:rsidRDefault="0042435C" w:rsidP="0042435C">
      <w:pPr>
        <w:spacing w:line="240" w:lineRule="auto"/>
        <w:rPr>
          <w:i/>
          <w:szCs w:val="22"/>
          <w:lang w:val="sk-SK"/>
        </w:rPr>
      </w:pPr>
    </w:p>
    <w:p w:rsidR="0042435C" w:rsidRPr="007B093D" w:rsidRDefault="0042435C" w:rsidP="0042435C">
      <w:pPr>
        <w:spacing w:line="240" w:lineRule="auto"/>
        <w:rPr>
          <w:i/>
          <w:szCs w:val="22"/>
          <w:lang w:val="sk-SK"/>
        </w:rPr>
      </w:pPr>
    </w:p>
    <w:p w:rsidR="0042435C" w:rsidRPr="007B093D" w:rsidRDefault="0042435C" w:rsidP="0042435C">
      <w:pPr>
        <w:spacing w:line="240" w:lineRule="auto"/>
        <w:rPr>
          <w:b/>
          <w:szCs w:val="22"/>
          <w:lang w:val="sk-SK"/>
        </w:rPr>
      </w:pPr>
      <w:r w:rsidRPr="007B093D">
        <w:rPr>
          <w:b/>
          <w:szCs w:val="22"/>
          <w:lang w:val="sk-SK"/>
        </w:rPr>
        <w:t>9.</w:t>
      </w:r>
      <w:r w:rsidRPr="007B093D">
        <w:rPr>
          <w:b/>
          <w:szCs w:val="22"/>
          <w:lang w:val="sk-SK"/>
        </w:rPr>
        <w:tab/>
        <w:t>DÁTUM PRVEJ REGISTRÁCIE/PREDĹŽENIA REGISTRÁCIE</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Cs/>
          <w:szCs w:val="22"/>
          <w:lang w:val="sk-SK"/>
        </w:rPr>
      </w:pPr>
      <w:r w:rsidRPr="007B093D">
        <w:rPr>
          <w:bCs/>
          <w:szCs w:val="22"/>
          <w:lang w:val="sk-SK"/>
        </w:rPr>
        <w:t>Dátum prvej registrácie: 9. jún</w:t>
      </w:r>
      <w:r w:rsidR="00A35081">
        <w:rPr>
          <w:bCs/>
          <w:szCs w:val="22"/>
          <w:lang w:val="sk-SK"/>
        </w:rPr>
        <w:t>a</w:t>
      </w:r>
      <w:r w:rsidRPr="007B093D">
        <w:rPr>
          <w:bCs/>
          <w:szCs w:val="22"/>
          <w:lang w:val="sk-SK"/>
        </w:rPr>
        <w:t xml:space="preserve"> 2005</w:t>
      </w:r>
    </w:p>
    <w:p w:rsidR="0042435C" w:rsidRPr="007B093D" w:rsidRDefault="0042435C" w:rsidP="0042435C">
      <w:pPr>
        <w:spacing w:line="240" w:lineRule="auto"/>
        <w:rPr>
          <w:bCs/>
          <w:szCs w:val="22"/>
          <w:lang w:val="sk-SK"/>
        </w:rPr>
      </w:pPr>
      <w:r w:rsidRPr="007B093D">
        <w:rPr>
          <w:bCs/>
          <w:szCs w:val="22"/>
          <w:lang w:val="sk-SK"/>
        </w:rPr>
        <w:t>Dátum posledného predĺženia registrácie: 21. február</w:t>
      </w:r>
      <w:r w:rsidR="00A35081">
        <w:rPr>
          <w:bCs/>
          <w:szCs w:val="22"/>
          <w:lang w:val="sk-SK"/>
        </w:rPr>
        <w:t>a</w:t>
      </w:r>
      <w:r w:rsidRPr="007B093D">
        <w:rPr>
          <w:bCs/>
          <w:szCs w:val="22"/>
          <w:lang w:val="sk-SK"/>
        </w:rPr>
        <w:t> 2011</w:t>
      </w:r>
    </w:p>
    <w:p w:rsidR="0042435C" w:rsidRPr="007B093D" w:rsidRDefault="0042435C" w:rsidP="0042435C">
      <w:pPr>
        <w:spacing w:line="240" w:lineRule="auto"/>
        <w:rPr>
          <w:szCs w:val="22"/>
          <w:lang w:val="sk-SK"/>
        </w:rPr>
      </w:pPr>
    </w:p>
    <w:p w:rsidR="0042435C" w:rsidRPr="007B093D" w:rsidRDefault="0042435C" w:rsidP="0042435C">
      <w:pPr>
        <w:spacing w:line="240" w:lineRule="auto"/>
        <w:rPr>
          <w:i/>
          <w:szCs w:val="22"/>
          <w:lang w:val="sk-SK"/>
        </w:rPr>
      </w:pPr>
    </w:p>
    <w:p w:rsidR="0042435C" w:rsidRPr="007B093D" w:rsidRDefault="0042435C" w:rsidP="0042435C">
      <w:pPr>
        <w:spacing w:line="240" w:lineRule="auto"/>
        <w:rPr>
          <w:szCs w:val="22"/>
          <w:lang w:val="sk-SK"/>
        </w:rPr>
      </w:pPr>
      <w:r w:rsidRPr="007B093D">
        <w:rPr>
          <w:b/>
          <w:szCs w:val="22"/>
          <w:lang w:val="sk-SK"/>
        </w:rPr>
        <w:t>10.</w:t>
      </w:r>
      <w:r w:rsidRPr="007B093D">
        <w:rPr>
          <w:b/>
          <w:szCs w:val="22"/>
          <w:lang w:val="sk-SK"/>
        </w:rPr>
        <w:tab/>
        <w:t>DÁTUM REVÍZIE TEXTU</w:t>
      </w:r>
    </w:p>
    <w:p w:rsidR="0042435C" w:rsidRPr="007B093D" w:rsidRDefault="0042435C" w:rsidP="0042435C">
      <w:pPr>
        <w:pStyle w:val="Hlavika"/>
        <w:rPr>
          <w:rFonts w:ascii="Times New Roman" w:hAnsi="Times New Roman"/>
          <w:snapToGrid w:val="0"/>
          <w:sz w:val="22"/>
          <w:szCs w:val="22"/>
          <w:lang w:val="sk-SK"/>
        </w:rPr>
      </w:pPr>
    </w:p>
    <w:p w:rsidR="0042435C" w:rsidRPr="00417F43" w:rsidRDefault="007458FE" w:rsidP="00847EB6">
      <w:pPr>
        <w:tabs>
          <w:tab w:val="clear" w:pos="567"/>
          <w:tab w:val="left" w:pos="708"/>
        </w:tabs>
        <w:spacing w:line="240" w:lineRule="auto"/>
        <w:ind w:right="566"/>
        <w:rPr>
          <w:szCs w:val="22"/>
          <w:lang w:val="sk-SK"/>
        </w:rPr>
      </w:pPr>
      <w:r>
        <w:rPr>
          <w:bCs/>
          <w:szCs w:val="22"/>
          <w:lang w:val="sk-SK"/>
        </w:rPr>
        <w:t>03/2018</w:t>
      </w:r>
    </w:p>
    <w:p w:rsidR="00DB7F85" w:rsidRPr="0042435C" w:rsidRDefault="00DB7F85">
      <w:pPr>
        <w:rPr>
          <w:lang w:val="sk-SK"/>
        </w:rPr>
      </w:pPr>
    </w:p>
    <w:sectPr w:rsidR="00DB7F85" w:rsidRPr="0042435C" w:rsidSect="004F1D0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BF" w:rsidRDefault="00256BBF" w:rsidP="00AA28A0">
      <w:pPr>
        <w:spacing w:line="240" w:lineRule="auto"/>
      </w:pPr>
      <w:r>
        <w:separator/>
      </w:r>
    </w:p>
  </w:endnote>
  <w:endnote w:type="continuationSeparator" w:id="0">
    <w:p w:rsidR="00256BBF" w:rsidRDefault="00256BBF" w:rsidP="00AA2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11" w:rsidRDefault="00E8051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12670"/>
      <w:docPartObj>
        <w:docPartGallery w:val="Page Numbers (Bottom of Page)"/>
        <w:docPartUnique/>
      </w:docPartObj>
    </w:sdtPr>
    <w:sdtEndPr>
      <w:rPr>
        <w:sz w:val="18"/>
      </w:rPr>
    </w:sdtEndPr>
    <w:sdtContent>
      <w:p w:rsidR="006B12E1" w:rsidRPr="00376DD3" w:rsidRDefault="006B12E1">
        <w:pPr>
          <w:pStyle w:val="Pta"/>
          <w:jc w:val="center"/>
          <w:rPr>
            <w:sz w:val="18"/>
          </w:rPr>
        </w:pPr>
        <w:r w:rsidRPr="00376DD3">
          <w:rPr>
            <w:sz w:val="18"/>
          </w:rPr>
          <w:fldChar w:fldCharType="begin"/>
        </w:r>
        <w:r w:rsidRPr="00376DD3">
          <w:rPr>
            <w:sz w:val="18"/>
          </w:rPr>
          <w:instrText>PAGE   \* MERGEFORMAT</w:instrText>
        </w:r>
        <w:r w:rsidRPr="00376DD3">
          <w:rPr>
            <w:sz w:val="18"/>
          </w:rPr>
          <w:fldChar w:fldCharType="separate"/>
        </w:r>
        <w:r w:rsidR="00C1203A" w:rsidRPr="00C1203A">
          <w:rPr>
            <w:noProof/>
            <w:sz w:val="18"/>
            <w:lang w:val="sk-SK"/>
          </w:rPr>
          <w:t>1</w:t>
        </w:r>
        <w:r w:rsidRPr="00376DD3">
          <w:rPr>
            <w:sz w:val="18"/>
          </w:rPr>
          <w:fldChar w:fldCharType="end"/>
        </w:r>
      </w:p>
    </w:sdtContent>
  </w:sdt>
  <w:p w:rsidR="006B12E1" w:rsidRDefault="006B12E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10772"/>
      <w:docPartObj>
        <w:docPartGallery w:val="Page Numbers (Bottom of Page)"/>
        <w:docPartUnique/>
      </w:docPartObj>
    </w:sdtPr>
    <w:sdtEndPr>
      <w:rPr>
        <w:sz w:val="18"/>
      </w:rPr>
    </w:sdtEndPr>
    <w:sdtContent>
      <w:p w:rsidR="006B12E1" w:rsidRPr="00376DD3" w:rsidRDefault="006B12E1">
        <w:pPr>
          <w:pStyle w:val="Pta"/>
          <w:jc w:val="center"/>
          <w:rPr>
            <w:sz w:val="18"/>
          </w:rPr>
        </w:pPr>
        <w:r w:rsidRPr="00376DD3">
          <w:rPr>
            <w:sz w:val="18"/>
          </w:rPr>
          <w:fldChar w:fldCharType="begin"/>
        </w:r>
        <w:r w:rsidRPr="00376DD3">
          <w:rPr>
            <w:sz w:val="18"/>
          </w:rPr>
          <w:instrText>PAGE   \* MERGEFORMAT</w:instrText>
        </w:r>
        <w:r w:rsidRPr="00376DD3">
          <w:rPr>
            <w:sz w:val="18"/>
          </w:rPr>
          <w:fldChar w:fldCharType="separate"/>
        </w:r>
        <w:r w:rsidR="007B526B" w:rsidRPr="007B526B">
          <w:rPr>
            <w:noProof/>
            <w:sz w:val="18"/>
            <w:lang w:val="sk-SK"/>
          </w:rPr>
          <w:t>1</w:t>
        </w:r>
        <w:r w:rsidRPr="00376DD3">
          <w:rPr>
            <w:sz w:val="18"/>
          </w:rPr>
          <w:fldChar w:fldCharType="end"/>
        </w:r>
      </w:p>
    </w:sdtContent>
  </w:sdt>
  <w:p w:rsidR="006B12E1" w:rsidRDefault="006B12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BF" w:rsidRDefault="00256BBF" w:rsidP="00AA28A0">
      <w:pPr>
        <w:spacing w:line="240" w:lineRule="auto"/>
      </w:pPr>
      <w:r>
        <w:separator/>
      </w:r>
    </w:p>
  </w:footnote>
  <w:footnote w:type="continuationSeparator" w:id="0">
    <w:p w:rsidR="00256BBF" w:rsidRDefault="00256BBF" w:rsidP="00AA28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11" w:rsidRDefault="00E8051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FE" w:rsidRDefault="007458FE">
    <w:pPr>
      <w:pStyle w:val="Hlavika"/>
    </w:pPr>
    <w:r w:rsidRPr="008064C2">
      <w:rPr>
        <w:rFonts w:ascii="Times New Roman" w:hAnsi="Times New Roman"/>
        <w:sz w:val="18"/>
        <w:lang w:val="sk-SK"/>
      </w:rPr>
      <w:t xml:space="preserve">Schválený text k rozhodnutiu o zmene, ev. č.: </w:t>
    </w:r>
    <w:r>
      <w:rPr>
        <w:rFonts w:ascii="Times New Roman" w:hAnsi="Times New Roman"/>
        <w:sz w:val="18"/>
        <w:lang w:val="sk-SK"/>
      </w:rPr>
      <w:t>2017/01790-ZME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17" w:rsidRDefault="008D287C" w:rsidP="00EB6317">
    <w:pPr>
      <w:pStyle w:val="Hlavika"/>
      <w:rPr>
        <w:rFonts w:ascii="Times New Roman" w:hAnsi="Times New Roman"/>
        <w:sz w:val="18"/>
        <w:lang w:val="sk-SK"/>
      </w:rPr>
    </w:pPr>
    <w:r>
      <w:rPr>
        <w:rFonts w:ascii="Times New Roman" w:hAnsi="Times New Roman"/>
        <w:sz w:val="18"/>
        <w:lang w:val="sk-SK"/>
      </w:rPr>
      <w:t> </w:t>
    </w:r>
    <w:r w:rsidR="00EB6317">
      <w:rPr>
        <w:rFonts w:ascii="Times New Roman" w:hAnsi="Times New Roman"/>
        <w:sz w:val="18"/>
      </w:rPr>
      <w:t>Príloha č. </w:t>
    </w:r>
    <w:r w:rsidR="000264C9">
      <w:rPr>
        <w:rFonts w:ascii="Times New Roman" w:hAnsi="Times New Roman"/>
        <w:sz w:val="18"/>
      </w:rPr>
      <w:t>2</w:t>
    </w:r>
    <w:r w:rsidR="00EB6317">
      <w:rPr>
        <w:rFonts w:ascii="Times New Roman" w:hAnsi="Times New Roman"/>
        <w:sz w:val="18"/>
      </w:rPr>
      <w:t xml:space="preserve"> k notifikácii o zmene, ev. č.: 2017/04510-Z1A</w:t>
    </w:r>
  </w:p>
  <w:p w:rsidR="006B12E1" w:rsidRPr="00376DD3" w:rsidRDefault="008D7A3F">
    <w:pPr>
      <w:pStyle w:val="Hlavika"/>
      <w:rPr>
        <w:rFonts w:ascii="Times New Roman" w:hAnsi="Times New Roman"/>
        <w:sz w:val="18"/>
        <w:lang w:val="sk-SK"/>
      </w:rPr>
    </w:pPr>
    <w:r>
      <w:rPr>
        <w:sz w:val="18"/>
        <w:lang w:val="sk-S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F171CE"/>
    <w:multiLevelType w:val="multilevel"/>
    <w:tmpl w:val="845668BC"/>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start w:val="1"/>
      <w:numFmt w:val="bullet"/>
      <w:lvlText w:val="o"/>
      <w:lvlJc w:val="left"/>
      <w:pPr>
        <w:tabs>
          <w:tab w:val="num" w:pos="1965"/>
        </w:tabs>
        <w:ind w:left="1965" w:hanging="360"/>
      </w:pPr>
      <w:rPr>
        <w:rFonts w:ascii="Courier New" w:hAnsi="Courier New" w:cs="Courier New" w:hint="default"/>
      </w:rPr>
    </w:lvl>
    <w:lvl w:ilvl="2" w:tplc="041B0005">
      <w:start w:val="1"/>
      <w:numFmt w:val="bullet"/>
      <w:lvlText w:val=""/>
      <w:lvlJc w:val="left"/>
      <w:pPr>
        <w:tabs>
          <w:tab w:val="num" w:pos="2685"/>
        </w:tabs>
        <w:ind w:left="2685" w:hanging="360"/>
      </w:pPr>
      <w:rPr>
        <w:rFonts w:ascii="Wingdings" w:hAnsi="Wingdings" w:hint="default"/>
      </w:rPr>
    </w:lvl>
    <w:lvl w:ilvl="3" w:tplc="041B0001">
      <w:start w:val="1"/>
      <w:numFmt w:val="bullet"/>
      <w:lvlText w:val=""/>
      <w:lvlJc w:val="left"/>
      <w:pPr>
        <w:tabs>
          <w:tab w:val="num" w:pos="3405"/>
        </w:tabs>
        <w:ind w:left="3405" w:hanging="360"/>
      </w:pPr>
      <w:rPr>
        <w:rFonts w:ascii="Symbol" w:hAnsi="Symbol" w:hint="default"/>
      </w:rPr>
    </w:lvl>
    <w:lvl w:ilvl="4" w:tplc="041B0003">
      <w:start w:val="1"/>
      <w:numFmt w:val="bullet"/>
      <w:lvlText w:val="o"/>
      <w:lvlJc w:val="left"/>
      <w:pPr>
        <w:tabs>
          <w:tab w:val="num" w:pos="4125"/>
        </w:tabs>
        <w:ind w:left="4125" w:hanging="360"/>
      </w:pPr>
      <w:rPr>
        <w:rFonts w:ascii="Courier New" w:hAnsi="Courier New" w:cs="Courier New" w:hint="default"/>
      </w:rPr>
    </w:lvl>
    <w:lvl w:ilvl="5" w:tplc="041B0005">
      <w:start w:val="1"/>
      <w:numFmt w:val="bullet"/>
      <w:lvlText w:val=""/>
      <w:lvlJc w:val="left"/>
      <w:pPr>
        <w:tabs>
          <w:tab w:val="num" w:pos="4845"/>
        </w:tabs>
        <w:ind w:left="4845" w:hanging="360"/>
      </w:pPr>
      <w:rPr>
        <w:rFonts w:ascii="Wingdings" w:hAnsi="Wingdings" w:hint="default"/>
      </w:rPr>
    </w:lvl>
    <w:lvl w:ilvl="6" w:tplc="041B0001">
      <w:start w:val="1"/>
      <w:numFmt w:val="bullet"/>
      <w:lvlText w:val=""/>
      <w:lvlJc w:val="left"/>
      <w:pPr>
        <w:tabs>
          <w:tab w:val="num" w:pos="5565"/>
        </w:tabs>
        <w:ind w:left="5565" w:hanging="360"/>
      </w:pPr>
      <w:rPr>
        <w:rFonts w:ascii="Symbol" w:hAnsi="Symbol" w:hint="default"/>
      </w:rPr>
    </w:lvl>
    <w:lvl w:ilvl="7" w:tplc="041B0003">
      <w:start w:val="1"/>
      <w:numFmt w:val="bullet"/>
      <w:lvlText w:val="o"/>
      <w:lvlJc w:val="left"/>
      <w:pPr>
        <w:tabs>
          <w:tab w:val="num" w:pos="6285"/>
        </w:tabs>
        <w:ind w:left="6285" w:hanging="360"/>
      </w:pPr>
      <w:rPr>
        <w:rFonts w:ascii="Courier New" w:hAnsi="Courier New" w:cs="Courier New" w:hint="default"/>
      </w:rPr>
    </w:lvl>
    <w:lvl w:ilvl="8" w:tplc="041B0005">
      <w:start w:val="1"/>
      <w:numFmt w:val="bullet"/>
      <w:lvlText w:val=""/>
      <w:lvlJc w:val="left"/>
      <w:pPr>
        <w:tabs>
          <w:tab w:val="num" w:pos="7005"/>
        </w:tabs>
        <w:ind w:left="7005" w:hanging="360"/>
      </w:pPr>
      <w:rPr>
        <w:rFonts w:ascii="Wingdings" w:hAnsi="Wingdings" w:hint="default"/>
      </w:rPr>
    </w:lvl>
  </w:abstractNum>
  <w:abstractNum w:abstractNumId="6">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10"/>
  </w:num>
  <w:num w:numId="8">
    <w:abstractNumId w:val="8"/>
  </w:num>
  <w:num w:numId="9">
    <w:abstractNumId w:val="4"/>
  </w:num>
  <w:num w:numId="10">
    <w:abstractNumId w:val="9"/>
  </w:num>
  <w:num w:numId="11">
    <w:abstractNumId w:val="0"/>
    <w:lvlOverride w:ilvl="0">
      <w:lvl w:ilvl="0">
        <w:start w:val="1"/>
        <w:numFmt w:val="bullet"/>
        <w:lvlText w:val="-"/>
        <w:legacy w:legacy="1" w:legacySpace="0" w:legacyIndent="360"/>
        <w:lvlJc w:val="left"/>
        <w:pPr>
          <w:ind w:left="360" w:hanging="360"/>
        </w:pPr>
      </w:lvl>
    </w:lvlOverride>
  </w:num>
  <w:num w:numId="12">
    <w:abstractNumId w:val="7"/>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ota Distlerova">
    <w15:presenceInfo w15:providerId="AD" w15:userId="S-1-5-21-970292734-3806219473-2508978584-1688"/>
  </w15:person>
  <w15:person w15:author="HANZELOVA Maria SLOVAKIA">
    <w15:presenceInfo w15:providerId="AD" w15:userId="S-1-5-21-1412063513-244991130-1648912389-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5C"/>
    <w:rsid w:val="00000012"/>
    <w:rsid w:val="000264C9"/>
    <w:rsid w:val="00164B4A"/>
    <w:rsid w:val="00194FA4"/>
    <w:rsid w:val="001C257D"/>
    <w:rsid w:val="001D2613"/>
    <w:rsid w:val="001D5E36"/>
    <w:rsid w:val="00220B19"/>
    <w:rsid w:val="0023553B"/>
    <w:rsid w:val="00256BBF"/>
    <w:rsid w:val="002831D0"/>
    <w:rsid w:val="00292714"/>
    <w:rsid w:val="002D240E"/>
    <w:rsid w:val="002F0E00"/>
    <w:rsid w:val="00340979"/>
    <w:rsid w:val="00376DD3"/>
    <w:rsid w:val="00380988"/>
    <w:rsid w:val="0042435C"/>
    <w:rsid w:val="004430FC"/>
    <w:rsid w:val="004F1D0F"/>
    <w:rsid w:val="00542CAF"/>
    <w:rsid w:val="0059333F"/>
    <w:rsid w:val="00644D49"/>
    <w:rsid w:val="006B12E1"/>
    <w:rsid w:val="006B2DA5"/>
    <w:rsid w:val="006C76A1"/>
    <w:rsid w:val="006E0F7F"/>
    <w:rsid w:val="006E32D6"/>
    <w:rsid w:val="007019FE"/>
    <w:rsid w:val="00705203"/>
    <w:rsid w:val="0072709E"/>
    <w:rsid w:val="007458FE"/>
    <w:rsid w:val="007B093D"/>
    <w:rsid w:val="007B526B"/>
    <w:rsid w:val="007C6187"/>
    <w:rsid w:val="00847EB6"/>
    <w:rsid w:val="00863525"/>
    <w:rsid w:val="00891105"/>
    <w:rsid w:val="008D287C"/>
    <w:rsid w:val="008D7A3F"/>
    <w:rsid w:val="008E6FC4"/>
    <w:rsid w:val="00912F5F"/>
    <w:rsid w:val="00A01068"/>
    <w:rsid w:val="00A35081"/>
    <w:rsid w:val="00AA28A0"/>
    <w:rsid w:val="00AD0609"/>
    <w:rsid w:val="00B32997"/>
    <w:rsid w:val="00BC6250"/>
    <w:rsid w:val="00BF7140"/>
    <w:rsid w:val="00C1203A"/>
    <w:rsid w:val="00C16DE4"/>
    <w:rsid w:val="00CA2F63"/>
    <w:rsid w:val="00D02633"/>
    <w:rsid w:val="00D121A4"/>
    <w:rsid w:val="00D6647E"/>
    <w:rsid w:val="00DB7F85"/>
    <w:rsid w:val="00DC0835"/>
    <w:rsid w:val="00DD261C"/>
    <w:rsid w:val="00E80511"/>
    <w:rsid w:val="00EB6317"/>
    <w:rsid w:val="00EF25D1"/>
    <w:rsid w:val="00F1352E"/>
    <w:rsid w:val="00F21507"/>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435C"/>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42435C"/>
    <w:rPr>
      <w:color w:val="0000FF"/>
      <w:u w:val="single"/>
    </w:rPr>
  </w:style>
  <w:style w:type="paragraph" w:styleId="Hlavika">
    <w:name w:val="header"/>
    <w:basedOn w:val="Normlny"/>
    <w:link w:val="HlavikaChar"/>
    <w:unhideWhenUsed/>
    <w:rsid w:val="0042435C"/>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42435C"/>
    <w:rPr>
      <w:rFonts w:ascii="Helvetica" w:hAnsi="Helvetica"/>
      <w:lang w:val="en-GB"/>
    </w:rPr>
  </w:style>
  <w:style w:type="paragraph" w:styleId="Zkladntext">
    <w:name w:val="Body Text"/>
    <w:basedOn w:val="Normlny"/>
    <w:link w:val="ZkladntextChar"/>
    <w:unhideWhenUsed/>
    <w:rsid w:val="0042435C"/>
    <w:pPr>
      <w:tabs>
        <w:tab w:val="clear" w:pos="567"/>
      </w:tabs>
      <w:spacing w:line="240" w:lineRule="auto"/>
    </w:pPr>
    <w:rPr>
      <w:i/>
      <w:color w:val="008000"/>
    </w:rPr>
  </w:style>
  <w:style w:type="character" w:customStyle="1" w:styleId="ZkladntextChar">
    <w:name w:val="Základný text Char"/>
    <w:basedOn w:val="Predvolenpsmoodseku"/>
    <w:link w:val="Zkladntext"/>
    <w:rsid w:val="0042435C"/>
    <w:rPr>
      <w:i/>
      <w:color w:val="008000"/>
      <w:sz w:val="22"/>
      <w:lang w:val="en-GB"/>
    </w:rPr>
  </w:style>
  <w:style w:type="paragraph" w:styleId="Zarkazkladnhotextu">
    <w:name w:val="Body Text Indent"/>
    <w:basedOn w:val="Normlny"/>
    <w:link w:val="ZarkazkladnhotextuChar"/>
    <w:semiHidden/>
    <w:unhideWhenUsed/>
    <w:rsid w:val="0042435C"/>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42435C"/>
    <w:rPr>
      <w:sz w:val="22"/>
      <w:szCs w:val="22"/>
      <w:lang w:val="en-GB" w:eastAsia="en-GB"/>
    </w:rPr>
  </w:style>
  <w:style w:type="paragraph" w:styleId="Zarkazkladnhotextu3">
    <w:name w:val="Body Text Indent 3"/>
    <w:basedOn w:val="Normlny"/>
    <w:link w:val="Zarkazkladnhotextu3Char"/>
    <w:semiHidden/>
    <w:unhideWhenUsed/>
    <w:rsid w:val="0042435C"/>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42435C"/>
    <w:rPr>
      <w:sz w:val="22"/>
      <w:szCs w:val="21"/>
      <w:lang w:val="en-GB"/>
    </w:rPr>
  </w:style>
  <w:style w:type="paragraph" w:customStyle="1" w:styleId="EMEAEnBodyText">
    <w:name w:val="EMEA En Body Text"/>
    <w:basedOn w:val="Normlny"/>
    <w:rsid w:val="0042435C"/>
    <w:pPr>
      <w:tabs>
        <w:tab w:val="clear" w:pos="567"/>
      </w:tabs>
      <w:spacing w:before="120" w:after="120" w:line="240" w:lineRule="auto"/>
      <w:jc w:val="both"/>
    </w:pPr>
    <w:rPr>
      <w:lang w:val="en-US"/>
    </w:rPr>
  </w:style>
  <w:style w:type="paragraph" w:customStyle="1" w:styleId="nr2g">
    <w:name w:val="nr2g'"/>
    <w:basedOn w:val="Normlny"/>
    <w:rsid w:val="0042435C"/>
    <w:pPr>
      <w:tabs>
        <w:tab w:val="clear" w:pos="567"/>
        <w:tab w:val="center" w:pos="5387"/>
      </w:tabs>
      <w:spacing w:line="240" w:lineRule="auto"/>
      <w:ind w:left="993"/>
      <w:jc w:val="both"/>
    </w:pPr>
    <w:rPr>
      <w:sz w:val="24"/>
      <w:lang w:val="en-US" w:eastAsia="fr-FR"/>
    </w:rPr>
  </w:style>
  <w:style w:type="paragraph" w:customStyle="1" w:styleId="Texttelo">
    <w:name w:val="Text telo"/>
    <w:rsid w:val="0042435C"/>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42435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2435C"/>
    <w:rPr>
      <w:rFonts w:ascii="Tahoma" w:hAnsi="Tahoma" w:cs="Tahoma"/>
      <w:sz w:val="16"/>
      <w:szCs w:val="16"/>
      <w:lang w:val="en-GB"/>
    </w:rPr>
  </w:style>
  <w:style w:type="paragraph" w:styleId="Pta">
    <w:name w:val="footer"/>
    <w:basedOn w:val="Normlny"/>
    <w:link w:val="PtaChar"/>
    <w:uiPriority w:val="99"/>
    <w:unhideWhenUsed/>
    <w:rsid w:val="00AA28A0"/>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AA28A0"/>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435C"/>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42435C"/>
    <w:rPr>
      <w:color w:val="0000FF"/>
      <w:u w:val="single"/>
    </w:rPr>
  </w:style>
  <w:style w:type="paragraph" w:styleId="Hlavika">
    <w:name w:val="header"/>
    <w:basedOn w:val="Normlny"/>
    <w:link w:val="HlavikaChar"/>
    <w:unhideWhenUsed/>
    <w:rsid w:val="0042435C"/>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42435C"/>
    <w:rPr>
      <w:rFonts w:ascii="Helvetica" w:hAnsi="Helvetica"/>
      <w:lang w:val="en-GB"/>
    </w:rPr>
  </w:style>
  <w:style w:type="paragraph" w:styleId="Zkladntext">
    <w:name w:val="Body Text"/>
    <w:basedOn w:val="Normlny"/>
    <w:link w:val="ZkladntextChar"/>
    <w:unhideWhenUsed/>
    <w:rsid w:val="0042435C"/>
    <w:pPr>
      <w:tabs>
        <w:tab w:val="clear" w:pos="567"/>
      </w:tabs>
      <w:spacing w:line="240" w:lineRule="auto"/>
    </w:pPr>
    <w:rPr>
      <w:i/>
      <w:color w:val="008000"/>
    </w:rPr>
  </w:style>
  <w:style w:type="character" w:customStyle="1" w:styleId="ZkladntextChar">
    <w:name w:val="Základný text Char"/>
    <w:basedOn w:val="Predvolenpsmoodseku"/>
    <w:link w:val="Zkladntext"/>
    <w:rsid w:val="0042435C"/>
    <w:rPr>
      <w:i/>
      <w:color w:val="008000"/>
      <w:sz w:val="22"/>
      <w:lang w:val="en-GB"/>
    </w:rPr>
  </w:style>
  <w:style w:type="paragraph" w:styleId="Zarkazkladnhotextu">
    <w:name w:val="Body Text Indent"/>
    <w:basedOn w:val="Normlny"/>
    <w:link w:val="ZarkazkladnhotextuChar"/>
    <w:semiHidden/>
    <w:unhideWhenUsed/>
    <w:rsid w:val="0042435C"/>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42435C"/>
    <w:rPr>
      <w:sz w:val="22"/>
      <w:szCs w:val="22"/>
      <w:lang w:val="en-GB" w:eastAsia="en-GB"/>
    </w:rPr>
  </w:style>
  <w:style w:type="paragraph" w:styleId="Zarkazkladnhotextu3">
    <w:name w:val="Body Text Indent 3"/>
    <w:basedOn w:val="Normlny"/>
    <w:link w:val="Zarkazkladnhotextu3Char"/>
    <w:semiHidden/>
    <w:unhideWhenUsed/>
    <w:rsid w:val="0042435C"/>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42435C"/>
    <w:rPr>
      <w:sz w:val="22"/>
      <w:szCs w:val="21"/>
      <w:lang w:val="en-GB"/>
    </w:rPr>
  </w:style>
  <w:style w:type="paragraph" w:customStyle="1" w:styleId="EMEAEnBodyText">
    <w:name w:val="EMEA En Body Text"/>
    <w:basedOn w:val="Normlny"/>
    <w:rsid w:val="0042435C"/>
    <w:pPr>
      <w:tabs>
        <w:tab w:val="clear" w:pos="567"/>
      </w:tabs>
      <w:spacing w:before="120" w:after="120" w:line="240" w:lineRule="auto"/>
      <w:jc w:val="both"/>
    </w:pPr>
    <w:rPr>
      <w:lang w:val="en-US"/>
    </w:rPr>
  </w:style>
  <w:style w:type="paragraph" w:customStyle="1" w:styleId="nr2g">
    <w:name w:val="nr2g'"/>
    <w:basedOn w:val="Normlny"/>
    <w:rsid w:val="0042435C"/>
    <w:pPr>
      <w:tabs>
        <w:tab w:val="clear" w:pos="567"/>
        <w:tab w:val="center" w:pos="5387"/>
      </w:tabs>
      <w:spacing w:line="240" w:lineRule="auto"/>
      <w:ind w:left="993"/>
      <w:jc w:val="both"/>
    </w:pPr>
    <w:rPr>
      <w:sz w:val="24"/>
      <w:lang w:val="en-US" w:eastAsia="fr-FR"/>
    </w:rPr>
  </w:style>
  <w:style w:type="paragraph" w:customStyle="1" w:styleId="Texttelo">
    <w:name w:val="Text telo"/>
    <w:rsid w:val="0042435C"/>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42435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2435C"/>
    <w:rPr>
      <w:rFonts w:ascii="Tahoma" w:hAnsi="Tahoma" w:cs="Tahoma"/>
      <w:sz w:val="16"/>
      <w:szCs w:val="16"/>
      <w:lang w:val="en-GB"/>
    </w:rPr>
  </w:style>
  <w:style w:type="paragraph" w:styleId="Pta">
    <w:name w:val="footer"/>
    <w:basedOn w:val="Normlny"/>
    <w:link w:val="PtaChar"/>
    <w:uiPriority w:val="99"/>
    <w:unhideWhenUsed/>
    <w:rsid w:val="00AA28A0"/>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AA28A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6037">
      <w:bodyDiv w:val="1"/>
      <w:marLeft w:val="0"/>
      <w:marRight w:val="0"/>
      <w:marTop w:val="0"/>
      <w:marBottom w:val="0"/>
      <w:divBdr>
        <w:top w:val="none" w:sz="0" w:space="0" w:color="auto"/>
        <w:left w:val="none" w:sz="0" w:space="0" w:color="auto"/>
        <w:bottom w:val="none" w:sz="0" w:space="0" w:color="auto"/>
        <w:right w:val="none" w:sz="0" w:space="0" w:color="auto"/>
      </w:divBdr>
    </w:div>
    <w:div w:id="1597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E3C8-E597-4962-A67B-772BA8E5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7181</Words>
  <Characters>40938</Characters>
  <Application>Microsoft Office Word</Application>
  <DocSecurity>0</DocSecurity>
  <Lines>341</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12</cp:revision>
  <cp:lastPrinted>2018-03-22T10:03:00Z</cp:lastPrinted>
  <dcterms:created xsi:type="dcterms:W3CDTF">2017-11-10T08:53:00Z</dcterms:created>
  <dcterms:modified xsi:type="dcterms:W3CDTF">2018-03-26T07:30:00Z</dcterms:modified>
</cp:coreProperties>
</file>