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C92BF3" w14:textId="77777777" w:rsidR="000E56CA" w:rsidRPr="005A108C" w:rsidRDefault="000E56CA" w:rsidP="00583AA1">
      <w:pPr>
        <w:pStyle w:val="Nadpis4"/>
        <w:jc w:val="center"/>
        <w:rPr>
          <w:sz w:val="22"/>
          <w:szCs w:val="22"/>
          <w:u w:val="none"/>
        </w:rPr>
      </w:pPr>
      <w:r w:rsidRPr="005A108C">
        <w:rPr>
          <w:sz w:val="22"/>
          <w:szCs w:val="22"/>
          <w:u w:val="none"/>
        </w:rPr>
        <w:t>SÚHRN CHARAKTERISTICKÝCH VLASTNOSTÍ LIEKU</w:t>
      </w:r>
    </w:p>
    <w:p w14:paraId="51A7D195" w14:textId="77777777" w:rsidR="000E56CA" w:rsidRPr="005A108C" w:rsidRDefault="000E56CA" w:rsidP="00583AA1">
      <w:pPr>
        <w:jc w:val="center"/>
        <w:rPr>
          <w:b/>
          <w:sz w:val="22"/>
          <w:szCs w:val="22"/>
          <w:u w:val="single"/>
        </w:rPr>
      </w:pPr>
    </w:p>
    <w:p w14:paraId="2E2025D5" w14:textId="77777777" w:rsidR="000E56CA" w:rsidRPr="005A108C" w:rsidRDefault="000E56CA" w:rsidP="006735EA">
      <w:pPr>
        <w:rPr>
          <w:b/>
          <w:sz w:val="22"/>
          <w:szCs w:val="22"/>
          <w:u w:val="single"/>
        </w:rPr>
      </w:pPr>
    </w:p>
    <w:p w14:paraId="22583B04" w14:textId="77777777" w:rsidR="000E56CA" w:rsidRPr="005A108C" w:rsidRDefault="000E56CA" w:rsidP="006735EA">
      <w:pPr>
        <w:rPr>
          <w:b/>
          <w:sz w:val="22"/>
          <w:szCs w:val="22"/>
        </w:rPr>
      </w:pPr>
      <w:r w:rsidRPr="005A108C">
        <w:rPr>
          <w:b/>
          <w:sz w:val="22"/>
          <w:szCs w:val="22"/>
        </w:rPr>
        <w:t xml:space="preserve">1. </w:t>
      </w:r>
      <w:r>
        <w:rPr>
          <w:b/>
          <w:sz w:val="22"/>
          <w:szCs w:val="22"/>
        </w:rPr>
        <w:tab/>
      </w:r>
      <w:r w:rsidRPr="005A108C">
        <w:rPr>
          <w:b/>
          <w:sz w:val="22"/>
          <w:szCs w:val="22"/>
        </w:rPr>
        <w:t>NÁZOV LIEKU</w:t>
      </w:r>
    </w:p>
    <w:p w14:paraId="2DDCCBBD" w14:textId="77777777" w:rsidR="000E56CA" w:rsidRPr="005A108C" w:rsidRDefault="000E56CA" w:rsidP="006735EA">
      <w:pPr>
        <w:rPr>
          <w:b/>
          <w:sz w:val="22"/>
          <w:szCs w:val="22"/>
        </w:rPr>
      </w:pPr>
    </w:p>
    <w:p w14:paraId="0A80EFD9" w14:textId="77777777" w:rsidR="000E56CA" w:rsidRPr="005A108C" w:rsidRDefault="000E56CA" w:rsidP="006735EA">
      <w:pPr>
        <w:rPr>
          <w:sz w:val="22"/>
          <w:szCs w:val="22"/>
          <w:vertAlign w:val="superscript"/>
        </w:rPr>
      </w:pPr>
      <w:r w:rsidRPr="005A108C">
        <w:rPr>
          <w:sz w:val="22"/>
          <w:szCs w:val="22"/>
        </w:rPr>
        <w:t>ProHance</w:t>
      </w:r>
    </w:p>
    <w:p w14:paraId="0F7E17AD" w14:textId="77777777" w:rsidR="000E56CA" w:rsidRPr="00C231AE" w:rsidRDefault="00583AA1" w:rsidP="006735EA">
      <w:pPr>
        <w:rPr>
          <w:sz w:val="22"/>
          <w:szCs w:val="22"/>
        </w:rPr>
      </w:pPr>
      <w:r>
        <w:rPr>
          <w:sz w:val="22"/>
          <w:szCs w:val="22"/>
        </w:rPr>
        <w:t>i</w:t>
      </w:r>
      <w:r w:rsidRPr="00C231AE">
        <w:rPr>
          <w:sz w:val="22"/>
          <w:szCs w:val="22"/>
        </w:rPr>
        <w:t>njekčný roztok</w:t>
      </w:r>
    </w:p>
    <w:p w14:paraId="735EF208" w14:textId="77777777" w:rsidR="000E56CA" w:rsidRDefault="000E56CA" w:rsidP="006735EA">
      <w:pPr>
        <w:rPr>
          <w:b/>
          <w:sz w:val="22"/>
          <w:szCs w:val="22"/>
        </w:rPr>
      </w:pPr>
    </w:p>
    <w:p w14:paraId="1C7800DD" w14:textId="77777777" w:rsidR="00583AA1" w:rsidRPr="005A108C" w:rsidRDefault="00583AA1" w:rsidP="006735EA">
      <w:pPr>
        <w:rPr>
          <w:b/>
          <w:sz w:val="22"/>
          <w:szCs w:val="22"/>
        </w:rPr>
      </w:pPr>
    </w:p>
    <w:p w14:paraId="42C5DDC0" w14:textId="77777777" w:rsidR="000E56CA" w:rsidRPr="005A108C" w:rsidRDefault="000E56CA" w:rsidP="006735EA">
      <w:pPr>
        <w:rPr>
          <w:b/>
          <w:sz w:val="22"/>
          <w:szCs w:val="22"/>
        </w:rPr>
      </w:pPr>
      <w:r w:rsidRPr="005A108C">
        <w:rPr>
          <w:b/>
          <w:sz w:val="22"/>
          <w:szCs w:val="22"/>
        </w:rPr>
        <w:t xml:space="preserve">2. </w:t>
      </w:r>
      <w:r>
        <w:rPr>
          <w:b/>
          <w:sz w:val="22"/>
          <w:szCs w:val="22"/>
        </w:rPr>
        <w:tab/>
      </w:r>
      <w:r w:rsidRPr="005A108C">
        <w:rPr>
          <w:b/>
          <w:sz w:val="22"/>
          <w:szCs w:val="22"/>
        </w:rPr>
        <w:t>KVALITATÍVNE A KVANTITATÍVNE ZLOŽENIE LIEKU</w:t>
      </w:r>
    </w:p>
    <w:p w14:paraId="3BD8E2D2" w14:textId="77777777" w:rsidR="000E56CA" w:rsidRPr="005A108C" w:rsidRDefault="000E56CA" w:rsidP="006735EA">
      <w:pPr>
        <w:rPr>
          <w:sz w:val="22"/>
          <w:szCs w:val="22"/>
        </w:rPr>
      </w:pPr>
    </w:p>
    <w:p w14:paraId="0A82647D" w14:textId="77777777" w:rsidR="000E56CA" w:rsidRPr="005A108C" w:rsidRDefault="000E56CA" w:rsidP="006735EA">
      <w:pPr>
        <w:rPr>
          <w:sz w:val="22"/>
          <w:szCs w:val="22"/>
        </w:rPr>
      </w:pPr>
      <w:r w:rsidRPr="005A108C">
        <w:rPr>
          <w:sz w:val="22"/>
          <w:szCs w:val="22"/>
        </w:rPr>
        <w:t>1 ml injekčného roztoku obsahuje:</w:t>
      </w:r>
    </w:p>
    <w:p w14:paraId="4755CCDA" w14:textId="77777777" w:rsidR="000E56CA" w:rsidRPr="005A108C" w:rsidRDefault="000E56CA" w:rsidP="006735EA">
      <w:pPr>
        <w:rPr>
          <w:sz w:val="22"/>
          <w:szCs w:val="22"/>
        </w:rPr>
      </w:pPr>
      <w:r w:rsidRPr="005A108C">
        <w:rPr>
          <w:sz w:val="22"/>
          <w:szCs w:val="22"/>
        </w:rPr>
        <w:t>279,3 mg gadoteridolu</w:t>
      </w:r>
    </w:p>
    <w:p w14:paraId="41A09EF0" w14:textId="77777777" w:rsidR="000E56CA" w:rsidRPr="005A108C" w:rsidRDefault="000E56CA" w:rsidP="006735EA">
      <w:pPr>
        <w:shd w:val="clear" w:color="auto" w:fill="FFFFFF"/>
        <w:spacing w:before="5" w:line="230" w:lineRule="exact"/>
        <w:ind w:left="10"/>
        <w:rPr>
          <w:color w:val="000000"/>
          <w:spacing w:val="1"/>
          <w:sz w:val="22"/>
          <w:szCs w:val="22"/>
        </w:rPr>
      </w:pPr>
      <w:r w:rsidRPr="005A108C">
        <w:rPr>
          <w:sz w:val="22"/>
          <w:szCs w:val="22"/>
        </w:rPr>
        <w:t>(</w:t>
      </w:r>
      <w:r w:rsidRPr="005A108C">
        <w:rPr>
          <w:color w:val="000000"/>
          <w:spacing w:val="1"/>
          <w:sz w:val="22"/>
          <w:szCs w:val="22"/>
        </w:rPr>
        <w:t>zodpovedá 0,5 mmol gadoteridolu/ml alebo 78,61 mg gadoteridolu/ml)</w:t>
      </w:r>
    </w:p>
    <w:p w14:paraId="49FE2B90" w14:textId="77777777" w:rsidR="000E56CA" w:rsidRPr="005A108C" w:rsidRDefault="000E56CA" w:rsidP="006735EA">
      <w:pPr>
        <w:rPr>
          <w:sz w:val="22"/>
          <w:szCs w:val="22"/>
        </w:rPr>
      </w:pPr>
    </w:p>
    <w:p w14:paraId="36DA0D01" w14:textId="77777777" w:rsidR="000E56CA" w:rsidRPr="005A108C" w:rsidRDefault="000E56CA" w:rsidP="006735EA">
      <w:pPr>
        <w:rPr>
          <w:sz w:val="22"/>
          <w:szCs w:val="22"/>
        </w:rPr>
      </w:pPr>
      <w:r w:rsidRPr="005A108C">
        <w:rPr>
          <w:sz w:val="22"/>
          <w:szCs w:val="22"/>
        </w:rPr>
        <w:t>Úplný zoznam pomocných látok, pozri časť 6.1.</w:t>
      </w:r>
    </w:p>
    <w:p w14:paraId="6631A319" w14:textId="77777777" w:rsidR="000E56CA" w:rsidRDefault="000E56CA" w:rsidP="006735EA">
      <w:pPr>
        <w:rPr>
          <w:sz w:val="22"/>
          <w:szCs w:val="22"/>
        </w:rPr>
      </w:pPr>
    </w:p>
    <w:p w14:paraId="194AD7B7" w14:textId="77777777" w:rsidR="000E56CA" w:rsidRPr="005A108C" w:rsidRDefault="000E56CA" w:rsidP="006735EA">
      <w:pPr>
        <w:rPr>
          <w:sz w:val="22"/>
          <w:szCs w:val="22"/>
        </w:rPr>
      </w:pPr>
    </w:p>
    <w:p w14:paraId="674254F4" w14:textId="77777777" w:rsidR="000E56CA" w:rsidRPr="005A108C" w:rsidRDefault="000E56CA" w:rsidP="006735EA">
      <w:pPr>
        <w:rPr>
          <w:b/>
          <w:sz w:val="22"/>
          <w:szCs w:val="22"/>
        </w:rPr>
      </w:pPr>
      <w:r w:rsidRPr="005A108C">
        <w:rPr>
          <w:b/>
          <w:sz w:val="22"/>
          <w:szCs w:val="22"/>
        </w:rPr>
        <w:t xml:space="preserve">3. </w:t>
      </w:r>
      <w:r>
        <w:rPr>
          <w:b/>
          <w:sz w:val="22"/>
          <w:szCs w:val="22"/>
        </w:rPr>
        <w:tab/>
      </w:r>
      <w:r w:rsidRPr="005A108C">
        <w:rPr>
          <w:b/>
          <w:sz w:val="22"/>
          <w:szCs w:val="22"/>
        </w:rPr>
        <w:t>LIEKOVÁ FORMA</w:t>
      </w:r>
    </w:p>
    <w:p w14:paraId="76C20DCC" w14:textId="77777777" w:rsidR="000E56CA" w:rsidRPr="005A108C" w:rsidRDefault="000E56CA" w:rsidP="006735EA">
      <w:pPr>
        <w:rPr>
          <w:sz w:val="22"/>
          <w:szCs w:val="22"/>
        </w:rPr>
      </w:pPr>
    </w:p>
    <w:p w14:paraId="0D98404D" w14:textId="77777777" w:rsidR="000E56CA" w:rsidRPr="007402EF" w:rsidRDefault="000E56CA" w:rsidP="005A108C">
      <w:pPr>
        <w:rPr>
          <w:sz w:val="22"/>
          <w:szCs w:val="22"/>
        </w:rPr>
      </w:pPr>
      <w:r w:rsidRPr="007402EF">
        <w:rPr>
          <w:sz w:val="22"/>
          <w:szCs w:val="22"/>
        </w:rPr>
        <w:t>Injekčný roztok.</w:t>
      </w:r>
    </w:p>
    <w:p w14:paraId="24E780BF" w14:textId="77777777" w:rsidR="000E56CA" w:rsidRPr="007402EF" w:rsidRDefault="000E56CA" w:rsidP="005A108C">
      <w:pPr>
        <w:rPr>
          <w:spacing w:val="-1"/>
          <w:sz w:val="22"/>
          <w:szCs w:val="22"/>
        </w:rPr>
      </w:pPr>
      <w:r w:rsidRPr="007402EF">
        <w:rPr>
          <w:spacing w:val="-1"/>
          <w:sz w:val="22"/>
          <w:szCs w:val="22"/>
        </w:rPr>
        <w:t xml:space="preserve">ProHance je číry, bezfarebný až slabo žltý roztok. </w:t>
      </w:r>
    </w:p>
    <w:p w14:paraId="6042F0C2" w14:textId="77777777" w:rsidR="000E56CA" w:rsidRPr="007402EF" w:rsidRDefault="000E56CA" w:rsidP="006735EA">
      <w:pPr>
        <w:rPr>
          <w:sz w:val="22"/>
          <w:szCs w:val="22"/>
        </w:rPr>
      </w:pPr>
    </w:p>
    <w:p w14:paraId="031B265C" w14:textId="77777777" w:rsidR="000E56CA" w:rsidRPr="005A108C" w:rsidRDefault="000E56CA" w:rsidP="006735EA">
      <w:pPr>
        <w:rPr>
          <w:sz w:val="22"/>
          <w:szCs w:val="22"/>
        </w:rPr>
      </w:pPr>
    </w:p>
    <w:p w14:paraId="439B4FC5" w14:textId="77777777" w:rsidR="000E56CA" w:rsidRPr="005A108C" w:rsidRDefault="000E56CA" w:rsidP="006735EA">
      <w:pPr>
        <w:rPr>
          <w:b/>
          <w:sz w:val="22"/>
          <w:szCs w:val="22"/>
        </w:rPr>
      </w:pPr>
      <w:r w:rsidRPr="005A108C">
        <w:rPr>
          <w:b/>
          <w:sz w:val="22"/>
          <w:szCs w:val="22"/>
        </w:rPr>
        <w:t xml:space="preserve">4. </w:t>
      </w:r>
      <w:r>
        <w:rPr>
          <w:b/>
          <w:sz w:val="22"/>
          <w:szCs w:val="22"/>
        </w:rPr>
        <w:tab/>
      </w:r>
      <w:r w:rsidRPr="005A108C">
        <w:rPr>
          <w:b/>
          <w:sz w:val="22"/>
          <w:szCs w:val="22"/>
        </w:rPr>
        <w:t>KLINICKÉ ÚDAJE</w:t>
      </w:r>
    </w:p>
    <w:p w14:paraId="385002D3" w14:textId="77777777" w:rsidR="000E56CA" w:rsidRPr="005A108C" w:rsidRDefault="000E56CA" w:rsidP="006735EA">
      <w:pPr>
        <w:rPr>
          <w:b/>
          <w:sz w:val="22"/>
          <w:szCs w:val="22"/>
        </w:rPr>
      </w:pPr>
    </w:p>
    <w:p w14:paraId="7089235A" w14:textId="77777777" w:rsidR="000E56CA" w:rsidRDefault="000E56CA" w:rsidP="006735EA">
      <w:pPr>
        <w:rPr>
          <w:b/>
          <w:sz w:val="22"/>
          <w:szCs w:val="22"/>
        </w:rPr>
      </w:pPr>
      <w:r w:rsidRPr="005A108C">
        <w:rPr>
          <w:b/>
          <w:sz w:val="22"/>
          <w:szCs w:val="22"/>
        </w:rPr>
        <w:t xml:space="preserve">4.1. </w:t>
      </w:r>
      <w:r>
        <w:rPr>
          <w:b/>
          <w:sz w:val="22"/>
          <w:szCs w:val="22"/>
        </w:rPr>
        <w:tab/>
      </w:r>
      <w:r w:rsidRPr="005A108C">
        <w:rPr>
          <w:b/>
          <w:sz w:val="22"/>
          <w:szCs w:val="22"/>
        </w:rPr>
        <w:t>Terapeutické indikácie</w:t>
      </w:r>
    </w:p>
    <w:p w14:paraId="581E3791" w14:textId="77777777" w:rsidR="000E56CA" w:rsidRDefault="000E56CA" w:rsidP="006735EA">
      <w:pPr>
        <w:rPr>
          <w:b/>
          <w:sz w:val="22"/>
          <w:szCs w:val="22"/>
        </w:rPr>
      </w:pPr>
    </w:p>
    <w:p w14:paraId="1A46A9E4" w14:textId="77777777" w:rsidR="000E56CA" w:rsidRPr="00760211" w:rsidRDefault="000E56CA" w:rsidP="006735EA">
      <w:pPr>
        <w:rPr>
          <w:sz w:val="22"/>
          <w:szCs w:val="22"/>
        </w:rPr>
      </w:pPr>
      <w:r w:rsidRPr="00760211">
        <w:rPr>
          <w:sz w:val="22"/>
          <w:szCs w:val="22"/>
        </w:rPr>
        <w:t>Tento liek je určený len na diagnostické použitie</w:t>
      </w:r>
      <w:r>
        <w:rPr>
          <w:sz w:val="22"/>
          <w:szCs w:val="22"/>
        </w:rPr>
        <w:t xml:space="preserve"> u dospelých a detí vo veku od 6 mesiacov.</w:t>
      </w:r>
    </w:p>
    <w:p w14:paraId="23F05F1B" w14:textId="77777777" w:rsidR="000E56CA" w:rsidRPr="005A108C" w:rsidRDefault="000E56CA" w:rsidP="006735EA">
      <w:pPr>
        <w:rPr>
          <w:sz w:val="22"/>
          <w:szCs w:val="22"/>
        </w:rPr>
      </w:pPr>
    </w:p>
    <w:p w14:paraId="577D4907" w14:textId="77777777" w:rsidR="000E56CA" w:rsidRPr="005A108C" w:rsidRDefault="000E56CA" w:rsidP="006735EA">
      <w:pPr>
        <w:rPr>
          <w:sz w:val="22"/>
          <w:szCs w:val="22"/>
        </w:rPr>
      </w:pPr>
      <w:r w:rsidRPr="005A108C">
        <w:rPr>
          <w:sz w:val="22"/>
          <w:szCs w:val="22"/>
        </w:rPr>
        <w:t>Pri použití v magnetickej rezonančnej tomografii (MR</w:t>
      </w:r>
      <w:r>
        <w:rPr>
          <w:sz w:val="22"/>
          <w:szCs w:val="22"/>
        </w:rPr>
        <w:t>I</w:t>
      </w:r>
      <w:r w:rsidRPr="005A108C">
        <w:rPr>
          <w:sz w:val="22"/>
          <w:szCs w:val="22"/>
        </w:rPr>
        <w:t>) ProHance zvyšuje kontrast:</w:t>
      </w:r>
    </w:p>
    <w:p w14:paraId="7C67708C" w14:textId="77777777" w:rsidR="000E56CA" w:rsidRPr="005A108C" w:rsidRDefault="000E56CA" w:rsidP="006735EA">
      <w:pPr>
        <w:widowControl w:val="0"/>
        <w:numPr>
          <w:ilvl w:val="0"/>
          <w:numId w:val="1"/>
        </w:numPr>
        <w:shd w:val="clear" w:color="auto" w:fill="FFFFFF"/>
        <w:autoSpaceDE w:val="0"/>
        <w:autoSpaceDN w:val="0"/>
        <w:adjustRightInd w:val="0"/>
        <w:spacing w:line="230" w:lineRule="exact"/>
        <w:rPr>
          <w:color w:val="000000"/>
          <w:spacing w:val="1"/>
          <w:sz w:val="22"/>
          <w:szCs w:val="22"/>
        </w:rPr>
      </w:pPr>
      <w:r w:rsidRPr="005A108C">
        <w:rPr>
          <w:color w:val="000000"/>
          <w:spacing w:val="1"/>
          <w:sz w:val="22"/>
          <w:szCs w:val="22"/>
        </w:rPr>
        <w:t>v mozgu, mieche a okolitých tkanivách</w:t>
      </w:r>
      <w:r>
        <w:rPr>
          <w:color w:val="000000"/>
          <w:spacing w:val="1"/>
          <w:sz w:val="22"/>
          <w:szCs w:val="22"/>
        </w:rPr>
        <w:t xml:space="preserve"> CNS</w:t>
      </w:r>
      <w:r w:rsidRPr="005A108C">
        <w:rPr>
          <w:color w:val="000000"/>
          <w:spacing w:val="1"/>
          <w:sz w:val="22"/>
          <w:szCs w:val="22"/>
        </w:rPr>
        <w:t>, lepšie zobrazuje (v porovnaní s </w:t>
      </w:r>
      <w:r>
        <w:rPr>
          <w:color w:val="000000"/>
          <w:spacing w:val="1"/>
          <w:sz w:val="22"/>
          <w:szCs w:val="22"/>
        </w:rPr>
        <w:t>MRI</w:t>
      </w:r>
      <w:r w:rsidRPr="005A108C">
        <w:rPr>
          <w:color w:val="000000"/>
          <w:spacing w:val="1"/>
          <w:sz w:val="22"/>
          <w:szCs w:val="22"/>
        </w:rPr>
        <w:t xml:space="preserve">, pri ktorej sa nepoužilo zvýraznenie) lézie s abnormálnou vaskularitou, alebo lézie, ktoré môžu viesť k porušeniu </w:t>
      </w:r>
      <w:r>
        <w:rPr>
          <w:color w:val="000000"/>
          <w:spacing w:val="1"/>
          <w:sz w:val="22"/>
          <w:szCs w:val="22"/>
        </w:rPr>
        <w:t>hematoencefalickej</w:t>
      </w:r>
      <w:r w:rsidRPr="005A108C">
        <w:rPr>
          <w:color w:val="000000"/>
          <w:spacing w:val="1"/>
          <w:sz w:val="22"/>
          <w:szCs w:val="22"/>
        </w:rPr>
        <w:t xml:space="preserve"> bariéry</w:t>
      </w:r>
    </w:p>
    <w:p w14:paraId="2755B75A" w14:textId="77777777" w:rsidR="000E56CA" w:rsidRPr="005A108C" w:rsidRDefault="000E56CA" w:rsidP="006735EA">
      <w:pPr>
        <w:widowControl w:val="0"/>
        <w:numPr>
          <w:ilvl w:val="0"/>
          <w:numId w:val="1"/>
        </w:numPr>
        <w:shd w:val="clear" w:color="auto" w:fill="FFFFFF"/>
        <w:autoSpaceDE w:val="0"/>
        <w:autoSpaceDN w:val="0"/>
        <w:adjustRightInd w:val="0"/>
        <w:spacing w:line="230" w:lineRule="exact"/>
        <w:rPr>
          <w:color w:val="000000"/>
          <w:spacing w:val="1"/>
          <w:sz w:val="22"/>
          <w:szCs w:val="22"/>
        </w:rPr>
      </w:pPr>
      <w:r w:rsidRPr="005A108C">
        <w:rPr>
          <w:color w:val="000000"/>
          <w:spacing w:val="1"/>
          <w:sz w:val="22"/>
          <w:szCs w:val="22"/>
        </w:rPr>
        <w:t>tumorov mäkkých tkanív v oblasti hlavy a krku</w:t>
      </w:r>
    </w:p>
    <w:p w14:paraId="1E67C15A" w14:textId="77777777" w:rsidR="000E56CA" w:rsidRPr="005A108C" w:rsidRDefault="000E56CA" w:rsidP="006735EA">
      <w:pPr>
        <w:widowControl w:val="0"/>
        <w:numPr>
          <w:ilvl w:val="0"/>
          <w:numId w:val="1"/>
        </w:numPr>
        <w:shd w:val="clear" w:color="auto" w:fill="FFFFFF"/>
        <w:autoSpaceDE w:val="0"/>
        <w:autoSpaceDN w:val="0"/>
        <w:adjustRightInd w:val="0"/>
        <w:spacing w:line="230" w:lineRule="exact"/>
        <w:rPr>
          <w:color w:val="000000"/>
          <w:spacing w:val="1"/>
          <w:sz w:val="22"/>
          <w:szCs w:val="22"/>
        </w:rPr>
      </w:pPr>
      <w:r w:rsidRPr="005A108C">
        <w:rPr>
          <w:color w:val="000000"/>
          <w:spacing w:val="1"/>
          <w:sz w:val="22"/>
          <w:szCs w:val="22"/>
        </w:rPr>
        <w:t>v muskuloskeletálnom systéme trupu a končatín</w:t>
      </w:r>
    </w:p>
    <w:p w14:paraId="0D716261" w14:textId="77777777" w:rsidR="000E56CA" w:rsidRPr="005A108C" w:rsidRDefault="000E56CA" w:rsidP="006735EA">
      <w:pPr>
        <w:widowControl w:val="0"/>
        <w:numPr>
          <w:ilvl w:val="0"/>
          <w:numId w:val="1"/>
        </w:numPr>
        <w:shd w:val="clear" w:color="auto" w:fill="FFFFFF"/>
        <w:autoSpaceDE w:val="0"/>
        <w:autoSpaceDN w:val="0"/>
        <w:adjustRightInd w:val="0"/>
        <w:spacing w:line="230" w:lineRule="exact"/>
        <w:rPr>
          <w:color w:val="000000"/>
          <w:spacing w:val="1"/>
          <w:sz w:val="22"/>
          <w:szCs w:val="22"/>
        </w:rPr>
      </w:pPr>
      <w:r w:rsidRPr="005A108C">
        <w:rPr>
          <w:color w:val="000000"/>
          <w:spacing w:val="1"/>
          <w:sz w:val="22"/>
          <w:szCs w:val="22"/>
        </w:rPr>
        <w:t>u ochorení prsníkov</w:t>
      </w:r>
    </w:p>
    <w:p w14:paraId="51D7DE0E" w14:textId="77777777" w:rsidR="000E56CA" w:rsidRPr="005A108C" w:rsidRDefault="000E56CA" w:rsidP="006735EA">
      <w:pPr>
        <w:widowControl w:val="0"/>
        <w:numPr>
          <w:ilvl w:val="0"/>
          <w:numId w:val="1"/>
        </w:numPr>
        <w:shd w:val="clear" w:color="auto" w:fill="FFFFFF"/>
        <w:autoSpaceDE w:val="0"/>
        <w:autoSpaceDN w:val="0"/>
        <w:adjustRightInd w:val="0"/>
        <w:spacing w:line="230" w:lineRule="exact"/>
        <w:rPr>
          <w:color w:val="000000"/>
          <w:spacing w:val="1"/>
          <w:sz w:val="22"/>
          <w:szCs w:val="22"/>
        </w:rPr>
      </w:pPr>
      <w:r w:rsidRPr="005A108C">
        <w:rPr>
          <w:color w:val="000000"/>
          <w:spacing w:val="1"/>
          <w:sz w:val="22"/>
          <w:szCs w:val="22"/>
        </w:rPr>
        <w:t>v diferenciálnej diagnostike nádorov pečene</w:t>
      </w:r>
    </w:p>
    <w:p w14:paraId="616EAF7A" w14:textId="77777777" w:rsidR="000E56CA" w:rsidRPr="005A108C" w:rsidRDefault="000E56CA" w:rsidP="006735EA">
      <w:pPr>
        <w:widowControl w:val="0"/>
        <w:numPr>
          <w:ilvl w:val="0"/>
          <w:numId w:val="1"/>
        </w:numPr>
        <w:shd w:val="clear" w:color="auto" w:fill="FFFFFF"/>
        <w:autoSpaceDE w:val="0"/>
        <w:autoSpaceDN w:val="0"/>
        <w:adjustRightInd w:val="0"/>
        <w:spacing w:line="230" w:lineRule="exact"/>
        <w:rPr>
          <w:color w:val="000000"/>
          <w:spacing w:val="1"/>
          <w:sz w:val="22"/>
          <w:szCs w:val="22"/>
        </w:rPr>
      </w:pPr>
      <w:r w:rsidRPr="005A108C">
        <w:rPr>
          <w:color w:val="000000"/>
          <w:spacing w:val="1"/>
          <w:sz w:val="22"/>
          <w:szCs w:val="22"/>
        </w:rPr>
        <w:t>u ochorení v panvovej oblasti</w:t>
      </w:r>
    </w:p>
    <w:p w14:paraId="481D961F" w14:textId="77777777" w:rsidR="00835C50" w:rsidRDefault="00835C50" w:rsidP="006735EA">
      <w:pPr>
        <w:rPr>
          <w:dstrike/>
          <w:sz w:val="22"/>
          <w:szCs w:val="22"/>
        </w:rPr>
      </w:pPr>
    </w:p>
    <w:p w14:paraId="48E59E36" w14:textId="0D11F5D4" w:rsidR="00835C50" w:rsidRPr="00835C50" w:rsidRDefault="00835C50" w:rsidP="006735EA">
      <w:pPr>
        <w:rPr>
          <w:bCs/>
          <w:iCs/>
          <w:sz w:val="22"/>
          <w:szCs w:val="22"/>
        </w:rPr>
      </w:pPr>
      <w:r>
        <w:rPr>
          <w:bCs/>
          <w:iCs/>
          <w:sz w:val="22"/>
          <w:szCs w:val="22"/>
        </w:rPr>
        <w:t>ProHance</w:t>
      </w:r>
      <w:r w:rsidRPr="00835C50">
        <w:rPr>
          <w:bCs/>
          <w:iCs/>
          <w:sz w:val="22"/>
          <w:szCs w:val="22"/>
        </w:rPr>
        <w:t xml:space="preserve"> sa má použiť, len ak sú diagnostické informácie nevyhnutné a nie je možné ich získať vyšetrením magnetickou rezonanciou (MR) bez zvýšenia kontrastu.</w:t>
      </w:r>
    </w:p>
    <w:p w14:paraId="6E4EC6D7" w14:textId="77777777" w:rsidR="000E56CA" w:rsidRPr="005A108C" w:rsidRDefault="000E56CA" w:rsidP="006735EA">
      <w:pPr>
        <w:rPr>
          <w:b/>
          <w:sz w:val="22"/>
          <w:szCs w:val="22"/>
        </w:rPr>
      </w:pPr>
      <w:r w:rsidRPr="005A108C">
        <w:rPr>
          <w:dstrike/>
          <w:sz w:val="22"/>
          <w:szCs w:val="22"/>
        </w:rPr>
        <w:t xml:space="preserve"> </w:t>
      </w:r>
    </w:p>
    <w:p w14:paraId="5F2F190B" w14:textId="77777777" w:rsidR="000E56CA" w:rsidRPr="005A108C" w:rsidRDefault="000E56CA" w:rsidP="006735EA">
      <w:pPr>
        <w:rPr>
          <w:b/>
          <w:sz w:val="22"/>
          <w:szCs w:val="22"/>
        </w:rPr>
      </w:pPr>
      <w:r w:rsidRPr="005A108C">
        <w:rPr>
          <w:b/>
          <w:sz w:val="22"/>
          <w:szCs w:val="22"/>
        </w:rPr>
        <w:t xml:space="preserve">4.2. </w:t>
      </w:r>
      <w:r>
        <w:rPr>
          <w:b/>
          <w:sz w:val="22"/>
          <w:szCs w:val="22"/>
        </w:rPr>
        <w:tab/>
      </w:r>
      <w:r w:rsidRPr="005A108C">
        <w:rPr>
          <w:b/>
          <w:sz w:val="22"/>
          <w:szCs w:val="22"/>
        </w:rPr>
        <w:t>Dávkovanie a spôsob podávania</w:t>
      </w:r>
    </w:p>
    <w:p w14:paraId="2CE0AD6A" w14:textId="77777777" w:rsidR="000E56CA" w:rsidRPr="005A108C" w:rsidRDefault="000E56CA" w:rsidP="006735EA">
      <w:pPr>
        <w:pStyle w:val="Nadpis2"/>
        <w:rPr>
          <w:dstrike/>
          <w:sz w:val="22"/>
          <w:szCs w:val="22"/>
          <w:lang w:val="sk-SK"/>
        </w:rPr>
      </w:pPr>
    </w:p>
    <w:p w14:paraId="42697CFF" w14:textId="77777777" w:rsidR="000E56CA" w:rsidRDefault="000E56CA" w:rsidP="006735EA">
      <w:pPr>
        <w:widowControl w:val="0"/>
        <w:shd w:val="clear" w:color="auto" w:fill="FFFFFF"/>
        <w:autoSpaceDE w:val="0"/>
        <w:autoSpaceDN w:val="0"/>
        <w:adjustRightInd w:val="0"/>
        <w:spacing w:line="230" w:lineRule="exact"/>
        <w:rPr>
          <w:color w:val="000000"/>
          <w:spacing w:val="1"/>
          <w:sz w:val="22"/>
          <w:szCs w:val="22"/>
          <w:u w:val="single"/>
        </w:rPr>
      </w:pPr>
      <w:r w:rsidRPr="005A108C">
        <w:rPr>
          <w:color w:val="000000"/>
          <w:spacing w:val="1"/>
          <w:sz w:val="22"/>
          <w:szCs w:val="22"/>
          <w:u w:val="single"/>
        </w:rPr>
        <w:t>Dávkovanie</w:t>
      </w:r>
    </w:p>
    <w:p w14:paraId="63ED1308" w14:textId="77777777" w:rsidR="000E56CA" w:rsidRPr="0016369E" w:rsidRDefault="00835C50" w:rsidP="006735EA">
      <w:pPr>
        <w:widowControl w:val="0"/>
        <w:shd w:val="clear" w:color="auto" w:fill="FFFFFF"/>
        <w:autoSpaceDE w:val="0"/>
        <w:autoSpaceDN w:val="0"/>
        <w:adjustRightInd w:val="0"/>
        <w:spacing w:line="230" w:lineRule="exact"/>
        <w:rPr>
          <w:color w:val="000000"/>
          <w:spacing w:val="1"/>
          <w:sz w:val="22"/>
        </w:rPr>
      </w:pPr>
      <w:r w:rsidRPr="00835C50">
        <w:rPr>
          <w:color w:val="000000"/>
          <w:spacing w:val="1"/>
          <w:sz w:val="22"/>
          <w:szCs w:val="22"/>
        </w:rPr>
        <w:t>Má sa použiť najnižšia dávka, ktorá poskytne dostatočné zvýšenie kontrastu na diagnostické účely. Dávka sa má vypočítať na základe telesnej hmotnosti pacienta a nemá prekročiť odporúčanú dávku na kilogram telesnej hmotnosti uvedenú v tejto časti.</w:t>
      </w:r>
    </w:p>
    <w:p w14:paraId="7028F3A2" w14:textId="77777777" w:rsidR="00835C50" w:rsidRPr="005A108C" w:rsidRDefault="00835C50" w:rsidP="006735EA">
      <w:pPr>
        <w:widowControl w:val="0"/>
        <w:shd w:val="clear" w:color="auto" w:fill="FFFFFF"/>
        <w:autoSpaceDE w:val="0"/>
        <w:autoSpaceDN w:val="0"/>
        <w:adjustRightInd w:val="0"/>
        <w:spacing w:line="230" w:lineRule="exact"/>
        <w:rPr>
          <w:color w:val="000000"/>
          <w:spacing w:val="1"/>
          <w:sz w:val="22"/>
          <w:szCs w:val="22"/>
          <w:u w:val="single"/>
        </w:rPr>
      </w:pPr>
    </w:p>
    <w:p w14:paraId="1900164A" w14:textId="77777777" w:rsidR="000E56CA" w:rsidRPr="005A108C" w:rsidRDefault="000E56CA" w:rsidP="006735EA">
      <w:pPr>
        <w:pStyle w:val="Nadpis2"/>
        <w:rPr>
          <w:sz w:val="22"/>
          <w:szCs w:val="22"/>
          <w:u w:val="none"/>
          <w:lang w:val="sk-SK"/>
        </w:rPr>
      </w:pPr>
      <w:r w:rsidRPr="005A108C">
        <w:rPr>
          <w:sz w:val="22"/>
          <w:szCs w:val="22"/>
          <w:u w:val="none"/>
          <w:lang w:val="sk-SK"/>
        </w:rPr>
        <w:t>Dospelí</w:t>
      </w:r>
    </w:p>
    <w:p w14:paraId="3363DC71" w14:textId="77777777" w:rsidR="000E56CA" w:rsidRPr="005A108C" w:rsidRDefault="000E56CA" w:rsidP="006735EA">
      <w:pPr>
        <w:shd w:val="clear" w:color="auto" w:fill="FFFFFF"/>
        <w:rPr>
          <w:color w:val="000000"/>
          <w:spacing w:val="-1"/>
          <w:sz w:val="22"/>
          <w:szCs w:val="22"/>
        </w:rPr>
      </w:pPr>
      <w:r w:rsidRPr="005A108C">
        <w:rPr>
          <w:sz w:val="22"/>
          <w:szCs w:val="22"/>
        </w:rPr>
        <w:t xml:space="preserve">Odporúčaná dávka na zobrazenie muskuloskeletálneho systému, extrakraniálneho a extraspinálneho tkaniva je 0,1 mmol /kg, ( 0,2 ml/kg). </w:t>
      </w:r>
      <w:r w:rsidRPr="005A108C">
        <w:rPr>
          <w:color w:val="000000"/>
          <w:spacing w:val="-1"/>
          <w:sz w:val="22"/>
          <w:szCs w:val="22"/>
        </w:rPr>
        <w:t>Na zobrazovanie patologických procesov v mozgu, mieche, pečeni a panve je odporučená dávka 0,1 – 0,3 mmol/kg (0,2 – 0,6 ml/kg). Všeobecne je postačujúca štandardná dávka 0,1 mmol/kg. U pacientov s podozrením na mozgové metastázy alebo lézie s nízkym kontrastom, sa overila ako užitočná dávka 0,3 mmol/kg.</w:t>
      </w:r>
    </w:p>
    <w:p w14:paraId="1473A3CF" w14:textId="77777777" w:rsidR="000E56CA" w:rsidRPr="005A108C" w:rsidRDefault="000E56CA" w:rsidP="006735EA">
      <w:pPr>
        <w:rPr>
          <w:i/>
          <w:sz w:val="22"/>
          <w:szCs w:val="22"/>
        </w:rPr>
      </w:pPr>
      <w:r>
        <w:rPr>
          <w:i/>
          <w:sz w:val="22"/>
          <w:szCs w:val="22"/>
        </w:rPr>
        <w:lastRenderedPageBreak/>
        <w:t>Pediatrická populácia</w:t>
      </w:r>
    </w:p>
    <w:p w14:paraId="335FFBBD" w14:textId="77777777" w:rsidR="000E56CA" w:rsidRDefault="000E56CA" w:rsidP="006735EA">
      <w:pPr>
        <w:shd w:val="clear" w:color="auto" w:fill="FFFFFF"/>
        <w:rPr>
          <w:color w:val="000000"/>
          <w:spacing w:val="5"/>
          <w:sz w:val="22"/>
          <w:szCs w:val="22"/>
        </w:rPr>
      </w:pPr>
      <w:r>
        <w:rPr>
          <w:color w:val="000000"/>
          <w:spacing w:val="5"/>
          <w:sz w:val="22"/>
          <w:szCs w:val="22"/>
        </w:rPr>
        <w:t xml:space="preserve">Odporúčaná dávka </w:t>
      </w:r>
      <w:r w:rsidRPr="005A108C">
        <w:rPr>
          <w:color w:val="000000"/>
          <w:spacing w:val="5"/>
          <w:sz w:val="22"/>
          <w:szCs w:val="22"/>
        </w:rPr>
        <w:t>na zobrazovanie patologických procesov v mozgu a</w:t>
      </w:r>
      <w:r>
        <w:rPr>
          <w:color w:val="000000"/>
          <w:spacing w:val="5"/>
          <w:sz w:val="22"/>
          <w:szCs w:val="22"/>
        </w:rPr>
        <w:t> </w:t>
      </w:r>
      <w:r w:rsidRPr="005A108C">
        <w:rPr>
          <w:color w:val="000000"/>
          <w:spacing w:val="5"/>
          <w:sz w:val="22"/>
          <w:szCs w:val="22"/>
        </w:rPr>
        <w:t>mieche</w:t>
      </w:r>
      <w:r>
        <w:rPr>
          <w:color w:val="000000"/>
          <w:spacing w:val="5"/>
          <w:sz w:val="22"/>
          <w:szCs w:val="22"/>
        </w:rPr>
        <w:t xml:space="preserve"> pediatrickej populácie je </w:t>
      </w:r>
      <w:r w:rsidRPr="005A108C">
        <w:rPr>
          <w:color w:val="000000"/>
          <w:spacing w:val="5"/>
          <w:sz w:val="22"/>
          <w:szCs w:val="22"/>
        </w:rPr>
        <w:t>0,1 mmol/kg (0,2 ml/kg).</w:t>
      </w:r>
    </w:p>
    <w:p w14:paraId="04495CB4" w14:textId="77777777" w:rsidR="000E56CA" w:rsidRDefault="000E56CA" w:rsidP="006735EA">
      <w:pPr>
        <w:shd w:val="clear" w:color="auto" w:fill="FFFFFF"/>
        <w:rPr>
          <w:color w:val="000000"/>
          <w:spacing w:val="5"/>
          <w:sz w:val="22"/>
          <w:szCs w:val="22"/>
        </w:rPr>
      </w:pPr>
    </w:p>
    <w:p w14:paraId="0D760D1B" w14:textId="77777777" w:rsidR="000E56CA" w:rsidRPr="005A108C" w:rsidRDefault="000E56CA" w:rsidP="00760211">
      <w:pPr>
        <w:rPr>
          <w:i/>
          <w:sz w:val="22"/>
          <w:szCs w:val="22"/>
        </w:rPr>
      </w:pPr>
      <w:r w:rsidRPr="005A108C">
        <w:rPr>
          <w:i/>
          <w:sz w:val="22"/>
          <w:szCs w:val="22"/>
        </w:rPr>
        <w:t xml:space="preserve">Dojčatá staršie ako 6 mesiacov do 1 roka veku </w:t>
      </w:r>
    </w:p>
    <w:p w14:paraId="04E182A1" w14:textId="77777777" w:rsidR="000E56CA" w:rsidRPr="005A108C" w:rsidRDefault="000E56CA" w:rsidP="00760211">
      <w:pPr>
        <w:rPr>
          <w:sz w:val="22"/>
          <w:szCs w:val="22"/>
        </w:rPr>
      </w:pPr>
      <w:r w:rsidRPr="005A108C">
        <w:rPr>
          <w:sz w:val="22"/>
          <w:szCs w:val="22"/>
        </w:rPr>
        <w:t>Z dôvodu nevyvinutej funkcie obličiek u dojčiat do 1 roku sa má ProHance použiť u týchto pacientov iba po starostlivom zvážení a v dávka nesmie prekročiť 0,1 mmol/kg telesnej hmotnosti. Počas vyšetrenia sa nesmie použiť viac ako jedna dávka. Z dôvodu chýbajúcich informácií o opakovanom podávaní</w:t>
      </w:r>
      <w:r>
        <w:rPr>
          <w:sz w:val="22"/>
          <w:szCs w:val="22"/>
        </w:rPr>
        <w:t>,</w:t>
      </w:r>
      <w:r w:rsidRPr="005A108C">
        <w:rPr>
          <w:sz w:val="22"/>
          <w:szCs w:val="22"/>
        </w:rPr>
        <w:t xml:space="preserve"> sa injekcie ProHance nesmú opakovať pokiaľ nie je interval medzi injekciami minimálne 7 dní.</w:t>
      </w:r>
    </w:p>
    <w:p w14:paraId="5A5D0858" w14:textId="77777777" w:rsidR="000E56CA" w:rsidRPr="005A108C" w:rsidRDefault="000E56CA" w:rsidP="00760211">
      <w:pPr>
        <w:rPr>
          <w:sz w:val="22"/>
          <w:szCs w:val="22"/>
        </w:rPr>
      </w:pPr>
    </w:p>
    <w:p w14:paraId="6BDBD901" w14:textId="5EA09875" w:rsidR="000E56CA" w:rsidRPr="005A108C" w:rsidRDefault="000E56CA" w:rsidP="0016369E">
      <w:pPr>
        <w:rPr>
          <w:color w:val="000000"/>
          <w:spacing w:val="5"/>
          <w:sz w:val="22"/>
          <w:szCs w:val="22"/>
        </w:rPr>
      </w:pPr>
      <w:r w:rsidRPr="005A108C">
        <w:rPr>
          <w:sz w:val="22"/>
          <w:szCs w:val="22"/>
          <w:lang w:eastAsia="en-US"/>
        </w:rPr>
        <w:t xml:space="preserve">U detí mladších ako 6 mesiacov sa používanie na celotelovú </w:t>
      </w:r>
      <w:r>
        <w:rPr>
          <w:sz w:val="22"/>
          <w:szCs w:val="22"/>
          <w:lang w:eastAsia="en-US"/>
        </w:rPr>
        <w:t>MRI</w:t>
      </w:r>
      <w:r w:rsidRPr="005A108C">
        <w:rPr>
          <w:sz w:val="22"/>
          <w:szCs w:val="22"/>
          <w:lang w:eastAsia="en-US"/>
        </w:rPr>
        <w:t xml:space="preserve"> neodporúča.</w:t>
      </w:r>
    </w:p>
    <w:p w14:paraId="6C20FA37" w14:textId="77777777" w:rsidR="000E56CA" w:rsidRPr="005A108C" w:rsidRDefault="000E56CA" w:rsidP="006735EA">
      <w:pPr>
        <w:shd w:val="clear" w:color="auto" w:fill="FFFFFF"/>
        <w:rPr>
          <w:color w:val="000000"/>
          <w:spacing w:val="5"/>
          <w:sz w:val="22"/>
          <w:szCs w:val="22"/>
        </w:rPr>
      </w:pPr>
    </w:p>
    <w:p w14:paraId="482BFDC0" w14:textId="77777777" w:rsidR="000E56CA" w:rsidRPr="005A108C" w:rsidRDefault="000E56CA" w:rsidP="006735EA">
      <w:pPr>
        <w:shd w:val="clear" w:color="auto" w:fill="FFFFFF"/>
        <w:rPr>
          <w:color w:val="000000"/>
          <w:spacing w:val="5"/>
          <w:sz w:val="22"/>
          <w:szCs w:val="22"/>
          <w:u w:val="single"/>
        </w:rPr>
      </w:pPr>
      <w:r w:rsidRPr="005A108C">
        <w:rPr>
          <w:color w:val="000000"/>
          <w:spacing w:val="5"/>
          <w:sz w:val="22"/>
          <w:szCs w:val="22"/>
          <w:u w:val="single"/>
        </w:rPr>
        <w:t>Špeciálne skupiny pacientov</w:t>
      </w:r>
    </w:p>
    <w:p w14:paraId="5AB28CA2" w14:textId="77777777" w:rsidR="000E56CA" w:rsidRPr="005A108C" w:rsidRDefault="000E56CA" w:rsidP="006735EA">
      <w:pPr>
        <w:rPr>
          <w:sz w:val="22"/>
          <w:szCs w:val="22"/>
        </w:rPr>
      </w:pPr>
    </w:p>
    <w:p w14:paraId="0ECA138C" w14:textId="77777777" w:rsidR="000E56CA" w:rsidRPr="005A108C" w:rsidRDefault="000E56CA" w:rsidP="006735EA">
      <w:pPr>
        <w:rPr>
          <w:i/>
          <w:sz w:val="22"/>
          <w:szCs w:val="22"/>
        </w:rPr>
      </w:pPr>
      <w:r w:rsidRPr="005A108C">
        <w:rPr>
          <w:i/>
          <w:sz w:val="22"/>
          <w:szCs w:val="22"/>
        </w:rPr>
        <w:t>Poškodená funkcia obličiek</w:t>
      </w:r>
    </w:p>
    <w:p w14:paraId="795C9C86" w14:textId="77777777" w:rsidR="000E56CA" w:rsidRPr="005A108C" w:rsidRDefault="000E56CA" w:rsidP="006735EA">
      <w:pPr>
        <w:rPr>
          <w:sz w:val="22"/>
          <w:szCs w:val="22"/>
        </w:rPr>
      </w:pPr>
      <w:r w:rsidRPr="005A108C">
        <w:rPr>
          <w:sz w:val="22"/>
          <w:szCs w:val="22"/>
        </w:rPr>
        <w:t>U pacientov s ťažkým poškodením obličiek (GFR &lt; 30 ml/min/1,73m</w:t>
      </w:r>
      <w:r w:rsidRPr="005A108C">
        <w:rPr>
          <w:sz w:val="22"/>
          <w:szCs w:val="22"/>
          <w:vertAlign w:val="superscript"/>
        </w:rPr>
        <w:t>2</w:t>
      </w:r>
      <w:r w:rsidRPr="005A108C">
        <w:rPr>
          <w:sz w:val="22"/>
          <w:szCs w:val="22"/>
        </w:rPr>
        <w:t>) a u pacientov v periopreračnom období transplantácie pečene sa má ProHance použiť iba po starostlivom zhodnotení pomeru rizika k prínosu a  ak je diagnostická informácia nevyhnutná a nedá sa získať nekontrastným zobrazo</w:t>
      </w:r>
      <w:r>
        <w:rPr>
          <w:sz w:val="22"/>
          <w:szCs w:val="22"/>
        </w:rPr>
        <w:t>vaním magnetickou rezonanciou (MRI</w:t>
      </w:r>
      <w:r w:rsidRPr="005A108C">
        <w:rPr>
          <w:sz w:val="22"/>
          <w:szCs w:val="22"/>
        </w:rPr>
        <w:t xml:space="preserve">) (pozri časť 4.4). Ak je potrebné použiť ProHance, dávka nesmie prekročiť 0,1 mmol/kg telesnej hmotnosti. Počas vyšetrenia sa nesmie použiť viac ako jedna dávka. Z dôvodu chýbajúcich informácií o opakovanom podávaní sa injekcie ProHance nesmú opakovať pokiaľ nie je interval medzi injekciami minimálne 7 dní. </w:t>
      </w:r>
    </w:p>
    <w:p w14:paraId="70EDC97F" w14:textId="77777777" w:rsidR="000E56CA" w:rsidRPr="005A108C" w:rsidRDefault="000E56CA" w:rsidP="006735EA">
      <w:pPr>
        <w:ind w:left="709"/>
        <w:rPr>
          <w:sz w:val="22"/>
          <w:szCs w:val="22"/>
        </w:rPr>
      </w:pPr>
    </w:p>
    <w:p w14:paraId="6D58010C" w14:textId="77777777" w:rsidR="000E56CA" w:rsidRPr="005A108C" w:rsidRDefault="000E56CA" w:rsidP="006735EA">
      <w:pPr>
        <w:rPr>
          <w:sz w:val="22"/>
          <w:szCs w:val="22"/>
        </w:rPr>
      </w:pPr>
      <w:r>
        <w:rPr>
          <w:sz w:val="22"/>
          <w:szCs w:val="22"/>
          <w:lang w:eastAsia="en-US"/>
        </w:rPr>
        <w:t>MRI</w:t>
      </w:r>
    </w:p>
    <w:p w14:paraId="642D298F" w14:textId="77777777" w:rsidR="000E56CA" w:rsidRPr="005A108C" w:rsidRDefault="000E56CA" w:rsidP="006735EA">
      <w:pPr>
        <w:rPr>
          <w:i/>
          <w:sz w:val="22"/>
          <w:szCs w:val="22"/>
        </w:rPr>
      </w:pPr>
      <w:r w:rsidRPr="005A108C">
        <w:rPr>
          <w:i/>
          <w:sz w:val="22"/>
          <w:szCs w:val="22"/>
        </w:rPr>
        <w:t>Starší pacienti (vo veku 65 rokov a starší)</w:t>
      </w:r>
    </w:p>
    <w:p w14:paraId="33A04B0F" w14:textId="77777777" w:rsidR="000E56CA" w:rsidRPr="005A108C" w:rsidRDefault="000E56CA" w:rsidP="006735EA">
      <w:pPr>
        <w:autoSpaceDE w:val="0"/>
        <w:autoSpaceDN w:val="0"/>
        <w:adjustRightInd w:val="0"/>
        <w:rPr>
          <w:sz w:val="22"/>
          <w:szCs w:val="22"/>
          <w:lang w:eastAsia="en-US"/>
        </w:rPr>
      </w:pPr>
      <w:r w:rsidRPr="005A108C">
        <w:rPr>
          <w:sz w:val="22"/>
          <w:szCs w:val="22"/>
          <w:lang w:eastAsia="en-US"/>
        </w:rPr>
        <w:t>Úprava dávky sa nepovažuje za nevyhnutnú. U starších pacientov sa vyžaduje opatrnosť (pozri časť</w:t>
      </w:r>
    </w:p>
    <w:p w14:paraId="276C5ECF" w14:textId="77777777" w:rsidR="000E56CA" w:rsidRPr="005A108C" w:rsidRDefault="000E56CA" w:rsidP="006735EA">
      <w:pPr>
        <w:autoSpaceDE w:val="0"/>
        <w:autoSpaceDN w:val="0"/>
        <w:adjustRightInd w:val="0"/>
        <w:rPr>
          <w:sz w:val="22"/>
          <w:szCs w:val="22"/>
          <w:lang w:eastAsia="en-US"/>
        </w:rPr>
      </w:pPr>
      <w:r w:rsidRPr="005A108C">
        <w:rPr>
          <w:sz w:val="22"/>
          <w:szCs w:val="22"/>
          <w:lang w:eastAsia="en-US"/>
        </w:rPr>
        <w:t>4.4).</w:t>
      </w:r>
    </w:p>
    <w:p w14:paraId="037DF54F" w14:textId="77777777" w:rsidR="000E56CA" w:rsidRPr="005A108C" w:rsidRDefault="000E56CA" w:rsidP="006735EA">
      <w:pPr>
        <w:rPr>
          <w:sz w:val="22"/>
          <w:szCs w:val="22"/>
        </w:rPr>
      </w:pPr>
    </w:p>
    <w:p w14:paraId="12387D77" w14:textId="77777777" w:rsidR="000E56CA" w:rsidRDefault="000E56CA" w:rsidP="006735EA">
      <w:pPr>
        <w:rPr>
          <w:sz w:val="22"/>
          <w:szCs w:val="22"/>
          <w:u w:val="single"/>
        </w:rPr>
      </w:pPr>
      <w:r w:rsidRPr="005A108C">
        <w:rPr>
          <w:sz w:val="22"/>
          <w:szCs w:val="22"/>
          <w:u w:val="single"/>
        </w:rPr>
        <w:t>Spôsob pod</w:t>
      </w:r>
      <w:r>
        <w:rPr>
          <w:sz w:val="22"/>
          <w:szCs w:val="22"/>
          <w:u w:val="single"/>
        </w:rPr>
        <w:t>áva</w:t>
      </w:r>
      <w:r w:rsidRPr="005A108C">
        <w:rPr>
          <w:sz w:val="22"/>
          <w:szCs w:val="22"/>
          <w:u w:val="single"/>
        </w:rPr>
        <w:t>nia</w:t>
      </w:r>
    </w:p>
    <w:p w14:paraId="1C3206B0" w14:textId="77777777" w:rsidR="000E56CA" w:rsidRDefault="000E56CA" w:rsidP="006735EA">
      <w:pPr>
        <w:rPr>
          <w:sz w:val="22"/>
          <w:szCs w:val="22"/>
          <w:u w:val="single"/>
        </w:rPr>
      </w:pPr>
    </w:p>
    <w:p w14:paraId="46375A37" w14:textId="77777777" w:rsidR="000E56CA" w:rsidRDefault="000E56CA" w:rsidP="006735EA">
      <w:pPr>
        <w:rPr>
          <w:sz w:val="22"/>
          <w:szCs w:val="22"/>
        </w:rPr>
      </w:pPr>
      <w:r w:rsidRPr="005A108C">
        <w:rPr>
          <w:sz w:val="22"/>
          <w:szCs w:val="22"/>
        </w:rPr>
        <w:t xml:space="preserve">ProHance sa podáva </w:t>
      </w:r>
      <w:r>
        <w:rPr>
          <w:sz w:val="22"/>
          <w:szCs w:val="22"/>
        </w:rPr>
        <w:t>intravenózne</w:t>
      </w:r>
      <w:r w:rsidRPr="005A108C">
        <w:rPr>
          <w:sz w:val="22"/>
          <w:szCs w:val="22"/>
        </w:rPr>
        <w:t>.</w:t>
      </w:r>
    </w:p>
    <w:p w14:paraId="548CC65F" w14:textId="77777777" w:rsidR="000E56CA" w:rsidRDefault="000E56CA" w:rsidP="006735EA">
      <w:pPr>
        <w:rPr>
          <w:sz w:val="22"/>
          <w:szCs w:val="22"/>
        </w:rPr>
      </w:pPr>
    </w:p>
    <w:p w14:paraId="37A314E9" w14:textId="77777777" w:rsidR="000E56CA" w:rsidRPr="001D153E" w:rsidRDefault="000E56CA" w:rsidP="001D153E">
      <w:pPr>
        <w:rPr>
          <w:sz w:val="22"/>
          <w:szCs w:val="22"/>
        </w:rPr>
      </w:pPr>
      <w:r>
        <w:rPr>
          <w:sz w:val="22"/>
          <w:szCs w:val="22"/>
        </w:rPr>
        <w:t>Pri injekčnom po</w:t>
      </w:r>
      <w:r w:rsidRPr="001D153E">
        <w:rPr>
          <w:sz w:val="22"/>
          <w:szCs w:val="22"/>
        </w:rPr>
        <w:t xml:space="preserve">daní kontrastnej látky je nutná opatrnosť, aby nedošlo k </w:t>
      </w:r>
      <w:r>
        <w:rPr>
          <w:sz w:val="22"/>
          <w:szCs w:val="22"/>
        </w:rPr>
        <w:t>extravazácii</w:t>
      </w:r>
      <w:r w:rsidRPr="001D153E">
        <w:rPr>
          <w:sz w:val="22"/>
          <w:szCs w:val="22"/>
        </w:rPr>
        <w:t>.</w:t>
      </w:r>
    </w:p>
    <w:p w14:paraId="066605CA" w14:textId="77777777" w:rsidR="000E56CA" w:rsidRPr="005A108C" w:rsidRDefault="000E56CA" w:rsidP="006735EA">
      <w:pPr>
        <w:rPr>
          <w:sz w:val="22"/>
          <w:szCs w:val="22"/>
        </w:rPr>
      </w:pPr>
    </w:p>
    <w:p w14:paraId="12F8D361" w14:textId="77777777" w:rsidR="000E56CA" w:rsidRPr="005A108C" w:rsidRDefault="000E56CA" w:rsidP="006735EA">
      <w:pPr>
        <w:rPr>
          <w:sz w:val="22"/>
          <w:szCs w:val="22"/>
        </w:rPr>
      </w:pPr>
      <w:r w:rsidRPr="005A108C">
        <w:rPr>
          <w:sz w:val="22"/>
          <w:szCs w:val="22"/>
        </w:rPr>
        <w:t>V záujme kvantitatívnej aplikácie celej dávky</w:t>
      </w:r>
      <w:r w:rsidRPr="005A108C">
        <w:rPr>
          <w:i/>
          <w:sz w:val="22"/>
          <w:szCs w:val="22"/>
        </w:rPr>
        <w:t xml:space="preserve"> </w:t>
      </w:r>
      <w:r w:rsidRPr="005A108C">
        <w:rPr>
          <w:sz w:val="22"/>
          <w:szCs w:val="22"/>
        </w:rPr>
        <w:t>sa odporúča po injekcii gadoteridolu následne aplikovať 5 ml fyziologického roztoku chloridu sodného.</w:t>
      </w:r>
    </w:p>
    <w:p w14:paraId="6ED1DE2B" w14:textId="77777777" w:rsidR="000E56CA" w:rsidRPr="005A108C" w:rsidRDefault="000E56CA" w:rsidP="006735EA">
      <w:pPr>
        <w:rPr>
          <w:dstrike/>
          <w:sz w:val="22"/>
          <w:szCs w:val="22"/>
        </w:rPr>
      </w:pPr>
      <w:r w:rsidRPr="005A108C">
        <w:rPr>
          <w:sz w:val="22"/>
          <w:szCs w:val="22"/>
        </w:rPr>
        <w:t xml:space="preserve">Zosilnenie kontrastu pri </w:t>
      </w:r>
      <w:r>
        <w:rPr>
          <w:sz w:val="22"/>
          <w:szCs w:val="22"/>
        </w:rPr>
        <w:t>MRI</w:t>
      </w:r>
      <w:r w:rsidRPr="005A108C">
        <w:rPr>
          <w:sz w:val="22"/>
          <w:szCs w:val="22"/>
        </w:rPr>
        <w:t xml:space="preserve"> trvá 1 hodinu od podania ProHance.</w:t>
      </w:r>
    </w:p>
    <w:p w14:paraId="0444FEBA" w14:textId="77777777" w:rsidR="000E56CA" w:rsidRPr="005A108C" w:rsidRDefault="000E56CA" w:rsidP="006735EA">
      <w:pPr>
        <w:rPr>
          <w:i/>
          <w:sz w:val="22"/>
          <w:szCs w:val="22"/>
        </w:rPr>
      </w:pPr>
      <w:r w:rsidRPr="005A108C">
        <w:rPr>
          <w:sz w:val="22"/>
          <w:szCs w:val="22"/>
        </w:rPr>
        <w:t>V prípade, že treba vyšetrenie zopakovať, je potrebné dodržať šesťhodinový interval, ktorý umožní vylúčenie ProHance</w:t>
      </w:r>
      <w:r w:rsidRPr="005A108C">
        <w:rPr>
          <w:i/>
          <w:sz w:val="22"/>
          <w:szCs w:val="22"/>
        </w:rPr>
        <w:t xml:space="preserve"> </w:t>
      </w:r>
      <w:r w:rsidRPr="005A108C">
        <w:rPr>
          <w:sz w:val="22"/>
          <w:szCs w:val="22"/>
        </w:rPr>
        <w:t>z organizmu</w:t>
      </w:r>
      <w:r w:rsidRPr="005A108C">
        <w:rPr>
          <w:i/>
          <w:sz w:val="22"/>
          <w:szCs w:val="22"/>
        </w:rPr>
        <w:t>.</w:t>
      </w:r>
    </w:p>
    <w:p w14:paraId="65ECD6A5" w14:textId="77777777" w:rsidR="000E56CA" w:rsidRPr="005A108C" w:rsidRDefault="000E56CA" w:rsidP="006735EA">
      <w:pPr>
        <w:rPr>
          <w:b/>
          <w:sz w:val="22"/>
          <w:szCs w:val="22"/>
        </w:rPr>
      </w:pPr>
    </w:p>
    <w:p w14:paraId="49F3772B" w14:textId="77777777" w:rsidR="000E56CA" w:rsidRPr="005A108C" w:rsidRDefault="000E56CA" w:rsidP="006735EA">
      <w:pPr>
        <w:shd w:val="clear" w:color="auto" w:fill="FFFFFF"/>
        <w:rPr>
          <w:i/>
          <w:color w:val="000000"/>
          <w:spacing w:val="1"/>
          <w:sz w:val="22"/>
          <w:szCs w:val="22"/>
        </w:rPr>
      </w:pPr>
      <w:r w:rsidRPr="005A108C">
        <w:rPr>
          <w:i/>
          <w:color w:val="000000"/>
          <w:spacing w:val="1"/>
          <w:sz w:val="22"/>
          <w:szCs w:val="22"/>
        </w:rPr>
        <w:t>Opatrenia pred zaobchádzaním alebo podaním lieku</w:t>
      </w:r>
    </w:p>
    <w:p w14:paraId="1C2F96CC" w14:textId="77777777" w:rsidR="000E56CA" w:rsidRPr="005A108C" w:rsidRDefault="000E56CA" w:rsidP="006735EA">
      <w:pPr>
        <w:shd w:val="clear" w:color="auto" w:fill="FFFFFF"/>
        <w:rPr>
          <w:color w:val="000000"/>
          <w:spacing w:val="1"/>
          <w:sz w:val="22"/>
          <w:szCs w:val="22"/>
        </w:rPr>
      </w:pPr>
      <w:r w:rsidRPr="005A108C">
        <w:rPr>
          <w:color w:val="000000"/>
          <w:spacing w:val="1"/>
          <w:sz w:val="22"/>
          <w:szCs w:val="22"/>
        </w:rPr>
        <w:t>Pokyny na prípravu lieku pred podaním, pozri časť 6.6.</w:t>
      </w:r>
    </w:p>
    <w:p w14:paraId="68B8D258" w14:textId="77777777" w:rsidR="000E56CA" w:rsidRPr="005A108C" w:rsidRDefault="000E56CA" w:rsidP="006735EA">
      <w:pPr>
        <w:rPr>
          <w:b/>
          <w:sz w:val="22"/>
          <w:szCs w:val="22"/>
        </w:rPr>
      </w:pPr>
    </w:p>
    <w:p w14:paraId="156A69B1" w14:textId="77777777" w:rsidR="000E56CA" w:rsidRPr="005A108C" w:rsidRDefault="000E56CA" w:rsidP="006735EA">
      <w:pPr>
        <w:rPr>
          <w:b/>
          <w:sz w:val="22"/>
          <w:szCs w:val="22"/>
        </w:rPr>
      </w:pPr>
      <w:r w:rsidRPr="005A108C">
        <w:rPr>
          <w:b/>
          <w:sz w:val="22"/>
          <w:szCs w:val="22"/>
        </w:rPr>
        <w:t xml:space="preserve">4.3. </w:t>
      </w:r>
      <w:r>
        <w:rPr>
          <w:b/>
          <w:sz w:val="22"/>
          <w:szCs w:val="22"/>
        </w:rPr>
        <w:tab/>
      </w:r>
      <w:r w:rsidRPr="005A108C">
        <w:rPr>
          <w:b/>
          <w:sz w:val="22"/>
          <w:szCs w:val="22"/>
        </w:rPr>
        <w:t>Kontraindikácie</w:t>
      </w:r>
    </w:p>
    <w:p w14:paraId="2E65581C" w14:textId="77777777" w:rsidR="000E56CA" w:rsidRPr="005A108C" w:rsidRDefault="000E56CA" w:rsidP="006735EA">
      <w:pPr>
        <w:shd w:val="clear" w:color="auto" w:fill="FFFFFF"/>
        <w:spacing w:line="230" w:lineRule="exact"/>
        <w:ind w:left="10"/>
        <w:rPr>
          <w:color w:val="000000"/>
          <w:spacing w:val="-2"/>
          <w:sz w:val="22"/>
          <w:szCs w:val="22"/>
        </w:rPr>
      </w:pPr>
    </w:p>
    <w:p w14:paraId="00F1F57B" w14:textId="77777777" w:rsidR="000E56CA" w:rsidRPr="005A108C" w:rsidRDefault="000E56CA" w:rsidP="006735EA">
      <w:pPr>
        <w:shd w:val="clear" w:color="auto" w:fill="FFFFFF"/>
        <w:spacing w:line="230" w:lineRule="exact"/>
        <w:ind w:left="10"/>
        <w:rPr>
          <w:sz w:val="22"/>
          <w:szCs w:val="22"/>
        </w:rPr>
      </w:pPr>
      <w:r w:rsidRPr="005A108C">
        <w:rPr>
          <w:color w:val="000000"/>
          <w:spacing w:val="-2"/>
          <w:sz w:val="22"/>
          <w:szCs w:val="22"/>
        </w:rPr>
        <w:t xml:space="preserve">Precitlivenosť na gadoteridol, na ktorúkoľvek z pomocných látok </w:t>
      </w:r>
      <w:r>
        <w:rPr>
          <w:color w:val="000000"/>
          <w:spacing w:val="-2"/>
          <w:sz w:val="22"/>
          <w:szCs w:val="22"/>
        </w:rPr>
        <w:t xml:space="preserve">uvedených v časti 6.1 </w:t>
      </w:r>
      <w:r w:rsidRPr="005A108C">
        <w:rPr>
          <w:color w:val="000000"/>
          <w:sz w:val="22"/>
          <w:szCs w:val="22"/>
        </w:rPr>
        <w:t>alebo na iné kontrastné látky obsahujúce gadolínium</w:t>
      </w:r>
      <w:r w:rsidRPr="005A108C">
        <w:rPr>
          <w:color w:val="000000"/>
          <w:spacing w:val="-2"/>
          <w:sz w:val="22"/>
          <w:szCs w:val="22"/>
        </w:rPr>
        <w:t>.</w:t>
      </w:r>
    </w:p>
    <w:p w14:paraId="5D6311D9" w14:textId="77777777" w:rsidR="000E56CA" w:rsidRPr="005A108C" w:rsidRDefault="000E56CA" w:rsidP="006735EA">
      <w:pPr>
        <w:rPr>
          <w:sz w:val="22"/>
          <w:szCs w:val="22"/>
        </w:rPr>
      </w:pPr>
      <w:r w:rsidRPr="005A108C">
        <w:rPr>
          <w:sz w:val="22"/>
          <w:szCs w:val="22"/>
        </w:rPr>
        <w:t>Doposiaľ nie sú dostatočné skúsenosti s podávaním u malých detí mladších ako 6 mesiacov, preto je použitie ProHance</w:t>
      </w:r>
      <w:r w:rsidRPr="005A108C">
        <w:rPr>
          <w:color w:val="000000"/>
          <w:sz w:val="22"/>
          <w:szCs w:val="22"/>
          <w:vertAlign w:val="superscript"/>
        </w:rPr>
        <w:t xml:space="preserve"> </w:t>
      </w:r>
      <w:r w:rsidRPr="005A108C">
        <w:rPr>
          <w:sz w:val="22"/>
          <w:szCs w:val="22"/>
        </w:rPr>
        <w:t>u týchto detí kontraindikované.</w:t>
      </w:r>
    </w:p>
    <w:p w14:paraId="3CB0AB71" w14:textId="77777777" w:rsidR="000E56CA" w:rsidRPr="005A108C" w:rsidRDefault="000E56CA" w:rsidP="006735EA">
      <w:pPr>
        <w:rPr>
          <w:b/>
          <w:sz w:val="22"/>
          <w:szCs w:val="22"/>
        </w:rPr>
      </w:pPr>
    </w:p>
    <w:p w14:paraId="60ADEBC9" w14:textId="77777777" w:rsidR="000E56CA" w:rsidRPr="005A108C" w:rsidRDefault="000E56CA" w:rsidP="007E73AA">
      <w:pPr>
        <w:keepNext/>
        <w:rPr>
          <w:b/>
          <w:sz w:val="22"/>
          <w:szCs w:val="22"/>
        </w:rPr>
      </w:pPr>
      <w:r w:rsidRPr="005A108C">
        <w:rPr>
          <w:b/>
          <w:sz w:val="22"/>
          <w:szCs w:val="22"/>
        </w:rPr>
        <w:t xml:space="preserve">4.4. </w:t>
      </w:r>
      <w:r>
        <w:rPr>
          <w:b/>
          <w:sz w:val="22"/>
          <w:szCs w:val="22"/>
        </w:rPr>
        <w:tab/>
      </w:r>
      <w:r w:rsidRPr="005A108C">
        <w:rPr>
          <w:b/>
          <w:sz w:val="22"/>
          <w:szCs w:val="22"/>
        </w:rPr>
        <w:t>Osobitné upozornenia a opatrenia pri používaní</w:t>
      </w:r>
    </w:p>
    <w:p w14:paraId="0B3B60C7" w14:textId="77777777" w:rsidR="000E56CA" w:rsidRPr="005A108C" w:rsidRDefault="000E56CA" w:rsidP="007E73AA">
      <w:pPr>
        <w:keepNext/>
        <w:rPr>
          <w:sz w:val="22"/>
          <w:szCs w:val="22"/>
        </w:rPr>
      </w:pPr>
    </w:p>
    <w:p w14:paraId="7FFC7533" w14:textId="77777777" w:rsidR="000E56CA" w:rsidRPr="005A108C" w:rsidRDefault="000E56CA" w:rsidP="006735EA">
      <w:pPr>
        <w:rPr>
          <w:sz w:val="22"/>
          <w:szCs w:val="22"/>
        </w:rPr>
      </w:pPr>
      <w:r w:rsidRPr="005A108C">
        <w:rPr>
          <w:sz w:val="22"/>
          <w:szCs w:val="22"/>
        </w:rPr>
        <w:t>Pacienti s anamnézou alergi</w:t>
      </w:r>
      <w:r>
        <w:rPr>
          <w:sz w:val="22"/>
          <w:szCs w:val="22"/>
        </w:rPr>
        <w:t>ckých alebo nežiadúcich</w:t>
      </w:r>
      <w:r w:rsidRPr="005A108C">
        <w:rPr>
          <w:sz w:val="22"/>
          <w:szCs w:val="22"/>
        </w:rPr>
        <w:t xml:space="preserve"> reakc</w:t>
      </w:r>
      <w:r>
        <w:rPr>
          <w:sz w:val="22"/>
          <w:szCs w:val="22"/>
        </w:rPr>
        <w:t>ií</w:t>
      </w:r>
      <w:r w:rsidRPr="005A108C">
        <w:rPr>
          <w:sz w:val="22"/>
          <w:szCs w:val="22"/>
        </w:rPr>
        <w:t xml:space="preserve"> alebo ďalšími hypersenzitivite podobnými reakciami majú byť dôsledne sledovaní počas podávania lieku a celého vyšetrovania. V závislosti od </w:t>
      </w:r>
      <w:r w:rsidRPr="005A108C">
        <w:rPr>
          <w:sz w:val="22"/>
          <w:szCs w:val="22"/>
        </w:rPr>
        <w:lastRenderedPageBreak/>
        <w:t>stavu pacienta, vyšetrujúci lekár zváži ďalší potrebný čas sledovania. Počas použitia gadoteridolu, rovnako ako počas použitia iných chelátov gadolínia, boli hlásené anafylaktické (anafylaktoidné) hypersenzitívne reakcie. Tieto reakcie mali rôzny stupeň závažnosti, vrátane anafylaktického šoku a s</w:t>
      </w:r>
      <w:r>
        <w:rPr>
          <w:sz w:val="22"/>
          <w:szCs w:val="22"/>
        </w:rPr>
        <w:t>MRI</w:t>
      </w:r>
      <w:r w:rsidRPr="005A108C">
        <w:rPr>
          <w:sz w:val="22"/>
          <w:szCs w:val="22"/>
        </w:rPr>
        <w:t>i. Tieto reakcie postihovali jeden alebo viac telesných systémov, hlavne respiračný, kardiovaskulárny a/alebo mukokutánny. Veľmi zriedkavo bol hlásený anafylaktický šok po použití gadoteridolu.</w:t>
      </w:r>
    </w:p>
    <w:p w14:paraId="13292D9A" w14:textId="77777777" w:rsidR="000E56CA" w:rsidRPr="005A108C" w:rsidRDefault="000E56CA" w:rsidP="006735EA">
      <w:pPr>
        <w:autoSpaceDE w:val="0"/>
        <w:autoSpaceDN w:val="0"/>
        <w:adjustRightInd w:val="0"/>
        <w:rPr>
          <w:sz w:val="22"/>
          <w:szCs w:val="22"/>
          <w:u w:val="single"/>
          <w:lang w:eastAsia="en-US"/>
        </w:rPr>
      </w:pPr>
    </w:p>
    <w:p w14:paraId="2DC71B07" w14:textId="77777777" w:rsidR="000E56CA" w:rsidRPr="005A108C" w:rsidRDefault="000E56CA" w:rsidP="006735EA">
      <w:pPr>
        <w:autoSpaceDE w:val="0"/>
        <w:autoSpaceDN w:val="0"/>
        <w:adjustRightInd w:val="0"/>
        <w:rPr>
          <w:sz w:val="22"/>
          <w:szCs w:val="22"/>
          <w:lang w:eastAsia="en-US"/>
        </w:rPr>
      </w:pPr>
      <w:r w:rsidRPr="005A108C">
        <w:rPr>
          <w:sz w:val="22"/>
          <w:szCs w:val="22"/>
          <w:lang w:eastAsia="en-US"/>
        </w:rPr>
        <w:t>Pri použití ProHance musí byť vždy k dispozícii medikácia a pomôcky na prvú pomoc (vrátane endotracheálnej trubice a respirátora).</w:t>
      </w:r>
    </w:p>
    <w:p w14:paraId="4A64AA38" w14:textId="77777777" w:rsidR="000E56CA" w:rsidRDefault="000E56CA" w:rsidP="006735EA">
      <w:pPr>
        <w:autoSpaceDE w:val="0"/>
        <w:autoSpaceDN w:val="0"/>
        <w:adjustRightInd w:val="0"/>
        <w:rPr>
          <w:sz w:val="22"/>
          <w:szCs w:val="22"/>
          <w:lang w:eastAsia="en-US"/>
        </w:rPr>
      </w:pPr>
      <w:bookmarkStart w:id="0" w:name="OLE_LINK1"/>
      <w:r w:rsidRPr="005A108C">
        <w:rPr>
          <w:sz w:val="22"/>
          <w:szCs w:val="22"/>
          <w:lang w:eastAsia="en-US"/>
        </w:rPr>
        <w:t>Po aplikácii ProHance sa u niektorých pacientov pozorovali prechodné zmeny v sérovej hladine železa, ale jeho hladina sa celkovo pohybovala v normálnom rozsahu. Nie je známe, či to má nejaký klinický význam</w:t>
      </w:r>
      <w:r>
        <w:rPr>
          <w:sz w:val="22"/>
          <w:szCs w:val="22"/>
          <w:lang w:eastAsia="en-US"/>
        </w:rPr>
        <w:t>.</w:t>
      </w:r>
    </w:p>
    <w:p w14:paraId="12E2F58C" w14:textId="77777777" w:rsidR="000E56CA" w:rsidRPr="005A108C" w:rsidRDefault="000E56CA" w:rsidP="006735EA">
      <w:pPr>
        <w:autoSpaceDE w:val="0"/>
        <w:autoSpaceDN w:val="0"/>
        <w:adjustRightInd w:val="0"/>
        <w:rPr>
          <w:sz w:val="22"/>
          <w:szCs w:val="22"/>
          <w:lang w:eastAsia="en-US"/>
        </w:rPr>
      </w:pPr>
    </w:p>
    <w:p w14:paraId="27F2AF1D" w14:textId="77777777" w:rsidR="000E56CA" w:rsidRDefault="000E56CA" w:rsidP="007E73AA">
      <w:pPr>
        <w:rPr>
          <w:sz w:val="22"/>
          <w:szCs w:val="22"/>
          <w:lang w:eastAsia="en-US"/>
        </w:rPr>
      </w:pPr>
      <w:r w:rsidRPr="0065243E">
        <w:rPr>
          <w:sz w:val="22"/>
          <w:szCs w:val="22"/>
          <w:lang w:eastAsia="en-US"/>
        </w:rPr>
        <w:t xml:space="preserve">U pacientov trpiacich epilepsiou alebo mozgovými léziami sa môže </w:t>
      </w:r>
      <w:r>
        <w:rPr>
          <w:sz w:val="22"/>
          <w:szCs w:val="22"/>
          <w:lang w:eastAsia="en-US"/>
        </w:rPr>
        <w:t xml:space="preserve">počas vyšetrenia </w:t>
      </w:r>
      <w:r w:rsidRPr="0065243E">
        <w:rPr>
          <w:sz w:val="22"/>
          <w:szCs w:val="22"/>
          <w:lang w:eastAsia="en-US"/>
        </w:rPr>
        <w:t>zvýšiť pravdep</w:t>
      </w:r>
      <w:r>
        <w:rPr>
          <w:sz w:val="22"/>
          <w:szCs w:val="22"/>
          <w:lang w:eastAsia="en-US"/>
        </w:rPr>
        <w:t>odobnosť kŕčov</w:t>
      </w:r>
      <w:r w:rsidRPr="0065243E">
        <w:rPr>
          <w:sz w:val="22"/>
          <w:szCs w:val="22"/>
          <w:lang w:eastAsia="en-US"/>
        </w:rPr>
        <w:t xml:space="preserve">. </w:t>
      </w:r>
      <w:r>
        <w:rPr>
          <w:sz w:val="22"/>
          <w:szCs w:val="22"/>
          <w:lang w:eastAsia="en-US"/>
        </w:rPr>
        <w:t>Pri vyšetrovaní týchto pacientov sú potrebné bezpečnostné opatrenia (</w:t>
      </w:r>
      <w:r w:rsidRPr="0065243E">
        <w:rPr>
          <w:sz w:val="22"/>
          <w:szCs w:val="22"/>
          <w:lang w:eastAsia="en-US"/>
        </w:rPr>
        <w:t>n</w:t>
      </w:r>
      <w:r>
        <w:rPr>
          <w:sz w:val="22"/>
          <w:szCs w:val="22"/>
          <w:lang w:eastAsia="en-US"/>
        </w:rPr>
        <w:t>apríklad monitorovanie pacienta</w:t>
      </w:r>
      <w:r w:rsidRPr="0065243E">
        <w:rPr>
          <w:sz w:val="22"/>
          <w:szCs w:val="22"/>
          <w:lang w:eastAsia="en-US"/>
        </w:rPr>
        <w:t>) a</w:t>
      </w:r>
      <w:r>
        <w:rPr>
          <w:sz w:val="22"/>
          <w:szCs w:val="22"/>
          <w:lang w:eastAsia="en-US"/>
        </w:rPr>
        <w:t xml:space="preserve"> musia byť k dispozícii </w:t>
      </w:r>
      <w:r w:rsidRPr="0065243E">
        <w:rPr>
          <w:sz w:val="22"/>
          <w:szCs w:val="22"/>
          <w:lang w:eastAsia="en-US"/>
        </w:rPr>
        <w:t xml:space="preserve">zariadenia a lieky potrebné pre rýchle </w:t>
      </w:r>
      <w:r>
        <w:rPr>
          <w:sz w:val="22"/>
          <w:szCs w:val="22"/>
          <w:lang w:eastAsia="en-US"/>
        </w:rPr>
        <w:t xml:space="preserve">tlmenie </w:t>
      </w:r>
      <w:r w:rsidRPr="0065243E">
        <w:rPr>
          <w:sz w:val="22"/>
          <w:szCs w:val="22"/>
          <w:lang w:eastAsia="en-US"/>
        </w:rPr>
        <w:t>možných kŕčov.</w:t>
      </w:r>
    </w:p>
    <w:p w14:paraId="132977BA" w14:textId="77777777" w:rsidR="000E56CA" w:rsidRPr="005A108C" w:rsidRDefault="000E56CA" w:rsidP="006735EA">
      <w:pPr>
        <w:autoSpaceDE w:val="0"/>
        <w:autoSpaceDN w:val="0"/>
        <w:adjustRightInd w:val="0"/>
        <w:rPr>
          <w:sz w:val="22"/>
          <w:szCs w:val="22"/>
          <w:lang w:eastAsia="en-US"/>
        </w:rPr>
      </w:pPr>
    </w:p>
    <w:p w14:paraId="38E2E7AC" w14:textId="77777777" w:rsidR="000E56CA" w:rsidRPr="005A108C" w:rsidRDefault="000E56CA" w:rsidP="006735EA">
      <w:pPr>
        <w:autoSpaceDE w:val="0"/>
        <w:autoSpaceDN w:val="0"/>
        <w:adjustRightInd w:val="0"/>
        <w:rPr>
          <w:sz w:val="22"/>
          <w:szCs w:val="22"/>
          <w:u w:val="single"/>
          <w:lang w:eastAsia="en-US"/>
        </w:rPr>
      </w:pPr>
      <w:r w:rsidRPr="005A108C">
        <w:rPr>
          <w:sz w:val="22"/>
          <w:szCs w:val="22"/>
          <w:u w:val="single"/>
          <w:lang w:eastAsia="en-US"/>
        </w:rPr>
        <w:t>Poškodená funkcia obličiek</w:t>
      </w:r>
    </w:p>
    <w:p w14:paraId="73DE87CD" w14:textId="77777777" w:rsidR="000E56CA" w:rsidRPr="005A108C" w:rsidRDefault="000E56CA" w:rsidP="00B1719B">
      <w:pPr>
        <w:autoSpaceDE w:val="0"/>
        <w:autoSpaceDN w:val="0"/>
        <w:adjustRightInd w:val="0"/>
        <w:rPr>
          <w:sz w:val="22"/>
          <w:szCs w:val="22"/>
          <w:lang w:eastAsia="en-US"/>
        </w:rPr>
      </w:pPr>
      <w:r w:rsidRPr="005A108C">
        <w:rPr>
          <w:sz w:val="22"/>
          <w:szCs w:val="22"/>
          <w:lang w:eastAsia="en-US"/>
        </w:rPr>
        <w:t>Zvýšená opatrnosť je potrebná u pacientov s vážne poškodenou funkciou obličiek, nakoľko sa ProHance vylučuje obličkami.</w:t>
      </w:r>
    </w:p>
    <w:p w14:paraId="3B0CA6E7" w14:textId="77777777" w:rsidR="000E56CA" w:rsidRDefault="000E56CA" w:rsidP="006735EA">
      <w:pPr>
        <w:autoSpaceDE w:val="0"/>
        <w:autoSpaceDN w:val="0"/>
        <w:adjustRightInd w:val="0"/>
        <w:rPr>
          <w:b/>
          <w:bCs/>
          <w:sz w:val="22"/>
          <w:szCs w:val="22"/>
          <w:lang w:eastAsia="en-US"/>
        </w:rPr>
      </w:pPr>
    </w:p>
    <w:p w14:paraId="6F6BC741" w14:textId="77777777" w:rsidR="000E56CA" w:rsidRPr="005A108C" w:rsidRDefault="000E56CA" w:rsidP="006735EA">
      <w:pPr>
        <w:autoSpaceDE w:val="0"/>
        <w:autoSpaceDN w:val="0"/>
        <w:adjustRightInd w:val="0"/>
        <w:rPr>
          <w:b/>
          <w:bCs/>
          <w:sz w:val="22"/>
          <w:szCs w:val="22"/>
          <w:lang w:eastAsia="en-US"/>
        </w:rPr>
      </w:pPr>
      <w:r w:rsidRPr="005A108C">
        <w:rPr>
          <w:b/>
          <w:bCs/>
          <w:sz w:val="22"/>
          <w:szCs w:val="22"/>
          <w:lang w:eastAsia="en-US"/>
        </w:rPr>
        <w:t>Pred podaním ProHance sa odporúča, aby sa všetci pacienti podrobili skríningu</w:t>
      </w:r>
    </w:p>
    <w:p w14:paraId="14C7F291" w14:textId="77777777" w:rsidR="000E56CA" w:rsidRPr="005A108C" w:rsidRDefault="000E56CA" w:rsidP="006735EA">
      <w:pPr>
        <w:autoSpaceDE w:val="0"/>
        <w:autoSpaceDN w:val="0"/>
        <w:adjustRightInd w:val="0"/>
        <w:rPr>
          <w:b/>
          <w:bCs/>
          <w:sz w:val="22"/>
          <w:szCs w:val="22"/>
          <w:lang w:eastAsia="en-US"/>
        </w:rPr>
      </w:pPr>
      <w:r w:rsidRPr="005A108C">
        <w:rPr>
          <w:b/>
          <w:bCs/>
          <w:sz w:val="22"/>
          <w:szCs w:val="22"/>
          <w:lang w:eastAsia="en-US"/>
        </w:rPr>
        <w:t>dysfunkcie obličiek pomocou laboratórnych vyšetrení.</w:t>
      </w:r>
    </w:p>
    <w:p w14:paraId="55B15228" w14:textId="77777777" w:rsidR="000E56CA" w:rsidRPr="005A108C" w:rsidRDefault="000E56CA" w:rsidP="006735EA">
      <w:pPr>
        <w:autoSpaceDE w:val="0"/>
        <w:autoSpaceDN w:val="0"/>
        <w:adjustRightInd w:val="0"/>
        <w:rPr>
          <w:b/>
          <w:bCs/>
          <w:sz w:val="22"/>
          <w:szCs w:val="22"/>
          <w:lang w:eastAsia="en-US"/>
        </w:rPr>
      </w:pPr>
    </w:p>
    <w:p w14:paraId="0EA9AC30" w14:textId="77777777" w:rsidR="000E56CA" w:rsidRPr="005A108C" w:rsidRDefault="000E56CA" w:rsidP="006735EA">
      <w:pPr>
        <w:autoSpaceDE w:val="0"/>
        <w:autoSpaceDN w:val="0"/>
        <w:adjustRightInd w:val="0"/>
        <w:rPr>
          <w:sz w:val="22"/>
          <w:szCs w:val="22"/>
          <w:lang w:eastAsia="en-US"/>
        </w:rPr>
      </w:pPr>
      <w:r w:rsidRPr="005A108C">
        <w:rPr>
          <w:sz w:val="22"/>
          <w:szCs w:val="22"/>
          <w:lang w:eastAsia="en-US"/>
        </w:rPr>
        <w:t>U pacientov s akútnym alebo chronickým ťažkým poškodením funkcie obličiek (GFR 30</w:t>
      </w:r>
      <w:r>
        <w:rPr>
          <w:sz w:val="22"/>
          <w:szCs w:val="22"/>
          <w:lang w:eastAsia="en-US"/>
        </w:rPr>
        <w:t xml:space="preserve"> </w:t>
      </w:r>
      <w:r w:rsidRPr="005A108C">
        <w:rPr>
          <w:sz w:val="22"/>
          <w:szCs w:val="22"/>
          <w:lang w:eastAsia="en-US"/>
        </w:rPr>
        <w:t>ml/min/1,73 m</w:t>
      </w:r>
      <w:r w:rsidRPr="005A108C">
        <w:rPr>
          <w:sz w:val="22"/>
          <w:szCs w:val="22"/>
          <w:vertAlign w:val="superscript"/>
          <w:lang w:eastAsia="en-US"/>
        </w:rPr>
        <w:t>2</w:t>
      </w:r>
      <w:r w:rsidRPr="005A108C">
        <w:rPr>
          <w:sz w:val="22"/>
          <w:szCs w:val="22"/>
          <w:lang w:eastAsia="en-US"/>
        </w:rPr>
        <w:t>) sú hlásenia o nefrogénnej systémovej fibróze (NSF) spojenej s</w:t>
      </w:r>
      <w:r>
        <w:rPr>
          <w:sz w:val="22"/>
          <w:szCs w:val="22"/>
          <w:lang w:eastAsia="en-US"/>
        </w:rPr>
        <w:t> </w:t>
      </w:r>
      <w:r w:rsidRPr="005A108C">
        <w:rPr>
          <w:sz w:val="22"/>
          <w:szCs w:val="22"/>
          <w:lang w:eastAsia="en-US"/>
        </w:rPr>
        <w:t>používaním</w:t>
      </w:r>
      <w:r>
        <w:rPr>
          <w:sz w:val="22"/>
          <w:szCs w:val="22"/>
          <w:lang w:eastAsia="en-US"/>
        </w:rPr>
        <w:t xml:space="preserve"> </w:t>
      </w:r>
      <w:r w:rsidRPr="005A108C">
        <w:rPr>
          <w:sz w:val="22"/>
          <w:szCs w:val="22"/>
          <w:lang w:eastAsia="en-US"/>
        </w:rPr>
        <w:t xml:space="preserve">niektorých kontrastných látok obsahujúcich gadolínium. </w:t>
      </w:r>
      <w:r>
        <w:rPr>
          <w:sz w:val="22"/>
          <w:szCs w:val="22"/>
          <w:lang w:eastAsia="en-US"/>
        </w:rPr>
        <w:t xml:space="preserve"> - </w:t>
      </w:r>
      <w:r w:rsidRPr="005A108C">
        <w:rPr>
          <w:sz w:val="22"/>
          <w:szCs w:val="22"/>
          <w:lang w:eastAsia="en-US"/>
        </w:rPr>
        <w:t>Pacienti, ktorí podstupujú transplantáciu</w:t>
      </w:r>
      <w:r>
        <w:rPr>
          <w:sz w:val="22"/>
          <w:szCs w:val="22"/>
          <w:lang w:eastAsia="en-US"/>
        </w:rPr>
        <w:t xml:space="preserve"> </w:t>
      </w:r>
      <w:r w:rsidRPr="005A108C">
        <w:rPr>
          <w:sz w:val="22"/>
          <w:szCs w:val="22"/>
          <w:lang w:eastAsia="en-US"/>
        </w:rPr>
        <w:t>pečene sú vystavení osobitnému riziku, pretože výskyt akútneho renálneho zlyhania je v tejto skupine</w:t>
      </w:r>
      <w:r>
        <w:rPr>
          <w:sz w:val="22"/>
          <w:szCs w:val="22"/>
          <w:lang w:eastAsia="en-US"/>
        </w:rPr>
        <w:t xml:space="preserve"> </w:t>
      </w:r>
      <w:r w:rsidRPr="005A108C">
        <w:rPr>
          <w:sz w:val="22"/>
          <w:szCs w:val="22"/>
          <w:lang w:eastAsia="en-US"/>
        </w:rPr>
        <w:t>vysoký. Keďže pri používaní ProHan</w:t>
      </w:r>
      <w:r>
        <w:rPr>
          <w:sz w:val="22"/>
          <w:szCs w:val="22"/>
          <w:lang w:eastAsia="en-US"/>
        </w:rPr>
        <w:t>ce existuje možnosť výskytu NSF</w:t>
      </w:r>
      <w:r w:rsidRPr="005A108C">
        <w:rPr>
          <w:sz w:val="22"/>
          <w:szCs w:val="22"/>
          <w:lang w:eastAsia="en-US"/>
        </w:rPr>
        <w:t xml:space="preserve"> u pacientov s ťažkým poškodením funkcie obličiek a u pacientov v perioperačnom období transplantácie pečene</w:t>
      </w:r>
      <w:r>
        <w:rPr>
          <w:sz w:val="22"/>
          <w:szCs w:val="22"/>
          <w:lang w:eastAsia="en-US"/>
        </w:rPr>
        <w:t>,</w:t>
      </w:r>
      <w:r w:rsidRPr="005A108C">
        <w:rPr>
          <w:sz w:val="22"/>
          <w:szCs w:val="22"/>
          <w:lang w:eastAsia="en-US"/>
        </w:rPr>
        <w:t xml:space="preserve"> sa</w:t>
      </w:r>
      <w:r>
        <w:rPr>
          <w:sz w:val="22"/>
          <w:szCs w:val="22"/>
          <w:lang w:eastAsia="en-US"/>
        </w:rPr>
        <w:t xml:space="preserve"> </w:t>
      </w:r>
      <w:r w:rsidRPr="005A108C">
        <w:rPr>
          <w:sz w:val="22"/>
          <w:szCs w:val="22"/>
          <w:lang w:eastAsia="en-US"/>
        </w:rPr>
        <w:t>má preto používať iba po starostlivom zhodnotení pomeru rizika k prínosu a ak je diagnostická</w:t>
      </w:r>
      <w:r>
        <w:rPr>
          <w:sz w:val="22"/>
          <w:szCs w:val="22"/>
          <w:lang w:eastAsia="en-US"/>
        </w:rPr>
        <w:t xml:space="preserve"> </w:t>
      </w:r>
      <w:r w:rsidRPr="005A108C">
        <w:rPr>
          <w:sz w:val="22"/>
          <w:szCs w:val="22"/>
          <w:lang w:eastAsia="en-US"/>
        </w:rPr>
        <w:t>informácia nevyhnutná a nedá sa zís</w:t>
      </w:r>
      <w:r>
        <w:rPr>
          <w:sz w:val="22"/>
          <w:szCs w:val="22"/>
          <w:lang w:eastAsia="en-US"/>
        </w:rPr>
        <w:t>kať nekontrastným zobrazovaním MRI</w:t>
      </w:r>
      <w:r w:rsidRPr="005A108C">
        <w:rPr>
          <w:sz w:val="22"/>
          <w:szCs w:val="22"/>
          <w:lang w:eastAsia="en-US"/>
        </w:rPr>
        <w:t>.</w:t>
      </w:r>
    </w:p>
    <w:p w14:paraId="1E3F773F" w14:textId="77777777" w:rsidR="000E56CA" w:rsidRPr="005A108C" w:rsidRDefault="000E56CA" w:rsidP="006735EA">
      <w:pPr>
        <w:shd w:val="clear" w:color="auto" w:fill="FFFFFF"/>
        <w:rPr>
          <w:sz w:val="22"/>
          <w:szCs w:val="22"/>
          <w:lang w:eastAsia="en-US"/>
        </w:rPr>
      </w:pPr>
    </w:p>
    <w:p w14:paraId="03CE5C25" w14:textId="77777777" w:rsidR="000E56CA" w:rsidRPr="005A108C" w:rsidRDefault="000E56CA" w:rsidP="006735EA">
      <w:pPr>
        <w:shd w:val="clear" w:color="auto" w:fill="FFFFFF"/>
        <w:rPr>
          <w:b/>
          <w:bCs/>
          <w:sz w:val="22"/>
          <w:szCs w:val="22"/>
        </w:rPr>
      </w:pPr>
      <w:r w:rsidRPr="005A108C">
        <w:rPr>
          <w:sz w:val="22"/>
          <w:szCs w:val="22"/>
          <w:lang w:eastAsia="en-US"/>
        </w:rPr>
        <w:t>Hemodialýza krátko po podaní ProHance môže byť prospešná na odstránenie ProHance z organizmu. Neexistujú dôkazy, ktoré podporujú zavedenie hemodialýzy na prevenciu alebo</w:t>
      </w:r>
      <w:r w:rsidRPr="005A108C">
        <w:rPr>
          <w:b/>
          <w:bCs/>
          <w:sz w:val="22"/>
          <w:szCs w:val="22"/>
        </w:rPr>
        <w:t xml:space="preserve"> </w:t>
      </w:r>
      <w:r w:rsidRPr="005A108C">
        <w:rPr>
          <w:sz w:val="22"/>
          <w:szCs w:val="22"/>
          <w:lang w:eastAsia="en-US"/>
        </w:rPr>
        <w:t>liečbu NSF u pacientov, u ktorých sa doposiaľ hemodialýza nevykonávala.</w:t>
      </w:r>
    </w:p>
    <w:p w14:paraId="1EB1AA05" w14:textId="77777777" w:rsidR="000E56CA" w:rsidRPr="005A108C" w:rsidRDefault="000E56CA" w:rsidP="006735EA">
      <w:pPr>
        <w:autoSpaceDE w:val="0"/>
        <w:autoSpaceDN w:val="0"/>
        <w:adjustRightInd w:val="0"/>
        <w:rPr>
          <w:sz w:val="22"/>
          <w:szCs w:val="22"/>
          <w:lang w:eastAsia="en-US"/>
        </w:rPr>
      </w:pPr>
    </w:p>
    <w:p w14:paraId="20D44C99" w14:textId="77777777" w:rsidR="000E56CA" w:rsidRDefault="000E56CA" w:rsidP="006735EA">
      <w:pPr>
        <w:autoSpaceDE w:val="0"/>
        <w:autoSpaceDN w:val="0"/>
        <w:adjustRightInd w:val="0"/>
        <w:rPr>
          <w:sz w:val="22"/>
          <w:szCs w:val="22"/>
          <w:u w:val="single"/>
        </w:rPr>
      </w:pPr>
      <w:r>
        <w:rPr>
          <w:sz w:val="22"/>
          <w:szCs w:val="22"/>
          <w:u w:val="single"/>
        </w:rPr>
        <w:t>Pediatrická populácia</w:t>
      </w:r>
    </w:p>
    <w:p w14:paraId="0B8B47B3" w14:textId="77777777" w:rsidR="000E56CA" w:rsidRPr="00583AA1" w:rsidRDefault="000E56CA" w:rsidP="006735EA">
      <w:pPr>
        <w:autoSpaceDE w:val="0"/>
        <w:autoSpaceDN w:val="0"/>
        <w:adjustRightInd w:val="0"/>
        <w:rPr>
          <w:sz w:val="22"/>
          <w:szCs w:val="22"/>
        </w:rPr>
      </w:pPr>
      <w:r w:rsidRPr="00583AA1">
        <w:rPr>
          <w:sz w:val="22"/>
          <w:szCs w:val="22"/>
        </w:rPr>
        <w:t>Dojčatá staršie ako 6 mesiacov</w:t>
      </w:r>
    </w:p>
    <w:p w14:paraId="794A67C1" w14:textId="77777777" w:rsidR="000E56CA" w:rsidRPr="005A108C" w:rsidRDefault="000E56CA" w:rsidP="00583AA1">
      <w:pPr>
        <w:autoSpaceDE w:val="0"/>
        <w:autoSpaceDN w:val="0"/>
        <w:adjustRightInd w:val="0"/>
        <w:rPr>
          <w:sz w:val="22"/>
          <w:szCs w:val="22"/>
          <w:lang w:eastAsia="en-US"/>
        </w:rPr>
      </w:pPr>
      <w:r w:rsidRPr="005A108C">
        <w:rPr>
          <w:sz w:val="22"/>
          <w:szCs w:val="22"/>
          <w:lang w:eastAsia="en-US"/>
        </w:rPr>
        <w:t>Z dôvodu nevyvinutej funkcie obličiek u dojčiat do 1 roku sa má u pacientov vo veku 6 až 12</w:t>
      </w:r>
      <w:r>
        <w:rPr>
          <w:sz w:val="22"/>
          <w:szCs w:val="22"/>
          <w:lang w:eastAsia="en-US"/>
        </w:rPr>
        <w:t xml:space="preserve"> </w:t>
      </w:r>
      <w:r w:rsidRPr="005A108C">
        <w:rPr>
          <w:sz w:val="22"/>
          <w:szCs w:val="22"/>
          <w:lang w:eastAsia="en-US"/>
        </w:rPr>
        <w:t>mesiacov ProHance používať iba po starostlivom zvážení.</w:t>
      </w:r>
    </w:p>
    <w:bookmarkEnd w:id="0"/>
    <w:p w14:paraId="367B4D20" w14:textId="77777777" w:rsidR="000E56CA" w:rsidRPr="005A108C" w:rsidRDefault="000E56CA" w:rsidP="006735EA">
      <w:pPr>
        <w:rPr>
          <w:sz w:val="22"/>
          <w:szCs w:val="22"/>
        </w:rPr>
      </w:pPr>
    </w:p>
    <w:p w14:paraId="334AA1C3" w14:textId="77777777" w:rsidR="000E56CA" w:rsidRPr="005A108C" w:rsidRDefault="000E56CA" w:rsidP="006735EA">
      <w:pPr>
        <w:autoSpaceDE w:val="0"/>
        <w:autoSpaceDN w:val="0"/>
        <w:adjustRightInd w:val="0"/>
        <w:rPr>
          <w:sz w:val="22"/>
          <w:szCs w:val="22"/>
          <w:u w:val="single"/>
          <w:lang w:eastAsia="en-US"/>
        </w:rPr>
      </w:pPr>
      <w:r w:rsidRPr="005A108C">
        <w:rPr>
          <w:sz w:val="22"/>
          <w:szCs w:val="22"/>
          <w:u w:val="single"/>
          <w:lang w:eastAsia="en-US"/>
        </w:rPr>
        <w:t>Starší pacienti</w:t>
      </w:r>
    </w:p>
    <w:p w14:paraId="512C8736" w14:textId="77777777" w:rsidR="000E56CA" w:rsidRDefault="000E56CA" w:rsidP="00583AA1">
      <w:pPr>
        <w:autoSpaceDE w:val="0"/>
        <w:autoSpaceDN w:val="0"/>
        <w:adjustRightInd w:val="0"/>
        <w:rPr>
          <w:sz w:val="22"/>
          <w:szCs w:val="22"/>
          <w:lang w:eastAsia="en-US"/>
        </w:rPr>
      </w:pPr>
      <w:r w:rsidRPr="005A108C">
        <w:rPr>
          <w:sz w:val="22"/>
          <w:szCs w:val="22"/>
          <w:lang w:eastAsia="en-US"/>
        </w:rPr>
        <w:t>Keďže u starších pacientov môže byť renálny klírens gadoteridolu poškodený, je osobitne dôležité</w:t>
      </w:r>
      <w:r>
        <w:rPr>
          <w:sz w:val="22"/>
          <w:szCs w:val="22"/>
          <w:lang w:eastAsia="en-US"/>
        </w:rPr>
        <w:t xml:space="preserve"> </w:t>
      </w:r>
      <w:r w:rsidRPr="005A108C">
        <w:rPr>
          <w:sz w:val="22"/>
          <w:szCs w:val="22"/>
          <w:lang w:eastAsia="en-US"/>
        </w:rPr>
        <w:t>pacientov vo veku 65 rokov a starších podrobiť skríningu dysfunkcie obličiek.</w:t>
      </w:r>
    </w:p>
    <w:p w14:paraId="344C067F" w14:textId="77777777" w:rsidR="000E56CA" w:rsidRPr="005A108C" w:rsidRDefault="000E56CA" w:rsidP="006735EA">
      <w:pPr>
        <w:rPr>
          <w:sz w:val="22"/>
          <w:szCs w:val="22"/>
          <w:lang w:eastAsia="en-US"/>
        </w:rPr>
      </w:pPr>
    </w:p>
    <w:p w14:paraId="63A214D8" w14:textId="77777777" w:rsidR="000E56CA" w:rsidRPr="005A108C" w:rsidRDefault="000E56CA" w:rsidP="006735EA">
      <w:pPr>
        <w:shd w:val="clear" w:color="auto" w:fill="FFFFFF"/>
        <w:rPr>
          <w:color w:val="000000"/>
          <w:spacing w:val="-1"/>
          <w:sz w:val="22"/>
          <w:szCs w:val="22"/>
        </w:rPr>
      </w:pPr>
      <w:r w:rsidRPr="005A108C">
        <w:rPr>
          <w:color w:val="000000"/>
          <w:spacing w:val="-1"/>
          <w:sz w:val="22"/>
          <w:szCs w:val="22"/>
        </w:rPr>
        <w:t>Ampulky a injekčné striekačky sa môžu použiť len raz. Nepoužitý injekčný roztok sa musí znehodnotiť.</w:t>
      </w:r>
    </w:p>
    <w:p w14:paraId="5C069316" w14:textId="77777777" w:rsidR="000E56CA" w:rsidRPr="005A108C" w:rsidRDefault="000E56CA" w:rsidP="006735EA">
      <w:pPr>
        <w:shd w:val="clear" w:color="auto" w:fill="FFFFFF"/>
        <w:rPr>
          <w:color w:val="000000"/>
          <w:spacing w:val="-1"/>
          <w:sz w:val="22"/>
          <w:szCs w:val="22"/>
        </w:rPr>
      </w:pPr>
    </w:p>
    <w:p w14:paraId="03458D0F" w14:textId="77777777" w:rsidR="000E56CA" w:rsidRPr="005A108C" w:rsidRDefault="000E56CA" w:rsidP="006735EA">
      <w:pPr>
        <w:shd w:val="clear" w:color="auto" w:fill="FFFFFF"/>
        <w:rPr>
          <w:color w:val="000000"/>
          <w:spacing w:val="-1"/>
          <w:sz w:val="22"/>
          <w:szCs w:val="22"/>
        </w:rPr>
      </w:pPr>
      <w:r w:rsidRPr="005A108C">
        <w:rPr>
          <w:color w:val="000000"/>
          <w:spacing w:val="-1"/>
          <w:sz w:val="22"/>
          <w:szCs w:val="22"/>
        </w:rPr>
        <w:t>Injekčné striekačky sa musia znehodnotiť, ak je akokoľvek poškodené tesnenie alebo keď nie sú vzduchotesné.</w:t>
      </w:r>
    </w:p>
    <w:p w14:paraId="1E4138AA" w14:textId="3F322EC8" w:rsidR="0016369E" w:rsidRDefault="0016369E" w:rsidP="006735EA">
      <w:pPr>
        <w:rPr>
          <w:sz w:val="22"/>
          <w:szCs w:val="22"/>
        </w:rPr>
      </w:pPr>
      <w:r>
        <w:rPr>
          <w:sz w:val="22"/>
          <w:szCs w:val="22"/>
        </w:rPr>
        <w:br w:type="page"/>
      </w:r>
    </w:p>
    <w:p w14:paraId="033996D0" w14:textId="77777777" w:rsidR="000E56CA" w:rsidRPr="005A108C" w:rsidRDefault="000E56CA" w:rsidP="006735EA">
      <w:pPr>
        <w:rPr>
          <w:sz w:val="22"/>
          <w:szCs w:val="22"/>
        </w:rPr>
      </w:pPr>
    </w:p>
    <w:p w14:paraId="47279EC9" w14:textId="77777777" w:rsidR="000E56CA" w:rsidRPr="005A108C" w:rsidRDefault="000E56CA" w:rsidP="006735EA">
      <w:pPr>
        <w:rPr>
          <w:b/>
          <w:sz w:val="22"/>
          <w:szCs w:val="22"/>
        </w:rPr>
      </w:pPr>
      <w:r w:rsidRPr="005A108C">
        <w:rPr>
          <w:b/>
          <w:sz w:val="22"/>
          <w:szCs w:val="22"/>
        </w:rPr>
        <w:t xml:space="preserve">4.5. </w:t>
      </w:r>
      <w:r>
        <w:rPr>
          <w:b/>
          <w:sz w:val="22"/>
          <w:szCs w:val="22"/>
        </w:rPr>
        <w:tab/>
      </w:r>
      <w:r w:rsidRPr="005A108C">
        <w:rPr>
          <w:b/>
          <w:sz w:val="22"/>
          <w:szCs w:val="22"/>
        </w:rPr>
        <w:t>Liekové a iné interakcie</w:t>
      </w:r>
    </w:p>
    <w:p w14:paraId="56036B5F" w14:textId="77777777" w:rsidR="000E56CA" w:rsidRPr="005A108C" w:rsidRDefault="000E56CA" w:rsidP="006735EA">
      <w:pPr>
        <w:rPr>
          <w:sz w:val="22"/>
          <w:szCs w:val="22"/>
        </w:rPr>
      </w:pPr>
    </w:p>
    <w:p w14:paraId="5C3AF9FF" w14:textId="77777777" w:rsidR="000E56CA" w:rsidRPr="005A108C" w:rsidRDefault="000E56CA" w:rsidP="006735EA">
      <w:pPr>
        <w:rPr>
          <w:sz w:val="22"/>
          <w:szCs w:val="22"/>
        </w:rPr>
      </w:pPr>
      <w:r w:rsidRPr="005A108C">
        <w:rPr>
          <w:sz w:val="22"/>
          <w:szCs w:val="22"/>
        </w:rPr>
        <w:t>Doposiaľ nie sú známe interakcie gadoteridolu</w:t>
      </w:r>
      <w:r w:rsidRPr="005A108C">
        <w:rPr>
          <w:i/>
          <w:sz w:val="22"/>
          <w:szCs w:val="22"/>
        </w:rPr>
        <w:t xml:space="preserve"> </w:t>
      </w:r>
      <w:r w:rsidRPr="005A108C">
        <w:rPr>
          <w:sz w:val="22"/>
          <w:szCs w:val="22"/>
        </w:rPr>
        <w:t>s inými liekmi. Prebiehajúce klinické štúdie nepotvrdili žiadne klinicky významné ovplyvnenie hodnôt laboratórnych testov.</w:t>
      </w:r>
    </w:p>
    <w:p w14:paraId="5D958759" w14:textId="77777777" w:rsidR="000E56CA" w:rsidRPr="005A108C" w:rsidRDefault="000E56CA" w:rsidP="006735EA">
      <w:pPr>
        <w:rPr>
          <w:sz w:val="22"/>
          <w:szCs w:val="22"/>
        </w:rPr>
      </w:pPr>
      <w:r w:rsidRPr="005A108C">
        <w:rPr>
          <w:sz w:val="22"/>
          <w:szCs w:val="22"/>
        </w:rPr>
        <w:t>ProHance</w:t>
      </w:r>
      <w:r w:rsidRPr="005A108C">
        <w:rPr>
          <w:i/>
          <w:sz w:val="22"/>
          <w:szCs w:val="22"/>
          <w:vertAlign w:val="superscript"/>
        </w:rPr>
        <w:t xml:space="preserve"> </w:t>
      </w:r>
      <w:r w:rsidRPr="005A108C">
        <w:rPr>
          <w:sz w:val="22"/>
          <w:szCs w:val="22"/>
        </w:rPr>
        <w:t>sa nesmie miešať s inými diagnostikami a liekmi.</w:t>
      </w:r>
    </w:p>
    <w:p w14:paraId="4C7647C2" w14:textId="77777777" w:rsidR="000E56CA" w:rsidRPr="005A108C" w:rsidRDefault="000E56CA" w:rsidP="006735EA">
      <w:pPr>
        <w:rPr>
          <w:sz w:val="22"/>
          <w:szCs w:val="22"/>
        </w:rPr>
      </w:pPr>
    </w:p>
    <w:p w14:paraId="70ABC2ED" w14:textId="77777777" w:rsidR="000E56CA" w:rsidRPr="005A108C" w:rsidRDefault="000E56CA" w:rsidP="006735EA">
      <w:pPr>
        <w:rPr>
          <w:b/>
          <w:sz w:val="22"/>
          <w:szCs w:val="22"/>
        </w:rPr>
      </w:pPr>
      <w:r w:rsidRPr="005A108C">
        <w:rPr>
          <w:b/>
          <w:sz w:val="22"/>
          <w:szCs w:val="22"/>
        </w:rPr>
        <w:t xml:space="preserve">4.6. </w:t>
      </w:r>
      <w:r>
        <w:rPr>
          <w:b/>
          <w:sz w:val="22"/>
          <w:szCs w:val="22"/>
        </w:rPr>
        <w:tab/>
      </w:r>
      <w:r w:rsidRPr="005A108C">
        <w:rPr>
          <w:b/>
          <w:sz w:val="22"/>
          <w:szCs w:val="22"/>
        </w:rPr>
        <w:t>Fertilita, gravidita a laktácia</w:t>
      </w:r>
    </w:p>
    <w:p w14:paraId="0861FC0E" w14:textId="77777777" w:rsidR="000E56CA" w:rsidRPr="005A108C" w:rsidRDefault="000E56CA" w:rsidP="006735EA">
      <w:pPr>
        <w:rPr>
          <w:color w:val="000000"/>
          <w:spacing w:val="3"/>
          <w:sz w:val="22"/>
          <w:szCs w:val="22"/>
        </w:rPr>
      </w:pPr>
    </w:p>
    <w:p w14:paraId="320F659A" w14:textId="77777777" w:rsidR="000E56CA" w:rsidRPr="005A108C" w:rsidRDefault="000E56CA" w:rsidP="006735EA">
      <w:pPr>
        <w:rPr>
          <w:b/>
          <w:color w:val="000000"/>
          <w:spacing w:val="3"/>
          <w:sz w:val="22"/>
          <w:szCs w:val="22"/>
        </w:rPr>
      </w:pPr>
      <w:r w:rsidRPr="005A108C">
        <w:rPr>
          <w:b/>
          <w:color w:val="000000"/>
          <w:spacing w:val="3"/>
          <w:sz w:val="22"/>
          <w:szCs w:val="22"/>
        </w:rPr>
        <w:t>Gravidita</w:t>
      </w:r>
    </w:p>
    <w:p w14:paraId="13B9877C" w14:textId="77777777" w:rsidR="000E56CA" w:rsidRPr="005A108C" w:rsidRDefault="000E56CA" w:rsidP="006735EA">
      <w:pPr>
        <w:autoSpaceDE w:val="0"/>
        <w:autoSpaceDN w:val="0"/>
        <w:adjustRightInd w:val="0"/>
        <w:rPr>
          <w:sz w:val="22"/>
          <w:szCs w:val="22"/>
          <w:lang w:eastAsia="en-US"/>
        </w:rPr>
      </w:pPr>
      <w:r w:rsidRPr="005A108C">
        <w:rPr>
          <w:sz w:val="22"/>
          <w:szCs w:val="22"/>
          <w:lang w:eastAsia="en-US"/>
        </w:rPr>
        <w:t>O používaní gadoteridolu u gravidných žien nie sú k dispozícii žiadne údaje. Štúdie na zvieratách</w:t>
      </w:r>
    </w:p>
    <w:p w14:paraId="4F8F5EE9" w14:textId="77777777" w:rsidR="000E56CA" w:rsidRPr="005A108C" w:rsidRDefault="000E56CA" w:rsidP="006735EA">
      <w:pPr>
        <w:autoSpaceDE w:val="0"/>
        <w:autoSpaceDN w:val="0"/>
        <w:adjustRightInd w:val="0"/>
        <w:rPr>
          <w:sz w:val="22"/>
          <w:szCs w:val="22"/>
          <w:lang w:eastAsia="en-US"/>
        </w:rPr>
      </w:pPr>
      <w:r w:rsidRPr="005A108C">
        <w:rPr>
          <w:sz w:val="22"/>
          <w:szCs w:val="22"/>
          <w:lang w:eastAsia="en-US"/>
        </w:rPr>
        <w:t>nepreukázali priame alebo nepriame škodlivé účinky z hľadiska reprodukčnej toxicity (pozri 5.3).</w:t>
      </w:r>
    </w:p>
    <w:p w14:paraId="4A38F9B2" w14:textId="77777777" w:rsidR="000E56CA" w:rsidRPr="005A108C" w:rsidRDefault="000E56CA" w:rsidP="006735EA">
      <w:pPr>
        <w:autoSpaceDE w:val="0"/>
        <w:autoSpaceDN w:val="0"/>
        <w:adjustRightInd w:val="0"/>
        <w:rPr>
          <w:sz w:val="22"/>
          <w:szCs w:val="22"/>
          <w:lang w:eastAsia="en-US"/>
        </w:rPr>
      </w:pPr>
      <w:r w:rsidRPr="005A108C">
        <w:rPr>
          <w:sz w:val="22"/>
          <w:szCs w:val="22"/>
          <w:lang w:eastAsia="en-US"/>
        </w:rPr>
        <w:t>ProHance sa nemá používať počas gravidity pokiaľ si klinický stav ženy nevyžaduje</w:t>
      </w:r>
    </w:p>
    <w:p w14:paraId="06CFEE78" w14:textId="77777777" w:rsidR="000E56CA" w:rsidRPr="005A108C" w:rsidRDefault="000E56CA" w:rsidP="006735EA">
      <w:pPr>
        <w:autoSpaceDE w:val="0"/>
        <w:autoSpaceDN w:val="0"/>
        <w:adjustRightInd w:val="0"/>
        <w:rPr>
          <w:sz w:val="22"/>
          <w:szCs w:val="22"/>
          <w:lang w:eastAsia="en-US"/>
        </w:rPr>
      </w:pPr>
      <w:r w:rsidRPr="005A108C">
        <w:rPr>
          <w:sz w:val="22"/>
          <w:szCs w:val="22"/>
          <w:lang w:eastAsia="en-US"/>
        </w:rPr>
        <w:t>použitie gadoteridolu.</w:t>
      </w:r>
    </w:p>
    <w:p w14:paraId="71FC2C09" w14:textId="77777777" w:rsidR="000E56CA" w:rsidRPr="005A108C" w:rsidRDefault="000E56CA" w:rsidP="006735EA">
      <w:pPr>
        <w:rPr>
          <w:i/>
          <w:iCs/>
          <w:sz w:val="22"/>
          <w:szCs w:val="22"/>
          <w:lang w:eastAsia="en-US"/>
        </w:rPr>
      </w:pPr>
    </w:p>
    <w:p w14:paraId="7232492E" w14:textId="77777777" w:rsidR="000E56CA" w:rsidRPr="005A108C" w:rsidRDefault="000E56CA" w:rsidP="006735EA">
      <w:pPr>
        <w:rPr>
          <w:b/>
          <w:sz w:val="22"/>
          <w:szCs w:val="22"/>
        </w:rPr>
      </w:pPr>
      <w:r w:rsidRPr="005A108C">
        <w:rPr>
          <w:b/>
          <w:sz w:val="22"/>
          <w:szCs w:val="22"/>
        </w:rPr>
        <w:t>Laktácia</w:t>
      </w:r>
    </w:p>
    <w:p w14:paraId="0E2E69EB" w14:textId="77777777" w:rsidR="000E56CA" w:rsidRPr="005A108C" w:rsidRDefault="000E56CA" w:rsidP="006735EA">
      <w:pPr>
        <w:autoSpaceDE w:val="0"/>
        <w:autoSpaceDN w:val="0"/>
        <w:adjustRightInd w:val="0"/>
        <w:rPr>
          <w:sz w:val="22"/>
          <w:szCs w:val="22"/>
          <w:lang w:eastAsia="en-US"/>
        </w:rPr>
      </w:pPr>
      <w:r w:rsidRPr="005A108C">
        <w:rPr>
          <w:sz w:val="22"/>
          <w:szCs w:val="22"/>
          <w:lang w:eastAsia="en-US"/>
        </w:rPr>
        <w:t>Kontrastné látky obsahujúce gadolínium sa vylučujú do materského mlieka vo veľmi malých</w:t>
      </w:r>
    </w:p>
    <w:p w14:paraId="25A207C2" w14:textId="77777777" w:rsidR="000E56CA" w:rsidRPr="005A108C" w:rsidRDefault="000E56CA" w:rsidP="006735EA">
      <w:pPr>
        <w:autoSpaceDE w:val="0"/>
        <w:autoSpaceDN w:val="0"/>
        <w:adjustRightInd w:val="0"/>
        <w:rPr>
          <w:sz w:val="22"/>
          <w:szCs w:val="22"/>
          <w:lang w:eastAsia="en-US"/>
        </w:rPr>
      </w:pPr>
      <w:r w:rsidRPr="005A108C">
        <w:rPr>
          <w:sz w:val="22"/>
          <w:szCs w:val="22"/>
          <w:lang w:eastAsia="en-US"/>
        </w:rPr>
        <w:t>množstvách (pozri časť 5.3). Pri klinických dávkach sa neočakávajú žiadne účinky na dojča vzhľadom</w:t>
      </w:r>
    </w:p>
    <w:p w14:paraId="54105778" w14:textId="77777777" w:rsidR="000E56CA" w:rsidRPr="005A108C" w:rsidRDefault="000E56CA" w:rsidP="006735EA">
      <w:pPr>
        <w:autoSpaceDE w:val="0"/>
        <w:autoSpaceDN w:val="0"/>
        <w:adjustRightInd w:val="0"/>
        <w:rPr>
          <w:sz w:val="22"/>
          <w:szCs w:val="22"/>
          <w:lang w:eastAsia="en-US"/>
        </w:rPr>
      </w:pPr>
      <w:r w:rsidRPr="005A108C">
        <w:rPr>
          <w:sz w:val="22"/>
          <w:szCs w:val="22"/>
          <w:lang w:eastAsia="en-US"/>
        </w:rPr>
        <w:t>na malé množstvo vylúčené do materského mlieka a nízku absorpciu z čreva. Pokračovanie v dojčení</w:t>
      </w:r>
    </w:p>
    <w:p w14:paraId="11F88710" w14:textId="77777777" w:rsidR="000E56CA" w:rsidRPr="005A108C" w:rsidRDefault="000E56CA" w:rsidP="006735EA">
      <w:pPr>
        <w:autoSpaceDE w:val="0"/>
        <w:autoSpaceDN w:val="0"/>
        <w:adjustRightInd w:val="0"/>
        <w:rPr>
          <w:sz w:val="22"/>
          <w:szCs w:val="22"/>
          <w:lang w:eastAsia="en-US"/>
        </w:rPr>
      </w:pPr>
      <w:r w:rsidRPr="005A108C">
        <w:rPr>
          <w:sz w:val="22"/>
          <w:szCs w:val="22"/>
          <w:lang w:eastAsia="en-US"/>
        </w:rPr>
        <w:t>alebo prerušenie dojčenia na obdobie 24 hodín po podaní ProHance má byť na uvážení lekára a dojčiacej matky.</w:t>
      </w:r>
    </w:p>
    <w:p w14:paraId="06623CF2" w14:textId="77777777" w:rsidR="000E56CA" w:rsidRPr="005A108C" w:rsidRDefault="000E56CA" w:rsidP="006735EA">
      <w:pPr>
        <w:rPr>
          <w:b/>
          <w:sz w:val="22"/>
          <w:szCs w:val="22"/>
        </w:rPr>
      </w:pPr>
    </w:p>
    <w:p w14:paraId="01C8B203" w14:textId="77777777" w:rsidR="000E56CA" w:rsidRPr="005A108C" w:rsidRDefault="000E56CA" w:rsidP="006735EA">
      <w:pPr>
        <w:rPr>
          <w:b/>
          <w:sz w:val="22"/>
          <w:szCs w:val="22"/>
        </w:rPr>
      </w:pPr>
      <w:r w:rsidRPr="005A108C">
        <w:rPr>
          <w:b/>
          <w:sz w:val="22"/>
          <w:szCs w:val="22"/>
        </w:rPr>
        <w:t xml:space="preserve">4.7. </w:t>
      </w:r>
      <w:r>
        <w:rPr>
          <w:b/>
          <w:sz w:val="22"/>
          <w:szCs w:val="22"/>
        </w:rPr>
        <w:tab/>
      </w:r>
      <w:r w:rsidRPr="005A108C">
        <w:rPr>
          <w:b/>
          <w:sz w:val="22"/>
          <w:szCs w:val="22"/>
        </w:rPr>
        <w:t>Ovplyvnenie schopnosti viesť motorové vozidlá a obsluhovať stroje</w:t>
      </w:r>
    </w:p>
    <w:p w14:paraId="0B61C302" w14:textId="77777777" w:rsidR="000E56CA" w:rsidRPr="005A108C" w:rsidRDefault="000E56CA" w:rsidP="006735EA">
      <w:pPr>
        <w:rPr>
          <w:sz w:val="22"/>
          <w:szCs w:val="22"/>
        </w:rPr>
      </w:pPr>
    </w:p>
    <w:p w14:paraId="4082D3C2" w14:textId="77777777" w:rsidR="000E56CA" w:rsidRPr="005A108C" w:rsidRDefault="000E56CA" w:rsidP="006735EA">
      <w:pPr>
        <w:rPr>
          <w:sz w:val="22"/>
          <w:szCs w:val="22"/>
        </w:rPr>
      </w:pPr>
      <w:r w:rsidRPr="005A108C">
        <w:rPr>
          <w:sz w:val="22"/>
          <w:szCs w:val="22"/>
        </w:rPr>
        <w:t>Na základe farmakokinetického a farmakodynamickýého profilu má ProHance zanedbateľný vplyv na schopnosť viesť vozidlá alebo obsluhovať stroje.</w:t>
      </w:r>
    </w:p>
    <w:p w14:paraId="76029481" w14:textId="77777777" w:rsidR="000E56CA" w:rsidRPr="005A108C" w:rsidRDefault="000E56CA" w:rsidP="006735EA">
      <w:pPr>
        <w:rPr>
          <w:sz w:val="22"/>
          <w:szCs w:val="22"/>
        </w:rPr>
      </w:pPr>
    </w:p>
    <w:p w14:paraId="5C07FE04" w14:textId="77777777" w:rsidR="000E56CA" w:rsidRPr="005A108C" w:rsidRDefault="000E56CA" w:rsidP="006735EA">
      <w:pPr>
        <w:rPr>
          <w:b/>
          <w:sz w:val="22"/>
          <w:szCs w:val="22"/>
        </w:rPr>
      </w:pPr>
      <w:r w:rsidRPr="005A108C">
        <w:rPr>
          <w:b/>
          <w:sz w:val="22"/>
          <w:szCs w:val="22"/>
        </w:rPr>
        <w:t xml:space="preserve">4.8. </w:t>
      </w:r>
      <w:r>
        <w:rPr>
          <w:b/>
          <w:sz w:val="22"/>
          <w:szCs w:val="22"/>
        </w:rPr>
        <w:tab/>
      </w:r>
      <w:r w:rsidRPr="005A108C">
        <w:rPr>
          <w:b/>
          <w:sz w:val="22"/>
          <w:szCs w:val="22"/>
        </w:rPr>
        <w:t>Nežiaduce účinky</w:t>
      </w:r>
    </w:p>
    <w:p w14:paraId="39A8C1AF" w14:textId="77777777" w:rsidR="000E56CA" w:rsidRPr="005A108C" w:rsidRDefault="000E56CA" w:rsidP="006735EA">
      <w:pPr>
        <w:rPr>
          <w:b/>
          <w:sz w:val="22"/>
          <w:szCs w:val="22"/>
        </w:rPr>
      </w:pPr>
    </w:p>
    <w:p w14:paraId="20DDBB84" w14:textId="535B491B" w:rsidR="000E56CA" w:rsidRDefault="000E56CA" w:rsidP="006735EA">
      <w:pPr>
        <w:rPr>
          <w:b/>
          <w:sz w:val="22"/>
          <w:szCs w:val="22"/>
        </w:rPr>
      </w:pPr>
      <w:r w:rsidRPr="005A108C">
        <w:rPr>
          <w:sz w:val="22"/>
          <w:szCs w:val="22"/>
        </w:rPr>
        <w:t>Po použití ProHance boli pozorované nasledujúce nežiaduce účinky. Nežiaduce účinky z klinického skúšania sú uvedené v tabuľke s danou frekvenciou výskytu a nežiaduce účinky, ktoré boli spontánne hlásené, sú v tabuľke uvedené s frekvenciou „neznáme“. Žiadne nežiaduce účinky nemali frekvenciu výskytu vyššiu ako 2 %.</w:t>
      </w:r>
    </w:p>
    <w:p w14:paraId="756F88C6" w14:textId="77777777" w:rsidR="00A92121" w:rsidRPr="005A108C" w:rsidRDefault="00A92121" w:rsidP="00A92121">
      <w:pPr>
        <w:pageBreakBefore/>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7"/>
        <w:gridCol w:w="1433"/>
        <w:gridCol w:w="1883"/>
        <w:gridCol w:w="2431"/>
        <w:gridCol w:w="1703"/>
      </w:tblGrid>
      <w:tr w:rsidR="000E56CA" w:rsidRPr="005A108C" w14:paraId="44E801BD" w14:textId="77777777" w:rsidTr="007478DD">
        <w:trPr>
          <w:tblHeader/>
        </w:trPr>
        <w:tc>
          <w:tcPr>
            <w:tcW w:w="1027" w:type="pct"/>
            <w:vAlign w:val="center"/>
          </w:tcPr>
          <w:p w14:paraId="52DEFB41" w14:textId="77777777" w:rsidR="000E56CA" w:rsidRPr="005A108C" w:rsidRDefault="000E56CA" w:rsidP="006735EA">
            <w:pPr>
              <w:rPr>
                <w:sz w:val="18"/>
                <w:szCs w:val="18"/>
              </w:rPr>
            </w:pPr>
            <w:r w:rsidRPr="005A108C">
              <w:rPr>
                <w:sz w:val="18"/>
                <w:szCs w:val="18"/>
              </w:rPr>
              <w:t>Trieda orgánového systému</w:t>
            </w:r>
          </w:p>
        </w:tc>
        <w:tc>
          <w:tcPr>
            <w:tcW w:w="3973" w:type="pct"/>
            <w:gridSpan w:val="4"/>
          </w:tcPr>
          <w:p w14:paraId="4F59D909" w14:textId="77777777" w:rsidR="000E56CA" w:rsidRPr="005A108C" w:rsidRDefault="000E56CA" w:rsidP="006735EA">
            <w:pPr>
              <w:keepNext/>
              <w:rPr>
                <w:sz w:val="18"/>
                <w:szCs w:val="18"/>
              </w:rPr>
            </w:pPr>
            <w:r w:rsidRPr="005A108C">
              <w:rPr>
                <w:sz w:val="18"/>
                <w:szCs w:val="18"/>
              </w:rPr>
              <w:t>Nežiaduce účinky</w:t>
            </w:r>
          </w:p>
        </w:tc>
      </w:tr>
      <w:tr w:rsidR="000E56CA" w:rsidRPr="005A108C" w14:paraId="3EF6753D" w14:textId="77777777" w:rsidTr="007478DD">
        <w:trPr>
          <w:tblHeader/>
        </w:trPr>
        <w:tc>
          <w:tcPr>
            <w:tcW w:w="1027" w:type="pct"/>
            <w:vAlign w:val="center"/>
          </w:tcPr>
          <w:p w14:paraId="139796D7" w14:textId="77777777" w:rsidR="000E56CA" w:rsidRPr="005A108C" w:rsidRDefault="000E56CA" w:rsidP="006735EA">
            <w:pPr>
              <w:rPr>
                <w:sz w:val="18"/>
                <w:szCs w:val="18"/>
              </w:rPr>
            </w:pPr>
          </w:p>
        </w:tc>
        <w:tc>
          <w:tcPr>
            <w:tcW w:w="810" w:type="pct"/>
          </w:tcPr>
          <w:p w14:paraId="39826E27" w14:textId="77777777" w:rsidR="000E56CA" w:rsidRPr="005A108C" w:rsidRDefault="000E56CA" w:rsidP="006735EA">
            <w:pPr>
              <w:keepNext/>
              <w:tabs>
                <w:tab w:val="left" w:pos="8370"/>
              </w:tabs>
              <w:ind w:left="-108"/>
              <w:rPr>
                <w:sz w:val="18"/>
                <w:szCs w:val="18"/>
              </w:rPr>
            </w:pPr>
            <w:r w:rsidRPr="005A108C">
              <w:rPr>
                <w:sz w:val="18"/>
                <w:szCs w:val="18"/>
              </w:rPr>
              <w:t>Časté</w:t>
            </w:r>
          </w:p>
          <w:p w14:paraId="5BC8A2E9" w14:textId="77777777" w:rsidR="000E56CA" w:rsidRPr="005A108C" w:rsidRDefault="000E56CA" w:rsidP="006735EA">
            <w:pPr>
              <w:keepNext/>
              <w:tabs>
                <w:tab w:val="left" w:pos="8370"/>
              </w:tabs>
              <w:ind w:left="-108"/>
              <w:rPr>
                <w:sz w:val="18"/>
                <w:szCs w:val="18"/>
              </w:rPr>
            </w:pPr>
            <w:r w:rsidRPr="005A108C">
              <w:rPr>
                <w:sz w:val="18"/>
                <w:szCs w:val="18"/>
              </w:rPr>
              <w:t>(≥1/100 až &lt;1/10)</w:t>
            </w:r>
          </w:p>
          <w:p w14:paraId="3B1EAF31" w14:textId="77777777" w:rsidR="000E56CA" w:rsidRPr="005A108C" w:rsidRDefault="000E56CA" w:rsidP="006735EA">
            <w:pPr>
              <w:keepNext/>
              <w:tabs>
                <w:tab w:val="left" w:pos="8370"/>
              </w:tabs>
              <w:ind w:left="-108"/>
              <w:rPr>
                <w:sz w:val="18"/>
                <w:szCs w:val="18"/>
              </w:rPr>
            </w:pPr>
          </w:p>
        </w:tc>
        <w:tc>
          <w:tcPr>
            <w:tcW w:w="1052" w:type="pct"/>
          </w:tcPr>
          <w:p w14:paraId="2333CFE2" w14:textId="77777777" w:rsidR="000E56CA" w:rsidRPr="005A108C" w:rsidRDefault="000E56CA" w:rsidP="006735EA">
            <w:pPr>
              <w:keepNext/>
              <w:ind w:left="-64"/>
              <w:rPr>
                <w:sz w:val="18"/>
                <w:szCs w:val="18"/>
              </w:rPr>
            </w:pPr>
            <w:r w:rsidRPr="005A108C">
              <w:rPr>
                <w:sz w:val="18"/>
                <w:szCs w:val="18"/>
              </w:rPr>
              <w:t>Menej časté</w:t>
            </w:r>
          </w:p>
          <w:p w14:paraId="15BAC5DB" w14:textId="77777777" w:rsidR="000E56CA" w:rsidRPr="005A108C" w:rsidRDefault="000E56CA" w:rsidP="006735EA">
            <w:pPr>
              <w:keepNext/>
              <w:ind w:left="-64"/>
              <w:rPr>
                <w:sz w:val="18"/>
                <w:szCs w:val="18"/>
              </w:rPr>
            </w:pPr>
            <w:r w:rsidRPr="005A108C">
              <w:rPr>
                <w:sz w:val="18"/>
                <w:szCs w:val="18"/>
              </w:rPr>
              <w:t>(≥1/1000 až &lt;1/100)</w:t>
            </w:r>
          </w:p>
          <w:p w14:paraId="3945113D" w14:textId="77777777" w:rsidR="000E56CA" w:rsidRPr="005A108C" w:rsidRDefault="000E56CA" w:rsidP="006735EA">
            <w:pPr>
              <w:keepNext/>
              <w:ind w:left="-64"/>
              <w:rPr>
                <w:sz w:val="18"/>
                <w:szCs w:val="18"/>
              </w:rPr>
            </w:pPr>
          </w:p>
        </w:tc>
        <w:tc>
          <w:tcPr>
            <w:tcW w:w="1156" w:type="pct"/>
          </w:tcPr>
          <w:p w14:paraId="29B33138" w14:textId="77777777" w:rsidR="000E56CA" w:rsidRPr="005A108C" w:rsidRDefault="000E56CA" w:rsidP="006735EA">
            <w:pPr>
              <w:keepNext/>
              <w:ind w:left="75"/>
              <w:rPr>
                <w:sz w:val="18"/>
                <w:szCs w:val="18"/>
              </w:rPr>
            </w:pPr>
            <w:r w:rsidRPr="005A108C">
              <w:rPr>
                <w:sz w:val="18"/>
                <w:szCs w:val="18"/>
              </w:rPr>
              <w:t>Zriedkavé</w:t>
            </w:r>
          </w:p>
          <w:p w14:paraId="5A7405F0" w14:textId="77777777" w:rsidR="000E56CA" w:rsidRPr="005A108C" w:rsidRDefault="000E56CA" w:rsidP="006735EA">
            <w:pPr>
              <w:keepNext/>
              <w:ind w:left="75"/>
              <w:rPr>
                <w:sz w:val="18"/>
                <w:szCs w:val="18"/>
              </w:rPr>
            </w:pPr>
            <w:r w:rsidRPr="005A108C">
              <w:rPr>
                <w:sz w:val="18"/>
                <w:szCs w:val="18"/>
              </w:rPr>
              <w:t>(≥1/10,000 až &lt;1/1000)</w:t>
            </w:r>
          </w:p>
          <w:p w14:paraId="3014A4CD" w14:textId="77777777" w:rsidR="000E56CA" w:rsidRPr="005A108C" w:rsidRDefault="000E56CA" w:rsidP="006735EA">
            <w:pPr>
              <w:keepNext/>
              <w:ind w:left="75"/>
              <w:rPr>
                <w:sz w:val="18"/>
                <w:szCs w:val="18"/>
              </w:rPr>
            </w:pPr>
          </w:p>
        </w:tc>
        <w:tc>
          <w:tcPr>
            <w:tcW w:w="955" w:type="pct"/>
          </w:tcPr>
          <w:p w14:paraId="2303136F" w14:textId="77777777" w:rsidR="000E56CA" w:rsidRPr="005A108C" w:rsidRDefault="000E56CA" w:rsidP="006735EA">
            <w:pPr>
              <w:keepNext/>
              <w:rPr>
                <w:sz w:val="18"/>
                <w:szCs w:val="18"/>
              </w:rPr>
            </w:pPr>
            <w:r w:rsidRPr="005A108C">
              <w:rPr>
                <w:sz w:val="18"/>
                <w:szCs w:val="18"/>
              </w:rPr>
              <w:t xml:space="preserve">Neznáme </w:t>
            </w:r>
          </w:p>
          <w:p w14:paraId="480D3D53" w14:textId="77777777" w:rsidR="000E56CA" w:rsidRPr="005A108C" w:rsidRDefault="000E56CA" w:rsidP="006735EA">
            <w:pPr>
              <w:keepNext/>
              <w:rPr>
                <w:sz w:val="18"/>
                <w:szCs w:val="18"/>
              </w:rPr>
            </w:pPr>
            <w:r w:rsidRPr="005A108C">
              <w:rPr>
                <w:sz w:val="18"/>
                <w:szCs w:val="18"/>
              </w:rPr>
              <w:t>( z dostupných údajov)</w:t>
            </w:r>
          </w:p>
        </w:tc>
      </w:tr>
      <w:tr w:rsidR="000E56CA" w:rsidRPr="005A108C" w14:paraId="21B727B0" w14:textId="77777777" w:rsidTr="007478DD">
        <w:tc>
          <w:tcPr>
            <w:tcW w:w="1027" w:type="pct"/>
          </w:tcPr>
          <w:p w14:paraId="0FFC8812" w14:textId="77777777" w:rsidR="000E56CA" w:rsidRPr="005A108C" w:rsidRDefault="000E56CA" w:rsidP="006735EA">
            <w:pPr>
              <w:keepNext/>
              <w:rPr>
                <w:sz w:val="18"/>
                <w:szCs w:val="18"/>
              </w:rPr>
            </w:pPr>
            <w:r w:rsidRPr="005A108C">
              <w:rPr>
                <w:sz w:val="18"/>
                <w:szCs w:val="18"/>
              </w:rPr>
              <w:t>Poruchy imunitného systému</w:t>
            </w:r>
          </w:p>
        </w:tc>
        <w:tc>
          <w:tcPr>
            <w:tcW w:w="810" w:type="pct"/>
          </w:tcPr>
          <w:p w14:paraId="65FCC505" w14:textId="77777777" w:rsidR="000E56CA" w:rsidRPr="005A108C" w:rsidRDefault="000E56CA" w:rsidP="006735EA">
            <w:pPr>
              <w:keepNext/>
              <w:tabs>
                <w:tab w:val="left" w:pos="8370"/>
              </w:tabs>
              <w:ind w:left="-108"/>
              <w:rPr>
                <w:sz w:val="18"/>
                <w:szCs w:val="18"/>
              </w:rPr>
            </w:pPr>
          </w:p>
        </w:tc>
        <w:tc>
          <w:tcPr>
            <w:tcW w:w="1052" w:type="pct"/>
          </w:tcPr>
          <w:p w14:paraId="2D1F50A5" w14:textId="77777777" w:rsidR="000E56CA" w:rsidRPr="005A108C" w:rsidRDefault="000E56CA" w:rsidP="006735EA">
            <w:pPr>
              <w:keepNext/>
              <w:ind w:left="-64"/>
              <w:rPr>
                <w:sz w:val="18"/>
                <w:szCs w:val="18"/>
              </w:rPr>
            </w:pPr>
          </w:p>
        </w:tc>
        <w:tc>
          <w:tcPr>
            <w:tcW w:w="1156" w:type="pct"/>
          </w:tcPr>
          <w:p w14:paraId="25659F23" w14:textId="77777777" w:rsidR="000E56CA" w:rsidRPr="005A108C" w:rsidRDefault="000E56CA" w:rsidP="006735EA">
            <w:pPr>
              <w:keepNext/>
              <w:ind w:left="75"/>
              <w:rPr>
                <w:sz w:val="18"/>
                <w:szCs w:val="18"/>
              </w:rPr>
            </w:pPr>
            <w:r w:rsidRPr="005A108C">
              <w:rPr>
                <w:sz w:val="18"/>
                <w:szCs w:val="18"/>
              </w:rPr>
              <w:t>Anafylaktická/anafylaktoidná reakcia</w:t>
            </w:r>
          </w:p>
        </w:tc>
        <w:tc>
          <w:tcPr>
            <w:tcW w:w="955" w:type="pct"/>
          </w:tcPr>
          <w:p w14:paraId="4696C959" w14:textId="77777777" w:rsidR="000E56CA" w:rsidRPr="005A108C" w:rsidRDefault="000E56CA" w:rsidP="006735EA">
            <w:pPr>
              <w:keepNext/>
              <w:rPr>
                <w:sz w:val="18"/>
                <w:szCs w:val="18"/>
              </w:rPr>
            </w:pPr>
          </w:p>
        </w:tc>
      </w:tr>
      <w:tr w:rsidR="000E56CA" w:rsidRPr="005A108C" w14:paraId="772FDDBD" w14:textId="77777777" w:rsidTr="007478DD">
        <w:tc>
          <w:tcPr>
            <w:tcW w:w="1027" w:type="pct"/>
          </w:tcPr>
          <w:p w14:paraId="0A7A41F0" w14:textId="77777777" w:rsidR="000E56CA" w:rsidRPr="005A108C" w:rsidRDefault="000E56CA" w:rsidP="006735EA">
            <w:pPr>
              <w:keepNext/>
              <w:rPr>
                <w:sz w:val="18"/>
                <w:szCs w:val="18"/>
              </w:rPr>
            </w:pPr>
            <w:r w:rsidRPr="005A108C">
              <w:rPr>
                <w:sz w:val="18"/>
                <w:szCs w:val="18"/>
              </w:rPr>
              <w:t>Psychické poruchy</w:t>
            </w:r>
          </w:p>
        </w:tc>
        <w:tc>
          <w:tcPr>
            <w:tcW w:w="810" w:type="pct"/>
          </w:tcPr>
          <w:p w14:paraId="0F40541B" w14:textId="77777777" w:rsidR="000E56CA" w:rsidRPr="005A108C" w:rsidRDefault="000E56CA" w:rsidP="006735EA">
            <w:pPr>
              <w:keepNext/>
              <w:tabs>
                <w:tab w:val="left" w:pos="8370"/>
              </w:tabs>
              <w:ind w:left="-108"/>
              <w:rPr>
                <w:sz w:val="18"/>
                <w:szCs w:val="18"/>
              </w:rPr>
            </w:pPr>
          </w:p>
        </w:tc>
        <w:tc>
          <w:tcPr>
            <w:tcW w:w="1052" w:type="pct"/>
          </w:tcPr>
          <w:p w14:paraId="31E740F6" w14:textId="77777777" w:rsidR="000E56CA" w:rsidRPr="005A108C" w:rsidRDefault="000E56CA" w:rsidP="006735EA">
            <w:pPr>
              <w:keepNext/>
              <w:ind w:left="-64"/>
              <w:rPr>
                <w:sz w:val="18"/>
                <w:szCs w:val="18"/>
              </w:rPr>
            </w:pPr>
          </w:p>
        </w:tc>
        <w:tc>
          <w:tcPr>
            <w:tcW w:w="1156" w:type="pct"/>
          </w:tcPr>
          <w:p w14:paraId="0FB3FD34" w14:textId="77777777" w:rsidR="000E56CA" w:rsidRPr="005A108C" w:rsidRDefault="000E56CA" w:rsidP="006735EA">
            <w:pPr>
              <w:keepNext/>
              <w:ind w:left="75"/>
              <w:rPr>
                <w:sz w:val="18"/>
                <w:szCs w:val="18"/>
              </w:rPr>
            </w:pPr>
            <w:r w:rsidRPr="005A108C">
              <w:rPr>
                <w:sz w:val="18"/>
                <w:szCs w:val="18"/>
              </w:rPr>
              <w:t>Úzkosť</w:t>
            </w:r>
          </w:p>
        </w:tc>
        <w:tc>
          <w:tcPr>
            <w:tcW w:w="955" w:type="pct"/>
          </w:tcPr>
          <w:p w14:paraId="07057395" w14:textId="77777777" w:rsidR="000E56CA" w:rsidRPr="005A108C" w:rsidRDefault="000E56CA" w:rsidP="006735EA">
            <w:pPr>
              <w:keepNext/>
              <w:rPr>
                <w:sz w:val="18"/>
                <w:szCs w:val="18"/>
              </w:rPr>
            </w:pPr>
          </w:p>
        </w:tc>
      </w:tr>
      <w:tr w:rsidR="000E56CA" w:rsidRPr="005A108C" w14:paraId="5EB3C104" w14:textId="77777777" w:rsidTr="007478DD">
        <w:tc>
          <w:tcPr>
            <w:tcW w:w="1027" w:type="pct"/>
          </w:tcPr>
          <w:p w14:paraId="025A87DC" w14:textId="77777777" w:rsidR="000E56CA" w:rsidRPr="005A108C" w:rsidRDefault="000E56CA" w:rsidP="006735EA">
            <w:pPr>
              <w:keepNext/>
              <w:rPr>
                <w:sz w:val="18"/>
                <w:szCs w:val="18"/>
              </w:rPr>
            </w:pPr>
            <w:r w:rsidRPr="005A108C">
              <w:rPr>
                <w:sz w:val="18"/>
                <w:szCs w:val="18"/>
              </w:rPr>
              <w:t>Poruchy nervového systému</w:t>
            </w:r>
          </w:p>
        </w:tc>
        <w:tc>
          <w:tcPr>
            <w:tcW w:w="810" w:type="pct"/>
          </w:tcPr>
          <w:p w14:paraId="661AC17C" w14:textId="77777777" w:rsidR="000E56CA" w:rsidRPr="005A108C" w:rsidRDefault="000E56CA" w:rsidP="006735EA">
            <w:pPr>
              <w:keepNext/>
              <w:tabs>
                <w:tab w:val="left" w:pos="8370"/>
              </w:tabs>
              <w:ind w:left="-108"/>
              <w:rPr>
                <w:sz w:val="18"/>
                <w:szCs w:val="18"/>
              </w:rPr>
            </w:pPr>
          </w:p>
        </w:tc>
        <w:tc>
          <w:tcPr>
            <w:tcW w:w="1052" w:type="pct"/>
          </w:tcPr>
          <w:p w14:paraId="2B7DA597" w14:textId="77777777" w:rsidR="000E56CA" w:rsidRPr="005A108C" w:rsidRDefault="000E56CA" w:rsidP="006735EA">
            <w:pPr>
              <w:keepNext/>
              <w:ind w:left="-64"/>
              <w:rPr>
                <w:sz w:val="18"/>
                <w:szCs w:val="18"/>
              </w:rPr>
            </w:pPr>
            <w:r w:rsidRPr="005A108C">
              <w:rPr>
                <w:sz w:val="18"/>
                <w:szCs w:val="18"/>
              </w:rPr>
              <w:t>Bolesť hlavy, parestézia, závraty, poruchy chuti</w:t>
            </w:r>
          </w:p>
        </w:tc>
        <w:tc>
          <w:tcPr>
            <w:tcW w:w="1156" w:type="pct"/>
          </w:tcPr>
          <w:p w14:paraId="0E465FC9" w14:textId="77777777" w:rsidR="000E56CA" w:rsidRPr="005A108C" w:rsidRDefault="000E56CA" w:rsidP="006735EA">
            <w:pPr>
              <w:keepNext/>
              <w:ind w:left="75"/>
              <w:rPr>
                <w:sz w:val="18"/>
                <w:szCs w:val="18"/>
              </w:rPr>
            </w:pPr>
            <w:r w:rsidRPr="005A108C">
              <w:rPr>
                <w:sz w:val="18"/>
                <w:szCs w:val="18"/>
              </w:rPr>
              <w:t xml:space="preserve">Psychické poškodenie, abnormálna koordinácia, kŕče </w:t>
            </w:r>
          </w:p>
        </w:tc>
        <w:tc>
          <w:tcPr>
            <w:tcW w:w="955" w:type="pct"/>
          </w:tcPr>
          <w:p w14:paraId="3CD551E6" w14:textId="77777777" w:rsidR="000E56CA" w:rsidRPr="005A108C" w:rsidRDefault="000E56CA" w:rsidP="006735EA">
            <w:pPr>
              <w:keepNext/>
              <w:rPr>
                <w:sz w:val="18"/>
                <w:szCs w:val="18"/>
              </w:rPr>
            </w:pPr>
            <w:r w:rsidRPr="005A108C">
              <w:rPr>
                <w:sz w:val="18"/>
                <w:szCs w:val="18"/>
              </w:rPr>
              <w:t>Strata vedomia, kóma, vazovagálne reakcie *</w:t>
            </w:r>
          </w:p>
        </w:tc>
      </w:tr>
      <w:tr w:rsidR="000E56CA" w:rsidRPr="005A108C" w14:paraId="1EA85F68" w14:textId="77777777" w:rsidTr="007478DD">
        <w:tc>
          <w:tcPr>
            <w:tcW w:w="1027" w:type="pct"/>
          </w:tcPr>
          <w:p w14:paraId="310095D7" w14:textId="77777777" w:rsidR="000E56CA" w:rsidRPr="005A108C" w:rsidRDefault="000E56CA" w:rsidP="006735EA">
            <w:pPr>
              <w:keepNext/>
              <w:rPr>
                <w:sz w:val="18"/>
                <w:szCs w:val="18"/>
              </w:rPr>
            </w:pPr>
            <w:r w:rsidRPr="005A108C">
              <w:rPr>
                <w:sz w:val="18"/>
                <w:szCs w:val="18"/>
              </w:rPr>
              <w:t>Poruchy oka</w:t>
            </w:r>
          </w:p>
        </w:tc>
        <w:tc>
          <w:tcPr>
            <w:tcW w:w="810" w:type="pct"/>
          </w:tcPr>
          <w:p w14:paraId="7E811558" w14:textId="77777777" w:rsidR="000E56CA" w:rsidRPr="005A108C" w:rsidRDefault="000E56CA" w:rsidP="006735EA">
            <w:pPr>
              <w:keepNext/>
              <w:ind w:left="-108"/>
              <w:rPr>
                <w:sz w:val="18"/>
                <w:szCs w:val="18"/>
              </w:rPr>
            </w:pPr>
          </w:p>
        </w:tc>
        <w:tc>
          <w:tcPr>
            <w:tcW w:w="1052" w:type="pct"/>
          </w:tcPr>
          <w:p w14:paraId="391CD2AC" w14:textId="77777777" w:rsidR="000E56CA" w:rsidRPr="005A108C" w:rsidRDefault="000E56CA" w:rsidP="006735EA">
            <w:pPr>
              <w:keepNext/>
              <w:ind w:left="-64"/>
              <w:rPr>
                <w:sz w:val="18"/>
                <w:szCs w:val="18"/>
              </w:rPr>
            </w:pPr>
            <w:r w:rsidRPr="005A108C">
              <w:rPr>
                <w:sz w:val="18"/>
                <w:szCs w:val="18"/>
              </w:rPr>
              <w:t>Zvýšené slzenie</w:t>
            </w:r>
          </w:p>
        </w:tc>
        <w:tc>
          <w:tcPr>
            <w:tcW w:w="1156" w:type="pct"/>
          </w:tcPr>
          <w:p w14:paraId="21CAD426" w14:textId="77777777" w:rsidR="000E56CA" w:rsidRPr="005A108C" w:rsidRDefault="000E56CA" w:rsidP="006735EA">
            <w:pPr>
              <w:keepNext/>
              <w:ind w:left="75"/>
              <w:rPr>
                <w:sz w:val="18"/>
                <w:szCs w:val="18"/>
              </w:rPr>
            </w:pPr>
          </w:p>
        </w:tc>
        <w:tc>
          <w:tcPr>
            <w:tcW w:w="955" w:type="pct"/>
          </w:tcPr>
          <w:p w14:paraId="7D396A1A" w14:textId="77777777" w:rsidR="000E56CA" w:rsidRPr="005A108C" w:rsidRDefault="000E56CA" w:rsidP="006735EA">
            <w:pPr>
              <w:keepNext/>
              <w:rPr>
                <w:sz w:val="18"/>
                <w:szCs w:val="18"/>
              </w:rPr>
            </w:pPr>
          </w:p>
        </w:tc>
      </w:tr>
      <w:tr w:rsidR="000E56CA" w:rsidRPr="005A108C" w14:paraId="737C2369" w14:textId="77777777" w:rsidTr="007478DD">
        <w:tc>
          <w:tcPr>
            <w:tcW w:w="1027" w:type="pct"/>
          </w:tcPr>
          <w:p w14:paraId="3C60EB47" w14:textId="77777777" w:rsidR="000E56CA" w:rsidRPr="005A108C" w:rsidRDefault="000E56CA" w:rsidP="006735EA">
            <w:pPr>
              <w:keepNext/>
              <w:rPr>
                <w:sz w:val="18"/>
                <w:szCs w:val="18"/>
              </w:rPr>
            </w:pPr>
            <w:r w:rsidRPr="005A108C">
              <w:rPr>
                <w:sz w:val="18"/>
                <w:szCs w:val="18"/>
              </w:rPr>
              <w:t>Poruchy ucha a labyrintu</w:t>
            </w:r>
          </w:p>
        </w:tc>
        <w:tc>
          <w:tcPr>
            <w:tcW w:w="810" w:type="pct"/>
          </w:tcPr>
          <w:p w14:paraId="6D2EDC1B" w14:textId="77777777" w:rsidR="000E56CA" w:rsidRPr="005A108C" w:rsidRDefault="000E56CA" w:rsidP="006735EA">
            <w:pPr>
              <w:keepNext/>
              <w:tabs>
                <w:tab w:val="left" w:pos="8370"/>
              </w:tabs>
              <w:ind w:left="-108"/>
              <w:rPr>
                <w:sz w:val="18"/>
                <w:szCs w:val="18"/>
              </w:rPr>
            </w:pPr>
          </w:p>
        </w:tc>
        <w:tc>
          <w:tcPr>
            <w:tcW w:w="1052" w:type="pct"/>
          </w:tcPr>
          <w:p w14:paraId="39BEE56E" w14:textId="77777777" w:rsidR="000E56CA" w:rsidRPr="005A108C" w:rsidRDefault="000E56CA" w:rsidP="006735EA">
            <w:pPr>
              <w:keepNext/>
              <w:ind w:left="-64"/>
              <w:rPr>
                <w:sz w:val="18"/>
                <w:szCs w:val="18"/>
              </w:rPr>
            </w:pPr>
          </w:p>
        </w:tc>
        <w:tc>
          <w:tcPr>
            <w:tcW w:w="1156" w:type="pct"/>
          </w:tcPr>
          <w:p w14:paraId="6B747CE8" w14:textId="77777777" w:rsidR="000E56CA" w:rsidRPr="005A108C" w:rsidRDefault="000E56CA" w:rsidP="006735EA">
            <w:pPr>
              <w:keepNext/>
              <w:ind w:left="75"/>
              <w:rPr>
                <w:sz w:val="18"/>
                <w:szCs w:val="18"/>
              </w:rPr>
            </w:pPr>
            <w:r w:rsidRPr="005A108C">
              <w:rPr>
                <w:sz w:val="18"/>
                <w:szCs w:val="18"/>
              </w:rPr>
              <w:t>Tinnitus</w:t>
            </w:r>
          </w:p>
        </w:tc>
        <w:tc>
          <w:tcPr>
            <w:tcW w:w="955" w:type="pct"/>
          </w:tcPr>
          <w:p w14:paraId="6EE8C937" w14:textId="77777777" w:rsidR="000E56CA" w:rsidRPr="005A108C" w:rsidRDefault="000E56CA" w:rsidP="006735EA">
            <w:pPr>
              <w:keepNext/>
              <w:rPr>
                <w:sz w:val="18"/>
                <w:szCs w:val="18"/>
              </w:rPr>
            </w:pPr>
          </w:p>
        </w:tc>
      </w:tr>
      <w:tr w:rsidR="000E56CA" w:rsidRPr="005A108C" w14:paraId="3CEBF0D3" w14:textId="77777777" w:rsidTr="007478DD">
        <w:tc>
          <w:tcPr>
            <w:tcW w:w="1027" w:type="pct"/>
          </w:tcPr>
          <w:p w14:paraId="7C676AA7" w14:textId="77777777" w:rsidR="000E56CA" w:rsidRPr="005A108C" w:rsidRDefault="000E56CA" w:rsidP="006735EA">
            <w:pPr>
              <w:keepNext/>
              <w:rPr>
                <w:sz w:val="18"/>
                <w:szCs w:val="18"/>
              </w:rPr>
            </w:pPr>
            <w:r w:rsidRPr="005A108C">
              <w:rPr>
                <w:sz w:val="18"/>
                <w:szCs w:val="18"/>
              </w:rPr>
              <w:t>Poruchy srdca a srdcovej činnosti</w:t>
            </w:r>
          </w:p>
        </w:tc>
        <w:tc>
          <w:tcPr>
            <w:tcW w:w="810" w:type="pct"/>
          </w:tcPr>
          <w:p w14:paraId="26737E15" w14:textId="77777777" w:rsidR="000E56CA" w:rsidRPr="005A108C" w:rsidRDefault="000E56CA" w:rsidP="006735EA">
            <w:pPr>
              <w:keepNext/>
              <w:ind w:left="-108"/>
              <w:rPr>
                <w:sz w:val="18"/>
                <w:szCs w:val="18"/>
              </w:rPr>
            </w:pPr>
          </w:p>
        </w:tc>
        <w:tc>
          <w:tcPr>
            <w:tcW w:w="1052" w:type="pct"/>
          </w:tcPr>
          <w:p w14:paraId="37B8B762" w14:textId="77777777" w:rsidR="000E56CA" w:rsidRPr="005A108C" w:rsidRDefault="000E56CA" w:rsidP="006735EA">
            <w:pPr>
              <w:keepNext/>
              <w:ind w:left="-64"/>
              <w:rPr>
                <w:sz w:val="18"/>
                <w:szCs w:val="18"/>
              </w:rPr>
            </w:pPr>
          </w:p>
        </w:tc>
        <w:tc>
          <w:tcPr>
            <w:tcW w:w="1156" w:type="pct"/>
          </w:tcPr>
          <w:p w14:paraId="445FF694" w14:textId="77777777" w:rsidR="000E56CA" w:rsidRPr="005A108C" w:rsidRDefault="000E56CA" w:rsidP="006735EA">
            <w:pPr>
              <w:keepNext/>
              <w:ind w:left="75"/>
              <w:rPr>
                <w:sz w:val="18"/>
                <w:szCs w:val="18"/>
              </w:rPr>
            </w:pPr>
            <w:r w:rsidRPr="005A108C">
              <w:rPr>
                <w:sz w:val="18"/>
                <w:szCs w:val="18"/>
              </w:rPr>
              <w:t>Nodálna arytmia</w:t>
            </w:r>
          </w:p>
        </w:tc>
        <w:tc>
          <w:tcPr>
            <w:tcW w:w="955" w:type="pct"/>
          </w:tcPr>
          <w:p w14:paraId="30836CA6" w14:textId="77777777" w:rsidR="000E56CA" w:rsidRPr="005A108C" w:rsidRDefault="000E56CA" w:rsidP="006735EA">
            <w:pPr>
              <w:keepNext/>
              <w:rPr>
                <w:sz w:val="18"/>
                <w:szCs w:val="18"/>
              </w:rPr>
            </w:pPr>
            <w:r w:rsidRPr="005A108C">
              <w:rPr>
                <w:sz w:val="18"/>
                <w:szCs w:val="18"/>
              </w:rPr>
              <w:t xml:space="preserve">Zastavenie srdca </w:t>
            </w:r>
          </w:p>
        </w:tc>
      </w:tr>
      <w:tr w:rsidR="000E56CA" w:rsidRPr="005A108C" w14:paraId="1153D6E5" w14:textId="77777777" w:rsidTr="007478DD">
        <w:tc>
          <w:tcPr>
            <w:tcW w:w="1027" w:type="pct"/>
          </w:tcPr>
          <w:p w14:paraId="4282A44C" w14:textId="77777777" w:rsidR="000E56CA" w:rsidRPr="005A108C" w:rsidRDefault="000E56CA" w:rsidP="006735EA">
            <w:pPr>
              <w:keepNext/>
              <w:rPr>
                <w:sz w:val="18"/>
                <w:szCs w:val="18"/>
              </w:rPr>
            </w:pPr>
            <w:r w:rsidRPr="005A108C">
              <w:rPr>
                <w:sz w:val="18"/>
                <w:szCs w:val="18"/>
              </w:rPr>
              <w:t>Poruchy ciev</w:t>
            </w:r>
          </w:p>
        </w:tc>
        <w:tc>
          <w:tcPr>
            <w:tcW w:w="810" w:type="pct"/>
          </w:tcPr>
          <w:p w14:paraId="28E5C2B0" w14:textId="77777777" w:rsidR="000E56CA" w:rsidRPr="005A108C" w:rsidRDefault="000E56CA" w:rsidP="006735EA">
            <w:pPr>
              <w:keepNext/>
              <w:ind w:left="-108"/>
              <w:rPr>
                <w:sz w:val="18"/>
                <w:szCs w:val="18"/>
              </w:rPr>
            </w:pPr>
          </w:p>
        </w:tc>
        <w:tc>
          <w:tcPr>
            <w:tcW w:w="1052" w:type="pct"/>
          </w:tcPr>
          <w:p w14:paraId="116AB3EE" w14:textId="77777777" w:rsidR="000E56CA" w:rsidRPr="005A108C" w:rsidRDefault="000E56CA" w:rsidP="006735EA">
            <w:pPr>
              <w:keepNext/>
              <w:ind w:left="-64"/>
              <w:rPr>
                <w:sz w:val="18"/>
                <w:szCs w:val="18"/>
              </w:rPr>
            </w:pPr>
            <w:r w:rsidRPr="005A108C">
              <w:rPr>
                <w:sz w:val="18"/>
                <w:szCs w:val="18"/>
              </w:rPr>
              <w:t>sčervenanie, hypotenzia</w:t>
            </w:r>
          </w:p>
        </w:tc>
        <w:tc>
          <w:tcPr>
            <w:tcW w:w="1156" w:type="pct"/>
          </w:tcPr>
          <w:p w14:paraId="45856AB5" w14:textId="77777777" w:rsidR="000E56CA" w:rsidRPr="005A108C" w:rsidRDefault="000E56CA" w:rsidP="006735EA">
            <w:pPr>
              <w:keepNext/>
              <w:ind w:left="75"/>
              <w:rPr>
                <w:sz w:val="18"/>
                <w:szCs w:val="18"/>
              </w:rPr>
            </w:pPr>
          </w:p>
        </w:tc>
        <w:tc>
          <w:tcPr>
            <w:tcW w:w="955" w:type="pct"/>
          </w:tcPr>
          <w:p w14:paraId="2A5B72E7" w14:textId="77777777" w:rsidR="000E56CA" w:rsidRPr="005A108C" w:rsidRDefault="000E56CA" w:rsidP="006735EA">
            <w:pPr>
              <w:keepNext/>
              <w:rPr>
                <w:sz w:val="18"/>
                <w:szCs w:val="18"/>
              </w:rPr>
            </w:pPr>
          </w:p>
        </w:tc>
      </w:tr>
      <w:tr w:rsidR="000E56CA" w:rsidRPr="005A108C" w14:paraId="2F7AF4CD" w14:textId="77777777" w:rsidTr="007478DD">
        <w:tc>
          <w:tcPr>
            <w:tcW w:w="1027" w:type="pct"/>
          </w:tcPr>
          <w:p w14:paraId="5867D3E6" w14:textId="77777777" w:rsidR="000E56CA" w:rsidRPr="005A108C" w:rsidRDefault="000E56CA" w:rsidP="006735EA">
            <w:pPr>
              <w:keepNext/>
              <w:rPr>
                <w:sz w:val="18"/>
                <w:szCs w:val="18"/>
              </w:rPr>
            </w:pPr>
            <w:r w:rsidRPr="005A108C">
              <w:rPr>
                <w:sz w:val="18"/>
                <w:szCs w:val="18"/>
              </w:rPr>
              <w:t>Poruchy dýchacej sústavy, hrudníka a mediastína</w:t>
            </w:r>
          </w:p>
        </w:tc>
        <w:tc>
          <w:tcPr>
            <w:tcW w:w="810" w:type="pct"/>
          </w:tcPr>
          <w:p w14:paraId="22390E0D" w14:textId="77777777" w:rsidR="000E56CA" w:rsidRPr="005A108C" w:rsidRDefault="000E56CA" w:rsidP="006735EA">
            <w:pPr>
              <w:keepNext/>
              <w:tabs>
                <w:tab w:val="left" w:pos="8370"/>
              </w:tabs>
              <w:ind w:left="-108"/>
              <w:rPr>
                <w:sz w:val="18"/>
                <w:szCs w:val="18"/>
              </w:rPr>
            </w:pPr>
          </w:p>
        </w:tc>
        <w:tc>
          <w:tcPr>
            <w:tcW w:w="1052" w:type="pct"/>
          </w:tcPr>
          <w:p w14:paraId="01DCC6FE" w14:textId="77777777" w:rsidR="000E56CA" w:rsidRPr="005A108C" w:rsidRDefault="000E56CA" w:rsidP="006735EA">
            <w:pPr>
              <w:keepNext/>
              <w:ind w:left="-64"/>
              <w:rPr>
                <w:sz w:val="18"/>
                <w:szCs w:val="18"/>
              </w:rPr>
            </w:pPr>
          </w:p>
        </w:tc>
        <w:tc>
          <w:tcPr>
            <w:tcW w:w="1156" w:type="pct"/>
          </w:tcPr>
          <w:p w14:paraId="0DCAAF94" w14:textId="77777777" w:rsidR="000E56CA" w:rsidRPr="005A108C" w:rsidRDefault="000E56CA" w:rsidP="006735EA">
            <w:pPr>
              <w:keepNext/>
              <w:ind w:left="75"/>
              <w:rPr>
                <w:sz w:val="18"/>
                <w:szCs w:val="18"/>
              </w:rPr>
            </w:pPr>
            <w:r w:rsidRPr="005A108C">
              <w:rPr>
                <w:sz w:val="18"/>
                <w:szCs w:val="18"/>
              </w:rPr>
              <w:t>laryngospazmus, dyspnoe, nádcha, kašeľ, apnoe, sťažené dýchanie</w:t>
            </w:r>
          </w:p>
        </w:tc>
        <w:tc>
          <w:tcPr>
            <w:tcW w:w="955" w:type="pct"/>
          </w:tcPr>
          <w:p w14:paraId="33BE882D" w14:textId="77777777" w:rsidR="000E56CA" w:rsidRPr="005A108C" w:rsidRDefault="000E56CA" w:rsidP="006735EA">
            <w:pPr>
              <w:keepNext/>
              <w:rPr>
                <w:sz w:val="18"/>
                <w:szCs w:val="18"/>
              </w:rPr>
            </w:pPr>
            <w:r w:rsidRPr="005A108C">
              <w:rPr>
                <w:sz w:val="18"/>
                <w:szCs w:val="18"/>
              </w:rPr>
              <w:t xml:space="preserve">Zastavenie dýchania, pľúcny edém </w:t>
            </w:r>
          </w:p>
        </w:tc>
      </w:tr>
      <w:tr w:rsidR="000E56CA" w:rsidRPr="005A108C" w14:paraId="039AF576" w14:textId="77777777" w:rsidTr="007478DD">
        <w:tc>
          <w:tcPr>
            <w:tcW w:w="1027" w:type="pct"/>
          </w:tcPr>
          <w:p w14:paraId="1B0E16C5" w14:textId="77777777" w:rsidR="000E56CA" w:rsidRPr="005A108C" w:rsidRDefault="000E56CA" w:rsidP="006735EA">
            <w:pPr>
              <w:keepNext/>
              <w:rPr>
                <w:sz w:val="18"/>
                <w:szCs w:val="18"/>
              </w:rPr>
            </w:pPr>
            <w:r w:rsidRPr="005A108C">
              <w:rPr>
                <w:sz w:val="18"/>
                <w:szCs w:val="18"/>
              </w:rPr>
              <w:t>Poruchy gastrointestinálneho traktu</w:t>
            </w:r>
          </w:p>
        </w:tc>
        <w:tc>
          <w:tcPr>
            <w:tcW w:w="810" w:type="pct"/>
          </w:tcPr>
          <w:p w14:paraId="068C432F" w14:textId="77777777" w:rsidR="000E56CA" w:rsidRPr="005A108C" w:rsidRDefault="000E56CA" w:rsidP="006735EA">
            <w:pPr>
              <w:keepNext/>
              <w:tabs>
                <w:tab w:val="left" w:pos="8370"/>
              </w:tabs>
              <w:ind w:left="-108"/>
              <w:rPr>
                <w:sz w:val="18"/>
                <w:szCs w:val="18"/>
              </w:rPr>
            </w:pPr>
            <w:r w:rsidRPr="005A108C">
              <w:rPr>
                <w:sz w:val="18"/>
                <w:szCs w:val="18"/>
              </w:rPr>
              <w:t>Nauzea</w:t>
            </w:r>
          </w:p>
        </w:tc>
        <w:tc>
          <w:tcPr>
            <w:tcW w:w="1052" w:type="pct"/>
          </w:tcPr>
          <w:p w14:paraId="4DFA1DB7" w14:textId="77777777" w:rsidR="000E56CA" w:rsidRPr="005A108C" w:rsidRDefault="000E56CA" w:rsidP="006735EA">
            <w:pPr>
              <w:keepNext/>
              <w:ind w:left="-64"/>
              <w:rPr>
                <w:sz w:val="18"/>
                <w:szCs w:val="18"/>
              </w:rPr>
            </w:pPr>
            <w:r w:rsidRPr="005A108C">
              <w:rPr>
                <w:sz w:val="18"/>
                <w:szCs w:val="18"/>
              </w:rPr>
              <w:t>Sucho v ústach, vracanie</w:t>
            </w:r>
          </w:p>
        </w:tc>
        <w:tc>
          <w:tcPr>
            <w:tcW w:w="1156" w:type="pct"/>
          </w:tcPr>
          <w:p w14:paraId="0F52E5CD" w14:textId="77777777" w:rsidR="000E56CA" w:rsidRPr="005A108C" w:rsidRDefault="000E56CA" w:rsidP="006735EA">
            <w:pPr>
              <w:keepNext/>
              <w:ind w:left="75"/>
              <w:rPr>
                <w:sz w:val="18"/>
                <w:szCs w:val="18"/>
              </w:rPr>
            </w:pPr>
            <w:r w:rsidRPr="005A108C">
              <w:rPr>
                <w:sz w:val="18"/>
                <w:szCs w:val="18"/>
              </w:rPr>
              <w:t xml:space="preserve">Bolesť brucha, opuch jazyka, svrbenie v ústach, gingivitída, riedka stolica </w:t>
            </w:r>
          </w:p>
        </w:tc>
        <w:tc>
          <w:tcPr>
            <w:tcW w:w="955" w:type="pct"/>
          </w:tcPr>
          <w:p w14:paraId="7A46A7A9" w14:textId="77777777" w:rsidR="000E56CA" w:rsidRPr="005A108C" w:rsidRDefault="000E56CA" w:rsidP="006735EA">
            <w:pPr>
              <w:keepNext/>
              <w:rPr>
                <w:sz w:val="18"/>
                <w:szCs w:val="18"/>
              </w:rPr>
            </w:pPr>
          </w:p>
        </w:tc>
      </w:tr>
      <w:tr w:rsidR="000E56CA" w:rsidRPr="005A108C" w14:paraId="35184F24" w14:textId="77777777" w:rsidTr="007478DD">
        <w:tc>
          <w:tcPr>
            <w:tcW w:w="1027" w:type="pct"/>
          </w:tcPr>
          <w:p w14:paraId="6AC7551B" w14:textId="77777777" w:rsidR="000E56CA" w:rsidRPr="005A108C" w:rsidRDefault="000E56CA" w:rsidP="006735EA">
            <w:pPr>
              <w:keepNext/>
              <w:rPr>
                <w:sz w:val="18"/>
                <w:szCs w:val="18"/>
              </w:rPr>
            </w:pPr>
            <w:r w:rsidRPr="005A108C">
              <w:rPr>
                <w:sz w:val="18"/>
                <w:szCs w:val="18"/>
              </w:rPr>
              <w:t>Poruchy kože a podkožného tkaniva</w:t>
            </w:r>
          </w:p>
        </w:tc>
        <w:tc>
          <w:tcPr>
            <w:tcW w:w="810" w:type="pct"/>
          </w:tcPr>
          <w:p w14:paraId="7C18D136" w14:textId="77777777" w:rsidR="000E56CA" w:rsidRPr="005A108C" w:rsidRDefault="000E56CA" w:rsidP="006735EA">
            <w:pPr>
              <w:keepNext/>
              <w:tabs>
                <w:tab w:val="left" w:pos="8370"/>
              </w:tabs>
              <w:ind w:left="-108"/>
              <w:rPr>
                <w:sz w:val="18"/>
                <w:szCs w:val="18"/>
              </w:rPr>
            </w:pPr>
          </w:p>
        </w:tc>
        <w:tc>
          <w:tcPr>
            <w:tcW w:w="1052" w:type="pct"/>
          </w:tcPr>
          <w:p w14:paraId="5F1EEDBD" w14:textId="77777777" w:rsidR="000E56CA" w:rsidRPr="005A108C" w:rsidRDefault="000E56CA" w:rsidP="006735EA">
            <w:pPr>
              <w:keepNext/>
              <w:ind w:left="-64"/>
              <w:rPr>
                <w:sz w:val="18"/>
                <w:szCs w:val="18"/>
              </w:rPr>
            </w:pPr>
            <w:r w:rsidRPr="005A108C">
              <w:rPr>
                <w:sz w:val="18"/>
                <w:szCs w:val="18"/>
              </w:rPr>
              <w:t>Svrbenie, vyrážky, urtikária</w:t>
            </w:r>
          </w:p>
        </w:tc>
        <w:tc>
          <w:tcPr>
            <w:tcW w:w="1156" w:type="pct"/>
          </w:tcPr>
          <w:p w14:paraId="409365DE" w14:textId="77777777" w:rsidR="000E56CA" w:rsidRPr="005A108C" w:rsidRDefault="000E56CA" w:rsidP="006735EA">
            <w:pPr>
              <w:keepNext/>
              <w:ind w:left="75"/>
              <w:rPr>
                <w:sz w:val="18"/>
                <w:szCs w:val="18"/>
              </w:rPr>
            </w:pPr>
            <w:r w:rsidRPr="005A108C">
              <w:rPr>
                <w:sz w:val="18"/>
                <w:szCs w:val="18"/>
              </w:rPr>
              <w:t>Opuch tváre</w:t>
            </w:r>
          </w:p>
        </w:tc>
        <w:tc>
          <w:tcPr>
            <w:tcW w:w="955" w:type="pct"/>
          </w:tcPr>
          <w:p w14:paraId="71B7D94D" w14:textId="77777777" w:rsidR="000E56CA" w:rsidRPr="005A108C" w:rsidRDefault="000E56CA" w:rsidP="006735EA">
            <w:pPr>
              <w:keepNext/>
              <w:rPr>
                <w:sz w:val="18"/>
                <w:szCs w:val="18"/>
              </w:rPr>
            </w:pPr>
          </w:p>
        </w:tc>
      </w:tr>
      <w:tr w:rsidR="000E56CA" w:rsidRPr="005A108C" w14:paraId="440CCEEA" w14:textId="77777777" w:rsidTr="007478DD">
        <w:trPr>
          <w:cantSplit/>
        </w:trPr>
        <w:tc>
          <w:tcPr>
            <w:tcW w:w="1027" w:type="pct"/>
          </w:tcPr>
          <w:p w14:paraId="00A0EEC6" w14:textId="77777777" w:rsidR="000E56CA" w:rsidRPr="005A108C" w:rsidRDefault="000E56CA" w:rsidP="006735EA">
            <w:pPr>
              <w:keepNext/>
              <w:rPr>
                <w:sz w:val="18"/>
                <w:szCs w:val="18"/>
              </w:rPr>
            </w:pPr>
            <w:r w:rsidRPr="005A108C">
              <w:rPr>
                <w:sz w:val="18"/>
                <w:szCs w:val="18"/>
              </w:rPr>
              <w:t>Poruchy kostrovej a svalovej sústavy a spojivového tkaniva</w:t>
            </w:r>
          </w:p>
        </w:tc>
        <w:tc>
          <w:tcPr>
            <w:tcW w:w="810" w:type="pct"/>
          </w:tcPr>
          <w:p w14:paraId="38F4DB7A" w14:textId="77777777" w:rsidR="000E56CA" w:rsidRPr="005A108C" w:rsidRDefault="000E56CA" w:rsidP="006735EA">
            <w:pPr>
              <w:keepNext/>
              <w:tabs>
                <w:tab w:val="left" w:pos="8370"/>
              </w:tabs>
              <w:ind w:left="-108"/>
              <w:rPr>
                <w:sz w:val="18"/>
                <w:szCs w:val="18"/>
              </w:rPr>
            </w:pPr>
          </w:p>
        </w:tc>
        <w:tc>
          <w:tcPr>
            <w:tcW w:w="1052" w:type="pct"/>
          </w:tcPr>
          <w:p w14:paraId="24949DFB" w14:textId="77777777" w:rsidR="000E56CA" w:rsidRPr="005A108C" w:rsidRDefault="000E56CA" w:rsidP="006735EA">
            <w:pPr>
              <w:keepNext/>
              <w:ind w:left="-64"/>
              <w:rPr>
                <w:sz w:val="18"/>
                <w:szCs w:val="18"/>
              </w:rPr>
            </w:pPr>
          </w:p>
        </w:tc>
        <w:tc>
          <w:tcPr>
            <w:tcW w:w="1156" w:type="pct"/>
          </w:tcPr>
          <w:p w14:paraId="747D7023" w14:textId="77777777" w:rsidR="000E56CA" w:rsidRPr="005A108C" w:rsidRDefault="000E56CA" w:rsidP="006735EA">
            <w:pPr>
              <w:keepNext/>
              <w:ind w:left="75"/>
              <w:rPr>
                <w:sz w:val="18"/>
                <w:szCs w:val="18"/>
              </w:rPr>
            </w:pPr>
            <w:r w:rsidRPr="005A108C">
              <w:rPr>
                <w:sz w:val="18"/>
                <w:szCs w:val="18"/>
              </w:rPr>
              <w:t>Muskuloskeletálne stuhnutie</w:t>
            </w:r>
          </w:p>
        </w:tc>
        <w:tc>
          <w:tcPr>
            <w:tcW w:w="955" w:type="pct"/>
          </w:tcPr>
          <w:p w14:paraId="0B43D346" w14:textId="77777777" w:rsidR="000E56CA" w:rsidRPr="005A108C" w:rsidRDefault="000E56CA" w:rsidP="006735EA">
            <w:pPr>
              <w:keepNext/>
              <w:rPr>
                <w:sz w:val="18"/>
                <w:szCs w:val="18"/>
              </w:rPr>
            </w:pPr>
          </w:p>
        </w:tc>
      </w:tr>
      <w:tr w:rsidR="000E56CA" w:rsidRPr="005A108C" w14:paraId="1A516B51" w14:textId="77777777" w:rsidTr="007478DD">
        <w:trPr>
          <w:trHeight w:val="70"/>
        </w:trPr>
        <w:tc>
          <w:tcPr>
            <w:tcW w:w="1027" w:type="pct"/>
          </w:tcPr>
          <w:p w14:paraId="3A6AC079" w14:textId="77777777" w:rsidR="000E56CA" w:rsidRPr="005A108C" w:rsidRDefault="000E56CA" w:rsidP="006735EA">
            <w:pPr>
              <w:keepNext/>
              <w:rPr>
                <w:sz w:val="18"/>
                <w:szCs w:val="18"/>
              </w:rPr>
            </w:pPr>
            <w:r w:rsidRPr="005A108C">
              <w:rPr>
                <w:sz w:val="18"/>
                <w:szCs w:val="18"/>
              </w:rPr>
              <w:t>Poruchy obličiek a močových ciest</w:t>
            </w:r>
          </w:p>
        </w:tc>
        <w:tc>
          <w:tcPr>
            <w:tcW w:w="810" w:type="pct"/>
          </w:tcPr>
          <w:p w14:paraId="2C66B727" w14:textId="77777777" w:rsidR="000E56CA" w:rsidRPr="005A108C" w:rsidRDefault="000E56CA" w:rsidP="006735EA">
            <w:pPr>
              <w:keepNext/>
              <w:tabs>
                <w:tab w:val="left" w:pos="8370"/>
              </w:tabs>
              <w:ind w:left="-108"/>
              <w:rPr>
                <w:sz w:val="18"/>
                <w:szCs w:val="18"/>
              </w:rPr>
            </w:pPr>
          </w:p>
        </w:tc>
        <w:tc>
          <w:tcPr>
            <w:tcW w:w="1052" w:type="pct"/>
          </w:tcPr>
          <w:p w14:paraId="7B8D1ACC" w14:textId="77777777" w:rsidR="000E56CA" w:rsidRPr="005A108C" w:rsidRDefault="000E56CA" w:rsidP="006735EA">
            <w:pPr>
              <w:keepNext/>
              <w:ind w:left="-64"/>
              <w:rPr>
                <w:sz w:val="18"/>
                <w:szCs w:val="18"/>
              </w:rPr>
            </w:pPr>
          </w:p>
        </w:tc>
        <w:tc>
          <w:tcPr>
            <w:tcW w:w="1156" w:type="pct"/>
          </w:tcPr>
          <w:p w14:paraId="6F49F6D2" w14:textId="77777777" w:rsidR="000E56CA" w:rsidRPr="005A108C" w:rsidRDefault="000E56CA" w:rsidP="006735EA">
            <w:pPr>
              <w:keepNext/>
              <w:ind w:left="75"/>
              <w:rPr>
                <w:sz w:val="18"/>
                <w:szCs w:val="18"/>
              </w:rPr>
            </w:pPr>
          </w:p>
        </w:tc>
        <w:tc>
          <w:tcPr>
            <w:tcW w:w="955" w:type="pct"/>
          </w:tcPr>
          <w:p w14:paraId="038EDA18" w14:textId="77777777" w:rsidR="000E56CA" w:rsidRPr="005A108C" w:rsidRDefault="000E56CA" w:rsidP="006735EA">
            <w:pPr>
              <w:keepNext/>
              <w:rPr>
                <w:sz w:val="18"/>
                <w:szCs w:val="18"/>
              </w:rPr>
            </w:pPr>
            <w:r w:rsidRPr="005A108C">
              <w:rPr>
                <w:sz w:val="18"/>
                <w:szCs w:val="18"/>
              </w:rPr>
              <w:t xml:space="preserve">Akútne renálne zlyhanie** </w:t>
            </w:r>
          </w:p>
        </w:tc>
      </w:tr>
      <w:tr w:rsidR="000E56CA" w:rsidRPr="005A108C" w14:paraId="33DDD45B" w14:textId="77777777" w:rsidTr="007478DD">
        <w:trPr>
          <w:trHeight w:val="70"/>
        </w:trPr>
        <w:tc>
          <w:tcPr>
            <w:tcW w:w="1027" w:type="pct"/>
          </w:tcPr>
          <w:p w14:paraId="408EB66D" w14:textId="77777777" w:rsidR="000E56CA" w:rsidRPr="005A108C" w:rsidRDefault="000E56CA" w:rsidP="006735EA">
            <w:pPr>
              <w:keepNext/>
              <w:rPr>
                <w:sz w:val="18"/>
                <w:szCs w:val="18"/>
              </w:rPr>
            </w:pPr>
            <w:r w:rsidRPr="005A108C">
              <w:rPr>
                <w:sz w:val="18"/>
                <w:szCs w:val="18"/>
              </w:rPr>
              <w:t>Celkové poruchy a reakcie v mieste podania</w:t>
            </w:r>
          </w:p>
        </w:tc>
        <w:tc>
          <w:tcPr>
            <w:tcW w:w="810" w:type="pct"/>
          </w:tcPr>
          <w:p w14:paraId="3DF94FAF" w14:textId="77777777" w:rsidR="000E56CA" w:rsidRPr="005A108C" w:rsidRDefault="000E56CA" w:rsidP="006735EA">
            <w:pPr>
              <w:keepNext/>
              <w:tabs>
                <w:tab w:val="left" w:pos="8370"/>
              </w:tabs>
              <w:ind w:left="-108"/>
              <w:rPr>
                <w:sz w:val="18"/>
                <w:szCs w:val="18"/>
              </w:rPr>
            </w:pPr>
          </w:p>
        </w:tc>
        <w:tc>
          <w:tcPr>
            <w:tcW w:w="1052" w:type="pct"/>
          </w:tcPr>
          <w:p w14:paraId="2072CF7B" w14:textId="77777777" w:rsidR="000E56CA" w:rsidRPr="005A108C" w:rsidRDefault="000E56CA" w:rsidP="006735EA">
            <w:pPr>
              <w:keepNext/>
              <w:ind w:left="-64"/>
              <w:rPr>
                <w:sz w:val="18"/>
                <w:szCs w:val="18"/>
              </w:rPr>
            </w:pPr>
            <w:r>
              <w:rPr>
                <w:sz w:val="18"/>
                <w:szCs w:val="18"/>
              </w:rPr>
              <w:t>Reakcia v mieste vpichu v dôsledku extravazácie, b</w:t>
            </w:r>
            <w:r w:rsidRPr="005A108C">
              <w:rPr>
                <w:sz w:val="18"/>
                <w:szCs w:val="18"/>
              </w:rPr>
              <w:t xml:space="preserve">olesť v miest podania, malátnosť </w:t>
            </w:r>
          </w:p>
        </w:tc>
        <w:tc>
          <w:tcPr>
            <w:tcW w:w="1156" w:type="pct"/>
          </w:tcPr>
          <w:p w14:paraId="6F8E7287" w14:textId="77777777" w:rsidR="000E56CA" w:rsidRPr="005A108C" w:rsidRDefault="000E56CA" w:rsidP="006735EA">
            <w:pPr>
              <w:keepNext/>
              <w:ind w:left="75"/>
              <w:rPr>
                <w:sz w:val="18"/>
                <w:szCs w:val="18"/>
              </w:rPr>
            </w:pPr>
            <w:r w:rsidRPr="005A108C">
              <w:rPr>
                <w:sz w:val="18"/>
                <w:szCs w:val="18"/>
              </w:rPr>
              <w:t>Bolesť na hrudníku, pyrexia</w:t>
            </w:r>
          </w:p>
        </w:tc>
        <w:tc>
          <w:tcPr>
            <w:tcW w:w="955" w:type="pct"/>
          </w:tcPr>
          <w:p w14:paraId="46CCA4DF" w14:textId="77777777" w:rsidR="000E56CA" w:rsidRPr="005A108C" w:rsidRDefault="000E56CA" w:rsidP="006735EA">
            <w:pPr>
              <w:keepNext/>
              <w:rPr>
                <w:sz w:val="18"/>
                <w:szCs w:val="18"/>
              </w:rPr>
            </w:pPr>
          </w:p>
        </w:tc>
      </w:tr>
      <w:tr w:rsidR="000E56CA" w:rsidRPr="005A108C" w14:paraId="05134C45" w14:textId="77777777" w:rsidTr="007478DD">
        <w:tc>
          <w:tcPr>
            <w:tcW w:w="1027" w:type="pct"/>
          </w:tcPr>
          <w:p w14:paraId="60287CA0" w14:textId="77777777" w:rsidR="000E56CA" w:rsidRPr="005A108C" w:rsidRDefault="000E56CA" w:rsidP="006735EA">
            <w:pPr>
              <w:rPr>
                <w:sz w:val="18"/>
                <w:szCs w:val="18"/>
              </w:rPr>
            </w:pPr>
            <w:r w:rsidRPr="005A108C">
              <w:rPr>
                <w:sz w:val="18"/>
                <w:szCs w:val="18"/>
              </w:rPr>
              <w:t>Laboratórne a funkčné vyšetrenia</w:t>
            </w:r>
          </w:p>
        </w:tc>
        <w:tc>
          <w:tcPr>
            <w:tcW w:w="810" w:type="pct"/>
          </w:tcPr>
          <w:p w14:paraId="0C41F09A" w14:textId="77777777" w:rsidR="000E56CA" w:rsidRPr="005A108C" w:rsidRDefault="000E56CA" w:rsidP="006735EA">
            <w:pPr>
              <w:tabs>
                <w:tab w:val="left" w:pos="8370"/>
              </w:tabs>
              <w:ind w:left="-108"/>
              <w:rPr>
                <w:sz w:val="18"/>
                <w:szCs w:val="18"/>
              </w:rPr>
            </w:pPr>
          </w:p>
        </w:tc>
        <w:tc>
          <w:tcPr>
            <w:tcW w:w="1052" w:type="pct"/>
          </w:tcPr>
          <w:p w14:paraId="58B7FBB1" w14:textId="77777777" w:rsidR="000E56CA" w:rsidRPr="005A108C" w:rsidRDefault="000E56CA" w:rsidP="006735EA">
            <w:pPr>
              <w:ind w:left="-64"/>
              <w:rPr>
                <w:sz w:val="18"/>
                <w:szCs w:val="18"/>
              </w:rPr>
            </w:pPr>
            <w:r w:rsidRPr="005A108C">
              <w:rPr>
                <w:sz w:val="18"/>
                <w:szCs w:val="18"/>
              </w:rPr>
              <w:t>tachykardia</w:t>
            </w:r>
          </w:p>
        </w:tc>
        <w:tc>
          <w:tcPr>
            <w:tcW w:w="1156" w:type="pct"/>
          </w:tcPr>
          <w:p w14:paraId="253F9489" w14:textId="77777777" w:rsidR="000E56CA" w:rsidRPr="005A108C" w:rsidRDefault="000E56CA" w:rsidP="006735EA">
            <w:pPr>
              <w:ind w:left="75"/>
              <w:rPr>
                <w:sz w:val="18"/>
                <w:szCs w:val="18"/>
              </w:rPr>
            </w:pPr>
          </w:p>
        </w:tc>
        <w:tc>
          <w:tcPr>
            <w:tcW w:w="955" w:type="pct"/>
          </w:tcPr>
          <w:p w14:paraId="13322071" w14:textId="77777777" w:rsidR="000E56CA" w:rsidRPr="005A108C" w:rsidRDefault="000E56CA" w:rsidP="006735EA">
            <w:pPr>
              <w:rPr>
                <w:sz w:val="18"/>
                <w:szCs w:val="18"/>
              </w:rPr>
            </w:pPr>
          </w:p>
        </w:tc>
      </w:tr>
    </w:tbl>
    <w:p w14:paraId="4F8C39A8" w14:textId="77777777" w:rsidR="000E56CA" w:rsidRDefault="000E56CA" w:rsidP="006735EA">
      <w:pPr>
        <w:rPr>
          <w:b/>
          <w:sz w:val="22"/>
          <w:szCs w:val="22"/>
        </w:rPr>
      </w:pPr>
    </w:p>
    <w:p w14:paraId="518CBA99" w14:textId="77777777" w:rsidR="000E56CA" w:rsidRPr="005A108C" w:rsidRDefault="000E56CA" w:rsidP="006735EA">
      <w:pPr>
        <w:rPr>
          <w:i/>
          <w:sz w:val="22"/>
          <w:szCs w:val="22"/>
        </w:rPr>
      </w:pPr>
      <w:r w:rsidRPr="005A108C">
        <w:rPr>
          <w:i/>
          <w:sz w:val="22"/>
          <w:szCs w:val="22"/>
        </w:rPr>
        <w:t>Opis vybraných nežiaducich účinkov</w:t>
      </w:r>
    </w:p>
    <w:p w14:paraId="1EDF4DE2" w14:textId="77777777" w:rsidR="000E56CA" w:rsidRPr="005A108C" w:rsidRDefault="000E56CA" w:rsidP="006735EA">
      <w:pPr>
        <w:rPr>
          <w:sz w:val="22"/>
          <w:szCs w:val="22"/>
        </w:rPr>
      </w:pPr>
    </w:p>
    <w:p w14:paraId="77BBA9D2" w14:textId="77777777" w:rsidR="000E56CA" w:rsidRPr="005A108C" w:rsidRDefault="000E56CA" w:rsidP="006735EA">
      <w:pPr>
        <w:keepNext/>
        <w:rPr>
          <w:i/>
          <w:iCs/>
          <w:sz w:val="22"/>
          <w:szCs w:val="22"/>
        </w:rPr>
      </w:pPr>
      <w:r w:rsidRPr="005A108C">
        <w:rPr>
          <w:i/>
          <w:iCs/>
          <w:sz w:val="22"/>
          <w:szCs w:val="22"/>
        </w:rPr>
        <w:t>*Vazovagálna reakcia</w:t>
      </w:r>
    </w:p>
    <w:p w14:paraId="756ECB81" w14:textId="77777777" w:rsidR="000E56CA" w:rsidRPr="005A108C" w:rsidRDefault="000E56CA" w:rsidP="006735EA">
      <w:pPr>
        <w:keepNext/>
        <w:rPr>
          <w:iCs/>
          <w:sz w:val="22"/>
          <w:szCs w:val="22"/>
        </w:rPr>
      </w:pPr>
      <w:r w:rsidRPr="005A108C">
        <w:rPr>
          <w:iCs/>
          <w:sz w:val="22"/>
          <w:szCs w:val="22"/>
        </w:rPr>
        <w:t>Počas podávania alebo ihneď po podaní ProHance bola hlásená vazovagálna reakcia, ktorá môže v zriedkavých prípadoch vyústiť do vazovagálnej synkopy. Vazovagálna reakcia býva často spojená s emocionálnym stresom alebo bolestivým/nepríjemným stimulom (napr. vpich ihly pri vnútrožilovom podaní). Bežne prítomné sú symptómy ako nauzea, závraty a potenie. Vo vážnych prípadoch môže stav vyústiť do synkopy</w:t>
      </w:r>
      <w:r>
        <w:rPr>
          <w:iCs/>
          <w:sz w:val="22"/>
          <w:szCs w:val="22"/>
        </w:rPr>
        <w:t xml:space="preserve"> </w:t>
      </w:r>
      <w:r w:rsidRPr="005A108C">
        <w:rPr>
          <w:iCs/>
          <w:sz w:val="22"/>
          <w:szCs w:val="22"/>
        </w:rPr>
        <w:t xml:space="preserve">- pacienti majú bledú a spotenú kožu, poruchu vedomia a bradykardiu. Často pociťujú strach, nepokoj, slabosť a zvýšené slinenie. </w:t>
      </w:r>
    </w:p>
    <w:p w14:paraId="36821B8F" w14:textId="77777777" w:rsidR="000E56CA" w:rsidRPr="005A108C" w:rsidRDefault="000E56CA" w:rsidP="006735EA">
      <w:pPr>
        <w:keepNext/>
        <w:rPr>
          <w:iCs/>
          <w:sz w:val="22"/>
          <w:szCs w:val="22"/>
        </w:rPr>
      </w:pPr>
      <w:r w:rsidRPr="005A108C">
        <w:rPr>
          <w:iCs/>
          <w:sz w:val="22"/>
          <w:szCs w:val="22"/>
        </w:rPr>
        <w:t>Rozpoznanie tohto náhle vzniknutého stavu a diferenciálna diagnostika s hypersenzitívnou/anafylaktoidnou reakciou je nevyhnutná pre správnu terapiu vagálnej stimulácie.</w:t>
      </w:r>
    </w:p>
    <w:p w14:paraId="386814FE" w14:textId="77777777" w:rsidR="000E56CA" w:rsidRPr="005A108C" w:rsidRDefault="000E56CA" w:rsidP="006735EA">
      <w:pPr>
        <w:keepNext/>
        <w:rPr>
          <w:iCs/>
          <w:sz w:val="22"/>
          <w:szCs w:val="22"/>
        </w:rPr>
      </w:pPr>
    </w:p>
    <w:p w14:paraId="0BFA1829" w14:textId="77777777" w:rsidR="000E56CA" w:rsidRPr="005A108C" w:rsidRDefault="000E56CA" w:rsidP="006735EA">
      <w:pPr>
        <w:keepNext/>
        <w:rPr>
          <w:i/>
          <w:iCs/>
          <w:sz w:val="22"/>
          <w:szCs w:val="22"/>
        </w:rPr>
      </w:pPr>
      <w:r w:rsidRPr="005A108C">
        <w:rPr>
          <w:i/>
          <w:iCs/>
          <w:sz w:val="22"/>
          <w:szCs w:val="22"/>
        </w:rPr>
        <w:t xml:space="preserve">**Akútne zlyhanie obličiek </w:t>
      </w:r>
    </w:p>
    <w:p w14:paraId="147DA61A" w14:textId="77777777" w:rsidR="000E56CA" w:rsidRPr="005A108C" w:rsidRDefault="000E56CA" w:rsidP="006735EA">
      <w:pPr>
        <w:keepNext/>
        <w:rPr>
          <w:iCs/>
          <w:sz w:val="22"/>
          <w:szCs w:val="22"/>
        </w:rPr>
      </w:pPr>
      <w:r w:rsidRPr="005A108C">
        <w:rPr>
          <w:iCs/>
          <w:sz w:val="22"/>
          <w:szCs w:val="22"/>
        </w:rPr>
        <w:t>Akútne zlyhanie obličiek bolo hlásené u pacientov s existujúcim vážnym renálnym poškodením.</w:t>
      </w:r>
    </w:p>
    <w:p w14:paraId="3359F8AE" w14:textId="77777777" w:rsidR="000E56CA" w:rsidRPr="005A108C" w:rsidRDefault="000E56CA" w:rsidP="006735EA">
      <w:pPr>
        <w:autoSpaceDE w:val="0"/>
        <w:autoSpaceDN w:val="0"/>
        <w:adjustRightInd w:val="0"/>
        <w:rPr>
          <w:i/>
          <w:sz w:val="22"/>
          <w:szCs w:val="22"/>
          <w:lang w:eastAsia="en-US"/>
        </w:rPr>
      </w:pPr>
      <w:bookmarkStart w:id="1" w:name="OLE_LINK2"/>
    </w:p>
    <w:p w14:paraId="1DA5FEC2" w14:textId="77777777" w:rsidR="000E56CA" w:rsidRPr="005A108C" w:rsidRDefault="000E56CA" w:rsidP="006735EA">
      <w:pPr>
        <w:autoSpaceDE w:val="0"/>
        <w:autoSpaceDN w:val="0"/>
        <w:adjustRightInd w:val="0"/>
        <w:rPr>
          <w:i/>
          <w:sz w:val="22"/>
          <w:szCs w:val="22"/>
          <w:lang w:eastAsia="en-US"/>
        </w:rPr>
      </w:pPr>
      <w:r w:rsidRPr="005A108C">
        <w:rPr>
          <w:i/>
          <w:sz w:val="22"/>
          <w:szCs w:val="22"/>
          <w:lang w:eastAsia="en-US"/>
        </w:rPr>
        <w:t>Anafylaktická/anafylaktoidná reakcia:</w:t>
      </w:r>
    </w:p>
    <w:p w14:paraId="042B2043" w14:textId="77777777" w:rsidR="000E56CA" w:rsidRDefault="000E56CA" w:rsidP="006735EA">
      <w:pPr>
        <w:rPr>
          <w:iCs/>
          <w:color w:val="000000"/>
          <w:spacing w:val="-1"/>
          <w:sz w:val="22"/>
          <w:szCs w:val="22"/>
        </w:rPr>
      </w:pPr>
      <w:r w:rsidRPr="005A108C">
        <w:rPr>
          <w:sz w:val="22"/>
          <w:szCs w:val="22"/>
        </w:rPr>
        <w:t>Počas použitia gadoteridolu, rovnako ako počas použitia iných chelátov gadolínia, boli hlásené anafylaktické (anafylaktoidné) hypersenzitívne reakcie. Tieto reakcie mali rôzny stupeň závažnosti, vrátane anafylaktického šoku a s</w:t>
      </w:r>
      <w:r>
        <w:rPr>
          <w:sz w:val="22"/>
          <w:szCs w:val="22"/>
        </w:rPr>
        <w:t>MRI</w:t>
      </w:r>
      <w:r w:rsidRPr="005A108C">
        <w:rPr>
          <w:sz w:val="22"/>
          <w:szCs w:val="22"/>
        </w:rPr>
        <w:t>i. Postihovali jeden alebo viac telesných systémov, hlavne respiračný, kardiovaskulárny a/alebo mukokutánny. Bežne prítomné symptómy boli</w:t>
      </w:r>
      <w:r>
        <w:rPr>
          <w:iCs/>
          <w:color w:val="000000"/>
          <w:spacing w:val="-1"/>
          <w:sz w:val="22"/>
          <w:szCs w:val="22"/>
        </w:rPr>
        <w:t xml:space="preserve"> -</w:t>
      </w:r>
      <w:r w:rsidRPr="005A108C">
        <w:rPr>
          <w:iCs/>
          <w:color w:val="000000"/>
          <w:spacing w:val="-1"/>
          <w:sz w:val="22"/>
          <w:szCs w:val="22"/>
        </w:rPr>
        <w:t xml:space="preserve"> pocit zovretia a škriabania v hrdle, dyspnoe, hrudný diskomfort, návaly tepla, dysfágia, pocit pálenia, opuch hltanu alebo hrtanu a nízky tlak krvi</w:t>
      </w:r>
      <w:r>
        <w:rPr>
          <w:iCs/>
          <w:color w:val="000000"/>
          <w:spacing w:val="-1"/>
          <w:sz w:val="22"/>
          <w:szCs w:val="22"/>
        </w:rPr>
        <w:t>.</w:t>
      </w:r>
    </w:p>
    <w:p w14:paraId="4F0A2BD2" w14:textId="77777777" w:rsidR="000E56CA" w:rsidRPr="0016369E" w:rsidRDefault="000E56CA" w:rsidP="006735EA">
      <w:pPr>
        <w:rPr>
          <w:sz w:val="22"/>
          <w:szCs w:val="22"/>
          <w:u w:val="single"/>
        </w:rPr>
      </w:pPr>
      <w:r w:rsidRPr="0016369E">
        <w:rPr>
          <w:sz w:val="22"/>
          <w:szCs w:val="22"/>
          <w:u w:val="single"/>
        </w:rPr>
        <w:lastRenderedPageBreak/>
        <w:t>Pediatrická populácia</w:t>
      </w:r>
    </w:p>
    <w:p w14:paraId="543FFE51" w14:textId="77777777" w:rsidR="000E56CA" w:rsidRPr="005A108C" w:rsidRDefault="000E56CA" w:rsidP="006735EA">
      <w:pPr>
        <w:rPr>
          <w:sz w:val="22"/>
          <w:szCs w:val="22"/>
        </w:rPr>
      </w:pPr>
      <w:r>
        <w:rPr>
          <w:sz w:val="22"/>
          <w:szCs w:val="22"/>
        </w:rPr>
        <w:t xml:space="preserve">Bezpečnostný profil ProHance je u detí a dospelých podobný. </w:t>
      </w:r>
    </w:p>
    <w:p w14:paraId="360C39E6" w14:textId="77777777" w:rsidR="000E56CA" w:rsidRPr="005A108C" w:rsidRDefault="000E56CA" w:rsidP="002946B4">
      <w:pPr>
        <w:autoSpaceDE w:val="0"/>
        <w:autoSpaceDN w:val="0"/>
        <w:adjustRightInd w:val="0"/>
        <w:rPr>
          <w:sz w:val="22"/>
          <w:szCs w:val="22"/>
          <w:lang w:eastAsia="en-US"/>
        </w:rPr>
      </w:pPr>
    </w:p>
    <w:p w14:paraId="0E16098B" w14:textId="77777777" w:rsidR="000E56CA" w:rsidRPr="005A108C" w:rsidRDefault="000E56CA" w:rsidP="00176769">
      <w:pPr>
        <w:autoSpaceDE w:val="0"/>
        <w:autoSpaceDN w:val="0"/>
        <w:adjustRightInd w:val="0"/>
        <w:rPr>
          <w:sz w:val="22"/>
          <w:szCs w:val="22"/>
        </w:rPr>
      </w:pPr>
      <w:r w:rsidRPr="005A108C">
        <w:rPr>
          <w:sz w:val="22"/>
          <w:szCs w:val="22"/>
          <w:lang w:eastAsia="en-US"/>
        </w:rPr>
        <w:t>Po podaní ProHance sa hlásili ojedinelé prípady nefrogénnej systémovej fibrózy (NSF), väčšina z nich bola u pacientov, ktorým boli súbežne podané iné kontrastné látky obsahujúce gadolínium (pozri časť 4.4).</w:t>
      </w:r>
    </w:p>
    <w:bookmarkEnd w:id="1"/>
    <w:p w14:paraId="7E78DCEE" w14:textId="77777777" w:rsidR="000E56CA" w:rsidRDefault="000E56CA" w:rsidP="00583AA1">
      <w:pPr>
        <w:shd w:val="clear" w:color="auto" w:fill="FFFFFF"/>
        <w:tabs>
          <w:tab w:val="left" w:pos="192"/>
        </w:tabs>
        <w:rPr>
          <w:color w:val="000000"/>
          <w:spacing w:val="4"/>
          <w:sz w:val="22"/>
          <w:szCs w:val="22"/>
        </w:rPr>
      </w:pPr>
      <w:r w:rsidRPr="005A108C">
        <w:rPr>
          <w:color w:val="000000"/>
          <w:spacing w:val="4"/>
          <w:sz w:val="22"/>
          <w:szCs w:val="22"/>
        </w:rPr>
        <w:t>Pacientov, u ktorých sa vyskytli iné nežiaduce účinky, ako sú popísané v tejto informácii, je potrebné požiadať, aby to oznámili svojmu lekárovi alebo lekárnikovi.</w:t>
      </w:r>
    </w:p>
    <w:p w14:paraId="7DC08294" w14:textId="77777777" w:rsidR="000E56CA" w:rsidRDefault="000E56CA" w:rsidP="00583AA1">
      <w:pPr>
        <w:shd w:val="clear" w:color="auto" w:fill="FFFFFF"/>
        <w:tabs>
          <w:tab w:val="left" w:pos="192"/>
        </w:tabs>
        <w:rPr>
          <w:color w:val="000000"/>
          <w:spacing w:val="4"/>
          <w:sz w:val="22"/>
          <w:szCs w:val="22"/>
        </w:rPr>
      </w:pPr>
    </w:p>
    <w:p w14:paraId="5D5E6C2A" w14:textId="77777777" w:rsidR="000E56CA" w:rsidRPr="00583AA1" w:rsidRDefault="000E56CA" w:rsidP="00583AA1">
      <w:pPr>
        <w:shd w:val="clear" w:color="auto" w:fill="FFFFFF"/>
        <w:tabs>
          <w:tab w:val="left" w:pos="192"/>
        </w:tabs>
        <w:rPr>
          <w:sz w:val="22"/>
          <w:szCs w:val="22"/>
          <w:u w:val="single"/>
        </w:rPr>
      </w:pPr>
      <w:r w:rsidRPr="00583AA1">
        <w:rPr>
          <w:sz w:val="22"/>
          <w:szCs w:val="22"/>
          <w:u w:val="single"/>
        </w:rPr>
        <w:t>Hlásenie podozrení na nežiaduce reakcie</w:t>
      </w:r>
    </w:p>
    <w:p w14:paraId="0A685F9A" w14:textId="2B6BAA29" w:rsidR="000E56CA" w:rsidRPr="005A108C" w:rsidRDefault="000E56CA" w:rsidP="00583AA1">
      <w:pPr>
        <w:shd w:val="clear" w:color="auto" w:fill="FFFFFF"/>
        <w:tabs>
          <w:tab w:val="left" w:pos="192"/>
        </w:tabs>
        <w:rPr>
          <w:sz w:val="22"/>
          <w:szCs w:val="22"/>
        </w:rPr>
      </w:pPr>
      <w:r w:rsidRPr="00760211">
        <w:rPr>
          <w:sz w:val="22"/>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4A586F">
        <w:rPr>
          <w:sz w:val="22"/>
          <w:szCs w:val="22"/>
        </w:rPr>
        <w:t xml:space="preserve">na </w:t>
      </w:r>
      <w:r w:rsidRPr="00760211">
        <w:rPr>
          <w:sz w:val="22"/>
          <w:szCs w:val="22"/>
        </w:rPr>
        <w:t xml:space="preserve"> </w:t>
      </w:r>
      <w:r w:rsidR="00D73296" w:rsidRPr="007331F4">
        <w:rPr>
          <w:sz w:val="22"/>
          <w:szCs w:val="22"/>
          <w:highlight w:val="lightGray"/>
        </w:rPr>
        <w:t>národné</w:t>
      </w:r>
      <w:r w:rsidR="004A586F">
        <w:rPr>
          <w:sz w:val="22"/>
          <w:szCs w:val="22"/>
          <w:highlight w:val="lightGray"/>
        </w:rPr>
        <w:t xml:space="preserve"> centrum</w:t>
      </w:r>
      <w:r w:rsidR="00D73296" w:rsidRPr="007331F4">
        <w:rPr>
          <w:sz w:val="22"/>
          <w:szCs w:val="22"/>
          <w:highlight w:val="lightGray"/>
        </w:rPr>
        <w:t xml:space="preserve">  hlásenia uvedené v </w:t>
      </w:r>
      <w:hyperlink r:id="rId8" w:history="1">
        <w:r w:rsidR="00D73296" w:rsidRPr="007331F4">
          <w:rPr>
            <w:rStyle w:val="Hypertextovprepojenie"/>
            <w:sz w:val="22"/>
            <w:szCs w:val="22"/>
            <w:highlight w:val="lightGray"/>
          </w:rPr>
          <w:t>Prílohe V</w:t>
        </w:r>
      </w:hyperlink>
      <w:r w:rsidR="004A586F">
        <w:rPr>
          <w:rStyle w:val="Hypertextovprepojenie"/>
          <w:sz w:val="22"/>
          <w:szCs w:val="22"/>
        </w:rPr>
        <w:t>.</w:t>
      </w:r>
    </w:p>
    <w:p w14:paraId="61285057" w14:textId="77777777" w:rsidR="000E56CA" w:rsidRPr="005A108C" w:rsidRDefault="000E56CA" w:rsidP="006735EA">
      <w:pPr>
        <w:rPr>
          <w:b/>
          <w:sz w:val="22"/>
          <w:szCs w:val="22"/>
        </w:rPr>
      </w:pPr>
    </w:p>
    <w:p w14:paraId="629EF8B0" w14:textId="77777777" w:rsidR="000E56CA" w:rsidRPr="005A108C" w:rsidRDefault="000E56CA" w:rsidP="006735EA">
      <w:pPr>
        <w:rPr>
          <w:b/>
          <w:sz w:val="22"/>
          <w:szCs w:val="22"/>
        </w:rPr>
      </w:pPr>
      <w:r w:rsidRPr="005A108C">
        <w:rPr>
          <w:b/>
          <w:sz w:val="22"/>
          <w:szCs w:val="22"/>
        </w:rPr>
        <w:t xml:space="preserve">4.9. </w:t>
      </w:r>
      <w:r>
        <w:rPr>
          <w:b/>
          <w:sz w:val="22"/>
          <w:szCs w:val="22"/>
        </w:rPr>
        <w:tab/>
      </w:r>
      <w:r w:rsidRPr="005A108C">
        <w:rPr>
          <w:b/>
          <w:sz w:val="22"/>
          <w:szCs w:val="22"/>
        </w:rPr>
        <w:t>Predávkovanie</w:t>
      </w:r>
    </w:p>
    <w:p w14:paraId="07B76509" w14:textId="77777777" w:rsidR="000E56CA" w:rsidRPr="005A108C" w:rsidRDefault="000E56CA" w:rsidP="006735EA">
      <w:pPr>
        <w:shd w:val="clear" w:color="auto" w:fill="FFFFFF"/>
        <w:rPr>
          <w:color w:val="000000"/>
          <w:spacing w:val="3"/>
          <w:sz w:val="22"/>
          <w:szCs w:val="22"/>
        </w:rPr>
      </w:pPr>
    </w:p>
    <w:p w14:paraId="21ABCFBB" w14:textId="77777777" w:rsidR="000E56CA" w:rsidRPr="005A108C" w:rsidRDefault="000E56CA" w:rsidP="006735EA">
      <w:pPr>
        <w:shd w:val="clear" w:color="auto" w:fill="FFFFFF"/>
        <w:rPr>
          <w:color w:val="000000"/>
          <w:spacing w:val="3"/>
          <w:sz w:val="22"/>
          <w:szCs w:val="22"/>
        </w:rPr>
      </w:pPr>
      <w:r w:rsidRPr="005A108C">
        <w:rPr>
          <w:color w:val="000000"/>
          <w:spacing w:val="3"/>
          <w:sz w:val="22"/>
          <w:szCs w:val="22"/>
        </w:rPr>
        <w:t>Doposiaľ nebol zaznamenaný ani jediný prípad predávkovania. Vzhľadom na to, nie je možné identifikovať príznaky a symptómy predávkovania. V klinických štúdiách sa nepozorovali žiadne symptómy spojené s vyššími dávkami, až do 0,3 mmol/kg.</w:t>
      </w:r>
    </w:p>
    <w:p w14:paraId="574CFB05" w14:textId="77777777" w:rsidR="000E56CA" w:rsidRPr="005A108C" w:rsidRDefault="000E56CA" w:rsidP="006735EA">
      <w:pPr>
        <w:shd w:val="clear" w:color="auto" w:fill="FFFFFF"/>
        <w:rPr>
          <w:color w:val="000000"/>
          <w:spacing w:val="3"/>
          <w:sz w:val="22"/>
          <w:szCs w:val="22"/>
        </w:rPr>
      </w:pPr>
    </w:p>
    <w:p w14:paraId="3F46D099" w14:textId="77777777" w:rsidR="000E56CA" w:rsidRPr="005A108C" w:rsidRDefault="000E56CA" w:rsidP="006735EA">
      <w:pPr>
        <w:shd w:val="clear" w:color="auto" w:fill="FFFFFF"/>
        <w:rPr>
          <w:color w:val="000000"/>
          <w:spacing w:val="3"/>
          <w:sz w:val="22"/>
          <w:szCs w:val="22"/>
        </w:rPr>
      </w:pPr>
      <w:r w:rsidRPr="005A108C">
        <w:rPr>
          <w:color w:val="000000"/>
          <w:spacing w:val="3"/>
          <w:sz w:val="22"/>
          <w:szCs w:val="22"/>
        </w:rPr>
        <w:t>V prípade predávkovania je potrebné pacienta monitorovať a liečiť symptomaticky.</w:t>
      </w:r>
    </w:p>
    <w:p w14:paraId="1ABD58FF" w14:textId="77777777" w:rsidR="000E56CA" w:rsidRPr="005A108C" w:rsidRDefault="000E56CA" w:rsidP="006735EA">
      <w:pPr>
        <w:shd w:val="clear" w:color="auto" w:fill="FFFFFF"/>
        <w:rPr>
          <w:color w:val="000000"/>
          <w:spacing w:val="3"/>
          <w:sz w:val="22"/>
          <w:szCs w:val="22"/>
        </w:rPr>
      </w:pPr>
    </w:p>
    <w:p w14:paraId="6D0BF930" w14:textId="77777777" w:rsidR="000E56CA" w:rsidRPr="005A108C" w:rsidRDefault="000E56CA" w:rsidP="006735EA">
      <w:pPr>
        <w:shd w:val="clear" w:color="auto" w:fill="FFFFFF"/>
        <w:rPr>
          <w:color w:val="000000"/>
          <w:spacing w:val="3"/>
          <w:sz w:val="22"/>
          <w:szCs w:val="22"/>
        </w:rPr>
      </w:pPr>
      <w:r w:rsidRPr="005A108C">
        <w:rPr>
          <w:color w:val="000000"/>
          <w:spacing w:val="3"/>
          <w:sz w:val="22"/>
          <w:szCs w:val="22"/>
        </w:rPr>
        <w:t>ProHance možno odstrániť hemodialýzou. Neexistujú však dôkazy, že hemodialýza je vhodná na prevenciu nefrogénnej systémovej fibrózy (NSF).</w:t>
      </w:r>
    </w:p>
    <w:p w14:paraId="7F639C5F" w14:textId="77777777" w:rsidR="000E56CA" w:rsidRDefault="000E56CA" w:rsidP="006735EA">
      <w:pPr>
        <w:shd w:val="clear" w:color="auto" w:fill="FFFFFF"/>
        <w:rPr>
          <w:color w:val="000000"/>
          <w:spacing w:val="3"/>
          <w:sz w:val="22"/>
          <w:szCs w:val="22"/>
        </w:rPr>
      </w:pPr>
    </w:p>
    <w:p w14:paraId="2B72E51E" w14:textId="77777777" w:rsidR="000E56CA" w:rsidRPr="005A108C" w:rsidRDefault="000E56CA" w:rsidP="006735EA">
      <w:pPr>
        <w:shd w:val="clear" w:color="auto" w:fill="FFFFFF"/>
        <w:rPr>
          <w:color w:val="000000"/>
          <w:spacing w:val="3"/>
          <w:sz w:val="22"/>
          <w:szCs w:val="22"/>
        </w:rPr>
      </w:pPr>
    </w:p>
    <w:p w14:paraId="71CC8C6F" w14:textId="77777777" w:rsidR="000E56CA" w:rsidRPr="005A108C" w:rsidRDefault="000E56CA" w:rsidP="006735EA">
      <w:pPr>
        <w:pStyle w:val="Nadpis3"/>
        <w:rPr>
          <w:sz w:val="22"/>
          <w:szCs w:val="22"/>
          <w:lang w:val="sk-SK"/>
        </w:rPr>
      </w:pPr>
      <w:r w:rsidRPr="005A108C">
        <w:rPr>
          <w:sz w:val="22"/>
          <w:szCs w:val="22"/>
          <w:lang w:val="sk-SK"/>
        </w:rPr>
        <w:t xml:space="preserve">5. </w:t>
      </w:r>
      <w:r>
        <w:rPr>
          <w:sz w:val="22"/>
          <w:szCs w:val="22"/>
          <w:lang w:val="sk-SK"/>
        </w:rPr>
        <w:tab/>
      </w:r>
      <w:r w:rsidRPr="005A108C">
        <w:rPr>
          <w:sz w:val="22"/>
          <w:szCs w:val="22"/>
          <w:lang w:val="sk-SK"/>
        </w:rPr>
        <w:t>FARMAKOLOGICKÉ VLASTNOSTI</w:t>
      </w:r>
    </w:p>
    <w:p w14:paraId="4F3464AD" w14:textId="77777777" w:rsidR="000E56CA" w:rsidRPr="005A108C" w:rsidRDefault="000E56CA" w:rsidP="006735EA">
      <w:pPr>
        <w:rPr>
          <w:sz w:val="22"/>
          <w:szCs w:val="22"/>
        </w:rPr>
      </w:pPr>
    </w:p>
    <w:p w14:paraId="28071F7C" w14:textId="77777777" w:rsidR="000E56CA" w:rsidRPr="005A108C" w:rsidRDefault="000E56CA" w:rsidP="006735EA">
      <w:pPr>
        <w:rPr>
          <w:b/>
          <w:sz w:val="22"/>
          <w:szCs w:val="22"/>
        </w:rPr>
      </w:pPr>
      <w:r w:rsidRPr="005A108C">
        <w:rPr>
          <w:b/>
          <w:sz w:val="22"/>
          <w:szCs w:val="22"/>
        </w:rPr>
        <w:t xml:space="preserve">5.1. </w:t>
      </w:r>
      <w:r>
        <w:rPr>
          <w:b/>
          <w:sz w:val="22"/>
          <w:szCs w:val="22"/>
        </w:rPr>
        <w:tab/>
      </w:r>
      <w:r w:rsidRPr="005A108C">
        <w:rPr>
          <w:b/>
          <w:sz w:val="22"/>
          <w:szCs w:val="22"/>
        </w:rPr>
        <w:t>Farmakodynamické vlastnosti</w:t>
      </w:r>
    </w:p>
    <w:p w14:paraId="344F9B55" w14:textId="77777777" w:rsidR="000E56CA" w:rsidRPr="005A108C" w:rsidRDefault="000E56CA" w:rsidP="006735EA">
      <w:pPr>
        <w:rPr>
          <w:b/>
          <w:sz w:val="22"/>
          <w:szCs w:val="22"/>
        </w:rPr>
      </w:pPr>
    </w:p>
    <w:p w14:paraId="6D06EA10" w14:textId="77777777" w:rsidR="000E56CA" w:rsidRPr="005A108C" w:rsidRDefault="000E56CA" w:rsidP="006735EA">
      <w:pPr>
        <w:rPr>
          <w:sz w:val="22"/>
          <w:szCs w:val="22"/>
        </w:rPr>
      </w:pPr>
      <w:r w:rsidRPr="005A108C">
        <w:rPr>
          <w:i/>
          <w:sz w:val="22"/>
          <w:szCs w:val="22"/>
        </w:rPr>
        <w:t xml:space="preserve">Farmakoterapeutická skupina: </w:t>
      </w:r>
      <w:r>
        <w:rPr>
          <w:sz w:val="22"/>
          <w:szCs w:val="22"/>
        </w:rPr>
        <w:t>Jódované RTG-</w:t>
      </w:r>
      <w:r w:rsidRPr="005A108C">
        <w:rPr>
          <w:sz w:val="22"/>
          <w:szCs w:val="22"/>
        </w:rPr>
        <w:t>kontrastn</w:t>
      </w:r>
      <w:r>
        <w:rPr>
          <w:sz w:val="22"/>
          <w:szCs w:val="22"/>
        </w:rPr>
        <w:t>é</w:t>
      </w:r>
      <w:r w:rsidRPr="005A108C">
        <w:rPr>
          <w:sz w:val="22"/>
          <w:szCs w:val="22"/>
        </w:rPr>
        <w:t xml:space="preserve"> látk</w:t>
      </w:r>
      <w:r>
        <w:rPr>
          <w:sz w:val="22"/>
          <w:szCs w:val="22"/>
        </w:rPr>
        <w:t>y, hepatotropné RTG-kontrastné látky rozpustné vo vode</w:t>
      </w:r>
    </w:p>
    <w:p w14:paraId="3D4E4E04" w14:textId="77777777" w:rsidR="000E56CA" w:rsidRPr="005A108C" w:rsidRDefault="000E56CA" w:rsidP="006735EA">
      <w:pPr>
        <w:rPr>
          <w:sz w:val="22"/>
          <w:szCs w:val="22"/>
        </w:rPr>
      </w:pPr>
      <w:r w:rsidRPr="005A108C">
        <w:rPr>
          <w:i/>
          <w:sz w:val="22"/>
          <w:szCs w:val="22"/>
        </w:rPr>
        <w:t xml:space="preserve">ATC skupina: </w:t>
      </w:r>
      <w:r w:rsidRPr="005A108C">
        <w:rPr>
          <w:sz w:val="22"/>
          <w:szCs w:val="22"/>
        </w:rPr>
        <w:t>V08CA04</w:t>
      </w:r>
    </w:p>
    <w:p w14:paraId="0013C001" w14:textId="77777777" w:rsidR="000E56CA" w:rsidRPr="005A108C" w:rsidRDefault="000E56CA" w:rsidP="006735EA">
      <w:pPr>
        <w:rPr>
          <w:i/>
          <w:sz w:val="22"/>
          <w:szCs w:val="22"/>
        </w:rPr>
      </w:pPr>
    </w:p>
    <w:p w14:paraId="10B9A3F5" w14:textId="77777777" w:rsidR="000E56CA" w:rsidRPr="005A108C" w:rsidRDefault="000E56CA" w:rsidP="006735EA">
      <w:pPr>
        <w:rPr>
          <w:sz w:val="22"/>
          <w:szCs w:val="22"/>
        </w:rPr>
      </w:pPr>
      <w:r w:rsidRPr="005A108C">
        <w:rPr>
          <w:sz w:val="22"/>
          <w:szCs w:val="22"/>
        </w:rPr>
        <w:t>Gadoteridol je neiónová paramagnetická kontrastná látka na zvýšenie kontrastu obrazu pri vyšetrení magnetickou rezonančnou tomografiou. Po umiestnení do magnetického poľa gadoteridol znižuje T1 relaxačné časy v cieľových tkanivách. Pri odporúčanej dávke má tento efekt najväčšiu citlivosť v T1- vážených skenovacích sekvenciách.</w:t>
      </w:r>
    </w:p>
    <w:p w14:paraId="3CD3AD52" w14:textId="77777777" w:rsidR="000E56CA" w:rsidRPr="005A108C" w:rsidRDefault="000E56CA" w:rsidP="006735EA">
      <w:pPr>
        <w:pStyle w:val="Zkladntext2"/>
        <w:jc w:val="left"/>
        <w:rPr>
          <w:sz w:val="22"/>
          <w:szCs w:val="22"/>
        </w:rPr>
      </w:pPr>
    </w:p>
    <w:p w14:paraId="1FACF694" w14:textId="77777777" w:rsidR="000E56CA" w:rsidRPr="005A108C" w:rsidRDefault="000E56CA" w:rsidP="006735EA">
      <w:pPr>
        <w:pStyle w:val="Zkladntext2"/>
        <w:jc w:val="left"/>
        <w:rPr>
          <w:sz w:val="22"/>
          <w:szCs w:val="22"/>
        </w:rPr>
      </w:pPr>
      <w:r w:rsidRPr="005A108C">
        <w:rPr>
          <w:sz w:val="22"/>
          <w:szCs w:val="22"/>
        </w:rPr>
        <w:t>Porušenie hematoencefalickej bariéry alebo abnormálna vaskularita umožňuje akumuláciu gadoteridolu v léziách, ako sú nádory, abscesy a subakútne infarkty.</w:t>
      </w:r>
    </w:p>
    <w:p w14:paraId="497C6096" w14:textId="77777777" w:rsidR="000E56CA" w:rsidRDefault="000E56CA" w:rsidP="006735EA">
      <w:pPr>
        <w:rPr>
          <w:b/>
          <w:sz w:val="22"/>
          <w:szCs w:val="22"/>
        </w:rPr>
      </w:pPr>
    </w:p>
    <w:p w14:paraId="439225A5" w14:textId="77777777" w:rsidR="000E56CA" w:rsidRPr="005A108C" w:rsidRDefault="000E56CA" w:rsidP="006735EA">
      <w:pPr>
        <w:rPr>
          <w:b/>
          <w:sz w:val="22"/>
          <w:szCs w:val="22"/>
        </w:rPr>
      </w:pPr>
      <w:r w:rsidRPr="005A108C">
        <w:rPr>
          <w:b/>
          <w:sz w:val="22"/>
          <w:szCs w:val="22"/>
        </w:rPr>
        <w:t xml:space="preserve">5.2. </w:t>
      </w:r>
      <w:r>
        <w:rPr>
          <w:b/>
          <w:sz w:val="22"/>
          <w:szCs w:val="22"/>
        </w:rPr>
        <w:tab/>
      </w:r>
      <w:r w:rsidRPr="005A108C">
        <w:rPr>
          <w:b/>
          <w:sz w:val="22"/>
          <w:szCs w:val="22"/>
        </w:rPr>
        <w:t>Farmakokinetické vlastnosti</w:t>
      </w:r>
    </w:p>
    <w:p w14:paraId="58BB0BE6" w14:textId="77777777" w:rsidR="000E56CA" w:rsidRPr="005A108C" w:rsidRDefault="000E56CA" w:rsidP="006735EA">
      <w:pPr>
        <w:pStyle w:val="Zkladntext"/>
        <w:jc w:val="left"/>
        <w:rPr>
          <w:sz w:val="22"/>
          <w:szCs w:val="22"/>
          <w:lang w:val="sk-SK"/>
        </w:rPr>
      </w:pPr>
    </w:p>
    <w:p w14:paraId="1AC4520B" w14:textId="77777777" w:rsidR="000E56CA" w:rsidRPr="005A108C" w:rsidRDefault="000E56CA" w:rsidP="006735EA">
      <w:pPr>
        <w:pStyle w:val="Zkladntext"/>
        <w:jc w:val="left"/>
        <w:rPr>
          <w:sz w:val="22"/>
          <w:szCs w:val="22"/>
          <w:lang w:val="sk-SK"/>
        </w:rPr>
      </w:pPr>
      <w:r w:rsidRPr="005A108C">
        <w:rPr>
          <w:sz w:val="22"/>
          <w:szCs w:val="22"/>
          <w:lang w:val="sk-SK"/>
        </w:rPr>
        <w:t>Farmakokinetika intravenózne podaného prípravku zodpovedá u zdravých jedincov otvorenému dvojkompartmentovému modelu, s priemerným polčasom distribúcie 0,20 ± 0,04 hodín a eliminácie 1,57 ± 0,08 hodín.</w:t>
      </w:r>
    </w:p>
    <w:p w14:paraId="37BA56C5" w14:textId="6F747BD2" w:rsidR="000E56CA" w:rsidRPr="005A108C" w:rsidRDefault="000E56CA" w:rsidP="006735EA">
      <w:pPr>
        <w:pStyle w:val="Zkladntext"/>
        <w:tabs>
          <w:tab w:val="left" w:pos="8789"/>
        </w:tabs>
        <w:jc w:val="left"/>
        <w:rPr>
          <w:sz w:val="22"/>
          <w:szCs w:val="22"/>
          <w:lang w:val="sk-SK"/>
        </w:rPr>
      </w:pPr>
      <w:r w:rsidRPr="005A108C">
        <w:rPr>
          <w:sz w:val="22"/>
          <w:szCs w:val="22"/>
          <w:lang w:val="sk-SK"/>
        </w:rPr>
        <w:t xml:space="preserve">Gadoteridol sa vylučuje hlavne renálnou cestou, 94,4 ± 4,8 % (priemer a štandardná odchýlka) </w:t>
      </w:r>
      <w:r w:rsidRPr="006F4E35">
        <w:rPr>
          <w:sz w:val="22"/>
          <w:szCs w:val="22"/>
          <w:lang w:val="sk-SK"/>
        </w:rPr>
        <w:t>podaného gadoteridolu sa vylúči do 24 hodín. Gadoteridol sa nemetabolizuje detekovateľným</w:t>
      </w:r>
      <w:r w:rsidRPr="005A108C">
        <w:rPr>
          <w:sz w:val="22"/>
          <w:szCs w:val="22"/>
          <w:lang w:val="sk-SK"/>
        </w:rPr>
        <w:t xml:space="preserve"> spôsobom </w:t>
      </w:r>
      <w:r w:rsidRPr="005A108C">
        <w:rPr>
          <w:i/>
          <w:iCs/>
          <w:sz w:val="22"/>
          <w:szCs w:val="22"/>
          <w:lang w:val="sk-SK"/>
        </w:rPr>
        <w:t>in vivo</w:t>
      </w:r>
      <w:r w:rsidRPr="005A108C">
        <w:rPr>
          <w:sz w:val="22"/>
          <w:szCs w:val="22"/>
          <w:lang w:val="sk-SK"/>
        </w:rPr>
        <w:t>.</w:t>
      </w:r>
    </w:p>
    <w:p w14:paraId="029F9A1D" w14:textId="77777777" w:rsidR="000E56CA" w:rsidRPr="005A108C" w:rsidRDefault="000E56CA" w:rsidP="006735EA">
      <w:pPr>
        <w:rPr>
          <w:sz w:val="22"/>
          <w:szCs w:val="22"/>
        </w:rPr>
      </w:pPr>
      <w:r w:rsidRPr="005A108C">
        <w:rPr>
          <w:sz w:val="22"/>
          <w:szCs w:val="22"/>
        </w:rPr>
        <w:t xml:space="preserve">Renálne a plazmatické hodnoty klírensu gadoteridolu (1,41 </w:t>
      </w:r>
      <w:r w:rsidRPr="005A108C">
        <w:rPr>
          <w:sz w:val="22"/>
          <w:szCs w:val="22"/>
        </w:rPr>
        <w:sym w:font="Symbol" w:char="F0B1"/>
      </w:r>
      <w:r w:rsidRPr="005A108C">
        <w:rPr>
          <w:sz w:val="22"/>
          <w:szCs w:val="22"/>
        </w:rPr>
        <w:t xml:space="preserve"> 0,33 ml/min/kg a 1,50 </w:t>
      </w:r>
      <w:r w:rsidRPr="005A108C">
        <w:rPr>
          <w:sz w:val="22"/>
          <w:szCs w:val="22"/>
        </w:rPr>
        <w:sym w:font="Symbol" w:char="F0B1"/>
      </w:r>
      <w:r w:rsidRPr="005A108C">
        <w:rPr>
          <w:sz w:val="22"/>
          <w:szCs w:val="22"/>
        </w:rPr>
        <w:t xml:space="preserve"> 0,35 ml/min/kg), sú prakticky identické, čo poukazuje na skutočnosť, že eliminačné kinetiky neovplyvňuje renálna pasáž a produkt sa vylučuje hlavne obličkami. Distribučný objem (204 </w:t>
      </w:r>
      <w:r w:rsidRPr="005A108C">
        <w:rPr>
          <w:sz w:val="22"/>
          <w:szCs w:val="22"/>
        </w:rPr>
        <w:sym w:font="Symbol" w:char="F0B1"/>
      </w:r>
      <w:r w:rsidRPr="005A108C">
        <w:rPr>
          <w:sz w:val="22"/>
          <w:szCs w:val="22"/>
        </w:rPr>
        <w:t xml:space="preserve"> 58 ml/kg) zodpovedá obsahu extracelulárnej vody a klírens napovedá, že substancie prechádzajú glomelurárnou filtráciou.</w:t>
      </w:r>
    </w:p>
    <w:p w14:paraId="40DAB858" w14:textId="77777777" w:rsidR="000E56CA" w:rsidRPr="005A108C" w:rsidRDefault="000E56CA" w:rsidP="006735EA">
      <w:pPr>
        <w:rPr>
          <w:sz w:val="22"/>
          <w:szCs w:val="22"/>
        </w:rPr>
      </w:pPr>
      <w:r w:rsidRPr="005A108C">
        <w:rPr>
          <w:sz w:val="22"/>
          <w:szCs w:val="22"/>
        </w:rPr>
        <w:t>Väzba na plazmatické proteíny sa u potkanov nedokázala.</w:t>
      </w:r>
    </w:p>
    <w:p w14:paraId="7DC61CA9" w14:textId="77777777" w:rsidR="000E56CA" w:rsidRPr="005A108C" w:rsidRDefault="000E56CA" w:rsidP="006735EA">
      <w:pPr>
        <w:rPr>
          <w:b/>
          <w:sz w:val="22"/>
          <w:szCs w:val="22"/>
        </w:rPr>
      </w:pPr>
      <w:r w:rsidRPr="005A108C">
        <w:rPr>
          <w:b/>
          <w:sz w:val="22"/>
          <w:szCs w:val="22"/>
        </w:rPr>
        <w:lastRenderedPageBreak/>
        <w:t xml:space="preserve">5.3. </w:t>
      </w:r>
      <w:r>
        <w:rPr>
          <w:b/>
          <w:sz w:val="22"/>
          <w:szCs w:val="22"/>
        </w:rPr>
        <w:tab/>
      </w:r>
      <w:r w:rsidRPr="005A108C">
        <w:rPr>
          <w:b/>
          <w:sz w:val="22"/>
          <w:szCs w:val="22"/>
        </w:rPr>
        <w:t>Predklinické údaje o bezpečnosti</w:t>
      </w:r>
    </w:p>
    <w:p w14:paraId="34468AD6" w14:textId="77777777" w:rsidR="000E56CA" w:rsidRPr="005A108C" w:rsidRDefault="000E56CA" w:rsidP="006735EA">
      <w:pPr>
        <w:rPr>
          <w:sz w:val="22"/>
          <w:szCs w:val="22"/>
        </w:rPr>
      </w:pPr>
    </w:p>
    <w:p w14:paraId="11490EEF" w14:textId="77777777" w:rsidR="000E56CA" w:rsidRDefault="000E56CA" w:rsidP="006735EA">
      <w:pPr>
        <w:rPr>
          <w:i/>
          <w:sz w:val="22"/>
          <w:szCs w:val="22"/>
        </w:rPr>
      </w:pPr>
      <w:r w:rsidRPr="005A108C">
        <w:rPr>
          <w:i/>
          <w:sz w:val="22"/>
          <w:szCs w:val="22"/>
        </w:rPr>
        <w:t>Toxicita</w:t>
      </w:r>
    </w:p>
    <w:p w14:paraId="3ACE9C79" w14:textId="77777777" w:rsidR="000E56CA" w:rsidRDefault="000E56CA" w:rsidP="006735EA">
      <w:pPr>
        <w:rPr>
          <w:sz w:val="22"/>
          <w:szCs w:val="22"/>
        </w:rPr>
      </w:pPr>
      <w:r>
        <w:rPr>
          <w:sz w:val="22"/>
          <w:szCs w:val="22"/>
        </w:rPr>
        <w:t>Štúdie</w:t>
      </w:r>
      <w:r w:rsidRPr="00914A90">
        <w:rPr>
          <w:sz w:val="22"/>
          <w:szCs w:val="22"/>
        </w:rPr>
        <w:t xml:space="preserve"> jednorazovej </w:t>
      </w:r>
      <w:r>
        <w:rPr>
          <w:sz w:val="22"/>
          <w:szCs w:val="22"/>
        </w:rPr>
        <w:t>dávky u myší a potkanov ukázali</w:t>
      </w:r>
      <w:r w:rsidRPr="00914A90">
        <w:rPr>
          <w:sz w:val="22"/>
          <w:szCs w:val="22"/>
        </w:rPr>
        <w:t>, že maximá</w:t>
      </w:r>
      <w:r>
        <w:rPr>
          <w:sz w:val="22"/>
          <w:szCs w:val="22"/>
        </w:rPr>
        <w:t>lna neletálna dávka bola 7 mmol/</w:t>
      </w:r>
      <w:r w:rsidRPr="00914A90">
        <w:rPr>
          <w:sz w:val="22"/>
          <w:szCs w:val="22"/>
        </w:rPr>
        <w:t>k</w:t>
      </w:r>
      <w:r>
        <w:rPr>
          <w:sz w:val="22"/>
          <w:szCs w:val="22"/>
        </w:rPr>
        <w:t>g, respektíve 10 mmol/kg (</w:t>
      </w:r>
      <w:r w:rsidRPr="00914A90">
        <w:rPr>
          <w:sz w:val="22"/>
          <w:szCs w:val="22"/>
        </w:rPr>
        <w:t>viac ako 20</w:t>
      </w:r>
      <w:r>
        <w:rPr>
          <w:sz w:val="22"/>
          <w:szCs w:val="22"/>
        </w:rPr>
        <w:t>, resp.</w:t>
      </w:r>
      <w:r w:rsidRPr="00914A90">
        <w:rPr>
          <w:sz w:val="22"/>
          <w:szCs w:val="22"/>
        </w:rPr>
        <w:t xml:space="preserve"> 30 nás</w:t>
      </w:r>
      <w:r>
        <w:rPr>
          <w:sz w:val="22"/>
          <w:szCs w:val="22"/>
        </w:rPr>
        <w:t>obok maximálnej klinickej dávky)</w:t>
      </w:r>
      <w:r w:rsidRPr="00914A90">
        <w:rPr>
          <w:sz w:val="22"/>
          <w:szCs w:val="22"/>
        </w:rPr>
        <w:t xml:space="preserve">. </w:t>
      </w:r>
    </w:p>
    <w:p w14:paraId="2355A9E5" w14:textId="77777777" w:rsidR="000E56CA" w:rsidRPr="005A108C" w:rsidRDefault="000E56CA" w:rsidP="006735EA">
      <w:pPr>
        <w:rPr>
          <w:sz w:val="22"/>
          <w:szCs w:val="22"/>
        </w:rPr>
      </w:pPr>
      <w:r>
        <w:rPr>
          <w:sz w:val="22"/>
          <w:szCs w:val="22"/>
        </w:rPr>
        <w:t>U potkanov a psov bola v štúdiách trvajúcich 28 dní, pri ktorých boli dávky väčšie ako 0,3 mmol/kg a 1 mmol/kg v tomto poradí, zaznamenaná zmena tvorby vakuol v </w:t>
      </w:r>
      <w:r w:rsidRPr="004D3562">
        <w:rPr>
          <w:sz w:val="22"/>
          <w:szCs w:val="22"/>
        </w:rPr>
        <w:t>kortikáln</w:t>
      </w:r>
      <w:r>
        <w:rPr>
          <w:sz w:val="22"/>
          <w:szCs w:val="22"/>
        </w:rPr>
        <w:t>om</w:t>
      </w:r>
      <w:r w:rsidRPr="004D3562">
        <w:rPr>
          <w:sz w:val="22"/>
          <w:szCs w:val="22"/>
        </w:rPr>
        <w:t xml:space="preserve"> </w:t>
      </w:r>
      <w:r w:rsidRPr="00583AA1">
        <w:rPr>
          <w:sz w:val="22"/>
          <w:szCs w:val="22"/>
        </w:rPr>
        <w:t>epitel</w:t>
      </w:r>
      <w:r>
        <w:rPr>
          <w:sz w:val="22"/>
          <w:szCs w:val="22"/>
        </w:rPr>
        <w:t>i</w:t>
      </w:r>
      <w:r w:rsidRPr="00583AA1">
        <w:rPr>
          <w:sz w:val="22"/>
          <w:szCs w:val="22"/>
        </w:rPr>
        <w:t xml:space="preserve"> obličiek</w:t>
      </w:r>
      <w:r w:rsidRPr="004D3562">
        <w:rPr>
          <w:sz w:val="22"/>
          <w:szCs w:val="22"/>
        </w:rPr>
        <w:t>. Zmeny</w:t>
      </w:r>
      <w:r>
        <w:rPr>
          <w:sz w:val="22"/>
          <w:szCs w:val="22"/>
        </w:rPr>
        <w:t xml:space="preserve"> boli reverzibilné po ukončení liečby. </w:t>
      </w:r>
    </w:p>
    <w:p w14:paraId="28638B29" w14:textId="77777777" w:rsidR="000E56CA" w:rsidRPr="005A108C" w:rsidRDefault="000E56CA" w:rsidP="006735EA">
      <w:pPr>
        <w:rPr>
          <w:sz w:val="22"/>
          <w:szCs w:val="22"/>
        </w:rPr>
      </w:pPr>
    </w:p>
    <w:p w14:paraId="0DDE7CFD" w14:textId="77777777" w:rsidR="000E56CA" w:rsidRPr="005A108C" w:rsidRDefault="000E56CA" w:rsidP="006735EA">
      <w:pPr>
        <w:tabs>
          <w:tab w:val="left" w:pos="8647"/>
        </w:tabs>
        <w:rPr>
          <w:i/>
          <w:sz w:val="22"/>
          <w:szCs w:val="22"/>
        </w:rPr>
      </w:pPr>
      <w:r w:rsidRPr="005A108C">
        <w:rPr>
          <w:i/>
          <w:sz w:val="22"/>
          <w:szCs w:val="22"/>
        </w:rPr>
        <w:t>Mutag</w:t>
      </w:r>
      <w:r>
        <w:rPr>
          <w:i/>
          <w:sz w:val="22"/>
          <w:szCs w:val="22"/>
        </w:rPr>
        <w:t>enita</w:t>
      </w:r>
    </w:p>
    <w:p w14:paraId="2B6DA843" w14:textId="77777777" w:rsidR="000E56CA" w:rsidRPr="005A108C" w:rsidRDefault="000E56CA" w:rsidP="00413331">
      <w:pPr>
        <w:tabs>
          <w:tab w:val="left" w:pos="8647"/>
        </w:tabs>
        <w:rPr>
          <w:sz w:val="22"/>
          <w:szCs w:val="22"/>
        </w:rPr>
      </w:pPr>
      <w:r>
        <w:rPr>
          <w:sz w:val="22"/>
          <w:szCs w:val="22"/>
        </w:rPr>
        <w:t xml:space="preserve">V sériách </w:t>
      </w:r>
      <w:r w:rsidRPr="00583AA1">
        <w:rPr>
          <w:i/>
          <w:sz w:val="22"/>
          <w:szCs w:val="22"/>
        </w:rPr>
        <w:t xml:space="preserve">in vivo </w:t>
      </w:r>
      <w:r>
        <w:rPr>
          <w:sz w:val="22"/>
          <w:szCs w:val="22"/>
        </w:rPr>
        <w:t>a </w:t>
      </w:r>
      <w:r w:rsidRPr="00583AA1">
        <w:rPr>
          <w:i/>
          <w:sz w:val="22"/>
          <w:szCs w:val="22"/>
        </w:rPr>
        <w:t>in vitro</w:t>
      </w:r>
      <w:r>
        <w:rPr>
          <w:sz w:val="22"/>
          <w:szCs w:val="22"/>
        </w:rPr>
        <w:t xml:space="preserve"> štúdií sa n</w:t>
      </w:r>
      <w:r w:rsidRPr="005A108C">
        <w:rPr>
          <w:sz w:val="22"/>
          <w:szCs w:val="22"/>
        </w:rPr>
        <w:t>ezisti</w:t>
      </w:r>
      <w:r>
        <w:rPr>
          <w:sz w:val="22"/>
          <w:szCs w:val="22"/>
        </w:rPr>
        <w:t xml:space="preserve">l žiaden mutagénny potenciál lieku ProHance. Neboli preukázané žiadne genetické, chromozomálne poškodenia ani poškodenie DNA a to aj za prítomnosti metabolickej aktivácie.  </w:t>
      </w:r>
    </w:p>
    <w:p w14:paraId="28DCEE94" w14:textId="77777777" w:rsidR="000E56CA" w:rsidRPr="005A108C" w:rsidRDefault="000E56CA" w:rsidP="006735EA">
      <w:pPr>
        <w:tabs>
          <w:tab w:val="left" w:pos="8647"/>
        </w:tabs>
        <w:rPr>
          <w:sz w:val="22"/>
          <w:szCs w:val="22"/>
        </w:rPr>
      </w:pPr>
    </w:p>
    <w:p w14:paraId="3EB96E3F" w14:textId="77777777" w:rsidR="000E56CA" w:rsidRPr="005A108C" w:rsidRDefault="000E56CA" w:rsidP="006735EA">
      <w:pPr>
        <w:tabs>
          <w:tab w:val="left" w:pos="8647"/>
        </w:tabs>
        <w:rPr>
          <w:i/>
          <w:sz w:val="22"/>
          <w:szCs w:val="22"/>
        </w:rPr>
      </w:pPr>
      <w:r w:rsidRPr="005A108C">
        <w:rPr>
          <w:i/>
          <w:sz w:val="22"/>
          <w:szCs w:val="22"/>
        </w:rPr>
        <w:t>Karcinog</w:t>
      </w:r>
      <w:r>
        <w:rPr>
          <w:i/>
          <w:sz w:val="22"/>
          <w:szCs w:val="22"/>
        </w:rPr>
        <w:t>enita</w:t>
      </w:r>
    </w:p>
    <w:p w14:paraId="6AC72F7D" w14:textId="77777777" w:rsidR="000E56CA" w:rsidRPr="00583AA1" w:rsidRDefault="000E56CA" w:rsidP="006735EA">
      <w:pPr>
        <w:tabs>
          <w:tab w:val="left" w:pos="8647"/>
        </w:tabs>
        <w:rPr>
          <w:sz w:val="22"/>
          <w:szCs w:val="22"/>
          <w:highlight w:val="green"/>
        </w:rPr>
      </w:pPr>
      <w:r>
        <w:rPr>
          <w:sz w:val="22"/>
          <w:szCs w:val="22"/>
        </w:rPr>
        <w:t>Vzhľadom k tomu</w:t>
      </w:r>
      <w:r w:rsidRPr="00604FEB">
        <w:rPr>
          <w:sz w:val="22"/>
          <w:szCs w:val="22"/>
        </w:rPr>
        <w:t xml:space="preserve">, </w:t>
      </w:r>
      <w:r>
        <w:rPr>
          <w:sz w:val="22"/>
          <w:szCs w:val="22"/>
        </w:rPr>
        <w:t xml:space="preserve">že </w:t>
      </w:r>
      <w:r w:rsidRPr="00604FEB">
        <w:rPr>
          <w:sz w:val="22"/>
          <w:szCs w:val="22"/>
        </w:rPr>
        <w:t xml:space="preserve">ProHance </w:t>
      </w:r>
      <w:r w:rsidRPr="004D3562">
        <w:rPr>
          <w:sz w:val="22"/>
          <w:szCs w:val="22"/>
        </w:rPr>
        <w:t>je určen</w:t>
      </w:r>
      <w:r w:rsidRPr="00583AA1">
        <w:rPr>
          <w:sz w:val="22"/>
          <w:szCs w:val="22"/>
        </w:rPr>
        <w:t>ý</w:t>
      </w:r>
      <w:r w:rsidRPr="004D3562">
        <w:rPr>
          <w:sz w:val="22"/>
          <w:szCs w:val="22"/>
        </w:rPr>
        <w:t xml:space="preserve"> k </w:t>
      </w:r>
      <w:r w:rsidRPr="00583AA1">
        <w:rPr>
          <w:sz w:val="22"/>
          <w:szCs w:val="22"/>
        </w:rPr>
        <w:t>jednorazovému</w:t>
      </w:r>
      <w:r w:rsidRPr="004D3562">
        <w:rPr>
          <w:sz w:val="22"/>
          <w:szCs w:val="22"/>
        </w:rPr>
        <w:t xml:space="preserve"> pod</w:t>
      </w:r>
      <w:r w:rsidRPr="00583AA1">
        <w:rPr>
          <w:sz w:val="22"/>
          <w:szCs w:val="22"/>
        </w:rPr>
        <w:t>a</w:t>
      </w:r>
      <w:r w:rsidRPr="004D3562">
        <w:rPr>
          <w:sz w:val="22"/>
          <w:szCs w:val="22"/>
        </w:rPr>
        <w:t>n</w:t>
      </w:r>
      <w:r w:rsidRPr="00583AA1">
        <w:rPr>
          <w:sz w:val="22"/>
          <w:szCs w:val="22"/>
        </w:rPr>
        <w:t>iu</w:t>
      </w:r>
      <w:r w:rsidRPr="004D3562">
        <w:rPr>
          <w:sz w:val="22"/>
          <w:szCs w:val="22"/>
        </w:rPr>
        <w:t xml:space="preserve"> a</w:t>
      </w:r>
      <w:r>
        <w:rPr>
          <w:sz w:val="22"/>
          <w:szCs w:val="22"/>
        </w:rPr>
        <w:t xml:space="preserve"> nemá akýkoľvek mutagénny potenciál</w:t>
      </w:r>
      <w:r w:rsidRPr="00604FEB">
        <w:rPr>
          <w:sz w:val="22"/>
          <w:szCs w:val="22"/>
        </w:rPr>
        <w:t>, neboli vykon</w:t>
      </w:r>
      <w:r>
        <w:rPr>
          <w:sz w:val="22"/>
          <w:szCs w:val="22"/>
        </w:rPr>
        <w:t>ané žiadne štúdie karcinogenity</w:t>
      </w:r>
      <w:r w:rsidRPr="00604FEB">
        <w:rPr>
          <w:sz w:val="22"/>
          <w:szCs w:val="22"/>
        </w:rPr>
        <w:t>.</w:t>
      </w:r>
    </w:p>
    <w:p w14:paraId="7675CEFC" w14:textId="77777777" w:rsidR="000E56CA" w:rsidRPr="005A108C" w:rsidRDefault="000E56CA" w:rsidP="006735EA">
      <w:pPr>
        <w:rPr>
          <w:sz w:val="22"/>
          <w:szCs w:val="22"/>
        </w:rPr>
      </w:pPr>
    </w:p>
    <w:p w14:paraId="20928E10" w14:textId="77777777" w:rsidR="000E56CA" w:rsidRDefault="000E56CA" w:rsidP="004D3562">
      <w:pPr>
        <w:keepNext/>
        <w:rPr>
          <w:i/>
          <w:sz w:val="22"/>
          <w:szCs w:val="22"/>
        </w:rPr>
      </w:pPr>
      <w:r w:rsidRPr="005A108C">
        <w:rPr>
          <w:i/>
          <w:sz w:val="22"/>
          <w:szCs w:val="22"/>
        </w:rPr>
        <w:t>Reproduk</w:t>
      </w:r>
      <w:r>
        <w:rPr>
          <w:i/>
          <w:sz w:val="22"/>
          <w:szCs w:val="22"/>
        </w:rPr>
        <w:t>cia</w:t>
      </w:r>
    </w:p>
    <w:p w14:paraId="3160C0AC" w14:textId="77777777" w:rsidR="000E56CA" w:rsidRDefault="000E56CA" w:rsidP="006735EA">
      <w:pPr>
        <w:rPr>
          <w:sz w:val="22"/>
          <w:szCs w:val="22"/>
        </w:rPr>
      </w:pPr>
      <w:r w:rsidRPr="00D965FB">
        <w:rPr>
          <w:sz w:val="22"/>
          <w:szCs w:val="22"/>
        </w:rPr>
        <w:t>Po podaní ProHance</w:t>
      </w:r>
      <w:r>
        <w:rPr>
          <w:sz w:val="22"/>
          <w:szCs w:val="22"/>
        </w:rPr>
        <w:t xml:space="preserve"> nebol preukázaný žiaden vplyv na reprodukčné funkcie. </w:t>
      </w:r>
    </w:p>
    <w:p w14:paraId="67CC5D8D" w14:textId="77777777" w:rsidR="000E56CA" w:rsidRDefault="000E56CA" w:rsidP="006735EA">
      <w:pPr>
        <w:rPr>
          <w:sz w:val="22"/>
          <w:szCs w:val="22"/>
        </w:rPr>
      </w:pPr>
    </w:p>
    <w:p w14:paraId="262DC69C" w14:textId="77777777" w:rsidR="000E56CA" w:rsidRPr="004C18E5" w:rsidRDefault="000E56CA" w:rsidP="006735EA">
      <w:pPr>
        <w:rPr>
          <w:i/>
          <w:sz w:val="22"/>
          <w:szCs w:val="22"/>
        </w:rPr>
      </w:pPr>
      <w:r w:rsidRPr="00D965FB">
        <w:rPr>
          <w:i/>
          <w:sz w:val="22"/>
          <w:szCs w:val="22"/>
        </w:rPr>
        <w:t xml:space="preserve">Teratogenita  </w:t>
      </w:r>
    </w:p>
    <w:p w14:paraId="45292716" w14:textId="77777777" w:rsidR="000E56CA" w:rsidRDefault="000E56CA" w:rsidP="00D965FB">
      <w:pPr>
        <w:rPr>
          <w:sz w:val="22"/>
          <w:szCs w:val="22"/>
        </w:rPr>
      </w:pPr>
      <w:r w:rsidRPr="00D965FB">
        <w:rPr>
          <w:sz w:val="22"/>
          <w:szCs w:val="22"/>
        </w:rPr>
        <w:t xml:space="preserve">ProHance </w:t>
      </w:r>
      <w:r>
        <w:rPr>
          <w:sz w:val="22"/>
          <w:szCs w:val="22"/>
        </w:rPr>
        <w:t>nespôsobuje</w:t>
      </w:r>
      <w:r w:rsidRPr="00D965FB">
        <w:rPr>
          <w:sz w:val="22"/>
          <w:szCs w:val="22"/>
        </w:rPr>
        <w:t xml:space="preserve"> žiadne nežiaduce úči</w:t>
      </w:r>
      <w:r>
        <w:rPr>
          <w:sz w:val="22"/>
          <w:szCs w:val="22"/>
        </w:rPr>
        <w:t>nky na vývoj embrya alebo plodu</w:t>
      </w:r>
      <w:r w:rsidRPr="00D965FB">
        <w:rPr>
          <w:sz w:val="22"/>
          <w:szCs w:val="22"/>
        </w:rPr>
        <w:t xml:space="preserve"> </w:t>
      </w:r>
      <w:r>
        <w:rPr>
          <w:sz w:val="22"/>
          <w:szCs w:val="22"/>
        </w:rPr>
        <w:t xml:space="preserve">u králika, a to v denných dávkach </w:t>
      </w:r>
      <w:r w:rsidRPr="00D965FB">
        <w:rPr>
          <w:sz w:val="22"/>
          <w:szCs w:val="22"/>
        </w:rPr>
        <w:t xml:space="preserve">minimálne 60 krát a u potkanov najmenej 100 </w:t>
      </w:r>
      <w:r>
        <w:rPr>
          <w:sz w:val="22"/>
          <w:szCs w:val="22"/>
        </w:rPr>
        <w:t>krát väčších ako odporúčaná dávka pre človeka, ktorá je 0,1 mmol/kg</w:t>
      </w:r>
      <w:r w:rsidRPr="00D965FB">
        <w:rPr>
          <w:sz w:val="22"/>
          <w:szCs w:val="22"/>
        </w:rPr>
        <w:t>.</w:t>
      </w:r>
    </w:p>
    <w:p w14:paraId="56CD5DB8" w14:textId="77777777" w:rsidR="000E56CA" w:rsidRDefault="000E56CA" w:rsidP="00D965FB">
      <w:pPr>
        <w:rPr>
          <w:sz w:val="22"/>
          <w:szCs w:val="22"/>
        </w:rPr>
      </w:pPr>
    </w:p>
    <w:p w14:paraId="1F9136CF" w14:textId="77777777" w:rsidR="000E56CA" w:rsidRPr="00D965FB" w:rsidRDefault="000E56CA" w:rsidP="00D965FB">
      <w:pPr>
        <w:rPr>
          <w:sz w:val="22"/>
          <w:szCs w:val="22"/>
        </w:rPr>
      </w:pPr>
      <w:r>
        <w:rPr>
          <w:sz w:val="22"/>
          <w:szCs w:val="22"/>
        </w:rPr>
        <w:t>Po intraarteriálnom podaní nebol preukázaný potenciál vzniku podráždenia.</w:t>
      </w:r>
    </w:p>
    <w:p w14:paraId="20F06A4F" w14:textId="77777777" w:rsidR="000E56CA" w:rsidRDefault="000E56CA" w:rsidP="006735EA">
      <w:pPr>
        <w:rPr>
          <w:i/>
          <w:sz w:val="22"/>
          <w:szCs w:val="22"/>
        </w:rPr>
      </w:pPr>
    </w:p>
    <w:p w14:paraId="0AA9B310" w14:textId="77777777" w:rsidR="000E56CA" w:rsidRPr="005A108C" w:rsidRDefault="000E56CA" w:rsidP="006735EA">
      <w:pPr>
        <w:rPr>
          <w:sz w:val="22"/>
          <w:szCs w:val="22"/>
        </w:rPr>
      </w:pPr>
    </w:p>
    <w:p w14:paraId="2B472A1B" w14:textId="77777777" w:rsidR="000E56CA" w:rsidRPr="005A108C" w:rsidRDefault="000E56CA" w:rsidP="006735EA">
      <w:pPr>
        <w:rPr>
          <w:b/>
          <w:sz w:val="22"/>
          <w:szCs w:val="22"/>
        </w:rPr>
      </w:pPr>
      <w:r w:rsidRPr="005A108C">
        <w:rPr>
          <w:b/>
          <w:sz w:val="22"/>
          <w:szCs w:val="22"/>
        </w:rPr>
        <w:t xml:space="preserve">6. </w:t>
      </w:r>
      <w:r>
        <w:rPr>
          <w:b/>
          <w:sz w:val="22"/>
          <w:szCs w:val="22"/>
        </w:rPr>
        <w:tab/>
      </w:r>
      <w:r w:rsidRPr="005A108C">
        <w:rPr>
          <w:b/>
          <w:sz w:val="22"/>
          <w:szCs w:val="22"/>
        </w:rPr>
        <w:t>FARMACEUTICKÉ INFORMÁCIE</w:t>
      </w:r>
    </w:p>
    <w:p w14:paraId="6427179C" w14:textId="77777777" w:rsidR="000E56CA" w:rsidRPr="005A108C" w:rsidRDefault="000E56CA" w:rsidP="006735EA">
      <w:pPr>
        <w:rPr>
          <w:b/>
          <w:sz w:val="22"/>
          <w:szCs w:val="22"/>
        </w:rPr>
      </w:pPr>
    </w:p>
    <w:p w14:paraId="4AC1B8A7" w14:textId="77777777" w:rsidR="000E56CA" w:rsidRPr="005A108C" w:rsidRDefault="000E56CA" w:rsidP="006735EA">
      <w:pPr>
        <w:rPr>
          <w:b/>
          <w:sz w:val="22"/>
          <w:szCs w:val="22"/>
        </w:rPr>
      </w:pPr>
      <w:r w:rsidRPr="005A108C">
        <w:rPr>
          <w:b/>
          <w:sz w:val="22"/>
          <w:szCs w:val="22"/>
        </w:rPr>
        <w:t xml:space="preserve">6.1. </w:t>
      </w:r>
      <w:r>
        <w:rPr>
          <w:b/>
          <w:sz w:val="22"/>
          <w:szCs w:val="22"/>
        </w:rPr>
        <w:tab/>
      </w:r>
      <w:r w:rsidRPr="005A108C">
        <w:rPr>
          <w:b/>
          <w:sz w:val="22"/>
          <w:szCs w:val="22"/>
        </w:rPr>
        <w:t>Zoznam pomocných látok</w:t>
      </w:r>
    </w:p>
    <w:p w14:paraId="04D5B79D" w14:textId="77777777" w:rsidR="000E56CA" w:rsidRPr="005A108C" w:rsidRDefault="000E56CA" w:rsidP="006735EA">
      <w:pPr>
        <w:rPr>
          <w:sz w:val="22"/>
          <w:szCs w:val="22"/>
        </w:rPr>
      </w:pPr>
    </w:p>
    <w:p w14:paraId="15F1A674" w14:textId="71602A86" w:rsidR="000E56CA" w:rsidRPr="005A108C" w:rsidRDefault="004F3BFE" w:rsidP="006735EA">
      <w:pPr>
        <w:rPr>
          <w:sz w:val="22"/>
          <w:szCs w:val="22"/>
        </w:rPr>
      </w:pPr>
      <w:r>
        <w:rPr>
          <w:sz w:val="22"/>
          <w:szCs w:val="22"/>
        </w:rPr>
        <w:t>c</w:t>
      </w:r>
      <w:r w:rsidR="00A31F05">
        <w:rPr>
          <w:sz w:val="22"/>
          <w:szCs w:val="22"/>
        </w:rPr>
        <w:t>alteridol vápenatý</w:t>
      </w:r>
      <w:r>
        <w:rPr>
          <w:sz w:val="22"/>
          <w:szCs w:val="22"/>
        </w:rPr>
        <w:t xml:space="preserve"> (</w:t>
      </w:r>
      <w:r w:rsidR="000E56CA" w:rsidRPr="005A108C">
        <w:rPr>
          <w:sz w:val="22"/>
          <w:szCs w:val="22"/>
        </w:rPr>
        <w:t>calteridolum calcicum</w:t>
      </w:r>
      <w:r>
        <w:rPr>
          <w:sz w:val="22"/>
          <w:szCs w:val="22"/>
        </w:rPr>
        <w:t>)</w:t>
      </w:r>
      <w:r w:rsidR="000E56CA" w:rsidRPr="005A108C">
        <w:rPr>
          <w:sz w:val="22"/>
          <w:szCs w:val="22"/>
        </w:rPr>
        <w:t xml:space="preserve">, </w:t>
      </w:r>
      <w:r>
        <w:rPr>
          <w:sz w:val="22"/>
          <w:szCs w:val="22"/>
        </w:rPr>
        <w:t>trometamol (</w:t>
      </w:r>
      <w:r w:rsidR="000E56CA" w:rsidRPr="005A108C">
        <w:rPr>
          <w:sz w:val="22"/>
          <w:szCs w:val="22"/>
        </w:rPr>
        <w:t>tromethamolum</w:t>
      </w:r>
      <w:r>
        <w:rPr>
          <w:sz w:val="22"/>
          <w:szCs w:val="22"/>
        </w:rPr>
        <w:t>)</w:t>
      </w:r>
      <w:r w:rsidR="000E56CA" w:rsidRPr="005A108C">
        <w:rPr>
          <w:sz w:val="22"/>
          <w:szCs w:val="22"/>
        </w:rPr>
        <w:t>,</w:t>
      </w:r>
      <w:r>
        <w:rPr>
          <w:sz w:val="22"/>
          <w:szCs w:val="22"/>
        </w:rPr>
        <w:t xml:space="preserve"> kyselina chlorovodíková</w:t>
      </w:r>
      <w:r w:rsidR="000E56CA" w:rsidRPr="005A108C">
        <w:rPr>
          <w:sz w:val="22"/>
          <w:szCs w:val="22"/>
        </w:rPr>
        <w:t xml:space="preserve"> </w:t>
      </w:r>
      <w:r>
        <w:rPr>
          <w:sz w:val="22"/>
          <w:szCs w:val="22"/>
        </w:rPr>
        <w:t>(</w:t>
      </w:r>
      <w:r w:rsidR="000E56CA" w:rsidRPr="005A108C">
        <w:rPr>
          <w:sz w:val="22"/>
          <w:szCs w:val="22"/>
        </w:rPr>
        <w:t>1 N acidum hydrochloricum</w:t>
      </w:r>
      <w:r>
        <w:rPr>
          <w:sz w:val="22"/>
          <w:szCs w:val="22"/>
        </w:rPr>
        <w:t>)</w:t>
      </w:r>
      <w:r w:rsidR="000E56CA" w:rsidRPr="005A108C">
        <w:rPr>
          <w:sz w:val="22"/>
          <w:szCs w:val="22"/>
        </w:rPr>
        <w:t xml:space="preserve"> a/alebo </w:t>
      </w:r>
      <w:r>
        <w:rPr>
          <w:sz w:val="22"/>
          <w:szCs w:val="22"/>
        </w:rPr>
        <w:t>hydroxid sodný (</w:t>
      </w:r>
      <w:r w:rsidR="000E56CA" w:rsidRPr="005A108C">
        <w:rPr>
          <w:sz w:val="22"/>
          <w:szCs w:val="22"/>
        </w:rPr>
        <w:t>1 N natrii hydroxidum</w:t>
      </w:r>
      <w:r>
        <w:rPr>
          <w:sz w:val="22"/>
          <w:szCs w:val="22"/>
        </w:rPr>
        <w:t>)</w:t>
      </w:r>
      <w:r w:rsidR="000E56CA" w:rsidRPr="005A108C">
        <w:rPr>
          <w:sz w:val="22"/>
          <w:szCs w:val="22"/>
        </w:rPr>
        <w:t xml:space="preserve"> (na úpravu pH), </w:t>
      </w:r>
      <w:r>
        <w:rPr>
          <w:sz w:val="22"/>
          <w:szCs w:val="22"/>
        </w:rPr>
        <w:t>voda na injekciu (</w:t>
      </w:r>
      <w:r w:rsidR="000E56CA" w:rsidRPr="005A108C">
        <w:rPr>
          <w:sz w:val="22"/>
          <w:szCs w:val="22"/>
        </w:rPr>
        <w:t>aqua ad iniectabilia</w:t>
      </w:r>
      <w:r>
        <w:rPr>
          <w:sz w:val="22"/>
          <w:szCs w:val="22"/>
        </w:rPr>
        <w:t>)</w:t>
      </w:r>
      <w:r w:rsidR="000E56CA" w:rsidRPr="005A108C">
        <w:rPr>
          <w:sz w:val="22"/>
          <w:szCs w:val="22"/>
        </w:rPr>
        <w:t>.</w:t>
      </w:r>
    </w:p>
    <w:p w14:paraId="728B6E41" w14:textId="77777777" w:rsidR="000E56CA" w:rsidRPr="005A108C" w:rsidRDefault="000E56CA" w:rsidP="006735EA">
      <w:pPr>
        <w:rPr>
          <w:b/>
          <w:sz w:val="22"/>
          <w:szCs w:val="22"/>
        </w:rPr>
      </w:pPr>
    </w:p>
    <w:p w14:paraId="6A11A3B4" w14:textId="77777777" w:rsidR="000E56CA" w:rsidRPr="005A108C" w:rsidRDefault="000E56CA" w:rsidP="006735EA">
      <w:pPr>
        <w:rPr>
          <w:b/>
          <w:sz w:val="22"/>
          <w:szCs w:val="22"/>
        </w:rPr>
      </w:pPr>
      <w:r w:rsidRPr="005A108C">
        <w:rPr>
          <w:b/>
          <w:sz w:val="22"/>
          <w:szCs w:val="22"/>
        </w:rPr>
        <w:t>6.2.</w:t>
      </w:r>
      <w:r>
        <w:rPr>
          <w:b/>
          <w:sz w:val="22"/>
          <w:szCs w:val="22"/>
        </w:rPr>
        <w:tab/>
      </w:r>
      <w:r w:rsidRPr="005A108C">
        <w:rPr>
          <w:b/>
          <w:sz w:val="22"/>
          <w:szCs w:val="22"/>
        </w:rPr>
        <w:t xml:space="preserve"> Inkompatibility</w:t>
      </w:r>
    </w:p>
    <w:p w14:paraId="41C22667" w14:textId="77777777" w:rsidR="000E56CA" w:rsidRPr="005A108C" w:rsidRDefault="000E56CA" w:rsidP="006735EA">
      <w:pPr>
        <w:rPr>
          <w:i/>
          <w:sz w:val="22"/>
          <w:szCs w:val="22"/>
        </w:rPr>
      </w:pPr>
    </w:p>
    <w:p w14:paraId="50481A7A" w14:textId="77777777" w:rsidR="000E56CA" w:rsidRPr="005A108C" w:rsidRDefault="000E56CA" w:rsidP="006735EA">
      <w:pPr>
        <w:rPr>
          <w:i/>
          <w:sz w:val="22"/>
          <w:szCs w:val="22"/>
          <w:vertAlign w:val="superscript"/>
        </w:rPr>
      </w:pPr>
      <w:r w:rsidRPr="005A108C">
        <w:rPr>
          <w:sz w:val="22"/>
          <w:szCs w:val="22"/>
        </w:rPr>
        <w:t xml:space="preserve">ProHance sa </w:t>
      </w:r>
      <w:r>
        <w:rPr>
          <w:sz w:val="22"/>
          <w:szCs w:val="22"/>
        </w:rPr>
        <w:t xml:space="preserve">nesmie </w:t>
      </w:r>
      <w:r w:rsidRPr="005A108C">
        <w:rPr>
          <w:sz w:val="22"/>
          <w:szCs w:val="22"/>
        </w:rPr>
        <w:t>miešať so žiadnymi liekmi a ďalšími látkami.</w:t>
      </w:r>
    </w:p>
    <w:p w14:paraId="792CAB16" w14:textId="77777777" w:rsidR="000E56CA" w:rsidRPr="005A108C" w:rsidRDefault="000E56CA" w:rsidP="006735EA">
      <w:pPr>
        <w:rPr>
          <w:sz w:val="22"/>
          <w:szCs w:val="22"/>
        </w:rPr>
      </w:pPr>
    </w:p>
    <w:p w14:paraId="41AC52FE" w14:textId="77777777" w:rsidR="000E56CA" w:rsidRPr="005A108C" w:rsidRDefault="000E56CA" w:rsidP="006735EA">
      <w:pPr>
        <w:rPr>
          <w:b/>
          <w:sz w:val="22"/>
          <w:szCs w:val="22"/>
        </w:rPr>
      </w:pPr>
      <w:r w:rsidRPr="005A108C">
        <w:rPr>
          <w:b/>
          <w:sz w:val="22"/>
          <w:szCs w:val="22"/>
        </w:rPr>
        <w:t xml:space="preserve">6.3. </w:t>
      </w:r>
      <w:r>
        <w:rPr>
          <w:b/>
          <w:sz w:val="22"/>
          <w:szCs w:val="22"/>
        </w:rPr>
        <w:tab/>
      </w:r>
      <w:r w:rsidRPr="005A108C">
        <w:rPr>
          <w:b/>
          <w:sz w:val="22"/>
          <w:szCs w:val="22"/>
        </w:rPr>
        <w:t>Čas použiteľnosti</w:t>
      </w:r>
    </w:p>
    <w:p w14:paraId="0AF8B89D" w14:textId="77777777" w:rsidR="000E56CA" w:rsidRPr="005A108C" w:rsidRDefault="000E56CA" w:rsidP="006735EA">
      <w:pPr>
        <w:rPr>
          <w:sz w:val="22"/>
          <w:szCs w:val="22"/>
        </w:rPr>
      </w:pPr>
    </w:p>
    <w:p w14:paraId="02CF0674" w14:textId="77777777" w:rsidR="000E56CA" w:rsidRPr="005A108C" w:rsidRDefault="000E56CA" w:rsidP="006735EA">
      <w:pPr>
        <w:rPr>
          <w:sz w:val="22"/>
          <w:szCs w:val="22"/>
        </w:rPr>
      </w:pPr>
      <w:r w:rsidRPr="005A108C">
        <w:rPr>
          <w:sz w:val="22"/>
          <w:szCs w:val="22"/>
        </w:rPr>
        <w:t xml:space="preserve">36 mesiacov </w:t>
      </w:r>
    </w:p>
    <w:p w14:paraId="5B373215" w14:textId="77777777" w:rsidR="000E56CA" w:rsidRPr="005A108C" w:rsidRDefault="000E56CA" w:rsidP="006735EA">
      <w:pPr>
        <w:rPr>
          <w:sz w:val="22"/>
          <w:szCs w:val="22"/>
        </w:rPr>
      </w:pPr>
    </w:p>
    <w:p w14:paraId="6F893455" w14:textId="77777777" w:rsidR="000E56CA" w:rsidRPr="005A108C" w:rsidRDefault="000E56CA" w:rsidP="006735EA">
      <w:pPr>
        <w:rPr>
          <w:b/>
          <w:sz w:val="22"/>
          <w:szCs w:val="22"/>
        </w:rPr>
      </w:pPr>
      <w:r w:rsidRPr="005A108C">
        <w:rPr>
          <w:b/>
          <w:sz w:val="22"/>
          <w:szCs w:val="22"/>
        </w:rPr>
        <w:t xml:space="preserve">6.4. </w:t>
      </w:r>
      <w:r>
        <w:rPr>
          <w:b/>
          <w:sz w:val="22"/>
          <w:szCs w:val="22"/>
        </w:rPr>
        <w:tab/>
      </w:r>
      <w:r w:rsidRPr="005A108C">
        <w:rPr>
          <w:b/>
          <w:sz w:val="22"/>
          <w:szCs w:val="22"/>
        </w:rPr>
        <w:t>Špeciálne upozornenia na uchovávanie</w:t>
      </w:r>
    </w:p>
    <w:p w14:paraId="7DA99683" w14:textId="77777777" w:rsidR="000E56CA" w:rsidRPr="005A108C" w:rsidRDefault="000E56CA" w:rsidP="006735EA">
      <w:pPr>
        <w:rPr>
          <w:sz w:val="22"/>
          <w:szCs w:val="22"/>
        </w:rPr>
      </w:pPr>
    </w:p>
    <w:p w14:paraId="6E0026AF" w14:textId="77777777" w:rsidR="000E56CA" w:rsidRPr="005A108C" w:rsidRDefault="000E56CA" w:rsidP="006735EA">
      <w:pPr>
        <w:rPr>
          <w:sz w:val="22"/>
          <w:szCs w:val="22"/>
        </w:rPr>
      </w:pPr>
      <w:r w:rsidRPr="005A108C">
        <w:rPr>
          <w:sz w:val="22"/>
          <w:szCs w:val="22"/>
        </w:rPr>
        <w:t>Uchovávajte pri teplote 15-30° C, chráňte pred svetlom a mrazom.</w:t>
      </w:r>
    </w:p>
    <w:p w14:paraId="16D8F499" w14:textId="77777777" w:rsidR="000E56CA" w:rsidRPr="005A108C" w:rsidRDefault="000E56CA" w:rsidP="006735EA">
      <w:pPr>
        <w:rPr>
          <w:sz w:val="22"/>
          <w:szCs w:val="22"/>
        </w:rPr>
      </w:pPr>
    </w:p>
    <w:p w14:paraId="1C2C5026" w14:textId="77777777" w:rsidR="000E56CA" w:rsidRPr="005A108C" w:rsidRDefault="000E56CA" w:rsidP="006735EA">
      <w:pPr>
        <w:rPr>
          <w:b/>
          <w:sz w:val="22"/>
          <w:szCs w:val="22"/>
        </w:rPr>
      </w:pPr>
      <w:r w:rsidRPr="005A108C">
        <w:rPr>
          <w:b/>
          <w:sz w:val="22"/>
          <w:szCs w:val="22"/>
        </w:rPr>
        <w:t xml:space="preserve">6.5. </w:t>
      </w:r>
      <w:r>
        <w:rPr>
          <w:b/>
          <w:sz w:val="22"/>
          <w:szCs w:val="22"/>
        </w:rPr>
        <w:tab/>
      </w:r>
      <w:r w:rsidRPr="005A108C">
        <w:rPr>
          <w:b/>
          <w:sz w:val="22"/>
          <w:szCs w:val="22"/>
        </w:rPr>
        <w:t>Druh obalu a obsah balenia</w:t>
      </w:r>
    </w:p>
    <w:p w14:paraId="6B0B8EFB" w14:textId="77777777" w:rsidR="000E56CA" w:rsidRPr="005A108C" w:rsidRDefault="000E56CA" w:rsidP="006735EA">
      <w:pPr>
        <w:rPr>
          <w:sz w:val="22"/>
          <w:szCs w:val="22"/>
        </w:rPr>
      </w:pPr>
    </w:p>
    <w:p w14:paraId="35791078" w14:textId="77777777" w:rsidR="000E56CA" w:rsidRPr="005A108C" w:rsidRDefault="000E56CA" w:rsidP="006735EA">
      <w:pPr>
        <w:rPr>
          <w:sz w:val="22"/>
          <w:szCs w:val="22"/>
        </w:rPr>
      </w:pPr>
      <w:r w:rsidRPr="005A108C">
        <w:rPr>
          <w:sz w:val="22"/>
          <w:szCs w:val="22"/>
        </w:rPr>
        <w:t>Injekčné liekovky uzatvorené sivou gumenou zátkou a hliníkovým obrubovým uzáverom.</w:t>
      </w:r>
    </w:p>
    <w:p w14:paraId="0079AAFB" w14:textId="77777777" w:rsidR="000E56CA" w:rsidRPr="005A108C" w:rsidRDefault="000E56CA" w:rsidP="006735EA">
      <w:pPr>
        <w:rPr>
          <w:sz w:val="22"/>
          <w:szCs w:val="22"/>
        </w:rPr>
      </w:pPr>
      <w:r w:rsidRPr="005A108C">
        <w:rPr>
          <w:sz w:val="22"/>
          <w:szCs w:val="22"/>
        </w:rPr>
        <w:t xml:space="preserve">Obsah: 5, 10, </w:t>
      </w:r>
      <w:smartTag w:uri="urn:schemas-microsoft-com:office:smarttags" w:element="metricconverter">
        <w:smartTagPr>
          <w:attr w:name="ProductID" w:val="15 a"/>
        </w:smartTagPr>
        <w:r w:rsidRPr="005A108C">
          <w:rPr>
            <w:sz w:val="22"/>
            <w:szCs w:val="22"/>
          </w:rPr>
          <w:t>15 a</w:t>
        </w:r>
      </w:smartTag>
      <w:r w:rsidRPr="005A108C">
        <w:rPr>
          <w:sz w:val="22"/>
          <w:szCs w:val="22"/>
        </w:rPr>
        <w:t xml:space="preserve"> 20 ml</w:t>
      </w:r>
    </w:p>
    <w:p w14:paraId="56A11B6D" w14:textId="77777777" w:rsidR="000E56CA" w:rsidRPr="005A108C" w:rsidRDefault="000E56CA" w:rsidP="006735EA">
      <w:pPr>
        <w:rPr>
          <w:sz w:val="22"/>
          <w:szCs w:val="22"/>
        </w:rPr>
      </w:pPr>
      <w:r w:rsidRPr="005A108C">
        <w:rPr>
          <w:sz w:val="22"/>
          <w:szCs w:val="22"/>
        </w:rPr>
        <w:t>Naplnené injekčné striekačky s gumenou zátkou a polypropylénovým plunžerom.</w:t>
      </w:r>
    </w:p>
    <w:p w14:paraId="7DA5FFEF" w14:textId="77777777" w:rsidR="000E56CA" w:rsidRPr="005A108C" w:rsidRDefault="000E56CA" w:rsidP="006735EA">
      <w:pPr>
        <w:rPr>
          <w:sz w:val="22"/>
          <w:szCs w:val="22"/>
        </w:rPr>
      </w:pPr>
      <w:r w:rsidRPr="005A108C">
        <w:rPr>
          <w:sz w:val="22"/>
          <w:szCs w:val="22"/>
        </w:rPr>
        <w:t xml:space="preserve">Obsah 10, </w:t>
      </w:r>
      <w:smartTag w:uri="urn:schemas-microsoft-com:office:smarttags" w:element="metricconverter">
        <w:smartTagPr>
          <w:attr w:name="ProductID" w:val="15 a"/>
        </w:smartTagPr>
        <w:r w:rsidRPr="005A108C">
          <w:rPr>
            <w:sz w:val="22"/>
            <w:szCs w:val="22"/>
          </w:rPr>
          <w:t>15 a</w:t>
        </w:r>
      </w:smartTag>
      <w:r w:rsidRPr="005A108C">
        <w:rPr>
          <w:sz w:val="22"/>
          <w:szCs w:val="22"/>
        </w:rPr>
        <w:t xml:space="preserve"> 17 ml</w:t>
      </w:r>
    </w:p>
    <w:p w14:paraId="2ECA14EA" w14:textId="77777777" w:rsidR="000E56CA" w:rsidRPr="005A108C" w:rsidRDefault="000E56CA" w:rsidP="006735EA">
      <w:pPr>
        <w:rPr>
          <w:b/>
          <w:sz w:val="22"/>
          <w:szCs w:val="22"/>
        </w:rPr>
      </w:pPr>
      <w:bookmarkStart w:id="2" w:name="_GoBack"/>
      <w:bookmarkEnd w:id="2"/>
      <w:r w:rsidRPr="005A108C">
        <w:rPr>
          <w:b/>
          <w:sz w:val="22"/>
          <w:szCs w:val="22"/>
        </w:rPr>
        <w:lastRenderedPageBreak/>
        <w:t xml:space="preserve">6.6. </w:t>
      </w:r>
      <w:r>
        <w:rPr>
          <w:b/>
          <w:sz w:val="22"/>
          <w:szCs w:val="22"/>
        </w:rPr>
        <w:tab/>
      </w:r>
      <w:r w:rsidRPr="005A108C">
        <w:rPr>
          <w:b/>
          <w:sz w:val="22"/>
          <w:szCs w:val="22"/>
        </w:rPr>
        <w:t>Špeciálne opatrenia na likvidáciu a iné zaobchádzanie s liekom</w:t>
      </w:r>
    </w:p>
    <w:p w14:paraId="199120FD" w14:textId="77777777" w:rsidR="000E56CA" w:rsidRPr="005A108C" w:rsidRDefault="000E56CA" w:rsidP="006735EA">
      <w:pPr>
        <w:rPr>
          <w:sz w:val="22"/>
          <w:szCs w:val="22"/>
        </w:rPr>
      </w:pPr>
    </w:p>
    <w:p w14:paraId="6FAB446D" w14:textId="77777777" w:rsidR="000E56CA" w:rsidRPr="005A108C" w:rsidRDefault="000E56CA" w:rsidP="006735EA">
      <w:pPr>
        <w:rPr>
          <w:sz w:val="22"/>
          <w:szCs w:val="22"/>
        </w:rPr>
      </w:pPr>
      <w:r w:rsidRPr="005A108C">
        <w:rPr>
          <w:sz w:val="22"/>
          <w:szCs w:val="22"/>
        </w:rPr>
        <w:t xml:space="preserve">Liek treba pred podaním vizuálne skontrolovať. Používajte len číre roztoky, ampulky a jednorazové injekčné striekačky obsahujúce sfarbený/zakalený roztok alebo roztok s obsahom častíc sa musia vyradiť. </w:t>
      </w:r>
    </w:p>
    <w:p w14:paraId="186D047C" w14:textId="77777777" w:rsidR="000E56CA" w:rsidRPr="005A108C" w:rsidRDefault="000E56CA" w:rsidP="006735EA">
      <w:pPr>
        <w:rPr>
          <w:sz w:val="22"/>
          <w:szCs w:val="22"/>
        </w:rPr>
      </w:pPr>
      <w:r w:rsidRPr="005A108C">
        <w:rPr>
          <w:sz w:val="22"/>
          <w:szCs w:val="22"/>
        </w:rPr>
        <w:t xml:space="preserve">V prípade vyzrážania substancie vplyvom nižšej teploty treba liek ponechať minimálne hodinu pri izbovej teplote, kým nevznikne opäť číry bezfarebný až slabo žltkastý roztok. </w:t>
      </w:r>
    </w:p>
    <w:p w14:paraId="2951B854" w14:textId="77777777" w:rsidR="000E56CA" w:rsidRPr="005A108C" w:rsidRDefault="000E56CA" w:rsidP="006735EA">
      <w:pPr>
        <w:rPr>
          <w:sz w:val="22"/>
          <w:szCs w:val="22"/>
        </w:rPr>
      </w:pPr>
      <w:r w:rsidRPr="005A108C">
        <w:rPr>
          <w:sz w:val="22"/>
          <w:szCs w:val="22"/>
        </w:rPr>
        <w:t>Jednorazové injekčné striekačky so zamrznutým roztokom treba vyradiť.</w:t>
      </w:r>
    </w:p>
    <w:p w14:paraId="3F193998" w14:textId="77777777" w:rsidR="000E56CA" w:rsidRPr="005A108C" w:rsidRDefault="000E56CA" w:rsidP="006735EA">
      <w:pPr>
        <w:pStyle w:val="Zkladntext"/>
        <w:jc w:val="left"/>
        <w:rPr>
          <w:b/>
          <w:sz w:val="22"/>
          <w:szCs w:val="22"/>
          <w:lang w:val="sk-SK"/>
        </w:rPr>
      </w:pPr>
      <w:r w:rsidRPr="005A108C">
        <w:rPr>
          <w:sz w:val="22"/>
          <w:szCs w:val="22"/>
          <w:lang w:val="sk-SK"/>
        </w:rPr>
        <w:t>Fľašky s prepichovacou zátkou sú určené na jednorazové použitie. Kontrastný roztok, ktorý nebol spotrebovaný v priebehu jedného vyšetrovacieho cyklu</w:t>
      </w:r>
      <w:r>
        <w:rPr>
          <w:sz w:val="22"/>
          <w:szCs w:val="22"/>
          <w:lang w:val="sk-SK"/>
        </w:rPr>
        <w:t>,</w:t>
      </w:r>
      <w:r w:rsidRPr="005A108C">
        <w:rPr>
          <w:sz w:val="22"/>
          <w:szCs w:val="22"/>
          <w:lang w:val="sk-SK"/>
        </w:rPr>
        <w:t xml:space="preserve"> sa musí zničiť.</w:t>
      </w:r>
    </w:p>
    <w:p w14:paraId="45C35635" w14:textId="77777777" w:rsidR="000E56CA" w:rsidRPr="005A108C" w:rsidRDefault="000E56CA" w:rsidP="006735EA">
      <w:pPr>
        <w:rPr>
          <w:sz w:val="22"/>
          <w:szCs w:val="22"/>
        </w:rPr>
      </w:pPr>
    </w:p>
    <w:p w14:paraId="71CF0EDC" w14:textId="77777777" w:rsidR="000E56CA" w:rsidRPr="005A108C" w:rsidRDefault="000E56CA" w:rsidP="006735EA">
      <w:pPr>
        <w:shd w:val="clear" w:color="auto" w:fill="FFFFFF"/>
        <w:rPr>
          <w:color w:val="000000"/>
          <w:spacing w:val="1"/>
          <w:sz w:val="22"/>
          <w:szCs w:val="22"/>
        </w:rPr>
      </w:pPr>
      <w:r w:rsidRPr="005A108C">
        <w:rPr>
          <w:color w:val="000000"/>
          <w:spacing w:val="1"/>
          <w:sz w:val="22"/>
          <w:szCs w:val="22"/>
        </w:rPr>
        <w:t>Pre používanie plnených striekačiek platia nasledovné pokyny:</w:t>
      </w:r>
    </w:p>
    <w:p w14:paraId="2F7A056F" w14:textId="77777777" w:rsidR="000E56CA" w:rsidRPr="005A108C" w:rsidRDefault="000E56CA" w:rsidP="006735EA">
      <w:pPr>
        <w:shd w:val="clear" w:color="auto" w:fill="FFFFFF"/>
        <w:rPr>
          <w:color w:val="000000"/>
          <w:spacing w:val="1"/>
          <w:sz w:val="22"/>
          <w:szCs w:val="22"/>
        </w:rPr>
      </w:pPr>
      <w:r w:rsidRPr="005A108C">
        <w:rPr>
          <w:color w:val="000000"/>
          <w:spacing w:val="1"/>
          <w:sz w:val="22"/>
          <w:szCs w:val="22"/>
        </w:rPr>
        <w:t>Plnená injekčná striekačka sa musí vybrať z obalu a pripraviť na použitie bezprostredne pred vyšetrením.</w:t>
      </w:r>
    </w:p>
    <w:p w14:paraId="772F425F" w14:textId="77777777" w:rsidR="000E56CA" w:rsidRPr="005A108C" w:rsidRDefault="000E56CA" w:rsidP="006735EA">
      <w:pPr>
        <w:shd w:val="clear" w:color="auto" w:fill="FFFFFF"/>
        <w:rPr>
          <w:color w:val="000000"/>
          <w:spacing w:val="1"/>
          <w:sz w:val="22"/>
          <w:szCs w:val="22"/>
        </w:rPr>
      </w:pPr>
    </w:p>
    <w:p w14:paraId="6B12288D" w14:textId="77777777" w:rsidR="000E56CA" w:rsidRPr="005A108C" w:rsidRDefault="000E56CA" w:rsidP="006735EA">
      <w:pPr>
        <w:shd w:val="clear" w:color="auto" w:fill="FFFFFF"/>
        <w:rPr>
          <w:color w:val="000000"/>
          <w:spacing w:val="1"/>
          <w:sz w:val="22"/>
          <w:szCs w:val="22"/>
        </w:rPr>
      </w:pPr>
      <w:r w:rsidRPr="005A108C">
        <w:rPr>
          <w:color w:val="000000"/>
          <w:spacing w:val="1"/>
          <w:sz w:val="22"/>
          <w:szCs w:val="22"/>
        </w:rPr>
        <w:t>Na použitie 100 fľašiek platia okrem toho nasledovné informácie:</w:t>
      </w:r>
    </w:p>
    <w:p w14:paraId="32AA94BF" w14:textId="77777777" w:rsidR="000E56CA" w:rsidRPr="005A108C" w:rsidRDefault="000E56CA" w:rsidP="006735EA">
      <w:pPr>
        <w:shd w:val="clear" w:color="auto" w:fill="FFFFFF"/>
        <w:rPr>
          <w:color w:val="000000"/>
          <w:spacing w:val="1"/>
          <w:sz w:val="22"/>
          <w:szCs w:val="22"/>
        </w:rPr>
      </w:pPr>
      <w:r w:rsidRPr="005A108C">
        <w:rPr>
          <w:color w:val="000000"/>
          <w:spacing w:val="1"/>
          <w:sz w:val="22"/>
          <w:szCs w:val="22"/>
        </w:rPr>
        <w:t>Kontrastná látka sa musí aplikovať iba za použitia injektomatu. Hadice, ktoré vedú od injektomatu k pacientovi (pacientove hadice) sa musia vymeniť pred každým vyšetrením. Akýkoľvek zvyšok kontrastnej látky, ktorá zostane vo fľaške sa musí na konci vyšetrovacieho dňa znehodnotiť spolu so spojovacími hadicami a všetkými zložkami injektorového systému určeného na jedno použitie. Dodržiavať sa musia všetky ďalšie návody, ktoré špecifikoval výrobca zariadenia.</w:t>
      </w:r>
    </w:p>
    <w:p w14:paraId="5519300A" w14:textId="77777777" w:rsidR="000E56CA" w:rsidRPr="005A108C" w:rsidRDefault="000E56CA" w:rsidP="006735EA">
      <w:pPr>
        <w:autoSpaceDE w:val="0"/>
        <w:autoSpaceDN w:val="0"/>
        <w:adjustRightInd w:val="0"/>
        <w:rPr>
          <w:sz w:val="22"/>
          <w:szCs w:val="22"/>
          <w:lang w:eastAsia="en-US"/>
        </w:rPr>
      </w:pPr>
    </w:p>
    <w:p w14:paraId="4254C281" w14:textId="77777777" w:rsidR="000E56CA" w:rsidRPr="005A108C" w:rsidRDefault="000E56CA" w:rsidP="006735EA">
      <w:pPr>
        <w:autoSpaceDE w:val="0"/>
        <w:autoSpaceDN w:val="0"/>
        <w:adjustRightInd w:val="0"/>
        <w:rPr>
          <w:sz w:val="22"/>
          <w:szCs w:val="22"/>
          <w:lang w:eastAsia="en-US"/>
        </w:rPr>
      </w:pPr>
      <w:r w:rsidRPr="005A108C">
        <w:rPr>
          <w:sz w:val="22"/>
          <w:szCs w:val="22"/>
          <w:lang w:eastAsia="en-US"/>
        </w:rPr>
        <w:t>Na záznam z vyšetrenia pacienta sa má nalepiť odlepovací označovací štítok z injekčných</w:t>
      </w:r>
    </w:p>
    <w:p w14:paraId="48B6A4A8" w14:textId="77777777" w:rsidR="000E56CA" w:rsidRDefault="000E56CA" w:rsidP="00DA2621">
      <w:pPr>
        <w:tabs>
          <w:tab w:val="left" w:pos="7335"/>
          <w:tab w:val="left" w:pos="8789"/>
        </w:tabs>
        <w:rPr>
          <w:b/>
          <w:bCs/>
          <w:color w:val="000000"/>
          <w:spacing w:val="-1"/>
          <w:sz w:val="22"/>
          <w:szCs w:val="22"/>
        </w:rPr>
      </w:pPr>
      <w:r w:rsidRPr="005A108C">
        <w:rPr>
          <w:sz w:val="22"/>
          <w:szCs w:val="22"/>
          <w:lang w:eastAsia="en-US"/>
        </w:rPr>
        <w:t>liekoviek/injekčných striekačiek, aby bolo možné presne zaznamenať, ktorá kontrastná látka obsahujúca gadolínium sa použila. Má sa zaznamenať aj použitá dávka</w:t>
      </w:r>
      <w:r w:rsidRPr="004D3562">
        <w:rPr>
          <w:sz w:val="22"/>
          <w:szCs w:val="22"/>
          <w:lang w:eastAsia="en-US"/>
        </w:rPr>
        <w:t>.</w:t>
      </w:r>
      <w:r>
        <w:rPr>
          <w:sz w:val="22"/>
          <w:szCs w:val="22"/>
        </w:rPr>
        <w:t xml:space="preserve"> </w:t>
      </w:r>
      <w:r w:rsidRPr="004D3562">
        <w:rPr>
          <w:b/>
          <w:bCs/>
          <w:color w:val="000000"/>
          <w:spacing w:val="-1"/>
          <w:sz w:val="22"/>
          <w:szCs w:val="22"/>
        </w:rPr>
        <w:t>V prípade</w:t>
      </w:r>
      <w:r>
        <w:rPr>
          <w:b/>
          <w:bCs/>
          <w:color w:val="000000"/>
          <w:spacing w:val="-1"/>
          <w:sz w:val="22"/>
          <w:szCs w:val="22"/>
        </w:rPr>
        <w:t xml:space="preserve"> vedenia elektronickej dokumentácie pacienta, musí byť do záznamu zaznačený názov lieku, číslo šarže a použitá dávka lieku.</w:t>
      </w:r>
    </w:p>
    <w:p w14:paraId="21D79A0C" w14:textId="77777777" w:rsidR="000E56CA" w:rsidRDefault="000E56CA" w:rsidP="006735EA">
      <w:pPr>
        <w:autoSpaceDE w:val="0"/>
        <w:autoSpaceDN w:val="0"/>
        <w:adjustRightInd w:val="0"/>
        <w:rPr>
          <w:sz w:val="22"/>
          <w:szCs w:val="22"/>
          <w:lang w:eastAsia="en-US"/>
        </w:rPr>
      </w:pPr>
    </w:p>
    <w:p w14:paraId="673D901B" w14:textId="77777777" w:rsidR="000E56CA" w:rsidRPr="005A108C" w:rsidRDefault="000E56CA" w:rsidP="006735EA">
      <w:pPr>
        <w:autoSpaceDE w:val="0"/>
        <w:autoSpaceDN w:val="0"/>
        <w:adjustRightInd w:val="0"/>
        <w:rPr>
          <w:sz w:val="22"/>
          <w:szCs w:val="22"/>
          <w:lang w:eastAsia="en-US"/>
        </w:rPr>
      </w:pPr>
    </w:p>
    <w:p w14:paraId="3FCE3C2B" w14:textId="77777777" w:rsidR="000E56CA" w:rsidRPr="005A108C" w:rsidRDefault="000E56CA" w:rsidP="006735EA">
      <w:pPr>
        <w:rPr>
          <w:b/>
          <w:sz w:val="22"/>
          <w:szCs w:val="22"/>
        </w:rPr>
      </w:pPr>
      <w:r w:rsidRPr="005A108C">
        <w:rPr>
          <w:b/>
          <w:sz w:val="22"/>
          <w:szCs w:val="22"/>
        </w:rPr>
        <w:t xml:space="preserve">7. </w:t>
      </w:r>
      <w:r>
        <w:rPr>
          <w:b/>
          <w:sz w:val="22"/>
          <w:szCs w:val="22"/>
        </w:rPr>
        <w:tab/>
      </w:r>
      <w:r w:rsidRPr="005A108C">
        <w:rPr>
          <w:b/>
          <w:sz w:val="22"/>
          <w:szCs w:val="22"/>
        </w:rPr>
        <w:t>DRŽITEĽ ROZHODNUTIA O REGISTRÁCII</w:t>
      </w:r>
    </w:p>
    <w:p w14:paraId="65E707B9" w14:textId="77777777" w:rsidR="000E56CA" w:rsidRPr="005A108C" w:rsidRDefault="000E56CA" w:rsidP="006735EA">
      <w:pPr>
        <w:rPr>
          <w:b/>
          <w:sz w:val="22"/>
          <w:szCs w:val="22"/>
        </w:rPr>
      </w:pPr>
    </w:p>
    <w:p w14:paraId="6B2036B2" w14:textId="77777777" w:rsidR="000E56CA" w:rsidRPr="00583AA1" w:rsidRDefault="000E56CA" w:rsidP="007B113E">
      <w:pPr>
        <w:rPr>
          <w:sz w:val="22"/>
          <w:szCs w:val="22"/>
        </w:rPr>
      </w:pPr>
      <w:r w:rsidRPr="00583AA1">
        <w:rPr>
          <w:sz w:val="22"/>
          <w:szCs w:val="22"/>
        </w:rPr>
        <w:t>Bracco Imaging Deuschland GmbH</w:t>
      </w:r>
    </w:p>
    <w:p w14:paraId="4DDF397C" w14:textId="77777777" w:rsidR="000E56CA" w:rsidRPr="00583AA1" w:rsidRDefault="000E56CA" w:rsidP="007B113E">
      <w:pPr>
        <w:tabs>
          <w:tab w:val="left" w:pos="3686"/>
        </w:tabs>
        <w:ind w:right="-852"/>
        <w:rPr>
          <w:sz w:val="22"/>
          <w:szCs w:val="22"/>
        </w:rPr>
      </w:pPr>
      <w:r w:rsidRPr="00583AA1">
        <w:rPr>
          <w:sz w:val="22"/>
          <w:szCs w:val="22"/>
        </w:rPr>
        <w:t>Max-Stromeyer-Strasse 116</w:t>
      </w:r>
    </w:p>
    <w:p w14:paraId="07AD1667" w14:textId="77777777" w:rsidR="000E56CA" w:rsidRDefault="000E56CA" w:rsidP="007B113E">
      <w:pPr>
        <w:rPr>
          <w:szCs w:val="22"/>
        </w:rPr>
      </w:pPr>
      <w:r w:rsidRPr="00583AA1">
        <w:rPr>
          <w:sz w:val="22"/>
          <w:szCs w:val="22"/>
        </w:rPr>
        <w:t>78467 Konstanz</w:t>
      </w:r>
    </w:p>
    <w:p w14:paraId="1641246B" w14:textId="77777777" w:rsidR="000E56CA" w:rsidRPr="00111E0A" w:rsidRDefault="000E56CA" w:rsidP="006735EA">
      <w:pPr>
        <w:rPr>
          <w:b/>
          <w:sz w:val="22"/>
          <w:szCs w:val="22"/>
        </w:rPr>
      </w:pPr>
      <w:r w:rsidRPr="00583AA1">
        <w:rPr>
          <w:sz w:val="22"/>
          <w:szCs w:val="22"/>
        </w:rPr>
        <w:t>Nemecko</w:t>
      </w:r>
    </w:p>
    <w:p w14:paraId="5C1EDCC9" w14:textId="77777777" w:rsidR="000E56CA" w:rsidRDefault="000E56CA" w:rsidP="006735EA">
      <w:pPr>
        <w:rPr>
          <w:b/>
          <w:sz w:val="22"/>
          <w:szCs w:val="22"/>
        </w:rPr>
      </w:pPr>
    </w:p>
    <w:p w14:paraId="2708E28A" w14:textId="77777777" w:rsidR="00BE1380" w:rsidRPr="005A108C" w:rsidRDefault="00BE1380" w:rsidP="006735EA">
      <w:pPr>
        <w:rPr>
          <w:b/>
          <w:sz w:val="22"/>
          <w:szCs w:val="22"/>
        </w:rPr>
      </w:pPr>
    </w:p>
    <w:p w14:paraId="1AE7819B" w14:textId="77777777" w:rsidR="000E56CA" w:rsidRPr="005A108C" w:rsidRDefault="000E56CA" w:rsidP="00017664">
      <w:pPr>
        <w:rPr>
          <w:b/>
          <w:sz w:val="22"/>
          <w:szCs w:val="22"/>
        </w:rPr>
      </w:pPr>
      <w:r>
        <w:rPr>
          <w:b/>
          <w:sz w:val="22"/>
          <w:szCs w:val="22"/>
        </w:rPr>
        <w:t>8.</w:t>
      </w:r>
      <w:r>
        <w:rPr>
          <w:b/>
          <w:sz w:val="22"/>
          <w:szCs w:val="22"/>
        </w:rPr>
        <w:tab/>
      </w:r>
      <w:r w:rsidRPr="005A108C">
        <w:rPr>
          <w:b/>
          <w:sz w:val="22"/>
          <w:szCs w:val="22"/>
        </w:rPr>
        <w:t>REGISTRAČNÉ ČÍSLO</w:t>
      </w:r>
    </w:p>
    <w:p w14:paraId="3E63D700" w14:textId="77777777" w:rsidR="000E56CA" w:rsidRPr="005A108C" w:rsidRDefault="000E56CA" w:rsidP="006735EA">
      <w:pPr>
        <w:tabs>
          <w:tab w:val="left" w:pos="8789"/>
        </w:tabs>
        <w:rPr>
          <w:b/>
          <w:sz w:val="22"/>
          <w:szCs w:val="22"/>
        </w:rPr>
      </w:pPr>
    </w:p>
    <w:p w14:paraId="173BDD9D" w14:textId="77777777" w:rsidR="000E56CA" w:rsidRDefault="000E56CA" w:rsidP="006735EA">
      <w:pPr>
        <w:tabs>
          <w:tab w:val="left" w:pos="8789"/>
        </w:tabs>
        <w:rPr>
          <w:sz w:val="22"/>
          <w:szCs w:val="22"/>
        </w:rPr>
      </w:pPr>
      <w:r w:rsidRPr="005A108C">
        <w:rPr>
          <w:sz w:val="22"/>
          <w:szCs w:val="22"/>
        </w:rPr>
        <w:t>48/0226/00-S</w:t>
      </w:r>
    </w:p>
    <w:p w14:paraId="6EB195DE" w14:textId="77777777" w:rsidR="000E56CA" w:rsidRDefault="000E56CA" w:rsidP="006735EA">
      <w:pPr>
        <w:tabs>
          <w:tab w:val="left" w:pos="8789"/>
        </w:tabs>
        <w:rPr>
          <w:sz w:val="22"/>
          <w:szCs w:val="22"/>
        </w:rPr>
      </w:pPr>
    </w:p>
    <w:p w14:paraId="2DCF4A94" w14:textId="77777777" w:rsidR="00BE1380" w:rsidRPr="005A108C" w:rsidRDefault="00BE1380" w:rsidP="006735EA">
      <w:pPr>
        <w:tabs>
          <w:tab w:val="left" w:pos="8789"/>
        </w:tabs>
        <w:rPr>
          <w:sz w:val="22"/>
          <w:szCs w:val="22"/>
        </w:rPr>
      </w:pPr>
    </w:p>
    <w:p w14:paraId="046CDD05" w14:textId="77777777" w:rsidR="000E56CA" w:rsidRPr="005A108C" w:rsidRDefault="000E56CA" w:rsidP="00017664">
      <w:pPr>
        <w:rPr>
          <w:b/>
          <w:sz w:val="22"/>
          <w:szCs w:val="22"/>
        </w:rPr>
      </w:pPr>
      <w:r>
        <w:rPr>
          <w:b/>
          <w:sz w:val="22"/>
          <w:szCs w:val="22"/>
        </w:rPr>
        <w:t>9.</w:t>
      </w:r>
      <w:r>
        <w:rPr>
          <w:b/>
          <w:sz w:val="22"/>
          <w:szCs w:val="22"/>
        </w:rPr>
        <w:tab/>
      </w:r>
      <w:r w:rsidRPr="005A108C">
        <w:rPr>
          <w:b/>
          <w:sz w:val="22"/>
          <w:szCs w:val="22"/>
        </w:rPr>
        <w:t>DÁTUM REGISTRÁCIE /DÁTUM PREDĹŽENIA REGISTRÁCIE</w:t>
      </w:r>
    </w:p>
    <w:p w14:paraId="5F67C6B5" w14:textId="77777777" w:rsidR="000E56CA" w:rsidRPr="005A108C" w:rsidRDefault="000E56CA" w:rsidP="006735EA">
      <w:pPr>
        <w:tabs>
          <w:tab w:val="left" w:pos="8789"/>
        </w:tabs>
        <w:rPr>
          <w:b/>
          <w:sz w:val="22"/>
          <w:szCs w:val="22"/>
        </w:rPr>
      </w:pPr>
    </w:p>
    <w:p w14:paraId="2B3EE8F1" w14:textId="5C6BBF9C" w:rsidR="000E56CA" w:rsidRPr="005A108C" w:rsidRDefault="000E56CA" w:rsidP="006735EA">
      <w:pPr>
        <w:tabs>
          <w:tab w:val="left" w:pos="8789"/>
        </w:tabs>
        <w:rPr>
          <w:bCs/>
          <w:sz w:val="22"/>
          <w:szCs w:val="22"/>
        </w:rPr>
      </w:pPr>
      <w:r w:rsidRPr="00017664">
        <w:rPr>
          <w:bCs/>
          <w:sz w:val="22"/>
          <w:szCs w:val="22"/>
        </w:rPr>
        <w:t xml:space="preserve">Dátum prvej registrácie: </w:t>
      </w:r>
      <w:r w:rsidR="004A586F">
        <w:rPr>
          <w:bCs/>
          <w:sz w:val="22"/>
          <w:szCs w:val="22"/>
        </w:rPr>
        <w:t>28. 06. 2000</w:t>
      </w:r>
    </w:p>
    <w:p w14:paraId="277B4191" w14:textId="77777777" w:rsidR="000E56CA" w:rsidRPr="005A108C" w:rsidRDefault="000E56CA" w:rsidP="006735EA">
      <w:pPr>
        <w:tabs>
          <w:tab w:val="left" w:pos="8789"/>
        </w:tabs>
        <w:rPr>
          <w:sz w:val="22"/>
          <w:szCs w:val="22"/>
        </w:rPr>
      </w:pPr>
      <w:r>
        <w:rPr>
          <w:sz w:val="22"/>
          <w:szCs w:val="22"/>
        </w:rPr>
        <w:t>Dátum posledného predĺženia registrácie:</w:t>
      </w:r>
      <w:r w:rsidR="006458CC">
        <w:rPr>
          <w:sz w:val="22"/>
          <w:szCs w:val="22"/>
        </w:rPr>
        <w:t xml:space="preserve"> 25.08.2005</w:t>
      </w:r>
    </w:p>
    <w:p w14:paraId="3E8F0D40" w14:textId="77777777" w:rsidR="000E56CA" w:rsidRPr="005A108C" w:rsidRDefault="000E56CA" w:rsidP="006735EA">
      <w:pPr>
        <w:tabs>
          <w:tab w:val="left" w:pos="8789"/>
        </w:tabs>
        <w:rPr>
          <w:b/>
          <w:sz w:val="22"/>
          <w:szCs w:val="22"/>
        </w:rPr>
      </w:pPr>
    </w:p>
    <w:p w14:paraId="10FC2539" w14:textId="77777777" w:rsidR="000E56CA" w:rsidRPr="005A108C" w:rsidRDefault="000E56CA" w:rsidP="006735EA">
      <w:pPr>
        <w:tabs>
          <w:tab w:val="left" w:pos="8789"/>
        </w:tabs>
        <w:rPr>
          <w:b/>
          <w:sz w:val="22"/>
          <w:szCs w:val="22"/>
        </w:rPr>
      </w:pPr>
    </w:p>
    <w:p w14:paraId="342CAE6F" w14:textId="77777777" w:rsidR="000E56CA" w:rsidRPr="005A108C" w:rsidRDefault="000E56CA" w:rsidP="00017664">
      <w:pPr>
        <w:rPr>
          <w:b/>
          <w:sz w:val="22"/>
          <w:szCs w:val="22"/>
        </w:rPr>
      </w:pPr>
      <w:r w:rsidRPr="005A108C">
        <w:rPr>
          <w:b/>
          <w:sz w:val="22"/>
          <w:szCs w:val="22"/>
        </w:rPr>
        <w:t xml:space="preserve">10. </w:t>
      </w:r>
      <w:r>
        <w:rPr>
          <w:b/>
          <w:sz w:val="22"/>
          <w:szCs w:val="22"/>
        </w:rPr>
        <w:tab/>
      </w:r>
      <w:r w:rsidRPr="005A108C">
        <w:rPr>
          <w:b/>
          <w:sz w:val="22"/>
          <w:szCs w:val="22"/>
        </w:rPr>
        <w:t>DÁTUM POSLEDNEJ REVÍZIE TEXTU</w:t>
      </w:r>
    </w:p>
    <w:p w14:paraId="312CB10A" w14:textId="77777777" w:rsidR="000E56CA" w:rsidRPr="005A108C" w:rsidRDefault="000E56CA" w:rsidP="006735EA">
      <w:pPr>
        <w:tabs>
          <w:tab w:val="left" w:pos="8789"/>
        </w:tabs>
        <w:rPr>
          <w:b/>
          <w:sz w:val="22"/>
          <w:szCs w:val="22"/>
        </w:rPr>
      </w:pPr>
    </w:p>
    <w:p w14:paraId="1A90A8DF" w14:textId="20EBADB9" w:rsidR="000E56CA" w:rsidRPr="00583AA1" w:rsidRDefault="004A586F" w:rsidP="006735EA">
      <w:pPr>
        <w:tabs>
          <w:tab w:val="left" w:pos="8789"/>
        </w:tabs>
        <w:rPr>
          <w:sz w:val="22"/>
          <w:szCs w:val="22"/>
        </w:rPr>
      </w:pPr>
      <w:r>
        <w:rPr>
          <w:sz w:val="22"/>
          <w:szCs w:val="22"/>
        </w:rPr>
        <w:t>Apríl 2018</w:t>
      </w:r>
    </w:p>
    <w:p w14:paraId="3AAB3D7E" w14:textId="77777777" w:rsidR="000E56CA" w:rsidRPr="005A108C" w:rsidRDefault="000E56CA" w:rsidP="006735EA">
      <w:pPr>
        <w:pStyle w:val="Pta"/>
        <w:tabs>
          <w:tab w:val="clear" w:pos="4536"/>
          <w:tab w:val="clear" w:pos="9072"/>
        </w:tabs>
        <w:rPr>
          <w:sz w:val="22"/>
          <w:szCs w:val="22"/>
        </w:rPr>
      </w:pPr>
    </w:p>
    <w:sectPr w:rsidR="000E56CA" w:rsidRPr="005A108C" w:rsidSect="0016369E">
      <w:headerReference w:type="default" r:id="rId9"/>
      <w:footerReference w:type="even" r:id="rId10"/>
      <w:footerReference w:type="default" r:id="rId11"/>
      <w:headerReference w:type="first" r:id="rId12"/>
      <w:pgSz w:w="11907" w:h="16840"/>
      <w:pgMar w:top="1418" w:right="1418" w:bottom="1418" w:left="1418" w:header="708" w:footer="708" w:gutter="0"/>
      <w:cols w:space="708"/>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B21D24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C8E46A" w14:textId="77777777" w:rsidR="004A586F" w:rsidRDefault="004A586F">
      <w:r>
        <w:separator/>
      </w:r>
    </w:p>
  </w:endnote>
  <w:endnote w:type="continuationSeparator" w:id="0">
    <w:p w14:paraId="6DBEC2BA" w14:textId="77777777" w:rsidR="004A586F" w:rsidRDefault="004A586F">
      <w:r>
        <w:continuationSeparator/>
      </w:r>
    </w:p>
  </w:endnote>
  <w:endnote w:type="continuationNotice" w:id="1">
    <w:p w14:paraId="2943E113" w14:textId="77777777" w:rsidR="004A586F" w:rsidRDefault="004A58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6AB08" w14:textId="77777777" w:rsidR="000E56CA" w:rsidRDefault="000E56CA">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5</w:t>
    </w:r>
    <w:r>
      <w:rPr>
        <w:rStyle w:val="slostrany"/>
      </w:rPr>
      <w:fldChar w:fldCharType="end"/>
    </w:r>
  </w:p>
  <w:p w14:paraId="3B1C2381" w14:textId="77777777" w:rsidR="000E56CA" w:rsidRDefault="000E56CA">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3839185"/>
      <w:docPartObj>
        <w:docPartGallery w:val="Page Numbers (Bottom of Page)"/>
        <w:docPartUnique/>
      </w:docPartObj>
    </w:sdtPr>
    <w:sdtEndPr>
      <w:rPr>
        <w:sz w:val="18"/>
        <w:szCs w:val="18"/>
      </w:rPr>
    </w:sdtEndPr>
    <w:sdtContent>
      <w:p w14:paraId="0B188986" w14:textId="5D0E74F8" w:rsidR="004A586F" w:rsidRPr="0016369E" w:rsidRDefault="004A586F">
        <w:pPr>
          <w:pStyle w:val="Pta"/>
          <w:jc w:val="center"/>
          <w:rPr>
            <w:sz w:val="18"/>
            <w:szCs w:val="18"/>
          </w:rPr>
        </w:pPr>
        <w:r w:rsidRPr="0016369E">
          <w:rPr>
            <w:sz w:val="18"/>
            <w:szCs w:val="18"/>
          </w:rPr>
          <w:fldChar w:fldCharType="begin"/>
        </w:r>
        <w:r w:rsidRPr="0016369E">
          <w:rPr>
            <w:sz w:val="18"/>
            <w:szCs w:val="18"/>
          </w:rPr>
          <w:instrText>PAGE   \* MERGEFORMAT</w:instrText>
        </w:r>
        <w:r w:rsidRPr="0016369E">
          <w:rPr>
            <w:sz w:val="18"/>
            <w:szCs w:val="18"/>
          </w:rPr>
          <w:fldChar w:fldCharType="separate"/>
        </w:r>
        <w:r w:rsidR="0016369E">
          <w:rPr>
            <w:noProof/>
            <w:sz w:val="18"/>
            <w:szCs w:val="18"/>
          </w:rPr>
          <w:t>8</w:t>
        </w:r>
        <w:r w:rsidRPr="0016369E">
          <w:rPr>
            <w:sz w:val="18"/>
            <w:szCs w:val="18"/>
          </w:rPr>
          <w:fldChar w:fldCharType="end"/>
        </w:r>
      </w:p>
    </w:sdtContent>
  </w:sdt>
  <w:p w14:paraId="1789D807" w14:textId="77777777" w:rsidR="000E56CA" w:rsidRDefault="000E56CA">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76A1C5" w14:textId="77777777" w:rsidR="004A586F" w:rsidRDefault="004A586F">
      <w:r>
        <w:separator/>
      </w:r>
    </w:p>
  </w:footnote>
  <w:footnote w:type="continuationSeparator" w:id="0">
    <w:p w14:paraId="00FAD82B" w14:textId="77777777" w:rsidR="004A586F" w:rsidRDefault="004A586F">
      <w:r>
        <w:continuationSeparator/>
      </w:r>
    </w:p>
  </w:footnote>
  <w:footnote w:type="continuationNotice" w:id="1">
    <w:p w14:paraId="6C5AFE14" w14:textId="77777777" w:rsidR="004A586F" w:rsidRDefault="004A586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703D0" w14:textId="5E3EF035" w:rsidR="009E419D" w:rsidRPr="00913616" w:rsidRDefault="009E419D" w:rsidP="009E419D">
    <w:pPr>
      <w:pStyle w:val="Hlavika"/>
      <w:rPr>
        <w:sz w:val="18"/>
        <w:szCs w:val="18"/>
      </w:rPr>
    </w:pPr>
    <w:r>
      <w:rPr>
        <w:sz w:val="18"/>
        <w:szCs w:val="18"/>
      </w:rPr>
      <w:t>Príloha č. 1 k notifikácii o zmene, ev.č.: 2017/06690-ZIA</w:t>
    </w:r>
  </w:p>
  <w:p w14:paraId="45A66740" w14:textId="77777777" w:rsidR="004A586F" w:rsidRDefault="004A586F">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1F91E" w14:textId="195EA304" w:rsidR="000E56CA" w:rsidRPr="00913616" w:rsidRDefault="00995AE5">
    <w:pPr>
      <w:pStyle w:val="Hlavika"/>
      <w:rPr>
        <w:sz w:val="18"/>
        <w:szCs w:val="18"/>
      </w:rPr>
    </w:pPr>
    <w:r>
      <w:rPr>
        <w:sz w:val="18"/>
        <w:szCs w:val="18"/>
      </w:rPr>
      <w:t xml:space="preserve">Príloha č. </w:t>
    </w:r>
    <w:r w:rsidR="00D73296">
      <w:rPr>
        <w:sz w:val="18"/>
        <w:szCs w:val="18"/>
      </w:rPr>
      <w:t>1</w:t>
    </w:r>
    <w:r>
      <w:rPr>
        <w:sz w:val="18"/>
        <w:szCs w:val="18"/>
      </w:rPr>
      <w:t xml:space="preserve"> k notifikácii o zmene, ev.č.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564DCE"/>
    <w:multiLevelType w:val="hybridMultilevel"/>
    <w:tmpl w:val="9EACBF4C"/>
    <w:lvl w:ilvl="0" w:tplc="92A2F30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308C392D"/>
    <w:multiLevelType w:val="hybridMultilevel"/>
    <w:tmpl w:val="5948A502"/>
    <w:lvl w:ilvl="0" w:tplc="3EB4D03C">
      <w:start w:val="1"/>
      <w:numFmt w:val="bullet"/>
      <w:lvlText w:val="­"/>
      <w:lvlJc w:val="left"/>
      <w:pPr>
        <w:tabs>
          <w:tab w:val="num" w:pos="3205"/>
        </w:tabs>
        <w:ind w:left="3205" w:hanging="360"/>
      </w:pPr>
      <w:rPr>
        <w:rFonts w:ascii="Times New Roman" w:hAnsi="Times New Roman" w:hint="default"/>
        <w:color w:val="auto"/>
      </w:rPr>
    </w:lvl>
    <w:lvl w:ilvl="1" w:tplc="041B0003" w:tentative="1">
      <w:start w:val="1"/>
      <w:numFmt w:val="bullet"/>
      <w:lvlText w:val="o"/>
      <w:lvlJc w:val="left"/>
      <w:pPr>
        <w:tabs>
          <w:tab w:val="num" w:pos="1450"/>
        </w:tabs>
        <w:ind w:left="1450" w:hanging="360"/>
      </w:pPr>
      <w:rPr>
        <w:rFonts w:ascii="Courier New" w:hAnsi="Courier New" w:hint="default"/>
      </w:rPr>
    </w:lvl>
    <w:lvl w:ilvl="2" w:tplc="041B0005" w:tentative="1">
      <w:start w:val="1"/>
      <w:numFmt w:val="bullet"/>
      <w:lvlText w:val=""/>
      <w:lvlJc w:val="left"/>
      <w:pPr>
        <w:tabs>
          <w:tab w:val="num" w:pos="2170"/>
        </w:tabs>
        <w:ind w:left="2170" w:hanging="360"/>
      </w:pPr>
      <w:rPr>
        <w:rFonts w:ascii="Wingdings" w:hAnsi="Wingdings" w:hint="default"/>
      </w:rPr>
    </w:lvl>
    <w:lvl w:ilvl="3" w:tplc="041B0001" w:tentative="1">
      <w:start w:val="1"/>
      <w:numFmt w:val="bullet"/>
      <w:lvlText w:val=""/>
      <w:lvlJc w:val="left"/>
      <w:pPr>
        <w:tabs>
          <w:tab w:val="num" w:pos="2890"/>
        </w:tabs>
        <w:ind w:left="2890" w:hanging="360"/>
      </w:pPr>
      <w:rPr>
        <w:rFonts w:ascii="Symbol" w:hAnsi="Symbol" w:hint="default"/>
      </w:rPr>
    </w:lvl>
    <w:lvl w:ilvl="4" w:tplc="041B0003" w:tentative="1">
      <w:start w:val="1"/>
      <w:numFmt w:val="bullet"/>
      <w:lvlText w:val="o"/>
      <w:lvlJc w:val="left"/>
      <w:pPr>
        <w:tabs>
          <w:tab w:val="num" w:pos="3610"/>
        </w:tabs>
        <w:ind w:left="3610" w:hanging="360"/>
      </w:pPr>
      <w:rPr>
        <w:rFonts w:ascii="Courier New" w:hAnsi="Courier New" w:hint="default"/>
      </w:rPr>
    </w:lvl>
    <w:lvl w:ilvl="5" w:tplc="041B0005" w:tentative="1">
      <w:start w:val="1"/>
      <w:numFmt w:val="bullet"/>
      <w:lvlText w:val=""/>
      <w:lvlJc w:val="left"/>
      <w:pPr>
        <w:tabs>
          <w:tab w:val="num" w:pos="4330"/>
        </w:tabs>
        <w:ind w:left="4330" w:hanging="360"/>
      </w:pPr>
      <w:rPr>
        <w:rFonts w:ascii="Wingdings" w:hAnsi="Wingdings" w:hint="default"/>
      </w:rPr>
    </w:lvl>
    <w:lvl w:ilvl="6" w:tplc="041B0001" w:tentative="1">
      <w:start w:val="1"/>
      <w:numFmt w:val="bullet"/>
      <w:lvlText w:val=""/>
      <w:lvlJc w:val="left"/>
      <w:pPr>
        <w:tabs>
          <w:tab w:val="num" w:pos="5050"/>
        </w:tabs>
        <w:ind w:left="5050" w:hanging="360"/>
      </w:pPr>
      <w:rPr>
        <w:rFonts w:ascii="Symbol" w:hAnsi="Symbol" w:hint="default"/>
      </w:rPr>
    </w:lvl>
    <w:lvl w:ilvl="7" w:tplc="041B0003" w:tentative="1">
      <w:start w:val="1"/>
      <w:numFmt w:val="bullet"/>
      <w:lvlText w:val="o"/>
      <w:lvlJc w:val="left"/>
      <w:pPr>
        <w:tabs>
          <w:tab w:val="num" w:pos="5770"/>
        </w:tabs>
        <w:ind w:left="5770" w:hanging="360"/>
      </w:pPr>
      <w:rPr>
        <w:rFonts w:ascii="Courier New" w:hAnsi="Courier New" w:hint="default"/>
      </w:rPr>
    </w:lvl>
    <w:lvl w:ilvl="8" w:tplc="041B0005" w:tentative="1">
      <w:start w:val="1"/>
      <w:numFmt w:val="bullet"/>
      <w:lvlText w:val=""/>
      <w:lvlJc w:val="left"/>
      <w:pPr>
        <w:tabs>
          <w:tab w:val="num" w:pos="6490"/>
        </w:tabs>
        <w:ind w:left="6490" w:hanging="360"/>
      </w:pPr>
      <w:rPr>
        <w:rFonts w:ascii="Wingdings" w:hAnsi="Wingdings" w:hint="default"/>
      </w:rPr>
    </w:lvl>
  </w:abstractNum>
  <w:abstractNum w:abstractNumId="2">
    <w:nsid w:val="665B0365"/>
    <w:multiLevelType w:val="hybridMultilevel"/>
    <w:tmpl w:val="E39EAD8A"/>
    <w:lvl w:ilvl="0" w:tplc="99107E8A">
      <w:numFmt w:val="bullet"/>
      <w:lvlText w:val="-"/>
      <w:lvlJc w:val="left"/>
      <w:pPr>
        <w:tabs>
          <w:tab w:val="num" w:pos="370"/>
        </w:tabs>
        <w:ind w:left="370" w:hanging="360"/>
      </w:pPr>
      <w:rPr>
        <w:rFonts w:ascii="Arial" w:eastAsia="Times New Roman" w:hAnsi="Arial" w:hint="default"/>
      </w:rPr>
    </w:lvl>
    <w:lvl w:ilvl="1" w:tplc="041B0003" w:tentative="1">
      <w:start w:val="1"/>
      <w:numFmt w:val="bullet"/>
      <w:lvlText w:val="o"/>
      <w:lvlJc w:val="left"/>
      <w:pPr>
        <w:tabs>
          <w:tab w:val="num" w:pos="1090"/>
        </w:tabs>
        <w:ind w:left="1090" w:hanging="360"/>
      </w:pPr>
      <w:rPr>
        <w:rFonts w:ascii="Courier New" w:hAnsi="Courier New" w:hint="default"/>
      </w:rPr>
    </w:lvl>
    <w:lvl w:ilvl="2" w:tplc="041B0005" w:tentative="1">
      <w:start w:val="1"/>
      <w:numFmt w:val="bullet"/>
      <w:lvlText w:val=""/>
      <w:lvlJc w:val="left"/>
      <w:pPr>
        <w:tabs>
          <w:tab w:val="num" w:pos="1810"/>
        </w:tabs>
        <w:ind w:left="1810" w:hanging="360"/>
      </w:pPr>
      <w:rPr>
        <w:rFonts w:ascii="Wingdings" w:hAnsi="Wingdings" w:hint="default"/>
      </w:rPr>
    </w:lvl>
    <w:lvl w:ilvl="3" w:tplc="041B0001" w:tentative="1">
      <w:start w:val="1"/>
      <w:numFmt w:val="bullet"/>
      <w:lvlText w:val=""/>
      <w:lvlJc w:val="left"/>
      <w:pPr>
        <w:tabs>
          <w:tab w:val="num" w:pos="2530"/>
        </w:tabs>
        <w:ind w:left="2530" w:hanging="360"/>
      </w:pPr>
      <w:rPr>
        <w:rFonts w:ascii="Symbol" w:hAnsi="Symbol" w:hint="default"/>
      </w:rPr>
    </w:lvl>
    <w:lvl w:ilvl="4" w:tplc="041B0003" w:tentative="1">
      <w:start w:val="1"/>
      <w:numFmt w:val="bullet"/>
      <w:lvlText w:val="o"/>
      <w:lvlJc w:val="left"/>
      <w:pPr>
        <w:tabs>
          <w:tab w:val="num" w:pos="3250"/>
        </w:tabs>
        <w:ind w:left="3250" w:hanging="360"/>
      </w:pPr>
      <w:rPr>
        <w:rFonts w:ascii="Courier New" w:hAnsi="Courier New" w:hint="default"/>
      </w:rPr>
    </w:lvl>
    <w:lvl w:ilvl="5" w:tplc="041B0005" w:tentative="1">
      <w:start w:val="1"/>
      <w:numFmt w:val="bullet"/>
      <w:lvlText w:val=""/>
      <w:lvlJc w:val="left"/>
      <w:pPr>
        <w:tabs>
          <w:tab w:val="num" w:pos="3970"/>
        </w:tabs>
        <w:ind w:left="3970" w:hanging="360"/>
      </w:pPr>
      <w:rPr>
        <w:rFonts w:ascii="Wingdings" w:hAnsi="Wingdings" w:hint="default"/>
      </w:rPr>
    </w:lvl>
    <w:lvl w:ilvl="6" w:tplc="041B0001" w:tentative="1">
      <w:start w:val="1"/>
      <w:numFmt w:val="bullet"/>
      <w:lvlText w:val=""/>
      <w:lvlJc w:val="left"/>
      <w:pPr>
        <w:tabs>
          <w:tab w:val="num" w:pos="4690"/>
        </w:tabs>
        <w:ind w:left="4690" w:hanging="360"/>
      </w:pPr>
      <w:rPr>
        <w:rFonts w:ascii="Symbol" w:hAnsi="Symbol" w:hint="default"/>
      </w:rPr>
    </w:lvl>
    <w:lvl w:ilvl="7" w:tplc="041B0003" w:tentative="1">
      <w:start w:val="1"/>
      <w:numFmt w:val="bullet"/>
      <w:lvlText w:val="o"/>
      <w:lvlJc w:val="left"/>
      <w:pPr>
        <w:tabs>
          <w:tab w:val="num" w:pos="5410"/>
        </w:tabs>
        <w:ind w:left="5410" w:hanging="360"/>
      </w:pPr>
      <w:rPr>
        <w:rFonts w:ascii="Courier New" w:hAnsi="Courier New" w:hint="default"/>
      </w:rPr>
    </w:lvl>
    <w:lvl w:ilvl="8" w:tplc="041B0005" w:tentative="1">
      <w:start w:val="1"/>
      <w:numFmt w:val="bullet"/>
      <w:lvlText w:val=""/>
      <w:lvlJc w:val="left"/>
      <w:pPr>
        <w:tabs>
          <w:tab w:val="num" w:pos="6130"/>
        </w:tabs>
        <w:ind w:left="613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ckova">
    <w15:presenceInfo w15:providerId="None" w15:userId="Lacko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EA3"/>
    <w:rsid w:val="000028B7"/>
    <w:rsid w:val="00002D1F"/>
    <w:rsid w:val="00012151"/>
    <w:rsid w:val="00017664"/>
    <w:rsid w:val="0002652B"/>
    <w:rsid w:val="000518D0"/>
    <w:rsid w:val="0006365E"/>
    <w:rsid w:val="0006417E"/>
    <w:rsid w:val="00075AC4"/>
    <w:rsid w:val="000944FE"/>
    <w:rsid w:val="000B0D94"/>
    <w:rsid w:val="000E56CA"/>
    <w:rsid w:val="000E5AA7"/>
    <w:rsid w:val="000F67CC"/>
    <w:rsid w:val="001046D5"/>
    <w:rsid w:val="0010473A"/>
    <w:rsid w:val="00105D45"/>
    <w:rsid w:val="00106764"/>
    <w:rsid w:val="00111E0A"/>
    <w:rsid w:val="00113A1D"/>
    <w:rsid w:val="00126F7A"/>
    <w:rsid w:val="00140A57"/>
    <w:rsid w:val="00150847"/>
    <w:rsid w:val="0016369E"/>
    <w:rsid w:val="00176769"/>
    <w:rsid w:val="001B24D8"/>
    <w:rsid w:val="001B5CC7"/>
    <w:rsid w:val="001D153E"/>
    <w:rsid w:val="001E4B2C"/>
    <w:rsid w:val="001F61B1"/>
    <w:rsid w:val="00213D1B"/>
    <w:rsid w:val="0021457C"/>
    <w:rsid w:val="002412FB"/>
    <w:rsid w:val="00275DA9"/>
    <w:rsid w:val="002946B4"/>
    <w:rsid w:val="002B3282"/>
    <w:rsid w:val="002D18B2"/>
    <w:rsid w:val="002F1D33"/>
    <w:rsid w:val="00311DF0"/>
    <w:rsid w:val="003173B7"/>
    <w:rsid w:val="0034363A"/>
    <w:rsid w:val="00343A06"/>
    <w:rsid w:val="003537B2"/>
    <w:rsid w:val="003A1FAA"/>
    <w:rsid w:val="003E011A"/>
    <w:rsid w:val="003E202E"/>
    <w:rsid w:val="003E379F"/>
    <w:rsid w:val="00400DB4"/>
    <w:rsid w:val="00413331"/>
    <w:rsid w:val="004260AE"/>
    <w:rsid w:val="004314A7"/>
    <w:rsid w:val="0044311B"/>
    <w:rsid w:val="004450D3"/>
    <w:rsid w:val="0045257B"/>
    <w:rsid w:val="00457E1C"/>
    <w:rsid w:val="00460D20"/>
    <w:rsid w:val="004A586F"/>
    <w:rsid w:val="004B13E3"/>
    <w:rsid w:val="004B161D"/>
    <w:rsid w:val="004B44AC"/>
    <w:rsid w:val="004C18E5"/>
    <w:rsid w:val="004D2F87"/>
    <w:rsid w:val="004D3562"/>
    <w:rsid w:val="004D37A7"/>
    <w:rsid w:val="004D636E"/>
    <w:rsid w:val="004D7BC4"/>
    <w:rsid w:val="004E7B8B"/>
    <w:rsid w:val="004F3BFE"/>
    <w:rsid w:val="005023D8"/>
    <w:rsid w:val="00515A8A"/>
    <w:rsid w:val="00537E69"/>
    <w:rsid w:val="005466B6"/>
    <w:rsid w:val="00547DE0"/>
    <w:rsid w:val="00560318"/>
    <w:rsid w:val="005615FB"/>
    <w:rsid w:val="00576078"/>
    <w:rsid w:val="00583AA1"/>
    <w:rsid w:val="00593A63"/>
    <w:rsid w:val="00596DC9"/>
    <w:rsid w:val="005A108C"/>
    <w:rsid w:val="005B5E5E"/>
    <w:rsid w:val="005D40E0"/>
    <w:rsid w:val="005E178D"/>
    <w:rsid w:val="005E6851"/>
    <w:rsid w:val="005F2CDB"/>
    <w:rsid w:val="005F3915"/>
    <w:rsid w:val="00604FEB"/>
    <w:rsid w:val="00606397"/>
    <w:rsid w:val="00637CC8"/>
    <w:rsid w:val="006417F3"/>
    <w:rsid w:val="006437EC"/>
    <w:rsid w:val="006458CC"/>
    <w:rsid w:val="0065243E"/>
    <w:rsid w:val="006735EA"/>
    <w:rsid w:val="00674AE0"/>
    <w:rsid w:val="0067778F"/>
    <w:rsid w:val="006B043A"/>
    <w:rsid w:val="006B53EE"/>
    <w:rsid w:val="006B6F95"/>
    <w:rsid w:val="006D2259"/>
    <w:rsid w:val="006E3761"/>
    <w:rsid w:val="006E4BDC"/>
    <w:rsid w:val="006F4E35"/>
    <w:rsid w:val="00705B10"/>
    <w:rsid w:val="00722BB1"/>
    <w:rsid w:val="0072362F"/>
    <w:rsid w:val="00726041"/>
    <w:rsid w:val="007331F4"/>
    <w:rsid w:val="00733F81"/>
    <w:rsid w:val="007402EF"/>
    <w:rsid w:val="007451AF"/>
    <w:rsid w:val="007478DD"/>
    <w:rsid w:val="007516D0"/>
    <w:rsid w:val="00760211"/>
    <w:rsid w:val="007615C4"/>
    <w:rsid w:val="0076494A"/>
    <w:rsid w:val="00782D49"/>
    <w:rsid w:val="00790C3E"/>
    <w:rsid w:val="00796B75"/>
    <w:rsid w:val="0079745C"/>
    <w:rsid w:val="007B113E"/>
    <w:rsid w:val="007B49E2"/>
    <w:rsid w:val="007E2906"/>
    <w:rsid w:val="007E5940"/>
    <w:rsid w:val="007E73AA"/>
    <w:rsid w:val="00814669"/>
    <w:rsid w:val="0083220F"/>
    <w:rsid w:val="00833729"/>
    <w:rsid w:val="00835C50"/>
    <w:rsid w:val="00845169"/>
    <w:rsid w:val="008616D7"/>
    <w:rsid w:val="00862C8A"/>
    <w:rsid w:val="008710D7"/>
    <w:rsid w:val="00872E69"/>
    <w:rsid w:val="008842A6"/>
    <w:rsid w:val="008A5356"/>
    <w:rsid w:val="008C5CF2"/>
    <w:rsid w:val="008D0CED"/>
    <w:rsid w:val="008D33D0"/>
    <w:rsid w:val="008D552F"/>
    <w:rsid w:val="008E0093"/>
    <w:rsid w:val="009050CC"/>
    <w:rsid w:val="00913616"/>
    <w:rsid w:val="00914A90"/>
    <w:rsid w:val="009220DE"/>
    <w:rsid w:val="00925E53"/>
    <w:rsid w:val="00944707"/>
    <w:rsid w:val="00946130"/>
    <w:rsid w:val="0096285C"/>
    <w:rsid w:val="00980C60"/>
    <w:rsid w:val="00984382"/>
    <w:rsid w:val="00991526"/>
    <w:rsid w:val="00995AE5"/>
    <w:rsid w:val="009D1038"/>
    <w:rsid w:val="009E3A03"/>
    <w:rsid w:val="009E419D"/>
    <w:rsid w:val="00A0593E"/>
    <w:rsid w:val="00A07B95"/>
    <w:rsid w:val="00A16E64"/>
    <w:rsid w:val="00A31F05"/>
    <w:rsid w:val="00A33A6E"/>
    <w:rsid w:val="00A41F72"/>
    <w:rsid w:val="00A438B1"/>
    <w:rsid w:val="00A564DA"/>
    <w:rsid w:val="00A7195A"/>
    <w:rsid w:val="00A83FD6"/>
    <w:rsid w:val="00A904AF"/>
    <w:rsid w:val="00A92121"/>
    <w:rsid w:val="00A936DB"/>
    <w:rsid w:val="00AA1EF7"/>
    <w:rsid w:val="00AC319D"/>
    <w:rsid w:val="00AD6B76"/>
    <w:rsid w:val="00AF2A0E"/>
    <w:rsid w:val="00B01002"/>
    <w:rsid w:val="00B0164C"/>
    <w:rsid w:val="00B034AA"/>
    <w:rsid w:val="00B1719B"/>
    <w:rsid w:val="00B2266D"/>
    <w:rsid w:val="00B348B6"/>
    <w:rsid w:val="00B3581A"/>
    <w:rsid w:val="00B4664D"/>
    <w:rsid w:val="00B81B5A"/>
    <w:rsid w:val="00BE1380"/>
    <w:rsid w:val="00BE19C0"/>
    <w:rsid w:val="00BE26FF"/>
    <w:rsid w:val="00BF511A"/>
    <w:rsid w:val="00BF6D5D"/>
    <w:rsid w:val="00C231AE"/>
    <w:rsid w:val="00C3334F"/>
    <w:rsid w:val="00C33FC4"/>
    <w:rsid w:val="00C50422"/>
    <w:rsid w:val="00C61DA1"/>
    <w:rsid w:val="00C64CC1"/>
    <w:rsid w:val="00C72E19"/>
    <w:rsid w:val="00CB31F9"/>
    <w:rsid w:val="00CC7306"/>
    <w:rsid w:val="00CD0B97"/>
    <w:rsid w:val="00CD5A7E"/>
    <w:rsid w:val="00CE04D7"/>
    <w:rsid w:val="00CE1617"/>
    <w:rsid w:val="00CE791C"/>
    <w:rsid w:val="00CF6D11"/>
    <w:rsid w:val="00D000D6"/>
    <w:rsid w:val="00D02452"/>
    <w:rsid w:val="00D0449C"/>
    <w:rsid w:val="00D04DD4"/>
    <w:rsid w:val="00D10546"/>
    <w:rsid w:val="00D16703"/>
    <w:rsid w:val="00D21AC9"/>
    <w:rsid w:val="00D2265A"/>
    <w:rsid w:val="00D2336B"/>
    <w:rsid w:val="00D2398B"/>
    <w:rsid w:val="00D34A05"/>
    <w:rsid w:val="00D35CB1"/>
    <w:rsid w:val="00D35ED1"/>
    <w:rsid w:val="00D44516"/>
    <w:rsid w:val="00D47567"/>
    <w:rsid w:val="00D5140E"/>
    <w:rsid w:val="00D52622"/>
    <w:rsid w:val="00D5495A"/>
    <w:rsid w:val="00D73296"/>
    <w:rsid w:val="00D915F9"/>
    <w:rsid w:val="00D965FB"/>
    <w:rsid w:val="00DA1A40"/>
    <w:rsid w:val="00DA2621"/>
    <w:rsid w:val="00DC76C3"/>
    <w:rsid w:val="00DE0835"/>
    <w:rsid w:val="00DF7E32"/>
    <w:rsid w:val="00E23C60"/>
    <w:rsid w:val="00E45342"/>
    <w:rsid w:val="00E46CBC"/>
    <w:rsid w:val="00E51194"/>
    <w:rsid w:val="00E63EA3"/>
    <w:rsid w:val="00E65402"/>
    <w:rsid w:val="00E701B2"/>
    <w:rsid w:val="00E7571C"/>
    <w:rsid w:val="00E75B01"/>
    <w:rsid w:val="00E80024"/>
    <w:rsid w:val="00E81B0C"/>
    <w:rsid w:val="00E82010"/>
    <w:rsid w:val="00EA0AF0"/>
    <w:rsid w:val="00EA47CD"/>
    <w:rsid w:val="00EB00AD"/>
    <w:rsid w:val="00EC386E"/>
    <w:rsid w:val="00ED1C9C"/>
    <w:rsid w:val="00F16C06"/>
    <w:rsid w:val="00F27459"/>
    <w:rsid w:val="00F37E0B"/>
    <w:rsid w:val="00F65309"/>
    <w:rsid w:val="00F65B84"/>
    <w:rsid w:val="00F75982"/>
    <w:rsid w:val="00F843FD"/>
    <w:rsid w:val="00F861A3"/>
    <w:rsid w:val="00F92662"/>
    <w:rsid w:val="00FB0438"/>
    <w:rsid w:val="00FE0723"/>
    <w:rsid w:val="00FE45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3DC3CA5"/>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pPr>
      <w:keepNext/>
      <w:outlineLvl w:val="0"/>
    </w:pPr>
    <w:rPr>
      <w:b/>
      <w:sz w:val="28"/>
      <w:lang w:val="cs-CZ"/>
    </w:rPr>
  </w:style>
  <w:style w:type="paragraph" w:styleId="Nadpis2">
    <w:name w:val="heading 2"/>
    <w:basedOn w:val="Normlny"/>
    <w:next w:val="Normlny"/>
    <w:link w:val="Nadpis2Char"/>
    <w:uiPriority w:val="9"/>
    <w:qFormat/>
    <w:pPr>
      <w:keepNext/>
      <w:outlineLvl w:val="1"/>
    </w:pPr>
    <w:rPr>
      <w:i/>
      <w:u w:val="single"/>
      <w:lang w:val="cs-CZ"/>
    </w:rPr>
  </w:style>
  <w:style w:type="paragraph" w:styleId="Nadpis3">
    <w:name w:val="heading 3"/>
    <w:basedOn w:val="Normlny"/>
    <w:next w:val="Normlny"/>
    <w:link w:val="Nadpis3Char"/>
    <w:uiPriority w:val="9"/>
    <w:qFormat/>
    <w:pPr>
      <w:keepNext/>
      <w:outlineLvl w:val="2"/>
    </w:pPr>
    <w:rPr>
      <w:b/>
      <w:lang w:val="cs-CZ"/>
    </w:rPr>
  </w:style>
  <w:style w:type="paragraph" w:styleId="Nadpis4">
    <w:name w:val="heading 4"/>
    <w:basedOn w:val="Normlny"/>
    <w:next w:val="Normlny"/>
    <w:link w:val="Nadpis4Char"/>
    <w:uiPriority w:val="9"/>
    <w:qFormat/>
    <w:pPr>
      <w:keepNext/>
      <w:outlineLvl w:val="3"/>
    </w:pPr>
    <w:rPr>
      <w:b/>
      <w:sz w:val="24"/>
      <w:u w:val="single"/>
    </w:rPr>
  </w:style>
  <w:style w:type="paragraph" w:styleId="Nadpis5">
    <w:name w:val="heading 5"/>
    <w:basedOn w:val="Normlny"/>
    <w:next w:val="Normlny"/>
    <w:link w:val="Nadpis5Char"/>
    <w:uiPriority w:val="9"/>
    <w:qFormat/>
    <w:pPr>
      <w:keepNext/>
      <w:jc w:val="both"/>
      <w:outlineLvl w:val="4"/>
    </w:pPr>
    <w:rPr>
      <w:i/>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rsid w:val="00AF76F0"/>
    <w:rPr>
      <w:rFonts w:ascii="Calibri Light" w:eastAsia="Times New Roman" w:hAnsi="Calibri Light" w:cs="Times New Roman"/>
      <w:b/>
      <w:bCs/>
      <w:kern w:val="32"/>
      <w:sz w:val="32"/>
      <w:szCs w:val="32"/>
    </w:rPr>
  </w:style>
  <w:style w:type="character" w:customStyle="1" w:styleId="Nadpis2Char">
    <w:name w:val="Nadpis 2 Char"/>
    <w:link w:val="Nadpis2"/>
    <w:uiPriority w:val="9"/>
    <w:semiHidden/>
    <w:rsid w:val="00AF76F0"/>
    <w:rPr>
      <w:rFonts w:ascii="Calibri Light" w:eastAsia="Times New Roman" w:hAnsi="Calibri Light" w:cs="Times New Roman"/>
      <w:b/>
      <w:bCs/>
      <w:i/>
      <w:iCs/>
      <w:sz w:val="28"/>
      <w:szCs w:val="28"/>
    </w:rPr>
  </w:style>
  <w:style w:type="character" w:customStyle="1" w:styleId="Nadpis3Char">
    <w:name w:val="Nadpis 3 Char"/>
    <w:link w:val="Nadpis3"/>
    <w:uiPriority w:val="9"/>
    <w:semiHidden/>
    <w:rsid w:val="00AF76F0"/>
    <w:rPr>
      <w:rFonts w:ascii="Calibri Light" w:eastAsia="Times New Roman" w:hAnsi="Calibri Light" w:cs="Times New Roman"/>
      <w:b/>
      <w:bCs/>
      <w:sz w:val="26"/>
      <w:szCs w:val="26"/>
    </w:rPr>
  </w:style>
  <w:style w:type="character" w:customStyle="1" w:styleId="Nadpis4Char">
    <w:name w:val="Nadpis 4 Char"/>
    <w:link w:val="Nadpis4"/>
    <w:uiPriority w:val="9"/>
    <w:semiHidden/>
    <w:rsid w:val="00AF76F0"/>
    <w:rPr>
      <w:rFonts w:ascii="Calibri" w:eastAsia="Times New Roman" w:hAnsi="Calibri" w:cs="Times New Roman"/>
      <w:b/>
      <w:bCs/>
      <w:sz w:val="28"/>
      <w:szCs w:val="28"/>
    </w:rPr>
  </w:style>
  <w:style w:type="character" w:customStyle="1" w:styleId="Nadpis5Char">
    <w:name w:val="Nadpis 5 Char"/>
    <w:link w:val="Nadpis5"/>
    <w:uiPriority w:val="9"/>
    <w:semiHidden/>
    <w:rsid w:val="00AF76F0"/>
    <w:rPr>
      <w:rFonts w:ascii="Calibri" w:eastAsia="Times New Roman" w:hAnsi="Calibri" w:cs="Times New Roman"/>
      <w:b/>
      <w:bCs/>
      <w:i/>
      <w:iCs/>
      <w:sz w:val="26"/>
      <w:szCs w:val="26"/>
    </w:rPr>
  </w:style>
  <w:style w:type="paragraph" w:styleId="Zkladntext">
    <w:name w:val="Body Text"/>
    <w:basedOn w:val="Normlny"/>
    <w:link w:val="ZkladntextChar"/>
    <w:uiPriority w:val="99"/>
    <w:semiHidden/>
    <w:pPr>
      <w:jc w:val="both"/>
    </w:pPr>
    <w:rPr>
      <w:lang w:val="cs-CZ"/>
    </w:rPr>
  </w:style>
  <w:style w:type="character" w:customStyle="1" w:styleId="ZkladntextChar">
    <w:name w:val="Základný text Char"/>
    <w:basedOn w:val="Predvolenpsmoodseku"/>
    <w:link w:val="Zkladntext"/>
    <w:uiPriority w:val="99"/>
    <w:semiHidden/>
    <w:rsid w:val="00AF76F0"/>
  </w:style>
  <w:style w:type="paragraph" w:styleId="Zkladntext2">
    <w:name w:val="Body Text 2"/>
    <w:basedOn w:val="Normlny"/>
    <w:link w:val="Zkladntext2Char"/>
    <w:uiPriority w:val="99"/>
    <w:semiHidden/>
    <w:pPr>
      <w:jc w:val="both"/>
    </w:pPr>
    <w:rPr>
      <w:sz w:val="24"/>
    </w:rPr>
  </w:style>
  <w:style w:type="character" w:customStyle="1" w:styleId="Zkladntext2Char">
    <w:name w:val="Základný text 2 Char"/>
    <w:basedOn w:val="Predvolenpsmoodseku"/>
    <w:link w:val="Zkladntext2"/>
    <w:uiPriority w:val="99"/>
    <w:semiHidden/>
    <w:rsid w:val="00AF76F0"/>
  </w:style>
  <w:style w:type="paragraph" w:customStyle="1" w:styleId="Textbubliny1">
    <w:name w:val="Text bubliny1"/>
    <w:basedOn w:val="Normlny"/>
    <w:semiHidden/>
    <w:rPr>
      <w:rFonts w:ascii="Tahoma" w:hAnsi="Tahoma" w:cs="Tahoma"/>
      <w:sz w:val="16"/>
      <w:szCs w:val="16"/>
    </w:rPr>
  </w:style>
  <w:style w:type="paragraph" w:styleId="Pta">
    <w:name w:val="footer"/>
    <w:basedOn w:val="Normlny"/>
    <w:link w:val="PtaChar"/>
    <w:uiPriority w:val="99"/>
    <w:pPr>
      <w:tabs>
        <w:tab w:val="center" w:pos="4536"/>
        <w:tab w:val="right" w:pos="9072"/>
      </w:tabs>
    </w:pPr>
  </w:style>
  <w:style w:type="character" w:customStyle="1" w:styleId="PtaChar">
    <w:name w:val="Päta Char"/>
    <w:basedOn w:val="Predvolenpsmoodseku"/>
    <w:link w:val="Pta"/>
    <w:uiPriority w:val="99"/>
    <w:rsid w:val="00AF76F0"/>
  </w:style>
  <w:style w:type="character" w:styleId="slostrany">
    <w:name w:val="page number"/>
    <w:uiPriority w:val="99"/>
    <w:semiHidden/>
    <w:rPr>
      <w:rFonts w:cs="Times New Roman"/>
    </w:rPr>
  </w:style>
  <w:style w:type="paragraph" w:styleId="Zkladntext3">
    <w:name w:val="Body Text 3"/>
    <w:basedOn w:val="Normlny"/>
    <w:link w:val="Zkladntext3Char"/>
    <w:uiPriority w:val="99"/>
    <w:semiHidden/>
    <w:pPr>
      <w:shd w:val="clear" w:color="auto" w:fill="FFFFFF"/>
      <w:tabs>
        <w:tab w:val="left" w:pos="192"/>
      </w:tabs>
      <w:spacing w:before="144"/>
    </w:pPr>
    <w:rPr>
      <w:rFonts w:ascii="Arial" w:hAnsi="Arial" w:cs="Arial"/>
      <w:color w:val="000000"/>
      <w:spacing w:val="4"/>
    </w:rPr>
  </w:style>
  <w:style w:type="character" w:customStyle="1" w:styleId="Zkladntext3Char">
    <w:name w:val="Základný text 3 Char"/>
    <w:link w:val="Zkladntext3"/>
    <w:uiPriority w:val="99"/>
    <w:semiHidden/>
    <w:rsid w:val="00AF76F0"/>
    <w:rPr>
      <w:sz w:val="16"/>
      <w:szCs w:val="16"/>
    </w:rPr>
  </w:style>
  <w:style w:type="paragraph" w:styleId="Textbubliny">
    <w:name w:val="Balloon Text"/>
    <w:basedOn w:val="Normlny"/>
    <w:link w:val="TextbublinyChar"/>
    <w:uiPriority w:val="99"/>
    <w:semiHidden/>
    <w:unhideWhenUsed/>
    <w:rsid w:val="00E63EA3"/>
    <w:rPr>
      <w:rFonts w:ascii="Tahoma" w:hAnsi="Tahoma"/>
      <w:sz w:val="16"/>
      <w:szCs w:val="16"/>
    </w:rPr>
  </w:style>
  <w:style w:type="character" w:customStyle="1" w:styleId="TextbublinyChar">
    <w:name w:val="Text bubliny Char"/>
    <w:link w:val="Textbubliny"/>
    <w:uiPriority w:val="99"/>
    <w:semiHidden/>
    <w:locked/>
    <w:rsid w:val="00E63EA3"/>
    <w:rPr>
      <w:rFonts w:ascii="Tahoma" w:hAnsi="Tahoma"/>
      <w:sz w:val="16"/>
      <w:lang w:val="sk-SK" w:eastAsia="sk-SK"/>
    </w:rPr>
  </w:style>
  <w:style w:type="paragraph" w:styleId="Hlavika">
    <w:name w:val="header"/>
    <w:basedOn w:val="Normlny"/>
    <w:link w:val="HlavikaChar"/>
    <w:uiPriority w:val="99"/>
    <w:unhideWhenUsed/>
    <w:rsid w:val="00913616"/>
    <w:pPr>
      <w:tabs>
        <w:tab w:val="center" w:pos="4536"/>
        <w:tab w:val="right" w:pos="9072"/>
      </w:tabs>
    </w:pPr>
  </w:style>
  <w:style w:type="character" w:customStyle="1" w:styleId="HlavikaChar">
    <w:name w:val="Hlavička Char"/>
    <w:link w:val="Hlavika"/>
    <w:uiPriority w:val="99"/>
    <w:locked/>
    <w:rsid w:val="00913616"/>
    <w:rPr>
      <w:rFonts w:cs="Times New Roman"/>
    </w:rPr>
  </w:style>
  <w:style w:type="character" w:styleId="Odkaznakomentr">
    <w:name w:val="annotation reference"/>
    <w:uiPriority w:val="99"/>
    <w:semiHidden/>
    <w:unhideWhenUsed/>
    <w:rsid w:val="0067778F"/>
    <w:rPr>
      <w:sz w:val="16"/>
    </w:rPr>
  </w:style>
  <w:style w:type="paragraph" w:styleId="Textkomentra">
    <w:name w:val="annotation text"/>
    <w:basedOn w:val="Normlny"/>
    <w:link w:val="TextkomentraChar"/>
    <w:uiPriority w:val="99"/>
    <w:semiHidden/>
    <w:unhideWhenUsed/>
    <w:rsid w:val="0067778F"/>
  </w:style>
  <w:style w:type="character" w:customStyle="1" w:styleId="TextkomentraChar">
    <w:name w:val="Text komentára Char"/>
    <w:link w:val="Textkomentra"/>
    <w:uiPriority w:val="99"/>
    <w:semiHidden/>
    <w:locked/>
    <w:rsid w:val="0067778F"/>
    <w:rPr>
      <w:rFonts w:cs="Times New Roman"/>
    </w:rPr>
  </w:style>
  <w:style w:type="paragraph" w:styleId="Predmetkomentra">
    <w:name w:val="annotation subject"/>
    <w:basedOn w:val="Textkomentra"/>
    <w:next w:val="Textkomentra"/>
    <w:link w:val="PredmetkomentraChar"/>
    <w:uiPriority w:val="99"/>
    <w:semiHidden/>
    <w:unhideWhenUsed/>
    <w:rsid w:val="0067778F"/>
    <w:rPr>
      <w:b/>
      <w:bCs/>
    </w:rPr>
  </w:style>
  <w:style w:type="character" w:customStyle="1" w:styleId="PredmetkomentraChar">
    <w:name w:val="Predmet komentára Char"/>
    <w:link w:val="Predmetkomentra"/>
    <w:uiPriority w:val="99"/>
    <w:semiHidden/>
    <w:locked/>
    <w:rsid w:val="0067778F"/>
    <w:rPr>
      <w:rFonts w:cs="Times New Roman"/>
      <w:b/>
    </w:rPr>
  </w:style>
  <w:style w:type="character" w:styleId="Hypertextovprepojenie">
    <w:name w:val="Hyperlink"/>
    <w:uiPriority w:val="99"/>
    <w:unhideWhenUsed/>
    <w:rsid w:val="00D73296"/>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pPr>
      <w:keepNext/>
      <w:outlineLvl w:val="0"/>
    </w:pPr>
    <w:rPr>
      <w:b/>
      <w:sz w:val="28"/>
      <w:lang w:val="cs-CZ"/>
    </w:rPr>
  </w:style>
  <w:style w:type="paragraph" w:styleId="Nadpis2">
    <w:name w:val="heading 2"/>
    <w:basedOn w:val="Normlny"/>
    <w:next w:val="Normlny"/>
    <w:link w:val="Nadpis2Char"/>
    <w:uiPriority w:val="9"/>
    <w:qFormat/>
    <w:pPr>
      <w:keepNext/>
      <w:outlineLvl w:val="1"/>
    </w:pPr>
    <w:rPr>
      <w:i/>
      <w:u w:val="single"/>
      <w:lang w:val="cs-CZ"/>
    </w:rPr>
  </w:style>
  <w:style w:type="paragraph" w:styleId="Nadpis3">
    <w:name w:val="heading 3"/>
    <w:basedOn w:val="Normlny"/>
    <w:next w:val="Normlny"/>
    <w:link w:val="Nadpis3Char"/>
    <w:uiPriority w:val="9"/>
    <w:qFormat/>
    <w:pPr>
      <w:keepNext/>
      <w:outlineLvl w:val="2"/>
    </w:pPr>
    <w:rPr>
      <w:b/>
      <w:lang w:val="cs-CZ"/>
    </w:rPr>
  </w:style>
  <w:style w:type="paragraph" w:styleId="Nadpis4">
    <w:name w:val="heading 4"/>
    <w:basedOn w:val="Normlny"/>
    <w:next w:val="Normlny"/>
    <w:link w:val="Nadpis4Char"/>
    <w:uiPriority w:val="9"/>
    <w:qFormat/>
    <w:pPr>
      <w:keepNext/>
      <w:outlineLvl w:val="3"/>
    </w:pPr>
    <w:rPr>
      <w:b/>
      <w:sz w:val="24"/>
      <w:u w:val="single"/>
    </w:rPr>
  </w:style>
  <w:style w:type="paragraph" w:styleId="Nadpis5">
    <w:name w:val="heading 5"/>
    <w:basedOn w:val="Normlny"/>
    <w:next w:val="Normlny"/>
    <w:link w:val="Nadpis5Char"/>
    <w:uiPriority w:val="9"/>
    <w:qFormat/>
    <w:pPr>
      <w:keepNext/>
      <w:jc w:val="both"/>
      <w:outlineLvl w:val="4"/>
    </w:pPr>
    <w:rPr>
      <w:i/>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rsid w:val="00AF76F0"/>
    <w:rPr>
      <w:rFonts w:ascii="Calibri Light" w:eastAsia="Times New Roman" w:hAnsi="Calibri Light" w:cs="Times New Roman"/>
      <w:b/>
      <w:bCs/>
      <w:kern w:val="32"/>
      <w:sz w:val="32"/>
      <w:szCs w:val="32"/>
    </w:rPr>
  </w:style>
  <w:style w:type="character" w:customStyle="1" w:styleId="Nadpis2Char">
    <w:name w:val="Nadpis 2 Char"/>
    <w:link w:val="Nadpis2"/>
    <w:uiPriority w:val="9"/>
    <w:semiHidden/>
    <w:rsid w:val="00AF76F0"/>
    <w:rPr>
      <w:rFonts w:ascii="Calibri Light" w:eastAsia="Times New Roman" w:hAnsi="Calibri Light" w:cs="Times New Roman"/>
      <w:b/>
      <w:bCs/>
      <w:i/>
      <w:iCs/>
      <w:sz w:val="28"/>
      <w:szCs w:val="28"/>
    </w:rPr>
  </w:style>
  <w:style w:type="character" w:customStyle="1" w:styleId="Nadpis3Char">
    <w:name w:val="Nadpis 3 Char"/>
    <w:link w:val="Nadpis3"/>
    <w:uiPriority w:val="9"/>
    <w:semiHidden/>
    <w:rsid w:val="00AF76F0"/>
    <w:rPr>
      <w:rFonts w:ascii="Calibri Light" w:eastAsia="Times New Roman" w:hAnsi="Calibri Light" w:cs="Times New Roman"/>
      <w:b/>
      <w:bCs/>
      <w:sz w:val="26"/>
      <w:szCs w:val="26"/>
    </w:rPr>
  </w:style>
  <w:style w:type="character" w:customStyle="1" w:styleId="Nadpis4Char">
    <w:name w:val="Nadpis 4 Char"/>
    <w:link w:val="Nadpis4"/>
    <w:uiPriority w:val="9"/>
    <w:semiHidden/>
    <w:rsid w:val="00AF76F0"/>
    <w:rPr>
      <w:rFonts w:ascii="Calibri" w:eastAsia="Times New Roman" w:hAnsi="Calibri" w:cs="Times New Roman"/>
      <w:b/>
      <w:bCs/>
      <w:sz w:val="28"/>
      <w:szCs w:val="28"/>
    </w:rPr>
  </w:style>
  <w:style w:type="character" w:customStyle="1" w:styleId="Nadpis5Char">
    <w:name w:val="Nadpis 5 Char"/>
    <w:link w:val="Nadpis5"/>
    <w:uiPriority w:val="9"/>
    <w:semiHidden/>
    <w:rsid w:val="00AF76F0"/>
    <w:rPr>
      <w:rFonts w:ascii="Calibri" w:eastAsia="Times New Roman" w:hAnsi="Calibri" w:cs="Times New Roman"/>
      <w:b/>
      <w:bCs/>
      <w:i/>
      <w:iCs/>
      <w:sz w:val="26"/>
      <w:szCs w:val="26"/>
    </w:rPr>
  </w:style>
  <w:style w:type="paragraph" w:styleId="Zkladntext">
    <w:name w:val="Body Text"/>
    <w:basedOn w:val="Normlny"/>
    <w:link w:val="ZkladntextChar"/>
    <w:uiPriority w:val="99"/>
    <w:semiHidden/>
    <w:pPr>
      <w:jc w:val="both"/>
    </w:pPr>
    <w:rPr>
      <w:lang w:val="cs-CZ"/>
    </w:rPr>
  </w:style>
  <w:style w:type="character" w:customStyle="1" w:styleId="ZkladntextChar">
    <w:name w:val="Základný text Char"/>
    <w:basedOn w:val="Predvolenpsmoodseku"/>
    <w:link w:val="Zkladntext"/>
    <w:uiPriority w:val="99"/>
    <w:semiHidden/>
    <w:rsid w:val="00AF76F0"/>
  </w:style>
  <w:style w:type="paragraph" w:styleId="Zkladntext2">
    <w:name w:val="Body Text 2"/>
    <w:basedOn w:val="Normlny"/>
    <w:link w:val="Zkladntext2Char"/>
    <w:uiPriority w:val="99"/>
    <w:semiHidden/>
    <w:pPr>
      <w:jc w:val="both"/>
    </w:pPr>
    <w:rPr>
      <w:sz w:val="24"/>
    </w:rPr>
  </w:style>
  <w:style w:type="character" w:customStyle="1" w:styleId="Zkladntext2Char">
    <w:name w:val="Základný text 2 Char"/>
    <w:basedOn w:val="Predvolenpsmoodseku"/>
    <w:link w:val="Zkladntext2"/>
    <w:uiPriority w:val="99"/>
    <w:semiHidden/>
    <w:rsid w:val="00AF76F0"/>
  </w:style>
  <w:style w:type="paragraph" w:customStyle="1" w:styleId="Textbubliny1">
    <w:name w:val="Text bubliny1"/>
    <w:basedOn w:val="Normlny"/>
    <w:semiHidden/>
    <w:rPr>
      <w:rFonts w:ascii="Tahoma" w:hAnsi="Tahoma" w:cs="Tahoma"/>
      <w:sz w:val="16"/>
      <w:szCs w:val="16"/>
    </w:rPr>
  </w:style>
  <w:style w:type="paragraph" w:styleId="Pta">
    <w:name w:val="footer"/>
    <w:basedOn w:val="Normlny"/>
    <w:link w:val="PtaChar"/>
    <w:uiPriority w:val="99"/>
    <w:pPr>
      <w:tabs>
        <w:tab w:val="center" w:pos="4536"/>
        <w:tab w:val="right" w:pos="9072"/>
      </w:tabs>
    </w:pPr>
  </w:style>
  <w:style w:type="character" w:customStyle="1" w:styleId="PtaChar">
    <w:name w:val="Päta Char"/>
    <w:basedOn w:val="Predvolenpsmoodseku"/>
    <w:link w:val="Pta"/>
    <w:uiPriority w:val="99"/>
    <w:rsid w:val="00AF76F0"/>
  </w:style>
  <w:style w:type="character" w:styleId="slostrany">
    <w:name w:val="page number"/>
    <w:uiPriority w:val="99"/>
    <w:semiHidden/>
    <w:rPr>
      <w:rFonts w:cs="Times New Roman"/>
    </w:rPr>
  </w:style>
  <w:style w:type="paragraph" w:styleId="Zkladntext3">
    <w:name w:val="Body Text 3"/>
    <w:basedOn w:val="Normlny"/>
    <w:link w:val="Zkladntext3Char"/>
    <w:uiPriority w:val="99"/>
    <w:semiHidden/>
    <w:pPr>
      <w:shd w:val="clear" w:color="auto" w:fill="FFFFFF"/>
      <w:tabs>
        <w:tab w:val="left" w:pos="192"/>
      </w:tabs>
      <w:spacing w:before="144"/>
    </w:pPr>
    <w:rPr>
      <w:rFonts w:ascii="Arial" w:hAnsi="Arial" w:cs="Arial"/>
      <w:color w:val="000000"/>
      <w:spacing w:val="4"/>
    </w:rPr>
  </w:style>
  <w:style w:type="character" w:customStyle="1" w:styleId="Zkladntext3Char">
    <w:name w:val="Základný text 3 Char"/>
    <w:link w:val="Zkladntext3"/>
    <w:uiPriority w:val="99"/>
    <w:semiHidden/>
    <w:rsid w:val="00AF76F0"/>
    <w:rPr>
      <w:sz w:val="16"/>
      <w:szCs w:val="16"/>
    </w:rPr>
  </w:style>
  <w:style w:type="paragraph" w:styleId="Textbubliny">
    <w:name w:val="Balloon Text"/>
    <w:basedOn w:val="Normlny"/>
    <w:link w:val="TextbublinyChar"/>
    <w:uiPriority w:val="99"/>
    <w:semiHidden/>
    <w:unhideWhenUsed/>
    <w:rsid w:val="00E63EA3"/>
    <w:rPr>
      <w:rFonts w:ascii="Tahoma" w:hAnsi="Tahoma"/>
      <w:sz w:val="16"/>
      <w:szCs w:val="16"/>
    </w:rPr>
  </w:style>
  <w:style w:type="character" w:customStyle="1" w:styleId="TextbublinyChar">
    <w:name w:val="Text bubliny Char"/>
    <w:link w:val="Textbubliny"/>
    <w:uiPriority w:val="99"/>
    <w:semiHidden/>
    <w:locked/>
    <w:rsid w:val="00E63EA3"/>
    <w:rPr>
      <w:rFonts w:ascii="Tahoma" w:hAnsi="Tahoma"/>
      <w:sz w:val="16"/>
      <w:lang w:val="sk-SK" w:eastAsia="sk-SK"/>
    </w:rPr>
  </w:style>
  <w:style w:type="paragraph" w:styleId="Hlavika">
    <w:name w:val="header"/>
    <w:basedOn w:val="Normlny"/>
    <w:link w:val="HlavikaChar"/>
    <w:uiPriority w:val="99"/>
    <w:unhideWhenUsed/>
    <w:rsid w:val="00913616"/>
    <w:pPr>
      <w:tabs>
        <w:tab w:val="center" w:pos="4536"/>
        <w:tab w:val="right" w:pos="9072"/>
      </w:tabs>
    </w:pPr>
  </w:style>
  <w:style w:type="character" w:customStyle="1" w:styleId="HlavikaChar">
    <w:name w:val="Hlavička Char"/>
    <w:link w:val="Hlavika"/>
    <w:uiPriority w:val="99"/>
    <w:locked/>
    <w:rsid w:val="00913616"/>
    <w:rPr>
      <w:rFonts w:cs="Times New Roman"/>
    </w:rPr>
  </w:style>
  <w:style w:type="character" w:styleId="Odkaznakomentr">
    <w:name w:val="annotation reference"/>
    <w:uiPriority w:val="99"/>
    <w:semiHidden/>
    <w:unhideWhenUsed/>
    <w:rsid w:val="0067778F"/>
    <w:rPr>
      <w:sz w:val="16"/>
    </w:rPr>
  </w:style>
  <w:style w:type="paragraph" w:styleId="Textkomentra">
    <w:name w:val="annotation text"/>
    <w:basedOn w:val="Normlny"/>
    <w:link w:val="TextkomentraChar"/>
    <w:uiPriority w:val="99"/>
    <w:semiHidden/>
    <w:unhideWhenUsed/>
    <w:rsid w:val="0067778F"/>
  </w:style>
  <w:style w:type="character" w:customStyle="1" w:styleId="TextkomentraChar">
    <w:name w:val="Text komentára Char"/>
    <w:link w:val="Textkomentra"/>
    <w:uiPriority w:val="99"/>
    <w:semiHidden/>
    <w:locked/>
    <w:rsid w:val="0067778F"/>
    <w:rPr>
      <w:rFonts w:cs="Times New Roman"/>
    </w:rPr>
  </w:style>
  <w:style w:type="paragraph" w:styleId="Predmetkomentra">
    <w:name w:val="annotation subject"/>
    <w:basedOn w:val="Textkomentra"/>
    <w:next w:val="Textkomentra"/>
    <w:link w:val="PredmetkomentraChar"/>
    <w:uiPriority w:val="99"/>
    <w:semiHidden/>
    <w:unhideWhenUsed/>
    <w:rsid w:val="0067778F"/>
    <w:rPr>
      <w:b/>
      <w:bCs/>
    </w:rPr>
  </w:style>
  <w:style w:type="character" w:customStyle="1" w:styleId="PredmetkomentraChar">
    <w:name w:val="Predmet komentára Char"/>
    <w:link w:val="Predmetkomentra"/>
    <w:uiPriority w:val="99"/>
    <w:semiHidden/>
    <w:locked/>
    <w:rsid w:val="0067778F"/>
    <w:rPr>
      <w:rFonts w:cs="Times New Roman"/>
      <w:b/>
    </w:rPr>
  </w:style>
  <w:style w:type="character" w:styleId="Hypertextovprepojenie">
    <w:name w:val="Hyperlink"/>
    <w:uiPriority w:val="99"/>
    <w:unhideWhenUsed/>
    <w:rsid w:val="00D7329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930590">
      <w:marLeft w:val="0"/>
      <w:marRight w:val="0"/>
      <w:marTop w:val="0"/>
      <w:marBottom w:val="0"/>
      <w:divBdr>
        <w:top w:val="none" w:sz="0" w:space="0" w:color="auto"/>
        <w:left w:val="none" w:sz="0" w:space="0" w:color="auto"/>
        <w:bottom w:val="none" w:sz="0" w:space="0" w:color="auto"/>
        <w:right w:val="none" w:sz="0" w:space="0" w:color="auto"/>
      </w:divBdr>
    </w:div>
    <w:div w:id="824930591">
      <w:marLeft w:val="0"/>
      <w:marRight w:val="0"/>
      <w:marTop w:val="0"/>
      <w:marBottom w:val="0"/>
      <w:divBdr>
        <w:top w:val="none" w:sz="0" w:space="0" w:color="auto"/>
        <w:left w:val="none" w:sz="0" w:space="0" w:color="auto"/>
        <w:bottom w:val="none" w:sz="0" w:space="0" w:color="auto"/>
        <w:right w:val="none" w:sz="0" w:space="0" w:color="auto"/>
      </w:divBdr>
    </w:div>
    <w:div w:id="8249305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2535</Words>
  <Characters>16487</Characters>
  <Application>Microsoft Office Word</Application>
  <DocSecurity>0</DocSecurity>
  <Lines>137</Lines>
  <Paragraphs>37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Nycomed GmbH</Company>
  <LinksUpToDate>false</LinksUpToDate>
  <CharactersWithSpaces>18985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Malychová, Daniela</dc:creator>
  <cp:lastModifiedBy>Skladaná, Judita</cp:lastModifiedBy>
  <cp:revision>2</cp:revision>
  <cp:lastPrinted>2018-04-06T11:38:00Z</cp:lastPrinted>
  <dcterms:created xsi:type="dcterms:W3CDTF">2018-04-06T11:38:00Z</dcterms:created>
  <dcterms:modified xsi:type="dcterms:W3CDTF">2018-04-06T11:38:00Z</dcterms:modified>
</cp:coreProperties>
</file>