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52F5" w14:textId="77777777" w:rsidR="00D5149B" w:rsidRPr="00BA7F79" w:rsidRDefault="00D5149B" w:rsidP="000E2DDB">
      <w:pPr>
        <w:spacing w:line="240" w:lineRule="auto"/>
        <w:jc w:val="center"/>
        <w:rPr>
          <w:b/>
          <w:sz w:val="22"/>
          <w:szCs w:val="22"/>
          <w:lang w:val="sk-SK"/>
        </w:rPr>
      </w:pPr>
    </w:p>
    <w:p w14:paraId="21B36AA8" w14:textId="77777777" w:rsidR="00550A45" w:rsidRPr="00BA7F79" w:rsidRDefault="00550A45" w:rsidP="000E2DDB">
      <w:pPr>
        <w:spacing w:line="240" w:lineRule="auto"/>
        <w:jc w:val="center"/>
        <w:rPr>
          <w:b/>
          <w:sz w:val="22"/>
          <w:szCs w:val="22"/>
          <w:lang w:val="sk-SK"/>
        </w:rPr>
      </w:pPr>
      <w:r w:rsidRPr="00BA7F79">
        <w:rPr>
          <w:b/>
          <w:sz w:val="22"/>
          <w:szCs w:val="22"/>
          <w:lang w:val="sk-SK"/>
        </w:rPr>
        <w:t>SÚHRN CHARAKTERISTICKÝCH VLASTNOSTÍ LIEKU</w:t>
      </w:r>
    </w:p>
    <w:p w14:paraId="7B0F66D9" w14:textId="77777777" w:rsidR="00550A45" w:rsidRPr="00BA7F79" w:rsidRDefault="00550A45" w:rsidP="000E2DDB">
      <w:pPr>
        <w:pStyle w:val="Nadpis1"/>
        <w:spacing w:before="0" w:after="0" w:line="240" w:lineRule="auto"/>
        <w:jc w:val="left"/>
        <w:rPr>
          <w:b w:val="0"/>
          <w:sz w:val="22"/>
          <w:szCs w:val="22"/>
          <w:lang w:val="sk-SK"/>
        </w:rPr>
      </w:pPr>
    </w:p>
    <w:p w14:paraId="18E99F66" w14:textId="77777777" w:rsidR="00550A45" w:rsidRPr="00BA7F79" w:rsidRDefault="00550A45" w:rsidP="000E2DDB">
      <w:pPr>
        <w:pStyle w:val="Nadpis1"/>
        <w:spacing w:before="0" w:after="0" w:line="240" w:lineRule="auto"/>
        <w:jc w:val="left"/>
        <w:rPr>
          <w:b w:val="0"/>
          <w:sz w:val="22"/>
          <w:szCs w:val="22"/>
          <w:lang w:val="sk-SK"/>
        </w:rPr>
      </w:pPr>
    </w:p>
    <w:p w14:paraId="5594DC9A" w14:textId="77777777" w:rsidR="00747FC0" w:rsidRPr="00BA7F79" w:rsidRDefault="00747FC0" w:rsidP="000E2DDB">
      <w:pPr>
        <w:pStyle w:val="Nadpis1"/>
        <w:spacing w:before="0" w:after="0" w:line="240" w:lineRule="auto"/>
        <w:jc w:val="left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1.</w:t>
      </w:r>
      <w:r w:rsidRPr="00BA7F79">
        <w:rPr>
          <w:sz w:val="22"/>
          <w:szCs w:val="22"/>
          <w:lang w:val="sk-SK"/>
        </w:rPr>
        <w:tab/>
      </w:r>
      <w:r w:rsidRPr="00BA7F79">
        <w:rPr>
          <w:caps/>
          <w:sz w:val="22"/>
          <w:szCs w:val="22"/>
          <w:lang w:val="sk-SK"/>
        </w:rPr>
        <w:t>N</w:t>
      </w:r>
      <w:r w:rsidR="006602B0" w:rsidRPr="00BA7F79">
        <w:rPr>
          <w:caps/>
          <w:sz w:val="22"/>
          <w:szCs w:val="22"/>
          <w:lang w:val="sk-SK"/>
        </w:rPr>
        <w:t>ázov lieku</w:t>
      </w:r>
    </w:p>
    <w:p w14:paraId="4ADFE3E6" w14:textId="77777777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A36D43C" w14:textId="77777777" w:rsidR="00B24571" w:rsidRPr="00BA7F79" w:rsidRDefault="00E97EE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</w:t>
      </w:r>
      <w:r w:rsidR="001F2B55" w:rsidRPr="00BA7F79">
        <w:rPr>
          <w:caps/>
          <w:sz w:val="22"/>
          <w:szCs w:val="22"/>
          <w:lang w:val="sk-SK"/>
        </w:rPr>
        <w:t>-</w:t>
      </w:r>
      <w:r w:rsidRPr="00BA7F79">
        <w:rPr>
          <w:caps/>
          <w:sz w:val="22"/>
          <w:szCs w:val="22"/>
          <w:lang w:val="sk-SK"/>
        </w:rPr>
        <w:t>Modutab</w:t>
      </w:r>
      <w:proofErr w:type="spellEnd"/>
      <w:r w:rsidR="00747FC0" w:rsidRPr="00BA7F79">
        <w:rPr>
          <w:sz w:val="22"/>
          <w:szCs w:val="22"/>
          <w:lang w:val="sk-SK"/>
        </w:rPr>
        <w:t xml:space="preserve"> 2</w:t>
      </w:r>
      <w:r w:rsidR="005B6DD2" w:rsidRPr="00BA7F79">
        <w:rPr>
          <w:sz w:val="22"/>
          <w:szCs w:val="22"/>
          <w:lang w:val="sk-SK"/>
        </w:rPr>
        <w:t> </w:t>
      </w:r>
      <w:r w:rsidR="00615794" w:rsidRPr="00BA7F79">
        <w:rPr>
          <w:sz w:val="22"/>
          <w:szCs w:val="22"/>
          <w:lang w:val="sk-SK"/>
        </w:rPr>
        <w:t>mg</w:t>
      </w:r>
    </w:p>
    <w:p w14:paraId="7478C7ED" w14:textId="77777777" w:rsidR="00B24571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4</w:t>
      </w:r>
      <w:r w:rsidR="005B6DD2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</w:t>
      </w:r>
    </w:p>
    <w:p w14:paraId="589ACFE6" w14:textId="77777777" w:rsidR="00615794" w:rsidRPr="00BA7F79" w:rsidRDefault="00615794" w:rsidP="000E2DDB">
      <w:pPr>
        <w:pStyle w:val="Text"/>
        <w:spacing w:after="0" w:line="240" w:lineRule="auto"/>
        <w:rPr>
          <w:i/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8</w:t>
      </w:r>
      <w:r w:rsidR="005B6DD2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</w:t>
      </w:r>
    </w:p>
    <w:p w14:paraId="46268DAF" w14:textId="77777777" w:rsidR="00615794" w:rsidRPr="00BA7F79" w:rsidRDefault="00AA308F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tablety s predĺženým uvoľňovaním</w:t>
      </w:r>
    </w:p>
    <w:p w14:paraId="50165854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04475B9F" w14:textId="77777777" w:rsidR="00AA308F" w:rsidRPr="00BA7F79" w:rsidRDefault="00AA308F" w:rsidP="000E2DDB">
      <w:pPr>
        <w:spacing w:line="240" w:lineRule="auto"/>
        <w:rPr>
          <w:sz w:val="22"/>
          <w:szCs w:val="22"/>
          <w:lang w:val="sk-SK"/>
        </w:rPr>
      </w:pPr>
    </w:p>
    <w:p w14:paraId="409292B7" w14:textId="77777777" w:rsidR="00747FC0" w:rsidRPr="00BA7F79" w:rsidRDefault="00747FC0" w:rsidP="000E2DDB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2.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Kvalitatívne a kvantitatívne zloženie</w:t>
      </w:r>
    </w:p>
    <w:p w14:paraId="521359E9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4B6D1AE8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2 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Pr="00BA7F79">
        <w:rPr>
          <w:sz w:val="22"/>
          <w:szCs w:val="22"/>
          <w:lang w:val="sk-SK"/>
        </w:rPr>
        <w:t>:</w:t>
      </w:r>
    </w:p>
    <w:p w14:paraId="33AE1943" w14:textId="1D8F077E" w:rsidR="00747FC0" w:rsidRPr="00BA7F79" w:rsidRDefault="006602B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Každá tableta s predĺženým uvoľňovaním obsahuje </w:t>
      </w:r>
      <w:r w:rsidR="00014CA8" w:rsidRPr="00BA7F79">
        <w:rPr>
          <w:sz w:val="22"/>
          <w:szCs w:val="22"/>
          <w:lang w:val="sk-SK"/>
        </w:rPr>
        <w:t>2</w:t>
      </w:r>
      <w:r w:rsidR="005B6DD2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mg </w:t>
      </w:r>
      <w:r w:rsidR="00B24571" w:rsidRPr="00BA7F79">
        <w:rPr>
          <w:sz w:val="22"/>
          <w:szCs w:val="22"/>
          <w:lang w:val="sk-SK"/>
        </w:rPr>
        <w:t>ropinirolu</w:t>
      </w:r>
      <w:r w:rsidR="009F76A2" w:rsidRPr="00BA7F79">
        <w:rPr>
          <w:sz w:val="22"/>
          <w:szCs w:val="22"/>
          <w:lang w:val="sk-SK"/>
        </w:rPr>
        <w:t xml:space="preserve"> (vo forme </w:t>
      </w:r>
      <w:proofErr w:type="spellStart"/>
      <w:r w:rsidR="009F76A2" w:rsidRPr="00BA7F79">
        <w:rPr>
          <w:sz w:val="22"/>
          <w:szCs w:val="22"/>
          <w:lang w:val="sk-SK"/>
        </w:rPr>
        <w:t>hydrochloridu</w:t>
      </w:r>
      <w:proofErr w:type="spellEnd"/>
      <w:r w:rsidR="009F76A2" w:rsidRPr="00BA7F79">
        <w:rPr>
          <w:sz w:val="22"/>
          <w:szCs w:val="22"/>
          <w:lang w:val="sk-SK"/>
        </w:rPr>
        <w:t>)</w:t>
      </w:r>
      <w:r w:rsidR="00747FC0" w:rsidRPr="00BA7F79">
        <w:rPr>
          <w:sz w:val="22"/>
          <w:szCs w:val="22"/>
          <w:lang w:val="sk-SK"/>
        </w:rPr>
        <w:t>.</w:t>
      </w:r>
    </w:p>
    <w:p w14:paraId="390BF728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Pomocná látka</w:t>
      </w:r>
      <w:r w:rsidR="00565697" w:rsidRPr="00BA7F79">
        <w:rPr>
          <w:color w:val="000000"/>
          <w:sz w:val="22"/>
          <w:szCs w:val="22"/>
          <w:lang w:val="sk-SK"/>
        </w:rPr>
        <w:t xml:space="preserve"> so známym účinkom</w:t>
      </w:r>
      <w:r w:rsidRPr="00BA7F79">
        <w:rPr>
          <w:sz w:val="22"/>
          <w:szCs w:val="22"/>
          <w:lang w:val="sk-SK"/>
        </w:rPr>
        <w:t>: 44,0 mg lakt</w:t>
      </w:r>
      <w:r w:rsidR="00823461" w:rsidRPr="00BA7F79">
        <w:rPr>
          <w:sz w:val="22"/>
          <w:szCs w:val="22"/>
          <w:lang w:val="sk-SK"/>
        </w:rPr>
        <w:t>ózy</w:t>
      </w:r>
    </w:p>
    <w:p w14:paraId="1B158EE1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516FCF2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4 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Pr="00BA7F79">
        <w:rPr>
          <w:sz w:val="22"/>
          <w:szCs w:val="22"/>
          <w:lang w:val="sk-SK"/>
        </w:rPr>
        <w:t>:</w:t>
      </w:r>
    </w:p>
    <w:p w14:paraId="7DF29405" w14:textId="2D27BD49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Každá tableta s predĺženým uvoľňovaním obsahuje </w:t>
      </w:r>
      <w:r w:rsidR="005B6DD2" w:rsidRPr="00BA7F79">
        <w:rPr>
          <w:sz w:val="22"/>
          <w:szCs w:val="22"/>
          <w:lang w:val="sk-SK"/>
        </w:rPr>
        <w:t>4 </w:t>
      </w:r>
      <w:r w:rsidRPr="00BA7F79">
        <w:rPr>
          <w:sz w:val="22"/>
          <w:szCs w:val="22"/>
          <w:lang w:val="sk-SK"/>
        </w:rPr>
        <w:t xml:space="preserve">mg </w:t>
      </w:r>
      <w:r w:rsidR="00B24571" w:rsidRPr="00BA7F79">
        <w:rPr>
          <w:sz w:val="22"/>
          <w:szCs w:val="22"/>
          <w:lang w:val="sk-SK"/>
        </w:rPr>
        <w:t>ropinirolu</w:t>
      </w:r>
      <w:r w:rsidR="009F76A2" w:rsidRPr="00BA7F79">
        <w:rPr>
          <w:sz w:val="22"/>
          <w:szCs w:val="22"/>
          <w:lang w:val="sk-SK"/>
        </w:rPr>
        <w:t xml:space="preserve"> (vo forme </w:t>
      </w:r>
      <w:proofErr w:type="spellStart"/>
      <w:r w:rsidR="009F76A2" w:rsidRPr="00BA7F79">
        <w:rPr>
          <w:sz w:val="22"/>
          <w:szCs w:val="22"/>
          <w:lang w:val="sk-SK"/>
        </w:rPr>
        <w:t>hydrochloridu</w:t>
      </w:r>
      <w:proofErr w:type="spellEnd"/>
      <w:r w:rsidR="009F76A2" w:rsidRPr="00BA7F79">
        <w:rPr>
          <w:sz w:val="22"/>
          <w:szCs w:val="22"/>
          <w:lang w:val="sk-SK"/>
        </w:rPr>
        <w:t>)</w:t>
      </w:r>
      <w:r w:rsidR="00B24571" w:rsidRPr="00BA7F79">
        <w:rPr>
          <w:sz w:val="22"/>
          <w:szCs w:val="22"/>
          <w:lang w:val="sk-SK"/>
        </w:rPr>
        <w:t>.</w:t>
      </w:r>
    </w:p>
    <w:p w14:paraId="5E25884A" w14:textId="77777777" w:rsidR="005B6DD2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Pomocné látky</w:t>
      </w:r>
      <w:r w:rsidR="00565697" w:rsidRPr="00BA7F79">
        <w:rPr>
          <w:color w:val="000000"/>
          <w:sz w:val="22"/>
          <w:szCs w:val="22"/>
          <w:lang w:val="sk-SK"/>
        </w:rPr>
        <w:t xml:space="preserve"> so známym účinkom</w:t>
      </w:r>
      <w:r w:rsidRPr="00BA7F79">
        <w:rPr>
          <w:sz w:val="22"/>
          <w:szCs w:val="22"/>
          <w:lang w:val="sk-SK"/>
        </w:rPr>
        <w:t>: 41,8 mg laktózy, 0,22 mg oranžovej žlti (E110)</w:t>
      </w:r>
    </w:p>
    <w:p w14:paraId="60EA5E1D" w14:textId="77777777" w:rsidR="00823461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A297992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8 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Pr="00BA7F79">
        <w:rPr>
          <w:sz w:val="22"/>
          <w:szCs w:val="22"/>
          <w:lang w:val="sk-SK"/>
        </w:rPr>
        <w:t>:</w:t>
      </w:r>
    </w:p>
    <w:p w14:paraId="44299341" w14:textId="68955948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Každá tableta s predĺženým uvoľňovaním obsahuje 8</w:t>
      </w:r>
      <w:r w:rsidR="005B6DD2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mg </w:t>
      </w:r>
      <w:r w:rsidR="00B24571" w:rsidRPr="00BA7F79">
        <w:rPr>
          <w:sz w:val="22"/>
          <w:szCs w:val="22"/>
          <w:lang w:val="sk-SK"/>
        </w:rPr>
        <w:t>ropinirolu</w:t>
      </w:r>
      <w:r w:rsidR="009F76A2" w:rsidRPr="00BA7F79">
        <w:rPr>
          <w:sz w:val="22"/>
          <w:szCs w:val="22"/>
          <w:lang w:val="sk-SK"/>
        </w:rPr>
        <w:t xml:space="preserve"> (vo forme </w:t>
      </w:r>
      <w:proofErr w:type="spellStart"/>
      <w:r w:rsidR="009F76A2" w:rsidRPr="00BA7F79">
        <w:rPr>
          <w:sz w:val="22"/>
          <w:szCs w:val="22"/>
          <w:lang w:val="sk-SK"/>
        </w:rPr>
        <w:t>hydrochloridu</w:t>
      </w:r>
      <w:proofErr w:type="spellEnd"/>
      <w:r w:rsidR="009F76A2" w:rsidRPr="00BA7F79">
        <w:rPr>
          <w:sz w:val="22"/>
          <w:szCs w:val="22"/>
          <w:lang w:val="sk-SK"/>
        </w:rPr>
        <w:t>)</w:t>
      </w:r>
      <w:r w:rsidR="00B24571" w:rsidRPr="00BA7F79">
        <w:rPr>
          <w:sz w:val="22"/>
          <w:szCs w:val="22"/>
          <w:lang w:val="sk-SK"/>
        </w:rPr>
        <w:t>.</w:t>
      </w:r>
    </w:p>
    <w:p w14:paraId="0A030DD1" w14:textId="77777777" w:rsidR="00615794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Pomocná látka</w:t>
      </w:r>
      <w:r w:rsidR="00565697" w:rsidRPr="00BA7F79">
        <w:rPr>
          <w:color w:val="000000"/>
          <w:sz w:val="22"/>
          <w:szCs w:val="22"/>
          <w:lang w:val="sk-SK"/>
        </w:rPr>
        <w:t xml:space="preserve"> so známym účinkom</w:t>
      </w:r>
      <w:r w:rsidRPr="00BA7F79">
        <w:rPr>
          <w:sz w:val="22"/>
          <w:szCs w:val="22"/>
          <w:lang w:val="sk-SK"/>
        </w:rPr>
        <w:t>: 37,5 mg laktózy</w:t>
      </w:r>
    </w:p>
    <w:p w14:paraId="3235BF4D" w14:textId="77777777" w:rsidR="00823461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F8C589" w14:textId="77777777" w:rsidR="00747FC0" w:rsidRPr="00BA7F79" w:rsidRDefault="006602B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Úplný zoznam pomocných látok, pozri časť </w:t>
      </w:r>
      <w:r w:rsidR="00747FC0" w:rsidRPr="00BA7F79">
        <w:rPr>
          <w:sz w:val="22"/>
          <w:szCs w:val="22"/>
          <w:lang w:val="sk-SK"/>
        </w:rPr>
        <w:t>6.1.</w:t>
      </w:r>
    </w:p>
    <w:p w14:paraId="2CBF0D6F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38732E0C" w14:textId="77777777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5BA4A37" w14:textId="77777777" w:rsidR="00747FC0" w:rsidRPr="00BA7F79" w:rsidRDefault="00747FC0" w:rsidP="000E2DDB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3.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Lieková forma</w:t>
      </w:r>
    </w:p>
    <w:p w14:paraId="46BE013D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02425229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Tableta s predĺženým uvoľňovaním</w:t>
      </w:r>
      <w:r w:rsidR="00857C4C" w:rsidRPr="00BA7F79">
        <w:rPr>
          <w:sz w:val="22"/>
          <w:szCs w:val="22"/>
          <w:lang w:val="sk-SK"/>
        </w:rPr>
        <w:t>.</w:t>
      </w:r>
    </w:p>
    <w:p w14:paraId="4556AFEF" w14:textId="77777777" w:rsidR="00CF61E2" w:rsidRPr="00BA7F79" w:rsidRDefault="00CF61E2" w:rsidP="000E2DDB">
      <w:pPr>
        <w:spacing w:line="240" w:lineRule="auto"/>
        <w:rPr>
          <w:sz w:val="22"/>
          <w:szCs w:val="22"/>
          <w:lang w:val="sk-SK"/>
        </w:rPr>
      </w:pPr>
    </w:p>
    <w:p w14:paraId="29A830C8" w14:textId="77777777" w:rsidR="00E810C1" w:rsidRPr="00BA7F79" w:rsidRDefault="00E810C1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344F2B" w:rsidRPr="00BA7F79">
        <w:rPr>
          <w:sz w:val="22"/>
          <w:szCs w:val="22"/>
          <w:lang w:val="sk-SK"/>
        </w:rPr>
        <w:t>2</w:t>
      </w:r>
      <w:r w:rsidRPr="00BA7F79">
        <w:rPr>
          <w:sz w:val="22"/>
          <w:szCs w:val="22"/>
          <w:lang w:val="sk-SK"/>
        </w:rPr>
        <w:t> </w:t>
      </w:r>
      <w:r w:rsidR="00344F2B" w:rsidRPr="00BA7F79">
        <w:rPr>
          <w:sz w:val="22"/>
          <w:szCs w:val="22"/>
          <w:lang w:val="sk-SK"/>
        </w:rPr>
        <w:t>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="00344F2B" w:rsidRPr="00BA7F79">
        <w:rPr>
          <w:sz w:val="22"/>
          <w:szCs w:val="22"/>
          <w:lang w:val="sk-SK"/>
        </w:rPr>
        <w:t>:</w:t>
      </w:r>
    </w:p>
    <w:p w14:paraId="346421AD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Ružové oválne filmom obalené</w:t>
      </w:r>
      <w:r w:rsidR="0013450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označené </w:t>
      </w:r>
      <w:r w:rsidR="00857C4C" w:rsidRPr="00BA7F79">
        <w:rPr>
          <w:sz w:val="22"/>
          <w:szCs w:val="22"/>
          <w:lang w:val="sk-SK"/>
        </w:rPr>
        <w:t>"</w:t>
      </w:r>
      <w:proofErr w:type="spellStart"/>
      <w:r w:rsidR="00CF61E2" w:rsidRPr="00BA7F79">
        <w:rPr>
          <w:sz w:val="22"/>
          <w:szCs w:val="22"/>
          <w:lang w:val="sk-SK"/>
        </w:rPr>
        <w:t>GS</w:t>
      </w:r>
      <w:proofErr w:type="spellEnd"/>
      <w:r w:rsidR="00857C4C" w:rsidRPr="00BA7F79">
        <w:rPr>
          <w:sz w:val="22"/>
          <w:szCs w:val="22"/>
          <w:lang w:val="sk-SK"/>
        </w:rPr>
        <w:t xml:space="preserve">" </w:t>
      </w:r>
      <w:r w:rsidRPr="00BA7F79">
        <w:rPr>
          <w:sz w:val="22"/>
          <w:szCs w:val="22"/>
          <w:lang w:val="sk-SK"/>
        </w:rPr>
        <w:t>na jednej a</w:t>
      </w:r>
      <w:r w:rsidR="00857C4C" w:rsidRPr="00BA7F79">
        <w:rPr>
          <w:sz w:val="22"/>
          <w:szCs w:val="22"/>
          <w:lang w:val="sk-SK"/>
        </w:rPr>
        <w:t xml:space="preserve"> "</w:t>
      </w:r>
      <w:r w:rsidR="00CF61E2" w:rsidRPr="00BA7F79">
        <w:rPr>
          <w:sz w:val="22"/>
          <w:szCs w:val="22"/>
          <w:lang w:val="sk-SK"/>
        </w:rPr>
        <w:t>3V2</w:t>
      </w:r>
      <w:r w:rsidR="00857C4C" w:rsidRPr="00BA7F79">
        <w:rPr>
          <w:sz w:val="22"/>
          <w:szCs w:val="22"/>
          <w:lang w:val="sk-SK"/>
        </w:rPr>
        <w:t>" n</w:t>
      </w:r>
      <w:r w:rsidRPr="00BA7F79">
        <w:rPr>
          <w:sz w:val="22"/>
          <w:szCs w:val="22"/>
          <w:lang w:val="sk-SK"/>
        </w:rPr>
        <w:t>a druhej strane</w:t>
      </w:r>
      <w:r w:rsidR="00857C4C" w:rsidRPr="00BA7F79">
        <w:rPr>
          <w:sz w:val="22"/>
          <w:szCs w:val="22"/>
          <w:lang w:val="sk-SK"/>
        </w:rPr>
        <w:t>.</w:t>
      </w:r>
    </w:p>
    <w:p w14:paraId="006CCC75" w14:textId="77777777" w:rsidR="00420540" w:rsidRPr="00BA7F79" w:rsidRDefault="00420540" w:rsidP="000E2DDB">
      <w:pPr>
        <w:spacing w:line="240" w:lineRule="auto"/>
        <w:rPr>
          <w:sz w:val="22"/>
          <w:szCs w:val="22"/>
          <w:lang w:val="sk-SK"/>
        </w:rPr>
      </w:pPr>
    </w:p>
    <w:p w14:paraId="68EC597A" w14:textId="77777777" w:rsidR="00E810C1" w:rsidRPr="00BA7F79" w:rsidRDefault="00E810C1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857C4C" w:rsidRPr="00BA7F79">
        <w:rPr>
          <w:sz w:val="22"/>
          <w:szCs w:val="22"/>
          <w:lang w:val="sk-SK"/>
        </w:rPr>
        <w:t>4</w:t>
      </w:r>
      <w:r w:rsidR="002A6E3C" w:rsidRPr="00BA7F79">
        <w:rPr>
          <w:sz w:val="22"/>
          <w:szCs w:val="22"/>
          <w:lang w:val="sk-SK"/>
        </w:rPr>
        <w:t> </w:t>
      </w:r>
      <w:r w:rsidR="00857C4C" w:rsidRPr="00BA7F79">
        <w:rPr>
          <w:sz w:val="22"/>
          <w:szCs w:val="22"/>
          <w:lang w:val="sk-SK"/>
        </w:rPr>
        <w:t>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="00857C4C" w:rsidRPr="00BA7F79">
        <w:rPr>
          <w:sz w:val="22"/>
          <w:szCs w:val="22"/>
          <w:lang w:val="sk-SK"/>
        </w:rPr>
        <w:t>:</w:t>
      </w:r>
    </w:p>
    <w:p w14:paraId="4E318745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Žltohnedé</w:t>
      </w:r>
      <w:r w:rsidR="00032419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oválne filmom obalené</w:t>
      </w:r>
      <w:r w:rsidR="0013450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označené "</w:t>
      </w:r>
      <w:proofErr w:type="spellStart"/>
      <w:r w:rsidRPr="00BA7F79">
        <w:rPr>
          <w:sz w:val="22"/>
          <w:szCs w:val="22"/>
          <w:lang w:val="sk-SK"/>
        </w:rPr>
        <w:t>GS</w:t>
      </w:r>
      <w:proofErr w:type="spellEnd"/>
      <w:r w:rsidRPr="00BA7F79">
        <w:rPr>
          <w:sz w:val="22"/>
          <w:szCs w:val="22"/>
          <w:lang w:val="sk-SK"/>
        </w:rPr>
        <w:t xml:space="preserve">" na jednej a </w:t>
      </w:r>
      <w:r w:rsidR="00857C4C" w:rsidRPr="00BA7F79">
        <w:rPr>
          <w:sz w:val="22"/>
          <w:szCs w:val="22"/>
          <w:lang w:val="sk-SK"/>
        </w:rPr>
        <w:t>"</w:t>
      </w:r>
      <w:proofErr w:type="spellStart"/>
      <w:r w:rsidR="00CF61E2" w:rsidRPr="00BA7F79">
        <w:rPr>
          <w:sz w:val="22"/>
          <w:szCs w:val="22"/>
          <w:lang w:val="sk-SK"/>
        </w:rPr>
        <w:t>WXG</w:t>
      </w:r>
      <w:proofErr w:type="spellEnd"/>
      <w:r w:rsidR="00857C4C" w:rsidRPr="00BA7F79">
        <w:rPr>
          <w:sz w:val="22"/>
          <w:szCs w:val="22"/>
          <w:lang w:val="sk-SK"/>
        </w:rPr>
        <w:t xml:space="preserve">" </w:t>
      </w:r>
      <w:r w:rsidRPr="00BA7F79">
        <w:rPr>
          <w:sz w:val="22"/>
          <w:szCs w:val="22"/>
          <w:lang w:val="sk-SK"/>
        </w:rPr>
        <w:t>na druhej strane</w:t>
      </w:r>
      <w:r w:rsidR="00857C4C" w:rsidRPr="00BA7F79">
        <w:rPr>
          <w:sz w:val="22"/>
          <w:szCs w:val="22"/>
          <w:lang w:val="sk-SK"/>
        </w:rPr>
        <w:t>.</w:t>
      </w:r>
    </w:p>
    <w:p w14:paraId="5D1F4139" w14:textId="77777777" w:rsidR="00420540" w:rsidRPr="00BA7F79" w:rsidRDefault="00420540" w:rsidP="000E2DDB">
      <w:pPr>
        <w:spacing w:line="240" w:lineRule="auto"/>
        <w:rPr>
          <w:sz w:val="22"/>
          <w:szCs w:val="22"/>
          <w:lang w:val="sk-SK"/>
        </w:rPr>
      </w:pPr>
    </w:p>
    <w:p w14:paraId="13161BC6" w14:textId="77777777" w:rsidR="00E810C1" w:rsidRPr="00BA7F79" w:rsidRDefault="00E810C1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857C4C" w:rsidRPr="00BA7F79">
        <w:rPr>
          <w:sz w:val="22"/>
          <w:szCs w:val="22"/>
          <w:lang w:val="sk-SK"/>
        </w:rPr>
        <w:t>8</w:t>
      </w:r>
      <w:r w:rsidR="002A6E3C" w:rsidRPr="00BA7F79">
        <w:rPr>
          <w:sz w:val="22"/>
          <w:szCs w:val="22"/>
          <w:lang w:val="sk-SK"/>
        </w:rPr>
        <w:t> </w:t>
      </w:r>
      <w:r w:rsidR="00857C4C" w:rsidRPr="00BA7F79">
        <w:rPr>
          <w:sz w:val="22"/>
          <w:szCs w:val="22"/>
          <w:lang w:val="sk-SK"/>
        </w:rPr>
        <w:t>mg</w:t>
      </w:r>
      <w:r w:rsidR="000261FA" w:rsidRPr="00BA7F79">
        <w:rPr>
          <w:sz w:val="22"/>
          <w:szCs w:val="22"/>
          <w:lang w:val="sk-SK"/>
        </w:rPr>
        <w:t xml:space="preserve"> tablety s predĺženým uvoľňovaním</w:t>
      </w:r>
      <w:r w:rsidR="00857C4C" w:rsidRPr="00BA7F79">
        <w:rPr>
          <w:sz w:val="22"/>
          <w:szCs w:val="22"/>
          <w:lang w:val="sk-SK"/>
        </w:rPr>
        <w:t>:</w:t>
      </w:r>
    </w:p>
    <w:p w14:paraId="52343C44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Červené oválne filmom obalené</w:t>
      </w:r>
      <w:r w:rsidR="0013450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označené "</w:t>
      </w:r>
      <w:proofErr w:type="spellStart"/>
      <w:r w:rsidRPr="00BA7F79">
        <w:rPr>
          <w:sz w:val="22"/>
          <w:szCs w:val="22"/>
          <w:lang w:val="sk-SK"/>
        </w:rPr>
        <w:t>GS</w:t>
      </w:r>
      <w:proofErr w:type="spellEnd"/>
      <w:r w:rsidRPr="00BA7F79">
        <w:rPr>
          <w:sz w:val="22"/>
          <w:szCs w:val="22"/>
          <w:lang w:val="sk-SK"/>
        </w:rPr>
        <w:t xml:space="preserve">" na jednej a </w:t>
      </w:r>
      <w:r w:rsidR="00857C4C" w:rsidRPr="00BA7F79">
        <w:rPr>
          <w:sz w:val="22"/>
          <w:szCs w:val="22"/>
          <w:lang w:val="sk-SK"/>
        </w:rPr>
        <w:t>"</w:t>
      </w:r>
      <w:proofErr w:type="spellStart"/>
      <w:r w:rsidR="00CF61E2" w:rsidRPr="00BA7F79">
        <w:rPr>
          <w:sz w:val="22"/>
          <w:szCs w:val="22"/>
          <w:lang w:val="sk-SK"/>
        </w:rPr>
        <w:t>5CC</w:t>
      </w:r>
      <w:proofErr w:type="spellEnd"/>
      <w:r w:rsidR="00857C4C" w:rsidRPr="00BA7F79">
        <w:rPr>
          <w:sz w:val="22"/>
          <w:szCs w:val="22"/>
          <w:lang w:val="sk-SK"/>
        </w:rPr>
        <w:t>" n</w:t>
      </w:r>
      <w:r w:rsidRPr="00BA7F79">
        <w:rPr>
          <w:sz w:val="22"/>
          <w:szCs w:val="22"/>
          <w:lang w:val="sk-SK"/>
        </w:rPr>
        <w:t>a druhej strane</w:t>
      </w:r>
      <w:r w:rsidR="00857C4C" w:rsidRPr="00BA7F79">
        <w:rPr>
          <w:sz w:val="22"/>
          <w:szCs w:val="22"/>
          <w:lang w:val="sk-SK"/>
        </w:rPr>
        <w:t>.</w:t>
      </w:r>
    </w:p>
    <w:p w14:paraId="38F8E587" w14:textId="77777777" w:rsidR="0013450A" w:rsidRPr="00BA7F79" w:rsidRDefault="0013450A" w:rsidP="00BF2D8B">
      <w:pPr>
        <w:spacing w:line="240" w:lineRule="auto"/>
        <w:rPr>
          <w:sz w:val="22"/>
          <w:szCs w:val="22"/>
          <w:lang w:val="sk-SK"/>
        </w:rPr>
      </w:pPr>
    </w:p>
    <w:p w14:paraId="3F8A4A4E" w14:textId="77777777" w:rsidR="0013450A" w:rsidRPr="00BA7F79" w:rsidRDefault="0013450A" w:rsidP="000E2DDB">
      <w:pPr>
        <w:spacing w:line="240" w:lineRule="auto"/>
        <w:rPr>
          <w:sz w:val="22"/>
          <w:szCs w:val="22"/>
          <w:lang w:val="sk-SK"/>
        </w:rPr>
      </w:pPr>
    </w:p>
    <w:p w14:paraId="37515925" w14:textId="77777777" w:rsidR="00747FC0" w:rsidRPr="00BA7F79" w:rsidRDefault="00747FC0" w:rsidP="000E2DDB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Klinické údaje</w:t>
      </w:r>
    </w:p>
    <w:p w14:paraId="46D5ACDE" w14:textId="77777777" w:rsidR="0013450A" w:rsidRPr="00BA7F79" w:rsidRDefault="0013450A" w:rsidP="000E2DDB">
      <w:pPr>
        <w:pStyle w:val="Nadpis3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0E55A4FB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4.1</w:t>
      </w:r>
      <w:r w:rsidRPr="00BA7F79">
        <w:rPr>
          <w:sz w:val="22"/>
          <w:szCs w:val="22"/>
          <w:lang w:val="sk-SK"/>
        </w:rPr>
        <w:tab/>
        <w:t>Terapeutic</w:t>
      </w:r>
      <w:r w:rsidR="006602B0" w:rsidRPr="00BA7F79">
        <w:rPr>
          <w:sz w:val="22"/>
          <w:szCs w:val="22"/>
          <w:lang w:val="sk-SK"/>
        </w:rPr>
        <w:t>ké</w:t>
      </w:r>
      <w:r w:rsidRPr="00BA7F79">
        <w:rPr>
          <w:sz w:val="22"/>
          <w:szCs w:val="22"/>
          <w:lang w:val="sk-SK"/>
        </w:rPr>
        <w:t xml:space="preserve"> indi</w:t>
      </w:r>
      <w:r w:rsidR="006602B0" w:rsidRPr="00BA7F79">
        <w:rPr>
          <w:sz w:val="22"/>
          <w:szCs w:val="22"/>
          <w:lang w:val="sk-SK"/>
        </w:rPr>
        <w:t>kácie</w:t>
      </w:r>
    </w:p>
    <w:p w14:paraId="06A6ECFB" w14:textId="77777777" w:rsidR="0013450A" w:rsidRPr="00BA7F79" w:rsidRDefault="0013450A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4CDE0AB6" w14:textId="77777777" w:rsidR="00F06D76" w:rsidRPr="00BA7F79" w:rsidRDefault="006602B0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Liečba </w:t>
      </w:r>
      <w:proofErr w:type="spellStart"/>
      <w:r w:rsidRPr="00BA7F79">
        <w:rPr>
          <w:sz w:val="22"/>
          <w:szCs w:val="22"/>
          <w:lang w:val="sk-SK"/>
        </w:rPr>
        <w:t>Parkinsonovej</w:t>
      </w:r>
      <w:proofErr w:type="spellEnd"/>
      <w:r w:rsidRPr="00BA7F79">
        <w:rPr>
          <w:sz w:val="22"/>
          <w:szCs w:val="22"/>
          <w:lang w:val="sk-SK"/>
        </w:rPr>
        <w:t xml:space="preserve"> choroby za nasledujúcich podmienok</w:t>
      </w:r>
      <w:r w:rsidR="00747FC0" w:rsidRPr="00BA7F79">
        <w:rPr>
          <w:sz w:val="22"/>
          <w:szCs w:val="22"/>
          <w:lang w:val="sk-SK"/>
        </w:rPr>
        <w:t>:</w:t>
      </w:r>
    </w:p>
    <w:p w14:paraId="7D4DC46D" w14:textId="77777777" w:rsidR="00F06D76" w:rsidRPr="00BA7F79" w:rsidRDefault="00F06D76" w:rsidP="000E2DDB">
      <w:pPr>
        <w:pStyle w:val="Text"/>
        <w:keepNext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sym w:font="Symbol" w:char="F0B7"/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>Úvodná liečba ako monoterapia, aby sa oddialil začiatok liečby levodopou</w:t>
      </w:r>
    </w:p>
    <w:p w14:paraId="2B758169" w14:textId="77777777" w:rsidR="006602B0" w:rsidRPr="00BA7F79" w:rsidRDefault="00F06D76" w:rsidP="000E2DDB">
      <w:pPr>
        <w:pStyle w:val="Text"/>
        <w:keepNext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sym w:font="Symbol" w:char="F0B7"/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 xml:space="preserve">V kombinácii s levodopou, </w:t>
      </w:r>
      <w:r w:rsidR="00FF6440" w:rsidRPr="00BA7F79">
        <w:rPr>
          <w:sz w:val="22"/>
          <w:szCs w:val="22"/>
          <w:lang w:val="sk-SK"/>
        </w:rPr>
        <w:t>v</w:t>
      </w:r>
      <w:r w:rsidR="006602B0" w:rsidRPr="00BA7F79">
        <w:rPr>
          <w:sz w:val="22"/>
          <w:szCs w:val="22"/>
          <w:lang w:val="sk-SK"/>
        </w:rPr>
        <w:t xml:space="preserve"> priebeh</w:t>
      </w:r>
      <w:r w:rsidR="00FF6440" w:rsidRPr="00BA7F79">
        <w:rPr>
          <w:sz w:val="22"/>
          <w:szCs w:val="22"/>
          <w:lang w:val="sk-SK"/>
        </w:rPr>
        <w:t>u</w:t>
      </w:r>
      <w:r w:rsidR="006602B0" w:rsidRPr="00BA7F79">
        <w:rPr>
          <w:sz w:val="22"/>
          <w:szCs w:val="22"/>
          <w:lang w:val="sk-SK"/>
        </w:rPr>
        <w:t xml:space="preserve"> ochorenia, keď sa účinok </w:t>
      </w:r>
      <w:proofErr w:type="spellStart"/>
      <w:r w:rsidR="006602B0" w:rsidRPr="00BA7F79">
        <w:rPr>
          <w:sz w:val="22"/>
          <w:szCs w:val="22"/>
          <w:lang w:val="sk-SK"/>
        </w:rPr>
        <w:t>levodopy</w:t>
      </w:r>
      <w:proofErr w:type="spellEnd"/>
      <w:r w:rsidR="006602B0" w:rsidRPr="00BA7F79">
        <w:rPr>
          <w:sz w:val="22"/>
          <w:szCs w:val="22"/>
          <w:lang w:val="sk-SK"/>
        </w:rPr>
        <w:t xml:space="preserve"> skracuje alebo sa stáva neúplným a nastanú fluktuácie terapeutického účinku (fluktuácie typu "end </w:t>
      </w:r>
      <w:proofErr w:type="spellStart"/>
      <w:r w:rsidR="006602B0" w:rsidRPr="00BA7F79">
        <w:rPr>
          <w:sz w:val="22"/>
          <w:szCs w:val="22"/>
          <w:lang w:val="sk-SK"/>
        </w:rPr>
        <w:t>of</w:t>
      </w:r>
      <w:proofErr w:type="spellEnd"/>
      <w:r w:rsidR="006602B0" w:rsidRPr="00BA7F79">
        <w:rPr>
          <w:sz w:val="22"/>
          <w:szCs w:val="22"/>
          <w:lang w:val="sk-SK"/>
        </w:rPr>
        <w:t xml:space="preserve"> dose" alebo typu "on</w:t>
      </w:r>
      <w:r w:rsidR="00E810C1" w:rsidRPr="00BA7F79">
        <w:rPr>
          <w:sz w:val="22"/>
          <w:szCs w:val="22"/>
          <w:lang w:val="sk-SK"/>
        </w:rPr>
        <w:noBreakHyphen/>
      </w:r>
      <w:r w:rsidR="006602B0" w:rsidRPr="00BA7F79">
        <w:rPr>
          <w:sz w:val="22"/>
          <w:szCs w:val="22"/>
          <w:lang w:val="sk-SK"/>
        </w:rPr>
        <w:t>off")</w:t>
      </w:r>
    </w:p>
    <w:p w14:paraId="55F25DB4" w14:textId="77777777" w:rsidR="00E36081" w:rsidRPr="00BA7F79" w:rsidRDefault="00E36081" w:rsidP="000E2DDB">
      <w:pPr>
        <w:pStyle w:val="Nadpis3"/>
        <w:keepNext w:val="0"/>
        <w:keepLines w:val="0"/>
        <w:spacing w:after="0" w:line="240" w:lineRule="auto"/>
        <w:ind w:left="0"/>
        <w:rPr>
          <w:b w:val="0"/>
          <w:sz w:val="22"/>
          <w:szCs w:val="22"/>
          <w:lang w:val="sk-SK"/>
        </w:rPr>
      </w:pPr>
    </w:p>
    <w:p w14:paraId="4E01A3F2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>4.2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>Dávkovanie a spôsob podávania</w:t>
      </w:r>
    </w:p>
    <w:p w14:paraId="2FFB67C9" w14:textId="77777777" w:rsidR="00E36081" w:rsidRPr="00BA7F79" w:rsidRDefault="00E36081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AC960EF" w14:textId="77777777" w:rsidR="009F29B7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Perorálne použitie</w:t>
      </w:r>
      <w:r w:rsidR="00E36081" w:rsidRPr="00BA7F79">
        <w:rPr>
          <w:sz w:val="22"/>
          <w:szCs w:val="22"/>
          <w:lang w:val="sk-SK"/>
        </w:rPr>
        <w:t>.</w:t>
      </w:r>
    </w:p>
    <w:p w14:paraId="7A98A5A2" w14:textId="77777777" w:rsidR="00E36081" w:rsidRPr="00BA7F79" w:rsidRDefault="00E36081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D173EDF" w14:textId="77777777" w:rsidR="00747FC0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Dospelí</w:t>
      </w:r>
    </w:p>
    <w:p w14:paraId="0FD3D724" w14:textId="77777777" w:rsidR="00747FC0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Odporúča sa individuálne dávkovanie s postupnou titráciou dávky, ktorá bude dostatočne účinná a dobre tolerovaná</w:t>
      </w:r>
      <w:r w:rsidR="00747FC0" w:rsidRPr="00BA7F79">
        <w:rPr>
          <w:sz w:val="22"/>
          <w:szCs w:val="22"/>
          <w:lang w:val="sk-SK"/>
        </w:rPr>
        <w:t xml:space="preserve">. </w:t>
      </w:r>
      <w:proofErr w:type="spellStart"/>
      <w:r w:rsidR="003E3813"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="003E3813" w:rsidRPr="00BA7F79">
        <w:rPr>
          <w:caps/>
          <w:sz w:val="22"/>
          <w:szCs w:val="22"/>
          <w:lang w:val="sk-SK"/>
        </w:rPr>
        <w:t>Modutab</w:t>
      </w:r>
      <w:proofErr w:type="spellEnd"/>
      <w:r w:rsidR="003E3813" w:rsidRPr="00BA7F79">
        <w:rPr>
          <w:sz w:val="22"/>
          <w:szCs w:val="22"/>
          <w:lang w:val="sk-SK"/>
        </w:rPr>
        <w:t xml:space="preserve"> tablet</w:t>
      </w:r>
      <w:r w:rsidRPr="00BA7F79">
        <w:rPr>
          <w:sz w:val="22"/>
          <w:szCs w:val="22"/>
          <w:lang w:val="sk-SK"/>
        </w:rPr>
        <w:t>y</w:t>
      </w:r>
      <w:r w:rsidR="00747FC0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>sa majú užívať jedenkrát denne a v</w:t>
      </w:r>
      <w:r w:rsidR="00675B0E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rovnakom čase každý deň</w:t>
      </w:r>
      <w:r w:rsidR="002D3945" w:rsidRPr="00BA7F79">
        <w:rPr>
          <w:sz w:val="22"/>
          <w:szCs w:val="22"/>
          <w:lang w:val="sk-SK"/>
        </w:rPr>
        <w:t xml:space="preserve">. </w:t>
      </w:r>
      <w:r w:rsidRPr="00BA7F79">
        <w:rPr>
          <w:sz w:val="22"/>
          <w:szCs w:val="22"/>
          <w:lang w:val="sk-SK"/>
        </w:rPr>
        <w:t>T</w:t>
      </w:r>
      <w:r w:rsidR="002D3945" w:rsidRPr="00BA7F79">
        <w:rPr>
          <w:sz w:val="22"/>
          <w:szCs w:val="22"/>
          <w:lang w:val="sk-SK"/>
        </w:rPr>
        <w:t>ablet</w:t>
      </w:r>
      <w:r w:rsidRPr="00BA7F79">
        <w:rPr>
          <w:sz w:val="22"/>
          <w:szCs w:val="22"/>
          <w:lang w:val="sk-SK"/>
        </w:rPr>
        <w:t xml:space="preserve">y </w:t>
      </w:r>
      <w:r w:rsidR="00675B0E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>sa môžu užívať s jedlom alebo nalačno</w:t>
      </w:r>
      <w:r w:rsidR="00F97186" w:rsidRPr="00BA7F79">
        <w:rPr>
          <w:sz w:val="22"/>
          <w:szCs w:val="22"/>
          <w:lang w:val="sk-SK"/>
        </w:rPr>
        <w:t xml:space="preserve"> (pozri časť 5.2)</w:t>
      </w:r>
      <w:r w:rsidR="00406751" w:rsidRPr="00BA7F79">
        <w:rPr>
          <w:sz w:val="22"/>
          <w:szCs w:val="22"/>
          <w:lang w:val="sk-SK"/>
        </w:rPr>
        <w:t>.</w:t>
      </w:r>
    </w:p>
    <w:p w14:paraId="4CF149A8" w14:textId="77777777" w:rsidR="0055473F" w:rsidRPr="00BA7F79" w:rsidRDefault="0055473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A39A1B" w14:textId="77777777" w:rsidR="001442D3" w:rsidRPr="00BA7F79" w:rsidRDefault="003E381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Pr="00BA7F79">
        <w:rPr>
          <w:caps/>
          <w:sz w:val="22"/>
          <w:szCs w:val="22"/>
          <w:lang w:val="sk-SK"/>
        </w:rPr>
        <w:t>Modutab</w:t>
      </w:r>
      <w:proofErr w:type="spellEnd"/>
      <w:r w:rsidRPr="00BA7F79">
        <w:rPr>
          <w:sz w:val="22"/>
          <w:szCs w:val="22"/>
          <w:lang w:val="sk-SK"/>
        </w:rPr>
        <w:t xml:space="preserve"> tablet</w:t>
      </w:r>
      <w:r w:rsidR="00E56CA8" w:rsidRPr="00BA7F79">
        <w:rPr>
          <w:sz w:val="22"/>
          <w:szCs w:val="22"/>
          <w:lang w:val="sk-SK"/>
        </w:rPr>
        <w:t xml:space="preserve">y </w:t>
      </w:r>
      <w:r w:rsidR="00C965F8" w:rsidRPr="00BA7F79">
        <w:rPr>
          <w:sz w:val="22"/>
          <w:szCs w:val="22"/>
          <w:lang w:val="sk-SK"/>
        </w:rPr>
        <w:t xml:space="preserve">s predĺženým uvoľňovaním </w:t>
      </w:r>
      <w:r w:rsidR="00E56CA8" w:rsidRPr="00BA7F79">
        <w:rPr>
          <w:sz w:val="22"/>
          <w:szCs w:val="22"/>
          <w:lang w:val="sk-SK"/>
        </w:rPr>
        <w:t>sa musia prehltnúť vcelku</w:t>
      </w:r>
      <w:r w:rsidR="00E810C1" w:rsidRPr="00BA7F79">
        <w:rPr>
          <w:sz w:val="22"/>
          <w:szCs w:val="22"/>
          <w:lang w:val="sk-SK"/>
        </w:rPr>
        <w:t xml:space="preserve"> a </w:t>
      </w:r>
      <w:r w:rsidR="00E56CA8" w:rsidRPr="00BA7F79">
        <w:rPr>
          <w:sz w:val="22"/>
          <w:szCs w:val="22"/>
          <w:lang w:val="sk-SK"/>
        </w:rPr>
        <w:t xml:space="preserve">nesmú </w:t>
      </w:r>
      <w:r w:rsidR="00E810C1" w:rsidRPr="00BA7F79">
        <w:rPr>
          <w:sz w:val="22"/>
          <w:szCs w:val="22"/>
          <w:lang w:val="sk-SK"/>
        </w:rPr>
        <w:t xml:space="preserve">sa </w:t>
      </w:r>
      <w:r w:rsidR="00E56CA8" w:rsidRPr="00BA7F79">
        <w:rPr>
          <w:sz w:val="22"/>
          <w:szCs w:val="22"/>
          <w:lang w:val="sk-SK"/>
        </w:rPr>
        <w:t>žuvať, drviť ani deliť.</w:t>
      </w:r>
    </w:p>
    <w:p w14:paraId="225BE31D" w14:textId="77777777" w:rsidR="009A0E0C" w:rsidRPr="00BA7F79" w:rsidRDefault="009A0E0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249931" w14:textId="77777777" w:rsidR="00E56CA8" w:rsidRPr="00BA7F79" w:rsidRDefault="00E810C1" w:rsidP="000E2DDB">
      <w:pPr>
        <w:pStyle w:val="Text"/>
        <w:keepNext/>
        <w:spacing w:after="0" w:line="240" w:lineRule="auto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Úvodná titrácia dávky</w:t>
      </w:r>
    </w:p>
    <w:p w14:paraId="2915B57C" w14:textId="77777777" w:rsidR="00BD3981" w:rsidRPr="00BA7F79" w:rsidRDefault="00D0305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Za</w:t>
      </w:r>
      <w:r w:rsidR="00BD3981" w:rsidRPr="00BA7F79">
        <w:rPr>
          <w:sz w:val="22"/>
          <w:szCs w:val="22"/>
          <w:lang w:val="sk-SK"/>
        </w:rPr>
        <w:t xml:space="preserve">čiatočná dávka tabliet ropinirolu s predĺženým uvoľňovaním je 2 mg jedenkrát denne počas prvého týždňa; </w:t>
      </w:r>
      <w:r w:rsidR="00484E1E" w:rsidRPr="00BA7F79">
        <w:rPr>
          <w:sz w:val="22"/>
          <w:szCs w:val="22"/>
          <w:lang w:val="sk-SK"/>
        </w:rPr>
        <w:t xml:space="preserve">táto dávka sa má </w:t>
      </w:r>
      <w:r w:rsidR="00BD3981" w:rsidRPr="00BA7F79">
        <w:rPr>
          <w:sz w:val="22"/>
          <w:szCs w:val="22"/>
          <w:lang w:val="sk-SK"/>
        </w:rPr>
        <w:t xml:space="preserve">na začiatku druhého týždňa liečby zvýšiť na 4 mg jedenkrát denne. </w:t>
      </w:r>
      <w:r w:rsidR="00052866" w:rsidRPr="00BA7F79">
        <w:rPr>
          <w:sz w:val="22"/>
          <w:szCs w:val="22"/>
          <w:lang w:val="sk-SK"/>
        </w:rPr>
        <w:t>Terapeutická o</w:t>
      </w:r>
      <w:r w:rsidR="00DD26F3" w:rsidRPr="00BA7F79">
        <w:rPr>
          <w:sz w:val="22"/>
          <w:szCs w:val="22"/>
          <w:lang w:val="sk-SK"/>
        </w:rPr>
        <w:t>dpoveď sa môže dosiahnuť p</w:t>
      </w:r>
      <w:r w:rsidR="00112AD0" w:rsidRPr="00BA7F79">
        <w:rPr>
          <w:sz w:val="22"/>
          <w:szCs w:val="22"/>
          <w:lang w:val="sk-SK"/>
        </w:rPr>
        <w:t>ri</w:t>
      </w:r>
      <w:r w:rsidR="006A09B4" w:rsidRPr="00BA7F79">
        <w:rPr>
          <w:sz w:val="22"/>
          <w:szCs w:val="22"/>
          <w:lang w:val="sk-SK"/>
        </w:rPr>
        <w:t xml:space="preserve"> </w:t>
      </w:r>
      <w:r w:rsidR="001F3975" w:rsidRPr="00BA7F79">
        <w:rPr>
          <w:sz w:val="22"/>
          <w:szCs w:val="22"/>
          <w:lang w:val="sk-SK"/>
        </w:rPr>
        <w:t>dávke 4 mg jedenkrát denne tabletami ropinirolu s</w:t>
      </w:r>
      <w:r w:rsidR="00040BF6" w:rsidRPr="00BA7F79">
        <w:rPr>
          <w:sz w:val="22"/>
          <w:szCs w:val="22"/>
          <w:lang w:val="sk-SK"/>
        </w:rPr>
        <w:t> </w:t>
      </w:r>
      <w:r w:rsidR="001F3975" w:rsidRPr="00BA7F79">
        <w:rPr>
          <w:sz w:val="22"/>
          <w:szCs w:val="22"/>
          <w:lang w:val="sk-SK"/>
        </w:rPr>
        <w:t>predĺženým uvoľňovaním</w:t>
      </w:r>
      <w:r w:rsidR="00D013D7" w:rsidRPr="00BA7F79">
        <w:rPr>
          <w:sz w:val="22"/>
          <w:szCs w:val="22"/>
          <w:lang w:val="sk-SK"/>
        </w:rPr>
        <w:t>.</w:t>
      </w:r>
    </w:p>
    <w:p w14:paraId="40E010DE" w14:textId="77777777" w:rsidR="00482FB1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EF3DEAD" w14:textId="77777777" w:rsidR="00482FB1" w:rsidRPr="00BA7F79" w:rsidRDefault="0080462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 p</w:t>
      </w:r>
      <w:r w:rsidR="00482FB1" w:rsidRPr="00BA7F79">
        <w:rPr>
          <w:sz w:val="22"/>
          <w:szCs w:val="22"/>
          <w:lang w:val="sk-SK"/>
        </w:rPr>
        <w:t>acient</w:t>
      </w:r>
      <w:r w:rsidRPr="00BA7F79">
        <w:rPr>
          <w:sz w:val="22"/>
          <w:szCs w:val="22"/>
          <w:lang w:val="sk-SK"/>
        </w:rPr>
        <w:t>ov</w:t>
      </w:r>
      <w:r w:rsidR="00482FB1" w:rsidRPr="00BA7F79">
        <w:rPr>
          <w:sz w:val="22"/>
          <w:szCs w:val="22"/>
          <w:lang w:val="sk-SK"/>
        </w:rPr>
        <w:t>, ktorí začnú liečbu</w:t>
      </w:r>
      <w:r w:rsidRPr="00BA7F79">
        <w:rPr>
          <w:sz w:val="22"/>
          <w:szCs w:val="22"/>
          <w:lang w:val="sk-SK"/>
        </w:rPr>
        <w:t xml:space="preserve"> tabletami ropinirolu s predĺženým uvoľňovaním dávkou</w:t>
      </w:r>
      <w:r w:rsidR="00482FB1" w:rsidRPr="00BA7F79">
        <w:rPr>
          <w:sz w:val="22"/>
          <w:szCs w:val="22"/>
          <w:lang w:val="sk-SK"/>
        </w:rPr>
        <w:t xml:space="preserve"> 2 mg/deň a </w:t>
      </w:r>
      <w:r w:rsidRPr="00BA7F79">
        <w:rPr>
          <w:sz w:val="22"/>
          <w:szCs w:val="22"/>
          <w:lang w:val="sk-SK"/>
        </w:rPr>
        <w:t xml:space="preserve">vyskytnú </w:t>
      </w:r>
      <w:r w:rsidR="00482FB1" w:rsidRPr="00BA7F79">
        <w:rPr>
          <w:sz w:val="22"/>
          <w:szCs w:val="22"/>
          <w:lang w:val="sk-SK"/>
        </w:rPr>
        <w:t xml:space="preserve">sa </w:t>
      </w:r>
      <w:r w:rsidRPr="00BA7F79">
        <w:rPr>
          <w:sz w:val="22"/>
          <w:szCs w:val="22"/>
          <w:lang w:val="sk-SK"/>
        </w:rPr>
        <w:t xml:space="preserve">u nich </w:t>
      </w:r>
      <w:r w:rsidR="00482FB1" w:rsidRPr="00BA7F79">
        <w:rPr>
          <w:sz w:val="22"/>
          <w:szCs w:val="22"/>
          <w:lang w:val="sk-SK"/>
        </w:rPr>
        <w:t xml:space="preserve">vedľajšie účinky, </w:t>
      </w:r>
      <w:r w:rsidRPr="00BA7F79">
        <w:rPr>
          <w:sz w:val="22"/>
          <w:szCs w:val="22"/>
          <w:lang w:val="sk-SK"/>
        </w:rPr>
        <w:t xml:space="preserve">ktoré nevedia tolerovať, </w:t>
      </w:r>
      <w:r w:rsidR="00482FB1" w:rsidRPr="00BA7F79">
        <w:rPr>
          <w:sz w:val="22"/>
          <w:szCs w:val="22"/>
          <w:lang w:val="sk-SK"/>
        </w:rPr>
        <w:t>môž</w:t>
      </w:r>
      <w:r w:rsidRPr="00BA7F79">
        <w:rPr>
          <w:sz w:val="22"/>
          <w:szCs w:val="22"/>
          <w:lang w:val="sk-SK"/>
        </w:rPr>
        <w:t>e</w:t>
      </w:r>
      <w:r w:rsidR="00482FB1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byť</w:t>
      </w:r>
      <w:r w:rsidR="00285044" w:rsidRPr="00BA7F79">
        <w:rPr>
          <w:sz w:val="22"/>
          <w:szCs w:val="22"/>
          <w:lang w:val="sk-SK"/>
        </w:rPr>
        <w:t xml:space="preserve"> prínos</w:t>
      </w:r>
      <w:r w:rsidRPr="00BA7F79">
        <w:rPr>
          <w:sz w:val="22"/>
          <w:szCs w:val="22"/>
          <w:lang w:val="sk-SK"/>
        </w:rPr>
        <w:t>om</w:t>
      </w:r>
      <w:r w:rsidR="00285044" w:rsidRPr="00BA7F79">
        <w:rPr>
          <w:sz w:val="22"/>
          <w:szCs w:val="22"/>
          <w:lang w:val="sk-SK"/>
        </w:rPr>
        <w:t xml:space="preserve"> prechod</w:t>
      </w:r>
      <w:r w:rsidR="00482FB1" w:rsidRPr="00BA7F79">
        <w:rPr>
          <w:sz w:val="22"/>
          <w:szCs w:val="22"/>
          <w:lang w:val="sk-SK"/>
        </w:rPr>
        <w:t xml:space="preserve"> na liečbu filmom obalenými tabletami </w:t>
      </w:r>
      <w:r w:rsidR="00D808D6" w:rsidRPr="00BA7F79">
        <w:rPr>
          <w:sz w:val="22"/>
          <w:szCs w:val="22"/>
          <w:lang w:val="sk-SK"/>
        </w:rPr>
        <w:t xml:space="preserve">(s okamžitým uvoľňovaním) </w:t>
      </w:r>
      <w:r w:rsidR="00482FB1" w:rsidRPr="00BA7F79">
        <w:rPr>
          <w:sz w:val="22"/>
          <w:szCs w:val="22"/>
          <w:lang w:val="sk-SK"/>
        </w:rPr>
        <w:t>ropinirolu v nižšej dennej dávke, ktorá sa rozdelí do troch rovnakých dávok.</w:t>
      </w:r>
    </w:p>
    <w:p w14:paraId="1CB27E5F" w14:textId="77777777" w:rsidR="00BD3981" w:rsidRPr="00BA7F79" w:rsidRDefault="00BD398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6A6CF2B" w14:textId="77777777" w:rsidR="00AC7405" w:rsidRPr="00BA7F79" w:rsidRDefault="00AC7405" w:rsidP="000E2DDB">
      <w:pPr>
        <w:pStyle w:val="Text"/>
        <w:spacing w:after="0" w:line="240" w:lineRule="auto"/>
        <w:outlineLvl w:val="0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Terapeutic</w:t>
      </w:r>
      <w:r w:rsidR="00E56CA8" w:rsidRPr="00BA7F79">
        <w:rPr>
          <w:i/>
          <w:sz w:val="22"/>
          <w:szCs w:val="22"/>
          <w:lang w:val="sk-SK"/>
        </w:rPr>
        <w:t>ký režim</w:t>
      </w:r>
    </w:p>
    <w:p w14:paraId="48665121" w14:textId="77777777" w:rsidR="00DD26F3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Pacienti majú pokračovať v užívaní najnižšej dávky tabliet ropinirolu s predĺženým uvoľňovaním, pri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ktorej sa dosiahne kontrola príznakov.</w:t>
      </w:r>
    </w:p>
    <w:p w14:paraId="184334C9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54CB5AB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Ak sa pri dávke </w:t>
      </w:r>
      <w:r w:rsidR="00DB1E38" w:rsidRPr="00BA7F79">
        <w:rPr>
          <w:sz w:val="22"/>
          <w:szCs w:val="22"/>
          <w:lang w:val="sk-SK"/>
        </w:rPr>
        <w:t>4 </w:t>
      </w:r>
      <w:r w:rsidR="0064675A" w:rsidRPr="00BA7F79">
        <w:rPr>
          <w:sz w:val="22"/>
          <w:szCs w:val="22"/>
          <w:lang w:val="sk-SK"/>
        </w:rPr>
        <w:t xml:space="preserve">mg jedenkrát denne </w:t>
      </w:r>
      <w:r w:rsidRPr="00BA7F79">
        <w:rPr>
          <w:sz w:val="22"/>
          <w:szCs w:val="22"/>
          <w:lang w:val="sk-SK"/>
        </w:rPr>
        <w:t>tablet</w:t>
      </w:r>
      <w:r w:rsidR="0064675A" w:rsidRPr="00BA7F79">
        <w:rPr>
          <w:sz w:val="22"/>
          <w:szCs w:val="22"/>
          <w:lang w:val="sk-SK"/>
        </w:rPr>
        <w:t>ami</w:t>
      </w:r>
      <w:r w:rsidRPr="00BA7F79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zvyšovať o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2 mg v týždňových alebo dlhších intervaloch, a to až na </w:t>
      </w:r>
      <w:r w:rsidR="001F3975" w:rsidRPr="00BA7F79">
        <w:rPr>
          <w:sz w:val="22"/>
          <w:szCs w:val="22"/>
          <w:lang w:val="sk-SK"/>
        </w:rPr>
        <w:t xml:space="preserve">dávku </w:t>
      </w:r>
      <w:r w:rsidRPr="00BA7F79">
        <w:rPr>
          <w:sz w:val="22"/>
          <w:szCs w:val="22"/>
          <w:lang w:val="sk-SK"/>
        </w:rPr>
        <w:t xml:space="preserve">8 mg </w:t>
      </w:r>
      <w:r w:rsidR="001F3975" w:rsidRPr="00BA7F79">
        <w:rPr>
          <w:sz w:val="22"/>
          <w:szCs w:val="22"/>
          <w:lang w:val="sk-SK"/>
        </w:rPr>
        <w:t xml:space="preserve">jedenkrát denne </w:t>
      </w:r>
      <w:r w:rsidRPr="00BA7F79">
        <w:rPr>
          <w:sz w:val="22"/>
          <w:szCs w:val="22"/>
          <w:lang w:val="sk-SK"/>
        </w:rPr>
        <w:t>tab</w:t>
      </w:r>
      <w:r w:rsidR="001F3975" w:rsidRPr="00BA7F79">
        <w:rPr>
          <w:sz w:val="22"/>
          <w:szCs w:val="22"/>
          <w:lang w:val="sk-SK"/>
        </w:rPr>
        <w:t>letami</w:t>
      </w:r>
      <w:r w:rsidRPr="00BA7F79">
        <w:rPr>
          <w:sz w:val="22"/>
          <w:szCs w:val="22"/>
          <w:lang w:val="sk-SK"/>
        </w:rPr>
        <w:t xml:space="preserve"> ropinirolu s predĺženým uvoľňovaním.</w:t>
      </w:r>
    </w:p>
    <w:p w14:paraId="4AE2593B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8860CCA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Ak sa </w:t>
      </w:r>
      <w:r w:rsidR="00B56423" w:rsidRPr="00BA7F79">
        <w:rPr>
          <w:sz w:val="22"/>
          <w:szCs w:val="22"/>
          <w:lang w:val="sk-SK"/>
        </w:rPr>
        <w:t xml:space="preserve">ani </w:t>
      </w:r>
      <w:r w:rsidRPr="00BA7F79">
        <w:rPr>
          <w:sz w:val="22"/>
          <w:szCs w:val="22"/>
          <w:lang w:val="sk-SK"/>
        </w:rPr>
        <w:t xml:space="preserve">pri </w:t>
      </w:r>
      <w:r w:rsidR="0064675A" w:rsidRPr="00BA7F79">
        <w:rPr>
          <w:sz w:val="22"/>
          <w:szCs w:val="22"/>
          <w:lang w:val="sk-SK"/>
        </w:rPr>
        <w:t xml:space="preserve">dávke </w:t>
      </w:r>
      <w:r w:rsidRPr="00BA7F79">
        <w:rPr>
          <w:sz w:val="22"/>
          <w:szCs w:val="22"/>
          <w:lang w:val="sk-SK"/>
        </w:rPr>
        <w:t xml:space="preserve">8 mg </w:t>
      </w:r>
      <w:r w:rsidR="0064675A" w:rsidRPr="00BA7F79">
        <w:rPr>
          <w:sz w:val="22"/>
          <w:szCs w:val="22"/>
          <w:lang w:val="sk-SK"/>
        </w:rPr>
        <w:t xml:space="preserve">jedenkrát denne </w:t>
      </w:r>
      <w:r w:rsidRPr="00BA7F79">
        <w:rPr>
          <w:sz w:val="22"/>
          <w:szCs w:val="22"/>
          <w:lang w:val="sk-SK"/>
        </w:rPr>
        <w:t>tabl</w:t>
      </w:r>
      <w:r w:rsidR="0064675A" w:rsidRPr="00BA7F79">
        <w:rPr>
          <w:sz w:val="22"/>
          <w:szCs w:val="22"/>
          <w:lang w:val="sk-SK"/>
        </w:rPr>
        <w:t>etami</w:t>
      </w:r>
      <w:r w:rsidRPr="00BA7F79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zvyšovať o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2 mg </w:t>
      </w:r>
      <w:r w:rsidR="00B56423" w:rsidRPr="00BA7F79">
        <w:rPr>
          <w:sz w:val="22"/>
          <w:szCs w:val="22"/>
          <w:lang w:val="sk-SK"/>
        </w:rPr>
        <w:t xml:space="preserve">až 4 mg </w:t>
      </w:r>
      <w:r w:rsidRPr="00BA7F79">
        <w:rPr>
          <w:sz w:val="22"/>
          <w:szCs w:val="22"/>
          <w:lang w:val="sk-SK"/>
        </w:rPr>
        <w:t>v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dvojtýždňových alebo dlhších intervaloch. Maximálna denná dávka tabliet ropinirolu s predĺženým uvoľňovaním je 24 mg.</w:t>
      </w:r>
    </w:p>
    <w:p w14:paraId="79A591D9" w14:textId="77777777" w:rsidR="00482FB1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D92452" w14:textId="77777777" w:rsidR="00482FB1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Odporúča sa predpísať pacientom minimálny počet tabliet ropinirolu s predĺženým uvoľňovaním, ktoré sú potrebné na dosiahnutie potrebnej dávky</w:t>
      </w:r>
      <w:r w:rsidR="00930209" w:rsidRPr="00BA7F79">
        <w:rPr>
          <w:sz w:val="22"/>
          <w:szCs w:val="22"/>
          <w:lang w:val="sk-SK"/>
        </w:rPr>
        <w:t>, a to s využitím najvyšších dostupných síl tabliet ropinirolu s predĺženým uvoľňovaním.</w:t>
      </w:r>
    </w:p>
    <w:p w14:paraId="28534C9C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EAEC8F4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Ak sa liečba preruší na jeden alebo viac dní, má sa zvážiť opätovné začatie titráci</w:t>
      </w:r>
      <w:r w:rsidR="0064675A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 xml:space="preserve"> dávky (pozri vyššie uvedené).</w:t>
      </w:r>
    </w:p>
    <w:p w14:paraId="325FE8AC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6DD285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Keď sa </w:t>
      </w: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tablety s predĺženým uvoľňovaním </w:t>
      </w:r>
      <w:r w:rsidRPr="00BA7F79">
        <w:rPr>
          <w:sz w:val="22"/>
          <w:szCs w:val="22"/>
          <w:lang w:val="sk-SK"/>
        </w:rPr>
        <w:t xml:space="preserve">podávajú ako prídavná liečba k levodope, je možné postupne znižovať dávku </w:t>
      </w:r>
      <w:proofErr w:type="spellStart"/>
      <w:r w:rsidRPr="00BA7F79">
        <w:rPr>
          <w:sz w:val="22"/>
          <w:szCs w:val="22"/>
          <w:lang w:val="sk-SK"/>
        </w:rPr>
        <w:t>levodopy</w:t>
      </w:r>
      <w:proofErr w:type="spellEnd"/>
      <w:r w:rsidRPr="00BA7F79">
        <w:rPr>
          <w:sz w:val="22"/>
          <w:szCs w:val="22"/>
          <w:lang w:val="sk-SK"/>
        </w:rPr>
        <w:t xml:space="preserve"> v závislosti od klinickej odpovede. V klinických štúdiách bola u pacientov súčasne užívajúcich </w:t>
      </w: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>tablety s</w:t>
      </w:r>
      <w:r w:rsidR="00F04044" w:rsidRPr="00BA7F79">
        <w:rPr>
          <w:sz w:val="22"/>
          <w:szCs w:val="22"/>
          <w:lang w:val="sk-SK"/>
        </w:rPr>
        <w:t> </w:t>
      </w:r>
      <w:r w:rsidR="00C965F8" w:rsidRPr="00BA7F79">
        <w:rPr>
          <w:sz w:val="22"/>
          <w:szCs w:val="22"/>
          <w:lang w:val="sk-SK"/>
        </w:rPr>
        <w:t xml:space="preserve">predĺženým uvoľňovaním </w:t>
      </w:r>
      <w:r w:rsidRPr="00BA7F79">
        <w:rPr>
          <w:sz w:val="22"/>
          <w:szCs w:val="22"/>
          <w:lang w:val="sk-SK"/>
        </w:rPr>
        <w:t xml:space="preserve">dávka </w:t>
      </w:r>
      <w:proofErr w:type="spellStart"/>
      <w:r w:rsidRPr="00BA7F79">
        <w:rPr>
          <w:sz w:val="22"/>
          <w:szCs w:val="22"/>
          <w:lang w:val="sk-SK"/>
        </w:rPr>
        <w:t>levodopy</w:t>
      </w:r>
      <w:proofErr w:type="spellEnd"/>
      <w:r w:rsidRPr="00BA7F79">
        <w:rPr>
          <w:sz w:val="22"/>
          <w:szCs w:val="22"/>
          <w:lang w:val="sk-SK"/>
        </w:rPr>
        <w:t xml:space="preserve"> postupne znížená približne o 30 %. U pacientov s</w:t>
      </w:r>
      <w:r w:rsidR="00F0404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pokročilou 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</w:t>
      </w:r>
      <w:r w:rsidR="002F19A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726CD9" w:rsidRPr="00BA7F79">
        <w:rPr>
          <w:sz w:val="22"/>
          <w:szCs w:val="22"/>
          <w:lang w:val="sk-SK"/>
        </w:rPr>
        <w:t xml:space="preserve">liečených </w:t>
      </w:r>
      <w:proofErr w:type="spellStart"/>
      <w:r w:rsidR="00726CD9" w:rsidRPr="00BA7F79">
        <w:rPr>
          <w:caps/>
          <w:sz w:val="22"/>
          <w:szCs w:val="22"/>
          <w:lang w:val="sk-SK"/>
        </w:rPr>
        <w:t>Requip</w:t>
      </w:r>
      <w:r w:rsidR="00726CD9" w:rsidRPr="00BA7F79">
        <w:rPr>
          <w:caps/>
          <w:sz w:val="22"/>
          <w:szCs w:val="22"/>
          <w:lang w:val="sk-SK"/>
        </w:rPr>
        <w:noBreakHyphen/>
        <w:t>Modutab</w:t>
      </w:r>
      <w:proofErr w:type="spellEnd"/>
      <w:r w:rsidR="00726CD9" w:rsidRPr="00BA7F79">
        <w:rPr>
          <w:sz w:val="22"/>
          <w:szCs w:val="22"/>
          <w:lang w:val="sk-SK"/>
        </w:rPr>
        <w:t xml:space="preserve"> tabletami s predĺženým uvoľňovaním v kombinácii </w:t>
      </w:r>
      <w:r w:rsidRPr="00BA7F79">
        <w:rPr>
          <w:sz w:val="22"/>
          <w:szCs w:val="22"/>
          <w:lang w:val="sk-SK"/>
        </w:rPr>
        <w:t>s</w:t>
      </w:r>
      <w:r w:rsidR="002F19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levodopou</w:t>
      </w:r>
      <w:r w:rsidR="002F19A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726CD9" w:rsidRPr="00BA7F79">
        <w:rPr>
          <w:sz w:val="22"/>
          <w:szCs w:val="22"/>
          <w:lang w:val="sk-SK"/>
        </w:rPr>
        <w:t xml:space="preserve">sa </w:t>
      </w:r>
      <w:r w:rsidRPr="00BA7F79">
        <w:rPr>
          <w:sz w:val="22"/>
          <w:szCs w:val="22"/>
          <w:lang w:val="sk-SK"/>
        </w:rPr>
        <w:t xml:space="preserve">môžu vyskytnúť </w:t>
      </w:r>
      <w:proofErr w:type="spellStart"/>
      <w:r w:rsidRPr="00BA7F79">
        <w:rPr>
          <w:sz w:val="22"/>
          <w:szCs w:val="22"/>
          <w:lang w:val="sk-SK"/>
        </w:rPr>
        <w:t>dyskinézy</w:t>
      </w:r>
      <w:proofErr w:type="spellEnd"/>
      <w:r w:rsidRPr="00BA7F79">
        <w:rPr>
          <w:sz w:val="22"/>
          <w:szCs w:val="22"/>
          <w:lang w:val="sk-SK"/>
        </w:rPr>
        <w:t xml:space="preserve"> počas úvodnej titrácie dávky </w:t>
      </w:r>
      <w:proofErr w:type="spellStart"/>
      <w:r w:rsidRPr="00BA7F79">
        <w:rPr>
          <w:caps/>
          <w:sz w:val="22"/>
          <w:szCs w:val="22"/>
          <w:lang w:val="sk-SK"/>
        </w:rPr>
        <w:t>Requip</w:t>
      </w:r>
      <w:r w:rsidRPr="00BA7F79">
        <w:rPr>
          <w:caps/>
          <w:sz w:val="22"/>
          <w:szCs w:val="22"/>
          <w:lang w:val="sk-SK"/>
        </w:rPr>
        <w:noBreakHyphen/>
        <w:t>Modutab</w:t>
      </w:r>
      <w:proofErr w:type="spellEnd"/>
      <w:r w:rsidR="00C965F8" w:rsidRPr="00BA7F79">
        <w:rPr>
          <w:sz w:val="22"/>
          <w:szCs w:val="22"/>
          <w:lang w:val="sk-SK"/>
        </w:rPr>
        <w:t xml:space="preserve"> tabliet s predĺženým uvoľňovaním</w:t>
      </w:r>
      <w:r w:rsidRPr="00BA7F79">
        <w:rPr>
          <w:sz w:val="22"/>
          <w:szCs w:val="22"/>
          <w:lang w:val="sk-SK"/>
        </w:rPr>
        <w:t xml:space="preserve">. </w:t>
      </w:r>
      <w:r w:rsidR="00726CD9" w:rsidRPr="00BA7F79">
        <w:rPr>
          <w:sz w:val="22"/>
          <w:szCs w:val="22"/>
          <w:lang w:val="sk-SK"/>
        </w:rPr>
        <w:t xml:space="preserve">V klinických štúdiách sa preukázalo, že zníženie dávky </w:t>
      </w:r>
      <w:proofErr w:type="spellStart"/>
      <w:r w:rsidR="00726CD9" w:rsidRPr="00BA7F79">
        <w:rPr>
          <w:sz w:val="22"/>
          <w:szCs w:val="22"/>
          <w:lang w:val="sk-SK"/>
        </w:rPr>
        <w:t>levodopy</w:t>
      </w:r>
      <w:proofErr w:type="spellEnd"/>
      <w:r w:rsidR="00726CD9" w:rsidRPr="00BA7F79">
        <w:rPr>
          <w:sz w:val="22"/>
          <w:szCs w:val="22"/>
          <w:lang w:val="sk-SK"/>
        </w:rPr>
        <w:t xml:space="preserve"> môže zmierniť </w:t>
      </w:r>
      <w:proofErr w:type="spellStart"/>
      <w:r w:rsidR="00726CD9" w:rsidRPr="00BA7F79">
        <w:rPr>
          <w:sz w:val="22"/>
          <w:szCs w:val="22"/>
          <w:lang w:val="sk-SK"/>
        </w:rPr>
        <w:t>dyskinézu</w:t>
      </w:r>
      <w:proofErr w:type="spellEnd"/>
      <w:r w:rsidR="00726CD9" w:rsidRPr="00BA7F79">
        <w:rPr>
          <w:sz w:val="22"/>
          <w:szCs w:val="22"/>
          <w:lang w:val="sk-SK"/>
        </w:rPr>
        <w:t xml:space="preserve"> (pozri časť 4.8)</w:t>
      </w:r>
      <w:r w:rsidRPr="00BA7F79">
        <w:rPr>
          <w:sz w:val="22"/>
          <w:szCs w:val="22"/>
          <w:lang w:val="sk-SK"/>
        </w:rPr>
        <w:t>.</w:t>
      </w:r>
    </w:p>
    <w:p w14:paraId="24320F76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87DEDC" w14:textId="448F0F19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 xml:space="preserve">Keď sa prechádza z liečby iným </w:t>
      </w:r>
      <w:proofErr w:type="spellStart"/>
      <w:r w:rsidRPr="00BA7F79">
        <w:rPr>
          <w:sz w:val="22"/>
          <w:szCs w:val="22"/>
          <w:lang w:val="sk-SK"/>
        </w:rPr>
        <w:t>dopamínovým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agonistom</w:t>
      </w:r>
      <w:proofErr w:type="spellEnd"/>
      <w:r w:rsidRPr="00BA7F79">
        <w:rPr>
          <w:sz w:val="22"/>
          <w:szCs w:val="22"/>
          <w:lang w:val="sk-SK"/>
        </w:rPr>
        <w:t xml:space="preserve"> na liečbu ropinirolom, pred začatím liečby ropinirolom sa musia dodržať odporúčania držiteľa rozhodnutia o registrácii </w:t>
      </w:r>
      <w:r w:rsidR="00D10389" w:rsidRPr="00BA7F79">
        <w:rPr>
          <w:sz w:val="22"/>
          <w:szCs w:val="22"/>
          <w:lang w:val="sk-SK"/>
        </w:rPr>
        <w:t>na</w:t>
      </w:r>
      <w:r w:rsidRPr="00BA7F79">
        <w:rPr>
          <w:sz w:val="22"/>
          <w:szCs w:val="22"/>
          <w:lang w:val="sk-SK"/>
        </w:rPr>
        <w:t xml:space="preserve"> vysadenie </w:t>
      </w:r>
      <w:proofErr w:type="spellStart"/>
      <w:r w:rsidRPr="00BA7F79">
        <w:rPr>
          <w:sz w:val="22"/>
          <w:szCs w:val="22"/>
          <w:lang w:val="sk-SK"/>
        </w:rPr>
        <w:t>dopamínového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agonistu</w:t>
      </w:r>
      <w:proofErr w:type="spellEnd"/>
      <w:r w:rsidRPr="00BA7F79">
        <w:rPr>
          <w:sz w:val="22"/>
          <w:szCs w:val="22"/>
          <w:lang w:val="sk-SK"/>
        </w:rPr>
        <w:t>.</w:t>
      </w:r>
    </w:p>
    <w:p w14:paraId="0A7D7238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9938F16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Tak ako pri iných </w:t>
      </w:r>
      <w:proofErr w:type="spellStart"/>
      <w:r w:rsidRPr="00BA7F79">
        <w:rPr>
          <w:sz w:val="22"/>
          <w:szCs w:val="22"/>
          <w:lang w:val="sk-SK"/>
        </w:rPr>
        <w:t>dopamínových</w:t>
      </w:r>
      <w:proofErr w:type="spellEnd"/>
      <w:r w:rsidRPr="00BA7F79">
        <w:rPr>
          <w:sz w:val="22"/>
          <w:szCs w:val="22"/>
          <w:lang w:val="sk-SK"/>
        </w:rPr>
        <w:t xml:space="preserve"> agonistoch, liečbu ropinirolom je potrebné ukončiť postupným znižovaním dennej dávky v priebehu obdobia jedného týždňa</w:t>
      </w:r>
      <w:r w:rsidR="00D61D60" w:rsidRPr="00BA7F79">
        <w:rPr>
          <w:sz w:val="22"/>
          <w:szCs w:val="22"/>
          <w:lang w:val="sk-SK"/>
        </w:rPr>
        <w:t xml:space="preserve"> (pozri časť 4.4)</w:t>
      </w:r>
      <w:r w:rsidRPr="00BA7F79">
        <w:rPr>
          <w:sz w:val="22"/>
          <w:szCs w:val="22"/>
          <w:lang w:val="sk-SK"/>
        </w:rPr>
        <w:t>.</w:t>
      </w:r>
    </w:p>
    <w:p w14:paraId="7CE4F011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5DABB67" w14:textId="77777777" w:rsidR="00747FC0" w:rsidRPr="00BA7F79" w:rsidRDefault="00BC468E" w:rsidP="000E2DDB">
      <w:pPr>
        <w:pStyle w:val="Text"/>
        <w:spacing w:after="0" w:line="240" w:lineRule="auto"/>
        <w:outlineLvl w:val="0"/>
        <w:rPr>
          <w:b/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Prechod</w:t>
      </w:r>
      <w:r w:rsidR="000B4CE3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i/>
          <w:sz w:val="22"/>
          <w:szCs w:val="22"/>
          <w:lang w:val="sk-SK"/>
        </w:rPr>
        <w:t>z</w:t>
      </w:r>
      <w:r w:rsidR="0055473F" w:rsidRPr="00BA7F79">
        <w:rPr>
          <w:i/>
          <w:sz w:val="22"/>
          <w:szCs w:val="22"/>
          <w:lang w:val="sk-SK"/>
        </w:rPr>
        <w:t> </w:t>
      </w:r>
      <w:proofErr w:type="spellStart"/>
      <w:r w:rsidR="0055473F" w:rsidRPr="00BA7F79">
        <w:rPr>
          <w:b/>
          <w:i/>
          <w:sz w:val="22"/>
          <w:szCs w:val="22"/>
          <w:lang w:val="sk-SK"/>
        </w:rPr>
        <w:t>R</w:t>
      </w:r>
      <w:r w:rsidR="008A474F" w:rsidRPr="00BA7F79">
        <w:rPr>
          <w:b/>
          <w:i/>
          <w:sz w:val="22"/>
          <w:szCs w:val="22"/>
          <w:lang w:val="sk-SK"/>
        </w:rPr>
        <w:t>EQUIP</w:t>
      </w:r>
      <w:proofErr w:type="spellEnd"/>
      <w:r w:rsidR="0055473F" w:rsidRPr="00BA7F79">
        <w:rPr>
          <w:b/>
          <w:i/>
          <w:sz w:val="22"/>
          <w:szCs w:val="22"/>
          <w:lang w:val="sk-SK"/>
        </w:rPr>
        <w:t xml:space="preserve"> </w:t>
      </w:r>
      <w:r w:rsidR="00C965F8" w:rsidRPr="00BA7F79">
        <w:rPr>
          <w:b/>
          <w:i/>
          <w:sz w:val="22"/>
          <w:szCs w:val="22"/>
          <w:lang w:val="sk-SK"/>
        </w:rPr>
        <w:t xml:space="preserve">filmom obalených </w:t>
      </w:r>
      <w:r w:rsidR="000B4CE3" w:rsidRPr="00BA7F79">
        <w:rPr>
          <w:b/>
          <w:i/>
          <w:sz w:val="22"/>
          <w:szCs w:val="22"/>
          <w:lang w:val="sk-SK"/>
        </w:rPr>
        <w:t>tabliet</w:t>
      </w:r>
      <w:r w:rsidR="000B4CE3" w:rsidRPr="00BA7F79">
        <w:rPr>
          <w:i/>
          <w:sz w:val="22"/>
          <w:szCs w:val="22"/>
          <w:lang w:val="sk-SK"/>
        </w:rPr>
        <w:t xml:space="preserve"> </w:t>
      </w:r>
      <w:r w:rsidR="00C965F8" w:rsidRPr="00BA7F79">
        <w:rPr>
          <w:i/>
          <w:sz w:val="22"/>
          <w:szCs w:val="22"/>
          <w:lang w:val="sk-SK"/>
        </w:rPr>
        <w:t xml:space="preserve">(s okamžitým uvoľňovaním) </w:t>
      </w:r>
      <w:r w:rsidR="000B4CE3" w:rsidRPr="00BA7F79">
        <w:rPr>
          <w:i/>
          <w:sz w:val="22"/>
          <w:szCs w:val="22"/>
          <w:lang w:val="sk-SK"/>
        </w:rPr>
        <w:t xml:space="preserve">na </w:t>
      </w:r>
      <w:proofErr w:type="spellStart"/>
      <w:r w:rsidR="00B14534" w:rsidRPr="00BA7F79">
        <w:rPr>
          <w:b/>
          <w:i/>
          <w:caps/>
          <w:sz w:val="22"/>
          <w:szCs w:val="22"/>
          <w:lang w:val="sk-SK"/>
        </w:rPr>
        <w:t>Requip</w:t>
      </w:r>
      <w:r w:rsidR="00985CCD" w:rsidRPr="00BA7F79">
        <w:rPr>
          <w:b/>
          <w:i/>
          <w:caps/>
          <w:sz w:val="22"/>
          <w:szCs w:val="22"/>
          <w:lang w:val="sk-SK"/>
        </w:rPr>
        <w:t>-</w:t>
      </w:r>
      <w:r w:rsidR="00B14534" w:rsidRPr="00BA7F79">
        <w:rPr>
          <w:b/>
          <w:i/>
          <w:caps/>
          <w:sz w:val="22"/>
          <w:szCs w:val="22"/>
          <w:lang w:val="sk-SK"/>
        </w:rPr>
        <w:t>Modutab</w:t>
      </w:r>
      <w:proofErr w:type="spellEnd"/>
      <w:r w:rsidR="00B14534" w:rsidRPr="00BA7F79">
        <w:rPr>
          <w:b/>
          <w:i/>
          <w:sz w:val="22"/>
          <w:szCs w:val="22"/>
          <w:lang w:val="sk-SK"/>
        </w:rPr>
        <w:t xml:space="preserve"> tablet</w:t>
      </w:r>
      <w:r w:rsidR="000B4CE3" w:rsidRPr="00BA7F79">
        <w:rPr>
          <w:b/>
          <w:i/>
          <w:sz w:val="22"/>
          <w:szCs w:val="22"/>
          <w:lang w:val="sk-SK"/>
        </w:rPr>
        <w:t>y</w:t>
      </w:r>
      <w:r w:rsidR="00C965F8" w:rsidRPr="00BA7F79">
        <w:rPr>
          <w:b/>
          <w:i/>
          <w:sz w:val="22"/>
          <w:szCs w:val="22"/>
          <w:lang w:val="sk-SK"/>
        </w:rPr>
        <w:t xml:space="preserve"> s predĺženým uvoľňovaním</w:t>
      </w:r>
    </w:p>
    <w:p w14:paraId="635448BD" w14:textId="77777777" w:rsidR="002F19AA" w:rsidRPr="00BA7F79" w:rsidRDefault="002F19AA" w:rsidP="000E2DDB">
      <w:pPr>
        <w:pStyle w:val="Text"/>
        <w:spacing w:after="0" w:line="240" w:lineRule="auto"/>
        <w:outlineLvl w:val="0"/>
        <w:rPr>
          <w:i/>
          <w:sz w:val="22"/>
          <w:szCs w:val="22"/>
          <w:lang w:val="sk-SK"/>
        </w:rPr>
      </w:pPr>
    </w:p>
    <w:p w14:paraId="33777146" w14:textId="77777777" w:rsidR="002D3945" w:rsidRPr="00BA7F79" w:rsidRDefault="000B4CE3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Pacienti môžu prejsť z </w:t>
      </w:r>
      <w:proofErr w:type="spellStart"/>
      <w:r w:rsidRPr="00BA7F79">
        <w:rPr>
          <w:sz w:val="22"/>
          <w:szCs w:val="22"/>
          <w:lang w:val="sk-SK"/>
        </w:rPr>
        <w:t>R</w:t>
      </w:r>
      <w:r w:rsidR="008A474F" w:rsidRPr="00BA7F79">
        <w:rPr>
          <w:sz w:val="22"/>
          <w:szCs w:val="22"/>
          <w:lang w:val="sk-SK"/>
        </w:rPr>
        <w:t>EQUIP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iCs/>
          <w:sz w:val="22"/>
          <w:szCs w:val="22"/>
          <w:lang w:val="sk-SK"/>
        </w:rPr>
        <w:t>filmom obalených</w:t>
      </w:r>
      <w:r w:rsidR="00C965F8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tabliet (s okamžitým uvoľňovaním) na </w:t>
      </w:r>
      <w:proofErr w:type="spellStart"/>
      <w:r w:rsidRPr="00BA7F79">
        <w:rPr>
          <w:caps/>
          <w:sz w:val="22"/>
          <w:szCs w:val="22"/>
          <w:lang w:val="sk-SK"/>
        </w:rPr>
        <w:t>Requip</w:t>
      </w:r>
      <w:r w:rsidR="00E17ED7" w:rsidRPr="00BA7F79">
        <w:rPr>
          <w:caps/>
          <w:sz w:val="22"/>
          <w:szCs w:val="22"/>
          <w:lang w:val="sk-SK"/>
        </w:rPr>
        <w:noBreakHyphen/>
      </w:r>
      <w:r w:rsidRPr="00BA7F79">
        <w:rPr>
          <w:caps/>
          <w:sz w:val="22"/>
          <w:szCs w:val="22"/>
          <w:lang w:val="sk-SK"/>
        </w:rPr>
        <w:t>Modutab</w:t>
      </w:r>
      <w:proofErr w:type="spellEnd"/>
      <w:r w:rsidRPr="00BA7F79">
        <w:rPr>
          <w:sz w:val="22"/>
          <w:szCs w:val="22"/>
          <w:lang w:val="sk-SK"/>
        </w:rPr>
        <w:t xml:space="preserve"> tablety </w:t>
      </w:r>
      <w:r w:rsidR="00C965F8" w:rsidRPr="00BA7F79">
        <w:rPr>
          <w:iCs/>
          <w:sz w:val="22"/>
          <w:szCs w:val="22"/>
          <w:lang w:val="sk-SK"/>
        </w:rPr>
        <w:t>s predĺženým uvoľňovaním</w:t>
      </w:r>
      <w:r w:rsidR="00C965F8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zo dňa na deň. Dávka </w:t>
      </w:r>
      <w:proofErr w:type="spellStart"/>
      <w:r w:rsidR="00E97EEC" w:rsidRPr="00BA7F79">
        <w:rPr>
          <w:caps/>
          <w:sz w:val="22"/>
          <w:szCs w:val="22"/>
          <w:lang w:val="sk-SK"/>
        </w:rPr>
        <w:t>Requip</w:t>
      </w:r>
      <w:r w:rsidR="00E17ED7" w:rsidRPr="00BA7F79">
        <w:rPr>
          <w:caps/>
          <w:sz w:val="22"/>
          <w:szCs w:val="22"/>
          <w:lang w:val="sk-SK"/>
        </w:rPr>
        <w:noBreakHyphen/>
      </w:r>
      <w:r w:rsidR="00E97EEC" w:rsidRPr="00BA7F79">
        <w:rPr>
          <w:caps/>
          <w:sz w:val="22"/>
          <w:szCs w:val="22"/>
          <w:lang w:val="sk-SK"/>
        </w:rPr>
        <w:t>Modutab</w:t>
      </w:r>
      <w:proofErr w:type="spellEnd"/>
      <w:r w:rsidR="00E97EEC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tabliet s predĺženým uvoľňovaním </w:t>
      </w:r>
      <w:r w:rsidRPr="00BA7F79">
        <w:rPr>
          <w:sz w:val="22"/>
          <w:szCs w:val="22"/>
          <w:lang w:val="sk-SK"/>
        </w:rPr>
        <w:t xml:space="preserve">sa má zakladať na celkovej dennej dávke </w:t>
      </w:r>
      <w:proofErr w:type="spellStart"/>
      <w:r w:rsidR="00C60E59" w:rsidRPr="00BA7F79">
        <w:rPr>
          <w:sz w:val="22"/>
          <w:szCs w:val="22"/>
          <w:lang w:val="sk-SK"/>
        </w:rPr>
        <w:t>R</w:t>
      </w:r>
      <w:r w:rsidR="008A474F" w:rsidRPr="00BA7F79">
        <w:rPr>
          <w:sz w:val="22"/>
          <w:szCs w:val="22"/>
          <w:lang w:val="sk-SK"/>
        </w:rPr>
        <w:t>EQUIP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filmom obalených </w:t>
      </w:r>
      <w:r w:rsidRPr="00BA7F79">
        <w:rPr>
          <w:sz w:val="22"/>
          <w:szCs w:val="22"/>
          <w:lang w:val="sk-SK"/>
        </w:rPr>
        <w:t>tabliet</w:t>
      </w:r>
      <w:r w:rsidR="00C60E59" w:rsidRPr="00BA7F79">
        <w:rPr>
          <w:sz w:val="22"/>
          <w:szCs w:val="22"/>
          <w:lang w:val="sk-SK"/>
        </w:rPr>
        <w:t xml:space="preserve"> </w:t>
      </w:r>
      <w:r w:rsidR="000E7941" w:rsidRPr="00BA7F79">
        <w:rPr>
          <w:sz w:val="22"/>
          <w:szCs w:val="22"/>
          <w:lang w:val="sk-SK"/>
        </w:rPr>
        <w:t>(</w:t>
      </w:r>
      <w:r w:rsidRPr="00BA7F79">
        <w:rPr>
          <w:sz w:val="22"/>
          <w:szCs w:val="22"/>
          <w:lang w:val="sk-SK"/>
        </w:rPr>
        <w:t>s okamžitým uvoľňovaním</w:t>
      </w:r>
      <w:r w:rsidR="000E7941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, ktorú pacient užíval. Nižšie uvedená tabuľka uvádza </w:t>
      </w:r>
      <w:r w:rsidR="00F32574" w:rsidRPr="00BA7F79">
        <w:rPr>
          <w:sz w:val="22"/>
          <w:szCs w:val="22"/>
          <w:lang w:val="sk-SK"/>
        </w:rPr>
        <w:t xml:space="preserve">odporúčanú </w:t>
      </w:r>
      <w:r w:rsidRPr="00BA7F79">
        <w:rPr>
          <w:sz w:val="22"/>
          <w:szCs w:val="22"/>
          <w:lang w:val="sk-SK"/>
        </w:rPr>
        <w:t xml:space="preserve">dávku </w:t>
      </w:r>
      <w:proofErr w:type="spellStart"/>
      <w:r w:rsidR="00C60E59" w:rsidRPr="00BA7F79">
        <w:rPr>
          <w:caps/>
          <w:sz w:val="22"/>
          <w:szCs w:val="22"/>
          <w:lang w:val="sk-SK"/>
        </w:rPr>
        <w:t>Requip-Modutab</w:t>
      </w:r>
      <w:proofErr w:type="spellEnd"/>
      <w:r w:rsidR="00F32574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tabliet s predĺženým uvoľňovaním </w:t>
      </w:r>
      <w:r w:rsidR="00F32574" w:rsidRPr="00BA7F79">
        <w:rPr>
          <w:sz w:val="22"/>
          <w:szCs w:val="22"/>
          <w:lang w:val="sk-SK"/>
        </w:rPr>
        <w:t>pre</w:t>
      </w:r>
      <w:r w:rsidR="00E17ED7" w:rsidRPr="00BA7F79">
        <w:rPr>
          <w:sz w:val="22"/>
          <w:szCs w:val="22"/>
          <w:lang w:val="sk-SK"/>
        </w:rPr>
        <w:t> </w:t>
      </w:r>
      <w:r w:rsidR="00F32574" w:rsidRPr="00BA7F79">
        <w:rPr>
          <w:sz w:val="22"/>
          <w:szCs w:val="22"/>
          <w:lang w:val="sk-SK"/>
        </w:rPr>
        <w:t>pacientov,</w:t>
      </w:r>
      <w:r w:rsidRPr="00BA7F79">
        <w:rPr>
          <w:sz w:val="22"/>
          <w:szCs w:val="22"/>
          <w:lang w:val="sk-SK"/>
        </w:rPr>
        <w:t xml:space="preserve"> ktor</w:t>
      </w:r>
      <w:r w:rsidR="00F32574" w:rsidRPr="00BA7F79">
        <w:rPr>
          <w:sz w:val="22"/>
          <w:szCs w:val="22"/>
          <w:lang w:val="sk-SK"/>
        </w:rPr>
        <w:t>í</w:t>
      </w:r>
      <w:r w:rsidRPr="00BA7F79">
        <w:rPr>
          <w:sz w:val="22"/>
          <w:szCs w:val="22"/>
          <w:lang w:val="sk-SK"/>
        </w:rPr>
        <w:t xml:space="preserve"> </w:t>
      </w:r>
      <w:r w:rsidR="00F32574" w:rsidRPr="00BA7F79">
        <w:rPr>
          <w:sz w:val="22"/>
          <w:szCs w:val="22"/>
          <w:lang w:val="sk-SK"/>
        </w:rPr>
        <w:t xml:space="preserve">prechádzajú z </w:t>
      </w:r>
      <w:proofErr w:type="spellStart"/>
      <w:r w:rsidR="008A474F" w:rsidRPr="00BA7F79">
        <w:rPr>
          <w:sz w:val="22"/>
          <w:szCs w:val="22"/>
          <w:lang w:val="sk-SK"/>
        </w:rPr>
        <w:t>REQUIP</w:t>
      </w:r>
      <w:proofErr w:type="spellEnd"/>
      <w:r w:rsidR="008A474F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iCs/>
          <w:sz w:val="22"/>
          <w:szCs w:val="22"/>
          <w:lang w:val="sk-SK"/>
        </w:rPr>
        <w:t>filmom obalených</w:t>
      </w:r>
      <w:r w:rsidR="00C965F8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tabl</w:t>
      </w:r>
      <w:r w:rsidR="00F32574" w:rsidRPr="00BA7F79">
        <w:rPr>
          <w:sz w:val="22"/>
          <w:szCs w:val="22"/>
          <w:lang w:val="sk-SK"/>
        </w:rPr>
        <w:t>i</w:t>
      </w:r>
      <w:r w:rsidRPr="00BA7F79">
        <w:rPr>
          <w:sz w:val="22"/>
          <w:szCs w:val="22"/>
          <w:lang w:val="sk-SK"/>
        </w:rPr>
        <w:t xml:space="preserve">et </w:t>
      </w:r>
      <w:r w:rsidR="000E7941" w:rsidRPr="00BA7F79">
        <w:rPr>
          <w:sz w:val="22"/>
          <w:szCs w:val="22"/>
          <w:lang w:val="sk-SK"/>
        </w:rPr>
        <w:t>(</w:t>
      </w:r>
      <w:r w:rsidRPr="00BA7F79">
        <w:rPr>
          <w:sz w:val="22"/>
          <w:szCs w:val="22"/>
          <w:lang w:val="sk-SK"/>
        </w:rPr>
        <w:t>s</w:t>
      </w:r>
      <w:r w:rsidR="00C965F8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okamžitým uvoľňovaním</w:t>
      </w:r>
      <w:r w:rsidR="000E7941" w:rsidRPr="00BA7F79">
        <w:rPr>
          <w:sz w:val="22"/>
          <w:szCs w:val="22"/>
          <w:lang w:val="sk-SK"/>
        </w:rPr>
        <w:t>)</w:t>
      </w:r>
      <w:r w:rsidR="008038B7" w:rsidRPr="00BA7F79">
        <w:rPr>
          <w:sz w:val="22"/>
          <w:szCs w:val="22"/>
          <w:lang w:val="sk-SK"/>
        </w:rPr>
        <w:t>:</w:t>
      </w:r>
    </w:p>
    <w:p w14:paraId="08415284" w14:textId="77777777" w:rsidR="000E7941" w:rsidRPr="00BA7F79" w:rsidRDefault="000E7941" w:rsidP="000E2DDB">
      <w:pPr>
        <w:pStyle w:val="Text"/>
        <w:spacing w:after="0" w:line="240" w:lineRule="auto"/>
        <w:outlineLvl w:val="0"/>
        <w:rPr>
          <w:sz w:val="22"/>
          <w:szCs w:val="22"/>
          <w:u w:val="single"/>
          <w:lang w:val="sk-SK"/>
        </w:rPr>
      </w:pPr>
    </w:p>
    <w:p w14:paraId="4D073B63" w14:textId="77777777" w:rsidR="002D3945" w:rsidRPr="00BA7F79" w:rsidRDefault="00BC468E" w:rsidP="000E2DDB">
      <w:pPr>
        <w:pStyle w:val="Text"/>
        <w:keepLines/>
        <w:spacing w:after="0" w:line="240" w:lineRule="auto"/>
        <w:outlineLvl w:val="0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Prechod z</w:t>
      </w:r>
      <w:r w:rsidR="000B4CE3" w:rsidRPr="00BA7F79">
        <w:rPr>
          <w:i/>
          <w:sz w:val="22"/>
          <w:szCs w:val="22"/>
          <w:lang w:val="sk-SK"/>
        </w:rPr>
        <w:t xml:space="preserve"> </w:t>
      </w:r>
      <w:proofErr w:type="spellStart"/>
      <w:r w:rsidR="00E97EEC" w:rsidRPr="00BA7F79">
        <w:rPr>
          <w:i/>
          <w:sz w:val="22"/>
          <w:szCs w:val="22"/>
          <w:lang w:val="sk-SK"/>
        </w:rPr>
        <w:t>R</w:t>
      </w:r>
      <w:r w:rsidR="008A474F" w:rsidRPr="00BA7F79">
        <w:rPr>
          <w:i/>
          <w:sz w:val="22"/>
          <w:szCs w:val="22"/>
          <w:lang w:val="sk-SK"/>
        </w:rPr>
        <w:t>EQUIP</w:t>
      </w:r>
      <w:proofErr w:type="spellEnd"/>
      <w:r w:rsidR="00E97EEC" w:rsidRPr="00BA7F79">
        <w:rPr>
          <w:i/>
          <w:sz w:val="22"/>
          <w:szCs w:val="22"/>
          <w:lang w:val="sk-SK"/>
        </w:rPr>
        <w:t xml:space="preserve"> </w:t>
      </w:r>
      <w:r w:rsidR="00052866" w:rsidRPr="00BA7F79">
        <w:rPr>
          <w:i/>
          <w:sz w:val="22"/>
          <w:szCs w:val="22"/>
          <w:lang w:val="sk-SK"/>
        </w:rPr>
        <w:t xml:space="preserve">filmom obalených </w:t>
      </w:r>
      <w:r w:rsidR="00E97EEC" w:rsidRPr="00BA7F79">
        <w:rPr>
          <w:i/>
          <w:sz w:val="22"/>
          <w:szCs w:val="22"/>
          <w:lang w:val="sk-SK"/>
        </w:rPr>
        <w:t>tabl</w:t>
      </w:r>
      <w:r w:rsidR="000B4CE3" w:rsidRPr="00BA7F79">
        <w:rPr>
          <w:i/>
          <w:sz w:val="22"/>
          <w:szCs w:val="22"/>
          <w:lang w:val="sk-SK"/>
        </w:rPr>
        <w:t>i</w:t>
      </w:r>
      <w:r w:rsidR="00E97EEC" w:rsidRPr="00BA7F79">
        <w:rPr>
          <w:i/>
          <w:sz w:val="22"/>
          <w:szCs w:val="22"/>
          <w:lang w:val="sk-SK"/>
        </w:rPr>
        <w:t>et</w:t>
      </w:r>
      <w:r w:rsidR="00052866" w:rsidRPr="00BA7F79">
        <w:rPr>
          <w:i/>
          <w:sz w:val="22"/>
          <w:szCs w:val="22"/>
          <w:lang w:val="sk-SK"/>
        </w:rPr>
        <w:t xml:space="preserve"> (s okamžitým uvoľňovaním)</w:t>
      </w:r>
      <w:r w:rsidR="000B4CE3" w:rsidRPr="00BA7F79">
        <w:rPr>
          <w:i/>
          <w:sz w:val="22"/>
          <w:szCs w:val="22"/>
          <w:lang w:val="sk-SK"/>
        </w:rPr>
        <w:t xml:space="preserve"> na </w:t>
      </w:r>
      <w:proofErr w:type="spellStart"/>
      <w:r w:rsidR="00E97EEC" w:rsidRPr="00BA7F79">
        <w:rPr>
          <w:i/>
          <w:caps/>
          <w:sz w:val="22"/>
          <w:szCs w:val="22"/>
          <w:lang w:val="sk-SK"/>
        </w:rPr>
        <w:t>Requip</w:t>
      </w:r>
      <w:r w:rsidR="00985CCD" w:rsidRPr="00BA7F79">
        <w:rPr>
          <w:i/>
          <w:caps/>
          <w:sz w:val="22"/>
          <w:szCs w:val="22"/>
          <w:lang w:val="sk-SK"/>
        </w:rPr>
        <w:t>-</w:t>
      </w:r>
      <w:r w:rsidR="00E97EEC" w:rsidRPr="00BA7F79">
        <w:rPr>
          <w:i/>
          <w:caps/>
          <w:sz w:val="22"/>
          <w:szCs w:val="22"/>
          <w:lang w:val="sk-SK"/>
        </w:rPr>
        <w:t>Modutab</w:t>
      </w:r>
      <w:proofErr w:type="spellEnd"/>
      <w:r w:rsidR="00E97EEC" w:rsidRPr="00BA7F79">
        <w:rPr>
          <w:i/>
          <w:sz w:val="22"/>
          <w:szCs w:val="22"/>
          <w:lang w:val="sk-SK"/>
        </w:rPr>
        <w:t xml:space="preserve"> tablet</w:t>
      </w:r>
      <w:r w:rsidR="000B4CE3" w:rsidRPr="00BA7F79">
        <w:rPr>
          <w:i/>
          <w:sz w:val="22"/>
          <w:szCs w:val="22"/>
          <w:lang w:val="sk-SK"/>
        </w:rPr>
        <w:t>y</w:t>
      </w:r>
      <w:r w:rsidR="00052866" w:rsidRPr="00BA7F79">
        <w:rPr>
          <w:i/>
          <w:sz w:val="22"/>
          <w:szCs w:val="22"/>
          <w:lang w:val="sk-SK"/>
        </w:rPr>
        <w:t xml:space="preserve"> s predĺženým uvoľňovaním</w:t>
      </w:r>
    </w:p>
    <w:p w14:paraId="297E2FF7" w14:textId="77777777" w:rsidR="009A0E0C" w:rsidRPr="00BA7F79" w:rsidRDefault="009A0E0C" w:rsidP="000E2DDB">
      <w:pPr>
        <w:pStyle w:val="Text"/>
        <w:keepLines/>
        <w:spacing w:after="0" w:line="240" w:lineRule="auto"/>
        <w:outlineLvl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</w:tblGrid>
      <w:tr w:rsidR="009A0E0C" w:rsidRPr="00BA7F79" w14:paraId="673B9B4A" w14:textId="77777777">
        <w:tc>
          <w:tcPr>
            <w:tcW w:w="3118" w:type="dxa"/>
          </w:tcPr>
          <w:p w14:paraId="6902D8E4" w14:textId="77777777" w:rsidR="00052866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b/>
                <w:sz w:val="22"/>
                <w:szCs w:val="22"/>
                <w:lang w:val="sk-SK"/>
              </w:rPr>
              <w:t>R</w:t>
            </w:r>
            <w:r w:rsidR="008A474F" w:rsidRPr="00BA7F79">
              <w:rPr>
                <w:b/>
                <w:sz w:val="22"/>
                <w:szCs w:val="22"/>
                <w:lang w:val="sk-SK"/>
              </w:rPr>
              <w:t>EQUIP</w:t>
            </w:r>
            <w:proofErr w:type="spellEnd"/>
            <w:r w:rsidRPr="00BA7F79">
              <w:rPr>
                <w:b/>
                <w:sz w:val="22"/>
                <w:szCs w:val="22"/>
                <w:lang w:val="sk-SK"/>
              </w:rPr>
              <w:t xml:space="preserve"> 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 xml:space="preserve">filmom obalené </w:t>
            </w:r>
            <w:r w:rsidRPr="00BA7F79">
              <w:rPr>
                <w:b/>
                <w:sz w:val="22"/>
                <w:szCs w:val="22"/>
                <w:lang w:val="sk-SK"/>
              </w:rPr>
              <w:t xml:space="preserve">tablety 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>(s okamžitým uvoľňovaním)</w:t>
            </w:r>
          </w:p>
          <w:p w14:paraId="2D478B94" w14:textId="77777777" w:rsidR="009A0E0C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b/>
                <w:sz w:val="22"/>
                <w:szCs w:val="22"/>
                <w:lang w:val="sk-SK"/>
              </w:rPr>
              <w:t>Celková denná dávka</w:t>
            </w:r>
            <w:r w:rsidRPr="00BA7F79">
              <w:rPr>
                <w:b/>
                <w:sz w:val="22"/>
                <w:szCs w:val="22"/>
              </w:rPr>
              <w:t xml:space="preserve"> (mg)</w:t>
            </w:r>
          </w:p>
        </w:tc>
        <w:tc>
          <w:tcPr>
            <w:tcW w:w="3119" w:type="dxa"/>
          </w:tcPr>
          <w:p w14:paraId="2CC2840F" w14:textId="77777777" w:rsidR="00052866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b/>
                <w:caps/>
                <w:sz w:val="22"/>
                <w:szCs w:val="22"/>
                <w:lang w:val="sk-SK"/>
              </w:rPr>
              <w:t>Requip-Modutab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</w:t>
            </w:r>
            <w:r w:rsidRPr="00BA7F79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BA7F79">
              <w:rPr>
                <w:b/>
                <w:sz w:val="22"/>
                <w:szCs w:val="22"/>
                <w:lang w:val="sk-SK"/>
              </w:rPr>
              <w:t xml:space="preserve">ablety 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>s predĺženým uvoľňovaním</w:t>
            </w:r>
          </w:p>
          <w:p w14:paraId="3D50FE61" w14:textId="77777777" w:rsidR="009A0E0C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BA7F79">
              <w:rPr>
                <w:b/>
                <w:sz w:val="22"/>
                <w:szCs w:val="22"/>
                <w:lang w:val="sk-SK"/>
              </w:rPr>
              <w:t>Celková denná dávka (mg)</w:t>
            </w:r>
          </w:p>
        </w:tc>
      </w:tr>
      <w:tr w:rsidR="009A0E0C" w:rsidRPr="00BA7F79" w14:paraId="631183C1" w14:textId="77777777">
        <w:tc>
          <w:tcPr>
            <w:tcW w:w="3118" w:type="dxa"/>
          </w:tcPr>
          <w:p w14:paraId="74C14DBB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0,75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2,25</w:t>
            </w:r>
          </w:p>
        </w:tc>
        <w:tc>
          <w:tcPr>
            <w:tcW w:w="3119" w:type="dxa"/>
          </w:tcPr>
          <w:p w14:paraId="36CFF5B2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2</w:t>
            </w:r>
          </w:p>
        </w:tc>
      </w:tr>
      <w:tr w:rsidR="009A0E0C" w:rsidRPr="00BA7F79" w14:paraId="0DCCFEFC" w14:textId="77777777">
        <w:tc>
          <w:tcPr>
            <w:tcW w:w="3118" w:type="dxa"/>
          </w:tcPr>
          <w:p w14:paraId="31F8780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3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</w:tcPr>
          <w:p w14:paraId="24207FA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</w:rPr>
            </w:pPr>
            <w:r w:rsidRPr="00BA7F79">
              <w:rPr>
                <w:sz w:val="22"/>
                <w:szCs w:val="22"/>
              </w:rPr>
              <w:t>4</w:t>
            </w:r>
          </w:p>
        </w:tc>
      </w:tr>
      <w:tr w:rsidR="009A0E0C" w:rsidRPr="00BA7F79" w14:paraId="3E998C1F" w14:textId="77777777">
        <w:tc>
          <w:tcPr>
            <w:tcW w:w="3118" w:type="dxa"/>
          </w:tcPr>
          <w:p w14:paraId="0C5EC59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2ACE121C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</w:rPr>
            </w:pPr>
            <w:r w:rsidRPr="00BA7F79">
              <w:rPr>
                <w:sz w:val="22"/>
                <w:szCs w:val="22"/>
              </w:rPr>
              <w:t>6</w:t>
            </w:r>
          </w:p>
        </w:tc>
      </w:tr>
      <w:tr w:rsidR="009A0E0C" w:rsidRPr="00BA7F79" w14:paraId="217F26E5" w14:textId="77777777">
        <w:tc>
          <w:tcPr>
            <w:tcW w:w="3118" w:type="dxa"/>
          </w:tcPr>
          <w:p w14:paraId="23A153D6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7,5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7F19F2A9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8</w:t>
            </w:r>
          </w:p>
        </w:tc>
      </w:tr>
      <w:tr w:rsidR="009A0E0C" w:rsidRPr="00BA7F79" w14:paraId="6F910A26" w14:textId="77777777">
        <w:tc>
          <w:tcPr>
            <w:tcW w:w="3118" w:type="dxa"/>
          </w:tcPr>
          <w:p w14:paraId="2603EF7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00058A23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12</w:t>
            </w:r>
          </w:p>
        </w:tc>
      </w:tr>
      <w:tr w:rsidR="009A0E0C" w:rsidRPr="00BA7F79" w14:paraId="14509556" w14:textId="77777777">
        <w:tc>
          <w:tcPr>
            <w:tcW w:w="3118" w:type="dxa"/>
          </w:tcPr>
          <w:p w14:paraId="2A3F3ECE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575934EF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16</w:t>
            </w:r>
          </w:p>
        </w:tc>
      </w:tr>
      <w:tr w:rsidR="009A0E0C" w:rsidRPr="00BA7F79" w14:paraId="5EDAB71D" w14:textId="77777777">
        <w:tc>
          <w:tcPr>
            <w:tcW w:w="3118" w:type="dxa"/>
          </w:tcPr>
          <w:p w14:paraId="727DB5EB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5BB8E29E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20</w:t>
            </w:r>
          </w:p>
        </w:tc>
      </w:tr>
      <w:tr w:rsidR="009A0E0C" w:rsidRPr="00BA7F79" w14:paraId="02BC8501" w14:textId="77777777">
        <w:tc>
          <w:tcPr>
            <w:tcW w:w="3118" w:type="dxa"/>
          </w:tcPr>
          <w:p w14:paraId="07AFCD13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7E5AF6D7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24</w:t>
            </w:r>
          </w:p>
        </w:tc>
      </w:tr>
    </w:tbl>
    <w:p w14:paraId="15472440" w14:textId="77777777" w:rsidR="009A0E0C" w:rsidRPr="00BA7F79" w:rsidRDefault="009A0E0C" w:rsidP="000E2DDB">
      <w:pPr>
        <w:pStyle w:val="Text"/>
        <w:widowControl w:val="0"/>
        <w:spacing w:after="0" w:line="240" w:lineRule="auto"/>
        <w:outlineLvl w:val="0"/>
        <w:rPr>
          <w:sz w:val="22"/>
          <w:szCs w:val="22"/>
          <w:u w:val="single"/>
          <w:lang w:val="sk-SK"/>
        </w:rPr>
      </w:pPr>
    </w:p>
    <w:p w14:paraId="65465729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Po </w:t>
      </w:r>
      <w:r w:rsidR="000B4CE3" w:rsidRPr="00BA7F79">
        <w:rPr>
          <w:sz w:val="22"/>
          <w:szCs w:val="22"/>
          <w:lang w:val="sk-SK"/>
        </w:rPr>
        <w:t>prech</w:t>
      </w:r>
      <w:r w:rsidRPr="00BA7F79">
        <w:rPr>
          <w:sz w:val="22"/>
          <w:szCs w:val="22"/>
          <w:lang w:val="sk-SK"/>
        </w:rPr>
        <w:t xml:space="preserve">ode na </w:t>
      </w:r>
      <w:proofErr w:type="spellStart"/>
      <w:r w:rsidR="00E97EEC"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="00E97EEC" w:rsidRPr="00BA7F79">
        <w:rPr>
          <w:caps/>
          <w:sz w:val="22"/>
          <w:szCs w:val="22"/>
          <w:lang w:val="sk-SK"/>
        </w:rPr>
        <w:t>Modutab</w:t>
      </w:r>
      <w:proofErr w:type="spellEnd"/>
      <w:r w:rsidRPr="00BA7F79">
        <w:rPr>
          <w:sz w:val="22"/>
          <w:szCs w:val="22"/>
          <w:lang w:val="sk-SK"/>
        </w:rPr>
        <w:t xml:space="preserve"> tablety </w:t>
      </w:r>
      <w:r w:rsidR="00052866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 xml:space="preserve">sa dávka môže </w:t>
      </w:r>
      <w:r w:rsidR="0055473F" w:rsidRPr="00BA7F79">
        <w:rPr>
          <w:sz w:val="22"/>
          <w:szCs w:val="22"/>
          <w:lang w:val="sk-SK"/>
        </w:rPr>
        <w:t>upraviť</w:t>
      </w:r>
      <w:r w:rsidRPr="00BA7F79">
        <w:rPr>
          <w:sz w:val="22"/>
          <w:szCs w:val="22"/>
          <w:lang w:val="sk-SK"/>
        </w:rPr>
        <w:t xml:space="preserve"> v závislosti od terapeutickej odpovede (pozri vyššie uveden</w:t>
      </w:r>
      <w:r w:rsidR="00052866" w:rsidRPr="00BA7F79">
        <w:rPr>
          <w:sz w:val="22"/>
          <w:szCs w:val="22"/>
          <w:lang w:val="sk-SK"/>
        </w:rPr>
        <w:t>ú</w:t>
      </w:r>
      <w:r w:rsidRPr="00BA7F79">
        <w:rPr>
          <w:sz w:val="22"/>
          <w:szCs w:val="22"/>
          <w:lang w:val="sk-SK"/>
        </w:rPr>
        <w:t xml:space="preserve"> „</w:t>
      </w:r>
      <w:r w:rsidR="00052866" w:rsidRPr="00BA7F79">
        <w:rPr>
          <w:sz w:val="22"/>
          <w:szCs w:val="22"/>
          <w:lang w:val="sk-SK"/>
        </w:rPr>
        <w:t>Úvodnú titráciu dávk</w:t>
      </w:r>
      <w:r w:rsidR="00E05553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>“ a „Terapeutický režim“).</w:t>
      </w:r>
    </w:p>
    <w:p w14:paraId="568A9B4E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1E74F041" w14:textId="77777777" w:rsidR="00052866" w:rsidRPr="00BA7F79" w:rsidRDefault="00052866" w:rsidP="000E2DDB">
      <w:pPr>
        <w:autoSpaceDE w:val="0"/>
        <w:autoSpaceDN w:val="0"/>
        <w:adjustRightInd w:val="0"/>
        <w:spacing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 xml:space="preserve">Deti a </w:t>
      </w:r>
      <w:r w:rsidR="00655B76" w:rsidRPr="00BA7F79">
        <w:rPr>
          <w:sz w:val="22"/>
          <w:szCs w:val="22"/>
          <w:u w:val="single"/>
          <w:lang w:val="sk-SK"/>
        </w:rPr>
        <w:t>dospievajúci</w:t>
      </w:r>
    </w:p>
    <w:p w14:paraId="0731BD31" w14:textId="77777777" w:rsidR="00052866" w:rsidRPr="00BA7F79" w:rsidRDefault="00052866" w:rsidP="000E2DDB">
      <w:pPr>
        <w:spacing w:line="240" w:lineRule="auto"/>
        <w:rPr>
          <w:sz w:val="22"/>
          <w:szCs w:val="22"/>
          <w:lang w:val="sk-SK"/>
        </w:rPr>
      </w:pPr>
    </w:p>
    <w:p w14:paraId="1A33B088" w14:textId="77777777" w:rsidR="00052866" w:rsidRPr="00BA7F79" w:rsidRDefault="00052866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tablety s predĺženým uvoľňovaním sa neodporúča používať u detí mladších ako 18</w:t>
      </w:r>
      <w:r w:rsidR="00655B7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rokov kvôli chýbajúcim údajom o bezpečnosti a účinnosti.</w:t>
      </w:r>
    </w:p>
    <w:p w14:paraId="4C081FEE" w14:textId="77777777" w:rsidR="0038389B" w:rsidRPr="00BA7F79" w:rsidRDefault="0038389B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6EBDD516" w14:textId="77777777" w:rsidR="00FD462E" w:rsidRPr="00BA7F79" w:rsidRDefault="00FD462E" w:rsidP="000E2DDB">
      <w:pPr>
        <w:pStyle w:val="Text"/>
        <w:keepNext/>
        <w:keepLines/>
        <w:spacing w:after="0" w:line="240" w:lineRule="auto"/>
        <w:outlineLvl w:val="0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lastRenderedPageBreak/>
        <w:t>Starší pacienti</w:t>
      </w:r>
    </w:p>
    <w:p w14:paraId="03A48EDA" w14:textId="77777777" w:rsidR="00F32574" w:rsidRPr="00BA7F79" w:rsidRDefault="00F32574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B08FD5D" w14:textId="77777777" w:rsidR="00747FC0" w:rsidRPr="00BA7F79" w:rsidRDefault="00FD462E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U pacientov </w:t>
      </w:r>
      <w:r w:rsidR="00726CD9" w:rsidRPr="00BA7F79">
        <w:rPr>
          <w:sz w:val="22"/>
          <w:szCs w:val="22"/>
          <w:lang w:val="sk-SK"/>
        </w:rPr>
        <w:t>vo veku</w:t>
      </w:r>
      <w:r w:rsidRPr="00BA7F79">
        <w:rPr>
          <w:sz w:val="22"/>
          <w:szCs w:val="22"/>
          <w:lang w:val="sk-SK"/>
        </w:rPr>
        <w:t xml:space="preserve"> 65</w:t>
      </w:r>
      <w:r w:rsidR="00E17ED7" w:rsidRPr="00BA7F79">
        <w:rPr>
          <w:sz w:val="22"/>
          <w:szCs w:val="22"/>
          <w:lang w:val="sk-SK"/>
        </w:rPr>
        <w:t> </w:t>
      </w:r>
      <w:r w:rsidR="00726CD9" w:rsidRPr="00BA7F79">
        <w:rPr>
          <w:sz w:val="22"/>
          <w:szCs w:val="22"/>
          <w:lang w:val="sk-SK"/>
        </w:rPr>
        <w:t xml:space="preserve">a viac </w:t>
      </w:r>
      <w:r w:rsidRPr="00BA7F79">
        <w:rPr>
          <w:sz w:val="22"/>
          <w:szCs w:val="22"/>
          <w:lang w:val="sk-SK"/>
        </w:rPr>
        <w:t xml:space="preserve">rokov je 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ropinirolu znížený</w:t>
      </w:r>
      <w:r w:rsidR="00726CD9" w:rsidRPr="00BA7F79">
        <w:rPr>
          <w:sz w:val="22"/>
          <w:szCs w:val="22"/>
          <w:lang w:val="sk-SK"/>
        </w:rPr>
        <w:t xml:space="preserve"> o približne 15 %</w:t>
      </w:r>
      <w:r w:rsidRPr="00BA7F79">
        <w:rPr>
          <w:sz w:val="22"/>
          <w:szCs w:val="22"/>
          <w:lang w:val="sk-SK"/>
        </w:rPr>
        <w:t xml:space="preserve">. </w:t>
      </w:r>
      <w:r w:rsidR="00E3330C" w:rsidRPr="00BA7F79">
        <w:rPr>
          <w:sz w:val="22"/>
          <w:szCs w:val="22"/>
          <w:lang w:val="sk-SK"/>
        </w:rPr>
        <w:t xml:space="preserve">Aj keď úprava dávky nie je vyžadovaná, dávka ropinirolu má byť </w:t>
      </w:r>
      <w:proofErr w:type="spellStart"/>
      <w:r w:rsidR="00E3330C" w:rsidRPr="00BA7F79">
        <w:rPr>
          <w:sz w:val="22"/>
          <w:szCs w:val="22"/>
          <w:lang w:val="sk-SK"/>
        </w:rPr>
        <w:t>titrovaná</w:t>
      </w:r>
      <w:proofErr w:type="spellEnd"/>
      <w:r w:rsidR="00E3330C" w:rsidRPr="00BA7F79">
        <w:rPr>
          <w:sz w:val="22"/>
          <w:szCs w:val="22"/>
          <w:lang w:val="sk-SK"/>
        </w:rPr>
        <w:t xml:space="preserve"> individuálne, so starostlivým sledovaním znášanlivosti, až do optimálnej klinickej odpovede</w:t>
      </w:r>
      <w:r w:rsidR="00747FC0" w:rsidRPr="00BA7F79">
        <w:rPr>
          <w:sz w:val="22"/>
          <w:szCs w:val="22"/>
          <w:lang w:val="sk-SK"/>
        </w:rPr>
        <w:t>.</w:t>
      </w:r>
      <w:r w:rsidR="00052866" w:rsidRPr="00BA7F79">
        <w:rPr>
          <w:sz w:val="22"/>
          <w:szCs w:val="22"/>
          <w:lang w:val="sk-SK"/>
        </w:rPr>
        <w:t xml:space="preserve"> U </w:t>
      </w:r>
      <w:r w:rsidR="00CD47CA" w:rsidRPr="00BA7F79">
        <w:rPr>
          <w:sz w:val="22"/>
          <w:szCs w:val="22"/>
          <w:lang w:val="sk-SK"/>
        </w:rPr>
        <w:t xml:space="preserve">pacientov vo </w:t>
      </w:r>
      <w:r w:rsidR="00E3330C" w:rsidRPr="00BA7F79">
        <w:rPr>
          <w:sz w:val="22"/>
          <w:szCs w:val="22"/>
          <w:lang w:val="sk-SK"/>
        </w:rPr>
        <w:t>veku 75 a viac rokov</w:t>
      </w:r>
      <w:r w:rsidR="00052866" w:rsidRPr="00BA7F79">
        <w:rPr>
          <w:sz w:val="22"/>
          <w:szCs w:val="22"/>
          <w:lang w:val="sk-SK"/>
        </w:rPr>
        <w:t xml:space="preserve"> sa môže zvážiť pomalšia titrácia dávky počas úvodnej fázy liečby.</w:t>
      </w:r>
    </w:p>
    <w:p w14:paraId="02ECAD29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bookmarkStart w:id="0" w:name="OLE_LINK1"/>
    </w:p>
    <w:p w14:paraId="4CBB9F3D" w14:textId="77777777" w:rsidR="00747FC0" w:rsidRPr="00BA7F79" w:rsidRDefault="0006557B" w:rsidP="000E2DDB">
      <w:pPr>
        <w:pStyle w:val="Text"/>
        <w:keepNext/>
        <w:keepLines/>
        <w:spacing w:after="0" w:line="240" w:lineRule="auto"/>
        <w:outlineLvl w:val="0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Porucha funkcie obličiek</w:t>
      </w:r>
    </w:p>
    <w:p w14:paraId="54D8BA7B" w14:textId="77777777" w:rsidR="00F32574" w:rsidRPr="00BA7F79" w:rsidRDefault="00F32574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976F0EE" w14:textId="77777777" w:rsidR="00747FC0" w:rsidRPr="00BA7F79" w:rsidRDefault="0006557B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 pacientov s miern</w:t>
      </w:r>
      <w:r w:rsidR="00052866" w:rsidRPr="00BA7F79">
        <w:rPr>
          <w:sz w:val="22"/>
          <w:szCs w:val="22"/>
          <w:lang w:val="sk-SK"/>
        </w:rPr>
        <w:t>o</w:t>
      </w:r>
      <w:r w:rsidRPr="00BA7F79">
        <w:rPr>
          <w:sz w:val="22"/>
          <w:szCs w:val="22"/>
          <w:lang w:val="sk-SK"/>
        </w:rPr>
        <w:t>u až stredne ťažk</w:t>
      </w:r>
      <w:r w:rsidR="00052866" w:rsidRPr="00BA7F79">
        <w:rPr>
          <w:sz w:val="22"/>
          <w:szCs w:val="22"/>
          <w:lang w:val="sk-SK"/>
        </w:rPr>
        <w:t>ou</w:t>
      </w:r>
      <w:r w:rsidRPr="00BA7F79">
        <w:rPr>
          <w:sz w:val="22"/>
          <w:szCs w:val="22"/>
          <w:lang w:val="sk-SK"/>
        </w:rPr>
        <w:t xml:space="preserve"> poruch</w:t>
      </w:r>
      <w:r w:rsidR="00052866" w:rsidRPr="00BA7F79">
        <w:rPr>
          <w:sz w:val="22"/>
          <w:szCs w:val="22"/>
          <w:lang w:val="sk-SK"/>
        </w:rPr>
        <w:t>o</w:t>
      </w:r>
      <w:r w:rsidRPr="00BA7F79">
        <w:rPr>
          <w:sz w:val="22"/>
          <w:szCs w:val="22"/>
          <w:lang w:val="sk-SK"/>
        </w:rPr>
        <w:t>u funkcie obličiek (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kreatinínu</w:t>
      </w:r>
      <w:proofErr w:type="spellEnd"/>
      <w:r w:rsidRPr="00BA7F79">
        <w:rPr>
          <w:sz w:val="22"/>
          <w:szCs w:val="22"/>
          <w:lang w:val="sk-SK"/>
        </w:rPr>
        <w:t xml:space="preserve"> medzi 30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a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50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ml/min) sa nepozorovala žiadna zmena v </w:t>
      </w:r>
      <w:proofErr w:type="spellStart"/>
      <w:r w:rsidRPr="00BA7F79">
        <w:rPr>
          <w:sz w:val="22"/>
          <w:szCs w:val="22"/>
          <w:lang w:val="sk-SK"/>
        </w:rPr>
        <w:t>klírense</w:t>
      </w:r>
      <w:proofErr w:type="spellEnd"/>
      <w:r w:rsidRPr="00BA7F79">
        <w:rPr>
          <w:sz w:val="22"/>
          <w:szCs w:val="22"/>
          <w:lang w:val="sk-SK"/>
        </w:rPr>
        <w:t xml:space="preserve"> ropinirolu, čo svedčí o tom, že u tejto populácie nie je potrebná žiadna úprava dávkovania</w:t>
      </w:r>
      <w:r w:rsidR="00747FC0" w:rsidRPr="00BA7F79">
        <w:rPr>
          <w:sz w:val="22"/>
          <w:szCs w:val="22"/>
          <w:lang w:val="sk-SK"/>
        </w:rPr>
        <w:t>.</w:t>
      </w:r>
    </w:p>
    <w:p w14:paraId="030591B0" w14:textId="77777777" w:rsidR="00E3330C" w:rsidRPr="00BA7F79" w:rsidRDefault="00E3330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B2BB66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Štúdia zameraná na používanie ropinirolu u pacientov </w:t>
      </w:r>
      <w:r w:rsidR="003806FF" w:rsidRPr="00BA7F79">
        <w:rPr>
          <w:sz w:val="22"/>
          <w:szCs w:val="22"/>
          <w:lang w:val="sk-SK"/>
        </w:rPr>
        <w:t xml:space="preserve">v terminálnom </w:t>
      </w:r>
      <w:r w:rsidRPr="00BA7F79">
        <w:rPr>
          <w:sz w:val="22"/>
          <w:szCs w:val="22"/>
          <w:lang w:val="sk-SK"/>
        </w:rPr>
        <w:t>štádi</w:t>
      </w:r>
      <w:r w:rsidR="003806FF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ochorenia obličiek (pacienti podstupujúci hemodialýzu) preukázala, že u týchto pacientov je potrebná úprava dávky nasledovným spôsobom: odporúčaná úvodná dávka </w:t>
      </w: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tabliet s predĺženým uvoľňovaním je 2 mg jedenkrát denne. Ďalšie zvyšovanie dávky má byť na základe znášanlivosti a účinnosti. Odporúčaná maximálna dávka </w:t>
      </w:r>
      <w:proofErr w:type="spellStart"/>
      <w:r w:rsidRPr="00BA7F79">
        <w:rPr>
          <w:caps/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tabliet s predĺženým uvoľňovaním je u pacientov podstupujúcich pravidelnú hemodialýzu 18 mg/deň. Dodatočné dávky po hemodialýze sa nevyžadujú (pozri časť 5.2).</w:t>
      </w:r>
    </w:p>
    <w:p w14:paraId="6ECBDCD8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DE4426C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Používanie ropinirolu u pacientov s ťažkou poruchou funkcie obličiek (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kreatinínu</w:t>
      </w:r>
      <w:proofErr w:type="spellEnd"/>
      <w:r w:rsidRPr="00BA7F79">
        <w:rPr>
          <w:sz w:val="22"/>
          <w:szCs w:val="22"/>
          <w:lang w:val="sk-SK"/>
        </w:rPr>
        <w:t xml:space="preserve"> &lt; 30 ml/min) bez pravidelnej hemodialýzy sa neštudovalo.</w:t>
      </w:r>
    </w:p>
    <w:bookmarkEnd w:id="0"/>
    <w:p w14:paraId="58D4EC72" w14:textId="77777777" w:rsidR="00AD37D0" w:rsidRPr="00BA7F79" w:rsidRDefault="00AD37D0" w:rsidP="000E2DDB">
      <w:pPr>
        <w:spacing w:line="240" w:lineRule="auto"/>
        <w:rPr>
          <w:sz w:val="22"/>
          <w:szCs w:val="22"/>
          <w:lang w:val="sk-SK"/>
        </w:rPr>
      </w:pPr>
    </w:p>
    <w:p w14:paraId="7B7FA8A1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4.3</w:t>
      </w:r>
      <w:r w:rsidRPr="00BA7F79">
        <w:rPr>
          <w:sz w:val="22"/>
          <w:szCs w:val="22"/>
          <w:lang w:val="sk-SK"/>
        </w:rPr>
        <w:tab/>
      </w:r>
      <w:r w:rsidR="0006557B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ontraindi</w:t>
      </w:r>
      <w:r w:rsidR="0006557B" w:rsidRPr="00BA7F79">
        <w:rPr>
          <w:sz w:val="22"/>
          <w:szCs w:val="22"/>
          <w:lang w:val="sk-SK"/>
        </w:rPr>
        <w:t>kácie</w:t>
      </w:r>
    </w:p>
    <w:p w14:paraId="6B7512CF" w14:textId="77777777" w:rsidR="00427517" w:rsidRPr="00BA7F79" w:rsidRDefault="0042751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5F85D1" w14:textId="77777777" w:rsidR="00747FC0" w:rsidRPr="00BA7F79" w:rsidRDefault="0006557B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Precitlivenosť na </w:t>
      </w:r>
      <w:r w:rsidR="00427517" w:rsidRPr="00BA7F79">
        <w:rPr>
          <w:sz w:val="22"/>
          <w:szCs w:val="22"/>
          <w:lang w:val="sk-SK"/>
        </w:rPr>
        <w:t>liečivo</w:t>
      </w:r>
      <w:r w:rsidRPr="00BA7F79">
        <w:rPr>
          <w:sz w:val="22"/>
          <w:szCs w:val="22"/>
          <w:lang w:val="sk-SK"/>
        </w:rPr>
        <w:t xml:space="preserve"> alebo na </w:t>
      </w:r>
      <w:r w:rsidR="00052866" w:rsidRPr="00BA7F79">
        <w:rPr>
          <w:sz w:val="22"/>
          <w:szCs w:val="22"/>
          <w:lang w:val="sk-SK"/>
        </w:rPr>
        <w:t>ktorúkoľvek</w:t>
      </w:r>
      <w:r w:rsidRPr="00BA7F79">
        <w:rPr>
          <w:sz w:val="22"/>
          <w:szCs w:val="22"/>
          <w:lang w:val="sk-SK"/>
        </w:rPr>
        <w:t xml:space="preserve"> z pomocných látok</w:t>
      </w:r>
      <w:r w:rsidR="00565697" w:rsidRPr="00BA7F79">
        <w:rPr>
          <w:sz w:val="22"/>
          <w:szCs w:val="22"/>
          <w:lang w:val="sk-SK"/>
        </w:rPr>
        <w:t xml:space="preserve"> uvedených v časti 6.1</w:t>
      </w:r>
      <w:r w:rsidR="00747FC0" w:rsidRPr="00BA7F79">
        <w:rPr>
          <w:sz w:val="22"/>
          <w:szCs w:val="22"/>
          <w:lang w:val="sk-SK"/>
        </w:rPr>
        <w:t>.</w:t>
      </w:r>
    </w:p>
    <w:p w14:paraId="3C9D44B8" w14:textId="77777777" w:rsidR="00052866" w:rsidRPr="00BA7F79" w:rsidRDefault="0006557B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Ťažká porucha funkcie obličiek </w:t>
      </w:r>
      <w:r w:rsidR="00747FC0" w:rsidRPr="00BA7F79">
        <w:rPr>
          <w:sz w:val="22"/>
          <w:szCs w:val="22"/>
          <w:lang w:val="sk-SK"/>
        </w:rPr>
        <w:t>(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k</w:t>
      </w:r>
      <w:r w:rsidR="00747FC0" w:rsidRPr="00BA7F79">
        <w:rPr>
          <w:sz w:val="22"/>
          <w:szCs w:val="22"/>
          <w:lang w:val="sk-SK"/>
        </w:rPr>
        <w:t>reatin</w:t>
      </w:r>
      <w:r w:rsidRPr="00BA7F79">
        <w:rPr>
          <w:sz w:val="22"/>
          <w:szCs w:val="22"/>
          <w:lang w:val="sk-SK"/>
        </w:rPr>
        <w:t>ínu</w:t>
      </w:r>
      <w:proofErr w:type="spellEnd"/>
      <w:r w:rsidR="00747FC0" w:rsidRPr="00BA7F79">
        <w:rPr>
          <w:sz w:val="22"/>
          <w:szCs w:val="22"/>
          <w:lang w:val="sk-SK"/>
        </w:rPr>
        <w:t xml:space="preserve"> &lt;</w:t>
      </w:r>
      <w:r w:rsidR="0005286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30</w:t>
      </w:r>
      <w:r w:rsidR="0005286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ml/min)</w:t>
      </w:r>
      <w:r w:rsidR="00CC5D94" w:rsidRPr="00BA7F79">
        <w:rPr>
          <w:sz w:val="22"/>
          <w:szCs w:val="22"/>
          <w:lang w:val="sk-SK"/>
        </w:rPr>
        <w:t xml:space="preserve"> bez pravidelnej hemodialýzy</w:t>
      </w:r>
      <w:r w:rsidR="00427517" w:rsidRPr="00BA7F79">
        <w:rPr>
          <w:sz w:val="22"/>
          <w:szCs w:val="22"/>
          <w:lang w:val="sk-SK"/>
        </w:rPr>
        <w:t>.</w:t>
      </w:r>
    </w:p>
    <w:p w14:paraId="78621D9C" w14:textId="77777777" w:rsidR="00F852B8" w:rsidRPr="00BA7F79" w:rsidRDefault="0042751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</w:t>
      </w:r>
      <w:r w:rsidR="0006557B" w:rsidRPr="00BA7F79">
        <w:rPr>
          <w:sz w:val="22"/>
          <w:szCs w:val="22"/>
          <w:lang w:val="sk-SK"/>
        </w:rPr>
        <w:t>orucha funkcie pečene</w:t>
      </w:r>
      <w:r w:rsidR="00406751" w:rsidRPr="00BA7F79">
        <w:rPr>
          <w:sz w:val="22"/>
          <w:szCs w:val="22"/>
          <w:lang w:val="sk-SK"/>
        </w:rPr>
        <w:t>.</w:t>
      </w:r>
    </w:p>
    <w:p w14:paraId="6716D08C" w14:textId="77777777" w:rsidR="00CC5D94" w:rsidRPr="00BA7F79" w:rsidRDefault="00CC5D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14B73D5" w14:textId="77777777" w:rsidR="00747FC0" w:rsidRPr="00BA7F79" w:rsidRDefault="00ED76C8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4.4</w:t>
      </w:r>
      <w:r w:rsidRPr="00BA7F79">
        <w:rPr>
          <w:sz w:val="22"/>
          <w:szCs w:val="22"/>
          <w:lang w:val="sk-SK"/>
        </w:rPr>
        <w:tab/>
      </w:r>
      <w:r w:rsidR="00737B1A" w:rsidRPr="00BA7F79">
        <w:rPr>
          <w:sz w:val="22"/>
          <w:szCs w:val="22"/>
          <w:lang w:val="sk-SK"/>
        </w:rPr>
        <w:t>Osobitné upozornenia a opatrenia pri používaní</w:t>
      </w:r>
    </w:p>
    <w:p w14:paraId="76A79E93" w14:textId="77777777" w:rsidR="00427517" w:rsidRPr="00BA7F79" w:rsidRDefault="00427517" w:rsidP="000E2DDB">
      <w:pPr>
        <w:pStyle w:val="Text"/>
        <w:spacing w:after="0" w:line="240" w:lineRule="auto"/>
        <w:outlineLvl w:val="0"/>
        <w:rPr>
          <w:b/>
          <w:sz w:val="22"/>
          <w:szCs w:val="22"/>
          <w:lang w:val="sk-SK"/>
        </w:rPr>
      </w:pPr>
    </w:p>
    <w:p w14:paraId="177B5255" w14:textId="77777777" w:rsidR="007748C7" w:rsidRPr="00BA7F79" w:rsidRDefault="007748C7" w:rsidP="000E2DDB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Podávanie ropinirolu bolo spojené so </w:t>
      </w:r>
      <w:proofErr w:type="spellStart"/>
      <w:r w:rsidRPr="00BA7F79">
        <w:rPr>
          <w:sz w:val="22"/>
          <w:szCs w:val="22"/>
          <w:lang w:val="sk-SK"/>
        </w:rPr>
        <w:t>somnolenciou</w:t>
      </w:r>
      <w:proofErr w:type="spellEnd"/>
      <w:r w:rsidRPr="00BA7F79">
        <w:rPr>
          <w:sz w:val="22"/>
          <w:szCs w:val="22"/>
          <w:lang w:val="sk-SK"/>
        </w:rPr>
        <w:t xml:space="preserve"> a epizódami náhleho nástupu spánku, najmä u pacientov s 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chorobou. </w:t>
      </w:r>
      <w:r w:rsidR="00233A50" w:rsidRPr="00BA7F79">
        <w:rPr>
          <w:sz w:val="22"/>
          <w:szCs w:val="22"/>
          <w:lang w:val="sk-SK"/>
        </w:rPr>
        <w:t>N</w:t>
      </w:r>
      <w:r w:rsidR="001A051F" w:rsidRPr="00BA7F79">
        <w:rPr>
          <w:sz w:val="22"/>
          <w:szCs w:val="22"/>
          <w:lang w:val="sk-SK"/>
        </w:rPr>
        <w:t xml:space="preserve">áhly </w:t>
      </w:r>
      <w:r w:rsidRPr="00BA7F79">
        <w:rPr>
          <w:sz w:val="22"/>
          <w:szCs w:val="22"/>
          <w:lang w:val="sk-SK"/>
        </w:rPr>
        <w:t xml:space="preserve">nástup spánku </w:t>
      </w:r>
      <w:r w:rsidR="00233A50" w:rsidRPr="00BA7F79">
        <w:rPr>
          <w:sz w:val="22"/>
          <w:szCs w:val="22"/>
          <w:lang w:val="sk-SK"/>
        </w:rPr>
        <w:t xml:space="preserve">bol hlásený </w:t>
      </w:r>
      <w:r w:rsidRPr="00BA7F79">
        <w:rPr>
          <w:sz w:val="22"/>
          <w:szCs w:val="22"/>
          <w:lang w:val="sk-SK"/>
        </w:rPr>
        <w:t>počas denných aktivít, v niektorých prípadoch bez uvedomenia si únavy alebo varovných znakov</w:t>
      </w:r>
      <w:r w:rsidR="0081287F" w:rsidRPr="00BA7F79">
        <w:rPr>
          <w:sz w:val="22"/>
          <w:szCs w:val="22"/>
          <w:lang w:val="sk-SK"/>
        </w:rPr>
        <w:t xml:space="preserve"> (Pozri časť 4.8)</w:t>
      </w:r>
      <w:r w:rsidRPr="00BA7F79">
        <w:rPr>
          <w:sz w:val="22"/>
          <w:szCs w:val="22"/>
          <w:lang w:val="sk-SK"/>
        </w:rPr>
        <w:t xml:space="preserve">. Pacienti musia byť o tejto skutočnosti poučení, aby boli opatrní pri vedení vozidiel a obsluhe strojov počas liečby ropinirolom. Pacienti, u ktorých sa vyskytla </w:t>
      </w:r>
      <w:proofErr w:type="spellStart"/>
      <w:r w:rsidRPr="00BA7F79">
        <w:rPr>
          <w:sz w:val="22"/>
          <w:szCs w:val="22"/>
          <w:lang w:val="sk-SK"/>
        </w:rPr>
        <w:t>somnolencia</w:t>
      </w:r>
      <w:proofErr w:type="spellEnd"/>
      <w:r w:rsidRPr="00BA7F79">
        <w:rPr>
          <w:sz w:val="22"/>
          <w:szCs w:val="22"/>
          <w:lang w:val="sk-SK"/>
        </w:rPr>
        <w:t xml:space="preserve"> a/alebo epizódy náhleho nástupu spánku</w:t>
      </w:r>
      <w:r w:rsidR="00CD038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nesmú viesť vozidlo alebo obsluhovať stroje. Okrem toho je možné zvážiť zníženie dávkovania alebo ukončenie terapie.</w:t>
      </w:r>
    </w:p>
    <w:p w14:paraId="71125421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7325A3E" w14:textId="77777777" w:rsidR="00406751" w:rsidRPr="00BA7F79" w:rsidRDefault="0040675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Pa</w:t>
      </w:r>
      <w:r w:rsidR="007748C7" w:rsidRPr="00BA7F79">
        <w:rPr>
          <w:sz w:val="22"/>
          <w:szCs w:val="22"/>
          <w:lang w:val="sk-SK"/>
        </w:rPr>
        <w:t>c</w:t>
      </w:r>
      <w:r w:rsidRPr="00BA7F79">
        <w:rPr>
          <w:sz w:val="22"/>
          <w:szCs w:val="22"/>
          <w:lang w:val="sk-SK"/>
        </w:rPr>
        <w:t>ient</w:t>
      </w:r>
      <w:r w:rsidR="007748C7" w:rsidRPr="00BA7F79">
        <w:rPr>
          <w:sz w:val="22"/>
          <w:szCs w:val="22"/>
          <w:lang w:val="sk-SK"/>
        </w:rPr>
        <w:t>i so závažnými</w:t>
      </w:r>
      <w:r w:rsidRPr="00BA7F79">
        <w:rPr>
          <w:sz w:val="22"/>
          <w:szCs w:val="22"/>
          <w:lang w:val="sk-SK"/>
        </w:rPr>
        <w:t xml:space="preserve"> </w:t>
      </w:r>
      <w:r w:rsidR="00D23315" w:rsidRPr="00BA7F79">
        <w:rPr>
          <w:sz w:val="22"/>
          <w:szCs w:val="22"/>
          <w:lang w:val="sk-SK"/>
        </w:rPr>
        <w:t xml:space="preserve">psychiatrickými alebo </w:t>
      </w:r>
      <w:r w:rsidR="007748C7" w:rsidRPr="00BA7F79">
        <w:rPr>
          <w:sz w:val="22"/>
          <w:szCs w:val="22"/>
          <w:lang w:val="sk-SK"/>
        </w:rPr>
        <w:t>psychotickými poruchami</w:t>
      </w:r>
      <w:r w:rsidR="00D23315" w:rsidRPr="00BA7F79">
        <w:rPr>
          <w:sz w:val="22"/>
          <w:szCs w:val="22"/>
          <w:lang w:val="sk-SK"/>
        </w:rPr>
        <w:t>, alebo ktorí majú tieto poruchy v anamnéze,</w:t>
      </w:r>
      <w:r w:rsidR="007748C7" w:rsidRPr="00BA7F79">
        <w:rPr>
          <w:sz w:val="22"/>
          <w:szCs w:val="22"/>
          <w:lang w:val="sk-SK"/>
        </w:rPr>
        <w:t xml:space="preserve"> sa majú liečiť </w:t>
      </w:r>
      <w:proofErr w:type="spellStart"/>
      <w:r w:rsidR="007748C7" w:rsidRPr="00BA7F79">
        <w:rPr>
          <w:sz w:val="22"/>
          <w:szCs w:val="22"/>
          <w:lang w:val="sk-SK"/>
        </w:rPr>
        <w:t>dopamínovými</w:t>
      </w:r>
      <w:proofErr w:type="spellEnd"/>
      <w:r w:rsidR="007748C7" w:rsidRPr="00BA7F79">
        <w:rPr>
          <w:sz w:val="22"/>
          <w:szCs w:val="22"/>
          <w:lang w:val="sk-SK"/>
        </w:rPr>
        <w:t xml:space="preserve"> </w:t>
      </w:r>
      <w:proofErr w:type="spellStart"/>
      <w:r w:rsidR="007748C7" w:rsidRPr="00BA7F79">
        <w:rPr>
          <w:sz w:val="22"/>
          <w:szCs w:val="22"/>
          <w:lang w:val="sk-SK"/>
        </w:rPr>
        <w:t>agonistami</w:t>
      </w:r>
      <w:proofErr w:type="spellEnd"/>
      <w:r w:rsidR="007748C7" w:rsidRPr="00BA7F79">
        <w:rPr>
          <w:sz w:val="22"/>
          <w:szCs w:val="22"/>
          <w:lang w:val="sk-SK"/>
        </w:rPr>
        <w:t xml:space="preserve"> len vtedy, ak potenciálne prínosy prevažujú riziká</w:t>
      </w:r>
      <w:r w:rsidRPr="00BA7F79">
        <w:rPr>
          <w:sz w:val="22"/>
          <w:szCs w:val="22"/>
          <w:lang w:val="sk-SK"/>
        </w:rPr>
        <w:t>.</w:t>
      </w:r>
    </w:p>
    <w:p w14:paraId="11BCD7DD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4B1FCE0" w14:textId="5A9CBC65" w:rsidR="005278FE" w:rsidRPr="00BA7F79" w:rsidRDefault="00EC0CBC" w:rsidP="00BF2D8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Poruchy n</w:t>
      </w:r>
      <w:r w:rsidR="005278FE" w:rsidRPr="00BA7F79">
        <w:rPr>
          <w:sz w:val="22"/>
          <w:szCs w:val="22"/>
          <w:u w:val="single"/>
          <w:lang w:val="sk-SK"/>
        </w:rPr>
        <w:t>ávykov a impulz</w:t>
      </w:r>
      <w:r w:rsidRPr="00BA7F79">
        <w:rPr>
          <w:sz w:val="22"/>
          <w:szCs w:val="22"/>
          <w:u w:val="single"/>
          <w:lang w:val="sk-SK"/>
        </w:rPr>
        <w:t>ov</w:t>
      </w:r>
    </w:p>
    <w:p w14:paraId="0B3ECAB6" w14:textId="32C0533B" w:rsidR="00D23315" w:rsidRPr="00BA7F79" w:rsidRDefault="005278F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Pacientov je potrebné pravidelne sledovať kvôli možnosti vzniku </w:t>
      </w:r>
      <w:r w:rsidR="00EC0CBC" w:rsidRPr="00BA7F79">
        <w:rPr>
          <w:sz w:val="22"/>
          <w:szCs w:val="22"/>
          <w:lang w:val="sk-SK"/>
        </w:rPr>
        <w:t xml:space="preserve">porúch </w:t>
      </w:r>
      <w:r w:rsidRPr="00BA7F79">
        <w:rPr>
          <w:sz w:val="22"/>
          <w:szCs w:val="22"/>
          <w:lang w:val="sk-SK"/>
        </w:rPr>
        <w:t>návykov a impulz</w:t>
      </w:r>
      <w:r w:rsidR="00EC0CBC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. Pacientov a ich opatrovateľov treba upozorniť na to, že u pacientov liečených </w:t>
      </w:r>
      <w:proofErr w:type="spellStart"/>
      <w:r w:rsidRPr="00BA7F79">
        <w:rPr>
          <w:sz w:val="22"/>
          <w:szCs w:val="22"/>
          <w:lang w:val="sk-SK"/>
        </w:rPr>
        <w:t>dopamínergnými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agonistami</w:t>
      </w:r>
      <w:proofErr w:type="spellEnd"/>
      <w:r w:rsidRPr="00BA7F79">
        <w:rPr>
          <w:sz w:val="22"/>
          <w:szCs w:val="22"/>
          <w:lang w:val="sk-SK"/>
        </w:rPr>
        <w:t xml:space="preserve"> vrátane </w:t>
      </w:r>
      <w:proofErr w:type="spellStart"/>
      <w:r w:rsidR="00752121" w:rsidRPr="00BA7F79">
        <w:rPr>
          <w:sz w:val="22"/>
          <w:szCs w:val="22"/>
          <w:lang w:val="sk-SK"/>
        </w:rPr>
        <w:t>REQUIP-MODUTAB</w:t>
      </w:r>
      <w:r w:rsidR="009A5B18" w:rsidRPr="00BA7F79">
        <w:rPr>
          <w:sz w:val="22"/>
          <w:szCs w:val="22"/>
          <w:lang w:val="sk-SK"/>
        </w:rPr>
        <w:t>-u</w:t>
      </w:r>
      <w:proofErr w:type="spellEnd"/>
      <w:r w:rsidR="006F0D16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sa môžu vyskytnúť </w:t>
      </w:r>
      <w:proofErr w:type="spellStart"/>
      <w:r w:rsidRPr="00BA7F79">
        <w:rPr>
          <w:sz w:val="22"/>
          <w:szCs w:val="22"/>
          <w:lang w:val="sk-SK"/>
        </w:rPr>
        <w:t>behaviorálne</w:t>
      </w:r>
      <w:proofErr w:type="spellEnd"/>
      <w:r w:rsidRPr="00BA7F79">
        <w:rPr>
          <w:sz w:val="22"/>
          <w:szCs w:val="22"/>
          <w:lang w:val="sk-SK"/>
        </w:rPr>
        <w:t xml:space="preserve"> príznaky </w:t>
      </w:r>
      <w:r w:rsidR="00EC0CBC" w:rsidRPr="00BA7F79">
        <w:rPr>
          <w:sz w:val="22"/>
          <w:szCs w:val="22"/>
          <w:lang w:val="sk-SK"/>
        </w:rPr>
        <w:t xml:space="preserve">porúch </w:t>
      </w:r>
      <w:r w:rsidRPr="00BA7F79">
        <w:rPr>
          <w:sz w:val="22"/>
          <w:szCs w:val="22"/>
          <w:lang w:val="sk-SK"/>
        </w:rPr>
        <w:t>návykov a impulz</w:t>
      </w:r>
      <w:r w:rsidR="00EC0CBC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 zahŕňajúce patologické hráčstvo, zvýšené libido, </w:t>
      </w:r>
      <w:proofErr w:type="spellStart"/>
      <w:r w:rsidRPr="00BA7F79">
        <w:rPr>
          <w:sz w:val="22"/>
          <w:szCs w:val="22"/>
          <w:lang w:val="sk-SK"/>
        </w:rPr>
        <w:t>hypersexualitu</w:t>
      </w:r>
      <w:proofErr w:type="spellEnd"/>
      <w:r w:rsidRPr="00BA7F79">
        <w:rPr>
          <w:sz w:val="22"/>
          <w:szCs w:val="22"/>
          <w:lang w:val="sk-SK"/>
        </w:rPr>
        <w:t xml:space="preserve">, </w:t>
      </w:r>
      <w:proofErr w:type="spellStart"/>
      <w:r w:rsidRPr="00BA7F79">
        <w:rPr>
          <w:sz w:val="22"/>
          <w:szCs w:val="22"/>
          <w:lang w:val="sk-SK"/>
        </w:rPr>
        <w:t>kompulzívne</w:t>
      </w:r>
      <w:proofErr w:type="spellEnd"/>
      <w:r w:rsidRPr="00BA7F79">
        <w:rPr>
          <w:sz w:val="22"/>
          <w:szCs w:val="22"/>
          <w:lang w:val="sk-SK"/>
        </w:rPr>
        <w:t xml:space="preserve"> míňanie alebo nakupovanie, </w:t>
      </w:r>
      <w:proofErr w:type="spellStart"/>
      <w:r w:rsidRPr="00BA7F79">
        <w:rPr>
          <w:sz w:val="22"/>
          <w:szCs w:val="22"/>
          <w:lang w:val="sk-SK"/>
        </w:rPr>
        <w:t>záchvatovité</w:t>
      </w:r>
      <w:proofErr w:type="spellEnd"/>
      <w:r w:rsidRPr="00BA7F79">
        <w:rPr>
          <w:sz w:val="22"/>
          <w:szCs w:val="22"/>
          <w:lang w:val="sk-SK"/>
        </w:rPr>
        <w:t xml:space="preserve"> prejedanie sa a </w:t>
      </w:r>
      <w:proofErr w:type="spellStart"/>
      <w:r w:rsidRPr="00BA7F79">
        <w:rPr>
          <w:sz w:val="22"/>
          <w:szCs w:val="22"/>
          <w:lang w:val="sk-SK"/>
        </w:rPr>
        <w:t>kompulzívne</w:t>
      </w:r>
      <w:proofErr w:type="spellEnd"/>
      <w:r w:rsidRPr="00BA7F79">
        <w:rPr>
          <w:sz w:val="22"/>
          <w:szCs w:val="22"/>
          <w:lang w:val="sk-SK"/>
        </w:rPr>
        <w:t xml:space="preserve"> prejedanie sa. V prípade vzniku takýchto príznakov sa má zvážiť zníženie dávky/postupné ukončenie liečby.</w:t>
      </w:r>
    </w:p>
    <w:p w14:paraId="02F3577A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4C6F8F01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 xml:space="preserve">Malígny </w:t>
      </w:r>
      <w:proofErr w:type="spellStart"/>
      <w:r w:rsidRPr="00BA7F79">
        <w:rPr>
          <w:sz w:val="22"/>
          <w:szCs w:val="22"/>
          <w:u w:val="single"/>
          <w:lang w:val="sk-SK"/>
        </w:rPr>
        <w:t>neuroleptický</w:t>
      </w:r>
      <w:proofErr w:type="spellEnd"/>
      <w:r w:rsidRPr="00BA7F79">
        <w:rPr>
          <w:sz w:val="22"/>
          <w:szCs w:val="22"/>
          <w:u w:val="single"/>
          <w:lang w:val="sk-SK"/>
        </w:rPr>
        <w:t xml:space="preserve"> syndróm</w:t>
      </w:r>
    </w:p>
    <w:p w14:paraId="6ECDEF3B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Po náhlom vysadení </w:t>
      </w:r>
      <w:proofErr w:type="spellStart"/>
      <w:r w:rsidRPr="00BA7F79">
        <w:rPr>
          <w:sz w:val="22"/>
          <w:szCs w:val="22"/>
          <w:lang w:val="sk-SK"/>
        </w:rPr>
        <w:t>dopamínergnej</w:t>
      </w:r>
      <w:proofErr w:type="spellEnd"/>
      <w:r w:rsidRPr="00BA7F79">
        <w:rPr>
          <w:sz w:val="22"/>
          <w:szCs w:val="22"/>
          <w:lang w:val="sk-SK"/>
        </w:rPr>
        <w:t xml:space="preserve"> liečby boli hlásené príznaky poukazujúce na malígny </w:t>
      </w:r>
      <w:proofErr w:type="spellStart"/>
      <w:r w:rsidRPr="00BA7F79">
        <w:rPr>
          <w:sz w:val="22"/>
          <w:szCs w:val="22"/>
          <w:lang w:val="sk-SK"/>
        </w:rPr>
        <w:t>neuroleptický</w:t>
      </w:r>
      <w:proofErr w:type="spellEnd"/>
      <w:r w:rsidRPr="00BA7F79">
        <w:rPr>
          <w:sz w:val="22"/>
          <w:szCs w:val="22"/>
          <w:lang w:val="sk-SK"/>
        </w:rPr>
        <w:t xml:space="preserve"> syndróm. Preto sa odporúča postupné ukončenie liečby (pozri časť 4.2).</w:t>
      </w:r>
    </w:p>
    <w:p w14:paraId="6D5FA16B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8C070CC" w14:textId="77777777" w:rsidR="00752121" w:rsidRPr="00BA7F79" w:rsidRDefault="0062390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 xml:space="preserve">Tablety </w:t>
      </w:r>
      <w:proofErr w:type="spellStart"/>
      <w:r w:rsidR="00752121" w:rsidRPr="00BA7F79">
        <w:rPr>
          <w:sz w:val="22"/>
          <w:szCs w:val="22"/>
          <w:lang w:val="sk-SK"/>
        </w:rPr>
        <w:t>REQUIP-MODUTAB</w:t>
      </w:r>
      <w:r w:rsidR="00C47295" w:rsidRPr="00BA7F79">
        <w:rPr>
          <w:sz w:val="22"/>
          <w:szCs w:val="22"/>
          <w:lang w:val="sk-SK"/>
        </w:rPr>
        <w:t>-u</w:t>
      </w:r>
      <w:proofErr w:type="spellEnd"/>
      <w:r w:rsidR="00752121" w:rsidRPr="00BA7F79">
        <w:rPr>
          <w:sz w:val="22"/>
          <w:szCs w:val="22"/>
          <w:lang w:val="sk-SK"/>
        </w:rPr>
        <w:t xml:space="preserve"> sú vyvinuté tak, aby uvoľňovali liečivo počas </w:t>
      </w:r>
      <w:proofErr w:type="spellStart"/>
      <w:r w:rsidR="00752121" w:rsidRPr="00BA7F79">
        <w:rPr>
          <w:sz w:val="22"/>
          <w:szCs w:val="22"/>
          <w:lang w:val="sk-SK"/>
        </w:rPr>
        <w:t>24</w:t>
      </w:r>
      <w:r w:rsidR="00752121" w:rsidRPr="00BA7F79">
        <w:rPr>
          <w:sz w:val="22"/>
          <w:szCs w:val="22"/>
          <w:lang w:val="sk-SK"/>
        </w:rPr>
        <w:noBreakHyphen/>
        <w:t>hodinovej</w:t>
      </w:r>
      <w:proofErr w:type="spellEnd"/>
      <w:r w:rsidR="00752121" w:rsidRPr="00BA7F79">
        <w:rPr>
          <w:sz w:val="22"/>
          <w:szCs w:val="22"/>
          <w:lang w:val="sk-SK"/>
        </w:rPr>
        <w:t xml:space="preserve"> doby.</w:t>
      </w:r>
      <w:r w:rsidR="00B604D1" w:rsidRPr="00BA7F79">
        <w:rPr>
          <w:sz w:val="22"/>
          <w:szCs w:val="22"/>
          <w:lang w:val="sk-SK"/>
        </w:rPr>
        <w:t xml:space="preserve"> </w:t>
      </w:r>
      <w:r w:rsidR="00DB6DC0" w:rsidRPr="00BA7F79">
        <w:rPr>
          <w:sz w:val="22"/>
          <w:szCs w:val="22"/>
          <w:lang w:val="sk-SK"/>
        </w:rPr>
        <w:t>Ak</w:t>
      </w:r>
      <w:r w:rsidR="00EB28DE" w:rsidRPr="00BA7F79">
        <w:rPr>
          <w:sz w:val="22"/>
          <w:szCs w:val="22"/>
          <w:lang w:val="sk-SK"/>
        </w:rPr>
        <w:t> </w:t>
      </w:r>
      <w:r w:rsidR="00DB6DC0" w:rsidRPr="00BA7F79">
        <w:rPr>
          <w:sz w:val="22"/>
          <w:szCs w:val="22"/>
          <w:lang w:val="sk-SK"/>
        </w:rPr>
        <w:t xml:space="preserve">dôjde k rýchlemu prechodu </w:t>
      </w:r>
      <w:proofErr w:type="spellStart"/>
      <w:r w:rsidR="00DB6DC0" w:rsidRPr="00BA7F79">
        <w:rPr>
          <w:sz w:val="22"/>
          <w:szCs w:val="22"/>
          <w:lang w:val="sk-SK"/>
        </w:rPr>
        <w:t>gastrointestinálnym</w:t>
      </w:r>
      <w:proofErr w:type="spellEnd"/>
      <w:r w:rsidR="00DB6DC0" w:rsidRPr="00BA7F79">
        <w:rPr>
          <w:sz w:val="22"/>
          <w:szCs w:val="22"/>
          <w:lang w:val="sk-SK"/>
        </w:rPr>
        <w:t xml:space="preserve"> traktom, môže </w:t>
      </w:r>
      <w:r w:rsidR="00CD038A" w:rsidRPr="00BA7F79">
        <w:rPr>
          <w:sz w:val="22"/>
          <w:szCs w:val="22"/>
          <w:lang w:val="sk-SK"/>
        </w:rPr>
        <w:t>hroziť</w:t>
      </w:r>
      <w:r w:rsidR="00DB6DC0" w:rsidRPr="00BA7F79">
        <w:rPr>
          <w:sz w:val="22"/>
          <w:szCs w:val="22"/>
          <w:lang w:val="sk-SK"/>
        </w:rPr>
        <w:t xml:space="preserve"> neúplné uvoľneni</w:t>
      </w:r>
      <w:r w:rsidR="00CD038A" w:rsidRPr="00BA7F79">
        <w:rPr>
          <w:sz w:val="22"/>
          <w:szCs w:val="22"/>
          <w:lang w:val="sk-SK"/>
        </w:rPr>
        <w:t>e</w:t>
      </w:r>
      <w:r w:rsidR="00DB6DC0" w:rsidRPr="00BA7F79">
        <w:rPr>
          <w:sz w:val="22"/>
          <w:szCs w:val="22"/>
          <w:lang w:val="sk-SK"/>
        </w:rPr>
        <w:t xml:space="preserve"> liečiva a vylúčeni</w:t>
      </w:r>
      <w:r w:rsidR="00CD038A" w:rsidRPr="00BA7F79">
        <w:rPr>
          <w:sz w:val="22"/>
          <w:szCs w:val="22"/>
          <w:lang w:val="sk-SK"/>
        </w:rPr>
        <w:t>e</w:t>
      </w:r>
      <w:r w:rsidR="00DB6DC0" w:rsidRPr="00BA7F79">
        <w:rPr>
          <w:sz w:val="22"/>
          <w:szCs w:val="22"/>
          <w:lang w:val="sk-SK"/>
        </w:rPr>
        <w:t xml:space="preserve"> zvyšku liečiva stolicou.</w:t>
      </w:r>
    </w:p>
    <w:p w14:paraId="59B3FD60" w14:textId="77777777" w:rsidR="00752121" w:rsidRPr="00BA7F79" w:rsidRDefault="0075212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90C3FB6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Z dôvodu rizika hypotenzie sa </w:t>
      </w:r>
      <w:r w:rsidR="00B37B72" w:rsidRPr="00BA7F79">
        <w:rPr>
          <w:sz w:val="22"/>
          <w:szCs w:val="22"/>
          <w:lang w:val="sk-SK"/>
        </w:rPr>
        <w:t xml:space="preserve">u </w:t>
      </w:r>
      <w:r w:rsidRPr="00BA7F79">
        <w:rPr>
          <w:sz w:val="22"/>
          <w:szCs w:val="22"/>
          <w:lang w:val="sk-SK"/>
        </w:rPr>
        <w:t>pacient</w:t>
      </w:r>
      <w:r w:rsidR="00B37B72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 s ťažkým kardiovaskulárnym ochorením (najmä koronárnou insuficienciou) </w:t>
      </w:r>
      <w:r w:rsidR="00B37B72" w:rsidRPr="00BA7F79">
        <w:rPr>
          <w:sz w:val="22"/>
          <w:szCs w:val="22"/>
          <w:lang w:val="sk-SK"/>
        </w:rPr>
        <w:t>odporúča sledovanie krvného tlaku, najmä na začiatku liečby</w:t>
      </w:r>
      <w:r w:rsidRPr="00BA7F79">
        <w:rPr>
          <w:sz w:val="22"/>
          <w:szCs w:val="22"/>
          <w:lang w:val="sk-SK"/>
        </w:rPr>
        <w:t>.</w:t>
      </w:r>
    </w:p>
    <w:p w14:paraId="15F52247" w14:textId="77777777" w:rsidR="00D23315" w:rsidRPr="00BA7F79" w:rsidRDefault="00D2331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830CC9D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rFonts w:eastAsia="Verdana"/>
          <w:sz w:val="22"/>
          <w:szCs w:val="22"/>
          <w:u w:val="single"/>
          <w:lang w:val="sk-SK"/>
        </w:rPr>
        <w:t xml:space="preserve">Abstinenčný syndróm zapríčinený </w:t>
      </w:r>
      <w:proofErr w:type="spellStart"/>
      <w:r w:rsidRPr="00BA7F79">
        <w:rPr>
          <w:rFonts w:eastAsia="Verdana"/>
          <w:sz w:val="22"/>
          <w:szCs w:val="22"/>
          <w:u w:val="single"/>
          <w:lang w:val="sk-SK"/>
        </w:rPr>
        <w:t>agonistami</w:t>
      </w:r>
      <w:proofErr w:type="spellEnd"/>
      <w:r w:rsidRPr="00BA7F79">
        <w:rPr>
          <w:rFonts w:eastAsia="Verdana"/>
          <w:sz w:val="22"/>
          <w:szCs w:val="22"/>
          <w:u w:val="single"/>
          <w:lang w:val="sk-SK"/>
        </w:rPr>
        <w:t xml:space="preserve"> </w:t>
      </w:r>
      <w:proofErr w:type="spellStart"/>
      <w:r w:rsidRPr="00BA7F79">
        <w:rPr>
          <w:rFonts w:eastAsia="Verdana"/>
          <w:sz w:val="22"/>
          <w:szCs w:val="22"/>
          <w:u w:val="single"/>
          <w:lang w:val="sk-SK"/>
        </w:rPr>
        <w:t>dopamínu</w:t>
      </w:r>
      <w:proofErr w:type="spellEnd"/>
    </w:p>
    <w:p w14:paraId="0326A68A" w14:textId="77777777" w:rsidR="009F76A2" w:rsidRPr="00BA7F79" w:rsidRDefault="000B6473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U pacientov s 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 sa má liečba ropinirolom ukončiť postupným znižovaním dávky (pozri časť 4.2). </w:t>
      </w:r>
      <w:r w:rsidR="009F76A2" w:rsidRPr="00BA7F79">
        <w:rPr>
          <w:sz w:val="22"/>
          <w:szCs w:val="22"/>
          <w:lang w:val="sk-SK"/>
        </w:rPr>
        <w:t xml:space="preserve">V období znižovania dávky alebo po ukončení podávania </w:t>
      </w:r>
      <w:proofErr w:type="spellStart"/>
      <w:r w:rsidR="009F76A2" w:rsidRPr="00BA7F79">
        <w:rPr>
          <w:sz w:val="22"/>
          <w:szCs w:val="22"/>
          <w:lang w:val="sk-SK"/>
        </w:rPr>
        <w:t>agonistov</w:t>
      </w:r>
      <w:proofErr w:type="spellEnd"/>
      <w:r w:rsidR="009F76A2" w:rsidRPr="00BA7F79">
        <w:rPr>
          <w:sz w:val="22"/>
          <w:szCs w:val="22"/>
          <w:lang w:val="sk-SK"/>
        </w:rPr>
        <w:t xml:space="preserve"> </w:t>
      </w:r>
      <w:proofErr w:type="spellStart"/>
      <w:r w:rsidR="009F76A2" w:rsidRPr="00BA7F79">
        <w:rPr>
          <w:sz w:val="22"/>
          <w:szCs w:val="22"/>
          <w:lang w:val="sk-SK"/>
        </w:rPr>
        <w:t>dopamínu</w:t>
      </w:r>
      <w:proofErr w:type="spellEnd"/>
      <w:r w:rsidR="009F76A2" w:rsidRPr="00BA7F79">
        <w:rPr>
          <w:sz w:val="22"/>
          <w:szCs w:val="22"/>
          <w:lang w:val="sk-SK"/>
        </w:rPr>
        <w:t xml:space="preserve"> vrátane ropinirolu sa môžu vyskytnúť nemotorické nežiaduce účinky. Príznaky zahŕňajú apatiu, úzkosť, depresiu, únavu, potenie a bolesť, ktoré môžu byť závažné. Pacienti majú byť o tom informovaní predtým, ako sa im začne znižovať dávka </w:t>
      </w:r>
      <w:proofErr w:type="spellStart"/>
      <w:r w:rsidR="009F76A2" w:rsidRPr="00BA7F79">
        <w:rPr>
          <w:sz w:val="22"/>
          <w:szCs w:val="22"/>
          <w:lang w:val="sk-SK"/>
        </w:rPr>
        <w:t>agonistu</w:t>
      </w:r>
      <w:proofErr w:type="spellEnd"/>
      <w:r w:rsidR="009F76A2" w:rsidRPr="00BA7F79">
        <w:rPr>
          <w:sz w:val="22"/>
          <w:szCs w:val="22"/>
          <w:lang w:val="sk-SK"/>
        </w:rPr>
        <w:t xml:space="preserve"> </w:t>
      </w:r>
      <w:proofErr w:type="spellStart"/>
      <w:r w:rsidR="009F76A2" w:rsidRPr="00BA7F79">
        <w:rPr>
          <w:sz w:val="22"/>
          <w:szCs w:val="22"/>
          <w:lang w:val="sk-SK"/>
        </w:rPr>
        <w:t>dopamínu</w:t>
      </w:r>
      <w:proofErr w:type="spellEnd"/>
      <w:r w:rsidR="009F76A2" w:rsidRPr="00BA7F79">
        <w:rPr>
          <w:sz w:val="22"/>
          <w:szCs w:val="22"/>
          <w:lang w:val="sk-SK"/>
        </w:rPr>
        <w:t xml:space="preserve"> a potom majú byť pravidelne kontrolovaní. V prípade pretrvávajúcich príznakov môže byť potrebné</w:t>
      </w:r>
      <w:r w:rsidR="009F76A2" w:rsidRPr="00BA7F79" w:rsidDel="00C10D9A">
        <w:rPr>
          <w:sz w:val="22"/>
          <w:szCs w:val="22"/>
          <w:lang w:val="sk-SK"/>
        </w:rPr>
        <w:t xml:space="preserve"> </w:t>
      </w:r>
      <w:r w:rsidR="009F76A2" w:rsidRPr="00BA7F79">
        <w:rPr>
          <w:sz w:val="22"/>
          <w:szCs w:val="22"/>
          <w:lang w:val="sk-SK"/>
        </w:rPr>
        <w:t>dočasne zvýšiť dávku ropinirolu (pozri časť 4.8).</w:t>
      </w:r>
    </w:p>
    <w:p w14:paraId="7CCFA737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54ED3D5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Halucinácie</w:t>
      </w:r>
    </w:p>
    <w:p w14:paraId="7C215DAE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rFonts w:eastAsia="Verdana"/>
          <w:sz w:val="22"/>
          <w:szCs w:val="22"/>
          <w:lang w:val="sk-SK"/>
        </w:rPr>
        <w:t xml:space="preserve">Halucinácie sú známym vedľajším účinkom liečby </w:t>
      </w:r>
      <w:proofErr w:type="spellStart"/>
      <w:r w:rsidRPr="00BA7F79">
        <w:rPr>
          <w:rFonts w:eastAsia="Verdana"/>
          <w:sz w:val="22"/>
          <w:szCs w:val="22"/>
          <w:lang w:val="sk-SK"/>
        </w:rPr>
        <w:t>agonistami</w:t>
      </w:r>
      <w:proofErr w:type="spellEnd"/>
      <w:r w:rsidRPr="00BA7F79">
        <w:rPr>
          <w:rFonts w:eastAsia="Verdana"/>
          <w:sz w:val="22"/>
          <w:szCs w:val="22"/>
          <w:lang w:val="sk-SK"/>
        </w:rPr>
        <w:t xml:space="preserve"> </w:t>
      </w:r>
      <w:proofErr w:type="spellStart"/>
      <w:r w:rsidRPr="00BA7F79">
        <w:rPr>
          <w:rFonts w:eastAsia="Verdana"/>
          <w:sz w:val="22"/>
          <w:szCs w:val="22"/>
          <w:lang w:val="sk-SK"/>
        </w:rPr>
        <w:t>dopamínu</w:t>
      </w:r>
      <w:proofErr w:type="spellEnd"/>
      <w:r w:rsidRPr="00BA7F79">
        <w:rPr>
          <w:rFonts w:eastAsia="Verdana"/>
          <w:sz w:val="22"/>
          <w:szCs w:val="22"/>
          <w:lang w:val="sk-SK"/>
        </w:rPr>
        <w:t xml:space="preserve"> a levodopou. Pacienti majú byť informovaní, že sa u nich môžu vyskytnúť halucinácie.</w:t>
      </w:r>
    </w:p>
    <w:p w14:paraId="2713CB1B" w14:textId="77777777" w:rsidR="009F76A2" w:rsidRPr="00BA7F79" w:rsidRDefault="009F76A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D639E0E" w14:textId="77777777" w:rsidR="0030538B" w:rsidRPr="00BA7F79" w:rsidRDefault="0030538B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Tento liek obsahuje aj laktózu.</w:t>
      </w:r>
    </w:p>
    <w:p w14:paraId="31B3515C" w14:textId="77777777" w:rsidR="00CF5C54" w:rsidRPr="00BA7F79" w:rsidRDefault="00CF5C54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Liek sa nemá podávať pacientom so zriedkavými dedičnými poruchami: intoleranciou </w:t>
      </w:r>
      <w:proofErr w:type="spellStart"/>
      <w:r w:rsidRPr="00BA7F79">
        <w:rPr>
          <w:sz w:val="22"/>
          <w:szCs w:val="22"/>
          <w:lang w:val="sk-SK"/>
        </w:rPr>
        <w:t>galaktózy</w:t>
      </w:r>
      <w:proofErr w:type="spellEnd"/>
      <w:r w:rsidRPr="00BA7F79">
        <w:rPr>
          <w:sz w:val="22"/>
          <w:szCs w:val="22"/>
          <w:lang w:val="sk-SK"/>
        </w:rPr>
        <w:t xml:space="preserve">, laponskou </w:t>
      </w:r>
      <w:proofErr w:type="spellStart"/>
      <w:r w:rsidRPr="00BA7F79">
        <w:rPr>
          <w:sz w:val="22"/>
          <w:szCs w:val="22"/>
          <w:lang w:val="sk-SK"/>
        </w:rPr>
        <w:t>deficienciou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laktázy</w:t>
      </w:r>
      <w:proofErr w:type="spellEnd"/>
      <w:r w:rsidRPr="00BA7F79">
        <w:rPr>
          <w:sz w:val="22"/>
          <w:szCs w:val="22"/>
          <w:lang w:val="sk-SK"/>
        </w:rPr>
        <w:t xml:space="preserve"> alebo s poruchou absorpcie glukózy a </w:t>
      </w:r>
      <w:proofErr w:type="spellStart"/>
      <w:r w:rsidRPr="00BA7F79">
        <w:rPr>
          <w:sz w:val="22"/>
          <w:szCs w:val="22"/>
          <w:lang w:val="sk-SK"/>
        </w:rPr>
        <w:t>galaktózy</w:t>
      </w:r>
      <w:proofErr w:type="spellEnd"/>
      <w:r w:rsidRPr="00BA7F79">
        <w:rPr>
          <w:sz w:val="22"/>
          <w:szCs w:val="22"/>
          <w:lang w:val="sk-SK"/>
        </w:rPr>
        <w:t>.</w:t>
      </w:r>
    </w:p>
    <w:p w14:paraId="4744FAD5" w14:textId="77777777" w:rsidR="00ED76C8" w:rsidRPr="00BA7F79" w:rsidRDefault="00ED76C8" w:rsidP="00BF2D8B">
      <w:pPr>
        <w:pStyle w:val="Text"/>
        <w:spacing w:after="0" w:line="240" w:lineRule="auto"/>
        <w:rPr>
          <w:sz w:val="22"/>
          <w:szCs w:val="22"/>
          <w:highlight w:val="lightGray"/>
          <w:lang w:val="sk-SK"/>
        </w:rPr>
      </w:pPr>
    </w:p>
    <w:p w14:paraId="3C579100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Len pre 4 mg tablety</w:t>
      </w:r>
      <w:r w:rsidR="0030538B" w:rsidRPr="00BA7F79">
        <w:rPr>
          <w:sz w:val="22"/>
          <w:szCs w:val="22"/>
          <w:lang w:val="sk-SK"/>
        </w:rPr>
        <w:t xml:space="preserve"> s predĺženým uvoľňovaním</w:t>
      </w:r>
      <w:r w:rsidRPr="00BA7F79">
        <w:rPr>
          <w:sz w:val="22"/>
          <w:szCs w:val="22"/>
          <w:lang w:val="sk-SK"/>
        </w:rPr>
        <w:t xml:space="preserve">: </w:t>
      </w:r>
      <w:proofErr w:type="spellStart"/>
      <w:r w:rsidR="008A474F" w:rsidRPr="00BA7F79">
        <w:rPr>
          <w:sz w:val="22"/>
          <w:szCs w:val="22"/>
          <w:lang w:val="sk-SK"/>
        </w:rPr>
        <w:t>REQUIP-MODUTAB</w:t>
      </w:r>
      <w:proofErr w:type="spellEnd"/>
      <w:r w:rsidRPr="00BA7F79">
        <w:rPr>
          <w:sz w:val="22"/>
          <w:szCs w:val="22"/>
          <w:lang w:val="sk-SK"/>
        </w:rPr>
        <w:t xml:space="preserve"> 4 mg tablety </w:t>
      </w:r>
      <w:r w:rsidR="0030538B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 xml:space="preserve">obsahujú </w:t>
      </w:r>
      <w:proofErr w:type="spellStart"/>
      <w:r w:rsidRPr="00BA7F79">
        <w:rPr>
          <w:sz w:val="22"/>
          <w:szCs w:val="22"/>
          <w:lang w:val="sk-SK"/>
        </w:rPr>
        <w:t>azo</w:t>
      </w:r>
      <w:proofErr w:type="spellEnd"/>
      <w:r w:rsidRPr="00BA7F79">
        <w:rPr>
          <w:sz w:val="22"/>
          <w:szCs w:val="22"/>
          <w:lang w:val="sk-SK"/>
        </w:rPr>
        <w:t xml:space="preserve"> farbivo oranžovú žlť (E110), ktor</w:t>
      </w:r>
      <w:r w:rsidR="000D15C1" w:rsidRPr="00BA7F79">
        <w:rPr>
          <w:sz w:val="22"/>
          <w:szCs w:val="22"/>
          <w:lang w:val="sk-SK"/>
        </w:rPr>
        <w:t>é</w:t>
      </w:r>
      <w:r w:rsidRPr="00BA7F79">
        <w:rPr>
          <w:sz w:val="22"/>
          <w:szCs w:val="22"/>
          <w:lang w:val="sk-SK"/>
        </w:rPr>
        <w:t xml:space="preserve"> môže spôsobiť alergické reakcie.</w:t>
      </w:r>
    </w:p>
    <w:p w14:paraId="06627BC1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B324AEC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4.5</w:t>
      </w:r>
      <w:r w:rsidRPr="00BA7F79">
        <w:rPr>
          <w:sz w:val="22"/>
          <w:szCs w:val="22"/>
          <w:lang w:val="sk-SK"/>
        </w:rPr>
        <w:tab/>
      </w:r>
      <w:r w:rsidR="001B0B26" w:rsidRPr="00BA7F79">
        <w:rPr>
          <w:sz w:val="22"/>
          <w:szCs w:val="22"/>
          <w:lang w:val="sk-SK"/>
        </w:rPr>
        <w:t>Liekové a iné interakcie</w:t>
      </w:r>
    </w:p>
    <w:p w14:paraId="2370EEDE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E8877CA" w14:textId="77777777" w:rsidR="00747FC0" w:rsidRPr="00BA7F79" w:rsidRDefault="000321A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Medzi ropinirolom a levodopou alebo </w:t>
      </w:r>
      <w:proofErr w:type="spellStart"/>
      <w:r w:rsidRPr="00BA7F79">
        <w:rPr>
          <w:sz w:val="22"/>
          <w:szCs w:val="22"/>
          <w:lang w:val="sk-SK"/>
        </w:rPr>
        <w:t>domperidonom</w:t>
      </w:r>
      <w:proofErr w:type="spellEnd"/>
      <w:r w:rsidRPr="00BA7F79">
        <w:rPr>
          <w:sz w:val="22"/>
          <w:szCs w:val="22"/>
          <w:lang w:val="sk-SK"/>
        </w:rPr>
        <w:t xml:space="preserve"> n</w:t>
      </w:r>
      <w:r w:rsidR="00F54CF3" w:rsidRPr="00BA7F79">
        <w:rPr>
          <w:sz w:val="22"/>
          <w:szCs w:val="22"/>
          <w:lang w:val="sk-SK"/>
        </w:rPr>
        <w:t>i</w:t>
      </w:r>
      <w:r w:rsidRPr="00BA7F79">
        <w:rPr>
          <w:sz w:val="22"/>
          <w:szCs w:val="22"/>
          <w:lang w:val="sk-SK"/>
        </w:rPr>
        <w:t>e</w:t>
      </w:r>
      <w:r w:rsidR="00F54CF3" w:rsidRPr="00BA7F79">
        <w:rPr>
          <w:sz w:val="22"/>
          <w:szCs w:val="22"/>
          <w:lang w:val="sk-SK"/>
        </w:rPr>
        <w:t xml:space="preserve"> je</w:t>
      </w:r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farmakokinetická</w:t>
      </w:r>
      <w:proofErr w:type="spellEnd"/>
      <w:r w:rsidRPr="00BA7F79">
        <w:rPr>
          <w:sz w:val="22"/>
          <w:szCs w:val="22"/>
          <w:lang w:val="sk-SK"/>
        </w:rPr>
        <w:t xml:space="preserve"> interakcia, ktorá by si vyžadovala úpravu dávkovania týchto liekov</w:t>
      </w:r>
      <w:r w:rsidR="00747FC0" w:rsidRPr="00BA7F79">
        <w:rPr>
          <w:sz w:val="22"/>
          <w:szCs w:val="22"/>
          <w:lang w:val="sk-SK"/>
        </w:rPr>
        <w:t>.</w:t>
      </w:r>
    </w:p>
    <w:p w14:paraId="1468629E" w14:textId="77777777" w:rsidR="00655B76" w:rsidRPr="00BA7F79" w:rsidRDefault="00655B7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39BFFE6" w14:textId="77777777" w:rsidR="00F54CF3" w:rsidRPr="00BA7F79" w:rsidRDefault="00F54C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Neuroleptiká</w:t>
      </w:r>
      <w:proofErr w:type="spellEnd"/>
      <w:r w:rsidRPr="00BA7F79">
        <w:rPr>
          <w:sz w:val="22"/>
          <w:szCs w:val="22"/>
          <w:lang w:val="sk-SK"/>
        </w:rPr>
        <w:t xml:space="preserve"> a iné centrálne pôsobiac</w:t>
      </w:r>
      <w:r w:rsidR="00B37B72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antagonisty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  <w:r w:rsidRPr="00BA7F79">
        <w:rPr>
          <w:sz w:val="22"/>
          <w:szCs w:val="22"/>
          <w:lang w:val="sk-SK"/>
        </w:rPr>
        <w:t xml:space="preserve">, ako sú </w:t>
      </w:r>
      <w:proofErr w:type="spellStart"/>
      <w:r w:rsidRPr="00BA7F79">
        <w:rPr>
          <w:sz w:val="22"/>
          <w:szCs w:val="22"/>
          <w:lang w:val="sk-SK"/>
        </w:rPr>
        <w:t>sulpirid</w:t>
      </w:r>
      <w:proofErr w:type="spellEnd"/>
      <w:r w:rsidRPr="00BA7F79">
        <w:rPr>
          <w:sz w:val="22"/>
          <w:szCs w:val="22"/>
          <w:lang w:val="sk-SK"/>
        </w:rPr>
        <w:t xml:space="preserve"> alebo </w:t>
      </w:r>
      <w:proofErr w:type="spellStart"/>
      <w:r w:rsidRPr="00BA7F79">
        <w:rPr>
          <w:sz w:val="22"/>
          <w:szCs w:val="22"/>
          <w:lang w:val="sk-SK"/>
        </w:rPr>
        <w:t>metoklopramid</w:t>
      </w:r>
      <w:proofErr w:type="spellEnd"/>
      <w:r w:rsidRPr="00BA7F79">
        <w:rPr>
          <w:sz w:val="22"/>
          <w:szCs w:val="22"/>
          <w:lang w:val="sk-SK"/>
        </w:rPr>
        <w:t xml:space="preserve">, môžu znižovať účinok ropinirolu, preto </w:t>
      </w:r>
      <w:r w:rsidR="003806FF" w:rsidRPr="00BA7F79">
        <w:rPr>
          <w:sz w:val="22"/>
          <w:szCs w:val="22"/>
          <w:lang w:val="sk-SK"/>
        </w:rPr>
        <w:t>je potrebné sa vyhnúť súčasnému užívaniu</w:t>
      </w:r>
      <w:r w:rsidRPr="00BA7F79">
        <w:rPr>
          <w:sz w:val="22"/>
          <w:szCs w:val="22"/>
          <w:lang w:val="sk-SK"/>
        </w:rPr>
        <w:t xml:space="preserve"> týchto liekov s ropinirolom.</w:t>
      </w:r>
    </w:p>
    <w:p w14:paraId="12B4CC63" w14:textId="77777777" w:rsidR="00F54CF3" w:rsidRPr="00BA7F79" w:rsidRDefault="00F54C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D119D6C" w14:textId="77777777" w:rsidR="00747FC0" w:rsidRPr="00BA7F79" w:rsidRDefault="000321A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 paciento</w:t>
      </w:r>
      <w:r w:rsidR="00555CB1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 xml:space="preserve"> liečených vysokými dávkami estrogénov boli pozorované zvýšené plazmatické koncentrácie ropinirolu. U pacient</w:t>
      </w:r>
      <w:r w:rsidR="00555CB1" w:rsidRPr="00BA7F79">
        <w:rPr>
          <w:sz w:val="22"/>
          <w:szCs w:val="22"/>
          <w:lang w:val="sk-SK"/>
        </w:rPr>
        <w:t>o</w:t>
      </w:r>
      <w:r w:rsidR="00E94462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, ktor</w:t>
      </w:r>
      <w:r w:rsidR="00E94462" w:rsidRPr="00BA7F79">
        <w:rPr>
          <w:sz w:val="22"/>
          <w:szCs w:val="22"/>
          <w:lang w:val="sk-SK"/>
        </w:rPr>
        <w:t>é</w:t>
      </w:r>
      <w:r w:rsidRPr="00BA7F79">
        <w:rPr>
          <w:sz w:val="22"/>
          <w:szCs w:val="22"/>
          <w:lang w:val="sk-SK"/>
        </w:rPr>
        <w:t xml:space="preserve"> </w:t>
      </w:r>
      <w:r w:rsidR="00E94462" w:rsidRPr="00BA7F79">
        <w:rPr>
          <w:sz w:val="22"/>
          <w:szCs w:val="22"/>
          <w:lang w:val="sk-SK"/>
        </w:rPr>
        <w:t xml:space="preserve">užívajú hormonálnu substitučnú terapiu </w:t>
      </w:r>
      <w:r w:rsidRPr="00BA7F79">
        <w:rPr>
          <w:sz w:val="22"/>
          <w:szCs w:val="22"/>
          <w:lang w:val="sk-SK"/>
        </w:rPr>
        <w:t>(</w:t>
      </w:r>
      <w:proofErr w:type="spellStart"/>
      <w:r w:rsidR="00E94462" w:rsidRPr="00BA7F79">
        <w:rPr>
          <w:sz w:val="22"/>
          <w:szCs w:val="22"/>
          <w:lang w:val="sk-SK"/>
        </w:rPr>
        <w:t>HST</w:t>
      </w:r>
      <w:proofErr w:type="spellEnd"/>
      <w:r w:rsidRPr="00BA7F79">
        <w:rPr>
          <w:sz w:val="22"/>
          <w:szCs w:val="22"/>
          <w:lang w:val="sk-SK"/>
        </w:rPr>
        <w:t>)</w:t>
      </w:r>
      <w:r w:rsidR="00555CB1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sa liečba ropinirolom môže začať obvyklým spôsobom. Ak je však </w:t>
      </w:r>
      <w:proofErr w:type="spellStart"/>
      <w:r w:rsidR="00E94462" w:rsidRPr="00BA7F79">
        <w:rPr>
          <w:sz w:val="22"/>
          <w:szCs w:val="22"/>
          <w:lang w:val="sk-SK"/>
        </w:rPr>
        <w:t>HST</w:t>
      </w:r>
      <w:proofErr w:type="spellEnd"/>
      <w:r w:rsidR="00E94462" w:rsidRPr="00BA7F79">
        <w:rPr>
          <w:sz w:val="22"/>
          <w:szCs w:val="22"/>
          <w:lang w:val="sk-SK"/>
        </w:rPr>
        <w:t xml:space="preserve"> ukončená </w:t>
      </w:r>
      <w:r w:rsidRPr="00BA7F79">
        <w:rPr>
          <w:sz w:val="22"/>
          <w:szCs w:val="22"/>
          <w:lang w:val="sk-SK"/>
        </w:rPr>
        <w:t xml:space="preserve">alebo </w:t>
      </w:r>
      <w:r w:rsidR="00E94462" w:rsidRPr="00BA7F79">
        <w:rPr>
          <w:sz w:val="22"/>
          <w:szCs w:val="22"/>
          <w:lang w:val="sk-SK"/>
        </w:rPr>
        <w:t xml:space="preserve">sa nasadzuje </w:t>
      </w:r>
      <w:r w:rsidRPr="00BA7F79">
        <w:rPr>
          <w:sz w:val="22"/>
          <w:szCs w:val="22"/>
          <w:lang w:val="sk-SK"/>
        </w:rPr>
        <w:t>v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priebehu liečby ropinirolom, môže byť potrebná úprava dávky ropinirolu v súlade s klinickou odpoveďou</w:t>
      </w:r>
      <w:r w:rsidR="00747FC0" w:rsidRPr="00BA7F79">
        <w:rPr>
          <w:sz w:val="22"/>
          <w:szCs w:val="22"/>
          <w:lang w:val="sk-SK"/>
        </w:rPr>
        <w:t>.</w:t>
      </w:r>
    </w:p>
    <w:p w14:paraId="67D11F8F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B49D4B" w14:textId="77777777" w:rsidR="00747FC0" w:rsidRPr="00BA7F79" w:rsidRDefault="000321A5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je metabolizovaný hlavne </w:t>
      </w:r>
      <w:proofErr w:type="spellStart"/>
      <w:r w:rsidRPr="00BA7F79">
        <w:rPr>
          <w:sz w:val="22"/>
          <w:szCs w:val="22"/>
          <w:lang w:val="sk-SK"/>
        </w:rPr>
        <w:t>izoenzýmom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CYP1A2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cytochrómu</w:t>
      </w:r>
      <w:proofErr w:type="spellEnd"/>
      <w:r w:rsidRPr="00BA7F79">
        <w:rPr>
          <w:sz w:val="22"/>
          <w:szCs w:val="22"/>
          <w:lang w:val="sk-SK"/>
        </w:rPr>
        <w:t xml:space="preserve"> P450. Vo </w:t>
      </w:r>
      <w:proofErr w:type="spellStart"/>
      <w:r w:rsidRPr="00BA7F79">
        <w:rPr>
          <w:sz w:val="22"/>
          <w:szCs w:val="22"/>
          <w:lang w:val="sk-SK"/>
        </w:rPr>
        <w:t>farmakokinetickej</w:t>
      </w:r>
      <w:proofErr w:type="spellEnd"/>
      <w:r w:rsidRPr="00BA7F79">
        <w:rPr>
          <w:sz w:val="22"/>
          <w:szCs w:val="22"/>
          <w:lang w:val="sk-SK"/>
        </w:rPr>
        <w:t xml:space="preserve"> štúdii (s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2</w:t>
      </w:r>
      <w:r w:rsidR="000D15C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mg dávkou </w:t>
      </w:r>
      <w:r w:rsidR="00F54CF3" w:rsidRPr="00BA7F79">
        <w:rPr>
          <w:sz w:val="22"/>
          <w:szCs w:val="22"/>
          <w:lang w:val="sk-SK"/>
        </w:rPr>
        <w:t xml:space="preserve">filmom obalenej </w:t>
      </w:r>
      <w:r w:rsidRPr="00BA7F79">
        <w:rPr>
          <w:sz w:val="22"/>
          <w:szCs w:val="22"/>
          <w:lang w:val="sk-SK"/>
        </w:rPr>
        <w:t>tablet</w:t>
      </w:r>
      <w:r w:rsidR="00F74ED3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 xml:space="preserve"> </w:t>
      </w:r>
      <w:r w:rsidR="00F54CF3" w:rsidRPr="00BA7F79">
        <w:rPr>
          <w:sz w:val="22"/>
          <w:szCs w:val="22"/>
          <w:lang w:val="sk-SK"/>
        </w:rPr>
        <w:t xml:space="preserve">(s okamžitým uvoľňovaním) </w:t>
      </w:r>
      <w:r w:rsidR="00F74ED3" w:rsidRPr="00BA7F79">
        <w:rPr>
          <w:sz w:val="22"/>
          <w:szCs w:val="22"/>
          <w:lang w:val="sk-SK"/>
        </w:rPr>
        <w:t>ropinirolu</w:t>
      </w:r>
      <w:r w:rsidRPr="00BA7F79">
        <w:rPr>
          <w:sz w:val="22"/>
          <w:szCs w:val="22"/>
          <w:lang w:val="sk-SK"/>
        </w:rPr>
        <w:t>, trikrát denne)</w:t>
      </w:r>
      <w:r w:rsidRPr="00BA7F79">
        <w:rPr>
          <w:b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u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pacientov s</w:t>
      </w:r>
      <w:r w:rsidR="00F54CF3" w:rsidRPr="00BA7F79">
        <w:rPr>
          <w:sz w:val="22"/>
          <w:szCs w:val="22"/>
          <w:lang w:val="sk-SK"/>
        </w:rPr>
        <w:t> 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 sa zistilo, že </w:t>
      </w:r>
      <w:proofErr w:type="spellStart"/>
      <w:r w:rsidRPr="00BA7F79">
        <w:rPr>
          <w:sz w:val="22"/>
          <w:szCs w:val="22"/>
          <w:lang w:val="sk-SK"/>
        </w:rPr>
        <w:t>ciprofloxacín</w:t>
      </w:r>
      <w:proofErr w:type="spellEnd"/>
      <w:r w:rsidRPr="00BA7F79">
        <w:rPr>
          <w:sz w:val="22"/>
          <w:szCs w:val="22"/>
          <w:lang w:val="sk-SK"/>
        </w:rPr>
        <w:t xml:space="preserve"> zvýšil </w:t>
      </w:r>
      <w:proofErr w:type="spellStart"/>
      <w:r w:rsidRPr="00BA7F79">
        <w:rPr>
          <w:sz w:val="22"/>
          <w:szCs w:val="22"/>
          <w:lang w:val="sk-SK"/>
        </w:rPr>
        <w:t>C</w:t>
      </w:r>
      <w:r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Pr="00BA7F79">
        <w:rPr>
          <w:sz w:val="22"/>
          <w:szCs w:val="22"/>
          <w:lang w:val="sk-SK"/>
        </w:rPr>
        <w:t xml:space="preserve"> ropinirolu o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60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% a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 o 84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%, s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potenciálnym rizikom nežiaducich účinkov. U pacientov, ktorí už užívajú </w:t>
      </w: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, môže byť preto pri </w:t>
      </w:r>
      <w:r w:rsidR="00E94462" w:rsidRPr="00BA7F79">
        <w:rPr>
          <w:sz w:val="22"/>
          <w:szCs w:val="22"/>
          <w:lang w:val="sk-SK"/>
        </w:rPr>
        <w:t xml:space="preserve">nasadzovaní </w:t>
      </w:r>
      <w:r w:rsidRPr="00BA7F79">
        <w:rPr>
          <w:sz w:val="22"/>
          <w:szCs w:val="22"/>
          <w:lang w:val="sk-SK"/>
        </w:rPr>
        <w:t xml:space="preserve">alebo </w:t>
      </w:r>
      <w:r w:rsidR="00E94462" w:rsidRPr="00BA7F79">
        <w:rPr>
          <w:sz w:val="22"/>
          <w:szCs w:val="22"/>
          <w:lang w:val="sk-SK"/>
        </w:rPr>
        <w:t xml:space="preserve">ukončovaní </w:t>
      </w:r>
      <w:r w:rsidRPr="00BA7F79">
        <w:rPr>
          <w:sz w:val="22"/>
          <w:szCs w:val="22"/>
          <w:lang w:val="sk-SK"/>
        </w:rPr>
        <w:t xml:space="preserve">liečby liekmi, o ktorých je známe, že </w:t>
      </w:r>
      <w:proofErr w:type="spellStart"/>
      <w:r w:rsidRPr="00BA7F79">
        <w:rPr>
          <w:sz w:val="22"/>
          <w:szCs w:val="22"/>
          <w:lang w:val="sk-SK"/>
        </w:rPr>
        <w:t>inhibujú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CYP1A2</w:t>
      </w:r>
      <w:proofErr w:type="spellEnd"/>
      <w:r w:rsidRPr="00BA7F79">
        <w:rPr>
          <w:sz w:val="22"/>
          <w:szCs w:val="22"/>
          <w:lang w:val="sk-SK"/>
        </w:rPr>
        <w:t xml:space="preserve">, napr. </w:t>
      </w:r>
      <w:proofErr w:type="spellStart"/>
      <w:r w:rsidRPr="00BA7F79">
        <w:rPr>
          <w:sz w:val="22"/>
          <w:szCs w:val="22"/>
          <w:lang w:val="sk-SK"/>
        </w:rPr>
        <w:t>ciprofloxacínom</w:t>
      </w:r>
      <w:proofErr w:type="spellEnd"/>
      <w:r w:rsidRPr="00BA7F79">
        <w:rPr>
          <w:sz w:val="22"/>
          <w:szCs w:val="22"/>
          <w:lang w:val="sk-SK"/>
        </w:rPr>
        <w:t xml:space="preserve">, </w:t>
      </w:r>
      <w:proofErr w:type="spellStart"/>
      <w:r w:rsidRPr="00BA7F79">
        <w:rPr>
          <w:sz w:val="22"/>
          <w:szCs w:val="22"/>
          <w:lang w:val="sk-SK"/>
        </w:rPr>
        <w:t>enoxacínom</w:t>
      </w:r>
      <w:proofErr w:type="spellEnd"/>
      <w:r w:rsidRPr="00BA7F79">
        <w:rPr>
          <w:sz w:val="22"/>
          <w:szCs w:val="22"/>
          <w:lang w:val="sk-SK"/>
        </w:rPr>
        <w:t xml:space="preserve"> alebo </w:t>
      </w:r>
      <w:proofErr w:type="spellStart"/>
      <w:r w:rsidRPr="00BA7F79">
        <w:rPr>
          <w:sz w:val="22"/>
          <w:szCs w:val="22"/>
          <w:lang w:val="sk-SK"/>
        </w:rPr>
        <w:t>fluvoxamínom</w:t>
      </w:r>
      <w:proofErr w:type="spellEnd"/>
      <w:r w:rsidRPr="00BA7F79">
        <w:rPr>
          <w:sz w:val="22"/>
          <w:szCs w:val="22"/>
          <w:lang w:val="sk-SK"/>
        </w:rPr>
        <w:t>, potrebná úprava dávky ropinirolu</w:t>
      </w:r>
      <w:r w:rsidR="00747FC0" w:rsidRPr="00BA7F79">
        <w:rPr>
          <w:sz w:val="22"/>
          <w:szCs w:val="22"/>
          <w:lang w:val="sk-SK"/>
        </w:rPr>
        <w:t>.</w:t>
      </w:r>
    </w:p>
    <w:p w14:paraId="1803391D" w14:textId="77777777" w:rsidR="00496045" w:rsidRPr="00BA7F79" w:rsidRDefault="00496045" w:rsidP="000E2DDB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4EB2D278" w14:textId="77777777" w:rsidR="00747FC0" w:rsidRPr="00BA7F79" w:rsidRDefault="00F74ED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color w:val="000000"/>
          <w:sz w:val="22"/>
          <w:szCs w:val="22"/>
          <w:lang w:val="sk-SK"/>
        </w:rPr>
        <w:t xml:space="preserve">Štúdia u pacientov s </w:t>
      </w:r>
      <w:proofErr w:type="spellStart"/>
      <w:r w:rsidRPr="00BA7F79">
        <w:rPr>
          <w:color w:val="000000"/>
          <w:sz w:val="22"/>
          <w:szCs w:val="22"/>
          <w:lang w:val="sk-SK"/>
        </w:rPr>
        <w:t>Parkinsonovou</w:t>
      </w:r>
      <w:proofErr w:type="spellEnd"/>
      <w:r w:rsidRPr="00BA7F79">
        <w:rPr>
          <w:color w:val="000000"/>
          <w:sz w:val="22"/>
          <w:szCs w:val="22"/>
          <w:lang w:val="sk-SK"/>
        </w:rPr>
        <w:t xml:space="preserve"> chorobou zameraná na </w:t>
      </w:r>
      <w:proofErr w:type="spellStart"/>
      <w:r w:rsidRPr="00BA7F79">
        <w:rPr>
          <w:color w:val="000000"/>
          <w:sz w:val="22"/>
          <w:szCs w:val="22"/>
          <w:lang w:val="sk-SK"/>
        </w:rPr>
        <w:t>farmakokinetické</w:t>
      </w:r>
      <w:proofErr w:type="spellEnd"/>
      <w:r w:rsidRPr="00BA7F79">
        <w:rPr>
          <w:color w:val="000000"/>
          <w:sz w:val="22"/>
          <w:szCs w:val="22"/>
          <w:lang w:val="sk-SK"/>
        </w:rPr>
        <w:t xml:space="preserve"> interakcie medzi ropinirol</w:t>
      </w:r>
      <w:r w:rsidR="00496045" w:rsidRPr="00BA7F79">
        <w:rPr>
          <w:color w:val="000000"/>
          <w:sz w:val="22"/>
          <w:szCs w:val="22"/>
          <w:lang w:val="sk-SK"/>
        </w:rPr>
        <w:t>om</w:t>
      </w:r>
      <w:r w:rsidRPr="00BA7F79">
        <w:rPr>
          <w:color w:val="000000"/>
          <w:sz w:val="22"/>
          <w:szCs w:val="22"/>
          <w:lang w:val="sk-SK"/>
        </w:rPr>
        <w:t xml:space="preserve"> (s 2</w:t>
      </w:r>
      <w:r w:rsidR="00DB1E38" w:rsidRPr="00BA7F79">
        <w:rPr>
          <w:color w:val="000000"/>
          <w:sz w:val="22"/>
          <w:szCs w:val="22"/>
          <w:lang w:val="sk-SK"/>
        </w:rPr>
        <w:t> </w:t>
      </w:r>
      <w:r w:rsidRPr="00BA7F79">
        <w:rPr>
          <w:color w:val="000000"/>
          <w:sz w:val="22"/>
          <w:szCs w:val="22"/>
          <w:lang w:val="sk-SK"/>
        </w:rPr>
        <w:t xml:space="preserve">mg dávkou </w:t>
      </w:r>
      <w:r w:rsidR="00F54CF3" w:rsidRPr="00BA7F79">
        <w:rPr>
          <w:color w:val="000000"/>
          <w:sz w:val="22"/>
          <w:szCs w:val="22"/>
          <w:lang w:val="sk-SK"/>
        </w:rPr>
        <w:t xml:space="preserve">filmom obalenej </w:t>
      </w:r>
      <w:r w:rsidRPr="00BA7F79">
        <w:rPr>
          <w:color w:val="000000"/>
          <w:sz w:val="22"/>
          <w:szCs w:val="22"/>
          <w:lang w:val="sk-SK"/>
        </w:rPr>
        <w:t xml:space="preserve">tablety </w:t>
      </w:r>
      <w:r w:rsidR="00F54CF3" w:rsidRPr="00BA7F79">
        <w:rPr>
          <w:color w:val="000000"/>
          <w:sz w:val="22"/>
          <w:szCs w:val="22"/>
          <w:lang w:val="sk-SK"/>
        </w:rPr>
        <w:t>(</w:t>
      </w:r>
      <w:r w:rsidR="00F54CF3" w:rsidRPr="00BA7F79">
        <w:rPr>
          <w:sz w:val="22"/>
          <w:szCs w:val="22"/>
          <w:lang w:val="sk-SK"/>
        </w:rPr>
        <w:t>s okamžitým uvoľňovaním)</w:t>
      </w:r>
      <w:r w:rsidR="00F54CF3" w:rsidRPr="00BA7F79">
        <w:rPr>
          <w:color w:val="000000"/>
          <w:sz w:val="22"/>
          <w:szCs w:val="22"/>
          <w:lang w:val="sk-SK"/>
        </w:rPr>
        <w:t xml:space="preserve"> </w:t>
      </w:r>
      <w:r w:rsidRPr="00BA7F79">
        <w:rPr>
          <w:color w:val="000000"/>
          <w:sz w:val="22"/>
          <w:szCs w:val="22"/>
          <w:lang w:val="sk-SK"/>
        </w:rPr>
        <w:t>ropinirolu, trikrát denne)</w:t>
      </w:r>
      <w:r w:rsidRPr="00BA7F79">
        <w:rPr>
          <w:b/>
          <w:color w:val="000000"/>
          <w:sz w:val="22"/>
          <w:szCs w:val="22"/>
          <w:lang w:val="sk-SK"/>
        </w:rPr>
        <w:t xml:space="preserve"> </w:t>
      </w:r>
      <w:r w:rsidRPr="00BA7F79">
        <w:rPr>
          <w:color w:val="000000"/>
          <w:sz w:val="22"/>
          <w:szCs w:val="22"/>
          <w:lang w:val="sk-SK"/>
        </w:rPr>
        <w:t xml:space="preserve">a </w:t>
      </w:r>
      <w:proofErr w:type="spellStart"/>
      <w:r w:rsidRPr="00BA7F79">
        <w:rPr>
          <w:color w:val="000000"/>
          <w:sz w:val="22"/>
          <w:szCs w:val="22"/>
          <w:lang w:val="sk-SK"/>
        </w:rPr>
        <w:t>teofylínom</w:t>
      </w:r>
      <w:proofErr w:type="spellEnd"/>
      <w:r w:rsidRPr="00BA7F79">
        <w:rPr>
          <w:color w:val="000000"/>
          <w:sz w:val="22"/>
          <w:szCs w:val="22"/>
          <w:lang w:val="sk-SK"/>
        </w:rPr>
        <w:t xml:space="preserve">, substrátom </w:t>
      </w:r>
      <w:proofErr w:type="spellStart"/>
      <w:r w:rsidRPr="00BA7F79">
        <w:rPr>
          <w:color w:val="000000"/>
          <w:sz w:val="22"/>
          <w:szCs w:val="22"/>
          <w:lang w:val="sk-SK"/>
        </w:rPr>
        <w:t>CYP1A2</w:t>
      </w:r>
      <w:proofErr w:type="spellEnd"/>
      <w:r w:rsidRPr="00BA7F79">
        <w:rPr>
          <w:color w:val="000000"/>
          <w:sz w:val="22"/>
          <w:szCs w:val="22"/>
          <w:lang w:val="sk-SK"/>
        </w:rPr>
        <w:t xml:space="preserve">, neodhalila žiadnu zmenu vo </w:t>
      </w:r>
      <w:proofErr w:type="spellStart"/>
      <w:r w:rsidRPr="00BA7F79">
        <w:rPr>
          <w:color w:val="000000"/>
          <w:sz w:val="22"/>
          <w:szCs w:val="22"/>
          <w:lang w:val="sk-SK"/>
        </w:rPr>
        <w:t>farmakokinetike</w:t>
      </w:r>
      <w:proofErr w:type="spellEnd"/>
      <w:r w:rsidRPr="00BA7F79">
        <w:rPr>
          <w:color w:val="000000"/>
          <w:sz w:val="22"/>
          <w:szCs w:val="22"/>
          <w:lang w:val="sk-SK"/>
        </w:rPr>
        <w:t xml:space="preserve"> ropinirolu, ani </w:t>
      </w:r>
      <w:proofErr w:type="spellStart"/>
      <w:r w:rsidRPr="00BA7F79">
        <w:rPr>
          <w:color w:val="000000"/>
          <w:sz w:val="22"/>
          <w:szCs w:val="22"/>
          <w:lang w:val="sk-SK"/>
        </w:rPr>
        <w:t>teofylínu</w:t>
      </w:r>
      <w:proofErr w:type="spellEnd"/>
      <w:r w:rsidR="00747FC0" w:rsidRPr="00BA7F79">
        <w:rPr>
          <w:sz w:val="22"/>
          <w:szCs w:val="22"/>
          <w:lang w:val="sk-SK"/>
        </w:rPr>
        <w:t>.</w:t>
      </w:r>
    </w:p>
    <w:p w14:paraId="3D4123A1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00AFC2" w14:textId="77777777" w:rsidR="006C6129" w:rsidRPr="00BA7F79" w:rsidRDefault="0087054A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Je známe, že fajčenie indukuje metabolizmus </w:t>
      </w:r>
      <w:r w:rsidR="00EE543F" w:rsidRPr="00BA7F79">
        <w:rPr>
          <w:sz w:val="22"/>
          <w:szCs w:val="22"/>
          <w:lang w:val="sk-SK"/>
        </w:rPr>
        <w:t xml:space="preserve">prostredníctvom </w:t>
      </w:r>
      <w:proofErr w:type="spellStart"/>
      <w:r w:rsidRPr="00BA7F79">
        <w:rPr>
          <w:sz w:val="22"/>
          <w:szCs w:val="22"/>
          <w:lang w:val="sk-SK"/>
        </w:rPr>
        <w:t>CYP1A2</w:t>
      </w:r>
      <w:proofErr w:type="spellEnd"/>
      <w:r w:rsidRPr="00BA7F79">
        <w:rPr>
          <w:sz w:val="22"/>
          <w:szCs w:val="22"/>
          <w:lang w:val="sk-SK"/>
        </w:rPr>
        <w:t>, a preto môže byť potrebná úprava dávkovania, ak pacienti počas liečby ropinirolom prestanú alebo začnú fajčiť</w:t>
      </w:r>
      <w:r w:rsidR="006C6129" w:rsidRPr="00BA7F79">
        <w:rPr>
          <w:sz w:val="22"/>
          <w:szCs w:val="22"/>
          <w:lang w:val="sk-SK"/>
        </w:rPr>
        <w:t>.</w:t>
      </w:r>
    </w:p>
    <w:p w14:paraId="406357E7" w14:textId="77777777" w:rsidR="006C6129" w:rsidRPr="00BA7F79" w:rsidRDefault="006C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E301C20" w14:textId="77777777" w:rsidR="0074532F" w:rsidRPr="00BA7F79" w:rsidRDefault="0074532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U pacientov, ktorí užívali kombináciu antagonistov vitamínu K a ropinirolu, boli hlásené prípady nevyvážených hodnôt </w:t>
      </w:r>
      <w:proofErr w:type="spellStart"/>
      <w:r w:rsidRPr="00BA7F79">
        <w:rPr>
          <w:sz w:val="22"/>
          <w:szCs w:val="22"/>
          <w:lang w:val="sk-SK"/>
        </w:rPr>
        <w:t>INR</w:t>
      </w:r>
      <w:proofErr w:type="spellEnd"/>
      <w:r w:rsidRPr="00BA7F79">
        <w:rPr>
          <w:sz w:val="22"/>
          <w:szCs w:val="22"/>
          <w:lang w:val="sk-SK"/>
        </w:rPr>
        <w:t>. Vyžaduje sa zvýšené klinické a biologické sledovanie (</w:t>
      </w:r>
      <w:proofErr w:type="spellStart"/>
      <w:r w:rsidRPr="00BA7F79">
        <w:rPr>
          <w:sz w:val="22"/>
          <w:szCs w:val="22"/>
          <w:lang w:val="sk-SK"/>
        </w:rPr>
        <w:t>INR</w:t>
      </w:r>
      <w:proofErr w:type="spellEnd"/>
      <w:r w:rsidRPr="00BA7F79">
        <w:rPr>
          <w:sz w:val="22"/>
          <w:szCs w:val="22"/>
          <w:lang w:val="sk-SK"/>
        </w:rPr>
        <w:t>).</w:t>
      </w:r>
    </w:p>
    <w:p w14:paraId="56B3BDFB" w14:textId="77777777" w:rsidR="0074532F" w:rsidRPr="00BA7F79" w:rsidRDefault="0074532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88C3587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4.6</w:t>
      </w:r>
      <w:r w:rsidRPr="00BA7F79">
        <w:rPr>
          <w:sz w:val="22"/>
          <w:szCs w:val="22"/>
          <w:lang w:val="sk-SK"/>
        </w:rPr>
        <w:tab/>
      </w:r>
      <w:proofErr w:type="spellStart"/>
      <w:r w:rsidR="00DB6DC0" w:rsidRPr="00BA7F79">
        <w:rPr>
          <w:sz w:val="22"/>
          <w:szCs w:val="22"/>
          <w:lang w:val="sk-SK"/>
        </w:rPr>
        <w:t>Fertilita</w:t>
      </w:r>
      <w:proofErr w:type="spellEnd"/>
      <w:r w:rsidR="00DB6DC0" w:rsidRPr="00BA7F79">
        <w:rPr>
          <w:sz w:val="22"/>
          <w:szCs w:val="22"/>
          <w:lang w:val="sk-SK"/>
        </w:rPr>
        <w:t>, g</w:t>
      </w:r>
      <w:r w:rsidR="005F05D8" w:rsidRPr="00BA7F79">
        <w:rPr>
          <w:sz w:val="22"/>
          <w:szCs w:val="22"/>
          <w:lang w:val="sk-SK"/>
        </w:rPr>
        <w:t>ravidita a laktácia</w:t>
      </w:r>
    </w:p>
    <w:p w14:paraId="45EE52BC" w14:textId="77777777" w:rsidR="00496045" w:rsidRPr="00BA7F79" w:rsidRDefault="00496045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62E8D634" w14:textId="77777777" w:rsidR="00CF36A2" w:rsidRPr="00BA7F79" w:rsidRDefault="00CF36A2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Gravidita</w:t>
      </w:r>
    </w:p>
    <w:p w14:paraId="196E75EA" w14:textId="77777777" w:rsidR="009A6129" w:rsidRPr="00BA7F79" w:rsidRDefault="009A6129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Nie sú k dispozícii dostatočné údaje o použití ropinirolu u gravidných žien.</w:t>
      </w:r>
    </w:p>
    <w:p w14:paraId="3DAE5080" w14:textId="77777777" w:rsidR="009A6129" w:rsidRPr="00BA7F79" w:rsidRDefault="009A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5304B5" w14:textId="77777777" w:rsidR="00C903E1" w:rsidRPr="00BA7F79" w:rsidRDefault="009A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Štúdie na zvieratách preukázali reprodukčnú toxicitu (pozri časť 5.3). Keďže potenciálne riziko u ľudí nie je známe, odporúča sa nepoužívať </w:t>
      </w: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počas gravidity, pokiaľ možný prínos pre pacientku neprevyšuje možné riziko pre plod.</w:t>
      </w:r>
    </w:p>
    <w:p w14:paraId="02E8752A" w14:textId="77777777" w:rsidR="00747E5B" w:rsidRPr="00BA7F79" w:rsidRDefault="00747E5B" w:rsidP="000E2DDB">
      <w:pPr>
        <w:pStyle w:val="Text"/>
        <w:spacing w:after="0" w:line="240" w:lineRule="auto"/>
        <w:outlineLvl w:val="0"/>
        <w:rPr>
          <w:bCs/>
          <w:sz w:val="22"/>
          <w:szCs w:val="22"/>
          <w:lang w:val="sk-SK"/>
        </w:rPr>
      </w:pPr>
    </w:p>
    <w:p w14:paraId="2AE384D5" w14:textId="77777777" w:rsidR="00CF36A2" w:rsidRPr="00BA7F79" w:rsidRDefault="003C46D5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Dojčenie</w:t>
      </w:r>
    </w:p>
    <w:p w14:paraId="756B982D" w14:textId="1745D162" w:rsidR="00747E5B" w:rsidRPr="00BA7F79" w:rsidRDefault="009F76A2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Preukázalo sa, že látky súvisiace s ropinirolom prechádzajú do mlieka </w:t>
      </w:r>
      <w:proofErr w:type="spellStart"/>
      <w:r w:rsidR="00352C43" w:rsidRPr="00BA7F79">
        <w:rPr>
          <w:sz w:val="22"/>
          <w:szCs w:val="22"/>
          <w:lang w:val="sk-SK"/>
        </w:rPr>
        <w:t>laktujúcich</w:t>
      </w:r>
      <w:proofErr w:type="spellEnd"/>
      <w:r w:rsidRPr="00BA7F79">
        <w:rPr>
          <w:sz w:val="22"/>
          <w:szCs w:val="22"/>
          <w:lang w:val="sk-SK"/>
        </w:rPr>
        <w:t xml:space="preserve"> potkanov. Nie je známe, či sa </w:t>
      </w: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a jeho </w:t>
      </w:r>
      <w:proofErr w:type="spellStart"/>
      <w:r w:rsidRPr="00BA7F79">
        <w:rPr>
          <w:sz w:val="22"/>
          <w:szCs w:val="22"/>
          <w:lang w:val="sk-SK"/>
        </w:rPr>
        <w:t>metabolity</w:t>
      </w:r>
      <w:proofErr w:type="spellEnd"/>
      <w:r w:rsidRPr="00BA7F79">
        <w:rPr>
          <w:sz w:val="22"/>
          <w:szCs w:val="22"/>
          <w:lang w:val="sk-SK"/>
        </w:rPr>
        <w:t xml:space="preserve"> vylučujú do ľudského mlieka. Riziko u dojčeného dieťaťa nemôže byť vylúčené. </w:t>
      </w:r>
      <w:proofErr w:type="spellStart"/>
      <w:r w:rsidR="00747E5B" w:rsidRPr="00BA7F79">
        <w:rPr>
          <w:sz w:val="22"/>
          <w:szCs w:val="22"/>
          <w:lang w:val="sk-SK"/>
        </w:rPr>
        <w:t>Ropinirol</w:t>
      </w:r>
      <w:proofErr w:type="spellEnd"/>
      <w:r w:rsidR="00657886" w:rsidRPr="00BA7F79">
        <w:rPr>
          <w:sz w:val="22"/>
          <w:szCs w:val="22"/>
          <w:lang w:val="sk-SK"/>
        </w:rPr>
        <w:t xml:space="preserve"> </w:t>
      </w:r>
      <w:r w:rsidR="009A6129" w:rsidRPr="00BA7F79">
        <w:rPr>
          <w:sz w:val="22"/>
          <w:szCs w:val="22"/>
          <w:lang w:val="sk-SK"/>
        </w:rPr>
        <w:t xml:space="preserve">sa nemá používať u dojčiacich matiek, keďže </w:t>
      </w:r>
      <w:r w:rsidR="00657886" w:rsidRPr="00BA7F79">
        <w:rPr>
          <w:sz w:val="22"/>
          <w:szCs w:val="22"/>
          <w:lang w:val="sk-SK"/>
        </w:rPr>
        <w:t xml:space="preserve">môže </w:t>
      </w:r>
      <w:proofErr w:type="spellStart"/>
      <w:r w:rsidR="00657886" w:rsidRPr="00BA7F79">
        <w:rPr>
          <w:sz w:val="22"/>
          <w:szCs w:val="22"/>
          <w:lang w:val="sk-SK"/>
        </w:rPr>
        <w:t>inhibovať</w:t>
      </w:r>
      <w:proofErr w:type="spellEnd"/>
      <w:r w:rsidR="00657886" w:rsidRPr="00BA7F79">
        <w:rPr>
          <w:sz w:val="22"/>
          <w:szCs w:val="22"/>
          <w:lang w:val="sk-SK"/>
        </w:rPr>
        <w:t xml:space="preserve"> laktáciu</w:t>
      </w:r>
      <w:r w:rsidR="008038B7" w:rsidRPr="00BA7F79">
        <w:rPr>
          <w:sz w:val="22"/>
          <w:szCs w:val="22"/>
          <w:lang w:val="sk-SK"/>
        </w:rPr>
        <w:t>.</w:t>
      </w:r>
    </w:p>
    <w:p w14:paraId="3BB9DB0D" w14:textId="77777777" w:rsidR="009F76A2" w:rsidRPr="00BA7F79" w:rsidRDefault="009F76A2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6415605B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Fertilita</w:t>
      </w:r>
      <w:proofErr w:type="spellEnd"/>
    </w:p>
    <w:p w14:paraId="613D39F0" w14:textId="6C7E52FF" w:rsidR="009F76A2" w:rsidRPr="00BA7F79" w:rsidRDefault="009F76A2" w:rsidP="00BA7F79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 dispozícii nie sú údaje o vplyve ropinirolu na ľudskú </w:t>
      </w:r>
      <w:proofErr w:type="spellStart"/>
      <w:r w:rsidRPr="00BA7F79">
        <w:rPr>
          <w:sz w:val="22"/>
          <w:szCs w:val="22"/>
          <w:lang w:val="sk-SK"/>
        </w:rPr>
        <w:t>fertilitu</w:t>
      </w:r>
      <w:proofErr w:type="spellEnd"/>
      <w:r w:rsidRPr="00BA7F79">
        <w:rPr>
          <w:sz w:val="22"/>
          <w:szCs w:val="22"/>
          <w:lang w:val="sk-SK"/>
        </w:rPr>
        <w:t xml:space="preserve">. V štúdiách </w:t>
      </w:r>
      <w:proofErr w:type="spellStart"/>
      <w:r w:rsidRPr="00BA7F79">
        <w:rPr>
          <w:sz w:val="22"/>
          <w:szCs w:val="22"/>
          <w:lang w:val="sk-SK"/>
        </w:rPr>
        <w:t>fertility</w:t>
      </w:r>
      <w:proofErr w:type="spellEnd"/>
      <w:r w:rsidRPr="00BA7F79">
        <w:rPr>
          <w:sz w:val="22"/>
          <w:szCs w:val="22"/>
          <w:lang w:val="sk-SK"/>
        </w:rPr>
        <w:t xml:space="preserve"> u potkanov sa u samíc pozoroval vplyv na implantáciu, ale nepozoroval sa žiadny vplyv na </w:t>
      </w:r>
      <w:proofErr w:type="spellStart"/>
      <w:r w:rsidRPr="00BA7F79">
        <w:rPr>
          <w:sz w:val="22"/>
          <w:szCs w:val="22"/>
          <w:lang w:val="sk-SK"/>
        </w:rPr>
        <w:t>fertilitu</w:t>
      </w:r>
      <w:proofErr w:type="spellEnd"/>
      <w:r w:rsidRPr="00BA7F79">
        <w:rPr>
          <w:sz w:val="22"/>
          <w:szCs w:val="22"/>
          <w:lang w:val="sk-SK"/>
        </w:rPr>
        <w:t xml:space="preserve"> samcov (pozri časť 5.3).</w:t>
      </w:r>
    </w:p>
    <w:p w14:paraId="04E49265" w14:textId="77777777" w:rsidR="009F76A2" w:rsidRPr="00BA7F79" w:rsidRDefault="009F76A2" w:rsidP="00BA7F79">
      <w:pPr>
        <w:pStyle w:val="Text"/>
        <w:spacing w:after="0" w:line="240" w:lineRule="auto"/>
        <w:rPr>
          <w:b/>
          <w:sz w:val="22"/>
          <w:szCs w:val="22"/>
          <w:lang w:val="sk-SK"/>
        </w:rPr>
      </w:pPr>
    </w:p>
    <w:p w14:paraId="4FD0D6E0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4.7</w:t>
      </w:r>
      <w:r w:rsidRPr="00BA7F79">
        <w:rPr>
          <w:sz w:val="22"/>
          <w:szCs w:val="22"/>
          <w:lang w:val="sk-SK"/>
        </w:rPr>
        <w:tab/>
      </w:r>
      <w:r w:rsidR="003359E9" w:rsidRPr="00BA7F79">
        <w:rPr>
          <w:sz w:val="22"/>
          <w:szCs w:val="22"/>
          <w:lang w:val="sk-SK"/>
        </w:rPr>
        <w:t>Ovplyvnenie schopnosti viesť vozidlá a obsluhovať stroje</w:t>
      </w:r>
    </w:p>
    <w:p w14:paraId="19D03355" w14:textId="77777777" w:rsidR="007F4246" w:rsidRPr="00BA7F79" w:rsidRDefault="007F424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4E0331" w14:textId="77777777" w:rsidR="00747FC0" w:rsidRPr="00BA7F79" w:rsidRDefault="001D3B4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Pacienti liečení ropinirolom, u ktorých sa prejavila </w:t>
      </w:r>
      <w:proofErr w:type="spellStart"/>
      <w:r w:rsidRPr="00BA7F79">
        <w:rPr>
          <w:sz w:val="22"/>
          <w:szCs w:val="22"/>
          <w:lang w:val="sk-SK"/>
        </w:rPr>
        <w:t>somnolencia</w:t>
      </w:r>
      <w:proofErr w:type="spellEnd"/>
      <w:r w:rsidRPr="00BA7F79">
        <w:rPr>
          <w:sz w:val="22"/>
          <w:szCs w:val="22"/>
          <w:lang w:val="sk-SK"/>
        </w:rPr>
        <w:t xml:space="preserve"> a/alebo epizódy náhleho spánku musia byť poučení, aby sa vyhli vedeniu vozidiel a zapájaniu sa do činností, pri ktorých narušená bdelosť m</w:t>
      </w:r>
      <w:r w:rsidR="00D4221E" w:rsidRPr="00BA7F79">
        <w:rPr>
          <w:sz w:val="22"/>
          <w:szCs w:val="22"/>
          <w:lang w:val="sk-SK"/>
        </w:rPr>
        <w:t>ôže</w:t>
      </w:r>
      <w:r w:rsidRPr="00BA7F79">
        <w:rPr>
          <w:sz w:val="22"/>
          <w:szCs w:val="22"/>
          <w:lang w:val="sk-SK"/>
        </w:rPr>
        <w:t xml:space="preserve"> pre nich alebo pre ostatné osoby predstavovať riziko závažných zranení alebo úmrtia (napr. obsluha strojov) až dovtedy, kým sa takéto opakované epizódy a </w:t>
      </w:r>
      <w:proofErr w:type="spellStart"/>
      <w:r w:rsidRPr="00BA7F79">
        <w:rPr>
          <w:sz w:val="22"/>
          <w:szCs w:val="22"/>
          <w:lang w:val="sk-SK"/>
        </w:rPr>
        <w:t>somnolencia</w:t>
      </w:r>
      <w:proofErr w:type="spellEnd"/>
      <w:r w:rsidRPr="00BA7F79">
        <w:rPr>
          <w:sz w:val="22"/>
          <w:szCs w:val="22"/>
          <w:lang w:val="sk-SK"/>
        </w:rPr>
        <w:t xml:space="preserve"> nevyrieši (pozri časť 4.4</w:t>
      </w:r>
      <w:r w:rsidR="00747FC0" w:rsidRPr="00BA7F79">
        <w:rPr>
          <w:sz w:val="22"/>
          <w:szCs w:val="22"/>
          <w:lang w:val="sk-SK"/>
        </w:rPr>
        <w:t>).</w:t>
      </w:r>
    </w:p>
    <w:p w14:paraId="42DD5B4C" w14:textId="77777777" w:rsidR="007F4246" w:rsidRPr="00BA7F79" w:rsidRDefault="007F4246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41044D0C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4.8</w:t>
      </w:r>
      <w:r w:rsidRPr="00BA7F79">
        <w:rPr>
          <w:sz w:val="22"/>
          <w:szCs w:val="22"/>
          <w:lang w:val="sk-SK"/>
        </w:rPr>
        <w:tab/>
      </w:r>
      <w:r w:rsidR="000D69F9" w:rsidRPr="00BA7F79">
        <w:rPr>
          <w:sz w:val="22"/>
          <w:szCs w:val="22"/>
          <w:lang w:val="sk-SK"/>
        </w:rPr>
        <w:t>Nežiaduce účinky</w:t>
      </w:r>
    </w:p>
    <w:p w14:paraId="5D0CA86A" w14:textId="77777777" w:rsidR="007F4246" w:rsidRPr="00BA7F79" w:rsidRDefault="007F424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9A5C94B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Hlásené n</w:t>
      </w:r>
      <w:r w:rsidR="000D69F9" w:rsidRPr="00BA7F79">
        <w:rPr>
          <w:sz w:val="22"/>
          <w:szCs w:val="22"/>
          <w:lang w:val="sk-SK"/>
        </w:rPr>
        <w:t xml:space="preserve">ežiaduce </w:t>
      </w:r>
      <w:r w:rsidRPr="00BA7F79">
        <w:rPr>
          <w:sz w:val="22"/>
          <w:szCs w:val="22"/>
          <w:lang w:val="sk-SK"/>
        </w:rPr>
        <w:t xml:space="preserve">účinky </w:t>
      </w:r>
      <w:r w:rsidR="000D69F9" w:rsidRPr="00BA7F79">
        <w:rPr>
          <w:sz w:val="22"/>
          <w:szCs w:val="22"/>
          <w:lang w:val="sk-SK"/>
        </w:rPr>
        <w:t>sú nižšie uvedené podľa tried</w:t>
      </w:r>
      <w:r w:rsidRPr="00BA7F79">
        <w:rPr>
          <w:sz w:val="22"/>
          <w:szCs w:val="22"/>
          <w:lang w:val="sk-SK"/>
        </w:rPr>
        <w:t>y</w:t>
      </w:r>
      <w:r w:rsidR="000D69F9" w:rsidRPr="00BA7F79">
        <w:rPr>
          <w:sz w:val="22"/>
          <w:szCs w:val="22"/>
          <w:lang w:val="sk-SK"/>
        </w:rPr>
        <w:t xml:space="preserve"> orgánových systémov a frekvencie.</w:t>
      </w:r>
      <w:r w:rsidRPr="00BA7F79">
        <w:rPr>
          <w:sz w:val="22"/>
          <w:szCs w:val="22"/>
          <w:lang w:val="sk-SK"/>
        </w:rPr>
        <w:t xml:space="preserve"> Je </w:t>
      </w:r>
      <w:r w:rsidR="0053413B" w:rsidRPr="00BA7F79">
        <w:rPr>
          <w:sz w:val="22"/>
          <w:szCs w:val="22"/>
          <w:lang w:val="sk-SK"/>
        </w:rPr>
        <w:t>vyznačené</w:t>
      </w:r>
      <w:r w:rsidRPr="00BA7F79">
        <w:rPr>
          <w:sz w:val="22"/>
          <w:szCs w:val="22"/>
          <w:lang w:val="sk-SK"/>
        </w:rPr>
        <w:t xml:space="preserve">, či boli tieto nežiaduce účinky hlásené v klinických </w:t>
      </w:r>
      <w:r w:rsidR="00BC616F" w:rsidRPr="00BA7F79">
        <w:rPr>
          <w:sz w:val="22"/>
          <w:szCs w:val="22"/>
          <w:lang w:val="sk-SK"/>
        </w:rPr>
        <w:t>skúšaniach</w:t>
      </w:r>
      <w:r w:rsidRPr="00BA7F79">
        <w:rPr>
          <w:sz w:val="22"/>
          <w:szCs w:val="22"/>
          <w:lang w:val="sk-SK"/>
        </w:rPr>
        <w:t xml:space="preserve"> pri </w:t>
      </w:r>
      <w:proofErr w:type="spellStart"/>
      <w:r w:rsidRPr="00BA7F79">
        <w:rPr>
          <w:sz w:val="22"/>
          <w:szCs w:val="22"/>
          <w:lang w:val="sk-SK"/>
        </w:rPr>
        <w:t>monoterapii</w:t>
      </w:r>
      <w:proofErr w:type="spellEnd"/>
      <w:r w:rsidRPr="00BA7F79">
        <w:rPr>
          <w:sz w:val="22"/>
          <w:szCs w:val="22"/>
          <w:lang w:val="sk-SK"/>
        </w:rPr>
        <w:t>, alebo pri prídavnej liečbe k</w:t>
      </w:r>
      <w:r w:rsidR="0053413B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levodope.</w:t>
      </w:r>
    </w:p>
    <w:p w14:paraId="78281377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47FB88A" w14:textId="77777777" w:rsidR="00747FC0" w:rsidRPr="00BA7F79" w:rsidRDefault="000D69F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Frekvencie sú definované ako: veľmi časté </w:t>
      </w:r>
      <w:r w:rsidR="00747FC0" w:rsidRPr="00BA7F79">
        <w:rPr>
          <w:sz w:val="22"/>
          <w:szCs w:val="22"/>
          <w:lang w:val="sk-SK"/>
        </w:rPr>
        <w:t>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1/10), </w:t>
      </w:r>
      <w:r w:rsidRPr="00BA7F79">
        <w:rPr>
          <w:sz w:val="22"/>
          <w:szCs w:val="22"/>
          <w:lang w:val="sk-SK"/>
        </w:rPr>
        <w:t xml:space="preserve">časté </w:t>
      </w:r>
      <w:r w:rsidR="00747FC0" w:rsidRPr="00BA7F79">
        <w:rPr>
          <w:sz w:val="22"/>
          <w:szCs w:val="22"/>
          <w:lang w:val="sk-SK"/>
        </w:rPr>
        <w:t>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1/10), </w:t>
      </w:r>
      <w:r w:rsidRPr="00BA7F79">
        <w:rPr>
          <w:sz w:val="22"/>
          <w:szCs w:val="22"/>
          <w:lang w:val="sk-SK"/>
        </w:rPr>
        <w:t>menej časté</w:t>
      </w:r>
      <w:r w:rsidR="00747FC0" w:rsidRPr="00BA7F79">
        <w:rPr>
          <w:sz w:val="22"/>
          <w:szCs w:val="22"/>
          <w:lang w:val="sk-SK"/>
        </w:rPr>
        <w:t xml:space="preserve"> 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1/100), </w:t>
      </w:r>
      <w:r w:rsidRPr="00BA7F79">
        <w:rPr>
          <w:sz w:val="22"/>
          <w:szCs w:val="22"/>
          <w:lang w:val="sk-SK"/>
        </w:rPr>
        <w:t>zriedkavé</w:t>
      </w:r>
      <w:r w:rsidR="00747FC0" w:rsidRPr="00BA7F79">
        <w:rPr>
          <w:sz w:val="22"/>
          <w:szCs w:val="22"/>
          <w:lang w:val="sk-SK"/>
        </w:rPr>
        <w:t xml:space="preserve"> 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000), ve</w:t>
      </w:r>
      <w:r w:rsidRPr="00BA7F79">
        <w:rPr>
          <w:sz w:val="22"/>
          <w:szCs w:val="22"/>
          <w:lang w:val="sk-SK"/>
        </w:rPr>
        <w:t>ľmi zriedkavé</w:t>
      </w:r>
      <w:r w:rsidR="00747FC0" w:rsidRPr="00BA7F79">
        <w:rPr>
          <w:sz w:val="22"/>
          <w:szCs w:val="22"/>
          <w:lang w:val="sk-SK"/>
        </w:rPr>
        <w:t xml:space="preserve"> (&lt;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000), </w:t>
      </w:r>
      <w:r w:rsidR="00681B16" w:rsidRPr="00BA7F79">
        <w:rPr>
          <w:sz w:val="22"/>
          <w:szCs w:val="22"/>
          <w:lang w:val="sk-SK"/>
        </w:rPr>
        <w:t>neznáme (z dostupných údajov)</w:t>
      </w:r>
      <w:r w:rsidR="00747FC0" w:rsidRPr="00BA7F79">
        <w:rPr>
          <w:sz w:val="22"/>
          <w:szCs w:val="22"/>
          <w:lang w:val="sk-SK"/>
        </w:rPr>
        <w:t>.</w:t>
      </w:r>
    </w:p>
    <w:p w14:paraId="22D746CC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7C3D095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6E25C11D" w14:textId="77777777" w:rsidR="008756FA" w:rsidRPr="00BA7F79" w:rsidRDefault="008756F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96E5F56" w14:textId="77777777" w:rsidR="00CF36A2" w:rsidRPr="00BA7F79" w:rsidRDefault="00CF36A2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Nasledujúce nežiaduce reakcie na liek boli hlásené buď v klinických skúšaniach </w:t>
      </w:r>
      <w:r w:rsidR="009E3EA9" w:rsidRPr="00BA7F79">
        <w:rPr>
          <w:sz w:val="22"/>
          <w:szCs w:val="22"/>
          <w:lang w:val="sk-SK"/>
        </w:rPr>
        <w:t>zameraných na</w:t>
      </w:r>
      <w:r w:rsidR="00C317F7" w:rsidRPr="00BA7F79">
        <w:rPr>
          <w:sz w:val="22"/>
          <w:szCs w:val="22"/>
          <w:lang w:val="sk-SK"/>
        </w:rPr>
        <w:t> </w:t>
      </w:r>
      <w:proofErr w:type="spellStart"/>
      <w:r w:rsidR="009E3EA9" w:rsidRPr="00BA7F79">
        <w:rPr>
          <w:sz w:val="22"/>
          <w:szCs w:val="22"/>
          <w:lang w:val="sk-SK"/>
        </w:rPr>
        <w:t>Parkinsonovu</w:t>
      </w:r>
      <w:proofErr w:type="spellEnd"/>
      <w:r w:rsidR="009E3EA9" w:rsidRPr="00BA7F79">
        <w:rPr>
          <w:sz w:val="22"/>
          <w:szCs w:val="22"/>
          <w:lang w:val="sk-SK"/>
        </w:rPr>
        <w:t xml:space="preserve"> chorobu s</w:t>
      </w:r>
      <w:r w:rsidR="00BC616F" w:rsidRPr="00BA7F79">
        <w:rPr>
          <w:sz w:val="22"/>
          <w:szCs w:val="22"/>
          <w:lang w:val="sk-SK"/>
        </w:rPr>
        <w:t> </w:t>
      </w:r>
      <w:proofErr w:type="spellStart"/>
      <w:r w:rsidR="009E3EA9" w:rsidRPr="00BA7F79">
        <w:rPr>
          <w:sz w:val="22"/>
          <w:szCs w:val="22"/>
          <w:lang w:val="sk-SK"/>
        </w:rPr>
        <w:t>REQUIP</w:t>
      </w:r>
      <w:r w:rsidR="00BC616F" w:rsidRPr="00BA7F79">
        <w:rPr>
          <w:sz w:val="22"/>
          <w:szCs w:val="22"/>
          <w:lang w:val="sk-SK"/>
        </w:rPr>
        <w:noBreakHyphen/>
      </w:r>
      <w:r w:rsidR="009E3EA9" w:rsidRPr="00BA7F79">
        <w:rPr>
          <w:sz w:val="22"/>
          <w:szCs w:val="22"/>
          <w:lang w:val="sk-SK"/>
        </w:rPr>
        <w:t>MODUTAB</w:t>
      </w:r>
      <w:proofErr w:type="spellEnd"/>
      <w:r w:rsidR="009E3EA9" w:rsidRPr="00BA7F79">
        <w:rPr>
          <w:sz w:val="22"/>
          <w:szCs w:val="22"/>
          <w:lang w:val="sk-SK"/>
        </w:rPr>
        <w:t xml:space="preserve"> tabletami s predĺženým uvoľňovaním alebo </w:t>
      </w:r>
      <w:r w:rsidR="00C317F7" w:rsidRPr="00BA7F79">
        <w:rPr>
          <w:sz w:val="22"/>
          <w:szCs w:val="22"/>
          <w:lang w:val="sk-SK"/>
        </w:rPr>
        <w:t>s</w:t>
      </w:r>
      <w:r w:rsidR="00D706FB" w:rsidRPr="00BA7F79">
        <w:rPr>
          <w:sz w:val="22"/>
          <w:szCs w:val="22"/>
          <w:lang w:val="sk-SK"/>
        </w:rPr>
        <w:t> </w:t>
      </w:r>
      <w:proofErr w:type="spellStart"/>
      <w:r w:rsidR="00C317F7" w:rsidRPr="00BA7F79">
        <w:rPr>
          <w:sz w:val="22"/>
          <w:szCs w:val="22"/>
          <w:lang w:val="sk-SK"/>
        </w:rPr>
        <w:t>REQUIP</w:t>
      </w:r>
      <w:proofErr w:type="spellEnd"/>
      <w:r w:rsidR="00C317F7" w:rsidRPr="00BA7F79">
        <w:rPr>
          <w:sz w:val="22"/>
          <w:szCs w:val="22"/>
          <w:lang w:val="sk-SK"/>
        </w:rPr>
        <w:t xml:space="preserve"> filmom obalenými tabletami (s okamžitým uvoľňovaním) v dávkach do 24 mg/deň, alebo v hláseniach z</w:t>
      </w:r>
      <w:r w:rsidR="00625497" w:rsidRPr="00BA7F79">
        <w:rPr>
          <w:sz w:val="22"/>
          <w:szCs w:val="22"/>
          <w:lang w:val="sk-SK"/>
        </w:rPr>
        <w:t> </w:t>
      </w:r>
      <w:r w:rsidR="00C317F7" w:rsidRPr="00BA7F79">
        <w:rPr>
          <w:sz w:val="22"/>
          <w:szCs w:val="22"/>
          <w:lang w:val="sk-SK"/>
        </w:rPr>
        <w:t>ob</w:t>
      </w:r>
      <w:r w:rsidR="00625497" w:rsidRPr="00BA7F79">
        <w:rPr>
          <w:sz w:val="22"/>
          <w:szCs w:val="22"/>
          <w:lang w:val="sk-SK"/>
        </w:rPr>
        <w:t>dobia po uvedení lieku na trh:</w:t>
      </w:r>
    </w:p>
    <w:p w14:paraId="5A4C2C00" w14:textId="77777777" w:rsidR="00625497" w:rsidRPr="00BA7F79" w:rsidRDefault="00625497" w:rsidP="000E2DDB">
      <w:pPr>
        <w:spacing w:line="240" w:lineRule="auto"/>
        <w:rPr>
          <w:sz w:val="22"/>
          <w:szCs w:val="22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964"/>
        <w:gridCol w:w="23"/>
        <w:gridCol w:w="2864"/>
      </w:tblGrid>
      <w:tr w:rsidR="00625497" w:rsidRPr="00BA7F79" w14:paraId="1B1B9BF4" w14:textId="77777777" w:rsidTr="00BA7F79">
        <w:trPr>
          <w:trHeight w:hRule="exact" w:val="408"/>
          <w:tblHeader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9F6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83AA" w14:textId="77777777" w:rsidR="00625497" w:rsidRPr="00BA7F79" w:rsidRDefault="00625497" w:rsidP="00625497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u w:val="single"/>
                <w:lang w:val="sk-SK"/>
              </w:rPr>
              <w:t xml:space="preserve">Pri </w:t>
            </w:r>
            <w:proofErr w:type="spellStart"/>
            <w:r w:rsidRPr="00BA7F79">
              <w:rPr>
                <w:sz w:val="22"/>
                <w:szCs w:val="22"/>
                <w:u w:val="single"/>
                <w:lang w:val="sk-SK"/>
              </w:rPr>
              <w:t>monotera</w:t>
            </w:r>
            <w:r w:rsidRPr="00BA7F79">
              <w:rPr>
                <w:spacing w:val="5"/>
                <w:sz w:val="22"/>
                <w:szCs w:val="22"/>
                <w:u w:val="single"/>
                <w:lang w:val="sk-SK"/>
              </w:rPr>
              <w:t>pii</w:t>
            </w:r>
            <w:proofErr w:type="spellEnd"/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DAC" w14:textId="77777777" w:rsidR="00625497" w:rsidRPr="00BA7F79" w:rsidRDefault="00625497" w:rsidP="00625497">
            <w:pPr>
              <w:widowControl w:val="0"/>
              <w:autoSpaceDE w:val="0"/>
              <w:autoSpaceDN w:val="0"/>
              <w:adjustRightInd w:val="0"/>
              <w:spacing w:before="53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u w:val="single"/>
                <w:lang w:val="sk-SK"/>
              </w:rPr>
              <w:t>Pri prídavnej liečbe</w:t>
            </w:r>
          </w:p>
        </w:tc>
      </w:tr>
      <w:tr w:rsidR="00625497" w:rsidRPr="00BA7F79" w14:paraId="1E8630E7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986" w14:textId="77777777" w:rsidR="00625497" w:rsidRPr="00BA7F79" w:rsidRDefault="00364EDB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625497" w:rsidRPr="00BA7F79" w14:paraId="7EF30784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2BD" w14:textId="77777777" w:rsidR="00625497" w:rsidRPr="00BA7F79" w:rsidRDefault="00625497" w:rsidP="00364EDB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</w:t>
            </w:r>
            <w:r w:rsidR="00364EDB" w:rsidRPr="00BA7F79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7D0" w14:textId="77777777" w:rsidR="00625497" w:rsidRPr="00BA7F79" w:rsidRDefault="00364EDB" w:rsidP="00364EDB">
            <w:pPr>
              <w:widowControl w:val="0"/>
              <w:autoSpaceDE w:val="0"/>
              <w:autoSpaceDN w:val="0"/>
              <w:adjustRightInd w:val="0"/>
              <w:spacing w:before="51"/>
              <w:ind w:left="102" w:right="1144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Reakcie z 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precilivenosti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(zahŕňajúce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urtikáriu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angioedém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, vyrážku,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="00625497" w:rsidRPr="00BA7F79">
              <w:rPr>
                <w:iCs/>
                <w:sz w:val="22"/>
                <w:szCs w:val="22"/>
                <w:lang w:val="sk-SK"/>
              </w:rPr>
              <w:t>).</w:t>
            </w:r>
          </w:p>
        </w:tc>
      </w:tr>
      <w:tr w:rsidR="00625497" w:rsidRPr="00BA7F79" w14:paraId="25E6346F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54CE" w14:textId="77777777" w:rsidR="00625497" w:rsidRPr="00BA7F79" w:rsidRDefault="00364EDB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lastRenderedPageBreak/>
              <w:t>Psychické poruchy</w:t>
            </w:r>
          </w:p>
        </w:tc>
      </w:tr>
      <w:tr w:rsidR="00625497" w:rsidRPr="00BA7F79" w14:paraId="26E01CAD" w14:textId="77777777" w:rsidTr="00BE59EE">
        <w:trPr>
          <w:trHeight w:val="39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658C0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9BB" w14:textId="77777777" w:rsidR="00625497" w:rsidRPr="00BA7F79" w:rsidRDefault="00625497" w:rsidP="00364EDB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Halucin</w:t>
            </w:r>
            <w:r w:rsidR="00364EDB" w:rsidRPr="00BA7F79">
              <w:rPr>
                <w:sz w:val="22"/>
                <w:szCs w:val="22"/>
                <w:lang w:val="sk-SK"/>
              </w:rPr>
              <w:t>ác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364EDB" w:rsidRPr="00BA7F79">
              <w:rPr>
                <w:sz w:val="22"/>
                <w:szCs w:val="22"/>
                <w:lang w:val="sk-SK"/>
              </w:rPr>
              <w:t>e</w:t>
            </w:r>
          </w:p>
        </w:tc>
      </w:tr>
      <w:tr w:rsidR="00625497" w:rsidRPr="00BA7F79" w14:paraId="4D503D0E" w14:textId="77777777" w:rsidTr="00BE59EE">
        <w:trPr>
          <w:trHeight w:hRule="exact" w:val="390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858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6D76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F426" w14:textId="77777777" w:rsidR="00625497" w:rsidRPr="00BA7F79" w:rsidRDefault="00364EDB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Zmätenosť</w:t>
            </w:r>
          </w:p>
        </w:tc>
      </w:tr>
      <w:tr w:rsidR="00625497" w:rsidRPr="00BA7F79" w14:paraId="29DEF9E7" w14:textId="77777777" w:rsidTr="00BE59EE">
        <w:trPr>
          <w:trHeight w:hRule="exact" w:val="72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79E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9099" w14:textId="77777777" w:rsidR="00625497" w:rsidRPr="00BA7F79" w:rsidRDefault="00AA19F5" w:rsidP="00AA19F5">
            <w:pPr>
              <w:widowControl w:val="0"/>
              <w:autoSpaceDE w:val="0"/>
              <w:autoSpaceDN w:val="0"/>
              <w:adjustRightInd w:val="0"/>
              <w:spacing w:before="51"/>
              <w:ind w:left="102" w:right="297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Psychotické reakcie (iné než halucinácie) zahŕňajúce delírium, bludy, paranoju</w:t>
            </w:r>
            <w:r w:rsidR="00625497" w:rsidRPr="00BA7F79">
              <w:rPr>
                <w:sz w:val="22"/>
                <w:szCs w:val="22"/>
                <w:lang w:val="sk-SK"/>
              </w:rPr>
              <w:t>.</w:t>
            </w:r>
          </w:p>
        </w:tc>
      </w:tr>
      <w:tr w:rsidR="00625497" w:rsidRPr="00BA7F79" w14:paraId="3C65A0D2" w14:textId="77777777" w:rsidTr="000E2DDB">
        <w:trPr>
          <w:trHeight w:hRule="exact" w:val="165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CEDC" w14:textId="77777777" w:rsidR="00625497" w:rsidRPr="00BA7F79" w:rsidRDefault="00AA19F5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B3C0" w14:textId="77777777" w:rsidR="00625497" w:rsidRPr="00BA7F79" w:rsidRDefault="00AA19F5" w:rsidP="000E2DDB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 xml:space="preserve">U pacientov liečených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dopamínergnými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agonistami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vrátane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REQUIP</w:t>
            </w:r>
            <w:r w:rsidRPr="00BA7F79">
              <w:rPr>
                <w:sz w:val="22"/>
                <w:szCs w:val="22"/>
                <w:lang w:val="sk-SK"/>
              </w:rPr>
              <w:noBreakHyphen/>
              <w:t>MODUTAB</w:t>
            </w:r>
            <w:r w:rsidR="009A5B18" w:rsidRPr="00BA7F79">
              <w:rPr>
                <w:sz w:val="22"/>
                <w:szCs w:val="22"/>
                <w:lang w:val="sk-SK"/>
              </w:rPr>
              <w:t>-u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sa môže vyskytnúť patologické hráčstvo, zvýšené libido,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hypersexualita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kompulzívne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míňanie alebo nakupovanie,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záchvatovité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prejedanie sa a 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kompulzívne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prejedanie sa (pozri časť </w:t>
            </w:r>
            <w:r w:rsidR="00625497" w:rsidRPr="00BA7F79">
              <w:rPr>
                <w:sz w:val="22"/>
                <w:szCs w:val="22"/>
                <w:lang w:val="sk-SK"/>
              </w:rPr>
              <w:t>4.4).</w:t>
            </w:r>
          </w:p>
        </w:tc>
      </w:tr>
      <w:tr w:rsidR="00D61D60" w:rsidRPr="00BA7F79" w14:paraId="52D054EF" w14:textId="77777777" w:rsidTr="00400AC5">
        <w:trPr>
          <w:trHeight w:hRule="exact" w:val="38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76A7D" w14:textId="77777777" w:rsidR="00D61D60" w:rsidRPr="00BA7F79" w:rsidRDefault="00D61D60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ADA" w14:textId="77777777" w:rsidR="00D61D60" w:rsidRPr="00BA7F79" w:rsidRDefault="00D61D60" w:rsidP="008B0A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Agresivita*</w:t>
            </w:r>
          </w:p>
        </w:tc>
      </w:tr>
      <w:tr w:rsidR="00D61D60" w:rsidRPr="00BA7F79" w14:paraId="0450311A" w14:textId="77777777" w:rsidTr="00400AC5">
        <w:trPr>
          <w:trHeight w:hRule="exact" w:val="380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4991" w14:textId="77777777" w:rsidR="00D61D60" w:rsidRPr="00BA7F79" w:rsidRDefault="00D61D60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F301" w14:textId="77777777" w:rsidR="00D61D60" w:rsidRPr="00BA7F79" w:rsidRDefault="00D61D60" w:rsidP="000E2DDB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line="269" w:lineRule="exact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color w:val="000000"/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BA7F79">
              <w:rPr>
                <w:color w:val="000000"/>
                <w:sz w:val="22"/>
                <w:szCs w:val="22"/>
                <w:lang w:val="sk-SK"/>
              </w:rPr>
              <w:t>dopamínovej</w:t>
            </w:r>
            <w:proofErr w:type="spellEnd"/>
            <w:r w:rsidRPr="00BA7F79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A7F79">
              <w:rPr>
                <w:color w:val="000000"/>
                <w:sz w:val="22"/>
                <w:szCs w:val="22"/>
                <w:lang w:val="sk-SK"/>
              </w:rPr>
              <w:t>dysregulácie</w:t>
            </w:r>
            <w:proofErr w:type="spellEnd"/>
          </w:p>
        </w:tc>
      </w:tr>
      <w:tr w:rsidR="00625497" w:rsidRPr="00BA7F79" w14:paraId="0E15D2F6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6DB7" w14:textId="77777777" w:rsidR="00625497" w:rsidRPr="00BA7F79" w:rsidRDefault="00470FEB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>Poruchy n</w:t>
            </w:r>
            <w:r w:rsidR="00625497" w:rsidRPr="00BA7F79">
              <w:rPr>
                <w:i/>
                <w:iCs/>
                <w:sz w:val="22"/>
                <w:szCs w:val="22"/>
                <w:lang w:val="sk-SK"/>
              </w:rPr>
              <w:t>ervo</w:t>
            </w:r>
            <w:r w:rsidRPr="00BA7F79">
              <w:rPr>
                <w:i/>
                <w:iCs/>
                <w:sz w:val="22"/>
                <w:szCs w:val="22"/>
                <w:lang w:val="sk-SK"/>
              </w:rPr>
              <w:t>vého systému</w:t>
            </w:r>
          </w:p>
        </w:tc>
      </w:tr>
      <w:tr w:rsidR="00625497" w:rsidRPr="00BA7F79" w14:paraId="696ECC81" w14:textId="77777777" w:rsidTr="00BE59EE">
        <w:trPr>
          <w:trHeight w:val="322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AD3CC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1"/>
                <w:sz w:val="22"/>
                <w:szCs w:val="22"/>
                <w:lang w:val="sk-SK"/>
              </w:rPr>
              <w:t>Ve</w:t>
            </w:r>
            <w:r w:rsidR="0033494A" w:rsidRPr="00BA7F79">
              <w:rPr>
                <w:spacing w:val="1"/>
                <w:sz w:val="22"/>
                <w:szCs w:val="22"/>
                <w:lang w:val="sk-SK"/>
              </w:rPr>
              <w:t>ľmi časté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E4C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Somnolenc</w:t>
            </w:r>
            <w:r w:rsidR="008B0A3D" w:rsidRPr="00BA7F79">
              <w:rPr>
                <w:sz w:val="22"/>
                <w:szCs w:val="22"/>
                <w:lang w:val="sk-SK"/>
              </w:rPr>
              <w:t>ia</w:t>
            </w:r>
            <w:proofErr w:type="spellEnd"/>
          </w:p>
          <w:p w14:paraId="7B78F6BE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line="120" w:lineRule="exact"/>
              <w:ind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EC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ind w:left="102" w:right="-2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Somnolenc</w:t>
            </w:r>
            <w:r w:rsidR="008B0A3D" w:rsidRPr="00BA7F79">
              <w:rPr>
                <w:sz w:val="22"/>
                <w:szCs w:val="22"/>
                <w:lang w:val="sk-SK"/>
              </w:rPr>
              <w:t>ia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>**</w:t>
            </w:r>
          </w:p>
        </w:tc>
      </w:tr>
      <w:tr w:rsidR="00625497" w:rsidRPr="00BA7F79" w14:paraId="58A0E729" w14:textId="77777777" w:rsidTr="00BE59EE">
        <w:trPr>
          <w:trHeight w:hRule="exact" w:val="408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5D8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pacing w:val="1"/>
                <w:sz w:val="22"/>
                <w:szCs w:val="22"/>
                <w:lang w:val="sk-SK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C9B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3"/>
                <w:sz w:val="22"/>
                <w:szCs w:val="22"/>
                <w:lang w:val="sk-SK"/>
              </w:rPr>
              <w:t>S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n</w:t>
            </w:r>
            <w:r w:rsidR="008B0A3D" w:rsidRPr="00BA7F79">
              <w:rPr>
                <w:sz w:val="22"/>
                <w:szCs w:val="22"/>
                <w:lang w:val="sk-SK"/>
              </w:rPr>
              <w:t>k</w:t>
            </w:r>
            <w:r w:rsidRPr="00BA7F79">
              <w:rPr>
                <w:sz w:val="22"/>
                <w:szCs w:val="22"/>
                <w:lang w:val="sk-SK"/>
              </w:rPr>
              <w:t>op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EAC3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pacing w:val="2"/>
                <w:sz w:val="22"/>
                <w:szCs w:val="22"/>
                <w:lang w:val="sk-SK"/>
              </w:rPr>
              <w:t>D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skin</w:t>
            </w:r>
            <w:r w:rsidR="008B0A3D" w:rsidRPr="00BA7F79">
              <w:rPr>
                <w:sz w:val="22"/>
                <w:szCs w:val="22"/>
                <w:lang w:val="sk-SK"/>
              </w:rPr>
              <w:t>éz</w:t>
            </w:r>
            <w:r w:rsidR="0070035C" w:rsidRPr="00BA7F79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>***</w:t>
            </w:r>
          </w:p>
          <w:p w14:paraId="5401F40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line="120" w:lineRule="exact"/>
              <w:ind w:right="-20"/>
              <w:rPr>
                <w:sz w:val="22"/>
                <w:szCs w:val="22"/>
                <w:lang w:val="sk-SK"/>
              </w:rPr>
            </w:pPr>
          </w:p>
          <w:p w14:paraId="69FAE144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ind w:left="100" w:right="-20"/>
              <w:rPr>
                <w:spacing w:val="2"/>
                <w:sz w:val="22"/>
                <w:szCs w:val="22"/>
                <w:lang w:val="sk-SK"/>
              </w:rPr>
            </w:pPr>
          </w:p>
        </w:tc>
      </w:tr>
      <w:tr w:rsidR="00625497" w:rsidRPr="00BA7F79" w14:paraId="1892EEE3" w14:textId="77777777" w:rsidTr="00717817">
        <w:trPr>
          <w:trHeight w:hRule="exact" w:val="8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FA98" w14:textId="77777777" w:rsidR="00625497" w:rsidRPr="00BA7F79" w:rsidRDefault="0033494A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65DE" w14:textId="77777777" w:rsidR="00625497" w:rsidRPr="00BA7F79" w:rsidRDefault="008B0A3D" w:rsidP="0081287F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809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Závraty</w:t>
            </w:r>
            <w:r w:rsidR="00625497" w:rsidRPr="00BA7F79">
              <w:rPr>
                <w:sz w:val="22"/>
                <w:szCs w:val="22"/>
                <w:lang w:val="sk-SK"/>
              </w:rPr>
              <w:t xml:space="preserve"> (</w:t>
            </w:r>
            <w:r w:rsidRPr="00BA7F79">
              <w:rPr>
                <w:sz w:val="22"/>
                <w:szCs w:val="22"/>
                <w:lang w:val="sk-SK"/>
              </w:rPr>
              <w:t xml:space="preserve">zahŕňajúce </w:t>
            </w:r>
            <w:proofErr w:type="spellStart"/>
            <w:r w:rsidR="00625497" w:rsidRPr="00BA7F79">
              <w:rPr>
                <w:sz w:val="22"/>
                <w:szCs w:val="22"/>
                <w:lang w:val="sk-SK"/>
              </w:rPr>
              <w:t>vertigo</w:t>
            </w:r>
            <w:proofErr w:type="spellEnd"/>
            <w:r w:rsidR="00625497" w:rsidRPr="00BA7F79">
              <w:rPr>
                <w:sz w:val="22"/>
                <w:szCs w:val="22"/>
                <w:lang w:val="sk-SK"/>
              </w:rPr>
              <w:t>)</w:t>
            </w:r>
            <w:r w:rsidR="00830544" w:rsidRPr="00BA7F79">
              <w:rPr>
                <w:sz w:val="22"/>
                <w:szCs w:val="22"/>
                <w:lang w:val="sk-SK"/>
              </w:rPr>
              <w:t xml:space="preserve">, náhly nástup </w:t>
            </w:r>
            <w:r w:rsidR="0081287F" w:rsidRPr="00BA7F79">
              <w:rPr>
                <w:sz w:val="22"/>
                <w:szCs w:val="22"/>
                <w:lang w:val="sk-SK"/>
              </w:rPr>
              <w:t>spánku</w:t>
            </w:r>
          </w:p>
        </w:tc>
      </w:tr>
      <w:tr w:rsidR="00625497" w:rsidRPr="00BA7F79" w14:paraId="25A009C9" w14:textId="77777777" w:rsidTr="00BE59EE">
        <w:trPr>
          <w:trHeight w:val="5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32A0B" w14:textId="77777777" w:rsidR="00625497" w:rsidRPr="00BA7F79" w:rsidRDefault="0033494A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0CEF3" w14:textId="77777777" w:rsidR="00625497" w:rsidRPr="00BA7F79" w:rsidRDefault="00830544" w:rsidP="0081287F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</w:t>
            </w:r>
            <w:r w:rsidR="008B0A3D" w:rsidRPr="00BA7F79">
              <w:rPr>
                <w:sz w:val="22"/>
                <w:szCs w:val="22"/>
                <w:lang w:val="sk-SK"/>
              </w:rPr>
              <w:t xml:space="preserve">admerná </w:t>
            </w:r>
            <w:proofErr w:type="spellStart"/>
            <w:r w:rsidR="008B0A3D" w:rsidRPr="00BA7F79">
              <w:rPr>
                <w:sz w:val="22"/>
                <w:szCs w:val="22"/>
                <w:lang w:val="sk-SK"/>
              </w:rPr>
              <w:t>somnolencia</w:t>
            </w:r>
            <w:proofErr w:type="spellEnd"/>
            <w:r w:rsidR="008B0A3D" w:rsidRPr="00BA7F79">
              <w:rPr>
                <w:sz w:val="22"/>
                <w:szCs w:val="22"/>
                <w:lang w:val="sk-SK"/>
              </w:rPr>
              <w:t xml:space="preserve"> počas dňa</w:t>
            </w:r>
          </w:p>
        </w:tc>
      </w:tr>
      <w:tr w:rsidR="00625497" w:rsidRPr="00BA7F79" w14:paraId="3E3D0844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1EC4" w14:textId="77777777" w:rsidR="00625497" w:rsidRPr="00BA7F79" w:rsidRDefault="00470FEB" w:rsidP="00470FEB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</w:tr>
      <w:tr w:rsidR="00625497" w:rsidRPr="00BA7F79" w14:paraId="17985382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1FC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4CC0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312C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0" w:right="636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Postur</w:t>
            </w:r>
            <w:r w:rsidR="008B0A3D" w:rsidRPr="00BA7F79">
              <w:rPr>
                <w:sz w:val="22"/>
                <w:szCs w:val="22"/>
                <w:lang w:val="sk-SK"/>
              </w:rPr>
              <w:t>á</w:t>
            </w:r>
            <w:r w:rsidRPr="00BA7F79">
              <w:rPr>
                <w:sz w:val="22"/>
                <w:szCs w:val="22"/>
                <w:lang w:val="sk-SK"/>
              </w:rPr>
              <w:t>l</w:t>
            </w:r>
            <w:r w:rsidR="008B0A3D" w:rsidRPr="00BA7F79">
              <w:rPr>
                <w:sz w:val="22"/>
                <w:szCs w:val="22"/>
                <w:lang w:val="sk-SK"/>
              </w:rPr>
              <w:t>na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  <w:r w:rsidRPr="00BA7F79">
              <w:rPr>
                <w:sz w:val="22"/>
                <w:szCs w:val="22"/>
                <w:lang w:val="sk-SK"/>
              </w:rPr>
              <w:t xml:space="preserve">, </w:t>
            </w:r>
            <w:r w:rsidRPr="00BA7F79">
              <w:rPr>
                <w:spacing w:val="2"/>
                <w:sz w:val="22"/>
                <w:szCs w:val="22"/>
                <w:lang w:val="sk-SK"/>
              </w:rPr>
              <w:t>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</w:p>
        </w:tc>
      </w:tr>
      <w:tr w:rsidR="00625497" w:rsidRPr="00BA7F79" w14:paraId="597B0001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2B4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B13D" w14:textId="77777777" w:rsidR="00625497" w:rsidRPr="00BA7F79" w:rsidRDefault="008B0A3D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71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Posturálna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 xml:space="preserve">potenzia, </w:t>
            </w:r>
            <w:r w:rsidRPr="00BA7F79">
              <w:rPr>
                <w:spacing w:val="2"/>
                <w:sz w:val="22"/>
                <w:szCs w:val="22"/>
                <w:lang w:val="sk-SK"/>
              </w:rPr>
              <w:t>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potenzia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F93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625497" w:rsidRPr="00BA7F79" w14:paraId="6F210863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0BE4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BA7F79">
              <w:rPr>
                <w:i/>
                <w:i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BA7F79">
              <w:rPr>
                <w:i/>
                <w:iCs/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625497" w:rsidRPr="00BA7F79" w14:paraId="057D8472" w14:textId="77777777" w:rsidTr="00BE59EE">
        <w:trPr>
          <w:trHeight w:hRule="exact" w:val="4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0A5" w14:textId="77777777" w:rsidR="00625497" w:rsidRPr="00BA7F79" w:rsidRDefault="00625497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1"/>
                <w:sz w:val="22"/>
                <w:szCs w:val="22"/>
                <w:lang w:val="sk-SK"/>
              </w:rPr>
              <w:t>Ve</w:t>
            </w:r>
            <w:r w:rsidR="0033494A" w:rsidRPr="00BA7F79">
              <w:rPr>
                <w:spacing w:val="1"/>
                <w:sz w:val="22"/>
                <w:szCs w:val="22"/>
                <w:lang w:val="sk-SK"/>
              </w:rPr>
              <w:t>ľmi časté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C53" w14:textId="77777777" w:rsidR="00625497" w:rsidRPr="00BA7F79" w:rsidRDefault="00625497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Nau</w:t>
            </w:r>
            <w:r w:rsidR="0033494A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ea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296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right="-20" w:firstLine="10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Nau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e</w:t>
            </w:r>
            <w:r w:rsidRPr="00BA7F79">
              <w:rPr>
                <w:spacing w:val="-1"/>
                <w:sz w:val="22"/>
                <w:szCs w:val="22"/>
                <w:lang w:val="sk-SK"/>
              </w:rPr>
              <w:t>a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>****</w:t>
            </w:r>
          </w:p>
        </w:tc>
      </w:tr>
      <w:tr w:rsidR="00625497" w:rsidRPr="00BA7F79" w14:paraId="2189107F" w14:textId="77777777" w:rsidTr="00BE59EE">
        <w:trPr>
          <w:trHeight w:val="33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EB59F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50B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262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Zápcha, pálenie záhy</w:t>
            </w:r>
          </w:p>
        </w:tc>
      </w:tr>
      <w:tr w:rsidR="00FD3F3B" w:rsidRPr="00BA7F79" w14:paraId="1F93EB88" w14:textId="77777777" w:rsidTr="00A66CE8">
        <w:trPr>
          <w:trHeight w:hRule="exact" w:val="397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A863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A60C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262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V</w:t>
            </w:r>
            <w:r w:rsidR="008B0A3D" w:rsidRPr="00BA7F79">
              <w:rPr>
                <w:sz w:val="22"/>
                <w:szCs w:val="22"/>
                <w:lang w:val="sk-SK"/>
              </w:rPr>
              <w:t>racanie, bolesť brucha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EA28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right="-20" w:firstLine="100"/>
              <w:rPr>
                <w:spacing w:val="1"/>
                <w:sz w:val="22"/>
                <w:szCs w:val="22"/>
                <w:lang w:val="sk-SK"/>
              </w:rPr>
            </w:pPr>
          </w:p>
        </w:tc>
      </w:tr>
      <w:tr w:rsidR="00625497" w:rsidRPr="00BA7F79" w14:paraId="3600DD6D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292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625497" w:rsidRPr="00BA7F79" w14:paraId="7CA6BC87" w14:textId="77777777" w:rsidTr="00BE59EE">
        <w:trPr>
          <w:trHeight w:hRule="exact" w:val="4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75E3" w14:textId="77777777" w:rsidR="00625497" w:rsidRPr="00BA7F79" w:rsidRDefault="00AA19F5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76C2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proofErr w:type="spellStart"/>
            <w:r w:rsidRPr="00BA7F79">
              <w:rPr>
                <w:sz w:val="22"/>
                <w:szCs w:val="22"/>
                <w:lang w:val="sk-SK"/>
              </w:rPr>
              <w:t>Hepatálne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reakcie, hlavne zvýšená hladina pečeňových enzýmov</w:t>
            </w:r>
          </w:p>
        </w:tc>
      </w:tr>
      <w:tr w:rsidR="00625497" w:rsidRPr="00BA7F79" w14:paraId="1CFA17BE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6EE5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625497" w:rsidRPr="00BA7F79" w14:paraId="517F479D" w14:textId="77777777" w:rsidTr="00BE59EE">
        <w:trPr>
          <w:trHeight w:val="33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D919D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19B7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691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 xml:space="preserve">Periférny </w:t>
            </w:r>
            <w:r w:rsidR="00625497" w:rsidRPr="00BA7F79">
              <w:rPr>
                <w:sz w:val="22"/>
                <w:szCs w:val="22"/>
                <w:lang w:val="sk-SK"/>
              </w:rPr>
              <w:t>ed</w:t>
            </w:r>
            <w:r w:rsidRPr="00BA7F79">
              <w:rPr>
                <w:sz w:val="22"/>
                <w:szCs w:val="22"/>
                <w:lang w:val="sk-SK"/>
              </w:rPr>
              <w:t>é</w:t>
            </w:r>
            <w:r w:rsidR="00625497" w:rsidRPr="00BA7F79">
              <w:rPr>
                <w:sz w:val="22"/>
                <w:szCs w:val="22"/>
                <w:lang w:val="sk-SK"/>
              </w:rPr>
              <w:t>m</w:t>
            </w:r>
          </w:p>
        </w:tc>
      </w:tr>
      <w:tr w:rsidR="00FD3F3B" w:rsidRPr="00BA7F79" w14:paraId="5B0E9899" w14:textId="77777777" w:rsidTr="00A66CE8">
        <w:trPr>
          <w:trHeight w:hRule="exact" w:val="397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B2C7A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0103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691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Edém nôh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1AEE0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</w:p>
        </w:tc>
      </w:tr>
      <w:tr w:rsidR="0067531E" w:rsidRPr="00BA7F79" w14:paraId="0476525C" w14:textId="77777777" w:rsidTr="00BA7F79">
        <w:trPr>
          <w:trHeight w:hRule="exact" w:val="1020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B86" w14:textId="77777777" w:rsidR="0067531E" w:rsidRPr="00BA7F79" w:rsidRDefault="0067531E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2AA1" w14:textId="77777777" w:rsidR="0067531E" w:rsidRPr="00BA7F79" w:rsidRDefault="0067531E" w:rsidP="0067531E">
            <w:pPr>
              <w:widowControl w:val="0"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rFonts w:eastAsia="Verdana"/>
                <w:sz w:val="22"/>
                <w:szCs w:val="22"/>
                <w:lang w:val="sk-SK"/>
              </w:rPr>
              <w:t xml:space="preserve">Abstinenčný syndróm zapríčinený </w:t>
            </w:r>
            <w:proofErr w:type="spellStart"/>
            <w:r w:rsidRPr="00BA7F79">
              <w:rPr>
                <w:rFonts w:eastAsia="Verdana"/>
                <w:sz w:val="22"/>
                <w:szCs w:val="22"/>
                <w:lang w:val="sk-SK"/>
              </w:rPr>
              <w:t>agonistami</w:t>
            </w:r>
            <w:proofErr w:type="spellEnd"/>
            <w:r w:rsidRPr="00BA7F79">
              <w:rPr>
                <w:rFonts w:eastAsia="Verdan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A7F79">
              <w:rPr>
                <w:rFonts w:eastAsia="Verdana"/>
                <w:sz w:val="22"/>
                <w:szCs w:val="22"/>
                <w:lang w:val="sk-SK"/>
              </w:rPr>
              <w:t>dopamínu</w:t>
            </w:r>
            <w:proofErr w:type="spellEnd"/>
            <w:r w:rsidRPr="00BA7F79">
              <w:rPr>
                <w:rFonts w:eastAsia="Verdana"/>
                <w:sz w:val="22"/>
                <w:szCs w:val="22"/>
                <w:lang w:val="sk-SK"/>
              </w:rPr>
              <w:t xml:space="preserve"> (zahŕňajúci apatiu, úzkosť, depresiu, únavu, potenie a bolesť)*****</w:t>
            </w:r>
          </w:p>
        </w:tc>
      </w:tr>
    </w:tbl>
    <w:p w14:paraId="4A424E3E" w14:textId="77777777" w:rsidR="00787177" w:rsidRPr="00BA7F79" w:rsidRDefault="00787177" w:rsidP="00BF2D8B">
      <w:pPr>
        <w:widowControl w:val="0"/>
        <w:autoSpaceDE w:val="0"/>
        <w:autoSpaceDN w:val="0"/>
        <w:adjustRightInd w:val="0"/>
        <w:spacing w:line="267" w:lineRule="exact"/>
        <w:ind w:right="-20"/>
        <w:rPr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>* Agresivita súvisela s psychotickými reakciami ako aj s </w:t>
      </w:r>
      <w:proofErr w:type="spellStart"/>
      <w:r w:rsidRPr="00BA7F79">
        <w:rPr>
          <w:i/>
          <w:iCs/>
          <w:sz w:val="22"/>
          <w:szCs w:val="22"/>
          <w:lang w:val="sk-SK"/>
        </w:rPr>
        <w:t>kompulzívnymi</w:t>
      </w:r>
      <w:proofErr w:type="spellEnd"/>
      <w:r w:rsidRPr="00BA7F79">
        <w:rPr>
          <w:i/>
          <w:iCs/>
          <w:sz w:val="22"/>
          <w:szCs w:val="22"/>
          <w:lang w:val="sk-SK"/>
        </w:rPr>
        <w:t xml:space="preserve"> príznakmi.</w:t>
      </w:r>
    </w:p>
    <w:p w14:paraId="6CC06A8D" w14:textId="77777777" w:rsidR="00787177" w:rsidRPr="00BA7F79" w:rsidRDefault="00787177" w:rsidP="00BF2D8B">
      <w:pPr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lastRenderedPageBreak/>
        <w:t xml:space="preserve">** </w:t>
      </w:r>
      <w:proofErr w:type="spellStart"/>
      <w:r w:rsidR="00D4155F" w:rsidRPr="00BA7F79">
        <w:rPr>
          <w:i/>
          <w:iCs/>
          <w:sz w:val="22"/>
          <w:szCs w:val="22"/>
          <w:lang w:val="sk-SK"/>
        </w:rPr>
        <w:t>Somnolencia</w:t>
      </w:r>
      <w:proofErr w:type="spellEnd"/>
      <w:r w:rsidR="00D4155F" w:rsidRPr="00BA7F79">
        <w:rPr>
          <w:i/>
          <w:iCs/>
          <w:sz w:val="22"/>
          <w:szCs w:val="22"/>
          <w:lang w:val="sk-SK"/>
        </w:rPr>
        <w:t xml:space="preserve"> bola hlásená veľmi často v klinických skúšaniach s prídavnou liečbou tabletami s okamžitým uvoľňovaním a často v klinických skúšaniach s prídavnou liečbou tabletami s predĺženým uvoľňovaním</w:t>
      </w:r>
      <w:r w:rsidRPr="00BA7F79">
        <w:rPr>
          <w:i/>
          <w:iCs/>
          <w:sz w:val="22"/>
          <w:szCs w:val="22"/>
          <w:lang w:val="sk-SK"/>
        </w:rPr>
        <w:t>.</w:t>
      </w:r>
    </w:p>
    <w:p w14:paraId="2CC48EBF" w14:textId="77777777" w:rsidR="00787177" w:rsidRPr="00BA7F79" w:rsidRDefault="00787177" w:rsidP="00BF2D8B">
      <w:pPr>
        <w:widowControl w:val="0"/>
        <w:autoSpaceDE w:val="0"/>
        <w:autoSpaceDN w:val="0"/>
        <w:adjustRightInd w:val="0"/>
        <w:ind w:right="254"/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 xml:space="preserve">*** </w:t>
      </w:r>
      <w:r w:rsidR="00D7462C" w:rsidRPr="00BA7F79">
        <w:rPr>
          <w:i/>
          <w:iCs/>
          <w:sz w:val="22"/>
          <w:szCs w:val="22"/>
          <w:lang w:val="sk-SK"/>
        </w:rPr>
        <w:t xml:space="preserve">U pacientov s </w:t>
      </w:r>
      <w:proofErr w:type="spellStart"/>
      <w:r w:rsidR="00D7462C" w:rsidRPr="00BA7F79">
        <w:rPr>
          <w:i/>
          <w:iCs/>
          <w:sz w:val="22"/>
          <w:szCs w:val="22"/>
          <w:lang w:val="sk-SK"/>
        </w:rPr>
        <w:t>Parkinsonovou</w:t>
      </w:r>
      <w:proofErr w:type="spellEnd"/>
      <w:r w:rsidR="00D7462C" w:rsidRPr="00BA7F79">
        <w:rPr>
          <w:i/>
          <w:iCs/>
          <w:sz w:val="22"/>
          <w:szCs w:val="22"/>
          <w:lang w:val="sk-SK"/>
        </w:rPr>
        <w:t xml:space="preserve"> chorobou sa môžu vyskytnúť </w:t>
      </w:r>
      <w:proofErr w:type="spellStart"/>
      <w:r w:rsidR="00D7462C" w:rsidRPr="00BA7F79">
        <w:rPr>
          <w:i/>
          <w:iCs/>
          <w:sz w:val="22"/>
          <w:szCs w:val="22"/>
          <w:lang w:val="sk-SK"/>
        </w:rPr>
        <w:t>dyskinézy</w:t>
      </w:r>
      <w:proofErr w:type="spellEnd"/>
      <w:r w:rsidR="00D7462C" w:rsidRPr="00BA7F79">
        <w:rPr>
          <w:i/>
          <w:iCs/>
          <w:sz w:val="22"/>
          <w:szCs w:val="22"/>
          <w:lang w:val="sk-SK"/>
        </w:rPr>
        <w:t xml:space="preserve"> počas úvodnej titrácie dávky ropinirolu. V klinických skúšaniach sa preukázalo, že zníženie dávky </w:t>
      </w:r>
      <w:proofErr w:type="spellStart"/>
      <w:r w:rsidR="00D7462C" w:rsidRPr="00BA7F79">
        <w:rPr>
          <w:i/>
          <w:iCs/>
          <w:sz w:val="22"/>
          <w:szCs w:val="22"/>
          <w:lang w:val="sk-SK"/>
        </w:rPr>
        <w:t>levodopy</w:t>
      </w:r>
      <w:proofErr w:type="spellEnd"/>
      <w:r w:rsidR="00D7462C" w:rsidRPr="00BA7F79">
        <w:rPr>
          <w:i/>
          <w:iCs/>
          <w:sz w:val="22"/>
          <w:szCs w:val="22"/>
          <w:lang w:val="sk-SK"/>
        </w:rPr>
        <w:t xml:space="preserve"> môže zmierniť </w:t>
      </w:r>
      <w:proofErr w:type="spellStart"/>
      <w:r w:rsidR="00D7462C" w:rsidRPr="00BA7F79">
        <w:rPr>
          <w:i/>
          <w:iCs/>
          <w:sz w:val="22"/>
          <w:szCs w:val="22"/>
          <w:lang w:val="sk-SK"/>
        </w:rPr>
        <w:t>dyskinéz</w:t>
      </w:r>
      <w:r w:rsidR="0070035C" w:rsidRPr="00BA7F79">
        <w:rPr>
          <w:i/>
          <w:iCs/>
          <w:sz w:val="22"/>
          <w:szCs w:val="22"/>
          <w:lang w:val="sk-SK"/>
        </w:rPr>
        <w:t>y</w:t>
      </w:r>
      <w:proofErr w:type="spellEnd"/>
      <w:r w:rsidR="00D7462C" w:rsidRPr="00BA7F79">
        <w:rPr>
          <w:i/>
          <w:iCs/>
          <w:sz w:val="22"/>
          <w:szCs w:val="22"/>
          <w:lang w:val="sk-SK"/>
        </w:rPr>
        <w:t xml:space="preserve"> </w:t>
      </w:r>
      <w:r w:rsidRPr="00BA7F79">
        <w:rPr>
          <w:i/>
          <w:iCs/>
          <w:sz w:val="22"/>
          <w:szCs w:val="22"/>
          <w:lang w:val="sk-SK"/>
        </w:rPr>
        <w:t>(</w:t>
      </w:r>
      <w:r w:rsidR="00D7462C" w:rsidRPr="00BA7F79">
        <w:rPr>
          <w:i/>
          <w:iCs/>
          <w:sz w:val="22"/>
          <w:szCs w:val="22"/>
          <w:lang w:val="sk-SK"/>
        </w:rPr>
        <w:t>pozri časť </w:t>
      </w:r>
      <w:r w:rsidRPr="00BA7F79">
        <w:rPr>
          <w:i/>
          <w:iCs/>
          <w:sz w:val="22"/>
          <w:szCs w:val="22"/>
          <w:lang w:val="sk-SK"/>
        </w:rPr>
        <w:t>4.2).</w:t>
      </w:r>
    </w:p>
    <w:p w14:paraId="0BA5020B" w14:textId="77777777" w:rsidR="00787177" w:rsidRPr="00BA7F79" w:rsidRDefault="00787177" w:rsidP="0067531E">
      <w:pPr>
        <w:rPr>
          <w:i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>****</w:t>
      </w:r>
      <w:r w:rsidR="00BF2D8B" w:rsidRPr="00BA7F79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BA7F79">
        <w:rPr>
          <w:i/>
          <w:iCs/>
          <w:sz w:val="22"/>
          <w:szCs w:val="22"/>
          <w:lang w:val="sk-SK"/>
        </w:rPr>
        <w:t>Nau</w:t>
      </w:r>
      <w:r w:rsidR="00D7462C" w:rsidRPr="00BA7F79">
        <w:rPr>
          <w:i/>
          <w:iCs/>
          <w:sz w:val="22"/>
          <w:szCs w:val="22"/>
          <w:lang w:val="sk-SK"/>
        </w:rPr>
        <w:t>z</w:t>
      </w:r>
      <w:r w:rsidRPr="00BA7F79">
        <w:rPr>
          <w:i/>
          <w:iCs/>
          <w:sz w:val="22"/>
          <w:szCs w:val="22"/>
          <w:lang w:val="sk-SK"/>
        </w:rPr>
        <w:t>ea</w:t>
      </w:r>
      <w:proofErr w:type="spellEnd"/>
      <w:r w:rsidRPr="00BA7F79">
        <w:rPr>
          <w:i/>
          <w:iCs/>
          <w:sz w:val="22"/>
          <w:szCs w:val="22"/>
          <w:lang w:val="sk-SK"/>
        </w:rPr>
        <w:t xml:space="preserve"> </w:t>
      </w:r>
      <w:r w:rsidR="00B662E1" w:rsidRPr="00BA7F79">
        <w:rPr>
          <w:i/>
          <w:iCs/>
          <w:sz w:val="22"/>
          <w:szCs w:val="22"/>
          <w:lang w:val="sk-SK"/>
        </w:rPr>
        <w:t>b</w:t>
      </w:r>
      <w:r w:rsidR="00D7462C" w:rsidRPr="00BA7F79">
        <w:rPr>
          <w:i/>
          <w:iCs/>
          <w:sz w:val="22"/>
          <w:szCs w:val="22"/>
          <w:lang w:val="sk-SK"/>
        </w:rPr>
        <w:t>ola hlásená veľmi často v klinických skúšaniach s prídavnou liečbou tabletami s okamžitým uvoľňovaním a často v klinických skúšaniach s prídavnou liečbou tabletami s predĺženým uvoľňovaním</w:t>
      </w:r>
      <w:r w:rsidRPr="00BA7F79">
        <w:rPr>
          <w:i/>
          <w:iCs/>
          <w:sz w:val="22"/>
          <w:szCs w:val="22"/>
          <w:lang w:val="sk-SK"/>
        </w:rPr>
        <w:t>.</w:t>
      </w:r>
    </w:p>
    <w:p w14:paraId="544C0C81" w14:textId="77777777" w:rsidR="0067531E" w:rsidRPr="00BA7F79" w:rsidRDefault="0067531E" w:rsidP="00BF2D8B">
      <w:pPr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 xml:space="preserve">***** </w:t>
      </w:r>
      <w:r w:rsidRPr="00BA7F79">
        <w:rPr>
          <w:rFonts w:eastAsia="Verdana"/>
          <w:i/>
          <w:iCs/>
          <w:sz w:val="22"/>
          <w:szCs w:val="22"/>
          <w:lang w:val="sk-SK"/>
        </w:rPr>
        <w:t xml:space="preserve">V období znižovania dávky alebo po ukončení podávania </w:t>
      </w:r>
      <w:proofErr w:type="spellStart"/>
      <w:r w:rsidRPr="00BA7F79">
        <w:rPr>
          <w:rFonts w:eastAsia="Verdana"/>
          <w:i/>
          <w:iCs/>
          <w:sz w:val="22"/>
          <w:szCs w:val="22"/>
          <w:lang w:val="sk-SK"/>
        </w:rPr>
        <w:t>agonistov</w:t>
      </w:r>
      <w:proofErr w:type="spellEnd"/>
      <w:r w:rsidRPr="00BA7F79">
        <w:rPr>
          <w:rFonts w:eastAsia="Verdana"/>
          <w:i/>
          <w:iCs/>
          <w:sz w:val="22"/>
          <w:szCs w:val="22"/>
          <w:lang w:val="sk-SK"/>
        </w:rPr>
        <w:t xml:space="preserve"> </w:t>
      </w:r>
      <w:proofErr w:type="spellStart"/>
      <w:r w:rsidRPr="00BA7F79">
        <w:rPr>
          <w:rFonts w:eastAsia="Verdana"/>
          <w:i/>
          <w:iCs/>
          <w:sz w:val="22"/>
          <w:szCs w:val="22"/>
          <w:lang w:val="sk-SK"/>
        </w:rPr>
        <w:t>dopamínu</w:t>
      </w:r>
      <w:proofErr w:type="spellEnd"/>
      <w:r w:rsidRPr="00BA7F79">
        <w:rPr>
          <w:rFonts w:eastAsia="Verdana"/>
          <w:i/>
          <w:iCs/>
          <w:sz w:val="22"/>
          <w:szCs w:val="22"/>
          <w:lang w:val="sk-SK"/>
        </w:rPr>
        <w:t xml:space="preserve"> vrátane ropinirolu sa môžu vyskytnúť nemotorické nežiaduce účinky (pozri časť 4.4).</w:t>
      </w:r>
    </w:p>
    <w:p w14:paraId="048886A9" w14:textId="77777777" w:rsidR="00625497" w:rsidRPr="00BA7F79" w:rsidRDefault="00625497" w:rsidP="000E2DDB">
      <w:pPr>
        <w:spacing w:line="240" w:lineRule="auto"/>
        <w:rPr>
          <w:sz w:val="22"/>
          <w:szCs w:val="22"/>
          <w:lang w:val="sk-SK"/>
        </w:rPr>
      </w:pPr>
    </w:p>
    <w:p w14:paraId="04A2B40D" w14:textId="77777777" w:rsidR="00D7462C" w:rsidRPr="00BA7F79" w:rsidRDefault="00D7462C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Hlásenie podozrení na nežiaduce reakcie</w:t>
      </w:r>
    </w:p>
    <w:p w14:paraId="70E2021A" w14:textId="4542FBE5" w:rsidR="00D7462C" w:rsidRPr="00BA7F79" w:rsidRDefault="00D7462C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30544" w:rsidRPr="00BA7F79">
        <w:rPr>
          <w:sz w:val="22"/>
          <w:szCs w:val="22"/>
          <w:lang w:val="sk-SK"/>
        </w:rPr>
        <w:t>na</w:t>
      </w:r>
      <w:r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highlight w:val="lightGray"/>
          <w:lang w:val="sk-SK"/>
        </w:rPr>
        <w:t xml:space="preserve">národné </w:t>
      </w:r>
      <w:r w:rsidR="00830544" w:rsidRPr="00BA7F79">
        <w:rPr>
          <w:sz w:val="22"/>
          <w:szCs w:val="22"/>
          <w:highlight w:val="lightGray"/>
          <w:lang w:val="sk-SK"/>
        </w:rPr>
        <w:t>centrum</w:t>
      </w:r>
      <w:r w:rsidRPr="00BA7F79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BA7F7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A7F79">
        <w:rPr>
          <w:sz w:val="22"/>
          <w:szCs w:val="22"/>
          <w:lang w:val="sk-SK"/>
        </w:rPr>
        <w:t>.</w:t>
      </w:r>
    </w:p>
    <w:p w14:paraId="2977A62B" w14:textId="77777777" w:rsidR="00CF36A2" w:rsidRPr="00BA7F79" w:rsidRDefault="00CF36A2" w:rsidP="000E2DDB">
      <w:pPr>
        <w:spacing w:line="240" w:lineRule="auto"/>
        <w:rPr>
          <w:sz w:val="22"/>
          <w:szCs w:val="22"/>
          <w:lang w:val="sk-SK"/>
        </w:rPr>
      </w:pPr>
    </w:p>
    <w:p w14:paraId="6E2E89DF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4.9</w:t>
      </w:r>
      <w:r w:rsidRPr="00BA7F79">
        <w:rPr>
          <w:sz w:val="22"/>
          <w:szCs w:val="22"/>
          <w:lang w:val="sk-SK"/>
        </w:rPr>
        <w:tab/>
      </w:r>
      <w:r w:rsidR="00B225E3" w:rsidRPr="00BA7F79">
        <w:rPr>
          <w:sz w:val="22"/>
          <w:szCs w:val="22"/>
          <w:lang w:val="sk-SK"/>
        </w:rPr>
        <w:t>Predávkovanie</w:t>
      </w:r>
    </w:p>
    <w:p w14:paraId="0A6C3071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38B1F69" w14:textId="77777777" w:rsidR="00747FC0" w:rsidRPr="00BA7F79" w:rsidRDefault="003E686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Príznaky predávkovania ropinirolom súvisia s jeho </w:t>
      </w:r>
      <w:proofErr w:type="spellStart"/>
      <w:r w:rsidRPr="00BA7F79">
        <w:rPr>
          <w:sz w:val="22"/>
          <w:szCs w:val="22"/>
          <w:lang w:val="sk-SK"/>
        </w:rPr>
        <w:t>dopaminergnou</w:t>
      </w:r>
      <w:proofErr w:type="spellEnd"/>
      <w:r w:rsidRPr="00BA7F79">
        <w:rPr>
          <w:sz w:val="22"/>
          <w:szCs w:val="22"/>
          <w:lang w:val="sk-SK"/>
        </w:rPr>
        <w:t xml:space="preserve"> aktivitou</w:t>
      </w:r>
      <w:r w:rsidR="00747FC0" w:rsidRPr="00BA7F79">
        <w:rPr>
          <w:sz w:val="22"/>
          <w:szCs w:val="22"/>
          <w:lang w:val="sk-SK"/>
        </w:rPr>
        <w:t>. T</w:t>
      </w:r>
      <w:r w:rsidRPr="00BA7F79">
        <w:rPr>
          <w:sz w:val="22"/>
          <w:szCs w:val="22"/>
          <w:lang w:val="sk-SK"/>
        </w:rPr>
        <w:t xml:space="preserve">ieto príznaky môžu byť zmiernené zodpovedajúcou liečbou antagonistami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  <w:r w:rsidRPr="00BA7F79">
        <w:rPr>
          <w:sz w:val="22"/>
          <w:szCs w:val="22"/>
          <w:lang w:val="sk-SK"/>
        </w:rPr>
        <w:t xml:space="preserve">, ako sú </w:t>
      </w:r>
      <w:proofErr w:type="spellStart"/>
      <w:r w:rsidRPr="00BA7F79">
        <w:rPr>
          <w:sz w:val="22"/>
          <w:szCs w:val="22"/>
          <w:lang w:val="sk-SK"/>
        </w:rPr>
        <w:t>neuroleptiká</w:t>
      </w:r>
      <w:proofErr w:type="spellEnd"/>
      <w:r w:rsidRPr="00BA7F79">
        <w:rPr>
          <w:sz w:val="22"/>
          <w:szCs w:val="22"/>
          <w:lang w:val="sk-SK"/>
        </w:rPr>
        <w:t xml:space="preserve"> alebo </w:t>
      </w:r>
      <w:proofErr w:type="spellStart"/>
      <w:r w:rsidRPr="00BA7F79">
        <w:rPr>
          <w:sz w:val="22"/>
          <w:szCs w:val="22"/>
          <w:lang w:val="sk-SK"/>
        </w:rPr>
        <w:t>metoklopramid</w:t>
      </w:r>
      <w:proofErr w:type="spellEnd"/>
      <w:r w:rsidR="00747FC0" w:rsidRPr="00BA7F79">
        <w:rPr>
          <w:sz w:val="22"/>
          <w:szCs w:val="22"/>
          <w:lang w:val="sk-SK"/>
        </w:rPr>
        <w:t>.</w:t>
      </w:r>
    </w:p>
    <w:p w14:paraId="3B410079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BBE937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EEEB2DB" w14:textId="77777777" w:rsidR="00747FC0" w:rsidRPr="00BA7F79" w:rsidRDefault="00747FC0" w:rsidP="000E2DDB">
      <w:pPr>
        <w:pStyle w:val="Nadpis2"/>
        <w:spacing w:before="0" w:after="0" w:line="240" w:lineRule="auto"/>
        <w:ind w:left="567" w:hanging="567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</w:t>
      </w:r>
      <w:r w:rsidRPr="00BA7F79">
        <w:rPr>
          <w:sz w:val="22"/>
          <w:szCs w:val="22"/>
          <w:lang w:val="sk-SK"/>
        </w:rPr>
        <w:tab/>
      </w:r>
      <w:r w:rsidR="00022E1F" w:rsidRPr="00BA7F79">
        <w:rPr>
          <w:caps/>
          <w:sz w:val="22"/>
          <w:szCs w:val="22"/>
          <w:lang w:val="sk-SK"/>
        </w:rPr>
        <w:t>Farmakologické vlastnosti</w:t>
      </w:r>
    </w:p>
    <w:p w14:paraId="76504729" w14:textId="77777777" w:rsidR="00684F67" w:rsidRPr="00BA7F79" w:rsidRDefault="00684F67" w:rsidP="000E2DDB">
      <w:pPr>
        <w:keepNext/>
        <w:spacing w:line="240" w:lineRule="auto"/>
        <w:rPr>
          <w:sz w:val="22"/>
          <w:szCs w:val="22"/>
          <w:lang w:val="sk-SK"/>
        </w:rPr>
      </w:pPr>
    </w:p>
    <w:p w14:paraId="00C6D44D" w14:textId="77777777" w:rsidR="00747FC0" w:rsidRPr="00BA7F79" w:rsidRDefault="0079628D" w:rsidP="000E2DDB">
      <w:pPr>
        <w:pStyle w:val="Nadpis3"/>
        <w:spacing w:after="0" w:line="240" w:lineRule="auto"/>
        <w:ind w:left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5.1</w:t>
      </w:r>
      <w:r w:rsidRPr="00BA7F79">
        <w:rPr>
          <w:sz w:val="22"/>
          <w:szCs w:val="22"/>
          <w:lang w:val="sk-SK"/>
        </w:rPr>
        <w:tab/>
      </w:r>
      <w:proofErr w:type="spellStart"/>
      <w:r w:rsidR="00022E1F" w:rsidRPr="00BA7F79">
        <w:rPr>
          <w:sz w:val="22"/>
          <w:szCs w:val="22"/>
          <w:lang w:val="sk-SK"/>
        </w:rPr>
        <w:t>F</w:t>
      </w:r>
      <w:r w:rsidR="00747FC0" w:rsidRPr="00BA7F79">
        <w:rPr>
          <w:sz w:val="22"/>
          <w:szCs w:val="22"/>
          <w:lang w:val="sk-SK"/>
        </w:rPr>
        <w:t>arma</w:t>
      </w:r>
      <w:r w:rsidR="00022E1F" w:rsidRPr="00BA7F79">
        <w:rPr>
          <w:sz w:val="22"/>
          <w:szCs w:val="22"/>
          <w:lang w:val="sk-SK"/>
        </w:rPr>
        <w:t>k</w:t>
      </w:r>
      <w:r w:rsidR="00747FC0" w:rsidRPr="00BA7F79">
        <w:rPr>
          <w:sz w:val="22"/>
          <w:szCs w:val="22"/>
          <w:lang w:val="sk-SK"/>
        </w:rPr>
        <w:t>odynamic</w:t>
      </w:r>
      <w:r w:rsidR="00022E1F" w:rsidRPr="00BA7F79">
        <w:rPr>
          <w:sz w:val="22"/>
          <w:szCs w:val="22"/>
          <w:lang w:val="sk-SK"/>
        </w:rPr>
        <w:t>ké</w:t>
      </w:r>
      <w:proofErr w:type="spellEnd"/>
      <w:r w:rsidR="00022E1F" w:rsidRPr="00BA7F79">
        <w:rPr>
          <w:sz w:val="22"/>
          <w:szCs w:val="22"/>
          <w:lang w:val="sk-SK"/>
        </w:rPr>
        <w:t xml:space="preserve"> vlastnost</w:t>
      </w:r>
      <w:r w:rsidR="00747FC0" w:rsidRPr="00BA7F79">
        <w:rPr>
          <w:sz w:val="22"/>
          <w:szCs w:val="22"/>
          <w:lang w:val="sk-SK"/>
        </w:rPr>
        <w:t>i</w:t>
      </w:r>
    </w:p>
    <w:p w14:paraId="66CB50BB" w14:textId="77777777" w:rsidR="00684F67" w:rsidRPr="00BA7F79" w:rsidRDefault="00684F67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20E51012" w14:textId="77777777" w:rsidR="00AA308F" w:rsidRPr="00BA7F79" w:rsidRDefault="00022E1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F</w:t>
      </w:r>
      <w:r w:rsidR="00747FC0" w:rsidRPr="00BA7F79">
        <w:rPr>
          <w:sz w:val="22"/>
          <w:szCs w:val="22"/>
          <w:lang w:val="sk-SK"/>
        </w:rPr>
        <w:t>arma</w:t>
      </w:r>
      <w:r w:rsidRPr="00BA7F79">
        <w:rPr>
          <w:sz w:val="22"/>
          <w:szCs w:val="22"/>
          <w:lang w:val="sk-SK"/>
        </w:rPr>
        <w:t>k</w:t>
      </w:r>
      <w:r w:rsidR="00747FC0" w:rsidRPr="00BA7F79">
        <w:rPr>
          <w:sz w:val="22"/>
          <w:szCs w:val="22"/>
          <w:lang w:val="sk-SK"/>
        </w:rPr>
        <w:t>oterapeutic</w:t>
      </w:r>
      <w:r w:rsidRPr="00BA7F79">
        <w:rPr>
          <w:sz w:val="22"/>
          <w:szCs w:val="22"/>
          <w:lang w:val="sk-SK"/>
        </w:rPr>
        <w:t>ká</w:t>
      </w:r>
      <w:proofErr w:type="spellEnd"/>
      <w:r w:rsidRPr="00BA7F79">
        <w:rPr>
          <w:sz w:val="22"/>
          <w:szCs w:val="22"/>
          <w:lang w:val="sk-SK"/>
        </w:rPr>
        <w:t xml:space="preserve"> skupina</w:t>
      </w:r>
      <w:r w:rsidR="00747FC0" w:rsidRPr="00BA7F79">
        <w:rPr>
          <w:sz w:val="22"/>
          <w:szCs w:val="22"/>
          <w:lang w:val="sk-SK"/>
        </w:rPr>
        <w:t xml:space="preserve">: </w:t>
      </w:r>
      <w:proofErr w:type="spellStart"/>
      <w:r w:rsidR="00AA308F" w:rsidRPr="00BA7F79">
        <w:rPr>
          <w:sz w:val="22"/>
          <w:szCs w:val="22"/>
          <w:lang w:val="sk-SK"/>
        </w:rPr>
        <w:t>dopaminergné</w:t>
      </w:r>
      <w:proofErr w:type="spellEnd"/>
      <w:r w:rsidR="00AA308F" w:rsidRPr="00BA7F79">
        <w:rPr>
          <w:sz w:val="22"/>
          <w:szCs w:val="22"/>
          <w:lang w:val="sk-SK"/>
        </w:rPr>
        <w:t xml:space="preserve"> látky, </w:t>
      </w:r>
      <w:proofErr w:type="spellStart"/>
      <w:r w:rsidR="00D5638D" w:rsidRPr="00BA7F79">
        <w:rPr>
          <w:sz w:val="22"/>
          <w:szCs w:val="22"/>
          <w:lang w:val="sk-SK"/>
        </w:rPr>
        <w:t>a</w:t>
      </w:r>
      <w:r w:rsidRPr="00BA7F79">
        <w:rPr>
          <w:sz w:val="22"/>
          <w:szCs w:val="22"/>
          <w:lang w:val="sk-SK"/>
        </w:rPr>
        <w:t>gonist</w:t>
      </w:r>
      <w:r w:rsidR="00AA308F" w:rsidRPr="00BA7F79">
        <w:rPr>
          <w:sz w:val="22"/>
          <w:szCs w:val="22"/>
          <w:lang w:val="sk-SK"/>
        </w:rPr>
        <w:t>y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</w:p>
    <w:p w14:paraId="0EA64454" w14:textId="77777777" w:rsidR="00747FC0" w:rsidRPr="00BA7F79" w:rsidRDefault="00747FC0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ATC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216F40" w:rsidRPr="00BA7F79">
        <w:rPr>
          <w:sz w:val="22"/>
          <w:szCs w:val="22"/>
          <w:lang w:val="sk-SK"/>
        </w:rPr>
        <w:t>kód</w:t>
      </w:r>
      <w:r w:rsidRPr="00BA7F79">
        <w:rPr>
          <w:sz w:val="22"/>
          <w:szCs w:val="22"/>
          <w:lang w:val="sk-SK"/>
        </w:rPr>
        <w:t xml:space="preserve">: </w:t>
      </w:r>
      <w:proofErr w:type="spellStart"/>
      <w:r w:rsidRPr="00BA7F79">
        <w:rPr>
          <w:sz w:val="22"/>
          <w:szCs w:val="22"/>
          <w:lang w:val="sk-SK"/>
        </w:rPr>
        <w:t>N04BC04</w:t>
      </w:r>
      <w:proofErr w:type="spellEnd"/>
      <w:r w:rsidR="00684F67" w:rsidRPr="00BA7F79">
        <w:rPr>
          <w:sz w:val="22"/>
          <w:szCs w:val="22"/>
          <w:lang w:val="sk-SK"/>
        </w:rPr>
        <w:t>.</w:t>
      </w:r>
    </w:p>
    <w:p w14:paraId="1B98106D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3BAEB22" w14:textId="77777777" w:rsidR="00BC616F" w:rsidRPr="00BA7F79" w:rsidRDefault="00BC616F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Mechanizmus účinku</w:t>
      </w:r>
    </w:p>
    <w:p w14:paraId="24DB4069" w14:textId="77777777" w:rsidR="00747FC0" w:rsidRPr="00BA7F79" w:rsidRDefault="00216F4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je </w:t>
      </w:r>
      <w:proofErr w:type="spellStart"/>
      <w:r w:rsidRPr="00BA7F79">
        <w:rPr>
          <w:sz w:val="22"/>
          <w:szCs w:val="22"/>
          <w:lang w:val="sk-SK"/>
        </w:rPr>
        <w:t>neergolínový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agonista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  <w:r w:rsidR="00E730AC" w:rsidRPr="00BA7F79">
        <w:rPr>
          <w:sz w:val="22"/>
          <w:szCs w:val="22"/>
          <w:lang w:val="sk-SK"/>
        </w:rPr>
        <w:t xml:space="preserve"> D2/D3, ktorý stimuluje </w:t>
      </w:r>
      <w:proofErr w:type="spellStart"/>
      <w:r w:rsidR="00E730AC" w:rsidRPr="00BA7F79">
        <w:rPr>
          <w:sz w:val="22"/>
          <w:szCs w:val="22"/>
          <w:lang w:val="sk-SK"/>
        </w:rPr>
        <w:t>dopamínové</w:t>
      </w:r>
      <w:proofErr w:type="spellEnd"/>
      <w:r w:rsidR="00E730AC" w:rsidRPr="00BA7F79">
        <w:rPr>
          <w:sz w:val="22"/>
          <w:szCs w:val="22"/>
          <w:lang w:val="sk-SK"/>
        </w:rPr>
        <w:t xml:space="preserve"> receptory v </w:t>
      </w:r>
      <w:proofErr w:type="spellStart"/>
      <w:r w:rsidR="00E730AC" w:rsidRPr="00BA7F79">
        <w:rPr>
          <w:sz w:val="22"/>
          <w:szCs w:val="22"/>
          <w:lang w:val="sk-SK"/>
        </w:rPr>
        <w:t>striate</w:t>
      </w:r>
      <w:proofErr w:type="spellEnd"/>
      <w:r w:rsidR="00747FC0" w:rsidRPr="00BA7F79">
        <w:rPr>
          <w:sz w:val="22"/>
          <w:szCs w:val="22"/>
          <w:lang w:val="sk-SK"/>
        </w:rPr>
        <w:t>.</w:t>
      </w:r>
    </w:p>
    <w:p w14:paraId="0A42B372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BEAD1D7" w14:textId="77777777" w:rsidR="00747FC0" w:rsidRPr="00BA7F79" w:rsidRDefault="00023AB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zmierňuje nedostatok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  <w:r w:rsidRPr="00BA7F79">
        <w:rPr>
          <w:sz w:val="22"/>
          <w:szCs w:val="22"/>
          <w:lang w:val="sk-SK"/>
        </w:rPr>
        <w:t xml:space="preserve">, ktorý je charakteristický pre </w:t>
      </w:r>
      <w:proofErr w:type="spellStart"/>
      <w:r w:rsidRPr="00BA7F79">
        <w:rPr>
          <w:sz w:val="22"/>
          <w:szCs w:val="22"/>
          <w:lang w:val="sk-SK"/>
        </w:rPr>
        <w:t>Parkinsonovu</w:t>
      </w:r>
      <w:proofErr w:type="spellEnd"/>
      <w:r w:rsidRPr="00BA7F79">
        <w:rPr>
          <w:sz w:val="22"/>
          <w:szCs w:val="22"/>
          <w:lang w:val="sk-SK"/>
        </w:rPr>
        <w:t xml:space="preserve"> chorobu</w:t>
      </w:r>
      <w:r w:rsidR="00524247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tým, že stimuluje </w:t>
      </w:r>
      <w:proofErr w:type="spellStart"/>
      <w:r w:rsidRPr="00BA7F79">
        <w:rPr>
          <w:sz w:val="22"/>
          <w:szCs w:val="22"/>
          <w:lang w:val="sk-SK"/>
        </w:rPr>
        <w:t>dopamínové</w:t>
      </w:r>
      <w:proofErr w:type="spellEnd"/>
      <w:r w:rsidRPr="00BA7F79">
        <w:rPr>
          <w:sz w:val="22"/>
          <w:szCs w:val="22"/>
          <w:lang w:val="sk-SK"/>
        </w:rPr>
        <w:t xml:space="preserve"> receptory v </w:t>
      </w:r>
      <w:proofErr w:type="spellStart"/>
      <w:r w:rsidRPr="00BA7F79">
        <w:rPr>
          <w:sz w:val="22"/>
          <w:szCs w:val="22"/>
          <w:lang w:val="sk-SK"/>
        </w:rPr>
        <w:t>striate</w:t>
      </w:r>
      <w:proofErr w:type="spellEnd"/>
      <w:r w:rsidR="00747FC0" w:rsidRPr="00BA7F79">
        <w:rPr>
          <w:sz w:val="22"/>
          <w:szCs w:val="22"/>
          <w:lang w:val="sk-SK"/>
        </w:rPr>
        <w:t>.</w:t>
      </w:r>
    </w:p>
    <w:p w14:paraId="3A80EC23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EEFDC0B" w14:textId="77777777" w:rsidR="00747FC0" w:rsidRPr="00BA7F79" w:rsidRDefault="00747FC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023AB3" w:rsidRPr="00BA7F79">
        <w:rPr>
          <w:sz w:val="22"/>
          <w:szCs w:val="22"/>
          <w:lang w:val="sk-SK"/>
        </w:rPr>
        <w:t xml:space="preserve">pôsobí v hypotalame a hypofýze, čím </w:t>
      </w:r>
      <w:proofErr w:type="spellStart"/>
      <w:r w:rsidR="00023AB3" w:rsidRPr="00BA7F79">
        <w:rPr>
          <w:sz w:val="22"/>
          <w:szCs w:val="22"/>
          <w:lang w:val="sk-SK"/>
        </w:rPr>
        <w:t>inhibuje</w:t>
      </w:r>
      <w:proofErr w:type="spellEnd"/>
      <w:r w:rsidR="00023AB3" w:rsidRPr="00BA7F79">
        <w:rPr>
          <w:sz w:val="22"/>
          <w:szCs w:val="22"/>
          <w:lang w:val="sk-SK"/>
        </w:rPr>
        <w:t xml:space="preserve"> sekréciu </w:t>
      </w:r>
      <w:proofErr w:type="spellStart"/>
      <w:r w:rsidR="00023AB3" w:rsidRPr="00BA7F79">
        <w:rPr>
          <w:sz w:val="22"/>
          <w:szCs w:val="22"/>
          <w:lang w:val="sk-SK"/>
        </w:rPr>
        <w:t>prolaktínu</w:t>
      </w:r>
      <w:proofErr w:type="spellEnd"/>
      <w:r w:rsidRPr="00BA7F79">
        <w:rPr>
          <w:sz w:val="22"/>
          <w:szCs w:val="22"/>
          <w:lang w:val="sk-SK"/>
        </w:rPr>
        <w:t>.</w:t>
      </w:r>
    </w:p>
    <w:p w14:paraId="52D99053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7F82A394" w14:textId="77777777" w:rsidR="00F44958" w:rsidRPr="00BA7F79" w:rsidRDefault="00E9753A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K</w:t>
      </w:r>
      <w:r w:rsidR="00F44958" w:rsidRPr="00BA7F79">
        <w:rPr>
          <w:sz w:val="22"/>
          <w:szCs w:val="22"/>
          <w:u w:val="single"/>
          <w:lang w:val="sk-SK"/>
        </w:rPr>
        <w:t>linic</w:t>
      </w:r>
      <w:r w:rsidRPr="00BA7F79">
        <w:rPr>
          <w:sz w:val="22"/>
          <w:szCs w:val="22"/>
          <w:u w:val="single"/>
          <w:lang w:val="sk-SK"/>
        </w:rPr>
        <w:t>ká účinnosť</w:t>
      </w:r>
    </w:p>
    <w:p w14:paraId="51CA6664" w14:textId="77777777" w:rsidR="00C27F11" w:rsidRPr="00BA7F79" w:rsidRDefault="00C27F11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36</w:t>
      </w:r>
      <w:r w:rsidR="00E730AC" w:rsidRPr="00BA7F79">
        <w:rPr>
          <w:sz w:val="22"/>
          <w:szCs w:val="22"/>
          <w:lang w:val="sk-SK"/>
        </w:rPr>
        <w:noBreakHyphen/>
      </w:r>
      <w:r w:rsidR="00825B9C" w:rsidRPr="00BA7F79">
        <w:rPr>
          <w:sz w:val="22"/>
          <w:szCs w:val="22"/>
          <w:lang w:val="sk-SK"/>
        </w:rPr>
        <w:t>týždňová</w:t>
      </w:r>
      <w:proofErr w:type="spellEnd"/>
      <w:r w:rsidR="00825B9C" w:rsidRPr="00BA7F79">
        <w:rPr>
          <w:sz w:val="22"/>
          <w:szCs w:val="22"/>
          <w:lang w:val="sk-SK"/>
        </w:rPr>
        <w:t xml:space="preserve">, dvojito zaslepená </w:t>
      </w:r>
      <w:r w:rsidR="007059B0" w:rsidRPr="00BA7F79">
        <w:rPr>
          <w:sz w:val="22"/>
          <w:szCs w:val="22"/>
          <w:lang w:val="sk-SK"/>
        </w:rPr>
        <w:t>štúdia</w:t>
      </w:r>
      <w:r w:rsidR="005E110F" w:rsidRPr="00BA7F79">
        <w:rPr>
          <w:sz w:val="22"/>
          <w:szCs w:val="22"/>
          <w:lang w:val="sk-SK"/>
        </w:rPr>
        <w:t xml:space="preserve"> s výmenou liečby (tzv. “</w:t>
      </w:r>
      <w:proofErr w:type="spellStart"/>
      <w:r w:rsidR="005E110F" w:rsidRPr="00BA7F79">
        <w:rPr>
          <w:sz w:val="22"/>
          <w:szCs w:val="22"/>
          <w:lang w:val="sk-SK"/>
        </w:rPr>
        <w:t>crossover</w:t>
      </w:r>
      <w:proofErr w:type="spellEnd"/>
      <w:r w:rsidR="005E110F" w:rsidRPr="00BA7F79">
        <w:rPr>
          <w:sz w:val="22"/>
          <w:szCs w:val="22"/>
          <w:lang w:val="sk-SK"/>
        </w:rPr>
        <w:t>”) v troch periódach</w:t>
      </w:r>
      <w:r w:rsidR="007059B0" w:rsidRPr="00BA7F79">
        <w:rPr>
          <w:sz w:val="22"/>
          <w:szCs w:val="22"/>
          <w:lang w:val="sk-SK"/>
        </w:rPr>
        <w:t xml:space="preserve"> </w:t>
      </w:r>
      <w:r w:rsidR="005E110F" w:rsidRPr="00BA7F79">
        <w:rPr>
          <w:sz w:val="22"/>
          <w:szCs w:val="22"/>
          <w:lang w:val="sk-SK"/>
        </w:rPr>
        <w:t xml:space="preserve">v </w:t>
      </w:r>
      <w:proofErr w:type="spellStart"/>
      <w:r w:rsidR="0079628D" w:rsidRPr="00BA7F79">
        <w:rPr>
          <w:sz w:val="22"/>
          <w:szCs w:val="22"/>
          <w:lang w:val="sk-SK"/>
        </w:rPr>
        <w:t>monoterapi</w:t>
      </w:r>
      <w:r w:rsidR="005E110F" w:rsidRPr="00BA7F79">
        <w:rPr>
          <w:sz w:val="22"/>
          <w:szCs w:val="22"/>
          <w:lang w:val="sk-SK"/>
        </w:rPr>
        <w:t>i</w:t>
      </w:r>
      <w:proofErr w:type="spellEnd"/>
      <w:r w:rsidR="005E110F" w:rsidRPr="00BA7F79">
        <w:rPr>
          <w:sz w:val="22"/>
          <w:szCs w:val="22"/>
          <w:lang w:val="sk-SK"/>
        </w:rPr>
        <w:t>,</w:t>
      </w:r>
      <w:r w:rsidR="0079628D" w:rsidRPr="00BA7F79">
        <w:rPr>
          <w:sz w:val="22"/>
          <w:szCs w:val="22"/>
          <w:lang w:val="sk-SK"/>
        </w:rPr>
        <w:t xml:space="preserve"> </w:t>
      </w:r>
      <w:r w:rsidR="007059B0" w:rsidRPr="00BA7F79">
        <w:rPr>
          <w:sz w:val="22"/>
          <w:szCs w:val="22"/>
          <w:lang w:val="sk-SK"/>
        </w:rPr>
        <w:t xml:space="preserve">uskutočnená u </w:t>
      </w:r>
      <w:r w:rsidRPr="00BA7F79">
        <w:rPr>
          <w:sz w:val="22"/>
          <w:szCs w:val="22"/>
          <w:lang w:val="sk-SK"/>
        </w:rPr>
        <w:t>161 pa</w:t>
      </w:r>
      <w:r w:rsidR="007059B0" w:rsidRPr="00BA7F79">
        <w:rPr>
          <w:sz w:val="22"/>
          <w:szCs w:val="22"/>
          <w:lang w:val="sk-SK"/>
        </w:rPr>
        <w:t>ci</w:t>
      </w:r>
      <w:r w:rsidRPr="00BA7F79">
        <w:rPr>
          <w:sz w:val="22"/>
          <w:szCs w:val="22"/>
          <w:lang w:val="sk-SK"/>
        </w:rPr>
        <w:t>ent</w:t>
      </w:r>
      <w:r w:rsidR="007059B0" w:rsidRPr="00BA7F79">
        <w:rPr>
          <w:sz w:val="22"/>
          <w:szCs w:val="22"/>
          <w:lang w:val="sk-SK"/>
        </w:rPr>
        <w:t xml:space="preserve">ov s </w:t>
      </w:r>
      <w:proofErr w:type="spellStart"/>
      <w:r w:rsidR="007059B0" w:rsidRPr="00BA7F79">
        <w:rPr>
          <w:sz w:val="22"/>
          <w:szCs w:val="22"/>
          <w:lang w:val="sk-SK"/>
        </w:rPr>
        <w:t>Parkinsonovou</w:t>
      </w:r>
      <w:proofErr w:type="spellEnd"/>
      <w:r w:rsidR="007059B0" w:rsidRPr="00BA7F79">
        <w:rPr>
          <w:sz w:val="22"/>
          <w:szCs w:val="22"/>
          <w:lang w:val="sk-SK"/>
        </w:rPr>
        <w:t xml:space="preserve"> chorobou v </w:t>
      </w:r>
      <w:r w:rsidR="00FF5105" w:rsidRPr="00BA7F79">
        <w:rPr>
          <w:sz w:val="22"/>
          <w:szCs w:val="22"/>
          <w:lang w:val="sk-SK"/>
        </w:rPr>
        <w:t xml:space="preserve">rannom </w:t>
      </w:r>
      <w:r w:rsidR="007059B0" w:rsidRPr="00BA7F79">
        <w:rPr>
          <w:sz w:val="22"/>
          <w:szCs w:val="22"/>
          <w:lang w:val="sk-SK"/>
        </w:rPr>
        <w:t xml:space="preserve">štádiu preukázala, že </w:t>
      </w:r>
      <w:proofErr w:type="spellStart"/>
      <w:r w:rsidR="008A474F" w:rsidRPr="00BA7F79">
        <w:rPr>
          <w:sz w:val="22"/>
          <w:szCs w:val="22"/>
          <w:lang w:val="sk-SK"/>
        </w:rPr>
        <w:t>REQUIP-MODUTAB</w:t>
      </w:r>
      <w:proofErr w:type="spellEnd"/>
      <w:r w:rsidR="00E730AC" w:rsidRPr="00BA7F79">
        <w:rPr>
          <w:sz w:val="22"/>
          <w:szCs w:val="22"/>
          <w:lang w:val="sk-SK"/>
        </w:rPr>
        <w:t xml:space="preserve"> tablet</w:t>
      </w:r>
      <w:r w:rsidR="0079628D" w:rsidRPr="00BA7F79">
        <w:rPr>
          <w:sz w:val="22"/>
          <w:szCs w:val="22"/>
          <w:lang w:val="sk-SK"/>
        </w:rPr>
        <w:t>y</w:t>
      </w:r>
      <w:r w:rsidR="00E730AC" w:rsidRPr="00BA7F79">
        <w:rPr>
          <w:sz w:val="22"/>
          <w:szCs w:val="22"/>
          <w:lang w:val="sk-SK"/>
        </w:rPr>
        <w:t xml:space="preserve"> s predĺženým uvoľňovaním</w:t>
      </w:r>
      <w:r w:rsidR="007059B0" w:rsidRPr="00BA7F79">
        <w:rPr>
          <w:sz w:val="22"/>
          <w:szCs w:val="22"/>
          <w:lang w:val="sk-SK"/>
        </w:rPr>
        <w:t xml:space="preserve"> nie </w:t>
      </w:r>
      <w:r w:rsidR="0079628D" w:rsidRPr="00BA7F79">
        <w:rPr>
          <w:sz w:val="22"/>
          <w:szCs w:val="22"/>
          <w:lang w:val="sk-SK"/>
        </w:rPr>
        <w:t>sú</w:t>
      </w:r>
      <w:r w:rsidR="007059B0" w:rsidRPr="00BA7F79">
        <w:rPr>
          <w:sz w:val="22"/>
          <w:szCs w:val="22"/>
          <w:lang w:val="sk-SK"/>
        </w:rPr>
        <w:t xml:space="preserve"> menej účinn</w:t>
      </w:r>
      <w:r w:rsidR="0079628D" w:rsidRPr="00BA7F79">
        <w:rPr>
          <w:sz w:val="22"/>
          <w:szCs w:val="22"/>
          <w:lang w:val="sk-SK"/>
        </w:rPr>
        <w:t>é</w:t>
      </w:r>
      <w:r w:rsidR="007059B0" w:rsidRPr="00BA7F79">
        <w:rPr>
          <w:sz w:val="22"/>
          <w:szCs w:val="22"/>
          <w:lang w:val="sk-SK"/>
        </w:rPr>
        <w:t xml:space="preserve"> ako </w:t>
      </w:r>
      <w:proofErr w:type="spellStart"/>
      <w:r w:rsidR="007059B0" w:rsidRPr="00BA7F79">
        <w:rPr>
          <w:sz w:val="22"/>
          <w:szCs w:val="22"/>
          <w:lang w:val="sk-SK"/>
        </w:rPr>
        <w:t>R</w:t>
      </w:r>
      <w:r w:rsidR="008A474F" w:rsidRPr="00BA7F79">
        <w:rPr>
          <w:sz w:val="22"/>
          <w:szCs w:val="22"/>
          <w:lang w:val="sk-SK"/>
        </w:rPr>
        <w:t>EQUIP</w:t>
      </w:r>
      <w:proofErr w:type="spellEnd"/>
      <w:r w:rsidR="007059B0"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filmom obalené </w:t>
      </w:r>
      <w:r w:rsidR="007059B0" w:rsidRPr="00BA7F79">
        <w:rPr>
          <w:sz w:val="22"/>
          <w:szCs w:val="22"/>
          <w:lang w:val="sk-SK"/>
        </w:rPr>
        <w:t xml:space="preserve">tablety (s okamžitým uvoľňovaním) v primárnom </w:t>
      </w:r>
      <w:r w:rsidR="00BA2076" w:rsidRPr="00BA7F79">
        <w:rPr>
          <w:sz w:val="22"/>
          <w:szCs w:val="22"/>
          <w:lang w:val="sk-SK"/>
        </w:rPr>
        <w:t>cieli</w:t>
      </w:r>
      <w:r w:rsidR="007059B0" w:rsidRPr="00BA7F79">
        <w:rPr>
          <w:sz w:val="22"/>
          <w:szCs w:val="22"/>
          <w:lang w:val="sk-SK"/>
        </w:rPr>
        <w:t xml:space="preserve">, </w:t>
      </w:r>
      <w:r w:rsidR="00B008AB" w:rsidRPr="00BA7F79">
        <w:rPr>
          <w:sz w:val="22"/>
          <w:szCs w:val="22"/>
          <w:lang w:val="sk-SK"/>
        </w:rPr>
        <w:t>čo bol</w:t>
      </w:r>
      <w:r w:rsidR="005E110F" w:rsidRPr="00BA7F79">
        <w:rPr>
          <w:sz w:val="22"/>
          <w:szCs w:val="22"/>
          <w:lang w:val="sk-SK"/>
        </w:rPr>
        <w:t> </w:t>
      </w:r>
      <w:r w:rsidR="007059B0" w:rsidRPr="00BA7F79">
        <w:rPr>
          <w:sz w:val="22"/>
          <w:szCs w:val="22"/>
          <w:lang w:val="sk-SK"/>
        </w:rPr>
        <w:t>rozdiel</w:t>
      </w:r>
      <w:r w:rsidR="005E110F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v </w:t>
      </w:r>
      <w:r w:rsidR="007059B0" w:rsidRPr="00BA7F79">
        <w:rPr>
          <w:sz w:val="22"/>
          <w:szCs w:val="22"/>
          <w:lang w:val="sk-SK"/>
        </w:rPr>
        <w:t>zmen</w:t>
      </w:r>
      <w:r w:rsidR="00B008AB" w:rsidRPr="00BA7F79">
        <w:rPr>
          <w:sz w:val="22"/>
          <w:szCs w:val="22"/>
          <w:lang w:val="sk-SK"/>
        </w:rPr>
        <w:t>e</w:t>
      </w:r>
      <w:r w:rsidR="007059B0" w:rsidRPr="00BA7F79">
        <w:rPr>
          <w:sz w:val="22"/>
          <w:szCs w:val="22"/>
          <w:lang w:val="sk-SK"/>
        </w:rPr>
        <w:t xml:space="preserve"> </w:t>
      </w:r>
      <w:r w:rsidR="005E110F" w:rsidRPr="00BA7F79">
        <w:rPr>
          <w:sz w:val="22"/>
          <w:szCs w:val="22"/>
          <w:lang w:val="sk-SK"/>
        </w:rPr>
        <w:t xml:space="preserve">proti </w:t>
      </w:r>
      <w:r w:rsidR="007059B0" w:rsidRPr="00BA7F79">
        <w:rPr>
          <w:sz w:val="22"/>
          <w:szCs w:val="22"/>
          <w:lang w:val="sk-SK"/>
        </w:rPr>
        <w:t>východiskový</w:t>
      </w:r>
      <w:r w:rsidR="005E110F" w:rsidRPr="00BA7F79">
        <w:rPr>
          <w:sz w:val="22"/>
          <w:szCs w:val="22"/>
          <w:lang w:val="sk-SK"/>
        </w:rPr>
        <w:t>m</w:t>
      </w:r>
      <w:r w:rsidR="007059B0" w:rsidRPr="00BA7F79">
        <w:rPr>
          <w:sz w:val="22"/>
          <w:szCs w:val="22"/>
          <w:lang w:val="sk-SK"/>
        </w:rPr>
        <w:t xml:space="preserve"> hodn</w:t>
      </w:r>
      <w:r w:rsidR="005E110F" w:rsidRPr="00BA7F79">
        <w:rPr>
          <w:sz w:val="22"/>
          <w:szCs w:val="22"/>
          <w:lang w:val="sk-SK"/>
        </w:rPr>
        <w:t>otám</w:t>
      </w:r>
      <w:r w:rsidR="007059B0" w:rsidRPr="00BA7F79">
        <w:rPr>
          <w:sz w:val="22"/>
          <w:szCs w:val="22"/>
          <w:lang w:val="sk-SK"/>
        </w:rPr>
        <w:t xml:space="preserve"> v</w:t>
      </w:r>
      <w:r w:rsidR="00BA2076" w:rsidRPr="00BA7F79">
        <w:rPr>
          <w:sz w:val="22"/>
          <w:szCs w:val="22"/>
          <w:lang w:val="sk-SK"/>
        </w:rPr>
        <w:t> motorickom skóre</w:t>
      </w:r>
      <w:r w:rsidR="007059B0" w:rsidRPr="00BA7F79">
        <w:rPr>
          <w:sz w:val="22"/>
          <w:szCs w:val="22"/>
          <w:lang w:val="sk-SK"/>
        </w:rPr>
        <w:t xml:space="preserve"> </w:t>
      </w:r>
      <w:r w:rsidR="000D15C1" w:rsidRPr="00BA7F79">
        <w:rPr>
          <w:sz w:val="22"/>
          <w:szCs w:val="22"/>
          <w:lang w:val="sk-SK"/>
        </w:rPr>
        <w:t xml:space="preserve">na </w:t>
      </w:r>
      <w:r w:rsidR="00050C1E" w:rsidRPr="00BA7F79">
        <w:rPr>
          <w:sz w:val="22"/>
          <w:szCs w:val="22"/>
          <w:lang w:val="sk-SK"/>
        </w:rPr>
        <w:t>škál</w:t>
      </w:r>
      <w:r w:rsidR="000D15C1" w:rsidRPr="00BA7F79">
        <w:rPr>
          <w:sz w:val="22"/>
          <w:szCs w:val="22"/>
          <w:lang w:val="sk-SK"/>
        </w:rPr>
        <w:t>e</w:t>
      </w:r>
      <w:r w:rsidR="00050C1E" w:rsidRPr="00BA7F79">
        <w:rPr>
          <w:sz w:val="22"/>
          <w:szCs w:val="22"/>
          <w:lang w:val="sk-SK"/>
        </w:rPr>
        <w:t xml:space="preserve"> </w:t>
      </w:r>
      <w:r w:rsidR="007059B0" w:rsidRPr="00BA7F79">
        <w:rPr>
          <w:sz w:val="22"/>
          <w:szCs w:val="22"/>
          <w:lang w:val="sk-SK"/>
        </w:rPr>
        <w:t xml:space="preserve">pre hodnotenie </w:t>
      </w:r>
      <w:proofErr w:type="spellStart"/>
      <w:r w:rsidR="007059B0" w:rsidRPr="00BA7F79">
        <w:rPr>
          <w:sz w:val="22"/>
          <w:szCs w:val="22"/>
          <w:lang w:val="sk-SK"/>
        </w:rPr>
        <w:t>Parkinsonovej</w:t>
      </w:r>
      <w:proofErr w:type="spellEnd"/>
      <w:r w:rsidR="007059B0" w:rsidRPr="00BA7F79">
        <w:rPr>
          <w:sz w:val="22"/>
          <w:szCs w:val="22"/>
          <w:lang w:val="sk-SK"/>
        </w:rPr>
        <w:t xml:space="preserve"> choroby (</w:t>
      </w:r>
      <w:proofErr w:type="spellStart"/>
      <w:r w:rsidR="005D2322" w:rsidRPr="00BA7F79">
        <w:rPr>
          <w:sz w:val="22"/>
          <w:szCs w:val="22"/>
          <w:lang w:val="sk-SK"/>
        </w:rPr>
        <w:t>Unified</w:t>
      </w:r>
      <w:proofErr w:type="spellEnd"/>
      <w:r w:rsidR="005D2322" w:rsidRPr="00BA7F79">
        <w:rPr>
          <w:sz w:val="22"/>
          <w:szCs w:val="22"/>
          <w:lang w:val="sk-SK"/>
        </w:rPr>
        <w:t xml:space="preserve"> </w:t>
      </w:r>
      <w:proofErr w:type="spellStart"/>
      <w:r w:rsidR="005D2322" w:rsidRPr="00BA7F79">
        <w:rPr>
          <w:sz w:val="22"/>
          <w:szCs w:val="22"/>
          <w:lang w:val="sk-SK"/>
        </w:rPr>
        <w:t>Parkinson’s</w:t>
      </w:r>
      <w:proofErr w:type="spellEnd"/>
      <w:r w:rsidR="005D2322" w:rsidRPr="00BA7F79">
        <w:rPr>
          <w:sz w:val="22"/>
          <w:szCs w:val="22"/>
          <w:lang w:val="sk-SK"/>
        </w:rPr>
        <w:t xml:space="preserve"> </w:t>
      </w:r>
      <w:proofErr w:type="spellStart"/>
      <w:r w:rsidR="005D2322" w:rsidRPr="00BA7F79">
        <w:rPr>
          <w:sz w:val="22"/>
          <w:szCs w:val="22"/>
          <w:lang w:val="sk-SK"/>
        </w:rPr>
        <w:t>Disease</w:t>
      </w:r>
      <w:proofErr w:type="spellEnd"/>
      <w:r w:rsidR="005D2322" w:rsidRPr="00BA7F79">
        <w:rPr>
          <w:sz w:val="22"/>
          <w:szCs w:val="22"/>
          <w:lang w:val="sk-SK"/>
        </w:rPr>
        <w:t xml:space="preserve"> Rating </w:t>
      </w:r>
      <w:proofErr w:type="spellStart"/>
      <w:r w:rsidR="005D2322" w:rsidRPr="00BA7F79">
        <w:rPr>
          <w:sz w:val="22"/>
          <w:szCs w:val="22"/>
          <w:lang w:val="sk-SK"/>
        </w:rPr>
        <w:t>Scale</w:t>
      </w:r>
      <w:proofErr w:type="spellEnd"/>
      <w:r w:rsidR="007059B0" w:rsidRPr="00BA7F79">
        <w:rPr>
          <w:sz w:val="22"/>
          <w:szCs w:val="22"/>
          <w:lang w:val="sk-SK"/>
        </w:rPr>
        <w:t>,</w:t>
      </w:r>
      <w:r w:rsidR="005D2322"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UPDRS</w:t>
      </w:r>
      <w:proofErr w:type="spellEnd"/>
      <w:r w:rsidR="005D2322" w:rsidRPr="00BA7F79">
        <w:rPr>
          <w:sz w:val="22"/>
          <w:szCs w:val="22"/>
          <w:lang w:val="sk-SK"/>
        </w:rPr>
        <w:t>)</w:t>
      </w:r>
      <w:r w:rsidR="00050C1E" w:rsidRPr="00BA7F79">
        <w:rPr>
          <w:sz w:val="22"/>
          <w:szCs w:val="22"/>
          <w:lang w:val="sk-SK"/>
        </w:rPr>
        <w:t xml:space="preserve"> (bol definovaný trojbodový rozsah pre nie menšiu účinnos</w:t>
      </w:r>
      <w:r w:rsidR="00EE7B69" w:rsidRPr="00BA7F79">
        <w:rPr>
          <w:sz w:val="22"/>
          <w:szCs w:val="22"/>
          <w:lang w:val="sk-SK"/>
        </w:rPr>
        <w:t>ť</w:t>
      </w:r>
      <w:r w:rsidR="00050C1E" w:rsidRPr="00BA7F79">
        <w:rPr>
          <w:sz w:val="22"/>
          <w:szCs w:val="22"/>
          <w:lang w:val="sk-SK"/>
        </w:rPr>
        <w:t xml:space="preserve"> v </w:t>
      </w:r>
      <w:r w:rsidR="00BA2076" w:rsidRPr="00BA7F79">
        <w:rPr>
          <w:sz w:val="22"/>
          <w:szCs w:val="22"/>
          <w:lang w:val="sk-SK"/>
        </w:rPr>
        <w:t xml:space="preserve">motorickom skóre </w:t>
      </w:r>
      <w:r w:rsidR="00050C1E" w:rsidRPr="00BA7F79">
        <w:rPr>
          <w:sz w:val="22"/>
          <w:szCs w:val="22"/>
          <w:lang w:val="sk-SK"/>
        </w:rPr>
        <w:t xml:space="preserve">na </w:t>
      </w:r>
      <w:proofErr w:type="spellStart"/>
      <w:r w:rsidR="00050C1E" w:rsidRPr="00BA7F79">
        <w:rPr>
          <w:sz w:val="22"/>
          <w:szCs w:val="22"/>
          <w:lang w:val="sk-SK"/>
        </w:rPr>
        <w:t>UPDRS</w:t>
      </w:r>
      <w:proofErr w:type="spellEnd"/>
      <w:r w:rsidR="00050C1E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. </w:t>
      </w:r>
      <w:r w:rsidR="00457EB5" w:rsidRPr="00BA7F79">
        <w:rPr>
          <w:sz w:val="22"/>
          <w:szCs w:val="22"/>
          <w:lang w:val="sk-SK"/>
        </w:rPr>
        <w:t xml:space="preserve">Upravený priemerný rozdiel medzi </w:t>
      </w:r>
      <w:proofErr w:type="spellStart"/>
      <w:r w:rsidR="008A474F" w:rsidRPr="00BA7F79">
        <w:rPr>
          <w:sz w:val="22"/>
          <w:szCs w:val="22"/>
          <w:lang w:val="sk-SK"/>
        </w:rPr>
        <w:t>REQUIP</w:t>
      </w:r>
      <w:r w:rsidR="00E856DE" w:rsidRPr="00BA7F79">
        <w:rPr>
          <w:sz w:val="22"/>
          <w:szCs w:val="22"/>
          <w:lang w:val="sk-SK"/>
        </w:rPr>
        <w:noBreakHyphen/>
      </w:r>
      <w:r w:rsidR="008A474F" w:rsidRPr="00BA7F79">
        <w:rPr>
          <w:sz w:val="22"/>
          <w:szCs w:val="22"/>
          <w:lang w:val="sk-SK"/>
        </w:rPr>
        <w:t>MODUTAB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tabletami s predĺženým uvoľňovaním </w:t>
      </w:r>
      <w:r w:rsidRPr="00BA7F79">
        <w:rPr>
          <w:sz w:val="22"/>
          <w:szCs w:val="22"/>
          <w:lang w:val="sk-SK"/>
        </w:rPr>
        <w:t xml:space="preserve">a </w:t>
      </w:r>
      <w:proofErr w:type="spellStart"/>
      <w:r w:rsidR="00C003AF" w:rsidRPr="00BA7F79">
        <w:rPr>
          <w:sz w:val="22"/>
          <w:szCs w:val="22"/>
          <w:lang w:val="sk-SK"/>
        </w:rPr>
        <w:t>R</w:t>
      </w:r>
      <w:r w:rsidR="008A474F" w:rsidRPr="00BA7F79">
        <w:rPr>
          <w:sz w:val="22"/>
          <w:szCs w:val="22"/>
          <w:lang w:val="sk-SK"/>
        </w:rPr>
        <w:t>EQUIP</w:t>
      </w:r>
      <w:proofErr w:type="spellEnd"/>
      <w:r w:rsidR="00C003AF"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filmom obalenými </w:t>
      </w:r>
      <w:r w:rsidR="00457EB5" w:rsidRPr="00BA7F79">
        <w:rPr>
          <w:sz w:val="22"/>
          <w:szCs w:val="22"/>
          <w:lang w:val="sk-SK"/>
        </w:rPr>
        <w:t xml:space="preserve">tabletami </w:t>
      </w:r>
      <w:r w:rsidR="00C003AF" w:rsidRPr="00BA7F79">
        <w:rPr>
          <w:sz w:val="22"/>
          <w:szCs w:val="22"/>
          <w:lang w:val="sk-SK"/>
        </w:rPr>
        <w:t>(</w:t>
      </w:r>
      <w:r w:rsidR="00457EB5" w:rsidRPr="00BA7F79">
        <w:rPr>
          <w:sz w:val="22"/>
          <w:szCs w:val="22"/>
          <w:lang w:val="sk-SK"/>
        </w:rPr>
        <w:t>s okamžitým uvoľňovaním</w:t>
      </w:r>
      <w:r w:rsidR="00C003AF" w:rsidRPr="00BA7F79">
        <w:rPr>
          <w:sz w:val="22"/>
          <w:szCs w:val="22"/>
          <w:lang w:val="sk-SK"/>
        </w:rPr>
        <w:t xml:space="preserve">) </w:t>
      </w:r>
      <w:r w:rsidR="00457EB5" w:rsidRPr="00BA7F79">
        <w:rPr>
          <w:sz w:val="22"/>
          <w:szCs w:val="22"/>
          <w:lang w:val="sk-SK"/>
        </w:rPr>
        <w:t xml:space="preserve">v </w:t>
      </w:r>
      <w:r w:rsidR="00BA2076" w:rsidRPr="00BA7F79">
        <w:rPr>
          <w:sz w:val="22"/>
          <w:szCs w:val="22"/>
          <w:lang w:val="sk-SK"/>
        </w:rPr>
        <w:t>cieli</w:t>
      </w:r>
      <w:r w:rsidR="00457EB5" w:rsidRPr="00BA7F79">
        <w:rPr>
          <w:sz w:val="22"/>
          <w:szCs w:val="22"/>
          <w:lang w:val="sk-SK"/>
        </w:rPr>
        <w:t xml:space="preserve"> štúdie bol </w:t>
      </w:r>
      <w:r w:rsidRPr="00BA7F79">
        <w:rPr>
          <w:sz w:val="22"/>
          <w:szCs w:val="22"/>
          <w:lang w:val="sk-SK"/>
        </w:rPr>
        <w:t>-0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7 </w:t>
      </w:r>
      <w:proofErr w:type="spellStart"/>
      <w:r w:rsidR="00457EB5" w:rsidRPr="00BA7F79">
        <w:rPr>
          <w:sz w:val="22"/>
          <w:szCs w:val="22"/>
          <w:lang w:val="sk-SK"/>
        </w:rPr>
        <w:t>boda</w:t>
      </w:r>
      <w:proofErr w:type="spellEnd"/>
      <w:r w:rsidRPr="00BA7F79">
        <w:rPr>
          <w:sz w:val="22"/>
          <w:szCs w:val="22"/>
          <w:lang w:val="sk-SK"/>
        </w:rPr>
        <w:t xml:space="preserve"> (95</w:t>
      </w:r>
      <w:r w:rsidR="00E730A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% </w:t>
      </w:r>
      <w:proofErr w:type="spellStart"/>
      <w:r w:rsidRPr="00BA7F79">
        <w:rPr>
          <w:sz w:val="22"/>
          <w:szCs w:val="22"/>
          <w:lang w:val="sk-SK"/>
        </w:rPr>
        <w:t>CI</w:t>
      </w:r>
      <w:proofErr w:type="spellEnd"/>
      <w:r w:rsidRPr="00BA7F79">
        <w:rPr>
          <w:sz w:val="22"/>
          <w:szCs w:val="22"/>
          <w:lang w:val="sk-SK"/>
        </w:rPr>
        <w:t>: [-1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51</w:t>
      </w:r>
      <w:r w:rsidR="00457EB5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10], p=0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084</w:t>
      </w:r>
      <w:r w:rsidR="00050C1E" w:rsidRPr="00BA7F79">
        <w:rPr>
          <w:sz w:val="22"/>
          <w:szCs w:val="22"/>
          <w:lang w:val="sk-SK"/>
        </w:rPr>
        <w:t>2</w:t>
      </w:r>
      <w:r w:rsidRPr="00BA7F79">
        <w:rPr>
          <w:sz w:val="22"/>
          <w:szCs w:val="22"/>
          <w:lang w:val="sk-SK"/>
        </w:rPr>
        <w:t>).</w:t>
      </w:r>
    </w:p>
    <w:p w14:paraId="5CC6ED75" w14:textId="77777777" w:rsidR="004606D4" w:rsidRPr="00BA7F79" w:rsidRDefault="004606D4" w:rsidP="000E2DDB">
      <w:pPr>
        <w:spacing w:line="240" w:lineRule="auto"/>
        <w:rPr>
          <w:sz w:val="22"/>
          <w:szCs w:val="22"/>
          <w:lang w:val="sk-SK"/>
        </w:rPr>
      </w:pPr>
    </w:p>
    <w:p w14:paraId="56908741" w14:textId="77777777" w:rsidR="004606D4" w:rsidRPr="00BA7F79" w:rsidRDefault="007F1D39" w:rsidP="000E2DDB">
      <w:pPr>
        <w:spacing w:line="240" w:lineRule="auto"/>
        <w:rPr>
          <w:color w:val="000000"/>
          <w:sz w:val="22"/>
          <w:szCs w:val="22"/>
          <w:lang w:val="sk-SK"/>
        </w:rPr>
      </w:pPr>
      <w:r w:rsidRPr="00BA7F79">
        <w:rPr>
          <w:color w:val="000000"/>
          <w:sz w:val="22"/>
          <w:szCs w:val="22"/>
          <w:lang w:val="sk-SK"/>
        </w:rPr>
        <w:t xml:space="preserve">Po prechode zo dňa na deň na podobnú dávku alternatívnej formy tabliet sa </w:t>
      </w:r>
      <w:r w:rsidR="004B54A6" w:rsidRPr="00BA7F79">
        <w:rPr>
          <w:color w:val="000000"/>
          <w:sz w:val="22"/>
          <w:szCs w:val="22"/>
          <w:lang w:val="sk-SK"/>
        </w:rPr>
        <w:t xml:space="preserve">nezistil </w:t>
      </w:r>
      <w:r w:rsidR="0079628D" w:rsidRPr="00BA7F79">
        <w:rPr>
          <w:color w:val="000000"/>
          <w:sz w:val="22"/>
          <w:szCs w:val="22"/>
          <w:lang w:val="sk-SK"/>
        </w:rPr>
        <w:t>žiaden rozdiel v</w:t>
      </w:r>
      <w:r w:rsidR="00E856DE" w:rsidRPr="00BA7F79">
        <w:rPr>
          <w:color w:val="000000"/>
          <w:sz w:val="22"/>
          <w:szCs w:val="22"/>
          <w:lang w:val="sk-SK"/>
        </w:rPr>
        <w:t> </w:t>
      </w:r>
      <w:r w:rsidR="004B54A6" w:rsidRPr="00BA7F79">
        <w:rPr>
          <w:color w:val="000000"/>
          <w:sz w:val="22"/>
          <w:szCs w:val="22"/>
          <w:lang w:val="sk-SK"/>
        </w:rPr>
        <w:t>profil</w:t>
      </w:r>
      <w:r w:rsidR="0079628D" w:rsidRPr="00BA7F79">
        <w:rPr>
          <w:color w:val="000000"/>
          <w:sz w:val="22"/>
          <w:szCs w:val="22"/>
          <w:lang w:val="sk-SK"/>
        </w:rPr>
        <w:t>e</w:t>
      </w:r>
      <w:r w:rsidR="004B54A6" w:rsidRPr="00BA7F79">
        <w:rPr>
          <w:color w:val="000000"/>
          <w:sz w:val="22"/>
          <w:szCs w:val="22"/>
          <w:lang w:val="sk-SK"/>
        </w:rPr>
        <w:t xml:space="preserve"> nežiaducich účinkov a úpravu dávky potrebovalo menej ako 3</w:t>
      </w:r>
      <w:r w:rsidR="006A3E34" w:rsidRPr="00BA7F79">
        <w:rPr>
          <w:color w:val="000000"/>
          <w:sz w:val="22"/>
          <w:szCs w:val="22"/>
          <w:lang w:val="sk-SK"/>
        </w:rPr>
        <w:t> </w:t>
      </w:r>
      <w:r w:rsidR="004B54A6" w:rsidRPr="00BA7F79">
        <w:rPr>
          <w:color w:val="000000"/>
          <w:sz w:val="22"/>
          <w:szCs w:val="22"/>
          <w:lang w:val="sk-SK"/>
        </w:rPr>
        <w:t>% pacientov</w:t>
      </w:r>
      <w:r w:rsidR="0079628D" w:rsidRPr="00BA7F79">
        <w:rPr>
          <w:color w:val="000000"/>
          <w:sz w:val="22"/>
          <w:szCs w:val="22"/>
          <w:lang w:val="sk-SK"/>
        </w:rPr>
        <w:t xml:space="preserve"> (všetky úpravy dávky boli zvýšením o jednu úroveň dávky</w:t>
      </w:r>
      <w:r w:rsidR="00353088" w:rsidRPr="00BA7F79">
        <w:rPr>
          <w:color w:val="000000"/>
          <w:sz w:val="22"/>
          <w:szCs w:val="22"/>
          <w:lang w:val="sk-SK"/>
        </w:rPr>
        <w:t>,</w:t>
      </w:r>
      <w:r w:rsidR="0079628D" w:rsidRPr="00BA7F79">
        <w:rPr>
          <w:color w:val="000000"/>
          <w:sz w:val="22"/>
          <w:szCs w:val="22"/>
          <w:lang w:val="sk-SK"/>
        </w:rPr>
        <w:t xml:space="preserve"> </w:t>
      </w:r>
      <w:r w:rsidR="00353088" w:rsidRPr="00BA7F79">
        <w:rPr>
          <w:color w:val="000000"/>
          <w:sz w:val="22"/>
          <w:szCs w:val="22"/>
          <w:lang w:val="sk-SK"/>
        </w:rPr>
        <w:t>p</w:t>
      </w:r>
      <w:r w:rsidR="0079628D" w:rsidRPr="00BA7F79">
        <w:rPr>
          <w:color w:val="000000"/>
          <w:sz w:val="22"/>
          <w:szCs w:val="22"/>
          <w:lang w:val="sk-SK"/>
        </w:rPr>
        <w:t>acienti nepotrebovali zníženie dávky)</w:t>
      </w:r>
      <w:r w:rsidR="004B54A6" w:rsidRPr="00BA7F79">
        <w:rPr>
          <w:color w:val="000000"/>
          <w:sz w:val="22"/>
          <w:szCs w:val="22"/>
          <w:lang w:val="sk-SK"/>
        </w:rPr>
        <w:t>.</w:t>
      </w:r>
    </w:p>
    <w:p w14:paraId="01A1BC15" w14:textId="77777777" w:rsidR="007E3D4F" w:rsidRPr="00BA7F79" w:rsidRDefault="007E3D4F" w:rsidP="000E2DDB">
      <w:pPr>
        <w:spacing w:line="240" w:lineRule="auto"/>
        <w:rPr>
          <w:color w:val="000000"/>
          <w:sz w:val="22"/>
          <w:szCs w:val="22"/>
          <w:lang w:val="sk-SK"/>
        </w:rPr>
      </w:pPr>
    </w:p>
    <w:p w14:paraId="34B92196" w14:textId="77777777" w:rsidR="00C27F11" w:rsidRPr="00BA7F79" w:rsidRDefault="00C27F11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lastRenderedPageBreak/>
        <w:t>24-</w:t>
      </w:r>
      <w:r w:rsidR="009D0C18" w:rsidRPr="00BA7F79">
        <w:rPr>
          <w:sz w:val="22"/>
          <w:szCs w:val="22"/>
          <w:lang w:val="sk-SK"/>
        </w:rPr>
        <w:t>týždňová</w:t>
      </w:r>
      <w:proofErr w:type="spellEnd"/>
      <w:r w:rsidR="009D0C18" w:rsidRPr="00BA7F79">
        <w:rPr>
          <w:sz w:val="22"/>
          <w:szCs w:val="22"/>
          <w:lang w:val="sk-SK"/>
        </w:rPr>
        <w:t xml:space="preserve">, dvojito zaslepená, </w:t>
      </w:r>
      <w:proofErr w:type="spellStart"/>
      <w:r w:rsidR="009D0C18" w:rsidRPr="00BA7F79">
        <w:rPr>
          <w:sz w:val="22"/>
          <w:szCs w:val="22"/>
          <w:lang w:val="sk-SK"/>
        </w:rPr>
        <w:t>placebom</w:t>
      </w:r>
      <w:proofErr w:type="spellEnd"/>
      <w:r w:rsidR="009D0C18" w:rsidRPr="00BA7F79">
        <w:rPr>
          <w:sz w:val="22"/>
          <w:szCs w:val="22"/>
          <w:lang w:val="sk-SK"/>
        </w:rPr>
        <w:t xml:space="preserve"> kontrolovaná, paralelná štúdia </w:t>
      </w:r>
      <w:proofErr w:type="spellStart"/>
      <w:r w:rsidR="008A474F" w:rsidRPr="00BA7F79">
        <w:rPr>
          <w:sz w:val="22"/>
          <w:szCs w:val="22"/>
          <w:lang w:val="sk-SK"/>
        </w:rPr>
        <w:t>REQUIP-MODUTAB</w:t>
      </w:r>
      <w:proofErr w:type="spellEnd"/>
      <w:r w:rsidR="009D0C18" w:rsidRPr="00BA7F79">
        <w:rPr>
          <w:sz w:val="22"/>
          <w:szCs w:val="22"/>
          <w:lang w:val="sk-SK"/>
        </w:rPr>
        <w:t xml:space="preserve"> </w:t>
      </w:r>
      <w:r w:rsidR="0079628D" w:rsidRPr="00BA7F79">
        <w:rPr>
          <w:sz w:val="22"/>
          <w:szCs w:val="22"/>
          <w:lang w:val="sk-SK"/>
        </w:rPr>
        <w:t>tabliet s predĺženým uvoľňovaním</w:t>
      </w:r>
      <w:r w:rsidR="009D0C18" w:rsidRPr="00BA7F79">
        <w:rPr>
          <w:sz w:val="22"/>
          <w:szCs w:val="22"/>
          <w:lang w:val="sk-SK"/>
        </w:rPr>
        <w:t xml:space="preserve"> u pacientov s </w:t>
      </w:r>
      <w:proofErr w:type="spellStart"/>
      <w:r w:rsidRPr="00BA7F79">
        <w:rPr>
          <w:sz w:val="22"/>
          <w:szCs w:val="22"/>
          <w:lang w:val="sk-SK"/>
        </w:rPr>
        <w:t>Parkinson</w:t>
      </w:r>
      <w:r w:rsidR="009D0C18" w:rsidRPr="00BA7F79">
        <w:rPr>
          <w:sz w:val="22"/>
          <w:szCs w:val="22"/>
          <w:lang w:val="sk-SK"/>
        </w:rPr>
        <w:t>ovou</w:t>
      </w:r>
      <w:proofErr w:type="spellEnd"/>
      <w:r w:rsidR="009D0C18" w:rsidRPr="00BA7F79">
        <w:rPr>
          <w:sz w:val="22"/>
          <w:szCs w:val="22"/>
          <w:lang w:val="sk-SK"/>
        </w:rPr>
        <w:t xml:space="preserve"> chorobou, ktorí nedosiahli optimálnu kontrolu </w:t>
      </w:r>
      <w:r w:rsidR="00BA2076" w:rsidRPr="00BA7F79">
        <w:rPr>
          <w:sz w:val="22"/>
          <w:szCs w:val="22"/>
          <w:lang w:val="sk-SK"/>
        </w:rPr>
        <w:t>na liečbe</w:t>
      </w:r>
      <w:r w:rsidR="0079628D" w:rsidRPr="00BA7F79">
        <w:rPr>
          <w:sz w:val="22"/>
          <w:szCs w:val="22"/>
          <w:lang w:val="sk-SK"/>
        </w:rPr>
        <w:t> </w:t>
      </w:r>
      <w:r w:rsidR="009D0C18" w:rsidRPr="00BA7F79">
        <w:rPr>
          <w:sz w:val="22"/>
          <w:szCs w:val="22"/>
          <w:lang w:val="sk-SK"/>
        </w:rPr>
        <w:t>levodopou, preukázala klinicky relevantnú a štatisticky významn</w:t>
      </w:r>
      <w:r w:rsidR="00BA2076" w:rsidRPr="00BA7F79">
        <w:rPr>
          <w:sz w:val="22"/>
          <w:szCs w:val="22"/>
          <w:lang w:val="sk-SK"/>
        </w:rPr>
        <w:t>e</w:t>
      </w:r>
      <w:r w:rsidR="009D0C18" w:rsidRPr="00BA7F79">
        <w:rPr>
          <w:sz w:val="22"/>
          <w:szCs w:val="22"/>
          <w:lang w:val="sk-SK"/>
        </w:rPr>
        <w:t xml:space="preserve"> lepšiu účinnosť oproti </w:t>
      </w:r>
      <w:proofErr w:type="spellStart"/>
      <w:r w:rsidR="009D0C18" w:rsidRPr="00BA7F79">
        <w:rPr>
          <w:sz w:val="22"/>
          <w:szCs w:val="22"/>
          <w:lang w:val="sk-SK"/>
        </w:rPr>
        <w:t>placebu</w:t>
      </w:r>
      <w:proofErr w:type="spellEnd"/>
      <w:r w:rsidR="009D0C18" w:rsidRPr="00BA7F79">
        <w:rPr>
          <w:sz w:val="22"/>
          <w:szCs w:val="22"/>
          <w:lang w:val="sk-SK"/>
        </w:rPr>
        <w:t xml:space="preserve"> v</w:t>
      </w:r>
      <w:r w:rsidR="0079628D" w:rsidRPr="00BA7F79">
        <w:rPr>
          <w:sz w:val="22"/>
          <w:szCs w:val="22"/>
          <w:lang w:val="sk-SK"/>
        </w:rPr>
        <w:t> </w:t>
      </w:r>
      <w:r w:rsidR="009D0C18" w:rsidRPr="00BA7F79">
        <w:rPr>
          <w:sz w:val="22"/>
          <w:szCs w:val="22"/>
          <w:lang w:val="sk-SK"/>
        </w:rPr>
        <w:t xml:space="preserve">primárnom </w:t>
      </w:r>
      <w:r w:rsidR="00BA2076" w:rsidRPr="00BA7F79">
        <w:rPr>
          <w:sz w:val="22"/>
          <w:szCs w:val="22"/>
          <w:lang w:val="sk-SK"/>
        </w:rPr>
        <w:t>cieli</w:t>
      </w:r>
      <w:r w:rsidR="009D0C18" w:rsidRPr="00BA7F79">
        <w:rPr>
          <w:sz w:val="22"/>
          <w:szCs w:val="22"/>
          <w:lang w:val="sk-SK"/>
        </w:rPr>
        <w:t xml:space="preserve"> </w:t>
      </w:r>
      <w:r w:rsidR="006035FE" w:rsidRPr="00BA7F79">
        <w:rPr>
          <w:sz w:val="22"/>
          <w:szCs w:val="22"/>
          <w:lang w:val="sk-SK"/>
        </w:rPr>
        <w:t xml:space="preserve">(zmena </w:t>
      </w:r>
      <w:r w:rsidR="00BA2076" w:rsidRPr="00BA7F79">
        <w:rPr>
          <w:sz w:val="22"/>
          <w:szCs w:val="22"/>
          <w:lang w:val="sk-SK"/>
        </w:rPr>
        <w:t xml:space="preserve">proti </w:t>
      </w:r>
      <w:r w:rsidR="009D0C18" w:rsidRPr="00BA7F79">
        <w:rPr>
          <w:sz w:val="22"/>
          <w:szCs w:val="22"/>
          <w:lang w:val="sk-SK"/>
        </w:rPr>
        <w:t>východiskov</w:t>
      </w:r>
      <w:r w:rsidR="00BA2076" w:rsidRPr="00BA7F79">
        <w:rPr>
          <w:sz w:val="22"/>
          <w:szCs w:val="22"/>
          <w:lang w:val="sk-SK"/>
        </w:rPr>
        <w:t>ým</w:t>
      </w:r>
      <w:r w:rsidR="009D0C18" w:rsidRPr="00BA7F79">
        <w:rPr>
          <w:sz w:val="22"/>
          <w:szCs w:val="22"/>
          <w:lang w:val="sk-SK"/>
        </w:rPr>
        <w:t xml:space="preserve"> hodn</w:t>
      </w:r>
      <w:r w:rsidR="00BA2076" w:rsidRPr="00BA7F79">
        <w:rPr>
          <w:sz w:val="22"/>
          <w:szCs w:val="22"/>
          <w:lang w:val="sk-SK"/>
        </w:rPr>
        <w:t xml:space="preserve">otám </w:t>
      </w:r>
      <w:r w:rsidR="006035FE" w:rsidRPr="00BA7F79">
        <w:rPr>
          <w:sz w:val="22"/>
          <w:szCs w:val="22"/>
          <w:lang w:val="sk-SK"/>
        </w:rPr>
        <w:t>času stráveného vo fáze „</w:t>
      </w:r>
      <w:proofErr w:type="spellStart"/>
      <w:r w:rsidR="006035FE" w:rsidRPr="00BA7F79">
        <w:rPr>
          <w:sz w:val="22"/>
          <w:szCs w:val="22"/>
          <w:lang w:val="sk-SK"/>
        </w:rPr>
        <w:t>off</w:t>
      </w:r>
      <w:proofErr w:type="spellEnd"/>
      <w:r w:rsidR="006035FE" w:rsidRPr="00BA7F79">
        <w:rPr>
          <w:sz w:val="22"/>
          <w:szCs w:val="22"/>
          <w:lang w:val="sk-SK"/>
        </w:rPr>
        <w:t xml:space="preserve">“ počas bdenia cez deň) </w:t>
      </w:r>
      <w:r w:rsidR="001B0E5F" w:rsidRPr="00BA7F79">
        <w:rPr>
          <w:sz w:val="22"/>
          <w:szCs w:val="22"/>
          <w:lang w:val="sk-SK"/>
        </w:rPr>
        <w:t>(</w:t>
      </w:r>
      <w:r w:rsidR="00B80AEF" w:rsidRPr="00BA7F79">
        <w:rPr>
          <w:sz w:val="22"/>
          <w:szCs w:val="22"/>
          <w:lang w:val="sk-SK"/>
        </w:rPr>
        <w:t xml:space="preserve">t.j. v </w:t>
      </w:r>
      <w:r w:rsidR="000A79B1" w:rsidRPr="00BA7F79">
        <w:rPr>
          <w:sz w:val="22"/>
          <w:szCs w:val="22"/>
          <w:lang w:val="sk-SK"/>
        </w:rPr>
        <w:t>stav</w:t>
      </w:r>
      <w:r w:rsidR="00B80AEF" w:rsidRPr="00BA7F79">
        <w:rPr>
          <w:sz w:val="22"/>
          <w:szCs w:val="22"/>
          <w:lang w:val="sk-SK"/>
        </w:rPr>
        <w:t>e</w:t>
      </w:r>
      <w:r w:rsidR="000A79B1" w:rsidRPr="00BA7F79">
        <w:rPr>
          <w:sz w:val="22"/>
          <w:szCs w:val="22"/>
          <w:lang w:val="sk-SK"/>
        </w:rPr>
        <w:t xml:space="preserve"> zlej pohyblivosti</w:t>
      </w:r>
      <w:r w:rsidR="001B0E5F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 (</w:t>
      </w:r>
      <w:r w:rsidR="001B0E5F" w:rsidRPr="00BA7F79">
        <w:rPr>
          <w:sz w:val="22"/>
          <w:szCs w:val="22"/>
          <w:lang w:val="sk-SK"/>
        </w:rPr>
        <w:t xml:space="preserve">upravený priemerný rozdiel liečby </w:t>
      </w:r>
      <w:r w:rsidR="00E856DE" w:rsidRPr="00BA7F79">
        <w:rPr>
          <w:sz w:val="22"/>
          <w:szCs w:val="22"/>
          <w:lang w:val="sk-SK"/>
        </w:rPr>
        <w:noBreakHyphen/>
      </w:r>
      <w:r w:rsidR="00B43E0A" w:rsidRPr="00BA7F79">
        <w:rPr>
          <w:sz w:val="22"/>
          <w:szCs w:val="22"/>
          <w:lang w:val="sk-SK"/>
        </w:rPr>
        <w:t>1</w:t>
      </w:r>
      <w:r w:rsidR="001B0E5F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7 </w:t>
      </w:r>
      <w:r w:rsidRPr="00BA7F79">
        <w:rPr>
          <w:sz w:val="22"/>
          <w:szCs w:val="22"/>
          <w:lang w:val="sk-SK"/>
        </w:rPr>
        <w:t>ho</w:t>
      </w:r>
      <w:r w:rsidR="001B0E5F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% </w:t>
      </w:r>
      <w:proofErr w:type="spellStart"/>
      <w:r w:rsidRPr="00BA7F79">
        <w:rPr>
          <w:sz w:val="22"/>
          <w:szCs w:val="22"/>
          <w:lang w:val="sk-SK"/>
        </w:rPr>
        <w:t>CI</w:t>
      </w:r>
      <w:proofErr w:type="spellEnd"/>
      <w:r w:rsidRPr="00BA7F79">
        <w:rPr>
          <w:sz w:val="22"/>
          <w:szCs w:val="22"/>
          <w:lang w:val="sk-SK"/>
        </w:rPr>
        <w:t>: [-2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34</w:t>
      </w:r>
      <w:r w:rsidR="001B0E5F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-1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09]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0001). </w:t>
      </w:r>
      <w:r w:rsidR="001B0E5F" w:rsidRPr="00BA7F79">
        <w:rPr>
          <w:sz w:val="22"/>
          <w:szCs w:val="22"/>
          <w:lang w:val="sk-SK"/>
        </w:rPr>
        <w:t>Toto zistenie podporili sekundárne parametr</w:t>
      </w:r>
      <w:r w:rsidR="00363115" w:rsidRPr="00BA7F79">
        <w:rPr>
          <w:sz w:val="22"/>
          <w:szCs w:val="22"/>
          <w:lang w:val="sk-SK"/>
        </w:rPr>
        <w:t>e</w:t>
      </w:r>
      <w:r w:rsidR="001B0E5F" w:rsidRPr="00BA7F79">
        <w:rPr>
          <w:sz w:val="22"/>
          <w:szCs w:val="22"/>
          <w:lang w:val="sk-SK"/>
        </w:rPr>
        <w:t xml:space="preserve"> účinnosti </w:t>
      </w:r>
      <w:r w:rsidR="00363115" w:rsidRPr="00BA7F79">
        <w:rPr>
          <w:sz w:val="22"/>
          <w:szCs w:val="22"/>
          <w:lang w:val="sk-SK"/>
        </w:rPr>
        <w:t>zmen</w:t>
      </w:r>
      <w:r w:rsidR="00B008AB" w:rsidRPr="00BA7F79">
        <w:rPr>
          <w:sz w:val="22"/>
          <w:szCs w:val="22"/>
          <w:lang w:val="sk-SK"/>
        </w:rPr>
        <w:t>y</w:t>
      </w:r>
      <w:r w:rsidR="00363115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proti </w:t>
      </w:r>
      <w:r w:rsidR="00363115" w:rsidRPr="00BA7F79">
        <w:rPr>
          <w:sz w:val="22"/>
          <w:szCs w:val="22"/>
          <w:lang w:val="sk-SK"/>
        </w:rPr>
        <w:t>východiskový</w:t>
      </w:r>
      <w:r w:rsidR="00B008AB" w:rsidRPr="00BA7F79">
        <w:rPr>
          <w:sz w:val="22"/>
          <w:szCs w:val="22"/>
          <w:lang w:val="sk-SK"/>
        </w:rPr>
        <w:t>m</w:t>
      </w:r>
      <w:r w:rsidR="00363115" w:rsidRPr="00BA7F79">
        <w:rPr>
          <w:sz w:val="22"/>
          <w:szCs w:val="22"/>
          <w:lang w:val="sk-SK"/>
        </w:rPr>
        <w:t xml:space="preserve"> hodn</w:t>
      </w:r>
      <w:r w:rsidR="00B008AB" w:rsidRPr="00BA7F79">
        <w:rPr>
          <w:sz w:val="22"/>
          <w:szCs w:val="22"/>
          <w:lang w:val="sk-SK"/>
        </w:rPr>
        <w:t>otám</w:t>
      </w:r>
      <w:r w:rsidR="000A79B1" w:rsidRPr="00BA7F79">
        <w:rPr>
          <w:sz w:val="22"/>
          <w:szCs w:val="22"/>
          <w:lang w:val="sk-SK"/>
        </w:rPr>
        <w:t xml:space="preserve"> </w:t>
      </w:r>
      <w:r w:rsidR="006035FE" w:rsidRPr="00BA7F79">
        <w:rPr>
          <w:sz w:val="22"/>
          <w:szCs w:val="22"/>
          <w:lang w:val="sk-SK"/>
        </w:rPr>
        <w:t>celkového času vo f</w:t>
      </w:r>
      <w:r w:rsidR="00E856DE" w:rsidRPr="00BA7F79">
        <w:rPr>
          <w:sz w:val="22"/>
          <w:szCs w:val="22"/>
          <w:lang w:val="sk-SK"/>
        </w:rPr>
        <w:t>á</w:t>
      </w:r>
      <w:r w:rsidR="006035FE" w:rsidRPr="00BA7F79">
        <w:rPr>
          <w:sz w:val="22"/>
          <w:szCs w:val="22"/>
          <w:lang w:val="sk-SK"/>
        </w:rPr>
        <w:t>ze „on“ počas bdenia cez deň</w:t>
      </w:r>
      <w:r w:rsidR="00E856DE" w:rsidRPr="00BA7F79">
        <w:rPr>
          <w:sz w:val="22"/>
          <w:szCs w:val="22"/>
          <w:lang w:val="sk-SK"/>
        </w:rPr>
        <w:t xml:space="preserve"> </w:t>
      </w:r>
      <w:r w:rsidR="00363115" w:rsidRPr="00BA7F79">
        <w:rPr>
          <w:sz w:val="22"/>
          <w:szCs w:val="22"/>
          <w:lang w:val="sk-SK"/>
        </w:rPr>
        <w:t>(</w:t>
      </w:r>
      <w:r w:rsidR="00B80AEF" w:rsidRPr="00BA7F79">
        <w:rPr>
          <w:sz w:val="22"/>
          <w:szCs w:val="22"/>
          <w:lang w:val="sk-SK"/>
        </w:rPr>
        <w:t xml:space="preserve">t.j. v </w:t>
      </w:r>
      <w:r w:rsidR="000A79B1" w:rsidRPr="00BA7F79">
        <w:rPr>
          <w:sz w:val="22"/>
          <w:szCs w:val="22"/>
          <w:lang w:val="sk-SK"/>
        </w:rPr>
        <w:t>stave dobrej pohyblivosti</w:t>
      </w:r>
      <w:r w:rsidR="00363115" w:rsidRPr="00BA7F79">
        <w:rPr>
          <w:sz w:val="22"/>
          <w:szCs w:val="22"/>
          <w:lang w:val="sk-SK"/>
        </w:rPr>
        <w:t xml:space="preserve">) </w:t>
      </w:r>
      <w:r w:rsidR="00B43E0A" w:rsidRPr="00BA7F79">
        <w:rPr>
          <w:sz w:val="22"/>
          <w:szCs w:val="22"/>
          <w:lang w:val="sk-SK"/>
        </w:rPr>
        <w:t>(+1</w:t>
      </w:r>
      <w:r w:rsidR="00363115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7 </w:t>
      </w:r>
      <w:r w:rsidRPr="00BA7F79">
        <w:rPr>
          <w:sz w:val="22"/>
          <w:szCs w:val="22"/>
          <w:lang w:val="sk-SK"/>
        </w:rPr>
        <w:t>ho</w:t>
      </w:r>
      <w:r w:rsidR="00363115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% </w:t>
      </w:r>
      <w:proofErr w:type="spellStart"/>
      <w:r w:rsidRPr="00BA7F79">
        <w:rPr>
          <w:sz w:val="22"/>
          <w:szCs w:val="22"/>
          <w:lang w:val="sk-SK"/>
        </w:rPr>
        <w:t>CI</w:t>
      </w:r>
      <w:proofErr w:type="spellEnd"/>
      <w:r w:rsidRPr="00BA7F79">
        <w:rPr>
          <w:sz w:val="22"/>
          <w:szCs w:val="22"/>
          <w:lang w:val="sk-SK"/>
        </w:rPr>
        <w:t>: [1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06</w:t>
      </w:r>
      <w:r w:rsidR="00363115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2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33]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0001) a</w:t>
      </w:r>
      <w:r w:rsidR="00363115" w:rsidRPr="00BA7F79">
        <w:rPr>
          <w:sz w:val="22"/>
          <w:szCs w:val="22"/>
          <w:lang w:val="sk-SK"/>
        </w:rPr>
        <w:t xml:space="preserve"> celkov</w:t>
      </w:r>
      <w:r w:rsidR="000A79B1" w:rsidRPr="00BA7F79">
        <w:rPr>
          <w:sz w:val="22"/>
          <w:szCs w:val="22"/>
          <w:lang w:val="sk-SK"/>
        </w:rPr>
        <w:t xml:space="preserve">ej dobe </w:t>
      </w:r>
      <w:r w:rsidR="00B008AB" w:rsidRPr="00BA7F79">
        <w:rPr>
          <w:sz w:val="22"/>
          <w:szCs w:val="22"/>
          <w:lang w:val="sk-SK"/>
        </w:rPr>
        <w:t xml:space="preserve">bdenia </w:t>
      </w:r>
      <w:r w:rsidR="000A79B1" w:rsidRPr="00BA7F79">
        <w:rPr>
          <w:sz w:val="22"/>
          <w:szCs w:val="22"/>
          <w:lang w:val="sk-SK"/>
        </w:rPr>
        <w:t xml:space="preserve">strávenej v “on” </w:t>
      </w:r>
      <w:r w:rsidR="00B008AB" w:rsidRPr="00BA7F79">
        <w:rPr>
          <w:sz w:val="22"/>
          <w:szCs w:val="22"/>
          <w:lang w:val="sk-SK"/>
        </w:rPr>
        <w:t xml:space="preserve">fáze </w:t>
      </w:r>
      <w:r w:rsidR="000A79B1" w:rsidRPr="00BA7F79">
        <w:rPr>
          <w:sz w:val="22"/>
          <w:szCs w:val="22"/>
          <w:lang w:val="sk-SK"/>
        </w:rPr>
        <w:t>bez</w:t>
      </w:r>
      <w:r w:rsidR="00B80AEF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rušivých </w:t>
      </w:r>
      <w:proofErr w:type="spellStart"/>
      <w:r w:rsidR="00B80AEF" w:rsidRPr="00BA7F79">
        <w:rPr>
          <w:sz w:val="22"/>
          <w:szCs w:val="22"/>
          <w:lang w:val="sk-SK"/>
        </w:rPr>
        <w:t>dyskinéz</w:t>
      </w:r>
      <w:proofErr w:type="spellEnd"/>
      <w:r w:rsidR="00B80AEF" w:rsidRPr="00BA7F79">
        <w:rPr>
          <w:sz w:val="22"/>
          <w:szCs w:val="22"/>
          <w:lang w:val="sk-SK"/>
        </w:rPr>
        <w:t xml:space="preserve"> </w:t>
      </w:r>
      <w:r w:rsidR="00B43E0A" w:rsidRPr="00BA7F79">
        <w:rPr>
          <w:sz w:val="22"/>
          <w:szCs w:val="22"/>
          <w:lang w:val="sk-SK"/>
        </w:rPr>
        <w:t>(+1</w:t>
      </w:r>
      <w:r w:rsidR="00B80AEF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5 </w:t>
      </w:r>
      <w:r w:rsidRPr="00BA7F79">
        <w:rPr>
          <w:sz w:val="22"/>
          <w:szCs w:val="22"/>
          <w:lang w:val="sk-SK"/>
        </w:rPr>
        <w:t>ho</w:t>
      </w:r>
      <w:r w:rsidR="00B80AEF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% </w:t>
      </w:r>
      <w:proofErr w:type="spellStart"/>
      <w:r w:rsidRPr="00BA7F79">
        <w:rPr>
          <w:sz w:val="22"/>
          <w:szCs w:val="22"/>
          <w:lang w:val="sk-SK"/>
        </w:rPr>
        <w:t>CI</w:t>
      </w:r>
      <w:proofErr w:type="spellEnd"/>
      <w:r w:rsidRPr="00BA7F79">
        <w:rPr>
          <w:sz w:val="22"/>
          <w:szCs w:val="22"/>
          <w:lang w:val="sk-SK"/>
        </w:rPr>
        <w:t>: [0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85</w:t>
      </w:r>
      <w:r w:rsidR="00B80AEF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2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13]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0001). </w:t>
      </w:r>
      <w:r w:rsidR="008A6FB3" w:rsidRPr="00BA7F79">
        <w:rPr>
          <w:sz w:val="22"/>
          <w:szCs w:val="22"/>
          <w:lang w:val="sk-SK"/>
        </w:rPr>
        <w:t>Dôležité je, že sa nezistilo žiadne zvýšenie</w:t>
      </w:r>
      <w:r w:rsidR="00C14D98" w:rsidRPr="00BA7F79">
        <w:rPr>
          <w:sz w:val="22"/>
          <w:szCs w:val="22"/>
          <w:lang w:val="sk-SK"/>
        </w:rPr>
        <w:t xml:space="preserve"> výskytu “on” stavu s rušivými </w:t>
      </w:r>
      <w:proofErr w:type="spellStart"/>
      <w:r w:rsidR="00C14D98" w:rsidRPr="00BA7F79">
        <w:rPr>
          <w:sz w:val="22"/>
          <w:szCs w:val="22"/>
          <w:lang w:val="sk-SK"/>
        </w:rPr>
        <w:t>dyskinézami</w:t>
      </w:r>
      <w:proofErr w:type="spellEnd"/>
      <w:r w:rsidR="008A6FB3" w:rsidRPr="00BA7F79">
        <w:rPr>
          <w:sz w:val="22"/>
          <w:szCs w:val="22"/>
          <w:lang w:val="sk-SK"/>
        </w:rPr>
        <w:t xml:space="preserve"> </w:t>
      </w:r>
      <w:r w:rsidR="00C14D98" w:rsidRPr="00BA7F79">
        <w:rPr>
          <w:sz w:val="22"/>
          <w:szCs w:val="22"/>
          <w:lang w:val="sk-SK"/>
        </w:rPr>
        <w:t xml:space="preserve">počas bdenia, </w:t>
      </w:r>
      <w:r w:rsidR="00B008AB" w:rsidRPr="00BA7F79">
        <w:rPr>
          <w:sz w:val="22"/>
          <w:szCs w:val="22"/>
          <w:lang w:val="sk-SK"/>
        </w:rPr>
        <w:t xml:space="preserve">proti </w:t>
      </w:r>
      <w:r w:rsidR="008A6FB3" w:rsidRPr="00BA7F79">
        <w:rPr>
          <w:sz w:val="22"/>
          <w:szCs w:val="22"/>
          <w:lang w:val="sk-SK"/>
        </w:rPr>
        <w:t>východiskový</w:t>
      </w:r>
      <w:r w:rsidR="00B008AB" w:rsidRPr="00BA7F79">
        <w:rPr>
          <w:sz w:val="22"/>
          <w:szCs w:val="22"/>
          <w:lang w:val="sk-SK"/>
        </w:rPr>
        <w:t>m</w:t>
      </w:r>
      <w:r w:rsidR="008A6FB3" w:rsidRPr="00BA7F79">
        <w:rPr>
          <w:sz w:val="22"/>
          <w:szCs w:val="22"/>
          <w:lang w:val="sk-SK"/>
        </w:rPr>
        <w:t xml:space="preserve"> hodn</w:t>
      </w:r>
      <w:r w:rsidR="00B008AB" w:rsidRPr="00BA7F79">
        <w:rPr>
          <w:sz w:val="22"/>
          <w:szCs w:val="22"/>
          <w:lang w:val="sk-SK"/>
        </w:rPr>
        <w:t>otám</w:t>
      </w:r>
      <w:r w:rsidR="008A6FB3" w:rsidRPr="00BA7F79">
        <w:rPr>
          <w:sz w:val="22"/>
          <w:szCs w:val="22"/>
          <w:lang w:val="sk-SK"/>
        </w:rPr>
        <w:t xml:space="preserve">, ani </w:t>
      </w:r>
      <w:r w:rsidR="00EE7B69" w:rsidRPr="00BA7F79">
        <w:rPr>
          <w:sz w:val="22"/>
          <w:szCs w:val="22"/>
          <w:lang w:val="sk-SK"/>
        </w:rPr>
        <w:t>z</w:t>
      </w:r>
      <w:r w:rsidR="0079628D" w:rsidRPr="00BA7F79">
        <w:rPr>
          <w:sz w:val="22"/>
          <w:szCs w:val="22"/>
          <w:lang w:val="sk-SK"/>
        </w:rPr>
        <w:t> </w:t>
      </w:r>
      <w:r w:rsidR="008A6FB3" w:rsidRPr="00BA7F79">
        <w:rPr>
          <w:sz w:val="22"/>
          <w:szCs w:val="22"/>
          <w:lang w:val="sk-SK"/>
        </w:rPr>
        <w:t xml:space="preserve">údajov z denných kariet ani </w:t>
      </w:r>
      <w:r w:rsidR="00EE7B69" w:rsidRPr="00BA7F79">
        <w:rPr>
          <w:sz w:val="22"/>
          <w:szCs w:val="22"/>
          <w:lang w:val="sk-SK"/>
        </w:rPr>
        <w:t>z</w:t>
      </w:r>
      <w:r w:rsidR="008A6FB3" w:rsidRPr="00BA7F79">
        <w:rPr>
          <w:sz w:val="22"/>
          <w:szCs w:val="22"/>
          <w:lang w:val="sk-SK"/>
        </w:rPr>
        <w:t xml:space="preserve">o skóre v položkách </w:t>
      </w:r>
      <w:proofErr w:type="spellStart"/>
      <w:r w:rsidR="008A6FB3" w:rsidRPr="00BA7F79">
        <w:rPr>
          <w:sz w:val="22"/>
          <w:szCs w:val="22"/>
          <w:lang w:val="sk-SK"/>
        </w:rPr>
        <w:t>UPDRS</w:t>
      </w:r>
      <w:proofErr w:type="spellEnd"/>
      <w:r w:rsidR="008A6FB3" w:rsidRPr="00BA7F79">
        <w:rPr>
          <w:sz w:val="22"/>
          <w:szCs w:val="22"/>
          <w:lang w:val="sk-SK"/>
        </w:rPr>
        <w:t>.</w:t>
      </w:r>
    </w:p>
    <w:p w14:paraId="3D4A348F" w14:textId="77777777" w:rsidR="003B43FE" w:rsidRPr="00BA7F79" w:rsidRDefault="003B43FE" w:rsidP="000E2DDB">
      <w:pPr>
        <w:spacing w:line="240" w:lineRule="auto"/>
        <w:rPr>
          <w:sz w:val="22"/>
          <w:szCs w:val="22"/>
          <w:lang w:val="sk-SK"/>
        </w:rPr>
      </w:pPr>
    </w:p>
    <w:p w14:paraId="62CF38B6" w14:textId="77777777" w:rsidR="003B43FE" w:rsidRPr="00BA7F79" w:rsidRDefault="003B43FE" w:rsidP="00BF2D8B">
      <w:pPr>
        <w:spacing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 xml:space="preserve">Štúdia vplyvu ropinirolu na </w:t>
      </w:r>
      <w:proofErr w:type="spellStart"/>
      <w:r w:rsidRPr="00BA7F79">
        <w:rPr>
          <w:sz w:val="22"/>
          <w:szCs w:val="22"/>
          <w:u w:val="single"/>
          <w:lang w:val="sk-SK"/>
        </w:rPr>
        <w:t>repolarizáciu</w:t>
      </w:r>
      <w:proofErr w:type="spellEnd"/>
      <w:r w:rsidRPr="00BA7F79">
        <w:rPr>
          <w:sz w:val="22"/>
          <w:szCs w:val="22"/>
          <w:u w:val="single"/>
          <w:lang w:val="sk-SK"/>
        </w:rPr>
        <w:t xml:space="preserve"> srdca</w:t>
      </w:r>
    </w:p>
    <w:p w14:paraId="42BF8FB5" w14:textId="77777777" w:rsidR="003B43FE" w:rsidRPr="00BA7F79" w:rsidRDefault="003B43FE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Cielená štúdia zameraná na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 vykonaná u zdravých dobrovoľníkov a dobrovoľníčok, ktorým sa podávali filmom obalené tablety (s okamžitým uvoľňovaním) ropinirolu v dávke 0,5 mg, 1 mg, 2 mg a 4 mg jedenkrát denne preukázala maximálne predĺženie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intervalu o 3,46 milisek</w:t>
      </w:r>
      <w:r w:rsidR="00C13C0D" w:rsidRPr="00BA7F79">
        <w:rPr>
          <w:sz w:val="22"/>
          <w:szCs w:val="22"/>
          <w:lang w:val="sk-SK"/>
        </w:rPr>
        <w:t>undy</w:t>
      </w:r>
      <w:r w:rsidRPr="00BA7F79">
        <w:rPr>
          <w:sz w:val="22"/>
          <w:szCs w:val="22"/>
          <w:lang w:val="sk-SK"/>
        </w:rPr>
        <w:t xml:space="preserve"> (bodový odhad) pri 1 mg dávke oproti </w:t>
      </w:r>
      <w:proofErr w:type="spellStart"/>
      <w:r w:rsidRPr="00BA7F79">
        <w:rPr>
          <w:sz w:val="22"/>
          <w:szCs w:val="22"/>
          <w:lang w:val="sk-SK"/>
        </w:rPr>
        <w:t>placebu</w:t>
      </w:r>
      <w:proofErr w:type="spellEnd"/>
      <w:r w:rsidRPr="00BA7F79">
        <w:rPr>
          <w:sz w:val="22"/>
          <w:szCs w:val="22"/>
          <w:lang w:val="sk-SK"/>
        </w:rPr>
        <w:t>. Horná hranica jednostranného 95 % intervalu spoľahlivosti pre najväčší priemerný vplyv bola menej ako 7,5 milisek</w:t>
      </w:r>
      <w:r w:rsidR="00C13C0D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>nd</w:t>
      </w:r>
      <w:r w:rsidR="00C13C0D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>. Vplyv ropinirolu pri vyšších dávkach sa systematicky nehodnotil.</w:t>
      </w:r>
    </w:p>
    <w:p w14:paraId="49F8FAAE" w14:textId="77777777" w:rsidR="003B43FE" w:rsidRPr="00BA7F79" w:rsidRDefault="003B43FE" w:rsidP="00BF2D8B">
      <w:pPr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Dostupné klinické údaje získané z cielenej štúdie zameranej na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 nepoukazujú na riziko predĺženia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intervalu pri dávkach ropinirolu do 4 mg/deň. Riziko predĺženia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intervalu nemožno vylúčiť, keďže cielená štúdia overujúca vplyv na </w:t>
      </w:r>
      <w:proofErr w:type="spellStart"/>
      <w:r w:rsidRPr="00BA7F79">
        <w:rPr>
          <w:sz w:val="22"/>
          <w:szCs w:val="22"/>
          <w:lang w:val="sk-SK"/>
        </w:rPr>
        <w:t>QT</w:t>
      </w:r>
      <w:proofErr w:type="spellEnd"/>
      <w:r w:rsidRPr="00BA7F79">
        <w:rPr>
          <w:sz w:val="22"/>
          <w:szCs w:val="22"/>
          <w:lang w:val="sk-SK"/>
        </w:rPr>
        <w:t xml:space="preserve"> interval pri dávkach do 24</w:t>
      </w:r>
      <w:r w:rsidR="00DB1E38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mg/deň sa neuskutočnila.</w:t>
      </w:r>
    </w:p>
    <w:p w14:paraId="6FB5BC93" w14:textId="77777777" w:rsidR="00C27F11" w:rsidRPr="00BA7F79" w:rsidRDefault="00C27F11" w:rsidP="000E2DDB">
      <w:pPr>
        <w:spacing w:line="240" w:lineRule="auto"/>
        <w:rPr>
          <w:sz w:val="22"/>
          <w:szCs w:val="22"/>
          <w:lang w:val="sk-SK"/>
        </w:rPr>
      </w:pPr>
    </w:p>
    <w:p w14:paraId="2A104BAA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5.2</w:t>
      </w:r>
      <w:r w:rsidRPr="00BA7F79">
        <w:rPr>
          <w:sz w:val="22"/>
          <w:szCs w:val="22"/>
          <w:lang w:val="sk-SK"/>
        </w:rPr>
        <w:tab/>
      </w:r>
      <w:proofErr w:type="spellStart"/>
      <w:r w:rsidR="00541B6E" w:rsidRPr="00BA7F79">
        <w:rPr>
          <w:sz w:val="22"/>
          <w:szCs w:val="22"/>
          <w:lang w:val="sk-SK"/>
        </w:rPr>
        <w:t>F</w:t>
      </w:r>
      <w:r w:rsidRPr="00BA7F79">
        <w:rPr>
          <w:sz w:val="22"/>
          <w:szCs w:val="22"/>
          <w:lang w:val="sk-SK"/>
        </w:rPr>
        <w:t>arma</w:t>
      </w:r>
      <w:r w:rsidR="00541B6E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okinetic</w:t>
      </w:r>
      <w:r w:rsidR="00541B6E" w:rsidRPr="00BA7F79">
        <w:rPr>
          <w:sz w:val="22"/>
          <w:szCs w:val="22"/>
          <w:lang w:val="sk-SK"/>
        </w:rPr>
        <w:t>ké</w:t>
      </w:r>
      <w:proofErr w:type="spellEnd"/>
      <w:r w:rsidR="00541B6E" w:rsidRPr="00BA7F79">
        <w:rPr>
          <w:sz w:val="22"/>
          <w:szCs w:val="22"/>
          <w:lang w:val="sk-SK"/>
        </w:rPr>
        <w:t xml:space="preserve"> vlastnosti</w:t>
      </w:r>
    </w:p>
    <w:p w14:paraId="4E3380C3" w14:textId="77777777" w:rsidR="00666838" w:rsidRPr="00BA7F79" w:rsidRDefault="00666838" w:rsidP="000E2DDB">
      <w:pPr>
        <w:keepNext/>
        <w:keepLines/>
        <w:spacing w:line="240" w:lineRule="auto"/>
        <w:rPr>
          <w:sz w:val="22"/>
          <w:szCs w:val="22"/>
          <w:u w:val="single"/>
          <w:lang w:val="sk-SK"/>
        </w:rPr>
      </w:pPr>
    </w:p>
    <w:p w14:paraId="28DFA809" w14:textId="77777777" w:rsidR="00BE0E64" w:rsidRPr="00BA7F79" w:rsidRDefault="00BE0E64" w:rsidP="000E2DDB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u w:val="single"/>
          <w:lang w:val="sk-SK"/>
        </w:rPr>
        <w:t>Absorp</w:t>
      </w:r>
      <w:r w:rsidR="00541B6E" w:rsidRPr="00BA7F79">
        <w:rPr>
          <w:b/>
          <w:bCs/>
          <w:sz w:val="22"/>
          <w:szCs w:val="22"/>
          <w:u w:val="single"/>
          <w:lang w:val="sk-SK"/>
        </w:rPr>
        <w:t>c</w:t>
      </w:r>
      <w:r w:rsidRPr="00BA7F79">
        <w:rPr>
          <w:b/>
          <w:bCs/>
          <w:sz w:val="22"/>
          <w:szCs w:val="22"/>
          <w:u w:val="single"/>
          <w:lang w:val="sk-SK"/>
        </w:rPr>
        <w:t>i</w:t>
      </w:r>
      <w:r w:rsidR="00541B6E" w:rsidRPr="00BA7F79">
        <w:rPr>
          <w:b/>
          <w:bCs/>
          <w:sz w:val="22"/>
          <w:szCs w:val="22"/>
          <w:u w:val="single"/>
          <w:lang w:val="sk-SK"/>
        </w:rPr>
        <w:t>a</w:t>
      </w:r>
    </w:p>
    <w:p w14:paraId="273E2A07" w14:textId="77777777" w:rsidR="00AD5007" w:rsidRPr="00BA7F79" w:rsidRDefault="00DB5E32" w:rsidP="000E2DDB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Biologická dostupnosť ropinirolu je približne 50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(36</w:t>
      </w:r>
      <w:r w:rsidR="0079628D" w:rsidRPr="00BA7F79">
        <w:rPr>
          <w:sz w:val="22"/>
          <w:szCs w:val="22"/>
          <w:lang w:val="sk-SK"/>
        </w:rPr>
        <w:t> </w:t>
      </w:r>
      <w:r w:rsidR="00CF551E" w:rsidRPr="00BA7F79">
        <w:rPr>
          <w:sz w:val="22"/>
          <w:szCs w:val="22"/>
          <w:lang w:val="sk-SK"/>
        </w:rPr>
        <w:noBreakHyphen/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57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</w:t>
      </w:r>
      <w:r w:rsidR="001963D0" w:rsidRPr="00BA7F79">
        <w:rPr>
          <w:sz w:val="22"/>
          <w:szCs w:val="22"/>
          <w:lang w:val="sk-SK"/>
        </w:rPr>
        <w:t xml:space="preserve">). </w:t>
      </w:r>
      <w:r w:rsidRPr="00BA7F79">
        <w:rPr>
          <w:sz w:val="22"/>
          <w:szCs w:val="22"/>
          <w:lang w:val="sk-SK"/>
        </w:rPr>
        <w:t xml:space="preserve">Po perorálnom podaní </w:t>
      </w:r>
      <w:r w:rsidR="00AD5007" w:rsidRPr="00BA7F79">
        <w:rPr>
          <w:sz w:val="22"/>
          <w:szCs w:val="22"/>
          <w:lang w:val="sk-SK"/>
        </w:rPr>
        <w:t>tabliet ropinirolu s predĺženým uvoľňovaním</w:t>
      </w:r>
      <w:r w:rsidRPr="00BA7F79">
        <w:rPr>
          <w:sz w:val="22"/>
          <w:szCs w:val="22"/>
          <w:lang w:val="sk-SK"/>
        </w:rPr>
        <w:t xml:space="preserve"> sa plazmatické </w:t>
      </w:r>
      <w:r w:rsidR="00BB3AFD" w:rsidRPr="00BA7F79">
        <w:rPr>
          <w:sz w:val="22"/>
          <w:szCs w:val="22"/>
          <w:lang w:val="sk-SK"/>
        </w:rPr>
        <w:t>koncentrácie</w:t>
      </w:r>
      <w:r w:rsidRPr="00BA7F79">
        <w:rPr>
          <w:sz w:val="22"/>
          <w:szCs w:val="22"/>
          <w:lang w:val="sk-SK"/>
        </w:rPr>
        <w:t xml:space="preserve"> zvyšujú pomaly,</w:t>
      </w:r>
      <w:r w:rsidR="00BB3AFD" w:rsidRPr="00BA7F79">
        <w:rPr>
          <w:sz w:val="22"/>
          <w:szCs w:val="22"/>
          <w:lang w:val="sk-SK"/>
        </w:rPr>
        <w:t xml:space="preserve"> pričom </w:t>
      </w:r>
      <w:proofErr w:type="spellStart"/>
      <w:r w:rsidR="00BB3AFD" w:rsidRPr="00BA7F79">
        <w:rPr>
          <w:sz w:val="22"/>
          <w:szCs w:val="22"/>
          <w:lang w:val="sk-SK"/>
        </w:rPr>
        <w:t>C</w:t>
      </w:r>
      <w:r w:rsidR="00BB3AFD"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="00BB3AFD" w:rsidRPr="00BA7F79">
        <w:rPr>
          <w:sz w:val="22"/>
          <w:szCs w:val="22"/>
          <w:lang w:val="sk-SK"/>
        </w:rPr>
        <w:t xml:space="preserve"> sa </w:t>
      </w:r>
      <w:r w:rsidR="00AD5007" w:rsidRPr="00BA7F79">
        <w:rPr>
          <w:sz w:val="22"/>
          <w:szCs w:val="22"/>
          <w:lang w:val="sk-SK"/>
        </w:rPr>
        <w:t xml:space="preserve">zvyčajne </w:t>
      </w:r>
      <w:r w:rsidR="00BB3AFD" w:rsidRPr="00BA7F79">
        <w:rPr>
          <w:sz w:val="22"/>
          <w:szCs w:val="22"/>
          <w:lang w:val="sk-SK"/>
        </w:rPr>
        <w:t>dosiahne v</w:t>
      </w:r>
      <w:r w:rsidR="00AD5007" w:rsidRPr="00BA7F79">
        <w:rPr>
          <w:sz w:val="22"/>
          <w:szCs w:val="22"/>
          <w:lang w:val="sk-SK"/>
        </w:rPr>
        <w:t> </w:t>
      </w:r>
      <w:r w:rsidR="00BB3AFD" w:rsidRPr="00BA7F79">
        <w:rPr>
          <w:sz w:val="22"/>
          <w:szCs w:val="22"/>
          <w:lang w:val="sk-SK"/>
        </w:rPr>
        <w:t>priemere po 6</w:t>
      </w:r>
      <w:r w:rsidR="00AD5007" w:rsidRPr="00BA7F79">
        <w:rPr>
          <w:sz w:val="22"/>
          <w:szCs w:val="22"/>
          <w:lang w:val="sk-SK"/>
        </w:rPr>
        <w:t> až 10 </w:t>
      </w:r>
      <w:r w:rsidR="00BB3AFD" w:rsidRPr="00BA7F79">
        <w:rPr>
          <w:sz w:val="22"/>
          <w:szCs w:val="22"/>
          <w:lang w:val="sk-SK"/>
        </w:rPr>
        <w:t>hodinách</w:t>
      </w:r>
      <w:r w:rsidR="001963D0" w:rsidRPr="00BA7F79">
        <w:rPr>
          <w:sz w:val="22"/>
          <w:szCs w:val="22"/>
          <w:lang w:val="sk-SK"/>
        </w:rPr>
        <w:t>.</w:t>
      </w:r>
    </w:p>
    <w:p w14:paraId="16DF1055" w14:textId="77777777" w:rsidR="00F97186" w:rsidRPr="00BA7F79" w:rsidRDefault="00F97186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</w:t>
      </w:r>
      <w:r w:rsidR="00FA506A" w:rsidRPr="00BA7F79">
        <w:rPr>
          <w:sz w:val="22"/>
          <w:szCs w:val="22"/>
          <w:lang w:val="sk-SK"/>
        </w:rPr>
        <w:t> </w:t>
      </w:r>
      <w:proofErr w:type="spellStart"/>
      <w:r w:rsidR="00FA506A" w:rsidRPr="00BA7F79">
        <w:rPr>
          <w:sz w:val="22"/>
          <w:szCs w:val="22"/>
          <w:lang w:val="sk-SK"/>
        </w:rPr>
        <w:t>bioekvivalenčnej</w:t>
      </w:r>
      <w:proofErr w:type="spellEnd"/>
      <w:r w:rsidR="00FA506A" w:rsidRPr="00BA7F79">
        <w:rPr>
          <w:sz w:val="22"/>
          <w:szCs w:val="22"/>
          <w:lang w:val="sk-SK"/>
        </w:rPr>
        <w:t xml:space="preserve"> štúdii (</w:t>
      </w:r>
      <w:r w:rsidR="00534B67" w:rsidRPr="00BA7F79">
        <w:rPr>
          <w:sz w:val="22"/>
          <w:szCs w:val="22"/>
          <w:lang w:val="sk-SK"/>
        </w:rPr>
        <w:t xml:space="preserve">a </w:t>
      </w:r>
      <w:proofErr w:type="spellStart"/>
      <w:r w:rsidR="00FA506A" w:rsidRPr="00BA7F79">
        <w:rPr>
          <w:sz w:val="22"/>
          <w:szCs w:val="22"/>
          <w:lang w:val="sk-SK"/>
        </w:rPr>
        <w:t>steady-st</w:t>
      </w:r>
      <w:r w:rsidR="00836F20" w:rsidRPr="00BA7F79">
        <w:rPr>
          <w:sz w:val="22"/>
          <w:szCs w:val="22"/>
          <w:lang w:val="sk-SK"/>
        </w:rPr>
        <w:t>at</w:t>
      </w:r>
      <w:r w:rsidR="00FA506A" w:rsidRPr="00BA7F79">
        <w:rPr>
          <w:sz w:val="22"/>
          <w:szCs w:val="22"/>
          <w:lang w:val="sk-SK"/>
        </w:rPr>
        <w:t>e</w:t>
      </w:r>
      <w:proofErr w:type="spellEnd"/>
      <w:r w:rsidR="00FA506A" w:rsidRPr="00BA7F79">
        <w:rPr>
          <w:sz w:val="22"/>
          <w:szCs w:val="22"/>
          <w:lang w:val="sk-SK"/>
        </w:rPr>
        <w:t xml:space="preserve"> study), v ktorej sa sledovalo </w:t>
      </w:r>
      <w:r w:rsidRPr="00BA7F79">
        <w:rPr>
          <w:sz w:val="22"/>
          <w:szCs w:val="22"/>
          <w:lang w:val="sk-SK"/>
        </w:rPr>
        <w:t>25 pacientov s 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 užívajúcich raz denne 12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tablety ropinirolu s predĺženým uvoľňovaním, zvýšili jedlá s vysokým obsahom tuku systémovú expozíciu ropinirolu</w:t>
      </w:r>
      <w:r w:rsidR="00FA506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FA506A" w:rsidRPr="00BA7F79">
        <w:rPr>
          <w:sz w:val="22"/>
          <w:szCs w:val="22"/>
          <w:lang w:val="sk-SK"/>
        </w:rPr>
        <w:t>o čom svedčí</w:t>
      </w:r>
      <w:r w:rsidRPr="00BA7F79">
        <w:rPr>
          <w:sz w:val="22"/>
          <w:szCs w:val="22"/>
          <w:lang w:val="sk-SK"/>
        </w:rPr>
        <w:t xml:space="preserve"> priemerné zvýšenie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FA506A" w:rsidRPr="00BA7F79">
        <w:rPr>
          <w:sz w:val="22"/>
          <w:szCs w:val="22"/>
          <w:lang w:val="sk-SK"/>
        </w:rPr>
        <w:t>o</w:t>
      </w:r>
      <w:r w:rsidR="009C13F9" w:rsidRPr="00BA7F79">
        <w:rPr>
          <w:sz w:val="22"/>
          <w:szCs w:val="22"/>
          <w:lang w:val="sk-SK"/>
        </w:rPr>
        <w:t> </w:t>
      </w:r>
      <w:r w:rsidR="00FA506A" w:rsidRPr="00BA7F79">
        <w:rPr>
          <w:sz w:val="22"/>
          <w:szCs w:val="22"/>
          <w:lang w:val="sk-SK"/>
        </w:rPr>
        <w:t xml:space="preserve">20 % </w:t>
      </w:r>
      <w:r w:rsidRPr="00BA7F79">
        <w:rPr>
          <w:sz w:val="22"/>
          <w:szCs w:val="22"/>
          <w:lang w:val="sk-SK"/>
        </w:rPr>
        <w:t>a </w:t>
      </w:r>
      <w:proofErr w:type="spellStart"/>
      <w:r w:rsidR="00FA506A" w:rsidRPr="00BA7F79">
        <w:rPr>
          <w:sz w:val="22"/>
          <w:szCs w:val="22"/>
          <w:lang w:val="sk-SK"/>
        </w:rPr>
        <w:t>C</w:t>
      </w:r>
      <w:r w:rsidR="00FA506A"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="00FA506A" w:rsidRPr="00BA7F79">
        <w:rPr>
          <w:sz w:val="22"/>
          <w:szCs w:val="22"/>
          <w:lang w:val="sk-SK"/>
        </w:rPr>
        <w:t xml:space="preserve"> o</w:t>
      </w:r>
      <w:r w:rsidRPr="00BA7F79">
        <w:rPr>
          <w:sz w:val="22"/>
          <w:szCs w:val="22"/>
          <w:lang w:val="sk-SK"/>
        </w:rPr>
        <w:t xml:space="preserve"> 44 %</w:t>
      </w:r>
      <w:r w:rsidR="00FA506A" w:rsidRPr="00BA7F79">
        <w:rPr>
          <w:sz w:val="22"/>
          <w:szCs w:val="22"/>
          <w:lang w:val="sk-SK"/>
        </w:rPr>
        <w:t xml:space="preserve">. </w:t>
      </w:r>
      <w:proofErr w:type="spellStart"/>
      <w:r w:rsidRPr="00BA7F79">
        <w:rPr>
          <w:sz w:val="22"/>
          <w:szCs w:val="22"/>
          <w:lang w:val="sk-SK"/>
        </w:rPr>
        <w:t>T</w:t>
      </w:r>
      <w:r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Pr="00BA7F79">
        <w:rPr>
          <w:sz w:val="22"/>
          <w:szCs w:val="22"/>
          <w:lang w:val="sk-SK"/>
        </w:rPr>
        <w:t xml:space="preserve"> sa predĺžil o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3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hodiny. </w:t>
      </w:r>
      <w:r w:rsidR="00470139" w:rsidRPr="00BA7F79">
        <w:rPr>
          <w:sz w:val="22"/>
          <w:szCs w:val="22"/>
          <w:lang w:val="sk-SK"/>
        </w:rPr>
        <w:t>T</w:t>
      </w:r>
      <w:r w:rsidRPr="00BA7F79">
        <w:rPr>
          <w:sz w:val="22"/>
          <w:szCs w:val="22"/>
          <w:lang w:val="sk-SK"/>
        </w:rPr>
        <w:t xml:space="preserve">ieto zmeny </w:t>
      </w:r>
      <w:r w:rsidR="00470139" w:rsidRPr="00BA7F79">
        <w:rPr>
          <w:sz w:val="22"/>
          <w:szCs w:val="22"/>
          <w:lang w:val="sk-SK"/>
        </w:rPr>
        <w:t xml:space="preserve">však </w:t>
      </w:r>
      <w:r w:rsidRPr="00BA7F79">
        <w:rPr>
          <w:sz w:val="22"/>
          <w:szCs w:val="22"/>
          <w:lang w:val="sk-SK"/>
        </w:rPr>
        <w:t xml:space="preserve">nie sú pravdepodobne klinicky relevantné (napr. zvýšená </w:t>
      </w:r>
      <w:proofErr w:type="spellStart"/>
      <w:r w:rsidRPr="00BA7F79">
        <w:rPr>
          <w:sz w:val="22"/>
          <w:szCs w:val="22"/>
          <w:lang w:val="sk-SK"/>
        </w:rPr>
        <w:t>incidencia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836F20" w:rsidRPr="00BA7F79">
        <w:rPr>
          <w:sz w:val="22"/>
          <w:szCs w:val="22"/>
          <w:lang w:val="sk-SK"/>
        </w:rPr>
        <w:t>nežiaducich</w:t>
      </w:r>
      <w:r w:rsidRPr="00BA7F79">
        <w:rPr>
          <w:sz w:val="22"/>
          <w:szCs w:val="22"/>
          <w:lang w:val="sk-SK"/>
        </w:rPr>
        <w:t xml:space="preserve"> udalostí).</w:t>
      </w:r>
    </w:p>
    <w:p w14:paraId="068252CA" w14:textId="77777777" w:rsidR="001963D0" w:rsidRPr="00BA7F79" w:rsidRDefault="00FD1E6F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Systémová expozícia ropinirol</w:t>
      </w:r>
      <w:r w:rsidR="00D4221E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je pri tabletách ropinirolu s predĺženým uvoľňovaním a pri filmom obalených tabletách (s okamžitým uvoľňovaním) ropinirolu porovnateľná, keď sa podávajú v rovnakej dennej dávke.</w:t>
      </w:r>
    </w:p>
    <w:p w14:paraId="50AED4EA" w14:textId="77777777" w:rsidR="00BE0E64" w:rsidRPr="00BA7F79" w:rsidRDefault="00BE0E64" w:rsidP="000E2DDB">
      <w:pPr>
        <w:spacing w:line="240" w:lineRule="auto"/>
        <w:rPr>
          <w:sz w:val="22"/>
          <w:szCs w:val="22"/>
          <w:lang w:val="sk-SK"/>
        </w:rPr>
      </w:pPr>
    </w:p>
    <w:p w14:paraId="5E2B046D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u w:val="single"/>
          <w:lang w:val="sk-SK"/>
        </w:rPr>
        <w:t>Distrib</w:t>
      </w:r>
      <w:r w:rsidR="00BB3AFD" w:rsidRPr="00BA7F79">
        <w:rPr>
          <w:b/>
          <w:bCs/>
          <w:sz w:val="22"/>
          <w:szCs w:val="22"/>
          <w:u w:val="single"/>
          <w:lang w:val="sk-SK"/>
        </w:rPr>
        <w:t>úcia</w:t>
      </w:r>
    </w:p>
    <w:p w14:paraId="3355A742" w14:textId="77777777" w:rsidR="00222D9A" w:rsidRPr="00BA7F79" w:rsidRDefault="00BB3AFD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Väzba </w:t>
      </w:r>
      <w:r w:rsidR="00CF551E" w:rsidRPr="00BA7F79">
        <w:rPr>
          <w:sz w:val="22"/>
          <w:szCs w:val="22"/>
          <w:lang w:val="sk-SK"/>
        </w:rPr>
        <w:t>ropinirolu</w:t>
      </w:r>
      <w:r w:rsidRPr="00BA7F79">
        <w:rPr>
          <w:sz w:val="22"/>
          <w:szCs w:val="22"/>
          <w:lang w:val="sk-SK"/>
        </w:rPr>
        <w:t xml:space="preserve"> na plazmatické proteíny je nízka </w:t>
      </w:r>
      <w:r w:rsidR="00222D9A" w:rsidRPr="00BA7F79">
        <w:rPr>
          <w:sz w:val="22"/>
          <w:szCs w:val="22"/>
          <w:lang w:val="sk-SK"/>
        </w:rPr>
        <w:t>(10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–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40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 xml:space="preserve">%). </w:t>
      </w:r>
      <w:r w:rsidR="00070B15" w:rsidRPr="00BA7F79">
        <w:rPr>
          <w:sz w:val="22"/>
          <w:szCs w:val="22"/>
          <w:lang w:val="sk-SK"/>
        </w:rPr>
        <w:t xml:space="preserve">Veľký distribučný objem (približne 7 l/kg) ropinirolu je v zhode s jeho vysokou </w:t>
      </w:r>
      <w:proofErr w:type="spellStart"/>
      <w:r w:rsidR="00070B15" w:rsidRPr="00BA7F79">
        <w:rPr>
          <w:sz w:val="22"/>
          <w:szCs w:val="22"/>
          <w:lang w:val="sk-SK"/>
        </w:rPr>
        <w:t>lipofilitou</w:t>
      </w:r>
      <w:proofErr w:type="spellEnd"/>
      <w:r w:rsidR="00070B15" w:rsidRPr="00BA7F79">
        <w:rPr>
          <w:sz w:val="22"/>
          <w:szCs w:val="22"/>
          <w:lang w:val="sk-SK"/>
        </w:rPr>
        <w:t>.</w:t>
      </w:r>
    </w:p>
    <w:p w14:paraId="77FE6AC3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</w:p>
    <w:p w14:paraId="7652A83B" w14:textId="77777777" w:rsidR="00222D9A" w:rsidRPr="00BA7F79" w:rsidRDefault="006D5ED0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b/>
          <w:bCs/>
          <w:sz w:val="22"/>
          <w:szCs w:val="22"/>
          <w:u w:val="single"/>
          <w:lang w:val="sk-SK"/>
        </w:rPr>
        <w:t>Biotransformácia</w:t>
      </w:r>
      <w:proofErr w:type="spellEnd"/>
    </w:p>
    <w:p w14:paraId="5C0CE721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="00070B15" w:rsidRPr="00BA7F79">
        <w:rPr>
          <w:sz w:val="22"/>
          <w:szCs w:val="22"/>
          <w:lang w:val="sk-SK"/>
        </w:rPr>
        <w:t xml:space="preserve"> je odstránený hlavne </w:t>
      </w:r>
      <w:proofErr w:type="spellStart"/>
      <w:r w:rsidR="00070B15" w:rsidRPr="00BA7F79">
        <w:rPr>
          <w:sz w:val="22"/>
          <w:szCs w:val="22"/>
          <w:lang w:val="sk-SK"/>
        </w:rPr>
        <w:t>metaboliz</w:t>
      </w:r>
      <w:r w:rsidR="006035FE" w:rsidRPr="00BA7F79">
        <w:rPr>
          <w:sz w:val="22"/>
          <w:szCs w:val="22"/>
          <w:lang w:val="sk-SK"/>
        </w:rPr>
        <w:t>áciou</w:t>
      </w:r>
      <w:proofErr w:type="spellEnd"/>
      <w:r w:rsidR="006035FE" w:rsidRPr="00BA7F79">
        <w:rPr>
          <w:sz w:val="22"/>
          <w:szCs w:val="22"/>
          <w:lang w:val="sk-SK"/>
        </w:rPr>
        <w:t xml:space="preserve"> cez </w:t>
      </w:r>
      <w:proofErr w:type="spellStart"/>
      <w:r w:rsidRPr="00BA7F79">
        <w:rPr>
          <w:sz w:val="22"/>
          <w:szCs w:val="22"/>
          <w:lang w:val="sk-SK"/>
        </w:rPr>
        <w:t>CYP1A2</w:t>
      </w:r>
      <w:proofErr w:type="spellEnd"/>
      <w:r w:rsidRPr="00BA7F79">
        <w:rPr>
          <w:sz w:val="22"/>
          <w:szCs w:val="22"/>
          <w:lang w:val="sk-SK"/>
        </w:rPr>
        <w:t xml:space="preserve"> a </w:t>
      </w:r>
      <w:r w:rsidR="00070B15" w:rsidRPr="00BA7F79">
        <w:rPr>
          <w:sz w:val="22"/>
          <w:szCs w:val="22"/>
          <w:lang w:val="sk-SK"/>
        </w:rPr>
        <w:t xml:space="preserve">jeho </w:t>
      </w:r>
      <w:proofErr w:type="spellStart"/>
      <w:r w:rsidR="00070B15" w:rsidRPr="00BA7F79">
        <w:rPr>
          <w:sz w:val="22"/>
          <w:szCs w:val="22"/>
          <w:lang w:val="sk-SK"/>
        </w:rPr>
        <w:t>metabolity</w:t>
      </w:r>
      <w:proofErr w:type="spellEnd"/>
      <w:r w:rsidR="00070B15" w:rsidRPr="00BA7F79">
        <w:rPr>
          <w:sz w:val="22"/>
          <w:szCs w:val="22"/>
          <w:lang w:val="sk-SK"/>
        </w:rPr>
        <w:t xml:space="preserve"> sú vylučované najmä močom</w:t>
      </w:r>
      <w:r w:rsidRPr="00BA7F79">
        <w:rPr>
          <w:sz w:val="22"/>
          <w:szCs w:val="22"/>
          <w:lang w:val="sk-SK"/>
        </w:rPr>
        <w:t xml:space="preserve">. </w:t>
      </w:r>
      <w:r w:rsidR="00070B15" w:rsidRPr="00BA7F79">
        <w:rPr>
          <w:sz w:val="22"/>
          <w:szCs w:val="22"/>
          <w:lang w:val="sk-SK"/>
        </w:rPr>
        <w:t>H</w:t>
      </w:r>
      <w:r w:rsidR="00070B15" w:rsidRPr="00BA7F79">
        <w:rPr>
          <w:snapToGrid w:val="0"/>
          <w:sz w:val="22"/>
          <w:szCs w:val="22"/>
          <w:lang w:val="sk-SK"/>
        </w:rPr>
        <w:t xml:space="preserve">lavný </w:t>
      </w:r>
      <w:proofErr w:type="spellStart"/>
      <w:r w:rsidR="00070B15" w:rsidRPr="00BA7F79">
        <w:rPr>
          <w:snapToGrid w:val="0"/>
          <w:sz w:val="22"/>
          <w:szCs w:val="22"/>
          <w:lang w:val="sk-SK"/>
        </w:rPr>
        <w:t>metabolit</w:t>
      </w:r>
      <w:proofErr w:type="spellEnd"/>
      <w:r w:rsidR="00070B15" w:rsidRPr="00BA7F79">
        <w:rPr>
          <w:snapToGrid w:val="0"/>
          <w:sz w:val="22"/>
          <w:szCs w:val="22"/>
          <w:lang w:val="sk-SK"/>
        </w:rPr>
        <w:t xml:space="preserve"> je </w:t>
      </w:r>
      <w:r w:rsidR="00070B15" w:rsidRPr="00BA7F79">
        <w:rPr>
          <w:sz w:val="22"/>
          <w:szCs w:val="22"/>
          <w:lang w:val="sk-SK"/>
        </w:rPr>
        <w:t xml:space="preserve">najmenej </w:t>
      </w:r>
      <w:proofErr w:type="spellStart"/>
      <w:r w:rsidR="00070B15" w:rsidRPr="00BA7F79">
        <w:rPr>
          <w:sz w:val="22"/>
          <w:szCs w:val="22"/>
          <w:lang w:val="sk-SK"/>
        </w:rPr>
        <w:t>100</w:t>
      </w:r>
      <w:r w:rsidR="001F12BE" w:rsidRPr="00BA7F79">
        <w:rPr>
          <w:sz w:val="22"/>
          <w:szCs w:val="22"/>
          <w:lang w:val="sk-SK"/>
        </w:rPr>
        <w:noBreakHyphen/>
      </w:r>
      <w:r w:rsidR="00070B15" w:rsidRPr="00BA7F79">
        <w:rPr>
          <w:sz w:val="22"/>
          <w:szCs w:val="22"/>
          <w:lang w:val="sk-SK"/>
        </w:rPr>
        <w:t>krát</w:t>
      </w:r>
      <w:proofErr w:type="spellEnd"/>
      <w:r w:rsidR="00070B15" w:rsidRPr="00BA7F79">
        <w:rPr>
          <w:sz w:val="22"/>
          <w:szCs w:val="22"/>
          <w:lang w:val="sk-SK"/>
        </w:rPr>
        <w:t xml:space="preserve"> menej účinný ako </w:t>
      </w:r>
      <w:proofErr w:type="spellStart"/>
      <w:r w:rsidR="00070B15" w:rsidRPr="00BA7F79">
        <w:rPr>
          <w:sz w:val="22"/>
          <w:szCs w:val="22"/>
          <w:lang w:val="sk-SK"/>
        </w:rPr>
        <w:t>ropinirol</w:t>
      </w:r>
      <w:proofErr w:type="spellEnd"/>
      <w:r w:rsidR="00070B15" w:rsidRPr="00BA7F79">
        <w:rPr>
          <w:sz w:val="22"/>
          <w:szCs w:val="22"/>
          <w:lang w:val="sk-SK"/>
        </w:rPr>
        <w:t xml:space="preserve"> u zvieracích modelov skúmajúcich </w:t>
      </w:r>
      <w:proofErr w:type="spellStart"/>
      <w:r w:rsidR="00070B15" w:rsidRPr="00BA7F79">
        <w:rPr>
          <w:sz w:val="22"/>
          <w:szCs w:val="22"/>
          <w:lang w:val="sk-SK"/>
        </w:rPr>
        <w:t>dopaminergnú</w:t>
      </w:r>
      <w:proofErr w:type="spellEnd"/>
      <w:r w:rsidR="00070B15" w:rsidRPr="00BA7F79">
        <w:rPr>
          <w:sz w:val="22"/>
          <w:szCs w:val="22"/>
          <w:lang w:val="sk-SK"/>
        </w:rPr>
        <w:t xml:space="preserve"> funkciu</w:t>
      </w:r>
      <w:r w:rsidRPr="00BA7F79">
        <w:rPr>
          <w:sz w:val="22"/>
          <w:szCs w:val="22"/>
          <w:lang w:val="sk-SK"/>
        </w:rPr>
        <w:t>.</w:t>
      </w:r>
    </w:p>
    <w:p w14:paraId="760BB507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</w:p>
    <w:p w14:paraId="3A2CB7CB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u w:val="single"/>
          <w:lang w:val="sk-SK"/>
        </w:rPr>
        <w:t>Elimin</w:t>
      </w:r>
      <w:r w:rsidR="00070B15" w:rsidRPr="00BA7F79">
        <w:rPr>
          <w:b/>
          <w:bCs/>
          <w:sz w:val="22"/>
          <w:szCs w:val="22"/>
          <w:u w:val="single"/>
          <w:lang w:val="sk-SK"/>
        </w:rPr>
        <w:t>ácia</w:t>
      </w:r>
    </w:p>
    <w:p w14:paraId="6093B019" w14:textId="77777777" w:rsidR="00222D9A" w:rsidRPr="00BA7F79" w:rsidRDefault="00EE6F35" w:rsidP="000E2DD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je odstránený zo systémovej cirkulácie s priemerným polčasom eliminácie približne </w:t>
      </w:r>
      <w:r w:rsidR="00222D9A" w:rsidRPr="00BA7F79">
        <w:rPr>
          <w:sz w:val="22"/>
          <w:szCs w:val="22"/>
          <w:lang w:val="sk-SK"/>
        </w:rPr>
        <w:t>6</w:t>
      </w:r>
      <w:r w:rsidR="00B43E0A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ho</w:t>
      </w:r>
      <w:r w:rsidRPr="00BA7F79">
        <w:rPr>
          <w:sz w:val="22"/>
          <w:szCs w:val="22"/>
          <w:lang w:val="sk-SK"/>
        </w:rPr>
        <w:t>dín</w:t>
      </w:r>
      <w:r w:rsidR="00222D9A" w:rsidRPr="00BA7F79">
        <w:rPr>
          <w:sz w:val="22"/>
          <w:szCs w:val="22"/>
          <w:lang w:val="sk-SK"/>
        </w:rPr>
        <w:t>.</w:t>
      </w:r>
    </w:p>
    <w:p w14:paraId="1CD7A89E" w14:textId="77777777" w:rsidR="00222D9A" w:rsidRPr="00BA7F79" w:rsidRDefault="00152295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Zvýšenie systémovej expozície (</w:t>
      </w:r>
      <w:proofErr w:type="spellStart"/>
      <w:r w:rsidRPr="00BA7F79">
        <w:rPr>
          <w:sz w:val="22"/>
          <w:szCs w:val="22"/>
          <w:lang w:val="sk-SK"/>
        </w:rPr>
        <w:t>C</w:t>
      </w:r>
      <w:r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Pr="00BA7F79">
        <w:rPr>
          <w:sz w:val="22"/>
          <w:szCs w:val="22"/>
          <w:vertAlign w:val="subscript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a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) ropinirolu je približne úmerné </w:t>
      </w:r>
      <w:r w:rsidR="0036218F" w:rsidRPr="00BA7F79">
        <w:rPr>
          <w:sz w:val="22"/>
          <w:szCs w:val="22"/>
          <w:lang w:val="sk-SK"/>
        </w:rPr>
        <w:t xml:space="preserve">v celom </w:t>
      </w:r>
      <w:r w:rsidRPr="00BA7F79">
        <w:rPr>
          <w:sz w:val="22"/>
          <w:szCs w:val="22"/>
          <w:lang w:val="sk-SK"/>
        </w:rPr>
        <w:t>rozsahu terapeutických dávok</w:t>
      </w:r>
      <w:r w:rsidR="00222D9A" w:rsidRPr="00BA7F79">
        <w:rPr>
          <w:sz w:val="22"/>
          <w:szCs w:val="22"/>
          <w:lang w:val="sk-SK"/>
        </w:rPr>
        <w:t xml:space="preserve">. </w:t>
      </w:r>
      <w:r w:rsidR="00B173D6" w:rsidRPr="00BA7F79">
        <w:rPr>
          <w:sz w:val="22"/>
          <w:szCs w:val="22"/>
          <w:lang w:val="sk-SK"/>
        </w:rPr>
        <w:t xml:space="preserve">Po jednorazovom a opakovanom perorálnom podaní nie je pozorovaná žiadna zmena v perorálnom </w:t>
      </w:r>
      <w:proofErr w:type="spellStart"/>
      <w:r w:rsidR="00B173D6" w:rsidRPr="00BA7F79">
        <w:rPr>
          <w:sz w:val="22"/>
          <w:szCs w:val="22"/>
          <w:lang w:val="sk-SK"/>
        </w:rPr>
        <w:t>klírense</w:t>
      </w:r>
      <w:proofErr w:type="spellEnd"/>
      <w:r w:rsidR="00B173D6" w:rsidRPr="00BA7F79">
        <w:rPr>
          <w:sz w:val="22"/>
          <w:szCs w:val="22"/>
          <w:lang w:val="sk-SK"/>
        </w:rPr>
        <w:t xml:space="preserve"> ropinirolu</w:t>
      </w:r>
      <w:r w:rsidR="00222D9A" w:rsidRPr="00BA7F79">
        <w:rPr>
          <w:sz w:val="22"/>
          <w:szCs w:val="22"/>
          <w:lang w:val="sk-SK"/>
        </w:rPr>
        <w:t>.</w:t>
      </w:r>
      <w:r w:rsidR="00665226" w:rsidRPr="00BA7F79">
        <w:rPr>
          <w:sz w:val="22"/>
          <w:szCs w:val="22"/>
          <w:lang w:val="sk-SK"/>
        </w:rPr>
        <w:t xml:space="preserve"> </w:t>
      </w:r>
      <w:r w:rsidR="00B173D6" w:rsidRPr="00BA7F79">
        <w:rPr>
          <w:sz w:val="22"/>
          <w:szCs w:val="22"/>
          <w:lang w:val="sk-SK"/>
        </w:rPr>
        <w:t xml:space="preserve">Vo </w:t>
      </w:r>
      <w:proofErr w:type="spellStart"/>
      <w:r w:rsidR="00B173D6" w:rsidRPr="00BA7F79">
        <w:rPr>
          <w:sz w:val="22"/>
          <w:szCs w:val="22"/>
          <w:lang w:val="sk-SK"/>
        </w:rPr>
        <w:t>farmakokinetických</w:t>
      </w:r>
      <w:proofErr w:type="spellEnd"/>
      <w:r w:rsidR="00B173D6" w:rsidRPr="00BA7F79">
        <w:rPr>
          <w:sz w:val="22"/>
          <w:szCs w:val="22"/>
          <w:lang w:val="sk-SK"/>
        </w:rPr>
        <w:t xml:space="preserve"> parametroch bola pozorovaná značná </w:t>
      </w:r>
      <w:proofErr w:type="spellStart"/>
      <w:r w:rsidR="00B173D6" w:rsidRPr="00BA7F79">
        <w:rPr>
          <w:sz w:val="22"/>
          <w:szCs w:val="22"/>
          <w:lang w:val="sk-SK"/>
        </w:rPr>
        <w:t>interindividuálna</w:t>
      </w:r>
      <w:proofErr w:type="spellEnd"/>
      <w:r w:rsidR="00B173D6" w:rsidRPr="00BA7F79">
        <w:rPr>
          <w:sz w:val="22"/>
          <w:szCs w:val="22"/>
          <w:lang w:val="sk-SK"/>
        </w:rPr>
        <w:t xml:space="preserve"> variabilita</w:t>
      </w:r>
      <w:r w:rsidR="00665226" w:rsidRPr="00BA7F79">
        <w:rPr>
          <w:sz w:val="22"/>
          <w:szCs w:val="22"/>
          <w:lang w:val="sk-SK"/>
        </w:rPr>
        <w:t>.</w:t>
      </w:r>
      <w:r w:rsidR="001F12BE" w:rsidRPr="00BA7F79">
        <w:rPr>
          <w:sz w:val="22"/>
          <w:szCs w:val="22"/>
          <w:lang w:val="sk-SK"/>
        </w:rPr>
        <w:t xml:space="preserve"> P</w:t>
      </w:r>
      <w:r w:rsidR="00593811" w:rsidRPr="00BA7F79">
        <w:rPr>
          <w:sz w:val="22"/>
          <w:szCs w:val="22"/>
          <w:lang w:val="sk-SK"/>
        </w:rPr>
        <w:t>ri</w:t>
      </w:r>
      <w:r w:rsidR="001F12BE" w:rsidRPr="00BA7F79">
        <w:rPr>
          <w:sz w:val="22"/>
          <w:szCs w:val="22"/>
          <w:lang w:val="sk-SK"/>
        </w:rPr>
        <w:t xml:space="preserve"> podávaní tabliet ropinirolu s predĺženým uvoľňovaním </w:t>
      </w:r>
      <w:r w:rsidR="00593811" w:rsidRPr="00BA7F79">
        <w:rPr>
          <w:sz w:val="22"/>
          <w:szCs w:val="22"/>
          <w:lang w:val="sk-SK"/>
        </w:rPr>
        <w:t>za</w:t>
      </w:r>
      <w:r w:rsidR="001F12BE" w:rsidRPr="00BA7F79">
        <w:rPr>
          <w:sz w:val="22"/>
          <w:szCs w:val="22"/>
          <w:lang w:val="sk-SK"/>
        </w:rPr>
        <w:t xml:space="preserve"> rovnovážneho stavu bola </w:t>
      </w:r>
      <w:proofErr w:type="spellStart"/>
      <w:r w:rsidR="001F12BE" w:rsidRPr="00BA7F79">
        <w:rPr>
          <w:sz w:val="22"/>
          <w:szCs w:val="22"/>
          <w:lang w:val="sk-SK"/>
        </w:rPr>
        <w:t>interindividuálna</w:t>
      </w:r>
      <w:proofErr w:type="spellEnd"/>
      <w:r w:rsidR="001F12BE" w:rsidRPr="00BA7F79">
        <w:rPr>
          <w:sz w:val="22"/>
          <w:szCs w:val="22"/>
          <w:lang w:val="sk-SK"/>
        </w:rPr>
        <w:t xml:space="preserve"> variabilita pri </w:t>
      </w:r>
      <w:proofErr w:type="spellStart"/>
      <w:r w:rsidR="001F12BE" w:rsidRPr="00BA7F79">
        <w:rPr>
          <w:sz w:val="22"/>
          <w:szCs w:val="22"/>
          <w:lang w:val="sk-SK"/>
        </w:rPr>
        <w:t>C</w:t>
      </w:r>
      <w:r w:rsidR="001F12BE"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="001F12BE" w:rsidRPr="00BA7F79">
        <w:rPr>
          <w:sz w:val="22"/>
          <w:szCs w:val="22"/>
          <w:lang w:val="sk-SK"/>
        </w:rPr>
        <w:t xml:space="preserve"> 30 % až 55 % a pri </w:t>
      </w:r>
      <w:proofErr w:type="spellStart"/>
      <w:r w:rsidR="001F12BE" w:rsidRPr="00BA7F79">
        <w:rPr>
          <w:sz w:val="22"/>
          <w:szCs w:val="22"/>
          <w:lang w:val="sk-SK"/>
        </w:rPr>
        <w:t>AUC</w:t>
      </w:r>
      <w:proofErr w:type="spellEnd"/>
      <w:r w:rsidR="001F12BE" w:rsidRPr="00BA7F79">
        <w:rPr>
          <w:sz w:val="22"/>
          <w:szCs w:val="22"/>
          <w:lang w:val="sk-SK"/>
        </w:rPr>
        <w:t xml:space="preserve"> 40 % až 70 %.</w:t>
      </w:r>
    </w:p>
    <w:p w14:paraId="186C80B4" w14:textId="77777777" w:rsidR="001963D0" w:rsidRPr="00BA7F79" w:rsidRDefault="001963D0" w:rsidP="000E2DDB">
      <w:pPr>
        <w:spacing w:line="240" w:lineRule="auto"/>
        <w:rPr>
          <w:bCs/>
          <w:iCs/>
          <w:sz w:val="22"/>
          <w:szCs w:val="22"/>
          <w:lang w:val="sk-SK"/>
        </w:rPr>
      </w:pPr>
    </w:p>
    <w:p w14:paraId="159241ED" w14:textId="77777777" w:rsidR="00763794" w:rsidRPr="00BA7F79" w:rsidRDefault="00763794" w:rsidP="00BF2D8B">
      <w:pPr>
        <w:spacing w:line="240" w:lineRule="auto"/>
        <w:rPr>
          <w:b/>
          <w:bCs/>
          <w:sz w:val="22"/>
          <w:szCs w:val="22"/>
          <w:u w:val="single"/>
          <w:lang w:val="sk-SK"/>
        </w:rPr>
      </w:pPr>
      <w:r w:rsidRPr="00BA7F79">
        <w:rPr>
          <w:b/>
          <w:bCs/>
          <w:sz w:val="22"/>
          <w:szCs w:val="22"/>
          <w:u w:val="single"/>
          <w:lang w:val="sk-SK"/>
        </w:rPr>
        <w:lastRenderedPageBreak/>
        <w:t>Porucha funkcie obličiek</w:t>
      </w:r>
    </w:p>
    <w:p w14:paraId="26F7CDFB" w14:textId="77777777" w:rsidR="00763794" w:rsidRPr="00BA7F79" w:rsidRDefault="00763794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 pacientov s 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chorobou, ktorí mali miernu až stredne ťažkú poruchu funkcie obličiek, sa nepozorovala žiadna zmena vo </w:t>
      </w:r>
      <w:proofErr w:type="spellStart"/>
      <w:r w:rsidRPr="00BA7F79">
        <w:rPr>
          <w:sz w:val="22"/>
          <w:szCs w:val="22"/>
          <w:lang w:val="sk-SK"/>
        </w:rPr>
        <w:t>farmakokinetike</w:t>
      </w:r>
      <w:proofErr w:type="spellEnd"/>
      <w:r w:rsidRPr="00BA7F79">
        <w:rPr>
          <w:sz w:val="22"/>
          <w:szCs w:val="22"/>
          <w:lang w:val="sk-SK"/>
        </w:rPr>
        <w:t xml:space="preserve"> ropinirolu.</w:t>
      </w:r>
    </w:p>
    <w:p w14:paraId="0BA5E875" w14:textId="77777777" w:rsidR="00763794" w:rsidRPr="00BA7F79" w:rsidRDefault="00763794" w:rsidP="00BF2D8B">
      <w:pPr>
        <w:spacing w:line="240" w:lineRule="auto"/>
        <w:rPr>
          <w:sz w:val="22"/>
          <w:szCs w:val="22"/>
          <w:lang w:val="sk-SK"/>
        </w:rPr>
      </w:pPr>
    </w:p>
    <w:p w14:paraId="76D394E9" w14:textId="77777777" w:rsidR="00763794" w:rsidRPr="00BA7F79" w:rsidRDefault="00763794" w:rsidP="00BF2D8B">
      <w:pPr>
        <w:spacing w:line="240" w:lineRule="auto"/>
        <w:rPr>
          <w:bCs/>
          <w:iC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Perorálny 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ropinirolu u pacientov </w:t>
      </w:r>
      <w:r w:rsidR="009C13F9" w:rsidRPr="00BA7F79">
        <w:rPr>
          <w:sz w:val="22"/>
          <w:szCs w:val="22"/>
          <w:lang w:val="sk-SK"/>
        </w:rPr>
        <w:t>v</w:t>
      </w:r>
      <w:r w:rsidRPr="00BA7F79">
        <w:rPr>
          <w:sz w:val="22"/>
          <w:szCs w:val="22"/>
          <w:lang w:val="sk-SK"/>
        </w:rPr>
        <w:t> termináln</w:t>
      </w:r>
      <w:r w:rsidR="009C13F9" w:rsidRPr="00BA7F79">
        <w:rPr>
          <w:sz w:val="22"/>
          <w:szCs w:val="22"/>
          <w:lang w:val="sk-SK"/>
        </w:rPr>
        <w:t>om</w:t>
      </w:r>
      <w:r w:rsidRPr="00BA7F79">
        <w:rPr>
          <w:sz w:val="22"/>
          <w:szCs w:val="22"/>
          <w:lang w:val="sk-SK"/>
        </w:rPr>
        <w:t xml:space="preserve"> štádi</w:t>
      </w:r>
      <w:r w:rsidR="009C13F9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ochorenia obličiek podstupujúcich pravidelnú hemodialýzu je znížený o približne 30 %. Perorálny </w:t>
      </w:r>
      <w:proofErr w:type="spellStart"/>
      <w:r w:rsidRPr="00BA7F79">
        <w:rPr>
          <w:sz w:val="22"/>
          <w:szCs w:val="22"/>
          <w:lang w:val="sk-SK"/>
        </w:rPr>
        <w:t>klírens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metabolitov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SKF</w:t>
      </w:r>
      <w:r w:rsidRPr="00BA7F79">
        <w:rPr>
          <w:sz w:val="22"/>
          <w:szCs w:val="22"/>
          <w:lang w:val="sk-SK"/>
        </w:rPr>
        <w:noBreakHyphen/>
        <w:t>104557</w:t>
      </w:r>
      <w:proofErr w:type="spellEnd"/>
      <w:r w:rsidRPr="00BA7F79">
        <w:rPr>
          <w:sz w:val="22"/>
          <w:szCs w:val="22"/>
          <w:lang w:val="sk-SK"/>
        </w:rPr>
        <w:t xml:space="preserve"> a </w:t>
      </w:r>
      <w:proofErr w:type="spellStart"/>
      <w:r w:rsidRPr="00BA7F79">
        <w:rPr>
          <w:sz w:val="22"/>
          <w:szCs w:val="22"/>
          <w:lang w:val="sk-SK"/>
        </w:rPr>
        <w:t>SKF</w:t>
      </w:r>
      <w:r w:rsidRPr="00BA7F79">
        <w:rPr>
          <w:sz w:val="22"/>
          <w:szCs w:val="22"/>
          <w:lang w:val="sk-SK"/>
        </w:rPr>
        <w:noBreakHyphen/>
        <w:t>89124</w:t>
      </w:r>
      <w:proofErr w:type="spellEnd"/>
      <w:r w:rsidRPr="00BA7F79">
        <w:rPr>
          <w:sz w:val="22"/>
          <w:szCs w:val="22"/>
          <w:lang w:val="sk-SK"/>
        </w:rPr>
        <w:t xml:space="preserve"> bol tiež znížený o približne 80 % a 60 %, v uvedenom poradí. Z toho dôvodu je odporúčaná maximálna dávka limitovaná na 18 mg/deň u týchto pacientov s </w:t>
      </w:r>
      <w:proofErr w:type="spellStart"/>
      <w:r w:rsidRPr="00BA7F79">
        <w:rPr>
          <w:sz w:val="22"/>
          <w:szCs w:val="22"/>
          <w:lang w:val="sk-SK"/>
        </w:rPr>
        <w:t>Parkinsonovou</w:t>
      </w:r>
      <w:proofErr w:type="spellEnd"/>
      <w:r w:rsidRPr="00BA7F79">
        <w:rPr>
          <w:sz w:val="22"/>
          <w:szCs w:val="22"/>
          <w:lang w:val="sk-SK"/>
        </w:rPr>
        <w:t xml:space="preserve"> chorobou (pozri časť 4.2).</w:t>
      </w:r>
    </w:p>
    <w:p w14:paraId="2E04A8A1" w14:textId="77777777" w:rsidR="00763794" w:rsidRPr="00BA7F79" w:rsidRDefault="00763794" w:rsidP="000E2DDB">
      <w:pPr>
        <w:spacing w:line="240" w:lineRule="auto"/>
        <w:rPr>
          <w:bCs/>
          <w:iCs/>
          <w:sz w:val="22"/>
          <w:szCs w:val="22"/>
          <w:lang w:val="sk-SK"/>
        </w:rPr>
      </w:pPr>
    </w:p>
    <w:p w14:paraId="03C5F73E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5.3</w:t>
      </w:r>
      <w:r w:rsidRPr="00BA7F79">
        <w:rPr>
          <w:sz w:val="22"/>
          <w:szCs w:val="22"/>
          <w:lang w:val="sk-SK"/>
        </w:rPr>
        <w:tab/>
        <w:t>Pre</w:t>
      </w:r>
      <w:r w:rsidR="00805F55" w:rsidRPr="00BA7F79">
        <w:rPr>
          <w:sz w:val="22"/>
          <w:szCs w:val="22"/>
          <w:lang w:val="sk-SK"/>
        </w:rPr>
        <w:t>dkl</w:t>
      </w:r>
      <w:r w:rsidRPr="00BA7F79">
        <w:rPr>
          <w:sz w:val="22"/>
          <w:szCs w:val="22"/>
          <w:lang w:val="sk-SK"/>
        </w:rPr>
        <w:t>inic</w:t>
      </w:r>
      <w:r w:rsidR="00805F55" w:rsidRPr="00BA7F79">
        <w:rPr>
          <w:sz w:val="22"/>
          <w:szCs w:val="22"/>
          <w:lang w:val="sk-SK"/>
        </w:rPr>
        <w:t>ké údaje o bezpečnosti</w:t>
      </w:r>
    </w:p>
    <w:p w14:paraId="5CAAB554" w14:textId="77777777" w:rsidR="00666838" w:rsidRPr="00BA7F79" w:rsidRDefault="00666838" w:rsidP="000E2DDB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1BFB2D03" w14:textId="77777777" w:rsidR="001F12BE" w:rsidRPr="00BA7F79" w:rsidRDefault="001F12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b/>
          <w:sz w:val="22"/>
          <w:szCs w:val="22"/>
          <w:u w:val="single"/>
          <w:lang w:val="sk-SK"/>
        </w:rPr>
        <w:t>Reprodukčná toxicita</w:t>
      </w:r>
    </w:p>
    <w:p w14:paraId="0DFA893C" w14:textId="77777777" w:rsidR="000B6473" w:rsidRPr="00BA7F79" w:rsidRDefault="000B647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V štúdiách </w:t>
      </w:r>
      <w:proofErr w:type="spellStart"/>
      <w:r w:rsidRPr="00BA7F79">
        <w:rPr>
          <w:sz w:val="22"/>
          <w:szCs w:val="22"/>
          <w:lang w:val="sk-SK"/>
        </w:rPr>
        <w:t>fertility</w:t>
      </w:r>
      <w:proofErr w:type="spellEnd"/>
      <w:r w:rsidRPr="00BA7F79">
        <w:rPr>
          <w:sz w:val="22"/>
          <w:szCs w:val="22"/>
          <w:lang w:val="sk-SK"/>
        </w:rPr>
        <w:t xml:space="preserve"> u potkanov sa u samíc pozoroval vplyv na implantáciu v dôsledku účinku ropinirolu na zníženie hladiny </w:t>
      </w:r>
      <w:proofErr w:type="spellStart"/>
      <w:r w:rsidRPr="00BA7F79">
        <w:rPr>
          <w:sz w:val="22"/>
          <w:szCs w:val="22"/>
          <w:lang w:val="sk-SK"/>
        </w:rPr>
        <w:t>prolaktínu</w:t>
      </w:r>
      <w:proofErr w:type="spellEnd"/>
      <w:r w:rsidRPr="00BA7F79">
        <w:rPr>
          <w:sz w:val="22"/>
          <w:szCs w:val="22"/>
          <w:lang w:val="sk-SK"/>
        </w:rPr>
        <w:t xml:space="preserve">. Je potrebné poznamenať, že </w:t>
      </w:r>
      <w:proofErr w:type="spellStart"/>
      <w:r w:rsidRPr="00BA7F79">
        <w:rPr>
          <w:sz w:val="22"/>
          <w:szCs w:val="22"/>
          <w:lang w:val="sk-SK"/>
        </w:rPr>
        <w:t>prolaktín</w:t>
      </w:r>
      <w:proofErr w:type="spellEnd"/>
      <w:r w:rsidRPr="00BA7F79">
        <w:rPr>
          <w:sz w:val="22"/>
          <w:szCs w:val="22"/>
          <w:lang w:val="sk-SK"/>
        </w:rPr>
        <w:t xml:space="preserve"> nie je potrebný na implantáciu u ľudí.</w:t>
      </w:r>
    </w:p>
    <w:p w14:paraId="5F6F7EAA" w14:textId="77777777" w:rsidR="000B6473" w:rsidRPr="00BA7F79" w:rsidRDefault="000B647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35B1E9E" w14:textId="4E6DF92D" w:rsidR="001F12BE" w:rsidRPr="00BA7F79" w:rsidRDefault="001F12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Podávanie ropinirolu gravidným potkanom v dávkach toxických pre samic</w:t>
      </w:r>
      <w:r w:rsidR="00593811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viedlo k zníženej telesnej hmotnosti plodu pri dávke 60 mg/kg/deň (</w:t>
      </w:r>
      <w:r w:rsidR="000B6473" w:rsidRPr="00BA7F79">
        <w:rPr>
          <w:sz w:val="22"/>
          <w:szCs w:val="22"/>
          <w:lang w:val="sk-SK"/>
        </w:rPr>
        <w:t xml:space="preserve">priemerná hodnota </w:t>
      </w:r>
      <w:proofErr w:type="spellStart"/>
      <w:r w:rsidR="000B6473" w:rsidRPr="00BA7F79">
        <w:rPr>
          <w:sz w:val="22"/>
          <w:szCs w:val="22"/>
          <w:lang w:val="sk-SK"/>
        </w:rPr>
        <w:t>AUC</w:t>
      </w:r>
      <w:proofErr w:type="spellEnd"/>
      <w:r w:rsidR="000B6473" w:rsidRPr="00BA7F79">
        <w:rPr>
          <w:sz w:val="22"/>
          <w:szCs w:val="22"/>
          <w:lang w:val="sk-SK"/>
        </w:rPr>
        <w:t xml:space="preserve"> u potkanov rovná </w:t>
      </w:r>
      <w:r w:rsidRPr="00BA7F79">
        <w:rPr>
          <w:sz w:val="22"/>
          <w:szCs w:val="22"/>
          <w:lang w:val="sk-SK"/>
        </w:rPr>
        <w:t xml:space="preserve">približne </w:t>
      </w:r>
      <w:r w:rsidR="00763794" w:rsidRPr="00BA7F79">
        <w:rPr>
          <w:sz w:val="22"/>
          <w:szCs w:val="22"/>
          <w:lang w:val="sk-SK"/>
        </w:rPr>
        <w:t>dvojnásobk</w:t>
      </w:r>
      <w:r w:rsidR="000B6473" w:rsidRPr="00BA7F79">
        <w:rPr>
          <w:sz w:val="22"/>
          <w:szCs w:val="22"/>
          <w:lang w:val="sk-SK"/>
        </w:rPr>
        <w:t>u</w:t>
      </w:r>
      <w:r w:rsidR="00763794" w:rsidRPr="00BA7F79">
        <w:rPr>
          <w:sz w:val="22"/>
          <w:szCs w:val="22"/>
          <w:lang w:val="sk-SK"/>
        </w:rPr>
        <w:t xml:space="preserve"> </w:t>
      </w:r>
      <w:r w:rsidR="000B6473" w:rsidRPr="00BA7F79">
        <w:rPr>
          <w:sz w:val="22"/>
          <w:szCs w:val="22"/>
          <w:lang w:val="sk-SK"/>
        </w:rPr>
        <w:t xml:space="preserve">najvyššej </w:t>
      </w:r>
      <w:r w:rsidR="003E1DB1" w:rsidRPr="00BA7F79">
        <w:rPr>
          <w:sz w:val="22"/>
          <w:szCs w:val="22"/>
          <w:lang w:val="sk-SK"/>
        </w:rPr>
        <w:t>hodnot</w:t>
      </w:r>
      <w:r w:rsidR="00763794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 dosiahnutej pri</w:t>
      </w:r>
      <w:r w:rsidR="00B33C4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maximálnej </w:t>
      </w:r>
      <w:r w:rsidR="000B6473" w:rsidRPr="00BA7F79">
        <w:rPr>
          <w:sz w:val="22"/>
          <w:szCs w:val="22"/>
          <w:lang w:val="sk-SK"/>
        </w:rPr>
        <w:t xml:space="preserve">odporúčanej </w:t>
      </w:r>
      <w:r w:rsidRPr="00BA7F79">
        <w:rPr>
          <w:sz w:val="22"/>
          <w:szCs w:val="22"/>
          <w:lang w:val="sk-SK"/>
        </w:rPr>
        <w:t xml:space="preserve">dávke </w:t>
      </w:r>
      <w:r w:rsidR="000B6473" w:rsidRPr="00BA7F79">
        <w:rPr>
          <w:sz w:val="22"/>
          <w:szCs w:val="22"/>
          <w:lang w:val="sk-SK"/>
        </w:rPr>
        <w:t>pre</w:t>
      </w:r>
      <w:r w:rsidRPr="00BA7F79">
        <w:rPr>
          <w:sz w:val="22"/>
          <w:szCs w:val="22"/>
          <w:lang w:val="sk-SK"/>
        </w:rPr>
        <w:t xml:space="preserve"> ľudí</w:t>
      </w:r>
      <w:r w:rsidR="000B6473" w:rsidRPr="00BA7F79">
        <w:rPr>
          <w:sz w:val="22"/>
          <w:szCs w:val="22"/>
          <w:lang w:val="sk-SK"/>
        </w:rPr>
        <w:t xml:space="preserve"> (Maximum </w:t>
      </w:r>
      <w:proofErr w:type="spellStart"/>
      <w:r w:rsidR="000B6473" w:rsidRPr="00BA7F79">
        <w:rPr>
          <w:sz w:val="22"/>
          <w:szCs w:val="22"/>
          <w:lang w:val="sk-SK"/>
        </w:rPr>
        <w:t>Recommended</w:t>
      </w:r>
      <w:proofErr w:type="spellEnd"/>
      <w:r w:rsidR="000B6473" w:rsidRPr="00BA7F79">
        <w:rPr>
          <w:sz w:val="22"/>
          <w:szCs w:val="22"/>
          <w:lang w:val="sk-SK"/>
        </w:rPr>
        <w:t xml:space="preserve"> </w:t>
      </w:r>
      <w:proofErr w:type="spellStart"/>
      <w:r w:rsidR="000B6473" w:rsidRPr="00BA7F79">
        <w:rPr>
          <w:sz w:val="22"/>
          <w:szCs w:val="22"/>
          <w:lang w:val="sk-SK"/>
        </w:rPr>
        <w:t>Human</w:t>
      </w:r>
      <w:proofErr w:type="spellEnd"/>
      <w:r w:rsidR="000B6473" w:rsidRPr="00BA7F79">
        <w:rPr>
          <w:sz w:val="22"/>
          <w:szCs w:val="22"/>
          <w:lang w:val="sk-SK"/>
        </w:rPr>
        <w:t xml:space="preserve"> Dose </w:t>
      </w:r>
      <w:r w:rsidR="000B6473" w:rsidRPr="00BA7F79">
        <w:rPr>
          <w:sz w:val="22"/>
          <w:szCs w:val="22"/>
          <w:lang w:val="sk-SK"/>
        </w:rPr>
        <w:noBreakHyphen/>
        <w:t> </w:t>
      </w:r>
      <w:proofErr w:type="spellStart"/>
      <w:r w:rsidR="000B6473" w:rsidRPr="00BA7F79">
        <w:rPr>
          <w:sz w:val="22"/>
          <w:szCs w:val="22"/>
          <w:lang w:val="sk-SK"/>
        </w:rPr>
        <w:t>MRHD</w:t>
      </w:r>
      <w:proofErr w:type="spellEnd"/>
      <w:r w:rsidR="000B6473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), k zvýšenej úmrtnosti plodov pri dávke 90 mg/kg/deň (približne </w:t>
      </w:r>
      <w:proofErr w:type="spellStart"/>
      <w:r w:rsidR="00763794" w:rsidRPr="00BA7F79">
        <w:rPr>
          <w:sz w:val="22"/>
          <w:szCs w:val="22"/>
          <w:lang w:val="sk-SK"/>
        </w:rPr>
        <w:t>3</w:t>
      </w:r>
      <w:r w:rsidRPr="00BA7F79">
        <w:rPr>
          <w:sz w:val="22"/>
          <w:szCs w:val="22"/>
          <w:lang w:val="sk-SK"/>
        </w:rPr>
        <w:noBreakHyphen/>
        <w:t>násobok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5D6574" w:rsidRPr="00BA7F79">
        <w:rPr>
          <w:sz w:val="22"/>
          <w:szCs w:val="22"/>
          <w:lang w:val="sk-SK"/>
        </w:rPr>
        <w:t xml:space="preserve">najvyššej </w:t>
      </w:r>
      <w:r w:rsidR="000D5F11" w:rsidRPr="00BA7F79">
        <w:rPr>
          <w:sz w:val="22"/>
          <w:szCs w:val="22"/>
          <w:lang w:val="sk-SK"/>
        </w:rPr>
        <w:t xml:space="preserve">hodnoty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 dosiahnutej pri </w:t>
      </w:r>
      <w:proofErr w:type="spellStart"/>
      <w:r w:rsidR="005D6574" w:rsidRPr="00BA7F79">
        <w:rPr>
          <w:sz w:val="22"/>
          <w:szCs w:val="22"/>
          <w:lang w:val="sk-SK"/>
        </w:rPr>
        <w:t>MRHD</w:t>
      </w:r>
      <w:proofErr w:type="spellEnd"/>
      <w:r w:rsidRPr="00BA7F79">
        <w:rPr>
          <w:sz w:val="22"/>
          <w:szCs w:val="22"/>
          <w:lang w:val="sk-SK"/>
        </w:rPr>
        <w:t>) a</w:t>
      </w:r>
      <w:r w:rsidR="005D657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k</w:t>
      </w:r>
      <w:r w:rsidR="005D6574" w:rsidRPr="00BA7F79">
        <w:rPr>
          <w:sz w:val="22"/>
          <w:szCs w:val="22"/>
          <w:lang w:val="sk-SK"/>
        </w:rPr>
        <w:t> </w:t>
      </w:r>
      <w:proofErr w:type="spellStart"/>
      <w:r w:rsidRPr="00BA7F79">
        <w:rPr>
          <w:sz w:val="22"/>
          <w:szCs w:val="22"/>
          <w:lang w:val="sk-SK"/>
        </w:rPr>
        <w:t>malformáciám</w:t>
      </w:r>
      <w:proofErr w:type="spellEnd"/>
      <w:r w:rsidRPr="00BA7F79">
        <w:rPr>
          <w:sz w:val="22"/>
          <w:szCs w:val="22"/>
          <w:lang w:val="sk-SK"/>
        </w:rPr>
        <w:t xml:space="preserve"> prstov pri</w:t>
      </w:r>
      <w:r w:rsidR="00B33C4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dávke 150 mg/kg/deň (približne </w:t>
      </w:r>
      <w:proofErr w:type="spellStart"/>
      <w:r w:rsidR="00763794" w:rsidRPr="00BA7F79">
        <w:rPr>
          <w:sz w:val="22"/>
          <w:szCs w:val="22"/>
          <w:lang w:val="sk-SK"/>
        </w:rPr>
        <w:t>5</w:t>
      </w:r>
      <w:r w:rsidRPr="00BA7F79">
        <w:rPr>
          <w:sz w:val="22"/>
          <w:szCs w:val="22"/>
          <w:lang w:val="sk-SK"/>
        </w:rPr>
        <w:noBreakHyphen/>
        <w:t>násobok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5D6574" w:rsidRPr="00BA7F79">
        <w:rPr>
          <w:sz w:val="22"/>
          <w:szCs w:val="22"/>
          <w:lang w:val="sk-SK"/>
        </w:rPr>
        <w:t xml:space="preserve">najvyššej </w:t>
      </w:r>
      <w:r w:rsidR="000D5F11" w:rsidRPr="00BA7F79">
        <w:rPr>
          <w:sz w:val="22"/>
          <w:szCs w:val="22"/>
          <w:lang w:val="sk-SK"/>
        </w:rPr>
        <w:t xml:space="preserve">hodnoty </w:t>
      </w:r>
      <w:proofErr w:type="spellStart"/>
      <w:r w:rsidR="000D5F11" w:rsidRPr="00BA7F79">
        <w:rPr>
          <w:sz w:val="22"/>
          <w:szCs w:val="22"/>
          <w:lang w:val="sk-SK"/>
        </w:rPr>
        <w:t>AUC</w:t>
      </w:r>
      <w:proofErr w:type="spellEnd"/>
      <w:r w:rsidR="000D5F11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dosiahnutej pri </w:t>
      </w:r>
      <w:proofErr w:type="spellStart"/>
      <w:r w:rsidR="005D6574" w:rsidRPr="00BA7F79">
        <w:rPr>
          <w:sz w:val="22"/>
          <w:szCs w:val="22"/>
          <w:lang w:val="sk-SK"/>
        </w:rPr>
        <w:t>MRHD</w:t>
      </w:r>
      <w:proofErr w:type="spellEnd"/>
      <w:r w:rsidRPr="00BA7F79">
        <w:rPr>
          <w:sz w:val="22"/>
          <w:szCs w:val="22"/>
          <w:lang w:val="sk-SK"/>
        </w:rPr>
        <w:t xml:space="preserve">). U potkanov sa pri dávke 120 mg/kg/deň (približne </w:t>
      </w:r>
      <w:proofErr w:type="spellStart"/>
      <w:r w:rsidR="00763794" w:rsidRPr="00BA7F79">
        <w:rPr>
          <w:sz w:val="22"/>
          <w:szCs w:val="22"/>
          <w:lang w:val="sk-SK"/>
        </w:rPr>
        <w:t>4</w:t>
      </w:r>
      <w:r w:rsidRPr="00BA7F79">
        <w:rPr>
          <w:sz w:val="22"/>
          <w:szCs w:val="22"/>
          <w:lang w:val="sk-SK"/>
        </w:rPr>
        <w:noBreakHyphen/>
        <w:t>násobok</w:t>
      </w:r>
      <w:proofErr w:type="spellEnd"/>
      <w:r w:rsidR="005D6574" w:rsidRPr="00BA7F79">
        <w:rPr>
          <w:sz w:val="22"/>
          <w:szCs w:val="22"/>
          <w:lang w:val="sk-SK"/>
        </w:rPr>
        <w:t xml:space="preserve"> najvyššej</w:t>
      </w:r>
      <w:r w:rsidRPr="00BA7F79">
        <w:rPr>
          <w:sz w:val="22"/>
          <w:szCs w:val="22"/>
          <w:lang w:val="sk-SK"/>
        </w:rPr>
        <w:t xml:space="preserve"> </w:t>
      </w:r>
      <w:r w:rsidR="000D5F11" w:rsidRPr="00BA7F79">
        <w:rPr>
          <w:sz w:val="22"/>
          <w:szCs w:val="22"/>
          <w:lang w:val="sk-SK"/>
        </w:rPr>
        <w:t xml:space="preserve">hodnoty </w:t>
      </w:r>
      <w:proofErr w:type="spellStart"/>
      <w:r w:rsidRPr="00BA7F79">
        <w:rPr>
          <w:sz w:val="22"/>
          <w:szCs w:val="22"/>
          <w:lang w:val="sk-SK"/>
        </w:rPr>
        <w:t>AUC</w:t>
      </w:r>
      <w:proofErr w:type="spellEnd"/>
      <w:r w:rsidRPr="00BA7F79">
        <w:rPr>
          <w:sz w:val="22"/>
          <w:szCs w:val="22"/>
          <w:lang w:val="sk-SK"/>
        </w:rPr>
        <w:t xml:space="preserve"> dosiahnutej pri</w:t>
      </w:r>
      <w:r w:rsidR="00B33C4C" w:rsidRPr="00BA7F79">
        <w:rPr>
          <w:sz w:val="22"/>
          <w:szCs w:val="22"/>
          <w:lang w:val="sk-SK"/>
        </w:rPr>
        <w:t> </w:t>
      </w:r>
      <w:proofErr w:type="spellStart"/>
      <w:r w:rsidR="005D6574" w:rsidRPr="00BA7F79">
        <w:rPr>
          <w:sz w:val="22"/>
          <w:szCs w:val="22"/>
          <w:lang w:val="sk-SK"/>
        </w:rPr>
        <w:t>MRHD</w:t>
      </w:r>
      <w:proofErr w:type="spellEnd"/>
      <w:r w:rsidRPr="00BA7F79">
        <w:rPr>
          <w:sz w:val="22"/>
          <w:szCs w:val="22"/>
          <w:lang w:val="sk-SK"/>
        </w:rPr>
        <w:t xml:space="preserve">) nezistili </w:t>
      </w:r>
      <w:proofErr w:type="spellStart"/>
      <w:r w:rsidRPr="00BA7F79">
        <w:rPr>
          <w:sz w:val="22"/>
          <w:szCs w:val="22"/>
          <w:lang w:val="sk-SK"/>
        </w:rPr>
        <w:t>teratogénne</w:t>
      </w:r>
      <w:proofErr w:type="spellEnd"/>
      <w:r w:rsidRPr="00BA7F79">
        <w:rPr>
          <w:sz w:val="22"/>
          <w:szCs w:val="22"/>
          <w:lang w:val="sk-SK"/>
        </w:rPr>
        <w:t xml:space="preserve"> účinky a u králikov sa nepreukázal žiaden vplyv </w:t>
      </w:r>
      <w:r w:rsidR="005D6574" w:rsidRPr="00BA7F79">
        <w:rPr>
          <w:sz w:val="22"/>
          <w:szCs w:val="22"/>
          <w:lang w:val="sk-SK"/>
        </w:rPr>
        <w:t xml:space="preserve">počas organogenézy, keď sa </w:t>
      </w:r>
      <w:proofErr w:type="spellStart"/>
      <w:r w:rsidR="005D6574" w:rsidRPr="00BA7F79">
        <w:rPr>
          <w:sz w:val="22"/>
          <w:szCs w:val="22"/>
          <w:lang w:val="sk-SK"/>
        </w:rPr>
        <w:t>ropinirol</w:t>
      </w:r>
      <w:proofErr w:type="spellEnd"/>
      <w:r w:rsidR="005D6574" w:rsidRPr="00BA7F79">
        <w:rPr>
          <w:sz w:val="22"/>
          <w:szCs w:val="22"/>
          <w:lang w:val="sk-SK"/>
        </w:rPr>
        <w:t xml:space="preserve"> podával samotný v dávke 20 mg/kg (</w:t>
      </w:r>
      <w:proofErr w:type="spellStart"/>
      <w:r w:rsidR="005D6574" w:rsidRPr="00BA7F79">
        <w:rPr>
          <w:sz w:val="22"/>
          <w:szCs w:val="22"/>
          <w:lang w:val="sk-SK"/>
        </w:rPr>
        <w:t>9,5</w:t>
      </w:r>
      <w:r w:rsidR="005D6574" w:rsidRPr="00BA7F79">
        <w:rPr>
          <w:sz w:val="22"/>
          <w:szCs w:val="22"/>
          <w:lang w:val="sk-SK"/>
        </w:rPr>
        <w:noBreakHyphen/>
        <w:t>násobok</w:t>
      </w:r>
      <w:proofErr w:type="spellEnd"/>
      <w:r w:rsidR="005D6574" w:rsidRPr="00BA7F79">
        <w:rPr>
          <w:sz w:val="22"/>
          <w:szCs w:val="22"/>
          <w:lang w:val="sk-SK"/>
        </w:rPr>
        <w:t xml:space="preserve"> priemernej hodnoty </w:t>
      </w:r>
      <w:proofErr w:type="spellStart"/>
      <w:r w:rsidR="005D6574" w:rsidRPr="00BA7F79">
        <w:rPr>
          <w:sz w:val="22"/>
          <w:szCs w:val="22"/>
          <w:lang w:val="sk-SK"/>
        </w:rPr>
        <w:t>C</w:t>
      </w:r>
      <w:r w:rsidR="005D6574"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="005D6574" w:rsidRPr="00BA7F79">
        <w:rPr>
          <w:sz w:val="22"/>
          <w:szCs w:val="22"/>
          <w:lang w:val="sk-SK"/>
        </w:rPr>
        <w:t xml:space="preserve"> dosiahnutej u ľudí pri </w:t>
      </w:r>
      <w:proofErr w:type="spellStart"/>
      <w:r w:rsidR="005D6574" w:rsidRPr="00BA7F79">
        <w:rPr>
          <w:sz w:val="22"/>
          <w:szCs w:val="22"/>
          <w:lang w:val="sk-SK"/>
        </w:rPr>
        <w:t>MRHD</w:t>
      </w:r>
      <w:proofErr w:type="spellEnd"/>
      <w:r w:rsidR="005D6574" w:rsidRPr="00BA7F79">
        <w:rPr>
          <w:sz w:val="22"/>
          <w:szCs w:val="22"/>
          <w:lang w:val="sk-SK"/>
        </w:rPr>
        <w:t xml:space="preserve">). Keď sa však </w:t>
      </w:r>
      <w:proofErr w:type="spellStart"/>
      <w:r w:rsidR="005D6574" w:rsidRPr="00BA7F79">
        <w:rPr>
          <w:sz w:val="22"/>
          <w:szCs w:val="22"/>
          <w:lang w:val="sk-SK"/>
        </w:rPr>
        <w:t>ropinirol</w:t>
      </w:r>
      <w:proofErr w:type="spellEnd"/>
      <w:r w:rsidR="005D6574" w:rsidRPr="00BA7F79">
        <w:rPr>
          <w:sz w:val="22"/>
          <w:szCs w:val="22"/>
          <w:lang w:val="sk-SK"/>
        </w:rPr>
        <w:t xml:space="preserve"> v dávke 10 mg/kg (</w:t>
      </w:r>
      <w:proofErr w:type="spellStart"/>
      <w:r w:rsidR="005D6574" w:rsidRPr="00BA7F79">
        <w:rPr>
          <w:sz w:val="22"/>
          <w:szCs w:val="22"/>
          <w:lang w:val="sk-SK"/>
        </w:rPr>
        <w:t>4,8</w:t>
      </w:r>
      <w:r w:rsidR="005D6574" w:rsidRPr="00BA7F79">
        <w:rPr>
          <w:sz w:val="22"/>
          <w:szCs w:val="22"/>
          <w:lang w:val="sk-SK"/>
        </w:rPr>
        <w:noBreakHyphen/>
        <w:t>násobok</w:t>
      </w:r>
      <w:proofErr w:type="spellEnd"/>
      <w:r w:rsidR="005D6574" w:rsidRPr="00BA7F79">
        <w:rPr>
          <w:sz w:val="22"/>
          <w:szCs w:val="22"/>
          <w:lang w:val="sk-SK"/>
        </w:rPr>
        <w:t xml:space="preserve"> priemernej hodnoty </w:t>
      </w:r>
      <w:proofErr w:type="spellStart"/>
      <w:r w:rsidR="005D6574" w:rsidRPr="00BA7F79">
        <w:rPr>
          <w:sz w:val="22"/>
          <w:szCs w:val="22"/>
          <w:lang w:val="sk-SK"/>
        </w:rPr>
        <w:t>C</w:t>
      </w:r>
      <w:r w:rsidR="005D6574" w:rsidRPr="00BA7F79">
        <w:rPr>
          <w:sz w:val="22"/>
          <w:szCs w:val="22"/>
          <w:vertAlign w:val="subscript"/>
          <w:lang w:val="sk-SK"/>
        </w:rPr>
        <w:t>max</w:t>
      </w:r>
      <w:proofErr w:type="spellEnd"/>
      <w:r w:rsidR="005D6574" w:rsidRPr="00BA7F79">
        <w:rPr>
          <w:sz w:val="22"/>
          <w:szCs w:val="22"/>
          <w:lang w:val="sk-SK"/>
        </w:rPr>
        <w:t xml:space="preserve"> dosiahnutej u ľudí pri </w:t>
      </w:r>
      <w:proofErr w:type="spellStart"/>
      <w:r w:rsidR="005D6574" w:rsidRPr="00BA7F79">
        <w:rPr>
          <w:sz w:val="22"/>
          <w:szCs w:val="22"/>
          <w:lang w:val="sk-SK"/>
        </w:rPr>
        <w:t>MRHD</w:t>
      </w:r>
      <w:proofErr w:type="spellEnd"/>
      <w:r w:rsidR="005D6574" w:rsidRPr="00BA7F79">
        <w:rPr>
          <w:sz w:val="22"/>
          <w:szCs w:val="22"/>
          <w:lang w:val="sk-SK"/>
        </w:rPr>
        <w:t xml:space="preserve">) podal králikom v kombinácii s perorálne podanou </w:t>
      </w:r>
      <w:proofErr w:type="spellStart"/>
      <w:r w:rsidR="005D6574" w:rsidRPr="00BA7F79">
        <w:rPr>
          <w:sz w:val="22"/>
          <w:szCs w:val="22"/>
          <w:lang w:val="sk-SK"/>
        </w:rPr>
        <w:t>L</w:t>
      </w:r>
      <w:r w:rsidR="005D6574" w:rsidRPr="00BA7F79">
        <w:rPr>
          <w:sz w:val="22"/>
          <w:szCs w:val="22"/>
          <w:lang w:val="sk-SK"/>
        </w:rPr>
        <w:noBreakHyphen/>
        <w:t>dopou</w:t>
      </w:r>
      <w:proofErr w:type="spellEnd"/>
      <w:r w:rsidR="005D6574" w:rsidRPr="00BA7F79">
        <w:rPr>
          <w:sz w:val="22"/>
          <w:szCs w:val="22"/>
          <w:lang w:val="sk-SK"/>
        </w:rPr>
        <w:t xml:space="preserve">, výskyt </w:t>
      </w:r>
      <w:proofErr w:type="spellStart"/>
      <w:r w:rsidR="005D6574" w:rsidRPr="00BA7F79">
        <w:rPr>
          <w:sz w:val="22"/>
          <w:szCs w:val="22"/>
          <w:lang w:val="sk-SK"/>
        </w:rPr>
        <w:t>malformácií</w:t>
      </w:r>
      <w:proofErr w:type="spellEnd"/>
      <w:r w:rsidR="005D6574" w:rsidRPr="00BA7F79">
        <w:rPr>
          <w:sz w:val="22"/>
          <w:szCs w:val="22"/>
          <w:lang w:val="sk-SK"/>
        </w:rPr>
        <w:t xml:space="preserve"> prstov bol vyšší a boli závažnejšie ako pri samotnej </w:t>
      </w:r>
      <w:proofErr w:type="spellStart"/>
      <w:r w:rsidR="005D6574" w:rsidRPr="00BA7F79">
        <w:rPr>
          <w:sz w:val="22"/>
          <w:szCs w:val="22"/>
          <w:lang w:val="sk-SK"/>
        </w:rPr>
        <w:t>L</w:t>
      </w:r>
      <w:r w:rsidR="005D6574" w:rsidRPr="00BA7F79">
        <w:rPr>
          <w:sz w:val="22"/>
          <w:szCs w:val="22"/>
          <w:lang w:val="sk-SK"/>
        </w:rPr>
        <w:noBreakHyphen/>
        <w:t>dope</w:t>
      </w:r>
      <w:proofErr w:type="spellEnd"/>
      <w:r w:rsidRPr="00BA7F79">
        <w:rPr>
          <w:sz w:val="22"/>
          <w:szCs w:val="22"/>
          <w:lang w:val="sk-SK"/>
        </w:rPr>
        <w:t>.</w:t>
      </w:r>
    </w:p>
    <w:p w14:paraId="69B26B96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CD651AC" w14:textId="77777777" w:rsidR="001F12BE" w:rsidRPr="00BA7F79" w:rsidRDefault="00747FC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b/>
          <w:bCs/>
          <w:sz w:val="22"/>
          <w:szCs w:val="22"/>
          <w:u w:val="single"/>
          <w:lang w:val="sk-SK"/>
        </w:rPr>
        <w:t>Toxi</w:t>
      </w:r>
      <w:r w:rsidR="00805F55" w:rsidRPr="00BA7F79">
        <w:rPr>
          <w:b/>
          <w:bCs/>
          <w:sz w:val="22"/>
          <w:szCs w:val="22"/>
          <w:u w:val="single"/>
          <w:lang w:val="sk-SK"/>
        </w:rPr>
        <w:t>kológia</w:t>
      </w:r>
      <w:proofErr w:type="spellEnd"/>
    </w:p>
    <w:p w14:paraId="4508412C" w14:textId="77777777" w:rsidR="00747FC0" w:rsidRPr="00BA7F79" w:rsidRDefault="00805F5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Toxikologický profil je určený hlavne farmakologickým pôsobením ropinirolu</w:t>
      </w:r>
      <w:r w:rsidR="00747FC0" w:rsidRPr="00BA7F79">
        <w:rPr>
          <w:sz w:val="22"/>
          <w:szCs w:val="22"/>
          <w:lang w:val="sk-SK"/>
        </w:rPr>
        <w:t>:</w:t>
      </w:r>
      <w:r w:rsidRPr="00BA7F79">
        <w:rPr>
          <w:sz w:val="22"/>
          <w:szCs w:val="22"/>
          <w:lang w:val="sk-SK"/>
        </w:rPr>
        <w:t xml:space="preserve"> zmeny správania, </w:t>
      </w:r>
      <w:proofErr w:type="spellStart"/>
      <w:r w:rsidRPr="00BA7F79">
        <w:rPr>
          <w:sz w:val="22"/>
          <w:szCs w:val="22"/>
          <w:lang w:val="sk-SK"/>
        </w:rPr>
        <w:t>hypoprolaktinémia</w:t>
      </w:r>
      <w:proofErr w:type="spellEnd"/>
      <w:r w:rsidRPr="00BA7F79">
        <w:rPr>
          <w:sz w:val="22"/>
          <w:szCs w:val="22"/>
          <w:lang w:val="sk-SK"/>
        </w:rPr>
        <w:t xml:space="preserve">, zníženie krvného tlaku a srdcovej frekvencie, </w:t>
      </w:r>
      <w:proofErr w:type="spellStart"/>
      <w:r w:rsidRPr="00BA7F79">
        <w:rPr>
          <w:sz w:val="22"/>
          <w:szCs w:val="22"/>
          <w:lang w:val="sk-SK"/>
        </w:rPr>
        <w:t>ptóza</w:t>
      </w:r>
      <w:proofErr w:type="spellEnd"/>
      <w:r w:rsidRPr="00BA7F79">
        <w:rPr>
          <w:sz w:val="22"/>
          <w:szCs w:val="22"/>
          <w:lang w:val="sk-SK"/>
        </w:rPr>
        <w:t xml:space="preserve"> a </w:t>
      </w:r>
      <w:proofErr w:type="spellStart"/>
      <w:r w:rsidRPr="00BA7F79">
        <w:rPr>
          <w:sz w:val="22"/>
          <w:szCs w:val="22"/>
          <w:lang w:val="sk-SK"/>
        </w:rPr>
        <w:t>salivácia</w:t>
      </w:r>
      <w:proofErr w:type="spellEnd"/>
      <w:r w:rsidR="00747FC0" w:rsidRPr="00BA7F79">
        <w:rPr>
          <w:sz w:val="22"/>
          <w:szCs w:val="22"/>
          <w:lang w:val="sk-SK"/>
        </w:rPr>
        <w:t>.</w:t>
      </w:r>
      <w:r w:rsidR="00747FC0" w:rsidRPr="00BA7F79">
        <w:rPr>
          <w:bCs/>
          <w:iCs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V dlhodobej štúdii bola po </w:t>
      </w:r>
      <w:r w:rsidR="002E2884" w:rsidRPr="00BA7F79">
        <w:rPr>
          <w:sz w:val="22"/>
          <w:szCs w:val="22"/>
          <w:lang w:val="sk-SK"/>
        </w:rPr>
        <w:t>najvyššej dávke</w:t>
      </w:r>
      <w:r w:rsidRPr="00BA7F79">
        <w:rPr>
          <w:sz w:val="22"/>
          <w:szCs w:val="22"/>
          <w:lang w:val="sk-SK"/>
        </w:rPr>
        <w:t xml:space="preserve"> (50</w:t>
      </w:r>
      <w:r w:rsidR="001F12BE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mg/kg</w:t>
      </w:r>
      <w:r w:rsidR="002E2884" w:rsidRPr="00BA7F79">
        <w:rPr>
          <w:sz w:val="22"/>
          <w:szCs w:val="22"/>
          <w:lang w:val="sk-SK"/>
        </w:rPr>
        <w:t>/deň</w:t>
      </w:r>
      <w:r w:rsidRPr="00BA7F79">
        <w:rPr>
          <w:sz w:val="22"/>
          <w:szCs w:val="22"/>
          <w:lang w:val="sk-SK"/>
        </w:rPr>
        <w:t>) pozorovaná degenerácia sietnice len u bielych myší a</w:t>
      </w:r>
      <w:r w:rsidR="002E288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pravdepodobne súvisela so zvýšenou expozíciou svetl</w:t>
      </w:r>
      <w:r w:rsidR="000A7D61" w:rsidRPr="00BA7F79">
        <w:rPr>
          <w:sz w:val="22"/>
          <w:szCs w:val="22"/>
          <w:lang w:val="sk-SK"/>
        </w:rPr>
        <w:t>u</w:t>
      </w:r>
      <w:r w:rsidR="00747FC0" w:rsidRPr="00BA7F79">
        <w:rPr>
          <w:sz w:val="22"/>
          <w:szCs w:val="22"/>
          <w:lang w:val="sk-SK"/>
        </w:rPr>
        <w:t>.</w:t>
      </w:r>
    </w:p>
    <w:p w14:paraId="68B92167" w14:textId="77777777" w:rsidR="00836F20" w:rsidRPr="00BA7F79" w:rsidRDefault="00836F20" w:rsidP="000E2DDB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21436641" w14:textId="77777777" w:rsidR="001F12BE" w:rsidRPr="00BA7F79" w:rsidRDefault="00747FC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b/>
          <w:bCs/>
          <w:sz w:val="22"/>
          <w:szCs w:val="22"/>
          <w:u w:val="single"/>
          <w:lang w:val="sk-SK"/>
        </w:rPr>
        <w:t>Genotoxicit</w:t>
      </w:r>
      <w:r w:rsidR="00E6056D" w:rsidRPr="00BA7F79">
        <w:rPr>
          <w:b/>
          <w:bCs/>
          <w:sz w:val="22"/>
          <w:szCs w:val="22"/>
          <w:u w:val="single"/>
          <w:lang w:val="sk-SK"/>
        </w:rPr>
        <w:t>a</w:t>
      </w:r>
      <w:proofErr w:type="spellEnd"/>
    </w:p>
    <w:p w14:paraId="31B68C6D" w14:textId="77777777" w:rsidR="00747FC0" w:rsidRPr="00BA7F79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Vo zvyčajnom súbore testov </w:t>
      </w:r>
      <w:r w:rsidRPr="00BA7F79">
        <w:rPr>
          <w:i/>
          <w:sz w:val="22"/>
          <w:szCs w:val="22"/>
          <w:lang w:val="sk-SK"/>
        </w:rPr>
        <w:t xml:space="preserve">in </w:t>
      </w:r>
      <w:proofErr w:type="spellStart"/>
      <w:r w:rsidRPr="00BA7F79">
        <w:rPr>
          <w:i/>
          <w:sz w:val="22"/>
          <w:szCs w:val="22"/>
          <w:lang w:val="sk-SK"/>
        </w:rPr>
        <w:t>vitro</w:t>
      </w:r>
      <w:proofErr w:type="spellEnd"/>
      <w:r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a </w:t>
      </w:r>
      <w:r w:rsidRPr="00BA7F79">
        <w:rPr>
          <w:i/>
          <w:sz w:val="22"/>
          <w:szCs w:val="22"/>
          <w:lang w:val="sk-SK"/>
        </w:rPr>
        <w:t xml:space="preserve">in </w:t>
      </w:r>
      <w:proofErr w:type="spellStart"/>
      <w:r w:rsidRPr="00BA7F79">
        <w:rPr>
          <w:i/>
          <w:sz w:val="22"/>
          <w:szCs w:val="22"/>
          <w:lang w:val="sk-SK"/>
        </w:rPr>
        <w:t>vivo</w:t>
      </w:r>
      <w:proofErr w:type="spellEnd"/>
      <w:r w:rsidRPr="00BA7F79">
        <w:rPr>
          <w:sz w:val="22"/>
          <w:szCs w:val="22"/>
          <w:lang w:val="sk-SK"/>
        </w:rPr>
        <w:t xml:space="preserve"> nebol zistený žiadny </w:t>
      </w:r>
      <w:proofErr w:type="spellStart"/>
      <w:r w:rsidRPr="00BA7F79">
        <w:rPr>
          <w:sz w:val="22"/>
          <w:szCs w:val="22"/>
          <w:lang w:val="sk-SK"/>
        </w:rPr>
        <w:t>genotoxický</w:t>
      </w:r>
      <w:proofErr w:type="spellEnd"/>
      <w:r w:rsidRPr="00BA7F79">
        <w:rPr>
          <w:sz w:val="22"/>
          <w:szCs w:val="22"/>
          <w:lang w:val="sk-SK"/>
        </w:rPr>
        <w:t xml:space="preserve"> potenciál</w:t>
      </w:r>
      <w:r w:rsidR="00747FC0" w:rsidRPr="00BA7F79">
        <w:rPr>
          <w:sz w:val="22"/>
          <w:szCs w:val="22"/>
          <w:lang w:val="sk-SK"/>
        </w:rPr>
        <w:t>.</w:t>
      </w:r>
    </w:p>
    <w:p w14:paraId="43361002" w14:textId="77777777" w:rsidR="00666838" w:rsidRPr="00BA7F79" w:rsidRDefault="00666838" w:rsidP="000E2DDB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</w:p>
    <w:p w14:paraId="0C10F179" w14:textId="77777777" w:rsidR="001F12BE" w:rsidRPr="00BA7F79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u w:val="single"/>
          <w:lang w:val="sk-SK"/>
        </w:rPr>
        <w:t>Karcinogenita</w:t>
      </w:r>
    </w:p>
    <w:p w14:paraId="010C7325" w14:textId="77777777" w:rsidR="00747FC0" w:rsidRPr="00BA7F79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 dvojročných štúdiách vykonaných na myšiach a potkanoch s dávkovaniami až do 50</w:t>
      </w:r>
      <w:r w:rsidR="00B510C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mg/kg</w:t>
      </w:r>
      <w:r w:rsidR="002E2884" w:rsidRPr="00BA7F79">
        <w:rPr>
          <w:sz w:val="22"/>
          <w:szCs w:val="22"/>
          <w:lang w:val="sk-SK"/>
        </w:rPr>
        <w:t>/deň</w:t>
      </w:r>
      <w:r w:rsidRPr="00BA7F79">
        <w:rPr>
          <w:sz w:val="22"/>
          <w:szCs w:val="22"/>
          <w:lang w:val="sk-SK"/>
        </w:rPr>
        <w:t xml:space="preserve"> sa u</w:t>
      </w:r>
      <w:r w:rsidR="002E288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myší nezistili žiadne dôkazy o karcinogénnom účinku. U potkanov boli jedinými léziami súvisiacimi s</w:t>
      </w:r>
      <w:r w:rsidR="00B02B1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ropinirolom </w:t>
      </w:r>
      <w:proofErr w:type="spellStart"/>
      <w:r w:rsidRPr="00BA7F79">
        <w:rPr>
          <w:sz w:val="22"/>
          <w:szCs w:val="22"/>
          <w:lang w:val="sk-SK"/>
        </w:rPr>
        <w:t>hyperplázia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Leydigových</w:t>
      </w:r>
      <w:proofErr w:type="spellEnd"/>
      <w:r w:rsidRPr="00BA7F79">
        <w:rPr>
          <w:sz w:val="22"/>
          <w:szCs w:val="22"/>
          <w:lang w:val="sk-SK"/>
        </w:rPr>
        <w:t xml:space="preserve"> buniek a </w:t>
      </w:r>
      <w:proofErr w:type="spellStart"/>
      <w:r w:rsidRPr="00BA7F79">
        <w:rPr>
          <w:sz w:val="22"/>
          <w:szCs w:val="22"/>
          <w:lang w:val="sk-SK"/>
        </w:rPr>
        <w:t>testikulárny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adenóm</w:t>
      </w:r>
      <w:proofErr w:type="spellEnd"/>
      <w:r w:rsidRPr="00BA7F79">
        <w:rPr>
          <w:sz w:val="22"/>
          <w:szCs w:val="22"/>
          <w:lang w:val="sk-SK"/>
        </w:rPr>
        <w:t xml:space="preserve">, ktoré boli dôsledkom </w:t>
      </w:r>
      <w:proofErr w:type="spellStart"/>
      <w:r w:rsidRPr="00BA7F79">
        <w:rPr>
          <w:sz w:val="22"/>
          <w:szCs w:val="22"/>
          <w:lang w:val="sk-SK"/>
        </w:rPr>
        <w:t>hypoprolaktinemického</w:t>
      </w:r>
      <w:proofErr w:type="spellEnd"/>
      <w:r w:rsidRPr="00BA7F79">
        <w:rPr>
          <w:sz w:val="22"/>
          <w:szCs w:val="22"/>
          <w:lang w:val="sk-SK"/>
        </w:rPr>
        <w:t xml:space="preserve"> účinku ropinirolu. Tieto lézie sa pokladajú za druhovo špecifický jav a</w:t>
      </w:r>
      <w:r w:rsidR="00B02B1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nepredstavujú nebezpečenstvo pre klinické používanie ropinirolu.</w:t>
      </w:r>
    </w:p>
    <w:p w14:paraId="55AA1128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86106A4" w14:textId="77777777" w:rsidR="003B43FE" w:rsidRPr="00BA7F79" w:rsidRDefault="003B43FE" w:rsidP="00BF2D8B">
      <w:pPr>
        <w:spacing w:line="240" w:lineRule="auto"/>
        <w:ind w:right="289"/>
        <w:rPr>
          <w:b/>
          <w:sz w:val="22"/>
          <w:szCs w:val="22"/>
          <w:u w:val="single"/>
          <w:lang w:val="sk-SK"/>
        </w:rPr>
      </w:pPr>
      <w:r w:rsidRPr="00BA7F79">
        <w:rPr>
          <w:b/>
          <w:sz w:val="22"/>
          <w:szCs w:val="22"/>
          <w:u w:val="single"/>
          <w:lang w:val="sk-SK"/>
        </w:rPr>
        <w:t>Farmakologické štúdie bezpečnosti</w:t>
      </w:r>
    </w:p>
    <w:p w14:paraId="3D48C873" w14:textId="77777777" w:rsidR="003B43FE" w:rsidRPr="00BA7F79" w:rsidRDefault="003B43FE" w:rsidP="00BF2D8B">
      <w:pPr>
        <w:spacing w:line="240" w:lineRule="auto"/>
        <w:ind w:right="289"/>
        <w:rPr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 xml:space="preserve">In </w:t>
      </w:r>
      <w:proofErr w:type="spellStart"/>
      <w:r w:rsidRPr="00BA7F79">
        <w:rPr>
          <w:i/>
          <w:sz w:val="22"/>
          <w:szCs w:val="22"/>
          <w:lang w:val="sk-SK"/>
        </w:rPr>
        <w:t>vitro</w:t>
      </w:r>
      <w:proofErr w:type="spellEnd"/>
      <w:r w:rsidRPr="00BA7F79">
        <w:rPr>
          <w:sz w:val="22"/>
          <w:szCs w:val="22"/>
          <w:lang w:val="sk-SK"/>
        </w:rPr>
        <w:t xml:space="preserve"> štúdie preukázali, že </w:t>
      </w:r>
      <w:proofErr w:type="spellStart"/>
      <w:r w:rsidRPr="00BA7F79">
        <w:rPr>
          <w:sz w:val="22"/>
          <w:szCs w:val="22"/>
          <w:lang w:val="sk-SK"/>
        </w:rPr>
        <w:t>ropinirol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inhibuje</w:t>
      </w:r>
      <w:proofErr w:type="spellEnd"/>
      <w:r w:rsidRPr="00BA7F79">
        <w:rPr>
          <w:sz w:val="22"/>
          <w:szCs w:val="22"/>
          <w:lang w:val="sk-SK"/>
        </w:rPr>
        <w:t xml:space="preserve"> prestup draslíka sprostredkovaného </w:t>
      </w:r>
      <w:proofErr w:type="spellStart"/>
      <w:r w:rsidRPr="00BA7F79">
        <w:rPr>
          <w:sz w:val="22"/>
          <w:szCs w:val="22"/>
          <w:lang w:val="sk-SK"/>
        </w:rPr>
        <w:t>hERG</w:t>
      </w:r>
      <w:proofErr w:type="spellEnd"/>
      <w:r w:rsidRPr="00BA7F79">
        <w:rPr>
          <w:sz w:val="22"/>
          <w:szCs w:val="22"/>
          <w:lang w:val="sk-SK"/>
        </w:rPr>
        <w:t xml:space="preserve"> kanálom. Hodnota </w:t>
      </w:r>
      <w:proofErr w:type="spellStart"/>
      <w:r w:rsidRPr="00BA7F79">
        <w:rPr>
          <w:sz w:val="22"/>
          <w:szCs w:val="22"/>
          <w:lang w:val="sk-SK"/>
        </w:rPr>
        <w:t>IC</w:t>
      </w:r>
      <w:r w:rsidRPr="00BA7F79">
        <w:rPr>
          <w:sz w:val="22"/>
          <w:szCs w:val="22"/>
          <w:vertAlign w:val="subscript"/>
          <w:lang w:val="sk-SK"/>
        </w:rPr>
        <w:t>50</w:t>
      </w:r>
      <w:proofErr w:type="spellEnd"/>
      <w:r w:rsidRPr="00BA7F79">
        <w:rPr>
          <w:sz w:val="22"/>
          <w:szCs w:val="22"/>
          <w:lang w:val="sk-SK"/>
        </w:rPr>
        <w:t xml:space="preserve"> je minimálne </w:t>
      </w:r>
      <w:proofErr w:type="spellStart"/>
      <w:r w:rsidRPr="00BA7F79">
        <w:rPr>
          <w:sz w:val="22"/>
          <w:szCs w:val="22"/>
          <w:lang w:val="sk-SK"/>
        </w:rPr>
        <w:t>5</w:t>
      </w:r>
      <w:r w:rsidRPr="00BA7F79">
        <w:rPr>
          <w:sz w:val="22"/>
          <w:szCs w:val="22"/>
          <w:lang w:val="sk-SK"/>
        </w:rPr>
        <w:noBreakHyphen/>
        <w:t>násobne</w:t>
      </w:r>
      <w:proofErr w:type="spellEnd"/>
      <w:r w:rsidRPr="00BA7F79">
        <w:rPr>
          <w:sz w:val="22"/>
          <w:szCs w:val="22"/>
          <w:lang w:val="sk-SK"/>
        </w:rPr>
        <w:t xml:space="preserve"> vyššia ako predpokladaná maximálna plazmatická koncentrácia u pacientov liečených najvyššou odporúčanou dávkou (24 mg/deň), pozri časť 5.1.</w:t>
      </w:r>
    </w:p>
    <w:p w14:paraId="2C3EBBD2" w14:textId="77777777" w:rsidR="003B43FE" w:rsidRPr="00BA7F79" w:rsidRDefault="003B43F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DB82B2C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5D268E" w14:textId="77777777" w:rsidR="00747FC0" w:rsidRPr="00BA7F79" w:rsidRDefault="00666838" w:rsidP="000E2DDB">
      <w:pPr>
        <w:pStyle w:val="Nadpis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>6.</w:t>
      </w:r>
      <w:r w:rsidRPr="00BA7F79">
        <w:rPr>
          <w:sz w:val="22"/>
          <w:szCs w:val="22"/>
          <w:lang w:val="sk-SK"/>
        </w:rPr>
        <w:tab/>
      </w:r>
      <w:r w:rsidR="00FA019C" w:rsidRPr="00BA7F79">
        <w:rPr>
          <w:caps/>
          <w:sz w:val="22"/>
          <w:szCs w:val="22"/>
          <w:lang w:val="sk-SK"/>
        </w:rPr>
        <w:t>Farmaceutické informácie</w:t>
      </w:r>
    </w:p>
    <w:p w14:paraId="199CDAE6" w14:textId="77777777" w:rsidR="00666838" w:rsidRPr="00BA7F79" w:rsidRDefault="00666838" w:rsidP="000E2DDB">
      <w:pPr>
        <w:pStyle w:val="Nadpis3"/>
        <w:spacing w:after="0" w:line="240" w:lineRule="auto"/>
        <w:ind w:left="567" w:hanging="567"/>
        <w:rPr>
          <w:b w:val="0"/>
          <w:bCs/>
          <w:sz w:val="22"/>
          <w:szCs w:val="22"/>
          <w:lang w:val="sk-SK"/>
        </w:rPr>
      </w:pPr>
    </w:p>
    <w:p w14:paraId="31865DB5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6.1</w:t>
      </w:r>
      <w:r w:rsidRPr="00BA7F79">
        <w:rPr>
          <w:sz w:val="22"/>
          <w:szCs w:val="22"/>
          <w:lang w:val="sk-SK"/>
        </w:rPr>
        <w:tab/>
      </w:r>
      <w:r w:rsidR="00FA019C" w:rsidRPr="00BA7F79">
        <w:rPr>
          <w:sz w:val="22"/>
          <w:szCs w:val="22"/>
          <w:lang w:val="sk-SK"/>
        </w:rPr>
        <w:t>Zoznam pomocných látok</w:t>
      </w:r>
    </w:p>
    <w:p w14:paraId="0AC5AC6B" w14:textId="77777777" w:rsidR="00501828" w:rsidRPr="00BA7F79" w:rsidRDefault="00501828" w:rsidP="000E2DDB">
      <w:pPr>
        <w:pStyle w:val="Text"/>
        <w:keepNext/>
        <w:spacing w:after="0" w:line="240" w:lineRule="auto"/>
        <w:rPr>
          <w:b/>
          <w:sz w:val="22"/>
          <w:szCs w:val="22"/>
          <w:lang w:val="sk-SK"/>
        </w:rPr>
      </w:pPr>
    </w:p>
    <w:p w14:paraId="5C74392B" w14:textId="77777777" w:rsidR="00747FC0" w:rsidRPr="00BA7F79" w:rsidRDefault="00877638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Jadro tablety</w:t>
      </w:r>
      <w:r w:rsidR="00496A74" w:rsidRPr="00BA7F79">
        <w:rPr>
          <w:sz w:val="22"/>
          <w:szCs w:val="22"/>
          <w:u w:val="single"/>
          <w:lang w:val="sk-SK"/>
        </w:rPr>
        <w:t xml:space="preserve"> s predĺženým uvoľňovaním</w:t>
      </w:r>
      <w:r w:rsidR="00666838" w:rsidRPr="00BA7F79">
        <w:rPr>
          <w:sz w:val="22"/>
          <w:szCs w:val="22"/>
          <w:u w:val="single"/>
          <w:lang w:val="sk-SK"/>
        </w:rPr>
        <w:t>:</w:t>
      </w:r>
      <w:r w:rsidR="00496A74" w:rsidRPr="00BA7F79">
        <w:rPr>
          <w:sz w:val="22"/>
          <w:szCs w:val="22"/>
          <w:lang w:val="sk-SK"/>
        </w:rPr>
        <w:t xml:space="preserve"> </w:t>
      </w:r>
      <w:proofErr w:type="spellStart"/>
      <w:r w:rsidR="00496A74" w:rsidRPr="00BA7F79">
        <w:rPr>
          <w:sz w:val="22"/>
          <w:szCs w:val="22"/>
          <w:lang w:val="sk-SK"/>
        </w:rPr>
        <w:t>hypromelóza</w:t>
      </w:r>
      <w:proofErr w:type="spellEnd"/>
      <w:r w:rsidR="00CE590F" w:rsidRPr="00BA7F79">
        <w:rPr>
          <w:sz w:val="22"/>
          <w:szCs w:val="22"/>
          <w:lang w:val="sk-SK"/>
        </w:rPr>
        <w:t xml:space="preserve"> 2208</w:t>
      </w:r>
      <w:r w:rsidR="00496A74" w:rsidRPr="00BA7F79">
        <w:rPr>
          <w:sz w:val="22"/>
          <w:szCs w:val="22"/>
          <w:lang w:val="sk-SK"/>
        </w:rPr>
        <w:t xml:space="preserve">, </w:t>
      </w:r>
      <w:proofErr w:type="spellStart"/>
      <w:r w:rsidR="00496A74" w:rsidRPr="00BA7F79">
        <w:rPr>
          <w:sz w:val="22"/>
          <w:szCs w:val="22"/>
          <w:lang w:val="sk-SK"/>
        </w:rPr>
        <w:t>hydrogenovaný</w:t>
      </w:r>
      <w:proofErr w:type="spellEnd"/>
      <w:r w:rsidR="00496A74" w:rsidRPr="00BA7F79">
        <w:rPr>
          <w:sz w:val="22"/>
          <w:szCs w:val="22"/>
          <w:lang w:val="sk-SK"/>
        </w:rPr>
        <w:t xml:space="preserve"> </w:t>
      </w:r>
      <w:r w:rsidR="007C7CD4" w:rsidRPr="00BA7F79">
        <w:rPr>
          <w:sz w:val="22"/>
          <w:szCs w:val="22"/>
          <w:lang w:val="sk-SK"/>
        </w:rPr>
        <w:t>ricínový</w:t>
      </w:r>
      <w:r w:rsidR="00CE590F" w:rsidRPr="00BA7F79">
        <w:rPr>
          <w:sz w:val="22"/>
          <w:szCs w:val="22"/>
          <w:lang w:val="sk-SK"/>
        </w:rPr>
        <w:t xml:space="preserve"> </w:t>
      </w:r>
      <w:r w:rsidR="00496A74" w:rsidRPr="00BA7F79">
        <w:rPr>
          <w:sz w:val="22"/>
          <w:szCs w:val="22"/>
          <w:lang w:val="sk-SK"/>
        </w:rPr>
        <w:t xml:space="preserve">olej, sodná soľ </w:t>
      </w:r>
      <w:proofErr w:type="spellStart"/>
      <w:r w:rsidR="00496A74" w:rsidRPr="00BA7F79">
        <w:rPr>
          <w:sz w:val="22"/>
          <w:szCs w:val="22"/>
          <w:lang w:val="sk-SK"/>
        </w:rPr>
        <w:t>karmelózy</w:t>
      </w:r>
      <w:proofErr w:type="spellEnd"/>
      <w:r w:rsidR="00496A74" w:rsidRPr="00BA7F79">
        <w:rPr>
          <w:sz w:val="22"/>
          <w:szCs w:val="22"/>
          <w:lang w:val="sk-SK"/>
        </w:rPr>
        <w:t xml:space="preserve">, </w:t>
      </w:r>
      <w:proofErr w:type="spellStart"/>
      <w:r w:rsidR="00496A74" w:rsidRPr="00BA7F79">
        <w:rPr>
          <w:sz w:val="22"/>
          <w:szCs w:val="22"/>
          <w:lang w:val="sk-SK"/>
        </w:rPr>
        <w:t>povidón</w:t>
      </w:r>
      <w:proofErr w:type="spellEnd"/>
      <w:r w:rsidR="00496A74" w:rsidRPr="00BA7F79">
        <w:rPr>
          <w:sz w:val="22"/>
          <w:szCs w:val="22"/>
          <w:lang w:val="sk-SK"/>
        </w:rPr>
        <w:t xml:space="preserve"> (K29</w:t>
      </w:r>
      <w:r w:rsidR="00496A74" w:rsidRPr="00BA7F79">
        <w:rPr>
          <w:sz w:val="22"/>
          <w:szCs w:val="22"/>
          <w:lang w:val="sk-SK"/>
        </w:rPr>
        <w:noBreakHyphen/>
        <w:t xml:space="preserve">32), </w:t>
      </w:r>
      <w:proofErr w:type="spellStart"/>
      <w:r w:rsidR="00496A74" w:rsidRPr="00BA7F79">
        <w:rPr>
          <w:sz w:val="22"/>
          <w:szCs w:val="22"/>
          <w:lang w:val="sk-SK"/>
        </w:rPr>
        <w:t>maltodextrín</w:t>
      </w:r>
      <w:proofErr w:type="spellEnd"/>
      <w:r w:rsidR="00496A74" w:rsidRPr="00BA7F79">
        <w:rPr>
          <w:sz w:val="22"/>
          <w:szCs w:val="22"/>
          <w:lang w:val="sk-SK"/>
        </w:rPr>
        <w:t xml:space="preserve">, </w:t>
      </w:r>
      <w:proofErr w:type="spellStart"/>
      <w:r w:rsidR="00496A74" w:rsidRPr="00BA7F79">
        <w:rPr>
          <w:sz w:val="22"/>
          <w:szCs w:val="22"/>
          <w:lang w:val="sk-SK"/>
        </w:rPr>
        <w:t>magnéziumstearát</w:t>
      </w:r>
      <w:proofErr w:type="spellEnd"/>
      <w:r w:rsidR="00496A74" w:rsidRPr="00BA7F79">
        <w:rPr>
          <w:sz w:val="22"/>
          <w:szCs w:val="22"/>
          <w:lang w:val="sk-SK"/>
        </w:rPr>
        <w:t xml:space="preserve">, </w:t>
      </w:r>
      <w:proofErr w:type="spellStart"/>
      <w:r w:rsidR="00496A74" w:rsidRPr="00BA7F79">
        <w:rPr>
          <w:sz w:val="22"/>
          <w:szCs w:val="22"/>
          <w:lang w:val="sk-SK"/>
        </w:rPr>
        <w:t>monohydrát</w:t>
      </w:r>
      <w:proofErr w:type="spellEnd"/>
      <w:r w:rsidR="00496A74" w:rsidRPr="00BA7F79">
        <w:rPr>
          <w:sz w:val="22"/>
          <w:szCs w:val="22"/>
          <w:lang w:val="sk-SK"/>
        </w:rPr>
        <w:t xml:space="preserve"> laktózy, koloidný oxid kremičitý, </w:t>
      </w:r>
      <w:proofErr w:type="spellStart"/>
      <w:r w:rsidR="00496A74" w:rsidRPr="00BA7F79">
        <w:rPr>
          <w:sz w:val="22"/>
          <w:szCs w:val="22"/>
          <w:lang w:val="sk-SK"/>
        </w:rPr>
        <w:t>manitol</w:t>
      </w:r>
      <w:proofErr w:type="spellEnd"/>
      <w:r w:rsidR="00496A74" w:rsidRPr="00BA7F79">
        <w:rPr>
          <w:sz w:val="22"/>
          <w:szCs w:val="22"/>
          <w:lang w:val="sk-SK"/>
        </w:rPr>
        <w:t xml:space="preserve"> (E421), žltý oxid železitý (E172), </w:t>
      </w:r>
      <w:proofErr w:type="spellStart"/>
      <w:r w:rsidR="00496A74" w:rsidRPr="00BA7F79">
        <w:rPr>
          <w:sz w:val="22"/>
          <w:szCs w:val="22"/>
          <w:lang w:val="sk-SK"/>
        </w:rPr>
        <w:t>glyceroldibehenát</w:t>
      </w:r>
      <w:proofErr w:type="spellEnd"/>
      <w:r w:rsidR="00CE590F" w:rsidRPr="00BA7F79">
        <w:rPr>
          <w:sz w:val="22"/>
          <w:szCs w:val="22"/>
          <w:lang w:val="sk-SK"/>
        </w:rPr>
        <w:t>.</w:t>
      </w:r>
    </w:p>
    <w:p w14:paraId="71C21E94" w14:textId="77777777" w:rsidR="00666838" w:rsidRPr="00BA7F79" w:rsidRDefault="00666838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3F1C0C8D" w14:textId="77777777" w:rsidR="00CE590F" w:rsidRPr="00BA7F79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CE590F" w:rsidRPr="00BA7F79">
        <w:rPr>
          <w:sz w:val="22"/>
          <w:szCs w:val="22"/>
          <w:lang w:val="sk-SK"/>
        </w:rPr>
        <w:t xml:space="preserve"> 2 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CE590F" w:rsidRPr="00BA7F79">
        <w:rPr>
          <w:sz w:val="22"/>
          <w:szCs w:val="22"/>
          <w:lang w:val="sk-SK"/>
        </w:rPr>
        <w:t>:</w:t>
      </w:r>
    </w:p>
    <w:p w14:paraId="321A4F92" w14:textId="77777777" w:rsidR="00344F2B" w:rsidRPr="00BA7F79" w:rsidRDefault="00857C4C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Film</w:t>
      </w:r>
      <w:r w:rsidR="00571F87" w:rsidRPr="00BA7F79">
        <w:rPr>
          <w:sz w:val="22"/>
          <w:szCs w:val="22"/>
          <w:u w:val="single"/>
          <w:lang w:val="sk-SK"/>
        </w:rPr>
        <w:t xml:space="preserve"> tablety</w:t>
      </w:r>
      <w:r w:rsidR="00666838" w:rsidRPr="00BA7F79">
        <w:rPr>
          <w:sz w:val="22"/>
          <w:szCs w:val="22"/>
          <w:u w:val="single"/>
          <w:lang w:val="sk-SK"/>
        </w:rPr>
        <w:t>:</w:t>
      </w:r>
      <w:r w:rsidR="00CE590F" w:rsidRPr="00BA7F79">
        <w:rPr>
          <w:sz w:val="22"/>
          <w:szCs w:val="22"/>
          <w:lang w:val="sk-SK"/>
        </w:rPr>
        <w:t xml:space="preserve"> obalová sústava </w:t>
      </w:r>
      <w:proofErr w:type="spellStart"/>
      <w:r w:rsidR="00CE590F" w:rsidRPr="00BA7F79">
        <w:rPr>
          <w:sz w:val="22"/>
          <w:szCs w:val="22"/>
          <w:lang w:val="sk-SK"/>
        </w:rPr>
        <w:t>OPADRY</w:t>
      </w:r>
      <w:proofErr w:type="spellEnd"/>
      <w:r w:rsidR="00CE590F" w:rsidRPr="00BA7F79">
        <w:rPr>
          <w:sz w:val="22"/>
          <w:szCs w:val="22"/>
          <w:lang w:val="sk-SK"/>
        </w:rPr>
        <w:t xml:space="preserve"> ružová </w:t>
      </w:r>
      <w:proofErr w:type="spellStart"/>
      <w:r w:rsidR="00CE590F" w:rsidRPr="00BA7F79">
        <w:rPr>
          <w:sz w:val="22"/>
          <w:szCs w:val="22"/>
          <w:lang w:val="sk-SK"/>
        </w:rPr>
        <w:t>OY</w:t>
      </w:r>
      <w:r w:rsidR="00CE590F" w:rsidRPr="00BA7F79">
        <w:rPr>
          <w:sz w:val="22"/>
          <w:szCs w:val="22"/>
          <w:lang w:val="sk-SK"/>
        </w:rPr>
        <w:noBreakHyphen/>
        <w:t>S</w:t>
      </w:r>
      <w:r w:rsidR="00CE590F" w:rsidRPr="00BA7F79">
        <w:rPr>
          <w:sz w:val="22"/>
          <w:szCs w:val="22"/>
          <w:lang w:val="sk-SK"/>
        </w:rPr>
        <w:noBreakHyphen/>
        <w:t>24900</w:t>
      </w:r>
      <w:proofErr w:type="spellEnd"/>
      <w:r w:rsidR="00CE590F" w:rsidRPr="00BA7F79">
        <w:rPr>
          <w:sz w:val="22"/>
          <w:szCs w:val="22"/>
          <w:lang w:val="sk-SK"/>
        </w:rPr>
        <w:t xml:space="preserve"> (</w:t>
      </w:r>
      <w:proofErr w:type="spellStart"/>
      <w:r w:rsidR="00CE590F" w:rsidRPr="00BA7F79">
        <w:rPr>
          <w:sz w:val="22"/>
          <w:szCs w:val="22"/>
          <w:lang w:val="sk-SK"/>
        </w:rPr>
        <w:t>hypromelóza</w:t>
      </w:r>
      <w:proofErr w:type="spellEnd"/>
      <w:r w:rsidR="00CE590F" w:rsidRPr="00BA7F79">
        <w:rPr>
          <w:sz w:val="22"/>
          <w:szCs w:val="22"/>
          <w:lang w:val="sk-SK"/>
        </w:rPr>
        <w:t xml:space="preserve"> 2910, žltý oxid železitý (E172), oxid </w:t>
      </w:r>
      <w:proofErr w:type="spellStart"/>
      <w:r w:rsidR="00CE590F" w:rsidRPr="00BA7F79">
        <w:rPr>
          <w:sz w:val="22"/>
          <w:szCs w:val="22"/>
          <w:lang w:val="sk-SK"/>
        </w:rPr>
        <w:t>titaničitý</w:t>
      </w:r>
      <w:proofErr w:type="spellEnd"/>
      <w:r w:rsidR="00CE590F" w:rsidRPr="00BA7F79">
        <w:rPr>
          <w:sz w:val="22"/>
          <w:szCs w:val="22"/>
          <w:lang w:val="sk-SK"/>
        </w:rPr>
        <w:t xml:space="preserve"> (E171), </w:t>
      </w:r>
      <w:proofErr w:type="spellStart"/>
      <w:r w:rsidR="00CE590F" w:rsidRPr="00BA7F79">
        <w:rPr>
          <w:sz w:val="22"/>
          <w:szCs w:val="22"/>
          <w:lang w:val="sk-SK"/>
        </w:rPr>
        <w:t>makrogol</w:t>
      </w:r>
      <w:proofErr w:type="spellEnd"/>
      <w:r w:rsidR="00CE590F" w:rsidRPr="00BA7F79">
        <w:rPr>
          <w:sz w:val="22"/>
          <w:szCs w:val="22"/>
          <w:lang w:val="sk-SK"/>
        </w:rPr>
        <w:t xml:space="preserve"> 400, červený oxid železitý (E172)).</w:t>
      </w:r>
    </w:p>
    <w:p w14:paraId="366B5F6B" w14:textId="77777777" w:rsidR="00666838" w:rsidRPr="00BA7F79" w:rsidRDefault="00666838" w:rsidP="000E2DDB">
      <w:pPr>
        <w:pStyle w:val="Text"/>
        <w:widowControl w:val="0"/>
        <w:spacing w:after="0" w:line="240" w:lineRule="auto"/>
        <w:rPr>
          <w:sz w:val="22"/>
          <w:szCs w:val="22"/>
          <w:lang w:val="sk-SK"/>
        </w:rPr>
      </w:pPr>
    </w:p>
    <w:p w14:paraId="50385B5F" w14:textId="77777777" w:rsidR="00CE590F" w:rsidRPr="00BA7F79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CE590F" w:rsidRPr="00BA7F79">
        <w:rPr>
          <w:sz w:val="22"/>
          <w:szCs w:val="22"/>
          <w:lang w:val="sk-SK"/>
        </w:rPr>
        <w:t xml:space="preserve"> </w:t>
      </w:r>
      <w:r w:rsidR="002A6E3C" w:rsidRPr="00BA7F79">
        <w:rPr>
          <w:sz w:val="22"/>
          <w:szCs w:val="22"/>
          <w:lang w:val="sk-SK"/>
        </w:rPr>
        <w:t>4</w:t>
      </w:r>
      <w:r w:rsidR="00571F87" w:rsidRPr="00BA7F79">
        <w:rPr>
          <w:sz w:val="22"/>
          <w:szCs w:val="22"/>
          <w:lang w:val="sk-SK"/>
        </w:rPr>
        <w:t>,</w:t>
      </w:r>
      <w:r w:rsidR="002A6E3C" w:rsidRPr="00BA7F79">
        <w:rPr>
          <w:sz w:val="22"/>
          <w:szCs w:val="22"/>
          <w:lang w:val="sk-SK"/>
        </w:rPr>
        <w:t>0 </w:t>
      </w:r>
      <w:r w:rsidR="00857C4C" w:rsidRPr="00BA7F79">
        <w:rPr>
          <w:sz w:val="22"/>
          <w:szCs w:val="22"/>
          <w:lang w:val="sk-SK"/>
        </w:rPr>
        <w:t>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857C4C" w:rsidRPr="00BA7F79">
        <w:rPr>
          <w:sz w:val="22"/>
          <w:szCs w:val="22"/>
          <w:lang w:val="sk-SK"/>
        </w:rPr>
        <w:t>:</w:t>
      </w:r>
    </w:p>
    <w:p w14:paraId="1D161AA3" w14:textId="77777777" w:rsidR="00CE590F" w:rsidRPr="00BA7F79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Film tablety:</w:t>
      </w:r>
      <w:r w:rsidRPr="00BA7F79">
        <w:rPr>
          <w:sz w:val="22"/>
          <w:szCs w:val="22"/>
          <w:lang w:val="sk-SK"/>
        </w:rPr>
        <w:t xml:space="preserve"> obalová sústava </w:t>
      </w:r>
      <w:proofErr w:type="spellStart"/>
      <w:r w:rsidRPr="00BA7F79">
        <w:rPr>
          <w:sz w:val="22"/>
          <w:szCs w:val="22"/>
          <w:lang w:val="sk-SK"/>
        </w:rPr>
        <w:t>OPADRY</w:t>
      </w:r>
      <w:proofErr w:type="spellEnd"/>
      <w:r w:rsidRPr="00BA7F79">
        <w:rPr>
          <w:sz w:val="22"/>
          <w:szCs w:val="22"/>
          <w:lang w:val="sk-SK"/>
        </w:rPr>
        <w:t xml:space="preserve"> žltohnedá </w:t>
      </w:r>
      <w:proofErr w:type="spellStart"/>
      <w:r w:rsidRPr="00BA7F79">
        <w:rPr>
          <w:sz w:val="22"/>
          <w:szCs w:val="22"/>
          <w:lang w:val="sk-SK"/>
        </w:rPr>
        <w:t>OY</w:t>
      </w:r>
      <w:r w:rsidRPr="00BA7F79">
        <w:rPr>
          <w:sz w:val="22"/>
          <w:szCs w:val="22"/>
          <w:lang w:val="sk-SK"/>
        </w:rPr>
        <w:noBreakHyphen/>
        <w:t>27207</w:t>
      </w:r>
      <w:proofErr w:type="spellEnd"/>
      <w:r w:rsidRPr="00BA7F79">
        <w:rPr>
          <w:sz w:val="22"/>
          <w:szCs w:val="22"/>
          <w:lang w:val="sk-SK"/>
        </w:rPr>
        <w:t xml:space="preserve"> (</w:t>
      </w:r>
      <w:proofErr w:type="spellStart"/>
      <w:r w:rsidRPr="00BA7F79">
        <w:rPr>
          <w:sz w:val="22"/>
          <w:szCs w:val="22"/>
          <w:lang w:val="sk-SK"/>
        </w:rPr>
        <w:t>hypromelóza</w:t>
      </w:r>
      <w:proofErr w:type="spellEnd"/>
      <w:r w:rsidRPr="00BA7F79">
        <w:rPr>
          <w:sz w:val="22"/>
          <w:szCs w:val="22"/>
          <w:lang w:val="sk-SK"/>
        </w:rPr>
        <w:t xml:space="preserve"> 2910, oxid </w:t>
      </w:r>
      <w:proofErr w:type="spellStart"/>
      <w:r w:rsidRPr="00BA7F79">
        <w:rPr>
          <w:sz w:val="22"/>
          <w:szCs w:val="22"/>
          <w:lang w:val="sk-SK"/>
        </w:rPr>
        <w:t>titaničitý</w:t>
      </w:r>
      <w:proofErr w:type="spellEnd"/>
      <w:r w:rsidRPr="00BA7F79">
        <w:rPr>
          <w:sz w:val="22"/>
          <w:szCs w:val="22"/>
          <w:lang w:val="sk-SK"/>
        </w:rPr>
        <w:t xml:space="preserve"> (E171), </w:t>
      </w:r>
      <w:proofErr w:type="spellStart"/>
      <w:r w:rsidRPr="00BA7F79">
        <w:rPr>
          <w:sz w:val="22"/>
          <w:szCs w:val="22"/>
          <w:lang w:val="sk-SK"/>
        </w:rPr>
        <w:t>makrogol</w:t>
      </w:r>
      <w:proofErr w:type="spellEnd"/>
      <w:r w:rsidRPr="00BA7F79">
        <w:rPr>
          <w:sz w:val="22"/>
          <w:szCs w:val="22"/>
          <w:lang w:val="sk-SK"/>
        </w:rPr>
        <w:t xml:space="preserve"> 400, hlinitý lak oranžovej žlti (E110), </w:t>
      </w:r>
      <w:proofErr w:type="spellStart"/>
      <w:r w:rsidRPr="00BA7F79">
        <w:rPr>
          <w:sz w:val="22"/>
          <w:szCs w:val="22"/>
          <w:lang w:val="sk-SK"/>
        </w:rPr>
        <w:t>indigokarmínový</w:t>
      </w:r>
      <w:proofErr w:type="spellEnd"/>
      <w:r w:rsidRPr="00BA7F79">
        <w:rPr>
          <w:sz w:val="22"/>
          <w:szCs w:val="22"/>
          <w:lang w:val="sk-SK"/>
        </w:rPr>
        <w:t xml:space="preserve"> hlinitý lak (E132)).</w:t>
      </w:r>
    </w:p>
    <w:p w14:paraId="7408B1DC" w14:textId="77777777" w:rsidR="00666838" w:rsidRPr="00BA7F79" w:rsidRDefault="00666838" w:rsidP="000E2DDB">
      <w:pPr>
        <w:pStyle w:val="Text"/>
        <w:widowControl w:val="0"/>
        <w:spacing w:after="0" w:line="240" w:lineRule="auto"/>
        <w:rPr>
          <w:sz w:val="22"/>
          <w:szCs w:val="22"/>
          <w:lang w:val="sk-SK"/>
        </w:rPr>
      </w:pPr>
    </w:p>
    <w:p w14:paraId="0C9C2C2D" w14:textId="77777777" w:rsidR="00CE590F" w:rsidRPr="00BA7F79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CE590F" w:rsidRPr="00BA7F79">
        <w:rPr>
          <w:sz w:val="22"/>
          <w:szCs w:val="22"/>
          <w:lang w:val="sk-SK"/>
        </w:rPr>
        <w:t xml:space="preserve"> </w:t>
      </w:r>
      <w:r w:rsidR="002A6E3C" w:rsidRPr="00BA7F79">
        <w:rPr>
          <w:sz w:val="22"/>
          <w:szCs w:val="22"/>
          <w:lang w:val="sk-SK"/>
        </w:rPr>
        <w:t>8</w:t>
      </w:r>
      <w:r w:rsidR="00571F87" w:rsidRPr="00BA7F79">
        <w:rPr>
          <w:sz w:val="22"/>
          <w:szCs w:val="22"/>
          <w:lang w:val="sk-SK"/>
        </w:rPr>
        <w:t>,</w:t>
      </w:r>
      <w:r w:rsidR="002A6E3C" w:rsidRPr="00BA7F79">
        <w:rPr>
          <w:sz w:val="22"/>
          <w:szCs w:val="22"/>
          <w:lang w:val="sk-SK"/>
        </w:rPr>
        <w:t>0 </w:t>
      </w:r>
      <w:r w:rsidR="00857C4C" w:rsidRPr="00BA7F79">
        <w:rPr>
          <w:sz w:val="22"/>
          <w:szCs w:val="22"/>
          <w:lang w:val="sk-SK"/>
        </w:rPr>
        <w:t>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857C4C" w:rsidRPr="00BA7F79">
        <w:rPr>
          <w:sz w:val="22"/>
          <w:szCs w:val="22"/>
          <w:lang w:val="sk-SK"/>
        </w:rPr>
        <w:t>:</w:t>
      </w:r>
    </w:p>
    <w:p w14:paraId="5E577983" w14:textId="77777777" w:rsidR="00857C4C" w:rsidRPr="00BA7F79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Film tablety:</w:t>
      </w:r>
      <w:r w:rsidRPr="00BA7F79">
        <w:rPr>
          <w:sz w:val="22"/>
          <w:szCs w:val="22"/>
          <w:lang w:val="sk-SK"/>
        </w:rPr>
        <w:t xml:space="preserve"> obalová sústava </w:t>
      </w:r>
      <w:proofErr w:type="spellStart"/>
      <w:r w:rsidRPr="00BA7F79">
        <w:rPr>
          <w:sz w:val="22"/>
          <w:szCs w:val="22"/>
          <w:lang w:val="sk-SK"/>
        </w:rPr>
        <w:t>OPADRY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B711BE" w:rsidRPr="00BA7F79">
        <w:rPr>
          <w:sz w:val="22"/>
          <w:szCs w:val="22"/>
          <w:lang w:val="sk-SK"/>
        </w:rPr>
        <w:t>červená 03B25227 (</w:t>
      </w:r>
      <w:proofErr w:type="spellStart"/>
      <w:r w:rsidR="00B711BE" w:rsidRPr="00BA7F79">
        <w:rPr>
          <w:sz w:val="22"/>
          <w:szCs w:val="22"/>
          <w:lang w:val="sk-SK"/>
        </w:rPr>
        <w:t>hypromelóza</w:t>
      </w:r>
      <w:proofErr w:type="spellEnd"/>
      <w:r w:rsidR="00B711BE" w:rsidRPr="00BA7F79">
        <w:rPr>
          <w:sz w:val="22"/>
          <w:szCs w:val="22"/>
          <w:lang w:val="sk-SK"/>
        </w:rPr>
        <w:t xml:space="preserve"> 2910, žltý oxid železitý (E172), oxid </w:t>
      </w:r>
      <w:proofErr w:type="spellStart"/>
      <w:r w:rsidR="00B711BE" w:rsidRPr="00BA7F79">
        <w:rPr>
          <w:sz w:val="22"/>
          <w:szCs w:val="22"/>
          <w:lang w:val="sk-SK"/>
        </w:rPr>
        <w:t>titaničitý</w:t>
      </w:r>
      <w:proofErr w:type="spellEnd"/>
      <w:r w:rsidR="00B711BE" w:rsidRPr="00BA7F79">
        <w:rPr>
          <w:sz w:val="22"/>
          <w:szCs w:val="22"/>
          <w:lang w:val="sk-SK"/>
        </w:rPr>
        <w:t xml:space="preserve"> (E171), čierny oxid železitý (E172), </w:t>
      </w:r>
      <w:proofErr w:type="spellStart"/>
      <w:r w:rsidR="00B711BE" w:rsidRPr="00BA7F79">
        <w:rPr>
          <w:sz w:val="22"/>
          <w:szCs w:val="22"/>
          <w:lang w:val="sk-SK"/>
        </w:rPr>
        <w:t>makrogol</w:t>
      </w:r>
      <w:proofErr w:type="spellEnd"/>
      <w:r w:rsidR="00B711BE" w:rsidRPr="00BA7F79">
        <w:rPr>
          <w:sz w:val="22"/>
          <w:szCs w:val="22"/>
          <w:lang w:val="sk-SK"/>
        </w:rPr>
        <w:t> 400, červený oxid železitý (E172))</w:t>
      </w:r>
      <w:r w:rsidR="00857C4C" w:rsidRPr="00BA7F79">
        <w:rPr>
          <w:sz w:val="22"/>
          <w:szCs w:val="22"/>
          <w:lang w:val="sk-SK"/>
        </w:rPr>
        <w:t>.</w:t>
      </w:r>
    </w:p>
    <w:p w14:paraId="5CDD7526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36E4157C" w14:textId="77777777" w:rsidR="00747FC0" w:rsidRPr="00BA7F79" w:rsidRDefault="00747FC0" w:rsidP="000E2DDB">
      <w:pPr>
        <w:pStyle w:val="Nadpis3"/>
        <w:numPr>
          <w:ilvl w:val="1"/>
          <w:numId w:val="6"/>
        </w:numPr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In</w:t>
      </w:r>
      <w:r w:rsidR="00571F87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ompatibilit</w:t>
      </w:r>
      <w:r w:rsidR="00571F87" w:rsidRPr="00BA7F79">
        <w:rPr>
          <w:sz w:val="22"/>
          <w:szCs w:val="22"/>
          <w:lang w:val="sk-SK"/>
        </w:rPr>
        <w:t>y</w:t>
      </w:r>
    </w:p>
    <w:p w14:paraId="6719185A" w14:textId="77777777" w:rsidR="00666838" w:rsidRPr="00BA7F79" w:rsidRDefault="00666838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48C81A86" w14:textId="77777777" w:rsidR="00747FC0" w:rsidRPr="00BA7F79" w:rsidRDefault="00747FC0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N</w:t>
      </w:r>
      <w:r w:rsidR="00571F87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apli</w:t>
      </w:r>
      <w:r w:rsidR="00571F87" w:rsidRPr="00BA7F79">
        <w:rPr>
          <w:sz w:val="22"/>
          <w:szCs w:val="22"/>
          <w:lang w:val="sk-SK"/>
        </w:rPr>
        <w:t>kovateľné.</w:t>
      </w:r>
    </w:p>
    <w:p w14:paraId="3FAE5AC0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567" w:hanging="567"/>
        <w:rPr>
          <w:b w:val="0"/>
          <w:bCs/>
          <w:sz w:val="22"/>
          <w:szCs w:val="22"/>
          <w:lang w:val="sk-SK"/>
        </w:rPr>
      </w:pPr>
    </w:p>
    <w:p w14:paraId="1EDC49F3" w14:textId="77777777" w:rsidR="00747FC0" w:rsidRPr="00BA7F79" w:rsidRDefault="00571F87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6.3</w:t>
      </w:r>
      <w:r w:rsidRPr="00BA7F79">
        <w:rPr>
          <w:sz w:val="22"/>
          <w:szCs w:val="22"/>
          <w:lang w:val="sk-SK"/>
        </w:rPr>
        <w:tab/>
        <w:t>Čas použiteľnosti</w:t>
      </w:r>
    </w:p>
    <w:p w14:paraId="040DACB9" w14:textId="77777777" w:rsidR="00666838" w:rsidRPr="00BA7F79" w:rsidRDefault="00666838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1BA7E696" w14:textId="77777777" w:rsidR="008A7DE4" w:rsidRPr="00BA7F79" w:rsidRDefault="008A474F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8A7DE4" w:rsidRPr="00BA7F79">
        <w:rPr>
          <w:sz w:val="22"/>
          <w:szCs w:val="22"/>
          <w:lang w:val="sk-SK"/>
        </w:rPr>
        <w:t xml:space="preserve"> 2 mg – 2 roky</w:t>
      </w:r>
    </w:p>
    <w:p w14:paraId="1345D6DF" w14:textId="77777777" w:rsidR="008A7DE4" w:rsidRPr="00BA7F79" w:rsidRDefault="008A474F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8A7DE4" w:rsidRPr="00BA7F79">
        <w:rPr>
          <w:sz w:val="22"/>
          <w:szCs w:val="22"/>
          <w:lang w:val="sk-SK"/>
        </w:rPr>
        <w:t xml:space="preserve"> 4 mg – 3 roky</w:t>
      </w:r>
    </w:p>
    <w:p w14:paraId="7950DC56" w14:textId="77777777" w:rsidR="008A7DE4" w:rsidRPr="00BA7F79" w:rsidRDefault="008A474F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8A7DE4" w:rsidRPr="00BA7F79">
        <w:rPr>
          <w:sz w:val="22"/>
          <w:szCs w:val="22"/>
          <w:lang w:val="sk-SK"/>
        </w:rPr>
        <w:t xml:space="preserve"> 8 mg – 3 roky</w:t>
      </w:r>
    </w:p>
    <w:p w14:paraId="2E21B958" w14:textId="77777777" w:rsidR="008A7DE4" w:rsidRPr="00BA7F79" w:rsidDel="008A7DE4" w:rsidRDefault="008A7DE4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5ED0203C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6.4</w:t>
      </w:r>
      <w:r w:rsidRPr="00BA7F79">
        <w:rPr>
          <w:sz w:val="22"/>
          <w:szCs w:val="22"/>
          <w:lang w:val="sk-SK"/>
        </w:rPr>
        <w:tab/>
      </w:r>
      <w:r w:rsidR="00571F87" w:rsidRPr="00BA7F79">
        <w:rPr>
          <w:sz w:val="22"/>
          <w:szCs w:val="22"/>
          <w:lang w:val="sk-SK"/>
        </w:rPr>
        <w:t>Š</w:t>
      </w:r>
      <w:r w:rsidRPr="00BA7F79">
        <w:rPr>
          <w:sz w:val="22"/>
          <w:szCs w:val="22"/>
          <w:lang w:val="sk-SK"/>
        </w:rPr>
        <w:t>peci</w:t>
      </w:r>
      <w:r w:rsidR="00571F87" w:rsidRPr="00BA7F79">
        <w:rPr>
          <w:sz w:val="22"/>
          <w:szCs w:val="22"/>
          <w:lang w:val="sk-SK"/>
        </w:rPr>
        <w:t>álne upozornenia na uchovávanie</w:t>
      </w:r>
    </w:p>
    <w:p w14:paraId="717191A2" w14:textId="77777777" w:rsidR="00666838" w:rsidRPr="00BA7F79" w:rsidRDefault="00666838" w:rsidP="000E2DDB">
      <w:pPr>
        <w:pStyle w:val="Text"/>
        <w:spacing w:after="0" w:line="240" w:lineRule="auto"/>
        <w:rPr>
          <w:snapToGrid w:val="0"/>
          <w:sz w:val="22"/>
          <w:szCs w:val="22"/>
          <w:lang w:val="sk-SK" w:eastAsia="en-US"/>
        </w:rPr>
      </w:pPr>
    </w:p>
    <w:p w14:paraId="2CECED03" w14:textId="77777777" w:rsidR="00747FC0" w:rsidRPr="00BA7F79" w:rsidRDefault="00571F87" w:rsidP="000E2DDB">
      <w:pPr>
        <w:pStyle w:val="Text"/>
        <w:spacing w:after="0" w:line="240" w:lineRule="auto"/>
        <w:rPr>
          <w:snapToGrid w:val="0"/>
          <w:sz w:val="22"/>
          <w:szCs w:val="22"/>
          <w:lang w:val="sk-SK" w:eastAsia="en-US"/>
        </w:rPr>
      </w:pPr>
      <w:r w:rsidRPr="00BA7F79">
        <w:rPr>
          <w:snapToGrid w:val="0"/>
          <w:sz w:val="22"/>
          <w:szCs w:val="22"/>
          <w:lang w:val="sk-SK" w:eastAsia="en-US"/>
        </w:rPr>
        <w:t>Uchovávajte pri teplote neprevyšujúcej</w:t>
      </w:r>
      <w:r w:rsidR="00747FC0" w:rsidRPr="00BA7F79">
        <w:rPr>
          <w:snapToGrid w:val="0"/>
          <w:sz w:val="22"/>
          <w:szCs w:val="22"/>
          <w:lang w:val="sk-SK" w:eastAsia="en-US"/>
        </w:rPr>
        <w:t xml:space="preserve"> 25</w:t>
      </w:r>
      <w:r w:rsidR="00B711BE" w:rsidRPr="00BA7F79">
        <w:rPr>
          <w:snapToGrid w:val="0"/>
          <w:sz w:val="22"/>
          <w:szCs w:val="22"/>
          <w:lang w:val="sk-SK" w:eastAsia="en-US"/>
        </w:rPr>
        <w:t> </w:t>
      </w:r>
      <w:r w:rsidR="00747FC0" w:rsidRPr="00BA7F79">
        <w:rPr>
          <w:snapToGrid w:val="0"/>
          <w:sz w:val="22"/>
          <w:szCs w:val="22"/>
          <w:lang w:val="sk-SK" w:eastAsia="en-US"/>
        </w:rPr>
        <w:t>°C</w:t>
      </w:r>
      <w:r w:rsidR="00501828" w:rsidRPr="00BA7F79">
        <w:rPr>
          <w:snapToGrid w:val="0"/>
          <w:sz w:val="22"/>
          <w:szCs w:val="22"/>
          <w:lang w:val="sk-SK" w:eastAsia="en-US"/>
        </w:rPr>
        <w:t>.</w:t>
      </w:r>
    </w:p>
    <w:p w14:paraId="184D5AFE" w14:textId="77777777" w:rsidR="00747FC0" w:rsidRPr="00BA7F79" w:rsidRDefault="00571F87" w:rsidP="000E2DDB">
      <w:pPr>
        <w:pStyle w:val="Text"/>
        <w:spacing w:after="0" w:line="240" w:lineRule="auto"/>
        <w:rPr>
          <w:snapToGrid w:val="0"/>
          <w:sz w:val="22"/>
          <w:szCs w:val="22"/>
          <w:lang w:val="sk-SK" w:eastAsia="en-US"/>
        </w:rPr>
      </w:pPr>
      <w:r w:rsidRPr="00BA7F79">
        <w:rPr>
          <w:snapToGrid w:val="0"/>
          <w:sz w:val="22"/>
          <w:szCs w:val="22"/>
          <w:lang w:val="sk-SK" w:eastAsia="en-US"/>
        </w:rPr>
        <w:t>Uchovávajte v pôvodnom obale</w:t>
      </w:r>
      <w:r w:rsidR="00B711BE" w:rsidRPr="00BA7F79">
        <w:rPr>
          <w:snapToGrid w:val="0"/>
          <w:sz w:val="22"/>
          <w:szCs w:val="22"/>
          <w:lang w:val="sk-SK" w:eastAsia="en-US"/>
        </w:rPr>
        <w:t xml:space="preserve"> na ochranu pred svetlom</w:t>
      </w:r>
      <w:r w:rsidR="00501828" w:rsidRPr="00BA7F79">
        <w:rPr>
          <w:snapToGrid w:val="0"/>
          <w:sz w:val="22"/>
          <w:szCs w:val="22"/>
          <w:lang w:val="sk-SK" w:eastAsia="en-US"/>
        </w:rPr>
        <w:t>.</w:t>
      </w:r>
    </w:p>
    <w:p w14:paraId="6AA88003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5D43E6B4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6.5</w:t>
      </w:r>
      <w:r w:rsidRPr="00BA7F79">
        <w:rPr>
          <w:sz w:val="22"/>
          <w:szCs w:val="22"/>
          <w:lang w:val="sk-SK"/>
        </w:rPr>
        <w:tab/>
      </w:r>
      <w:r w:rsidR="00571F87" w:rsidRPr="00BA7F79">
        <w:rPr>
          <w:sz w:val="22"/>
          <w:szCs w:val="22"/>
          <w:lang w:val="sk-SK"/>
        </w:rPr>
        <w:t>Druh obalu a obsah balenia</w:t>
      </w:r>
    </w:p>
    <w:p w14:paraId="10F66BA6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588C7421" w14:textId="77777777" w:rsidR="00B711BE" w:rsidRPr="00BA7F79" w:rsidRDefault="00B711BE" w:rsidP="000E2DDB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lang w:val="sk-SK"/>
        </w:rPr>
        <w:t>Veľkosti balenia:</w:t>
      </w:r>
    </w:p>
    <w:p w14:paraId="1F4FF201" w14:textId="77777777" w:rsidR="00B711BE" w:rsidRPr="00BA7F79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B711BE" w:rsidRPr="00BA7F79">
        <w:rPr>
          <w:sz w:val="22"/>
          <w:szCs w:val="22"/>
          <w:lang w:val="sk-SK"/>
        </w:rPr>
        <w:t xml:space="preserve"> </w:t>
      </w:r>
      <w:r w:rsidR="006C0A78" w:rsidRPr="00BA7F79">
        <w:rPr>
          <w:sz w:val="22"/>
          <w:szCs w:val="22"/>
          <w:lang w:val="sk-SK"/>
        </w:rPr>
        <w:t>2</w:t>
      </w:r>
      <w:r w:rsidR="00B711BE" w:rsidRPr="00BA7F79">
        <w:rPr>
          <w:sz w:val="22"/>
          <w:szCs w:val="22"/>
          <w:lang w:val="sk-SK"/>
        </w:rPr>
        <w:t> </w:t>
      </w:r>
      <w:r w:rsidR="006C0A78" w:rsidRPr="00BA7F79">
        <w:rPr>
          <w:sz w:val="22"/>
          <w:szCs w:val="22"/>
          <w:lang w:val="sk-SK"/>
        </w:rPr>
        <w:t>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6C0A78" w:rsidRPr="00BA7F79">
        <w:rPr>
          <w:sz w:val="22"/>
          <w:szCs w:val="22"/>
          <w:lang w:val="sk-SK"/>
        </w:rPr>
        <w:t>:</w:t>
      </w:r>
    </w:p>
    <w:p w14:paraId="5903C5F0" w14:textId="77777777" w:rsidR="00B711BE" w:rsidRPr="00BA7F79" w:rsidRDefault="006C0A78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lang w:val="sk-SK"/>
        </w:rPr>
        <w:t>Balenie pre začiatok liečby po 42 a balenia po 28 alebo 84 tabliet s predĺž</w:t>
      </w:r>
      <w:r w:rsidR="00DB1E38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ným uvoľňovaním</w:t>
      </w:r>
      <w:r w:rsidR="00B711BE" w:rsidRPr="00BA7F79">
        <w:rPr>
          <w:sz w:val="22"/>
          <w:szCs w:val="22"/>
          <w:lang w:val="sk-SK"/>
        </w:rPr>
        <w:t xml:space="preserve"> v</w:t>
      </w:r>
      <w:r w:rsidR="00543BCA" w:rsidRPr="00BA7F79">
        <w:rPr>
          <w:sz w:val="22"/>
          <w:szCs w:val="22"/>
          <w:lang w:val="sk-SK"/>
        </w:rPr>
        <w:t> </w:t>
      </w:r>
      <w:proofErr w:type="spellStart"/>
      <w:r w:rsidR="00B711BE" w:rsidRPr="00BA7F79">
        <w:rPr>
          <w:sz w:val="22"/>
          <w:szCs w:val="22"/>
          <w:lang w:val="sk-SK"/>
        </w:rPr>
        <w:t>blistroch</w:t>
      </w:r>
      <w:proofErr w:type="spellEnd"/>
      <w:r w:rsidR="00B711BE" w:rsidRPr="00BA7F79">
        <w:rPr>
          <w:sz w:val="22"/>
          <w:szCs w:val="22"/>
          <w:lang w:val="sk-SK"/>
        </w:rPr>
        <w:t xml:space="preserve"> (</w:t>
      </w:r>
      <w:r w:rsidR="00AE5D76" w:rsidRPr="00BA7F79">
        <w:rPr>
          <w:sz w:val="22"/>
          <w:szCs w:val="22"/>
          <w:lang w:val="sk-SK"/>
        </w:rPr>
        <w:t>PVC/</w:t>
      </w:r>
      <w:proofErr w:type="spellStart"/>
      <w:r w:rsidR="00AE5D76" w:rsidRPr="00BA7F79">
        <w:rPr>
          <w:sz w:val="22"/>
          <w:szCs w:val="22"/>
          <w:lang w:val="sk-SK"/>
        </w:rPr>
        <w:t>PCTFE</w:t>
      </w:r>
      <w:proofErr w:type="spellEnd"/>
      <w:r w:rsidR="00AE5D76" w:rsidRPr="00BA7F79">
        <w:rPr>
          <w:sz w:val="22"/>
          <w:szCs w:val="22"/>
          <w:lang w:val="sk-SK"/>
        </w:rPr>
        <w:t>/PVC/</w:t>
      </w:r>
      <w:proofErr w:type="spellStart"/>
      <w:r w:rsidR="00DE6996" w:rsidRPr="00BA7F79">
        <w:rPr>
          <w:sz w:val="22"/>
          <w:szCs w:val="22"/>
          <w:lang w:val="sk-SK"/>
        </w:rPr>
        <w:t>Al</w:t>
      </w:r>
      <w:proofErr w:type="spellEnd"/>
      <w:r w:rsidR="00AE5D76" w:rsidRPr="00BA7F79">
        <w:rPr>
          <w:sz w:val="22"/>
          <w:szCs w:val="22"/>
          <w:lang w:val="sk-SK"/>
        </w:rPr>
        <w:t xml:space="preserve">, </w:t>
      </w:r>
      <w:r w:rsidR="00B711BE" w:rsidRPr="00BA7F79">
        <w:rPr>
          <w:sz w:val="22"/>
          <w:szCs w:val="22"/>
          <w:lang w:val="sk-SK"/>
        </w:rPr>
        <w:t>PVC/</w:t>
      </w:r>
      <w:proofErr w:type="spellStart"/>
      <w:r w:rsidR="00B711BE" w:rsidRPr="00BA7F79">
        <w:rPr>
          <w:sz w:val="22"/>
          <w:szCs w:val="22"/>
          <w:lang w:val="sk-SK"/>
        </w:rPr>
        <w:t>PCTFE</w:t>
      </w:r>
      <w:proofErr w:type="spellEnd"/>
      <w:r w:rsidR="00B711BE" w:rsidRPr="00BA7F79">
        <w:rPr>
          <w:sz w:val="22"/>
          <w:szCs w:val="22"/>
          <w:lang w:val="sk-SK"/>
        </w:rPr>
        <w:t>/</w:t>
      </w:r>
      <w:proofErr w:type="spellStart"/>
      <w:r w:rsidR="0056436A" w:rsidRPr="00BA7F79">
        <w:rPr>
          <w:sz w:val="22"/>
          <w:szCs w:val="22"/>
          <w:lang w:val="sk-SK"/>
        </w:rPr>
        <w:t>Al</w:t>
      </w:r>
      <w:proofErr w:type="spellEnd"/>
      <w:r w:rsidR="003F1B32" w:rsidRPr="00BA7F79">
        <w:rPr>
          <w:sz w:val="22"/>
          <w:szCs w:val="22"/>
          <w:lang w:val="sk-SK"/>
        </w:rPr>
        <w:t xml:space="preserve"> alebo </w:t>
      </w:r>
      <w:r w:rsidR="0078192F" w:rsidRPr="00BA7F79">
        <w:rPr>
          <w:sz w:val="22"/>
          <w:szCs w:val="22"/>
          <w:lang w:val="sk-SK"/>
        </w:rPr>
        <w:t xml:space="preserve">detský bezpečnostný </w:t>
      </w:r>
      <w:proofErr w:type="spellStart"/>
      <w:r w:rsidR="0078192F" w:rsidRPr="00BA7F79">
        <w:rPr>
          <w:sz w:val="22"/>
          <w:szCs w:val="22"/>
          <w:lang w:val="sk-SK"/>
        </w:rPr>
        <w:t>blister</w:t>
      </w:r>
      <w:proofErr w:type="spellEnd"/>
      <w:r w:rsidR="0078192F" w:rsidRPr="00BA7F79">
        <w:rPr>
          <w:sz w:val="22"/>
          <w:szCs w:val="22"/>
          <w:lang w:val="sk-SK"/>
        </w:rPr>
        <w:t xml:space="preserve"> </w:t>
      </w:r>
      <w:r w:rsidR="003F1B32" w:rsidRPr="00BA7F79">
        <w:rPr>
          <w:sz w:val="22"/>
          <w:szCs w:val="22"/>
          <w:lang w:val="sk-SK"/>
        </w:rPr>
        <w:t>PVC/</w:t>
      </w:r>
      <w:proofErr w:type="spellStart"/>
      <w:r w:rsidR="008905D8" w:rsidRPr="00BA7F79">
        <w:rPr>
          <w:sz w:val="22"/>
          <w:szCs w:val="22"/>
          <w:lang w:val="sk-SK"/>
        </w:rPr>
        <w:t>PE</w:t>
      </w:r>
      <w:proofErr w:type="spellEnd"/>
      <w:r w:rsidR="008905D8" w:rsidRPr="00BA7F79">
        <w:rPr>
          <w:sz w:val="22"/>
          <w:szCs w:val="22"/>
          <w:lang w:val="sk-SK"/>
        </w:rPr>
        <w:t>/</w:t>
      </w:r>
      <w:proofErr w:type="spellStart"/>
      <w:r w:rsidR="008905D8" w:rsidRPr="00BA7F79">
        <w:rPr>
          <w:sz w:val="22"/>
          <w:szCs w:val="22"/>
          <w:lang w:val="sk-SK"/>
        </w:rPr>
        <w:t>PVdC</w:t>
      </w:r>
      <w:r w:rsidR="0078192F" w:rsidRPr="00BA7F79">
        <w:rPr>
          <w:sz w:val="22"/>
          <w:szCs w:val="22"/>
          <w:lang w:val="sk-SK"/>
        </w:rPr>
        <w:t>-</w:t>
      </w:r>
      <w:r w:rsidR="0056436A" w:rsidRPr="00BA7F79">
        <w:rPr>
          <w:sz w:val="22"/>
          <w:szCs w:val="22"/>
          <w:lang w:val="sk-SK"/>
        </w:rPr>
        <w:t>Al</w:t>
      </w:r>
      <w:proofErr w:type="spellEnd"/>
      <w:r w:rsidR="0078192F" w:rsidRPr="00BA7F79">
        <w:rPr>
          <w:sz w:val="22"/>
          <w:szCs w:val="22"/>
          <w:lang w:val="sk-SK"/>
        </w:rPr>
        <w:t>/papier</w:t>
      </w:r>
      <w:r w:rsidR="00B711BE" w:rsidRPr="00BA7F79">
        <w:rPr>
          <w:sz w:val="22"/>
          <w:szCs w:val="22"/>
          <w:lang w:val="sk-SK"/>
        </w:rPr>
        <w:t>)</w:t>
      </w:r>
    </w:p>
    <w:p w14:paraId="00CD5D29" w14:textId="77777777" w:rsidR="00501828" w:rsidRPr="00BA7F79" w:rsidRDefault="0050182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17BA09F" w14:textId="77777777" w:rsidR="00B711BE" w:rsidRPr="00BA7F79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B711BE" w:rsidRPr="00BA7F79">
        <w:rPr>
          <w:sz w:val="22"/>
          <w:szCs w:val="22"/>
          <w:lang w:val="sk-SK"/>
        </w:rPr>
        <w:t xml:space="preserve"> </w:t>
      </w:r>
      <w:r w:rsidR="00563651" w:rsidRPr="00BA7F79">
        <w:rPr>
          <w:sz w:val="22"/>
          <w:szCs w:val="22"/>
          <w:lang w:val="sk-SK"/>
        </w:rPr>
        <w:t>4</w:t>
      </w:r>
      <w:r w:rsidR="002A6E3C" w:rsidRPr="00BA7F79">
        <w:rPr>
          <w:sz w:val="22"/>
          <w:szCs w:val="22"/>
          <w:lang w:val="sk-SK"/>
        </w:rPr>
        <w:t> </w:t>
      </w:r>
      <w:r w:rsidR="00563651" w:rsidRPr="00BA7F79">
        <w:rPr>
          <w:sz w:val="22"/>
          <w:szCs w:val="22"/>
          <w:lang w:val="sk-SK"/>
        </w:rPr>
        <w:t>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563651" w:rsidRPr="00BA7F79">
        <w:rPr>
          <w:sz w:val="22"/>
          <w:szCs w:val="22"/>
          <w:lang w:val="sk-SK"/>
        </w:rPr>
        <w:t>:</w:t>
      </w:r>
    </w:p>
    <w:p w14:paraId="5ECDCC7A" w14:textId="77777777" w:rsidR="00563651" w:rsidRPr="00BA7F79" w:rsidRDefault="002164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Balenia po 28 alebo 84 tabliet s predĺž</w:t>
      </w:r>
      <w:r w:rsidR="00DB1E38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ným uvoľňovaním</w:t>
      </w:r>
      <w:r w:rsidR="00B711BE" w:rsidRPr="00BA7F79">
        <w:rPr>
          <w:sz w:val="22"/>
          <w:szCs w:val="22"/>
          <w:lang w:val="sk-SK"/>
        </w:rPr>
        <w:t xml:space="preserve"> v </w:t>
      </w:r>
      <w:proofErr w:type="spellStart"/>
      <w:r w:rsidR="00B711BE" w:rsidRPr="00BA7F79">
        <w:rPr>
          <w:sz w:val="22"/>
          <w:szCs w:val="22"/>
          <w:lang w:val="sk-SK"/>
        </w:rPr>
        <w:t>blistroch</w:t>
      </w:r>
      <w:proofErr w:type="spellEnd"/>
      <w:r w:rsidR="00B711BE" w:rsidRPr="00BA7F79">
        <w:rPr>
          <w:sz w:val="22"/>
          <w:szCs w:val="22"/>
          <w:lang w:val="sk-SK"/>
        </w:rPr>
        <w:t xml:space="preserve"> (</w:t>
      </w:r>
      <w:r w:rsidR="00AE5D76" w:rsidRPr="00BA7F79">
        <w:rPr>
          <w:sz w:val="22"/>
          <w:szCs w:val="22"/>
          <w:lang w:val="sk-SK"/>
        </w:rPr>
        <w:t>PVC/</w:t>
      </w:r>
      <w:proofErr w:type="spellStart"/>
      <w:r w:rsidR="00AE5D76" w:rsidRPr="00BA7F79">
        <w:rPr>
          <w:sz w:val="22"/>
          <w:szCs w:val="22"/>
          <w:lang w:val="sk-SK"/>
        </w:rPr>
        <w:t>PCTFE</w:t>
      </w:r>
      <w:proofErr w:type="spellEnd"/>
      <w:r w:rsidR="00AE5D76" w:rsidRPr="00BA7F79">
        <w:rPr>
          <w:sz w:val="22"/>
          <w:szCs w:val="22"/>
          <w:lang w:val="sk-SK"/>
        </w:rPr>
        <w:t>/PVC/</w:t>
      </w:r>
      <w:proofErr w:type="spellStart"/>
      <w:r w:rsidR="00DE6996" w:rsidRPr="00BA7F79">
        <w:rPr>
          <w:sz w:val="22"/>
          <w:szCs w:val="22"/>
          <w:lang w:val="sk-SK"/>
        </w:rPr>
        <w:t>Al</w:t>
      </w:r>
      <w:proofErr w:type="spellEnd"/>
      <w:r w:rsidR="00AE5D76" w:rsidRPr="00BA7F79">
        <w:rPr>
          <w:sz w:val="22"/>
          <w:szCs w:val="22"/>
          <w:lang w:val="sk-SK"/>
        </w:rPr>
        <w:t xml:space="preserve">, </w:t>
      </w:r>
      <w:r w:rsidR="00B711BE" w:rsidRPr="00BA7F79">
        <w:rPr>
          <w:sz w:val="22"/>
          <w:szCs w:val="22"/>
          <w:lang w:val="sk-SK"/>
        </w:rPr>
        <w:t>PVC/</w:t>
      </w:r>
      <w:proofErr w:type="spellStart"/>
      <w:r w:rsidR="00B711BE" w:rsidRPr="00BA7F79">
        <w:rPr>
          <w:sz w:val="22"/>
          <w:szCs w:val="22"/>
          <w:lang w:val="sk-SK"/>
        </w:rPr>
        <w:t>PCTFE</w:t>
      </w:r>
      <w:proofErr w:type="spellEnd"/>
      <w:r w:rsidR="00B711BE" w:rsidRPr="00BA7F79">
        <w:rPr>
          <w:sz w:val="22"/>
          <w:szCs w:val="22"/>
          <w:lang w:val="sk-SK"/>
        </w:rPr>
        <w:t>/</w:t>
      </w:r>
      <w:proofErr w:type="spellStart"/>
      <w:r w:rsidR="0056436A" w:rsidRPr="00BA7F79">
        <w:rPr>
          <w:sz w:val="22"/>
          <w:szCs w:val="22"/>
          <w:lang w:val="sk-SK"/>
        </w:rPr>
        <w:t>Al</w:t>
      </w:r>
      <w:proofErr w:type="spellEnd"/>
      <w:r w:rsidR="003F1B32" w:rsidRPr="00BA7F79">
        <w:rPr>
          <w:sz w:val="22"/>
          <w:szCs w:val="22"/>
          <w:lang w:val="sk-SK"/>
        </w:rPr>
        <w:t xml:space="preserve"> alebo </w:t>
      </w:r>
      <w:r w:rsidR="0078192F" w:rsidRPr="00BA7F79">
        <w:rPr>
          <w:sz w:val="22"/>
          <w:szCs w:val="22"/>
          <w:lang w:val="sk-SK"/>
        </w:rPr>
        <w:t xml:space="preserve">detský bezpečnostný </w:t>
      </w:r>
      <w:proofErr w:type="spellStart"/>
      <w:r w:rsidR="0078192F" w:rsidRPr="00BA7F79">
        <w:rPr>
          <w:sz w:val="22"/>
          <w:szCs w:val="22"/>
          <w:lang w:val="sk-SK"/>
        </w:rPr>
        <w:t>blister</w:t>
      </w:r>
      <w:proofErr w:type="spellEnd"/>
      <w:r w:rsidR="0078192F" w:rsidRPr="00BA7F79">
        <w:rPr>
          <w:sz w:val="22"/>
          <w:szCs w:val="22"/>
          <w:lang w:val="sk-SK"/>
        </w:rPr>
        <w:t xml:space="preserve"> </w:t>
      </w:r>
      <w:r w:rsidR="003F1B32" w:rsidRPr="00BA7F79">
        <w:rPr>
          <w:sz w:val="22"/>
          <w:szCs w:val="22"/>
          <w:lang w:val="sk-SK"/>
        </w:rPr>
        <w:t>PVC/</w:t>
      </w:r>
      <w:proofErr w:type="spellStart"/>
      <w:r w:rsidR="008905D8" w:rsidRPr="00BA7F79">
        <w:rPr>
          <w:sz w:val="22"/>
          <w:szCs w:val="22"/>
          <w:lang w:val="sk-SK"/>
        </w:rPr>
        <w:t>PE</w:t>
      </w:r>
      <w:proofErr w:type="spellEnd"/>
      <w:r w:rsidR="008905D8" w:rsidRPr="00BA7F79">
        <w:rPr>
          <w:sz w:val="22"/>
          <w:szCs w:val="22"/>
          <w:lang w:val="sk-SK"/>
        </w:rPr>
        <w:t>/</w:t>
      </w:r>
      <w:proofErr w:type="spellStart"/>
      <w:r w:rsidR="008905D8" w:rsidRPr="00BA7F79">
        <w:rPr>
          <w:sz w:val="22"/>
          <w:szCs w:val="22"/>
          <w:lang w:val="sk-SK"/>
        </w:rPr>
        <w:t>PVdC</w:t>
      </w:r>
      <w:r w:rsidR="0078192F" w:rsidRPr="00BA7F79">
        <w:rPr>
          <w:sz w:val="22"/>
          <w:szCs w:val="22"/>
          <w:lang w:val="sk-SK"/>
        </w:rPr>
        <w:t>-</w:t>
      </w:r>
      <w:r w:rsidR="0056436A" w:rsidRPr="00BA7F79">
        <w:rPr>
          <w:sz w:val="22"/>
          <w:szCs w:val="22"/>
          <w:lang w:val="sk-SK"/>
        </w:rPr>
        <w:t>Al</w:t>
      </w:r>
      <w:proofErr w:type="spellEnd"/>
      <w:r w:rsidR="0078192F" w:rsidRPr="00BA7F79">
        <w:rPr>
          <w:sz w:val="22"/>
          <w:szCs w:val="22"/>
          <w:lang w:val="sk-SK"/>
        </w:rPr>
        <w:t>/papier</w:t>
      </w:r>
      <w:r w:rsidR="00B711BE" w:rsidRPr="00BA7F79">
        <w:rPr>
          <w:sz w:val="22"/>
          <w:szCs w:val="22"/>
          <w:lang w:val="sk-SK"/>
        </w:rPr>
        <w:t>)</w:t>
      </w:r>
    </w:p>
    <w:p w14:paraId="182A4C06" w14:textId="77777777" w:rsidR="00B711BE" w:rsidRPr="00BA7F79" w:rsidRDefault="00B711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9B344A5" w14:textId="77777777" w:rsidR="00B711BE" w:rsidRPr="00BA7F79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REQUIP-MODUTAB</w:t>
      </w:r>
      <w:proofErr w:type="spellEnd"/>
      <w:r w:rsidR="00B711BE" w:rsidRPr="00BA7F79">
        <w:rPr>
          <w:sz w:val="22"/>
          <w:szCs w:val="22"/>
          <w:lang w:val="sk-SK"/>
        </w:rPr>
        <w:t xml:space="preserve"> </w:t>
      </w:r>
      <w:r w:rsidR="002A6E3C" w:rsidRPr="00BA7F79">
        <w:rPr>
          <w:sz w:val="22"/>
          <w:szCs w:val="22"/>
          <w:lang w:val="sk-SK"/>
        </w:rPr>
        <w:t>8 </w:t>
      </w:r>
      <w:r w:rsidR="00563651" w:rsidRPr="00BA7F79">
        <w:rPr>
          <w:sz w:val="22"/>
          <w:szCs w:val="22"/>
          <w:lang w:val="sk-SK"/>
        </w:rPr>
        <w:t>mg</w:t>
      </w:r>
      <w:r w:rsidR="001C02CE" w:rsidRPr="00BA7F79">
        <w:rPr>
          <w:sz w:val="22"/>
          <w:szCs w:val="22"/>
          <w:lang w:val="sk-SK"/>
        </w:rPr>
        <w:t xml:space="preserve"> tablety s predĺženým uvoľňovaním</w:t>
      </w:r>
      <w:r w:rsidR="00563651" w:rsidRPr="00BA7F79">
        <w:rPr>
          <w:sz w:val="22"/>
          <w:szCs w:val="22"/>
          <w:lang w:val="sk-SK"/>
        </w:rPr>
        <w:t>:</w:t>
      </w:r>
    </w:p>
    <w:p w14:paraId="5D5D25D6" w14:textId="77777777" w:rsidR="00563651" w:rsidRPr="00BA7F79" w:rsidRDefault="002164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Balenia po 28 alebo 84 tabliet s predĺž</w:t>
      </w:r>
      <w:r w:rsidR="00DB1E38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ným uvoľňovaním</w:t>
      </w:r>
      <w:r w:rsidR="00B711BE" w:rsidRPr="00BA7F79">
        <w:rPr>
          <w:sz w:val="22"/>
          <w:szCs w:val="22"/>
          <w:lang w:val="sk-SK"/>
        </w:rPr>
        <w:t xml:space="preserve"> v </w:t>
      </w:r>
      <w:proofErr w:type="spellStart"/>
      <w:r w:rsidR="00B711BE" w:rsidRPr="00BA7F79">
        <w:rPr>
          <w:sz w:val="22"/>
          <w:szCs w:val="22"/>
          <w:lang w:val="sk-SK"/>
        </w:rPr>
        <w:t>blistroch</w:t>
      </w:r>
      <w:proofErr w:type="spellEnd"/>
      <w:r w:rsidR="00B711BE" w:rsidRPr="00BA7F79">
        <w:rPr>
          <w:sz w:val="22"/>
          <w:szCs w:val="22"/>
          <w:lang w:val="sk-SK"/>
        </w:rPr>
        <w:t xml:space="preserve"> (</w:t>
      </w:r>
      <w:r w:rsidR="00AE5D76" w:rsidRPr="00BA7F79">
        <w:rPr>
          <w:sz w:val="22"/>
          <w:szCs w:val="22"/>
          <w:lang w:val="sk-SK"/>
        </w:rPr>
        <w:t>PVC/</w:t>
      </w:r>
      <w:proofErr w:type="spellStart"/>
      <w:r w:rsidR="00AE5D76" w:rsidRPr="00BA7F79">
        <w:rPr>
          <w:sz w:val="22"/>
          <w:szCs w:val="22"/>
          <w:lang w:val="sk-SK"/>
        </w:rPr>
        <w:t>PCTFE</w:t>
      </w:r>
      <w:proofErr w:type="spellEnd"/>
      <w:r w:rsidR="00AE5D76" w:rsidRPr="00BA7F79">
        <w:rPr>
          <w:sz w:val="22"/>
          <w:szCs w:val="22"/>
          <w:lang w:val="sk-SK"/>
        </w:rPr>
        <w:t>/PVC/</w:t>
      </w:r>
      <w:proofErr w:type="spellStart"/>
      <w:r w:rsidR="00DE6996" w:rsidRPr="00BA7F79">
        <w:rPr>
          <w:sz w:val="22"/>
          <w:szCs w:val="22"/>
          <w:lang w:val="sk-SK"/>
        </w:rPr>
        <w:t>Al</w:t>
      </w:r>
      <w:proofErr w:type="spellEnd"/>
      <w:r w:rsidR="00AE5D76" w:rsidRPr="00BA7F79">
        <w:rPr>
          <w:sz w:val="22"/>
          <w:szCs w:val="22"/>
          <w:lang w:val="sk-SK"/>
        </w:rPr>
        <w:t xml:space="preserve">, </w:t>
      </w:r>
      <w:r w:rsidR="00B711BE" w:rsidRPr="00BA7F79">
        <w:rPr>
          <w:sz w:val="22"/>
          <w:szCs w:val="22"/>
          <w:lang w:val="sk-SK"/>
        </w:rPr>
        <w:t>PVC/</w:t>
      </w:r>
      <w:proofErr w:type="spellStart"/>
      <w:r w:rsidR="00B711BE" w:rsidRPr="00BA7F79">
        <w:rPr>
          <w:sz w:val="22"/>
          <w:szCs w:val="22"/>
          <w:lang w:val="sk-SK"/>
        </w:rPr>
        <w:t>PCTFE</w:t>
      </w:r>
      <w:proofErr w:type="spellEnd"/>
      <w:r w:rsidR="00B711BE" w:rsidRPr="00BA7F79">
        <w:rPr>
          <w:sz w:val="22"/>
          <w:szCs w:val="22"/>
          <w:lang w:val="sk-SK"/>
        </w:rPr>
        <w:t>/</w:t>
      </w:r>
      <w:proofErr w:type="spellStart"/>
      <w:r w:rsidR="0056436A" w:rsidRPr="00BA7F79">
        <w:rPr>
          <w:sz w:val="22"/>
          <w:szCs w:val="22"/>
          <w:lang w:val="sk-SK"/>
        </w:rPr>
        <w:t>Al</w:t>
      </w:r>
      <w:proofErr w:type="spellEnd"/>
      <w:r w:rsidR="003F1B32" w:rsidRPr="00BA7F79">
        <w:rPr>
          <w:sz w:val="22"/>
          <w:szCs w:val="22"/>
          <w:lang w:val="sk-SK"/>
        </w:rPr>
        <w:t xml:space="preserve"> alebo </w:t>
      </w:r>
      <w:r w:rsidR="0078192F" w:rsidRPr="00BA7F79">
        <w:rPr>
          <w:sz w:val="22"/>
          <w:szCs w:val="22"/>
          <w:lang w:val="sk-SK"/>
        </w:rPr>
        <w:t xml:space="preserve">detský bezpečnostný </w:t>
      </w:r>
      <w:proofErr w:type="spellStart"/>
      <w:r w:rsidR="0078192F" w:rsidRPr="00BA7F79">
        <w:rPr>
          <w:sz w:val="22"/>
          <w:szCs w:val="22"/>
          <w:lang w:val="sk-SK"/>
        </w:rPr>
        <w:t>blister</w:t>
      </w:r>
      <w:proofErr w:type="spellEnd"/>
      <w:r w:rsidR="0078192F" w:rsidRPr="00BA7F79">
        <w:rPr>
          <w:sz w:val="22"/>
          <w:szCs w:val="22"/>
          <w:lang w:val="sk-SK"/>
        </w:rPr>
        <w:t xml:space="preserve"> </w:t>
      </w:r>
      <w:r w:rsidR="003F1B32" w:rsidRPr="00BA7F79">
        <w:rPr>
          <w:sz w:val="22"/>
          <w:szCs w:val="22"/>
          <w:lang w:val="sk-SK"/>
        </w:rPr>
        <w:t>PVC/</w:t>
      </w:r>
      <w:proofErr w:type="spellStart"/>
      <w:r w:rsidR="008905D8" w:rsidRPr="00BA7F79">
        <w:rPr>
          <w:sz w:val="22"/>
          <w:szCs w:val="22"/>
          <w:lang w:val="sk-SK"/>
        </w:rPr>
        <w:t>PE</w:t>
      </w:r>
      <w:proofErr w:type="spellEnd"/>
      <w:r w:rsidR="008905D8" w:rsidRPr="00BA7F79">
        <w:rPr>
          <w:sz w:val="22"/>
          <w:szCs w:val="22"/>
          <w:lang w:val="sk-SK"/>
        </w:rPr>
        <w:t>/</w:t>
      </w:r>
      <w:proofErr w:type="spellStart"/>
      <w:r w:rsidR="008905D8" w:rsidRPr="00BA7F79">
        <w:rPr>
          <w:sz w:val="22"/>
          <w:szCs w:val="22"/>
          <w:lang w:val="sk-SK"/>
        </w:rPr>
        <w:t>PVdC</w:t>
      </w:r>
      <w:r w:rsidR="0078192F" w:rsidRPr="00BA7F79">
        <w:rPr>
          <w:sz w:val="22"/>
          <w:szCs w:val="22"/>
          <w:lang w:val="sk-SK"/>
        </w:rPr>
        <w:t>-</w:t>
      </w:r>
      <w:r w:rsidR="0056436A" w:rsidRPr="00BA7F79">
        <w:rPr>
          <w:sz w:val="22"/>
          <w:szCs w:val="22"/>
          <w:lang w:val="sk-SK"/>
        </w:rPr>
        <w:t>Al</w:t>
      </w:r>
      <w:proofErr w:type="spellEnd"/>
      <w:r w:rsidR="0078192F" w:rsidRPr="00BA7F79">
        <w:rPr>
          <w:sz w:val="22"/>
          <w:szCs w:val="22"/>
          <w:lang w:val="sk-SK"/>
        </w:rPr>
        <w:t>/papier</w:t>
      </w:r>
      <w:r w:rsidR="00B711BE" w:rsidRPr="00BA7F79">
        <w:rPr>
          <w:sz w:val="22"/>
          <w:szCs w:val="22"/>
          <w:lang w:val="sk-SK"/>
        </w:rPr>
        <w:t>)</w:t>
      </w:r>
    </w:p>
    <w:p w14:paraId="59816FE9" w14:textId="77777777" w:rsidR="00B711BE" w:rsidRPr="00BA7F79" w:rsidRDefault="00B711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5AF306F" w14:textId="77777777" w:rsidR="00747FC0" w:rsidRPr="00BA7F79" w:rsidRDefault="006D5ED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Na trh nemusia byť uvedené </w:t>
      </w:r>
      <w:r w:rsidR="00216445" w:rsidRPr="00BA7F79">
        <w:rPr>
          <w:sz w:val="22"/>
          <w:szCs w:val="22"/>
          <w:lang w:val="sk-SK"/>
        </w:rPr>
        <w:t>všetky veľkosti balenia</w:t>
      </w:r>
      <w:r w:rsidR="00563651" w:rsidRPr="00BA7F79">
        <w:rPr>
          <w:sz w:val="22"/>
          <w:szCs w:val="22"/>
          <w:lang w:val="sk-SK"/>
        </w:rPr>
        <w:t>.</w:t>
      </w:r>
    </w:p>
    <w:p w14:paraId="3CE1F6A7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43C046D3" w14:textId="77777777" w:rsidR="00747FC0" w:rsidRPr="00BA7F79" w:rsidRDefault="00747FC0" w:rsidP="00A66CE8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>6.6</w:t>
      </w:r>
      <w:r w:rsidRPr="00BA7F79">
        <w:rPr>
          <w:sz w:val="22"/>
          <w:szCs w:val="22"/>
          <w:lang w:val="sk-SK"/>
        </w:rPr>
        <w:tab/>
      </w:r>
      <w:r w:rsidR="005614F6" w:rsidRPr="00BA7F79">
        <w:rPr>
          <w:sz w:val="22"/>
          <w:szCs w:val="22"/>
          <w:lang w:val="sk-SK"/>
        </w:rPr>
        <w:t>Špeciálne opatrenia na likvidáciu</w:t>
      </w:r>
    </w:p>
    <w:p w14:paraId="4269E48B" w14:textId="77777777" w:rsidR="00666838" w:rsidRPr="00BA7F79" w:rsidRDefault="00666838" w:rsidP="00BA7F79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737184CE" w14:textId="77777777" w:rsidR="00747FC0" w:rsidRPr="00BA7F79" w:rsidRDefault="005614F6" w:rsidP="00BA7F79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Žiadne zvláštne požiadavky</w:t>
      </w:r>
      <w:r w:rsidR="006D5ED0" w:rsidRPr="00BA7F79">
        <w:rPr>
          <w:sz w:val="22"/>
          <w:szCs w:val="22"/>
          <w:lang w:val="sk-SK"/>
        </w:rPr>
        <w:t xml:space="preserve"> na likvidáciu</w:t>
      </w:r>
      <w:r w:rsidRPr="00BA7F79">
        <w:rPr>
          <w:sz w:val="22"/>
          <w:szCs w:val="22"/>
          <w:lang w:val="sk-SK"/>
        </w:rPr>
        <w:t>.</w:t>
      </w:r>
    </w:p>
    <w:p w14:paraId="6500CAA5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6A6B06DD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26F32DD8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7.</w:t>
      </w:r>
      <w:r w:rsidR="00666838" w:rsidRPr="00BA7F79">
        <w:rPr>
          <w:sz w:val="22"/>
          <w:szCs w:val="22"/>
          <w:lang w:val="sk-SK"/>
        </w:rPr>
        <w:tab/>
      </w:r>
      <w:r w:rsidR="005614F6" w:rsidRPr="00BA7F79">
        <w:rPr>
          <w:caps/>
          <w:sz w:val="22"/>
          <w:szCs w:val="22"/>
          <w:lang w:val="sk-SK"/>
        </w:rPr>
        <w:t>Držiteľ rozhodnutia o registrácii</w:t>
      </w:r>
    </w:p>
    <w:p w14:paraId="5A327DFA" w14:textId="77777777" w:rsidR="00666838" w:rsidRPr="00BA7F79" w:rsidRDefault="00666838" w:rsidP="00BF2D8B">
      <w:pPr>
        <w:spacing w:line="240" w:lineRule="auto"/>
        <w:rPr>
          <w:sz w:val="22"/>
          <w:szCs w:val="22"/>
          <w:lang w:val="sk-SK"/>
        </w:rPr>
      </w:pPr>
    </w:p>
    <w:p w14:paraId="5E17B6BC" w14:textId="77777777" w:rsidR="00B510CC" w:rsidRPr="00BA7F79" w:rsidRDefault="00B510CC" w:rsidP="00BF2D8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GlaxoSmithKline</w:t>
      </w:r>
      <w:proofErr w:type="spellEnd"/>
      <w:r w:rsidRPr="00BA7F79">
        <w:rPr>
          <w:sz w:val="22"/>
          <w:szCs w:val="22"/>
          <w:lang w:val="sk-SK"/>
        </w:rPr>
        <w:t xml:space="preserve"> Slovakia s.r.o.</w:t>
      </w:r>
      <w:r w:rsidR="004D40C0" w:rsidRPr="00BA7F79">
        <w:rPr>
          <w:sz w:val="22"/>
          <w:szCs w:val="22"/>
          <w:lang w:val="sk-SK"/>
        </w:rPr>
        <w:t xml:space="preserve">, </w:t>
      </w:r>
      <w:proofErr w:type="spellStart"/>
      <w:r w:rsidR="004D40C0" w:rsidRPr="00BA7F79">
        <w:rPr>
          <w:sz w:val="22"/>
          <w:szCs w:val="22"/>
          <w:lang w:val="sk-SK"/>
        </w:rPr>
        <w:t>Galvaniho</w:t>
      </w:r>
      <w:proofErr w:type="spellEnd"/>
      <w:r w:rsidR="004D40C0" w:rsidRPr="00BA7F79">
        <w:rPr>
          <w:sz w:val="22"/>
          <w:szCs w:val="22"/>
          <w:lang w:val="sk-SK"/>
        </w:rPr>
        <w:t xml:space="preserve"> 7/A, 821 04 </w:t>
      </w:r>
      <w:r w:rsidRPr="00BA7F79">
        <w:rPr>
          <w:sz w:val="22"/>
          <w:szCs w:val="22"/>
          <w:lang w:val="sk-SK"/>
        </w:rPr>
        <w:t>Bratislava</w:t>
      </w:r>
      <w:r w:rsidR="004D40C0" w:rsidRPr="00BA7F79">
        <w:rPr>
          <w:sz w:val="22"/>
          <w:szCs w:val="22"/>
          <w:lang w:val="sk-SK"/>
        </w:rPr>
        <w:t xml:space="preserve">, </w:t>
      </w:r>
      <w:r w:rsidRPr="00BA7F79">
        <w:rPr>
          <w:sz w:val="22"/>
          <w:szCs w:val="22"/>
          <w:lang w:val="sk-SK"/>
        </w:rPr>
        <w:t xml:space="preserve">Slovenská </w:t>
      </w:r>
      <w:r w:rsidR="00501828" w:rsidRPr="00BA7F79">
        <w:rPr>
          <w:sz w:val="22"/>
          <w:szCs w:val="22"/>
          <w:lang w:val="sk-SK"/>
        </w:rPr>
        <w:t>r</w:t>
      </w:r>
      <w:r w:rsidRPr="00BA7F79">
        <w:rPr>
          <w:sz w:val="22"/>
          <w:szCs w:val="22"/>
          <w:lang w:val="sk-SK"/>
        </w:rPr>
        <w:t>epublika</w:t>
      </w:r>
    </w:p>
    <w:p w14:paraId="4ECA3F1C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FE3F5D4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275AABFF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8.</w:t>
      </w:r>
      <w:r w:rsidR="00666838" w:rsidRPr="00BA7F79">
        <w:rPr>
          <w:sz w:val="22"/>
          <w:szCs w:val="22"/>
          <w:lang w:val="sk-SK"/>
        </w:rPr>
        <w:tab/>
      </w:r>
      <w:r w:rsidR="005614F6" w:rsidRPr="00BA7F79">
        <w:rPr>
          <w:caps/>
          <w:sz w:val="22"/>
          <w:szCs w:val="22"/>
          <w:lang w:val="sk-SK"/>
        </w:rPr>
        <w:t>Registračné</w:t>
      </w:r>
      <w:r w:rsidR="00501828" w:rsidRPr="00BA7F79">
        <w:rPr>
          <w:caps/>
          <w:sz w:val="22"/>
          <w:szCs w:val="22"/>
          <w:lang w:val="sk-SK"/>
        </w:rPr>
        <w:t xml:space="preserve"> </w:t>
      </w:r>
      <w:r w:rsidR="005614F6" w:rsidRPr="00BA7F79">
        <w:rPr>
          <w:caps/>
          <w:sz w:val="22"/>
          <w:szCs w:val="22"/>
          <w:lang w:val="sk-SK"/>
        </w:rPr>
        <w:t>čísl</w:t>
      </w:r>
      <w:r w:rsidR="00643E51" w:rsidRPr="00BA7F79">
        <w:rPr>
          <w:caps/>
          <w:sz w:val="22"/>
          <w:szCs w:val="22"/>
          <w:lang w:val="sk-SK"/>
        </w:rPr>
        <w:t>A</w:t>
      </w:r>
    </w:p>
    <w:p w14:paraId="5C851147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7F4C11B" w14:textId="77777777" w:rsidR="00B7501E" w:rsidRPr="00BA7F79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2</w:t>
      </w:r>
      <w:r w:rsidR="00643E5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– 27/0311/06-S</w:t>
      </w:r>
    </w:p>
    <w:p w14:paraId="03A133BB" w14:textId="77777777" w:rsidR="00B7501E" w:rsidRPr="00BA7F79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</w:t>
      </w:r>
      <w:r w:rsidR="00643E5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– 27/0313/06-S</w:t>
      </w:r>
    </w:p>
    <w:p w14:paraId="5A4A376B" w14:textId="77777777" w:rsidR="00B7501E" w:rsidRPr="00BA7F79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8</w:t>
      </w:r>
      <w:r w:rsidR="00643E5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– 27/0314/06-S</w:t>
      </w:r>
    </w:p>
    <w:p w14:paraId="6C3CDD55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604016F" w14:textId="77777777" w:rsidR="00666838" w:rsidRPr="00BA7F79" w:rsidRDefault="00666838" w:rsidP="000E2DDB">
      <w:pPr>
        <w:pStyle w:val="Nadpis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12B7ED66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9.</w:t>
      </w:r>
      <w:r w:rsidR="00666838" w:rsidRPr="00BA7F79">
        <w:rPr>
          <w:sz w:val="22"/>
          <w:szCs w:val="22"/>
          <w:lang w:val="sk-SK"/>
        </w:rPr>
        <w:tab/>
      </w:r>
      <w:r w:rsidRPr="00BA7F79">
        <w:rPr>
          <w:caps/>
          <w:sz w:val="22"/>
          <w:szCs w:val="22"/>
          <w:lang w:val="sk-SK"/>
        </w:rPr>
        <w:t>D</w:t>
      </w:r>
      <w:r w:rsidR="005614F6" w:rsidRPr="00BA7F79">
        <w:rPr>
          <w:caps/>
          <w:sz w:val="22"/>
          <w:szCs w:val="22"/>
          <w:lang w:val="sk-SK"/>
        </w:rPr>
        <w:t>átum prvej registrácie</w:t>
      </w:r>
      <w:r w:rsidRPr="00BA7F79">
        <w:rPr>
          <w:caps/>
          <w:sz w:val="22"/>
          <w:szCs w:val="22"/>
          <w:lang w:val="sk-SK"/>
        </w:rPr>
        <w:t>/</w:t>
      </w:r>
      <w:r w:rsidR="005614F6" w:rsidRPr="00BA7F79">
        <w:rPr>
          <w:caps/>
          <w:sz w:val="22"/>
          <w:szCs w:val="22"/>
          <w:lang w:val="sk-SK"/>
        </w:rPr>
        <w:t>predĺženia registrácie</w:t>
      </w:r>
    </w:p>
    <w:p w14:paraId="351B0F16" w14:textId="77777777" w:rsidR="00666838" w:rsidRPr="00BA7F79" w:rsidRDefault="00666838" w:rsidP="000E2DDB">
      <w:pPr>
        <w:pStyle w:val="Nadpis3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6A1E9F33" w14:textId="4F3D3406" w:rsidR="001C02CE" w:rsidRPr="00BA7F79" w:rsidRDefault="001C02CE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Dátum prvej registrácie:</w:t>
      </w:r>
      <w:r w:rsidR="00CE1DCC" w:rsidRPr="00BA7F79">
        <w:rPr>
          <w:sz w:val="22"/>
          <w:szCs w:val="22"/>
          <w:lang w:val="sk-SK"/>
        </w:rPr>
        <w:t xml:space="preserve"> </w:t>
      </w:r>
      <w:proofErr w:type="spellStart"/>
      <w:r w:rsidR="00CE1DCC" w:rsidRPr="00BA7F79">
        <w:rPr>
          <w:sz w:val="22"/>
          <w:szCs w:val="22"/>
          <w:lang w:val="sk-SK"/>
        </w:rPr>
        <w:t>9</w:t>
      </w:r>
      <w:r w:rsidR="000A7C2B" w:rsidRPr="00BA7F79">
        <w:rPr>
          <w:sz w:val="22"/>
          <w:szCs w:val="22"/>
          <w:lang w:val="sk-SK"/>
        </w:rPr>
        <w:t>.</w:t>
      </w:r>
      <w:r w:rsidR="00BA7F79">
        <w:rPr>
          <w:sz w:val="22"/>
          <w:szCs w:val="22"/>
          <w:lang w:val="sk-SK"/>
        </w:rPr>
        <w:t>augusta</w:t>
      </w:r>
      <w:proofErr w:type="spellEnd"/>
      <w:r w:rsidR="00BA7F79">
        <w:rPr>
          <w:sz w:val="22"/>
          <w:szCs w:val="22"/>
          <w:lang w:val="sk-SK"/>
        </w:rPr>
        <w:t xml:space="preserve"> </w:t>
      </w:r>
      <w:r w:rsidR="00CE1DCC" w:rsidRPr="00BA7F79">
        <w:rPr>
          <w:sz w:val="22"/>
          <w:szCs w:val="22"/>
          <w:lang w:val="sk-SK"/>
        </w:rPr>
        <w:t>2006</w:t>
      </w:r>
    </w:p>
    <w:p w14:paraId="33CE4A0F" w14:textId="3C38BBEF" w:rsidR="003C46D5" w:rsidRPr="00BA7F79" w:rsidRDefault="003C46D5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Dátum posledného predĺženia registrácie: </w:t>
      </w:r>
      <w:proofErr w:type="spellStart"/>
      <w:r w:rsidR="00BA7F79">
        <w:rPr>
          <w:sz w:val="22"/>
          <w:szCs w:val="22"/>
          <w:lang w:val="sk-SK"/>
        </w:rPr>
        <w:t>31.januára</w:t>
      </w:r>
      <w:proofErr w:type="spellEnd"/>
      <w:r w:rsid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2012</w:t>
      </w:r>
    </w:p>
    <w:p w14:paraId="0BFBF5D2" w14:textId="77777777" w:rsidR="001C02CE" w:rsidRPr="00BA7F79" w:rsidRDefault="001C02CE" w:rsidP="00BF2D8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1240FE" w14:textId="77777777" w:rsidR="00666838" w:rsidRPr="00BA7F79" w:rsidRDefault="00666838" w:rsidP="00BF2D8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35449F5" w14:textId="77777777" w:rsidR="00747FC0" w:rsidRPr="00BA7F79" w:rsidRDefault="00747FC0" w:rsidP="000E2DDB">
      <w:pPr>
        <w:pStyle w:val="Nadpis3"/>
        <w:spacing w:after="0" w:line="240" w:lineRule="auto"/>
        <w:ind w:left="567" w:hanging="567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1</w:t>
      </w:r>
      <w:r w:rsidR="007C6FD9" w:rsidRPr="00BA7F79">
        <w:rPr>
          <w:sz w:val="22"/>
          <w:szCs w:val="22"/>
          <w:lang w:val="sk-SK"/>
        </w:rPr>
        <w:t>0.</w:t>
      </w:r>
      <w:r w:rsidR="00666838" w:rsidRPr="00BA7F79">
        <w:rPr>
          <w:sz w:val="22"/>
          <w:szCs w:val="22"/>
          <w:lang w:val="sk-SK"/>
        </w:rPr>
        <w:tab/>
      </w:r>
      <w:r w:rsidR="007C6FD9" w:rsidRPr="00BA7F79">
        <w:rPr>
          <w:caps/>
          <w:sz w:val="22"/>
          <w:szCs w:val="22"/>
          <w:lang w:val="sk-SK"/>
        </w:rPr>
        <w:t>D</w:t>
      </w:r>
      <w:r w:rsidR="005614F6" w:rsidRPr="00BA7F79">
        <w:rPr>
          <w:caps/>
          <w:sz w:val="22"/>
          <w:szCs w:val="22"/>
          <w:lang w:val="sk-SK"/>
        </w:rPr>
        <w:t>átum revízi</w:t>
      </w:r>
      <w:r w:rsidR="004C6CE4" w:rsidRPr="00BA7F79">
        <w:rPr>
          <w:caps/>
          <w:sz w:val="22"/>
          <w:szCs w:val="22"/>
          <w:lang w:val="sk-SK"/>
        </w:rPr>
        <w:t>E</w:t>
      </w:r>
      <w:r w:rsidR="005614F6" w:rsidRPr="00BA7F79">
        <w:rPr>
          <w:caps/>
          <w:sz w:val="22"/>
          <w:szCs w:val="22"/>
          <w:lang w:val="sk-SK"/>
        </w:rPr>
        <w:t xml:space="preserve"> </w:t>
      </w:r>
      <w:r w:rsidR="007C6FD9" w:rsidRPr="00BA7F79">
        <w:rPr>
          <w:caps/>
          <w:sz w:val="22"/>
          <w:szCs w:val="22"/>
          <w:lang w:val="sk-SK"/>
        </w:rPr>
        <w:t>text</w:t>
      </w:r>
      <w:r w:rsidR="005614F6" w:rsidRPr="00BA7F79">
        <w:rPr>
          <w:caps/>
          <w:sz w:val="22"/>
          <w:szCs w:val="22"/>
          <w:lang w:val="sk-SK"/>
        </w:rPr>
        <w:t>u</w:t>
      </w:r>
    </w:p>
    <w:p w14:paraId="13A6153F" w14:textId="77777777" w:rsidR="00470139" w:rsidRPr="00BA7F79" w:rsidRDefault="00470139" w:rsidP="00BF2D8B">
      <w:pPr>
        <w:widowControl w:val="0"/>
        <w:spacing w:line="240" w:lineRule="auto"/>
        <w:rPr>
          <w:sz w:val="22"/>
          <w:szCs w:val="22"/>
          <w:lang w:val="sk-SK"/>
        </w:rPr>
      </w:pPr>
    </w:p>
    <w:p w14:paraId="6589D22C" w14:textId="227B9B8C" w:rsidR="00666838" w:rsidRPr="00BA7F79" w:rsidRDefault="00BA7F79" w:rsidP="000E2DDB">
      <w:pPr>
        <w:widowControl w:val="0"/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Apríl</w:t>
      </w:r>
      <w:bookmarkStart w:id="1" w:name="_GoBack"/>
      <w:bookmarkEnd w:id="1"/>
      <w:r w:rsidR="007307CA" w:rsidRPr="00BA7F79">
        <w:rPr>
          <w:sz w:val="22"/>
          <w:szCs w:val="22"/>
          <w:lang w:val="sk-SK"/>
        </w:rPr>
        <w:t xml:space="preserve"> 2018</w:t>
      </w:r>
    </w:p>
    <w:sectPr w:rsidR="00666838" w:rsidRPr="00BA7F79" w:rsidSect="00717817"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paperSrc w:first="1" w:other="1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BA8616" w15:done="0"/>
  <w15:commentEx w15:paraId="79E84324" w15:done="0"/>
  <w15:commentEx w15:paraId="70B6C85D" w15:done="0"/>
  <w15:commentEx w15:paraId="2F3197D7" w15:done="0"/>
  <w15:commentEx w15:paraId="1C9AD6EB" w15:done="0"/>
  <w15:commentEx w15:paraId="7B33B79B" w15:done="0"/>
  <w15:commentEx w15:paraId="0A17A508" w15:done="0"/>
  <w15:commentEx w15:paraId="4822D0CA" w15:done="0"/>
  <w15:commentEx w15:paraId="7AB0A7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D9394" w14:textId="77777777" w:rsidR="00BB7DF2" w:rsidRDefault="00BB7DF2">
      <w:r>
        <w:separator/>
      </w:r>
    </w:p>
  </w:endnote>
  <w:endnote w:type="continuationSeparator" w:id="0">
    <w:p w14:paraId="28CF35C5" w14:textId="77777777" w:rsidR="00BB7DF2" w:rsidRDefault="00BB7DF2">
      <w:r>
        <w:continuationSeparator/>
      </w:r>
    </w:p>
  </w:endnote>
  <w:endnote w:type="continuationNotice" w:id="1">
    <w:p w14:paraId="501C8D9B" w14:textId="77777777" w:rsidR="00BB7DF2" w:rsidRDefault="00BB7D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0C64" w14:textId="7D3858F9" w:rsidR="00B24B03" w:rsidRPr="008A5C0A" w:rsidRDefault="00B24B03" w:rsidP="0053749A">
    <w:pPr>
      <w:pStyle w:val="Pta"/>
      <w:jc w:val="center"/>
      <w:rPr>
        <w:rStyle w:val="slostrany"/>
        <w:rFonts w:ascii="Arial" w:hAnsi="Arial"/>
        <w:sz w:val="16"/>
        <w:szCs w:val="16"/>
      </w:rPr>
    </w:pPr>
    <w:r w:rsidRPr="008A5C0A">
      <w:rPr>
        <w:rStyle w:val="slostrany"/>
        <w:rFonts w:ascii="Arial" w:hAnsi="Arial"/>
        <w:sz w:val="16"/>
        <w:szCs w:val="16"/>
      </w:rPr>
      <w:fldChar w:fldCharType="begin"/>
    </w:r>
    <w:r w:rsidRPr="008A5C0A">
      <w:rPr>
        <w:rStyle w:val="slostrany"/>
        <w:rFonts w:ascii="Arial" w:hAnsi="Arial"/>
        <w:sz w:val="16"/>
        <w:szCs w:val="16"/>
      </w:rPr>
      <w:instrText xml:space="preserve"> PAGE </w:instrText>
    </w:r>
    <w:r w:rsidRPr="008A5C0A">
      <w:rPr>
        <w:rStyle w:val="slostrany"/>
        <w:rFonts w:ascii="Arial" w:hAnsi="Arial"/>
        <w:sz w:val="16"/>
        <w:szCs w:val="16"/>
      </w:rPr>
      <w:fldChar w:fldCharType="separate"/>
    </w:r>
    <w:r w:rsidR="00BA7F79">
      <w:rPr>
        <w:rStyle w:val="slostrany"/>
        <w:rFonts w:ascii="Arial" w:hAnsi="Arial"/>
        <w:noProof/>
        <w:sz w:val="16"/>
        <w:szCs w:val="16"/>
      </w:rPr>
      <w:t>12</w:t>
    </w:r>
    <w:r w:rsidRPr="008A5C0A">
      <w:rPr>
        <w:rStyle w:val="slostrany"/>
        <w:rFonts w:ascii="Arial" w:hAnsi="Arial"/>
        <w:sz w:val="16"/>
        <w:szCs w:val="16"/>
      </w:rPr>
      <w:fldChar w:fldCharType="end"/>
    </w:r>
  </w:p>
  <w:p w14:paraId="59254905" w14:textId="77777777" w:rsidR="00B24B03" w:rsidRPr="00360C75" w:rsidRDefault="00B24B03" w:rsidP="00E95DC3">
    <w:pPr>
      <w:pStyle w:val="Pt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59138" w14:textId="150C229E" w:rsidR="00B24B03" w:rsidRPr="00BA7F79" w:rsidRDefault="00B24B03">
    <w:pPr>
      <w:pStyle w:val="Pta"/>
      <w:jc w:val="center"/>
      <w:rPr>
        <w:rStyle w:val="slostrany"/>
        <w:sz w:val="18"/>
        <w:szCs w:val="18"/>
      </w:rPr>
    </w:pPr>
    <w:r w:rsidRPr="00BA7F79">
      <w:rPr>
        <w:rStyle w:val="slostrany"/>
        <w:sz w:val="18"/>
        <w:szCs w:val="18"/>
      </w:rPr>
      <w:fldChar w:fldCharType="begin"/>
    </w:r>
    <w:r w:rsidRPr="00BA7F79">
      <w:rPr>
        <w:rStyle w:val="slostrany"/>
        <w:sz w:val="18"/>
        <w:szCs w:val="18"/>
      </w:rPr>
      <w:instrText xml:space="preserve"> PAGE </w:instrText>
    </w:r>
    <w:r w:rsidRPr="00BA7F79">
      <w:rPr>
        <w:rStyle w:val="slostrany"/>
        <w:sz w:val="18"/>
        <w:szCs w:val="18"/>
      </w:rPr>
      <w:fldChar w:fldCharType="separate"/>
    </w:r>
    <w:r w:rsidR="00BA7F79">
      <w:rPr>
        <w:rStyle w:val="slostrany"/>
        <w:noProof/>
        <w:sz w:val="18"/>
        <w:szCs w:val="18"/>
      </w:rPr>
      <w:t>1</w:t>
    </w:r>
    <w:r w:rsidRPr="00BA7F79">
      <w:rPr>
        <w:rStyle w:val="slostrany"/>
        <w:sz w:val="18"/>
        <w:szCs w:val="18"/>
      </w:rPr>
      <w:fldChar w:fldCharType="end"/>
    </w:r>
  </w:p>
  <w:p w14:paraId="7F911750" w14:textId="77777777" w:rsidR="00B24B03" w:rsidRDefault="00B24B03" w:rsidP="00901FE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5C13A" w14:textId="77777777" w:rsidR="00BB7DF2" w:rsidRDefault="00BB7DF2">
      <w:r>
        <w:separator/>
      </w:r>
    </w:p>
  </w:footnote>
  <w:footnote w:type="continuationSeparator" w:id="0">
    <w:p w14:paraId="3DE49524" w14:textId="77777777" w:rsidR="00BB7DF2" w:rsidRDefault="00BB7DF2">
      <w:r>
        <w:continuationSeparator/>
      </w:r>
    </w:p>
  </w:footnote>
  <w:footnote w:type="continuationNotice" w:id="1">
    <w:p w14:paraId="2AA13601" w14:textId="77777777" w:rsidR="00BB7DF2" w:rsidRDefault="00BB7D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11D5" w14:textId="4B9D5F3C" w:rsidR="00E85D76" w:rsidRPr="00BA7F79" w:rsidRDefault="00E85D76" w:rsidP="00BA7F79">
    <w:pPr>
      <w:pStyle w:val="Hlavika"/>
      <w:jc w:val="left"/>
      <w:rPr>
        <w:i w:val="0"/>
        <w:sz w:val="18"/>
        <w:szCs w:val="18"/>
      </w:rPr>
    </w:pPr>
    <w:proofErr w:type="spellStart"/>
    <w:r w:rsidRPr="00BA7F79">
      <w:rPr>
        <w:i w:val="0"/>
        <w:sz w:val="18"/>
      </w:rPr>
      <w:t>Príloha</w:t>
    </w:r>
    <w:proofErr w:type="spellEnd"/>
    <w:r w:rsidRPr="00BA7F79">
      <w:rPr>
        <w:i w:val="0"/>
        <w:sz w:val="18"/>
      </w:rPr>
      <w:t xml:space="preserve"> č. </w:t>
    </w:r>
    <w:r w:rsidR="00506061">
      <w:rPr>
        <w:i w:val="0"/>
        <w:sz w:val="18"/>
        <w:szCs w:val="18"/>
      </w:rPr>
      <w:t>1</w:t>
    </w:r>
    <w:r w:rsidRPr="00BA7F79">
      <w:rPr>
        <w:i w:val="0"/>
        <w:sz w:val="18"/>
        <w:szCs w:val="18"/>
      </w:rPr>
      <w:t xml:space="preserve"> k </w:t>
    </w:r>
    <w:proofErr w:type="spellStart"/>
    <w:r w:rsidRPr="00BA7F79">
      <w:rPr>
        <w:i w:val="0"/>
        <w:sz w:val="18"/>
        <w:szCs w:val="18"/>
      </w:rPr>
      <w:t>notifikácii</w:t>
    </w:r>
    <w:proofErr w:type="spellEnd"/>
    <w:r w:rsidRPr="00BA7F79">
      <w:rPr>
        <w:i w:val="0"/>
        <w:sz w:val="18"/>
        <w:szCs w:val="18"/>
      </w:rPr>
      <w:t xml:space="preserve"> o </w:t>
    </w:r>
    <w:proofErr w:type="spellStart"/>
    <w:r w:rsidRPr="00BA7F79">
      <w:rPr>
        <w:i w:val="0"/>
        <w:sz w:val="18"/>
        <w:szCs w:val="18"/>
      </w:rPr>
      <w:t>zmene</w:t>
    </w:r>
    <w:proofErr w:type="spellEnd"/>
    <w:r w:rsidRPr="00BA7F79">
      <w:rPr>
        <w:i w:val="0"/>
        <w:sz w:val="18"/>
        <w:szCs w:val="18"/>
      </w:rPr>
      <w:t xml:space="preserve">, </w:t>
    </w:r>
    <w:proofErr w:type="spellStart"/>
    <w:r w:rsidRPr="00BA7F79">
      <w:rPr>
        <w:i w:val="0"/>
        <w:sz w:val="18"/>
        <w:szCs w:val="18"/>
      </w:rPr>
      <w:t>ev</w:t>
    </w:r>
    <w:proofErr w:type="spellEnd"/>
    <w:r w:rsidRPr="00BA7F79">
      <w:rPr>
        <w:i w:val="0"/>
        <w:sz w:val="18"/>
        <w:szCs w:val="18"/>
      </w:rPr>
      <w:t>. č.: 2017/03527-</w:t>
    </w:r>
    <w:proofErr w:type="spellStart"/>
    <w:r w:rsidRPr="00BA7F79">
      <w:rPr>
        <w:i w:val="0"/>
        <w:sz w:val="18"/>
        <w:szCs w:val="18"/>
      </w:rPr>
      <w:t>Z1B</w:t>
    </w:r>
    <w:proofErr w:type="spellEnd"/>
  </w:p>
  <w:p w14:paraId="6E755C48" w14:textId="01FC7F16" w:rsidR="00B24B03" w:rsidRDefault="00E30459">
    <w:pPr>
      <w:pStyle w:val="Hlavika"/>
      <w:jc w:val="left"/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</w:t>
    </w:r>
    <w:r w:rsidR="00E85D76" w:rsidRPr="00FA6FA8">
      <w:rPr>
        <w:sz w:val="18"/>
        <w:szCs w:val="18"/>
      </w:rPr>
      <w:t xml:space="preserve"> k </w:t>
    </w:r>
    <w:proofErr w:type="spellStart"/>
    <w:r w:rsidR="00E85D76" w:rsidRPr="00FA6FA8">
      <w:rPr>
        <w:sz w:val="18"/>
        <w:szCs w:val="18"/>
      </w:rPr>
      <w:t>rozhodnutiu</w:t>
    </w:r>
    <w:proofErr w:type="spellEnd"/>
    <w:r w:rsidR="00E85D76" w:rsidRPr="00FA6FA8">
      <w:rPr>
        <w:sz w:val="18"/>
        <w:szCs w:val="18"/>
      </w:rPr>
      <w:t xml:space="preserve"> o </w:t>
    </w:r>
    <w:proofErr w:type="spellStart"/>
    <w:r w:rsidR="00E85D76" w:rsidRPr="00FA6FA8">
      <w:rPr>
        <w:sz w:val="18"/>
        <w:szCs w:val="18"/>
      </w:rPr>
      <w:t>zmene</w:t>
    </w:r>
    <w:proofErr w:type="spellEnd"/>
    <w:r w:rsidR="00E85D76" w:rsidRPr="00FA6FA8">
      <w:rPr>
        <w:sz w:val="18"/>
        <w:szCs w:val="18"/>
      </w:rPr>
      <w:t xml:space="preserve">, </w:t>
    </w:r>
    <w:proofErr w:type="spellStart"/>
    <w:r w:rsidR="00E85D76" w:rsidRPr="00FA6FA8">
      <w:rPr>
        <w:sz w:val="18"/>
        <w:szCs w:val="18"/>
      </w:rPr>
      <w:t>ev</w:t>
    </w:r>
    <w:proofErr w:type="spellEnd"/>
    <w:r w:rsidR="00E85D76" w:rsidRPr="00FA6FA8">
      <w:rPr>
        <w:sz w:val="18"/>
        <w:szCs w:val="18"/>
      </w:rPr>
      <w:t>. č.: 2017/00149-</w:t>
    </w:r>
    <w:proofErr w:type="spellStart"/>
    <w:r w:rsidR="00E85D76" w:rsidRPr="00FA6FA8">
      <w:rPr>
        <w:sz w:val="18"/>
        <w:szCs w:val="18"/>
      </w:rPr>
      <w:t>ZME</w:t>
    </w:r>
    <w:proofErr w:type="spellEnd"/>
    <w:r w:rsidR="00B24B03"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6106D7"/>
    <w:multiLevelType w:val="multilevel"/>
    <w:tmpl w:val="3722627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AB93F37"/>
    <w:multiLevelType w:val="hybridMultilevel"/>
    <w:tmpl w:val="8B4455A6"/>
    <w:lvl w:ilvl="0" w:tplc="D9B2438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pacing w:val="0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F2217F9"/>
    <w:multiLevelType w:val="multilevel"/>
    <w:tmpl w:val="BE2644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6763439"/>
    <w:multiLevelType w:val="singleLevel"/>
    <w:tmpl w:val="58AAF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6F35F87"/>
    <w:multiLevelType w:val="multilevel"/>
    <w:tmpl w:val="F60483F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ea Peter">
    <w15:presenceInfo w15:providerId="None" w15:userId="Timea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" w:val="-1"/>
  </w:docVars>
  <w:rsids>
    <w:rsidRoot w:val="00857C4C"/>
    <w:rsid w:val="00010890"/>
    <w:rsid w:val="00014CA8"/>
    <w:rsid w:val="00015DA0"/>
    <w:rsid w:val="00017C9E"/>
    <w:rsid w:val="00021E3B"/>
    <w:rsid w:val="00022E1F"/>
    <w:rsid w:val="00023AB3"/>
    <w:rsid w:val="00024DFE"/>
    <w:rsid w:val="000261FA"/>
    <w:rsid w:val="000321A5"/>
    <w:rsid w:val="00032419"/>
    <w:rsid w:val="0003475D"/>
    <w:rsid w:val="00035540"/>
    <w:rsid w:val="000371DE"/>
    <w:rsid w:val="000373EF"/>
    <w:rsid w:val="00040BF6"/>
    <w:rsid w:val="00050C1E"/>
    <w:rsid w:val="00052866"/>
    <w:rsid w:val="000565B8"/>
    <w:rsid w:val="00065220"/>
    <w:rsid w:val="0006557B"/>
    <w:rsid w:val="00067FAF"/>
    <w:rsid w:val="00070B15"/>
    <w:rsid w:val="00081D86"/>
    <w:rsid w:val="00084A30"/>
    <w:rsid w:val="000920C0"/>
    <w:rsid w:val="000A1CB8"/>
    <w:rsid w:val="000A3AE0"/>
    <w:rsid w:val="000A457A"/>
    <w:rsid w:val="000A79B1"/>
    <w:rsid w:val="000A7C2B"/>
    <w:rsid w:val="000A7D61"/>
    <w:rsid w:val="000B4CE3"/>
    <w:rsid w:val="000B6473"/>
    <w:rsid w:val="000C4260"/>
    <w:rsid w:val="000C7A1D"/>
    <w:rsid w:val="000D15C1"/>
    <w:rsid w:val="000D5F11"/>
    <w:rsid w:val="000D69F9"/>
    <w:rsid w:val="000E2DDB"/>
    <w:rsid w:val="000E7941"/>
    <w:rsid w:val="000F12E2"/>
    <w:rsid w:val="000F26E3"/>
    <w:rsid w:val="000F375C"/>
    <w:rsid w:val="000F3E62"/>
    <w:rsid w:val="00105617"/>
    <w:rsid w:val="00112AD0"/>
    <w:rsid w:val="00117CA5"/>
    <w:rsid w:val="00122B60"/>
    <w:rsid w:val="0012446C"/>
    <w:rsid w:val="001270F2"/>
    <w:rsid w:val="00127F77"/>
    <w:rsid w:val="0013450A"/>
    <w:rsid w:val="0013571B"/>
    <w:rsid w:val="001371B5"/>
    <w:rsid w:val="00142B1C"/>
    <w:rsid w:val="001442D3"/>
    <w:rsid w:val="001514C5"/>
    <w:rsid w:val="00152295"/>
    <w:rsid w:val="00156043"/>
    <w:rsid w:val="0015753B"/>
    <w:rsid w:val="001746E6"/>
    <w:rsid w:val="00176FF2"/>
    <w:rsid w:val="0017726B"/>
    <w:rsid w:val="0018356C"/>
    <w:rsid w:val="00183E3F"/>
    <w:rsid w:val="001854C4"/>
    <w:rsid w:val="00193FE4"/>
    <w:rsid w:val="001963D0"/>
    <w:rsid w:val="00197567"/>
    <w:rsid w:val="001A051F"/>
    <w:rsid w:val="001A0B5D"/>
    <w:rsid w:val="001A2BEC"/>
    <w:rsid w:val="001A4536"/>
    <w:rsid w:val="001B0B26"/>
    <w:rsid w:val="001B0E5F"/>
    <w:rsid w:val="001B1AB7"/>
    <w:rsid w:val="001B4CC7"/>
    <w:rsid w:val="001C02CE"/>
    <w:rsid w:val="001C5598"/>
    <w:rsid w:val="001C59D9"/>
    <w:rsid w:val="001D38E8"/>
    <w:rsid w:val="001D3B44"/>
    <w:rsid w:val="001E5B09"/>
    <w:rsid w:val="001F0D7F"/>
    <w:rsid w:val="001F12BE"/>
    <w:rsid w:val="001F2AAF"/>
    <w:rsid w:val="001F2B55"/>
    <w:rsid w:val="001F38E5"/>
    <w:rsid w:val="001F3975"/>
    <w:rsid w:val="001F48DB"/>
    <w:rsid w:val="00211887"/>
    <w:rsid w:val="00211D20"/>
    <w:rsid w:val="002149B2"/>
    <w:rsid w:val="00215BC1"/>
    <w:rsid w:val="00216445"/>
    <w:rsid w:val="00216F40"/>
    <w:rsid w:val="002210F8"/>
    <w:rsid w:val="00222C8F"/>
    <w:rsid w:val="00222D9A"/>
    <w:rsid w:val="002249A7"/>
    <w:rsid w:val="002252D6"/>
    <w:rsid w:val="00226E1E"/>
    <w:rsid w:val="00230553"/>
    <w:rsid w:val="00233A50"/>
    <w:rsid w:val="00234E20"/>
    <w:rsid w:val="00236922"/>
    <w:rsid w:val="002371D5"/>
    <w:rsid w:val="00237790"/>
    <w:rsid w:val="00237B82"/>
    <w:rsid w:val="002516A4"/>
    <w:rsid w:val="0025610B"/>
    <w:rsid w:val="00272C10"/>
    <w:rsid w:val="00273907"/>
    <w:rsid w:val="00285044"/>
    <w:rsid w:val="0029392E"/>
    <w:rsid w:val="002A06F2"/>
    <w:rsid w:val="002A6E3C"/>
    <w:rsid w:val="002C42D4"/>
    <w:rsid w:val="002C48D0"/>
    <w:rsid w:val="002C740A"/>
    <w:rsid w:val="002D3945"/>
    <w:rsid w:val="002D42A0"/>
    <w:rsid w:val="002D4A91"/>
    <w:rsid w:val="002D6D38"/>
    <w:rsid w:val="002E2884"/>
    <w:rsid w:val="002F19AA"/>
    <w:rsid w:val="0030538B"/>
    <w:rsid w:val="003178B0"/>
    <w:rsid w:val="003250FA"/>
    <w:rsid w:val="00325643"/>
    <w:rsid w:val="003268E7"/>
    <w:rsid w:val="0033494A"/>
    <w:rsid w:val="00334AF7"/>
    <w:rsid w:val="003359E9"/>
    <w:rsid w:val="00343059"/>
    <w:rsid w:val="0034388A"/>
    <w:rsid w:val="003440A7"/>
    <w:rsid w:val="00344AD0"/>
    <w:rsid w:val="00344F2B"/>
    <w:rsid w:val="00352C43"/>
    <w:rsid w:val="00353088"/>
    <w:rsid w:val="00355952"/>
    <w:rsid w:val="00355FAD"/>
    <w:rsid w:val="00360C75"/>
    <w:rsid w:val="003616D1"/>
    <w:rsid w:val="0036218F"/>
    <w:rsid w:val="00363115"/>
    <w:rsid w:val="00363ACD"/>
    <w:rsid w:val="0036462F"/>
    <w:rsid w:val="00364EDB"/>
    <w:rsid w:val="003668A4"/>
    <w:rsid w:val="00374C58"/>
    <w:rsid w:val="003806FF"/>
    <w:rsid w:val="0038132E"/>
    <w:rsid w:val="0038389B"/>
    <w:rsid w:val="00383B9F"/>
    <w:rsid w:val="00391023"/>
    <w:rsid w:val="003A7391"/>
    <w:rsid w:val="003B43FE"/>
    <w:rsid w:val="003C46D5"/>
    <w:rsid w:val="003D2DB3"/>
    <w:rsid w:val="003D3A12"/>
    <w:rsid w:val="003D6A53"/>
    <w:rsid w:val="003E1C60"/>
    <w:rsid w:val="003E1DB1"/>
    <w:rsid w:val="003E3813"/>
    <w:rsid w:val="003E47D0"/>
    <w:rsid w:val="003E4DCD"/>
    <w:rsid w:val="003E6193"/>
    <w:rsid w:val="003E686E"/>
    <w:rsid w:val="003F1B32"/>
    <w:rsid w:val="00400AC5"/>
    <w:rsid w:val="004031AA"/>
    <w:rsid w:val="0040402E"/>
    <w:rsid w:val="00406751"/>
    <w:rsid w:val="00407920"/>
    <w:rsid w:val="004102AD"/>
    <w:rsid w:val="004154B1"/>
    <w:rsid w:val="00420540"/>
    <w:rsid w:val="004209B0"/>
    <w:rsid w:val="00420B84"/>
    <w:rsid w:val="00421A59"/>
    <w:rsid w:val="00427517"/>
    <w:rsid w:val="00435790"/>
    <w:rsid w:val="004417AA"/>
    <w:rsid w:val="004527C9"/>
    <w:rsid w:val="00453A10"/>
    <w:rsid w:val="00453A89"/>
    <w:rsid w:val="00457EB5"/>
    <w:rsid w:val="004606D4"/>
    <w:rsid w:val="00465676"/>
    <w:rsid w:val="004657C8"/>
    <w:rsid w:val="004679B8"/>
    <w:rsid w:val="00470139"/>
    <w:rsid w:val="00470FEB"/>
    <w:rsid w:val="00474339"/>
    <w:rsid w:val="0047527A"/>
    <w:rsid w:val="00482FB1"/>
    <w:rsid w:val="00483A93"/>
    <w:rsid w:val="00484E1E"/>
    <w:rsid w:val="0048600F"/>
    <w:rsid w:val="00487D7B"/>
    <w:rsid w:val="004902A1"/>
    <w:rsid w:val="00491651"/>
    <w:rsid w:val="00496045"/>
    <w:rsid w:val="00496A74"/>
    <w:rsid w:val="004B10BE"/>
    <w:rsid w:val="004B43DF"/>
    <w:rsid w:val="004B54A6"/>
    <w:rsid w:val="004B7A73"/>
    <w:rsid w:val="004C31BC"/>
    <w:rsid w:val="004C6CE4"/>
    <w:rsid w:val="004D1621"/>
    <w:rsid w:val="004D40C0"/>
    <w:rsid w:val="004E0E15"/>
    <w:rsid w:val="004E3579"/>
    <w:rsid w:val="004E42AF"/>
    <w:rsid w:val="004E75CB"/>
    <w:rsid w:val="004F262F"/>
    <w:rsid w:val="004F653A"/>
    <w:rsid w:val="004F6F9A"/>
    <w:rsid w:val="0050023C"/>
    <w:rsid w:val="0050098B"/>
    <w:rsid w:val="00501828"/>
    <w:rsid w:val="005024D5"/>
    <w:rsid w:val="00503989"/>
    <w:rsid w:val="00506061"/>
    <w:rsid w:val="0051075B"/>
    <w:rsid w:val="005204FD"/>
    <w:rsid w:val="00522B2A"/>
    <w:rsid w:val="00524247"/>
    <w:rsid w:val="005278FE"/>
    <w:rsid w:val="00531E0D"/>
    <w:rsid w:val="00532EB4"/>
    <w:rsid w:val="005333A4"/>
    <w:rsid w:val="0053413B"/>
    <w:rsid w:val="00534B67"/>
    <w:rsid w:val="0053749A"/>
    <w:rsid w:val="00541B6E"/>
    <w:rsid w:val="00543BCA"/>
    <w:rsid w:val="00543D99"/>
    <w:rsid w:val="0054501C"/>
    <w:rsid w:val="00550A45"/>
    <w:rsid w:val="005519DC"/>
    <w:rsid w:val="0055312D"/>
    <w:rsid w:val="00553F82"/>
    <w:rsid w:val="0055473F"/>
    <w:rsid w:val="00555CB1"/>
    <w:rsid w:val="00557662"/>
    <w:rsid w:val="00560A12"/>
    <w:rsid w:val="005614F6"/>
    <w:rsid w:val="00563651"/>
    <w:rsid w:val="005637E7"/>
    <w:rsid w:val="0056436A"/>
    <w:rsid w:val="00565697"/>
    <w:rsid w:val="00565806"/>
    <w:rsid w:val="00571F87"/>
    <w:rsid w:val="005722EB"/>
    <w:rsid w:val="00581CCE"/>
    <w:rsid w:val="00583C88"/>
    <w:rsid w:val="00585850"/>
    <w:rsid w:val="00585F65"/>
    <w:rsid w:val="005865D2"/>
    <w:rsid w:val="005914A2"/>
    <w:rsid w:val="00593811"/>
    <w:rsid w:val="005973E9"/>
    <w:rsid w:val="005A72AC"/>
    <w:rsid w:val="005B312F"/>
    <w:rsid w:val="005B427C"/>
    <w:rsid w:val="005B6954"/>
    <w:rsid w:val="005B6DD2"/>
    <w:rsid w:val="005B7C5F"/>
    <w:rsid w:val="005B7D8B"/>
    <w:rsid w:val="005C0482"/>
    <w:rsid w:val="005C1989"/>
    <w:rsid w:val="005C2BDF"/>
    <w:rsid w:val="005D0757"/>
    <w:rsid w:val="005D2322"/>
    <w:rsid w:val="005D6574"/>
    <w:rsid w:val="005E110F"/>
    <w:rsid w:val="005E1318"/>
    <w:rsid w:val="005E4AB2"/>
    <w:rsid w:val="005F05D8"/>
    <w:rsid w:val="005F6697"/>
    <w:rsid w:val="00600BB0"/>
    <w:rsid w:val="006035FE"/>
    <w:rsid w:val="00604311"/>
    <w:rsid w:val="00615794"/>
    <w:rsid w:val="006228F6"/>
    <w:rsid w:val="0062390F"/>
    <w:rsid w:val="00625497"/>
    <w:rsid w:val="00631364"/>
    <w:rsid w:val="00632DA7"/>
    <w:rsid w:val="0063304F"/>
    <w:rsid w:val="00633BC6"/>
    <w:rsid w:val="00643E51"/>
    <w:rsid w:val="00644EA6"/>
    <w:rsid w:val="0064675A"/>
    <w:rsid w:val="00655B76"/>
    <w:rsid w:val="00657886"/>
    <w:rsid w:val="006602B0"/>
    <w:rsid w:val="00661055"/>
    <w:rsid w:val="006629ED"/>
    <w:rsid w:val="00662C3A"/>
    <w:rsid w:val="00665226"/>
    <w:rsid w:val="00666838"/>
    <w:rsid w:val="0067531E"/>
    <w:rsid w:val="00675B0E"/>
    <w:rsid w:val="006804CB"/>
    <w:rsid w:val="00681B16"/>
    <w:rsid w:val="00681FD1"/>
    <w:rsid w:val="006822EE"/>
    <w:rsid w:val="00684F67"/>
    <w:rsid w:val="00687487"/>
    <w:rsid w:val="00696F9A"/>
    <w:rsid w:val="006A0605"/>
    <w:rsid w:val="006A09B4"/>
    <w:rsid w:val="006A1C38"/>
    <w:rsid w:val="006A3E34"/>
    <w:rsid w:val="006A4356"/>
    <w:rsid w:val="006A62C7"/>
    <w:rsid w:val="006B2D70"/>
    <w:rsid w:val="006B54D2"/>
    <w:rsid w:val="006C0A78"/>
    <w:rsid w:val="006C385D"/>
    <w:rsid w:val="006C6129"/>
    <w:rsid w:val="006C78CC"/>
    <w:rsid w:val="006D07F7"/>
    <w:rsid w:val="006D2ACC"/>
    <w:rsid w:val="006D5ED0"/>
    <w:rsid w:val="006E1315"/>
    <w:rsid w:val="006E3994"/>
    <w:rsid w:val="006E48DB"/>
    <w:rsid w:val="006E7271"/>
    <w:rsid w:val="006F0D16"/>
    <w:rsid w:val="006F3FE5"/>
    <w:rsid w:val="006F42C5"/>
    <w:rsid w:val="0070035C"/>
    <w:rsid w:val="00703F1E"/>
    <w:rsid w:val="007059B0"/>
    <w:rsid w:val="0071529C"/>
    <w:rsid w:val="00717817"/>
    <w:rsid w:val="0072157E"/>
    <w:rsid w:val="00726CD9"/>
    <w:rsid w:val="007307CA"/>
    <w:rsid w:val="007341EA"/>
    <w:rsid w:val="0073473E"/>
    <w:rsid w:val="0073747D"/>
    <w:rsid w:val="00737B1A"/>
    <w:rsid w:val="0074104D"/>
    <w:rsid w:val="00741298"/>
    <w:rsid w:val="007427A1"/>
    <w:rsid w:val="0074532F"/>
    <w:rsid w:val="00747E5B"/>
    <w:rsid w:val="00747FC0"/>
    <w:rsid w:val="00752121"/>
    <w:rsid w:val="00753BE6"/>
    <w:rsid w:val="007614FF"/>
    <w:rsid w:val="00763794"/>
    <w:rsid w:val="00763C07"/>
    <w:rsid w:val="00772851"/>
    <w:rsid w:val="007748C7"/>
    <w:rsid w:val="0078192F"/>
    <w:rsid w:val="00782816"/>
    <w:rsid w:val="00787177"/>
    <w:rsid w:val="00793906"/>
    <w:rsid w:val="0079628D"/>
    <w:rsid w:val="007A62AE"/>
    <w:rsid w:val="007B1FAB"/>
    <w:rsid w:val="007B2B30"/>
    <w:rsid w:val="007B71AD"/>
    <w:rsid w:val="007B7A04"/>
    <w:rsid w:val="007C6FD9"/>
    <w:rsid w:val="007C7CD4"/>
    <w:rsid w:val="007E186C"/>
    <w:rsid w:val="007E3D4F"/>
    <w:rsid w:val="007F1D39"/>
    <w:rsid w:val="007F4246"/>
    <w:rsid w:val="007F4305"/>
    <w:rsid w:val="007F4889"/>
    <w:rsid w:val="007F77F6"/>
    <w:rsid w:val="008005BE"/>
    <w:rsid w:val="008038B7"/>
    <w:rsid w:val="0080462E"/>
    <w:rsid w:val="00805F55"/>
    <w:rsid w:val="00811092"/>
    <w:rsid w:val="00811194"/>
    <w:rsid w:val="00811E0B"/>
    <w:rsid w:val="0081287F"/>
    <w:rsid w:val="00821224"/>
    <w:rsid w:val="00823461"/>
    <w:rsid w:val="00825B9C"/>
    <w:rsid w:val="00830544"/>
    <w:rsid w:val="00833A3E"/>
    <w:rsid w:val="00834C3A"/>
    <w:rsid w:val="008354D1"/>
    <w:rsid w:val="0083662A"/>
    <w:rsid w:val="00836F20"/>
    <w:rsid w:val="00843058"/>
    <w:rsid w:val="008502EF"/>
    <w:rsid w:val="00855B9E"/>
    <w:rsid w:val="00857C4C"/>
    <w:rsid w:val="008671A1"/>
    <w:rsid w:val="0086723E"/>
    <w:rsid w:val="0087054A"/>
    <w:rsid w:val="008738BB"/>
    <w:rsid w:val="008756FA"/>
    <w:rsid w:val="008763CA"/>
    <w:rsid w:val="0087667A"/>
    <w:rsid w:val="0087673E"/>
    <w:rsid w:val="00877638"/>
    <w:rsid w:val="008905D8"/>
    <w:rsid w:val="0089394D"/>
    <w:rsid w:val="00893AEC"/>
    <w:rsid w:val="008A474F"/>
    <w:rsid w:val="008A5C0A"/>
    <w:rsid w:val="008A6FB3"/>
    <w:rsid w:val="008A7055"/>
    <w:rsid w:val="008A7DE4"/>
    <w:rsid w:val="008B0A3D"/>
    <w:rsid w:val="008B15BA"/>
    <w:rsid w:val="008B6785"/>
    <w:rsid w:val="008F09C3"/>
    <w:rsid w:val="008F5BD2"/>
    <w:rsid w:val="00900B7D"/>
    <w:rsid w:val="00901FE6"/>
    <w:rsid w:val="009052D7"/>
    <w:rsid w:val="00913C13"/>
    <w:rsid w:val="00917150"/>
    <w:rsid w:val="009208CF"/>
    <w:rsid w:val="00930209"/>
    <w:rsid w:val="00933F48"/>
    <w:rsid w:val="00963BD0"/>
    <w:rsid w:val="009646A8"/>
    <w:rsid w:val="00973E55"/>
    <w:rsid w:val="0097478A"/>
    <w:rsid w:val="0098236D"/>
    <w:rsid w:val="009847AB"/>
    <w:rsid w:val="00985CCD"/>
    <w:rsid w:val="009865A6"/>
    <w:rsid w:val="00986DE0"/>
    <w:rsid w:val="009911B4"/>
    <w:rsid w:val="009A08E0"/>
    <w:rsid w:val="009A0E0C"/>
    <w:rsid w:val="009A4263"/>
    <w:rsid w:val="009A5B18"/>
    <w:rsid w:val="009A5B5D"/>
    <w:rsid w:val="009A6129"/>
    <w:rsid w:val="009B6015"/>
    <w:rsid w:val="009B7394"/>
    <w:rsid w:val="009C13F9"/>
    <w:rsid w:val="009C1CDB"/>
    <w:rsid w:val="009D0C18"/>
    <w:rsid w:val="009D4B99"/>
    <w:rsid w:val="009D517C"/>
    <w:rsid w:val="009E3EA9"/>
    <w:rsid w:val="009E5099"/>
    <w:rsid w:val="009E6DEE"/>
    <w:rsid w:val="009E7C64"/>
    <w:rsid w:val="009F29B7"/>
    <w:rsid w:val="009F34AA"/>
    <w:rsid w:val="009F6E61"/>
    <w:rsid w:val="009F76A2"/>
    <w:rsid w:val="00A131A8"/>
    <w:rsid w:val="00A132E6"/>
    <w:rsid w:val="00A14A01"/>
    <w:rsid w:val="00A23372"/>
    <w:rsid w:val="00A33207"/>
    <w:rsid w:val="00A33FCC"/>
    <w:rsid w:val="00A348D0"/>
    <w:rsid w:val="00A36D26"/>
    <w:rsid w:val="00A375B6"/>
    <w:rsid w:val="00A41DA9"/>
    <w:rsid w:val="00A5453F"/>
    <w:rsid w:val="00A609C6"/>
    <w:rsid w:val="00A64314"/>
    <w:rsid w:val="00A6496E"/>
    <w:rsid w:val="00A66CE8"/>
    <w:rsid w:val="00A70EBD"/>
    <w:rsid w:val="00A744EF"/>
    <w:rsid w:val="00A74C11"/>
    <w:rsid w:val="00A8310F"/>
    <w:rsid w:val="00AA19F5"/>
    <w:rsid w:val="00AA308F"/>
    <w:rsid w:val="00AB2C9F"/>
    <w:rsid w:val="00AB6653"/>
    <w:rsid w:val="00AB7DE0"/>
    <w:rsid w:val="00AC0459"/>
    <w:rsid w:val="00AC2E3D"/>
    <w:rsid w:val="00AC5193"/>
    <w:rsid w:val="00AC7405"/>
    <w:rsid w:val="00AD37D0"/>
    <w:rsid w:val="00AD3857"/>
    <w:rsid w:val="00AD5007"/>
    <w:rsid w:val="00AE36A2"/>
    <w:rsid w:val="00AE5D76"/>
    <w:rsid w:val="00AE7E59"/>
    <w:rsid w:val="00AF351C"/>
    <w:rsid w:val="00AF6556"/>
    <w:rsid w:val="00B00430"/>
    <w:rsid w:val="00B008AB"/>
    <w:rsid w:val="00B02B16"/>
    <w:rsid w:val="00B10E80"/>
    <w:rsid w:val="00B14534"/>
    <w:rsid w:val="00B146D6"/>
    <w:rsid w:val="00B14AE2"/>
    <w:rsid w:val="00B173D6"/>
    <w:rsid w:val="00B201AA"/>
    <w:rsid w:val="00B20576"/>
    <w:rsid w:val="00B225E3"/>
    <w:rsid w:val="00B24571"/>
    <w:rsid w:val="00B24B03"/>
    <w:rsid w:val="00B276E0"/>
    <w:rsid w:val="00B32361"/>
    <w:rsid w:val="00B32682"/>
    <w:rsid w:val="00B33C4C"/>
    <w:rsid w:val="00B3430C"/>
    <w:rsid w:val="00B37B72"/>
    <w:rsid w:val="00B37EF8"/>
    <w:rsid w:val="00B43E0A"/>
    <w:rsid w:val="00B44B46"/>
    <w:rsid w:val="00B46410"/>
    <w:rsid w:val="00B47A6E"/>
    <w:rsid w:val="00B510CC"/>
    <w:rsid w:val="00B5286A"/>
    <w:rsid w:val="00B5338E"/>
    <w:rsid w:val="00B56423"/>
    <w:rsid w:val="00B604D1"/>
    <w:rsid w:val="00B662E1"/>
    <w:rsid w:val="00B711BE"/>
    <w:rsid w:val="00B7245E"/>
    <w:rsid w:val="00B72D17"/>
    <w:rsid w:val="00B73154"/>
    <w:rsid w:val="00B7501E"/>
    <w:rsid w:val="00B80AEF"/>
    <w:rsid w:val="00B8141D"/>
    <w:rsid w:val="00B846C8"/>
    <w:rsid w:val="00B9109E"/>
    <w:rsid w:val="00B92E47"/>
    <w:rsid w:val="00B9321B"/>
    <w:rsid w:val="00BA2076"/>
    <w:rsid w:val="00BA3DB0"/>
    <w:rsid w:val="00BA5BC4"/>
    <w:rsid w:val="00BA7F79"/>
    <w:rsid w:val="00BB3AFD"/>
    <w:rsid w:val="00BB4868"/>
    <w:rsid w:val="00BB64D4"/>
    <w:rsid w:val="00BB7DF2"/>
    <w:rsid w:val="00BC0D38"/>
    <w:rsid w:val="00BC35DB"/>
    <w:rsid w:val="00BC3879"/>
    <w:rsid w:val="00BC468E"/>
    <w:rsid w:val="00BC4E03"/>
    <w:rsid w:val="00BC616F"/>
    <w:rsid w:val="00BC6BA9"/>
    <w:rsid w:val="00BD0AE9"/>
    <w:rsid w:val="00BD3981"/>
    <w:rsid w:val="00BD3AC6"/>
    <w:rsid w:val="00BD62F0"/>
    <w:rsid w:val="00BD6C0F"/>
    <w:rsid w:val="00BE00D7"/>
    <w:rsid w:val="00BE0E64"/>
    <w:rsid w:val="00BE59EE"/>
    <w:rsid w:val="00BE6409"/>
    <w:rsid w:val="00BF0E26"/>
    <w:rsid w:val="00BF2D8B"/>
    <w:rsid w:val="00C003AF"/>
    <w:rsid w:val="00C00A73"/>
    <w:rsid w:val="00C030D5"/>
    <w:rsid w:val="00C11F0B"/>
    <w:rsid w:val="00C13C0D"/>
    <w:rsid w:val="00C14D98"/>
    <w:rsid w:val="00C20E96"/>
    <w:rsid w:val="00C27F11"/>
    <w:rsid w:val="00C31007"/>
    <w:rsid w:val="00C317F7"/>
    <w:rsid w:val="00C36A73"/>
    <w:rsid w:val="00C40C3B"/>
    <w:rsid w:val="00C44C0D"/>
    <w:rsid w:val="00C470B5"/>
    <w:rsid w:val="00C47295"/>
    <w:rsid w:val="00C50374"/>
    <w:rsid w:val="00C52D8B"/>
    <w:rsid w:val="00C54F88"/>
    <w:rsid w:val="00C55C4F"/>
    <w:rsid w:val="00C60E59"/>
    <w:rsid w:val="00C74EBE"/>
    <w:rsid w:val="00C76CA5"/>
    <w:rsid w:val="00C83145"/>
    <w:rsid w:val="00C8364D"/>
    <w:rsid w:val="00C83B41"/>
    <w:rsid w:val="00C8746D"/>
    <w:rsid w:val="00C876CF"/>
    <w:rsid w:val="00C903E1"/>
    <w:rsid w:val="00C965F8"/>
    <w:rsid w:val="00CA23D2"/>
    <w:rsid w:val="00CB05B1"/>
    <w:rsid w:val="00CB6D68"/>
    <w:rsid w:val="00CC35E1"/>
    <w:rsid w:val="00CC455D"/>
    <w:rsid w:val="00CC5777"/>
    <w:rsid w:val="00CC5D94"/>
    <w:rsid w:val="00CC6B20"/>
    <w:rsid w:val="00CD038A"/>
    <w:rsid w:val="00CD32AB"/>
    <w:rsid w:val="00CD3599"/>
    <w:rsid w:val="00CD47CA"/>
    <w:rsid w:val="00CD5CE7"/>
    <w:rsid w:val="00CE062E"/>
    <w:rsid w:val="00CE1DCC"/>
    <w:rsid w:val="00CE590F"/>
    <w:rsid w:val="00CF19AB"/>
    <w:rsid w:val="00CF28FC"/>
    <w:rsid w:val="00CF36A2"/>
    <w:rsid w:val="00CF49BF"/>
    <w:rsid w:val="00CF4B9C"/>
    <w:rsid w:val="00CF551E"/>
    <w:rsid w:val="00CF5C54"/>
    <w:rsid w:val="00CF61E2"/>
    <w:rsid w:val="00D007B5"/>
    <w:rsid w:val="00D013D7"/>
    <w:rsid w:val="00D03054"/>
    <w:rsid w:val="00D04CE4"/>
    <w:rsid w:val="00D07F11"/>
    <w:rsid w:val="00D10389"/>
    <w:rsid w:val="00D107DE"/>
    <w:rsid w:val="00D23315"/>
    <w:rsid w:val="00D4155F"/>
    <w:rsid w:val="00D4205C"/>
    <w:rsid w:val="00D4221E"/>
    <w:rsid w:val="00D5149B"/>
    <w:rsid w:val="00D542C8"/>
    <w:rsid w:val="00D5638D"/>
    <w:rsid w:val="00D61B18"/>
    <w:rsid w:val="00D61D60"/>
    <w:rsid w:val="00D62DE3"/>
    <w:rsid w:val="00D6307B"/>
    <w:rsid w:val="00D706FB"/>
    <w:rsid w:val="00D7097E"/>
    <w:rsid w:val="00D7219C"/>
    <w:rsid w:val="00D7462C"/>
    <w:rsid w:val="00D750A7"/>
    <w:rsid w:val="00D808D6"/>
    <w:rsid w:val="00D81BEC"/>
    <w:rsid w:val="00D824E8"/>
    <w:rsid w:val="00D82A7E"/>
    <w:rsid w:val="00D85DC9"/>
    <w:rsid w:val="00D907F3"/>
    <w:rsid w:val="00D93EA8"/>
    <w:rsid w:val="00D97F31"/>
    <w:rsid w:val="00DA1944"/>
    <w:rsid w:val="00DA4F4F"/>
    <w:rsid w:val="00DA50FD"/>
    <w:rsid w:val="00DB1E38"/>
    <w:rsid w:val="00DB3817"/>
    <w:rsid w:val="00DB5E32"/>
    <w:rsid w:val="00DB6DC0"/>
    <w:rsid w:val="00DC37E0"/>
    <w:rsid w:val="00DC5E84"/>
    <w:rsid w:val="00DC7817"/>
    <w:rsid w:val="00DD26F3"/>
    <w:rsid w:val="00DD2ADB"/>
    <w:rsid w:val="00DD35E7"/>
    <w:rsid w:val="00DD789B"/>
    <w:rsid w:val="00DE4B11"/>
    <w:rsid w:val="00DE52CD"/>
    <w:rsid w:val="00DE6996"/>
    <w:rsid w:val="00DF4D98"/>
    <w:rsid w:val="00E05553"/>
    <w:rsid w:val="00E17A50"/>
    <w:rsid w:val="00E17ED7"/>
    <w:rsid w:val="00E24E8E"/>
    <w:rsid w:val="00E30459"/>
    <w:rsid w:val="00E31AF0"/>
    <w:rsid w:val="00E32027"/>
    <w:rsid w:val="00E3330C"/>
    <w:rsid w:val="00E35A88"/>
    <w:rsid w:val="00E36081"/>
    <w:rsid w:val="00E37722"/>
    <w:rsid w:val="00E47C0E"/>
    <w:rsid w:val="00E5137A"/>
    <w:rsid w:val="00E51D96"/>
    <w:rsid w:val="00E54CA1"/>
    <w:rsid w:val="00E56CA8"/>
    <w:rsid w:val="00E6056D"/>
    <w:rsid w:val="00E654AB"/>
    <w:rsid w:val="00E71C34"/>
    <w:rsid w:val="00E730AC"/>
    <w:rsid w:val="00E75003"/>
    <w:rsid w:val="00E77B1A"/>
    <w:rsid w:val="00E810C1"/>
    <w:rsid w:val="00E818EF"/>
    <w:rsid w:val="00E839EC"/>
    <w:rsid w:val="00E856AE"/>
    <w:rsid w:val="00E856DE"/>
    <w:rsid w:val="00E85D76"/>
    <w:rsid w:val="00E86D65"/>
    <w:rsid w:val="00E87D32"/>
    <w:rsid w:val="00E94462"/>
    <w:rsid w:val="00E95DC3"/>
    <w:rsid w:val="00E968A0"/>
    <w:rsid w:val="00E9753A"/>
    <w:rsid w:val="00E97EEC"/>
    <w:rsid w:val="00EA33EE"/>
    <w:rsid w:val="00EB1BBD"/>
    <w:rsid w:val="00EB28DE"/>
    <w:rsid w:val="00EB5B73"/>
    <w:rsid w:val="00EB62E6"/>
    <w:rsid w:val="00EC0CBC"/>
    <w:rsid w:val="00EC0F86"/>
    <w:rsid w:val="00EC24BC"/>
    <w:rsid w:val="00EC4AD2"/>
    <w:rsid w:val="00EC7E89"/>
    <w:rsid w:val="00ED1355"/>
    <w:rsid w:val="00ED76C8"/>
    <w:rsid w:val="00EE543F"/>
    <w:rsid w:val="00EE6F35"/>
    <w:rsid w:val="00EE7B69"/>
    <w:rsid w:val="00EF1D06"/>
    <w:rsid w:val="00EF2169"/>
    <w:rsid w:val="00EF45A3"/>
    <w:rsid w:val="00EF5639"/>
    <w:rsid w:val="00EF7C9A"/>
    <w:rsid w:val="00F0047B"/>
    <w:rsid w:val="00F035FE"/>
    <w:rsid w:val="00F04044"/>
    <w:rsid w:val="00F06D76"/>
    <w:rsid w:val="00F2268C"/>
    <w:rsid w:val="00F25169"/>
    <w:rsid w:val="00F30654"/>
    <w:rsid w:val="00F315D1"/>
    <w:rsid w:val="00F32574"/>
    <w:rsid w:val="00F44958"/>
    <w:rsid w:val="00F54CF3"/>
    <w:rsid w:val="00F575EC"/>
    <w:rsid w:val="00F60D43"/>
    <w:rsid w:val="00F6529A"/>
    <w:rsid w:val="00F72E5B"/>
    <w:rsid w:val="00F74ED3"/>
    <w:rsid w:val="00F852B8"/>
    <w:rsid w:val="00F8625F"/>
    <w:rsid w:val="00F87D52"/>
    <w:rsid w:val="00F903F8"/>
    <w:rsid w:val="00F9513B"/>
    <w:rsid w:val="00F95F91"/>
    <w:rsid w:val="00F97186"/>
    <w:rsid w:val="00FA019C"/>
    <w:rsid w:val="00FA506A"/>
    <w:rsid w:val="00FA6FA8"/>
    <w:rsid w:val="00FB1C65"/>
    <w:rsid w:val="00FB2DD6"/>
    <w:rsid w:val="00FB5FBB"/>
    <w:rsid w:val="00FB710F"/>
    <w:rsid w:val="00FC585A"/>
    <w:rsid w:val="00FD1821"/>
    <w:rsid w:val="00FD1E6F"/>
    <w:rsid w:val="00FD3F3B"/>
    <w:rsid w:val="00FD462E"/>
    <w:rsid w:val="00FD77F3"/>
    <w:rsid w:val="00FE2E2A"/>
    <w:rsid w:val="00FF510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25E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12" w:lineRule="atLeast"/>
    </w:pPr>
    <w:rPr>
      <w:sz w:val="24"/>
      <w:lang w:val="en-GB" w:eastAsia="en-GB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link w:val="Nadpis5Char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customStyle="1" w:styleId="Text">
    <w:name w:val="Text"/>
    <w:basedOn w:val="Normlny"/>
    <w:uiPriority w:val="99"/>
    <w:pPr>
      <w:spacing w:after="240"/>
    </w:p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semiHidden/>
  </w:style>
  <w:style w:type="paragraph" w:styleId="Obsah5">
    <w:name w:val="toc 5"/>
    <w:basedOn w:val="Obsah3"/>
    <w:next w:val="Normlny"/>
    <w:semiHidden/>
  </w:style>
  <w:style w:type="paragraph" w:styleId="Obsah6">
    <w:name w:val="toc 6"/>
    <w:basedOn w:val="Obsah3"/>
    <w:next w:val="Normlny"/>
    <w:semiHidden/>
  </w:style>
  <w:style w:type="paragraph" w:styleId="Obsah7">
    <w:name w:val="toc 7"/>
    <w:basedOn w:val="Obsah3"/>
    <w:next w:val="Normlny"/>
    <w:semiHidden/>
  </w:style>
  <w:style w:type="paragraph" w:styleId="Obsah8">
    <w:name w:val="toc 8"/>
    <w:basedOn w:val="Obsah3"/>
    <w:next w:val="Normlny"/>
    <w:semiHidden/>
  </w:style>
  <w:style w:type="paragraph" w:styleId="Obsah9">
    <w:name w:val="toc 9"/>
    <w:basedOn w:val="Obsah3"/>
    <w:next w:val="Normlny"/>
    <w:semiHidden/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slostrany">
    <w:name w:val="page number"/>
    <w:basedOn w:val="Predvolenpsmoodseku"/>
  </w:style>
  <w:style w:type="paragraph" w:customStyle="1" w:styleId="Graphic">
    <w:name w:val="Graphic"/>
    <w:basedOn w:val="Text"/>
    <w:next w:val="Text"/>
    <w:pPr>
      <w:keepNext/>
    </w:pPr>
    <w:rPr>
      <w:rFonts w:ascii="Times" w:hAnsi="Times"/>
    </w:rPr>
  </w:style>
  <w:style w:type="paragraph" w:styleId="Pta">
    <w:name w:val="footer"/>
    <w:basedOn w:val="Normlny"/>
    <w:pPr>
      <w:tabs>
        <w:tab w:val="center" w:pos="4153"/>
        <w:tab w:val="right" w:pos="8306"/>
      </w:tabs>
      <w:spacing w:line="312" w:lineRule="exact"/>
    </w:pPr>
    <w:rPr>
      <w:rFonts w:ascii="Times" w:hAnsi="Times"/>
    </w:rPr>
  </w:style>
  <w:style w:type="character" w:styleId="Odkaznakomentr">
    <w:name w:val="annotation reference"/>
    <w:semiHidden/>
    <w:rsid w:val="00487D7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87D7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87D7B"/>
    <w:rPr>
      <w:b/>
      <w:bCs/>
    </w:rPr>
  </w:style>
  <w:style w:type="paragraph" w:styleId="Textbubliny">
    <w:name w:val="Balloon Text"/>
    <w:basedOn w:val="Normlny"/>
    <w:semiHidden/>
    <w:rsid w:val="00487D7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8600F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53BE6"/>
    <w:rPr>
      <w:u w:val="double"/>
    </w:rPr>
  </w:style>
  <w:style w:type="paragraph" w:styleId="Zoznam">
    <w:name w:val="List"/>
    <w:basedOn w:val="Normlny"/>
    <w:rsid w:val="00142B1C"/>
    <w:pPr>
      <w:ind w:left="283" w:hanging="283"/>
    </w:pPr>
  </w:style>
  <w:style w:type="paragraph" w:styleId="Revzia">
    <w:name w:val="Revision"/>
    <w:hidden/>
    <w:uiPriority w:val="99"/>
    <w:semiHidden/>
    <w:rsid w:val="00E31AF0"/>
    <w:rPr>
      <w:sz w:val="24"/>
      <w:lang w:val="en-GB" w:eastAsia="en-GB"/>
    </w:rPr>
  </w:style>
  <w:style w:type="character" w:customStyle="1" w:styleId="Nadpis5Char">
    <w:name w:val="Nadpis 5 Char"/>
    <w:link w:val="Nadpis5"/>
    <w:locked/>
    <w:rsid w:val="005278FE"/>
    <w:rPr>
      <w:b/>
      <w:i/>
      <w:sz w:val="24"/>
      <w:lang w:val="en-GB" w:eastAsia="en-GB"/>
    </w:rPr>
  </w:style>
  <w:style w:type="character" w:styleId="Hypertextovprepojenie">
    <w:name w:val="Hyperlink"/>
    <w:uiPriority w:val="99"/>
    <w:unhideWhenUsed/>
    <w:rsid w:val="00D7462C"/>
    <w:rPr>
      <w:color w:val="0000FF"/>
      <w:u w:val="single"/>
    </w:rPr>
  </w:style>
  <w:style w:type="character" w:customStyle="1" w:styleId="TextkomentraChar">
    <w:name w:val="Text komentára Char"/>
    <w:link w:val="Textkomentra"/>
    <w:uiPriority w:val="99"/>
    <w:semiHidden/>
    <w:rsid w:val="009F76A2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312" w:lineRule="atLeast"/>
    </w:pPr>
    <w:rPr>
      <w:sz w:val="24"/>
      <w:lang w:val="en-GB" w:eastAsia="en-GB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link w:val="Nadpis5Char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customStyle="1" w:styleId="Text">
    <w:name w:val="Text"/>
    <w:basedOn w:val="Normlny"/>
    <w:uiPriority w:val="99"/>
    <w:pPr>
      <w:spacing w:after="240"/>
    </w:p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semiHidden/>
  </w:style>
  <w:style w:type="paragraph" w:styleId="Obsah5">
    <w:name w:val="toc 5"/>
    <w:basedOn w:val="Obsah3"/>
    <w:next w:val="Normlny"/>
    <w:semiHidden/>
  </w:style>
  <w:style w:type="paragraph" w:styleId="Obsah6">
    <w:name w:val="toc 6"/>
    <w:basedOn w:val="Obsah3"/>
    <w:next w:val="Normlny"/>
    <w:semiHidden/>
  </w:style>
  <w:style w:type="paragraph" w:styleId="Obsah7">
    <w:name w:val="toc 7"/>
    <w:basedOn w:val="Obsah3"/>
    <w:next w:val="Normlny"/>
    <w:semiHidden/>
  </w:style>
  <w:style w:type="paragraph" w:styleId="Obsah8">
    <w:name w:val="toc 8"/>
    <w:basedOn w:val="Obsah3"/>
    <w:next w:val="Normlny"/>
    <w:semiHidden/>
  </w:style>
  <w:style w:type="paragraph" w:styleId="Obsah9">
    <w:name w:val="toc 9"/>
    <w:basedOn w:val="Obsah3"/>
    <w:next w:val="Normlny"/>
    <w:semiHidden/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slostrany">
    <w:name w:val="page number"/>
    <w:basedOn w:val="Predvolenpsmoodseku"/>
  </w:style>
  <w:style w:type="paragraph" w:customStyle="1" w:styleId="Graphic">
    <w:name w:val="Graphic"/>
    <w:basedOn w:val="Text"/>
    <w:next w:val="Text"/>
    <w:pPr>
      <w:keepNext/>
    </w:pPr>
    <w:rPr>
      <w:rFonts w:ascii="Times" w:hAnsi="Times"/>
    </w:rPr>
  </w:style>
  <w:style w:type="paragraph" w:styleId="Pta">
    <w:name w:val="footer"/>
    <w:basedOn w:val="Normlny"/>
    <w:pPr>
      <w:tabs>
        <w:tab w:val="center" w:pos="4153"/>
        <w:tab w:val="right" w:pos="8306"/>
      </w:tabs>
      <w:spacing w:line="312" w:lineRule="exact"/>
    </w:pPr>
    <w:rPr>
      <w:rFonts w:ascii="Times" w:hAnsi="Times"/>
    </w:rPr>
  </w:style>
  <w:style w:type="character" w:styleId="Odkaznakomentr">
    <w:name w:val="annotation reference"/>
    <w:semiHidden/>
    <w:rsid w:val="00487D7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87D7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87D7B"/>
    <w:rPr>
      <w:b/>
      <w:bCs/>
    </w:rPr>
  </w:style>
  <w:style w:type="paragraph" w:styleId="Textbubliny">
    <w:name w:val="Balloon Text"/>
    <w:basedOn w:val="Normlny"/>
    <w:semiHidden/>
    <w:rsid w:val="00487D7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8600F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53BE6"/>
    <w:rPr>
      <w:u w:val="double"/>
    </w:rPr>
  </w:style>
  <w:style w:type="paragraph" w:styleId="Zoznam">
    <w:name w:val="List"/>
    <w:basedOn w:val="Normlny"/>
    <w:rsid w:val="00142B1C"/>
    <w:pPr>
      <w:ind w:left="283" w:hanging="283"/>
    </w:pPr>
  </w:style>
  <w:style w:type="paragraph" w:styleId="Revzia">
    <w:name w:val="Revision"/>
    <w:hidden/>
    <w:uiPriority w:val="99"/>
    <w:semiHidden/>
    <w:rsid w:val="00E31AF0"/>
    <w:rPr>
      <w:sz w:val="24"/>
      <w:lang w:val="en-GB" w:eastAsia="en-GB"/>
    </w:rPr>
  </w:style>
  <w:style w:type="character" w:customStyle="1" w:styleId="Nadpis5Char">
    <w:name w:val="Nadpis 5 Char"/>
    <w:link w:val="Nadpis5"/>
    <w:locked/>
    <w:rsid w:val="005278FE"/>
    <w:rPr>
      <w:b/>
      <w:i/>
      <w:sz w:val="24"/>
      <w:lang w:val="en-GB" w:eastAsia="en-GB"/>
    </w:rPr>
  </w:style>
  <w:style w:type="character" w:styleId="Hypertextovprepojenie">
    <w:name w:val="Hyperlink"/>
    <w:uiPriority w:val="99"/>
    <w:unhideWhenUsed/>
    <w:rsid w:val="00D7462C"/>
    <w:rPr>
      <w:color w:val="0000FF"/>
      <w:u w:val="single"/>
    </w:rPr>
  </w:style>
  <w:style w:type="character" w:customStyle="1" w:styleId="TextkomentraChar">
    <w:name w:val="Text komentára Char"/>
    <w:link w:val="Textkomentra"/>
    <w:uiPriority w:val="99"/>
    <w:semiHidden/>
    <w:rsid w:val="009F76A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6181-E45E-4E9F-B893-16C0D5ED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3981</Words>
  <Characters>25498</Characters>
  <Application>Microsoft Office Word</Application>
  <DocSecurity>0</DocSecurity>
  <Lines>212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SmithKline Beecham</Company>
  <LinksUpToDate>false</LinksUpToDate>
  <CharactersWithSpaces>29421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Tracy Jenkins</dc:creator>
  <cp:lastModifiedBy>Skladaná, Judita</cp:lastModifiedBy>
  <cp:revision>2</cp:revision>
  <cp:lastPrinted>2018-04-10T13:31:00Z</cp:lastPrinted>
  <dcterms:created xsi:type="dcterms:W3CDTF">2018-04-10T13:31:00Z</dcterms:created>
  <dcterms:modified xsi:type="dcterms:W3CDTF">2018-04-10T13:31:00Z</dcterms:modified>
</cp:coreProperties>
</file>