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857" w:rsidRPr="00F2179E" w:rsidRDefault="00984857" w:rsidP="00984857">
      <w:pPr>
        <w:widowControl w:val="0"/>
        <w:tabs>
          <w:tab w:val="left" w:pos="567"/>
        </w:tabs>
        <w:jc w:val="center"/>
        <w:rPr>
          <w:bCs/>
          <w:iCs/>
          <w:noProof/>
          <w:sz w:val="22"/>
          <w:szCs w:val="22"/>
          <w:lang w:eastAsia="en-US"/>
        </w:rPr>
      </w:pPr>
      <w:bookmarkStart w:id="0" w:name="_GoBack"/>
      <w:bookmarkEnd w:id="0"/>
      <w:r w:rsidRPr="00F2179E">
        <w:rPr>
          <w:b/>
          <w:sz w:val="22"/>
          <w:szCs w:val="22"/>
          <w:lang w:eastAsia="en-US"/>
        </w:rPr>
        <w:t>SÚHRN CHARAKTERISTICKÝCH VLASTNOSTÍ LIEKU</w:t>
      </w:r>
    </w:p>
    <w:p w:rsidR="00984857" w:rsidRPr="00F2179E" w:rsidRDefault="00984857" w:rsidP="00984857">
      <w:pPr>
        <w:widowControl w:val="0"/>
        <w:tabs>
          <w:tab w:val="left" w:pos="567"/>
        </w:tabs>
        <w:rPr>
          <w:b/>
          <w:bCs/>
          <w:iCs/>
          <w:noProof/>
          <w:sz w:val="22"/>
          <w:szCs w:val="22"/>
          <w:lang w:eastAsia="en-US"/>
        </w:rPr>
      </w:pPr>
    </w:p>
    <w:p w:rsidR="00984857" w:rsidRPr="00F2179E" w:rsidRDefault="00984857" w:rsidP="00984857">
      <w:pPr>
        <w:widowControl w:val="0"/>
        <w:tabs>
          <w:tab w:val="left" w:pos="567"/>
        </w:tabs>
        <w:rPr>
          <w:b/>
          <w:bCs/>
          <w:iCs/>
          <w:noProof/>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bCs/>
          <w:iCs/>
          <w:noProof/>
          <w:sz w:val="22"/>
          <w:szCs w:val="22"/>
          <w:lang w:eastAsia="en-US"/>
        </w:rPr>
        <w:t>1.</w:t>
      </w:r>
      <w:r w:rsidRPr="00F2179E">
        <w:rPr>
          <w:b/>
          <w:bCs/>
          <w:iCs/>
          <w:noProof/>
          <w:sz w:val="22"/>
          <w:szCs w:val="22"/>
          <w:lang w:eastAsia="en-US"/>
        </w:rPr>
        <w:tab/>
      </w:r>
      <w:r w:rsidRPr="00F2179E">
        <w:rPr>
          <w:b/>
          <w:sz w:val="22"/>
          <w:szCs w:val="22"/>
          <w:lang w:eastAsia="en-US"/>
        </w:rPr>
        <w:t>NÁZOV LIEKU</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noProof/>
          <w:sz w:val="22"/>
          <w:szCs w:val="22"/>
          <w:lang w:eastAsia="en-US"/>
        </w:rPr>
        <w:t>Adolax 10 mg/5 mg</w:t>
      </w:r>
    </w:p>
    <w:p w:rsidR="00984857" w:rsidRPr="00F2179E" w:rsidRDefault="00984857" w:rsidP="00984857">
      <w:pPr>
        <w:widowControl w:val="0"/>
        <w:tabs>
          <w:tab w:val="left" w:pos="567"/>
        </w:tabs>
        <w:rPr>
          <w:iCs/>
          <w:sz w:val="22"/>
          <w:szCs w:val="22"/>
          <w:lang w:eastAsia="en-US"/>
        </w:rPr>
      </w:pPr>
      <w:r w:rsidRPr="00F2179E">
        <w:rPr>
          <w:noProof/>
          <w:sz w:val="22"/>
          <w:szCs w:val="22"/>
          <w:lang w:eastAsia="en-US"/>
        </w:rPr>
        <w:t>Adolax 20 mg/10 mg</w:t>
      </w:r>
    </w:p>
    <w:p w:rsidR="00ED513A" w:rsidRPr="00F2179E" w:rsidRDefault="00984857" w:rsidP="00984857">
      <w:pPr>
        <w:widowControl w:val="0"/>
        <w:tabs>
          <w:tab w:val="left" w:pos="567"/>
        </w:tabs>
        <w:rPr>
          <w:noProof/>
          <w:sz w:val="22"/>
          <w:szCs w:val="22"/>
          <w:lang w:eastAsia="en-US"/>
        </w:rPr>
      </w:pPr>
      <w:r w:rsidRPr="00F2179E">
        <w:rPr>
          <w:noProof/>
          <w:sz w:val="22"/>
          <w:szCs w:val="22"/>
          <w:lang w:eastAsia="en-US"/>
        </w:rPr>
        <w:t>Adolax 40 mg/20 mg</w:t>
      </w:r>
    </w:p>
    <w:p w:rsidR="00984857" w:rsidRPr="00F2179E" w:rsidRDefault="00ED513A" w:rsidP="00984857">
      <w:pPr>
        <w:widowControl w:val="0"/>
        <w:tabs>
          <w:tab w:val="left" w:pos="567"/>
        </w:tabs>
        <w:rPr>
          <w:b/>
          <w:sz w:val="22"/>
          <w:szCs w:val="22"/>
          <w:lang w:eastAsia="en-US"/>
        </w:rPr>
      </w:pPr>
      <w:r w:rsidRPr="00F2179E">
        <w:rPr>
          <w:noProof/>
          <w:sz w:val="22"/>
          <w:szCs w:val="22"/>
          <w:lang w:eastAsia="en-US"/>
        </w:rPr>
        <w:t>tablety s predĺženým uvoľňovaním</w:t>
      </w:r>
    </w:p>
    <w:p w:rsidR="00984857" w:rsidRPr="00F2179E" w:rsidRDefault="00984857" w:rsidP="00984857">
      <w:pPr>
        <w:widowControl w:val="0"/>
        <w:tabs>
          <w:tab w:val="left" w:pos="567"/>
        </w:tabs>
        <w:rPr>
          <w:b/>
          <w:sz w:val="22"/>
          <w:szCs w:val="22"/>
          <w:lang w:eastAsia="en-US"/>
        </w:rPr>
      </w:pPr>
    </w:p>
    <w:p w:rsidR="00A329F3" w:rsidRPr="00F2179E" w:rsidRDefault="00A329F3" w:rsidP="00984857">
      <w:pPr>
        <w:widowControl w:val="0"/>
        <w:tabs>
          <w:tab w:val="left" w:pos="567"/>
        </w:tabs>
        <w:rPr>
          <w:b/>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2.</w:t>
      </w:r>
      <w:r w:rsidRPr="00F2179E">
        <w:rPr>
          <w:b/>
          <w:sz w:val="22"/>
          <w:szCs w:val="22"/>
          <w:lang w:eastAsia="en-US"/>
        </w:rPr>
        <w:tab/>
        <w:t>KVALITATÍVNE A KVANTITATÍVNE ZLOŽENIE</w:t>
      </w:r>
    </w:p>
    <w:p w:rsidR="00984857" w:rsidRPr="00F2179E" w:rsidRDefault="00984857" w:rsidP="00984857">
      <w:pPr>
        <w:tabs>
          <w:tab w:val="left" w:pos="567"/>
        </w:tabs>
        <w:rPr>
          <w:color w:val="000000"/>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10 mg/5 mg tablety s predĺženým uvoľňovaním:</w:t>
      </w:r>
    </w:p>
    <w:p w:rsidR="00984857" w:rsidRPr="00F2179E" w:rsidRDefault="00984857" w:rsidP="00984857">
      <w:pPr>
        <w:widowControl w:val="0"/>
        <w:autoSpaceDE w:val="0"/>
        <w:autoSpaceDN w:val="0"/>
        <w:adjustRightInd w:val="0"/>
        <w:rPr>
          <w:color w:val="000000"/>
          <w:sz w:val="22"/>
          <w:szCs w:val="22"/>
          <w:lang w:eastAsia="en-US"/>
        </w:rPr>
      </w:pPr>
      <w:r w:rsidRPr="00F2179E">
        <w:rPr>
          <w:color w:val="000000"/>
          <w:sz w:val="22"/>
          <w:szCs w:val="22"/>
          <w:lang w:eastAsia="en-US"/>
        </w:rPr>
        <w:t>Každá tableta s predĺženým uvoľňovaním obsahuje 10 mg oxykodóniumchlorid</w:t>
      </w:r>
      <w:r w:rsidR="000E2D6E" w:rsidRPr="00F2179E">
        <w:rPr>
          <w:color w:val="000000"/>
          <w:sz w:val="22"/>
          <w:szCs w:val="22"/>
          <w:lang w:eastAsia="en-US"/>
        </w:rPr>
        <w:t>u</w:t>
      </w:r>
      <w:r w:rsidRPr="00F2179E">
        <w:rPr>
          <w:color w:val="000000"/>
          <w:sz w:val="22"/>
          <w:szCs w:val="22"/>
          <w:lang w:eastAsia="en-US"/>
        </w:rPr>
        <w:t>, čo zodpovedá 9 mg oxykodónu a 5 mg naloxóniumchloridu vo forme 5,45 mg dihydrátu naloxóniumchloridu, čo zodpovedá 4,5 mg naloxónu.</w:t>
      </w:r>
    </w:p>
    <w:p w:rsidR="00984857" w:rsidRPr="00F2179E" w:rsidRDefault="00984857" w:rsidP="00984857">
      <w:pPr>
        <w:widowControl w:val="0"/>
        <w:autoSpaceDE w:val="0"/>
        <w:autoSpaceDN w:val="0"/>
        <w:adjustRightInd w:val="0"/>
        <w:jc w:val="both"/>
        <w:rPr>
          <w:color w:val="000000"/>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20 mg/10 mg tablety s predĺženým uvoľňovaním:</w:t>
      </w:r>
    </w:p>
    <w:p w:rsidR="00984857" w:rsidRPr="00F2179E" w:rsidRDefault="00984857" w:rsidP="00984857">
      <w:pPr>
        <w:widowControl w:val="0"/>
        <w:autoSpaceDE w:val="0"/>
        <w:autoSpaceDN w:val="0"/>
        <w:adjustRightInd w:val="0"/>
        <w:rPr>
          <w:color w:val="000000"/>
          <w:sz w:val="22"/>
          <w:szCs w:val="22"/>
          <w:lang w:eastAsia="en-US"/>
        </w:rPr>
      </w:pPr>
      <w:r w:rsidRPr="00F2179E">
        <w:rPr>
          <w:color w:val="000000"/>
          <w:sz w:val="22"/>
          <w:szCs w:val="22"/>
          <w:lang w:eastAsia="en-US"/>
        </w:rPr>
        <w:t>Každá tableta s predĺženým uvoľňovaním obsahuje 20 mg oxykodóniumchlorid</w:t>
      </w:r>
      <w:r w:rsidR="000E2D6E" w:rsidRPr="00F2179E">
        <w:rPr>
          <w:color w:val="000000"/>
          <w:sz w:val="22"/>
          <w:szCs w:val="22"/>
          <w:lang w:eastAsia="en-US"/>
        </w:rPr>
        <w:t>u</w:t>
      </w:r>
      <w:r w:rsidRPr="00F2179E">
        <w:rPr>
          <w:color w:val="000000"/>
          <w:sz w:val="22"/>
          <w:szCs w:val="22"/>
          <w:lang w:eastAsia="en-US"/>
        </w:rPr>
        <w:t>, čo zodpovedá 18 mg oxykodónu a 10 mg naloxóniumchloridu vo forme 10,9 mg dihydrátu naloxóniumchloridu, čo zodpovedá 9 mg naloxónu.</w:t>
      </w:r>
    </w:p>
    <w:p w:rsidR="00984857" w:rsidRPr="00F2179E" w:rsidRDefault="00984857" w:rsidP="00984857">
      <w:pPr>
        <w:widowControl w:val="0"/>
        <w:autoSpaceDE w:val="0"/>
        <w:autoSpaceDN w:val="0"/>
        <w:adjustRightInd w:val="0"/>
        <w:jc w:val="both"/>
        <w:rPr>
          <w:color w:val="000000"/>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40 mg/20 mg tablety s predĺženým uvoľňovaním:</w:t>
      </w:r>
    </w:p>
    <w:p w:rsidR="00984857" w:rsidRPr="00F2179E" w:rsidRDefault="00984857" w:rsidP="00984857">
      <w:pPr>
        <w:widowControl w:val="0"/>
        <w:autoSpaceDE w:val="0"/>
        <w:autoSpaceDN w:val="0"/>
        <w:adjustRightInd w:val="0"/>
        <w:rPr>
          <w:color w:val="000000"/>
          <w:sz w:val="22"/>
          <w:szCs w:val="22"/>
          <w:lang w:eastAsia="en-US"/>
        </w:rPr>
      </w:pPr>
      <w:r w:rsidRPr="00F2179E">
        <w:rPr>
          <w:color w:val="000000"/>
          <w:sz w:val="22"/>
          <w:szCs w:val="22"/>
          <w:lang w:eastAsia="en-US"/>
        </w:rPr>
        <w:t>Každá tableta s predĺženým uvoľňovaním obsahuje 40 mg oxykodóniumchlorid</w:t>
      </w:r>
      <w:r w:rsidR="000E2D6E" w:rsidRPr="00F2179E">
        <w:rPr>
          <w:color w:val="000000"/>
          <w:sz w:val="22"/>
          <w:szCs w:val="22"/>
          <w:lang w:eastAsia="en-US"/>
        </w:rPr>
        <w:t>u</w:t>
      </w:r>
      <w:r w:rsidRPr="00F2179E">
        <w:rPr>
          <w:color w:val="000000"/>
          <w:sz w:val="22"/>
          <w:szCs w:val="22"/>
          <w:lang w:eastAsia="en-US"/>
        </w:rPr>
        <w:t>, čo zodpovedá 36 mg oxykodónu a 20 mg naloxóniumchloridu vo forme 21,8 mg dihydrátu naloxóniumchloridu, čo zodpovedá 18 mg naloxónu.</w:t>
      </w:r>
    </w:p>
    <w:p w:rsidR="00984857" w:rsidRPr="00F2179E" w:rsidRDefault="00984857" w:rsidP="00984857">
      <w:pPr>
        <w:widowControl w:val="0"/>
        <w:tabs>
          <w:tab w:val="left" w:pos="1522"/>
        </w:tabs>
        <w:autoSpaceDE w:val="0"/>
        <w:autoSpaceDN w:val="0"/>
        <w:adjustRightInd w:val="0"/>
        <w:jc w:val="both"/>
        <w:rPr>
          <w:color w:val="000000"/>
          <w:sz w:val="22"/>
          <w:szCs w:val="22"/>
          <w:lang w:eastAsia="en-US"/>
        </w:rPr>
      </w:pPr>
      <w:r w:rsidRPr="00F2179E">
        <w:rPr>
          <w:color w:val="000000"/>
          <w:sz w:val="22"/>
          <w:szCs w:val="22"/>
          <w:lang w:eastAsia="en-US"/>
        </w:rPr>
        <w:tab/>
      </w:r>
    </w:p>
    <w:p w:rsidR="00984857" w:rsidRPr="00F2179E" w:rsidRDefault="00984857" w:rsidP="00984857">
      <w:pPr>
        <w:widowControl w:val="0"/>
        <w:autoSpaceDE w:val="0"/>
        <w:autoSpaceDN w:val="0"/>
        <w:adjustRightInd w:val="0"/>
        <w:jc w:val="both"/>
        <w:rPr>
          <w:color w:val="000000"/>
          <w:sz w:val="22"/>
          <w:szCs w:val="22"/>
          <w:lang w:eastAsia="en-US"/>
        </w:rPr>
      </w:pPr>
      <w:r w:rsidRPr="00F2179E">
        <w:rPr>
          <w:bCs/>
          <w:noProof/>
          <w:sz w:val="22"/>
          <w:szCs w:val="22"/>
          <w:u w:val="single"/>
          <w:lang w:eastAsia="en-US"/>
        </w:rPr>
        <w:t>Pomocná látka so známym účinkom:</w:t>
      </w:r>
      <w:r w:rsidRPr="00F2179E">
        <w:rPr>
          <w:bCs/>
          <w:noProof/>
          <w:sz w:val="22"/>
          <w:szCs w:val="22"/>
          <w:lang w:eastAsia="en-US"/>
        </w:rPr>
        <w:t xml:space="preserve"> </w:t>
      </w:r>
      <w:r w:rsidRPr="00F2179E">
        <w:rPr>
          <w:color w:val="000000"/>
          <w:sz w:val="22"/>
          <w:szCs w:val="22"/>
          <w:lang w:eastAsia="en-US"/>
        </w:rPr>
        <w:t>monohydrát laktózy</w:t>
      </w:r>
    </w:p>
    <w:p w:rsidR="00984857" w:rsidRPr="00F2179E" w:rsidRDefault="00984857" w:rsidP="00984857">
      <w:pPr>
        <w:widowControl w:val="0"/>
        <w:autoSpaceDE w:val="0"/>
        <w:autoSpaceDN w:val="0"/>
        <w:adjustRightInd w:val="0"/>
        <w:rPr>
          <w:bCs/>
          <w:noProof/>
          <w:color w:val="000000"/>
          <w:sz w:val="22"/>
          <w:szCs w:val="22"/>
          <w:lang w:eastAsia="en-US"/>
        </w:rPr>
      </w:pPr>
      <w:r w:rsidRPr="00F2179E">
        <w:rPr>
          <w:color w:val="000000"/>
          <w:sz w:val="22"/>
          <w:szCs w:val="22"/>
          <w:lang w:eastAsia="en-US"/>
        </w:rPr>
        <w:t xml:space="preserve">Každá 10 mg/5 mg tableta s predĺženým uvoľňovaním obsahuje </w:t>
      </w:r>
      <w:r w:rsidRPr="00F2179E">
        <w:rPr>
          <w:color w:val="000000"/>
          <w:sz w:val="22"/>
          <w:szCs w:val="22"/>
        </w:rPr>
        <w:t>66,45 mg laktózy (ako monohydrát).</w:t>
      </w:r>
    </w:p>
    <w:p w:rsidR="00984857" w:rsidRPr="00F2179E" w:rsidRDefault="00984857" w:rsidP="00984857">
      <w:pPr>
        <w:widowControl w:val="0"/>
        <w:autoSpaceDE w:val="0"/>
        <w:autoSpaceDN w:val="0"/>
        <w:adjustRightInd w:val="0"/>
        <w:rPr>
          <w:bCs/>
          <w:noProof/>
          <w:color w:val="000000"/>
          <w:sz w:val="22"/>
          <w:szCs w:val="22"/>
          <w:lang w:eastAsia="en-US"/>
        </w:rPr>
      </w:pPr>
      <w:r w:rsidRPr="00F2179E">
        <w:rPr>
          <w:color w:val="000000"/>
          <w:sz w:val="22"/>
          <w:szCs w:val="22"/>
          <w:lang w:eastAsia="en-US"/>
        </w:rPr>
        <w:t>Každá 20 mg/10 mg tableta s predĺženým uvoľňovaním obsahuje 51,78 mg laktózy (ako monohydrát).</w:t>
      </w:r>
    </w:p>
    <w:p w:rsidR="00984857" w:rsidRPr="00F2179E" w:rsidRDefault="00984857" w:rsidP="00984857">
      <w:pPr>
        <w:widowControl w:val="0"/>
        <w:autoSpaceDE w:val="0"/>
        <w:autoSpaceDN w:val="0"/>
        <w:adjustRightInd w:val="0"/>
        <w:rPr>
          <w:bCs/>
          <w:noProof/>
          <w:color w:val="000000"/>
          <w:sz w:val="22"/>
          <w:szCs w:val="22"/>
          <w:lang w:eastAsia="en-US"/>
        </w:rPr>
      </w:pPr>
      <w:r w:rsidRPr="00F2179E">
        <w:rPr>
          <w:color w:val="000000"/>
          <w:sz w:val="22"/>
          <w:szCs w:val="22"/>
          <w:lang w:eastAsia="en-US"/>
        </w:rPr>
        <w:t>Každá 40 mg/20 mg tableta s predĺženým uvoľňovaním obsahuje 103,55 mg laktózy (ako monohydrát).</w:t>
      </w:r>
    </w:p>
    <w:p w:rsidR="00984857" w:rsidRPr="00F2179E" w:rsidRDefault="00984857" w:rsidP="00984857">
      <w:pPr>
        <w:widowControl w:val="0"/>
        <w:autoSpaceDE w:val="0"/>
        <w:autoSpaceDN w:val="0"/>
        <w:adjustRightInd w:val="0"/>
        <w:jc w:val="both"/>
        <w:rPr>
          <w:bCs/>
          <w:noProof/>
          <w:sz w:val="22"/>
          <w:szCs w:val="22"/>
          <w:lang w:eastAsia="en-US"/>
        </w:rPr>
      </w:pPr>
    </w:p>
    <w:p w:rsidR="00984857" w:rsidRPr="00F2179E" w:rsidRDefault="00984857" w:rsidP="00984857">
      <w:pPr>
        <w:widowControl w:val="0"/>
        <w:autoSpaceDE w:val="0"/>
        <w:autoSpaceDN w:val="0"/>
        <w:adjustRightInd w:val="0"/>
        <w:jc w:val="both"/>
        <w:rPr>
          <w:noProof/>
          <w:sz w:val="22"/>
          <w:szCs w:val="22"/>
          <w:lang w:eastAsia="en-US"/>
        </w:rPr>
      </w:pPr>
      <w:r w:rsidRPr="00F2179E">
        <w:rPr>
          <w:noProof/>
          <w:sz w:val="22"/>
          <w:szCs w:val="22"/>
          <w:lang w:eastAsia="en-US"/>
        </w:rPr>
        <w:t>Úplný zoznam pomocných látok, pozri časť 6.1.</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b/>
          <w:caps/>
          <w:sz w:val="22"/>
          <w:szCs w:val="22"/>
          <w:lang w:eastAsia="en-US"/>
        </w:rPr>
      </w:pPr>
      <w:r w:rsidRPr="00F2179E">
        <w:rPr>
          <w:b/>
          <w:sz w:val="22"/>
          <w:szCs w:val="22"/>
          <w:lang w:eastAsia="en-US"/>
        </w:rPr>
        <w:t>3.</w:t>
      </w:r>
      <w:r w:rsidRPr="00F2179E">
        <w:rPr>
          <w:b/>
          <w:sz w:val="22"/>
          <w:szCs w:val="22"/>
          <w:lang w:eastAsia="en-US"/>
        </w:rPr>
        <w:tab/>
        <w:t>LIEKOVÁ FORMA</w:t>
      </w:r>
    </w:p>
    <w:p w:rsidR="00984857" w:rsidRPr="00F2179E" w:rsidRDefault="00984857" w:rsidP="00984857">
      <w:pPr>
        <w:widowControl w:val="0"/>
        <w:tabs>
          <w:tab w:val="left" w:pos="567"/>
        </w:tabs>
        <w:rPr>
          <w:b/>
          <w:caps/>
          <w:sz w:val="22"/>
          <w:szCs w:val="22"/>
          <w:lang w:eastAsia="en-US"/>
        </w:rPr>
      </w:pPr>
    </w:p>
    <w:p w:rsidR="00984857" w:rsidRPr="00F2179E" w:rsidRDefault="00984857" w:rsidP="00984857">
      <w:pPr>
        <w:widowControl w:val="0"/>
        <w:tabs>
          <w:tab w:val="left" w:pos="567"/>
        </w:tabs>
        <w:rPr>
          <w:color w:val="000000"/>
          <w:sz w:val="22"/>
          <w:szCs w:val="22"/>
          <w:lang w:eastAsia="en-US"/>
        </w:rPr>
      </w:pPr>
      <w:r w:rsidRPr="00F2179E">
        <w:rPr>
          <w:color w:val="000000"/>
          <w:sz w:val="22"/>
          <w:szCs w:val="22"/>
          <w:lang w:eastAsia="en-US"/>
        </w:rPr>
        <w:t>Tableta s predĺženým uvoľňovaním</w:t>
      </w:r>
    </w:p>
    <w:p w:rsidR="00984857" w:rsidRPr="00F2179E" w:rsidRDefault="00984857" w:rsidP="00984857">
      <w:pPr>
        <w:widowControl w:val="0"/>
        <w:tabs>
          <w:tab w:val="left" w:pos="567"/>
        </w:tabs>
        <w:rPr>
          <w:b/>
          <w:caps/>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10 mg/5 mg tablety s predĺženým uvoľňovaním:</w:t>
      </w:r>
    </w:p>
    <w:p w:rsidR="00984857" w:rsidRPr="00F2179E" w:rsidRDefault="00984857" w:rsidP="00984857">
      <w:pPr>
        <w:widowControl w:val="0"/>
        <w:autoSpaceDE w:val="0"/>
        <w:autoSpaceDN w:val="0"/>
        <w:adjustRightInd w:val="0"/>
        <w:jc w:val="both"/>
        <w:rPr>
          <w:color w:val="000000"/>
          <w:sz w:val="22"/>
          <w:szCs w:val="22"/>
          <w:lang w:eastAsia="en-US"/>
        </w:rPr>
      </w:pPr>
      <w:r w:rsidRPr="00F2179E">
        <w:rPr>
          <w:color w:val="000000"/>
          <w:sz w:val="22"/>
          <w:szCs w:val="22"/>
          <w:lang w:eastAsia="en-US"/>
        </w:rPr>
        <w:t>Biele</w:t>
      </w:r>
      <w:r w:rsidR="000E2D6E" w:rsidRPr="00F2179E">
        <w:rPr>
          <w:color w:val="000000"/>
          <w:sz w:val="22"/>
          <w:szCs w:val="22"/>
          <w:lang w:eastAsia="en-US"/>
        </w:rPr>
        <w:t>,</w:t>
      </w:r>
      <w:r w:rsidRPr="00F2179E">
        <w:rPr>
          <w:color w:val="000000"/>
          <w:sz w:val="22"/>
          <w:szCs w:val="22"/>
          <w:lang w:eastAsia="en-US"/>
        </w:rPr>
        <w:t xml:space="preserve"> oválne</w:t>
      </w:r>
      <w:r w:rsidR="000E2D6E" w:rsidRPr="00F2179E">
        <w:rPr>
          <w:color w:val="000000"/>
          <w:sz w:val="22"/>
          <w:szCs w:val="22"/>
          <w:lang w:eastAsia="en-US"/>
        </w:rPr>
        <w:t>,</w:t>
      </w:r>
      <w:r w:rsidRPr="00F2179E">
        <w:rPr>
          <w:color w:val="000000"/>
          <w:sz w:val="22"/>
          <w:szCs w:val="22"/>
          <w:lang w:eastAsia="en-US"/>
        </w:rPr>
        <w:t xml:space="preserve"> mierne bikonvexné</w:t>
      </w:r>
      <w:r w:rsidR="000E2D6E" w:rsidRPr="00F2179E">
        <w:rPr>
          <w:color w:val="000000"/>
          <w:sz w:val="22"/>
          <w:szCs w:val="22"/>
          <w:lang w:eastAsia="en-US"/>
        </w:rPr>
        <w:t>,</w:t>
      </w:r>
      <w:r w:rsidRPr="00F2179E">
        <w:rPr>
          <w:color w:val="000000"/>
          <w:sz w:val="22"/>
          <w:szCs w:val="22"/>
          <w:lang w:eastAsia="en-US"/>
        </w:rPr>
        <w:t xml:space="preserve"> filmom obalené tablety s predĺženým uvoľňovaním s vyrytým “10” na jednej strane tablety (rozmery: 9,5 mm x 4,5 mm).</w:t>
      </w:r>
    </w:p>
    <w:p w:rsidR="00984857" w:rsidRPr="00F2179E" w:rsidRDefault="00984857" w:rsidP="00984857">
      <w:pPr>
        <w:widowControl w:val="0"/>
        <w:autoSpaceDE w:val="0"/>
        <w:autoSpaceDN w:val="0"/>
        <w:adjustRightInd w:val="0"/>
        <w:jc w:val="both"/>
        <w:rPr>
          <w:color w:val="000000"/>
          <w:sz w:val="22"/>
          <w:szCs w:val="22"/>
          <w:u w:val="single"/>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20 mg/10 mg tablety s predĺženým uvoľňovaním:</w:t>
      </w:r>
    </w:p>
    <w:p w:rsidR="00984857" w:rsidRPr="00F2179E" w:rsidRDefault="00984857" w:rsidP="00984857">
      <w:pPr>
        <w:widowControl w:val="0"/>
        <w:autoSpaceDE w:val="0"/>
        <w:autoSpaceDN w:val="0"/>
        <w:adjustRightInd w:val="0"/>
        <w:jc w:val="both"/>
        <w:rPr>
          <w:color w:val="000000"/>
          <w:sz w:val="22"/>
          <w:szCs w:val="22"/>
          <w:lang w:eastAsia="en-US"/>
        </w:rPr>
      </w:pPr>
      <w:r w:rsidRPr="00F2179E">
        <w:rPr>
          <w:color w:val="000000"/>
          <w:sz w:val="22"/>
          <w:szCs w:val="22"/>
          <w:lang w:eastAsia="en-US"/>
        </w:rPr>
        <w:t>Svetloružové</w:t>
      </w:r>
      <w:r w:rsidR="000E2D6E" w:rsidRPr="00F2179E">
        <w:rPr>
          <w:color w:val="000000"/>
          <w:sz w:val="22"/>
          <w:szCs w:val="22"/>
          <w:lang w:eastAsia="en-US"/>
        </w:rPr>
        <w:t>,</w:t>
      </w:r>
      <w:r w:rsidRPr="00F2179E">
        <w:rPr>
          <w:color w:val="000000"/>
          <w:sz w:val="22"/>
          <w:szCs w:val="22"/>
          <w:lang w:eastAsia="en-US"/>
        </w:rPr>
        <w:t xml:space="preserve"> oválne</w:t>
      </w:r>
      <w:r w:rsidR="000E2D6E" w:rsidRPr="00F2179E">
        <w:rPr>
          <w:color w:val="000000"/>
          <w:sz w:val="22"/>
          <w:szCs w:val="22"/>
          <w:lang w:eastAsia="en-US"/>
        </w:rPr>
        <w:t>,</w:t>
      </w:r>
      <w:r w:rsidRPr="00F2179E">
        <w:rPr>
          <w:color w:val="000000"/>
          <w:sz w:val="22"/>
          <w:szCs w:val="22"/>
          <w:lang w:eastAsia="en-US"/>
        </w:rPr>
        <w:t xml:space="preserve"> mierne bikonvexné</w:t>
      </w:r>
      <w:r w:rsidR="000E2D6E" w:rsidRPr="00F2179E">
        <w:rPr>
          <w:color w:val="000000"/>
          <w:sz w:val="22"/>
          <w:szCs w:val="22"/>
          <w:lang w:eastAsia="en-US"/>
        </w:rPr>
        <w:t>,</w:t>
      </w:r>
      <w:r w:rsidRPr="00F2179E">
        <w:rPr>
          <w:color w:val="000000"/>
          <w:sz w:val="22"/>
          <w:szCs w:val="22"/>
          <w:lang w:eastAsia="en-US"/>
        </w:rPr>
        <w:t xml:space="preserve"> filmom obalené tablety s predĺženým uvoľňovaním s vyrytým “20” na jednej strane tablety (rozmery: 9,5 mm x 4,5 mm).</w:t>
      </w:r>
    </w:p>
    <w:p w:rsidR="00984857" w:rsidRPr="00F2179E" w:rsidRDefault="00984857" w:rsidP="00984857">
      <w:pPr>
        <w:widowControl w:val="0"/>
        <w:autoSpaceDE w:val="0"/>
        <w:autoSpaceDN w:val="0"/>
        <w:adjustRightInd w:val="0"/>
        <w:jc w:val="both"/>
        <w:rPr>
          <w:color w:val="000000"/>
          <w:sz w:val="22"/>
          <w:szCs w:val="22"/>
          <w:u w:val="single"/>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40 mg/20 mg tablety s predĺženým uvoľňovaním:</w:t>
      </w:r>
    </w:p>
    <w:p w:rsidR="00984857" w:rsidRPr="00F2179E" w:rsidRDefault="00984857" w:rsidP="00984857">
      <w:pPr>
        <w:rPr>
          <w:color w:val="000000"/>
          <w:sz w:val="22"/>
          <w:szCs w:val="22"/>
          <w:lang w:eastAsia="en-US"/>
        </w:rPr>
      </w:pPr>
      <w:r w:rsidRPr="00F2179E">
        <w:rPr>
          <w:color w:val="000000"/>
          <w:sz w:val="22"/>
          <w:szCs w:val="22"/>
          <w:lang w:eastAsia="en-US"/>
        </w:rPr>
        <w:t>Hnedastožlté</w:t>
      </w:r>
      <w:r w:rsidR="000E2D6E" w:rsidRPr="00F2179E">
        <w:rPr>
          <w:color w:val="000000"/>
          <w:sz w:val="22"/>
          <w:szCs w:val="22"/>
          <w:lang w:eastAsia="en-US"/>
        </w:rPr>
        <w:t>,</w:t>
      </w:r>
      <w:r w:rsidRPr="00F2179E">
        <w:rPr>
          <w:color w:val="000000"/>
          <w:sz w:val="22"/>
          <w:szCs w:val="22"/>
          <w:lang w:eastAsia="en-US"/>
        </w:rPr>
        <w:t xml:space="preserve"> mierne bikonvexné</w:t>
      </w:r>
      <w:r w:rsidR="000E2D6E" w:rsidRPr="00F2179E">
        <w:rPr>
          <w:color w:val="000000"/>
          <w:sz w:val="22"/>
          <w:szCs w:val="22"/>
          <w:lang w:eastAsia="en-US"/>
        </w:rPr>
        <w:t>,</w:t>
      </w:r>
      <w:r w:rsidRPr="00F2179E">
        <w:rPr>
          <w:color w:val="000000"/>
          <w:sz w:val="22"/>
          <w:szCs w:val="22"/>
          <w:lang w:eastAsia="en-US"/>
        </w:rPr>
        <w:t xml:space="preserve"> filmom obalené tablety s predĺženým uvoľňovaním </w:t>
      </w:r>
      <w:r w:rsidR="000E2D6E" w:rsidRPr="00F2179E">
        <w:rPr>
          <w:color w:val="000000"/>
          <w:sz w:val="22"/>
          <w:szCs w:val="22"/>
          <w:lang w:eastAsia="en-US"/>
        </w:rPr>
        <w:t xml:space="preserve">v tvare kapsuly </w:t>
      </w:r>
      <w:r w:rsidRPr="00F2179E">
        <w:rPr>
          <w:color w:val="000000"/>
          <w:sz w:val="22"/>
          <w:szCs w:val="22"/>
          <w:lang w:eastAsia="en-US"/>
        </w:rPr>
        <w:t>s vyrytým “40” na jednej strane tablety (rozmery: 14,0 mm x 6,0 mm).</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caps/>
          <w:sz w:val="22"/>
          <w:szCs w:val="22"/>
          <w:lang w:eastAsia="en-US"/>
        </w:rPr>
      </w:pPr>
      <w:r w:rsidRPr="00F2179E">
        <w:rPr>
          <w:b/>
          <w:caps/>
          <w:sz w:val="22"/>
          <w:szCs w:val="22"/>
          <w:lang w:eastAsia="en-US"/>
        </w:rPr>
        <w:t>4.</w:t>
      </w:r>
      <w:r w:rsidRPr="00F2179E">
        <w:rPr>
          <w:b/>
          <w:caps/>
          <w:sz w:val="22"/>
          <w:szCs w:val="22"/>
          <w:lang w:eastAsia="en-US"/>
        </w:rPr>
        <w:tab/>
        <w:t>KLINICKÉ ÚDAJE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4.1</w:t>
      </w:r>
      <w:r w:rsidRPr="00F2179E">
        <w:rPr>
          <w:b/>
          <w:sz w:val="22"/>
          <w:szCs w:val="22"/>
          <w:lang w:eastAsia="en-US"/>
        </w:rPr>
        <w:tab/>
        <w:t>Terapeutické indikácie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sz w:val="22"/>
          <w:szCs w:val="22"/>
          <w:lang w:eastAsia="en-US"/>
        </w:rPr>
        <w:t>Silná bolesť, ktorá sa dá primerane zvládnuť len pomocou opioidných analgetík.</w:t>
      </w:r>
    </w:p>
    <w:p w:rsidR="00984857" w:rsidRPr="00F2179E" w:rsidRDefault="00984857" w:rsidP="00984857">
      <w:pPr>
        <w:widowControl w:val="0"/>
        <w:tabs>
          <w:tab w:val="left" w:pos="567"/>
        </w:tabs>
        <w:rPr>
          <w:sz w:val="22"/>
          <w:szCs w:val="22"/>
          <w:lang w:eastAsia="en-US"/>
        </w:rPr>
      </w:pPr>
    </w:p>
    <w:p w:rsidR="00A103BF" w:rsidRPr="00F2179E" w:rsidRDefault="00F46D9B" w:rsidP="00984857">
      <w:pPr>
        <w:widowControl w:val="0"/>
        <w:tabs>
          <w:tab w:val="left" w:pos="567"/>
        </w:tabs>
        <w:rPr>
          <w:sz w:val="22"/>
          <w:szCs w:val="22"/>
          <w:lang w:eastAsia="en-US"/>
        </w:rPr>
      </w:pPr>
      <w:r w:rsidRPr="00F2179E">
        <w:rPr>
          <w:sz w:val="22"/>
          <w:szCs w:val="22"/>
          <w:lang w:eastAsia="en-US"/>
        </w:rPr>
        <w:t xml:space="preserve">Opioidný antagonista naloxón sa pridáva, aby pôsobil proti zápche spôsobenej opioidmi tým, že blokuje lokálne pôsobenie oxykodónu </w:t>
      </w:r>
      <w:r w:rsidR="005C54CB" w:rsidRPr="00F2179E">
        <w:rPr>
          <w:sz w:val="22"/>
          <w:szCs w:val="22"/>
          <w:lang w:eastAsia="en-US"/>
        </w:rPr>
        <w:t>na</w:t>
      </w:r>
      <w:r w:rsidRPr="00F2179E">
        <w:rPr>
          <w:sz w:val="22"/>
          <w:szCs w:val="22"/>
          <w:lang w:eastAsia="en-US"/>
        </w:rPr>
        <w:t xml:space="preserve"> opioidných receptoroch v črevách.</w:t>
      </w:r>
    </w:p>
    <w:p w:rsidR="00984857" w:rsidRPr="00F2179E" w:rsidRDefault="00984857" w:rsidP="00984857">
      <w:pPr>
        <w:widowControl w:val="0"/>
        <w:tabs>
          <w:tab w:val="left" w:pos="567"/>
        </w:tabs>
        <w:rPr>
          <w:sz w:val="22"/>
          <w:szCs w:val="22"/>
          <w:lang w:eastAsia="en-US"/>
        </w:rPr>
      </w:pPr>
      <w:r w:rsidRPr="00F2179E">
        <w:rPr>
          <w:sz w:val="22"/>
          <w:szCs w:val="22"/>
          <w:lang w:eastAsia="en-US"/>
        </w:rPr>
        <w:t>Adolax je indikovaný dospelý</w:t>
      </w:r>
      <w:r w:rsidR="000E2D6E" w:rsidRPr="00F2179E">
        <w:rPr>
          <w:sz w:val="22"/>
          <w:szCs w:val="22"/>
          <w:lang w:eastAsia="en-US"/>
        </w:rPr>
        <w:t>m</w:t>
      </w:r>
      <w:r w:rsidRPr="00F2179E">
        <w:rPr>
          <w:sz w:val="22"/>
          <w:szCs w:val="22"/>
          <w:lang w:eastAsia="en-US"/>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4.2</w:t>
      </w:r>
      <w:r w:rsidRPr="00F2179E">
        <w:rPr>
          <w:b/>
          <w:sz w:val="22"/>
          <w:szCs w:val="22"/>
          <w:lang w:eastAsia="en-US"/>
        </w:rPr>
        <w:tab/>
        <w:t>Dávkovanie a spôsob podávania</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rPr>
          <w:sz w:val="22"/>
          <w:szCs w:val="22"/>
          <w:u w:val="single"/>
          <w:lang w:eastAsia="en-US"/>
        </w:rPr>
      </w:pPr>
      <w:r w:rsidRPr="00F2179E">
        <w:rPr>
          <w:sz w:val="22"/>
          <w:szCs w:val="22"/>
          <w:u w:val="single"/>
          <w:lang w:eastAsia="en-US"/>
        </w:rPr>
        <w:t>Dávkovanie</w:t>
      </w:r>
    </w:p>
    <w:p w:rsidR="00984857" w:rsidRPr="00F2179E" w:rsidRDefault="00984857" w:rsidP="00984857">
      <w:pPr>
        <w:widowControl w:val="0"/>
        <w:rPr>
          <w:i/>
          <w:iCs/>
          <w:sz w:val="22"/>
          <w:szCs w:val="22"/>
          <w:lang w:eastAsia="en-US"/>
        </w:rPr>
      </w:pPr>
    </w:p>
    <w:p w:rsidR="00984857" w:rsidRPr="00F2179E" w:rsidRDefault="00984857" w:rsidP="00984857">
      <w:pPr>
        <w:widowControl w:val="0"/>
        <w:tabs>
          <w:tab w:val="left" w:pos="567"/>
        </w:tabs>
        <w:spacing w:line="260" w:lineRule="exact"/>
        <w:rPr>
          <w:iCs/>
          <w:sz w:val="22"/>
          <w:szCs w:val="22"/>
          <w:u w:val="single"/>
          <w:lang w:eastAsia="en-US"/>
        </w:rPr>
      </w:pPr>
      <w:r w:rsidRPr="00F2179E">
        <w:rPr>
          <w:iCs/>
          <w:sz w:val="22"/>
          <w:szCs w:val="22"/>
          <w:u w:val="single"/>
          <w:lang w:eastAsia="en-US"/>
        </w:rPr>
        <w:t>Analgézia</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rPr>
          <w:iCs/>
          <w:sz w:val="22"/>
          <w:szCs w:val="22"/>
          <w:lang w:eastAsia="en-US"/>
        </w:rPr>
      </w:pPr>
      <w:r w:rsidRPr="00F2179E">
        <w:rPr>
          <w:iCs/>
          <w:sz w:val="22"/>
          <w:szCs w:val="22"/>
          <w:lang w:eastAsia="en-US"/>
        </w:rPr>
        <w:t>Analgetický účinok Adolaxu zodpovedá účinku oxykodóniumchloridu v liekových formách s predĺženým uvoľňovaním.</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rPr>
          <w:spacing w:val="-3"/>
          <w:sz w:val="22"/>
          <w:szCs w:val="22"/>
        </w:rPr>
      </w:pPr>
      <w:r w:rsidRPr="00F2179E">
        <w:rPr>
          <w:spacing w:val="-3"/>
          <w:sz w:val="22"/>
          <w:szCs w:val="22"/>
        </w:rPr>
        <w:t xml:space="preserve">Dávkovanie sa má upraviť podľa intenzity bolesti a individuálnej citlivosti pacienta. Ak lekár neodporučí inak, Adolax sa má podávať nasledovne: </w:t>
      </w:r>
    </w:p>
    <w:p w:rsidR="00984857" w:rsidRPr="00F2179E" w:rsidRDefault="00984857" w:rsidP="00984857">
      <w:pPr>
        <w:widowControl w:val="0"/>
        <w:tabs>
          <w:tab w:val="left" w:pos="567"/>
        </w:tabs>
        <w:spacing w:line="260" w:lineRule="exact"/>
        <w:rPr>
          <w:iCs/>
          <w:sz w:val="22"/>
          <w:szCs w:val="22"/>
          <w:highlight w:val="yellow"/>
          <w:lang w:eastAsia="en-US"/>
        </w:rPr>
      </w:pPr>
    </w:p>
    <w:p w:rsidR="00984857" w:rsidRPr="00F2179E" w:rsidRDefault="00984857" w:rsidP="00984857">
      <w:pPr>
        <w:widowControl w:val="0"/>
        <w:tabs>
          <w:tab w:val="left" w:pos="567"/>
        </w:tabs>
        <w:spacing w:line="260" w:lineRule="exact"/>
        <w:rPr>
          <w:i/>
          <w:iCs/>
          <w:sz w:val="22"/>
          <w:szCs w:val="22"/>
          <w:highlight w:val="yellow"/>
          <w:u w:val="single"/>
          <w:lang w:eastAsia="en-US"/>
        </w:rPr>
      </w:pPr>
      <w:r w:rsidRPr="00F2179E">
        <w:rPr>
          <w:i/>
          <w:iCs/>
          <w:sz w:val="22"/>
          <w:szCs w:val="22"/>
          <w:u w:val="single"/>
          <w:lang w:eastAsia="en-US"/>
        </w:rPr>
        <w:t>Dospelí</w:t>
      </w:r>
    </w:p>
    <w:p w:rsidR="00984857" w:rsidRPr="00F2179E" w:rsidRDefault="00984857" w:rsidP="00984857">
      <w:pPr>
        <w:widowControl w:val="0"/>
        <w:tabs>
          <w:tab w:val="left" w:pos="567"/>
        </w:tabs>
        <w:spacing w:line="260" w:lineRule="exact"/>
        <w:rPr>
          <w:iCs/>
          <w:sz w:val="22"/>
          <w:szCs w:val="22"/>
          <w:highlight w:val="yellow"/>
          <w:lang w:eastAsia="en-US"/>
        </w:rPr>
      </w:pPr>
    </w:p>
    <w:p w:rsidR="00984857" w:rsidRPr="00F2179E" w:rsidRDefault="00984857" w:rsidP="00984857">
      <w:pPr>
        <w:rPr>
          <w:spacing w:val="-3"/>
          <w:sz w:val="22"/>
          <w:szCs w:val="22"/>
        </w:rPr>
      </w:pPr>
      <w:r w:rsidRPr="00F2179E">
        <w:rPr>
          <w:spacing w:val="-3"/>
          <w:sz w:val="22"/>
          <w:szCs w:val="22"/>
        </w:rPr>
        <w:t>Odporúčaná začiatočná dávka u pacientov, ktorí doposiaľ neužívali opioidy (opioid-naivní) je 10 mg/5 mg oxykodóniumchloridu/naloxóniumchloridu v 12-hodinových intervaloch.</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rPr>
          <w:spacing w:val="-3"/>
          <w:sz w:val="22"/>
          <w:szCs w:val="22"/>
        </w:rPr>
      </w:pPr>
      <w:r w:rsidRPr="00F2179E">
        <w:rPr>
          <w:bCs/>
          <w:iCs/>
          <w:sz w:val="22"/>
          <w:szCs w:val="22"/>
        </w:rPr>
        <w:t>Nižšie sily sú k dispozícii na uľahčenie titrácie dávky pri začatí liečby opioidmi a na úpravu individuálnej dávky.</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rPr>
          <w:spacing w:val="-3"/>
          <w:sz w:val="22"/>
          <w:szCs w:val="22"/>
        </w:rPr>
      </w:pPr>
      <w:r w:rsidRPr="00F2179E">
        <w:rPr>
          <w:spacing w:val="-3"/>
          <w:sz w:val="22"/>
          <w:szCs w:val="22"/>
        </w:rPr>
        <w:t>Pacienti, ktorí už dostávajú opioidy, môžu začať vyššími dávkami</w:t>
      </w:r>
      <w:r w:rsidR="00421C92" w:rsidRPr="00F2179E">
        <w:rPr>
          <w:spacing w:val="-3"/>
          <w:sz w:val="22"/>
          <w:szCs w:val="22"/>
        </w:rPr>
        <w:t xml:space="preserve"> Adolaxu</w:t>
      </w:r>
      <w:r w:rsidRPr="00F2179E">
        <w:rPr>
          <w:spacing w:val="-3"/>
          <w:sz w:val="22"/>
          <w:szCs w:val="22"/>
        </w:rPr>
        <w:t>, a to v závislosti od ich predchádzajúcich skúseností s opioidmi.</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tabs>
          <w:tab w:val="left" w:pos="426"/>
          <w:tab w:val="left" w:pos="5217"/>
        </w:tabs>
        <w:rPr>
          <w:spacing w:val="-3"/>
          <w:sz w:val="22"/>
          <w:szCs w:val="22"/>
        </w:rPr>
      </w:pPr>
      <w:r w:rsidRPr="00F2179E">
        <w:rPr>
          <w:sz w:val="22"/>
          <w:szCs w:val="22"/>
        </w:rPr>
        <w:t xml:space="preserve">Maximálna denná dávka Adolaxu je 160 mg </w:t>
      </w:r>
      <w:r w:rsidRPr="00F2179E">
        <w:rPr>
          <w:spacing w:val="-3"/>
          <w:sz w:val="22"/>
          <w:szCs w:val="22"/>
        </w:rPr>
        <w:t>oxykodóniumchloridu</w:t>
      </w:r>
      <w:r w:rsidRPr="00F2179E">
        <w:rPr>
          <w:sz w:val="22"/>
          <w:szCs w:val="22"/>
        </w:rPr>
        <w:t xml:space="preserve"> a 80 mg </w:t>
      </w:r>
      <w:r w:rsidRPr="00F2179E">
        <w:rPr>
          <w:spacing w:val="-3"/>
          <w:sz w:val="22"/>
          <w:szCs w:val="22"/>
        </w:rPr>
        <w:t>naloxóniumchloridu. Maximálna denná dávka je určená pacientom, ktorí boli predtým nastavení na stabilnú dennú dávku Adolaxu, alebo ktorí potrebovali dennú dávku zvýšiť. Osobitná pozornosť musí byť venovaná pacientom s poruchou funkcie obličiek a u pacientov s miernou poruchou funkcie pečene, v prípade, že je nutné zvýšenie dávky. U pacientov vyžadujúcich vyššie dávky Adolaxu je potrebné zvážiť podávanie dodatočného oxykodóniumchloridu s predĺženým uvoľňovaním v rovnakých časových intervaloch, pričom je nutné vziať do úvahy maximálnu dennú dávku 400 mg oxykodóniumchloridu s predĺženým uvoľňovaním. V prípade doplňujúceho dávkovania oxykodóniumchloridu</w:t>
      </w:r>
      <w:r w:rsidRPr="00F2179E">
        <w:rPr>
          <w:color w:val="FF0000"/>
          <w:spacing w:val="-3"/>
          <w:sz w:val="22"/>
          <w:szCs w:val="22"/>
        </w:rPr>
        <w:t xml:space="preserve"> </w:t>
      </w:r>
      <w:r w:rsidRPr="00F2179E">
        <w:rPr>
          <w:spacing w:val="-3"/>
          <w:sz w:val="22"/>
          <w:szCs w:val="22"/>
        </w:rPr>
        <w:t>môže dôjsť k narušeniu prospešného účinku naloxóniumchloridu na funkciu čriev.</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widowControl w:val="0"/>
        <w:tabs>
          <w:tab w:val="left" w:pos="567"/>
        </w:tabs>
        <w:spacing w:line="260" w:lineRule="exact"/>
        <w:rPr>
          <w:iCs/>
          <w:sz w:val="22"/>
          <w:szCs w:val="22"/>
          <w:lang w:eastAsia="en-US"/>
        </w:rPr>
      </w:pPr>
      <w:r w:rsidRPr="00F2179E">
        <w:rPr>
          <w:spacing w:val="-3"/>
          <w:sz w:val="22"/>
          <w:szCs w:val="22"/>
        </w:rPr>
        <w:t>Úplné ukončenie liečby Adolaxom a následná zmena liečby na iný opioid môže spôsobiť zhoršenie funkcie čriev.</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tabs>
          <w:tab w:val="left" w:pos="426"/>
          <w:tab w:val="left" w:pos="5217"/>
        </w:tabs>
        <w:rPr>
          <w:spacing w:val="-3"/>
          <w:sz w:val="22"/>
          <w:szCs w:val="22"/>
        </w:rPr>
      </w:pPr>
      <w:r w:rsidRPr="00F2179E">
        <w:rPr>
          <w:spacing w:val="-3"/>
          <w:sz w:val="22"/>
          <w:szCs w:val="22"/>
        </w:rPr>
        <w:t xml:space="preserve">Niektorí pacienti, ktorí užívajú Adolax podľa pravidelného časového rozvrhu, vyžadujú analgetiká s okamžitým uvoľňovaním ako „záchrannú liečbu“ pri prelomovej bolesti. Adolax je liek s predĺženým uvoľňovaním, preto nie je určený na liečbu prelomovej bolesti. Pri liečbe prelomovej bolesti sa jedna dávka „záchrannej liečby“ má rovnať približne jednej šestine ekvivalentnej dennej dávky oxykodóniumchloridu. Potreba viac ako dvoch dávok pomocnej medikácie denne je obvykle signálom, že je potrebné zvýšiť dávkovanie Adolaxu. Toto zvýšenie sa má robiť postupne, každý deň alebo každý druhý deň, dvakrát denne. Cieľom je stanoviť špecifickú dávku podávanú pacientovi 2-krát denne so zachovaným adekvátnym analgetickým účinkom počas celej doby liečby a minimálnou potrebou “záchrannej liečby“. </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tabs>
          <w:tab w:val="left" w:pos="426"/>
          <w:tab w:val="left" w:pos="5217"/>
        </w:tabs>
        <w:rPr>
          <w:spacing w:val="-3"/>
          <w:sz w:val="22"/>
          <w:szCs w:val="22"/>
        </w:rPr>
      </w:pPr>
      <w:r w:rsidRPr="00F2179E">
        <w:rPr>
          <w:spacing w:val="-3"/>
          <w:sz w:val="22"/>
          <w:szCs w:val="22"/>
        </w:rPr>
        <w:t>Adolax sa užíva v stanovenej dávke dvakrát denne podľa pevne určeného časového režimu. Väčšine pacientov vyhovuje symetrické podávanie lieku (v rovnakých dávkach ráno a večer) podľa pevného časového režimu (každých 12 hodín), u niektorých pacientov môže byť v závislosti od individuálnej bolesti vhodné asymetrické dávkovanie prispôsobené ich modelu bolesti. Všeobecne platí, že sa má zvoliť najnižšia účinná analgetická dávka.</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widowControl w:val="0"/>
        <w:tabs>
          <w:tab w:val="left" w:pos="567"/>
        </w:tabs>
        <w:spacing w:line="260" w:lineRule="exact"/>
        <w:rPr>
          <w:iCs/>
          <w:sz w:val="22"/>
          <w:szCs w:val="22"/>
          <w:lang w:eastAsia="en-US"/>
        </w:rPr>
      </w:pPr>
      <w:r w:rsidRPr="00F2179E">
        <w:rPr>
          <w:sz w:val="22"/>
          <w:szCs w:val="22"/>
        </w:rPr>
        <w:t>Pri liečbe bolesti nenádorového pôvodu obvykle postačia dávky do 40 mg oxykodóniumchloridu a 20 mg naloxóniumchloridu, ale môžu byť potrebné aj vyššie dávky</w:t>
      </w:r>
      <w:r w:rsidR="00421C92" w:rsidRPr="00F2179E">
        <w:rPr>
          <w:sz w:val="22"/>
          <w:szCs w:val="22"/>
        </w:rPr>
        <w:t>.</w:t>
      </w:r>
    </w:p>
    <w:p w:rsidR="00984857" w:rsidRPr="00F2179E" w:rsidRDefault="00984857" w:rsidP="00984857">
      <w:pPr>
        <w:widowControl w:val="0"/>
        <w:tabs>
          <w:tab w:val="left" w:pos="567"/>
        </w:tabs>
        <w:spacing w:line="260" w:lineRule="exact"/>
        <w:rPr>
          <w:iCs/>
          <w:sz w:val="22"/>
          <w:szCs w:val="22"/>
          <w:lang w:eastAsia="en-US"/>
        </w:rPr>
      </w:pPr>
    </w:p>
    <w:p w:rsidR="00984857" w:rsidRPr="00F2179E" w:rsidRDefault="00984857" w:rsidP="00984857">
      <w:pPr>
        <w:tabs>
          <w:tab w:val="left" w:pos="426"/>
          <w:tab w:val="left" w:pos="5217"/>
        </w:tabs>
        <w:suppressAutoHyphens/>
        <w:rPr>
          <w:bCs/>
          <w:iCs/>
          <w:sz w:val="22"/>
          <w:szCs w:val="22"/>
        </w:rPr>
      </w:pPr>
      <w:r w:rsidRPr="00F2179E">
        <w:rPr>
          <w:spacing w:val="-3"/>
          <w:sz w:val="22"/>
          <w:szCs w:val="22"/>
        </w:rPr>
        <w:t xml:space="preserve">Pre dávky nerealizovateľné týmito silami sú k dispozícii iné sily </w:t>
      </w:r>
      <w:r w:rsidR="00421C92" w:rsidRPr="00F2179E">
        <w:rPr>
          <w:spacing w:val="-3"/>
          <w:sz w:val="22"/>
          <w:szCs w:val="22"/>
        </w:rPr>
        <w:t xml:space="preserve">tohto </w:t>
      </w:r>
      <w:r w:rsidRPr="00F2179E">
        <w:rPr>
          <w:spacing w:val="-3"/>
          <w:sz w:val="22"/>
          <w:szCs w:val="22"/>
        </w:rPr>
        <w:t>lieku.</w:t>
      </w:r>
    </w:p>
    <w:p w:rsidR="00984857" w:rsidRPr="00F2179E" w:rsidRDefault="00984857" w:rsidP="00984857">
      <w:pPr>
        <w:widowControl w:val="0"/>
        <w:rPr>
          <w:iCs/>
          <w:sz w:val="22"/>
          <w:szCs w:val="22"/>
          <w:u w:val="single"/>
          <w:lang w:eastAsia="en-US"/>
        </w:rPr>
      </w:pPr>
    </w:p>
    <w:p w:rsidR="00984857" w:rsidRPr="00F2179E" w:rsidRDefault="00984857" w:rsidP="00984857">
      <w:pPr>
        <w:widowControl w:val="0"/>
        <w:rPr>
          <w:iCs/>
          <w:sz w:val="22"/>
          <w:szCs w:val="22"/>
          <w:u w:val="single"/>
          <w:lang w:eastAsia="en-US"/>
        </w:rPr>
      </w:pPr>
      <w:r w:rsidRPr="00F2179E">
        <w:rPr>
          <w:iCs/>
          <w:sz w:val="22"/>
          <w:szCs w:val="22"/>
          <w:u w:val="single"/>
          <w:lang w:eastAsia="en-US"/>
        </w:rPr>
        <w:t>Doba používania</w:t>
      </w:r>
    </w:p>
    <w:p w:rsidR="00984857" w:rsidRPr="00F2179E" w:rsidRDefault="00984857" w:rsidP="00984857">
      <w:pPr>
        <w:widowControl w:val="0"/>
        <w:rPr>
          <w:iCs/>
          <w:sz w:val="22"/>
          <w:szCs w:val="22"/>
          <w:lang w:eastAsia="en-US"/>
        </w:rPr>
      </w:pPr>
    </w:p>
    <w:p w:rsidR="00984857" w:rsidRPr="00F2179E" w:rsidRDefault="00984857" w:rsidP="00984857">
      <w:pPr>
        <w:widowControl w:val="0"/>
        <w:rPr>
          <w:sz w:val="22"/>
          <w:szCs w:val="22"/>
        </w:rPr>
      </w:pPr>
      <w:r w:rsidRPr="00F2179E">
        <w:rPr>
          <w:sz w:val="22"/>
          <w:szCs w:val="22"/>
        </w:rPr>
        <w:t xml:space="preserve">Adolax sa nesmie podávať dlhšie, ako je absolútne nevyhnutné. Ak je s ohľadom na povahu a závažnosť ochorenia potrebná dlhodobá liečba, je nutné dôsledné a pravidelné sledovanie, do akej miery je nevyhnutná ďalšia liečba. </w:t>
      </w:r>
    </w:p>
    <w:p w:rsidR="00984857" w:rsidRPr="00F2179E" w:rsidRDefault="00984857" w:rsidP="00984857">
      <w:pPr>
        <w:widowControl w:val="0"/>
        <w:rPr>
          <w:iCs/>
          <w:sz w:val="22"/>
          <w:szCs w:val="22"/>
          <w:lang w:eastAsia="en-US"/>
        </w:rPr>
      </w:pPr>
    </w:p>
    <w:p w:rsidR="00984857" w:rsidRPr="00F2179E" w:rsidRDefault="00984857" w:rsidP="00984857">
      <w:pPr>
        <w:widowControl w:val="0"/>
        <w:rPr>
          <w:sz w:val="22"/>
          <w:szCs w:val="22"/>
        </w:rPr>
      </w:pPr>
      <w:r w:rsidRPr="00F2179E">
        <w:rPr>
          <w:sz w:val="22"/>
          <w:szCs w:val="22"/>
        </w:rPr>
        <w:t>Ak už pacient  nepotrebuje ďalšiu liečbu opioidmi, odporúča sa dávku znižovať postupne (pozri časť 4.4).</w:t>
      </w:r>
    </w:p>
    <w:p w:rsidR="00984857" w:rsidRPr="00F2179E" w:rsidRDefault="00984857" w:rsidP="00984857">
      <w:pPr>
        <w:widowControl w:val="0"/>
        <w:rPr>
          <w:iCs/>
          <w:sz w:val="22"/>
          <w:szCs w:val="22"/>
          <w:lang w:eastAsia="en-US"/>
        </w:rPr>
      </w:pPr>
    </w:p>
    <w:p w:rsidR="00984857" w:rsidRPr="00F2179E" w:rsidRDefault="00984857" w:rsidP="00984857">
      <w:pPr>
        <w:widowControl w:val="0"/>
        <w:rPr>
          <w:i/>
          <w:iCs/>
          <w:sz w:val="22"/>
          <w:szCs w:val="22"/>
          <w:u w:val="single"/>
          <w:lang w:eastAsia="en-US"/>
        </w:rPr>
      </w:pPr>
      <w:r w:rsidRPr="00F2179E">
        <w:rPr>
          <w:i/>
          <w:iCs/>
          <w:sz w:val="22"/>
          <w:szCs w:val="22"/>
          <w:u w:val="single"/>
          <w:lang w:eastAsia="en-US"/>
        </w:rPr>
        <w:t>Starší pacienti</w:t>
      </w:r>
    </w:p>
    <w:p w:rsidR="00984857" w:rsidRPr="00F2179E" w:rsidRDefault="00984857" w:rsidP="00984857">
      <w:pPr>
        <w:rPr>
          <w:iCs/>
          <w:sz w:val="22"/>
          <w:szCs w:val="22"/>
          <w:lang w:eastAsia="en-US"/>
        </w:rPr>
      </w:pPr>
    </w:p>
    <w:p w:rsidR="00984857" w:rsidRPr="00F2179E" w:rsidRDefault="00984857" w:rsidP="00984857">
      <w:pPr>
        <w:rPr>
          <w:iCs/>
          <w:sz w:val="22"/>
          <w:szCs w:val="22"/>
          <w:lang w:eastAsia="en-US"/>
        </w:rPr>
      </w:pPr>
      <w:r w:rsidRPr="00F2179E">
        <w:rPr>
          <w:iCs/>
          <w:sz w:val="22"/>
          <w:szCs w:val="22"/>
          <w:lang w:eastAsia="en-US"/>
        </w:rPr>
        <w:t>Podobne ako u mladších dospelých sa má dávkovanie upraviť podľa intenzity bolesti a individuálnej citlivosti pacientov.</w:t>
      </w:r>
    </w:p>
    <w:p w:rsidR="00984857" w:rsidRPr="00F2179E" w:rsidRDefault="00984857" w:rsidP="00984857">
      <w:pPr>
        <w:widowControl w:val="0"/>
        <w:rPr>
          <w:iCs/>
          <w:sz w:val="22"/>
          <w:szCs w:val="22"/>
          <w:lang w:eastAsia="en-US"/>
        </w:rPr>
      </w:pPr>
    </w:p>
    <w:p w:rsidR="00984857" w:rsidRPr="00F2179E" w:rsidRDefault="00984857" w:rsidP="00984857">
      <w:pPr>
        <w:widowControl w:val="0"/>
        <w:rPr>
          <w:i/>
          <w:iCs/>
          <w:sz w:val="22"/>
          <w:szCs w:val="22"/>
          <w:u w:val="single"/>
          <w:lang w:eastAsia="en-US"/>
        </w:rPr>
      </w:pPr>
      <w:r w:rsidRPr="00F2179E">
        <w:rPr>
          <w:i/>
          <w:iCs/>
          <w:sz w:val="22"/>
          <w:szCs w:val="22"/>
          <w:u w:val="single"/>
          <w:lang w:eastAsia="en-US"/>
        </w:rPr>
        <w:t>Pacienti s poruchou funkcie pečene</w:t>
      </w:r>
    </w:p>
    <w:p w:rsidR="00984857" w:rsidRPr="00F2179E" w:rsidRDefault="00984857" w:rsidP="00984857">
      <w:pPr>
        <w:widowControl w:val="0"/>
        <w:rPr>
          <w:iCs/>
          <w:sz w:val="22"/>
          <w:szCs w:val="22"/>
          <w:lang w:eastAsia="en-US"/>
        </w:rPr>
      </w:pPr>
    </w:p>
    <w:p w:rsidR="00984857" w:rsidRPr="00F2179E" w:rsidRDefault="00984857" w:rsidP="00984857">
      <w:pPr>
        <w:widowControl w:val="0"/>
        <w:rPr>
          <w:sz w:val="22"/>
          <w:szCs w:val="22"/>
        </w:rPr>
      </w:pPr>
      <w:r w:rsidRPr="00F2179E">
        <w:rPr>
          <w:sz w:val="22"/>
          <w:szCs w:val="22"/>
        </w:rPr>
        <w:t>Klinické skúšania preukázali, že u pacientov s poruchou funkciou pečene sa plazmatické koncentrácie oxykodónu a naloxónu zvyšujú. Koncentrácie naloxónu sú ovplyvnené vo väčšej miere ako v prípade oxykodónu (pozri časť 5.2). Klinický význam týchto relatívne vysokých koncentrácií naloxónu u pacientov s poruchou funkcie pečene zatiaľ nie je známy. Pri podávaní Adolaxu pacientom s miernou poruchou funkcie pečene je nutná opatrnosť (pozri časť 4.4). U pacientov so stredne závažnou a závažnou poruchou funkcie pečene je podávanie Adolaxu kontraindikované (pozri časť 4.3).</w:t>
      </w:r>
    </w:p>
    <w:p w:rsidR="00984857" w:rsidRPr="00F2179E" w:rsidRDefault="00984857" w:rsidP="00984857">
      <w:pPr>
        <w:widowControl w:val="0"/>
        <w:rPr>
          <w:iCs/>
          <w:sz w:val="22"/>
          <w:szCs w:val="22"/>
          <w:lang w:eastAsia="en-US"/>
        </w:rPr>
      </w:pPr>
    </w:p>
    <w:p w:rsidR="00984857" w:rsidRPr="00F2179E" w:rsidRDefault="00984857" w:rsidP="00984857">
      <w:pPr>
        <w:widowControl w:val="0"/>
        <w:rPr>
          <w:i/>
          <w:iCs/>
          <w:sz w:val="22"/>
          <w:szCs w:val="22"/>
          <w:u w:val="single"/>
          <w:lang w:eastAsia="en-US"/>
        </w:rPr>
      </w:pPr>
      <w:r w:rsidRPr="00F2179E">
        <w:rPr>
          <w:i/>
          <w:iCs/>
          <w:sz w:val="22"/>
          <w:szCs w:val="22"/>
          <w:u w:val="single"/>
          <w:lang w:eastAsia="en-US"/>
        </w:rPr>
        <w:t>Pacienti s poruchou funkcie obličiek</w:t>
      </w:r>
    </w:p>
    <w:p w:rsidR="00984857" w:rsidRPr="00F2179E" w:rsidRDefault="00984857" w:rsidP="00984857">
      <w:pPr>
        <w:widowControl w:val="0"/>
        <w:rPr>
          <w:iCs/>
          <w:sz w:val="22"/>
          <w:szCs w:val="22"/>
          <w:lang w:eastAsia="en-US"/>
        </w:rPr>
      </w:pPr>
    </w:p>
    <w:p w:rsidR="00984857" w:rsidRPr="00F2179E" w:rsidRDefault="00984857" w:rsidP="00984857">
      <w:pPr>
        <w:rPr>
          <w:sz w:val="22"/>
          <w:szCs w:val="22"/>
        </w:rPr>
      </w:pPr>
      <w:r w:rsidRPr="00F2179E">
        <w:rPr>
          <w:sz w:val="22"/>
          <w:szCs w:val="22"/>
        </w:rPr>
        <w:t xml:space="preserve">Klinické skúšania preukázali, že u pacientov so zhoršenou funkciou </w:t>
      </w:r>
      <w:r w:rsidRPr="00F2179E">
        <w:rPr>
          <w:spacing w:val="-3"/>
          <w:sz w:val="22"/>
          <w:szCs w:val="22"/>
        </w:rPr>
        <w:t xml:space="preserve">obličiek </w:t>
      </w:r>
      <w:r w:rsidRPr="00F2179E">
        <w:rPr>
          <w:sz w:val="22"/>
          <w:szCs w:val="22"/>
        </w:rPr>
        <w:t>sa plazmatické koncentrácie oxykodónu a naloxónu zvyšujú (pozri časť 5.2). Koncentrácie naloxónu sú ovplyvnené vo väčšej miere ako v prípade oxykodónu. Klinický význam týchto relatívne vysokých koncentrácií naloxónu u pacientov s poruchou funkcie obličiek zatiaľ nie je známy. Na začiatku podávania Adolaxu pacientom s poruchou funkcie obličiek je nutná opatrnosť (pozri časť 4.4).</w:t>
      </w:r>
    </w:p>
    <w:p w:rsidR="00984857" w:rsidRPr="00F2179E" w:rsidRDefault="00984857" w:rsidP="00984857">
      <w:pPr>
        <w:widowControl w:val="0"/>
        <w:rPr>
          <w:iCs/>
          <w:sz w:val="22"/>
          <w:szCs w:val="22"/>
          <w:lang w:eastAsia="en-US"/>
        </w:rPr>
      </w:pPr>
    </w:p>
    <w:p w:rsidR="00984857" w:rsidRPr="00F2179E" w:rsidRDefault="00984857" w:rsidP="00984857">
      <w:pPr>
        <w:widowControl w:val="0"/>
        <w:rPr>
          <w:i/>
          <w:iCs/>
          <w:sz w:val="22"/>
          <w:szCs w:val="22"/>
          <w:u w:val="single"/>
          <w:lang w:eastAsia="en-US"/>
        </w:rPr>
      </w:pPr>
      <w:r w:rsidRPr="00F2179E">
        <w:rPr>
          <w:i/>
          <w:iCs/>
          <w:sz w:val="22"/>
          <w:szCs w:val="22"/>
          <w:u w:val="single"/>
          <w:lang w:eastAsia="en-US"/>
        </w:rPr>
        <w:t>Pediatrická populácia</w:t>
      </w:r>
    </w:p>
    <w:p w:rsidR="00984857" w:rsidRPr="00F2179E" w:rsidRDefault="00984857" w:rsidP="00984857">
      <w:pPr>
        <w:widowControl w:val="0"/>
        <w:rPr>
          <w:iCs/>
          <w:sz w:val="22"/>
          <w:szCs w:val="22"/>
          <w:lang w:eastAsia="en-US"/>
        </w:rPr>
      </w:pPr>
    </w:p>
    <w:p w:rsidR="00984857" w:rsidRPr="00F2179E" w:rsidRDefault="00984857" w:rsidP="00984857">
      <w:pPr>
        <w:widowControl w:val="0"/>
        <w:rPr>
          <w:iCs/>
          <w:sz w:val="22"/>
          <w:szCs w:val="22"/>
          <w:lang w:eastAsia="en-US"/>
        </w:rPr>
      </w:pPr>
      <w:r w:rsidRPr="00F2179E">
        <w:rPr>
          <w:sz w:val="22"/>
          <w:szCs w:val="22"/>
        </w:rPr>
        <w:t>Údaje o bezpečnosti a účinnosti Adolaxu u detí a dospievajúcich mladších ako 18 rokov neboli skúmané. Nie sú k dispozícii žiadne údaje</w:t>
      </w:r>
      <w:r w:rsidRPr="00F2179E">
        <w:rPr>
          <w:iCs/>
          <w:sz w:val="22"/>
          <w:szCs w:val="22"/>
          <w:lang w:eastAsia="en-US"/>
        </w:rPr>
        <w:t>.</w:t>
      </w:r>
    </w:p>
    <w:p w:rsidR="00984857" w:rsidRPr="00F2179E" w:rsidRDefault="00984857" w:rsidP="00984857">
      <w:pPr>
        <w:widowControl w:val="0"/>
        <w:rPr>
          <w:iCs/>
          <w:sz w:val="22"/>
          <w:szCs w:val="22"/>
          <w:lang w:eastAsia="en-US"/>
        </w:rPr>
      </w:pPr>
    </w:p>
    <w:p w:rsidR="00984857" w:rsidRPr="00F2179E" w:rsidRDefault="00984857" w:rsidP="00984857">
      <w:pPr>
        <w:widowControl w:val="0"/>
        <w:rPr>
          <w:iCs/>
          <w:sz w:val="22"/>
          <w:szCs w:val="22"/>
          <w:u w:val="single"/>
          <w:lang w:eastAsia="en-US"/>
        </w:rPr>
      </w:pPr>
      <w:r w:rsidRPr="00F2179E">
        <w:rPr>
          <w:iCs/>
          <w:sz w:val="22"/>
          <w:szCs w:val="22"/>
          <w:u w:val="single"/>
          <w:lang w:eastAsia="en-US"/>
        </w:rPr>
        <w:t xml:space="preserve">Spôsob podávania </w:t>
      </w:r>
    </w:p>
    <w:p w:rsidR="00984857" w:rsidRPr="00F2179E" w:rsidRDefault="00984857" w:rsidP="00984857">
      <w:pPr>
        <w:widowControl w:val="0"/>
        <w:rPr>
          <w:iCs/>
          <w:sz w:val="22"/>
          <w:szCs w:val="22"/>
          <w:lang w:eastAsia="en-US"/>
        </w:rPr>
      </w:pPr>
    </w:p>
    <w:p w:rsidR="00984857" w:rsidRPr="00F2179E" w:rsidRDefault="00984857" w:rsidP="00984857">
      <w:pPr>
        <w:widowControl w:val="0"/>
        <w:rPr>
          <w:iCs/>
          <w:sz w:val="22"/>
          <w:szCs w:val="22"/>
          <w:lang w:eastAsia="en-US"/>
        </w:rPr>
      </w:pPr>
      <w:r w:rsidRPr="00F2179E">
        <w:rPr>
          <w:iCs/>
          <w:sz w:val="22"/>
          <w:szCs w:val="22"/>
          <w:lang w:eastAsia="en-US"/>
        </w:rPr>
        <w:t>Perorálne použitie.</w:t>
      </w:r>
    </w:p>
    <w:p w:rsidR="00984857" w:rsidRPr="00F2179E" w:rsidRDefault="00984857" w:rsidP="00984857">
      <w:pPr>
        <w:widowControl w:val="0"/>
        <w:rPr>
          <w:iCs/>
          <w:sz w:val="22"/>
          <w:szCs w:val="22"/>
          <w:lang w:eastAsia="en-US"/>
        </w:rPr>
      </w:pPr>
    </w:p>
    <w:p w:rsidR="00984857" w:rsidRPr="00F2179E" w:rsidRDefault="00984857" w:rsidP="00984857">
      <w:pPr>
        <w:tabs>
          <w:tab w:val="left" w:pos="426"/>
          <w:tab w:val="left" w:pos="5217"/>
        </w:tabs>
        <w:rPr>
          <w:sz w:val="22"/>
          <w:szCs w:val="22"/>
        </w:rPr>
      </w:pPr>
      <w:r w:rsidRPr="00F2179E">
        <w:rPr>
          <w:sz w:val="22"/>
          <w:szCs w:val="22"/>
        </w:rPr>
        <w:t>Adolax sa užíva v určených dávkach dvakrát denne podľa pevne stanoveného časového režimu.</w:t>
      </w:r>
    </w:p>
    <w:p w:rsidR="00984857" w:rsidRPr="00F2179E" w:rsidRDefault="00984857" w:rsidP="00984857">
      <w:pPr>
        <w:tabs>
          <w:tab w:val="left" w:pos="426"/>
          <w:tab w:val="left" w:pos="5217"/>
        </w:tabs>
        <w:rPr>
          <w:sz w:val="22"/>
          <w:szCs w:val="22"/>
        </w:rPr>
      </w:pPr>
    </w:p>
    <w:p w:rsidR="00984857" w:rsidRPr="00F2179E" w:rsidRDefault="00984857" w:rsidP="00984857">
      <w:pPr>
        <w:tabs>
          <w:tab w:val="left" w:pos="426"/>
          <w:tab w:val="left" w:pos="5217"/>
        </w:tabs>
        <w:rPr>
          <w:sz w:val="22"/>
          <w:szCs w:val="22"/>
        </w:rPr>
      </w:pPr>
      <w:r w:rsidRPr="00F2179E">
        <w:rPr>
          <w:sz w:val="22"/>
          <w:szCs w:val="22"/>
        </w:rPr>
        <w:lastRenderedPageBreak/>
        <w:t>Tablety s predĺženým uvoľňovaním sa môžu užívať s jedlom alebo bez jedla a zapíjajú sa dostatočným množstvom tekutiny. Adolax sa musí prehĺtať celý, nerozlomený,  nerozhryzený a nerozdrvený.</w:t>
      </w:r>
    </w:p>
    <w:p w:rsidR="00984857" w:rsidRPr="00F2179E" w:rsidRDefault="00984857" w:rsidP="00984857">
      <w:pPr>
        <w:widowControl w:val="0"/>
        <w:rPr>
          <w:iCs/>
          <w:sz w:val="22"/>
          <w:szCs w:val="22"/>
          <w:lang w:eastAsia="en-US"/>
        </w:rPr>
      </w:pPr>
    </w:p>
    <w:p w:rsidR="00984857" w:rsidRPr="00F2179E" w:rsidRDefault="00984857" w:rsidP="00984857">
      <w:pPr>
        <w:widowControl w:val="0"/>
        <w:rPr>
          <w:iCs/>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4.3</w:t>
      </w:r>
      <w:r w:rsidRPr="00F2179E">
        <w:rPr>
          <w:b/>
          <w:sz w:val="22"/>
          <w:szCs w:val="22"/>
          <w:lang w:eastAsia="en-US"/>
        </w:rPr>
        <w:tab/>
        <w:t>Kontraindikácie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numPr>
          <w:ilvl w:val="0"/>
          <w:numId w:val="3"/>
        </w:numPr>
        <w:tabs>
          <w:tab w:val="left" w:pos="567"/>
        </w:tabs>
        <w:spacing w:line="260" w:lineRule="exact"/>
        <w:ind w:left="567" w:hanging="567"/>
        <w:rPr>
          <w:noProof/>
          <w:sz w:val="22"/>
          <w:szCs w:val="22"/>
          <w:lang w:eastAsia="en-US"/>
        </w:rPr>
      </w:pPr>
      <w:r w:rsidRPr="00F2179E">
        <w:rPr>
          <w:spacing w:val="-3"/>
          <w:sz w:val="22"/>
          <w:szCs w:val="22"/>
        </w:rPr>
        <w:t xml:space="preserve">Precitlivenosť na liečivá alebo na ktorúkoľvek </w:t>
      </w:r>
      <w:r w:rsidRPr="00F2179E">
        <w:rPr>
          <w:sz w:val="22"/>
          <w:szCs w:val="22"/>
        </w:rPr>
        <w:t xml:space="preserve">z pomocných látok </w:t>
      </w:r>
      <w:r w:rsidRPr="00F2179E">
        <w:rPr>
          <w:spacing w:val="-3"/>
          <w:sz w:val="22"/>
          <w:szCs w:val="22"/>
        </w:rPr>
        <w:t>lieku uvedených v časti 6.1</w:t>
      </w:r>
      <w:r w:rsidRPr="00F2179E">
        <w:rPr>
          <w:noProof/>
          <w:sz w:val="22"/>
          <w:szCs w:val="22"/>
          <w:lang w:eastAsia="en-US"/>
        </w:rPr>
        <w:t>.</w:t>
      </w:r>
    </w:p>
    <w:p w:rsidR="00984857" w:rsidRPr="00F2179E" w:rsidRDefault="00984857" w:rsidP="00984857">
      <w:pPr>
        <w:widowControl w:val="0"/>
        <w:numPr>
          <w:ilvl w:val="0"/>
          <w:numId w:val="3"/>
        </w:numPr>
        <w:tabs>
          <w:tab w:val="left" w:pos="567"/>
        </w:tabs>
        <w:spacing w:line="260" w:lineRule="exact"/>
        <w:ind w:left="567" w:hanging="567"/>
        <w:rPr>
          <w:noProof/>
          <w:sz w:val="22"/>
          <w:szCs w:val="22"/>
          <w:lang w:eastAsia="en-US"/>
        </w:rPr>
      </w:pPr>
      <w:r w:rsidRPr="00F2179E">
        <w:rPr>
          <w:noProof/>
          <w:sz w:val="22"/>
          <w:szCs w:val="22"/>
          <w:lang w:eastAsia="en-US"/>
        </w:rPr>
        <w:t>Akákoľvek situácia, ke</w:t>
      </w:r>
      <w:r w:rsidR="00E475BC" w:rsidRPr="00F2179E">
        <w:rPr>
          <w:noProof/>
          <w:sz w:val="22"/>
          <w:szCs w:val="22"/>
          <w:lang w:eastAsia="en-US"/>
        </w:rPr>
        <w:t>ď</w:t>
      </w:r>
      <w:r w:rsidRPr="00F2179E">
        <w:rPr>
          <w:noProof/>
          <w:sz w:val="22"/>
          <w:szCs w:val="22"/>
          <w:lang w:eastAsia="en-US"/>
        </w:rPr>
        <w:t xml:space="preserve"> sú opioidy kontraindikované,</w:t>
      </w:r>
    </w:p>
    <w:p w:rsidR="00984857" w:rsidRPr="00F2179E" w:rsidRDefault="00984857" w:rsidP="00984857">
      <w:pPr>
        <w:widowControl w:val="0"/>
        <w:numPr>
          <w:ilvl w:val="0"/>
          <w:numId w:val="3"/>
        </w:numPr>
        <w:tabs>
          <w:tab w:val="left" w:pos="567"/>
        </w:tabs>
        <w:spacing w:line="260" w:lineRule="exact"/>
        <w:ind w:left="567" w:hanging="567"/>
        <w:rPr>
          <w:noProof/>
          <w:sz w:val="22"/>
          <w:szCs w:val="22"/>
          <w:lang w:eastAsia="en-US"/>
        </w:rPr>
      </w:pPr>
      <w:r w:rsidRPr="00F2179E">
        <w:rPr>
          <w:spacing w:val="-3"/>
          <w:sz w:val="22"/>
          <w:szCs w:val="22"/>
        </w:rPr>
        <w:t>Závažn</w:t>
      </w:r>
      <w:r w:rsidR="00E475BC" w:rsidRPr="00F2179E">
        <w:rPr>
          <w:spacing w:val="-3"/>
          <w:sz w:val="22"/>
          <w:szCs w:val="22"/>
        </w:rPr>
        <w:t>á</w:t>
      </w:r>
      <w:r w:rsidRPr="00F2179E">
        <w:rPr>
          <w:spacing w:val="-3"/>
          <w:sz w:val="22"/>
          <w:szCs w:val="22"/>
        </w:rPr>
        <w:t xml:space="preserve"> </w:t>
      </w:r>
      <w:r w:rsidR="00E475BC" w:rsidRPr="00F2179E">
        <w:rPr>
          <w:spacing w:val="-3"/>
          <w:sz w:val="22"/>
          <w:szCs w:val="22"/>
        </w:rPr>
        <w:t>respiračná depresia</w:t>
      </w:r>
      <w:r w:rsidRPr="00F2179E">
        <w:rPr>
          <w:spacing w:val="-3"/>
          <w:sz w:val="22"/>
          <w:szCs w:val="22"/>
        </w:rPr>
        <w:t xml:space="preserve"> spojen</w:t>
      </w:r>
      <w:r w:rsidR="00E475BC" w:rsidRPr="00F2179E">
        <w:rPr>
          <w:spacing w:val="-3"/>
          <w:sz w:val="22"/>
          <w:szCs w:val="22"/>
        </w:rPr>
        <w:t>á</w:t>
      </w:r>
      <w:r w:rsidRPr="00F2179E">
        <w:rPr>
          <w:spacing w:val="-3"/>
          <w:sz w:val="22"/>
          <w:szCs w:val="22"/>
        </w:rPr>
        <w:t xml:space="preserve"> s hypoxiou a/alebo hyperkapniou</w:t>
      </w:r>
      <w:r w:rsidRPr="00F2179E">
        <w:rPr>
          <w:noProof/>
          <w:sz w:val="22"/>
          <w:szCs w:val="22"/>
          <w:lang w:eastAsia="en-US"/>
        </w:rPr>
        <w:t>,</w:t>
      </w:r>
    </w:p>
    <w:p w:rsidR="00984857" w:rsidRPr="00F2179E" w:rsidRDefault="00984857" w:rsidP="00984857">
      <w:pPr>
        <w:widowControl w:val="0"/>
        <w:numPr>
          <w:ilvl w:val="0"/>
          <w:numId w:val="3"/>
        </w:numPr>
        <w:tabs>
          <w:tab w:val="left" w:pos="567"/>
        </w:tabs>
        <w:spacing w:line="260" w:lineRule="exact"/>
        <w:ind w:left="567" w:hanging="567"/>
        <w:rPr>
          <w:noProof/>
          <w:sz w:val="22"/>
          <w:szCs w:val="22"/>
          <w:lang w:eastAsia="en-US"/>
        </w:rPr>
      </w:pPr>
      <w:r w:rsidRPr="00F2179E">
        <w:rPr>
          <w:spacing w:val="-3"/>
          <w:sz w:val="22"/>
          <w:szCs w:val="22"/>
        </w:rPr>
        <w:t>Závažné chronické obštrukčné ochorenie pľúc</w:t>
      </w:r>
      <w:r w:rsidRPr="00F2179E">
        <w:rPr>
          <w:noProof/>
          <w:sz w:val="22"/>
          <w:szCs w:val="22"/>
          <w:lang w:eastAsia="en-US"/>
        </w:rPr>
        <w:t xml:space="preserve">, </w:t>
      </w:r>
    </w:p>
    <w:p w:rsidR="00984857" w:rsidRPr="00F2179E" w:rsidRDefault="00984857" w:rsidP="00984857">
      <w:pPr>
        <w:widowControl w:val="0"/>
        <w:numPr>
          <w:ilvl w:val="0"/>
          <w:numId w:val="3"/>
        </w:numPr>
        <w:tabs>
          <w:tab w:val="left" w:pos="567"/>
        </w:tabs>
        <w:spacing w:line="260" w:lineRule="exact"/>
        <w:ind w:left="567" w:hanging="567"/>
        <w:rPr>
          <w:noProof/>
          <w:sz w:val="22"/>
          <w:szCs w:val="22"/>
          <w:lang w:eastAsia="en-US"/>
        </w:rPr>
      </w:pPr>
      <w:r w:rsidRPr="00F2179E">
        <w:rPr>
          <w:i/>
          <w:noProof/>
          <w:sz w:val="22"/>
          <w:szCs w:val="22"/>
          <w:lang w:eastAsia="en-US"/>
        </w:rPr>
        <w:t>Cor pulmonale</w:t>
      </w:r>
      <w:r w:rsidRPr="00F2179E">
        <w:rPr>
          <w:noProof/>
          <w:sz w:val="22"/>
          <w:szCs w:val="22"/>
          <w:lang w:eastAsia="en-US"/>
        </w:rPr>
        <w:t>,</w:t>
      </w:r>
    </w:p>
    <w:p w:rsidR="00984857" w:rsidRPr="00F2179E" w:rsidRDefault="00E475BC" w:rsidP="00984857">
      <w:pPr>
        <w:widowControl w:val="0"/>
        <w:numPr>
          <w:ilvl w:val="0"/>
          <w:numId w:val="3"/>
        </w:numPr>
        <w:tabs>
          <w:tab w:val="left" w:pos="567"/>
        </w:tabs>
        <w:spacing w:line="260" w:lineRule="exact"/>
        <w:ind w:left="567" w:hanging="567"/>
        <w:rPr>
          <w:noProof/>
          <w:sz w:val="22"/>
          <w:szCs w:val="22"/>
          <w:lang w:eastAsia="en-US"/>
        </w:rPr>
      </w:pPr>
      <w:r w:rsidRPr="00F2179E">
        <w:rPr>
          <w:spacing w:val="-3"/>
          <w:sz w:val="22"/>
          <w:szCs w:val="22"/>
        </w:rPr>
        <w:t xml:space="preserve">Ťažká </w:t>
      </w:r>
      <w:r w:rsidR="00984857" w:rsidRPr="00F2179E">
        <w:rPr>
          <w:spacing w:val="-3"/>
          <w:sz w:val="22"/>
          <w:szCs w:val="22"/>
        </w:rPr>
        <w:t>bronchiálna astma</w:t>
      </w:r>
      <w:r w:rsidR="00984857" w:rsidRPr="00F2179E">
        <w:rPr>
          <w:noProof/>
          <w:sz w:val="22"/>
          <w:szCs w:val="22"/>
          <w:lang w:eastAsia="en-US"/>
        </w:rPr>
        <w:t>,</w:t>
      </w:r>
    </w:p>
    <w:p w:rsidR="00984857" w:rsidRPr="00F2179E" w:rsidRDefault="00984857" w:rsidP="00984857">
      <w:pPr>
        <w:widowControl w:val="0"/>
        <w:numPr>
          <w:ilvl w:val="0"/>
          <w:numId w:val="3"/>
        </w:numPr>
        <w:tabs>
          <w:tab w:val="left" w:pos="567"/>
        </w:tabs>
        <w:spacing w:line="260" w:lineRule="exact"/>
        <w:ind w:left="567" w:hanging="567"/>
        <w:rPr>
          <w:noProof/>
          <w:sz w:val="22"/>
          <w:szCs w:val="22"/>
          <w:lang w:eastAsia="en-US"/>
        </w:rPr>
      </w:pPr>
      <w:r w:rsidRPr="00F2179E">
        <w:rPr>
          <w:spacing w:val="-3"/>
          <w:sz w:val="22"/>
          <w:szCs w:val="22"/>
        </w:rPr>
        <w:t>Paralytický ileus nevyvolaný opioidmi</w:t>
      </w:r>
      <w:r w:rsidRPr="00F2179E">
        <w:rPr>
          <w:noProof/>
          <w:sz w:val="22"/>
          <w:szCs w:val="22"/>
          <w:lang w:eastAsia="en-US"/>
        </w:rPr>
        <w:t>,</w:t>
      </w:r>
    </w:p>
    <w:p w:rsidR="00984857" w:rsidRPr="00F2179E" w:rsidRDefault="00984857" w:rsidP="00984857">
      <w:pPr>
        <w:widowControl w:val="0"/>
        <w:numPr>
          <w:ilvl w:val="0"/>
          <w:numId w:val="3"/>
        </w:numPr>
        <w:tabs>
          <w:tab w:val="left" w:pos="567"/>
        </w:tabs>
        <w:spacing w:line="260" w:lineRule="exact"/>
        <w:ind w:left="567" w:hanging="567"/>
        <w:rPr>
          <w:noProof/>
          <w:sz w:val="22"/>
          <w:szCs w:val="22"/>
          <w:lang w:eastAsia="en-US"/>
        </w:rPr>
      </w:pPr>
      <w:r w:rsidRPr="00F2179E">
        <w:rPr>
          <w:spacing w:val="-3"/>
          <w:sz w:val="22"/>
          <w:szCs w:val="22"/>
        </w:rPr>
        <w:t>Mierna až závažná porucha funkcie pečene</w:t>
      </w:r>
      <w:r w:rsidRPr="00F2179E">
        <w:rPr>
          <w:noProof/>
          <w:sz w:val="22"/>
          <w:szCs w:val="22"/>
          <w:lang w:eastAsia="en-US"/>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4.4</w:t>
      </w:r>
      <w:r w:rsidRPr="00F2179E">
        <w:rPr>
          <w:b/>
          <w:sz w:val="22"/>
          <w:szCs w:val="22"/>
          <w:lang w:eastAsia="en-US"/>
        </w:rPr>
        <w:tab/>
        <w:t>Osobitné upozornenia a opatrenia pri používaní</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Hlavným rizikom nadmerného užívania opioidov je respiračná depresia</w:t>
      </w:r>
      <w:r w:rsidRPr="00F2179E">
        <w:rPr>
          <w:iCs/>
          <w:sz w:val="22"/>
          <w:szCs w:val="22"/>
          <w:lang w:eastAsia="en-US"/>
        </w:rPr>
        <w:t xml:space="preserve">. </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Nutná je zvýšená opatrnosť pri podávaní Adolaxu starším a chorobou oslabeným pacientom, pacientom s paralytickým ileom spôsobeným opioidmi, pacientom so závažne zhoršenou funkciou pľúc, s myxedémom, hypotyreózou</w:t>
      </w:r>
      <w:r w:rsidRPr="00F2179E">
        <w:rPr>
          <w:spacing w:val="-3"/>
          <w:sz w:val="22"/>
          <w:szCs w:val="22"/>
        </w:rPr>
        <w:t xml:space="preserve">, </w:t>
      </w:r>
      <w:r w:rsidRPr="00F2179E">
        <w:rPr>
          <w:sz w:val="22"/>
          <w:szCs w:val="22"/>
        </w:rPr>
        <w:t>Addisonovou chorobou</w:t>
      </w:r>
      <w:r w:rsidRPr="00F2179E">
        <w:rPr>
          <w:spacing w:val="-3"/>
          <w:sz w:val="22"/>
          <w:szCs w:val="22"/>
        </w:rPr>
        <w:t xml:space="preserve"> </w:t>
      </w:r>
      <w:r w:rsidRPr="00F2179E">
        <w:rPr>
          <w:sz w:val="22"/>
          <w:szCs w:val="22"/>
        </w:rPr>
        <w:t>(nedostatočnosť kôry nadobličiek)</w:t>
      </w:r>
      <w:r w:rsidRPr="00F2179E">
        <w:rPr>
          <w:spacing w:val="-3"/>
          <w:sz w:val="22"/>
          <w:szCs w:val="22"/>
        </w:rPr>
        <w:t xml:space="preserve">, </w:t>
      </w:r>
      <w:r w:rsidRPr="00F2179E">
        <w:rPr>
          <w:sz w:val="22"/>
          <w:szCs w:val="22"/>
        </w:rPr>
        <w:t>toxickou psychózou</w:t>
      </w:r>
      <w:r w:rsidRPr="00F2179E">
        <w:rPr>
          <w:spacing w:val="-3"/>
          <w:sz w:val="22"/>
          <w:szCs w:val="22"/>
        </w:rPr>
        <w:t xml:space="preserve">, </w:t>
      </w:r>
      <w:r w:rsidRPr="00F2179E">
        <w:rPr>
          <w:sz w:val="22"/>
          <w:szCs w:val="22"/>
        </w:rPr>
        <w:t>cholelitiázou</w:t>
      </w:r>
      <w:r w:rsidRPr="00F2179E">
        <w:rPr>
          <w:spacing w:val="-3"/>
          <w:sz w:val="22"/>
          <w:szCs w:val="22"/>
        </w:rPr>
        <w:t xml:space="preserve">, </w:t>
      </w:r>
      <w:r w:rsidRPr="00F2179E">
        <w:rPr>
          <w:sz w:val="22"/>
          <w:szCs w:val="22"/>
        </w:rPr>
        <w:t>hypertrofiou prostaty</w:t>
      </w:r>
      <w:r w:rsidRPr="00F2179E">
        <w:rPr>
          <w:spacing w:val="-3"/>
          <w:sz w:val="22"/>
          <w:szCs w:val="22"/>
        </w:rPr>
        <w:t xml:space="preserve">, </w:t>
      </w:r>
      <w:r w:rsidRPr="00F2179E">
        <w:rPr>
          <w:sz w:val="22"/>
          <w:szCs w:val="22"/>
        </w:rPr>
        <w:t>alkoholizmom</w:t>
      </w:r>
      <w:r w:rsidRPr="00F2179E">
        <w:rPr>
          <w:spacing w:val="-3"/>
          <w:sz w:val="22"/>
          <w:szCs w:val="22"/>
        </w:rPr>
        <w:t xml:space="preserve">, </w:t>
      </w:r>
      <w:r w:rsidRPr="00F2179E">
        <w:rPr>
          <w:i/>
          <w:spacing w:val="-3"/>
          <w:sz w:val="22"/>
          <w:szCs w:val="22"/>
        </w:rPr>
        <w:t>deliriom tremens,</w:t>
      </w:r>
      <w:r w:rsidRPr="00F2179E">
        <w:rPr>
          <w:spacing w:val="-3"/>
          <w:sz w:val="22"/>
          <w:szCs w:val="22"/>
        </w:rPr>
        <w:t xml:space="preserve"> </w:t>
      </w:r>
      <w:r w:rsidRPr="00F2179E">
        <w:rPr>
          <w:sz w:val="22"/>
          <w:szCs w:val="22"/>
        </w:rPr>
        <w:t>pankreatitídou</w:t>
      </w:r>
      <w:r w:rsidRPr="00F2179E">
        <w:rPr>
          <w:spacing w:val="-3"/>
          <w:sz w:val="22"/>
          <w:szCs w:val="22"/>
        </w:rPr>
        <w:t xml:space="preserve">, </w:t>
      </w:r>
      <w:r w:rsidRPr="00F2179E">
        <w:rPr>
          <w:sz w:val="22"/>
          <w:szCs w:val="22"/>
        </w:rPr>
        <w:t>hypotenziou</w:t>
      </w:r>
      <w:r w:rsidRPr="00F2179E">
        <w:rPr>
          <w:spacing w:val="-3"/>
          <w:sz w:val="22"/>
          <w:szCs w:val="22"/>
        </w:rPr>
        <w:t xml:space="preserve">, </w:t>
      </w:r>
      <w:r w:rsidRPr="00F2179E">
        <w:rPr>
          <w:sz w:val="22"/>
          <w:szCs w:val="22"/>
        </w:rPr>
        <w:t>hypertenziou</w:t>
      </w:r>
      <w:r w:rsidRPr="00F2179E">
        <w:rPr>
          <w:spacing w:val="-3"/>
          <w:sz w:val="22"/>
          <w:szCs w:val="22"/>
        </w:rPr>
        <w:t xml:space="preserve">, </w:t>
      </w:r>
      <w:r w:rsidRPr="00F2179E">
        <w:rPr>
          <w:sz w:val="22"/>
          <w:szCs w:val="22"/>
        </w:rPr>
        <w:t>diagnostikovaným kardiovaskulárnym ochorením</w:t>
      </w:r>
      <w:r w:rsidRPr="00F2179E">
        <w:rPr>
          <w:spacing w:val="-3"/>
          <w:sz w:val="22"/>
          <w:szCs w:val="22"/>
        </w:rPr>
        <w:t xml:space="preserve">, </w:t>
      </w:r>
      <w:r w:rsidRPr="00F2179E">
        <w:rPr>
          <w:sz w:val="22"/>
          <w:szCs w:val="22"/>
        </w:rPr>
        <w:t>poranením hlavy (vzhľadom na riziko zvýšenia intrakraniálneho tlaku), epileptickými poruchami alebo predispozíciou ku kŕčom alebo pacientom, ktorí užívajú inhibítory MAO</w:t>
      </w:r>
      <w:r w:rsidR="005148A3" w:rsidRPr="00F2179E">
        <w:rPr>
          <w:sz w:val="22"/>
          <w:szCs w:val="22"/>
        </w:rPr>
        <w:t>.</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Opatrnosť je nutná aj pri podávaní Adolaxu pacientom s miernou poruchou funkcie pečene alebo obličiek. Obzvlášť starostlivé sledovanie je nutné u pacientov so závažným poškodením obličiek.</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Hnačka sa môže považovať za možný účinok naloxónu</w:t>
      </w:r>
      <w:r w:rsidRPr="00F2179E">
        <w:rPr>
          <w:iCs/>
          <w:sz w:val="22"/>
          <w:szCs w:val="22"/>
          <w:lang w:eastAsia="en-US"/>
        </w:rPr>
        <w:t>.</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 xml:space="preserve">U pacientov dlhodobo liečených opioidmi môže zmena na Adolax na začiatku vyvolať abstinenčné </w:t>
      </w:r>
      <w:r w:rsidR="005148A3" w:rsidRPr="00F2179E">
        <w:rPr>
          <w:sz w:val="22"/>
          <w:szCs w:val="22"/>
        </w:rPr>
        <w:t>príznaky</w:t>
      </w:r>
      <w:r w:rsidRPr="00F2179E">
        <w:rPr>
          <w:sz w:val="22"/>
          <w:szCs w:val="22"/>
        </w:rPr>
        <w:t xml:space="preserve">. Takíto pacienti vyžadujú zvýšenú pozornosť. </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pacing w:val="-3"/>
          <w:sz w:val="22"/>
          <w:szCs w:val="22"/>
        </w:rPr>
        <w:t>Adolax nie je vhodný na liečbu abstinenčných príznakov</w:t>
      </w:r>
      <w:r w:rsidRPr="00F2179E">
        <w:rPr>
          <w:iCs/>
          <w:sz w:val="22"/>
          <w:szCs w:val="22"/>
          <w:lang w:eastAsia="en-US"/>
        </w:rPr>
        <w:t>.</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pacing w:val="-3"/>
          <w:sz w:val="22"/>
          <w:szCs w:val="22"/>
        </w:rPr>
        <w:t xml:space="preserve">Počas dlhodobého podávania sa môže u pacienta vyvinúť tolerancia na liek a pacient bude potrebovať vyššiu dávku lieku na udržanie rovnakého účinku. Dlhodobé podávanie Adolaxu môže viesť k fyzickej závislosti. Pri okamžitom prerušení liečby sa môžu prejaviť abstinenčné príznaky. Ak liečba už viac nie je potrebná, je nutné znižovať denné dávky lieku postupne, aby sa predišlo vzniku abstinenčného syndrómu (pozri časť 4.2.). </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Existuje potenciálne riziko vzniku psychickej závislosti (adikcie) od opioidných analgetík, Adolax nevynímajúc. Adolax sa musí užívať so zvýšenou opatrnosťou u pacientov s predchádzajúcou históriou závislosti od alkoholu a drog. Samotný oxykodón má podobný profil zneužitia ako ostatné silné agonisty opioidných receptorov.</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Aby sa nenarušilo predĺžené uvoľňovanie, tablety sa musia užiť celé a nesm</w:t>
      </w:r>
      <w:r w:rsidRPr="00F2179E">
        <w:rPr>
          <w:spacing w:val="-3"/>
          <w:sz w:val="22"/>
          <w:szCs w:val="22"/>
        </w:rPr>
        <w:t>ú</w:t>
      </w:r>
      <w:r w:rsidR="009D0EE8" w:rsidRPr="00F2179E">
        <w:rPr>
          <w:sz w:val="22"/>
          <w:szCs w:val="22"/>
        </w:rPr>
        <w:t xml:space="preserve"> sa deliť, rozlomiť, rozžuť </w:t>
      </w:r>
      <w:r w:rsidRPr="00F2179E">
        <w:rPr>
          <w:sz w:val="22"/>
          <w:szCs w:val="22"/>
        </w:rPr>
        <w:t>alebo rozdrviť. Delenie, prelomenie, rozžutie alebo rozdrvenie tablety spôsobí rýchlejšie uvoľnenie liečiv a možnú absorpciu fatálnej dávky oxykodónu (pozri časť 4.9).</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pStyle w:val="Bezriadkovania"/>
        <w:tabs>
          <w:tab w:val="left" w:pos="720"/>
        </w:tabs>
        <w:rPr>
          <w:rFonts w:ascii="Times New Roman" w:hAnsi="Times New Roman" w:cs="Times New Roman"/>
          <w:spacing w:val="-3"/>
          <w:lang w:val="sk-SK"/>
        </w:rPr>
      </w:pPr>
      <w:r w:rsidRPr="00F2179E">
        <w:rPr>
          <w:rFonts w:ascii="Times New Roman" w:hAnsi="Times New Roman" w:cs="Times New Roman"/>
          <w:lang w:val="sk-SK"/>
        </w:rPr>
        <w:t xml:space="preserve">Pacienti, ktorí </w:t>
      </w:r>
      <w:r w:rsidR="00E475BC" w:rsidRPr="00F2179E">
        <w:rPr>
          <w:rFonts w:ascii="Times New Roman" w:hAnsi="Times New Roman" w:cs="Times New Roman"/>
          <w:lang w:val="sk-SK"/>
        </w:rPr>
        <w:t xml:space="preserve">zažili </w:t>
      </w:r>
      <w:r w:rsidRPr="00F2179E">
        <w:rPr>
          <w:rFonts w:ascii="Times New Roman" w:hAnsi="Times New Roman" w:cs="Times New Roman"/>
          <w:lang w:val="sk-SK"/>
        </w:rPr>
        <w:t xml:space="preserve">somnolenciu a/alebo nástup epizódy náhleho spánku, sa musia vzdať vedenia vozidiel alebo obsluhy strojov. Okrem toho je potrebné zvážiť zníženie dávky alebo ukončenie liečby. </w:t>
      </w:r>
      <w:r w:rsidRPr="00F2179E">
        <w:rPr>
          <w:rFonts w:ascii="Times New Roman" w:hAnsi="Times New Roman" w:cs="Times New Roman"/>
          <w:lang w:val="sk-SK"/>
        </w:rPr>
        <w:lastRenderedPageBreak/>
        <w:t xml:space="preserve">Z dôvodu možných aditívnych účinkov sa vyžaduje pozornosť u pacientov užívajúcich iné sedatíva v kombinácii s </w:t>
      </w:r>
      <w:r w:rsidRPr="00F2179E">
        <w:rPr>
          <w:rFonts w:ascii="Times New Roman" w:hAnsi="Times New Roman" w:cs="Times New Roman"/>
          <w:spacing w:val="-3"/>
          <w:lang w:val="sk-SK"/>
        </w:rPr>
        <w:t>Adolaxom (pozri časti 4.5 a 4.7).</w:t>
      </w:r>
    </w:p>
    <w:p w:rsidR="00984857" w:rsidRPr="00F2179E" w:rsidRDefault="00984857" w:rsidP="00984857">
      <w:pPr>
        <w:widowControl w:val="0"/>
        <w:tabs>
          <w:tab w:val="left" w:pos="567"/>
        </w:tabs>
        <w:rPr>
          <w:iCs/>
          <w:sz w:val="22"/>
          <w:szCs w:val="22"/>
        </w:rPr>
      </w:pPr>
    </w:p>
    <w:p w:rsidR="00984857" w:rsidRPr="00F2179E" w:rsidRDefault="00984857" w:rsidP="00984857">
      <w:pPr>
        <w:widowControl w:val="0"/>
        <w:tabs>
          <w:tab w:val="left" w:pos="567"/>
        </w:tabs>
        <w:rPr>
          <w:iCs/>
          <w:sz w:val="22"/>
          <w:szCs w:val="22"/>
        </w:rPr>
      </w:pPr>
      <w:r w:rsidRPr="00F2179E">
        <w:rPr>
          <w:iCs/>
          <w:sz w:val="22"/>
          <w:szCs w:val="22"/>
        </w:rPr>
        <w:t>Súbežné požívanie alkoholu a Adolaxu môže zvýšiť nežiaduce účinky Adolaxu. Súbežnému užívaniu sa treba vyhýbať.</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Neuskutočnili sa žiadne štúdie o bezpečnosti a účinku Adolaxu u detí a dospievajúcich do veku 18 rokov. Z tohto</w:t>
      </w:r>
      <w:r w:rsidR="005148A3" w:rsidRPr="00F2179E">
        <w:rPr>
          <w:sz w:val="22"/>
          <w:szCs w:val="22"/>
        </w:rPr>
        <w:t xml:space="preserve"> dôvodu sa užívanie </w:t>
      </w:r>
      <w:r w:rsidR="00E475BC" w:rsidRPr="00F2179E">
        <w:rPr>
          <w:sz w:val="22"/>
          <w:szCs w:val="22"/>
        </w:rPr>
        <w:t xml:space="preserve">neodporúča </w:t>
      </w:r>
      <w:r w:rsidR="005148A3" w:rsidRPr="00F2179E">
        <w:rPr>
          <w:sz w:val="22"/>
          <w:szCs w:val="22"/>
        </w:rPr>
        <w:t> de</w:t>
      </w:r>
      <w:r w:rsidR="00E475BC" w:rsidRPr="00F2179E">
        <w:rPr>
          <w:sz w:val="22"/>
          <w:szCs w:val="22"/>
        </w:rPr>
        <w:t>ťom</w:t>
      </w:r>
      <w:r w:rsidR="005148A3" w:rsidRPr="00F2179E">
        <w:rPr>
          <w:sz w:val="22"/>
          <w:szCs w:val="22"/>
        </w:rPr>
        <w:t xml:space="preserve"> a dospievajúci</w:t>
      </w:r>
      <w:r w:rsidR="00E475BC" w:rsidRPr="00F2179E">
        <w:rPr>
          <w:sz w:val="22"/>
          <w:szCs w:val="22"/>
        </w:rPr>
        <w:t>m</w:t>
      </w:r>
      <w:r w:rsidRPr="00F2179E">
        <w:rPr>
          <w:sz w:val="22"/>
          <w:szCs w:val="22"/>
        </w:rPr>
        <w:t xml:space="preserve"> do 18 rokov</w:t>
      </w:r>
      <w:r w:rsidR="00E475BC" w:rsidRPr="00F2179E">
        <w:rPr>
          <w:sz w:val="22"/>
          <w:szCs w:val="22"/>
        </w:rPr>
        <w:t>.</w:t>
      </w:r>
    </w:p>
    <w:p w:rsidR="00984857" w:rsidRPr="00F2179E" w:rsidRDefault="00984857" w:rsidP="00984857">
      <w:pPr>
        <w:suppressAutoHyphens/>
        <w:overflowPunct w:val="0"/>
        <w:autoSpaceDE w:val="0"/>
        <w:autoSpaceDN w:val="0"/>
        <w:adjustRightInd w:val="0"/>
        <w:textAlignment w:val="baseline"/>
        <w:rPr>
          <w:sz w:val="22"/>
          <w:szCs w:val="22"/>
        </w:rPr>
      </w:pPr>
      <w:r w:rsidRPr="00F2179E">
        <w:rPr>
          <w:sz w:val="22"/>
          <w:szCs w:val="22"/>
        </w:rPr>
        <w:t>Neexistujú klinické skúsenosti u pacientov s nádorovým ochorením v spojení s peritoneálnou karcinomatózou alebo subokluzívnym syndrómom v pokročilých štádiách nádorového ochorenia tráviaceho traktu alebo panvy. Užívanie Adolaxu sa preto  taký</w:t>
      </w:r>
      <w:r w:rsidR="00E475BC" w:rsidRPr="00F2179E">
        <w:rPr>
          <w:sz w:val="22"/>
          <w:szCs w:val="22"/>
        </w:rPr>
        <w:t>mto</w:t>
      </w:r>
      <w:r w:rsidRPr="00F2179E">
        <w:rPr>
          <w:sz w:val="22"/>
          <w:szCs w:val="22"/>
        </w:rPr>
        <w:t xml:space="preserve"> paciento</w:t>
      </w:r>
      <w:r w:rsidR="00E475BC" w:rsidRPr="00F2179E">
        <w:rPr>
          <w:sz w:val="22"/>
          <w:szCs w:val="22"/>
        </w:rPr>
        <w:t>m</w:t>
      </w:r>
      <w:r w:rsidRPr="00F2179E">
        <w:rPr>
          <w:sz w:val="22"/>
          <w:szCs w:val="22"/>
        </w:rPr>
        <w:t xml:space="preserve"> neodporúča.</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spacing w:val="-3"/>
          <w:sz w:val="22"/>
          <w:szCs w:val="22"/>
        </w:rPr>
      </w:pPr>
      <w:r w:rsidRPr="00F2179E">
        <w:rPr>
          <w:spacing w:val="-3"/>
          <w:sz w:val="22"/>
          <w:szCs w:val="22"/>
        </w:rPr>
        <w:t>Užívanie Adolaxu predoperačne alebo prvých 12 – 24 hodín po operácii sa neodporúča. Presné načasovanie a opätovné začatie pooperačnej liečby Adolaxom je založené na posúdení riz</w:t>
      </w:r>
      <w:r w:rsidR="00E475BC" w:rsidRPr="00F2179E">
        <w:rPr>
          <w:spacing w:val="-3"/>
          <w:sz w:val="22"/>
          <w:szCs w:val="22"/>
        </w:rPr>
        <w:t>ika</w:t>
      </w:r>
      <w:r w:rsidRPr="00F2179E">
        <w:rPr>
          <w:spacing w:val="-3"/>
          <w:sz w:val="22"/>
          <w:szCs w:val="22"/>
        </w:rPr>
        <w:t xml:space="preserve"> a pr</w:t>
      </w:r>
      <w:r w:rsidR="00E475BC" w:rsidRPr="00F2179E">
        <w:rPr>
          <w:spacing w:val="-3"/>
          <w:sz w:val="22"/>
          <w:szCs w:val="22"/>
        </w:rPr>
        <w:t>ínosu</w:t>
      </w:r>
      <w:r w:rsidRPr="00F2179E">
        <w:rPr>
          <w:spacing w:val="-3"/>
          <w:sz w:val="22"/>
          <w:szCs w:val="22"/>
        </w:rPr>
        <w:t xml:space="preserve"> u každého jednotlivého pacienta a závisí od typu a rozsahu chirurgického zákroku, zvolenej anestézie, ďalšej medikácie a individuálneho stavu pacienta.</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Je nutné zabrániť akémukoľvek zneužitiu Adolaxu drogovo závislými osobami. Ak sa Adolax zneužije parenterálne, intranazálne alebo perorálne osobami závislými od agonistov opioidných receptorov ako sú heroín, morfín alebo metadón, dá sa očakávať, že sa dostavia výrazné abstinenčné príznaky – z dôvodu antagonistic</w:t>
      </w:r>
      <w:r w:rsidR="009C64A3" w:rsidRPr="00F2179E">
        <w:rPr>
          <w:sz w:val="22"/>
          <w:szCs w:val="22"/>
        </w:rPr>
        <w:t>kého</w:t>
      </w:r>
      <w:r w:rsidRPr="00F2179E">
        <w:rPr>
          <w:sz w:val="22"/>
          <w:szCs w:val="22"/>
        </w:rPr>
        <w:t xml:space="preserve"> </w:t>
      </w:r>
      <w:r w:rsidR="009C64A3" w:rsidRPr="00F2179E">
        <w:rPr>
          <w:sz w:val="22"/>
          <w:szCs w:val="22"/>
        </w:rPr>
        <w:t xml:space="preserve">účinku </w:t>
      </w:r>
      <w:r w:rsidRPr="00F2179E">
        <w:rPr>
          <w:sz w:val="22"/>
          <w:szCs w:val="22"/>
        </w:rPr>
        <w:t>naloxónu na opioidn</w:t>
      </w:r>
      <w:r w:rsidR="00B216A1" w:rsidRPr="00F2179E">
        <w:rPr>
          <w:sz w:val="22"/>
          <w:szCs w:val="22"/>
        </w:rPr>
        <w:t>ých</w:t>
      </w:r>
      <w:r w:rsidRPr="00F2179E">
        <w:rPr>
          <w:sz w:val="22"/>
          <w:szCs w:val="22"/>
        </w:rPr>
        <w:t xml:space="preserve"> receptor</w:t>
      </w:r>
      <w:r w:rsidR="00B216A1" w:rsidRPr="00F2179E">
        <w:rPr>
          <w:sz w:val="22"/>
          <w:szCs w:val="22"/>
        </w:rPr>
        <w:t>och</w:t>
      </w:r>
      <w:r w:rsidRPr="00F2179E">
        <w:rPr>
          <w:sz w:val="22"/>
          <w:szCs w:val="22"/>
        </w:rPr>
        <w:t xml:space="preserve"> - alebo sa ešte zintenzívnia už existujúce abstinenčné príznaky (pozri časť 4.9).</w:t>
      </w:r>
    </w:p>
    <w:p w:rsidR="00984857" w:rsidRPr="00F2179E" w:rsidRDefault="00984857" w:rsidP="00984857">
      <w:pPr>
        <w:widowControl w:val="0"/>
        <w:tabs>
          <w:tab w:val="left" w:pos="567"/>
        </w:tabs>
        <w:rPr>
          <w:sz w:val="22"/>
          <w:szCs w:val="22"/>
        </w:rPr>
      </w:pPr>
    </w:p>
    <w:p w:rsidR="00984857" w:rsidRPr="00F2179E" w:rsidRDefault="00984857" w:rsidP="00984857">
      <w:pPr>
        <w:widowControl w:val="0"/>
        <w:tabs>
          <w:tab w:val="left" w:pos="567"/>
        </w:tabs>
        <w:rPr>
          <w:sz w:val="22"/>
          <w:szCs w:val="22"/>
        </w:rPr>
      </w:pPr>
      <w:r w:rsidRPr="00F2179E">
        <w:rPr>
          <w:sz w:val="22"/>
          <w:szCs w:val="22"/>
        </w:rPr>
        <w:t xml:space="preserve">Adolax je zložený z matrice z dvoch polymérov určenej výhradne na perorálne podávanie. Dá sa očakávať, že pri zneužití tabliet s predĺženým uvoľňovaním do parenterálnej injekčnej formy môžu mať zložky lieku (hlavne mastenec) za následok nekrózu miestneho tkaniva a pľúcne granulómy, alebo môžu spôsobiť iné závažné nežiaduce účinky s </w:t>
      </w:r>
      <w:r w:rsidR="009C64A3" w:rsidRPr="00F2179E">
        <w:rPr>
          <w:sz w:val="22"/>
          <w:szCs w:val="22"/>
        </w:rPr>
        <w:t xml:space="preserve">možnými </w:t>
      </w:r>
      <w:r w:rsidRPr="00F2179E">
        <w:rPr>
          <w:sz w:val="22"/>
          <w:szCs w:val="22"/>
        </w:rPr>
        <w:t>fatálnymi následkami.</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Prázdna matrica tablety s predĺženým uvoľňovaním je viditeľná v stolici.</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Užívanie Adolaxu môže viesť k pozitívnym výsledkom pri dopingových testoch.</w:t>
      </w:r>
    </w:p>
    <w:p w:rsidR="00984857" w:rsidRPr="00F2179E" w:rsidRDefault="00984857" w:rsidP="00984857">
      <w:pPr>
        <w:widowControl w:val="0"/>
        <w:tabs>
          <w:tab w:val="left" w:pos="567"/>
        </w:tabs>
        <w:rPr>
          <w:iCs/>
          <w:sz w:val="22"/>
          <w:szCs w:val="22"/>
          <w:lang w:eastAsia="en-US"/>
        </w:rPr>
      </w:pPr>
      <w:r w:rsidRPr="00F2179E">
        <w:rPr>
          <w:sz w:val="22"/>
          <w:szCs w:val="22"/>
        </w:rPr>
        <w:t>Užívanie Adolaxu ako dopingu predstavuje nebezpečenstvo ohrozenia zdravia</w:t>
      </w:r>
      <w:r w:rsidRPr="00F2179E">
        <w:rPr>
          <w:iCs/>
          <w:sz w:val="22"/>
          <w:szCs w:val="22"/>
          <w:lang w:eastAsia="en-US"/>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Tento liek obsahuje laktózu. Pacienti so zriedkavými dedičnými problémami galaktózovej intolerancie, lapónskeho deficitu laktázy alebo glukózo-galaktózovej malabsorpcie nesmú užívať Adolax.</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4.5</w:t>
      </w:r>
      <w:r w:rsidRPr="00F2179E">
        <w:rPr>
          <w:b/>
          <w:sz w:val="22"/>
          <w:szCs w:val="22"/>
          <w:lang w:eastAsia="en-US"/>
        </w:rPr>
        <w:tab/>
        <w:t>Liekové a iné interakcie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Liečivá, ktoré majú depresívny účinok na CNS (napr. iné opioidy, sedatíva, hypnotiká, antidepresíva, fenotiazíny, neuroleptiká, antihistaminiká a antiemetiká) môžu zvyšovať depresívny účinok Adolaxu na CNS (napr. respiračnú depresiu).</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iCs/>
          <w:sz w:val="22"/>
          <w:szCs w:val="22"/>
        </w:rPr>
        <w:t>Alkohol môže zosilniť farmakodynamické účinky Adolaxu; súbežnému používaniu sa treba vyhýbať</w:t>
      </w:r>
      <w:r w:rsidRPr="00F2179E">
        <w:rPr>
          <w:sz w:val="22"/>
          <w:szCs w:val="22"/>
          <w:lang w:eastAsia="en-US"/>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rPr>
      </w:pPr>
      <w:r w:rsidRPr="00F2179E">
        <w:rPr>
          <w:sz w:val="22"/>
          <w:szCs w:val="22"/>
        </w:rPr>
        <w:t>Klinicky relevantné zmeny v medzinárodnom normalizovanom pomere (INR alebo výsledok Quickovho testu) oboma smermi sa pozorovali u osôb so súbežnou aplikáciou kumarínových antikoagulancií a oxykodónu.</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Oxykodón sa primárne metabolizuje prostredníctvom CYP3A4 a čiastočne prostredníctvom CYP2D6 (pozri časť 5.2). Aktivity týchto dráh môžu byť buď inhibované alebo indukované rôznymi súbežne podávanými liekmi alebo zložkami potravín. Môže byť potrebné príslušne upraviť dávky Adolaxu.</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 xml:space="preserve">Inhibítory CYP3A4 , ako sú napr. makrolidové antibiotiká (napr. klaritromycín, erytromycín, telitromycín), azolové antimykotiká (ako napr. ketokonazol, vorikonazol, itrakonazol, posakonazol), </w:t>
      </w:r>
      <w:r w:rsidRPr="00F2179E">
        <w:rPr>
          <w:sz w:val="22"/>
          <w:szCs w:val="22"/>
        </w:rPr>
        <w:lastRenderedPageBreak/>
        <w:t>inhibítory proteázy (ako napr. ritonavir, indinavir, nelfinavir, sachinavir), cimetidín a grapefruitový džús môžu znížiť klírens oxykodónu čo môže viesť k zvýšeniu plazmatickej koncentrácie oxykodónu.</w:t>
      </w:r>
      <w:r w:rsidR="00456603" w:rsidRPr="00F2179E">
        <w:rPr>
          <w:sz w:val="22"/>
          <w:szCs w:val="22"/>
        </w:rPr>
        <w:t xml:space="preserve"> </w:t>
      </w:r>
      <w:r w:rsidRPr="00F2179E">
        <w:rPr>
          <w:sz w:val="22"/>
          <w:szCs w:val="22"/>
        </w:rPr>
        <w:t xml:space="preserve">Preto môže byť potrebné príslušne upraviť dávku Adolaxu a následne vykonať retitráciu. </w:t>
      </w:r>
    </w:p>
    <w:p w:rsidR="00984857" w:rsidRPr="00F2179E" w:rsidRDefault="00984857" w:rsidP="00984857">
      <w:pPr>
        <w:rPr>
          <w:sz w:val="22"/>
          <w:szCs w:val="22"/>
        </w:rPr>
      </w:pPr>
    </w:p>
    <w:p w:rsidR="00984857" w:rsidRPr="00F2179E" w:rsidRDefault="00456603" w:rsidP="00984857">
      <w:pPr>
        <w:rPr>
          <w:sz w:val="22"/>
          <w:szCs w:val="22"/>
        </w:rPr>
      </w:pPr>
      <w:r w:rsidRPr="00F2179E">
        <w:rPr>
          <w:sz w:val="22"/>
          <w:szCs w:val="22"/>
        </w:rPr>
        <w:t>Induktory CYP3A4</w:t>
      </w:r>
      <w:r w:rsidR="00984857" w:rsidRPr="00F2179E">
        <w:rPr>
          <w:sz w:val="22"/>
          <w:szCs w:val="22"/>
        </w:rPr>
        <w:t xml:space="preserve">, ako sú rifampicín, karbamazepín, fenytoín a ľubovník bodkovaný </w:t>
      </w:r>
      <w:r w:rsidR="00984857" w:rsidRPr="00F2179E">
        <w:rPr>
          <w:color w:val="000000"/>
          <w:sz w:val="22"/>
          <w:szCs w:val="22"/>
        </w:rPr>
        <w:t>môžu indukovať metabolizmus oxykodónu a zv</w:t>
      </w:r>
      <w:r w:rsidRPr="00F2179E">
        <w:rPr>
          <w:color w:val="000000"/>
          <w:sz w:val="22"/>
          <w:szCs w:val="22"/>
        </w:rPr>
        <w:t>ýšiť klírens</w:t>
      </w:r>
      <w:r w:rsidR="00984857" w:rsidRPr="00F2179E">
        <w:rPr>
          <w:color w:val="000000"/>
          <w:sz w:val="22"/>
          <w:szCs w:val="22"/>
        </w:rPr>
        <w:t xml:space="preserve"> lieku, čo môže spôsobiť zníženie plazmatických koncentrácií oxykodónu. </w:t>
      </w:r>
      <w:r w:rsidR="00984857" w:rsidRPr="00F2179E">
        <w:rPr>
          <w:sz w:val="22"/>
          <w:szCs w:val="22"/>
        </w:rPr>
        <w:t>Odporúča sa opatrnosť a môže byť potrebná ďalšia titrácia na dosiahnutie adekvátnej úrovne kontroly bolesti.</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Lieky, ktoré inhibujú aktivitu CYP2D6, ako sú paroxetín, fluoxetín a chinidín, môžu teoreticky spôsobiť pokles klírensu oxykodónu, čo môže viesť k zvýšeniu plazmatických koncentrácií oxykodónu.</w:t>
      </w:r>
      <w:r w:rsidRPr="00F2179E">
        <w:rPr>
          <w:color w:val="000000"/>
          <w:sz w:val="22"/>
          <w:szCs w:val="22"/>
        </w:rPr>
        <w:t xml:space="preserve"> Súbežné podávanie</w:t>
      </w:r>
      <w:r w:rsidR="00456603" w:rsidRPr="00F2179E">
        <w:rPr>
          <w:color w:val="000000"/>
          <w:sz w:val="22"/>
          <w:szCs w:val="22"/>
        </w:rPr>
        <w:t xml:space="preserve"> s</w:t>
      </w:r>
      <w:r w:rsidRPr="00F2179E">
        <w:rPr>
          <w:color w:val="000000"/>
          <w:sz w:val="22"/>
          <w:szCs w:val="22"/>
        </w:rPr>
        <w:t xml:space="preserve"> inhibítormi CYP2D6 má nevýznamný vplyv na elimináciu oxykodónu a tiež nemá žiaden vplyv na farmakodynamické účinky oxykodónu.</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 xml:space="preserve">Štúdie metabolizmu </w:t>
      </w:r>
      <w:r w:rsidRPr="00F2179E">
        <w:rPr>
          <w:i/>
          <w:sz w:val="22"/>
          <w:szCs w:val="22"/>
        </w:rPr>
        <w:t xml:space="preserve">in vitro </w:t>
      </w:r>
      <w:r w:rsidRPr="00F2179E">
        <w:rPr>
          <w:sz w:val="22"/>
          <w:szCs w:val="22"/>
        </w:rPr>
        <w:t xml:space="preserve">naznačujú, že medzi oxykodónom a naloxónom nemožno predpokladať klinicky relevantné interakcie. </w:t>
      </w:r>
    </w:p>
    <w:p w:rsidR="00984857" w:rsidRPr="00F2179E" w:rsidRDefault="00984857" w:rsidP="00984857">
      <w:pPr>
        <w:rPr>
          <w:sz w:val="22"/>
          <w:szCs w:val="22"/>
        </w:rPr>
      </w:pPr>
    </w:p>
    <w:p w:rsidR="00984857" w:rsidRPr="00F2179E" w:rsidRDefault="00984857" w:rsidP="00984857">
      <w:pPr>
        <w:rPr>
          <w:sz w:val="22"/>
          <w:szCs w:val="22"/>
        </w:rPr>
      </w:pPr>
      <w:r w:rsidRPr="00F2179E">
        <w:rPr>
          <w:sz w:val="22"/>
          <w:szCs w:val="22"/>
        </w:rPr>
        <w:t>Pravdepodobnosť klinicky relevantných interakcií medzi paracetamolom, kyselinou acetylsalicylovou alebo naltrexónom a kombináciou oxykodónu a naloxónu v terapeutických koncentráciách je minimálna.</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4.6</w:t>
      </w:r>
      <w:r w:rsidRPr="00F2179E">
        <w:rPr>
          <w:b/>
          <w:sz w:val="22"/>
          <w:szCs w:val="22"/>
          <w:lang w:eastAsia="en-US"/>
        </w:rPr>
        <w:tab/>
      </w:r>
      <w:r w:rsidRPr="00F2179E">
        <w:rPr>
          <w:b/>
          <w:bCs/>
          <w:sz w:val="22"/>
          <w:szCs w:val="22"/>
          <w:lang w:eastAsia="en-US"/>
        </w:rPr>
        <w:t>Fertilita, gravidita a laktácia</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widowControl w:val="0"/>
        <w:tabs>
          <w:tab w:val="left" w:pos="567"/>
        </w:tabs>
        <w:rPr>
          <w:color w:val="000000"/>
          <w:sz w:val="22"/>
          <w:szCs w:val="22"/>
          <w:u w:val="single"/>
        </w:rPr>
      </w:pPr>
      <w:r w:rsidRPr="00F2179E">
        <w:rPr>
          <w:color w:val="000000"/>
          <w:sz w:val="22"/>
          <w:szCs w:val="22"/>
          <w:u w:val="single"/>
        </w:rPr>
        <w:t>Gravidita</w:t>
      </w:r>
    </w:p>
    <w:p w:rsidR="00984857" w:rsidRPr="00F2179E" w:rsidRDefault="00984857" w:rsidP="00984857">
      <w:pPr>
        <w:widowControl w:val="0"/>
        <w:tabs>
          <w:tab w:val="left" w:pos="567"/>
        </w:tabs>
        <w:rPr>
          <w:color w:val="000000"/>
          <w:sz w:val="22"/>
          <w:szCs w:val="22"/>
        </w:rPr>
      </w:pPr>
    </w:p>
    <w:p w:rsidR="00984857" w:rsidRPr="00F2179E" w:rsidRDefault="00984857" w:rsidP="00984857">
      <w:pPr>
        <w:rPr>
          <w:sz w:val="22"/>
          <w:szCs w:val="22"/>
        </w:rPr>
      </w:pPr>
      <w:r w:rsidRPr="00F2179E">
        <w:rPr>
          <w:sz w:val="22"/>
          <w:szCs w:val="22"/>
        </w:rPr>
        <w:t>Nie sú k dispozícii žiadne údaje o užívaní Adolaxu u gravidných žien a pri pôrode. Obmedzené údaje o užívaní oxykodónu počas gravidity u ľudí neprinášajú dôkaz o zvýšení rizika vrodených chýb. Existuje len obmedzené množstvo klinických údajov o použití naloxónu v te</w:t>
      </w:r>
      <w:r w:rsidR="00456603" w:rsidRPr="00F2179E">
        <w:rPr>
          <w:sz w:val="22"/>
          <w:szCs w:val="22"/>
        </w:rPr>
        <w:t xml:space="preserve">hotenstve. Systémová expozícia </w:t>
      </w:r>
      <w:r w:rsidRPr="00F2179E">
        <w:rPr>
          <w:sz w:val="22"/>
          <w:szCs w:val="22"/>
        </w:rPr>
        <w:t>naloxónu žien po použití Adolaxu je pomerne nízka (pozri časť 5.2). Oxykodón aj naloxón prechádzajú do placenty. Neuskutočnili sa žiadne štúdie na zvieratách s podávaním kombinácie oxykodón</w:t>
      </w:r>
      <w:r w:rsidR="00456603" w:rsidRPr="00F2179E">
        <w:rPr>
          <w:sz w:val="22"/>
          <w:szCs w:val="22"/>
        </w:rPr>
        <w:t xml:space="preserve">u a naloxónu (pozri časť 5.3). </w:t>
      </w:r>
      <w:r w:rsidRPr="00F2179E">
        <w:rPr>
          <w:sz w:val="22"/>
          <w:szCs w:val="22"/>
        </w:rPr>
        <w:t>Štúdie na zvieratách, pri ktorých sa podávali oxykodón a naloxón samostatne, nepreukázali žiadne teratogénne ani embryotoxické účinky.</w:t>
      </w:r>
    </w:p>
    <w:p w:rsidR="00984857" w:rsidRPr="00F2179E" w:rsidRDefault="00984857" w:rsidP="00984857">
      <w:pPr>
        <w:widowControl w:val="0"/>
        <w:tabs>
          <w:tab w:val="left" w:pos="567"/>
        </w:tabs>
        <w:rPr>
          <w:color w:val="000000"/>
          <w:sz w:val="22"/>
          <w:szCs w:val="22"/>
        </w:rPr>
      </w:pPr>
    </w:p>
    <w:p w:rsidR="00984857" w:rsidRPr="00F2179E" w:rsidRDefault="00984857" w:rsidP="00984857">
      <w:pPr>
        <w:rPr>
          <w:sz w:val="22"/>
          <w:szCs w:val="22"/>
        </w:rPr>
      </w:pPr>
      <w:r w:rsidRPr="00F2179E">
        <w:rPr>
          <w:sz w:val="22"/>
          <w:szCs w:val="22"/>
        </w:rPr>
        <w:t>Dlhodobé užívanie oxykodónu počas tehotenstva môže viesť k abstinenčným príznakom u novorodenca. Pokiaľ sa podáva počas pôrodu, oxykodón môže spôsobiť u novorodenca respiračnú depresiu.</w:t>
      </w:r>
    </w:p>
    <w:p w:rsidR="00984857" w:rsidRPr="00F2179E" w:rsidRDefault="00984857" w:rsidP="00984857">
      <w:pPr>
        <w:rPr>
          <w:sz w:val="22"/>
          <w:szCs w:val="22"/>
        </w:rPr>
      </w:pPr>
      <w:r w:rsidRPr="00F2179E">
        <w:rPr>
          <w:sz w:val="22"/>
          <w:szCs w:val="22"/>
        </w:rPr>
        <w:t>Adolax sa môže užívať počas gravidity len v prípade, ak prínos preváži nad možnými rizikami pre nenarodené dieťa alebo novorodenca.</w:t>
      </w:r>
    </w:p>
    <w:p w:rsidR="00984857" w:rsidRPr="00F2179E" w:rsidRDefault="00984857" w:rsidP="00984857">
      <w:pPr>
        <w:widowControl w:val="0"/>
        <w:tabs>
          <w:tab w:val="left" w:pos="567"/>
        </w:tabs>
        <w:rPr>
          <w:color w:val="000000"/>
          <w:sz w:val="22"/>
          <w:szCs w:val="22"/>
        </w:rPr>
      </w:pPr>
    </w:p>
    <w:p w:rsidR="00984857" w:rsidRPr="00F2179E" w:rsidRDefault="00984857" w:rsidP="00984857">
      <w:pPr>
        <w:widowControl w:val="0"/>
        <w:tabs>
          <w:tab w:val="left" w:pos="567"/>
        </w:tabs>
        <w:rPr>
          <w:color w:val="000000"/>
          <w:sz w:val="22"/>
          <w:szCs w:val="22"/>
          <w:u w:val="single"/>
        </w:rPr>
      </w:pPr>
      <w:r w:rsidRPr="00F2179E">
        <w:rPr>
          <w:color w:val="000000"/>
          <w:sz w:val="22"/>
          <w:szCs w:val="22"/>
          <w:u w:val="single"/>
        </w:rPr>
        <w:t>Dojčenie</w:t>
      </w:r>
    </w:p>
    <w:p w:rsidR="00984857" w:rsidRPr="00F2179E" w:rsidRDefault="00984857" w:rsidP="00984857">
      <w:pPr>
        <w:widowControl w:val="0"/>
        <w:tabs>
          <w:tab w:val="left" w:pos="567"/>
        </w:tabs>
        <w:rPr>
          <w:color w:val="000000"/>
          <w:sz w:val="22"/>
          <w:szCs w:val="22"/>
        </w:rPr>
      </w:pPr>
    </w:p>
    <w:p w:rsidR="00984857" w:rsidRPr="00F2179E" w:rsidRDefault="00984857" w:rsidP="00984857">
      <w:pPr>
        <w:rPr>
          <w:sz w:val="22"/>
          <w:szCs w:val="22"/>
        </w:rPr>
      </w:pPr>
      <w:r w:rsidRPr="00F2179E">
        <w:rPr>
          <w:sz w:val="22"/>
          <w:szCs w:val="22"/>
        </w:rPr>
        <w:t xml:space="preserve">Oxykodón sa vylučuje do </w:t>
      </w:r>
      <w:r w:rsidRPr="00F2179E">
        <w:rPr>
          <w:color w:val="000000"/>
          <w:sz w:val="22"/>
          <w:szCs w:val="22"/>
        </w:rPr>
        <w:t>materského</w:t>
      </w:r>
      <w:r w:rsidRPr="00F2179E">
        <w:rPr>
          <w:sz w:val="22"/>
          <w:szCs w:val="22"/>
        </w:rPr>
        <w:t xml:space="preserve"> mlieka. Zistený pomer koncentrácie medzi mliekom a plazmou je 3:4:1, v dôsledku čoho sú možné účinky oxykodónu na dojča. Nie je známe, či sa aj naloxón vylučuje do materského mlieka. Po užití Adolaxu sú však systémové koncentrácie naloxónu veľmi nízke (pozri časť 5.2). Nedá sa však vylúčiť riziko pre dojča hlavne pri opakovanom užívaní Adolaxu dojčiacou matkou. </w:t>
      </w:r>
      <w:r w:rsidRPr="00F2179E">
        <w:rPr>
          <w:color w:val="000000"/>
          <w:sz w:val="22"/>
          <w:szCs w:val="22"/>
        </w:rPr>
        <w:t>Dojčenie sa má počas liečby Adolaxom ukončiť.</w:t>
      </w:r>
    </w:p>
    <w:p w:rsidR="00984857" w:rsidRPr="00F2179E" w:rsidRDefault="00984857" w:rsidP="00984857">
      <w:pPr>
        <w:widowControl w:val="0"/>
        <w:tabs>
          <w:tab w:val="left" w:pos="567"/>
        </w:tabs>
        <w:rPr>
          <w:color w:val="000000"/>
          <w:sz w:val="22"/>
          <w:szCs w:val="22"/>
        </w:rPr>
      </w:pPr>
    </w:p>
    <w:p w:rsidR="00984857" w:rsidRPr="00F2179E" w:rsidRDefault="00984857" w:rsidP="00984857">
      <w:pPr>
        <w:widowControl w:val="0"/>
        <w:tabs>
          <w:tab w:val="left" w:pos="567"/>
        </w:tabs>
        <w:rPr>
          <w:color w:val="000000"/>
          <w:sz w:val="22"/>
          <w:szCs w:val="22"/>
          <w:u w:val="single"/>
        </w:rPr>
      </w:pPr>
      <w:r w:rsidRPr="00F2179E">
        <w:rPr>
          <w:color w:val="000000"/>
          <w:sz w:val="22"/>
          <w:szCs w:val="22"/>
          <w:u w:val="single"/>
        </w:rPr>
        <w:t>Fertilita</w:t>
      </w:r>
    </w:p>
    <w:p w:rsidR="00984857" w:rsidRPr="00F2179E" w:rsidRDefault="00984857" w:rsidP="00984857">
      <w:pPr>
        <w:widowControl w:val="0"/>
        <w:tabs>
          <w:tab w:val="left" w:pos="567"/>
        </w:tabs>
        <w:rPr>
          <w:color w:val="000000"/>
          <w:sz w:val="22"/>
          <w:szCs w:val="22"/>
        </w:rPr>
      </w:pPr>
    </w:p>
    <w:p w:rsidR="00984857" w:rsidRPr="00F2179E" w:rsidRDefault="005A216E" w:rsidP="00984857">
      <w:pPr>
        <w:widowControl w:val="0"/>
        <w:tabs>
          <w:tab w:val="left" w:pos="567"/>
        </w:tabs>
        <w:rPr>
          <w:color w:val="000000"/>
          <w:sz w:val="22"/>
          <w:szCs w:val="22"/>
        </w:rPr>
      </w:pPr>
      <w:r w:rsidRPr="00F2179E">
        <w:rPr>
          <w:sz w:val="22"/>
          <w:szCs w:val="22"/>
        </w:rPr>
        <w:t>Nie sú k dispozícii</w:t>
      </w:r>
      <w:r w:rsidR="00984857" w:rsidRPr="00F2179E">
        <w:rPr>
          <w:sz w:val="22"/>
          <w:szCs w:val="22"/>
        </w:rPr>
        <w:t xml:space="preserve"> žiadne údaje týkajúce sa ovplyvnenia fertility</w:t>
      </w:r>
      <w:r w:rsidR="00984857" w:rsidRPr="00F2179E">
        <w:rPr>
          <w:color w:val="000000"/>
          <w:sz w:val="22"/>
          <w:szCs w:val="22"/>
        </w:rPr>
        <w:t>.</w:t>
      </w:r>
    </w:p>
    <w:p w:rsidR="00984857" w:rsidRPr="00F2179E" w:rsidRDefault="00984857" w:rsidP="00984857">
      <w:pPr>
        <w:widowControl w:val="0"/>
        <w:tabs>
          <w:tab w:val="left" w:pos="567"/>
        </w:tabs>
        <w:rPr>
          <w:color w:val="000000"/>
          <w:sz w:val="22"/>
          <w:szCs w:val="22"/>
        </w:rPr>
      </w:pPr>
    </w:p>
    <w:p w:rsidR="00984857" w:rsidRPr="00F2179E" w:rsidRDefault="00984857" w:rsidP="00984857">
      <w:pPr>
        <w:widowControl w:val="0"/>
        <w:tabs>
          <w:tab w:val="left" w:pos="567"/>
        </w:tabs>
        <w:rPr>
          <w:b/>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4.7</w:t>
      </w:r>
      <w:r w:rsidRPr="00F2179E">
        <w:rPr>
          <w:b/>
          <w:sz w:val="22"/>
          <w:szCs w:val="22"/>
          <w:lang w:eastAsia="en-US"/>
        </w:rPr>
        <w:tab/>
        <w:t xml:space="preserve">Ovplyvnenie schopnosti viesť vozidlá a obsluhovať stroje </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lastRenderedPageBreak/>
        <w:t>Adolax má stredne silný vplyv na schopnosť viesť vozidlá a obsluhovať stroje. Platí to hlavne na začiatku liečby, po zvýšení dávky, pri rotácii lieku, alebo ak sa Adolax kombinuje s inými liekmi tlmiacimi CNS. Pacientov stabilizovaných na špecifickej dávke nie je nutn</w:t>
      </w:r>
      <w:r w:rsidRPr="00F2179E">
        <w:rPr>
          <w:color w:val="000000"/>
          <w:sz w:val="22"/>
          <w:szCs w:val="22"/>
        </w:rPr>
        <w:t>é</w:t>
      </w:r>
      <w:r w:rsidRPr="00F2179E">
        <w:rPr>
          <w:sz w:val="22"/>
          <w:szCs w:val="22"/>
        </w:rPr>
        <w:t xml:space="preserve"> obmedzovať. Pacienti sa však musia poradiť so svojím ošetrujúcim lekárom, či môžu viesť vozidlá a obsluhovať stroje.</w:t>
      </w:r>
    </w:p>
    <w:p w:rsidR="00984857" w:rsidRPr="00F2179E" w:rsidRDefault="00984857" w:rsidP="00984857">
      <w:pPr>
        <w:widowControl w:val="0"/>
        <w:rPr>
          <w:color w:val="000000"/>
          <w:sz w:val="22"/>
          <w:szCs w:val="22"/>
        </w:rPr>
      </w:pPr>
    </w:p>
    <w:p w:rsidR="00456603" w:rsidRPr="00F2179E" w:rsidRDefault="00456603" w:rsidP="00456603">
      <w:pPr>
        <w:pStyle w:val="Bezriadkovania"/>
        <w:tabs>
          <w:tab w:val="left" w:pos="720"/>
        </w:tabs>
        <w:rPr>
          <w:rFonts w:ascii="Times New Roman" w:hAnsi="Times New Roman" w:cs="Times New Roman"/>
          <w:lang w:val="sk-SK"/>
        </w:rPr>
      </w:pPr>
      <w:r w:rsidRPr="00F2179E">
        <w:rPr>
          <w:rFonts w:ascii="Times New Roman" w:hAnsi="Times New Roman" w:cs="Times New Roman"/>
          <w:lang w:val="sk-SK"/>
        </w:rPr>
        <w:t xml:space="preserve">Pacienti, ktorí sú liečení </w:t>
      </w:r>
      <w:r w:rsidRPr="00F2179E">
        <w:rPr>
          <w:rFonts w:ascii="Times New Roman" w:hAnsi="Times New Roman" w:cs="Times New Roman"/>
          <w:spacing w:val="-3"/>
          <w:lang w:val="sk-SK"/>
        </w:rPr>
        <w:t xml:space="preserve">Adolaxom a </w:t>
      </w:r>
      <w:r w:rsidR="009C64A3" w:rsidRPr="00F2179E">
        <w:rPr>
          <w:rFonts w:ascii="Times New Roman" w:hAnsi="Times New Roman" w:cs="Times New Roman"/>
          <w:lang w:val="sk-SK"/>
        </w:rPr>
        <w:t xml:space="preserve">zažili </w:t>
      </w:r>
      <w:r w:rsidRPr="00F2179E">
        <w:rPr>
          <w:rFonts w:ascii="Times New Roman" w:hAnsi="Times New Roman" w:cs="Times New Roman"/>
          <w:lang w:val="sk-SK"/>
        </w:rPr>
        <w:t>somnolenciu a/alebo nástup epizódy náhleho spánku, musia byť informovaní, aby sa vzdali vedenia vozidiel alebo účasti na činnostiach, pri ktorých by oslabená pozornosť mohla vystaviť ich alebo iné osoby riziku vážneho zranenia alebo smrti (napr. obsluha strojov), kým nevymiznú opakujúce sa epizódy alebo somnolencia (pozri časti 4.4 a 4.5).</w:t>
      </w:r>
    </w:p>
    <w:p w:rsidR="00984857" w:rsidRPr="00F2179E" w:rsidRDefault="00984857" w:rsidP="00984857">
      <w:pPr>
        <w:widowControl w:val="0"/>
        <w:rPr>
          <w:sz w:val="22"/>
          <w:szCs w:val="22"/>
          <w:lang w:eastAsia="en-US"/>
        </w:rPr>
      </w:pPr>
    </w:p>
    <w:p w:rsidR="00984857" w:rsidRPr="00F2179E" w:rsidRDefault="00984857" w:rsidP="00984857">
      <w:pPr>
        <w:widowControl w:val="0"/>
        <w:tabs>
          <w:tab w:val="left" w:pos="567"/>
        </w:tabs>
        <w:rPr>
          <w:b/>
          <w:bCs/>
          <w:sz w:val="22"/>
          <w:szCs w:val="22"/>
          <w:lang w:eastAsia="en-US"/>
        </w:rPr>
      </w:pPr>
      <w:r w:rsidRPr="00F2179E">
        <w:rPr>
          <w:b/>
          <w:bCs/>
          <w:sz w:val="22"/>
          <w:szCs w:val="22"/>
          <w:lang w:eastAsia="en-US"/>
        </w:rPr>
        <w:t>4.8</w:t>
      </w:r>
      <w:r w:rsidRPr="00F2179E">
        <w:rPr>
          <w:b/>
          <w:bCs/>
          <w:sz w:val="22"/>
          <w:szCs w:val="22"/>
          <w:lang w:eastAsia="en-US"/>
        </w:rPr>
        <w:tab/>
        <w:t>Nežiaduce účinky</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sz w:val="22"/>
          <w:szCs w:val="22"/>
        </w:rPr>
        <w:t>Hodnotenie nežiaducich účinkov je založené na základe nasledovnej frekvencie výskytu:</w:t>
      </w:r>
    </w:p>
    <w:p w:rsidR="00984857" w:rsidRPr="00F2179E" w:rsidRDefault="00984857" w:rsidP="00984857">
      <w:pPr>
        <w:widowControl w:val="0"/>
        <w:numPr>
          <w:ilvl w:val="0"/>
          <w:numId w:val="1"/>
        </w:numPr>
        <w:spacing w:line="260" w:lineRule="exact"/>
        <w:rPr>
          <w:sz w:val="22"/>
          <w:szCs w:val="22"/>
          <w:lang w:eastAsia="en-US"/>
        </w:rPr>
      </w:pPr>
      <w:r w:rsidRPr="00F2179E">
        <w:rPr>
          <w:noProof/>
          <w:sz w:val="22"/>
          <w:szCs w:val="22"/>
        </w:rPr>
        <w:t>Veľmi časté (</w:t>
      </w:r>
      <w:r w:rsidRPr="00F2179E">
        <w:rPr>
          <w:noProof/>
          <w:sz w:val="22"/>
          <w:szCs w:val="22"/>
        </w:rPr>
        <w:sym w:font="Symbol" w:char="F0B3"/>
      </w:r>
      <w:r w:rsidRPr="00F2179E">
        <w:rPr>
          <w:noProof/>
          <w:sz w:val="22"/>
          <w:szCs w:val="22"/>
        </w:rPr>
        <w:t xml:space="preserve"> 1/10)</w:t>
      </w:r>
    </w:p>
    <w:p w:rsidR="00984857" w:rsidRPr="00F2179E" w:rsidRDefault="00984857" w:rsidP="00984857">
      <w:pPr>
        <w:widowControl w:val="0"/>
        <w:numPr>
          <w:ilvl w:val="0"/>
          <w:numId w:val="1"/>
        </w:numPr>
        <w:spacing w:line="260" w:lineRule="exact"/>
        <w:rPr>
          <w:noProof/>
          <w:sz w:val="22"/>
          <w:szCs w:val="22"/>
        </w:rPr>
      </w:pPr>
      <w:r w:rsidRPr="00F2179E">
        <w:rPr>
          <w:noProof/>
          <w:sz w:val="22"/>
          <w:szCs w:val="22"/>
        </w:rPr>
        <w:t>Časté (</w:t>
      </w:r>
      <w:r w:rsidRPr="00F2179E">
        <w:rPr>
          <w:noProof/>
          <w:sz w:val="22"/>
          <w:szCs w:val="22"/>
        </w:rPr>
        <w:sym w:font="Symbol" w:char="F0B3"/>
      </w:r>
      <w:r w:rsidRPr="00F2179E">
        <w:rPr>
          <w:noProof/>
          <w:sz w:val="22"/>
          <w:szCs w:val="22"/>
        </w:rPr>
        <w:t xml:space="preserve"> 1/100 </w:t>
      </w:r>
      <w:r w:rsidR="009C64A3" w:rsidRPr="00F2179E">
        <w:rPr>
          <w:noProof/>
          <w:sz w:val="22"/>
          <w:szCs w:val="22"/>
        </w:rPr>
        <w:t>až</w:t>
      </w:r>
      <w:r w:rsidRPr="00F2179E">
        <w:rPr>
          <w:noProof/>
          <w:sz w:val="22"/>
          <w:szCs w:val="22"/>
        </w:rPr>
        <w:t xml:space="preserve"> &lt; 1/10)</w:t>
      </w:r>
    </w:p>
    <w:p w:rsidR="00984857" w:rsidRPr="00F2179E" w:rsidRDefault="00984857" w:rsidP="00984857">
      <w:pPr>
        <w:widowControl w:val="0"/>
        <w:numPr>
          <w:ilvl w:val="0"/>
          <w:numId w:val="1"/>
        </w:numPr>
        <w:spacing w:line="260" w:lineRule="exact"/>
        <w:rPr>
          <w:noProof/>
          <w:sz w:val="22"/>
          <w:szCs w:val="22"/>
        </w:rPr>
      </w:pPr>
      <w:r w:rsidRPr="00F2179E">
        <w:rPr>
          <w:noProof/>
          <w:sz w:val="22"/>
          <w:szCs w:val="22"/>
        </w:rPr>
        <w:t>Menej časté (</w:t>
      </w:r>
      <w:r w:rsidRPr="00F2179E">
        <w:rPr>
          <w:noProof/>
          <w:sz w:val="22"/>
          <w:szCs w:val="22"/>
        </w:rPr>
        <w:sym w:font="Symbol" w:char="F0B3"/>
      </w:r>
      <w:r w:rsidRPr="00F2179E">
        <w:rPr>
          <w:noProof/>
          <w:sz w:val="22"/>
          <w:szCs w:val="22"/>
        </w:rPr>
        <w:t xml:space="preserve"> 1/1</w:t>
      </w:r>
      <w:r w:rsidR="009C64A3" w:rsidRPr="00F2179E">
        <w:rPr>
          <w:noProof/>
          <w:sz w:val="22"/>
          <w:szCs w:val="22"/>
        </w:rPr>
        <w:t xml:space="preserve"> </w:t>
      </w:r>
      <w:r w:rsidRPr="00F2179E">
        <w:rPr>
          <w:noProof/>
          <w:sz w:val="22"/>
          <w:szCs w:val="22"/>
        </w:rPr>
        <w:t xml:space="preserve">000 </w:t>
      </w:r>
      <w:r w:rsidR="009C64A3" w:rsidRPr="00F2179E">
        <w:rPr>
          <w:noProof/>
          <w:sz w:val="22"/>
          <w:szCs w:val="22"/>
        </w:rPr>
        <w:t>až</w:t>
      </w:r>
      <w:r w:rsidRPr="00F2179E">
        <w:rPr>
          <w:noProof/>
          <w:sz w:val="22"/>
          <w:szCs w:val="22"/>
        </w:rPr>
        <w:t xml:space="preserve"> &lt; 1/100)</w:t>
      </w:r>
    </w:p>
    <w:p w:rsidR="00984857" w:rsidRPr="00F2179E" w:rsidRDefault="00984857" w:rsidP="00984857">
      <w:pPr>
        <w:widowControl w:val="0"/>
        <w:numPr>
          <w:ilvl w:val="0"/>
          <w:numId w:val="1"/>
        </w:numPr>
        <w:spacing w:line="260" w:lineRule="exact"/>
        <w:rPr>
          <w:noProof/>
          <w:sz w:val="22"/>
          <w:szCs w:val="22"/>
        </w:rPr>
      </w:pPr>
      <w:r w:rsidRPr="00F2179E">
        <w:rPr>
          <w:noProof/>
          <w:sz w:val="22"/>
          <w:szCs w:val="22"/>
        </w:rPr>
        <w:t>Zriedkavé (</w:t>
      </w:r>
      <w:r w:rsidRPr="00F2179E">
        <w:rPr>
          <w:noProof/>
          <w:sz w:val="22"/>
          <w:szCs w:val="22"/>
        </w:rPr>
        <w:sym w:font="Symbol" w:char="F0B3"/>
      </w:r>
      <w:r w:rsidRPr="00F2179E">
        <w:rPr>
          <w:noProof/>
          <w:sz w:val="22"/>
          <w:szCs w:val="22"/>
        </w:rPr>
        <w:t xml:space="preserve"> 1/10</w:t>
      </w:r>
      <w:r w:rsidR="009C64A3" w:rsidRPr="00F2179E">
        <w:rPr>
          <w:noProof/>
          <w:sz w:val="22"/>
          <w:szCs w:val="22"/>
        </w:rPr>
        <w:t xml:space="preserve"> </w:t>
      </w:r>
      <w:r w:rsidRPr="00F2179E">
        <w:rPr>
          <w:noProof/>
          <w:sz w:val="22"/>
          <w:szCs w:val="22"/>
        </w:rPr>
        <w:t xml:space="preserve">000 </w:t>
      </w:r>
      <w:r w:rsidR="009C64A3" w:rsidRPr="00F2179E">
        <w:rPr>
          <w:noProof/>
          <w:sz w:val="22"/>
          <w:szCs w:val="22"/>
        </w:rPr>
        <w:t>až</w:t>
      </w:r>
      <w:r w:rsidRPr="00F2179E">
        <w:rPr>
          <w:noProof/>
          <w:sz w:val="22"/>
          <w:szCs w:val="22"/>
        </w:rPr>
        <w:t xml:space="preserve"> &lt; 1/1</w:t>
      </w:r>
      <w:r w:rsidR="009C64A3" w:rsidRPr="00F2179E">
        <w:rPr>
          <w:noProof/>
          <w:sz w:val="22"/>
          <w:szCs w:val="22"/>
        </w:rPr>
        <w:t xml:space="preserve"> </w:t>
      </w:r>
      <w:r w:rsidRPr="00F2179E">
        <w:rPr>
          <w:noProof/>
          <w:sz w:val="22"/>
          <w:szCs w:val="22"/>
        </w:rPr>
        <w:t>000)</w:t>
      </w:r>
    </w:p>
    <w:p w:rsidR="00984857" w:rsidRPr="00F2179E" w:rsidRDefault="00984857" w:rsidP="00984857">
      <w:pPr>
        <w:widowControl w:val="0"/>
        <w:numPr>
          <w:ilvl w:val="0"/>
          <w:numId w:val="1"/>
        </w:numPr>
        <w:spacing w:line="260" w:lineRule="exact"/>
        <w:rPr>
          <w:noProof/>
          <w:sz w:val="22"/>
          <w:szCs w:val="22"/>
        </w:rPr>
      </w:pPr>
      <w:r w:rsidRPr="00F2179E">
        <w:rPr>
          <w:noProof/>
          <w:sz w:val="22"/>
          <w:szCs w:val="22"/>
        </w:rPr>
        <w:t>Veľmi zriedkavé (&lt; 1/10</w:t>
      </w:r>
      <w:r w:rsidR="009C64A3" w:rsidRPr="00F2179E">
        <w:rPr>
          <w:noProof/>
          <w:sz w:val="22"/>
          <w:szCs w:val="22"/>
        </w:rPr>
        <w:t xml:space="preserve"> </w:t>
      </w:r>
      <w:r w:rsidRPr="00F2179E">
        <w:rPr>
          <w:noProof/>
          <w:sz w:val="22"/>
          <w:szCs w:val="22"/>
        </w:rPr>
        <w:t>000)</w:t>
      </w:r>
    </w:p>
    <w:p w:rsidR="00984857" w:rsidRPr="00F2179E" w:rsidRDefault="00984857" w:rsidP="00984857">
      <w:pPr>
        <w:widowControl w:val="0"/>
        <w:numPr>
          <w:ilvl w:val="0"/>
          <w:numId w:val="1"/>
        </w:numPr>
        <w:spacing w:line="260" w:lineRule="exact"/>
        <w:rPr>
          <w:noProof/>
          <w:sz w:val="22"/>
          <w:szCs w:val="22"/>
        </w:rPr>
      </w:pPr>
      <w:r w:rsidRPr="00F2179E">
        <w:rPr>
          <w:noProof/>
          <w:sz w:val="22"/>
          <w:szCs w:val="22"/>
        </w:rPr>
        <w:t>Neznáme (z dostupných údajov)</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lang w:eastAsia="en-US"/>
        </w:rPr>
      </w:pPr>
      <w:r w:rsidRPr="00F2179E">
        <w:rPr>
          <w:sz w:val="22"/>
          <w:szCs w:val="22"/>
        </w:rPr>
        <w:t>V rámci jednotlivých skupín frekvencií sú nežiaduce účinky usporiadané v poradí klesajúcej závažnosti.</w:t>
      </w:r>
    </w:p>
    <w:p w:rsidR="00984857" w:rsidRPr="00F2179E" w:rsidRDefault="00984857" w:rsidP="00984857">
      <w:pPr>
        <w:widowControl w:val="0"/>
        <w:tabs>
          <w:tab w:val="left" w:pos="567"/>
        </w:tabs>
        <w:rPr>
          <w:iCs/>
          <w:sz w:val="22"/>
          <w:szCs w:val="22"/>
          <w:u w:val="single"/>
          <w:lang w:eastAsia="en-US"/>
        </w:rPr>
      </w:pPr>
    </w:p>
    <w:p w:rsidR="00984857" w:rsidRPr="00F2179E" w:rsidRDefault="00984857" w:rsidP="00984857">
      <w:pPr>
        <w:widowControl w:val="0"/>
        <w:tabs>
          <w:tab w:val="left" w:pos="567"/>
        </w:tabs>
        <w:rPr>
          <w:iCs/>
          <w:sz w:val="22"/>
          <w:szCs w:val="22"/>
          <w:u w:val="single"/>
          <w:lang w:eastAsia="en-US"/>
        </w:rPr>
      </w:pPr>
      <w:r w:rsidRPr="00F2179E">
        <w:rPr>
          <w:iCs/>
          <w:sz w:val="22"/>
          <w:szCs w:val="22"/>
          <w:u w:val="single"/>
          <w:lang w:eastAsia="en-US"/>
        </w:rPr>
        <w:t xml:space="preserve">Nežiaduce účinky pri </w:t>
      </w:r>
      <w:r w:rsidR="009D0EE8" w:rsidRPr="00F2179E">
        <w:rPr>
          <w:iCs/>
          <w:sz w:val="22"/>
          <w:szCs w:val="22"/>
          <w:u w:val="single"/>
          <w:lang w:eastAsia="en-US"/>
        </w:rPr>
        <w:t>liečbe</w:t>
      </w:r>
      <w:r w:rsidRPr="00F2179E">
        <w:rPr>
          <w:iCs/>
          <w:sz w:val="22"/>
          <w:szCs w:val="22"/>
          <w:u w:val="single"/>
          <w:lang w:eastAsia="en-US"/>
        </w:rPr>
        <w:t xml:space="preserve"> bolesti</w:t>
      </w:r>
    </w:p>
    <w:p w:rsidR="00984857" w:rsidRPr="00F2179E" w:rsidRDefault="00984857" w:rsidP="00984857">
      <w:pPr>
        <w:widowControl w:val="0"/>
        <w:tabs>
          <w:tab w:val="left" w:pos="567"/>
        </w:tabs>
        <w:rPr>
          <w:sz w:val="22"/>
          <w:szCs w:val="22"/>
          <w:lang w:eastAsia="en-US"/>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3"/>
        <w:gridCol w:w="1809"/>
        <w:gridCol w:w="1811"/>
        <w:gridCol w:w="1808"/>
        <w:gridCol w:w="1809"/>
      </w:tblGrid>
      <w:tr w:rsidR="00984857" w:rsidRPr="00F2179E" w:rsidTr="00456603">
        <w:trPr>
          <w:cantSplit/>
        </w:trPr>
        <w:tc>
          <w:tcPr>
            <w:tcW w:w="1833" w:type="dxa"/>
          </w:tcPr>
          <w:p w:rsidR="00984857" w:rsidRPr="00F2179E" w:rsidRDefault="00456603" w:rsidP="00CE6F50">
            <w:pPr>
              <w:widowControl w:val="0"/>
              <w:tabs>
                <w:tab w:val="left" w:pos="567"/>
              </w:tabs>
              <w:rPr>
                <w:sz w:val="22"/>
                <w:szCs w:val="22"/>
                <w:u w:val="single"/>
                <w:lang w:eastAsia="en-US"/>
              </w:rPr>
            </w:pPr>
            <w:r w:rsidRPr="00F2179E">
              <w:rPr>
                <w:sz w:val="22"/>
                <w:szCs w:val="22"/>
                <w:u w:val="single"/>
                <w:lang w:eastAsia="en-US"/>
              </w:rPr>
              <w:t>Trieda orgánových systémov</w:t>
            </w:r>
            <w:r w:rsidR="009C64A3" w:rsidRPr="00F2179E">
              <w:rPr>
                <w:sz w:val="22"/>
                <w:szCs w:val="22"/>
                <w:u w:val="single"/>
                <w:lang w:eastAsia="en-US"/>
              </w:rPr>
              <w:t xml:space="preserve"> podľa</w:t>
            </w:r>
          </w:p>
          <w:p w:rsidR="00984857" w:rsidRPr="00F2179E" w:rsidRDefault="00984857" w:rsidP="00CE6F50">
            <w:pPr>
              <w:widowControl w:val="0"/>
              <w:tabs>
                <w:tab w:val="left" w:pos="567"/>
              </w:tabs>
              <w:rPr>
                <w:sz w:val="22"/>
                <w:szCs w:val="22"/>
                <w:highlight w:val="yellow"/>
                <w:u w:val="single"/>
                <w:lang w:eastAsia="en-US"/>
              </w:rPr>
            </w:pPr>
            <w:r w:rsidRPr="00F2179E">
              <w:rPr>
                <w:sz w:val="22"/>
                <w:szCs w:val="22"/>
                <w:u w:val="single"/>
                <w:lang w:eastAsia="en-US"/>
              </w:rPr>
              <w:t>MedDRA</w:t>
            </w:r>
          </w:p>
        </w:tc>
        <w:tc>
          <w:tcPr>
            <w:tcW w:w="1809" w:type="dxa"/>
          </w:tcPr>
          <w:p w:rsidR="00984857" w:rsidRPr="00F2179E" w:rsidRDefault="00984857" w:rsidP="00CE6F50">
            <w:pPr>
              <w:widowControl w:val="0"/>
              <w:tabs>
                <w:tab w:val="left" w:pos="567"/>
              </w:tabs>
              <w:rPr>
                <w:sz w:val="22"/>
                <w:szCs w:val="22"/>
                <w:u w:val="single"/>
                <w:lang w:eastAsia="en-US"/>
              </w:rPr>
            </w:pPr>
            <w:r w:rsidRPr="00F2179E">
              <w:rPr>
                <w:sz w:val="22"/>
                <w:szCs w:val="22"/>
                <w:u w:val="single"/>
                <w:lang w:eastAsia="en-US"/>
              </w:rPr>
              <w:t>Časté</w:t>
            </w:r>
          </w:p>
          <w:p w:rsidR="00984857" w:rsidRPr="00F2179E" w:rsidRDefault="00984857" w:rsidP="00CE6F50">
            <w:pPr>
              <w:widowControl w:val="0"/>
              <w:jc w:val="center"/>
              <w:rPr>
                <w:sz w:val="22"/>
                <w:szCs w:val="22"/>
                <w:highlight w:val="yellow"/>
                <w:u w:val="single"/>
                <w:lang w:eastAsia="en-US"/>
              </w:rPr>
            </w:pPr>
          </w:p>
        </w:tc>
        <w:tc>
          <w:tcPr>
            <w:tcW w:w="1811" w:type="dxa"/>
          </w:tcPr>
          <w:p w:rsidR="00984857" w:rsidRPr="00F2179E" w:rsidRDefault="00984857" w:rsidP="00CE6F50">
            <w:pPr>
              <w:widowControl w:val="0"/>
              <w:tabs>
                <w:tab w:val="left" w:pos="567"/>
              </w:tabs>
              <w:rPr>
                <w:sz w:val="22"/>
                <w:szCs w:val="22"/>
                <w:u w:val="single"/>
                <w:lang w:eastAsia="en-US"/>
              </w:rPr>
            </w:pPr>
            <w:r w:rsidRPr="00F2179E">
              <w:rPr>
                <w:sz w:val="22"/>
                <w:szCs w:val="22"/>
                <w:u w:val="single"/>
                <w:lang w:eastAsia="en-US"/>
              </w:rPr>
              <w:t>Menej časté</w:t>
            </w:r>
          </w:p>
          <w:p w:rsidR="00984857" w:rsidRPr="00F2179E" w:rsidRDefault="00984857" w:rsidP="00CE6F50">
            <w:pPr>
              <w:widowControl w:val="0"/>
              <w:tabs>
                <w:tab w:val="left" w:pos="567"/>
              </w:tabs>
              <w:rPr>
                <w:sz w:val="22"/>
                <w:szCs w:val="22"/>
                <w:highlight w:val="yellow"/>
                <w:u w:val="single"/>
                <w:lang w:eastAsia="en-US"/>
              </w:rPr>
            </w:pPr>
          </w:p>
        </w:tc>
        <w:tc>
          <w:tcPr>
            <w:tcW w:w="1808" w:type="dxa"/>
          </w:tcPr>
          <w:p w:rsidR="00984857" w:rsidRPr="00F2179E" w:rsidRDefault="00984857" w:rsidP="00CE6F50">
            <w:pPr>
              <w:widowControl w:val="0"/>
              <w:tabs>
                <w:tab w:val="left" w:pos="567"/>
              </w:tabs>
              <w:rPr>
                <w:sz w:val="22"/>
                <w:szCs w:val="22"/>
                <w:u w:val="single"/>
                <w:lang w:eastAsia="en-US"/>
              </w:rPr>
            </w:pPr>
            <w:r w:rsidRPr="00F2179E">
              <w:rPr>
                <w:sz w:val="22"/>
                <w:szCs w:val="22"/>
                <w:u w:val="single"/>
                <w:lang w:eastAsia="en-US"/>
              </w:rPr>
              <w:t>Zriedkavé</w:t>
            </w:r>
          </w:p>
          <w:p w:rsidR="00984857" w:rsidRPr="00F2179E" w:rsidRDefault="00984857" w:rsidP="00CE6F50">
            <w:pPr>
              <w:widowControl w:val="0"/>
              <w:tabs>
                <w:tab w:val="left" w:pos="567"/>
              </w:tabs>
              <w:jc w:val="center"/>
              <w:rPr>
                <w:sz w:val="22"/>
                <w:szCs w:val="22"/>
                <w:highlight w:val="yellow"/>
                <w:u w:val="single"/>
                <w:lang w:eastAsia="en-US"/>
              </w:rPr>
            </w:pPr>
          </w:p>
        </w:tc>
        <w:tc>
          <w:tcPr>
            <w:tcW w:w="1809" w:type="dxa"/>
          </w:tcPr>
          <w:p w:rsidR="00984857" w:rsidRPr="00F2179E" w:rsidRDefault="00984857" w:rsidP="00CE6F50">
            <w:pPr>
              <w:widowControl w:val="0"/>
              <w:tabs>
                <w:tab w:val="left" w:pos="567"/>
              </w:tabs>
              <w:rPr>
                <w:sz w:val="22"/>
                <w:szCs w:val="22"/>
                <w:u w:val="single"/>
                <w:lang w:eastAsia="en-US"/>
              </w:rPr>
            </w:pPr>
            <w:r w:rsidRPr="00F2179E">
              <w:rPr>
                <w:sz w:val="22"/>
                <w:szCs w:val="22"/>
                <w:u w:val="single"/>
                <w:lang w:eastAsia="en-US"/>
              </w:rPr>
              <w:t>Neznáme</w:t>
            </w:r>
          </w:p>
          <w:p w:rsidR="00984857" w:rsidRPr="00F2179E" w:rsidRDefault="00984857" w:rsidP="00CE6F50">
            <w:pPr>
              <w:widowControl w:val="0"/>
              <w:tabs>
                <w:tab w:val="left" w:pos="567"/>
              </w:tabs>
              <w:jc w:val="center"/>
              <w:rPr>
                <w:sz w:val="22"/>
                <w:szCs w:val="22"/>
                <w:highlight w:val="yellow"/>
                <w:u w:val="single"/>
                <w:lang w:eastAsia="en-US"/>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Poruchy imunitného systému</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 xml:space="preserve">Hypersenzitivita </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Poruchy metabolizmu a výživy</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sz w:val="22"/>
                <w:szCs w:val="22"/>
              </w:rPr>
              <w:t>Znížená chuť do jedla alebo strata chuti do jedla</w:t>
            </w:r>
            <w:r w:rsidRPr="00F2179E">
              <w:rPr>
                <w:color w:val="000000"/>
                <w:sz w:val="22"/>
                <w:szCs w:val="22"/>
              </w:rPr>
              <w:t xml:space="preserve"> </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Psychické poruchy</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 xml:space="preserve">Nespavosť </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 xml:space="preserve">Poruchy myslenia </w:t>
            </w:r>
          </w:p>
          <w:p w:rsidR="00984857" w:rsidRPr="00F2179E" w:rsidRDefault="00984857" w:rsidP="00CE6F50">
            <w:pPr>
              <w:rPr>
                <w:color w:val="000000"/>
                <w:sz w:val="22"/>
                <w:szCs w:val="22"/>
              </w:rPr>
            </w:pPr>
            <w:r w:rsidRPr="00F2179E">
              <w:rPr>
                <w:color w:val="000000"/>
                <w:sz w:val="22"/>
                <w:szCs w:val="22"/>
              </w:rPr>
              <w:t xml:space="preserve">Úzkosť </w:t>
            </w:r>
          </w:p>
          <w:p w:rsidR="00984857" w:rsidRPr="00F2179E" w:rsidRDefault="00984857" w:rsidP="00CE6F50">
            <w:pPr>
              <w:rPr>
                <w:color w:val="000000"/>
                <w:sz w:val="22"/>
                <w:szCs w:val="22"/>
              </w:rPr>
            </w:pPr>
            <w:r w:rsidRPr="00F2179E">
              <w:rPr>
                <w:color w:val="000000"/>
                <w:sz w:val="22"/>
                <w:szCs w:val="22"/>
              </w:rPr>
              <w:t xml:space="preserve">Zmätenosť </w:t>
            </w:r>
          </w:p>
          <w:p w:rsidR="00984857" w:rsidRPr="00F2179E" w:rsidRDefault="00984857" w:rsidP="00CE6F50">
            <w:pPr>
              <w:rPr>
                <w:color w:val="000000"/>
                <w:sz w:val="22"/>
                <w:szCs w:val="22"/>
              </w:rPr>
            </w:pPr>
            <w:r w:rsidRPr="00F2179E">
              <w:rPr>
                <w:color w:val="000000"/>
                <w:sz w:val="22"/>
                <w:szCs w:val="22"/>
              </w:rPr>
              <w:t xml:space="preserve">Depresia </w:t>
            </w:r>
          </w:p>
          <w:p w:rsidR="00984857" w:rsidRPr="00F2179E" w:rsidRDefault="00984857" w:rsidP="00CE6F50">
            <w:pPr>
              <w:rPr>
                <w:color w:val="000000"/>
                <w:sz w:val="22"/>
                <w:szCs w:val="22"/>
              </w:rPr>
            </w:pPr>
            <w:r w:rsidRPr="00F2179E">
              <w:rPr>
                <w:color w:val="000000"/>
                <w:sz w:val="22"/>
                <w:szCs w:val="22"/>
              </w:rPr>
              <w:t xml:space="preserve">Nervozita </w:t>
            </w:r>
          </w:p>
          <w:p w:rsidR="00984857" w:rsidRPr="00F2179E" w:rsidRDefault="00984857" w:rsidP="00CE6F50">
            <w:pPr>
              <w:rPr>
                <w:color w:val="000000"/>
                <w:sz w:val="22"/>
                <w:szCs w:val="22"/>
              </w:rPr>
            </w:pPr>
            <w:r w:rsidRPr="00F2179E">
              <w:rPr>
                <w:color w:val="000000"/>
                <w:sz w:val="22"/>
                <w:szCs w:val="22"/>
              </w:rPr>
              <w:t xml:space="preserve">Nepokoj  </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Euforická nálada</w:t>
            </w:r>
          </w:p>
          <w:p w:rsidR="00984857" w:rsidRPr="00F2179E" w:rsidRDefault="00984857" w:rsidP="00CE6F50">
            <w:pPr>
              <w:rPr>
                <w:color w:val="000000"/>
                <w:sz w:val="22"/>
                <w:szCs w:val="22"/>
              </w:rPr>
            </w:pPr>
            <w:r w:rsidRPr="00F2179E">
              <w:rPr>
                <w:color w:val="000000"/>
                <w:sz w:val="22"/>
                <w:szCs w:val="22"/>
              </w:rPr>
              <w:t xml:space="preserve">Halucinácie </w:t>
            </w:r>
          </w:p>
          <w:p w:rsidR="00984857" w:rsidRPr="00F2179E" w:rsidRDefault="00984857" w:rsidP="00CE6F50">
            <w:pPr>
              <w:rPr>
                <w:color w:val="000000"/>
                <w:sz w:val="22"/>
                <w:szCs w:val="22"/>
              </w:rPr>
            </w:pPr>
            <w:r w:rsidRPr="00F2179E">
              <w:rPr>
                <w:color w:val="000000"/>
                <w:sz w:val="22"/>
                <w:szCs w:val="22"/>
              </w:rPr>
              <w:t xml:space="preserve">Nočné mory </w:t>
            </w: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Poruchy nervového systému</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 xml:space="preserve">Závrat </w:t>
            </w:r>
          </w:p>
          <w:p w:rsidR="00984857" w:rsidRPr="00F2179E" w:rsidRDefault="00984857" w:rsidP="00CE6F50">
            <w:pPr>
              <w:rPr>
                <w:color w:val="000000"/>
                <w:sz w:val="22"/>
                <w:szCs w:val="22"/>
              </w:rPr>
            </w:pPr>
            <w:r w:rsidRPr="00F2179E">
              <w:rPr>
                <w:color w:val="000000"/>
                <w:sz w:val="22"/>
                <w:szCs w:val="22"/>
              </w:rPr>
              <w:t xml:space="preserve">Bolesť hlavy </w:t>
            </w:r>
          </w:p>
          <w:p w:rsidR="00984857" w:rsidRPr="00F2179E" w:rsidRDefault="00984857" w:rsidP="00CE6F50">
            <w:pPr>
              <w:rPr>
                <w:color w:val="000000"/>
                <w:sz w:val="22"/>
                <w:szCs w:val="22"/>
              </w:rPr>
            </w:pPr>
            <w:r w:rsidRPr="00F2179E">
              <w:rPr>
                <w:color w:val="000000"/>
                <w:sz w:val="22"/>
                <w:szCs w:val="22"/>
              </w:rPr>
              <w:t>Somnolencia</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Kŕče</w:t>
            </w:r>
            <w:r w:rsidRPr="00F2179E">
              <w:rPr>
                <w:color w:val="000000"/>
                <w:sz w:val="22"/>
                <w:szCs w:val="22"/>
                <w:vertAlign w:val="superscript"/>
              </w:rPr>
              <w:t>1</w:t>
            </w:r>
          </w:p>
          <w:p w:rsidR="00984857" w:rsidRPr="00F2179E" w:rsidRDefault="00984857" w:rsidP="00CE6F50">
            <w:pPr>
              <w:rPr>
                <w:color w:val="000000"/>
                <w:sz w:val="22"/>
                <w:szCs w:val="22"/>
              </w:rPr>
            </w:pPr>
            <w:r w:rsidRPr="00F2179E">
              <w:rPr>
                <w:color w:val="000000"/>
                <w:sz w:val="22"/>
                <w:szCs w:val="22"/>
              </w:rPr>
              <w:t xml:space="preserve">Zhoršená pozornosť </w:t>
            </w:r>
          </w:p>
          <w:p w:rsidR="00984857" w:rsidRPr="00F2179E" w:rsidRDefault="00984857" w:rsidP="00CE6F50">
            <w:pPr>
              <w:rPr>
                <w:color w:val="000000"/>
                <w:sz w:val="22"/>
                <w:szCs w:val="22"/>
              </w:rPr>
            </w:pPr>
            <w:r w:rsidRPr="00F2179E">
              <w:rPr>
                <w:color w:val="000000"/>
                <w:sz w:val="22"/>
                <w:szCs w:val="22"/>
              </w:rPr>
              <w:t xml:space="preserve">Poruchy reči </w:t>
            </w:r>
          </w:p>
          <w:p w:rsidR="00984857" w:rsidRPr="00F2179E" w:rsidRDefault="00984857" w:rsidP="00CE6F50">
            <w:pPr>
              <w:rPr>
                <w:color w:val="000000"/>
                <w:sz w:val="22"/>
                <w:szCs w:val="22"/>
              </w:rPr>
            </w:pPr>
            <w:r w:rsidRPr="00F2179E">
              <w:rPr>
                <w:color w:val="000000"/>
                <w:sz w:val="22"/>
                <w:szCs w:val="22"/>
              </w:rPr>
              <w:t xml:space="preserve">Synkopa </w:t>
            </w:r>
          </w:p>
          <w:p w:rsidR="00984857" w:rsidRPr="00F2179E" w:rsidRDefault="00984857" w:rsidP="00CE6F50">
            <w:pPr>
              <w:rPr>
                <w:color w:val="000000"/>
                <w:sz w:val="22"/>
                <w:szCs w:val="22"/>
              </w:rPr>
            </w:pPr>
            <w:r w:rsidRPr="00F2179E">
              <w:rPr>
                <w:color w:val="000000"/>
                <w:sz w:val="22"/>
                <w:szCs w:val="22"/>
              </w:rPr>
              <w:t xml:space="preserve">Tremor </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456603" w:rsidP="00CE6F50">
            <w:pPr>
              <w:rPr>
                <w:color w:val="000000"/>
                <w:sz w:val="22"/>
                <w:szCs w:val="22"/>
              </w:rPr>
            </w:pPr>
            <w:r w:rsidRPr="00F2179E">
              <w:rPr>
                <w:color w:val="000000"/>
                <w:sz w:val="22"/>
                <w:szCs w:val="22"/>
              </w:rPr>
              <w:t>Par</w:t>
            </w:r>
            <w:r w:rsidR="00984857" w:rsidRPr="00F2179E">
              <w:rPr>
                <w:color w:val="000000"/>
                <w:sz w:val="22"/>
                <w:szCs w:val="22"/>
              </w:rPr>
              <w:t>es</w:t>
            </w:r>
            <w:r w:rsidRPr="00F2179E">
              <w:rPr>
                <w:color w:val="000000"/>
                <w:sz w:val="22"/>
                <w:szCs w:val="22"/>
              </w:rPr>
              <w:t>t</w:t>
            </w:r>
            <w:r w:rsidR="00984857" w:rsidRPr="00F2179E">
              <w:rPr>
                <w:color w:val="000000"/>
                <w:sz w:val="22"/>
                <w:szCs w:val="22"/>
              </w:rPr>
              <w:t xml:space="preserve">ézia </w:t>
            </w:r>
          </w:p>
          <w:p w:rsidR="00984857" w:rsidRPr="00F2179E" w:rsidRDefault="00984857" w:rsidP="00CE6F50">
            <w:pPr>
              <w:rPr>
                <w:color w:val="000000"/>
                <w:sz w:val="22"/>
                <w:szCs w:val="22"/>
              </w:rPr>
            </w:pPr>
            <w:r w:rsidRPr="00F2179E">
              <w:rPr>
                <w:color w:val="000000"/>
                <w:sz w:val="22"/>
                <w:szCs w:val="22"/>
              </w:rPr>
              <w:t xml:space="preserve">Sedácia </w:t>
            </w: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Poruchy oka</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Poruchy videnia</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Poruchy ucha a labyrintu</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 xml:space="preserve">Vertigo </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Poruchy srdca a srdcovej činnosti</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i/>
                <w:color w:val="000000"/>
                <w:sz w:val="22"/>
                <w:szCs w:val="22"/>
              </w:rPr>
            </w:pPr>
            <w:r w:rsidRPr="00F2179E">
              <w:rPr>
                <w:i/>
                <w:color w:val="000000"/>
                <w:sz w:val="22"/>
                <w:szCs w:val="22"/>
              </w:rPr>
              <w:t>Angina pectoris</w:t>
            </w:r>
            <w:r w:rsidRPr="00F2179E">
              <w:rPr>
                <w:i/>
                <w:color w:val="000000"/>
                <w:sz w:val="22"/>
                <w:szCs w:val="22"/>
                <w:vertAlign w:val="superscript"/>
              </w:rPr>
              <w:t>2</w:t>
            </w:r>
          </w:p>
          <w:p w:rsidR="00984857" w:rsidRPr="00F2179E" w:rsidRDefault="00984857" w:rsidP="00CE6F50">
            <w:pPr>
              <w:rPr>
                <w:color w:val="000000"/>
                <w:sz w:val="22"/>
                <w:szCs w:val="22"/>
              </w:rPr>
            </w:pPr>
            <w:r w:rsidRPr="00F2179E">
              <w:rPr>
                <w:color w:val="000000"/>
                <w:sz w:val="22"/>
                <w:szCs w:val="22"/>
              </w:rPr>
              <w:t>Palpitácie</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 xml:space="preserve">Tachykardia </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lastRenderedPageBreak/>
              <w:t>Poruchy ciev</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Návaly tepla</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sz w:val="22"/>
                <w:szCs w:val="22"/>
              </w:rPr>
            </w:pPr>
            <w:r w:rsidRPr="00F2179E">
              <w:rPr>
                <w:sz w:val="22"/>
                <w:szCs w:val="22"/>
              </w:rPr>
              <w:t>Zníženie krvného tlaku</w:t>
            </w:r>
          </w:p>
          <w:p w:rsidR="00984857" w:rsidRPr="00F2179E" w:rsidRDefault="00984857" w:rsidP="00CE6F50">
            <w:pPr>
              <w:rPr>
                <w:sz w:val="22"/>
                <w:szCs w:val="22"/>
              </w:rPr>
            </w:pPr>
            <w:r w:rsidRPr="00F2179E">
              <w:rPr>
                <w:sz w:val="22"/>
                <w:szCs w:val="22"/>
              </w:rPr>
              <w:t>Zvýšenie krvného tlaku</w:t>
            </w:r>
            <w:r w:rsidRPr="00F2179E">
              <w:rPr>
                <w:color w:val="000000"/>
                <w:sz w:val="22"/>
                <w:szCs w:val="22"/>
              </w:rPr>
              <w:t xml:space="preserve"> </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Poruchy dýchacej sústavy, hrudníka a mediastína</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5C54CB" w:rsidP="00CE6F50">
            <w:pPr>
              <w:rPr>
                <w:color w:val="000000"/>
                <w:sz w:val="22"/>
                <w:szCs w:val="22"/>
              </w:rPr>
            </w:pPr>
            <w:r w:rsidRPr="00F2179E">
              <w:rPr>
                <w:color w:val="000000"/>
                <w:sz w:val="22"/>
                <w:szCs w:val="22"/>
              </w:rPr>
              <w:t>Dyspnoe</w:t>
            </w:r>
          </w:p>
          <w:p w:rsidR="00984857" w:rsidRPr="00F2179E" w:rsidRDefault="00984857" w:rsidP="00CE6F50">
            <w:pPr>
              <w:rPr>
                <w:color w:val="000000"/>
                <w:sz w:val="22"/>
                <w:szCs w:val="22"/>
              </w:rPr>
            </w:pPr>
            <w:r w:rsidRPr="00F2179E">
              <w:rPr>
                <w:color w:val="000000"/>
                <w:sz w:val="22"/>
                <w:szCs w:val="22"/>
              </w:rPr>
              <w:t xml:space="preserve">Výtok z nosa </w:t>
            </w:r>
          </w:p>
          <w:p w:rsidR="00984857" w:rsidRPr="00F2179E" w:rsidRDefault="00984857" w:rsidP="00CE6F50">
            <w:pPr>
              <w:rPr>
                <w:color w:val="000000"/>
                <w:sz w:val="22"/>
                <w:szCs w:val="22"/>
              </w:rPr>
            </w:pPr>
            <w:r w:rsidRPr="00F2179E">
              <w:rPr>
                <w:color w:val="000000"/>
                <w:sz w:val="22"/>
                <w:szCs w:val="22"/>
              </w:rPr>
              <w:t>Kašeľ</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 xml:space="preserve">Zívanie </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Respiračná depresia</w:t>
            </w: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Poruchy gastrointestinálneho traktu</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Bolesť brucha</w:t>
            </w:r>
          </w:p>
          <w:p w:rsidR="00984857" w:rsidRPr="00F2179E" w:rsidRDefault="00984857" w:rsidP="00CE6F50">
            <w:pPr>
              <w:rPr>
                <w:color w:val="000000"/>
                <w:sz w:val="22"/>
                <w:szCs w:val="22"/>
              </w:rPr>
            </w:pPr>
            <w:r w:rsidRPr="00F2179E">
              <w:rPr>
                <w:color w:val="000000"/>
                <w:sz w:val="22"/>
                <w:szCs w:val="22"/>
              </w:rPr>
              <w:t>Zápcha</w:t>
            </w:r>
          </w:p>
          <w:p w:rsidR="00984857" w:rsidRPr="00F2179E" w:rsidRDefault="00984857" w:rsidP="00CE6F50">
            <w:pPr>
              <w:rPr>
                <w:color w:val="000000"/>
                <w:sz w:val="22"/>
                <w:szCs w:val="22"/>
              </w:rPr>
            </w:pPr>
            <w:r w:rsidRPr="00F2179E">
              <w:rPr>
                <w:color w:val="000000"/>
                <w:sz w:val="22"/>
                <w:szCs w:val="22"/>
              </w:rPr>
              <w:t xml:space="preserve">Hnačka </w:t>
            </w:r>
          </w:p>
          <w:p w:rsidR="00984857" w:rsidRPr="00F2179E" w:rsidRDefault="00984857" w:rsidP="00CE6F50">
            <w:pPr>
              <w:rPr>
                <w:color w:val="000000"/>
                <w:sz w:val="22"/>
                <w:szCs w:val="22"/>
              </w:rPr>
            </w:pPr>
            <w:r w:rsidRPr="00F2179E">
              <w:rPr>
                <w:color w:val="000000"/>
                <w:sz w:val="22"/>
                <w:szCs w:val="22"/>
              </w:rPr>
              <w:t>Sucho v ústach</w:t>
            </w:r>
          </w:p>
          <w:p w:rsidR="00984857" w:rsidRPr="00F2179E" w:rsidRDefault="00984857" w:rsidP="00CE6F50">
            <w:pPr>
              <w:rPr>
                <w:color w:val="000000"/>
                <w:sz w:val="22"/>
                <w:szCs w:val="22"/>
              </w:rPr>
            </w:pPr>
            <w:r w:rsidRPr="00F2179E">
              <w:rPr>
                <w:color w:val="000000"/>
                <w:sz w:val="22"/>
                <w:szCs w:val="22"/>
              </w:rPr>
              <w:t xml:space="preserve">Dyspepsia </w:t>
            </w:r>
          </w:p>
          <w:p w:rsidR="00984857" w:rsidRPr="00F2179E" w:rsidRDefault="00984857" w:rsidP="00CE6F50">
            <w:pPr>
              <w:rPr>
                <w:color w:val="000000"/>
                <w:sz w:val="22"/>
                <w:szCs w:val="22"/>
              </w:rPr>
            </w:pPr>
            <w:r w:rsidRPr="00F2179E">
              <w:rPr>
                <w:color w:val="000000"/>
                <w:sz w:val="22"/>
                <w:szCs w:val="22"/>
              </w:rPr>
              <w:t xml:space="preserve">Vracanie </w:t>
            </w:r>
          </w:p>
          <w:p w:rsidR="00984857" w:rsidRPr="00F2179E" w:rsidRDefault="00984857" w:rsidP="00CE6F50">
            <w:pPr>
              <w:rPr>
                <w:color w:val="000000"/>
                <w:sz w:val="22"/>
                <w:szCs w:val="22"/>
              </w:rPr>
            </w:pPr>
            <w:r w:rsidRPr="00F2179E">
              <w:rPr>
                <w:color w:val="000000"/>
                <w:sz w:val="22"/>
                <w:szCs w:val="22"/>
              </w:rPr>
              <w:t xml:space="preserve">Nevoľnosť </w:t>
            </w:r>
          </w:p>
          <w:p w:rsidR="00984857" w:rsidRPr="00F2179E" w:rsidRDefault="00984857" w:rsidP="00CE6F50">
            <w:pPr>
              <w:rPr>
                <w:color w:val="000000"/>
                <w:sz w:val="22"/>
                <w:szCs w:val="22"/>
              </w:rPr>
            </w:pPr>
            <w:r w:rsidRPr="00F2179E">
              <w:rPr>
                <w:color w:val="000000"/>
                <w:sz w:val="22"/>
                <w:szCs w:val="22"/>
              </w:rPr>
              <w:t xml:space="preserve">Plynatosť </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Abdominálna distenzia</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Zmeny na zuboch</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 xml:space="preserve">Eruktácia </w:t>
            </w: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Poruchy pečene a žlčových ciest</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sz w:val="22"/>
                <w:szCs w:val="22"/>
              </w:rPr>
            </w:pPr>
            <w:r w:rsidRPr="00F2179E">
              <w:rPr>
                <w:sz w:val="22"/>
                <w:szCs w:val="22"/>
              </w:rPr>
              <w:t>Zvýšenie hodnôt pečeňových enzýmov</w:t>
            </w:r>
          </w:p>
          <w:p w:rsidR="00984857" w:rsidRPr="00F2179E" w:rsidRDefault="00984857" w:rsidP="00CE6F50">
            <w:pPr>
              <w:rPr>
                <w:color w:val="000000"/>
                <w:sz w:val="22"/>
                <w:szCs w:val="22"/>
              </w:rPr>
            </w:pPr>
            <w:r w:rsidRPr="00F2179E">
              <w:rPr>
                <w:sz w:val="22"/>
                <w:szCs w:val="22"/>
              </w:rPr>
              <w:t>Žlčová kolika</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Poruchy kože a podkožného tkaniva</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8080"/>
                <w:sz w:val="22"/>
                <w:szCs w:val="22"/>
              </w:rPr>
            </w:pPr>
            <w:r w:rsidRPr="00F2179E">
              <w:rPr>
                <w:sz w:val="22"/>
                <w:szCs w:val="22"/>
              </w:rPr>
              <w:t>Svrbenie</w:t>
            </w:r>
          </w:p>
          <w:p w:rsidR="00984857" w:rsidRPr="00F2179E" w:rsidRDefault="00984857" w:rsidP="00CE6F50">
            <w:pPr>
              <w:rPr>
                <w:sz w:val="22"/>
                <w:szCs w:val="22"/>
              </w:rPr>
            </w:pPr>
            <w:r w:rsidRPr="00F2179E">
              <w:rPr>
                <w:sz w:val="22"/>
                <w:szCs w:val="22"/>
              </w:rPr>
              <w:t>Kožné reakcie</w:t>
            </w:r>
          </w:p>
          <w:p w:rsidR="00984857" w:rsidRPr="00F2179E" w:rsidRDefault="00984857" w:rsidP="00CE6F50">
            <w:pPr>
              <w:rPr>
                <w:color w:val="000000"/>
                <w:sz w:val="22"/>
                <w:szCs w:val="22"/>
              </w:rPr>
            </w:pPr>
            <w:r w:rsidRPr="00F2179E">
              <w:rPr>
                <w:sz w:val="22"/>
                <w:szCs w:val="22"/>
              </w:rPr>
              <w:t xml:space="preserve">Hyperhidróza </w:t>
            </w:r>
            <w:r w:rsidRPr="00F2179E">
              <w:rPr>
                <w:color w:val="000000"/>
                <w:sz w:val="22"/>
                <w:szCs w:val="22"/>
              </w:rPr>
              <w:t xml:space="preserve"> </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 xml:space="preserve">Poruchy kostrovej a svalovej sústavy a spojivového tkaniva </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sz w:val="22"/>
                <w:szCs w:val="22"/>
              </w:rPr>
            </w:pPr>
            <w:r w:rsidRPr="00F2179E">
              <w:rPr>
                <w:sz w:val="22"/>
                <w:szCs w:val="22"/>
              </w:rPr>
              <w:t>Svalové spazmy</w:t>
            </w:r>
          </w:p>
          <w:p w:rsidR="00984857" w:rsidRPr="00F2179E" w:rsidRDefault="00984857" w:rsidP="00CE6F50">
            <w:pPr>
              <w:rPr>
                <w:sz w:val="22"/>
                <w:szCs w:val="22"/>
              </w:rPr>
            </w:pPr>
            <w:r w:rsidRPr="00F2179E">
              <w:rPr>
                <w:sz w:val="22"/>
                <w:szCs w:val="22"/>
              </w:rPr>
              <w:t>Šklbanie vo svaloch</w:t>
            </w:r>
          </w:p>
          <w:p w:rsidR="00984857" w:rsidRPr="00F2179E" w:rsidRDefault="00984857" w:rsidP="00CE6F50">
            <w:pPr>
              <w:rPr>
                <w:color w:val="000000"/>
                <w:sz w:val="22"/>
                <w:szCs w:val="22"/>
              </w:rPr>
            </w:pPr>
            <w:r w:rsidRPr="00F2179E">
              <w:rPr>
                <w:sz w:val="22"/>
                <w:szCs w:val="22"/>
              </w:rPr>
              <w:t xml:space="preserve">Myalgia </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Poruchy obličiek a močových ciest</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Častá potreba močiť</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Zadržiavanie moču</w:t>
            </w: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Poruchy reprodukčného systému a prsníkov</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 xml:space="preserve">Poruchy erekcie </w:t>
            </w: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 xml:space="preserve">Celkové poruchy a reakcie v mieste podania </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 xml:space="preserve">Asténia </w:t>
            </w:r>
          </w:p>
          <w:p w:rsidR="00984857" w:rsidRPr="00F2179E" w:rsidRDefault="00984857" w:rsidP="00CE6F50">
            <w:pPr>
              <w:rPr>
                <w:color w:val="000000"/>
                <w:sz w:val="22"/>
                <w:szCs w:val="22"/>
              </w:rPr>
            </w:pPr>
            <w:r w:rsidRPr="00F2179E">
              <w:rPr>
                <w:color w:val="000000"/>
                <w:sz w:val="22"/>
                <w:szCs w:val="22"/>
              </w:rPr>
              <w:t xml:space="preserve">Únava </w:t>
            </w: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sz w:val="22"/>
                <w:szCs w:val="22"/>
              </w:rPr>
            </w:pPr>
            <w:r w:rsidRPr="00F2179E">
              <w:rPr>
                <w:sz w:val="22"/>
                <w:szCs w:val="22"/>
              </w:rPr>
              <w:t>Bolesť na hrudi</w:t>
            </w:r>
          </w:p>
          <w:p w:rsidR="00984857" w:rsidRPr="00F2179E" w:rsidRDefault="00984857" w:rsidP="00CE6F50">
            <w:pPr>
              <w:rPr>
                <w:sz w:val="22"/>
                <w:szCs w:val="22"/>
              </w:rPr>
            </w:pPr>
            <w:r w:rsidRPr="00F2179E">
              <w:rPr>
                <w:sz w:val="22"/>
                <w:szCs w:val="22"/>
              </w:rPr>
              <w:t>Zimnica</w:t>
            </w:r>
          </w:p>
          <w:p w:rsidR="00984857" w:rsidRPr="00F2179E" w:rsidRDefault="00984857" w:rsidP="00CE6F50">
            <w:pPr>
              <w:rPr>
                <w:sz w:val="22"/>
                <w:szCs w:val="22"/>
              </w:rPr>
            </w:pPr>
            <w:r w:rsidRPr="00F2179E">
              <w:rPr>
                <w:sz w:val="22"/>
                <w:szCs w:val="22"/>
              </w:rPr>
              <w:t>Syndróm z vysadenia lieku</w:t>
            </w:r>
          </w:p>
          <w:p w:rsidR="00984857" w:rsidRPr="00F2179E" w:rsidRDefault="00984857" w:rsidP="00CE6F50">
            <w:pPr>
              <w:rPr>
                <w:sz w:val="22"/>
                <w:szCs w:val="22"/>
              </w:rPr>
            </w:pPr>
            <w:r w:rsidRPr="00F2179E">
              <w:rPr>
                <w:sz w:val="22"/>
                <w:szCs w:val="22"/>
              </w:rPr>
              <w:t>Celkový pocit choroby</w:t>
            </w:r>
          </w:p>
          <w:p w:rsidR="00984857" w:rsidRPr="00F2179E" w:rsidRDefault="00984857" w:rsidP="00CE6F50">
            <w:pPr>
              <w:rPr>
                <w:sz w:val="22"/>
                <w:szCs w:val="22"/>
              </w:rPr>
            </w:pPr>
            <w:r w:rsidRPr="00F2179E">
              <w:rPr>
                <w:sz w:val="22"/>
                <w:szCs w:val="22"/>
              </w:rPr>
              <w:t>Bolesť</w:t>
            </w:r>
          </w:p>
          <w:p w:rsidR="00984857" w:rsidRPr="00F2179E" w:rsidRDefault="00984857" w:rsidP="00CE6F50">
            <w:pPr>
              <w:rPr>
                <w:color w:val="000000"/>
                <w:sz w:val="22"/>
                <w:szCs w:val="22"/>
              </w:rPr>
            </w:pPr>
            <w:r w:rsidRPr="00F2179E">
              <w:rPr>
                <w:sz w:val="22"/>
                <w:szCs w:val="22"/>
              </w:rPr>
              <w:t>periférny edém</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Laboratórne a funkčné vyšetrenia</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Zníženie hmotnosti</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Zvýšenie hmotnosti</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r>
      <w:tr w:rsidR="00984857" w:rsidRPr="00F2179E" w:rsidTr="0045660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4A0"/>
        </w:tblPrEx>
        <w:trPr>
          <w:cantSplit/>
        </w:trPr>
        <w:tc>
          <w:tcPr>
            <w:tcW w:w="1833"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 xml:space="preserve">Úrazy, otravy a komplikácie liečebného postupu </w:t>
            </w:r>
          </w:p>
        </w:tc>
        <w:tc>
          <w:tcPr>
            <w:tcW w:w="1809"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1"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Náhodný úraz</w:t>
            </w:r>
          </w:p>
        </w:tc>
        <w:tc>
          <w:tcPr>
            <w:tcW w:w="1808"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09" w:type="dxa"/>
            <w:hideMark/>
          </w:tcPr>
          <w:p w:rsidR="00984857" w:rsidRPr="00F2179E" w:rsidRDefault="00984857" w:rsidP="00CE6F50">
            <w:pPr>
              <w:rPr>
                <w:sz w:val="22"/>
                <w:szCs w:val="22"/>
              </w:rPr>
            </w:pPr>
          </w:p>
        </w:tc>
      </w:tr>
    </w:tbl>
    <w:p w:rsidR="00456603" w:rsidRPr="00F2179E" w:rsidRDefault="00456603" w:rsidP="00456603">
      <w:pPr>
        <w:rPr>
          <w:sz w:val="22"/>
          <w:szCs w:val="22"/>
        </w:rPr>
      </w:pPr>
      <w:r w:rsidRPr="00F2179E">
        <w:rPr>
          <w:sz w:val="22"/>
          <w:szCs w:val="22"/>
          <w:vertAlign w:val="superscript"/>
        </w:rPr>
        <w:t>1</w:t>
      </w:r>
      <w:r w:rsidRPr="00F2179E">
        <w:rPr>
          <w:sz w:val="22"/>
          <w:szCs w:val="22"/>
        </w:rPr>
        <w:t xml:space="preserve"> najmä u pacientov s epilepsiou alebo u pacientov so sklonom ku kŕčom</w:t>
      </w:r>
    </w:p>
    <w:p w:rsidR="00456603" w:rsidRPr="00F2179E" w:rsidRDefault="00456603" w:rsidP="00456603">
      <w:pPr>
        <w:rPr>
          <w:sz w:val="22"/>
          <w:szCs w:val="22"/>
        </w:rPr>
      </w:pPr>
      <w:r w:rsidRPr="00F2179E">
        <w:rPr>
          <w:sz w:val="22"/>
          <w:szCs w:val="22"/>
          <w:vertAlign w:val="superscript"/>
        </w:rPr>
        <w:t>2</w:t>
      </w:r>
      <w:r w:rsidRPr="00F2179E">
        <w:rPr>
          <w:sz w:val="22"/>
          <w:szCs w:val="22"/>
        </w:rPr>
        <w:t xml:space="preserve"> najmä u pacientov s ischemickou chorobou srdca v anamnéze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u w:val="single"/>
          <w:lang w:eastAsia="en-US"/>
        </w:rPr>
      </w:pPr>
      <w:r w:rsidRPr="00F2179E">
        <w:rPr>
          <w:sz w:val="22"/>
          <w:szCs w:val="22"/>
          <w:u w:val="single"/>
          <w:lang w:eastAsia="en-US"/>
        </w:rPr>
        <w:t>Pre liečivo oxykodóniumchlorid sú známe nasledovné ďalšie nežiaduce účinky:</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sz w:val="22"/>
          <w:szCs w:val="22"/>
        </w:rPr>
        <w:t xml:space="preserve">Vzhľadom na  farmakologické vlastnosti môže </w:t>
      </w:r>
      <w:r w:rsidRPr="00F2179E">
        <w:rPr>
          <w:spacing w:val="-3"/>
          <w:sz w:val="22"/>
          <w:szCs w:val="22"/>
        </w:rPr>
        <w:t>oxykodóniumchlorid spôsobiť respiračnú depresiu, miózu, bronchiálny spazmus a spazmy hladkého svalstva a môže potlačiť kašľový reflex</w:t>
      </w:r>
      <w:r w:rsidRPr="00F2179E">
        <w:rPr>
          <w:sz w:val="22"/>
          <w:szCs w:val="22"/>
          <w:lang w:eastAsia="en-US"/>
        </w:rPr>
        <w:t>.</w:t>
      </w:r>
    </w:p>
    <w:p w:rsidR="00984857" w:rsidRPr="00F2179E" w:rsidRDefault="00984857" w:rsidP="00984857">
      <w:pPr>
        <w:widowControl w:val="0"/>
        <w:tabs>
          <w:tab w:val="left" w:pos="567"/>
        </w:tabs>
        <w:rPr>
          <w:sz w:val="22"/>
          <w:szCs w:val="22"/>
          <w:lang w:eastAsia="en-US"/>
        </w:rPr>
      </w:pPr>
    </w:p>
    <w:tbl>
      <w:tblPr>
        <w:tblW w:w="9070" w:type="dxa"/>
        <w:tblInd w:w="-7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814"/>
        <w:gridCol w:w="1814"/>
        <w:gridCol w:w="1814"/>
        <w:gridCol w:w="1814"/>
        <w:gridCol w:w="1814"/>
      </w:tblGrid>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456603" w:rsidP="00CE6F50">
            <w:pPr>
              <w:rPr>
                <w:color w:val="000000"/>
                <w:sz w:val="22"/>
                <w:szCs w:val="22"/>
              </w:rPr>
            </w:pPr>
            <w:r w:rsidRPr="00F2179E">
              <w:rPr>
                <w:color w:val="000000"/>
                <w:sz w:val="22"/>
                <w:szCs w:val="22"/>
                <w:u w:val="single"/>
              </w:rPr>
              <w:t>Trieda orgánových systémov</w:t>
            </w:r>
            <w:r w:rsidR="006B4492" w:rsidRPr="00F2179E">
              <w:rPr>
                <w:color w:val="000000"/>
                <w:sz w:val="22"/>
                <w:szCs w:val="22"/>
                <w:u w:val="single"/>
              </w:rPr>
              <w:t xml:space="preserve"> podľa</w:t>
            </w:r>
          </w:p>
          <w:p w:rsidR="00984857" w:rsidRPr="00F2179E" w:rsidRDefault="00984857" w:rsidP="00CE6F50">
            <w:pPr>
              <w:rPr>
                <w:color w:val="000000"/>
                <w:sz w:val="22"/>
                <w:szCs w:val="22"/>
              </w:rPr>
            </w:pPr>
            <w:r w:rsidRPr="00F2179E">
              <w:rPr>
                <w:color w:val="000000"/>
                <w:sz w:val="22"/>
                <w:szCs w:val="22"/>
                <w:u w:val="single"/>
              </w:rPr>
              <w:t>MedDRA</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Časté</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Menej časté</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Zriedkavé</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Neznáme</w:t>
            </w: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Infekcie a</w:t>
            </w:r>
            <w:r w:rsidR="00456603" w:rsidRPr="00F2179E">
              <w:rPr>
                <w:color w:val="000000"/>
                <w:sz w:val="22"/>
                <w:szCs w:val="22"/>
                <w:u w:val="single"/>
              </w:rPr>
              <w:t xml:space="preserve"> n</w:t>
            </w:r>
            <w:r w:rsidRPr="00F2179E">
              <w:rPr>
                <w:color w:val="000000"/>
                <w:sz w:val="22"/>
                <w:szCs w:val="22"/>
                <w:u w:val="single"/>
              </w:rPr>
              <w:t>ákazy</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i/>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i/>
                <w:color w:val="000000"/>
                <w:sz w:val="22"/>
                <w:szCs w:val="22"/>
              </w:rPr>
            </w:pPr>
            <w:r w:rsidRPr="00F2179E">
              <w:rPr>
                <w:i/>
                <w:color w:val="000000"/>
                <w:sz w:val="22"/>
                <w:szCs w:val="22"/>
              </w:rPr>
              <w:t xml:space="preserve">Herpes simplex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Poruchy imunitného systému</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Anafylaktické reakcie</w:t>
            </w: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Poruchy metabolizmu a výživy</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Dehydratácia</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Zvýšená chuť do jedla</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Psychické poruchy</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sz w:val="22"/>
                <w:szCs w:val="22"/>
              </w:rPr>
            </w:pPr>
            <w:r w:rsidRPr="00F2179E">
              <w:rPr>
                <w:sz w:val="22"/>
                <w:szCs w:val="22"/>
              </w:rPr>
              <w:t>Zmena nálady a osobnosti</w:t>
            </w:r>
          </w:p>
          <w:p w:rsidR="00984857" w:rsidRPr="00F2179E" w:rsidRDefault="00984857" w:rsidP="00CE6F50">
            <w:pPr>
              <w:rPr>
                <w:sz w:val="22"/>
                <w:szCs w:val="22"/>
              </w:rPr>
            </w:pPr>
            <w:r w:rsidRPr="00F2179E">
              <w:rPr>
                <w:sz w:val="22"/>
                <w:szCs w:val="22"/>
              </w:rPr>
              <w:t xml:space="preserve">Znížená aktivita </w:t>
            </w:r>
          </w:p>
          <w:p w:rsidR="00984857" w:rsidRPr="00F2179E" w:rsidRDefault="00984857" w:rsidP="00CE6F50">
            <w:pPr>
              <w:rPr>
                <w:color w:val="000000"/>
                <w:sz w:val="22"/>
                <w:szCs w:val="22"/>
              </w:rPr>
            </w:pPr>
            <w:r w:rsidRPr="00F2179E">
              <w:rPr>
                <w:sz w:val="22"/>
                <w:szCs w:val="22"/>
              </w:rPr>
              <w:t>Psychomotorická hyperaktivita</w:t>
            </w:r>
            <w:r w:rsidRPr="00F2179E">
              <w:rPr>
                <w:color w:val="000000"/>
                <w:sz w:val="22"/>
                <w:szCs w:val="22"/>
              </w:rPr>
              <w:t xml:space="preserve">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 xml:space="preserve">Agitácia </w:t>
            </w:r>
          </w:p>
          <w:p w:rsidR="00984857" w:rsidRPr="00F2179E" w:rsidRDefault="00984857" w:rsidP="00CE6F50">
            <w:pPr>
              <w:rPr>
                <w:color w:val="000000"/>
                <w:sz w:val="22"/>
                <w:szCs w:val="22"/>
              </w:rPr>
            </w:pPr>
            <w:r w:rsidRPr="00F2179E">
              <w:rPr>
                <w:color w:val="000000"/>
                <w:sz w:val="22"/>
                <w:szCs w:val="22"/>
              </w:rPr>
              <w:t xml:space="preserve">Poruchy vnímania (napr. derealizácia) </w:t>
            </w:r>
          </w:p>
          <w:p w:rsidR="00984857" w:rsidRPr="00F2179E" w:rsidRDefault="00984857" w:rsidP="00CE6F50">
            <w:pPr>
              <w:rPr>
                <w:color w:val="000000"/>
                <w:sz w:val="22"/>
                <w:szCs w:val="22"/>
              </w:rPr>
            </w:pPr>
            <w:r w:rsidRPr="00F2179E">
              <w:rPr>
                <w:color w:val="000000"/>
                <w:sz w:val="22"/>
                <w:szCs w:val="22"/>
              </w:rPr>
              <w:t xml:space="preserve">Znížené libido </w:t>
            </w:r>
          </w:p>
          <w:p w:rsidR="00984857" w:rsidRPr="00F2179E" w:rsidRDefault="00984857" w:rsidP="00CE6F50">
            <w:pPr>
              <w:rPr>
                <w:color w:val="000000"/>
                <w:sz w:val="22"/>
                <w:szCs w:val="22"/>
              </w:rPr>
            </w:pPr>
            <w:r w:rsidRPr="00F2179E">
              <w:rPr>
                <w:color w:val="000000"/>
                <w:sz w:val="22"/>
                <w:szCs w:val="22"/>
              </w:rPr>
              <w:t xml:space="preserve">Závislosť na lieku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Poruchy nervového systému</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 xml:space="preserve">Poruchy koncentrácie </w:t>
            </w:r>
          </w:p>
          <w:p w:rsidR="00984857" w:rsidRPr="00F2179E" w:rsidRDefault="00984857" w:rsidP="00CE6F50">
            <w:pPr>
              <w:rPr>
                <w:color w:val="000000"/>
                <w:sz w:val="22"/>
                <w:szCs w:val="22"/>
              </w:rPr>
            </w:pPr>
            <w:r w:rsidRPr="00F2179E">
              <w:rPr>
                <w:color w:val="000000"/>
                <w:sz w:val="22"/>
                <w:szCs w:val="22"/>
              </w:rPr>
              <w:t xml:space="preserve">Migréna </w:t>
            </w:r>
          </w:p>
          <w:p w:rsidR="00984857" w:rsidRPr="00F2179E" w:rsidRDefault="00984857" w:rsidP="00CE6F50">
            <w:pPr>
              <w:rPr>
                <w:color w:val="000000"/>
                <w:sz w:val="22"/>
                <w:szCs w:val="22"/>
              </w:rPr>
            </w:pPr>
            <w:r w:rsidRPr="00F2179E">
              <w:rPr>
                <w:color w:val="000000"/>
                <w:sz w:val="22"/>
                <w:szCs w:val="22"/>
              </w:rPr>
              <w:t xml:space="preserve">Dysgeúzia, </w:t>
            </w:r>
          </w:p>
          <w:p w:rsidR="00984857" w:rsidRPr="00F2179E" w:rsidRDefault="00984857" w:rsidP="00CE6F50">
            <w:pPr>
              <w:rPr>
                <w:color w:val="000000"/>
                <w:sz w:val="22"/>
                <w:szCs w:val="22"/>
              </w:rPr>
            </w:pPr>
            <w:r w:rsidRPr="00F2179E">
              <w:rPr>
                <w:color w:val="000000"/>
                <w:sz w:val="22"/>
                <w:szCs w:val="22"/>
              </w:rPr>
              <w:t xml:space="preserve">Hypertónia, </w:t>
            </w:r>
          </w:p>
          <w:p w:rsidR="00984857" w:rsidRPr="00F2179E" w:rsidRDefault="00984857" w:rsidP="00CE6F50">
            <w:pPr>
              <w:rPr>
                <w:color w:val="000000"/>
                <w:sz w:val="22"/>
                <w:szCs w:val="22"/>
              </w:rPr>
            </w:pPr>
            <w:r w:rsidRPr="00F2179E">
              <w:rPr>
                <w:color w:val="000000"/>
                <w:sz w:val="22"/>
                <w:szCs w:val="22"/>
              </w:rPr>
              <w:t xml:space="preserve">Mimovoľné svalové kontrakcie </w:t>
            </w:r>
          </w:p>
          <w:p w:rsidR="00984857" w:rsidRPr="00F2179E" w:rsidRDefault="00984857" w:rsidP="00CE6F50">
            <w:pPr>
              <w:rPr>
                <w:color w:val="000000"/>
                <w:sz w:val="22"/>
                <w:szCs w:val="22"/>
              </w:rPr>
            </w:pPr>
            <w:r w:rsidRPr="00F2179E">
              <w:rPr>
                <w:color w:val="000000"/>
                <w:sz w:val="22"/>
                <w:szCs w:val="22"/>
              </w:rPr>
              <w:t xml:space="preserve">Hypestézia </w:t>
            </w:r>
          </w:p>
          <w:p w:rsidR="00984857" w:rsidRPr="00F2179E" w:rsidRDefault="00984857" w:rsidP="00CE6F50">
            <w:pPr>
              <w:rPr>
                <w:color w:val="000000"/>
                <w:sz w:val="22"/>
                <w:szCs w:val="22"/>
              </w:rPr>
            </w:pPr>
            <w:r w:rsidRPr="00F2179E">
              <w:rPr>
                <w:color w:val="000000"/>
                <w:sz w:val="22"/>
                <w:szCs w:val="22"/>
              </w:rPr>
              <w:t xml:space="preserve">Nezvyčajná koordinácia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Poruchy ucha a labyrintu</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Poruchy sluchu</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Poruchy ciev</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Vazodilatácia</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Poruchy dýchacej sústavy, hrudníka a mediastína</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 xml:space="preserve">Dysfónia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Gastrointestinálne poruchy</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171F31" w:rsidP="00CE6F50">
            <w:pPr>
              <w:rPr>
                <w:color w:val="000000"/>
                <w:sz w:val="22"/>
                <w:szCs w:val="22"/>
              </w:rPr>
            </w:pPr>
            <w:r w:rsidRPr="00F2179E">
              <w:rPr>
                <w:i/>
                <w:color w:val="000000"/>
                <w:sz w:val="22"/>
                <w:szCs w:val="22"/>
              </w:rPr>
              <w:t>Singultus</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Dysfágia</w:t>
            </w:r>
          </w:p>
          <w:p w:rsidR="00984857" w:rsidRPr="00F2179E" w:rsidRDefault="00984857" w:rsidP="00CE6F50">
            <w:pPr>
              <w:rPr>
                <w:color w:val="000000"/>
                <w:sz w:val="22"/>
                <w:szCs w:val="22"/>
              </w:rPr>
            </w:pPr>
            <w:r w:rsidRPr="00F2179E">
              <w:rPr>
                <w:color w:val="000000"/>
                <w:sz w:val="22"/>
                <w:szCs w:val="22"/>
              </w:rPr>
              <w:t xml:space="preserve">Ileus </w:t>
            </w:r>
          </w:p>
          <w:p w:rsidR="00984857" w:rsidRPr="00F2179E" w:rsidRDefault="00984857" w:rsidP="00CE6F50">
            <w:pPr>
              <w:rPr>
                <w:color w:val="000000"/>
                <w:sz w:val="22"/>
                <w:szCs w:val="22"/>
              </w:rPr>
            </w:pPr>
            <w:r w:rsidRPr="00F2179E">
              <w:rPr>
                <w:color w:val="000000"/>
                <w:sz w:val="22"/>
                <w:szCs w:val="22"/>
              </w:rPr>
              <w:t xml:space="preserve">Tvorba vredov v ústach </w:t>
            </w:r>
          </w:p>
          <w:p w:rsidR="00984857" w:rsidRPr="00F2179E" w:rsidRDefault="00984857" w:rsidP="00CE6F50">
            <w:pPr>
              <w:rPr>
                <w:color w:val="000000"/>
                <w:sz w:val="22"/>
                <w:szCs w:val="22"/>
              </w:rPr>
            </w:pPr>
            <w:r w:rsidRPr="00F2179E">
              <w:rPr>
                <w:color w:val="000000"/>
                <w:sz w:val="22"/>
                <w:szCs w:val="22"/>
              </w:rPr>
              <w:t xml:space="preserve">Stomatitída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 xml:space="preserve">Meléna, </w:t>
            </w:r>
          </w:p>
          <w:p w:rsidR="00984857" w:rsidRPr="00F2179E" w:rsidRDefault="00984857" w:rsidP="00CE6F50">
            <w:pPr>
              <w:rPr>
                <w:color w:val="000000"/>
                <w:sz w:val="22"/>
                <w:szCs w:val="22"/>
              </w:rPr>
            </w:pPr>
            <w:r w:rsidRPr="00F2179E">
              <w:rPr>
                <w:color w:val="000000"/>
                <w:sz w:val="22"/>
                <w:szCs w:val="22"/>
              </w:rPr>
              <w:t xml:space="preserve">Krvácanie ďasien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Poruchy pečene a žlčových ciest</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 xml:space="preserve">Cholestáza </w:t>
            </w: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 xml:space="preserve">Poruchy kože a podkožného tkaniva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Suchá koža</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 xml:space="preserve">Urtikária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 xml:space="preserve">Poruchy obličiek a močových ciest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 xml:space="preserve">Dyzúria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Poruchy reprodukčného systému a prsníkov</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 xml:space="preserve">Amenorea </w:t>
            </w:r>
          </w:p>
        </w:tc>
      </w:tr>
      <w:tr w:rsidR="00984857" w:rsidRPr="00F2179E" w:rsidTr="00CE6F50">
        <w:trPr>
          <w:cantSplit/>
        </w:trPr>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u w:val="single"/>
              </w:rPr>
              <w:t xml:space="preserve">Celkové poruchy a reakcie v mieste podania </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r w:rsidRPr="00F2179E">
              <w:rPr>
                <w:color w:val="000000"/>
                <w:sz w:val="22"/>
                <w:szCs w:val="22"/>
              </w:rPr>
              <w:t xml:space="preserve">Opuch </w:t>
            </w:r>
          </w:p>
          <w:p w:rsidR="00984857" w:rsidRPr="00F2179E" w:rsidRDefault="00984857" w:rsidP="00CE6F50">
            <w:pPr>
              <w:rPr>
                <w:color w:val="000000"/>
                <w:sz w:val="22"/>
                <w:szCs w:val="22"/>
              </w:rPr>
            </w:pPr>
            <w:r w:rsidRPr="00F2179E">
              <w:rPr>
                <w:color w:val="000000"/>
                <w:sz w:val="22"/>
                <w:szCs w:val="22"/>
              </w:rPr>
              <w:t xml:space="preserve">Smäd </w:t>
            </w:r>
          </w:p>
          <w:p w:rsidR="00984857" w:rsidRPr="00F2179E" w:rsidRDefault="00984857" w:rsidP="00CE6F50">
            <w:pPr>
              <w:rPr>
                <w:color w:val="000000"/>
                <w:sz w:val="22"/>
                <w:szCs w:val="22"/>
              </w:rPr>
            </w:pPr>
            <w:r w:rsidRPr="00F2179E">
              <w:rPr>
                <w:color w:val="000000"/>
                <w:sz w:val="22"/>
                <w:szCs w:val="22"/>
              </w:rPr>
              <w:t>Tolerancia na liek</w:t>
            </w: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c>
          <w:tcPr>
            <w:tcW w:w="1814" w:type="dxa"/>
            <w:tcBorders>
              <w:top w:val="outset" w:sz="6" w:space="0" w:color="auto"/>
              <w:left w:val="outset" w:sz="6" w:space="0" w:color="auto"/>
              <w:bottom w:val="outset" w:sz="6" w:space="0" w:color="auto"/>
              <w:right w:val="outset" w:sz="6" w:space="0" w:color="auto"/>
            </w:tcBorders>
            <w:hideMark/>
          </w:tcPr>
          <w:p w:rsidR="00984857" w:rsidRPr="00F2179E" w:rsidRDefault="00984857" w:rsidP="00CE6F50">
            <w:pPr>
              <w:rPr>
                <w:color w:val="000000"/>
                <w:sz w:val="22"/>
                <w:szCs w:val="22"/>
              </w:rPr>
            </w:pPr>
          </w:p>
        </w:tc>
      </w:tr>
    </w:tbl>
    <w:p w:rsidR="00984857" w:rsidRPr="00F2179E" w:rsidRDefault="00984857" w:rsidP="00984857">
      <w:pPr>
        <w:widowControl w:val="0"/>
        <w:tabs>
          <w:tab w:val="left" w:pos="567"/>
        </w:tabs>
        <w:autoSpaceDE w:val="0"/>
        <w:autoSpaceDN w:val="0"/>
        <w:adjustRightInd w:val="0"/>
        <w:rPr>
          <w:sz w:val="22"/>
          <w:szCs w:val="22"/>
          <w:u w:val="single"/>
          <w:lang w:eastAsia="en-US"/>
        </w:rPr>
      </w:pPr>
    </w:p>
    <w:p w:rsidR="000812D5" w:rsidRPr="00F2179E" w:rsidRDefault="000812D5" w:rsidP="00984857">
      <w:pPr>
        <w:widowControl w:val="0"/>
        <w:tabs>
          <w:tab w:val="left" w:pos="567"/>
        </w:tabs>
        <w:autoSpaceDE w:val="0"/>
        <w:autoSpaceDN w:val="0"/>
        <w:adjustRightInd w:val="0"/>
        <w:rPr>
          <w:sz w:val="22"/>
          <w:szCs w:val="22"/>
          <w:u w:val="single"/>
          <w:lang w:eastAsia="en-US"/>
        </w:rPr>
      </w:pPr>
    </w:p>
    <w:p w:rsidR="00984857" w:rsidRPr="00F2179E" w:rsidRDefault="00984857" w:rsidP="00984857">
      <w:pPr>
        <w:rPr>
          <w:sz w:val="22"/>
          <w:szCs w:val="22"/>
          <w:u w:val="single"/>
        </w:rPr>
      </w:pPr>
      <w:r w:rsidRPr="00F2179E">
        <w:rPr>
          <w:sz w:val="22"/>
          <w:szCs w:val="22"/>
          <w:u w:val="single"/>
        </w:rPr>
        <w:t>Hlásenie podozrení na nežiaduce reakcie</w:t>
      </w:r>
    </w:p>
    <w:p w:rsidR="00984857" w:rsidRPr="00F2179E" w:rsidRDefault="00984857" w:rsidP="00984857">
      <w:pPr>
        <w:rPr>
          <w:sz w:val="22"/>
          <w:szCs w:val="22"/>
        </w:rPr>
      </w:pPr>
      <w:r w:rsidRPr="00F2179E">
        <w:rPr>
          <w:noProof/>
          <w:sz w:val="22"/>
          <w:szCs w:val="22"/>
        </w:rPr>
        <w:t>Hlásenie podozrení na nežiaduce reakcie po registrácii lieku je dôležité.</w:t>
      </w:r>
      <w:r w:rsidRPr="00F2179E">
        <w:rPr>
          <w:sz w:val="22"/>
          <w:szCs w:val="22"/>
        </w:rPr>
        <w:t xml:space="preserve"> </w:t>
      </w:r>
      <w:r w:rsidRPr="00F2179E">
        <w:rPr>
          <w:noProof/>
          <w:sz w:val="22"/>
          <w:szCs w:val="22"/>
        </w:rPr>
        <w:t>Umožňuje priebežné monitorovanie pomeru prínosu a rizika lieku.</w:t>
      </w:r>
      <w:r w:rsidRPr="00F2179E">
        <w:rPr>
          <w:sz w:val="22"/>
          <w:szCs w:val="22"/>
        </w:rPr>
        <w:t xml:space="preserve"> Od </w:t>
      </w:r>
      <w:r w:rsidRPr="00F2179E">
        <w:rPr>
          <w:noProof/>
          <w:sz w:val="22"/>
          <w:szCs w:val="22"/>
        </w:rPr>
        <w:t xml:space="preserve">zdravotníckych pracovníkov sa vyžaduje, aby hlásili akékoľvek podozrenia na nežiaduce reakcie na </w:t>
      </w:r>
      <w:r w:rsidRPr="00F2179E">
        <w:rPr>
          <w:noProof/>
          <w:sz w:val="22"/>
          <w:szCs w:val="22"/>
          <w:highlight w:val="lightGray"/>
        </w:rPr>
        <w:t>národné centrum hlásenia uvedené v </w:t>
      </w:r>
      <w:hyperlink r:id="rId8" w:history="1">
        <w:r w:rsidRPr="00F2179E">
          <w:rPr>
            <w:rStyle w:val="Hypertextovprepojenie"/>
            <w:noProof/>
            <w:sz w:val="22"/>
            <w:szCs w:val="22"/>
            <w:highlight w:val="lightGray"/>
            <w:lang w:val="sk-SK"/>
          </w:rPr>
          <w:t>Prílohe V</w:t>
        </w:r>
      </w:hyperlink>
      <w:r w:rsidRPr="00F2179E">
        <w:rPr>
          <w:sz w:val="22"/>
          <w:szCs w:val="22"/>
          <w:highlight w:val="lightGray"/>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4.9</w:t>
      </w:r>
      <w:r w:rsidRPr="00F2179E">
        <w:rPr>
          <w:b/>
          <w:sz w:val="22"/>
          <w:szCs w:val="22"/>
          <w:lang w:eastAsia="en-US"/>
        </w:rPr>
        <w:tab/>
        <w:t>Predávkovanie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iCs/>
          <w:sz w:val="22"/>
          <w:szCs w:val="22"/>
          <w:u w:val="single"/>
          <w:lang w:eastAsia="en-US"/>
        </w:rPr>
      </w:pPr>
      <w:r w:rsidRPr="00F2179E">
        <w:rPr>
          <w:iCs/>
          <w:sz w:val="22"/>
          <w:szCs w:val="22"/>
          <w:u w:val="single"/>
          <w:lang w:eastAsia="en-US"/>
        </w:rPr>
        <w:t>Príznaky</w:t>
      </w:r>
    </w:p>
    <w:p w:rsidR="00984857" w:rsidRPr="00F2179E" w:rsidRDefault="00984857" w:rsidP="00984857">
      <w:pPr>
        <w:widowControl w:val="0"/>
        <w:tabs>
          <w:tab w:val="left" w:pos="567"/>
        </w:tabs>
        <w:rPr>
          <w:iCs/>
          <w:sz w:val="22"/>
          <w:szCs w:val="22"/>
          <w:highlight w:val="yellow"/>
          <w:u w:val="single"/>
          <w:lang w:eastAsia="en-US"/>
        </w:rPr>
      </w:pPr>
    </w:p>
    <w:p w:rsidR="00984857" w:rsidRPr="00F2179E" w:rsidRDefault="00984857" w:rsidP="00984857">
      <w:pPr>
        <w:rPr>
          <w:sz w:val="22"/>
          <w:szCs w:val="22"/>
        </w:rPr>
      </w:pPr>
      <w:r w:rsidRPr="00F2179E">
        <w:rPr>
          <w:sz w:val="22"/>
          <w:szCs w:val="22"/>
        </w:rPr>
        <w:t>Podľa anamnézy pacienta sa predávkovanie pacienta Adolaxom môže prejaviť príznakmi, ktoré sú spôsobené buď oxykodónom (agonista opioidných receptorov) alebo naloxónom (antagonista opioidných receptorov). K príznakom predávkovania oxykodónom patria mióza, respiračná depresia, somnolencia prechádzajúca do stuporu, hypotónia, bradykardia ako aj hypotenzia. V závažnejších prípadoch sa môže vyskytnúť kóma, nekardiogenný pľúcny edém a obehové zlyhanie s fatálnymi následkami.</w:t>
      </w:r>
    </w:p>
    <w:p w:rsidR="00984857" w:rsidRPr="00F2179E" w:rsidRDefault="00984857" w:rsidP="00984857">
      <w:pPr>
        <w:rPr>
          <w:sz w:val="22"/>
          <w:szCs w:val="22"/>
        </w:rPr>
      </w:pPr>
    </w:p>
    <w:p w:rsidR="00984857" w:rsidRPr="00F2179E" w:rsidRDefault="00984857" w:rsidP="00984857">
      <w:pPr>
        <w:rPr>
          <w:sz w:val="22"/>
          <w:szCs w:val="22"/>
        </w:rPr>
      </w:pPr>
      <w:r w:rsidRPr="00F2179E">
        <w:rPr>
          <w:sz w:val="22"/>
          <w:szCs w:val="22"/>
        </w:rPr>
        <w:t>Symptómy predávkovania samotným naloxónom sú nepravdepodobné.</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iCs/>
          <w:sz w:val="22"/>
          <w:szCs w:val="22"/>
          <w:u w:val="single"/>
          <w:lang w:eastAsia="en-US"/>
        </w:rPr>
      </w:pPr>
      <w:r w:rsidRPr="00F2179E">
        <w:rPr>
          <w:iCs/>
          <w:sz w:val="22"/>
          <w:szCs w:val="22"/>
          <w:u w:val="single"/>
          <w:lang w:eastAsia="en-US"/>
        </w:rPr>
        <w:t>Liečba</w:t>
      </w:r>
    </w:p>
    <w:p w:rsidR="00984857" w:rsidRPr="00F2179E" w:rsidRDefault="00984857" w:rsidP="00984857">
      <w:pPr>
        <w:widowControl w:val="0"/>
        <w:tabs>
          <w:tab w:val="left" w:pos="567"/>
        </w:tabs>
        <w:rPr>
          <w:iCs/>
          <w:sz w:val="22"/>
          <w:szCs w:val="22"/>
          <w:highlight w:val="yellow"/>
          <w:u w:val="single"/>
          <w:lang w:eastAsia="en-US"/>
        </w:rPr>
      </w:pPr>
    </w:p>
    <w:p w:rsidR="00984857" w:rsidRPr="00F2179E" w:rsidRDefault="00984857" w:rsidP="00984857">
      <w:pPr>
        <w:rPr>
          <w:sz w:val="22"/>
          <w:szCs w:val="22"/>
        </w:rPr>
      </w:pPr>
      <w:r w:rsidRPr="00F2179E">
        <w:rPr>
          <w:sz w:val="22"/>
          <w:szCs w:val="22"/>
        </w:rPr>
        <w:t xml:space="preserve">Abstinenčné príznaky predávkovania naloxónom je nutné liečiť symptomaticky v prostredí so starostlivým odborným dohľadom. </w:t>
      </w:r>
    </w:p>
    <w:p w:rsidR="00984857" w:rsidRPr="00F2179E" w:rsidRDefault="00984857" w:rsidP="00984857">
      <w:pPr>
        <w:rPr>
          <w:sz w:val="22"/>
          <w:szCs w:val="22"/>
        </w:rPr>
      </w:pPr>
    </w:p>
    <w:p w:rsidR="00984857" w:rsidRPr="00F2179E" w:rsidRDefault="00984857" w:rsidP="00984857">
      <w:pPr>
        <w:rPr>
          <w:sz w:val="22"/>
          <w:szCs w:val="22"/>
        </w:rPr>
      </w:pPr>
      <w:r w:rsidRPr="00F2179E">
        <w:rPr>
          <w:sz w:val="22"/>
          <w:szCs w:val="22"/>
        </w:rPr>
        <w:t xml:space="preserve">Klinické symptómy naznačujúce predávkovanie oxykodónom sa dajú liečiť podaním opioidných antagonistov (napr. 0,4-2 mg naloxóniumchloridu intravenózne). Podanie je potrebné opakovať podľa klinickej potreby v dvoj- až trojminútových intervaloch. Tiež je možné aplikovať infúziu 2 mg naloxóniumchloridu </w:t>
      </w:r>
      <w:r w:rsidRPr="00F2179E">
        <w:rPr>
          <w:spacing w:val="-3"/>
          <w:sz w:val="22"/>
          <w:szCs w:val="22"/>
        </w:rPr>
        <w:t>v</w:t>
      </w:r>
      <w:r w:rsidRPr="00F2179E">
        <w:rPr>
          <w:sz w:val="22"/>
          <w:szCs w:val="22"/>
        </w:rPr>
        <w:t> 500 ml 0,9% chloridu sodného alebo 5% dextrózy (0,004 mg/ml naloxónu). Rýchlosť infúzie sa má nastaviť podľa predchádzajúcich bolusových dávok a odpovede pacienta.</w:t>
      </w:r>
    </w:p>
    <w:p w:rsidR="00984857" w:rsidRPr="00F2179E" w:rsidRDefault="00984857" w:rsidP="00984857">
      <w:pPr>
        <w:rPr>
          <w:sz w:val="22"/>
          <w:szCs w:val="22"/>
        </w:rPr>
      </w:pPr>
    </w:p>
    <w:p w:rsidR="00984857" w:rsidRPr="00F2179E" w:rsidRDefault="00984857" w:rsidP="00984857">
      <w:pPr>
        <w:rPr>
          <w:sz w:val="22"/>
          <w:szCs w:val="22"/>
        </w:rPr>
      </w:pPr>
      <w:r w:rsidRPr="00F2179E">
        <w:rPr>
          <w:sz w:val="22"/>
          <w:szCs w:val="22"/>
        </w:rPr>
        <w:t>Zvážiť sa môže aj gastrická laváž.</w:t>
      </w:r>
    </w:p>
    <w:p w:rsidR="00984857" w:rsidRPr="00F2179E" w:rsidRDefault="00984857" w:rsidP="00984857">
      <w:pPr>
        <w:rPr>
          <w:sz w:val="22"/>
          <w:szCs w:val="22"/>
        </w:rPr>
      </w:pPr>
    </w:p>
    <w:p w:rsidR="00984857" w:rsidRPr="00F2179E" w:rsidRDefault="00984857" w:rsidP="00984857">
      <w:pPr>
        <w:tabs>
          <w:tab w:val="left" w:pos="426"/>
        </w:tabs>
        <w:rPr>
          <w:bCs/>
          <w:iCs/>
          <w:sz w:val="22"/>
          <w:szCs w:val="22"/>
        </w:rPr>
      </w:pPr>
      <w:r w:rsidRPr="00F2179E">
        <w:rPr>
          <w:sz w:val="22"/>
          <w:szCs w:val="22"/>
        </w:rPr>
        <w:t>V prípade potreby sa dajú použiť podporné prostriedky (umelá ventilácia, kyslík, vazopresory a</w:t>
      </w:r>
      <w:r w:rsidR="00171F31" w:rsidRPr="00F2179E">
        <w:rPr>
          <w:sz w:val="22"/>
          <w:szCs w:val="22"/>
        </w:rPr>
        <w:t> </w:t>
      </w:r>
      <w:r w:rsidRPr="00F2179E">
        <w:rPr>
          <w:sz w:val="22"/>
          <w:szCs w:val="22"/>
        </w:rPr>
        <w:t>infúzia</w:t>
      </w:r>
      <w:r w:rsidR="00171F31" w:rsidRPr="00F2179E">
        <w:rPr>
          <w:sz w:val="22"/>
          <w:szCs w:val="22"/>
        </w:rPr>
        <w:t xml:space="preserve"> tekutín</w:t>
      </w:r>
      <w:r w:rsidRPr="00F2179E">
        <w:rPr>
          <w:sz w:val="22"/>
          <w:szCs w:val="22"/>
        </w:rPr>
        <w:t>) na zvládnutie obehového šoku spojeného s predávkovaním. Pri zastavení srdca alebo arytmii je nutné vykonať masáž srdca alebo defibriláciu. Ak je to potrebné, treba zabezpečiť umelú ventiláciu. Musí sa zachovať metabolizmus tekutín a elektrolytov.</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5.</w:t>
      </w:r>
      <w:r w:rsidRPr="00F2179E">
        <w:rPr>
          <w:b/>
          <w:sz w:val="22"/>
          <w:szCs w:val="22"/>
          <w:lang w:eastAsia="en-US"/>
        </w:rPr>
        <w:tab/>
        <w:t>FARMAKOLOGICKÉ VLASTNOSTI</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5.1</w:t>
      </w:r>
      <w:r w:rsidRPr="00F2179E">
        <w:rPr>
          <w:b/>
          <w:sz w:val="22"/>
          <w:szCs w:val="22"/>
          <w:lang w:eastAsia="en-US"/>
        </w:rPr>
        <w:tab/>
        <w:t>Farmakodynamické vlastnosti</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sz w:val="22"/>
          <w:szCs w:val="22"/>
          <w:lang w:eastAsia="en-US"/>
        </w:rPr>
        <w:t>Farmakoterapeutická skupina: analgetiká; opioidy; prírodné ópiové alkaloidy</w:t>
      </w:r>
    </w:p>
    <w:p w:rsidR="00984857" w:rsidRPr="00F2179E" w:rsidRDefault="00984857" w:rsidP="00984857">
      <w:pPr>
        <w:widowControl w:val="0"/>
        <w:tabs>
          <w:tab w:val="left" w:pos="567"/>
        </w:tabs>
        <w:rPr>
          <w:sz w:val="22"/>
          <w:szCs w:val="22"/>
          <w:lang w:eastAsia="en-US"/>
        </w:rPr>
      </w:pPr>
      <w:r w:rsidRPr="00F2179E">
        <w:rPr>
          <w:sz w:val="22"/>
          <w:szCs w:val="22"/>
          <w:lang w:eastAsia="en-US"/>
        </w:rPr>
        <w:t xml:space="preserve">ATC </w:t>
      </w:r>
      <w:r w:rsidR="00171F31" w:rsidRPr="00F2179E">
        <w:rPr>
          <w:sz w:val="22"/>
          <w:szCs w:val="22"/>
          <w:lang w:eastAsia="en-US"/>
        </w:rPr>
        <w:t>kód</w:t>
      </w:r>
      <w:r w:rsidRPr="00F2179E">
        <w:rPr>
          <w:sz w:val="22"/>
          <w:szCs w:val="22"/>
          <w:lang w:eastAsia="en-US"/>
        </w:rPr>
        <w:t>: N02AA55.</w:t>
      </w:r>
    </w:p>
    <w:p w:rsidR="00984857" w:rsidRPr="00F2179E" w:rsidRDefault="00984857" w:rsidP="00984857">
      <w:pPr>
        <w:widowControl w:val="0"/>
        <w:rPr>
          <w:noProof/>
          <w:sz w:val="22"/>
          <w:szCs w:val="22"/>
          <w:u w:val="single"/>
          <w:lang w:eastAsia="en-US"/>
        </w:rPr>
      </w:pPr>
    </w:p>
    <w:p w:rsidR="00984857" w:rsidRPr="00F2179E" w:rsidRDefault="00984857" w:rsidP="00984857">
      <w:pPr>
        <w:widowControl w:val="0"/>
        <w:autoSpaceDE w:val="0"/>
        <w:autoSpaceDN w:val="0"/>
        <w:adjustRightInd w:val="0"/>
        <w:rPr>
          <w:color w:val="000000"/>
          <w:sz w:val="22"/>
          <w:szCs w:val="22"/>
          <w:u w:val="single"/>
        </w:rPr>
      </w:pPr>
      <w:r w:rsidRPr="00F2179E">
        <w:rPr>
          <w:color w:val="000000"/>
          <w:sz w:val="22"/>
          <w:szCs w:val="22"/>
          <w:u w:val="single"/>
        </w:rPr>
        <w:t>Mechanizmus účinku</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984857">
      <w:pPr>
        <w:pStyle w:val="Hlavika"/>
        <w:rPr>
          <w:spacing w:val="-3"/>
          <w:sz w:val="22"/>
          <w:szCs w:val="22"/>
        </w:rPr>
      </w:pPr>
      <w:r w:rsidRPr="00F2179E">
        <w:rPr>
          <w:spacing w:val="-3"/>
          <w:sz w:val="22"/>
          <w:szCs w:val="22"/>
        </w:rPr>
        <w:t>Oxykodón a naloxón majú afinitu ku kappa, mí a delta opioidným receptorom v mozgu, chrbtici a v periférnych orgánoch (napr. črevo). Oxykodón pôsobí ako agonista opioidného receptora a zmierňuje bolesť naviazaním sa na endogénne receptory v CNS. Naloxón je naopak úplný antagonista pôsobiaci na všetky typy opioidných receptorov.</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984857">
      <w:pPr>
        <w:widowControl w:val="0"/>
        <w:autoSpaceDE w:val="0"/>
        <w:autoSpaceDN w:val="0"/>
        <w:adjustRightInd w:val="0"/>
        <w:rPr>
          <w:color w:val="000000"/>
          <w:sz w:val="22"/>
          <w:szCs w:val="22"/>
          <w:u w:val="single"/>
        </w:rPr>
      </w:pPr>
      <w:r w:rsidRPr="00F2179E">
        <w:rPr>
          <w:color w:val="000000"/>
          <w:sz w:val="22"/>
          <w:szCs w:val="22"/>
          <w:u w:val="single"/>
        </w:rPr>
        <w:t xml:space="preserve">Farmakodynamické účinky </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984857">
      <w:pPr>
        <w:pStyle w:val="Hlavika"/>
        <w:rPr>
          <w:sz w:val="22"/>
          <w:szCs w:val="22"/>
        </w:rPr>
      </w:pPr>
      <w:r w:rsidRPr="00F2179E">
        <w:rPr>
          <w:spacing w:val="-3"/>
          <w:sz w:val="22"/>
          <w:szCs w:val="22"/>
        </w:rPr>
        <w:lastRenderedPageBreak/>
        <w:t xml:space="preserve">Z dôvodu výrazného first-pass metabolizmu je biologická dostupnosť naloxónu po perorálnom podaní </w:t>
      </w:r>
      <w:r w:rsidRPr="00F2179E">
        <w:rPr>
          <w:sz w:val="22"/>
          <w:szCs w:val="22"/>
        </w:rPr>
        <w:t>&lt; 3%, a preto je klinicky relevantný systémový účinok nepravdepodobný. Vzhľadom na lokálny konkurenčný antagonizmus účinku oxykodónu na opioidné receptory sprostredkovaný naloxónom v čreve, naloxón znižuje poruchu funkcie vyprázdňovania čreva, typickú pre liečbu opioidmi.</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984857">
      <w:pPr>
        <w:widowControl w:val="0"/>
        <w:autoSpaceDE w:val="0"/>
        <w:autoSpaceDN w:val="0"/>
        <w:adjustRightInd w:val="0"/>
        <w:rPr>
          <w:color w:val="000000"/>
          <w:sz w:val="22"/>
          <w:szCs w:val="22"/>
          <w:u w:val="single"/>
        </w:rPr>
      </w:pPr>
      <w:r w:rsidRPr="00F2179E">
        <w:rPr>
          <w:color w:val="000000"/>
          <w:sz w:val="22"/>
          <w:szCs w:val="22"/>
          <w:u w:val="single"/>
        </w:rPr>
        <w:t xml:space="preserve">Klinická účinnosť a bezpečnosť </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984857">
      <w:pPr>
        <w:pStyle w:val="Hlavika"/>
        <w:rPr>
          <w:sz w:val="22"/>
          <w:szCs w:val="22"/>
        </w:rPr>
      </w:pPr>
      <w:r w:rsidRPr="00F2179E">
        <w:rPr>
          <w:sz w:val="22"/>
          <w:szCs w:val="22"/>
        </w:rPr>
        <w:t>Opioidy môžu ovplyvniť os hypotalamus-hypofyza-nadobličky alebo gonádovú os. K pozorovaným zmenám patrí zvýšenie prolaktínu v sére a znížené plazmatické koncentrácie kortizolu a testosterónu.</w:t>
      </w:r>
      <w:r w:rsidR="00171F31" w:rsidRPr="00F2179E">
        <w:rPr>
          <w:sz w:val="22"/>
          <w:szCs w:val="22"/>
        </w:rPr>
        <w:t xml:space="preserve"> </w:t>
      </w:r>
      <w:r w:rsidRPr="00F2179E">
        <w:rPr>
          <w:sz w:val="22"/>
          <w:szCs w:val="22"/>
        </w:rPr>
        <w:t>Ako dôsledok týchto hormonálnych zmien sa môžu vyskytnúť klinické príznaky.</w:t>
      </w:r>
    </w:p>
    <w:p w:rsidR="00984857" w:rsidRPr="00F2179E" w:rsidRDefault="00984857" w:rsidP="00984857">
      <w:pPr>
        <w:rPr>
          <w:color w:val="FF0000"/>
          <w:sz w:val="22"/>
          <w:szCs w:val="22"/>
        </w:rPr>
      </w:pPr>
    </w:p>
    <w:p w:rsidR="00984857" w:rsidRPr="00F2179E" w:rsidRDefault="00984857" w:rsidP="00984857">
      <w:pPr>
        <w:rPr>
          <w:sz w:val="22"/>
          <w:szCs w:val="22"/>
        </w:rPr>
      </w:pPr>
      <w:r w:rsidRPr="00F2179E">
        <w:rPr>
          <w:sz w:val="22"/>
          <w:szCs w:val="22"/>
        </w:rPr>
        <w:t>Predklinické štúdie poukazujú na rôzne účinky prírodných opioidov na súčasti imunitného systému. Klinický význam týchto zistení nie je známy. Taktiež nie je známe, či pol</w:t>
      </w:r>
      <w:r w:rsidR="00171F31" w:rsidRPr="00F2179E">
        <w:rPr>
          <w:sz w:val="22"/>
          <w:szCs w:val="22"/>
        </w:rPr>
        <w:t>o</w:t>
      </w:r>
      <w:r w:rsidRPr="00F2179E">
        <w:rPr>
          <w:sz w:val="22"/>
          <w:szCs w:val="22"/>
        </w:rPr>
        <w:t>syntetický opioid oxykodón má podobné účinky na imunitný systém ako prírodné opioidy.</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984857">
      <w:pPr>
        <w:widowControl w:val="0"/>
        <w:autoSpaceDE w:val="0"/>
        <w:autoSpaceDN w:val="0"/>
        <w:adjustRightInd w:val="0"/>
        <w:rPr>
          <w:i/>
          <w:color w:val="000000"/>
          <w:sz w:val="22"/>
          <w:szCs w:val="22"/>
          <w:u w:val="single"/>
        </w:rPr>
      </w:pPr>
      <w:r w:rsidRPr="00F2179E">
        <w:rPr>
          <w:i/>
          <w:color w:val="000000"/>
          <w:sz w:val="22"/>
          <w:szCs w:val="22"/>
          <w:u w:val="single"/>
        </w:rPr>
        <w:t>Analgézia</w:t>
      </w:r>
    </w:p>
    <w:p w:rsidR="00984857" w:rsidRPr="00F2179E" w:rsidRDefault="00984857" w:rsidP="00984857">
      <w:pPr>
        <w:widowControl w:val="0"/>
        <w:autoSpaceDE w:val="0"/>
        <w:autoSpaceDN w:val="0"/>
        <w:adjustRightInd w:val="0"/>
        <w:rPr>
          <w:color w:val="000000"/>
          <w:sz w:val="22"/>
          <w:szCs w:val="22"/>
        </w:rPr>
      </w:pPr>
    </w:p>
    <w:p w:rsidR="00984857" w:rsidRPr="00F2179E" w:rsidRDefault="00984857" w:rsidP="0030616C">
      <w:pPr>
        <w:pStyle w:val="Hlavika"/>
        <w:rPr>
          <w:spacing w:val="-3"/>
          <w:sz w:val="22"/>
          <w:szCs w:val="22"/>
        </w:rPr>
      </w:pPr>
      <w:r w:rsidRPr="00F2179E">
        <w:rPr>
          <w:spacing w:val="-3"/>
          <w:sz w:val="22"/>
          <w:szCs w:val="22"/>
        </w:rPr>
        <w:t xml:space="preserve">Dvanásťtýždňová paralelná skupinová dvojito zaslepená štúdia uskutočnená u 322 pacientov so zápchou spôsobenou opioidmi preukázala, že pacienti liečení kombináciou oxykodóniumchloridu a naloxóniumchloridu mali v poslednom týždni liečby priemerne o jednu spontánnu stolicu (bez laxatív) viac v porovnaní s pacientmi, ktorí pokračovali v užívaní podobných dávok tabliet oxykodóniumchloridu s predĺženým </w:t>
      </w:r>
      <w:r w:rsidRPr="00F2179E">
        <w:rPr>
          <w:sz w:val="22"/>
          <w:szCs w:val="22"/>
        </w:rPr>
        <w:t xml:space="preserve">uvoľňovaním (p&lt;0,0001). V skupine pacientov liečených oxykodónom a naloxónom bolo užívanie laxatív počas prvých štyroch týždňov liečby nižšie ako v skupine liečenej iba oxykodónom (31% oproti 55%,  p&lt;0,0001). Podobné výsledky boli zistené v štúdii uskutočnenej u 265 pacientov s nenádorovým ochorením, ktorí užívali denné dávky </w:t>
      </w:r>
      <w:r w:rsidRPr="00F2179E">
        <w:rPr>
          <w:spacing w:val="-3"/>
          <w:sz w:val="22"/>
          <w:szCs w:val="22"/>
        </w:rPr>
        <w:t xml:space="preserve">oxykodóniumchloridu a naloxóniumchloridu </w:t>
      </w:r>
      <w:r w:rsidRPr="00F2179E">
        <w:rPr>
          <w:sz w:val="22"/>
          <w:szCs w:val="22"/>
        </w:rPr>
        <w:t xml:space="preserve">60 mg/30 mg až 80 mg/40 mg v porovnaní s pacientmi liečenými len </w:t>
      </w:r>
      <w:r w:rsidRPr="00F2179E">
        <w:rPr>
          <w:spacing w:val="-3"/>
          <w:sz w:val="22"/>
          <w:szCs w:val="22"/>
        </w:rPr>
        <w:t>oxykodóni</w:t>
      </w:r>
      <w:r w:rsidR="0030616C" w:rsidRPr="00F2179E">
        <w:rPr>
          <w:spacing w:val="-3"/>
          <w:sz w:val="22"/>
          <w:szCs w:val="22"/>
        </w:rPr>
        <w:t>umchloridom v rovnakých dávkach</w:t>
      </w:r>
    </w:p>
    <w:p w:rsidR="0030616C" w:rsidRPr="00F2179E" w:rsidRDefault="0030616C" w:rsidP="0030616C">
      <w:pPr>
        <w:pStyle w:val="Hlavika"/>
        <w:rPr>
          <w:spacing w:val="-3"/>
          <w:sz w:val="22"/>
          <w:szCs w:val="22"/>
        </w:rPr>
      </w:pPr>
    </w:p>
    <w:p w:rsidR="0030616C" w:rsidRPr="00F2179E" w:rsidRDefault="0030616C" w:rsidP="00984857">
      <w:pPr>
        <w:widowControl w:val="0"/>
        <w:tabs>
          <w:tab w:val="left" w:pos="567"/>
        </w:tabs>
        <w:rPr>
          <w:b/>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5.2</w:t>
      </w:r>
      <w:r w:rsidRPr="00F2179E">
        <w:rPr>
          <w:b/>
          <w:sz w:val="22"/>
          <w:szCs w:val="22"/>
          <w:lang w:eastAsia="en-US"/>
        </w:rPr>
        <w:tab/>
        <w:t>Farmakokinetické vlastnosti</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widowControl w:val="0"/>
        <w:numPr>
          <w:ilvl w:val="12"/>
          <w:numId w:val="0"/>
        </w:numPr>
        <w:tabs>
          <w:tab w:val="left" w:pos="567"/>
        </w:tabs>
        <w:ind w:right="-2"/>
        <w:rPr>
          <w:b/>
          <w:iCs/>
          <w:sz w:val="22"/>
          <w:szCs w:val="22"/>
          <w:u w:val="single"/>
          <w:lang w:eastAsia="en-US"/>
        </w:rPr>
      </w:pPr>
      <w:r w:rsidRPr="00F2179E">
        <w:rPr>
          <w:b/>
          <w:iCs/>
          <w:sz w:val="22"/>
          <w:szCs w:val="22"/>
          <w:u w:val="single"/>
          <w:lang w:eastAsia="en-US"/>
        </w:rPr>
        <w:t>Oxykodóniumchlorid</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Absorpcia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sz w:val="22"/>
          <w:szCs w:val="22"/>
        </w:rPr>
      </w:pPr>
      <w:r w:rsidRPr="00F2179E">
        <w:rPr>
          <w:sz w:val="22"/>
          <w:szCs w:val="22"/>
        </w:rPr>
        <w:t>Oxykodón má pri perorálnom podaní vysokú absolútnu biologickú dostupnosť až do 87%.</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Distribúcia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z w:val="22"/>
          <w:szCs w:val="22"/>
        </w:rPr>
      </w:pPr>
      <w:r w:rsidRPr="00F2179E">
        <w:rPr>
          <w:sz w:val="22"/>
          <w:szCs w:val="22"/>
        </w:rPr>
        <w:t xml:space="preserve">Po absorpcii sa oxykodón distribuuje do celého tela. Približne 45% sa viaže na plazmatické bielkoviny. </w:t>
      </w:r>
    </w:p>
    <w:p w:rsidR="00984857" w:rsidRPr="00F2179E" w:rsidRDefault="00984857" w:rsidP="00984857">
      <w:pPr>
        <w:widowControl w:val="0"/>
        <w:numPr>
          <w:ilvl w:val="12"/>
          <w:numId w:val="0"/>
        </w:numPr>
        <w:tabs>
          <w:tab w:val="left" w:pos="567"/>
        </w:tabs>
        <w:ind w:right="-2"/>
        <w:rPr>
          <w:sz w:val="22"/>
          <w:szCs w:val="22"/>
        </w:rPr>
      </w:pPr>
      <w:r w:rsidRPr="00F2179E">
        <w:rPr>
          <w:sz w:val="22"/>
          <w:szCs w:val="22"/>
        </w:rPr>
        <w:t>Oxykodón prechádza placentou a môže sa vyskytnúť v materskom mlieku.</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Biotransformácia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z w:val="22"/>
          <w:szCs w:val="22"/>
        </w:rPr>
      </w:pPr>
      <w:r w:rsidRPr="00F2179E">
        <w:rPr>
          <w:sz w:val="22"/>
          <w:szCs w:val="22"/>
        </w:rPr>
        <w:t xml:space="preserve">Oxykodón sa metabolizuje v čreve a v pečeni na noroxykodón a oxymorfón a na rôzne glukuronidové konjugáty. Noroxykodón, oxymorfón a noroxymorfón sa vytvárajú </w:t>
      </w:r>
      <w:r w:rsidR="00171F31" w:rsidRPr="00F2179E">
        <w:rPr>
          <w:sz w:val="22"/>
          <w:szCs w:val="22"/>
        </w:rPr>
        <w:t xml:space="preserve">cez </w:t>
      </w:r>
      <w:r w:rsidRPr="00F2179E">
        <w:rPr>
          <w:sz w:val="22"/>
          <w:szCs w:val="22"/>
        </w:rPr>
        <w:t>systém cytochrómu P450. Chinidín znižuje tvorbu oxymorfónu u človeka bez podstatného ovplyvnenia farmakodynamiky oxykodónu. Vplyv metabolitov na celkový farmakodynamický účinok je nevýznamný.</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Eliminácia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Cs/>
          <w:sz w:val="22"/>
          <w:szCs w:val="22"/>
          <w:lang w:eastAsia="en-US"/>
        </w:rPr>
      </w:pPr>
      <w:r w:rsidRPr="00F2179E">
        <w:rPr>
          <w:iCs/>
          <w:sz w:val="22"/>
          <w:szCs w:val="22"/>
          <w:lang w:eastAsia="en-US"/>
        </w:rPr>
        <w:t xml:space="preserve">Oxykodón </w:t>
      </w:r>
      <w:r w:rsidRPr="00F2179E">
        <w:rPr>
          <w:sz w:val="22"/>
          <w:szCs w:val="22"/>
        </w:rPr>
        <w:t>a jeho metabolity sa vylučujú močom a stolicou</w:t>
      </w:r>
      <w:r w:rsidRPr="00F2179E">
        <w:rPr>
          <w:iCs/>
          <w:sz w:val="22"/>
          <w:szCs w:val="22"/>
          <w:lang w:eastAsia="en-US"/>
        </w:rPr>
        <w:t>.</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b/>
          <w:iCs/>
          <w:sz w:val="22"/>
          <w:szCs w:val="22"/>
          <w:u w:val="single"/>
          <w:lang w:eastAsia="en-US"/>
        </w:rPr>
      </w:pPr>
      <w:r w:rsidRPr="00F2179E">
        <w:rPr>
          <w:b/>
          <w:iCs/>
          <w:sz w:val="22"/>
          <w:szCs w:val="22"/>
          <w:u w:val="single"/>
          <w:lang w:eastAsia="en-US"/>
        </w:rPr>
        <w:t>Naloxóniumchlorid</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Absorpcia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z w:val="22"/>
          <w:szCs w:val="22"/>
        </w:rPr>
      </w:pPr>
      <w:r w:rsidRPr="00F2179E">
        <w:rPr>
          <w:sz w:val="22"/>
          <w:szCs w:val="22"/>
        </w:rPr>
        <w:t>Naloxón má pri perorálnom podaní veľmi nízku systémovú dostupnosť &lt;3%.</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Distribúcia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Cs/>
          <w:sz w:val="22"/>
          <w:szCs w:val="22"/>
          <w:lang w:eastAsia="en-US"/>
        </w:rPr>
      </w:pPr>
      <w:r w:rsidRPr="00F2179E">
        <w:rPr>
          <w:sz w:val="22"/>
          <w:szCs w:val="22"/>
        </w:rPr>
        <w:t>Naloxón prechádza do placenty. Nie je známe, či naloxón prechádza aj do materského mlieka.</w:t>
      </w:r>
      <w:r w:rsidRPr="00F2179E">
        <w:rPr>
          <w:iCs/>
          <w:sz w:val="22"/>
          <w:szCs w:val="22"/>
          <w:lang w:eastAsia="en-US"/>
        </w:rPr>
        <w:t xml:space="preserve"> </w:t>
      </w:r>
    </w:p>
    <w:p w:rsidR="00984857" w:rsidRPr="00F2179E" w:rsidRDefault="00984857" w:rsidP="00984857">
      <w:pPr>
        <w:widowControl w:val="0"/>
        <w:numPr>
          <w:ilvl w:val="12"/>
          <w:numId w:val="0"/>
        </w:numPr>
        <w:tabs>
          <w:tab w:val="left" w:pos="567"/>
        </w:tabs>
        <w:ind w:right="-2"/>
        <w:rPr>
          <w:i/>
          <w:iCs/>
          <w:sz w:val="22"/>
          <w:szCs w:val="22"/>
          <w:u w:val="single"/>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Biotransformácia a eliminácia</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sz w:val="22"/>
          <w:szCs w:val="22"/>
        </w:rPr>
      </w:pPr>
      <w:r w:rsidRPr="00F2179E">
        <w:rPr>
          <w:sz w:val="22"/>
          <w:szCs w:val="22"/>
        </w:rPr>
        <w:t xml:space="preserve">Po parenterálnom podaní je plazmatický polčas lieku približne 1 hodina. Doba pôsobenia závisí od dávky a cesty podania, intramuskulárna injekcia má dlhší účinok ako intravenózne dávky. </w:t>
      </w:r>
      <w:r w:rsidRPr="00F2179E">
        <w:rPr>
          <w:spacing w:val="-3"/>
          <w:sz w:val="22"/>
          <w:szCs w:val="22"/>
        </w:rPr>
        <w:t>Naloxóniumchlorid</w:t>
      </w:r>
      <w:r w:rsidRPr="00F2179E">
        <w:rPr>
          <w:sz w:val="22"/>
          <w:szCs w:val="22"/>
        </w:rPr>
        <w:t xml:space="preserve"> sa metabolizuje v pečeni a vylučuje sa močom. Hlavnými metabolitmi sú naloxóniumglukuronid, 6-naloxol a jeho glukuronidy.</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b/>
          <w:iCs/>
          <w:sz w:val="22"/>
          <w:szCs w:val="22"/>
          <w:u w:val="single"/>
          <w:lang w:eastAsia="en-US"/>
        </w:rPr>
      </w:pPr>
      <w:r w:rsidRPr="00F2179E">
        <w:rPr>
          <w:b/>
          <w:iCs/>
          <w:sz w:val="22"/>
          <w:szCs w:val="22"/>
          <w:u w:val="single"/>
          <w:lang w:eastAsia="en-US"/>
        </w:rPr>
        <w:t>Kombinácia oxykodóniumchloridu a naloxóniumchloridu (Adolax)</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Farmakokinetické/farmakodynamické vzťahy</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spacing w:val="-3"/>
          <w:sz w:val="22"/>
          <w:szCs w:val="22"/>
        </w:rPr>
      </w:pPr>
      <w:r w:rsidRPr="00F2179E">
        <w:rPr>
          <w:spacing w:val="-3"/>
          <w:sz w:val="22"/>
          <w:szCs w:val="22"/>
        </w:rPr>
        <w:t>Farmokokinetické vlastnosti oxykodónu v Adolaxe sú rovnaké ako vlastnosti oxykodóniumchloridu v tabletách s predĺženým uvoľňovaním, podávaných spolu s tabletami s obsahom naloxóniumchloridu s predĺženým uvoľňovaním.</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Cs/>
          <w:sz w:val="22"/>
          <w:szCs w:val="22"/>
          <w:lang w:eastAsia="en-US"/>
        </w:rPr>
      </w:pPr>
      <w:r w:rsidRPr="00F2179E">
        <w:rPr>
          <w:spacing w:val="-3"/>
          <w:sz w:val="22"/>
          <w:szCs w:val="22"/>
        </w:rPr>
        <w:t>Všetky sily Adolaxu sa môžu navzájom kombinovať.</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sz w:val="22"/>
          <w:szCs w:val="22"/>
        </w:rPr>
      </w:pPr>
      <w:r w:rsidRPr="00F2179E">
        <w:rPr>
          <w:sz w:val="22"/>
          <w:szCs w:val="22"/>
        </w:rPr>
        <w:t>Po perorálnom podaní Adolaxu zdravým osobám v maximálnej dávke sú koncentrácie naloxónu v plazme tak</w:t>
      </w:r>
      <w:r w:rsidRPr="00F2179E">
        <w:rPr>
          <w:spacing w:val="-3"/>
          <w:sz w:val="22"/>
          <w:szCs w:val="22"/>
        </w:rPr>
        <w:t>é</w:t>
      </w:r>
      <w:r w:rsidRPr="00F2179E">
        <w:rPr>
          <w:sz w:val="22"/>
          <w:szCs w:val="22"/>
        </w:rPr>
        <w:t xml:space="preserve"> nízke, že nie je možné vykonať farmakokinetickú analýzu. Dá sa však uskutočniť farmakokinetická analýza naloxón-3-glukuronidu ako náhradného markeru, pretož</w:t>
      </w:r>
      <w:r w:rsidR="009D0EE8" w:rsidRPr="00F2179E">
        <w:rPr>
          <w:sz w:val="22"/>
          <w:szCs w:val="22"/>
        </w:rPr>
        <w:t>e jeho plazmatická koncentrácia</w:t>
      </w:r>
      <w:r w:rsidRPr="00F2179E">
        <w:rPr>
          <w:sz w:val="22"/>
          <w:szCs w:val="22"/>
        </w:rPr>
        <w:t xml:space="preserve"> je dostatočne vysoká na stanovenie.</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z w:val="22"/>
          <w:szCs w:val="22"/>
        </w:rPr>
      </w:pPr>
      <w:r w:rsidRPr="00F2179E">
        <w:rPr>
          <w:sz w:val="22"/>
          <w:szCs w:val="22"/>
        </w:rPr>
        <w:t>Celkovo po raňajkách s vysokým obsahom tukov je biologická dostupnosť a maximálna plazmatická koncentrácia oxykodónu (C</w:t>
      </w:r>
      <w:r w:rsidRPr="00F2179E">
        <w:rPr>
          <w:sz w:val="22"/>
          <w:szCs w:val="22"/>
          <w:vertAlign w:val="subscript"/>
        </w:rPr>
        <w:t>max</w:t>
      </w:r>
      <w:r w:rsidRPr="00F2179E">
        <w:rPr>
          <w:sz w:val="22"/>
          <w:szCs w:val="22"/>
        </w:rPr>
        <w:t>) približne o 16% a 30% vyššia v uvedenom poradí v porovnaní s podaním lieku nalačno. To bolo zhodnotené ako klinicky nevýznamné, a preto je užívanie Adolax</w:t>
      </w:r>
      <w:r w:rsidR="0004009C" w:rsidRPr="00F2179E">
        <w:rPr>
          <w:sz w:val="22"/>
          <w:szCs w:val="22"/>
        </w:rPr>
        <w:t>u</w:t>
      </w:r>
      <w:r w:rsidRPr="00F2179E">
        <w:rPr>
          <w:sz w:val="22"/>
          <w:szCs w:val="22"/>
        </w:rPr>
        <w:t xml:space="preserve"> tablety s predĺženým uvoľňovaním možné s jedlom alebo bez jedla (pozri časť 4.2).</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z w:val="22"/>
          <w:szCs w:val="22"/>
        </w:rPr>
      </w:pPr>
      <w:r w:rsidRPr="00F2179E">
        <w:rPr>
          <w:i/>
          <w:sz w:val="22"/>
          <w:szCs w:val="22"/>
        </w:rPr>
        <w:t>In vitro</w:t>
      </w:r>
      <w:r w:rsidRPr="00F2179E">
        <w:rPr>
          <w:sz w:val="22"/>
          <w:szCs w:val="22"/>
        </w:rPr>
        <w:t xml:space="preserve"> štúdie metabolizmu lieku preukázali, že výskyt klinicky relevantných interakcií týkajúcich sa Adolaxu je nepravdepodobný.</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b/>
          <w:iCs/>
          <w:sz w:val="22"/>
          <w:szCs w:val="22"/>
          <w:u w:val="single"/>
          <w:lang w:eastAsia="en-US"/>
        </w:rPr>
      </w:pPr>
      <w:r w:rsidRPr="00F2179E">
        <w:rPr>
          <w:b/>
          <w:iCs/>
          <w:sz w:val="22"/>
          <w:szCs w:val="22"/>
          <w:u w:val="single"/>
          <w:lang w:eastAsia="en-US"/>
        </w:rPr>
        <w:t>Starší pacienti</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Oxykodón</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tabs>
          <w:tab w:val="left" w:pos="426"/>
          <w:tab w:val="left" w:pos="5217"/>
        </w:tabs>
        <w:suppressAutoHyphens/>
        <w:ind w:left="1"/>
        <w:rPr>
          <w:bCs/>
          <w:iCs/>
          <w:noProof/>
          <w:sz w:val="22"/>
          <w:szCs w:val="22"/>
        </w:rPr>
      </w:pPr>
      <w:r w:rsidRPr="00F2179E">
        <w:rPr>
          <w:bCs/>
          <w:iCs/>
          <w:noProof/>
          <w:sz w:val="22"/>
          <w:szCs w:val="22"/>
        </w:rPr>
        <w:t>U starších pacientov v porovnaní s mladšími dobrovoľníkmi sa hodnota AUC oxykodónu zvýšila v priemere na 118% (90% I.S.: 103,135). Hodnota C</w:t>
      </w:r>
      <w:r w:rsidRPr="00F2179E">
        <w:rPr>
          <w:bCs/>
          <w:iCs/>
          <w:noProof/>
          <w:sz w:val="22"/>
          <w:szCs w:val="22"/>
          <w:vertAlign w:val="subscript"/>
        </w:rPr>
        <w:t>max</w:t>
      </w:r>
      <w:r w:rsidRPr="00F2179E">
        <w:rPr>
          <w:bCs/>
          <w:iCs/>
          <w:noProof/>
          <w:sz w:val="22"/>
          <w:szCs w:val="22"/>
        </w:rPr>
        <w:t xml:space="preserve"> oxykodónu sa zvýšila v priemere na 114% (90% I.S.: 102,127). Hodnota C</w:t>
      </w:r>
      <w:r w:rsidRPr="00F2179E">
        <w:rPr>
          <w:bCs/>
          <w:iCs/>
          <w:noProof/>
          <w:sz w:val="22"/>
          <w:szCs w:val="22"/>
          <w:vertAlign w:val="subscript"/>
        </w:rPr>
        <w:t xml:space="preserve">min </w:t>
      </w:r>
      <w:r w:rsidRPr="00F2179E">
        <w:rPr>
          <w:bCs/>
          <w:iCs/>
          <w:noProof/>
          <w:sz w:val="22"/>
          <w:szCs w:val="22"/>
        </w:rPr>
        <w:t>oxykodónu sa zvýšila v priemere na 128% (90% I.S.: 107,152).</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Naloxón</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tabs>
          <w:tab w:val="left" w:pos="426"/>
          <w:tab w:val="left" w:pos="5217"/>
        </w:tabs>
        <w:suppressAutoHyphens/>
        <w:ind w:left="1"/>
        <w:rPr>
          <w:i/>
          <w:iCs/>
          <w:noProof/>
          <w:sz w:val="22"/>
          <w:szCs w:val="22"/>
          <w:u w:val="single"/>
        </w:rPr>
      </w:pPr>
      <w:r w:rsidRPr="00F2179E">
        <w:rPr>
          <w:bCs/>
          <w:iCs/>
          <w:noProof/>
          <w:sz w:val="22"/>
          <w:szCs w:val="22"/>
        </w:rPr>
        <w:t>U starších pacientov v porovnaní s mladšími dobrovoľníkmi sa hodnota AUC naloxónu zvýšila v priemere na 182% (90% I.S.: 123,270). Hodnota C</w:t>
      </w:r>
      <w:r w:rsidRPr="00F2179E">
        <w:rPr>
          <w:bCs/>
          <w:iCs/>
          <w:noProof/>
          <w:sz w:val="22"/>
          <w:szCs w:val="22"/>
          <w:vertAlign w:val="subscript"/>
        </w:rPr>
        <w:t>max</w:t>
      </w:r>
      <w:r w:rsidRPr="00F2179E">
        <w:rPr>
          <w:bCs/>
          <w:iCs/>
          <w:noProof/>
          <w:sz w:val="22"/>
          <w:szCs w:val="22"/>
        </w:rPr>
        <w:t xml:space="preserve"> naloxónu sa zvýšila v priemere na 173% (90% I.S.: 107,280). Hodnota C</w:t>
      </w:r>
      <w:r w:rsidRPr="00F2179E">
        <w:rPr>
          <w:bCs/>
          <w:iCs/>
          <w:noProof/>
          <w:sz w:val="22"/>
          <w:szCs w:val="22"/>
          <w:vertAlign w:val="subscript"/>
        </w:rPr>
        <w:t>min</w:t>
      </w:r>
      <w:r w:rsidRPr="00F2179E">
        <w:rPr>
          <w:bCs/>
          <w:iCs/>
          <w:noProof/>
          <w:sz w:val="22"/>
          <w:szCs w:val="22"/>
        </w:rPr>
        <w:t xml:space="preserve"> naloxónu sa zvýšila v priemere na 317% (90% I.S.: 142,708).</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Naloxón-3-glukuronid</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bCs/>
          <w:iCs/>
          <w:noProof/>
          <w:sz w:val="22"/>
          <w:szCs w:val="22"/>
        </w:rPr>
      </w:pPr>
      <w:r w:rsidRPr="00F2179E">
        <w:rPr>
          <w:bCs/>
          <w:iCs/>
          <w:noProof/>
          <w:sz w:val="22"/>
          <w:szCs w:val="22"/>
        </w:rPr>
        <w:t xml:space="preserve">U starších pacientov v porovnaní s mladšími dobrovoľníkmi sa hodnota AUC </w:t>
      </w:r>
      <w:r w:rsidRPr="00F2179E">
        <w:rPr>
          <w:spacing w:val="-3"/>
          <w:sz w:val="22"/>
          <w:szCs w:val="22"/>
        </w:rPr>
        <w:t xml:space="preserve">naloxón-3-glukuronidu </w:t>
      </w:r>
      <w:r w:rsidRPr="00F2179E">
        <w:rPr>
          <w:bCs/>
          <w:iCs/>
          <w:noProof/>
          <w:sz w:val="22"/>
          <w:szCs w:val="22"/>
        </w:rPr>
        <w:t>zvýšila v priemere na 128% (90% I.S.: 113,147). Hodnota C</w:t>
      </w:r>
      <w:r w:rsidRPr="00F2179E">
        <w:rPr>
          <w:bCs/>
          <w:iCs/>
          <w:noProof/>
          <w:sz w:val="22"/>
          <w:szCs w:val="22"/>
          <w:vertAlign w:val="subscript"/>
        </w:rPr>
        <w:t>max</w:t>
      </w:r>
      <w:r w:rsidRPr="00F2179E">
        <w:rPr>
          <w:bCs/>
          <w:iCs/>
          <w:noProof/>
          <w:sz w:val="22"/>
          <w:szCs w:val="22"/>
        </w:rPr>
        <w:t xml:space="preserve"> </w:t>
      </w:r>
      <w:r w:rsidRPr="00F2179E">
        <w:rPr>
          <w:spacing w:val="-3"/>
          <w:sz w:val="22"/>
          <w:szCs w:val="22"/>
        </w:rPr>
        <w:t xml:space="preserve">naloxón-3-glukuronidu </w:t>
      </w:r>
      <w:r w:rsidRPr="00F2179E">
        <w:rPr>
          <w:bCs/>
          <w:iCs/>
          <w:noProof/>
          <w:sz w:val="22"/>
          <w:szCs w:val="22"/>
        </w:rPr>
        <w:t>sa zvýšila v priemere na 127% (90% I.S.: 112,144). Hodnota C</w:t>
      </w:r>
      <w:r w:rsidRPr="00F2179E">
        <w:rPr>
          <w:bCs/>
          <w:iCs/>
          <w:noProof/>
          <w:sz w:val="22"/>
          <w:szCs w:val="22"/>
          <w:vertAlign w:val="subscript"/>
        </w:rPr>
        <w:t>min</w:t>
      </w:r>
      <w:r w:rsidRPr="00F2179E">
        <w:rPr>
          <w:bCs/>
          <w:iCs/>
          <w:noProof/>
          <w:sz w:val="22"/>
          <w:szCs w:val="22"/>
        </w:rPr>
        <w:t xml:space="preserve"> </w:t>
      </w:r>
      <w:r w:rsidRPr="00F2179E">
        <w:rPr>
          <w:spacing w:val="-3"/>
          <w:sz w:val="22"/>
          <w:szCs w:val="22"/>
        </w:rPr>
        <w:t xml:space="preserve">naloxón-3-glukuronidu </w:t>
      </w:r>
      <w:r w:rsidRPr="00F2179E">
        <w:rPr>
          <w:bCs/>
          <w:iCs/>
          <w:noProof/>
          <w:sz w:val="22"/>
          <w:szCs w:val="22"/>
        </w:rPr>
        <w:t>sa zvýšila v priemere na 125% (90% I.S.: 105,148).</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b/>
          <w:iCs/>
          <w:sz w:val="22"/>
          <w:szCs w:val="22"/>
          <w:u w:val="single"/>
          <w:lang w:eastAsia="en-US"/>
        </w:rPr>
      </w:pPr>
      <w:r w:rsidRPr="00F2179E">
        <w:rPr>
          <w:b/>
          <w:iCs/>
          <w:sz w:val="22"/>
          <w:szCs w:val="22"/>
          <w:u w:val="single"/>
          <w:lang w:eastAsia="en-US"/>
        </w:rPr>
        <w:t>Pacienti so zhoršenou funkciou pečene</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Oxykodón</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Cs/>
          <w:sz w:val="22"/>
          <w:szCs w:val="22"/>
          <w:lang w:eastAsia="en-US"/>
        </w:rPr>
      </w:pPr>
      <w:r w:rsidRPr="00F2179E">
        <w:rPr>
          <w:spacing w:val="-3"/>
          <w:sz w:val="22"/>
          <w:szCs w:val="22"/>
        </w:rPr>
        <w:t>U pacientov s miernym, stredným a závažným poškodením pečene sa hodnota AUC</w:t>
      </w:r>
      <w:r w:rsidRPr="00F2179E">
        <w:rPr>
          <w:spacing w:val="-3"/>
          <w:sz w:val="22"/>
          <w:szCs w:val="22"/>
          <w:vertAlign w:val="subscript"/>
        </w:rPr>
        <w:t>INF</w:t>
      </w:r>
      <w:r w:rsidRPr="00F2179E">
        <w:rPr>
          <w:spacing w:val="-3"/>
          <w:sz w:val="22"/>
          <w:szCs w:val="22"/>
        </w:rPr>
        <w:t xml:space="preserve"> oxykodónu zvýšila v priemere na 143% (90% </w:t>
      </w:r>
      <w:r w:rsidRPr="00F2179E">
        <w:rPr>
          <w:bCs/>
          <w:iCs/>
          <w:noProof/>
          <w:sz w:val="22"/>
          <w:szCs w:val="22"/>
        </w:rPr>
        <w:t>I.S.</w:t>
      </w:r>
      <w:r w:rsidRPr="00F2179E">
        <w:rPr>
          <w:spacing w:val="-3"/>
          <w:sz w:val="22"/>
          <w:szCs w:val="22"/>
        </w:rPr>
        <w:t xml:space="preserve">: 111,184), 319% (90% </w:t>
      </w:r>
      <w:r w:rsidRPr="00F2179E">
        <w:rPr>
          <w:bCs/>
          <w:iCs/>
          <w:noProof/>
          <w:sz w:val="22"/>
          <w:szCs w:val="22"/>
        </w:rPr>
        <w:t>I.S.</w:t>
      </w:r>
      <w:r w:rsidRPr="00F2179E">
        <w:rPr>
          <w:spacing w:val="-3"/>
          <w:sz w:val="22"/>
          <w:szCs w:val="22"/>
        </w:rPr>
        <w:t xml:space="preserve">: 248,411) a 310% (90% </w:t>
      </w:r>
      <w:r w:rsidRPr="00F2179E">
        <w:rPr>
          <w:bCs/>
          <w:iCs/>
          <w:noProof/>
          <w:sz w:val="22"/>
          <w:szCs w:val="22"/>
        </w:rPr>
        <w:t>I.S.</w:t>
      </w:r>
      <w:r w:rsidRPr="00F2179E">
        <w:rPr>
          <w:spacing w:val="-3"/>
          <w:sz w:val="22"/>
          <w:szCs w:val="22"/>
        </w:rPr>
        <w:t>: 241,398) v uvedenom poradí porovnaním so zdravými dobrovoľníkmi. Hodnota C</w:t>
      </w:r>
      <w:r w:rsidRPr="00F2179E">
        <w:rPr>
          <w:spacing w:val="-3"/>
          <w:sz w:val="22"/>
          <w:szCs w:val="22"/>
          <w:vertAlign w:val="subscript"/>
        </w:rPr>
        <w:t>max</w:t>
      </w:r>
      <w:r w:rsidRPr="00F2179E">
        <w:rPr>
          <w:spacing w:val="-3"/>
          <w:sz w:val="22"/>
          <w:szCs w:val="22"/>
        </w:rPr>
        <w:t xml:space="preserve"> oxykodónu sa u pacientov s miernym, stredným a závažným poškodením pečene zvýšila v priemere na 120% (90% </w:t>
      </w:r>
      <w:r w:rsidRPr="00F2179E">
        <w:rPr>
          <w:bCs/>
          <w:iCs/>
          <w:noProof/>
          <w:sz w:val="22"/>
          <w:szCs w:val="22"/>
        </w:rPr>
        <w:t>I.S.</w:t>
      </w:r>
      <w:r w:rsidRPr="00F2179E">
        <w:rPr>
          <w:spacing w:val="-3"/>
          <w:sz w:val="22"/>
          <w:szCs w:val="22"/>
        </w:rPr>
        <w:t xml:space="preserve">: 99,144), 201% (90% </w:t>
      </w:r>
      <w:r w:rsidRPr="00F2179E">
        <w:rPr>
          <w:bCs/>
          <w:iCs/>
          <w:noProof/>
          <w:sz w:val="22"/>
          <w:szCs w:val="22"/>
        </w:rPr>
        <w:t>I.S.</w:t>
      </w:r>
      <w:r w:rsidRPr="00F2179E">
        <w:rPr>
          <w:spacing w:val="-3"/>
          <w:sz w:val="22"/>
          <w:szCs w:val="22"/>
        </w:rPr>
        <w:t xml:space="preserve">: 166,242) a 191% (90% </w:t>
      </w:r>
      <w:r w:rsidRPr="00F2179E">
        <w:rPr>
          <w:bCs/>
          <w:iCs/>
          <w:noProof/>
          <w:sz w:val="22"/>
          <w:szCs w:val="22"/>
        </w:rPr>
        <w:t>I.S.</w:t>
      </w:r>
      <w:r w:rsidRPr="00F2179E">
        <w:rPr>
          <w:spacing w:val="-3"/>
          <w:sz w:val="22"/>
          <w:szCs w:val="22"/>
        </w:rPr>
        <w:t>: 158,231) v uvedenom poradí porovnaním s mladšími dobrovoľníkmi. Hodnota t</w:t>
      </w:r>
      <w:r w:rsidRPr="00F2179E">
        <w:rPr>
          <w:spacing w:val="-3"/>
          <w:sz w:val="22"/>
          <w:szCs w:val="22"/>
          <w:vertAlign w:val="subscript"/>
        </w:rPr>
        <w:t>1/2Z</w:t>
      </w:r>
      <w:r w:rsidRPr="00F2179E">
        <w:rPr>
          <w:spacing w:val="-3"/>
          <w:sz w:val="22"/>
          <w:szCs w:val="22"/>
        </w:rPr>
        <w:t xml:space="preserve"> oxykodónu sa u pacientov s miernym, stredným a závažným poškodením pečene zvýšila v priemere na 108% (90% </w:t>
      </w:r>
      <w:r w:rsidRPr="00F2179E">
        <w:rPr>
          <w:bCs/>
          <w:iCs/>
          <w:noProof/>
          <w:sz w:val="22"/>
          <w:szCs w:val="22"/>
        </w:rPr>
        <w:t>I.S.</w:t>
      </w:r>
      <w:r w:rsidRPr="00F2179E">
        <w:rPr>
          <w:spacing w:val="-3"/>
          <w:sz w:val="22"/>
          <w:szCs w:val="22"/>
        </w:rPr>
        <w:t xml:space="preserve">: 70,146), 176% (90% </w:t>
      </w:r>
      <w:r w:rsidRPr="00F2179E">
        <w:rPr>
          <w:bCs/>
          <w:iCs/>
          <w:noProof/>
          <w:sz w:val="22"/>
          <w:szCs w:val="22"/>
        </w:rPr>
        <w:t>IS</w:t>
      </w:r>
      <w:r w:rsidRPr="00F2179E">
        <w:rPr>
          <w:spacing w:val="-3"/>
          <w:sz w:val="22"/>
          <w:szCs w:val="22"/>
        </w:rPr>
        <w:t xml:space="preserve">: 138,215) a 183% (90% </w:t>
      </w:r>
      <w:r w:rsidRPr="00F2179E">
        <w:rPr>
          <w:bCs/>
          <w:iCs/>
          <w:noProof/>
          <w:sz w:val="22"/>
          <w:szCs w:val="22"/>
        </w:rPr>
        <w:t>I.S.</w:t>
      </w:r>
      <w:r w:rsidRPr="00F2179E">
        <w:rPr>
          <w:spacing w:val="-3"/>
          <w:sz w:val="22"/>
          <w:szCs w:val="22"/>
        </w:rPr>
        <w:t>: 145,221) v uvedenom poradí porovnaním s mladšími dobrovoľníkmi.</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Naloxón</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A329F3">
      <w:pPr>
        <w:rPr>
          <w:spacing w:val="-3"/>
          <w:sz w:val="22"/>
          <w:szCs w:val="22"/>
        </w:rPr>
      </w:pPr>
      <w:r w:rsidRPr="00F2179E">
        <w:rPr>
          <w:spacing w:val="-3"/>
          <w:sz w:val="22"/>
          <w:szCs w:val="22"/>
        </w:rPr>
        <w:t>U pacientov s miernym, stredným a závažným poškodením pečene sa hodnota AUC</w:t>
      </w:r>
      <w:r w:rsidRPr="00F2179E">
        <w:rPr>
          <w:spacing w:val="-3"/>
          <w:sz w:val="22"/>
          <w:szCs w:val="22"/>
          <w:vertAlign w:val="subscript"/>
        </w:rPr>
        <w:t>t</w:t>
      </w:r>
      <w:r w:rsidRPr="00F2179E">
        <w:rPr>
          <w:spacing w:val="-3"/>
          <w:sz w:val="22"/>
          <w:szCs w:val="22"/>
        </w:rPr>
        <w:t xml:space="preserve"> naloxónu zvýšila v priemere na 411% (90% </w:t>
      </w:r>
      <w:r w:rsidRPr="00F2179E">
        <w:rPr>
          <w:bCs/>
          <w:iCs/>
          <w:noProof/>
          <w:sz w:val="22"/>
          <w:szCs w:val="22"/>
        </w:rPr>
        <w:t>I.S.</w:t>
      </w:r>
      <w:r w:rsidRPr="00F2179E">
        <w:rPr>
          <w:spacing w:val="-3"/>
          <w:sz w:val="22"/>
          <w:szCs w:val="22"/>
        </w:rPr>
        <w:t xml:space="preserve">: 152, 1 112), 11518% (90% </w:t>
      </w:r>
      <w:r w:rsidRPr="00F2179E">
        <w:rPr>
          <w:bCs/>
          <w:iCs/>
          <w:noProof/>
          <w:sz w:val="22"/>
          <w:szCs w:val="22"/>
        </w:rPr>
        <w:t>I.S.</w:t>
      </w:r>
      <w:r w:rsidRPr="00F2179E">
        <w:rPr>
          <w:spacing w:val="-3"/>
          <w:sz w:val="22"/>
          <w:szCs w:val="22"/>
        </w:rPr>
        <w:t xml:space="preserve">: 4259, 31 149) a 10 666% (90% </w:t>
      </w:r>
      <w:r w:rsidRPr="00F2179E">
        <w:rPr>
          <w:bCs/>
          <w:iCs/>
          <w:noProof/>
          <w:sz w:val="22"/>
          <w:szCs w:val="22"/>
        </w:rPr>
        <w:t>I.S.</w:t>
      </w:r>
      <w:r w:rsidRPr="00F2179E">
        <w:rPr>
          <w:spacing w:val="-3"/>
          <w:sz w:val="22"/>
          <w:szCs w:val="22"/>
        </w:rPr>
        <w:t>: 3 944, 28 847) v uvedenom poradí porovnaním so zdravými dobrovoľníkmi. Hodnota C</w:t>
      </w:r>
      <w:r w:rsidRPr="00F2179E">
        <w:rPr>
          <w:spacing w:val="-3"/>
          <w:sz w:val="22"/>
          <w:szCs w:val="22"/>
          <w:vertAlign w:val="subscript"/>
        </w:rPr>
        <w:t>max</w:t>
      </w:r>
      <w:r w:rsidRPr="00F2179E">
        <w:rPr>
          <w:spacing w:val="-3"/>
          <w:sz w:val="22"/>
          <w:szCs w:val="22"/>
        </w:rPr>
        <w:t xml:space="preserve"> naloxónu sa u pacientov s miernym, stredným a závažným poškodením pečene sa zvýšila v priemere na 193% (90% </w:t>
      </w:r>
      <w:r w:rsidRPr="00F2179E">
        <w:rPr>
          <w:bCs/>
          <w:iCs/>
          <w:noProof/>
          <w:sz w:val="22"/>
          <w:szCs w:val="22"/>
        </w:rPr>
        <w:t>IS</w:t>
      </w:r>
      <w:r w:rsidRPr="00F2179E">
        <w:rPr>
          <w:spacing w:val="-3"/>
          <w:sz w:val="22"/>
          <w:szCs w:val="22"/>
        </w:rPr>
        <w:t xml:space="preserve">: 115,324), 5292% (90% </w:t>
      </w:r>
      <w:r w:rsidRPr="00F2179E">
        <w:rPr>
          <w:bCs/>
          <w:iCs/>
          <w:noProof/>
          <w:sz w:val="22"/>
          <w:szCs w:val="22"/>
        </w:rPr>
        <w:t>I.S.</w:t>
      </w:r>
      <w:r w:rsidRPr="00F2179E">
        <w:rPr>
          <w:spacing w:val="-3"/>
          <w:sz w:val="22"/>
          <w:szCs w:val="22"/>
        </w:rPr>
        <w:t xml:space="preserve">: 3148, 8 896) a 5252% (90%  </w:t>
      </w:r>
      <w:r w:rsidRPr="00F2179E">
        <w:rPr>
          <w:bCs/>
          <w:iCs/>
          <w:noProof/>
          <w:sz w:val="22"/>
          <w:szCs w:val="22"/>
        </w:rPr>
        <w:t>I.S.</w:t>
      </w:r>
      <w:r w:rsidRPr="00F2179E">
        <w:rPr>
          <w:spacing w:val="-3"/>
          <w:sz w:val="22"/>
          <w:szCs w:val="22"/>
        </w:rPr>
        <w:t>: 3 124, 8 830) v uvedenom poradí porovnaním so zdravými dobrovoľníkmi. Vzhľadom k nedostatočnému množstvu údajov sa t</w:t>
      </w:r>
      <w:r w:rsidRPr="00F2179E">
        <w:rPr>
          <w:spacing w:val="-3"/>
          <w:sz w:val="22"/>
          <w:szCs w:val="22"/>
          <w:vertAlign w:val="subscript"/>
        </w:rPr>
        <w:t>1/2Z</w:t>
      </w:r>
      <w:r w:rsidRPr="00F2179E">
        <w:rPr>
          <w:spacing w:val="-3"/>
          <w:sz w:val="22"/>
          <w:szCs w:val="22"/>
        </w:rPr>
        <w:t xml:space="preserve"> a odpovedajúci AUC</w:t>
      </w:r>
      <w:r w:rsidRPr="00F2179E">
        <w:rPr>
          <w:spacing w:val="-3"/>
          <w:sz w:val="22"/>
          <w:szCs w:val="22"/>
          <w:vertAlign w:val="subscript"/>
        </w:rPr>
        <w:t xml:space="preserve">INF  </w:t>
      </w:r>
      <w:r w:rsidRPr="00F2179E">
        <w:rPr>
          <w:spacing w:val="-3"/>
          <w:sz w:val="22"/>
          <w:szCs w:val="22"/>
        </w:rPr>
        <w:t>naloxónu nestanovovali. Porovnanie biologickej dostupnosti naloxónu bolo taktiež založené na hodnotách AUC</w:t>
      </w:r>
      <w:r w:rsidRPr="00F2179E">
        <w:rPr>
          <w:spacing w:val="-3"/>
          <w:sz w:val="22"/>
          <w:szCs w:val="22"/>
          <w:vertAlign w:val="subscript"/>
        </w:rPr>
        <w:t>t</w:t>
      </w:r>
      <w:r w:rsidRPr="00F2179E">
        <w:rPr>
          <w:spacing w:val="-3"/>
          <w:sz w:val="22"/>
          <w:szCs w:val="22"/>
        </w:rPr>
        <w:t>.</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Naloxón-3-glukuronid</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pacing w:val="-3"/>
          <w:sz w:val="22"/>
          <w:szCs w:val="22"/>
        </w:rPr>
      </w:pPr>
      <w:r w:rsidRPr="00F2179E">
        <w:rPr>
          <w:spacing w:val="-3"/>
          <w:sz w:val="22"/>
          <w:szCs w:val="22"/>
        </w:rPr>
        <w:t>U pacientov s miernym, stredným a závažným poškodením pečene sa hodnota AUC</w:t>
      </w:r>
      <w:r w:rsidRPr="00F2179E">
        <w:rPr>
          <w:spacing w:val="-3"/>
          <w:sz w:val="22"/>
          <w:szCs w:val="22"/>
          <w:vertAlign w:val="subscript"/>
        </w:rPr>
        <w:t>INF</w:t>
      </w:r>
      <w:r w:rsidRPr="00F2179E">
        <w:rPr>
          <w:spacing w:val="-3"/>
          <w:sz w:val="22"/>
          <w:szCs w:val="22"/>
        </w:rPr>
        <w:t xml:space="preserve"> naloxón-3-glukuronidu zvýšila v priemere na 157% (90% </w:t>
      </w:r>
      <w:r w:rsidRPr="00F2179E">
        <w:rPr>
          <w:bCs/>
          <w:iCs/>
          <w:noProof/>
          <w:sz w:val="22"/>
          <w:szCs w:val="22"/>
        </w:rPr>
        <w:t>I.S.</w:t>
      </w:r>
      <w:r w:rsidRPr="00F2179E">
        <w:rPr>
          <w:spacing w:val="-3"/>
          <w:sz w:val="22"/>
          <w:szCs w:val="22"/>
        </w:rPr>
        <w:t xml:space="preserve">: 89,279), 128% (90% </w:t>
      </w:r>
      <w:r w:rsidRPr="00F2179E">
        <w:rPr>
          <w:bCs/>
          <w:iCs/>
          <w:noProof/>
          <w:sz w:val="22"/>
          <w:szCs w:val="22"/>
        </w:rPr>
        <w:t>I.S.</w:t>
      </w:r>
      <w:r w:rsidRPr="00F2179E">
        <w:rPr>
          <w:spacing w:val="-3"/>
          <w:sz w:val="22"/>
          <w:szCs w:val="22"/>
        </w:rPr>
        <w:t xml:space="preserve">: 72,227) a 125% (90% </w:t>
      </w:r>
      <w:r w:rsidRPr="00F2179E">
        <w:rPr>
          <w:bCs/>
          <w:iCs/>
          <w:noProof/>
          <w:sz w:val="22"/>
          <w:szCs w:val="22"/>
        </w:rPr>
        <w:t>I.S.</w:t>
      </w:r>
      <w:r w:rsidRPr="00F2179E">
        <w:rPr>
          <w:spacing w:val="-3"/>
          <w:sz w:val="22"/>
          <w:szCs w:val="22"/>
        </w:rPr>
        <w:t>: 71,222 v uvedenom poradí porovnaním so zdravými dobrovoľníkmi. Hodnota C</w:t>
      </w:r>
      <w:r w:rsidRPr="00F2179E">
        <w:rPr>
          <w:spacing w:val="-3"/>
          <w:sz w:val="22"/>
          <w:szCs w:val="22"/>
          <w:vertAlign w:val="subscript"/>
        </w:rPr>
        <w:t xml:space="preserve">max </w:t>
      </w:r>
      <w:r w:rsidRPr="00F2179E">
        <w:rPr>
          <w:spacing w:val="-3"/>
          <w:sz w:val="22"/>
          <w:szCs w:val="22"/>
        </w:rPr>
        <w:t xml:space="preserve">naloxón-3-glukuronidu sa zvýšila v priemere na 141% (90% </w:t>
      </w:r>
      <w:r w:rsidRPr="00F2179E">
        <w:rPr>
          <w:bCs/>
          <w:iCs/>
          <w:noProof/>
          <w:sz w:val="22"/>
          <w:szCs w:val="22"/>
        </w:rPr>
        <w:t>I.S.</w:t>
      </w:r>
      <w:r w:rsidRPr="00F2179E">
        <w:rPr>
          <w:spacing w:val="-3"/>
          <w:sz w:val="22"/>
          <w:szCs w:val="22"/>
        </w:rPr>
        <w:t xml:space="preserve">: 100,197) a 118% (90% </w:t>
      </w:r>
      <w:r w:rsidRPr="00F2179E">
        <w:rPr>
          <w:bCs/>
          <w:iCs/>
          <w:noProof/>
          <w:sz w:val="22"/>
          <w:szCs w:val="22"/>
        </w:rPr>
        <w:t>I.S.</w:t>
      </w:r>
      <w:r w:rsidRPr="00F2179E">
        <w:rPr>
          <w:spacing w:val="-3"/>
          <w:sz w:val="22"/>
          <w:szCs w:val="22"/>
        </w:rPr>
        <w:t xml:space="preserve">: 84,166) u pacientov s miernym, stredným poškodením pečene a u pacientov so závažným poškodením pečene sa znížila na 98% (90% </w:t>
      </w:r>
      <w:r w:rsidRPr="00F2179E">
        <w:rPr>
          <w:bCs/>
          <w:iCs/>
          <w:noProof/>
          <w:sz w:val="22"/>
          <w:szCs w:val="22"/>
        </w:rPr>
        <w:t>I.S.</w:t>
      </w:r>
      <w:r w:rsidRPr="00F2179E">
        <w:rPr>
          <w:spacing w:val="-3"/>
          <w:sz w:val="22"/>
          <w:szCs w:val="22"/>
        </w:rPr>
        <w:t>: 70,137) v uvedenom poradí porovnaním so zdravými dobrovoľníkmi. Hodnota t</w:t>
      </w:r>
      <w:r w:rsidRPr="00F2179E">
        <w:rPr>
          <w:spacing w:val="-3"/>
          <w:sz w:val="22"/>
          <w:szCs w:val="22"/>
          <w:vertAlign w:val="subscript"/>
        </w:rPr>
        <w:t xml:space="preserve">1/2Z </w:t>
      </w:r>
      <w:r w:rsidRPr="00F2179E">
        <w:rPr>
          <w:spacing w:val="-3"/>
          <w:sz w:val="22"/>
          <w:szCs w:val="22"/>
        </w:rPr>
        <w:t xml:space="preserve">naloxón-3-glukuronidu sa u pacientov s miernym poškodením pečene zvýšila v priemere na 117% (90% </w:t>
      </w:r>
      <w:r w:rsidRPr="00F2179E">
        <w:rPr>
          <w:bCs/>
          <w:iCs/>
          <w:noProof/>
          <w:sz w:val="22"/>
          <w:szCs w:val="22"/>
        </w:rPr>
        <w:t>I.S.</w:t>
      </w:r>
      <w:r w:rsidRPr="00F2179E">
        <w:rPr>
          <w:spacing w:val="-3"/>
          <w:sz w:val="22"/>
          <w:szCs w:val="22"/>
        </w:rPr>
        <w:t xml:space="preserve">: 72,161) a u pacientov so stredným poškodením pečene sa znížila na 77% (90% </w:t>
      </w:r>
      <w:r w:rsidRPr="00F2179E">
        <w:rPr>
          <w:bCs/>
          <w:iCs/>
          <w:noProof/>
          <w:sz w:val="22"/>
          <w:szCs w:val="22"/>
        </w:rPr>
        <w:t>I.S.</w:t>
      </w:r>
      <w:r w:rsidRPr="00F2179E">
        <w:rPr>
          <w:spacing w:val="-3"/>
          <w:sz w:val="22"/>
          <w:szCs w:val="22"/>
        </w:rPr>
        <w:t xml:space="preserve">: 32,121) respektíve na 94% (90% </w:t>
      </w:r>
      <w:r w:rsidRPr="00F2179E">
        <w:rPr>
          <w:bCs/>
          <w:iCs/>
          <w:noProof/>
          <w:sz w:val="22"/>
          <w:szCs w:val="22"/>
        </w:rPr>
        <w:t>I.S.</w:t>
      </w:r>
      <w:r w:rsidRPr="00F2179E">
        <w:rPr>
          <w:spacing w:val="-3"/>
          <w:sz w:val="22"/>
          <w:szCs w:val="22"/>
        </w:rPr>
        <w:t>: 49,139) u pacientov so závažným poš</w:t>
      </w:r>
      <w:r w:rsidR="0030616C" w:rsidRPr="00F2179E">
        <w:rPr>
          <w:spacing w:val="-3"/>
          <w:sz w:val="22"/>
          <w:szCs w:val="22"/>
        </w:rPr>
        <w:t>kodením pečene v uvedenom poradí</w:t>
      </w:r>
      <w:r w:rsidRPr="00F2179E">
        <w:rPr>
          <w:spacing w:val="-3"/>
          <w:sz w:val="22"/>
          <w:szCs w:val="22"/>
        </w:rPr>
        <w:t xml:space="preserve"> porovnaním so zdravými dobrovoľníkmi.</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b/>
          <w:iCs/>
          <w:sz w:val="22"/>
          <w:szCs w:val="22"/>
          <w:u w:val="single"/>
          <w:lang w:eastAsia="en-US"/>
        </w:rPr>
      </w:pPr>
      <w:r w:rsidRPr="00F2179E">
        <w:rPr>
          <w:b/>
          <w:iCs/>
          <w:sz w:val="22"/>
          <w:szCs w:val="22"/>
          <w:u w:val="single"/>
          <w:lang w:eastAsia="en-US"/>
        </w:rPr>
        <w:t>Pacienti so zhoršenou funkciou obličiek</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Oxykodón</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rPr>
          <w:spacing w:val="-3"/>
          <w:sz w:val="22"/>
          <w:szCs w:val="22"/>
        </w:rPr>
      </w:pPr>
      <w:r w:rsidRPr="00F2179E">
        <w:rPr>
          <w:spacing w:val="-3"/>
          <w:sz w:val="22"/>
          <w:szCs w:val="22"/>
        </w:rPr>
        <w:t>U pacientov s miernym, stredným a závažným poškodením obličiek sa hodnota AUC</w:t>
      </w:r>
      <w:r w:rsidRPr="00F2179E">
        <w:rPr>
          <w:spacing w:val="-3"/>
          <w:sz w:val="22"/>
          <w:szCs w:val="22"/>
          <w:vertAlign w:val="subscript"/>
        </w:rPr>
        <w:t>INF</w:t>
      </w:r>
      <w:r w:rsidRPr="00F2179E">
        <w:rPr>
          <w:spacing w:val="-3"/>
          <w:sz w:val="22"/>
          <w:szCs w:val="22"/>
        </w:rPr>
        <w:t xml:space="preserve"> oxykodónu zvýšila v priemere na 153% (90% </w:t>
      </w:r>
      <w:r w:rsidRPr="00F2179E">
        <w:rPr>
          <w:bCs/>
          <w:iCs/>
          <w:noProof/>
          <w:sz w:val="22"/>
          <w:szCs w:val="22"/>
        </w:rPr>
        <w:t>I.S.</w:t>
      </w:r>
      <w:r w:rsidRPr="00F2179E">
        <w:rPr>
          <w:spacing w:val="-3"/>
          <w:sz w:val="22"/>
          <w:szCs w:val="22"/>
        </w:rPr>
        <w:t xml:space="preserve">: 130,182), 166% (90% </w:t>
      </w:r>
      <w:r w:rsidRPr="00F2179E">
        <w:rPr>
          <w:bCs/>
          <w:iCs/>
          <w:noProof/>
          <w:sz w:val="22"/>
          <w:szCs w:val="22"/>
        </w:rPr>
        <w:t>I.S.</w:t>
      </w:r>
      <w:r w:rsidRPr="00F2179E">
        <w:rPr>
          <w:spacing w:val="-3"/>
          <w:sz w:val="22"/>
          <w:szCs w:val="22"/>
        </w:rPr>
        <w:t xml:space="preserve">: 140,196) a 224% (90% </w:t>
      </w:r>
      <w:r w:rsidRPr="00F2179E">
        <w:rPr>
          <w:bCs/>
          <w:iCs/>
          <w:noProof/>
          <w:sz w:val="22"/>
          <w:szCs w:val="22"/>
        </w:rPr>
        <w:t>I.S.</w:t>
      </w:r>
      <w:r w:rsidRPr="00F2179E">
        <w:rPr>
          <w:spacing w:val="-3"/>
          <w:sz w:val="22"/>
          <w:szCs w:val="22"/>
        </w:rPr>
        <w:t>: 190,266) v uvedenom poradí porovnaním so zdravými dobrovoľníkmi. Hodnota C</w:t>
      </w:r>
      <w:r w:rsidRPr="00F2179E">
        <w:rPr>
          <w:spacing w:val="-3"/>
          <w:sz w:val="22"/>
          <w:szCs w:val="22"/>
          <w:vertAlign w:val="subscript"/>
        </w:rPr>
        <w:t>max</w:t>
      </w:r>
      <w:r w:rsidRPr="00F2179E">
        <w:rPr>
          <w:spacing w:val="-3"/>
          <w:sz w:val="22"/>
          <w:szCs w:val="22"/>
        </w:rPr>
        <w:t xml:space="preserve"> oxykodónu sa u pacientov s miernym, stredným a závažným poškodením obličiek zvýšila v priemere na 110% (90% </w:t>
      </w:r>
      <w:r w:rsidRPr="00F2179E">
        <w:rPr>
          <w:bCs/>
          <w:iCs/>
          <w:noProof/>
          <w:sz w:val="22"/>
          <w:szCs w:val="22"/>
        </w:rPr>
        <w:t>I.S.</w:t>
      </w:r>
      <w:r w:rsidRPr="00F2179E">
        <w:rPr>
          <w:spacing w:val="-3"/>
          <w:sz w:val="22"/>
          <w:szCs w:val="22"/>
        </w:rPr>
        <w:t xml:space="preserve">: 94,129), 135% (90% </w:t>
      </w:r>
      <w:r w:rsidRPr="00F2179E">
        <w:rPr>
          <w:bCs/>
          <w:iCs/>
          <w:noProof/>
          <w:sz w:val="22"/>
          <w:szCs w:val="22"/>
        </w:rPr>
        <w:t>I.S.</w:t>
      </w:r>
      <w:r w:rsidRPr="00F2179E">
        <w:rPr>
          <w:spacing w:val="-3"/>
          <w:sz w:val="22"/>
          <w:szCs w:val="22"/>
        </w:rPr>
        <w:t xml:space="preserve">: 115,159) a 167% (90% </w:t>
      </w:r>
      <w:r w:rsidRPr="00F2179E">
        <w:rPr>
          <w:bCs/>
          <w:iCs/>
          <w:noProof/>
          <w:sz w:val="22"/>
          <w:szCs w:val="22"/>
        </w:rPr>
        <w:t>I.S.</w:t>
      </w:r>
      <w:r w:rsidRPr="00F2179E">
        <w:rPr>
          <w:spacing w:val="-3"/>
          <w:sz w:val="22"/>
          <w:szCs w:val="22"/>
        </w:rPr>
        <w:t xml:space="preserve">: 142,196) v uvedenom poradí porovnaním so zdravými </w:t>
      </w:r>
      <w:r w:rsidRPr="00F2179E">
        <w:rPr>
          <w:spacing w:val="-3"/>
          <w:sz w:val="22"/>
          <w:szCs w:val="22"/>
        </w:rPr>
        <w:lastRenderedPageBreak/>
        <w:t>dobrovoľníkmi. Hodnota t</w:t>
      </w:r>
      <w:r w:rsidRPr="00F2179E">
        <w:rPr>
          <w:spacing w:val="-3"/>
          <w:sz w:val="22"/>
          <w:szCs w:val="22"/>
          <w:vertAlign w:val="subscript"/>
        </w:rPr>
        <w:t>1/2Z</w:t>
      </w:r>
      <w:r w:rsidRPr="00F2179E">
        <w:rPr>
          <w:spacing w:val="-3"/>
          <w:sz w:val="22"/>
          <w:szCs w:val="22"/>
        </w:rPr>
        <w:t xml:space="preserve"> sa u pacientov s miernym, stredným a závažným poškodením obličiek zvýšila v priemere na 149%, 123% a 142%</w:t>
      </w:r>
      <w:r w:rsidRPr="00F2179E">
        <w:rPr>
          <w:color w:val="FF0000"/>
          <w:spacing w:val="-3"/>
          <w:sz w:val="22"/>
          <w:szCs w:val="22"/>
        </w:rPr>
        <w:t xml:space="preserve"> </w:t>
      </w:r>
      <w:r w:rsidRPr="00F2179E">
        <w:rPr>
          <w:spacing w:val="-3"/>
          <w:sz w:val="22"/>
          <w:szCs w:val="22"/>
        </w:rPr>
        <w:t>porovnaním so zdravými dobrovoľníkmi.</w:t>
      </w:r>
    </w:p>
    <w:p w:rsidR="00984857" w:rsidRPr="00F2179E" w:rsidRDefault="00984857" w:rsidP="00984857">
      <w:pPr>
        <w:widowControl w:val="0"/>
        <w:numPr>
          <w:ilvl w:val="12"/>
          <w:numId w:val="0"/>
        </w:numPr>
        <w:tabs>
          <w:tab w:val="left" w:pos="567"/>
        </w:tabs>
        <w:ind w:right="-2"/>
        <w:rPr>
          <w:i/>
          <w:iCs/>
          <w:sz w:val="22"/>
          <w:szCs w:val="22"/>
          <w:u w:val="single"/>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Naloxón</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Cs/>
          <w:sz w:val="22"/>
          <w:szCs w:val="22"/>
          <w:lang w:eastAsia="en-US"/>
        </w:rPr>
      </w:pPr>
      <w:r w:rsidRPr="00F2179E">
        <w:rPr>
          <w:spacing w:val="-3"/>
          <w:sz w:val="22"/>
          <w:szCs w:val="22"/>
        </w:rPr>
        <w:t>U pacientov s miernym, stredným a závažným poškodením obličiek sa hodnota AUC</w:t>
      </w:r>
      <w:r w:rsidRPr="00F2179E">
        <w:rPr>
          <w:spacing w:val="-3"/>
          <w:sz w:val="22"/>
          <w:szCs w:val="22"/>
          <w:vertAlign w:val="subscript"/>
        </w:rPr>
        <w:t xml:space="preserve">t </w:t>
      </w:r>
      <w:r w:rsidRPr="00F2179E">
        <w:rPr>
          <w:spacing w:val="-3"/>
          <w:sz w:val="22"/>
          <w:szCs w:val="22"/>
        </w:rPr>
        <w:t xml:space="preserve"> naloxónu zvýšila v priemere na 2850% (90% </w:t>
      </w:r>
      <w:r w:rsidRPr="00F2179E">
        <w:rPr>
          <w:bCs/>
          <w:iCs/>
          <w:noProof/>
          <w:sz w:val="22"/>
          <w:szCs w:val="22"/>
        </w:rPr>
        <w:t>I.S.</w:t>
      </w:r>
      <w:r w:rsidRPr="00F2179E">
        <w:rPr>
          <w:spacing w:val="-3"/>
          <w:sz w:val="22"/>
          <w:szCs w:val="22"/>
        </w:rPr>
        <w:t xml:space="preserve">: 369,22042), 3910% (90% </w:t>
      </w:r>
      <w:r w:rsidRPr="00F2179E">
        <w:rPr>
          <w:bCs/>
          <w:iCs/>
          <w:noProof/>
          <w:sz w:val="22"/>
          <w:szCs w:val="22"/>
        </w:rPr>
        <w:t>I.S.</w:t>
      </w:r>
      <w:r w:rsidRPr="00F2179E">
        <w:rPr>
          <w:spacing w:val="-3"/>
          <w:sz w:val="22"/>
          <w:szCs w:val="22"/>
        </w:rPr>
        <w:t xml:space="preserve">: 506,30243) a 7612% (90% </w:t>
      </w:r>
      <w:r w:rsidRPr="00F2179E">
        <w:rPr>
          <w:bCs/>
          <w:iCs/>
          <w:noProof/>
          <w:sz w:val="22"/>
          <w:szCs w:val="22"/>
        </w:rPr>
        <w:t>I.S.</w:t>
      </w:r>
      <w:r w:rsidRPr="00F2179E">
        <w:rPr>
          <w:spacing w:val="-3"/>
          <w:sz w:val="22"/>
          <w:szCs w:val="22"/>
        </w:rPr>
        <w:t>: 984,58871) v uvedenom poradí porovnaním so zdravými dobrovoľníkmi. Hodnota C</w:t>
      </w:r>
      <w:r w:rsidRPr="00F2179E">
        <w:rPr>
          <w:spacing w:val="-3"/>
          <w:sz w:val="22"/>
          <w:szCs w:val="22"/>
          <w:vertAlign w:val="subscript"/>
        </w:rPr>
        <w:t xml:space="preserve">max </w:t>
      </w:r>
      <w:r w:rsidRPr="00F2179E">
        <w:rPr>
          <w:spacing w:val="-3"/>
          <w:sz w:val="22"/>
          <w:szCs w:val="22"/>
        </w:rPr>
        <w:t xml:space="preserve">naloxónu sa u pacientov s miernym, stredným a závažným poškodením obličiek zvýšila v priemere na 1076% (90% </w:t>
      </w:r>
      <w:r w:rsidRPr="00F2179E">
        <w:rPr>
          <w:bCs/>
          <w:iCs/>
          <w:noProof/>
          <w:sz w:val="22"/>
          <w:szCs w:val="22"/>
        </w:rPr>
        <w:t>I.S.</w:t>
      </w:r>
      <w:r w:rsidRPr="00F2179E">
        <w:rPr>
          <w:spacing w:val="-3"/>
          <w:sz w:val="22"/>
          <w:szCs w:val="22"/>
        </w:rPr>
        <w:t xml:space="preserve">: 154,7502), 858% (90% </w:t>
      </w:r>
      <w:r w:rsidRPr="00F2179E">
        <w:rPr>
          <w:bCs/>
          <w:iCs/>
          <w:noProof/>
          <w:sz w:val="22"/>
          <w:szCs w:val="22"/>
        </w:rPr>
        <w:t>I.S.</w:t>
      </w:r>
      <w:r w:rsidRPr="00F2179E">
        <w:rPr>
          <w:spacing w:val="-3"/>
          <w:sz w:val="22"/>
          <w:szCs w:val="22"/>
        </w:rPr>
        <w:t xml:space="preserve">: 123,5981) a 1675% (90% </w:t>
      </w:r>
      <w:r w:rsidRPr="00F2179E">
        <w:rPr>
          <w:bCs/>
          <w:iCs/>
          <w:noProof/>
          <w:sz w:val="22"/>
          <w:szCs w:val="22"/>
        </w:rPr>
        <w:t>I.S.</w:t>
      </w:r>
      <w:r w:rsidRPr="00F2179E">
        <w:rPr>
          <w:spacing w:val="-3"/>
          <w:sz w:val="22"/>
          <w:szCs w:val="22"/>
        </w:rPr>
        <w:t>: 240,11676) v uvedenom poradí porovnaním so zdravými dobrovoľníkmi. Vzhľadom na nedostatočné množstvo údajov sa t</w:t>
      </w:r>
      <w:r w:rsidRPr="00F2179E">
        <w:rPr>
          <w:spacing w:val="-3"/>
          <w:sz w:val="22"/>
          <w:szCs w:val="22"/>
          <w:vertAlign w:val="subscript"/>
        </w:rPr>
        <w:t xml:space="preserve">1/2Z </w:t>
      </w:r>
      <w:r w:rsidRPr="00F2179E">
        <w:rPr>
          <w:spacing w:val="-3"/>
          <w:sz w:val="22"/>
          <w:szCs w:val="22"/>
        </w:rPr>
        <w:t>a odpovedajúci AUC</w:t>
      </w:r>
      <w:r w:rsidRPr="00F2179E">
        <w:rPr>
          <w:spacing w:val="-3"/>
          <w:sz w:val="22"/>
          <w:szCs w:val="22"/>
          <w:vertAlign w:val="subscript"/>
        </w:rPr>
        <w:t xml:space="preserve">INF  </w:t>
      </w:r>
      <w:r w:rsidRPr="00F2179E">
        <w:rPr>
          <w:spacing w:val="-3"/>
          <w:sz w:val="22"/>
          <w:szCs w:val="22"/>
        </w:rPr>
        <w:t>naloxónu nestanovovali. Z tohto dôvodu porovnanie biologickej dostupnosti naloxónu bolo založené na hodnotách AUC</w:t>
      </w:r>
      <w:r w:rsidRPr="00F2179E">
        <w:rPr>
          <w:spacing w:val="-3"/>
          <w:sz w:val="22"/>
          <w:szCs w:val="22"/>
          <w:vertAlign w:val="subscript"/>
        </w:rPr>
        <w:t>t</w:t>
      </w:r>
      <w:r w:rsidRPr="00F2179E">
        <w:rPr>
          <w:spacing w:val="-3"/>
          <w:sz w:val="22"/>
          <w:szCs w:val="22"/>
        </w:rPr>
        <w:t>. Pomery mohli byť ovplyvnené nemožnosťou plne charakterizovať plazmatické profily naloxónu u zdravých jedincov.</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
          <w:iCs/>
          <w:sz w:val="22"/>
          <w:szCs w:val="22"/>
          <w:u w:val="single"/>
          <w:lang w:eastAsia="en-US"/>
        </w:rPr>
      </w:pPr>
      <w:r w:rsidRPr="00F2179E">
        <w:rPr>
          <w:i/>
          <w:iCs/>
          <w:sz w:val="22"/>
          <w:szCs w:val="22"/>
          <w:u w:val="single"/>
          <w:lang w:eastAsia="en-US"/>
        </w:rPr>
        <w:t>Naloxón-3-glukuronid</w:t>
      </w:r>
    </w:p>
    <w:p w:rsidR="00984857" w:rsidRPr="00F2179E" w:rsidRDefault="00984857" w:rsidP="00984857">
      <w:pPr>
        <w:tabs>
          <w:tab w:val="left" w:pos="426"/>
          <w:tab w:val="left" w:pos="720"/>
          <w:tab w:val="left" w:pos="1440"/>
          <w:tab w:val="left" w:pos="5217"/>
        </w:tabs>
        <w:suppressAutoHyphens/>
        <w:rPr>
          <w:spacing w:val="-3"/>
          <w:sz w:val="22"/>
          <w:szCs w:val="22"/>
        </w:rPr>
      </w:pPr>
      <w:r w:rsidRPr="00F2179E">
        <w:rPr>
          <w:spacing w:val="-3"/>
          <w:sz w:val="22"/>
          <w:szCs w:val="22"/>
        </w:rPr>
        <w:t>U pacientov s miernym, stredným a závažným poškodením obličiek sa hodnota AUC</w:t>
      </w:r>
      <w:r w:rsidRPr="00F2179E">
        <w:rPr>
          <w:spacing w:val="-3"/>
          <w:sz w:val="22"/>
          <w:szCs w:val="22"/>
          <w:vertAlign w:val="subscript"/>
        </w:rPr>
        <w:t>INF</w:t>
      </w:r>
      <w:r w:rsidRPr="00F2179E">
        <w:rPr>
          <w:spacing w:val="-3"/>
          <w:sz w:val="22"/>
          <w:szCs w:val="22"/>
        </w:rPr>
        <w:t xml:space="preserve"> naloxón-3-glukuronidu zvýšila v priemere na 220% (90% </w:t>
      </w:r>
      <w:r w:rsidRPr="00F2179E">
        <w:rPr>
          <w:bCs/>
          <w:iCs/>
          <w:noProof/>
          <w:sz w:val="22"/>
          <w:szCs w:val="22"/>
        </w:rPr>
        <w:t>I.S.</w:t>
      </w:r>
      <w:r w:rsidRPr="00F2179E">
        <w:rPr>
          <w:spacing w:val="-3"/>
          <w:sz w:val="22"/>
          <w:szCs w:val="22"/>
        </w:rPr>
        <w:t xml:space="preserve">: 148,327), 370% (90% </w:t>
      </w:r>
      <w:r w:rsidRPr="00F2179E">
        <w:rPr>
          <w:bCs/>
          <w:iCs/>
          <w:noProof/>
          <w:sz w:val="22"/>
          <w:szCs w:val="22"/>
        </w:rPr>
        <w:t>I.S.</w:t>
      </w:r>
      <w:r w:rsidRPr="00F2179E">
        <w:rPr>
          <w:spacing w:val="-3"/>
          <w:sz w:val="22"/>
          <w:szCs w:val="22"/>
        </w:rPr>
        <w:t xml:space="preserve">: 249,550) a 525% (90% </w:t>
      </w:r>
      <w:r w:rsidRPr="00F2179E">
        <w:rPr>
          <w:bCs/>
          <w:iCs/>
          <w:noProof/>
          <w:sz w:val="22"/>
          <w:szCs w:val="22"/>
        </w:rPr>
        <w:t>I.S.</w:t>
      </w:r>
      <w:r w:rsidRPr="00F2179E">
        <w:rPr>
          <w:spacing w:val="-3"/>
          <w:sz w:val="22"/>
          <w:szCs w:val="22"/>
        </w:rPr>
        <w:t>: 354,781) v uvedenom poradí porovnaním so zdravými dobrovoľníkmi. Hodnota C</w:t>
      </w:r>
      <w:r w:rsidRPr="00F2179E">
        <w:rPr>
          <w:spacing w:val="-3"/>
          <w:sz w:val="22"/>
          <w:szCs w:val="22"/>
          <w:vertAlign w:val="subscript"/>
        </w:rPr>
        <w:t>max</w:t>
      </w:r>
      <w:r w:rsidRPr="00F2179E">
        <w:rPr>
          <w:spacing w:val="-3"/>
          <w:sz w:val="22"/>
          <w:szCs w:val="22"/>
        </w:rPr>
        <w:t xml:space="preserve"> naloxón-3-glukuronidu sa u pacientov s miernym, stredným a závažným poškodením obličiek zvýšila v priemere na 148% (90% </w:t>
      </w:r>
      <w:r w:rsidRPr="00F2179E">
        <w:rPr>
          <w:bCs/>
          <w:iCs/>
          <w:noProof/>
          <w:sz w:val="22"/>
          <w:szCs w:val="22"/>
        </w:rPr>
        <w:t>I.S.</w:t>
      </w:r>
      <w:r w:rsidRPr="00F2179E">
        <w:rPr>
          <w:spacing w:val="-3"/>
          <w:sz w:val="22"/>
          <w:szCs w:val="22"/>
        </w:rPr>
        <w:t xml:space="preserve">: 110,197), 202% (90% </w:t>
      </w:r>
      <w:r w:rsidRPr="00F2179E">
        <w:rPr>
          <w:bCs/>
          <w:iCs/>
          <w:noProof/>
          <w:sz w:val="22"/>
          <w:szCs w:val="22"/>
        </w:rPr>
        <w:t>I.S.</w:t>
      </w:r>
      <w:r w:rsidRPr="00F2179E">
        <w:rPr>
          <w:spacing w:val="-3"/>
          <w:sz w:val="22"/>
          <w:szCs w:val="22"/>
        </w:rPr>
        <w:t xml:space="preserve">: 151,271) a 239% (90% </w:t>
      </w:r>
      <w:r w:rsidRPr="00F2179E">
        <w:rPr>
          <w:bCs/>
          <w:iCs/>
          <w:noProof/>
          <w:sz w:val="22"/>
          <w:szCs w:val="22"/>
        </w:rPr>
        <w:t>I.S.</w:t>
      </w:r>
      <w:r w:rsidRPr="00F2179E">
        <w:rPr>
          <w:spacing w:val="-3"/>
          <w:sz w:val="22"/>
          <w:szCs w:val="22"/>
        </w:rPr>
        <w:t>: 179,320) v uvedenom poradí porovnaním so zdravými dobrovoľníkmi. Pri hodnote t</w:t>
      </w:r>
      <w:r w:rsidRPr="00F2179E">
        <w:rPr>
          <w:spacing w:val="-3"/>
          <w:sz w:val="22"/>
          <w:szCs w:val="22"/>
          <w:vertAlign w:val="subscript"/>
        </w:rPr>
        <w:t>1/2Z</w:t>
      </w:r>
      <w:r w:rsidRPr="00F2179E">
        <w:rPr>
          <w:spacing w:val="-3"/>
          <w:sz w:val="22"/>
          <w:szCs w:val="22"/>
        </w:rPr>
        <w:t xml:space="preserve"> naloxón-3-glukuronidu v priemere nedošlo k žiadnej významnej zmene medzi pacientmi s poškodením obličiek a zdravými jedincami.</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b/>
          <w:iCs/>
          <w:sz w:val="22"/>
          <w:szCs w:val="22"/>
          <w:u w:val="single"/>
          <w:lang w:eastAsia="en-US"/>
        </w:rPr>
      </w:pPr>
      <w:r w:rsidRPr="00F2179E">
        <w:rPr>
          <w:b/>
          <w:iCs/>
          <w:sz w:val="22"/>
          <w:szCs w:val="22"/>
          <w:u w:val="single"/>
          <w:lang w:eastAsia="en-US"/>
        </w:rPr>
        <w:t>Zneužitie</w:t>
      </w:r>
    </w:p>
    <w:p w:rsidR="00984857" w:rsidRPr="00F2179E" w:rsidRDefault="00984857" w:rsidP="00984857">
      <w:pPr>
        <w:widowControl w:val="0"/>
        <w:numPr>
          <w:ilvl w:val="12"/>
          <w:numId w:val="0"/>
        </w:numPr>
        <w:tabs>
          <w:tab w:val="left" w:pos="567"/>
        </w:tabs>
        <w:ind w:right="-2"/>
        <w:rPr>
          <w:iCs/>
          <w:sz w:val="22"/>
          <w:szCs w:val="22"/>
          <w:lang w:eastAsia="en-US"/>
        </w:rPr>
      </w:pPr>
    </w:p>
    <w:p w:rsidR="00984857" w:rsidRPr="00F2179E" w:rsidRDefault="00984857" w:rsidP="00984857">
      <w:pPr>
        <w:widowControl w:val="0"/>
        <w:numPr>
          <w:ilvl w:val="12"/>
          <w:numId w:val="0"/>
        </w:numPr>
        <w:tabs>
          <w:tab w:val="left" w:pos="567"/>
        </w:tabs>
        <w:ind w:right="-2"/>
        <w:rPr>
          <w:spacing w:val="-3"/>
          <w:sz w:val="22"/>
          <w:szCs w:val="22"/>
        </w:rPr>
      </w:pPr>
      <w:r w:rsidRPr="00F2179E">
        <w:rPr>
          <w:spacing w:val="-3"/>
          <w:sz w:val="22"/>
          <w:szCs w:val="22"/>
        </w:rPr>
        <w:t xml:space="preserve">Aby sa zamedzilo narušeniu vlastností predĺženého uvoľňovania tabliet s predĺženým uvoľňovaním, Adolax sa nesmie deliť, drviť, lámať na kúsky ani žuť, pretože to vedie k rýchlejšiemu uvoľňovaniu liečiv. Navyše naloxón, ak je podaný intranazálne, má pomalšiu </w:t>
      </w:r>
      <w:r w:rsidR="00293AD7" w:rsidRPr="00F2179E">
        <w:rPr>
          <w:spacing w:val="-3"/>
          <w:sz w:val="22"/>
          <w:szCs w:val="22"/>
        </w:rPr>
        <w:t xml:space="preserve">rýchlosť </w:t>
      </w:r>
      <w:r w:rsidRPr="00F2179E">
        <w:rPr>
          <w:spacing w:val="-3"/>
          <w:sz w:val="22"/>
          <w:szCs w:val="22"/>
        </w:rPr>
        <w:t>elimin</w:t>
      </w:r>
      <w:r w:rsidR="00293AD7" w:rsidRPr="00F2179E">
        <w:rPr>
          <w:spacing w:val="-3"/>
          <w:sz w:val="22"/>
          <w:szCs w:val="22"/>
        </w:rPr>
        <w:t>ácie</w:t>
      </w:r>
      <w:r w:rsidRPr="00F2179E">
        <w:rPr>
          <w:spacing w:val="-3"/>
          <w:sz w:val="22"/>
          <w:szCs w:val="22"/>
        </w:rPr>
        <w:t>. Obe tieto vlastnosti znamenajú, že zneužitie Adolaxu nebude mať zamýšľaný účinok. U potkanov závislých od oxykodónu viedlo intravenózne podanie naloxónu v pomere 2:1 k abstinenčným príznakom.</w:t>
      </w:r>
    </w:p>
    <w:p w:rsidR="00984857" w:rsidRPr="00F2179E" w:rsidRDefault="00984857" w:rsidP="00984857">
      <w:pPr>
        <w:widowControl w:val="0"/>
        <w:numPr>
          <w:ilvl w:val="12"/>
          <w:numId w:val="0"/>
        </w:numPr>
        <w:tabs>
          <w:tab w:val="left" w:pos="567"/>
        </w:tabs>
        <w:ind w:right="-2"/>
        <w:rPr>
          <w:spacing w:val="-3"/>
          <w:sz w:val="22"/>
          <w:szCs w:val="22"/>
        </w:rPr>
      </w:pP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5.3</w:t>
      </w:r>
      <w:r w:rsidRPr="00F2179E">
        <w:rPr>
          <w:b/>
          <w:sz w:val="22"/>
          <w:szCs w:val="22"/>
          <w:lang w:eastAsia="en-US"/>
        </w:rPr>
        <w:tab/>
        <w:t>Predklinické údaje o bezpečnosti</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 xml:space="preserve">Nie sú k dispozícii žiadne údaje zo štúdií reprodukčnej toxicity kombinácie oxykodónu a naloxónu. </w:t>
      </w:r>
    </w:p>
    <w:p w:rsidR="00984857" w:rsidRPr="00F2179E" w:rsidRDefault="00984857" w:rsidP="00984857">
      <w:pPr>
        <w:rPr>
          <w:sz w:val="22"/>
          <w:szCs w:val="22"/>
        </w:rPr>
      </w:pPr>
    </w:p>
    <w:p w:rsidR="00984857" w:rsidRPr="00F2179E" w:rsidRDefault="00984857" w:rsidP="00984857">
      <w:pPr>
        <w:rPr>
          <w:sz w:val="22"/>
          <w:szCs w:val="22"/>
        </w:rPr>
      </w:pPr>
      <w:r w:rsidRPr="00F2179E">
        <w:rPr>
          <w:sz w:val="22"/>
          <w:szCs w:val="22"/>
        </w:rPr>
        <w:t>Štúdie vykonané s jednotlivými liečivami preukázali, že oxykodón v dávkach do 8 mg/kg telesnej hmotnosti nemá vplyv na plodnosť samcov a samíc potkanov a na skorý vývin embrya a nespôsobil malformácie u potkanov v dávkach do 8 mg/kg a u králikov v dávkach do</w:t>
      </w:r>
      <w:r w:rsidR="0030616C" w:rsidRPr="00F2179E">
        <w:rPr>
          <w:sz w:val="22"/>
          <w:szCs w:val="22"/>
        </w:rPr>
        <w:t xml:space="preserve"> 125 mg/kg telesnej hmotnosti. </w:t>
      </w:r>
      <w:r w:rsidRPr="00F2179E">
        <w:rPr>
          <w:sz w:val="22"/>
          <w:szCs w:val="22"/>
        </w:rPr>
        <w:t xml:space="preserve">Ak sa však na králikoch aplikovalo štatistické hodnotenie jednotlivých plodov, bol pozorovaný nárast vývinových zmien súvisiaci s dávkou (zvýšený výskyt 27 </w:t>
      </w:r>
      <w:r w:rsidRPr="00F2179E">
        <w:rPr>
          <w:rStyle w:val="Zvraznenie"/>
          <w:b w:val="0"/>
          <w:sz w:val="22"/>
          <w:szCs w:val="22"/>
        </w:rPr>
        <w:t>presakrálnych</w:t>
      </w:r>
      <w:r w:rsidRPr="00F2179E">
        <w:rPr>
          <w:sz w:val="22"/>
          <w:szCs w:val="22"/>
        </w:rPr>
        <w:t xml:space="preserve"> stavcov, páry rebier navyše).  </w:t>
      </w:r>
    </w:p>
    <w:p w:rsidR="00984857" w:rsidRPr="00F2179E" w:rsidRDefault="00984857" w:rsidP="00984857">
      <w:pPr>
        <w:rPr>
          <w:sz w:val="22"/>
          <w:szCs w:val="22"/>
        </w:rPr>
      </w:pPr>
      <w:r w:rsidRPr="00F2179E">
        <w:rPr>
          <w:sz w:val="22"/>
          <w:szCs w:val="22"/>
        </w:rPr>
        <w:t xml:space="preserve">Pri štatistickom hodnotení týchto parametrov v rámci vrhov sa zvýšil len výskyt 27 </w:t>
      </w:r>
      <w:r w:rsidRPr="00F2179E">
        <w:rPr>
          <w:rStyle w:val="Zvraznenie"/>
          <w:b w:val="0"/>
          <w:sz w:val="22"/>
          <w:szCs w:val="22"/>
        </w:rPr>
        <w:t>presakrálnych</w:t>
      </w:r>
      <w:r w:rsidR="0030616C" w:rsidRPr="00F2179E">
        <w:rPr>
          <w:sz w:val="22"/>
          <w:szCs w:val="22"/>
        </w:rPr>
        <w:t xml:space="preserve"> stavcov </w:t>
      </w:r>
      <w:r w:rsidRPr="00F2179E">
        <w:rPr>
          <w:sz w:val="22"/>
          <w:szCs w:val="22"/>
        </w:rPr>
        <w:t xml:space="preserve">a to len v skupine, ktorej bola podávaná denná dávka 125 mg/kg, t.j. dávka, ktorá spôsobila silné farmakotoxické účinky u brezivých zvierat. Štúdia prenatálneho a postnatálneho vývinu potkanov F1 preukázala, že telesná hmotnosť potkanov, ktorým bola podávaná denná dávka 6 mg/kg, bola nižšia v porovnaní s telesnou hmotnosťou kontrolnej skupiny pri dávkach znižujúcich hmotnosť matky a príjem potravy (NOAEL, </w:t>
      </w:r>
      <w:r w:rsidRPr="00F2179E">
        <w:rPr>
          <w:color w:val="000000"/>
          <w:sz w:val="22"/>
          <w:szCs w:val="22"/>
          <w:shd w:val="clear" w:color="auto" w:fill="FFFFFF"/>
        </w:rPr>
        <w:t>hladina bez pozorovaného nepriaznivého účinku</w:t>
      </w:r>
      <w:r w:rsidRPr="00F2179E">
        <w:rPr>
          <w:sz w:val="22"/>
          <w:szCs w:val="22"/>
        </w:rPr>
        <w:t xml:space="preserve"> 2 mg/kg telesnej hmotnosti).</w:t>
      </w:r>
    </w:p>
    <w:p w:rsidR="00984857" w:rsidRPr="00F2179E" w:rsidRDefault="00984857" w:rsidP="00984857">
      <w:pPr>
        <w:rPr>
          <w:sz w:val="22"/>
          <w:szCs w:val="22"/>
        </w:rPr>
      </w:pPr>
      <w:r w:rsidRPr="00F2179E">
        <w:rPr>
          <w:sz w:val="22"/>
          <w:szCs w:val="22"/>
        </w:rPr>
        <w:t>Nezistil sa žiaden účinok na fyzické, refl</w:t>
      </w:r>
      <w:r w:rsidR="005C54CB" w:rsidRPr="00F2179E">
        <w:rPr>
          <w:sz w:val="22"/>
          <w:szCs w:val="22"/>
        </w:rPr>
        <w:t>exologické a senzorické vývinové</w:t>
      </w:r>
      <w:r w:rsidRPr="00F2179E">
        <w:rPr>
          <w:sz w:val="22"/>
          <w:szCs w:val="22"/>
        </w:rPr>
        <w:t xml:space="preserve"> parametre ani na ukazovatele správanie a reprodukciu. Štandardné štúdie perorálnej reprodukčnej toxicity naloxónu preukázali, že vysoké perorálne dávky naloxónu neboli teratogénne ani embryo/fetotoxické a nemajú nepriaznivý vplyv na perinatálny a postnatálny vývin.</w:t>
      </w:r>
    </w:p>
    <w:p w:rsidR="00984857" w:rsidRPr="00F2179E" w:rsidRDefault="00984857" w:rsidP="00984857">
      <w:pPr>
        <w:rPr>
          <w:sz w:val="22"/>
          <w:szCs w:val="22"/>
        </w:rPr>
      </w:pPr>
      <w:r w:rsidRPr="00F2179E">
        <w:rPr>
          <w:sz w:val="22"/>
          <w:szCs w:val="22"/>
        </w:rPr>
        <w:lastRenderedPageBreak/>
        <w:t>Naloxón vo veľmi vysokých dávkach (800 mg/kg/deň), ktoré vyvolali u samíc potkanov významnú toxicitu (napr. zníženie telesnej hmotnosti, kŕče), spôsobil zvýšenú úmrtnosť ml</w:t>
      </w:r>
      <w:r w:rsidR="0030616C" w:rsidRPr="00F2179E">
        <w:rPr>
          <w:sz w:val="22"/>
          <w:szCs w:val="22"/>
        </w:rPr>
        <w:t xml:space="preserve">áďat v období ihneď po pôrode. </w:t>
      </w:r>
      <w:r w:rsidRPr="00F2179E">
        <w:rPr>
          <w:sz w:val="22"/>
          <w:szCs w:val="22"/>
        </w:rPr>
        <w:t>Na živých mláďatách však neboli pozorované žiadne účinky na vývin alebo správanie.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Neuskutočnili sa žiadne dlhodobé štúdie karcinogenity pri podávaní kombinácie oxykodónu/naloxónu ani samotného oxykodónu. S naloxónom sa uskutočnila 24-mesačná štúdia perorálnej karcinogenity na potkanoch pri dávkovaní 100 mg/kg/deň. Výsledky preukázali, že naloxón za týchto podmienok nie je karcinogénny.</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rPr>
          <w:sz w:val="22"/>
          <w:szCs w:val="22"/>
        </w:rPr>
      </w:pPr>
      <w:r w:rsidRPr="00F2179E">
        <w:rPr>
          <w:sz w:val="22"/>
          <w:szCs w:val="22"/>
        </w:rPr>
        <w:t>Oxykodón a naloxón ako samostatné liečivá v</w:t>
      </w:r>
      <w:r w:rsidRPr="00F2179E">
        <w:rPr>
          <w:i/>
          <w:sz w:val="22"/>
          <w:szCs w:val="22"/>
        </w:rPr>
        <w:t> in vitro</w:t>
      </w:r>
      <w:r w:rsidRPr="00F2179E">
        <w:rPr>
          <w:sz w:val="22"/>
          <w:szCs w:val="22"/>
        </w:rPr>
        <w:t xml:space="preserve"> štúdiách vykazujú klastogénny potenciál. Žiadne podobné účinky však v štúdiách</w:t>
      </w:r>
      <w:r w:rsidRPr="00F2179E">
        <w:rPr>
          <w:i/>
          <w:sz w:val="22"/>
          <w:szCs w:val="22"/>
        </w:rPr>
        <w:t xml:space="preserve"> in vivo</w:t>
      </w:r>
      <w:r w:rsidRPr="00F2179E">
        <w:rPr>
          <w:sz w:val="22"/>
          <w:szCs w:val="22"/>
        </w:rPr>
        <w:t xml:space="preserve"> neboli zistené, a to ani pri toxických dávkach. Výsledky naznačujú, že mutagénne riziko Adolaxu pre ľudí v terapeutických koncentráciách sa dá považovať za nepravdepodobné. </w:t>
      </w:r>
    </w:p>
    <w:p w:rsidR="00984857" w:rsidRPr="00F2179E" w:rsidRDefault="00984857" w:rsidP="00984857">
      <w:pPr>
        <w:rPr>
          <w:b/>
          <w:sz w:val="22"/>
          <w:szCs w:val="22"/>
        </w:rPr>
      </w:pPr>
    </w:p>
    <w:p w:rsidR="00984857" w:rsidRPr="00F2179E" w:rsidRDefault="00984857" w:rsidP="00984857">
      <w:pPr>
        <w:rPr>
          <w:b/>
          <w:sz w:val="22"/>
          <w:szCs w:val="22"/>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6.</w:t>
      </w:r>
      <w:r w:rsidRPr="00F2179E">
        <w:rPr>
          <w:b/>
          <w:sz w:val="22"/>
          <w:szCs w:val="22"/>
          <w:lang w:eastAsia="en-US"/>
        </w:rPr>
        <w:tab/>
        <w:t>FARMACEUTICKÉ INFORMÁCIE</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6.1</w:t>
      </w:r>
      <w:r w:rsidRPr="00F2179E">
        <w:rPr>
          <w:b/>
          <w:sz w:val="22"/>
          <w:szCs w:val="22"/>
          <w:lang w:eastAsia="en-US"/>
        </w:rPr>
        <w:tab/>
      </w:r>
      <w:r w:rsidR="0055378B" w:rsidRPr="00F2179E">
        <w:rPr>
          <w:b/>
          <w:sz w:val="22"/>
          <w:szCs w:val="22"/>
          <w:lang w:eastAsia="en-US"/>
        </w:rPr>
        <w:t>Zoznam pomocných látok</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outlineLvl w:val="0"/>
        <w:rPr>
          <w:noProof/>
          <w:sz w:val="22"/>
          <w:szCs w:val="22"/>
          <w:lang w:eastAsia="en-US"/>
        </w:rPr>
      </w:pPr>
      <w:r w:rsidRPr="00F2179E">
        <w:rPr>
          <w:noProof/>
          <w:sz w:val="22"/>
          <w:szCs w:val="22"/>
          <w:u w:val="single"/>
          <w:lang w:eastAsia="en-US"/>
        </w:rPr>
        <w:t>Jadro tablety</w:t>
      </w:r>
    </w:p>
    <w:p w:rsidR="00984857" w:rsidRPr="00F2179E" w:rsidRDefault="00984857" w:rsidP="00984857">
      <w:pPr>
        <w:widowControl w:val="0"/>
        <w:tabs>
          <w:tab w:val="left" w:pos="567"/>
        </w:tabs>
        <w:rPr>
          <w:sz w:val="22"/>
          <w:szCs w:val="22"/>
        </w:rPr>
      </w:pPr>
      <w:r w:rsidRPr="00F2179E">
        <w:rPr>
          <w:sz w:val="22"/>
          <w:szCs w:val="22"/>
        </w:rPr>
        <w:t>Hydroxypropylcelulóza</w:t>
      </w:r>
    </w:p>
    <w:p w:rsidR="00984857" w:rsidRPr="00F2179E" w:rsidRDefault="00984857" w:rsidP="00984857">
      <w:pPr>
        <w:widowControl w:val="0"/>
        <w:tabs>
          <w:tab w:val="left" w:pos="567"/>
        </w:tabs>
        <w:rPr>
          <w:sz w:val="22"/>
          <w:szCs w:val="22"/>
        </w:rPr>
      </w:pPr>
      <w:r w:rsidRPr="00F2179E">
        <w:rPr>
          <w:sz w:val="22"/>
          <w:szCs w:val="22"/>
        </w:rPr>
        <w:t>Etylcelulóza</w:t>
      </w:r>
    </w:p>
    <w:p w:rsidR="00984857" w:rsidRPr="00F2179E" w:rsidRDefault="00984857" w:rsidP="00984857">
      <w:pPr>
        <w:widowControl w:val="0"/>
        <w:tabs>
          <w:tab w:val="left" w:pos="567"/>
        </w:tabs>
        <w:rPr>
          <w:sz w:val="22"/>
          <w:szCs w:val="22"/>
        </w:rPr>
      </w:pPr>
      <w:r w:rsidRPr="00F2179E">
        <w:rPr>
          <w:sz w:val="22"/>
          <w:szCs w:val="22"/>
        </w:rPr>
        <w:t>Glyceroldistearát</w:t>
      </w:r>
    </w:p>
    <w:p w:rsidR="00984857" w:rsidRPr="00F2179E" w:rsidRDefault="00984857" w:rsidP="00984857">
      <w:pPr>
        <w:widowControl w:val="0"/>
        <w:tabs>
          <w:tab w:val="left" w:pos="567"/>
        </w:tabs>
        <w:rPr>
          <w:sz w:val="22"/>
          <w:szCs w:val="22"/>
        </w:rPr>
      </w:pPr>
      <w:r w:rsidRPr="00F2179E">
        <w:rPr>
          <w:sz w:val="22"/>
          <w:szCs w:val="22"/>
        </w:rPr>
        <w:t>Monohydrát laktózy</w:t>
      </w:r>
    </w:p>
    <w:p w:rsidR="00984857" w:rsidRPr="00F2179E" w:rsidRDefault="00984857" w:rsidP="00984857">
      <w:pPr>
        <w:widowControl w:val="0"/>
        <w:tabs>
          <w:tab w:val="left" w:pos="567"/>
        </w:tabs>
        <w:rPr>
          <w:sz w:val="22"/>
          <w:szCs w:val="22"/>
        </w:rPr>
      </w:pPr>
      <w:r w:rsidRPr="00F2179E">
        <w:rPr>
          <w:sz w:val="22"/>
          <w:szCs w:val="22"/>
        </w:rPr>
        <w:t>Mastenec (E553b)</w:t>
      </w:r>
    </w:p>
    <w:p w:rsidR="00984857" w:rsidRPr="00F2179E" w:rsidRDefault="00ED513A" w:rsidP="00984857">
      <w:pPr>
        <w:widowControl w:val="0"/>
        <w:tabs>
          <w:tab w:val="left" w:pos="567"/>
        </w:tabs>
        <w:rPr>
          <w:sz w:val="22"/>
          <w:szCs w:val="22"/>
        </w:rPr>
      </w:pPr>
      <w:r w:rsidRPr="00F2179E">
        <w:rPr>
          <w:sz w:val="22"/>
          <w:szCs w:val="22"/>
        </w:rPr>
        <w:t>Stearan horečnatý (E470b</w:t>
      </w:r>
      <w:r w:rsidR="00984857" w:rsidRPr="00F2179E">
        <w:rPr>
          <w:sz w:val="22"/>
          <w:szCs w:val="22"/>
        </w:rPr>
        <w:t>)</w:t>
      </w:r>
    </w:p>
    <w:p w:rsidR="00984857" w:rsidRPr="00F2179E" w:rsidRDefault="00984857" w:rsidP="00984857">
      <w:pPr>
        <w:widowControl w:val="0"/>
        <w:tabs>
          <w:tab w:val="left" w:pos="567"/>
        </w:tabs>
        <w:rPr>
          <w:sz w:val="22"/>
          <w:szCs w:val="22"/>
        </w:rPr>
      </w:pPr>
    </w:p>
    <w:p w:rsidR="00984857" w:rsidRPr="00F2179E" w:rsidRDefault="00984857" w:rsidP="00984857">
      <w:pPr>
        <w:widowControl w:val="0"/>
        <w:tabs>
          <w:tab w:val="left" w:pos="2925"/>
        </w:tabs>
        <w:outlineLvl w:val="0"/>
        <w:rPr>
          <w:noProof/>
          <w:sz w:val="22"/>
          <w:szCs w:val="22"/>
          <w:lang w:eastAsia="en-US"/>
        </w:rPr>
      </w:pPr>
      <w:r w:rsidRPr="00F2179E">
        <w:rPr>
          <w:noProof/>
          <w:sz w:val="22"/>
          <w:szCs w:val="22"/>
          <w:u w:val="single"/>
          <w:lang w:eastAsia="en-US"/>
        </w:rPr>
        <w:t>Obal tablety</w:t>
      </w:r>
    </w:p>
    <w:p w:rsidR="00984857" w:rsidRPr="00F2179E" w:rsidRDefault="00984857" w:rsidP="00984857">
      <w:pPr>
        <w:widowControl w:val="0"/>
        <w:tabs>
          <w:tab w:val="left" w:pos="567"/>
        </w:tabs>
        <w:rPr>
          <w:sz w:val="22"/>
          <w:szCs w:val="22"/>
        </w:rPr>
      </w:pPr>
      <w:r w:rsidRPr="00F2179E">
        <w:rPr>
          <w:sz w:val="22"/>
          <w:szCs w:val="22"/>
        </w:rPr>
        <w:t>Polyvinylalkohol</w:t>
      </w:r>
    </w:p>
    <w:p w:rsidR="00984857" w:rsidRPr="00F2179E" w:rsidRDefault="00984857" w:rsidP="00984857">
      <w:pPr>
        <w:widowControl w:val="0"/>
        <w:tabs>
          <w:tab w:val="left" w:pos="567"/>
        </w:tabs>
        <w:rPr>
          <w:sz w:val="22"/>
          <w:szCs w:val="22"/>
        </w:rPr>
      </w:pPr>
      <w:r w:rsidRPr="00F2179E">
        <w:rPr>
          <w:sz w:val="22"/>
          <w:szCs w:val="22"/>
        </w:rPr>
        <w:t>Oxid titaničitý (E171)</w:t>
      </w:r>
    </w:p>
    <w:p w:rsidR="00984857" w:rsidRPr="00F2179E" w:rsidRDefault="00984857" w:rsidP="00984857">
      <w:pPr>
        <w:widowControl w:val="0"/>
        <w:tabs>
          <w:tab w:val="left" w:pos="567"/>
        </w:tabs>
        <w:rPr>
          <w:sz w:val="22"/>
          <w:szCs w:val="22"/>
        </w:rPr>
      </w:pPr>
      <w:r w:rsidRPr="00F2179E">
        <w:rPr>
          <w:sz w:val="22"/>
          <w:szCs w:val="22"/>
        </w:rPr>
        <w:t>Makrogol 3350</w:t>
      </w:r>
    </w:p>
    <w:p w:rsidR="00984857" w:rsidRPr="00F2179E" w:rsidRDefault="00984857" w:rsidP="00984857">
      <w:pPr>
        <w:widowControl w:val="0"/>
        <w:tabs>
          <w:tab w:val="left" w:pos="567"/>
        </w:tabs>
        <w:rPr>
          <w:sz w:val="22"/>
          <w:szCs w:val="22"/>
        </w:rPr>
      </w:pPr>
      <w:r w:rsidRPr="00F2179E">
        <w:rPr>
          <w:sz w:val="22"/>
          <w:szCs w:val="22"/>
        </w:rPr>
        <w:t>Mastenec (E553b)</w:t>
      </w:r>
    </w:p>
    <w:p w:rsidR="00984857" w:rsidRPr="00F2179E" w:rsidRDefault="00984857" w:rsidP="00984857">
      <w:pPr>
        <w:widowControl w:val="0"/>
        <w:tabs>
          <w:tab w:val="left" w:pos="567"/>
        </w:tabs>
        <w:rPr>
          <w:sz w:val="22"/>
          <w:szCs w:val="22"/>
        </w:rPr>
      </w:pPr>
      <w:r w:rsidRPr="00F2179E">
        <w:rPr>
          <w:sz w:val="22"/>
          <w:szCs w:val="22"/>
        </w:rPr>
        <w:t>Červený oxid železitý (E172) – len v tabletách 20mg/10mg</w:t>
      </w:r>
    </w:p>
    <w:p w:rsidR="00984857" w:rsidRPr="00F2179E" w:rsidRDefault="00984857" w:rsidP="00984857">
      <w:pPr>
        <w:widowControl w:val="0"/>
        <w:tabs>
          <w:tab w:val="left" w:pos="567"/>
        </w:tabs>
        <w:rPr>
          <w:sz w:val="22"/>
          <w:szCs w:val="22"/>
        </w:rPr>
      </w:pPr>
      <w:r w:rsidRPr="00F2179E">
        <w:rPr>
          <w:sz w:val="22"/>
          <w:szCs w:val="22"/>
        </w:rPr>
        <w:t xml:space="preserve">Žltý oxid železitý (E172) – len v tabletách 40mg/20mg </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6.2</w:t>
      </w:r>
      <w:r w:rsidRPr="00F2179E">
        <w:rPr>
          <w:b/>
          <w:sz w:val="22"/>
          <w:szCs w:val="22"/>
          <w:lang w:eastAsia="en-US"/>
        </w:rPr>
        <w:tab/>
        <w:t>Inkompatibility</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sz w:val="22"/>
          <w:szCs w:val="22"/>
          <w:lang w:eastAsia="en-US"/>
        </w:rPr>
        <w:t>Neaplikovateľné.</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6.3</w:t>
      </w:r>
      <w:r w:rsidRPr="00F2179E">
        <w:rPr>
          <w:b/>
          <w:sz w:val="22"/>
          <w:szCs w:val="22"/>
          <w:lang w:eastAsia="en-US"/>
        </w:rPr>
        <w:tab/>
        <w:t>Čas použiteľnosti</w:t>
      </w:r>
    </w:p>
    <w:p w:rsidR="00984857" w:rsidRPr="00F2179E" w:rsidRDefault="00984857" w:rsidP="00984857">
      <w:pPr>
        <w:widowControl w:val="0"/>
        <w:tabs>
          <w:tab w:val="left" w:pos="567"/>
        </w:tabs>
        <w:rPr>
          <w:sz w:val="22"/>
          <w:szCs w:val="22"/>
          <w:lang w:eastAsia="en-US"/>
        </w:rPr>
      </w:pPr>
    </w:p>
    <w:p w:rsidR="00984857" w:rsidRPr="00F2179E" w:rsidRDefault="00BD5306" w:rsidP="00984857">
      <w:pPr>
        <w:widowControl w:val="0"/>
        <w:tabs>
          <w:tab w:val="left" w:pos="567"/>
        </w:tabs>
        <w:rPr>
          <w:sz w:val="22"/>
          <w:szCs w:val="22"/>
          <w:lang w:eastAsia="en-US"/>
        </w:rPr>
      </w:pPr>
      <w:r w:rsidRPr="00F2179E">
        <w:rPr>
          <w:sz w:val="22"/>
          <w:szCs w:val="22"/>
          <w:lang w:eastAsia="en-US"/>
        </w:rPr>
        <w:t>2 roky</w:t>
      </w:r>
    </w:p>
    <w:p w:rsidR="00984857" w:rsidRPr="00F2179E" w:rsidRDefault="00984857" w:rsidP="00984857">
      <w:pPr>
        <w:widowControl w:val="0"/>
        <w:tabs>
          <w:tab w:val="left" w:pos="567"/>
        </w:tabs>
        <w:rPr>
          <w:iCs/>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6.4</w:t>
      </w:r>
      <w:r w:rsidRPr="00F2179E">
        <w:rPr>
          <w:b/>
          <w:sz w:val="22"/>
          <w:szCs w:val="22"/>
          <w:lang w:eastAsia="en-US"/>
        </w:rPr>
        <w:tab/>
        <w:t>Špeciálne upozornenia na uchovávanie</w:t>
      </w:r>
    </w:p>
    <w:p w:rsidR="00984857" w:rsidRPr="00F2179E" w:rsidRDefault="00984857" w:rsidP="00984857">
      <w:pPr>
        <w:widowControl w:val="0"/>
        <w:tabs>
          <w:tab w:val="left" w:pos="567"/>
        </w:tabs>
        <w:rPr>
          <w:b/>
          <w:sz w:val="22"/>
          <w:szCs w:val="22"/>
          <w:lang w:eastAsia="en-US"/>
        </w:rPr>
      </w:pPr>
    </w:p>
    <w:p w:rsidR="00984857" w:rsidRPr="00F2179E" w:rsidRDefault="008E4579" w:rsidP="00984857">
      <w:pPr>
        <w:widowControl w:val="0"/>
        <w:tabs>
          <w:tab w:val="left" w:pos="567"/>
        </w:tabs>
        <w:rPr>
          <w:sz w:val="22"/>
          <w:szCs w:val="22"/>
          <w:lang w:eastAsia="en-US"/>
        </w:rPr>
      </w:pPr>
      <w:r w:rsidRPr="00F2179E">
        <w:rPr>
          <w:sz w:val="22"/>
          <w:szCs w:val="22"/>
          <w:lang w:eastAsia="en-US"/>
        </w:rPr>
        <w:t xml:space="preserve">Uchovávajte </w:t>
      </w:r>
      <w:r w:rsidR="00984857" w:rsidRPr="00F2179E">
        <w:rPr>
          <w:sz w:val="22"/>
          <w:szCs w:val="22"/>
          <w:lang w:eastAsia="en-US"/>
        </w:rPr>
        <w:t xml:space="preserve">pri teplote </w:t>
      </w:r>
      <w:r w:rsidRPr="00F2179E">
        <w:rPr>
          <w:sz w:val="22"/>
          <w:szCs w:val="22"/>
          <w:lang w:eastAsia="en-US"/>
        </w:rPr>
        <w:t>do</w:t>
      </w:r>
      <w:r w:rsidR="00984857" w:rsidRPr="00F2179E">
        <w:rPr>
          <w:sz w:val="22"/>
          <w:szCs w:val="22"/>
          <w:lang w:eastAsia="en-US"/>
        </w:rPr>
        <w:t xml:space="preserve"> 30</w:t>
      </w:r>
      <w:r w:rsidR="00EA2BB6" w:rsidRPr="00F2179E">
        <w:rPr>
          <w:sz w:val="22"/>
          <w:szCs w:val="22"/>
          <w:lang w:eastAsia="en-US"/>
        </w:rPr>
        <w:t> </w:t>
      </w:r>
      <w:r w:rsidR="00984857" w:rsidRPr="00F2179E">
        <w:rPr>
          <w:sz w:val="22"/>
          <w:szCs w:val="22"/>
          <w:lang w:eastAsia="en-US"/>
        </w:rPr>
        <w:t>°C.</w:t>
      </w:r>
    </w:p>
    <w:p w:rsidR="00984857" w:rsidRPr="00F2179E" w:rsidRDefault="00984857" w:rsidP="00984857">
      <w:pPr>
        <w:jc w:val="both"/>
        <w:rPr>
          <w:sz w:val="22"/>
          <w:szCs w:val="22"/>
        </w:rPr>
      </w:pPr>
      <w:r w:rsidRPr="00F2179E">
        <w:rPr>
          <w:sz w:val="22"/>
          <w:szCs w:val="22"/>
        </w:rPr>
        <w:t>Uchovávajte v pôvodnom obale na ochranu pred vlhkosťou.</w:t>
      </w:r>
      <w:r w:rsidRPr="00F2179E">
        <w:rPr>
          <w:color w:val="0000CC"/>
          <w:sz w:val="22"/>
          <w:szCs w:val="22"/>
        </w:rPr>
        <w:t xml:space="preserve"> </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6.5</w:t>
      </w:r>
      <w:r w:rsidRPr="00F2179E">
        <w:rPr>
          <w:b/>
          <w:sz w:val="22"/>
          <w:szCs w:val="22"/>
          <w:lang w:eastAsia="en-US"/>
        </w:rPr>
        <w:tab/>
        <w:t>Druh obalu a obsah balenia</w:t>
      </w:r>
    </w:p>
    <w:p w:rsidR="00984857" w:rsidRPr="00F2179E" w:rsidRDefault="00984857" w:rsidP="00984857">
      <w:pPr>
        <w:widowControl w:val="0"/>
        <w:tabs>
          <w:tab w:val="left" w:pos="567"/>
        </w:tabs>
        <w:rPr>
          <w:b/>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10 mg/5 mg tablet</w:t>
      </w:r>
      <w:r w:rsidR="0055378B" w:rsidRPr="00F2179E">
        <w:rPr>
          <w:color w:val="000000"/>
          <w:sz w:val="22"/>
          <w:szCs w:val="22"/>
          <w:u w:val="single"/>
          <w:lang w:eastAsia="en-US"/>
        </w:rPr>
        <w:t>y</w:t>
      </w:r>
      <w:r w:rsidRPr="00F2179E">
        <w:rPr>
          <w:color w:val="000000"/>
          <w:sz w:val="22"/>
          <w:szCs w:val="22"/>
          <w:u w:val="single"/>
          <w:lang w:eastAsia="en-US"/>
        </w:rPr>
        <w:t xml:space="preserve"> s predĺženým uvoľňovaním:</w:t>
      </w:r>
    </w:p>
    <w:p w:rsidR="00984857" w:rsidRPr="00F2179E" w:rsidRDefault="00984857" w:rsidP="00984857">
      <w:pPr>
        <w:widowControl w:val="0"/>
        <w:tabs>
          <w:tab w:val="left" w:pos="567"/>
        </w:tabs>
        <w:rPr>
          <w:sz w:val="22"/>
          <w:szCs w:val="22"/>
        </w:rPr>
      </w:pPr>
      <w:r w:rsidRPr="00F2179E">
        <w:rPr>
          <w:sz w:val="22"/>
          <w:szCs w:val="22"/>
        </w:rPr>
        <w:t xml:space="preserve">Blister </w:t>
      </w:r>
      <w:r w:rsidR="008E4579" w:rsidRPr="00F2179E">
        <w:rPr>
          <w:sz w:val="22"/>
          <w:szCs w:val="22"/>
        </w:rPr>
        <w:t>bezpečný pre deti</w:t>
      </w:r>
      <w:r w:rsidRPr="00F2179E">
        <w:rPr>
          <w:sz w:val="22"/>
          <w:szCs w:val="22"/>
        </w:rPr>
        <w:t xml:space="preserve"> (PVC/PVDC biely – papier/Alu fólia): 10, 14, 20, 28, 30, 50, 56, 60, 90, 98, 100 alebo 112 tabliet s predĺženým uvoľňovaním, v škatuľke.</w:t>
      </w:r>
    </w:p>
    <w:p w:rsidR="00984857" w:rsidRPr="00F2179E" w:rsidRDefault="00984857" w:rsidP="00984857">
      <w:pPr>
        <w:widowControl w:val="0"/>
        <w:tabs>
          <w:tab w:val="left" w:pos="567"/>
        </w:tabs>
        <w:rPr>
          <w:sz w:val="22"/>
          <w:szCs w:val="22"/>
        </w:rPr>
      </w:pPr>
      <w:r w:rsidRPr="00F2179E">
        <w:rPr>
          <w:sz w:val="22"/>
          <w:szCs w:val="22"/>
        </w:rPr>
        <w:t xml:space="preserve">Odlupovací </w:t>
      </w:r>
      <w:r w:rsidR="008E4579" w:rsidRPr="00F2179E">
        <w:rPr>
          <w:sz w:val="22"/>
          <w:szCs w:val="22"/>
        </w:rPr>
        <w:t xml:space="preserve">perforovaný </w:t>
      </w:r>
      <w:r w:rsidRPr="00F2179E">
        <w:rPr>
          <w:sz w:val="22"/>
          <w:szCs w:val="22"/>
        </w:rPr>
        <w:t xml:space="preserve">blister </w:t>
      </w:r>
      <w:r w:rsidR="008E4579" w:rsidRPr="00F2179E">
        <w:rPr>
          <w:sz w:val="22"/>
          <w:szCs w:val="22"/>
        </w:rPr>
        <w:t>s jednotlivou dávkou bezpečný pre deti</w:t>
      </w:r>
      <w:r w:rsidR="003359F1" w:rsidRPr="00F2179E">
        <w:rPr>
          <w:sz w:val="22"/>
          <w:szCs w:val="22"/>
        </w:rPr>
        <w:t xml:space="preserve"> </w:t>
      </w:r>
      <w:r w:rsidRPr="00F2179E">
        <w:rPr>
          <w:sz w:val="22"/>
          <w:szCs w:val="22"/>
        </w:rPr>
        <w:t xml:space="preserve">(PVC/PVDC biely -PET/Alu fólia): 10x1, 14x1, 20x1, 28x1, 30x1, 50x1, 56x1, 60x1, 90x1, 98x1, 100x1 alebo 112x1 tabliet s </w:t>
      </w:r>
      <w:r w:rsidRPr="00F2179E">
        <w:rPr>
          <w:sz w:val="22"/>
          <w:szCs w:val="22"/>
        </w:rPr>
        <w:lastRenderedPageBreak/>
        <w:t>predĺženým uvoľňovaním, v škatuľke.</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20 mg/10 mg tablet</w:t>
      </w:r>
      <w:r w:rsidR="0055378B" w:rsidRPr="00F2179E">
        <w:rPr>
          <w:color w:val="000000"/>
          <w:sz w:val="22"/>
          <w:szCs w:val="22"/>
          <w:u w:val="single"/>
          <w:lang w:eastAsia="en-US"/>
        </w:rPr>
        <w:t>y</w:t>
      </w:r>
      <w:r w:rsidRPr="00F2179E">
        <w:rPr>
          <w:color w:val="000000"/>
          <w:sz w:val="22"/>
          <w:szCs w:val="22"/>
          <w:u w:val="single"/>
          <w:lang w:eastAsia="en-US"/>
        </w:rPr>
        <w:t xml:space="preserve"> s predĺženým uvoľňovaním:</w:t>
      </w:r>
    </w:p>
    <w:p w:rsidR="00984857" w:rsidRPr="00F2179E" w:rsidRDefault="00984857" w:rsidP="00984857">
      <w:pPr>
        <w:widowControl w:val="0"/>
        <w:tabs>
          <w:tab w:val="left" w:pos="567"/>
        </w:tabs>
        <w:rPr>
          <w:sz w:val="22"/>
          <w:szCs w:val="22"/>
        </w:rPr>
      </w:pPr>
      <w:r w:rsidRPr="00F2179E">
        <w:rPr>
          <w:sz w:val="22"/>
          <w:szCs w:val="22"/>
        </w:rPr>
        <w:t xml:space="preserve">Blister </w:t>
      </w:r>
      <w:r w:rsidR="008E4579" w:rsidRPr="00F2179E">
        <w:rPr>
          <w:sz w:val="22"/>
          <w:szCs w:val="22"/>
        </w:rPr>
        <w:t>bezpečný pre deti</w:t>
      </w:r>
      <w:r w:rsidRPr="00F2179E">
        <w:rPr>
          <w:sz w:val="22"/>
          <w:szCs w:val="22"/>
        </w:rPr>
        <w:t xml:space="preserve"> (PVC/PVDC biely – papier/Alu fólia): 10, 20, 28, 30, 50, 56, 60, 90, 98, 100 alebo 112 tabliet s predĺženým uvoľňovaním, v škatuľke.</w:t>
      </w:r>
    </w:p>
    <w:p w:rsidR="00984857" w:rsidRPr="00F2179E" w:rsidRDefault="008E4579" w:rsidP="00984857">
      <w:pPr>
        <w:widowControl w:val="0"/>
        <w:tabs>
          <w:tab w:val="left" w:pos="567"/>
        </w:tabs>
        <w:rPr>
          <w:sz w:val="22"/>
          <w:szCs w:val="22"/>
        </w:rPr>
      </w:pPr>
      <w:r w:rsidRPr="00F2179E">
        <w:rPr>
          <w:sz w:val="22"/>
          <w:szCs w:val="22"/>
        </w:rPr>
        <w:t>Odlupovací perforovaný blister s jednotlivou dávkou bezpečný pre deti</w:t>
      </w:r>
      <w:r w:rsidRPr="00F2179E" w:rsidDel="008E4579">
        <w:rPr>
          <w:sz w:val="22"/>
          <w:szCs w:val="22"/>
        </w:rPr>
        <w:t xml:space="preserve"> </w:t>
      </w:r>
      <w:r w:rsidR="00984857" w:rsidRPr="00F2179E">
        <w:rPr>
          <w:sz w:val="22"/>
          <w:szCs w:val="22"/>
        </w:rPr>
        <w:t>(PVC/PVDC biely -PET/Alu fólia): 10x1, 20x1, 28x1, 30x1, 50x1, 56x1, 60x1, 90x1, 98x1, 100x1 alebo 112x1 tabliet s pre</w:t>
      </w:r>
      <w:r w:rsidR="0055378B" w:rsidRPr="00F2179E">
        <w:rPr>
          <w:sz w:val="22"/>
          <w:szCs w:val="22"/>
        </w:rPr>
        <w:t>dĺženým uvoľňovaním, v škatuľke</w:t>
      </w:r>
      <w:r w:rsidR="00984857" w:rsidRPr="00F2179E">
        <w:rPr>
          <w:sz w:val="22"/>
          <w:szCs w:val="22"/>
        </w:rPr>
        <w:t>.</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tabs>
          <w:tab w:val="left" w:pos="567"/>
        </w:tabs>
        <w:rPr>
          <w:color w:val="000000"/>
          <w:sz w:val="22"/>
          <w:szCs w:val="22"/>
          <w:u w:val="single"/>
          <w:lang w:eastAsia="en-US"/>
        </w:rPr>
      </w:pPr>
      <w:r w:rsidRPr="00F2179E">
        <w:rPr>
          <w:color w:val="000000"/>
          <w:sz w:val="22"/>
          <w:szCs w:val="22"/>
          <w:u w:val="single"/>
          <w:lang w:eastAsia="en-US"/>
        </w:rPr>
        <w:t>40 mg/20 mg tablet</w:t>
      </w:r>
      <w:r w:rsidR="0055378B" w:rsidRPr="00F2179E">
        <w:rPr>
          <w:color w:val="000000"/>
          <w:sz w:val="22"/>
          <w:szCs w:val="22"/>
          <w:u w:val="single"/>
          <w:lang w:eastAsia="en-US"/>
        </w:rPr>
        <w:t>y</w:t>
      </w:r>
      <w:r w:rsidRPr="00F2179E">
        <w:rPr>
          <w:color w:val="000000"/>
          <w:sz w:val="22"/>
          <w:szCs w:val="22"/>
          <w:u w:val="single"/>
          <w:lang w:eastAsia="en-US"/>
        </w:rPr>
        <w:t xml:space="preserve"> s predĺženým uvoľňovaním:</w:t>
      </w:r>
    </w:p>
    <w:p w:rsidR="00984857" w:rsidRPr="00F2179E" w:rsidRDefault="00984857" w:rsidP="00984857">
      <w:pPr>
        <w:widowControl w:val="0"/>
        <w:tabs>
          <w:tab w:val="left" w:pos="567"/>
        </w:tabs>
        <w:rPr>
          <w:sz w:val="22"/>
          <w:szCs w:val="22"/>
        </w:rPr>
      </w:pPr>
      <w:r w:rsidRPr="00F2179E">
        <w:rPr>
          <w:sz w:val="22"/>
          <w:szCs w:val="22"/>
        </w:rPr>
        <w:t xml:space="preserve">Blister </w:t>
      </w:r>
      <w:r w:rsidR="008E4579" w:rsidRPr="00F2179E">
        <w:rPr>
          <w:sz w:val="22"/>
          <w:szCs w:val="22"/>
        </w:rPr>
        <w:t>bezpečný pre deti</w:t>
      </w:r>
      <w:r w:rsidRPr="00F2179E">
        <w:rPr>
          <w:sz w:val="22"/>
          <w:szCs w:val="22"/>
        </w:rPr>
        <w:t xml:space="preserve"> (PVC/PVDC biely – papier/Alu fólia): 10, 20, 28, 30, 50, 56, 60, 90, 98, 100 alebo 112 tabliet s predĺženým uvoľňovaním, v škatuľke.</w:t>
      </w:r>
    </w:p>
    <w:p w:rsidR="00984857" w:rsidRPr="00F2179E" w:rsidRDefault="008E4579" w:rsidP="00984857">
      <w:pPr>
        <w:widowControl w:val="0"/>
        <w:tabs>
          <w:tab w:val="left" w:pos="567"/>
        </w:tabs>
        <w:rPr>
          <w:sz w:val="22"/>
          <w:szCs w:val="22"/>
        </w:rPr>
      </w:pPr>
      <w:r w:rsidRPr="00F2179E">
        <w:rPr>
          <w:sz w:val="22"/>
          <w:szCs w:val="22"/>
        </w:rPr>
        <w:t>Odlupovací perforovaný blister s jednotlivou dávkou bezpečný pre deti</w:t>
      </w:r>
      <w:r w:rsidRPr="00F2179E" w:rsidDel="008E4579">
        <w:rPr>
          <w:sz w:val="22"/>
          <w:szCs w:val="22"/>
        </w:rPr>
        <w:t xml:space="preserve"> </w:t>
      </w:r>
      <w:r w:rsidR="00984857" w:rsidRPr="00F2179E">
        <w:rPr>
          <w:sz w:val="22"/>
          <w:szCs w:val="22"/>
        </w:rPr>
        <w:t>(PVC/PVDC biely -PET/Alu fólia): 10x1, 20x1, 28x1, 30x1, 50x1, 56x1, 60x1, 90x1, 98x1, 100x1 alebo 112x1 tabliet s predĺženým uvoľňovaním, v škatuľke.</w:t>
      </w:r>
    </w:p>
    <w:p w:rsidR="00984857" w:rsidRPr="00F2179E" w:rsidRDefault="00984857" w:rsidP="00984857">
      <w:pPr>
        <w:widowControl w:val="0"/>
        <w:tabs>
          <w:tab w:val="left" w:pos="567"/>
        </w:tabs>
        <w:rPr>
          <w:sz w:val="22"/>
          <w:szCs w:val="22"/>
          <w:highlight w:val="yellow"/>
          <w:lang w:eastAsia="en-US"/>
        </w:rPr>
      </w:pPr>
    </w:p>
    <w:p w:rsidR="00984857" w:rsidRPr="00F2179E" w:rsidRDefault="00984857" w:rsidP="00984857">
      <w:pPr>
        <w:widowControl w:val="0"/>
        <w:tabs>
          <w:tab w:val="left" w:pos="567"/>
        </w:tabs>
        <w:rPr>
          <w:sz w:val="22"/>
          <w:szCs w:val="22"/>
          <w:lang w:eastAsia="en-US"/>
        </w:rPr>
      </w:pPr>
      <w:r w:rsidRPr="00F2179E">
        <w:rPr>
          <w:sz w:val="22"/>
          <w:szCs w:val="22"/>
          <w:lang w:eastAsia="en-US"/>
        </w:rPr>
        <w:t>Na trh nemusia byť uvedené všetky veľkosti balenia.</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outlineLvl w:val="0"/>
        <w:rPr>
          <w:sz w:val="22"/>
          <w:szCs w:val="22"/>
          <w:lang w:eastAsia="en-US"/>
        </w:rPr>
      </w:pPr>
      <w:r w:rsidRPr="00F2179E">
        <w:rPr>
          <w:b/>
          <w:sz w:val="22"/>
          <w:szCs w:val="22"/>
          <w:lang w:eastAsia="en-US"/>
        </w:rPr>
        <w:t>6.6</w:t>
      </w:r>
      <w:r w:rsidRPr="00F2179E">
        <w:rPr>
          <w:b/>
          <w:sz w:val="22"/>
          <w:szCs w:val="22"/>
          <w:lang w:eastAsia="en-US"/>
        </w:rPr>
        <w:tab/>
        <w:t>Špeciálne opatrenia na likvidáciu</w:t>
      </w:r>
    </w:p>
    <w:p w:rsidR="00984857" w:rsidRPr="00F2179E" w:rsidRDefault="00984857" w:rsidP="00984857">
      <w:pPr>
        <w:widowControl w:val="0"/>
        <w:tabs>
          <w:tab w:val="left" w:pos="567"/>
        </w:tabs>
        <w:rPr>
          <w:sz w:val="22"/>
          <w:szCs w:val="22"/>
          <w:highlight w:val="yellow"/>
          <w:lang w:eastAsia="en-US"/>
        </w:rPr>
      </w:pPr>
    </w:p>
    <w:p w:rsidR="00984857" w:rsidRPr="00F2179E" w:rsidRDefault="00984857" w:rsidP="00984857">
      <w:pPr>
        <w:widowControl w:val="0"/>
        <w:tabs>
          <w:tab w:val="left" w:pos="567"/>
        </w:tabs>
        <w:rPr>
          <w:sz w:val="22"/>
          <w:szCs w:val="22"/>
          <w:lang w:eastAsia="en-US"/>
        </w:rPr>
      </w:pPr>
      <w:r w:rsidRPr="00F2179E">
        <w:rPr>
          <w:sz w:val="22"/>
          <w:szCs w:val="22"/>
          <w:lang w:eastAsia="en-US"/>
        </w:rPr>
        <w:t xml:space="preserve">Všetok nepoužitý liek alebo odpad vzniknutý z lieku sa má zlikvidovať v súlade s národnými požiadavkami. </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7.</w:t>
      </w:r>
      <w:r w:rsidRPr="00F2179E">
        <w:rPr>
          <w:b/>
          <w:sz w:val="22"/>
          <w:szCs w:val="22"/>
          <w:lang w:eastAsia="en-US"/>
        </w:rPr>
        <w:tab/>
        <w:t>DRŽITEĽ ROZHODNUTIA O REGISTRÁCII</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rPr>
          <w:sz w:val="22"/>
          <w:szCs w:val="22"/>
          <w:lang w:eastAsia="en-US"/>
        </w:rPr>
      </w:pPr>
      <w:r w:rsidRPr="00F2179E">
        <w:rPr>
          <w:sz w:val="22"/>
          <w:szCs w:val="22"/>
          <w:lang w:eastAsia="en-US"/>
        </w:rPr>
        <w:t>KRKA, d.d., Novo mesto</w:t>
      </w:r>
    </w:p>
    <w:p w:rsidR="00984857" w:rsidRPr="00F2179E" w:rsidRDefault="00984857" w:rsidP="00984857">
      <w:pPr>
        <w:widowControl w:val="0"/>
        <w:rPr>
          <w:sz w:val="22"/>
          <w:szCs w:val="22"/>
          <w:lang w:eastAsia="en-US"/>
        </w:rPr>
      </w:pPr>
      <w:r w:rsidRPr="00F2179E">
        <w:rPr>
          <w:sz w:val="22"/>
          <w:szCs w:val="22"/>
          <w:lang w:eastAsia="en-US"/>
        </w:rPr>
        <w:t>Šmarješka cesta 6</w:t>
      </w:r>
    </w:p>
    <w:p w:rsidR="00984857" w:rsidRPr="00F2179E" w:rsidRDefault="00984857" w:rsidP="00984857">
      <w:pPr>
        <w:widowControl w:val="0"/>
        <w:rPr>
          <w:sz w:val="22"/>
          <w:szCs w:val="22"/>
          <w:lang w:eastAsia="en-US"/>
        </w:rPr>
      </w:pPr>
      <w:r w:rsidRPr="00F2179E">
        <w:rPr>
          <w:sz w:val="22"/>
          <w:szCs w:val="22"/>
          <w:lang w:eastAsia="en-US"/>
        </w:rPr>
        <w:t>8501 Novo mesto</w:t>
      </w:r>
    </w:p>
    <w:p w:rsidR="00984857" w:rsidRPr="00F2179E" w:rsidRDefault="00984857" w:rsidP="00984857">
      <w:pPr>
        <w:autoSpaceDE w:val="0"/>
        <w:autoSpaceDN w:val="0"/>
        <w:adjustRightInd w:val="0"/>
        <w:jc w:val="both"/>
        <w:rPr>
          <w:sz w:val="22"/>
          <w:szCs w:val="22"/>
          <w:lang w:eastAsia="en-US"/>
        </w:rPr>
      </w:pPr>
      <w:r w:rsidRPr="00F2179E">
        <w:rPr>
          <w:sz w:val="22"/>
          <w:szCs w:val="22"/>
          <w:lang w:eastAsia="en-US"/>
        </w:rPr>
        <w:t>Slovinsko</w:t>
      </w:r>
    </w:p>
    <w:p w:rsidR="00984857" w:rsidRPr="00F2179E" w:rsidRDefault="00984857" w:rsidP="00984857">
      <w:pPr>
        <w:widowControl w:val="0"/>
        <w:tabs>
          <w:tab w:val="left" w:pos="567"/>
        </w:tabs>
        <w:rPr>
          <w:sz w:val="22"/>
          <w:szCs w:val="22"/>
          <w:lang w:eastAsia="en-US"/>
        </w:rPr>
      </w:pPr>
    </w:p>
    <w:p w:rsidR="00800FA7" w:rsidRPr="00F2179E" w:rsidRDefault="00800FA7" w:rsidP="00984857">
      <w:pPr>
        <w:widowControl w:val="0"/>
        <w:tabs>
          <w:tab w:val="left" w:pos="567"/>
        </w:tabs>
        <w:rPr>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8.</w:t>
      </w:r>
      <w:r w:rsidRPr="00F2179E">
        <w:rPr>
          <w:b/>
          <w:sz w:val="22"/>
          <w:szCs w:val="22"/>
          <w:lang w:eastAsia="en-US"/>
        </w:rPr>
        <w:tab/>
        <w:t>REGISTRAČNÉ ČÍSLA</w:t>
      </w:r>
    </w:p>
    <w:p w:rsidR="00984857" w:rsidRPr="00F2179E" w:rsidRDefault="00984857" w:rsidP="00984857">
      <w:pPr>
        <w:widowControl w:val="0"/>
        <w:tabs>
          <w:tab w:val="left" w:pos="567"/>
        </w:tabs>
        <w:rPr>
          <w:i/>
          <w:sz w:val="22"/>
          <w:szCs w:val="22"/>
          <w:lang w:eastAsia="en-US"/>
        </w:rPr>
      </w:pPr>
    </w:p>
    <w:p w:rsidR="00011B88" w:rsidRPr="00F2179E" w:rsidRDefault="00011B88" w:rsidP="00011B88">
      <w:pPr>
        <w:widowControl w:val="0"/>
        <w:tabs>
          <w:tab w:val="left" w:pos="567"/>
        </w:tabs>
        <w:rPr>
          <w:iCs/>
          <w:sz w:val="22"/>
          <w:szCs w:val="22"/>
          <w:lang w:eastAsia="en-US"/>
        </w:rPr>
      </w:pPr>
      <w:r w:rsidRPr="00F2179E">
        <w:rPr>
          <w:noProof/>
          <w:sz w:val="22"/>
          <w:szCs w:val="22"/>
          <w:lang w:eastAsia="en-US"/>
        </w:rPr>
        <w:t>Adolax 10 mg/5 mg: 65/0106/17-S</w:t>
      </w:r>
    </w:p>
    <w:p w:rsidR="00011B88" w:rsidRPr="00F2179E" w:rsidRDefault="00011B88" w:rsidP="00011B88">
      <w:pPr>
        <w:widowControl w:val="0"/>
        <w:tabs>
          <w:tab w:val="left" w:pos="567"/>
        </w:tabs>
        <w:rPr>
          <w:iCs/>
          <w:sz w:val="22"/>
          <w:szCs w:val="22"/>
          <w:lang w:eastAsia="en-US"/>
        </w:rPr>
      </w:pPr>
      <w:r w:rsidRPr="00F2179E">
        <w:rPr>
          <w:noProof/>
          <w:sz w:val="22"/>
          <w:szCs w:val="22"/>
          <w:lang w:eastAsia="en-US"/>
        </w:rPr>
        <w:t>Adolax 20 mg/10 mg: 65/0107/17-S</w:t>
      </w:r>
    </w:p>
    <w:p w:rsidR="00011B88" w:rsidRPr="00F2179E" w:rsidRDefault="00011B88" w:rsidP="00011B88">
      <w:pPr>
        <w:widowControl w:val="0"/>
        <w:tabs>
          <w:tab w:val="left" w:pos="567"/>
        </w:tabs>
        <w:rPr>
          <w:noProof/>
          <w:sz w:val="22"/>
          <w:szCs w:val="22"/>
          <w:lang w:eastAsia="en-US"/>
        </w:rPr>
      </w:pPr>
      <w:r w:rsidRPr="00F2179E">
        <w:rPr>
          <w:noProof/>
          <w:sz w:val="22"/>
          <w:szCs w:val="22"/>
          <w:lang w:eastAsia="en-US"/>
        </w:rPr>
        <w:t>Adolax 40 mg/20 mg: 65/0108/17-S</w:t>
      </w: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p>
    <w:p w:rsidR="00984857" w:rsidRPr="00F2179E" w:rsidRDefault="00984857" w:rsidP="00984857">
      <w:pPr>
        <w:widowControl w:val="0"/>
        <w:tabs>
          <w:tab w:val="left" w:pos="567"/>
        </w:tabs>
        <w:rPr>
          <w:sz w:val="22"/>
          <w:szCs w:val="22"/>
          <w:lang w:eastAsia="en-US"/>
        </w:rPr>
      </w:pPr>
      <w:r w:rsidRPr="00F2179E">
        <w:rPr>
          <w:b/>
          <w:sz w:val="22"/>
          <w:szCs w:val="22"/>
          <w:lang w:eastAsia="en-US"/>
        </w:rPr>
        <w:t>9.</w:t>
      </w:r>
      <w:r w:rsidRPr="00F2179E">
        <w:rPr>
          <w:b/>
          <w:sz w:val="22"/>
          <w:szCs w:val="22"/>
          <w:lang w:eastAsia="en-US"/>
        </w:rPr>
        <w:tab/>
        <w:t xml:space="preserve">DÁTUM PRVEJ REGISTRÁCIE/ PREDĹŽENIA REGISTRÁCIE </w:t>
      </w:r>
    </w:p>
    <w:p w:rsidR="00984857" w:rsidRPr="00F2179E" w:rsidRDefault="00984857" w:rsidP="00984857">
      <w:pPr>
        <w:widowControl w:val="0"/>
        <w:tabs>
          <w:tab w:val="left" w:pos="567"/>
        </w:tabs>
        <w:rPr>
          <w:sz w:val="22"/>
          <w:szCs w:val="22"/>
          <w:lang w:eastAsia="en-US"/>
        </w:rPr>
      </w:pPr>
    </w:p>
    <w:p w:rsidR="00984857" w:rsidRPr="00F2179E" w:rsidRDefault="00EA2BB6" w:rsidP="00984857">
      <w:pPr>
        <w:widowControl w:val="0"/>
        <w:autoSpaceDE w:val="0"/>
        <w:autoSpaceDN w:val="0"/>
        <w:adjustRightInd w:val="0"/>
        <w:jc w:val="both"/>
        <w:rPr>
          <w:color w:val="000000"/>
          <w:sz w:val="22"/>
          <w:szCs w:val="22"/>
        </w:rPr>
      </w:pPr>
      <w:r w:rsidRPr="00F2179E">
        <w:rPr>
          <w:color w:val="000000"/>
          <w:sz w:val="22"/>
          <w:szCs w:val="22"/>
        </w:rPr>
        <w:t>Dátum prvej registrácie: 12. apríla 2017</w:t>
      </w:r>
    </w:p>
    <w:p w:rsidR="00984857" w:rsidRDefault="00984857" w:rsidP="00984857">
      <w:pPr>
        <w:widowControl w:val="0"/>
        <w:tabs>
          <w:tab w:val="left" w:pos="567"/>
        </w:tabs>
        <w:rPr>
          <w:sz w:val="22"/>
          <w:szCs w:val="22"/>
          <w:lang w:eastAsia="en-US"/>
        </w:rPr>
      </w:pPr>
    </w:p>
    <w:p w:rsidR="00F2179E" w:rsidRPr="00F2179E" w:rsidRDefault="00F2179E" w:rsidP="00984857">
      <w:pPr>
        <w:widowControl w:val="0"/>
        <w:tabs>
          <w:tab w:val="left" w:pos="567"/>
        </w:tabs>
        <w:rPr>
          <w:sz w:val="22"/>
          <w:szCs w:val="22"/>
          <w:lang w:eastAsia="en-US"/>
        </w:rPr>
      </w:pPr>
    </w:p>
    <w:p w:rsidR="00984857" w:rsidRPr="00F2179E" w:rsidRDefault="00984857" w:rsidP="00984857">
      <w:pPr>
        <w:widowControl w:val="0"/>
        <w:tabs>
          <w:tab w:val="left" w:pos="567"/>
        </w:tabs>
        <w:rPr>
          <w:b/>
          <w:sz w:val="22"/>
          <w:szCs w:val="22"/>
          <w:lang w:eastAsia="en-US"/>
        </w:rPr>
      </w:pPr>
      <w:r w:rsidRPr="00F2179E">
        <w:rPr>
          <w:b/>
          <w:sz w:val="22"/>
          <w:szCs w:val="22"/>
          <w:lang w:eastAsia="en-US"/>
        </w:rPr>
        <w:t>10.</w:t>
      </w:r>
      <w:r w:rsidRPr="00F2179E">
        <w:rPr>
          <w:b/>
          <w:sz w:val="22"/>
          <w:szCs w:val="22"/>
          <w:lang w:eastAsia="en-US"/>
        </w:rPr>
        <w:tab/>
        <w:t>DÁTUM REVÍZIE TEXTU</w:t>
      </w:r>
    </w:p>
    <w:p w:rsidR="00984857" w:rsidRPr="00F2179E" w:rsidRDefault="00984857" w:rsidP="00984857">
      <w:pPr>
        <w:widowControl w:val="0"/>
        <w:tabs>
          <w:tab w:val="left" w:pos="567"/>
        </w:tabs>
        <w:rPr>
          <w:sz w:val="22"/>
          <w:szCs w:val="22"/>
          <w:lang w:eastAsia="en-US"/>
        </w:rPr>
      </w:pPr>
    </w:p>
    <w:p w:rsidR="00444B38" w:rsidRPr="00F2179E" w:rsidRDefault="00350556">
      <w:pPr>
        <w:rPr>
          <w:sz w:val="22"/>
          <w:szCs w:val="22"/>
        </w:rPr>
      </w:pPr>
      <w:r w:rsidRPr="00F2179E">
        <w:rPr>
          <w:sz w:val="22"/>
          <w:szCs w:val="22"/>
        </w:rPr>
        <w:t>04/2018</w:t>
      </w:r>
    </w:p>
    <w:sectPr w:rsidR="00444B38" w:rsidRPr="00F2179E" w:rsidSect="0051097E">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A61" w:rsidRDefault="003A2A61" w:rsidP="0051097E">
      <w:r>
        <w:separator/>
      </w:r>
    </w:p>
  </w:endnote>
  <w:endnote w:type="continuationSeparator" w:id="0">
    <w:p w:rsidR="003A2A61" w:rsidRDefault="003A2A61" w:rsidP="005109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5392"/>
      <w:docPartObj>
        <w:docPartGallery w:val="Page Numbers (Bottom of Page)"/>
        <w:docPartUnique/>
      </w:docPartObj>
    </w:sdtPr>
    <w:sdtContent>
      <w:p w:rsidR="00EA2BB6" w:rsidRDefault="00350556">
        <w:pPr>
          <w:pStyle w:val="Pta"/>
          <w:jc w:val="right"/>
        </w:pPr>
        <w:r w:rsidRPr="00350556">
          <w:rPr>
            <w:sz w:val="18"/>
            <w:szCs w:val="18"/>
          </w:rPr>
          <w:fldChar w:fldCharType="begin"/>
        </w:r>
        <w:r w:rsidRPr="00350556">
          <w:rPr>
            <w:sz w:val="18"/>
            <w:szCs w:val="18"/>
          </w:rPr>
          <w:instrText xml:space="preserve"> PAGE   \* MERGEFORMAT </w:instrText>
        </w:r>
        <w:r w:rsidRPr="00350556">
          <w:rPr>
            <w:sz w:val="18"/>
            <w:szCs w:val="18"/>
          </w:rPr>
          <w:fldChar w:fldCharType="separate"/>
        </w:r>
        <w:r w:rsidR="00F2179E">
          <w:rPr>
            <w:noProof/>
            <w:sz w:val="18"/>
            <w:szCs w:val="18"/>
          </w:rPr>
          <w:t>16</w:t>
        </w:r>
        <w:r w:rsidRPr="00350556">
          <w:rPr>
            <w:sz w:val="18"/>
            <w:szCs w:val="18"/>
          </w:rPr>
          <w:fldChar w:fldCharType="end"/>
        </w:r>
      </w:p>
    </w:sdtContent>
  </w:sdt>
  <w:p w:rsidR="00EA2BB6" w:rsidRDefault="00EA2BB6">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5391"/>
      <w:docPartObj>
        <w:docPartGallery w:val="Page Numbers (Bottom of Page)"/>
        <w:docPartUnique/>
      </w:docPartObj>
    </w:sdtPr>
    <w:sdtContent>
      <w:p w:rsidR="00EA2BB6" w:rsidRDefault="00350556">
        <w:pPr>
          <w:pStyle w:val="Pta"/>
          <w:jc w:val="right"/>
        </w:pPr>
        <w:r w:rsidRPr="00350556">
          <w:rPr>
            <w:sz w:val="18"/>
            <w:szCs w:val="18"/>
          </w:rPr>
          <w:fldChar w:fldCharType="begin"/>
        </w:r>
        <w:r w:rsidRPr="00350556">
          <w:rPr>
            <w:sz w:val="18"/>
            <w:szCs w:val="18"/>
          </w:rPr>
          <w:instrText xml:space="preserve"> PAGE   \* MERGEFORMAT </w:instrText>
        </w:r>
        <w:r w:rsidRPr="00350556">
          <w:rPr>
            <w:sz w:val="18"/>
            <w:szCs w:val="18"/>
          </w:rPr>
          <w:fldChar w:fldCharType="separate"/>
        </w:r>
        <w:r w:rsidR="00F2179E">
          <w:rPr>
            <w:noProof/>
            <w:sz w:val="18"/>
            <w:szCs w:val="18"/>
          </w:rPr>
          <w:t>1</w:t>
        </w:r>
        <w:r w:rsidRPr="00350556">
          <w:rPr>
            <w:sz w:val="18"/>
            <w:szCs w:val="18"/>
          </w:rPr>
          <w:fldChar w:fldCharType="end"/>
        </w:r>
      </w:p>
    </w:sdtContent>
  </w:sdt>
  <w:p w:rsidR="00EA2BB6" w:rsidRDefault="00EA2BB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A61" w:rsidRDefault="003A2A61" w:rsidP="0051097E">
      <w:r>
        <w:separator/>
      </w:r>
    </w:p>
  </w:footnote>
  <w:footnote w:type="continuationSeparator" w:id="0">
    <w:p w:rsidR="003A2A61" w:rsidRDefault="003A2A61" w:rsidP="005109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A34" w:rsidRPr="00F07A34" w:rsidRDefault="00F07A34" w:rsidP="00F07A34">
    <w:pPr>
      <w:pStyle w:val="Hlavika"/>
      <w:rPr>
        <w:sz w:val="18"/>
        <w:szCs w:val="18"/>
      </w:rPr>
    </w:pPr>
    <w:r w:rsidRPr="00F07A34">
      <w:rPr>
        <w:sz w:val="18"/>
        <w:szCs w:val="18"/>
      </w:rPr>
      <w:t>Príloha č. 1 k notifikáciii o zmene, ev .č.:</w:t>
    </w:r>
    <w:r w:rsidRPr="00F07A34">
      <w:t xml:space="preserve"> </w:t>
    </w:r>
    <w:r w:rsidRPr="00F07A34">
      <w:rPr>
        <w:sz w:val="18"/>
        <w:szCs w:val="18"/>
      </w:rPr>
      <w:t>2017/06724-Z1B</w:t>
    </w:r>
  </w:p>
  <w:p w:rsidR="00F07A34" w:rsidRPr="00F07A34" w:rsidRDefault="00F07A34" w:rsidP="00F07A34">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ADC" w:rsidRPr="00F07A34" w:rsidRDefault="00F07A34">
    <w:pPr>
      <w:pStyle w:val="Hlavika"/>
      <w:rPr>
        <w:sz w:val="18"/>
        <w:szCs w:val="18"/>
      </w:rPr>
    </w:pPr>
    <w:r w:rsidRPr="00F07A34">
      <w:rPr>
        <w:sz w:val="18"/>
        <w:szCs w:val="18"/>
      </w:rPr>
      <w:t>Príloha č. 1 k notifikáciii o zmene, ev .č.:</w:t>
    </w:r>
    <w:r w:rsidRPr="00F07A34">
      <w:t xml:space="preserve"> </w:t>
    </w:r>
    <w:r w:rsidRPr="00F07A34">
      <w:rPr>
        <w:sz w:val="18"/>
        <w:szCs w:val="18"/>
      </w:rPr>
      <w:t>2017/06724-Z1B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3B27F0"/>
    <w:multiLevelType w:val="hybridMultilevel"/>
    <w:tmpl w:val="546AC6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DA28433"/>
    <w:multiLevelType w:val="hybridMultilevel"/>
    <w:tmpl w:val="4B98C2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4081B1C"/>
    <w:multiLevelType w:val="hybridMultilevel"/>
    <w:tmpl w:val="A8AB41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576B162"/>
    <w:multiLevelType w:val="hybridMultilevel"/>
    <w:tmpl w:val="2A0F3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99529AC"/>
    <w:multiLevelType w:val="hybridMultilevel"/>
    <w:tmpl w:val="A3A0F5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CCCA0D2"/>
    <w:multiLevelType w:val="hybridMultilevel"/>
    <w:tmpl w:val="6E0489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FFFFFFE"/>
    <w:multiLevelType w:val="singleLevel"/>
    <w:tmpl w:val="FFFFFFFF"/>
    <w:lvl w:ilvl="0">
      <w:numFmt w:val="decimal"/>
      <w:lvlText w:val="*"/>
      <w:lvlJc w:val="left"/>
    </w:lvl>
  </w:abstractNum>
  <w:abstractNum w:abstractNumId="7">
    <w:nsid w:val="01EC76B7"/>
    <w:multiLevelType w:val="hybridMultilevel"/>
    <w:tmpl w:val="FA717A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618628E"/>
    <w:multiLevelType w:val="hybridMultilevel"/>
    <w:tmpl w:val="AD9F12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67029F8"/>
    <w:multiLevelType w:val="hybridMultilevel"/>
    <w:tmpl w:val="9DB6BDC4"/>
    <w:lvl w:ilvl="0" w:tplc="04240001">
      <w:start w:val="1"/>
      <w:numFmt w:val="bullet"/>
      <w:lvlText w:val=""/>
      <w:lvlJc w:val="left"/>
      <w:pPr>
        <w:tabs>
          <w:tab w:val="num" w:pos="570"/>
        </w:tabs>
        <w:ind w:left="570" w:hanging="57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088B7995"/>
    <w:multiLevelType w:val="hybridMultilevel"/>
    <w:tmpl w:val="22AC8EE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09E17796"/>
    <w:multiLevelType w:val="hybridMultilevel"/>
    <w:tmpl w:val="EC4536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F04442B"/>
    <w:multiLevelType w:val="hybridMultilevel"/>
    <w:tmpl w:val="FAEA8B30"/>
    <w:lvl w:ilvl="0" w:tplc="DF7E6C7E">
      <w:numFmt w:val="bullet"/>
      <w:lvlText w:val="-"/>
      <w:lvlJc w:val="left"/>
      <w:pPr>
        <w:tabs>
          <w:tab w:val="num" w:pos="567"/>
        </w:tabs>
        <w:ind w:left="567" w:hanging="567"/>
      </w:pPr>
      <w:rPr>
        <w:rFonts w:ascii="Times New Roman" w:eastAsia="Times New Roman" w:hAnsi="Times New Roman" w:cs="Times New Roman" w:hint="default"/>
        <w:color w:val="auto"/>
      </w:rPr>
    </w:lvl>
    <w:lvl w:ilvl="1" w:tplc="0424000F">
      <w:start w:val="1"/>
      <w:numFmt w:val="decimal"/>
      <w:lvlText w:val="%2."/>
      <w:lvlJc w:val="left"/>
      <w:pPr>
        <w:tabs>
          <w:tab w:val="num" w:pos="1440"/>
        </w:tabs>
        <w:ind w:left="1440" w:hanging="360"/>
      </w:pPr>
      <w:rPr>
        <w:rFonts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116E521F"/>
    <w:multiLevelType w:val="hybridMultilevel"/>
    <w:tmpl w:val="7C486B12"/>
    <w:lvl w:ilvl="0" w:tplc="72E2E094">
      <w:start w:val="1"/>
      <w:numFmt w:val="decimal"/>
      <w:lvlText w:val="%1."/>
      <w:lvlJc w:val="left"/>
      <w:pPr>
        <w:tabs>
          <w:tab w:val="num" w:pos="567"/>
        </w:tabs>
        <w:ind w:left="567" w:hanging="567"/>
      </w:pPr>
      <w:rPr>
        <w:rFonts w:hint="default"/>
        <w:b w:val="0"/>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13BC34A4"/>
    <w:multiLevelType w:val="hybridMultilevel"/>
    <w:tmpl w:val="5EF65F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1404AD4E"/>
    <w:multiLevelType w:val="hybridMultilevel"/>
    <w:tmpl w:val="4B889A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4A117E7"/>
    <w:multiLevelType w:val="hybridMultilevel"/>
    <w:tmpl w:val="5D4809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210B6525"/>
    <w:multiLevelType w:val="hybridMultilevel"/>
    <w:tmpl w:val="73F85146"/>
    <w:lvl w:ilvl="0" w:tplc="041B0001">
      <w:start w:val="1"/>
      <w:numFmt w:val="bullet"/>
      <w:lvlText w:val=""/>
      <w:lvlJc w:val="left"/>
      <w:pPr>
        <w:ind w:left="660" w:hanging="630"/>
      </w:pPr>
      <w:rPr>
        <w:rFonts w:ascii="Symbol" w:hAnsi="Symbol" w:hint="default"/>
      </w:rPr>
    </w:lvl>
    <w:lvl w:ilvl="1" w:tplc="04090003">
      <w:start w:val="1"/>
      <w:numFmt w:val="bullet"/>
      <w:lvlText w:val="o"/>
      <w:lvlJc w:val="left"/>
      <w:pPr>
        <w:ind w:left="1110" w:hanging="360"/>
      </w:pPr>
      <w:rPr>
        <w:rFonts w:ascii="Courier New" w:hAnsi="Courier New" w:cs="Courier New" w:hint="default"/>
      </w:rPr>
    </w:lvl>
    <w:lvl w:ilvl="2" w:tplc="04090005">
      <w:start w:val="1"/>
      <w:numFmt w:val="bullet"/>
      <w:lvlText w:val=""/>
      <w:lvlJc w:val="left"/>
      <w:pPr>
        <w:ind w:left="1830" w:hanging="360"/>
      </w:pPr>
      <w:rPr>
        <w:rFonts w:ascii="Wingdings" w:hAnsi="Wingdings" w:hint="default"/>
      </w:rPr>
    </w:lvl>
    <w:lvl w:ilvl="3" w:tplc="04090001">
      <w:start w:val="1"/>
      <w:numFmt w:val="bullet"/>
      <w:lvlText w:val=""/>
      <w:lvlJc w:val="left"/>
      <w:pPr>
        <w:ind w:left="2550" w:hanging="360"/>
      </w:pPr>
      <w:rPr>
        <w:rFonts w:ascii="Symbol" w:hAnsi="Symbol" w:hint="default"/>
      </w:rPr>
    </w:lvl>
    <w:lvl w:ilvl="4" w:tplc="04090003">
      <w:start w:val="1"/>
      <w:numFmt w:val="bullet"/>
      <w:lvlText w:val="o"/>
      <w:lvlJc w:val="left"/>
      <w:pPr>
        <w:ind w:left="3270" w:hanging="360"/>
      </w:pPr>
      <w:rPr>
        <w:rFonts w:ascii="Courier New" w:hAnsi="Courier New" w:cs="Courier New" w:hint="default"/>
      </w:rPr>
    </w:lvl>
    <w:lvl w:ilvl="5" w:tplc="04090005">
      <w:start w:val="1"/>
      <w:numFmt w:val="bullet"/>
      <w:lvlText w:val=""/>
      <w:lvlJc w:val="left"/>
      <w:pPr>
        <w:ind w:left="3990" w:hanging="360"/>
      </w:pPr>
      <w:rPr>
        <w:rFonts w:ascii="Wingdings" w:hAnsi="Wingdings" w:hint="default"/>
      </w:rPr>
    </w:lvl>
    <w:lvl w:ilvl="6" w:tplc="04090001">
      <w:start w:val="1"/>
      <w:numFmt w:val="bullet"/>
      <w:lvlText w:val=""/>
      <w:lvlJc w:val="left"/>
      <w:pPr>
        <w:ind w:left="4710" w:hanging="360"/>
      </w:pPr>
      <w:rPr>
        <w:rFonts w:ascii="Symbol" w:hAnsi="Symbol" w:hint="default"/>
      </w:rPr>
    </w:lvl>
    <w:lvl w:ilvl="7" w:tplc="04090003">
      <w:start w:val="1"/>
      <w:numFmt w:val="bullet"/>
      <w:lvlText w:val="o"/>
      <w:lvlJc w:val="left"/>
      <w:pPr>
        <w:ind w:left="5430" w:hanging="360"/>
      </w:pPr>
      <w:rPr>
        <w:rFonts w:ascii="Courier New" w:hAnsi="Courier New" w:cs="Courier New" w:hint="default"/>
      </w:rPr>
    </w:lvl>
    <w:lvl w:ilvl="8" w:tplc="04090005">
      <w:start w:val="1"/>
      <w:numFmt w:val="bullet"/>
      <w:lvlText w:val=""/>
      <w:lvlJc w:val="left"/>
      <w:pPr>
        <w:ind w:left="6150" w:hanging="360"/>
      </w:pPr>
      <w:rPr>
        <w:rFonts w:ascii="Wingdings" w:hAnsi="Wingdings" w:hint="default"/>
      </w:rPr>
    </w:lvl>
  </w:abstractNum>
  <w:abstractNum w:abstractNumId="19">
    <w:nsid w:val="2675908C"/>
    <w:multiLevelType w:val="hybridMultilevel"/>
    <w:tmpl w:val="10FE73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37F207B4"/>
    <w:multiLevelType w:val="hybridMultilevel"/>
    <w:tmpl w:val="76760A94"/>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nsid w:val="4152371A"/>
    <w:multiLevelType w:val="hybridMultilevel"/>
    <w:tmpl w:val="48E257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4E030F68"/>
    <w:multiLevelType w:val="multilevel"/>
    <w:tmpl w:val="6290C4F6"/>
    <w:lvl w:ilvl="0">
      <w:start w:val="6"/>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56B515E3"/>
    <w:multiLevelType w:val="hybridMultilevel"/>
    <w:tmpl w:val="43C8AD6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57180B42"/>
    <w:multiLevelType w:val="multilevel"/>
    <w:tmpl w:val="35F8F93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5B7436D2"/>
    <w:multiLevelType w:val="multilevel"/>
    <w:tmpl w:val="C64A9C10"/>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26EB0C8"/>
    <w:multiLevelType w:val="hybridMultilevel"/>
    <w:tmpl w:val="0E7B9F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4863548"/>
    <w:multiLevelType w:val="hybridMultilevel"/>
    <w:tmpl w:val="F042B608"/>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659EE6BC"/>
    <w:multiLevelType w:val="hybridMultilevel"/>
    <w:tmpl w:val="78EED0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7">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78CB9B3"/>
    <w:multiLevelType w:val="hybridMultilevel"/>
    <w:tmpl w:val="B3E4EB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7CECE075"/>
    <w:multiLevelType w:val="hybridMultilevel"/>
    <w:tmpl w:val="F9B746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7"/>
  </w:num>
  <w:num w:numId="2">
    <w:abstractNumId w:val="6"/>
    <w:lvlOverride w:ilvl="0">
      <w:lvl w:ilvl="0">
        <w:start w:val="1"/>
        <w:numFmt w:val="bullet"/>
        <w:lvlText w:val="-"/>
        <w:legacy w:legacy="1" w:legacySpace="0" w:legacyIndent="360"/>
        <w:lvlJc w:val="left"/>
        <w:pPr>
          <w:ind w:left="360" w:hanging="360"/>
        </w:pPr>
      </w:lvl>
    </w:lvlOverride>
  </w:num>
  <w:num w:numId="3">
    <w:abstractNumId w:val="29"/>
  </w:num>
  <w:num w:numId="4">
    <w:abstractNumId w:val="28"/>
  </w:num>
  <w:num w:numId="5">
    <w:abstractNumId w:val="39"/>
  </w:num>
  <w:num w:numId="6">
    <w:abstractNumId w:val="11"/>
  </w:num>
  <w:num w:numId="7">
    <w:abstractNumId w:val="33"/>
  </w:num>
  <w:num w:numId="8">
    <w:abstractNumId w:val="3"/>
  </w:num>
  <w:num w:numId="9">
    <w:abstractNumId w:val="19"/>
  </w:num>
  <w:num w:numId="10">
    <w:abstractNumId w:val="8"/>
  </w:num>
  <w:num w:numId="11">
    <w:abstractNumId w:val="0"/>
  </w:num>
  <w:num w:numId="12">
    <w:abstractNumId w:val="2"/>
  </w:num>
  <w:num w:numId="13">
    <w:abstractNumId w:val="1"/>
  </w:num>
  <w:num w:numId="14">
    <w:abstractNumId w:val="35"/>
  </w:num>
  <w:num w:numId="15">
    <w:abstractNumId w:val="5"/>
  </w:num>
  <w:num w:numId="16">
    <w:abstractNumId w:val="12"/>
  </w:num>
  <w:num w:numId="17">
    <w:abstractNumId w:val="41"/>
  </w:num>
  <w:num w:numId="18">
    <w:abstractNumId w:val="4"/>
  </w:num>
  <w:num w:numId="19">
    <w:abstractNumId w:val="7"/>
  </w:num>
  <w:num w:numId="20">
    <w:abstractNumId w:val="16"/>
  </w:num>
  <w:num w:numId="21">
    <w:abstractNumId w:val="40"/>
  </w:num>
  <w:num w:numId="22">
    <w:abstractNumId w:val="6"/>
    <w:lvlOverride w:ilvl="0">
      <w:lvl w:ilvl="0">
        <w:start w:val="1"/>
        <w:numFmt w:val="bullet"/>
        <w:lvlText w:val="-"/>
        <w:legacy w:legacy="1" w:legacySpace="0" w:legacyIndent="360"/>
        <w:lvlJc w:val="left"/>
        <w:pPr>
          <w:ind w:left="360" w:hanging="360"/>
        </w:pPr>
      </w:lvl>
    </w:lvlOverride>
  </w:num>
  <w:num w:numId="23">
    <w:abstractNumId w:val="36"/>
  </w:num>
  <w:num w:numId="24">
    <w:abstractNumId w:val="38"/>
  </w:num>
  <w:num w:numId="25">
    <w:abstractNumId w:val="22"/>
  </w:num>
  <w:num w:numId="26">
    <w:abstractNumId w:val="31"/>
  </w:num>
  <w:num w:numId="27">
    <w:abstractNumId w:val="20"/>
  </w:num>
  <w:num w:numId="28">
    <w:abstractNumId w:val="13"/>
  </w:num>
  <w:num w:numId="29">
    <w:abstractNumId w:val="23"/>
  </w:num>
  <w:num w:numId="30">
    <w:abstractNumId w:val="24"/>
  </w:num>
  <w:num w:numId="31">
    <w:abstractNumId w:val="10"/>
  </w:num>
  <w:num w:numId="32">
    <w:abstractNumId w:val="14"/>
  </w:num>
  <w:num w:numId="33">
    <w:abstractNumId w:val="32"/>
  </w:num>
  <w:num w:numId="34">
    <w:abstractNumId w:val="26"/>
  </w:num>
  <w:num w:numId="35">
    <w:abstractNumId w:val="30"/>
  </w:num>
  <w:num w:numId="36">
    <w:abstractNumId w:val="17"/>
  </w:num>
  <w:num w:numId="37">
    <w:abstractNumId w:val="25"/>
  </w:num>
  <w:num w:numId="38">
    <w:abstractNumId w:val="34"/>
  </w:num>
  <w:num w:numId="39">
    <w:abstractNumId w:val="9"/>
  </w:num>
  <w:num w:numId="40">
    <w:abstractNumId w:val="27"/>
  </w:num>
  <w:num w:numId="41">
    <w:abstractNumId w:val="21"/>
  </w:num>
  <w:num w:numId="42">
    <w:abstractNumId w:val="15"/>
  </w:num>
  <w:num w:numId="4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984857"/>
    <w:rsid w:val="00011B88"/>
    <w:rsid w:val="0004009C"/>
    <w:rsid w:val="000812D5"/>
    <w:rsid w:val="000E2D6E"/>
    <w:rsid w:val="00127ADC"/>
    <w:rsid w:val="00171F31"/>
    <w:rsid w:val="00293AD7"/>
    <w:rsid w:val="002A2DEB"/>
    <w:rsid w:val="002D2004"/>
    <w:rsid w:val="0030616C"/>
    <w:rsid w:val="003359F1"/>
    <w:rsid w:val="00350556"/>
    <w:rsid w:val="00367A37"/>
    <w:rsid w:val="003A2A61"/>
    <w:rsid w:val="00421501"/>
    <w:rsid w:val="00421C92"/>
    <w:rsid w:val="00444B38"/>
    <w:rsid w:val="00456603"/>
    <w:rsid w:val="0051097E"/>
    <w:rsid w:val="005148A3"/>
    <w:rsid w:val="00534A5E"/>
    <w:rsid w:val="0055378B"/>
    <w:rsid w:val="00553B47"/>
    <w:rsid w:val="005A216E"/>
    <w:rsid w:val="005C54CB"/>
    <w:rsid w:val="006B4492"/>
    <w:rsid w:val="00752071"/>
    <w:rsid w:val="00800FA7"/>
    <w:rsid w:val="00863B68"/>
    <w:rsid w:val="008B21DA"/>
    <w:rsid w:val="008E4579"/>
    <w:rsid w:val="00902A59"/>
    <w:rsid w:val="00954AE2"/>
    <w:rsid w:val="00984857"/>
    <w:rsid w:val="009C64A3"/>
    <w:rsid w:val="009D0EE8"/>
    <w:rsid w:val="00A103BF"/>
    <w:rsid w:val="00A26DD0"/>
    <w:rsid w:val="00A329F3"/>
    <w:rsid w:val="00A91531"/>
    <w:rsid w:val="00B216A1"/>
    <w:rsid w:val="00BD5306"/>
    <w:rsid w:val="00CE6F50"/>
    <w:rsid w:val="00DC7BE5"/>
    <w:rsid w:val="00E475BC"/>
    <w:rsid w:val="00E53B5F"/>
    <w:rsid w:val="00EA2BB6"/>
    <w:rsid w:val="00ED513A"/>
    <w:rsid w:val="00F07A34"/>
    <w:rsid w:val="00F2179E"/>
    <w:rsid w:val="00F46D9B"/>
    <w:rsid w:val="00F635E4"/>
    <w:rsid w:val="00FB172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4857"/>
    <w:pPr>
      <w:spacing w:after="0" w:line="240" w:lineRule="auto"/>
    </w:pPr>
    <w:rPr>
      <w:rFonts w:ascii="Times New Roman" w:eastAsia="Times New Roman" w:hAnsi="Times New Roman" w:cs="Times New Roman"/>
      <w:sz w:val="24"/>
      <w:szCs w:val="20"/>
      <w:lang w:eastAsia="sl-SI"/>
    </w:rPr>
  </w:style>
  <w:style w:type="paragraph" w:styleId="Nadpis1">
    <w:name w:val="heading 1"/>
    <w:basedOn w:val="Normlny"/>
    <w:next w:val="Normlny"/>
    <w:link w:val="Nadpis1Char"/>
    <w:qFormat/>
    <w:rsid w:val="00984857"/>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984857"/>
    <w:pPr>
      <w:keepNext/>
      <w:tabs>
        <w:tab w:val="left" w:pos="4300"/>
        <w:tab w:val="left" w:pos="5940"/>
        <w:tab w:val="left" w:pos="8180"/>
      </w:tabs>
      <w:spacing w:line="360" w:lineRule="atLeast"/>
      <w:outlineLvl w:val="1"/>
    </w:pPr>
    <w:rPr>
      <w:b/>
      <w:u w:val="single"/>
      <w:lang w:val="en-US"/>
    </w:rPr>
  </w:style>
  <w:style w:type="paragraph" w:styleId="Nadpis3">
    <w:name w:val="heading 3"/>
    <w:basedOn w:val="Normlny"/>
    <w:next w:val="Normlny"/>
    <w:link w:val="Nadpis3Char"/>
    <w:qFormat/>
    <w:rsid w:val="00984857"/>
    <w:pPr>
      <w:keepNext/>
      <w:tabs>
        <w:tab w:val="decimal" w:pos="6760"/>
      </w:tabs>
      <w:spacing w:line="480" w:lineRule="atLeast"/>
      <w:outlineLvl w:val="2"/>
    </w:pPr>
    <w:rPr>
      <w:b/>
      <w:lang w:val="en-US"/>
    </w:rPr>
  </w:style>
  <w:style w:type="paragraph" w:styleId="Nadpis4">
    <w:name w:val="heading 4"/>
    <w:basedOn w:val="Normlny"/>
    <w:next w:val="Normlny"/>
    <w:link w:val="Nadpis4Char"/>
    <w:qFormat/>
    <w:rsid w:val="00984857"/>
    <w:pPr>
      <w:keepNext/>
      <w:spacing w:before="240" w:after="60"/>
      <w:outlineLvl w:val="3"/>
    </w:pPr>
    <w:rPr>
      <w:b/>
      <w:bCs/>
      <w:sz w:val="28"/>
      <w:szCs w:val="28"/>
    </w:rPr>
  </w:style>
  <w:style w:type="paragraph" w:styleId="Nadpis5">
    <w:name w:val="heading 5"/>
    <w:basedOn w:val="Normlny"/>
    <w:next w:val="Normlny"/>
    <w:link w:val="Nadpis5Char"/>
    <w:semiHidden/>
    <w:unhideWhenUsed/>
    <w:qFormat/>
    <w:rsid w:val="00984857"/>
    <w:pPr>
      <w:spacing w:before="240" w:after="60"/>
      <w:outlineLvl w:val="4"/>
    </w:pPr>
    <w:rPr>
      <w:rFonts w:ascii="Calibri" w:hAnsi="Calibri"/>
      <w:b/>
      <w:bCs/>
      <w:i/>
      <w:iCs/>
      <w:sz w:val="26"/>
      <w:szCs w:val="26"/>
    </w:rPr>
  </w:style>
  <w:style w:type="paragraph" w:styleId="Nadpis6">
    <w:name w:val="heading 6"/>
    <w:basedOn w:val="Normlny"/>
    <w:next w:val="Normlny"/>
    <w:link w:val="Nadpis6Char"/>
    <w:qFormat/>
    <w:rsid w:val="00984857"/>
    <w:pPr>
      <w:keepNext/>
      <w:keepLines/>
      <w:tabs>
        <w:tab w:val="right" w:pos="4536"/>
        <w:tab w:val="left" w:pos="5180"/>
        <w:tab w:val="left" w:pos="5380"/>
        <w:tab w:val="left" w:pos="8222"/>
      </w:tabs>
      <w:outlineLvl w:val="5"/>
    </w:pPr>
    <w:rPr>
      <w:b/>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84857"/>
    <w:rPr>
      <w:rFonts w:ascii="Arial" w:eastAsia="Times New Roman" w:hAnsi="Arial" w:cs="Arial"/>
      <w:b/>
      <w:bCs/>
      <w:kern w:val="32"/>
      <w:sz w:val="32"/>
      <w:szCs w:val="32"/>
      <w:lang w:val="sl-SI" w:eastAsia="sl-SI"/>
    </w:rPr>
  </w:style>
  <w:style w:type="character" w:customStyle="1" w:styleId="Nadpis2Char">
    <w:name w:val="Nadpis 2 Char"/>
    <w:basedOn w:val="Predvolenpsmoodseku"/>
    <w:link w:val="Nadpis2"/>
    <w:rsid w:val="00984857"/>
    <w:rPr>
      <w:rFonts w:ascii="Times New Roman" w:eastAsia="Times New Roman" w:hAnsi="Times New Roman" w:cs="Times New Roman"/>
      <w:b/>
      <w:sz w:val="24"/>
      <w:szCs w:val="20"/>
      <w:u w:val="single"/>
      <w:lang w:val="en-US" w:eastAsia="sl-SI"/>
    </w:rPr>
  </w:style>
  <w:style w:type="character" w:customStyle="1" w:styleId="Nadpis3Char">
    <w:name w:val="Nadpis 3 Char"/>
    <w:basedOn w:val="Predvolenpsmoodseku"/>
    <w:link w:val="Nadpis3"/>
    <w:rsid w:val="00984857"/>
    <w:rPr>
      <w:rFonts w:ascii="Times New Roman" w:eastAsia="Times New Roman" w:hAnsi="Times New Roman" w:cs="Times New Roman"/>
      <w:b/>
      <w:sz w:val="24"/>
      <w:szCs w:val="20"/>
      <w:lang w:val="en-US" w:eastAsia="sl-SI"/>
    </w:rPr>
  </w:style>
  <w:style w:type="character" w:customStyle="1" w:styleId="Nadpis4Char">
    <w:name w:val="Nadpis 4 Char"/>
    <w:basedOn w:val="Predvolenpsmoodseku"/>
    <w:link w:val="Nadpis4"/>
    <w:rsid w:val="00984857"/>
    <w:rPr>
      <w:rFonts w:ascii="Times New Roman" w:eastAsia="Times New Roman" w:hAnsi="Times New Roman" w:cs="Times New Roman"/>
      <w:b/>
      <w:bCs/>
      <w:sz w:val="28"/>
      <w:szCs w:val="28"/>
      <w:lang w:val="sl-SI" w:eastAsia="sl-SI"/>
    </w:rPr>
  </w:style>
  <w:style w:type="character" w:customStyle="1" w:styleId="Nadpis5Char">
    <w:name w:val="Nadpis 5 Char"/>
    <w:basedOn w:val="Predvolenpsmoodseku"/>
    <w:link w:val="Nadpis5"/>
    <w:semiHidden/>
    <w:rsid w:val="00984857"/>
    <w:rPr>
      <w:rFonts w:ascii="Calibri" w:eastAsia="Times New Roman" w:hAnsi="Calibri" w:cs="Times New Roman"/>
      <w:b/>
      <w:bCs/>
      <w:i/>
      <w:iCs/>
      <w:sz w:val="26"/>
      <w:szCs w:val="26"/>
      <w:lang w:val="sl-SI" w:eastAsia="sl-SI"/>
    </w:rPr>
  </w:style>
  <w:style w:type="character" w:customStyle="1" w:styleId="Nadpis6Char">
    <w:name w:val="Nadpis 6 Char"/>
    <w:basedOn w:val="Predvolenpsmoodseku"/>
    <w:link w:val="Nadpis6"/>
    <w:rsid w:val="00984857"/>
    <w:rPr>
      <w:rFonts w:ascii="Times New Roman" w:eastAsia="Times New Roman" w:hAnsi="Times New Roman" w:cs="Times New Roman"/>
      <w:b/>
      <w:sz w:val="24"/>
      <w:szCs w:val="20"/>
      <w:lang w:val="en-US" w:eastAsia="sl-SI"/>
    </w:rPr>
  </w:style>
  <w:style w:type="paragraph" w:styleId="Hlavika">
    <w:name w:val="header"/>
    <w:basedOn w:val="Normlny"/>
    <w:link w:val="HlavikaChar"/>
    <w:uiPriority w:val="99"/>
    <w:rsid w:val="00984857"/>
    <w:pPr>
      <w:tabs>
        <w:tab w:val="center" w:pos="4320"/>
        <w:tab w:val="right" w:pos="8640"/>
      </w:tabs>
    </w:pPr>
  </w:style>
  <w:style w:type="character" w:customStyle="1" w:styleId="HlavikaChar">
    <w:name w:val="Hlavička Char"/>
    <w:basedOn w:val="Predvolenpsmoodseku"/>
    <w:link w:val="Hlavika"/>
    <w:uiPriority w:val="99"/>
    <w:rsid w:val="00984857"/>
    <w:rPr>
      <w:rFonts w:ascii="Times New Roman" w:eastAsia="Times New Roman" w:hAnsi="Times New Roman" w:cs="Times New Roman"/>
      <w:sz w:val="24"/>
      <w:szCs w:val="20"/>
      <w:lang w:val="sl-SI" w:eastAsia="sl-SI"/>
    </w:rPr>
  </w:style>
  <w:style w:type="paragraph" w:styleId="Pta">
    <w:name w:val="footer"/>
    <w:basedOn w:val="Normlny"/>
    <w:link w:val="PtaChar"/>
    <w:uiPriority w:val="99"/>
    <w:rsid w:val="00984857"/>
    <w:pPr>
      <w:tabs>
        <w:tab w:val="center" w:pos="4320"/>
        <w:tab w:val="right" w:pos="8640"/>
      </w:tabs>
    </w:pPr>
  </w:style>
  <w:style w:type="character" w:customStyle="1" w:styleId="PtaChar">
    <w:name w:val="Päta Char"/>
    <w:basedOn w:val="Predvolenpsmoodseku"/>
    <w:link w:val="Pta"/>
    <w:uiPriority w:val="99"/>
    <w:rsid w:val="00984857"/>
    <w:rPr>
      <w:rFonts w:ascii="Times New Roman" w:eastAsia="Times New Roman" w:hAnsi="Times New Roman" w:cs="Times New Roman"/>
      <w:sz w:val="24"/>
      <w:szCs w:val="20"/>
      <w:lang w:val="sl-SI" w:eastAsia="sl-SI"/>
    </w:rPr>
  </w:style>
  <w:style w:type="table" w:styleId="Mriekatabuky">
    <w:name w:val="Table Grid"/>
    <w:basedOn w:val="Normlnatabuka"/>
    <w:rsid w:val="00984857"/>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any">
    <w:name w:val="page number"/>
    <w:basedOn w:val="Predvolenpsmoodseku"/>
    <w:rsid w:val="00984857"/>
  </w:style>
  <w:style w:type="character" w:styleId="Hypertextovprepojenie">
    <w:name w:val="Hyperlink"/>
    <w:rsid w:val="00984857"/>
    <w:rPr>
      <w:rFonts w:ascii="Times New Roman" w:hAnsi="Times New Roman"/>
      <w:color w:val="auto"/>
      <w:sz w:val="24"/>
      <w:szCs w:val="24"/>
      <w:u w:val="single"/>
      <w:lang w:val="en-US"/>
    </w:rPr>
  </w:style>
  <w:style w:type="character" w:styleId="PouitHypertextovPrepojenie">
    <w:name w:val="FollowedHyperlink"/>
    <w:rsid w:val="00984857"/>
    <w:rPr>
      <w:color w:val="800080"/>
      <w:u w:val="single"/>
    </w:rPr>
  </w:style>
  <w:style w:type="paragraph" w:styleId="Obyajntext">
    <w:name w:val="Plain Text"/>
    <w:basedOn w:val="Normlny"/>
    <w:link w:val="ObyajntextChar"/>
    <w:rsid w:val="00984857"/>
    <w:rPr>
      <w:rFonts w:ascii="Courier New" w:hAnsi="Courier New"/>
      <w:sz w:val="20"/>
      <w:lang w:val="en-GB"/>
    </w:rPr>
  </w:style>
  <w:style w:type="character" w:customStyle="1" w:styleId="ObyajntextChar">
    <w:name w:val="Obyčajný text Char"/>
    <w:basedOn w:val="Predvolenpsmoodseku"/>
    <w:link w:val="Obyajntext"/>
    <w:rsid w:val="00984857"/>
    <w:rPr>
      <w:rFonts w:ascii="Courier New" w:eastAsia="Times New Roman" w:hAnsi="Courier New" w:cs="Times New Roman"/>
      <w:sz w:val="20"/>
      <w:szCs w:val="20"/>
      <w:lang w:val="en-GB" w:eastAsia="sl-SI"/>
    </w:rPr>
  </w:style>
  <w:style w:type="paragraph" w:styleId="Popis">
    <w:name w:val="caption"/>
    <w:basedOn w:val="Normlny"/>
    <w:next w:val="Normlny"/>
    <w:qFormat/>
    <w:rsid w:val="00984857"/>
    <w:pPr>
      <w:jc w:val="both"/>
    </w:pPr>
    <w:rPr>
      <w:lang w:val="en-GB"/>
    </w:rPr>
  </w:style>
  <w:style w:type="paragraph" w:customStyle="1" w:styleId="Naslov1">
    <w:name w:val="Naslov1"/>
    <w:basedOn w:val="Nadpis1"/>
    <w:rsid w:val="00984857"/>
    <w:pPr>
      <w:spacing w:before="0" w:after="0"/>
    </w:pPr>
    <w:rPr>
      <w:rFonts w:ascii="Times New Roman" w:hAnsi="Times New Roman" w:cs="Times New Roman"/>
      <w:bCs w:val="0"/>
      <w:kern w:val="0"/>
      <w:sz w:val="22"/>
      <w:szCs w:val="20"/>
      <w:u w:val="single"/>
    </w:rPr>
  </w:style>
  <w:style w:type="paragraph" w:styleId="Obsah1">
    <w:name w:val="toc 1"/>
    <w:basedOn w:val="Normlny"/>
    <w:next w:val="Normlny"/>
    <w:autoRedefine/>
    <w:semiHidden/>
    <w:rsid w:val="00984857"/>
    <w:pPr>
      <w:spacing w:before="120"/>
    </w:pPr>
    <w:rPr>
      <w:b/>
      <w:bCs/>
      <w:i/>
      <w:iCs/>
      <w:szCs w:val="28"/>
    </w:rPr>
  </w:style>
  <w:style w:type="paragraph" w:styleId="Zkladntext">
    <w:name w:val="Body Text"/>
    <w:basedOn w:val="Normlny"/>
    <w:link w:val="ZkladntextChar"/>
    <w:rsid w:val="00984857"/>
    <w:pPr>
      <w:numPr>
        <w:ilvl w:val="12"/>
      </w:numPr>
      <w:tabs>
        <w:tab w:val="left" w:pos="8505"/>
      </w:tabs>
      <w:ind w:right="-2"/>
    </w:pPr>
    <w:rPr>
      <w:sz w:val="22"/>
    </w:rPr>
  </w:style>
  <w:style w:type="character" w:customStyle="1" w:styleId="ZkladntextChar">
    <w:name w:val="Základný text Char"/>
    <w:basedOn w:val="Predvolenpsmoodseku"/>
    <w:link w:val="Zkladntext"/>
    <w:rsid w:val="00984857"/>
    <w:rPr>
      <w:rFonts w:ascii="Times New Roman" w:eastAsia="Times New Roman" w:hAnsi="Times New Roman" w:cs="Times New Roman"/>
      <w:szCs w:val="20"/>
      <w:lang w:val="sl-SI" w:eastAsia="sl-SI"/>
    </w:rPr>
  </w:style>
  <w:style w:type="paragraph" w:styleId="Zkladntext2">
    <w:name w:val="Body Text 2"/>
    <w:basedOn w:val="Normlny"/>
    <w:link w:val="Zkladntext2Char"/>
    <w:rsid w:val="00984857"/>
    <w:pPr>
      <w:spacing w:after="120" w:line="480" w:lineRule="auto"/>
    </w:pPr>
  </w:style>
  <w:style w:type="character" w:customStyle="1" w:styleId="Zkladntext2Char">
    <w:name w:val="Základný text 2 Char"/>
    <w:basedOn w:val="Predvolenpsmoodseku"/>
    <w:link w:val="Zkladntext2"/>
    <w:rsid w:val="00984857"/>
    <w:rPr>
      <w:rFonts w:ascii="Times New Roman" w:eastAsia="Times New Roman" w:hAnsi="Times New Roman" w:cs="Times New Roman"/>
      <w:sz w:val="24"/>
      <w:szCs w:val="20"/>
      <w:lang w:val="sl-SI" w:eastAsia="sl-SI"/>
    </w:rPr>
  </w:style>
  <w:style w:type="paragraph" w:customStyle="1" w:styleId="EMEAEnBodyText">
    <w:name w:val="EMEA En Body Text"/>
    <w:basedOn w:val="Normlny"/>
    <w:rsid w:val="00984857"/>
    <w:pPr>
      <w:spacing w:before="120" w:after="120"/>
      <w:jc w:val="both"/>
    </w:pPr>
    <w:rPr>
      <w:sz w:val="22"/>
      <w:lang w:val="en-US" w:eastAsia="en-US"/>
    </w:rPr>
  </w:style>
  <w:style w:type="paragraph" w:customStyle="1" w:styleId="Default">
    <w:name w:val="Default"/>
    <w:rsid w:val="00984857"/>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Bezzoznamu"/>
    <w:semiHidden/>
    <w:rsid w:val="00984857"/>
  </w:style>
  <w:style w:type="paragraph" w:styleId="Textkoncovejpoznmky">
    <w:name w:val="endnote text"/>
    <w:basedOn w:val="Normlny"/>
    <w:link w:val="TextkoncovejpoznmkyChar"/>
    <w:semiHidden/>
    <w:rsid w:val="00984857"/>
    <w:pPr>
      <w:tabs>
        <w:tab w:val="left" w:pos="567"/>
      </w:tabs>
    </w:pPr>
    <w:rPr>
      <w:sz w:val="22"/>
      <w:lang w:val="en-GB" w:eastAsia="en-US"/>
    </w:rPr>
  </w:style>
  <w:style w:type="character" w:customStyle="1" w:styleId="TextkoncovejpoznmkyChar">
    <w:name w:val="Text koncovej poznámky Char"/>
    <w:basedOn w:val="Predvolenpsmoodseku"/>
    <w:link w:val="Textkoncovejpoznmky"/>
    <w:semiHidden/>
    <w:rsid w:val="00984857"/>
    <w:rPr>
      <w:rFonts w:ascii="Times New Roman" w:eastAsia="Times New Roman" w:hAnsi="Times New Roman" w:cs="Times New Roman"/>
      <w:szCs w:val="20"/>
      <w:lang w:val="en-GB"/>
    </w:rPr>
  </w:style>
  <w:style w:type="numbering" w:customStyle="1" w:styleId="Brezseznama2">
    <w:name w:val="Brez seznama2"/>
    <w:next w:val="Bezzoznamu"/>
    <w:semiHidden/>
    <w:rsid w:val="00984857"/>
  </w:style>
  <w:style w:type="numbering" w:customStyle="1" w:styleId="Brezseznama3">
    <w:name w:val="Brez seznama3"/>
    <w:next w:val="Bezzoznamu"/>
    <w:semiHidden/>
    <w:rsid w:val="00984857"/>
  </w:style>
  <w:style w:type="paragraph" w:styleId="Nzov">
    <w:name w:val="Title"/>
    <w:basedOn w:val="Normlny"/>
    <w:link w:val="NzovChar"/>
    <w:qFormat/>
    <w:rsid w:val="00984857"/>
    <w:pPr>
      <w:jc w:val="center"/>
    </w:pPr>
    <w:rPr>
      <w:b/>
      <w:sz w:val="22"/>
      <w:lang w:val="en-GB" w:eastAsia="en-US"/>
    </w:rPr>
  </w:style>
  <w:style w:type="character" w:customStyle="1" w:styleId="NzovChar">
    <w:name w:val="Názov Char"/>
    <w:basedOn w:val="Predvolenpsmoodseku"/>
    <w:link w:val="Nzov"/>
    <w:rsid w:val="00984857"/>
    <w:rPr>
      <w:rFonts w:ascii="Times New Roman" w:eastAsia="Times New Roman" w:hAnsi="Times New Roman" w:cs="Times New Roman"/>
      <w:b/>
      <w:szCs w:val="20"/>
      <w:lang w:val="en-GB"/>
    </w:rPr>
  </w:style>
  <w:style w:type="numbering" w:customStyle="1" w:styleId="Brezseznama4">
    <w:name w:val="Brez seznama4"/>
    <w:next w:val="Bezzoznamu"/>
    <w:semiHidden/>
    <w:rsid w:val="00984857"/>
  </w:style>
  <w:style w:type="numbering" w:customStyle="1" w:styleId="Brezseznama5">
    <w:name w:val="Brez seznama5"/>
    <w:next w:val="Bezzoznamu"/>
    <w:uiPriority w:val="99"/>
    <w:semiHidden/>
    <w:unhideWhenUsed/>
    <w:rsid w:val="00984857"/>
  </w:style>
  <w:style w:type="paragraph" w:customStyle="1" w:styleId="TitleB">
    <w:name w:val="Title B"/>
    <w:basedOn w:val="Normlny"/>
    <w:qFormat/>
    <w:rsid w:val="00984857"/>
    <w:pPr>
      <w:widowControl w:val="0"/>
      <w:tabs>
        <w:tab w:val="left" w:pos="567"/>
      </w:tabs>
      <w:ind w:left="567" w:hanging="567"/>
    </w:pPr>
    <w:rPr>
      <w:b/>
      <w:bCs/>
      <w:noProof/>
      <w:sz w:val="22"/>
      <w:szCs w:val="22"/>
      <w:lang w:val="en-US" w:eastAsia="en-US"/>
    </w:rPr>
  </w:style>
  <w:style w:type="paragraph" w:customStyle="1" w:styleId="TitleA">
    <w:name w:val="Title A"/>
    <w:basedOn w:val="Normlny"/>
    <w:qFormat/>
    <w:rsid w:val="00984857"/>
    <w:pPr>
      <w:widowControl w:val="0"/>
      <w:jc w:val="center"/>
      <w:outlineLvl w:val="0"/>
    </w:pPr>
    <w:rPr>
      <w:b/>
      <w:noProof/>
      <w:sz w:val="22"/>
      <w:szCs w:val="22"/>
      <w:lang w:val="en-GB" w:eastAsia="en-US"/>
    </w:rPr>
  </w:style>
  <w:style w:type="paragraph" w:styleId="Revzia">
    <w:name w:val="Revision"/>
    <w:hidden/>
    <w:uiPriority w:val="99"/>
    <w:semiHidden/>
    <w:rsid w:val="00984857"/>
    <w:pPr>
      <w:spacing w:after="0" w:line="240" w:lineRule="auto"/>
    </w:pPr>
    <w:rPr>
      <w:rFonts w:ascii="Times New Roman" w:eastAsia="Times New Roman" w:hAnsi="Times New Roman" w:cs="Times New Roman"/>
      <w:sz w:val="24"/>
      <w:szCs w:val="20"/>
      <w:lang w:val="sl-SI" w:eastAsia="sl-SI"/>
    </w:rPr>
  </w:style>
  <w:style w:type="paragraph" w:styleId="Textbubliny">
    <w:name w:val="Balloon Text"/>
    <w:basedOn w:val="Normlny"/>
    <w:link w:val="TextbublinyChar"/>
    <w:rsid w:val="00984857"/>
    <w:rPr>
      <w:rFonts w:ascii="Tahoma" w:hAnsi="Tahoma" w:cs="Tahoma"/>
      <w:sz w:val="16"/>
      <w:szCs w:val="16"/>
    </w:rPr>
  </w:style>
  <w:style w:type="character" w:customStyle="1" w:styleId="TextbublinyChar">
    <w:name w:val="Text bubliny Char"/>
    <w:basedOn w:val="Predvolenpsmoodseku"/>
    <w:link w:val="Textbubliny"/>
    <w:rsid w:val="00984857"/>
    <w:rPr>
      <w:rFonts w:ascii="Tahoma" w:eastAsia="Times New Roman" w:hAnsi="Tahoma" w:cs="Tahoma"/>
      <w:sz w:val="16"/>
      <w:szCs w:val="16"/>
      <w:lang w:val="sl-SI" w:eastAsia="sl-SI"/>
    </w:rPr>
  </w:style>
  <w:style w:type="numbering" w:customStyle="1" w:styleId="Brezseznama6">
    <w:name w:val="Brez seznama6"/>
    <w:next w:val="Bezzoznamu"/>
    <w:uiPriority w:val="99"/>
    <w:semiHidden/>
    <w:unhideWhenUsed/>
    <w:rsid w:val="00984857"/>
  </w:style>
  <w:style w:type="paragraph" w:customStyle="1" w:styleId="BodytextAgency">
    <w:name w:val="Body text (Agency)"/>
    <w:basedOn w:val="Normlny"/>
    <w:link w:val="BodytextAgencyChar"/>
    <w:rsid w:val="00984857"/>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984857"/>
    <w:rPr>
      <w:rFonts w:ascii="Verdana" w:eastAsia="Verdana" w:hAnsi="Verdana" w:cs="Verdana"/>
      <w:sz w:val="18"/>
      <w:szCs w:val="18"/>
      <w:lang w:val="en-GB" w:eastAsia="en-GB"/>
    </w:rPr>
  </w:style>
  <w:style w:type="character" w:styleId="Zvraznenie">
    <w:name w:val="Emphasis"/>
    <w:qFormat/>
    <w:rsid w:val="00984857"/>
    <w:rPr>
      <w:b/>
      <w:i w:val="0"/>
    </w:rPr>
  </w:style>
  <w:style w:type="character" w:customStyle="1" w:styleId="FormatvorlageArial11pt">
    <w:name w:val="Formatvorlage Arial 11 pt"/>
    <w:uiPriority w:val="99"/>
    <w:rsid w:val="00984857"/>
    <w:rPr>
      <w:rFonts w:ascii="Arial" w:hAnsi="Arial" w:cs="Arial" w:hint="default"/>
      <w:sz w:val="22"/>
      <w:szCs w:val="22"/>
    </w:rPr>
  </w:style>
  <w:style w:type="paragraph" w:styleId="Bezriadkovania">
    <w:name w:val="No Spacing"/>
    <w:uiPriority w:val="99"/>
    <w:qFormat/>
    <w:rsid w:val="00984857"/>
    <w:pPr>
      <w:spacing w:after="0" w:line="240" w:lineRule="auto"/>
    </w:pPr>
    <w:rPr>
      <w:rFonts w:ascii="Arial" w:eastAsia="Calibri" w:hAnsi="Arial" w:cs="Arial"/>
      <w:lang w:val="en-US"/>
    </w:rPr>
  </w:style>
  <w:style w:type="character" w:customStyle="1" w:styleId="shorttext">
    <w:name w:val="short_text"/>
    <w:rsid w:val="00984857"/>
  </w:style>
  <w:style w:type="character" w:styleId="Odkaznakomentr">
    <w:name w:val="annotation reference"/>
    <w:basedOn w:val="Predvolenpsmoodseku"/>
    <w:uiPriority w:val="99"/>
    <w:semiHidden/>
    <w:unhideWhenUsed/>
    <w:rsid w:val="000E2D6E"/>
    <w:rPr>
      <w:sz w:val="16"/>
      <w:szCs w:val="16"/>
    </w:rPr>
  </w:style>
  <w:style w:type="paragraph" w:styleId="Textkomentra">
    <w:name w:val="annotation text"/>
    <w:basedOn w:val="Normlny"/>
    <w:link w:val="TextkomentraChar"/>
    <w:uiPriority w:val="99"/>
    <w:semiHidden/>
    <w:unhideWhenUsed/>
    <w:rsid w:val="000E2D6E"/>
    <w:rPr>
      <w:sz w:val="20"/>
    </w:rPr>
  </w:style>
  <w:style w:type="character" w:customStyle="1" w:styleId="TextkomentraChar">
    <w:name w:val="Text komentára Char"/>
    <w:basedOn w:val="Predvolenpsmoodseku"/>
    <w:link w:val="Textkomentra"/>
    <w:uiPriority w:val="99"/>
    <w:semiHidden/>
    <w:rsid w:val="000E2D6E"/>
    <w:rPr>
      <w:rFonts w:ascii="Times New Roman" w:eastAsia="Times New Roman" w:hAnsi="Times New Roman" w:cs="Times New Roman"/>
      <w:sz w:val="20"/>
      <w:szCs w:val="20"/>
      <w:lang w:val="sl-SI" w:eastAsia="sl-SI"/>
    </w:rPr>
  </w:style>
  <w:style w:type="paragraph" w:styleId="Predmetkomentra">
    <w:name w:val="annotation subject"/>
    <w:basedOn w:val="Textkomentra"/>
    <w:next w:val="Textkomentra"/>
    <w:link w:val="PredmetkomentraChar"/>
    <w:uiPriority w:val="99"/>
    <w:semiHidden/>
    <w:unhideWhenUsed/>
    <w:rsid w:val="000E2D6E"/>
    <w:rPr>
      <w:b/>
      <w:bCs/>
    </w:rPr>
  </w:style>
  <w:style w:type="character" w:customStyle="1" w:styleId="PredmetkomentraChar">
    <w:name w:val="Predmet komentára Char"/>
    <w:basedOn w:val="TextkomentraChar"/>
    <w:link w:val="Predmetkomentra"/>
    <w:uiPriority w:val="99"/>
    <w:semiHidden/>
    <w:rsid w:val="000E2D6E"/>
    <w:rPr>
      <w:rFonts w:ascii="Times New Roman" w:eastAsia="Times New Roman" w:hAnsi="Times New Roman" w:cs="Times New Roman"/>
      <w:b/>
      <w:bCs/>
      <w:sz w:val="20"/>
      <w:szCs w:val="20"/>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4857"/>
    <w:pPr>
      <w:spacing w:after="0" w:line="240" w:lineRule="auto"/>
    </w:pPr>
    <w:rPr>
      <w:rFonts w:ascii="Times New Roman" w:eastAsia="Times New Roman" w:hAnsi="Times New Roman" w:cs="Times New Roman"/>
      <w:sz w:val="24"/>
      <w:szCs w:val="20"/>
      <w:lang w:val="sl-SI" w:eastAsia="sl-SI"/>
    </w:rPr>
  </w:style>
  <w:style w:type="paragraph" w:styleId="Nadpis1">
    <w:name w:val="heading 1"/>
    <w:basedOn w:val="Normlny"/>
    <w:next w:val="Normlny"/>
    <w:link w:val="Nadpis1Char"/>
    <w:qFormat/>
    <w:rsid w:val="00984857"/>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984857"/>
    <w:pPr>
      <w:keepNext/>
      <w:tabs>
        <w:tab w:val="left" w:pos="4300"/>
        <w:tab w:val="left" w:pos="5940"/>
        <w:tab w:val="left" w:pos="8180"/>
      </w:tabs>
      <w:spacing w:line="360" w:lineRule="atLeast"/>
      <w:outlineLvl w:val="1"/>
    </w:pPr>
    <w:rPr>
      <w:b/>
      <w:u w:val="single"/>
      <w:lang w:val="en-US"/>
    </w:rPr>
  </w:style>
  <w:style w:type="paragraph" w:styleId="Nadpis3">
    <w:name w:val="heading 3"/>
    <w:basedOn w:val="Normlny"/>
    <w:next w:val="Normlny"/>
    <w:link w:val="Nadpis3Char"/>
    <w:qFormat/>
    <w:rsid w:val="00984857"/>
    <w:pPr>
      <w:keepNext/>
      <w:tabs>
        <w:tab w:val="decimal" w:pos="6760"/>
      </w:tabs>
      <w:spacing w:line="480" w:lineRule="atLeast"/>
      <w:outlineLvl w:val="2"/>
    </w:pPr>
    <w:rPr>
      <w:b/>
      <w:lang w:val="en-US"/>
    </w:rPr>
  </w:style>
  <w:style w:type="paragraph" w:styleId="Nadpis4">
    <w:name w:val="heading 4"/>
    <w:basedOn w:val="Normlny"/>
    <w:next w:val="Normlny"/>
    <w:link w:val="Nadpis4Char"/>
    <w:qFormat/>
    <w:rsid w:val="00984857"/>
    <w:pPr>
      <w:keepNext/>
      <w:spacing w:before="240" w:after="60"/>
      <w:outlineLvl w:val="3"/>
    </w:pPr>
    <w:rPr>
      <w:b/>
      <w:bCs/>
      <w:sz w:val="28"/>
      <w:szCs w:val="28"/>
    </w:rPr>
  </w:style>
  <w:style w:type="paragraph" w:styleId="Nadpis5">
    <w:name w:val="heading 5"/>
    <w:basedOn w:val="Normlny"/>
    <w:next w:val="Normlny"/>
    <w:link w:val="Nadpis5Char"/>
    <w:semiHidden/>
    <w:unhideWhenUsed/>
    <w:qFormat/>
    <w:rsid w:val="00984857"/>
    <w:pPr>
      <w:spacing w:before="240" w:after="60"/>
      <w:outlineLvl w:val="4"/>
    </w:pPr>
    <w:rPr>
      <w:rFonts w:ascii="Calibri" w:hAnsi="Calibri"/>
      <w:b/>
      <w:bCs/>
      <w:i/>
      <w:iCs/>
      <w:sz w:val="26"/>
      <w:szCs w:val="26"/>
    </w:rPr>
  </w:style>
  <w:style w:type="paragraph" w:styleId="Nadpis6">
    <w:name w:val="heading 6"/>
    <w:basedOn w:val="Normlny"/>
    <w:next w:val="Normlny"/>
    <w:link w:val="Nadpis6Char"/>
    <w:qFormat/>
    <w:rsid w:val="00984857"/>
    <w:pPr>
      <w:keepNext/>
      <w:keepLines/>
      <w:tabs>
        <w:tab w:val="right" w:pos="4536"/>
        <w:tab w:val="left" w:pos="5180"/>
        <w:tab w:val="left" w:pos="5380"/>
        <w:tab w:val="left" w:pos="8222"/>
      </w:tabs>
      <w:outlineLvl w:val="5"/>
    </w:pPr>
    <w:rPr>
      <w:b/>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84857"/>
    <w:rPr>
      <w:rFonts w:ascii="Arial" w:eastAsia="Times New Roman" w:hAnsi="Arial" w:cs="Arial"/>
      <w:b/>
      <w:bCs/>
      <w:kern w:val="32"/>
      <w:sz w:val="32"/>
      <w:szCs w:val="32"/>
      <w:lang w:val="sl-SI" w:eastAsia="sl-SI"/>
    </w:rPr>
  </w:style>
  <w:style w:type="character" w:customStyle="1" w:styleId="Nadpis2Char">
    <w:name w:val="Nadpis 2 Char"/>
    <w:basedOn w:val="Predvolenpsmoodseku"/>
    <w:link w:val="Nadpis2"/>
    <w:rsid w:val="00984857"/>
    <w:rPr>
      <w:rFonts w:ascii="Times New Roman" w:eastAsia="Times New Roman" w:hAnsi="Times New Roman" w:cs="Times New Roman"/>
      <w:b/>
      <w:sz w:val="24"/>
      <w:szCs w:val="20"/>
      <w:u w:val="single"/>
      <w:lang w:val="en-US" w:eastAsia="sl-SI"/>
    </w:rPr>
  </w:style>
  <w:style w:type="character" w:customStyle="1" w:styleId="Nadpis3Char">
    <w:name w:val="Nadpis 3 Char"/>
    <w:basedOn w:val="Predvolenpsmoodseku"/>
    <w:link w:val="Nadpis3"/>
    <w:rsid w:val="00984857"/>
    <w:rPr>
      <w:rFonts w:ascii="Times New Roman" w:eastAsia="Times New Roman" w:hAnsi="Times New Roman" w:cs="Times New Roman"/>
      <w:b/>
      <w:sz w:val="24"/>
      <w:szCs w:val="20"/>
      <w:lang w:val="en-US" w:eastAsia="sl-SI"/>
    </w:rPr>
  </w:style>
  <w:style w:type="character" w:customStyle="1" w:styleId="Nadpis4Char">
    <w:name w:val="Nadpis 4 Char"/>
    <w:basedOn w:val="Predvolenpsmoodseku"/>
    <w:link w:val="Nadpis4"/>
    <w:rsid w:val="00984857"/>
    <w:rPr>
      <w:rFonts w:ascii="Times New Roman" w:eastAsia="Times New Roman" w:hAnsi="Times New Roman" w:cs="Times New Roman"/>
      <w:b/>
      <w:bCs/>
      <w:sz w:val="28"/>
      <w:szCs w:val="28"/>
      <w:lang w:val="sl-SI" w:eastAsia="sl-SI"/>
    </w:rPr>
  </w:style>
  <w:style w:type="character" w:customStyle="1" w:styleId="Nadpis5Char">
    <w:name w:val="Nadpis 5 Char"/>
    <w:basedOn w:val="Predvolenpsmoodseku"/>
    <w:link w:val="Nadpis5"/>
    <w:semiHidden/>
    <w:rsid w:val="00984857"/>
    <w:rPr>
      <w:rFonts w:ascii="Calibri" w:eastAsia="Times New Roman" w:hAnsi="Calibri" w:cs="Times New Roman"/>
      <w:b/>
      <w:bCs/>
      <w:i/>
      <w:iCs/>
      <w:sz w:val="26"/>
      <w:szCs w:val="26"/>
      <w:lang w:val="sl-SI" w:eastAsia="sl-SI"/>
    </w:rPr>
  </w:style>
  <w:style w:type="character" w:customStyle="1" w:styleId="Nadpis6Char">
    <w:name w:val="Nadpis 6 Char"/>
    <w:basedOn w:val="Predvolenpsmoodseku"/>
    <w:link w:val="Nadpis6"/>
    <w:rsid w:val="00984857"/>
    <w:rPr>
      <w:rFonts w:ascii="Times New Roman" w:eastAsia="Times New Roman" w:hAnsi="Times New Roman" w:cs="Times New Roman"/>
      <w:b/>
      <w:sz w:val="24"/>
      <w:szCs w:val="20"/>
      <w:lang w:val="en-US" w:eastAsia="sl-SI"/>
    </w:rPr>
  </w:style>
  <w:style w:type="paragraph" w:styleId="Hlavika">
    <w:name w:val="header"/>
    <w:basedOn w:val="Normlny"/>
    <w:link w:val="HlavikaChar"/>
    <w:uiPriority w:val="99"/>
    <w:rsid w:val="00984857"/>
    <w:pPr>
      <w:tabs>
        <w:tab w:val="center" w:pos="4320"/>
        <w:tab w:val="right" w:pos="8640"/>
      </w:tabs>
    </w:pPr>
  </w:style>
  <w:style w:type="character" w:customStyle="1" w:styleId="HlavikaChar">
    <w:name w:val="Hlavička Char"/>
    <w:basedOn w:val="Predvolenpsmoodseku"/>
    <w:link w:val="Hlavika"/>
    <w:uiPriority w:val="99"/>
    <w:rsid w:val="00984857"/>
    <w:rPr>
      <w:rFonts w:ascii="Times New Roman" w:eastAsia="Times New Roman" w:hAnsi="Times New Roman" w:cs="Times New Roman"/>
      <w:sz w:val="24"/>
      <w:szCs w:val="20"/>
      <w:lang w:val="sl-SI" w:eastAsia="sl-SI"/>
    </w:rPr>
  </w:style>
  <w:style w:type="paragraph" w:styleId="Pta">
    <w:name w:val="footer"/>
    <w:basedOn w:val="Normlny"/>
    <w:link w:val="PtaChar"/>
    <w:rsid w:val="00984857"/>
    <w:pPr>
      <w:tabs>
        <w:tab w:val="center" w:pos="4320"/>
        <w:tab w:val="right" w:pos="8640"/>
      </w:tabs>
    </w:pPr>
  </w:style>
  <w:style w:type="character" w:customStyle="1" w:styleId="PtaChar">
    <w:name w:val="Päta Char"/>
    <w:basedOn w:val="Predvolenpsmoodseku"/>
    <w:link w:val="Pta"/>
    <w:rsid w:val="00984857"/>
    <w:rPr>
      <w:rFonts w:ascii="Times New Roman" w:eastAsia="Times New Roman" w:hAnsi="Times New Roman" w:cs="Times New Roman"/>
      <w:sz w:val="24"/>
      <w:szCs w:val="20"/>
      <w:lang w:val="sl-SI" w:eastAsia="sl-SI"/>
    </w:rPr>
  </w:style>
  <w:style w:type="table" w:styleId="Mriekatabuky">
    <w:name w:val="Table Grid"/>
    <w:basedOn w:val="Normlnatabuka"/>
    <w:rsid w:val="0098485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984857"/>
  </w:style>
  <w:style w:type="character" w:styleId="Hypertextovprepojenie">
    <w:name w:val="Hyperlink"/>
    <w:rsid w:val="00984857"/>
    <w:rPr>
      <w:rFonts w:ascii="Times New Roman" w:hAnsi="Times New Roman"/>
      <w:color w:val="auto"/>
      <w:sz w:val="24"/>
      <w:szCs w:val="24"/>
      <w:u w:val="single"/>
      <w:lang w:val="en-US"/>
    </w:rPr>
  </w:style>
  <w:style w:type="character" w:styleId="PouitHypertextovPrepojenie">
    <w:name w:val="FollowedHyperlink"/>
    <w:rsid w:val="00984857"/>
    <w:rPr>
      <w:color w:val="800080"/>
      <w:u w:val="single"/>
    </w:rPr>
  </w:style>
  <w:style w:type="paragraph" w:styleId="Obyajntext">
    <w:name w:val="Plain Text"/>
    <w:basedOn w:val="Normlny"/>
    <w:link w:val="ObyajntextChar"/>
    <w:rsid w:val="00984857"/>
    <w:rPr>
      <w:rFonts w:ascii="Courier New" w:hAnsi="Courier New"/>
      <w:sz w:val="20"/>
      <w:lang w:val="en-GB"/>
    </w:rPr>
  </w:style>
  <w:style w:type="character" w:customStyle="1" w:styleId="ObyajntextChar">
    <w:name w:val="Obyčajný text Char"/>
    <w:basedOn w:val="Predvolenpsmoodseku"/>
    <w:link w:val="Obyajntext"/>
    <w:rsid w:val="00984857"/>
    <w:rPr>
      <w:rFonts w:ascii="Courier New" w:eastAsia="Times New Roman" w:hAnsi="Courier New" w:cs="Times New Roman"/>
      <w:sz w:val="20"/>
      <w:szCs w:val="20"/>
      <w:lang w:val="en-GB" w:eastAsia="sl-SI"/>
    </w:rPr>
  </w:style>
  <w:style w:type="paragraph" w:styleId="Popis">
    <w:name w:val="caption"/>
    <w:basedOn w:val="Normlny"/>
    <w:next w:val="Normlny"/>
    <w:qFormat/>
    <w:rsid w:val="00984857"/>
    <w:pPr>
      <w:jc w:val="both"/>
    </w:pPr>
    <w:rPr>
      <w:lang w:val="en-GB"/>
    </w:rPr>
  </w:style>
  <w:style w:type="paragraph" w:customStyle="1" w:styleId="Naslov1">
    <w:name w:val="Naslov1"/>
    <w:basedOn w:val="Nadpis1"/>
    <w:rsid w:val="00984857"/>
    <w:pPr>
      <w:spacing w:before="0" w:after="0"/>
    </w:pPr>
    <w:rPr>
      <w:rFonts w:ascii="Times New Roman" w:hAnsi="Times New Roman" w:cs="Times New Roman"/>
      <w:bCs w:val="0"/>
      <w:kern w:val="0"/>
      <w:sz w:val="22"/>
      <w:szCs w:val="20"/>
      <w:u w:val="single"/>
    </w:rPr>
  </w:style>
  <w:style w:type="paragraph" w:styleId="Obsah1">
    <w:name w:val="toc 1"/>
    <w:basedOn w:val="Normlny"/>
    <w:next w:val="Normlny"/>
    <w:autoRedefine/>
    <w:semiHidden/>
    <w:rsid w:val="00984857"/>
    <w:pPr>
      <w:spacing w:before="120"/>
    </w:pPr>
    <w:rPr>
      <w:b/>
      <w:bCs/>
      <w:i/>
      <w:iCs/>
      <w:szCs w:val="28"/>
    </w:rPr>
  </w:style>
  <w:style w:type="paragraph" w:styleId="Zkladntext">
    <w:name w:val="Body Text"/>
    <w:basedOn w:val="Normlny"/>
    <w:link w:val="ZkladntextChar"/>
    <w:rsid w:val="00984857"/>
    <w:pPr>
      <w:numPr>
        <w:ilvl w:val="12"/>
      </w:numPr>
      <w:tabs>
        <w:tab w:val="left" w:pos="8505"/>
      </w:tabs>
      <w:ind w:right="-2"/>
    </w:pPr>
    <w:rPr>
      <w:sz w:val="22"/>
    </w:rPr>
  </w:style>
  <w:style w:type="character" w:customStyle="1" w:styleId="ZkladntextChar">
    <w:name w:val="Základný text Char"/>
    <w:basedOn w:val="Predvolenpsmoodseku"/>
    <w:link w:val="Zkladntext"/>
    <w:rsid w:val="00984857"/>
    <w:rPr>
      <w:rFonts w:ascii="Times New Roman" w:eastAsia="Times New Roman" w:hAnsi="Times New Roman" w:cs="Times New Roman"/>
      <w:szCs w:val="20"/>
      <w:lang w:val="sl-SI" w:eastAsia="sl-SI"/>
    </w:rPr>
  </w:style>
  <w:style w:type="paragraph" w:styleId="Zkladntext2">
    <w:name w:val="Body Text 2"/>
    <w:basedOn w:val="Normlny"/>
    <w:link w:val="Zkladntext2Char"/>
    <w:rsid w:val="00984857"/>
    <w:pPr>
      <w:spacing w:after="120" w:line="480" w:lineRule="auto"/>
    </w:pPr>
  </w:style>
  <w:style w:type="character" w:customStyle="1" w:styleId="Zkladntext2Char">
    <w:name w:val="Základný text 2 Char"/>
    <w:basedOn w:val="Predvolenpsmoodseku"/>
    <w:link w:val="Zkladntext2"/>
    <w:rsid w:val="00984857"/>
    <w:rPr>
      <w:rFonts w:ascii="Times New Roman" w:eastAsia="Times New Roman" w:hAnsi="Times New Roman" w:cs="Times New Roman"/>
      <w:sz w:val="24"/>
      <w:szCs w:val="20"/>
      <w:lang w:val="sl-SI" w:eastAsia="sl-SI"/>
    </w:rPr>
  </w:style>
  <w:style w:type="paragraph" w:customStyle="1" w:styleId="EMEAEnBodyText">
    <w:name w:val="EMEA En Body Text"/>
    <w:basedOn w:val="Normlny"/>
    <w:rsid w:val="00984857"/>
    <w:pPr>
      <w:spacing w:before="120" w:after="120"/>
      <w:jc w:val="both"/>
    </w:pPr>
    <w:rPr>
      <w:sz w:val="22"/>
      <w:lang w:val="en-US" w:eastAsia="en-US"/>
    </w:rPr>
  </w:style>
  <w:style w:type="paragraph" w:customStyle="1" w:styleId="Default">
    <w:name w:val="Default"/>
    <w:rsid w:val="00984857"/>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Bezzoznamu"/>
    <w:semiHidden/>
    <w:rsid w:val="00984857"/>
  </w:style>
  <w:style w:type="paragraph" w:styleId="Textvysvetlivky">
    <w:name w:val="endnote text"/>
    <w:basedOn w:val="Normlny"/>
    <w:link w:val="TextvysvetlivkyChar"/>
    <w:semiHidden/>
    <w:rsid w:val="00984857"/>
    <w:pPr>
      <w:tabs>
        <w:tab w:val="left" w:pos="567"/>
      </w:tabs>
    </w:pPr>
    <w:rPr>
      <w:sz w:val="22"/>
      <w:lang w:val="en-GB" w:eastAsia="en-US"/>
    </w:rPr>
  </w:style>
  <w:style w:type="character" w:customStyle="1" w:styleId="TextvysvetlivkyChar">
    <w:name w:val="Text vysvetlivky Char"/>
    <w:basedOn w:val="Predvolenpsmoodseku"/>
    <w:link w:val="Textvysvetlivky"/>
    <w:semiHidden/>
    <w:rsid w:val="00984857"/>
    <w:rPr>
      <w:rFonts w:ascii="Times New Roman" w:eastAsia="Times New Roman" w:hAnsi="Times New Roman" w:cs="Times New Roman"/>
      <w:szCs w:val="20"/>
      <w:lang w:val="en-GB"/>
    </w:rPr>
  </w:style>
  <w:style w:type="numbering" w:customStyle="1" w:styleId="Brezseznama2">
    <w:name w:val="Brez seznama2"/>
    <w:next w:val="Bezzoznamu"/>
    <w:semiHidden/>
    <w:rsid w:val="00984857"/>
  </w:style>
  <w:style w:type="numbering" w:customStyle="1" w:styleId="Brezseznama3">
    <w:name w:val="Brez seznama3"/>
    <w:next w:val="Bezzoznamu"/>
    <w:semiHidden/>
    <w:rsid w:val="00984857"/>
  </w:style>
  <w:style w:type="paragraph" w:styleId="Nzov">
    <w:name w:val="Title"/>
    <w:basedOn w:val="Normlny"/>
    <w:link w:val="NzovChar"/>
    <w:qFormat/>
    <w:rsid w:val="00984857"/>
    <w:pPr>
      <w:jc w:val="center"/>
    </w:pPr>
    <w:rPr>
      <w:b/>
      <w:sz w:val="22"/>
      <w:lang w:val="en-GB" w:eastAsia="en-US"/>
    </w:rPr>
  </w:style>
  <w:style w:type="character" w:customStyle="1" w:styleId="NzovChar">
    <w:name w:val="Názov Char"/>
    <w:basedOn w:val="Predvolenpsmoodseku"/>
    <w:link w:val="Nzov"/>
    <w:rsid w:val="00984857"/>
    <w:rPr>
      <w:rFonts w:ascii="Times New Roman" w:eastAsia="Times New Roman" w:hAnsi="Times New Roman" w:cs="Times New Roman"/>
      <w:b/>
      <w:szCs w:val="20"/>
      <w:lang w:val="en-GB"/>
    </w:rPr>
  </w:style>
  <w:style w:type="numbering" w:customStyle="1" w:styleId="Brezseznama4">
    <w:name w:val="Brez seznama4"/>
    <w:next w:val="Bezzoznamu"/>
    <w:semiHidden/>
    <w:rsid w:val="00984857"/>
  </w:style>
  <w:style w:type="numbering" w:customStyle="1" w:styleId="Brezseznama5">
    <w:name w:val="Brez seznama5"/>
    <w:next w:val="Bezzoznamu"/>
    <w:uiPriority w:val="99"/>
    <w:semiHidden/>
    <w:unhideWhenUsed/>
    <w:rsid w:val="00984857"/>
  </w:style>
  <w:style w:type="paragraph" w:customStyle="1" w:styleId="TitleB">
    <w:name w:val="Title B"/>
    <w:basedOn w:val="Normlny"/>
    <w:qFormat/>
    <w:rsid w:val="00984857"/>
    <w:pPr>
      <w:widowControl w:val="0"/>
      <w:tabs>
        <w:tab w:val="left" w:pos="567"/>
      </w:tabs>
      <w:ind w:left="567" w:hanging="567"/>
    </w:pPr>
    <w:rPr>
      <w:b/>
      <w:bCs/>
      <w:noProof/>
      <w:sz w:val="22"/>
      <w:szCs w:val="22"/>
      <w:lang w:val="en-US" w:eastAsia="en-US"/>
    </w:rPr>
  </w:style>
  <w:style w:type="paragraph" w:customStyle="1" w:styleId="TitleA">
    <w:name w:val="Title A"/>
    <w:basedOn w:val="Normlny"/>
    <w:qFormat/>
    <w:rsid w:val="00984857"/>
    <w:pPr>
      <w:widowControl w:val="0"/>
      <w:jc w:val="center"/>
      <w:outlineLvl w:val="0"/>
    </w:pPr>
    <w:rPr>
      <w:b/>
      <w:noProof/>
      <w:sz w:val="22"/>
      <w:szCs w:val="22"/>
      <w:lang w:val="en-GB" w:eastAsia="en-US"/>
    </w:rPr>
  </w:style>
  <w:style w:type="paragraph" w:styleId="Revzia">
    <w:name w:val="Revision"/>
    <w:hidden/>
    <w:uiPriority w:val="99"/>
    <w:semiHidden/>
    <w:rsid w:val="00984857"/>
    <w:pPr>
      <w:spacing w:after="0" w:line="240" w:lineRule="auto"/>
    </w:pPr>
    <w:rPr>
      <w:rFonts w:ascii="Times New Roman" w:eastAsia="Times New Roman" w:hAnsi="Times New Roman" w:cs="Times New Roman"/>
      <w:sz w:val="24"/>
      <w:szCs w:val="20"/>
      <w:lang w:val="sl-SI" w:eastAsia="sl-SI"/>
    </w:rPr>
  </w:style>
  <w:style w:type="paragraph" w:styleId="Textbubliny">
    <w:name w:val="Balloon Text"/>
    <w:basedOn w:val="Normlny"/>
    <w:link w:val="TextbublinyChar"/>
    <w:rsid w:val="00984857"/>
    <w:rPr>
      <w:rFonts w:ascii="Tahoma" w:hAnsi="Tahoma" w:cs="Tahoma"/>
      <w:sz w:val="16"/>
      <w:szCs w:val="16"/>
    </w:rPr>
  </w:style>
  <w:style w:type="character" w:customStyle="1" w:styleId="TextbublinyChar">
    <w:name w:val="Text bubliny Char"/>
    <w:basedOn w:val="Predvolenpsmoodseku"/>
    <w:link w:val="Textbubliny"/>
    <w:rsid w:val="00984857"/>
    <w:rPr>
      <w:rFonts w:ascii="Tahoma" w:eastAsia="Times New Roman" w:hAnsi="Tahoma" w:cs="Tahoma"/>
      <w:sz w:val="16"/>
      <w:szCs w:val="16"/>
      <w:lang w:val="sl-SI" w:eastAsia="sl-SI"/>
    </w:rPr>
  </w:style>
  <w:style w:type="numbering" w:customStyle="1" w:styleId="Brezseznama6">
    <w:name w:val="Brez seznama6"/>
    <w:next w:val="Bezzoznamu"/>
    <w:uiPriority w:val="99"/>
    <w:semiHidden/>
    <w:unhideWhenUsed/>
    <w:rsid w:val="00984857"/>
  </w:style>
  <w:style w:type="paragraph" w:customStyle="1" w:styleId="BodytextAgency">
    <w:name w:val="Body text (Agency)"/>
    <w:basedOn w:val="Normlny"/>
    <w:link w:val="BodytextAgencyChar"/>
    <w:rsid w:val="00984857"/>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984857"/>
    <w:rPr>
      <w:rFonts w:ascii="Verdana" w:eastAsia="Verdana" w:hAnsi="Verdana" w:cs="Verdana"/>
      <w:sz w:val="18"/>
      <w:szCs w:val="18"/>
      <w:lang w:val="en-GB" w:eastAsia="en-GB"/>
    </w:rPr>
  </w:style>
  <w:style w:type="character" w:styleId="Zvraznenie">
    <w:name w:val="Emphasis"/>
    <w:qFormat/>
    <w:rsid w:val="00984857"/>
    <w:rPr>
      <w:b/>
      <w:i w:val="0"/>
    </w:rPr>
  </w:style>
  <w:style w:type="character" w:customStyle="1" w:styleId="FormatvorlageArial11pt">
    <w:name w:val="Formatvorlage Arial 11 pt"/>
    <w:uiPriority w:val="99"/>
    <w:rsid w:val="00984857"/>
    <w:rPr>
      <w:rFonts w:ascii="Arial" w:hAnsi="Arial" w:cs="Arial" w:hint="default"/>
      <w:sz w:val="22"/>
      <w:szCs w:val="22"/>
    </w:rPr>
  </w:style>
  <w:style w:type="paragraph" w:styleId="Bezriadkovania">
    <w:name w:val="No Spacing"/>
    <w:uiPriority w:val="99"/>
    <w:qFormat/>
    <w:rsid w:val="00984857"/>
    <w:pPr>
      <w:spacing w:after="0" w:line="240" w:lineRule="auto"/>
    </w:pPr>
    <w:rPr>
      <w:rFonts w:ascii="Arial" w:eastAsia="Calibri" w:hAnsi="Arial" w:cs="Arial"/>
      <w:lang w:val="en-US"/>
    </w:rPr>
  </w:style>
  <w:style w:type="character" w:customStyle="1" w:styleId="shorttext">
    <w:name w:val="short_text"/>
    <w:rsid w:val="00984857"/>
  </w:style>
  <w:style w:type="character" w:styleId="Odkaznakomentr">
    <w:name w:val="annotation reference"/>
    <w:basedOn w:val="Predvolenpsmoodseku"/>
    <w:uiPriority w:val="99"/>
    <w:semiHidden/>
    <w:unhideWhenUsed/>
    <w:rsid w:val="000E2D6E"/>
    <w:rPr>
      <w:sz w:val="16"/>
      <w:szCs w:val="16"/>
    </w:rPr>
  </w:style>
  <w:style w:type="paragraph" w:styleId="Textkomentra">
    <w:name w:val="annotation text"/>
    <w:basedOn w:val="Normlny"/>
    <w:link w:val="TextkomentraChar"/>
    <w:uiPriority w:val="99"/>
    <w:semiHidden/>
    <w:unhideWhenUsed/>
    <w:rsid w:val="000E2D6E"/>
    <w:rPr>
      <w:sz w:val="20"/>
    </w:rPr>
  </w:style>
  <w:style w:type="character" w:customStyle="1" w:styleId="TextkomentraChar">
    <w:name w:val="Text komentára Char"/>
    <w:basedOn w:val="Predvolenpsmoodseku"/>
    <w:link w:val="Textkomentra"/>
    <w:uiPriority w:val="99"/>
    <w:semiHidden/>
    <w:rsid w:val="000E2D6E"/>
    <w:rPr>
      <w:rFonts w:ascii="Times New Roman" w:eastAsia="Times New Roman" w:hAnsi="Times New Roman" w:cs="Times New Roman"/>
      <w:sz w:val="20"/>
      <w:szCs w:val="20"/>
      <w:lang w:val="sl-SI" w:eastAsia="sl-SI"/>
    </w:rPr>
  </w:style>
  <w:style w:type="paragraph" w:styleId="Predmetkomentra">
    <w:name w:val="annotation subject"/>
    <w:basedOn w:val="Textkomentra"/>
    <w:next w:val="Textkomentra"/>
    <w:link w:val="PredmetkomentraChar"/>
    <w:uiPriority w:val="99"/>
    <w:semiHidden/>
    <w:unhideWhenUsed/>
    <w:rsid w:val="000E2D6E"/>
    <w:rPr>
      <w:b/>
      <w:bCs/>
    </w:rPr>
  </w:style>
  <w:style w:type="character" w:customStyle="1" w:styleId="PredmetkomentraChar">
    <w:name w:val="Predmet komentára Char"/>
    <w:basedOn w:val="TextkomentraChar"/>
    <w:link w:val="Predmetkomentra"/>
    <w:uiPriority w:val="99"/>
    <w:semiHidden/>
    <w:rsid w:val="000E2D6E"/>
    <w:rPr>
      <w:rFonts w:ascii="Times New Roman" w:eastAsia="Times New Roman" w:hAnsi="Times New Roman" w:cs="Times New Roman"/>
      <w:b/>
      <w:bCs/>
      <w:sz w:val="20"/>
      <w:szCs w:val="20"/>
      <w:lang w:val="sl-SI" w:eastAsia="sl-S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EDD1C-1D97-4B66-BF94-AD04105D3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16</Pages>
  <Words>5792</Words>
  <Characters>33017</Characters>
  <Application>Microsoft Office Word</Application>
  <DocSecurity>0</DocSecurity>
  <Lines>275</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Derianova, Martina</dc:creator>
  <cp:lastModifiedBy>Andrea Krajčí</cp:lastModifiedBy>
  <cp:revision>17</cp:revision>
  <dcterms:created xsi:type="dcterms:W3CDTF">2017-03-30T06:25:00Z</dcterms:created>
  <dcterms:modified xsi:type="dcterms:W3CDTF">2018-04-11T08:57:00Z</dcterms:modified>
</cp:coreProperties>
</file>