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351D2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</w:p>
    <w:p w14:paraId="7636CAD0" w14:textId="77777777" w:rsidR="00387C2C" w:rsidRPr="000062B1" w:rsidRDefault="00387C2C" w:rsidP="007C5A33">
      <w:pPr>
        <w:pStyle w:val="Nzov"/>
        <w:tabs>
          <w:tab w:val="clear" w:pos="565"/>
          <w:tab w:val="left" w:pos="709"/>
        </w:tabs>
        <w:ind w:left="0" w:firstLine="0"/>
        <w:rPr>
          <w:sz w:val="22"/>
          <w:szCs w:val="22"/>
          <w:lang w:val="sk-SK"/>
        </w:rPr>
      </w:pPr>
      <w:r w:rsidRPr="000062B1">
        <w:rPr>
          <w:sz w:val="22"/>
          <w:szCs w:val="22"/>
          <w:lang w:val="sk-SK"/>
        </w:rPr>
        <w:t>SÚHRN CHARAKTERISTICKÝCH VLASTNOSTÍ  LIEKU</w:t>
      </w:r>
    </w:p>
    <w:p w14:paraId="2F0F9290" w14:textId="77777777" w:rsidR="00387C2C" w:rsidRPr="000062B1" w:rsidRDefault="00387C2C" w:rsidP="007C5A33">
      <w:pPr>
        <w:jc w:val="center"/>
        <w:rPr>
          <w:rFonts w:ascii="Times New Roman" w:hAnsi="Times New Roman"/>
          <w:sz w:val="22"/>
          <w:szCs w:val="22"/>
        </w:rPr>
      </w:pPr>
    </w:p>
    <w:p w14:paraId="037661AD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</w:p>
    <w:p w14:paraId="6F8DE8A3" w14:textId="77777777" w:rsidR="00387C2C" w:rsidRPr="000062B1" w:rsidRDefault="00387C2C">
      <w:pPr>
        <w:jc w:val="both"/>
        <w:rPr>
          <w:rFonts w:ascii="Times New Roman" w:hAnsi="Times New Roman"/>
          <w:b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1.</w:t>
      </w:r>
      <w:r w:rsidRPr="000062B1">
        <w:rPr>
          <w:rFonts w:ascii="Times New Roman" w:hAnsi="Times New Roman"/>
          <w:b/>
          <w:sz w:val="22"/>
          <w:szCs w:val="22"/>
        </w:rPr>
        <w:tab/>
        <w:t>NÁZOV LIEKU</w:t>
      </w:r>
    </w:p>
    <w:p w14:paraId="3222974C" w14:textId="77777777" w:rsidR="00AF3444" w:rsidRPr="000062B1" w:rsidRDefault="00AF3444" w:rsidP="00AF3444">
      <w:pPr>
        <w:jc w:val="both"/>
        <w:rPr>
          <w:rFonts w:ascii="Times New Roman" w:hAnsi="Times New Roman"/>
          <w:sz w:val="22"/>
          <w:szCs w:val="22"/>
        </w:rPr>
      </w:pPr>
    </w:p>
    <w:p w14:paraId="74130F9B" w14:textId="77777777" w:rsidR="00F82CDE" w:rsidRDefault="00C85C5A" w:rsidP="007C5A33">
      <w:pPr>
        <w:jc w:val="both"/>
        <w:rPr>
          <w:rFonts w:ascii="Times New Roman" w:hAnsi="Times New Roman"/>
          <w:b/>
          <w:sz w:val="22"/>
          <w:szCs w:val="22"/>
        </w:rPr>
      </w:pPr>
      <w:bookmarkStart w:id="0" w:name="TradeName"/>
      <w:bookmarkEnd w:id="0"/>
      <w:proofErr w:type="spellStart"/>
      <w:r w:rsidRPr="000062B1">
        <w:rPr>
          <w:rFonts w:ascii="Times New Roman" w:hAnsi="Times New Roman"/>
          <w:b/>
          <w:sz w:val="22"/>
          <w:szCs w:val="22"/>
        </w:rPr>
        <w:t>Lotemax</w:t>
      </w:r>
      <w:proofErr w:type="spellEnd"/>
    </w:p>
    <w:p w14:paraId="1A4A94B6" w14:textId="77777777" w:rsidR="00387C2C" w:rsidRPr="00262E31" w:rsidRDefault="00387C2C" w:rsidP="007C5A33">
      <w:pPr>
        <w:jc w:val="both"/>
        <w:rPr>
          <w:rFonts w:ascii="Times New Roman" w:hAnsi="Times New Roman"/>
          <w:bCs/>
          <w:sz w:val="22"/>
          <w:szCs w:val="22"/>
        </w:rPr>
      </w:pPr>
      <w:r w:rsidRPr="00262E31">
        <w:rPr>
          <w:rFonts w:ascii="Times New Roman" w:hAnsi="Times New Roman"/>
          <w:sz w:val="22"/>
          <w:szCs w:val="22"/>
        </w:rPr>
        <w:t>0,5%</w:t>
      </w:r>
      <w:r w:rsidR="00E154ED" w:rsidRPr="00262E31">
        <w:rPr>
          <w:rFonts w:ascii="Times New Roman" w:hAnsi="Times New Roman"/>
          <w:sz w:val="22"/>
          <w:szCs w:val="22"/>
        </w:rPr>
        <w:t>,</w:t>
      </w:r>
      <w:r w:rsidRPr="00262E31">
        <w:rPr>
          <w:rFonts w:ascii="Times New Roman" w:hAnsi="Times New Roman"/>
          <w:sz w:val="22"/>
          <w:szCs w:val="22"/>
        </w:rPr>
        <w:t xml:space="preserve"> </w:t>
      </w:r>
      <w:r w:rsidRPr="00262E31">
        <w:rPr>
          <w:rFonts w:ascii="Times New Roman" w:hAnsi="Times New Roman"/>
          <w:bCs/>
          <w:sz w:val="22"/>
          <w:szCs w:val="22"/>
        </w:rPr>
        <w:t xml:space="preserve">očná </w:t>
      </w:r>
      <w:proofErr w:type="spellStart"/>
      <w:r w:rsidRPr="00262E31">
        <w:rPr>
          <w:rFonts w:ascii="Times New Roman" w:hAnsi="Times New Roman"/>
          <w:bCs/>
          <w:sz w:val="22"/>
          <w:szCs w:val="22"/>
        </w:rPr>
        <w:t>suspenzná</w:t>
      </w:r>
      <w:proofErr w:type="spellEnd"/>
      <w:r w:rsidRPr="00262E3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62E31">
        <w:rPr>
          <w:rFonts w:ascii="Times New Roman" w:hAnsi="Times New Roman"/>
          <w:bCs/>
          <w:sz w:val="22"/>
          <w:szCs w:val="22"/>
        </w:rPr>
        <w:t>instilácia</w:t>
      </w:r>
      <w:proofErr w:type="spellEnd"/>
    </w:p>
    <w:p w14:paraId="3A37D712" w14:textId="77777777" w:rsidR="00670F1D" w:rsidRPr="000062B1" w:rsidRDefault="00670F1D">
      <w:pPr>
        <w:ind w:left="709"/>
        <w:jc w:val="both"/>
        <w:rPr>
          <w:rFonts w:ascii="Times New Roman" w:hAnsi="Times New Roman"/>
          <w:b/>
          <w:sz w:val="22"/>
          <w:szCs w:val="22"/>
        </w:rPr>
      </w:pPr>
    </w:p>
    <w:p w14:paraId="0B4295EC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</w:p>
    <w:p w14:paraId="147E440C" w14:textId="77777777" w:rsidR="00387C2C" w:rsidRPr="000062B1" w:rsidRDefault="00387C2C">
      <w:pPr>
        <w:jc w:val="both"/>
        <w:rPr>
          <w:rFonts w:ascii="Times New Roman" w:hAnsi="Times New Roman"/>
          <w:b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2.</w:t>
      </w:r>
      <w:r w:rsidRPr="000062B1">
        <w:rPr>
          <w:rFonts w:ascii="Times New Roman" w:hAnsi="Times New Roman"/>
          <w:b/>
          <w:sz w:val="22"/>
          <w:szCs w:val="22"/>
        </w:rPr>
        <w:tab/>
        <w:t>KVALITATÍVNE A KVANTITATÍVNE ZLOŽENIE</w:t>
      </w:r>
    </w:p>
    <w:p w14:paraId="4B053482" w14:textId="77777777" w:rsidR="00387C2C" w:rsidRPr="000062B1" w:rsidRDefault="00387C2C">
      <w:pPr>
        <w:tabs>
          <w:tab w:val="left" w:pos="-566"/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bookmarkStart w:id="1" w:name="Composition"/>
      <w:bookmarkEnd w:id="1"/>
    </w:p>
    <w:p w14:paraId="21BC4941" w14:textId="77777777" w:rsidR="00387C2C" w:rsidRPr="000062B1" w:rsidRDefault="00387C2C" w:rsidP="007C5A33">
      <w:pPr>
        <w:tabs>
          <w:tab w:val="left" w:pos="-566"/>
          <w:tab w:val="left" w:pos="566"/>
          <w:tab w:val="left" w:pos="709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Liečivo: </w:t>
      </w:r>
      <w:proofErr w:type="spellStart"/>
      <w:r w:rsidRPr="000062B1">
        <w:rPr>
          <w:rFonts w:ascii="Times New Roman" w:hAnsi="Times New Roman"/>
          <w:sz w:val="22"/>
          <w:szCs w:val="22"/>
        </w:rPr>
        <w:t>loteprednolum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</w:t>
      </w:r>
      <w:proofErr w:type="spellEnd"/>
      <w:r w:rsidR="00F608DB">
        <w:rPr>
          <w:rFonts w:ascii="Times New Roman" w:hAnsi="Times New Roman"/>
          <w:sz w:val="22"/>
          <w:szCs w:val="22"/>
        </w:rPr>
        <w:t xml:space="preserve">  </w:t>
      </w:r>
      <w:r w:rsidR="00F608DB" w:rsidRPr="003B3746">
        <w:rPr>
          <w:rFonts w:ascii="Times New Roman" w:hAnsi="Times New Roman"/>
          <w:sz w:val="22"/>
          <w:szCs w:val="22"/>
        </w:rPr>
        <w:t>0,5% w/v (</w:t>
      </w:r>
      <w:r w:rsidRPr="003B3746">
        <w:rPr>
          <w:rFonts w:ascii="Times New Roman" w:hAnsi="Times New Roman"/>
          <w:sz w:val="22"/>
          <w:szCs w:val="22"/>
        </w:rPr>
        <w:t>5,0 mg v 1 m</w:t>
      </w:r>
      <w:r w:rsidR="00F608DB" w:rsidRPr="003B3746">
        <w:rPr>
          <w:rFonts w:ascii="Times New Roman" w:hAnsi="Times New Roman"/>
          <w:sz w:val="22"/>
          <w:szCs w:val="22"/>
        </w:rPr>
        <w:t>l</w:t>
      </w:r>
      <w:r w:rsidRPr="003B3746">
        <w:rPr>
          <w:rFonts w:ascii="Times New Roman" w:hAnsi="Times New Roman"/>
          <w:sz w:val="22"/>
          <w:szCs w:val="22"/>
        </w:rPr>
        <w:t xml:space="preserve"> </w:t>
      </w:r>
      <w:r w:rsidR="00F608DB" w:rsidRPr="003B3746">
        <w:rPr>
          <w:rFonts w:ascii="Times New Roman" w:hAnsi="Times New Roman"/>
          <w:sz w:val="22"/>
          <w:szCs w:val="22"/>
        </w:rPr>
        <w:t>)</w:t>
      </w:r>
      <w:r w:rsidR="00F608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suspenzného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roztoku</w:t>
      </w:r>
    </w:p>
    <w:p w14:paraId="4F52F6EA" w14:textId="77777777" w:rsidR="00387C2C" w:rsidRPr="000062B1" w:rsidRDefault="00387C2C" w:rsidP="007C5A33">
      <w:pPr>
        <w:tabs>
          <w:tab w:val="left" w:pos="-566"/>
          <w:tab w:val="left" w:pos="566"/>
          <w:tab w:val="left" w:pos="709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Každá kvapka obsahuje 0,19 mg </w:t>
      </w:r>
      <w:proofErr w:type="spellStart"/>
      <w:r w:rsidRPr="000062B1">
        <w:rPr>
          <w:rFonts w:ascii="Times New Roman" w:hAnsi="Times New Roman"/>
          <w:sz w:val="22"/>
          <w:szCs w:val="22"/>
        </w:rPr>
        <w:t>loteprednolum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. </w:t>
      </w:r>
    </w:p>
    <w:p w14:paraId="3CD7409B" w14:textId="77777777" w:rsidR="009B057C" w:rsidRDefault="009B057C" w:rsidP="007C5A33">
      <w:pPr>
        <w:tabs>
          <w:tab w:val="left" w:pos="566"/>
          <w:tab w:val="left" w:pos="709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28D64CBB" w14:textId="77777777" w:rsidR="00387C2C" w:rsidRPr="000062B1" w:rsidRDefault="00F608DB" w:rsidP="007C5A33">
      <w:pPr>
        <w:tabs>
          <w:tab w:val="left" w:pos="566"/>
          <w:tab w:val="left" w:pos="709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Pomocná látka</w:t>
      </w:r>
      <w:r w:rsidR="009B057C">
        <w:rPr>
          <w:rFonts w:ascii="Times New Roman" w:hAnsi="Times New Roman"/>
          <w:sz w:val="22"/>
          <w:szCs w:val="22"/>
        </w:rPr>
        <w:t xml:space="preserve"> so známym účinkom</w:t>
      </w:r>
      <w:r>
        <w:rPr>
          <w:rFonts w:ascii="Times New Roman" w:hAnsi="Times New Roman"/>
          <w:sz w:val="22"/>
          <w:szCs w:val="22"/>
        </w:rPr>
        <w:t xml:space="preserve">: </w:t>
      </w:r>
      <w:proofErr w:type="spellStart"/>
      <w:r>
        <w:rPr>
          <w:rFonts w:ascii="Times New Roman" w:hAnsi="Times New Roman"/>
          <w:sz w:val="22"/>
          <w:szCs w:val="22"/>
        </w:rPr>
        <w:t>benzalkóniumchlorid</w:t>
      </w:r>
      <w:proofErr w:type="spellEnd"/>
      <w:r>
        <w:rPr>
          <w:rFonts w:ascii="Times New Roman" w:hAnsi="Times New Roman"/>
          <w:sz w:val="22"/>
          <w:szCs w:val="22"/>
        </w:rPr>
        <w:t xml:space="preserve"> (0,01%)</w:t>
      </w:r>
    </w:p>
    <w:p w14:paraId="404A7448" w14:textId="77777777" w:rsidR="00387C2C" w:rsidRPr="000062B1" w:rsidRDefault="003006A0" w:rsidP="007C5A33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>Úplný zoznam pomocných látok</w:t>
      </w:r>
      <w:r w:rsidR="00387C2C" w:rsidRPr="000062B1">
        <w:rPr>
          <w:rFonts w:ascii="Times New Roman" w:hAnsi="Times New Roman"/>
          <w:sz w:val="22"/>
          <w:szCs w:val="22"/>
        </w:rPr>
        <w:t>, pozri časť 6.1</w:t>
      </w:r>
    </w:p>
    <w:p w14:paraId="035BB98A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</w:p>
    <w:p w14:paraId="70E98C44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</w:p>
    <w:p w14:paraId="4AB70231" w14:textId="77777777" w:rsidR="00387C2C" w:rsidRPr="000062B1" w:rsidRDefault="00387C2C">
      <w:pPr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LIEKOVÁ FORMA</w:t>
      </w:r>
    </w:p>
    <w:p w14:paraId="69DBE472" w14:textId="77777777" w:rsidR="00387C2C" w:rsidRPr="000062B1" w:rsidRDefault="00387C2C">
      <w:pPr>
        <w:jc w:val="both"/>
        <w:rPr>
          <w:rFonts w:ascii="Times New Roman" w:hAnsi="Times New Roman"/>
          <w:b/>
          <w:sz w:val="22"/>
          <w:szCs w:val="22"/>
        </w:rPr>
      </w:pPr>
    </w:p>
    <w:p w14:paraId="33D7D0AB" w14:textId="77777777" w:rsidR="00387C2C" w:rsidRPr="000062B1" w:rsidRDefault="00387C2C" w:rsidP="007C5A33">
      <w:pPr>
        <w:jc w:val="both"/>
        <w:rPr>
          <w:rFonts w:ascii="Times New Roman" w:hAnsi="Times New Roman"/>
          <w:bCs/>
          <w:sz w:val="22"/>
          <w:szCs w:val="22"/>
        </w:rPr>
      </w:pPr>
      <w:r w:rsidRPr="000062B1">
        <w:rPr>
          <w:rFonts w:ascii="Times New Roman" w:hAnsi="Times New Roman"/>
          <w:bCs/>
          <w:sz w:val="22"/>
          <w:szCs w:val="22"/>
        </w:rPr>
        <w:t xml:space="preserve">Očná </w:t>
      </w:r>
      <w:proofErr w:type="spellStart"/>
      <w:r w:rsidRPr="000062B1">
        <w:rPr>
          <w:rFonts w:ascii="Times New Roman" w:hAnsi="Times New Roman"/>
          <w:bCs/>
          <w:sz w:val="22"/>
          <w:szCs w:val="22"/>
        </w:rPr>
        <w:t>suspenzná</w:t>
      </w:r>
      <w:proofErr w:type="spellEnd"/>
      <w:r w:rsidRPr="000062B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bCs/>
          <w:sz w:val="22"/>
          <w:szCs w:val="22"/>
        </w:rPr>
        <w:t>instilácia</w:t>
      </w:r>
      <w:proofErr w:type="spellEnd"/>
      <w:r w:rsidRPr="000062B1">
        <w:rPr>
          <w:rFonts w:ascii="Times New Roman" w:hAnsi="Times New Roman"/>
          <w:bCs/>
          <w:sz w:val="22"/>
          <w:szCs w:val="22"/>
        </w:rPr>
        <w:t xml:space="preserve"> </w:t>
      </w:r>
    </w:p>
    <w:p w14:paraId="796CEF22" w14:textId="77777777" w:rsidR="00387C2C" w:rsidRPr="000062B1" w:rsidRDefault="00387C2C">
      <w:pPr>
        <w:ind w:left="567"/>
        <w:jc w:val="both"/>
        <w:rPr>
          <w:rFonts w:ascii="Times New Roman" w:hAnsi="Times New Roman"/>
          <w:bCs/>
          <w:sz w:val="22"/>
          <w:szCs w:val="22"/>
        </w:rPr>
      </w:pPr>
    </w:p>
    <w:p w14:paraId="631EE256" w14:textId="77777777" w:rsidR="00387C2C" w:rsidRPr="000062B1" w:rsidRDefault="00387C2C" w:rsidP="007C5A33">
      <w:pPr>
        <w:jc w:val="both"/>
        <w:rPr>
          <w:rFonts w:ascii="Times New Roman" w:hAnsi="Times New Roman"/>
          <w:bCs/>
          <w:sz w:val="22"/>
          <w:szCs w:val="22"/>
        </w:rPr>
      </w:pPr>
      <w:bookmarkStart w:id="2" w:name="PharmForm"/>
      <w:bookmarkEnd w:id="2"/>
      <w:r w:rsidRPr="000062B1">
        <w:rPr>
          <w:rFonts w:ascii="Times New Roman" w:hAnsi="Times New Roman"/>
          <w:bCs/>
          <w:sz w:val="22"/>
          <w:szCs w:val="22"/>
        </w:rPr>
        <w:t>Mliečno-biela</w:t>
      </w:r>
    </w:p>
    <w:p w14:paraId="32DDE82A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</w:p>
    <w:p w14:paraId="062074D1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</w:p>
    <w:p w14:paraId="262E3C6F" w14:textId="77777777" w:rsidR="00387C2C" w:rsidRPr="000062B1" w:rsidRDefault="00387C2C">
      <w:pPr>
        <w:jc w:val="both"/>
        <w:rPr>
          <w:rFonts w:ascii="Times New Roman" w:hAnsi="Times New Roman"/>
          <w:b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4.</w:t>
      </w:r>
      <w:r w:rsidRPr="000062B1">
        <w:rPr>
          <w:rFonts w:ascii="Times New Roman" w:hAnsi="Times New Roman"/>
          <w:b/>
          <w:sz w:val="22"/>
          <w:szCs w:val="22"/>
        </w:rPr>
        <w:tab/>
        <w:t>KLINICKÉ ÚDAJE</w:t>
      </w:r>
    </w:p>
    <w:p w14:paraId="56D1453D" w14:textId="77777777" w:rsidR="00387C2C" w:rsidRPr="000062B1" w:rsidRDefault="00387C2C">
      <w:pPr>
        <w:jc w:val="both"/>
        <w:rPr>
          <w:rFonts w:ascii="Times New Roman" w:hAnsi="Times New Roman"/>
          <w:b/>
          <w:sz w:val="22"/>
          <w:szCs w:val="22"/>
        </w:rPr>
      </w:pPr>
    </w:p>
    <w:p w14:paraId="355A29F9" w14:textId="77777777" w:rsidR="00387C2C" w:rsidRPr="000062B1" w:rsidRDefault="00387C2C">
      <w:pPr>
        <w:numPr>
          <w:ilvl w:val="1"/>
          <w:numId w:val="3"/>
        </w:numPr>
        <w:tabs>
          <w:tab w:val="left" w:pos="0"/>
          <w:tab w:val="left" w:pos="566"/>
          <w:tab w:val="left" w:pos="720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 xml:space="preserve"> Terapeutické indikácie</w:t>
      </w:r>
    </w:p>
    <w:p w14:paraId="5F09161D" w14:textId="77777777" w:rsidR="00AF3444" w:rsidRPr="000062B1" w:rsidRDefault="00AF3444" w:rsidP="00AF3444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7AA23C82" w14:textId="77777777" w:rsidR="00387C2C" w:rsidRPr="000062B1" w:rsidRDefault="00387C2C" w:rsidP="007C5A33">
      <w:pPr>
        <w:tabs>
          <w:tab w:val="left" w:pos="709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>Liečba pooperačného zápalu po očnej operácii.</w:t>
      </w:r>
    </w:p>
    <w:p w14:paraId="1D126A8A" w14:textId="77777777" w:rsidR="00387C2C" w:rsidRPr="000062B1" w:rsidRDefault="00387C2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668DEE52" w14:textId="77777777" w:rsidR="00387C2C" w:rsidRPr="000062B1" w:rsidRDefault="00387C2C">
      <w:pPr>
        <w:tabs>
          <w:tab w:val="left" w:pos="540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4.2      Dávkovanie a spôsob podávania</w:t>
      </w:r>
    </w:p>
    <w:p w14:paraId="6DFCB6D9" w14:textId="77777777" w:rsidR="00AF3444" w:rsidRPr="000062B1" w:rsidRDefault="00AF3444" w:rsidP="00AF3444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12FF94BA" w14:textId="77777777" w:rsidR="005F0D84" w:rsidRPr="009C1375" w:rsidRDefault="005F0D84" w:rsidP="005F0D84">
      <w:pPr>
        <w:rPr>
          <w:rFonts w:ascii="Times New Roman" w:hAnsi="Times New Roman"/>
          <w:sz w:val="22"/>
          <w:szCs w:val="22"/>
          <w:u w:val="single"/>
        </w:rPr>
      </w:pPr>
      <w:r w:rsidRPr="009C1375">
        <w:rPr>
          <w:rFonts w:ascii="Times New Roman" w:hAnsi="Times New Roman"/>
          <w:sz w:val="22"/>
          <w:szCs w:val="22"/>
          <w:u w:val="single"/>
        </w:rPr>
        <w:t>Dávkovanie</w:t>
      </w:r>
    </w:p>
    <w:p w14:paraId="71F95AA4" w14:textId="77777777" w:rsidR="005F0D84" w:rsidRDefault="005F0D84" w:rsidP="007C5A33">
      <w:pPr>
        <w:tabs>
          <w:tab w:val="left" w:pos="567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  <w:u w:val="single"/>
        </w:rPr>
      </w:pPr>
    </w:p>
    <w:p w14:paraId="43059C33" w14:textId="6D3FDE18" w:rsidR="00AF3444" w:rsidRDefault="00387C2C" w:rsidP="00262E31">
      <w:pPr>
        <w:tabs>
          <w:tab w:val="left" w:pos="567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262E31">
        <w:rPr>
          <w:rFonts w:ascii="Times New Roman" w:hAnsi="Times New Roman"/>
          <w:i/>
          <w:sz w:val="22"/>
          <w:szCs w:val="22"/>
        </w:rPr>
        <w:t>Dospelí a starší ľudia</w:t>
      </w:r>
    </w:p>
    <w:p w14:paraId="4946184F" w14:textId="77777777" w:rsidR="00387C2C" w:rsidRPr="000062B1" w:rsidRDefault="00387C2C" w:rsidP="007C5A33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Jedna až dve kvapky </w:t>
      </w:r>
      <w:proofErr w:type="spellStart"/>
      <w:r w:rsidRPr="000062B1">
        <w:rPr>
          <w:rFonts w:ascii="Times New Roman" w:hAnsi="Times New Roman"/>
          <w:sz w:val="22"/>
          <w:szCs w:val="22"/>
        </w:rPr>
        <w:t>4-krát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denne. Liečba začína 24 hodín po operácii a pokračuje počas  celého pooperačného obdobia.</w:t>
      </w:r>
    </w:p>
    <w:p w14:paraId="211F68FD" w14:textId="77777777" w:rsidR="00AF3444" w:rsidRPr="000062B1" w:rsidRDefault="00AF3444" w:rsidP="007C5A33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</w:p>
    <w:p w14:paraId="4D0B8707" w14:textId="77777777" w:rsidR="00387C2C" w:rsidRPr="000062B1" w:rsidRDefault="00387C2C" w:rsidP="007C5A33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>Liečba</w:t>
      </w:r>
      <w:r w:rsidR="00F608DB">
        <w:rPr>
          <w:rFonts w:ascii="Times New Roman" w:hAnsi="Times New Roman"/>
          <w:sz w:val="22"/>
          <w:szCs w:val="22"/>
        </w:rPr>
        <w:t xml:space="preserve"> nemá</w:t>
      </w:r>
      <w:r w:rsidRPr="000062B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062B1">
        <w:rPr>
          <w:rFonts w:ascii="Times New Roman" w:hAnsi="Times New Roman"/>
          <w:sz w:val="22"/>
          <w:szCs w:val="22"/>
        </w:rPr>
        <w:t xml:space="preserve"> trvať dlhšie ako 2 týždne. </w:t>
      </w:r>
    </w:p>
    <w:p w14:paraId="4E47FE92" w14:textId="77777777" w:rsidR="00387C2C" w:rsidRPr="000062B1" w:rsidRDefault="00387C2C" w:rsidP="00F77457">
      <w:pPr>
        <w:tabs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</w:rPr>
      </w:pPr>
    </w:p>
    <w:p w14:paraId="3C0D3994" w14:textId="46382C0A" w:rsidR="00AF3444" w:rsidRPr="009C1375" w:rsidRDefault="009B057C" w:rsidP="00262E31">
      <w:pPr>
        <w:rPr>
          <w:sz w:val="22"/>
          <w:szCs w:val="22"/>
        </w:rPr>
      </w:pPr>
      <w:r w:rsidRPr="009C1375">
        <w:rPr>
          <w:rFonts w:ascii="Times New Roman" w:hAnsi="Times New Roman"/>
          <w:i/>
          <w:noProof/>
          <w:sz w:val="22"/>
          <w:szCs w:val="22"/>
        </w:rPr>
        <w:t>Pediatrická populácia</w:t>
      </w:r>
    </w:p>
    <w:p w14:paraId="6266A633" w14:textId="77777777" w:rsidR="00AF3444" w:rsidRPr="009C1375" w:rsidRDefault="00C85C5A" w:rsidP="007C5A33">
      <w:pPr>
        <w:rPr>
          <w:rFonts w:ascii="Times New Roman" w:hAnsi="Times New Roman"/>
          <w:sz w:val="22"/>
          <w:szCs w:val="22"/>
        </w:rPr>
      </w:pPr>
      <w:proofErr w:type="spellStart"/>
      <w:r w:rsidRPr="009C1375">
        <w:rPr>
          <w:rFonts w:ascii="Times New Roman" w:hAnsi="Times New Roman"/>
          <w:sz w:val="22"/>
          <w:szCs w:val="22"/>
        </w:rPr>
        <w:t>Lotemax</w:t>
      </w:r>
      <w:proofErr w:type="spellEnd"/>
      <w:r w:rsidR="00387C2C" w:rsidRPr="009C1375">
        <w:rPr>
          <w:rFonts w:ascii="Times New Roman" w:hAnsi="Times New Roman"/>
          <w:sz w:val="22"/>
          <w:szCs w:val="22"/>
        </w:rPr>
        <w:t xml:space="preserve"> sa nemá podávať pediatrickým pacientom, kým nebudú k dispozícii ďalšie </w:t>
      </w:r>
      <w:r w:rsidR="00221020" w:rsidRPr="009C1375">
        <w:rPr>
          <w:rFonts w:ascii="Times New Roman" w:hAnsi="Times New Roman"/>
          <w:sz w:val="22"/>
          <w:szCs w:val="22"/>
        </w:rPr>
        <w:t xml:space="preserve"> </w:t>
      </w:r>
      <w:r w:rsidR="00387C2C" w:rsidRPr="009C1375">
        <w:rPr>
          <w:rFonts w:ascii="Times New Roman" w:hAnsi="Times New Roman"/>
          <w:sz w:val="22"/>
          <w:szCs w:val="22"/>
        </w:rPr>
        <w:t xml:space="preserve">údaje.  </w:t>
      </w:r>
    </w:p>
    <w:p w14:paraId="1702DEA7" w14:textId="77777777" w:rsidR="003B3E2C" w:rsidRPr="009C1375" w:rsidRDefault="003B3E2C" w:rsidP="007C5A33">
      <w:pPr>
        <w:rPr>
          <w:rFonts w:ascii="Times New Roman" w:hAnsi="Times New Roman"/>
          <w:sz w:val="22"/>
          <w:szCs w:val="22"/>
        </w:rPr>
      </w:pPr>
    </w:p>
    <w:p w14:paraId="64246443" w14:textId="77777777" w:rsidR="00CF3831" w:rsidRPr="009C1375" w:rsidRDefault="00CF3831" w:rsidP="00CF3831">
      <w:pPr>
        <w:rPr>
          <w:rFonts w:ascii="Times New Roman" w:hAnsi="Times New Roman"/>
          <w:sz w:val="22"/>
          <w:szCs w:val="22"/>
          <w:u w:val="single"/>
        </w:rPr>
      </w:pPr>
      <w:r w:rsidRPr="009C1375">
        <w:rPr>
          <w:rFonts w:ascii="Times New Roman" w:hAnsi="Times New Roman"/>
          <w:sz w:val="22"/>
          <w:szCs w:val="22"/>
          <w:u w:val="single"/>
        </w:rPr>
        <w:t>Spôsob</w:t>
      </w:r>
      <w:r w:rsidRPr="009C1375">
        <w:rPr>
          <w:rFonts w:ascii="Times New Roman" w:hAnsi="Times New Roman"/>
          <w:noProof/>
          <w:sz w:val="22"/>
          <w:szCs w:val="22"/>
          <w:u w:val="single"/>
        </w:rPr>
        <w:t xml:space="preserve"> podávania</w:t>
      </w:r>
    </w:p>
    <w:p w14:paraId="63275600" w14:textId="77777777" w:rsidR="00CF3831" w:rsidRPr="00887D3D" w:rsidRDefault="00CF3831" w:rsidP="00CF3831">
      <w:pPr>
        <w:pStyle w:val="Default"/>
        <w:rPr>
          <w:color w:val="auto"/>
          <w:sz w:val="22"/>
          <w:szCs w:val="22"/>
        </w:rPr>
      </w:pPr>
      <w:r w:rsidRPr="00CF3831">
        <w:rPr>
          <w:color w:val="auto"/>
          <w:sz w:val="22"/>
          <w:szCs w:val="22"/>
        </w:rPr>
        <w:t>Na p</w:t>
      </w:r>
      <w:r w:rsidRPr="00887D3D">
        <w:rPr>
          <w:color w:val="auto"/>
          <w:sz w:val="22"/>
          <w:szCs w:val="22"/>
        </w:rPr>
        <w:t xml:space="preserve">oužitie do oka. </w:t>
      </w:r>
    </w:p>
    <w:p w14:paraId="771B1AE8" w14:textId="77777777" w:rsidR="003B3E2C" w:rsidRPr="005E418C" w:rsidRDefault="003B3E2C" w:rsidP="007C5A33">
      <w:pPr>
        <w:rPr>
          <w:rFonts w:ascii="Times New Roman" w:hAnsi="Times New Roman"/>
        </w:rPr>
      </w:pPr>
    </w:p>
    <w:p w14:paraId="65E43F79" w14:textId="77777777" w:rsidR="00387C2C" w:rsidRPr="000062B1" w:rsidRDefault="00387C2C" w:rsidP="007C5A33">
      <w:pPr>
        <w:pStyle w:val="Nadpis6"/>
        <w:tabs>
          <w:tab w:val="clear" w:pos="0"/>
          <w:tab w:val="clear" w:pos="1131"/>
        </w:tabs>
        <w:ind w:left="0" w:firstLine="0"/>
      </w:pPr>
      <w:r w:rsidRPr="000062B1">
        <w:t xml:space="preserve">Pred použitím fľaštičku s očnou </w:t>
      </w:r>
      <w:proofErr w:type="spellStart"/>
      <w:r w:rsidRPr="000062B1">
        <w:t>instiláciou</w:t>
      </w:r>
      <w:proofErr w:type="spellEnd"/>
      <w:r w:rsidRPr="000062B1">
        <w:t xml:space="preserve"> d</w:t>
      </w:r>
      <w:r w:rsidR="003B3E2C">
        <w:t>ôrazne</w:t>
      </w:r>
      <w:r w:rsidRPr="000062B1">
        <w:t xml:space="preserve"> p</w:t>
      </w:r>
      <w:r w:rsidR="003B3E2C">
        <w:t>retrepte</w:t>
      </w:r>
      <w:r w:rsidRPr="000062B1">
        <w:t>.</w:t>
      </w:r>
    </w:p>
    <w:p w14:paraId="0063F547" w14:textId="77777777" w:rsidR="00AF3444" w:rsidRPr="000062B1" w:rsidRDefault="00AF3444" w:rsidP="007C5A33">
      <w:pPr>
        <w:tabs>
          <w:tab w:val="left" w:pos="567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15C562FD" w14:textId="77777777" w:rsidR="00387C2C" w:rsidRPr="000062B1" w:rsidRDefault="00387C2C" w:rsidP="007C5A33">
      <w:pPr>
        <w:tabs>
          <w:tab w:val="left" w:pos="567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>Tento liek je sterilne balený. Pacientov je potrebné poučiť, aby zabránili dotyku hrotu kvapkadla s akýmkoľvek povrchom, pretože tým môže dôjsť ku kontaminácii suspenzie. Fľaštičku treba po použití ihneď uzavrieť.</w:t>
      </w:r>
    </w:p>
    <w:p w14:paraId="50732E3F" w14:textId="77777777" w:rsidR="00387C2C" w:rsidRPr="000062B1" w:rsidRDefault="00387C2C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        </w:t>
      </w:r>
    </w:p>
    <w:p w14:paraId="6DC200C8" w14:textId="77777777" w:rsidR="00AF3444" w:rsidRDefault="00AF3444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b/>
          <w:sz w:val="22"/>
          <w:szCs w:val="22"/>
        </w:rPr>
      </w:pPr>
    </w:p>
    <w:p w14:paraId="46A4D92A" w14:textId="77777777" w:rsidR="00387C2C" w:rsidRPr="000062B1" w:rsidRDefault="00387C2C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lastRenderedPageBreak/>
        <w:t>4.3     Kontraindikácie</w:t>
      </w:r>
    </w:p>
    <w:p w14:paraId="3D2BF84D" w14:textId="77777777" w:rsidR="00AF3444" w:rsidRPr="000062B1" w:rsidRDefault="00AF3444" w:rsidP="00AF3444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5AE165DB" w14:textId="77777777" w:rsidR="00387C2C" w:rsidRPr="000062B1" w:rsidRDefault="00C85C5A" w:rsidP="007C5A33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062B1">
        <w:rPr>
          <w:rFonts w:ascii="Times New Roman" w:hAnsi="Times New Roman"/>
          <w:sz w:val="22"/>
          <w:szCs w:val="22"/>
        </w:rPr>
        <w:t>Lotemax</w:t>
      </w:r>
      <w:proofErr w:type="spellEnd"/>
      <w:r w:rsidR="00387C2C" w:rsidRPr="000062B1">
        <w:rPr>
          <w:rFonts w:ascii="Times New Roman" w:hAnsi="Times New Roman"/>
          <w:sz w:val="22"/>
          <w:szCs w:val="22"/>
        </w:rPr>
        <w:t xml:space="preserve"> je kontraindikovaný pri väčšine vírusových chorôb rohovky a spojovky, vrátane povrchového herpes </w:t>
      </w:r>
      <w:proofErr w:type="spellStart"/>
      <w:r w:rsidR="00387C2C" w:rsidRPr="000062B1">
        <w:rPr>
          <w:rFonts w:ascii="Times New Roman" w:hAnsi="Times New Roman"/>
          <w:sz w:val="22"/>
          <w:szCs w:val="22"/>
        </w:rPr>
        <w:t>simplex</w:t>
      </w:r>
      <w:proofErr w:type="spellEnd"/>
      <w:r w:rsidR="00387C2C" w:rsidRPr="000062B1">
        <w:rPr>
          <w:rFonts w:ascii="Times New Roman" w:hAnsi="Times New Roman"/>
          <w:sz w:val="22"/>
          <w:szCs w:val="22"/>
        </w:rPr>
        <w:t xml:space="preserve"> rohovky (</w:t>
      </w:r>
      <w:proofErr w:type="spellStart"/>
      <w:r w:rsidR="00387C2C" w:rsidRPr="000062B1">
        <w:rPr>
          <w:rFonts w:ascii="Times New Roman" w:hAnsi="Times New Roman"/>
          <w:sz w:val="22"/>
          <w:szCs w:val="22"/>
        </w:rPr>
        <w:t>dendritická</w:t>
      </w:r>
      <w:proofErr w:type="spellEnd"/>
      <w:r w:rsidR="00387C2C"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87C2C" w:rsidRPr="000062B1">
        <w:rPr>
          <w:rFonts w:ascii="Times New Roman" w:hAnsi="Times New Roman"/>
          <w:sz w:val="22"/>
          <w:szCs w:val="22"/>
        </w:rPr>
        <w:t>keratitída</w:t>
      </w:r>
      <w:proofErr w:type="spellEnd"/>
      <w:r w:rsidR="00387C2C" w:rsidRPr="000062B1">
        <w:rPr>
          <w:rFonts w:ascii="Times New Roman" w:hAnsi="Times New Roman"/>
          <w:sz w:val="22"/>
          <w:szCs w:val="22"/>
        </w:rPr>
        <w:t xml:space="preserve">), </w:t>
      </w:r>
      <w:proofErr w:type="spellStart"/>
      <w:r w:rsidR="00387C2C" w:rsidRPr="000062B1">
        <w:rPr>
          <w:rFonts w:ascii="Times New Roman" w:hAnsi="Times New Roman"/>
          <w:sz w:val="22"/>
          <w:szCs w:val="22"/>
        </w:rPr>
        <w:t>vakcínie</w:t>
      </w:r>
      <w:proofErr w:type="spellEnd"/>
      <w:r w:rsidR="00387C2C" w:rsidRPr="000062B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387C2C" w:rsidRPr="000062B1">
        <w:rPr>
          <w:rFonts w:ascii="Times New Roman" w:hAnsi="Times New Roman"/>
          <w:sz w:val="22"/>
          <w:szCs w:val="22"/>
        </w:rPr>
        <w:t>varioly</w:t>
      </w:r>
      <w:proofErr w:type="spellEnd"/>
      <w:r w:rsidR="00387C2C" w:rsidRPr="000062B1">
        <w:rPr>
          <w:rFonts w:ascii="Times New Roman" w:hAnsi="Times New Roman"/>
          <w:sz w:val="22"/>
          <w:szCs w:val="22"/>
        </w:rPr>
        <w:t xml:space="preserve">, a tiež pri </w:t>
      </w:r>
      <w:proofErr w:type="spellStart"/>
      <w:r w:rsidR="00387C2C" w:rsidRPr="000062B1">
        <w:rPr>
          <w:rFonts w:ascii="Times New Roman" w:hAnsi="Times New Roman"/>
          <w:sz w:val="22"/>
          <w:szCs w:val="22"/>
        </w:rPr>
        <w:t>mykobakteriálnej</w:t>
      </w:r>
      <w:proofErr w:type="spellEnd"/>
      <w:r w:rsidR="00387C2C" w:rsidRPr="000062B1">
        <w:rPr>
          <w:rFonts w:ascii="Times New Roman" w:hAnsi="Times New Roman"/>
          <w:sz w:val="22"/>
          <w:szCs w:val="22"/>
        </w:rPr>
        <w:t xml:space="preserve"> infekcii oka a hubových ochoreniach očných štruktúr; podobne ako pri iných infekčných chorobách </w:t>
      </w:r>
      <w:proofErr w:type="spellStart"/>
      <w:r w:rsidR="00387C2C" w:rsidRPr="000062B1">
        <w:rPr>
          <w:rFonts w:ascii="Times New Roman" w:hAnsi="Times New Roman"/>
          <w:sz w:val="22"/>
          <w:szCs w:val="22"/>
        </w:rPr>
        <w:t>kortikoisteroidy</w:t>
      </w:r>
      <w:proofErr w:type="spellEnd"/>
      <w:r w:rsidR="00387C2C" w:rsidRPr="000062B1">
        <w:rPr>
          <w:rFonts w:ascii="Times New Roman" w:hAnsi="Times New Roman"/>
          <w:sz w:val="22"/>
          <w:szCs w:val="22"/>
        </w:rPr>
        <w:t xml:space="preserve"> môžu maskovať a zhoršiť neliečené hnisavé akútne infekcie, červené oko s neznámou diagnózou a infekciu spôsobená amébou. </w:t>
      </w:r>
    </w:p>
    <w:p w14:paraId="140D7221" w14:textId="77777777" w:rsidR="00AF3444" w:rsidRPr="000062B1" w:rsidRDefault="00AF3444" w:rsidP="007C5A33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62E02138" w14:textId="77777777" w:rsidR="00387C2C" w:rsidRPr="00E510C6" w:rsidRDefault="00C85C5A" w:rsidP="007C5A33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 w:rsidRPr="000062B1">
        <w:rPr>
          <w:rFonts w:ascii="Times New Roman" w:hAnsi="Times New Roman"/>
          <w:sz w:val="22"/>
          <w:szCs w:val="22"/>
        </w:rPr>
        <w:t>Lotemax</w:t>
      </w:r>
      <w:proofErr w:type="spellEnd"/>
      <w:r w:rsidR="00387C2C" w:rsidRPr="000062B1">
        <w:rPr>
          <w:rFonts w:ascii="Times New Roman" w:hAnsi="Times New Roman"/>
          <w:sz w:val="22"/>
          <w:szCs w:val="22"/>
        </w:rPr>
        <w:t xml:space="preserve"> je kontraindikovaný v prípade precitlivenosti na liečivo alebo na niektorú z pomocných </w:t>
      </w:r>
      <w:r w:rsidR="00387C2C" w:rsidRPr="005F0D84">
        <w:rPr>
          <w:rFonts w:ascii="Times New Roman" w:hAnsi="Times New Roman"/>
          <w:sz w:val="22"/>
          <w:szCs w:val="22"/>
        </w:rPr>
        <w:t>látok</w:t>
      </w:r>
      <w:r w:rsidR="005F0D84" w:rsidRPr="00713241">
        <w:rPr>
          <w:rFonts w:ascii="Times New Roman" w:hAnsi="Times New Roman"/>
          <w:sz w:val="22"/>
          <w:szCs w:val="22"/>
        </w:rPr>
        <w:t xml:space="preserve"> </w:t>
      </w:r>
      <w:r w:rsidR="005F0D84" w:rsidRPr="009C1375">
        <w:rPr>
          <w:rFonts w:ascii="Times New Roman" w:hAnsi="Times New Roman"/>
          <w:noProof/>
          <w:sz w:val="22"/>
          <w:szCs w:val="22"/>
        </w:rPr>
        <w:t>uvedených v časti 6.1.</w:t>
      </w:r>
      <w:r w:rsidR="00387C2C" w:rsidRPr="005F0D84">
        <w:rPr>
          <w:rFonts w:ascii="Times New Roman" w:hAnsi="Times New Roman"/>
          <w:sz w:val="22"/>
          <w:szCs w:val="22"/>
        </w:rPr>
        <w:t xml:space="preserve">, ako aj na iné </w:t>
      </w:r>
      <w:proofErr w:type="spellStart"/>
      <w:r w:rsidR="00387C2C" w:rsidRPr="005F0D84">
        <w:rPr>
          <w:rFonts w:ascii="Times New Roman" w:hAnsi="Times New Roman"/>
          <w:sz w:val="22"/>
          <w:szCs w:val="22"/>
        </w:rPr>
        <w:t>kortik</w:t>
      </w:r>
      <w:r w:rsidR="00387C2C" w:rsidRPr="00713241">
        <w:rPr>
          <w:rFonts w:ascii="Times New Roman" w:hAnsi="Times New Roman"/>
          <w:sz w:val="22"/>
          <w:szCs w:val="22"/>
        </w:rPr>
        <w:t>osteroidy</w:t>
      </w:r>
      <w:proofErr w:type="spellEnd"/>
      <w:r w:rsidR="00387C2C" w:rsidRPr="00713241">
        <w:rPr>
          <w:rFonts w:ascii="Times New Roman" w:hAnsi="Times New Roman"/>
          <w:sz w:val="22"/>
          <w:szCs w:val="22"/>
        </w:rPr>
        <w:t>.</w:t>
      </w:r>
    </w:p>
    <w:p w14:paraId="57249465" w14:textId="77777777" w:rsidR="00387C2C" w:rsidRPr="000062B1" w:rsidRDefault="00387C2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b/>
          <w:sz w:val="22"/>
          <w:szCs w:val="22"/>
        </w:rPr>
      </w:pPr>
    </w:p>
    <w:p w14:paraId="315DC0FB" w14:textId="77777777" w:rsidR="00AF3444" w:rsidRDefault="00387C2C" w:rsidP="00AF3444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b/>
          <w:strike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4.4</w:t>
      </w:r>
      <w:r w:rsidR="008147A7">
        <w:rPr>
          <w:rFonts w:ascii="Times New Roman" w:hAnsi="Times New Roman"/>
          <w:b/>
          <w:sz w:val="22"/>
          <w:szCs w:val="22"/>
        </w:rPr>
        <w:t xml:space="preserve">     </w:t>
      </w:r>
      <w:r w:rsidR="006F1CE7" w:rsidRPr="006F1CE7">
        <w:rPr>
          <w:rFonts w:ascii="Times New Roman" w:hAnsi="Times New Roman"/>
          <w:b/>
          <w:sz w:val="22"/>
          <w:szCs w:val="22"/>
        </w:rPr>
        <w:t>Osobitné upozornenia a opatrenia pri používaní</w:t>
      </w:r>
    </w:p>
    <w:p w14:paraId="74C1324D" w14:textId="77777777" w:rsidR="005E418C" w:rsidRPr="000062B1" w:rsidRDefault="005E418C" w:rsidP="00AF3444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32B39B00" w14:textId="77777777" w:rsidR="00387C2C" w:rsidRPr="000062B1" w:rsidRDefault="00387C2C" w:rsidP="007C5A33">
      <w:pPr>
        <w:tabs>
          <w:tab w:val="left" w:pos="-566"/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Dlhodobé používanie </w:t>
      </w:r>
      <w:proofErr w:type="spellStart"/>
      <w:r w:rsidRPr="000062B1">
        <w:rPr>
          <w:rFonts w:ascii="Times New Roman" w:hAnsi="Times New Roman"/>
          <w:sz w:val="22"/>
          <w:szCs w:val="22"/>
        </w:rPr>
        <w:t>kortikosteroidov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môže viesť k očnej hypertenzii alebo ku </w:t>
      </w:r>
      <w:proofErr w:type="spellStart"/>
      <w:r w:rsidRPr="000062B1">
        <w:rPr>
          <w:rFonts w:ascii="Times New Roman" w:hAnsi="Times New Roman"/>
          <w:sz w:val="22"/>
          <w:szCs w:val="22"/>
        </w:rPr>
        <w:t>glaukómu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s poškodením optického nervu, poškodeniu ostrosti zraku a zorného poľa, a k tvorbe zadnej </w:t>
      </w:r>
      <w:proofErr w:type="spellStart"/>
      <w:r w:rsidRPr="000062B1">
        <w:rPr>
          <w:rFonts w:ascii="Times New Roman" w:hAnsi="Times New Roman"/>
          <w:sz w:val="22"/>
          <w:szCs w:val="22"/>
        </w:rPr>
        <w:t>kapsulárnej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katarakty. V prítomnosti </w:t>
      </w:r>
      <w:proofErr w:type="spellStart"/>
      <w:r w:rsidRPr="000062B1">
        <w:rPr>
          <w:rFonts w:ascii="Times New Roman" w:hAnsi="Times New Roman"/>
          <w:sz w:val="22"/>
          <w:szCs w:val="22"/>
        </w:rPr>
        <w:t>glaukómu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sa </w:t>
      </w:r>
      <w:proofErr w:type="spellStart"/>
      <w:r w:rsidRPr="000062B1">
        <w:rPr>
          <w:rFonts w:ascii="Times New Roman" w:hAnsi="Times New Roman"/>
          <w:sz w:val="22"/>
          <w:szCs w:val="22"/>
        </w:rPr>
        <w:t>steroidy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musia používať obozretne.</w:t>
      </w:r>
    </w:p>
    <w:p w14:paraId="2F4E1F8D" w14:textId="77777777" w:rsidR="00AF3444" w:rsidRPr="000062B1" w:rsidRDefault="00AF3444" w:rsidP="007C5A33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724717B4" w14:textId="77777777" w:rsidR="00D42137" w:rsidRPr="00D42137" w:rsidRDefault="00D42137" w:rsidP="00D42137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D42137">
        <w:rPr>
          <w:rFonts w:ascii="Times New Roman" w:hAnsi="Times New Roman"/>
          <w:sz w:val="22"/>
          <w:szCs w:val="22"/>
        </w:rPr>
        <w:t>Poruchy videnia</w:t>
      </w:r>
    </w:p>
    <w:p w14:paraId="2C65374C" w14:textId="77777777" w:rsidR="00AA449C" w:rsidRDefault="00D42137" w:rsidP="00D42137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D42137">
        <w:rPr>
          <w:rFonts w:ascii="Times New Roman" w:hAnsi="Times New Roman"/>
          <w:sz w:val="22"/>
          <w:szCs w:val="22"/>
        </w:rPr>
        <w:t xml:space="preserve">Poruchy videnia môžu byť hlásené pri systémovom a lokálnom použití </w:t>
      </w:r>
      <w:proofErr w:type="spellStart"/>
      <w:r w:rsidRPr="00D42137">
        <w:rPr>
          <w:rFonts w:ascii="Times New Roman" w:hAnsi="Times New Roman"/>
          <w:sz w:val="22"/>
          <w:szCs w:val="22"/>
        </w:rPr>
        <w:t>kortikosteroidov</w:t>
      </w:r>
      <w:proofErr w:type="spellEnd"/>
      <w:r w:rsidRPr="00D42137">
        <w:rPr>
          <w:rFonts w:ascii="Times New Roman" w:hAnsi="Times New Roman"/>
          <w:sz w:val="22"/>
          <w:szCs w:val="22"/>
        </w:rPr>
        <w:t xml:space="preserve">. Ak sa u pacienta objavia symptómy, ako je rozmazané videnie alebo iné poruchy videnia, pacient má byť odporučený k </w:t>
      </w:r>
      <w:proofErr w:type="spellStart"/>
      <w:r w:rsidRPr="00D42137">
        <w:rPr>
          <w:rFonts w:ascii="Times New Roman" w:hAnsi="Times New Roman"/>
          <w:sz w:val="22"/>
          <w:szCs w:val="22"/>
        </w:rPr>
        <w:t>oftalmológovi</w:t>
      </w:r>
      <w:proofErr w:type="spellEnd"/>
      <w:r w:rsidRPr="00D42137">
        <w:rPr>
          <w:rFonts w:ascii="Times New Roman" w:hAnsi="Times New Roman"/>
          <w:sz w:val="22"/>
          <w:szCs w:val="22"/>
        </w:rPr>
        <w:t xml:space="preserve"> na posúdenie možných príčin, medzi ktoré môže patriť sivý zákal, </w:t>
      </w:r>
      <w:proofErr w:type="spellStart"/>
      <w:r w:rsidRPr="00D42137">
        <w:rPr>
          <w:rFonts w:ascii="Times New Roman" w:hAnsi="Times New Roman"/>
          <w:sz w:val="22"/>
          <w:szCs w:val="22"/>
        </w:rPr>
        <w:t>glaukóm</w:t>
      </w:r>
      <w:proofErr w:type="spellEnd"/>
      <w:r w:rsidRPr="00D42137">
        <w:rPr>
          <w:rFonts w:ascii="Times New Roman" w:hAnsi="Times New Roman"/>
          <w:sz w:val="22"/>
          <w:szCs w:val="22"/>
        </w:rPr>
        <w:t xml:space="preserve"> alebo zriedkavé ochorenia, ako je napríklad centrálna </w:t>
      </w:r>
      <w:proofErr w:type="spellStart"/>
      <w:r w:rsidRPr="00D42137">
        <w:rPr>
          <w:rFonts w:ascii="Times New Roman" w:hAnsi="Times New Roman"/>
          <w:sz w:val="22"/>
          <w:szCs w:val="22"/>
        </w:rPr>
        <w:t>serózna</w:t>
      </w:r>
      <w:proofErr w:type="spellEnd"/>
      <w:r w:rsidRPr="00D4213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42137">
        <w:rPr>
          <w:rFonts w:ascii="Times New Roman" w:hAnsi="Times New Roman"/>
          <w:sz w:val="22"/>
          <w:szCs w:val="22"/>
        </w:rPr>
        <w:t>chorioretinopatia</w:t>
      </w:r>
      <w:proofErr w:type="spellEnd"/>
      <w:r w:rsidRPr="00D42137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D42137">
        <w:rPr>
          <w:rFonts w:ascii="Times New Roman" w:hAnsi="Times New Roman"/>
          <w:sz w:val="22"/>
          <w:szCs w:val="22"/>
        </w:rPr>
        <w:t>CSCR</w:t>
      </w:r>
      <w:proofErr w:type="spellEnd"/>
      <w:r w:rsidRPr="00D42137">
        <w:rPr>
          <w:rFonts w:ascii="Times New Roman" w:hAnsi="Times New Roman"/>
          <w:sz w:val="22"/>
          <w:szCs w:val="22"/>
        </w:rPr>
        <w:t xml:space="preserve">), ktoré boli hlásené po použití systémových a lokálnych </w:t>
      </w:r>
      <w:proofErr w:type="spellStart"/>
      <w:r w:rsidRPr="00D42137">
        <w:rPr>
          <w:rFonts w:ascii="Times New Roman" w:hAnsi="Times New Roman"/>
          <w:sz w:val="22"/>
          <w:szCs w:val="22"/>
        </w:rPr>
        <w:t>kortikosteroidov</w:t>
      </w:r>
      <w:proofErr w:type="spellEnd"/>
      <w:r w:rsidRPr="00D42137">
        <w:rPr>
          <w:rFonts w:ascii="Times New Roman" w:hAnsi="Times New Roman"/>
          <w:sz w:val="22"/>
          <w:szCs w:val="22"/>
        </w:rPr>
        <w:t>.</w:t>
      </w:r>
    </w:p>
    <w:p w14:paraId="42072F75" w14:textId="77777777" w:rsidR="00D42137" w:rsidRDefault="00D42137" w:rsidP="00D42137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631D21D0" w14:textId="77777777" w:rsidR="00387C2C" w:rsidRPr="000062B1" w:rsidRDefault="00387C2C" w:rsidP="007C5A33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Dlhodobé používanie </w:t>
      </w:r>
      <w:proofErr w:type="spellStart"/>
      <w:r w:rsidRPr="000062B1">
        <w:rPr>
          <w:rFonts w:ascii="Times New Roman" w:hAnsi="Times New Roman"/>
          <w:sz w:val="22"/>
          <w:szCs w:val="22"/>
        </w:rPr>
        <w:t>kortikosteroidov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môže potlačiť reakciu hostiteľa a môže zvýšiť možnosť sekundárnych očných infekcií. Je známe, že pri ochoreniach spôsobujúcich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stenčenie rohovky alebo bielka, sa pri použití lokálnych </w:t>
      </w:r>
      <w:proofErr w:type="spellStart"/>
      <w:r w:rsidRPr="000062B1">
        <w:rPr>
          <w:rFonts w:ascii="Times New Roman" w:hAnsi="Times New Roman"/>
          <w:sz w:val="22"/>
          <w:szCs w:val="22"/>
        </w:rPr>
        <w:t>steroidov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vyskytli perforácie. Pri akútnych hnisavých očných chorobách </w:t>
      </w:r>
      <w:proofErr w:type="spellStart"/>
      <w:r w:rsidRPr="000062B1">
        <w:rPr>
          <w:rFonts w:ascii="Times New Roman" w:hAnsi="Times New Roman"/>
          <w:sz w:val="22"/>
          <w:szCs w:val="22"/>
        </w:rPr>
        <w:t>steroidy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môžu maskovať infekciu alebo zhoršiť existujúcu infekciu.  </w:t>
      </w:r>
    </w:p>
    <w:p w14:paraId="6FA70E3D" w14:textId="77777777" w:rsidR="00AF3444" w:rsidRPr="000062B1" w:rsidRDefault="00AF3444" w:rsidP="007C5A33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76DA26A7" w14:textId="77777777" w:rsidR="00387C2C" w:rsidRPr="000062B1" w:rsidRDefault="00387C2C" w:rsidP="007C5A33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Dlhodobá liečba </w:t>
      </w:r>
      <w:proofErr w:type="spellStart"/>
      <w:r w:rsidRPr="000062B1">
        <w:rPr>
          <w:rFonts w:ascii="Times New Roman" w:hAnsi="Times New Roman"/>
          <w:sz w:val="22"/>
          <w:szCs w:val="22"/>
        </w:rPr>
        <w:t>kortikosteroidmi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môže spôsobiť hubové ochorenie. Ak vred na rohovke pretrváva, je potrebné pri diferenciálnej diagnóze uvažovať o hubovom ochorení.</w:t>
      </w:r>
    </w:p>
    <w:p w14:paraId="2A09D579" w14:textId="77777777" w:rsidR="00AF3444" w:rsidRPr="000062B1" w:rsidRDefault="00AF3444" w:rsidP="007C5A33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564F3FB9" w14:textId="77777777" w:rsidR="00387C2C" w:rsidRPr="000062B1" w:rsidRDefault="00C85C5A" w:rsidP="007C5A33">
      <w:pPr>
        <w:pStyle w:val="Zarkazkladnhotextu3"/>
        <w:tabs>
          <w:tab w:val="clear" w:pos="0"/>
          <w:tab w:val="clear" w:pos="565"/>
          <w:tab w:val="left" w:pos="567"/>
        </w:tabs>
        <w:ind w:left="0" w:firstLine="0"/>
        <w:rPr>
          <w:sz w:val="22"/>
          <w:szCs w:val="22"/>
          <w:lang w:val="sk-SK"/>
        </w:rPr>
      </w:pPr>
      <w:proofErr w:type="spellStart"/>
      <w:r w:rsidRPr="009C1375">
        <w:rPr>
          <w:sz w:val="22"/>
          <w:szCs w:val="22"/>
          <w:lang w:val="sk-SK"/>
        </w:rPr>
        <w:t>Lotemax</w:t>
      </w:r>
      <w:proofErr w:type="spellEnd"/>
      <w:r w:rsidR="00387C2C" w:rsidRPr="000062B1">
        <w:rPr>
          <w:sz w:val="22"/>
          <w:szCs w:val="22"/>
          <w:lang w:val="sk-SK"/>
        </w:rPr>
        <w:t xml:space="preserve"> obsahuje </w:t>
      </w:r>
      <w:proofErr w:type="spellStart"/>
      <w:r w:rsidR="00387C2C" w:rsidRPr="000062B1">
        <w:rPr>
          <w:sz w:val="22"/>
          <w:szCs w:val="22"/>
          <w:lang w:val="sk-SK"/>
        </w:rPr>
        <w:t>benzalkóniumchlorid</w:t>
      </w:r>
      <w:proofErr w:type="spellEnd"/>
      <w:r w:rsidR="00387C2C" w:rsidRPr="000062B1">
        <w:rPr>
          <w:sz w:val="22"/>
          <w:szCs w:val="22"/>
          <w:lang w:val="sk-SK"/>
        </w:rPr>
        <w:t xml:space="preserve">, ktorý môže dráždiť </w:t>
      </w:r>
      <w:r w:rsidR="00F77457" w:rsidRPr="000062B1">
        <w:rPr>
          <w:sz w:val="22"/>
          <w:szCs w:val="22"/>
          <w:lang w:val="sk-SK"/>
        </w:rPr>
        <w:t>oč</w:t>
      </w:r>
      <w:r w:rsidR="00F77457">
        <w:rPr>
          <w:sz w:val="22"/>
          <w:szCs w:val="22"/>
          <w:lang w:val="sk-SK"/>
        </w:rPr>
        <w:t>i</w:t>
      </w:r>
      <w:r w:rsidR="00387C2C" w:rsidRPr="000062B1">
        <w:rPr>
          <w:sz w:val="22"/>
          <w:szCs w:val="22"/>
          <w:lang w:val="sk-SK"/>
        </w:rPr>
        <w:t>.</w:t>
      </w:r>
    </w:p>
    <w:p w14:paraId="394C81F6" w14:textId="77777777" w:rsidR="00AF3444" w:rsidRPr="000062B1" w:rsidRDefault="00AF3444" w:rsidP="007C5A33">
      <w:pPr>
        <w:pStyle w:val="Zarkazkladnhotextu3"/>
        <w:tabs>
          <w:tab w:val="clear" w:pos="0"/>
          <w:tab w:val="clear" w:pos="565"/>
          <w:tab w:val="left" w:pos="567"/>
        </w:tabs>
        <w:ind w:left="0" w:firstLine="0"/>
        <w:rPr>
          <w:sz w:val="22"/>
          <w:szCs w:val="22"/>
          <w:lang w:val="sk-SK"/>
        </w:rPr>
      </w:pPr>
    </w:p>
    <w:p w14:paraId="47228778" w14:textId="77777777" w:rsidR="00387C2C" w:rsidRPr="000062B1" w:rsidRDefault="00387C2C" w:rsidP="007C5A33">
      <w:pPr>
        <w:pStyle w:val="Zarkazkladnhotextu3"/>
        <w:tabs>
          <w:tab w:val="clear" w:pos="0"/>
          <w:tab w:val="clear" w:pos="565"/>
          <w:tab w:val="left" w:pos="567"/>
        </w:tabs>
        <w:ind w:left="0" w:firstLine="0"/>
        <w:rPr>
          <w:sz w:val="22"/>
          <w:szCs w:val="22"/>
          <w:lang w:val="sk-SK"/>
        </w:rPr>
      </w:pPr>
      <w:r w:rsidRPr="000062B1">
        <w:rPr>
          <w:sz w:val="22"/>
          <w:szCs w:val="22"/>
          <w:lang w:val="sk-SK"/>
        </w:rPr>
        <w:t>Vo všeobecnosti po operácii sivého zákalu pacienti nemajú nosiť kontaktné šošovky, pokiaľ ich nosenie nie je lekársky indikované.</w:t>
      </w:r>
    </w:p>
    <w:p w14:paraId="12B3DCEA" w14:textId="77777777" w:rsidR="00AF3444" w:rsidRPr="000062B1" w:rsidRDefault="00AF3444" w:rsidP="00AF3444">
      <w:pPr>
        <w:pStyle w:val="Zarkazkladnhotextu3"/>
        <w:ind w:left="0" w:firstLine="0"/>
        <w:rPr>
          <w:sz w:val="22"/>
          <w:szCs w:val="22"/>
          <w:lang w:val="sk-SK"/>
        </w:rPr>
      </w:pPr>
    </w:p>
    <w:p w14:paraId="192EBA14" w14:textId="77777777" w:rsidR="00387C2C" w:rsidRPr="000062B1" w:rsidRDefault="00387C2C" w:rsidP="007C5A33">
      <w:pPr>
        <w:pStyle w:val="Zarkazkladnhotextu3"/>
        <w:tabs>
          <w:tab w:val="clear" w:pos="0"/>
          <w:tab w:val="clear" w:pos="565"/>
          <w:tab w:val="left" w:pos="567"/>
        </w:tabs>
        <w:ind w:left="0" w:firstLine="0"/>
        <w:rPr>
          <w:sz w:val="22"/>
          <w:szCs w:val="22"/>
          <w:lang w:val="sk-SK"/>
        </w:rPr>
      </w:pPr>
      <w:r w:rsidRPr="000062B1">
        <w:rPr>
          <w:sz w:val="22"/>
          <w:szCs w:val="22"/>
          <w:lang w:val="sk-SK"/>
        </w:rPr>
        <w:t xml:space="preserve">Je potrebné sa vyhnúť kontaktu s mäkkými kontaktnými šošovkami. Pacientom treba odporučiť, aby si vybrali kontaktné šošovky pred </w:t>
      </w:r>
      <w:proofErr w:type="spellStart"/>
      <w:r w:rsidRPr="000062B1">
        <w:rPr>
          <w:sz w:val="22"/>
          <w:szCs w:val="22"/>
          <w:lang w:val="sk-SK"/>
        </w:rPr>
        <w:t>instiláciou</w:t>
      </w:r>
      <w:proofErr w:type="spellEnd"/>
      <w:r w:rsidRPr="000062B1">
        <w:rPr>
          <w:sz w:val="22"/>
          <w:szCs w:val="22"/>
          <w:lang w:val="sk-SK"/>
        </w:rPr>
        <w:t xml:space="preserve"> a počkali aspoň 15 minút, kým si ich znovu po aplikácii lieku vložia. Je známe, že tento liek môže spôsobiť zmenu zafarbenia mäkkých kontaktných šošoviek. </w:t>
      </w:r>
    </w:p>
    <w:p w14:paraId="30A5462B" w14:textId="77777777" w:rsidR="00AF3444" w:rsidRPr="000062B1" w:rsidRDefault="00AF3444" w:rsidP="007C5A33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4F819C3D" w14:textId="77777777" w:rsidR="00387C2C" w:rsidRPr="000062B1" w:rsidRDefault="00387C2C" w:rsidP="007C5A33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Ak sa príznaky zápalu do dvoch </w:t>
      </w:r>
      <w:r w:rsidR="000B5E28" w:rsidRPr="000062B1">
        <w:rPr>
          <w:rFonts w:ascii="Times New Roman" w:hAnsi="Times New Roman"/>
          <w:sz w:val="22"/>
          <w:szCs w:val="22"/>
        </w:rPr>
        <w:t>d</w:t>
      </w:r>
      <w:r w:rsidR="000B5E28">
        <w:rPr>
          <w:rFonts w:ascii="Times New Roman" w:hAnsi="Times New Roman"/>
          <w:sz w:val="22"/>
          <w:szCs w:val="22"/>
        </w:rPr>
        <w:t>ní</w:t>
      </w:r>
      <w:r w:rsidR="000B5E28" w:rsidRPr="000062B1">
        <w:rPr>
          <w:rFonts w:ascii="Times New Roman" w:hAnsi="Times New Roman"/>
          <w:sz w:val="22"/>
          <w:szCs w:val="22"/>
        </w:rPr>
        <w:t xml:space="preserve"> </w:t>
      </w:r>
      <w:r w:rsidRPr="000062B1">
        <w:rPr>
          <w:rFonts w:ascii="Times New Roman" w:hAnsi="Times New Roman"/>
          <w:sz w:val="22"/>
          <w:szCs w:val="22"/>
        </w:rPr>
        <w:t xml:space="preserve">nezlepšia, pacient sa musí znovu vyšetriť. Ak sa liek používa 10 alebo viac dní, musí sa skontrolovať </w:t>
      </w:r>
      <w:proofErr w:type="spellStart"/>
      <w:r w:rsidRPr="000062B1">
        <w:rPr>
          <w:rFonts w:ascii="Times New Roman" w:hAnsi="Times New Roman"/>
          <w:sz w:val="22"/>
          <w:szCs w:val="22"/>
        </w:rPr>
        <w:t>vnútroočný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tlak.  </w:t>
      </w:r>
    </w:p>
    <w:p w14:paraId="365FF72A" w14:textId="77777777" w:rsidR="00387C2C" w:rsidRPr="000062B1" w:rsidRDefault="00387C2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1A99DBD4" w14:textId="77777777" w:rsidR="00387C2C" w:rsidRPr="000062B1" w:rsidRDefault="00387C2C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4.5</w:t>
      </w:r>
      <w:r w:rsidRPr="000062B1">
        <w:rPr>
          <w:rFonts w:ascii="Times New Roman" w:hAnsi="Times New Roman"/>
          <w:b/>
          <w:sz w:val="22"/>
          <w:szCs w:val="22"/>
        </w:rPr>
        <w:tab/>
        <w:t>Liekové a iné interakcie</w:t>
      </w:r>
    </w:p>
    <w:p w14:paraId="1B931821" w14:textId="77777777" w:rsidR="00AF3444" w:rsidRPr="000062B1" w:rsidRDefault="00AF3444" w:rsidP="00AF3444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751161BB" w14:textId="77777777" w:rsidR="00387C2C" w:rsidRPr="000062B1" w:rsidRDefault="00387C2C" w:rsidP="007C5A33">
      <w:pPr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Keďže po lokálnom podávaní </w:t>
      </w:r>
      <w:proofErr w:type="spellStart"/>
      <w:r w:rsidR="00C85C5A" w:rsidRPr="000062B1">
        <w:rPr>
          <w:rFonts w:ascii="Times New Roman" w:hAnsi="Times New Roman"/>
          <w:sz w:val="22"/>
          <w:szCs w:val="22"/>
        </w:rPr>
        <w:t>Lotemax</w:t>
      </w:r>
      <w:r w:rsidRPr="000062B1">
        <w:rPr>
          <w:rFonts w:ascii="Times New Roman" w:hAnsi="Times New Roman"/>
          <w:sz w:val="22"/>
          <w:szCs w:val="22"/>
        </w:rPr>
        <w:t>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nie je </w:t>
      </w:r>
      <w:proofErr w:type="spellStart"/>
      <w:r w:rsidRPr="000062B1">
        <w:rPr>
          <w:rFonts w:ascii="Times New Roman" w:hAnsi="Times New Roman"/>
          <w:sz w:val="22"/>
          <w:szCs w:val="22"/>
        </w:rPr>
        <w:t>loteprednolum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detekovateľný v plazme, neočakáva sa, že bude mať vplyv na </w:t>
      </w:r>
      <w:proofErr w:type="spellStart"/>
      <w:r w:rsidRPr="000062B1">
        <w:rPr>
          <w:rFonts w:ascii="Times New Roman" w:hAnsi="Times New Roman"/>
          <w:sz w:val="22"/>
          <w:szCs w:val="22"/>
        </w:rPr>
        <w:t>farmakokinetiku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systémovo podávaného lieku. Avšak nízky potenciál očnej </w:t>
      </w:r>
      <w:proofErr w:type="spellStart"/>
      <w:r w:rsidRPr="000062B1">
        <w:rPr>
          <w:rFonts w:ascii="Times New Roman" w:hAnsi="Times New Roman"/>
          <w:sz w:val="22"/>
          <w:szCs w:val="22"/>
        </w:rPr>
        <w:t>instilácie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loteprednolum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na zvýšenie </w:t>
      </w:r>
      <w:proofErr w:type="spellStart"/>
      <w:r w:rsidRPr="000062B1">
        <w:rPr>
          <w:rFonts w:ascii="Times New Roman" w:hAnsi="Times New Roman"/>
          <w:sz w:val="22"/>
          <w:szCs w:val="22"/>
        </w:rPr>
        <w:t>vnútroočného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tlaku môže byť nežiaduco ovplyvnený systémovo podávanými liekmi s </w:t>
      </w:r>
      <w:proofErr w:type="spellStart"/>
      <w:r w:rsidRPr="000062B1">
        <w:rPr>
          <w:rFonts w:ascii="Times New Roman" w:hAnsi="Times New Roman"/>
          <w:sz w:val="22"/>
          <w:szCs w:val="22"/>
        </w:rPr>
        <w:t>anticholinergickou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aktivitou. U pacientov užívajúcich súbežne </w:t>
      </w:r>
      <w:proofErr w:type="spellStart"/>
      <w:r w:rsidRPr="000062B1">
        <w:rPr>
          <w:rFonts w:ascii="Times New Roman" w:hAnsi="Times New Roman"/>
          <w:sz w:val="22"/>
          <w:szCs w:val="22"/>
        </w:rPr>
        <w:t>hypotenznú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očnú liečbu pridanie </w:t>
      </w:r>
      <w:proofErr w:type="spellStart"/>
      <w:r w:rsidRPr="000062B1">
        <w:rPr>
          <w:rFonts w:ascii="Times New Roman" w:hAnsi="Times New Roman"/>
          <w:sz w:val="22"/>
          <w:szCs w:val="22"/>
        </w:rPr>
        <w:t>loteprednolum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môže zvýšiť </w:t>
      </w:r>
      <w:proofErr w:type="spellStart"/>
      <w:r w:rsidRPr="000062B1">
        <w:rPr>
          <w:rFonts w:ascii="Times New Roman" w:hAnsi="Times New Roman"/>
          <w:sz w:val="22"/>
          <w:szCs w:val="22"/>
        </w:rPr>
        <w:t>vnútroočný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tlak a znížiť zjavný </w:t>
      </w:r>
      <w:proofErr w:type="spellStart"/>
      <w:r w:rsidRPr="000062B1">
        <w:rPr>
          <w:rFonts w:ascii="Times New Roman" w:hAnsi="Times New Roman"/>
          <w:sz w:val="22"/>
          <w:szCs w:val="22"/>
        </w:rPr>
        <w:t>hypotenzný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účinok týchto liekov.   </w:t>
      </w:r>
    </w:p>
    <w:p w14:paraId="36DF4888" w14:textId="77777777" w:rsidR="00AF3444" w:rsidRPr="000062B1" w:rsidRDefault="00AF3444" w:rsidP="007C5A33">
      <w:pPr>
        <w:jc w:val="both"/>
        <w:rPr>
          <w:rFonts w:ascii="Times New Roman" w:hAnsi="Times New Roman"/>
          <w:sz w:val="22"/>
          <w:szCs w:val="22"/>
        </w:rPr>
      </w:pPr>
    </w:p>
    <w:p w14:paraId="2EEE5E27" w14:textId="77777777" w:rsidR="00387C2C" w:rsidRPr="000062B1" w:rsidRDefault="00387C2C" w:rsidP="007C5A33">
      <w:pPr>
        <w:tabs>
          <w:tab w:val="left" w:pos="54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lastRenderedPageBreak/>
        <w:t xml:space="preserve">Súčasné podávanie </w:t>
      </w:r>
      <w:proofErr w:type="spellStart"/>
      <w:r w:rsidRPr="000062B1">
        <w:rPr>
          <w:rFonts w:ascii="Times New Roman" w:hAnsi="Times New Roman"/>
          <w:sz w:val="22"/>
          <w:szCs w:val="22"/>
        </w:rPr>
        <w:t>cykloplegických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liekov môže zvýšiť riziko zvýšeného </w:t>
      </w:r>
      <w:proofErr w:type="spellStart"/>
      <w:r w:rsidRPr="000062B1">
        <w:rPr>
          <w:rFonts w:ascii="Times New Roman" w:hAnsi="Times New Roman"/>
          <w:sz w:val="22"/>
          <w:szCs w:val="22"/>
        </w:rPr>
        <w:t>vnútroočného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tlaku.</w:t>
      </w:r>
    </w:p>
    <w:p w14:paraId="099EC25B" w14:textId="77777777" w:rsidR="00387C2C" w:rsidRPr="000062B1" w:rsidRDefault="00387C2C">
      <w:pPr>
        <w:tabs>
          <w:tab w:val="left" w:pos="54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28B474F8" w14:textId="34B3B5F5" w:rsidR="00B43B7D" w:rsidRPr="000062B1" w:rsidRDefault="00AF0985" w:rsidP="007C5A33">
      <w:pPr>
        <w:tabs>
          <w:tab w:val="left" w:pos="54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Predpokladá </w:t>
      </w:r>
      <w:r w:rsidRPr="00B43B7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sa </w:t>
      </w:r>
      <w:r w:rsidRPr="00B43B7D">
        <w:rPr>
          <w:rFonts w:ascii="Times New Roman" w:hAnsi="Times New Roman"/>
          <w:sz w:val="22"/>
          <w:szCs w:val="22"/>
        </w:rPr>
        <w:t>zv</w:t>
      </w:r>
      <w:r>
        <w:rPr>
          <w:rFonts w:ascii="Times New Roman" w:hAnsi="Times New Roman"/>
          <w:sz w:val="22"/>
          <w:szCs w:val="22"/>
        </w:rPr>
        <w:t xml:space="preserve">ýšené </w:t>
      </w:r>
      <w:r w:rsidRPr="00B43B7D">
        <w:rPr>
          <w:rFonts w:ascii="Times New Roman" w:hAnsi="Times New Roman"/>
          <w:sz w:val="22"/>
          <w:szCs w:val="22"/>
        </w:rPr>
        <w:t xml:space="preserve">riziko systémových </w:t>
      </w:r>
      <w:r w:rsidR="002E706C">
        <w:rPr>
          <w:rFonts w:ascii="Times New Roman" w:hAnsi="Times New Roman"/>
          <w:sz w:val="22"/>
          <w:szCs w:val="22"/>
        </w:rPr>
        <w:t xml:space="preserve">nežiaducich </w:t>
      </w:r>
      <w:r w:rsidRPr="00B43B7D">
        <w:rPr>
          <w:rFonts w:ascii="Times New Roman" w:hAnsi="Times New Roman"/>
          <w:sz w:val="22"/>
          <w:szCs w:val="22"/>
        </w:rPr>
        <w:t xml:space="preserve"> účinkov</w:t>
      </w:r>
      <w:r>
        <w:rPr>
          <w:rFonts w:ascii="Times New Roman" w:hAnsi="Times New Roman"/>
          <w:sz w:val="22"/>
          <w:szCs w:val="22"/>
        </w:rPr>
        <w:t xml:space="preserve"> p</w:t>
      </w:r>
      <w:r w:rsidR="00B43B7D">
        <w:rPr>
          <w:rFonts w:ascii="Times New Roman" w:hAnsi="Times New Roman"/>
          <w:sz w:val="22"/>
          <w:szCs w:val="22"/>
        </w:rPr>
        <w:t xml:space="preserve">ri súbežnej </w:t>
      </w:r>
      <w:r w:rsidR="00B43B7D" w:rsidRPr="00B43B7D">
        <w:rPr>
          <w:rFonts w:ascii="Times New Roman" w:hAnsi="Times New Roman"/>
          <w:sz w:val="22"/>
          <w:szCs w:val="22"/>
        </w:rPr>
        <w:t xml:space="preserve"> liečb</w:t>
      </w:r>
      <w:r w:rsidR="00B43B7D">
        <w:rPr>
          <w:rFonts w:ascii="Times New Roman" w:hAnsi="Times New Roman"/>
          <w:sz w:val="22"/>
          <w:szCs w:val="22"/>
        </w:rPr>
        <w:t>e</w:t>
      </w:r>
      <w:r w:rsidR="00B43B7D" w:rsidRPr="00B43B7D">
        <w:rPr>
          <w:rFonts w:ascii="Times New Roman" w:hAnsi="Times New Roman"/>
          <w:sz w:val="22"/>
          <w:szCs w:val="22"/>
        </w:rPr>
        <w:t xml:space="preserve"> s inhibítormi </w:t>
      </w:r>
      <w:proofErr w:type="spellStart"/>
      <w:r w:rsidR="00B43B7D" w:rsidRPr="00B43B7D">
        <w:rPr>
          <w:rFonts w:ascii="Times New Roman" w:hAnsi="Times New Roman"/>
          <w:sz w:val="22"/>
          <w:szCs w:val="22"/>
        </w:rPr>
        <w:t>CYP3A</w:t>
      </w:r>
      <w:proofErr w:type="spellEnd"/>
      <w:r w:rsidR="00B43B7D" w:rsidRPr="00B43B7D">
        <w:rPr>
          <w:rFonts w:ascii="Times New Roman" w:hAnsi="Times New Roman"/>
          <w:sz w:val="22"/>
          <w:szCs w:val="22"/>
        </w:rPr>
        <w:t xml:space="preserve">, vrátane </w:t>
      </w:r>
      <w:r w:rsidR="00B43B7D">
        <w:rPr>
          <w:rFonts w:ascii="Times New Roman" w:hAnsi="Times New Roman"/>
          <w:sz w:val="22"/>
          <w:szCs w:val="22"/>
        </w:rPr>
        <w:t xml:space="preserve">liekov obsahujúcich </w:t>
      </w:r>
      <w:proofErr w:type="spellStart"/>
      <w:r w:rsidR="00B43B7D" w:rsidRPr="00B43B7D">
        <w:rPr>
          <w:rFonts w:ascii="Times New Roman" w:hAnsi="Times New Roman"/>
          <w:sz w:val="22"/>
          <w:szCs w:val="22"/>
        </w:rPr>
        <w:t>cobicistat</w:t>
      </w:r>
      <w:proofErr w:type="spellEnd"/>
      <w:r w:rsidR="00B43B7D" w:rsidRPr="00B43B7D">
        <w:rPr>
          <w:rFonts w:ascii="Times New Roman" w:hAnsi="Times New Roman"/>
          <w:sz w:val="22"/>
          <w:szCs w:val="22"/>
        </w:rPr>
        <w:t xml:space="preserve">. </w:t>
      </w:r>
      <w:r w:rsidR="00DE5D45">
        <w:rPr>
          <w:rFonts w:ascii="Times New Roman" w:hAnsi="Times New Roman"/>
          <w:sz w:val="22"/>
          <w:szCs w:val="22"/>
        </w:rPr>
        <w:t xml:space="preserve">Takejto kombinácii je potrebné sa </w:t>
      </w:r>
      <w:proofErr w:type="spellStart"/>
      <w:r w:rsidR="00DE5D45">
        <w:rPr>
          <w:rFonts w:ascii="Times New Roman" w:hAnsi="Times New Roman"/>
          <w:sz w:val="22"/>
          <w:szCs w:val="22"/>
        </w:rPr>
        <w:t>vyhnuť</w:t>
      </w:r>
      <w:proofErr w:type="spellEnd"/>
      <w:r w:rsidR="00DE5D45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DE5D45">
        <w:rPr>
          <w:rFonts w:ascii="Times New Roman" w:hAnsi="Times New Roman"/>
          <w:sz w:val="22"/>
          <w:szCs w:val="22"/>
        </w:rPr>
        <w:t xml:space="preserve">ak  však </w:t>
      </w:r>
      <w:r w:rsidR="00B43B7D" w:rsidRPr="00B43B7D">
        <w:rPr>
          <w:rFonts w:ascii="Times New Roman" w:hAnsi="Times New Roman"/>
          <w:sz w:val="22"/>
          <w:szCs w:val="22"/>
        </w:rPr>
        <w:t>prínos</w:t>
      </w:r>
      <w:r>
        <w:rPr>
          <w:rFonts w:ascii="Times New Roman" w:hAnsi="Times New Roman"/>
          <w:sz w:val="22"/>
          <w:szCs w:val="22"/>
        </w:rPr>
        <w:t xml:space="preserve"> liečby </w:t>
      </w:r>
      <w:r w:rsidR="00B43B7D" w:rsidRPr="00B43B7D">
        <w:rPr>
          <w:rFonts w:ascii="Times New Roman" w:hAnsi="Times New Roman"/>
          <w:sz w:val="22"/>
          <w:szCs w:val="22"/>
        </w:rPr>
        <w:t xml:space="preserve"> </w:t>
      </w:r>
      <w:r w:rsidR="00B43B7D">
        <w:rPr>
          <w:rFonts w:ascii="Times New Roman" w:hAnsi="Times New Roman"/>
          <w:sz w:val="22"/>
          <w:szCs w:val="22"/>
        </w:rPr>
        <w:t xml:space="preserve">prevyšuje </w:t>
      </w:r>
      <w:r w:rsidR="00B43B7D" w:rsidRPr="00B43B7D">
        <w:rPr>
          <w:rFonts w:ascii="Times New Roman" w:hAnsi="Times New Roman"/>
          <w:sz w:val="22"/>
          <w:szCs w:val="22"/>
        </w:rPr>
        <w:t xml:space="preserve"> zvýšené riziko systémových </w:t>
      </w:r>
      <w:r w:rsidR="002E706C">
        <w:rPr>
          <w:rFonts w:ascii="Times New Roman" w:hAnsi="Times New Roman"/>
          <w:sz w:val="22"/>
          <w:szCs w:val="22"/>
        </w:rPr>
        <w:t xml:space="preserve">nežiaducich </w:t>
      </w:r>
      <w:r w:rsidR="00B43B7D" w:rsidRPr="00B43B7D">
        <w:rPr>
          <w:rFonts w:ascii="Times New Roman" w:hAnsi="Times New Roman"/>
          <w:sz w:val="22"/>
          <w:szCs w:val="22"/>
        </w:rPr>
        <w:t xml:space="preserve">účinkov </w:t>
      </w:r>
      <w:proofErr w:type="spellStart"/>
      <w:r w:rsidR="00B43B7D" w:rsidRPr="00B43B7D">
        <w:rPr>
          <w:rFonts w:ascii="Times New Roman" w:hAnsi="Times New Roman"/>
          <w:sz w:val="22"/>
          <w:szCs w:val="22"/>
        </w:rPr>
        <w:t>kortikosteroidov</w:t>
      </w:r>
      <w:proofErr w:type="spellEnd"/>
      <w:r w:rsidR="00B43B7D" w:rsidRPr="00B43B7D">
        <w:rPr>
          <w:rFonts w:ascii="Times New Roman" w:hAnsi="Times New Roman"/>
          <w:sz w:val="22"/>
          <w:szCs w:val="22"/>
        </w:rPr>
        <w:t xml:space="preserve">, </w:t>
      </w:r>
      <w:r w:rsidR="00DE5D45">
        <w:rPr>
          <w:rFonts w:ascii="Times New Roman" w:hAnsi="Times New Roman"/>
          <w:sz w:val="22"/>
          <w:szCs w:val="22"/>
        </w:rPr>
        <w:t>pacient by mal byť monitorovaný</w:t>
      </w:r>
      <w:r w:rsidR="00BB08D2">
        <w:rPr>
          <w:rFonts w:ascii="Times New Roman" w:hAnsi="Times New Roman"/>
          <w:sz w:val="22"/>
          <w:szCs w:val="22"/>
        </w:rPr>
        <w:t xml:space="preserve"> pre prípad systémových </w:t>
      </w:r>
      <w:r w:rsidR="002E706C">
        <w:rPr>
          <w:rFonts w:ascii="Times New Roman" w:hAnsi="Times New Roman"/>
          <w:sz w:val="22"/>
          <w:szCs w:val="22"/>
        </w:rPr>
        <w:t xml:space="preserve">nežiaducich </w:t>
      </w:r>
      <w:r w:rsidR="00BB08D2">
        <w:rPr>
          <w:rFonts w:ascii="Times New Roman" w:hAnsi="Times New Roman"/>
          <w:sz w:val="22"/>
          <w:szCs w:val="22"/>
        </w:rPr>
        <w:t xml:space="preserve"> účinkov </w:t>
      </w:r>
      <w:proofErr w:type="spellStart"/>
      <w:r w:rsidR="00BB08D2">
        <w:rPr>
          <w:rFonts w:ascii="Times New Roman" w:hAnsi="Times New Roman"/>
          <w:sz w:val="22"/>
          <w:szCs w:val="22"/>
        </w:rPr>
        <w:t>kortikosteroidov</w:t>
      </w:r>
      <w:proofErr w:type="spellEnd"/>
      <w:r w:rsidR="00BB08D2">
        <w:rPr>
          <w:rFonts w:ascii="Times New Roman" w:hAnsi="Times New Roman"/>
          <w:sz w:val="22"/>
          <w:szCs w:val="22"/>
        </w:rPr>
        <w:t>.</w:t>
      </w:r>
      <w:r w:rsidR="00B43B7D" w:rsidRPr="00B43B7D">
        <w:rPr>
          <w:rFonts w:ascii="Times New Roman" w:hAnsi="Times New Roman"/>
          <w:sz w:val="22"/>
          <w:szCs w:val="22"/>
        </w:rPr>
        <w:t xml:space="preserve"> </w:t>
      </w:r>
    </w:p>
    <w:p w14:paraId="2DF8234A" w14:textId="77777777" w:rsidR="00387C2C" w:rsidRPr="000062B1" w:rsidRDefault="00387C2C">
      <w:pPr>
        <w:tabs>
          <w:tab w:val="left" w:pos="54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2A92DBC6" w14:textId="77777777" w:rsidR="00387C2C" w:rsidRPr="000062B1" w:rsidRDefault="00387C2C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b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4.6</w:t>
      </w:r>
      <w:r w:rsidRPr="000062B1">
        <w:rPr>
          <w:rFonts w:ascii="Times New Roman" w:hAnsi="Times New Roman"/>
          <w:b/>
          <w:sz w:val="22"/>
          <w:szCs w:val="22"/>
        </w:rPr>
        <w:tab/>
      </w:r>
      <w:proofErr w:type="spellStart"/>
      <w:r w:rsidR="006F1CE7">
        <w:rPr>
          <w:rFonts w:ascii="Times New Roman" w:hAnsi="Times New Roman"/>
          <w:b/>
          <w:sz w:val="22"/>
          <w:szCs w:val="22"/>
        </w:rPr>
        <w:t>Fertilita</w:t>
      </w:r>
      <w:proofErr w:type="spellEnd"/>
      <w:r w:rsidR="006F1CE7">
        <w:rPr>
          <w:rFonts w:ascii="Times New Roman" w:hAnsi="Times New Roman"/>
          <w:b/>
          <w:sz w:val="22"/>
          <w:szCs w:val="22"/>
        </w:rPr>
        <w:t>, g</w:t>
      </w:r>
      <w:r w:rsidRPr="000062B1">
        <w:rPr>
          <w:rFonts w:ascii="Times New Roman" w:hAnsi="Times New Roman"/>
          <w:b/>
          <w:sz w:val="22"/>
          <w:szCs w:val="22"/>
        </w:rPr>
        <w:t>ravidita a laktácia</w:t>
      </w:r>
    </w:p>
    <w:p w14:paraId="5F06160A" w14:textId="77777777" w:rsidR="00387C2C" w:rsidRPr="000062B1" w:rsidRDefault="00387C2C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0788790B" w14:textId="77777777" w:rsidR="00387C2C" w:rsidRPr="007C5A33" w:rsidRDefault="00387C2C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  <w:u w:val="single"/>
        </w:rPr>
      </w:pPr>
      <w:r w:rsidRPr="007C5A33">
        <w:rPr>
          <w:rFonts w:ascii="Times New Roman" w:hAnsi="Times New Roman"/>
          <w:sz w:val="22"/>
          <w:szCs w:val="22"/>
          <w:u w:val="single"/>
        </w:rPr>
        <w:t>Gravidita</w:t>
      </w:r>
    </w:p>
    <w:p w14:paraId="199854B2" w14:textId="77777777" w:rsidR="00387C2C" w:rsidRPr="000062B1" w:rsidRDefault="00387C2C" w:rsidP="007C5A33">
      <w:pPr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Nie sú dostupné žiadne klinické údaje o gravidných ženách vystavených účinku </w:t>
      </w:r>
      <w:proofErr w:type="spellStart"/>
      <w:r w:rsidR="00C85C5A" w:rsidRPr="000062B1">
        <w:rPr>
          <w:rFonts w:ascii="Times New Roman" w:hAnsi="Times New Roman"/>
          <w:sz w:val="22"/>
          <w:szCs w:val="22"/>
        </w:rPr>
        <w:t>Lotemax</w:t>
      </w:r>
      <w:r w:rsidRPr="000062B1">
        <w:rPr>
          <w:rFonts w:ascii="Times New Roman" w:hAnsi="Times New Roman"/>
          <w:sz w:val="22"/>
          <w:szCs w:val="22"/>
        </w:rPr>
        <w:t>u</w:t>
      </w:r>
      <w:proofErr w:type="spellEnd"/>
      <w:r w:rsidRPr="000062B1">
        <w:rPr>
          <w:rFonts w:ascii="Times New Roman" w:hAnsi="Times New Roman"/>
          <w:sz w:val="22"/>
          <w:szCs w:val="22"/>
        </w:rPr>
        <w:t>.  Štúdie na zvieratách poukázali na reprodukčnú toxicitu (pozri časť 5.3).  Potenciálne riziko</w:t>
      </w:r>
    </w:p>
    <w:p w14:paraId="03F5DEE6" w14:textId="77777777" w:rsidR="00387C2C" w:rsidRPr="000062B1" w:rsidRDefault="00387C2C" w:rsidP="007C5A33">
      <w:pPr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pre ľudí nie je známe a </w:t>
      </w:r>
      <w:proofErr w:type="spellStart"/>
      <w:r w:rsidR="00C85C5A" w:rsidRPr="000062B1">
        <w:rPr>
          <w:rFonts w:ascii="Times New Roman" w:hAnsi="Times New Roman"/>
          <w:sz w:val="22"/>
          <w:szCs w:val="22"/>
        </w:rPr>
        <w:t>Lotemax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sa nemá podávať gravidným ženám, pokiaľ to nie je nevyhnutné. </w:t>
      </w:r>
    </w:p>
    <w:p w14:paraId="0A74D3CE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ab/>
      </w:r>
    </w:p>
    <w:p w14:paraId="3EEE4CCB" w14:textId="77777777" w:rsidR="00387C2C" w:rsidRPr="007C5A33" w:rsidRDefault="00387C2C" w:rsidP="007C5A33">
      <w:pPr>
        <w:pStyle w:val="Nadpis1"/>
        <w:ind w:left="0"/>
        <w:jc w:val="both"/>
        <w:rPr>
          <w:sz w:val="22"/>
          <w:szCs w:val="22"/>
          <w:u w:val="single"/>
          <w:lang w:val="sk-SK"/>
        </w:rPr>
      </w:pPr>
      <w:r w:rsidRPr="007C5A33">
        <w:rPr>
          <w:sz w:val="22"/>
          <w:szCs w:val="22"/>
          <w:u w:val="single"/>
          <w:lang w:val="sk-SK"/>
        </w:rPr>
        <w:t>Laktácia</w:t>
      </w:r>
    </w:p>
    <w:p w14:paraId="5704E21C" w14:textId="77777777" w:rsidR="00387C2C" w:rsidRPr="000062B1" w:rsidRDefault="00387C2C" w:rsidP="007C5A33">
      <w:pPr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Nie je známe, či sa </w:t>
      </w:r>
      <w:proofErr w:type="spellStart"/>
      <w:r w:rsidRPr="000062B1">
        <w:rPr>
          <w:rFonts w:ascii="Times New Roman" w:hAnsi="Times New Roman"/>
          <w:sz w:val="22"/>
          <w:szCs w:val="22"/>
        </w:rPr>
        <w:t>loteprednolum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vylučuje do ľudského mlieka. Vylučovanie </w:t>
      </w:r>
      <w:proofErr w:type="spellStart"/>
      <w:r w:rsidRPr="000062B1">
        <w:rPr>
          <w:rFonts w:ascii="Times New Roman" w:hAnsi="Times New Roman"/>
          <w:sz w:val="22"/>
          <w:szCs w:val="22"/>
        </w:rPr>
        <w:t>loteprednolum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do materského mlieka nebolo skúmané v štúdiách na zvieratách.  </w:t>
      </w:r>
      <w:proofErr w:type="spellStart"/>
      <w:r w:rsidRPr="000062B1">
        <w:rPr>
          <w:rFonts w:ascii="Times New Roman" w:hAnsi="Times New Roman"/>
          <w:sz w:val="22"/>
          <w:szCs w:val="22"/>
        </w:rPr>
        <w:t>Loteprednolum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sa preto nemá podávať dojčiacim ženám.  </w:t>
      </w:r>
    </w:p>
    <w:p w14:paraId="040C4EE3" w14:textId="77777777" w:rsidR="00387C2C" w:rsidRPr="000062B1" w:rsidRDefault="00387C2C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673B04F2" w14:textId="77777777" w:rsidR="00387C2C" w:rsidRPr="000062B1" w:rsidRDefault="00387C2C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4.7</w:t>
      </w:r>
      <w:r w:rsidRPr="000062B1">
        <w:rPr>
          <w:rFonts w:ascii="Times New Roman" w:hAnsi="Times New Roman"/>
          <w:b/>
          <w:sz w:val="22"/>
          <w:szCs w:val="22"/>
        </w:rPr>
        <w:tab/>
        <w:t>Ovplyvnenie schopnosti viesť vozidlá a obsluhovať stroje</w:t>
      </w:r>
    </w:p>
    <w:p w14:paraId="5E39B7BD" w14:textId="77777777" w:rsidR="006319EC" w:rsidRPr="000062B1" w:rsidRDefault="006319EC" w:rsidP="006319E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674AC937" w14:textId="77777777" w:rsidR="00387C2C" w:rsidRPr="000062B1" w:rsidRDefault="00387C2C" w:rsidP="007C5A33">
      <w:pPr>
        <w:tabs>
          <w:tab w:val="left" w:pos="566"/>
          <w:tab w:val="left" w:pos="630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>Neuskutočnili sa žiadne štúdie o účinkoch na schopnosť viesť vozidlá a obsluhovať stroje.</w:t>
      </w:r>
    </w:p>
    <w:p w14:paraId="3B1630FA" w14:textId="77777777" w:rsidR="00387C2C" w:rsidRPr="000062B1" w:rsidRDefault="00387C2C" w:rsidP="007C5A33">
      <w:pPr>
        <w:tabs>
          <w:tab w:val="left" w:pos="566"/>
          <w:tab w:val="left" w:pos="630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>Ak sa vyskytnú prechodné účinky na videnie, pacientovi treba odporučiť, aby vtedy neriadil vozidlá a neobsluhoval stroje.</w:t>
      </w:r>
    </w:p>
    <w:p w14:paraId="08237C59" w14:textId="77777777" w:rsidR="00387C2C" w:rsidRPr="000062B1" w:rsidRDefault="00387C2C">
      <w:pPr>
        <w:tabs>
          <w:tab w:val="left" w:pos="566"/>
          <w:tab w:val="left" w:pos="630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5466223F" w14:textId="77777777" w:rsidR="00387C2C" w:rsidRPr="000062B1" w:rsidRDefault="00387C2C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4.8</w:t>
      </w:r>
      <w:r w:rsidRPr="000062B1">
        <w:rPr>
          <w:rFonts w:ascii="Times New Roman" w:hAnsi="Times New Roman"/>
          <w:b/>
          <w:sz w:val="22"/>
          <w:szCs w:val="22"/>
        </w:rPr>
        <w:tab/>
        <w:t>Nežiaduce účinky</w:t>
      </w:r>
    </w:p>
    <w:p w14:paraId="6D3CA267" w14:textId="77777777" w:rsidR="00387C2C" w:rsidRPr="000062B1" w:rsidRDefault="00387C2C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ab/>
      </w:r>
    </w:p>
    <w:p w14:paraId="4A2F2940" w14:textId="77777777" w:rsidR="00387C2C" w:rsidRPr="000062B1" w:rsidRDefault="00387C2C" w:rsidP="007C5A33">
      <w:pPr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Reakcie spojené s oftalmologickými </w:t>
      </w:r>
      <w:proofErr w:type="spellStart"/>
      <w:r w:rsidRPr="000062B1">
        <w:rPr>
          <w:rFonts w:ascii="Times New Roman" w:hAnsi="Times New Roman"/>
          <w:sz w:val="22"/>
          <w:szCs w:val="22"/>
        </w:rPr>
        <w:t>steroidmi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u pacientov reagujúcich na </w:t>
      </w:r>
      <w:proofErr w:type="spellStart"/>
      <w:r w:rsidRPr="000062B1">
        <w:rPr>
          <w:rFonts w:ascii="Times New Roman" w:hAnsi="Times New Roman"/>
          <w:sz w:val="22"/>
          <w:szCs w:val="22"/>
        </w:rPr>
        <w:t>steroidy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zahrňujú zvýšený </w:t>
      </w:r>
      <w:proofErr w:type="spellStart"/>
      <w:r w:rsidRPr="000062B1">
        <w:rPr>
          <w:rFonts w:ascii="Times New Roman" w:hAnsi="Times New Roman"/>
          <w:sz w:val="22"/>
          <w:szCs w:val="22"/>
        </w:rPr>
        <w:t>vnútroočný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tlak, ktorý môže byť spojený s poškodením optického nervu, ostrosť zraku a  defekty zorného poľa,  tvorbu zadnej </w:t>
      </w:r>
      <w:proofErr w:type="spellStart"/>
      <w:r w:rsidRPr="000062B1">
        <w:rPr>
          <w:rFonts w:ascii="Times New Roman" w:hAnsi="Times New Roman"/>
          <w:sz w:val="22"/>
          <w:szCs w:val="22"/>
        </w:rPr>
        <w:t>kapsulárnej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katarakty, sekundárne očné infekcie vrátane herpes </w:t>
      </w:r>
      <w:proofErr w:type="spellStart"/>
      <w:r w:rsidRPr="000062B1">
        <w:rPr>
          <w:rFonts w:ascii="Times New Roman" w:hAnsi="Times New Roman"/>
          <w:sz w:val="22"/>
          <w:szCs w:val="22"/>
        </w:rPr>
        <w:t>simplex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, a perforácie očnej gule tam, kde došlo k stenčeniu rohovky alebo bielka.  </w:t>
      </w:r>
    </w:p>
    <w:p w14:paraId="0E4E6261" w14:textId="77777777" w:rsidR="006319EC" w:rsidRPr="000062B1" w:rsidRDefault="006319EC" w:rsidP="007C5A33">
      <w:pPr>
        <w:jc w:val="both"/>
        <w:rPr>
          <w:rFonts w:ascii="Times New Roman" w:hAnsi="Times New Roman"/>
          <w:sz w:val="22"/>
          <w:szCs w:val="22"/>
        </w:rPr>
      </w:pPr>
    </w:p>
    <w:p w14:paraId="7020ECD1" w14:textId="77777777" w:rsidR="00387C2C" w:rsidRPr="000062B1" w:rsidRDefault="00387C2C" w:rsidP="007C5A33">
      <w:pPr>
        <w:tabs>
          <w:tab w:val="left" w:pos="3888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0062B1">
        <w:rPr>
          <w:rFonts w:ascii="Times New Roman" w:hAnsi="Times New Roman"/>
          <w:sz w:val="22"/>
          <w:szCs w:val="22"/>
        </w:rPr>
        <w:t>Okulárne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nežiaduce reakcie v klinických štúdiách pacientov liečených očnou suspenziou </w:t>
      </w:r>
      <w:proofErr w:type="spellStart"/>
      <w:r w:rsidRPr="000062B1">
        <w:rPr>
          <w:rFonts w:ascii="Times New Roman" w:hAnsi="Times New Roman"/>
          <w:sz w:val="22"/>
          <w:szCs w:val="22"/>
        </w:rPr>
        <w:t>loteprednolum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zahŕňali nasledovné: </w:t>
      </w:r>
    </w:p>
    <w:p w14:paraId="3A29F600" w14:textId="77777777" w:rsidR="006319EC" w:rsidRPr="000062B1" w:rsidRDefault="006319EC" w:rsidP="007C5A33">
      <w:pPr>
        <w:tabs>
          <w:tab w:val="left" w:pos="3888"/>
        </w:tabs>
        <w:jc w:val="both"/>
        <w:rPr>
          <w:rFonts w:ascii="Times New Roman" w:hAnsi="Times New Roman"/>
          <w:sz w:val="22"/>
          <w:szCs w:val="22"/>
        </w:rPr>
      </w:pPr>
    </w:p>
    <w:p w14:paraId="76CF4360" w14:textId="77777777" w:rsidR="00387C2C" w:rsidRPr="000062B1" w:rsidRDefault="00387C2C" w:rsidP="007C5A33">
      <w:pPr>
        <w:tabs>
          <w:tab w:val="left" w:pos="3888"/>
        </w:tabs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>Všetky nežiaduce účinky boli klasifikované nasledovne: veľmi časté (&gt;1/10), časté (&gt;1/100, &lt;1/10), menej časté (&gt;1/1000, &lt;1/100), zriedkavé (&gt;1/10000, &lt;1/1000), veľmi zriedkavé (&lt;1/10000)</w:t>
      </w:r>
      <w:r w:rsidR="001160E2">
        <w:rPr>
          <w:rFonts w:ascii="Times New Roman" w:hAnsi="Times New Roman"/>
          <w:sz w:val="22"/>
          <w:szCs w:val="22"/>
        </w:rPr>
        <w:t xml:space="preserve"> a neznáme (z dostupných zdrojov)</w:t>
      </w:r>
      <w:r w:rsidRPr="000062B1">
        <w:rPr>
          <w:rFonts w:ascii="Times New Roman" w:hAnsi="Times New Roman"/>
          <w:sz w:val="22"/>
          <w:szCs w:val="22"/>
        </w:rPr>
        <w:t>.</w:t>
      </w:r>
    </w:p>
    <w:p w14:paraId="0858B0DD" w14:textId="77777777" w:rsidR="006319EC" w:rsidRPr="007C5A33" w:rsidRDefault="006319EC" w:rsidP="007C5A33"/>
    <w:p w14:paraId="4D85D2D8" w14:textId="77777777" w:rsidR="00387C2C" w:rsidRPr="007C5A33" w:rsidRDefault="001160E2" w:rsidP="007C5A33">
      <w:pPr>
        <w:pStyle w:val="Nadpis7"/>
        <w:ind w:left="0"/>
        <w:rPr>
          <w:b w:val="0"/>
          <w:i/>
          <w:sz w:val="22"/>
          <w:szCs w:val="22"/>
        </w:rPr>
      </w:pPr>
      <w:r w:rsidRPr="007C5A33">
        <w:rPr>
          <w:b w:val="0"/>
          <w:i/>
          <w:sz w:val="22"/>
          <w:szCs w:val="22"/>
        </w:rPr>
        <w:t xml:space="preserve">Poruchy </w:t>
      </w:r>
      <w:r w:rsidR="00387C2C" w:rsidRPr="007C5A33">
        <w:rPr>
          <w:b w:val="0"/>
          <w:i/>
          <w:sz w:val="22"/>
          <w:szCs w:val="22"/>
        </w:rPr>
        <w:t>oka</w:t>
      </w:r>
    </w:p>
    <w:p w14:paraId="0A19F50E" w14:textId="646AB54E" w:rsidR="00387C2C" w:rsidRPr="000062B1" w:rsidRDefault="00387C2C" w:rsidP="00262E31">
      <w:pPr>
        <w:tabs>
          <w:tab w:val="left" w:pos="3060"/>
        </w:tabs>
        <w:ind w:left="1701" w:hanging="1701"/>
        <w:jc w:val="both"/>
        <w:rPr>
          <w:rFonts w:ascii="Times New Roman" w:hAnsi="Times New Roman"/>
          <w:sz w:val="22"/>
          <w:szCs w:val="22"/>
        </w:rPr>
      </w:pPr>
      <w:r w:rsidRPr="007E2CF2">
        <w:rPr>
          <w:rFonts w:ascii="Times New Roman" w:hAnsi="Times New Roman"/>
          <w:iCs/>
          <w:sz w:val="22"/>
          <w:szCs w:val="22"/>
        </w:rPr>
        <w:t>Časté</w:t>
      </w:r>
      <w:r w:rsidRPr="007E2CF2">
        <w:rPr>
          <w:rFonts w:ascii="Times New Roman" w:hAnsi="Times New Roman"/>
          <w:sz w:val="22"/>
          <w:szCs w:val="22"/>
        </w:rPr>
        <w:t>:</w:t>
      </w:r>
      <w:r w:rsidRPr="000062B1">
        <w:rPr>
          <w:rFonts w:ascii="Times New Roman" w:hAnsi="Times New Roman"/>
          <w:sz w:val="22"/>
          <w:szCs w:val="22"/>
        </w:rPr>
        <w:t xml:space="preserve"> </w:t>
      </w:r>
      <w:r w:rsidR="00883094">
        <w:rPr>
          <w:rFonts w:ascii="Times New Roman" w:hAnsi="Times New Roman"/>
          <w:sz w:val="22"/>
          <w:szCs w:val="22"/>
        </w:rPr>
        <w:tab/>
      </w:r>
      <w:r w:rsidRPr="000062B1">
        <w:rPr>
          <w:rFonts w:ascii="Times New Roman" w:hAnsi="Times New Roman"/>
          <w:sz w:val="22"/>
          <w:szCs w:val="22"/>
        </w:rPr>
        <w:t xml:space="preserve">poškodenie rohovky, výtok z oka, očné ťažkosti, suché oko, slzenie, pocit cudzieho telesa v očiach, prekrvenie spojoviek a svrbenie očí. </w:t>
      </w:r>
    </w:p>
    <w:p w14:paraId="20DACAA4" w14:textId="77777777" w:rsidR="00387C2C" w:rsidRPr="000062B1" w:rsidRDefault="00387C2C" w:rsidP="00262E31">
      <w:pPr>
        <w:tabs>
          <w:tab w:val="left" w:pos="3060"/>
        </w:tabs>
        <w:jc w:val="both"/>
        <w:rPr>
          <w:rFonts w:ascii="Times New Roman" w:hAnsi="Times New Roman"/>
          <w:sz w:val="22"/>
          <w:szCs w:val="22"/>
          <w:u w:val="single"/>
        </w:rPr>
      </w:pPr>
    </w:p>
    <w:p w14:paraId="049CC408" w14:textId="64E5E9B9" w:rsidR="00387C2C" w:rsidRDefault="00387C2C" w:rsidP="00262E31">
      <w:pPr>
        <w:tabs>
          <w:tab w:val="left" w:pos="3060"/>
        </w:tabs>
        <w:ind w:left="1701" w:hanging="1701"/>
        <w:jc w:val="both"/>
        <w:rPr>
          <w:rFonts w:ascii="Times New Roman" w:hAnsi="Times New Roman"/>
          <w:sz w:val="22"/>
          <w:szCs w:val="22"/>
        </w:rPr>
      </w:pPr>
      <w:r w:rsidRPr="007E2CF2">
        <w:rPr>
          <w:rFonts w:ascii="Times New Roman" w:hAnsi="Times New Roman"/>
          <w:iCs/>
          <w:sz w:val="22"/>
          <w:szCs w:val="22"/>
        </w:rPr>
        <w:t>Menej časté:</w:t>
      </w:r>
      <w:r w:rsidRPr="000062B1">
        <w:rPr>
          <w:rFonts w:ascii="Times New Roman" w:hAnsi="Times New Roman"/>
          <w:sz w:val="22"/>
          <w:szCs w:val="22"/>
        </w:rPr>
        <w:t xml:space="preserve"> </w:t>
      </w:r>
      <w:r w:rsidR="00883094">
        <w:rPr>
          <w:rFonts w:ascii="Times New Roman" w:hAnsi="Times New Roman"/>
          <w:sz w:val="22"/>
          <w:szCs w:val="22"/>
        </w:rPr>
        <w:tab/>
      </w:r>
      <w:r w:rsidRPr="000062B1">
        <w:rPr>
          <w:rFonts w:ascii="Times New Roman" w:hAnsi="Times New Roman"/>
          <w:sz w:val="22"/>
          <w:szCs w:val="22"/>
        </w:rPr>
        <w:t xml:space="preserve">poruchy zrakovej ostrosti a zorného poľa, </w:t>
      </w:r>
      <w:r w:rsidR="0088309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chemóza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883094" w:rsidRPr="000062B1">
        <w:rPr>
          <w:rFonts w:ascii="Times New Roman" w:hAnsi="Times New Roman"/>
          <w:sz w:val="22"/>
          <w:szCs w:val="22"/>
        </w:rPr>
        <w:t>keratokonjunktivitída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062B1">
        <w:rPr>
          <w:rFonts w:ascii="Times New Roman" w:hAnsi="Times New Roman"/>
          <w:sz w:val="22"/>
          <w:szCs w:val="22"/>
        </w:rPr>
        <w:t>konjunktivitída</w:t>
      </w:r>
      <w:proofErr w:type="spellEnd"/>
      <w:r w:rsidR="00313357">
        <w:rPr>
          <w:rFonts w:ascii="Times New Roman" w:hAnsi="Times New Roman"/>
          <w:sz w:val="22"/>
          <w:szCs w:val="22"/>
        </w:rPr>
        <w:t xml:space="preserve">, </w:t>
      </w:r>
      <w:r w:rsidRPr="000062B1">
        <w:rPr>
          <w:rFonts w:ascii="Times New Roman" w:hAnsi="Times New Roman"/>
          <w:sz w:val="22"/>
          <w:szCs w:val="22"/>
        </w:rPr>
        <w:t xml:space="preserve"> zápal dúhovky, dráždenie očí, bolesť očí, </w:t>
      </w:r>
      <w:proofErr w:type="spellStart"/>
      <w:r w:rsidRPr="000062B1">
        <w:rPr>
          <w:rFonts w:ascii="Times New Roman" w:hAnsi="Times New Roman"/>
          <w:sz w:val="22"/>
          <w:szCs w:val="22"/>
        </w:rPr>
        <w:t>papilóza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spojoviek, </w:t>
      </w:r>
      <w:proofErr w:type="spellStart"/>
      <w:r w:rsidRPr="000062B1">
        <w:rPr>
          <w:rFonts w:ascii="Times New Roman" w:hAnsi="Times New Roman"/>
          <w:sz w:val="22"/>
          <w:szCs w:val="22"/>
        </w:rPr>
        <w:t>fotofóbia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0062B1">
        <w:rPr>
          <w:rFonts w:ascii="Times New Roman" w:hAnsi="Times New Roman"/>
          <w:sz w:val="22"/>
          <w:szCs w:val="22"/>
        </w:rPr>
        <w:t>uveitída</w:t>
      </w:r>
      <w:proofErr w:type="spellEnd"/>
      <w:r w:rsidRPr="000062B1">
        <w:rPr>
          <w:rFonts w:ascii="Times New Roman" w:hAnsi="Times New Roman"/>
          <w:sz w:val="22"/>
          <w:szCs w:val="22"/>
        </w:rPr>
        <w:t>.</w:t>
      </w:r>
    </w:p>
    <w:p w14:paraId="221DB4C7" w14:textId="77777777" w:rsidR="00D64769" w:rsidRDefault="00D64769" w:rsidP="00262E31">
      <w:pPr>
        <w:tabs>
          <w:tab w:val="left" w:pos="3060"/>
        </w:tabs>
        <w:ind w:left="1701" w:hanging="1701"/>
        <w:jc w:val="both"/>
        <w:rPr>
          <w:rFonts w:ascii="Times New Roman" w:hAnsi="Times New Roman"/>
          <w:sz w:val="22"/>
          <w:szCs w:val="22"/>
        </w:rPr>
      </w:pPr>
    </w:p>
    <w:p w14:paraId="7ED3B3B8" w14:textId="406CFF3C" w:rsidR="00313357" w:rsidRDefault="00D64769" w:rsidP="00262E31">
      <w:pPr>
        <w:tabs>
          <w:tab w:val="left" w:pos="1701"/>
        </w:tabs>
        <w:ind w:left="1701" w:hanging="17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Neznáme</w:t>
      </w:r>
      <w:r w:rsidR="00313357" w:rsidRPr="00262E31">
        <w:rPr>
          <w:rFonts w:ascii="Times New Roman" w:hAnsi="Times New Roman"/>
          <w:sz w:val="22"/>
          <w:szCs w:val="22"/>
        </w:rPr>
        <w:t>:</w:t>
      </w:r>
      <w:r w:rsidR="00313357" w:rsidRPr="00262E3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rozmazané videnie </w:t>
      </w:r>
      <w:r w:rsidR="00313357" w:rsidRPr="00262E3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pozri tiež časť 4.4.</w:t>
      </w:r>
      <w:r w:rsidR="00313357" w:rsidRPr="00262E31">
        <w:rPr>
          <w:rFonts w:ascii="Times New Roman" w:hAnsi="Times New Roman"/>
          <w:sz w:val="22"/>
          <w:szCs w:val="22"/>
        </w:rPr>
        <w:t>).</w:t>
      </w:r>
    </w:p>
    <w:p w14:paraId="1CA9EE47" w14:textId="77777777" w:rsidR="00313357" w:rsidRDefault="00313357" w:rsidP="00313357">
      <w:pPr>
        <w:tabs>
          <w:tab w:val="left" w:pos="1418"/>
        </w:tabs>
        <w:ind w:left="1418" w:hanging="1418"/>
        <w:rPr>
          <w:rFonts w:ascii="Times New Roman" w:hAnsi="Times New Roman"/>
          <w:sz w:val="22"/>
          <w:szCs w:val="22"/>
        </w:rPr>
      </w:pPr>
    </w:p>
    <w:p w14:paraId="5FB2F6B0" w14:textId="46EAF903" w:rsidR="00D64769" w:rsidRPr="00D64769" w:rsidRDefault="00D64769" w:rsidP="00D64769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rPr>
          <w:rFonts w:ascii="Times New Roman" w:hAnsi="Times New Roman"/>
          <w:sz w:val="22"/>
          <w:szCs w:val="22"/>
        </w:rPr>
      </w:pPr>
      <w:r w:rsidRPr="00D64769">
        <w:rPr>
          <w:rFonts w:ascii="Times New Roman" w:hAnsi="Times New Roman"/>
          <w:sz w:val="22"/>
          <w:szCs w:val="22"/>
        </w:rPr>
        <w:t xml:space="preserve">Niektoré z týchto </w:t>
      </w:r>
      <w:r>
        <w:rPr>
          <w:rFonts w:ascii="Times New Roman" w:hAnsi="Times New Roman"/>
          <w:sz w:val="22"/>
          <w:szCs w:val="22"/>
        </w:rPr>
        <w:t>príznakov</w:t>
      </w:r>
      <w:r w:rsidRPr="00D64769">
        <w:rPr>
          <w:rFonts w:ascii="Times New Roman" w:hAnsi="Times New Roman"/>
          <w:sz w:val="22"/>
          <w:szCs w:val="22"/>
        </w:rPr>
        <w:t xml:space="preserve"> boli podobné</w:t>
      </w:r>
      <w:r>
        <w:rPr>
          <w:rFonts w:ascii="Times New Roman" w:hAnsi="Times New Roman"/>
          <w:sz w:val="22"/>
          <w:szCs w:val="22"/>
        </w:rPr>
        <w:t> ochorenia</w:t>
      </w:r>
      <w:r w:rsidR="00262E31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 xml:space="preserve"> očí, </w:t>
      </w:r>
      <w:r w:rsidRPr="00D64769">
        <w:rPr>
          <w:rFonts w:ascii="Times New Roman" w:hAnsi="Times New Roman"/>
          <w:sz w:val="22"/>
          <w:szCs w:val="22"/>
        </w:rPr>
        <w:t>ktor</w:t>
      </w:r>
      <w:r>
        <w:rPr>
          <w:rFonts w:ascii="Times New Roman" w:hAnsi="Times New Roman"/>
          <w:sz w:val="22"/>
          <w:szCs w:val="22"/>
        </w:rPr>
        <w:t>é</w:t>
      </w:r>
      <w:r w:rsidRPr="00D6476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boli </w:t>
      </w:r>
      <w:r w:rsidR="008D4C64">
        <w:rPr>
          <w:rFonts w:ascii="Times New Roman" w:hAnsi="Times New Roman"/>
          <w:sz w:val="22"/>
          <w:szCs w:val="22"/>
        </w:rPr>
        <w:t xml:space="preserve">predmetom </w:t>
      </w:r>
      <w:proofErr w:type="spellStart"/>
      <w:r w:rsidR="008D4C64">
        <w:rPr>
          <w:rFonts w:ascii="Times New Roman" w:hAnsi="Times New Roman"/>
          <w:sz w:val="22"/>
          <w:szCs w:val="22"/>
        </w:rPr>
        <w:t>šúdie</w:t>
      </w:r>
      <w:proofErr w:type="spellEnd"/>
      <w:r w:rsidR="008D4C64">
        <w:rPr>
          <w:rFonts w:ascii="Times New Roman" w:hAnsi="Times New Roman"/>
          <w:sz w:val="22"/>
          <w:szCs w:val="22"/>
        </w:rPr>
        <w:t>.</w:t>
      </w:r>
      <w:r w:rsidR="0090262F">
        <w:rPr>
          <w:rFonts w:ascii="Times New Roman" w:hAnsi="Times New Roman"/>
          <w:sz w:val="22"/>
          <w:szCs w:val="22"/>
        </w:rPr>
        <w:t xml:space="preserve">. </w:t>
      </w:r>
    </w:p>
    <w:p w14:paraId="6FAEB3A6" w14:textId="77777777" w:rsidR="00D64769" w:rsidRPr="00D64769" w:rsidRDefault="00D64769" w:rsidP="00D64769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rPr>
          <w:rFonts w:ascii="Times New Roman" w:hAnsi="Times New Roman"/>
          <w:sz w:val="22"/>
          <w:szCs w:val="22"/>
        </w:rPr>
      </w:pPr>
    </w:p>
    <w:p w14:paraId="748511AA" w14:textId="5E366402" w:rsidR="0090262F" w:rsidRDefault="0090262F" w:rsidP="00262E31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Medzi </w:t>
      </w:r>
      <w:r w:rsidR="00262E31">
        <w:rPr>
          <w:rFonts w:ascii="Times New Roman" w:hAnsi="Times New Roman"/>
          <w:sz w:val="22"/>
          <w:szCs w:val="22"/>
        </w:rPr>
        <w:t>príznaky nesúvisiace s očami</w:t>
      </w:r>
      <w:r>
        <w:rPr>
          <w:rFonts w:ascii="Times New Roman" w:hAnsi="Times New Roman"/>
          <w:sz w:val="22"/>
          <w:szCs w:val="22"/>
        </w:rPr>
        <w:t>,  vyskytujúce sa u pacientov a pravdepodobne súvisiace s liečbou patria:</w:t>
      </w:r>
    </w:p>
    <w:p w14:paraId="5E4FD56E" w14:textId="77777777" w:rsidR="00D64769" w:rsidRDefault="00D64769" w:rsidP="00262E31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rPr>
          <w:rFonts w:ascii="Times New Roman" w:hAnsi="Times New Roman"/>
          <w:sz w:val="22"/>
          <w:szCs w:val="22"/>
        </w:rPr>
      </w:pPr>
    </w:p>
    <w:p w14:paraId="3298BDAC" w14:textId="77777777" w:rsidR="00883094" w:rsidRPr="007C5A33" w:rsidRDefault="00883094" w:rsidP="00883094">
      <w:pPr>
        <w:pStyle w:val="Nadpis7"/>
        <w:tabs>
          <w:tab w:val="clear" w:pos="3888"/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0"/>
        <w:rPr>
          <w:b w:val="0"/>
          <w:i/>
          <w:sz w:val="22"/>
          <w:szCs w:val="22"/>
        </w:rPr>
      </w:pPr>
      <w:r w:rsidRPr="007C5A33">
        <w:rPr>
          <w:b w:val="0"/>
          <w:i/>
          <w:sz w:val="22"/>
          <w:szCs w:val="22"/>
        </w:rPr>
        <w:lastRenderedPageBreak/>
        <w:t>Infekcie a nákazy</w:t>
      </w:r>
    </w:p>
    <w:p w14:paraId="28B13279" w14:textId="77777777" w:rsidR="00883094" w:rsidRPr="000062B1" w:rsidRDefault="00883094" w:rsidP="00262E31">
      <w:pPr>
        <w:tabs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1701" w:hanging="1701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iCs/>
          <w:sz w:val="22"/>
          <w:szCs w:val="22"/>
        </w:rPr>
        <w:t xml:space="preserve">Menej časté: </w:t>
      </w:r>
      <w:r>
        <w:rPr>
          <w:rFonts w:ascii="Times New Roman" w:hAnsi="Times New Roman"/>
          <w:iCs/>
          <w:sz w:val="22"/>
          <w:szCs w:val="22"/>
        </w:rPr>
        <w:tab/>
      </w:r>
      <w:r w:rsidRPr="000062B1">
        <w:rPr>
          <w:rFonts w:ascii="Times New Roman" w:hAnsi="Times New Roman"/>
          <w:sz w:val="22"/>
          <w:szCs w:val="22"/>
        </w:rPr>
        <w:t>zápal hltana</w:t>
      </w:r>
    </w:p>
    <w:p w14:paraId="30EA0E45" w14:textId="77777777" w:rsidR="00883094" w:rsidRPr="000062B1" w:rsidRDefault="00883094" w:rsidP="00262E31">
      <w:pPr>
        <w:tabs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1701" w:hanging="1701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iCs/>
          <w:sz w:val="22"/>
          <w:szCs w:val="22"/>
        </w:rPr>
        <w:t>Zriedkavé:</w:t>
      </w:r>
      <w:r w:rsidRPr="000062B1"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0062B1">
        <w:rPr>
          <w:rFonts w:ascii="Times New Roman" w:hAnsi="Times New Roman"/>
          <w:sz w:val="22"/>
          <w:szCs w:val="22"/>
        </w:rPr>
        <w:t>infekcie močového traktu a močovej rúry</w:t>
      </w:r>
    </w:p>
    <w:p w14:paraId="1E323D64" w14:textId="77777777" w:rsidR="006319EC" w:rsidRPr="007C5A33" w:rsidRDefault="006319EC" w:rsidP="007C5A33"/>
    <w:p w14:paraId="0869F462" w14:textId="77777777" w:rsidR="00883094" w:rsidRPr="00D64769" w:rsidRDefault="00883094" w:rsidP="00262E31">
      <w:pPr>
        <w:tabs>
          <w:tab w:val="left" w:pos="-2880"/>
          <w:tab w:val="left" w:pos="0"/>
          <w:tab w:val="left" w:pos="565"/>
          <w:tab w:val="left" w:pos="2880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sz w:val="22"/>
          <w:szCs w:val="22"/>
        </w:rPr>
      </w:pPr>
      <w:r w:rsidRPr="007C5A33">
        <w:rPr>
          <w:rFonts w:ascii="Times New Roman" w:hAnsi="Times New Roman"/>
          <w:bCs/>
          <w:i/>
          <w:sz w:val="22"/>
          <w:szCs w:val="22"/>
        </w:rPr>
        <w:t>Benígne a malígne nádory, vrátane nešpecifikovaných novotvarov (cysty a polypy</w:t>
      </w:r>
      <w:r>
        <w:rPr>
          <w:rFonts w:ascii="Times New Roman" w:hAnsi="Times New Roman"/>
          <w:bCs/>
          <w:sz w:val="22"/>
          <w:szCs w:val="22"/>
        </w:rPr>
        <w:t>)</w:t>
      </w:r>
    </w:p>
    <w:p w14:paraId="63D0F8EA" w14:textId="77777777" w:rsidR="00883094" w:rsidRPr="000062B1" w:rsidRDefault="00883094" w:rsidP="00262E31">
      <w:pPr>
        <w:pStyle w:val="Nadpis5"/>
        <w:tabs>
          <w:tab w:val="clear" w:pos="-2880"/>
          <w:tab w:val="clear" w:pos="0"/>
          <w:tab w:val="clear" w:pos="565"/>
          <w:tab w:val="left" w:pos="1698"/>
          <w:tab w:val="left" w:pos="2264"/>
        </w:tabs>
        <w:ind w:left="1701" w:hanging="1701"/>
        <w:rPr>
          <w:sz w:val="22"/>
          <w:szCs w:val="22"/>
          <w:lang w:val="sk-SK"/>
        </w:rPr>
      </w:pPr>
      <w:r w:rsidRPr="000062B1">
        <w:rPr>
          <w:iCs/>
          <w:sz w:val="22"/>
          <w:szCs w:val="22"/>
          <w:lang w:val="sk-SK"/>
        </w:rPr>
        <w:t>Zriedkavé</w:t>
      </w:r>
      <w:r w:rsidRPr="000062B1">
        <w:rPr>
          <w:sz w:val="22"/>
          <w:szCs w:val="22"/>
          <w:lang w:val="sk-SK"/>
        </w:rPr>
        <w:t xml:space="preserve">: </w:t>
      </w:r>
      <w:r>
        <w:rPr>
          <w:sz w:val="22"/>
          <w:szCs w:val="22"/>
          <w:lang w:val="sk-SK"/>
        </w:rPr>
        <w:tab/>
      </w:r>
      <w:r w:rsidRPr="000062B1">
        <w:rPr>
          <w:sz w:val="22"/>
          <w:szCs w:val="22"/>
          <w:lang w:val="sk-SK"/>
        </w:rPr>
        <w:t>nádory prsníka</w:t>
      </w:r>
    </w:p>
    <w:p w14:paraId="62EA1461" w14:textId="77777777" w:rsidR="00883094" w:rsidRPr="000062B1" w:rsidRDefault="00883094" w:rsidP="00883094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80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491CB23E" w14:textId="77777777" w:rsidR="00690626" w:rsidRPr="007C5A33" w:rsidRDefault="00690626" w:rsidP="00690626">
      <w:pPr>
        <w:pStyle w:val="Nadpis7"/>
        <w:tabs>
          <w:tab w:val="clear" w:pos="3888"/>
          <w:tab w:val="left" w:pos="567"/>
          <w:tab w:val="left" w:pos="1131"/>
          <w:tab w:val="left" w:pos="1698"/>
          <w:tab w:val="left" w:pos="2264"/>
          <w:tab w:val="left" w:pos="2880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0"/>
        <w:rPr>
          <w:b w:val="0"/>
          <w:i/>
          <w:sz w:val="22"/>
          <w:szCs w:val="22"/>
        </w:rPr>
      </w:pPr>
      <w:r w:rsidRPr="007C5A33">
        <w:rPr>
          <w:b w:val="0"/>
          <w:i/>
          <w:sz w:val="22"/>
          <w:szCs w:val="22"/>
        </w:rPr>
        <w:t>Psychické poruchy</w:t>
      </w:r>
    </w:p>
    <w:p w14:paraId="6CEEC8AA" w14:textId="77777777" w:rsidR="00690626" w:rsidRPr="000062B1" w:rsidRDefault="00690626" w:rsidP="00262E31">
      <w:pPr>
        <w:tabs>
          <w:tab w:val="left" w:pos="1698"/>
          <w:tab w:val="left" w:pos="2264"/>
          <w:tab w:val="left" w:pos="2880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1701" w:hanging="1701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iCs/>
          <w:sz w:val="22"/>
          <w:szCs w:val="22"/>
        </w:rPr>
        <w:t>Zriedkavé</w:t>
      </w:r>
      <w:r w:rsidRPr="000062B1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ab/>
      </w:r>
      <w:r w:rsidRPr="000062B1">
        <w:rPr>
          <w:rFonts w:ascii="Times New Roman" w:hAnsi="Times New Roman"/>
          <w:sz w:val="22"/>
          <w:szCs w:val="22"/>
        </w:rPr>
        <w:t>nervozita</w:t>
      </w:r>
    </w:p>
    <w:p w14:paraId="1F95214A" w14:textId="77777777" w:rsidR="00883094" w:rsidRDefault="00883094" w:rsidP="007C5A33">
      <w:pPr>
        <w:pStyle w:val="Nadpis7"/>
        <w:tabs>
          <w:tab w:val="clear" w:pos="3888"/>
          <w:tab w:val="left" w:pos="3060"/>
        </w:tabs>
        <w:ind w:left="0"/>
        <w:rPr>
          <w:b w:val="0"/>
          <w:i/>
          <w:sz w:val="22"/>
          <w:szCs w:val="22"/>
        </w:rPr>
      </w:pPr>
    </w:p>
    <w:p w14:paraId="372ACD5B" w14:textId="77777777" w:rsidR="00045B9A" w:rsidRPr="007C5A33" w:rsidRDefault="00045B9A" w:rsidP="00045B9A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bCs/>
          <w:i/>
          <w:sz w:val="22"/>
          <w:szCs w:val="22"/>
        </w:rPr>
      </w:pPr>
      <w:r w:rsidRPr="007C5A33">
        <w:rPr>
          <w:rFonts w:ascii="Times New Roman" w:hAnsi="Times New Roman"/>
          <w:bCs/>
          <w:i/>
          <w:sz w:val="22"/>
          <w:szCs w:val="22"/>
        </w:rPr>
        <w:t>Poruchy nervového systému</w:t>
      </w:r>
    </w:p>
    <w:p w14:paraId="0014DBC0" w14:textId="77777777" w:rsidR="00045B9A" w:rsidRPr="000062B1" w:rsidRDefault="00045B9A" w:rsidP="00262E31">
      <w:pPr>
        <w:tabs>
          <w:tab w:val="left" w:pos="-540"/>
          <w:tab w:val="left" w:pos="1701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1701" w:hanging="1701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iCs/>
          <w:sz w:val="22"/>
          <w:szCs w:val="22"/>
        </w:rPr>
        <w:t xml:space="preserve">Časté: </w:t>
      </w:r>
      <w:r>
        <w:rPr>
          <w:rFonts w:ascii="Times New Roman" w:hAnsi="Times New Roman"/>
          <w:iCs/>
          <w:sz w:val="22"/>
          <w:szCs w:val="22"/>
        </w:rPr>
        <w:tab/>
      </w:r>
      <w:r w:rsidRPr="000062B1">
        <w:rPr>
          <w:rFonts w:ascii="Times New Roman" w:hAnsi="Times New Roman"/>
          <w:sz w:val="22"/>
          <w:szCs w:val="22"/>
        </w:rPr>
        <w:t>bolesť hlavy</w:t>
      </w:r>
    </w:p>
    <w:p w14:paraId="3B3F175D" w14:textId="77777777" w:rsidR="00045B9A" w:rsidRPr="000062B1" w:rsidRDefault="00045B9A" w:rsidP="00262E31">
      <w:pPr>
        <w:tabs>
          <w:tab w:val="left" w:pos="-540"/>
          <w:tab w:val="left" w:pos="1701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1701" w:hanging="1701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iCs/>
          <w:sz w:val="22"/>
          <w:szCs w:val="22"/>
        </w:rPr>
        <w:t>Zriedkavé: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0062B1">
        <w:rPr>
          <w:rFonts w:ascii="Times New Roman" w:hAnsi="Times New Roman"/>
          <w:sz w:val="22"/>
          <w:szCs w:val="22"/>
        </w:rPr>
        <w:t xml:space="preserve">migréna, zmeny chute, závrat, </w:t>
      </w:r>
      <w:proofErr w:type="spellStart"/>
      <w:r w:rsidRPr="000062B1">
        <w:rPr>
          <w:rFonts w:ascii="Times New Roman" w:hAnsi="Times New Roman"/>
          <w:sz w:val="22"/>
          <w:szCs w:val="22"/>
        </w:rPr>
        <w:t>parestézia</w:t>
      </w:r>
      <w:proofErr w:type="spellEnd"/>
    </w:p>
    <w:p w14:paraId="0D192134" w14:textId="77777777" w:rsidR="006319EC" w:rsidRPr="00262E31" w:rsidRDefault="006319EC" w:rsidP="00262E31">
      <w:pPr>
        <w:rPr>
          <w:i/>
          <w:sz w:val="22"/>
        </w:rPr>
      </w:pPr>
    </w:p>
    <w:p w14:paraId="29B70465" w14:textId="64ABC7E3" w:rsidR="00387C2C" w:rsidRPr="007C5A33" w:rsidRDefault="00387C2C" w:rsidP="00262E31">
      <w:pPr>
        <w:pStyle w:val="Nadpis7"/>
        <w:tabs>
          <w:tab w:val="clear" w:pos="3888"/>
          <w:tab w:val="left" w:pos="-2880"/>
          <w:tab w:val="left" w:pos="0"/>
          <w:tab w:val="left" w:pos="565"/>
          <w:tab w:val="left" w:pos="2880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0"/>
        <w:rPr>
          <w:b w:val="0"/>
          <w:i/>
          <w:sz w:val="22"/>
          <w:szCs w:val="22"/>
        </w:rPr>
      </w:pPr>
      <w:r w:rsidRPr="007C5A33">
        <w:rPr>
          <w:b w:val="0"/>
          <w:i/>
          <w:sz w:val="22"/>
          <w:szCs w:val="22"/>
        </w:rPr>
        <w:t xml:space="preserve">Poruchy </w:t>
      </w:r>
      <w:r w:rsidR="00362962" w:rsidRPr="007C5A33">
        <w:rPr>
          <w:b w:val="0"/>
          <w:i/>
          <w:sz w:val="22"/>
          <w:szCs w:val="22"/>
        </w:rPr>
        <w:t>ucha</w:t>
      </w:r>
      <w:r w:rsidRPr="007C5A33">
        <w:rPr>
          <w:b w:val="0"/>
          <w:i/>
          <w:sz w:val="22"/>
          <w:szCs w:val="22"/>
        </w:rPr>
        <w:t xml:space="preserve"> a </w:t>
      </w:r>
      <w:r w:rsidR="00362962">
        <w:rPr>
          <w:b w:val="0"/>
          <w:i/>
          <w:sz w:val="22"/>
          <w:szCs w:val="22"/>
        </w:rPr>
        <w:t>labyrintu</w:t>
      </w:r>
    </w:p>
    <w:p w14:paraId="58E6263A" w14:textId="2D203B37" w:rsidR="00362962" w:rsidRDefault="00387C2C" w:rsidP="00262E31">
      <w:pPr>
        <w:tabs>
          <w:tab w:val="left" w:pos="-2880"/>
          <w:tab w:val="left" w:pos="1701"/>
          <w:tab w:val="left" w:pos="2880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1701" w:hanging="1701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iCs/>
          <w:sz w:val="22"/>
          <w:szCs w:val="22"/>
        </w:rPr>
        <w:t>Zriedkavé</w:t>
      </w:r>
      <w:r w:rsidRPr="000062B1">
        <w:rPr>
          <w:rFonts w:ascii="Times New Roman" w:hAnsi="Times New Roman"/>
          <w:sz w:val="22"/>
          <w:szCs w:val="22"/>
        </w:rPr>
        <w:t xml:space="preserve">: </w:t>
      </w:r>
      <w:r w:rsidR="00362962">
        <w:rPr>
          <w:rFonts w:ascii="Times New Roman" w:hAnsi="Times New Roman"/>
          <w:iCs/>
          <w:sz w:val="22"/>
          <w:szCs w:val="22"/>
        </w:rPr>
        <w:tab/>
      </w:r>
      <w:proofErr w:type="spellStart"/>
      <w:r w:rsidR="00362962" w:rsidRPr="000062B1">
        <w:rPr>
          <w:rFonts w:ascii="Times New Roman" w:hAnsi="Times New Roman"/>
          <w:sz w:val="22"/>
          <w:szCs w:val="22"/>
        </w:rPr>
        <w:t>tinnitus</w:t>
      </w:r>
      <w:proofErr w:type="spellEnd"/>
    </w:p>
    <w:p w14:paraId="10557490" w14:textId="77777777" w:rsidR="00362962" w:rsidRDefault="00362962" w:rsidP="00262E31">
      <w:pPr>
        <w:tabs>
          <w:tab w:val="left" w:pos="-2880"/>
          <w:tab w:val="left" w:pos="0"/>
          <w:tab w:val="left" w:pos="565"/>
          <w:tab w:val="left" w:pos="2880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73A2425F" w14:textId="4D826CFC" w:rsidR="00387C2C" w:rsidRPr="00262E31" w:rsidRDefault="00D05919" w:rsidP="00262E31">
      <w:pPr>
        <w:pStyle w:val="Nadpis7"/>
        <w:tabs>
          <w:tab w:val="clear" w:pos="3888"/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0"/>
        <w:rPr>
          <w:sz w:val="22"/>
        </w:rPr>
      </w:pPr>
      <w:r w:rsidRPr="007C5A33">
        <w:rPr>
          <w:b w:val="0"/>
          <w:i/>
          <w:sz w:val="22"/>
          <w:szCs w:val="22"/>
        </w:rPr>
        <w:t>Poruchy dýchacej sústavy, hrudníka</w:t>
      </w:r>
      <w:r w:rsidR="00387C2C" w:rsidRPr="00262E31">
        <w:rPr>
          <w:sz w:val="22"/>
        </w:rPr>
        <w:t xml:space="preserve"> a</w:t>
      </w:r>
      <w:r w:rsidRPr="007C5A33">
        <w:rPr>
          <w:b w:val="0"/>
          <w:i/>
          <w:sz w:val="22"/>
          <w:szCs w:val="22"/>
        </w:rPr>
        <w:t> </w:t>
      </w:r>
      <w:proofErr w:type="spellStart"/>
      <w:r w:rsidRPr="007C5A33">
        <w:rPr>
          <w:b w:val="0"/>
          <w:i/>
          <w:sz w:val="22"/>
          <w:szCs w:val="22"/>
        </w:rPr>
        <w:t>mediastína</w:t>
      </w:r>
      <w:proofErr w:type="spellEnd"/>
    </w:p>
    <w:p w14:paraId="4A589AF9" w14:textId="1F9BDA96" w:rsidR="00D05919" w:rsidRPr="000062B1" w:rsidRDefault="00D05919" w:rsidP="00262E31">
      <w:pPr>
        <w:tabs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1701" w:hanging="1701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iCs/>
          <w:sz w:val="22"/>
          <w:szCs w:val="22"/>
        </w:rPr>
        <w:t>Menej časté</w:t>
      </w:r>
      <w:r w:rsidRPr="000062B1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D5947">
        <w:rPr>
          <w:rFonts w:ascii="Times New Roman" w:hAnsi="Times New Roman"/>
          <w:sz w:val="22"/>
          <w:szCs w:val="22"/>
        </w:rPr>
        <w:t>rinitída</w:t>
      </w:r>
      <w:proofErr w:type="spellEnd"/>
    </w:p>
    <w:p w14:paraId="443E1315" w14:textId="77777777" w:rsidR="00D05919" w:rsidRPr="000062B1" w:rsidRDefault="00D05919" w:rsidP="00262E31">
      <w:pPr>
        <w:tabs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1701" w:hanging="1701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iCs/>
          <w:sz w:val="22"/>
          <w:szCs w:val="22"/>
        </w:rPr>
        <w:t>Zriedkavé:</w:t>
      </w:r>
      <w:r w:rsidRPr="000062B1"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0062B1">
        <w:rPr>
          <w:rFonts w:ascii="Times New Roman" w:hAnsi="Times New Roman"/>
          <w:sz w:val="22"/>
          <w:szCs w:val="22"/>
        </w:rPr>
        <w:t>kašeľ</w:t>
      </w:r>
    </w:p>
    <w:p w14:paraId="51FDDD43" w14:textId="77777777" w:rsidR="00387C2C" w:rsidRPr="000062B1" w:rsidRDefault="00387C2C" w:rsidP="00262E31">
      <w:pPr>
        <w:tabs>
          <w:tab w:val="left" w:pos="-2880"/>
          <w:tab w:val="left" w:pos="0"/>
          <w:tab w:val="left" w:pos="565"/>
          <w:tab w:val="left" w:pos="2880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131E2E4E" w14:textId="77777777" w:rsidR="008147A7" w:rsidRDefault="007E2CF2" w:rsidP="007C5A33">
      <w:pPr>
        <w:pStyle w:val="Nadpis7"/>
        <w:tabs>
          <w:tab w:val="clear" w:pos="3888"/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0"/>
        <w:rPr>
          <w:b w:val="0"/>
          <w:i/>
          <w:sz w:val="22"/>
          <w:szCs w:val="22"/>
        </w:rPr>
      </w:pPr>
      <w:r w:rsidRPr="007C5A33">
        <w:rPr>
          <w:b w:val="0"/>
          <w:i/>
          <w:sz w:val="22"/>
          <w:szCs w:val="22"/>
        </w:rPr>
        <w:t xml:space="preserve">Poruchy </w:t>
      </w:r>
      <w:proofErr w:type="spellStart"/>
      <w:r w:rsidRPr="007C5A33">
        <w:rPr>
          <w:b w:val="0"/>
          <w:i/>
          <w:sz w:val="22"/>
          <w:szCs w:val="22"/>
        </w:rPr>
        <w:t>gastrointestinálneho</w:t>
      </w:r>
      <w:proofErr w:type="spellEnd"/>
      <w:r w:rsidRPr="007C5A33">
        <w:rPr>
          <w:b w:val="0"/>
          <w:i/>
          <w:sz w:val="22"/>
          <w:szCs w:val="22"/>
        </w:rPr>
        <w:t xml:space="preserve"> traktu</w:t>
      </w:r>
      <w:r>
        <w:rPr>
          <w:b w:val="0"/>
          <w:i/>
          <w:sz w:val="22"/>
          <w:szCs w:val="22"/>
        </w:rPr>
        <w:t xml:space="preserve"> </w:t>
      </w:r>
    </w:p>
    <w:p w14:paraId="3153305A" w14:textId="3AF3F0DB" w:rsidR="00387C2C" w:rsidRPr="000062B1" w:rsidRDefault="00387C2C" w:rsidP="00262E31">
      <w:pPr>
        <w:pStyle w:val="Nadpis5"/>
        <w:tabs>
          <w:tab w:val="clear" w:pos="0"/>
          <w:tab w:val="clear" w:pos="565"/>
          <w:tab w:val="left" w:pos="1701"/>
        </w:tabs>
        <w:ind w:left="1701" w:hanging="1701"/>
        <w:rPr>
          <w:sz w:val="22"/>
          <w:szCs w:val="22"/>
          <w:lang w:val="sk-SK"/>
        </w:rPr>
      </w:pPr>
      <w:r w:rsidRPr="000062B1">
        <w:rPr>
          <w:iCs/>
          <w:sz w:val="22"/>
          <w:szCs w:val="22"/>
          <w:lang w:val="sk-SK"/>
        </w:rPr>
        <w:t>Zriedkavé</w:t>
      </w:r>
      <w:r w:rsidRPr="000062B1">
        <w:rPr>
          <w:sz w:val="22"/>
          <w:szCs w:val="22"/>
          <w:lang w:val="sk-SK"/>
        </w:rPr>
        <w:t xml:space="preserve">: </w:t>
      </w:r>
      <w:r w:rsidR="00D0651D">
        <w:rPr>
          <w:sz w:val="22"/>
          <w:szCs w:val="22"/>
          <w:lang w:val="sk-SK"/>
        </w:rPr>
        <w:tab/>
      </w:r>
      <w:r w:rsidRPr="000062B1">
        <w:rPr>
          <w:sz w:val="22"/>
          <w:szCs w:val="22"/>
          <w:lang w:val="sk-SK"/>
        </w:rPr>
        <w:t xml:space="preserve">hnačka, </w:t>
      </w:r>
      <w:proofErr w:type="spellStart"/>
      <w:r w:rsidR="00AD5947">
        <w:rPr>
          <w:sz w:val="22"/>
          <w:szCs w:val="22"/>
          <w:lang w:val="sk-SK"/>
        </w:rPr>
        <w:t>nauzea</w:t>
      </w:r>
      <w:proofErr w:type="spellEnd"/>
      <w:r w:rsidRPr="000062B1">
        <w:rPr>
          <w:sz w:val="22"/>
          <w:szCs w:val="22"/>
          <w:lang w:val="sk-SK"/>
        </w:rPr>
        <w:t xml:space="preserve"> a vracanie</w:t>
      </w:r>
    </w:p>
    <w:p w14:paraId="5F72C08A" w14:textId="77777777" w:rsidR="00387C2C" w:rsidRPr="000062B1" w:rsidRDefault="00387C2C" w:rsidP="00313357">
      <w:pPr>
        <w:tabs>
          <w:tab w:val="left" w:pos="-2880"/>
          <w:tab w:val="left" w:pos="0"/>
          <w:tab w:val="left" w:pos="565"/>
          <w:tab w:val="left" w:pos="2880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65CE784A" w14:textId="77777777" w:rsidR="00387C2C" w:rsidRPr="007C5A33" w:rsidRDefault="00387C2C">
      <w:pPr>
        <w:pStyle w:val="Nadpis7"/>
        <w:tabs>
          <w:tab w:val="clear" w:pos="3888"/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0"/>
        <w:rPr>
          <w:b w:val="0"/>
          <w:i/>
          <w:sz w:val="22"/>
          <w:szCs w:val="22"/>
        </w:rPr>
      </w:pPr>
      <w:r w:rsidRPr="007C5A33">
        <w:rPr>
          <w:b w:val="0"/>
          <w:i/>
          <w:sz w:val="22"/>
          <w:szCs w:val="22"/>
        </w:rPr>
        <w:t>Poruchy kože a podkožného tkaniva</w:t>
      </w:r>
    </w:p>
    <w:p w14:paraId="6928B09B" w14:textId="3B6BD5C7" w:rsidR="00387C2C" w:rsidRPr="000062B1" w:rsidRDefault="00387C2C" w:rsidP="00262E31">
      <w:pPr>
        <w:tabs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1701" w:hanging="1701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iCs/>
          <w:sz w:val="22"/>
          <w:szCs w:val="22"/>
        </w:rPr>
        <w:t>Zriedkavé</w:t>
      </w:r>
      <w:r w:rsidRPr="000062B1">
        <w:rPr>
          <w:rFonts w:ascii="Times New Roman" w:hAnsi="Times New Roman"/>
          <w:sz w:val="22"/>
          <w:szCs w:val="22"/>
        </w:rPr>
        <w:t xml:space="preserve">: </w:t>
      </w:r>
      <w:r w:rsidR="00362962">
        <w:rPr>
          <w:rFonts w:ascii="Times New Roman" w:hAnsi="Times New Roman"/>
          <w:sz w:val="22"/>
          <w:szCs w:val="22"/>
        </w:rPr>
        <w:tab/>
      </w:r>
      <w:r w:rsidRPr="000062B1">
        <w:rPr>
          <w:rFonts w:ascii="Times New Roman" w:hAnsi="Times New Roman"/>
          <w:sz w:val="22"/>
          <w:szCs w:val="22"/>
        </w:rPr>
        <w:t>opuch  tváre, žihľavka, vyrážka, suchá koža a ekzém</w:t>
      </w:r>
    </w:p>
    <w:p w14:paraId="590C1827" w14:textId="77777777" w:rsidR="00387C2C" w:rsidRPr="000062B1" w:rsidRDefault="00387C2C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400774F2" w14:textId="77777777" w:rsidR="00CC7398" w:rsidRPr="000062B1" w:rsidRDefault="00CC7398" w:rsidP="00CC7398">
      <w:pPr>
        <w:pStyle w:val="Nadpis7"/>
        <w:tabs>
          <w:tab w:val="clear" w:pos="3888"/>
          <w:tab w:val="left" w:pos="0"/>
          <w:tab w:val="left" w:pos="565"/>
          <w:tab w:val="left" w:pos="1131"/>
          <w:tab w:val="left" w:pos="1698"/>
          <w:tab w:val="left" w:pos="2264"/>
          <w:tab w:val="left" w:pos="2880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0"/>
        <w:rPr>
          <w:b w:val="0"/>
          <w:sz w:val="22"/>
          <w:szCs w:val="22"/>
        </w:rPr>
      </w:pPr>
      <w:r w:rsidRPr="007C5A33">
        <w:rPr>
          <w:b w:val="0"/>
          <w:i/>
          <w:sz w:val="22"/>
          <w:szCs w:val="22"/>
        </w:rPr>
        <w:t>Poruchy kostrovej a svalovej sústavy a spojivového tkaniva</w:t>
      </w:r>
    </w:p>
    <w:p w14:paraId="791E4D83" w14:textId="77777777" w:rsidR="00CC7398" w:rsidRPr="000062B1" w:rsidRDefault="00CC7398" w:rsidP="00262E31">
      <w:pPr>
        <w:pStyle w:val="Nadpis5"/>
        <w:tabs>
          <w:tab w:val="clear" w:pos="-2880"/>
          <w:tab w:val="clear" w:pos="0"/>
          <w:tab w:val="clear" w:pos="565"/>
          <w:tab w:val="left" w:pos="1698"/>
          <w:tab w:val="left" w:pos="2264"/>
        </w:tabs>
        <w:ind w:left="1701" w:hanging="1701"/>
        <w:rPr>
          <w:sz w:val="22"/>
          <w:szCs w:val="22"/>
          <w:lang w:val="sk-SK"/>
        </w:rPr>
      </w:pPr>
      <w:r w:rsidRPr="000062B1">
        <w:rPr>
          <w:iCs/>
          <w:sz w:val="22"/>
          <w:szCs w:val="22"/>
          <w:lang w:val="sk-SK"/>
        </w:rPr>
        <w:t>Zriedkavé</w:t>
      </w:r>
      <w:r w:rsidRPr="000062B1">
        <w:rPr>
          <w:sz w:val="22"/>
          <w:szCs w:val="22"/>
          <w:lang w:val="sk-SK"/>
        </w:rPr>
        <w:t xml:space="preserve">: </w:t>
      </w:r>
      <w:r>
        <w:rPr>
          <w:sz w:val="22"/>
          <w:szCs w:val="22"/>
          <w:lang w:val="sk-SK"/>
        </w:rPr>
        <w:tab/>
      </w:r>
      <w:r w:rsidRPr="000062B1">
        <w:rPr>
          <w:sz w:val="22"/>
          <w:szCs w:val="22"/>
          <w:lang w:val="sk-SK"/>
        </w:rPr>
        <w:t>triaška</w:t>
      </w:r>
    </w:p>
    <w:p w14:paraId="52D9E932" w14:textId="77777777" w:rsidR="00387C2C" w:rsidRPr="000062B1" w:rsidRDefault="00387C2C">
      <w:pPr>
        <w:tabs>
          <w:tab w:val="left" w:pos="-2880"/>
          <w:tab w:val="left" w:pos="0"/>
          <w:tab w:val="left" w:pos="565"/>
          <w:tab w:val="left" w:pos="2880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0CD3F3B7" w14:textId="77777777" w:rsidR="00540D1D" w:rsidRPr="007C5A33" w:rsidRDefault="00540D1D" w:rsidP="00540D1D">
      <w:pPr>
        <w:pStyle w:val="Nadpis7"/>
        <w:tabs>
          <w:tab w:val="clear" w:pos="3888"/>
          <w:tab w:val="left" w:pos="-540"/>
          <w:tab w:val="left" w:pos="0"/>
          <w:tab w:val="left" w:pos="565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0"/>
        <w:rPr>
          <w:b w:val="0"/>
          <w:i/>
          <w:sz w:val="22"/>
          <w:szCs w:val="22"/>
        </w:rPr>
      </w:pPr>
      <w:r w:rsidRPr="007C5A33">
        <w:rPr>
          <w:b w:val="0"/>
          <w:i/>
          <w:sz w:val="22"/>
          <w:szCs w:val="22"/>
        </w:rPr>
        <w:t>Celkové poruchy a reakcie v mieste podania</w:t>
      </w:r>
    </w:p>
    <w:p w14:paraId="3A397112" w14:textId="11324DBF" w:rsidR="003C676F" w:rsidRPr="000062B1" w:rsidRDefault="003C676F" w:rsidP="00262E31">
      <w:pPr>
        <w:tabs>
          <w:tab w:val="left" w:pos="3060"/>
        </w:tabs>
        <w:ind w:left="1701" w:hanging="1701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iCs/>
          <w:sz w:val="22"/>
          <w:szCs w:val="22"/>
        </w:rPr>
        <w:t>Časté:</w:t>
      </w:r>
      <w:r w:rsidRPr="000062B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0062B1">
        <w:rPr>
          <w:rFonts w:ascii="Times New Roman" w:hAnsi="Times New Roman"/>
          <w:sz w:val="22"/>
          <w:szCs w:val="22"/>
        </w:rPr>
        <w:t xml:space="preserve">pálenie v mieste </w:t>
      </w:r>
      <w:r w:rsidR="00AD5947">
        <w:rPr>
          <w:rFonts w:ascii="Times New Roman" w:hAnsi="Times New Roman"/>
          <w:sz w:val="22"/>
          <w:szCs w:val="22"/>
        </w:rPr>
        <w:t>podania</w:t>
      </w:r>
    </w:p>
    <w:p w14:paraId="48B3A537" w14:textId="77777777" w:rsidR="00540D1D" w:rsidRPr="000062B1" w:rsidRDefault="00540D1D" w:rsidP="00262E31">
      <w:pPr>
        <w:tabs>
          <w:tab w:val="left" w:pos="-540"/>
          <w:tab w:val="left" w:pos="1701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1701" w:hanging="170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M</w:t>
      </w:r>
      <w:r w:rsidRPr="000062B1">
        <w:rPr>
          <w:rFonts w:ascii="Times New Roman" w:hAnsi="Times New Roman"/>
          <w:iCs/>
          <w:sz w:val="22"/>
          <w:szCs w:val="22"/>
        </w:rPr>
        <w:t>enej časté</w:t>
      </w:r>
      <w:r w:rsidRPr="000062B1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ab/>
      </w:r>
      <w:r w:rsidRPr="000062B1">
        <w:rPr>
          <w:rFonts w:ascii="Times New Roman" w:hAnsi="Times New Roman"/>
          <w:sz w:val="22"/>
          <w:szCs w:val="22"/>
        </w:rPr>
        <w:t xml:space="preserve">asténia </w:t>
      </w:r>
    </w:p>
    <w:p w14:paraId="2ED61B7A" w14:textId="77777777" w:rsidR="00540D1D" w:rsidRPr="000062B1" w:rsidRDefault="00540D1D" w:rsidP="00262E31">
      <w:pPr>
        <w:tabs>
          <w:tab w:val="left" w:pos="-540"/>
          <w:tab w:val="left" w:pos="1701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1701" w:hanging="1701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iCs/>
          <w:sz w:val="22"/>
          <w:szCs w:val="22"/>
        </w:rPr>
        <w:t>Zriedkavé</w:t>
      </w:r>
      <w:r w:rsidRPr="000062B1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ab/>
        <w:t>b</w:t>
      </w:r>
      <w:r w:rsidRPr="000062B1">
        <w:rPr>
          <w:rFonts w:ascii="Times New Roman" w:hAnsi="Times New Roman"/>
          <w:sz w:val="22"/>
          <w:szCs w:val="22"/>
        </w:rPr>
        <w:t xml:space="preserve">olesť hrudníka, zimnica, horúčka a bolesť </w:t>
      </w:r>
    </w:p>
    <w:p w14:paraId="505151C9" w14:textId="77777777" w:rsidR="00387C2C" w:rsidRPr="000062B1" w:rsidRDefault="00387C2C">
      <w:pPr>
        <w:tabs>
          <w:tab w:val="left" w:pos="-2880"/>
          <w:tab w:val="left" w:pos="0"/>
          <w:tab w:val="left" w:pos="565"/>
          <w:tab w:val="left" w:pos="2880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5ABB7C30" w14:textId="77777777" w:rsidR="00387C2C" w:rsidRPr="007C5A33" w:rsidRDefault="00387C2C">
      <w:pPr>
        <w:pStyle w:val="Nadpis7"/>
        <w:tabs>
          <w:tab w:val="clear" w:pos="3888"/>
          <w:tab w:val="left" w:pos="-2880"/>
          <w:tab w:val="left" w:pos="0"/>
          <w:tab w:val="left" w:pos="565"/>
          <w:tab w:val="left" w:pos="2880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0"/>
        <w:rPr>
          <w:b w:val="0"/>
          <w:i/>
          <w:sz w:val="22"/>
          <w:szCs w:val="22"/>
        </w:rPr>
      </w:pPr>
      <w:r w:rsidRPr="007C5A33">
        <w:rPr>
          <w:b w:val="0"/>
          <w:i/>
          <w:sz w:val="22"/>
          <w:szCs w:val="22"/>
        </w:rPr>
        <w:t>Vyšetrenia</w:t>
      </w:r>
    </w:p>
    <w:p w14:paraId="16463607" w14:textId="51DD541B" w:rsidR="00387C2C" w:rsidRPr="000062B1" w:rsidRDefault="00387C2C" w:rsidP="00262E31">
      <w:pPr>
        <w:tabs>
          <w:tab w:val="left" w:pos="-2880"/>
          <w:tab w:val="left" w:pos="1701"/>
          <w:tab w:val="left" w:pos="2880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1701" w:hanging="1701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iCs/>
          <w:sz w:val="22"/>
          <w:szCs w:val="22"/>
        </w:rPr>
        <w:t>Zriedkavé</w:t>
      </w:r>
      <w:r w:rsidRPr="000062B1">
        <w:rPr>
          <w:rFonts w:ascii="Times New Roman" w:hAnsi="Times New Roman"/>
          <w:sz w:val="22"/>
          <w:szCs w:val="22"/>
        </w:rPr>
        <w:t xml:space="preserve">: </w:t>
      </w:r>
      <w:r w:rsidR="00753CBB">
        <w:rPr>
          <w:rFonts w:ascii="Times New Roman" w:hAnsi="Times New Roman"/>
          <w:sz w:val="22"/>
          <w:szCs w:val="22"/>
        </w:rPr>
        <w:tab/>
      </w:r>
      <w:r w:rsidRPr="000062B1">
        <w:rPr>
          <w:rFonts w:ascii="Times New Roman" w:hAnsi="Times New Roman"/>
          <w:sz w:val="22"/>
          <w:szCs w:val="22"/>
        </w:rPr>
        <w:t>prírastok na hmotnosti</w:t>
      </w:r>
    </w:p>
    <w:p w14:paraId="1E937553" w14:textId="77777777" w:rsidR="00387C2C" w:rsidRPr="000062B1" w:rsidRDefault="00387C2C">
      <w:pPr>
        <w:tabs>
          <w:tab w:val="left" w:pos="-2880"/>
          <w:tab w:val="left" w:pos="0"/>
          <w:tab w:val="left" w:pos="565"/>
          <w:tab w:val="left" w:pos="2880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5BB17A72" w14:textId="77777777" w:rsidR="00387C2C" w:rsidRPr="000062B1" w:rsidRDefault="00387C2C" w:rsidP="007C5A33">
      <w:pPr>
        <w:tabs>
          <w:tab w:val="left" w:pos="284"/>
          <w:tab w:val="left" w:pos="426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V súhrne kontrolovaných, </w:t>
      </w:r>
      <w:proofErr w:type="spellStart"/>
      <w:r w:rsidRPr="000062B1">
        <w:rPr>
          <w:rFonts w:ascii="Times New Roman" w:hAnsi="Times New Roman"/>
          <w:sz w:val="22"/>
          <w:szCs w:val="22"/>
        </w:rPr>
        <w:t>randomizovaných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štúdií jednotlivcov liečených 28 dní alebo dlhšie s </w:t>
      </w:r>
      <w:proofErr w:type="spellStart"/>
      <w:r w:rsidRPr="000062B1">
        <w:rPr>
          <w:rFonts w:ascii="Times New Roman" w:hAnsi="Times New Roman"/>
          <w:sz w:val="22"/>
          <w:szCs w:val="22"/>
        </w:rPr>
        <w:t>loteprednolum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etabonátom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sa ukázalo, že </w:t>
      </w:r>
      <w:proofErr w:type="spellStart"/>
      <w:r w:rsidRPr="000062B1">
        <w:rPr>
          <w:rFonts w:ascii="Times New Roman" w:hAnsi="Times New Roman"/>
          <w:sz w:val="22"/>
          <w:szCs w:val="22"/>
        </w:rPr>
        <w:t>incidencia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významného zvýšenia </w:t>
      </w:r>
      <w:proofErr w:type="spellStart"/>
      <w:r w:rsidRPr="000062B1">
        <w:rPr>
          <w:rFonts w:ascii="Times New Roman" w:hAnsi="Times New Roman"/>
          <w:sz w:val="22"/>
          <w:szCs w:val="22"/>
        </w:rPr>
        <w:t>vnútroočného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tlaku (</w:t>
      </w:r>
      <w:r w:rsidRPr="000062B1">
        <w:rPr>
          <w:rFonts w:ascii="Times New Roman" w:hAnsi="Times New Roman"/>
          <w:sz w:val="22"/>
          <w:szCs w:val="22"/>
        </w:rPr>
        <w:fldChar w:fldCharType="begin"/>
      </w:r>
      <w:r w:rsidRPr="000062B1">
        <w:rPr>
          <w:rFonts w:ascii="Times New Roman" w:hAnsi="Times New Roman"/>
          <w:sz w:val="22"/>
          <w:szCs w:val="22"/>
        </w:rPr>
        <w:instrText>SYMBOL 179 \f "Symbol" \s 12</w:instrText>
      </w:r>
      <w:r w:rsidRPr="000062B1">
        <w:rPr>
          <w:rFonts w:ascii="Times New Roman" w:hAnsi="Times New Roman"/>
          <w:sz w:val="22"/>
          <w:szCs w:val="22"/>
        </w:rPr>
        <w:fldChar w:fldCharType="separate"/>
      </w:r>
      <w:r w:rsidRPr="000062B1">
        <w:rPr>
          <w:rFonts w:ascii="Times New Roman" w:hAnsi="Times New Roman"/>
          <w:sz w:val="22"/>
          <w:szCs w:val="22"/>
        </w:rPr>
        <w:t>³</w:t>
      </w:r>
      <w:r w:rsidRPr="000062B1">
        <w:rPr>
          <w:rFonts w:ascii="Times New Roman" w:hAnsi="Times New Roman"/>
          <w:sz w:val="22"/>
          <w:szCs w:val="22"/>
        </w:rPr>
        <w:fldChar w:fldCharType="end"/>
      </w:r>
      <w:r w:rsidRPr="000062B1">
        <w:rPr>
          <w:rFonts w:ascii="Times New Roman" w:hAnsi="Times New Roman"/>
          <w:sz w:val="22"/>
          <w:szCs w:val="22"/>
        </w:rPr>
        <w:t xml:space="preserve">10 </w:t>
      </w:r>
      <w:proofErr w:type="spellStart"/>
      <w:r w:rsidRPr="000062B1">
        <w:rPr>
          <w:rFonts w:ascii="Times New Roman" w:hAnsi="Times New Roman"/>
          <w:sz w:val="22"/>
          <w:szCs w:val="22"/>
        </w:rPr>
        <w:t>mmHg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) bola 2% (15/901) u pacientov liečených </w:t>
      </w:r>
      <w:proofErr w:type="spellStart"/>
      <w:r w:rsidRPr="000062B1">
        <w:rPr>
          <w:rFonts w:ascii="Times New Roman" w:hAnsi="Times New Roman"/>
          <w:sz w:val="22"/>
          <w:szCs w:val="22"/>
        </w:rPr>
        <w:t>loteprednolum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etabonátom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, 7% (11/164) u pacientov liečených 1% </w:t>
      </w:r>
      <w:proofErr w:type="spellStart"/>
      <w:r w:rsidRPr="000062B1">
        <w:rPr>
          <w:rFonts w:ascii="Times New Roman" w:hAnsi="Times New Roman"/>
          <w:sz w:val="22"/>
          <w:szCs w:val="22"/>
        </w:rPr>
        <w:t>prednizolon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acetátom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a 0</w:t>
      </w:r>
      <w:r w:rsidR="009A009F">
        <w:rPr>
          <w:rFonts w:ascii="Times New Roman" w:hAnsi="Times New Roman"/>
          <w:sz w:val="22"/>
          <w:szCs w:val="22"/>
        </w:rPr>
        <w:t>,</w:t>
      </w:r>
      <w:r w:rsidRPr="000062B1">
        <w:rPr>
          <w:rFonts w:ascii="Times New Roman" w:hAnsi="Times New Roman"/>
          <w:sz w:val="22"/>
          <w:szCs w:val="22"/>
        </w:rPr>
        <w:t xml:space="preserve">5% (3/583) u pacientov liečených </w:t>
      </w:r>
      <w:proofErr w:type="spellStart"/>
      <w:r w:rsidRPr="000062B1">
        <w:rPr>
          <w:rFonts w:ascii="Times New Roman" w:hAnsi="Times New Roman"/>
          <w:sz w:val="22"/>
          <w:szCs w:val="22"/>
        </w:rPr>
        <w:t>placebom</w:t>
      </w:r>
      <w:proofErr w:type="spellEnd"/>
      <w:r w:rsidRPr="000062B1">
        <w:rPr>
          <w:rFonts w:ascii="Times New Roman" w:hAnsi="Times New Roman"/>
          <w:sz w:val="22"/>
          <w:szCs w:val="22"/>
        </w:rPr>
        <w:t>.</w:t>
      </w:r>
    </w:p>
    <w:p w14:paraId="42B3429A" w14:textId="77777777" w:rsidR="00387C2C" w:rsidRDefault="00387C2C">
      <w:pPr>
        <w:tabs>
          <w:tab w:val="left" w:pos="284"/>
          <w:tab w:val="left" w:pos="426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567"/>
        <w:jc w:val="both"/>
        <w:rPr>
          <w:rFonts w:ascii="Times New Roman" w:hAnsi="Times New Roman"/>
          <w:sz w:val="22"/>
          <w:szCs w:val="22"/>
        </w:rPr>
      </w:pPr>
    </w:p>
    <w:p w14:paraId="720EE9F4" w14:textId="77777777" w:rsidR="00E510C6" w:rsidRPr="009C1375" w:rsidRDefault="00E510C6" w:rsidP="00E510C6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9C1375">
        <w:rPr>
          <w:rFonts w:ascii="Times New Roman" w:hAnsi="Times New Roman"/>
          <w:noProof/>
          <w:sz w:val="22"/>
          <w:szCs w:val="22"/>
          <w:u w:val="single"/>
        </w:rPr>
        <w:t>Hlásenie podozrení na nežiaduce reakcie</w:t>
      </w:r>
    </w:p>
    <w:p w14:paraId="67A7764B" w14:textId="77777777" w:rsidR="00262E31" w:rsidRDefault="00E510C6" w:rsidP="00E510C6">
      <w:pPr>
        <w:suppressLineNumbers/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  <w:highlight w:val="lightGray"/>
        </w:rPr>
      </w:pPr>
      <w:r w:rsidRPr="009C1375">
        <w:rPr>
          <w:rFonts w:ascii="Times New Roman" w:hAnsi="Times New Roman"/>
          <w:noProof/>
          <w:sz w:val="22"/>
          <w:szCs w:val="22"/>
        </w:rPr>
        <w:t>Hlásenie podozrení na nežiaduce reakcie po registrácii lieku je dôležité.</w:t>
      </w:r>
      <w:r w:rsidRPr="009C1375">
        <w:rPr>
          <w:rFonts w:ascii="Times New Roman" w:hAnsi="Times New Roman"/>
          <w:sz w:val="22"/>
          <w:szCs w:val="22"/>
        </w:rPr>
        <w:t xml:space="preserve"> </w:t>
      </w:r>
      <w:r w:rsidRPr="009C1375">
        <w:rPr>
          <w:rFonts w:ascii="Times New Roman" w:hAnsi="Times New Roman"/>
          <w:noProof/>
          <w:sz w:val="22"/>
          <w:szCs w:val="22"/>
        </w:rPr>
        <w:t>Umožňuje priebežné monitorovanie pomeru prínosu a rizika lieku.</w:t>
      </w:r>
      <w:r w:rsidRPr="009C1375">
        <w:rPr>
          <w:rFonts w:ascii="Times New Roman" w:hAnsi="Times New Roman"/>
          <w:sz w:val="22"/>
          <w:szCs w:val="22"/>
        </w:rPr>
        <w:t xml:space="preserve"> Od </w:t>
      </w:r>
      <w:r w:rsidRPr="009C1375">
        <w:rPr>
          <w:rFonts w:ascii="Times New Roman" w:hAnsi="Times New Roman"/>
          <w:noProof/>
          <w:sz w:val="22"/>
          <w:szCs w:val="22"/>
        </w:rPr>
        <w:t xml:space="preserve">zdravotníckych pracovníkov sa vyžaduje, aby hlásili akékoľvek podozrenia na nežiaduce reakcie </w:t>
      </w:r>
      <w:r w:rsidR="009B0E20">
        <w:rPr>
          <w:rFonts w:ascii="Times New Roman" w:hAnsi="Times New Roman"/>
          <w:noProof/>
          <w:sz w:val="22"/>
          <w:szCs w:val="22"/>
        </w:rPr>
        <w:t>na</w:t>
      </w:r>
      <w:r w:rsidR="009B0E20" w:rsidRPr="009C1375">
        <w:rPr>
          <w:rFonts w:ascii="Times New Roman" w:hAnsi="Times New Roman"/>
          <w:noProof/>
          <w:sz w:val="22"/>
          <w:szCs w:val="22"/>
        </w:rPr>
        <w:t xml:space="preserve"> </w:t>
      </w:r>
      <w:r w:rsidRPr="009C1375">
        <w:rPr>
          <w:rFonts w:ascii="Times New Roman" w:hAnsi="Times New Roman"/>
          <w:noProof/>
          <w:sz w:val="22"/>
          <w:szCs w:val="22"/>
          <w:highlight w:val="lightGray"/>
        </w:rPr>
        <w:t xml:space="preserve">národné </w:t>
      </w:r>
      <w:r w:rsidR="009B0E20">
        <w:rPr>
          <w:rFonts w:ascii="Times New Roman" w:hAnsi="Times New Roman"/>
          <w:noProof/>
          <w:sz w:val="22"/>
          <w:szCs w:val="22"/>
          <w:highlight w:val="lightGray"/>
        </w:rPr>
        <w:t>centrum</w:t>
      </w:r>
      <w:r w:rsidRPr="009C1375">
        <w:rPr>
          <w:rFonts w:ascii="Times New Roman" w:hAnsi="Times New Roman"/>
          <w:noProof/>
          <w:sz w:val="22"/>
          <w:szCs w:val="22"/>
          <w:highlight w:val="lightGray"/>
        </w:rPr>
        <w:t xml:space="preserve"> hlásenia uvedené </w:t>
      </w:r>
    </w:p>
    <w:p w14:paraId="413237F1" w14:textId="1E7205B9" w:rsidR="00E510C6" w:rsidRPr="009C1375" w:rsidRDefault="00E510C6" w:rsidP="00E510C6">
      <w:pPr>
        <w:suppressLineNumbers/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</w:rPr>
      </w:pPr>
      <w:r w:rsidRPr="009C1375">
        <w:rPr>
          <w:rFonts w:ascii="Times New Roman" w:hAnsi="Times New Roman"/>
          <w:noProof/>
          <w:sz w:val="22"/>
          <w:szCs w:val="22"/>
          <w:highlight w:val="lightGray"/>
        </w:rPr>
        <w:t>v </w:t>
      </w:r>
      <w:hyperlink r:id="rId8" w:history="1">
        <w:r w:rsidRPr="009C1375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Prílohe V</w:t>
        </w:r>
      </w:hyperlink>
      <w:r w:rsidRPr="009C1375">
        <w:rPr>
          <w:rFonts w:ascii="Times New Roman" w:hAnsi="Times New Roman"/>
          <w:noProof/>
          <w:sz w:val="22"/>
          <w:szCs w:val="22"/>
        </w:rPr>
        <w:t>.</w:t>
      </w:r>
    </w:p>
    <w:p w14:paraId="3E98ED98" w14:textId="77777777" w:rsidR="00E510C6" w:rsidRPr="000062B1" w:rsidRDefault="00E510C6">
      <w:pPr>
        <w:tabs>
          <w:tab w:val="left" w:pos="284"/>
          <w:tab w:val="left" w:pos="426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567"/>
        <w:jc w:val="both"/>
        <w:rPr>
          <w:rFonts w:ascii="Times New Roman" w:hAnsi="Times New Roman"/>
          <w:sz w:val="22"/>
          <w:szCs w:val="22"/>
        </w:rPr>
      </w:pPr>
    </w:p>
    <w:p w14:paraId="0BDFC048" w14:textId="77777777" w:rsidR="00387C2C" w:rsidRPr="000062B1" w:rsidRDefault="00387C2C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21E03864" w14:textId="77777777" w:rsidR="00387C2C" w:rsidRPr="000062B1" w:rsidRDefault="00387C2C">
      <w:pPr>
        <w:tabs>
          <w:tab w:val="left" w:pos="567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4.9</w:t>
      </w:r>
      <w:r w:rsidRPr="000062B1">
        <w:rPr>
          <w:rFonts w:ascii="Times New Roman" w:hAnsi="Times New Roman"/>
          <w:b/>
          <w:sz w:val="22"/>
          <w:szCs w:val="22"/>
        </w:rPr>
        <w:tab/>
        <w:t>Predávkovanie</w:t>
      </w:r>
    </w:p>
    <w:p w14:paraId="31E00A94" w14:textId="77777777" w:rsidR="006319EC" w:rsidRPr="000062B1" w:rsidRDefault="006319EC" w:rsidP="006319EC">
      <w:pPr>
        <w:tabs>
          <w:tab w:val="left" w:pos="567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7B0296B8" w14:textId="77777777" w:rsidR="00387C2C" w:rsidRPr="000062B1" w:rsidRDefault="00387C2C" w:rsidP="007C5A33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Neboli hlásené žiadne prípady predávkovania. Nie je pravdepodobné, že by </w:t>
      </w:r>
      <w:proofErr w:type="spellStart"/>
      <w:r w:rsidRPr="000062B1">
        <w:rPr>
          <w:rFonts w:ascii="Times New Roman" w:hAnsi="Times New Roman"/>
          <w:sz w:val="22"/>
          <w:szCs w:val="22"/>
        </w:rPr>
        <w:t>okulárne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použitie spôsobilo akútne predávkovanie.   </w:t>
      </w:r>
    </w:p>
    <w:p w14:paraId="2D5D1192" w14:textId="77777777" w:rsidR="00387C2C" w:rsidRPr="000062B1" w:rsidRDefault="00387C2C">
      <w:pPr>
        <w:jc w:val="both"/>
        <w:rPr>
          <w:rFonts w:ascii="Times New Roman" w:hAnsi="Times New Roman"/>
          <w:b/>
          <w:sz w:val="22"/>
          <w:szCs w:val="22"/>
        </w:rPr>
      </w:pPr>
    </w:p>
    <w:p w14:paraId="6677EA46" w14:textId="77777777" w:rsidR="00387C2C" w:rsidRPr="000062B1" w:rsidRDefault="00387C2C">
      <w:pPr>
        <w:jc w:val="both"/>
        <w:rPr>
          <w:rFonts w:ascii="Times New Roman" w:hAnsi="Times New Roman"/>
          <w:b/>
          <w:sz w:val="22"/>
          <w:szCs w:val="22"/>
        </w:rPr>
      </w:pPr>
    </w:p>
    <w:p w14:paraId="21637046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5.      FARMAKOLOGICKÉ VLASTNOSTI</w:t>
      </w:r>
    </w:p>
    <w:p w14:paraId="7ED6F608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</w:p>
    <w:p w14:paraId="17A9917C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</w:p>
    <w:p w14:paraId="5F3F1032" w14:textId="77777777" w:rsidR="00387C2C" w:rsidRPr="000062B1" w:rsidRDefault="00387C2C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5.1</w:t>
      </w:r>
      <w:r w:rsidRPr="000062B1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0062B1">
        <w:rPr>
          <w:rFonts w:ascii="Times New Roman" w:hAnsi="Times New Roman"/>
          <w:b/>
          <w:sz w:val="22"/>
          <w:szCs w:val="22"/>
        </w:rPr>
        <w:t>Farmakodynamické</w:t>
      </w:r>
      <w:proofErr w:type="spellEnd"/>
      <w:r w:rsidRPr="000062B1">
        <w:rPr>
          <w:rFonts w:ascii="Times New Roman" w:hAnsi="Times New Roman"/>
          <w:b/>
          <w:sz w:val="22"/>
          <w:szCs w:val="22"/>
        </w:rPr>
        <w:t xml:space="preserve"> vlastnosti</w:t>
      </w:r>
    </w:p>
    <w:p w14:paraId="115D3951" w14:textId="77777777" w:rsidR="00AF3444" w:rsidRDefault="00387C2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 </w:t>
      </w:r>
    </w:p>
    <w:p w14:paraId="2511E583" w14:textId="0000B894" w:rsidR="00AD5947" w:rsidRDefault="00E80D50" w:rsidP="00E80D50">
      <w:pPr>
        <w:pStyle w:val="Nadpis3"/>
        <w:ind w:left="0"/>
        <w:rPr>
          <w:bCs/>
          <w:szCs w:val="22"/>
          <w:lang w:val="sk-SK"/>
        </w:rPr>
      </w:pPr>
      <w:proofErr w:type="spellStart"/>
      <w:r w:rsidRPr="000062B1">
        <w:rPr>
          <w:szCs w:val="22"/>
          <w:lang w:val="sk-SK"/>
        </w:rPr>
        <w:t>Farmakoterapeutická</w:t>
      </w:r>
      <w:proofErr w:type="spellEnd"/>
      <w:r w:rsidRPr="000062B1">
        <w:rPr>
          <w:szCs w:val="22"/>
          <w:lang w:val="sk-SK"/>
        </w:rPr>
        <w:t xml:space="preserve"> skupina:</w:t>
      </w:r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oftalmologik</w:t>
      </w:r>
      <w:r w:rsidR="00AD5947">
        <w:rPr>
          <w:szCs w:val="22"/>
          <w:lang w:val="sk-SK"/>
        </w:rPr>
        <w:t>á</w:t>
      </w:r>
      <w:proofErr w:type="spellEnd"/>
      <w:r w:rsidRPr="000062B1">
        <w:rPr>
          <w:b/>
          <w:bCs/>
          <w:szCs w:val="22"/>
          <w:lang w:val="sk-SK"/>
        </w:rPr>
        <w:t xml:space="preserve">, </w:t>
      </w:r>
      <w:proofErr w:type="spellStart"/>
      <w:r w:rsidRPr="009C1375">
        <w:rPr>
          <w:bCs/>
          <w:szCs w:val="22"/>
          <w:lang w:val="sk-SK"/>
        </w:rPr>
        <w:t>kortikosteroidy</w:t>
      </w:r>
      <w:proofErr w:type="spellEnd"/>
      <w:r w:rsidR="00AD5947">
        <w:rPr>
          <w:bCs/>
          <w:szCs w:val="22"/>
          <w:lang w:val="sk-SK"/>
        </w:rPr>
        <w:t xml:space="preserve"> samotné,</w:t>
      </w:r>
    </w:p>
    <w:p w14:paraId="406C8229" w14:textId="3A9E8A1D" w:rsidR="00E80D50" w:rsidRPr="007C5A33" w:rsidRDefault="00E80D50" w:rsidP="00E80D50">
      <w:pPr>
        <w:pStyle w:val="Nadpis3"/>
        <w:ind w:left="0"/>
        <w:rPr>
          <w:szCs w:val="22"/>
          <w:lang w:val="sk-SK"/>
        </w:rPr>
      </w:pPr>
      <w:proofErr w:type="spellStart"/>
      <w:r w:rsidRPr="007C5A33">
        <w:rPr>
          <w:szCs w:val="22"/>
          <w:lang w:val="sk-SK"/>
        </w:rPr>
        <w:t>ATC</w:t>
      </w:r>
      <w:proofErr w:type="spellEnd"/>
      <w:r w:rsidRPr="007C5A33">
        <w:rPr>
          <w:szCs w:val="22"/>
          <w:lang w:val="sk-SK"/>
        </w:rPr>
        <w:t xml:space="preserve"> kód: </w:t>
      </w:r>
      <w:proofErr w:type="spellStart"/>
      <w:r w:rsidRPr="007C5A33">
        <w:rPr>
          <w:szCs w:val="22"/>
          <w:lang w:val="sk-SK"/>
        </w:rPr>
        <w:t>S01BA14</w:t>
      </w:r>
      <w:proofErr w:type="spellEnd"/>
    </w:p>
    <w:p w14:paraId="1DCA3F68" w14:textId="77777777" w:rsidR="00E80D50" w:rsidRPr="000062B1" w:rsidRDefault="00E80D50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72EF2A75" w14:textId="77777777" w:rsidR="00887D3D" w:rsidRPr="00887D3D" w:rsidRDefault="00887D3D" w:rsidP="007C5A33">
      <w:pPr>
        <w:tabs>
          <w:tab w:val="left" w:pos="0"/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9C1375">
        <w:rPr>
          <w:rFonts w:ascii="Times New Roman" w:hAnsi="Times New Roman"/>
          <w:sz w:val="22"/>
          <w:szCs w:val="22"/>
          <w:u w:val="single"/>
        </w:rPr>
        <w:t>Mechanizmus účinku</w:t>
      </w:r>
    </w:p>
    <w:p w14:paraId="5C3CB4C0" w14:textId="77777777" w:rsidR="00887D3D" w:rsidRDefault="00387C2C" w:rsidP="007C5A33">
      <w:pPr>
        <w:tabs>
          <w:tab w:val="left" w:pos="0"/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proofErr w:type="spellStart"/>
      <w:r w:rsidRPr="009C1375">
        <w:rPr>
          <w:rFonts w:ascii="Times New Roman" w:hAnsi="Times New Roman"/>
          <w:sz w:val="22"/>
          <w:szCs w:val="22"/>
        </w:rPr>
        <w:t>Kortikosteroidy</w:t>
      </w:r>
      <w:proofErr w:type="spellEnd"/>
      <w:r w:rsidRPr="009C1375">
        <w:rPr>
          <w:rFonts w:ascii="Times New Roman" w:hAnsi="Times New Roman"/>
          <w:sz w:val="22"/>
          <w:szCs w:val="22"/>
        </w:rPr>
        <w:t xml:space="preserve"> potláčajú zápalové reakcie vyvolané mechanickými, chemickými alebo imunologickými pôvodcami. Nie je žiadne všeobecne akceptované vysvetlenie tejto vlastnosti </w:t>
      </w:r>
      <w:proofErr w:type="spellStart"/>
      <w:r w:rsidRPr="009C1375">
        <w:rPr>
          <w:rFonts w:ascii="Times New Roman" w:hAnsi="Times New Roman"/>
          <w:sz w:val="22"/>
          <w:szCs w:val="22"/>
        </w:rPr>
        <w:t>steroidov</w:t>
      </w:r>
      <w:proofErr w:type="spellEnd"/>
      <w:r w:rsidRPr="009C1375">
        <w:rPr>
          <w:rFonts w:ascii="Times New Roman" w:hAnsi="Times New Roman"/>
          <w:sz w:val="22"/>
          <w:szCs w:val="22"/>
        </w:rPr>
        <w:t xml:space="preserve">. </w:t>
      </w:r>
    </w:p>
    <w:p w14:paraId="175241F5" w14:textId="77777777" w:rsidR="00262E31" w:rsidRPr="009C1375" w:rsidRDefault="00262E31" w:rsidP="007C5A33">
      <w:pPr>
        <w:tabs>
          <w:tab w:val="left" w:pos="0"/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1FEF1978" w14:textId="77777777" w:rsidR="00887D3D" w:rsidRDefault="00887D3D" w:rsidP="007C5A33">
      <w:pPr>
        <w:tabs>
          <w:tab w:val="left" w:pos="0"/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9C1375">
        <w:rPr>
          <w:rFonts w:ascii="Times New Roman" w:hAnsi="Times New Roman"/>
          <w:noProof/>
          <w:sz w:val="22"/>
          <w:szCs w:val="22"/>
          <w:u w:val="single"/>
        </w:rPr>
        <w:t>Farmakodynamické účinky</w:t>
      </w:r>
    </w:p>
    <w:p w14:paraId="32B0E3C4" w14:textId="77777777" w:rsidR="00387C2C" w:rsidRPr="000062B1" w:rsidRDefault="00387C2C" w:rsidP="007C5A33">
      <w:pPr>
        <w:tabs>
          <w:tab w:val="left" w:pos="0"/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062B1">
        <w:rPr>
          <w:rFonts w:ascii="Times New Roman" w:hAnsi="Times New Roman"/>
          <w:sz w:val="22"/>
          <w:szCs w:val="22"/>
        </w:rPr>
        <w:t>Loteprednolum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je nová trieda </w:t>
      </w:r>
      <w:proofErr w:type="spellStart"/>
      <w:r w:rsidRPr="000062B1">
        <w:rPr>
          <w:rFonts w:ascii="Times New Roman" w:hAnsi="Times New Roman"/>
          <w:sz w:val="22"/>
          <w:szCs w:val="22"/>
        </w:rPr>
        <w:t>kortikosteroidov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so silnou protizápalovou aktivitou zvlášť vytvorenou na cielený lokálny účinok. Jeho protizápalová aktivita je podobná najsilnejším </w:t>
      </w:r>
      <w:proofErr w:type="spellStart"/>
      <w:r w:rsidRPr="000062B1">
        <w:rPr>
          <w:rFonts w:ascii="Times New Roman" w:hAnsi="Times New Roman"/>
          <w:sz w:val="22"/>
          <w:szCs w:val="22"/>
        </w:rPr>
        <w:t>steroidom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používaným v oftalmologickej praxi, ale s menším </w:t>
      </w:r>
      <w:proofErr w:type="spellStart"/>
      <w:r w:rsidRPr="000062B1">
        <w:rPr>
          <w:rFonts w:ascii="Times New Roman" w:hAnsi="Times New Roman"/>
          <w:sz w:val="22"/>
          <w:szCs w:val="22"/>
        </w:rPr>
        <w:t>vnútroočným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tlakom.  Štúdie na zvieratách ukázali, že </w:t>
      </w:r>
      <w:proofErr w:type="spellStart"/>
      <w:r w:rsidRPr="000062B1">
        <w:rPr>
          <w:rFonts w:ascii="Times New Roman" w:hAnsi="Times New Roman"/>
          <w:sz w:val="22"/>
          <w:szCs w:val="22"/>
        </w:rPr>
        <w:t>loteprednolumum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má 4,3 krát vyššiu väzobnú afinitu pre receptory </w:t>
      </w:r>
      <w:proofErr w:type="spellStart"/>
      <w:r w:rsidRPr="000062B1">
        <w:rPr>
          <w:rFonts w:ascii="Times New Roman" w:hAnsi="Times New Roman"/>
          <w:sz w:val="22"/>
          <w:szCs w:val="22"/>
        </w:rPr>
        <w:t>steroidov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ako </w:t>
      </w:r>
      <w:proofErr w:type="spellStart"/>
      <w:r w:rsidRPr="000062B1">
        <w:rPr>
          <w:rFonts w:ascii="Times New Roman" w:hAnsi="Times New Roman"/>
          <w:sz w:val="22"/>
          <w:szCs w:val="22"/>
        </w:rPr>
        <w:t>dexametazón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.  Táto nová trieda </w:t>
      </w:r>
      <w:proofErr w:type="spellStart"/>
      <w:r w:rsidRPr="000062B1">
        <w:rPr>
          <w:rFonts w:ascii="Times New Roman" w:hAnsi="Times New Roman"/>
          <w:sz w:val="22"/>
          <w:szCs w:val="22"/>
        </w:rPr>
        <w:t>steroidov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pozostáva z </w:t>
      </w:r>
      <w:proofErr w:type="spellStart"/>
      <w:r w:rsidRPr="000062B1">
        <w:rPr>
          <w:rFonts w:ascii="Times New Roman" w:hAnsi="Times New Roman"/>
          <w:sz w:val="22"/>
          <w:szCs w:val="22"/>
        </w:rPr>
        <w:t>bioaktívnych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molekúl, ktorých </w:t>
      </w:r>
      <w:r w:rsidRPr="000062B1">
        <w:rPr>
          <w:rFonts w:ascii="Times New Roman" w:hAnsi="Times New Roman"/>
          <w:i/>
          <w:iCs/>
          <w:sz w:val="22"/>
          <w:szCs w:val="22"/>
        </w:rPr>
        <w:t xml:space="preserve">in </w:t>
      </w:r>
      <w:proofErr w:type="spellStart"/>
      <w:r w:rsidRPr="000062B1">
        <w:rPr>
          <w:rFonts w:ascii="Times New Roman" w:hAnsi="Times New Roman"/>
          <w:i/>
          <w:iCs/>
          <w:sz w:val="22"/>
          <w:szCs w:val="22"/>
        </w:rPr>
        <w:t>vivo</w:t>
      </w:r>
      <w:proofErr w:type="spellEnd"/>
      <w:r w:rsidRPr="000062B1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0062B1">
        <w:rPr>
          <w:rFonts w:ascii="Times New Roman" w:hAnsi="Times New Roman"/>
          <w:sz w:val="22"/>
          <w:szCs w:val="22"/>
        </w:rPr>
        <w:t xml:space="preserve">transformáciu na netoxické látky je možné predpovedať na základe ich štruktúry a poznatkov  enzymatických dráh v tele. </w:t>
      </w:r>
      <w:proofErr w:type="spellStart"/>
      <w:r w:rsidRPr="000062B1">
        <w:rPr>
          <w:rFonts w:ascii="Times New Roman" w:hAnsi="Times New Roman"/>
          <w:sz w:val="22"/>
          <w:szCs w:val="22"/>
        </w:rPr>
        <w:t>Kortieniková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kyselina je neaktívnym </w:t>
      </w:r>
      <w:proofErr w:type="spellStart"/>
      <w:r w:rsidRPr="000062B1">
        <w:rPr>
          <w:rFonts w:ascii="Times New Roman" w:hAnsi="Times New Roman"/>
          <w:sz w:val="22"/>
          <w:szCs w:val="22"/>
        </w:rPr>
        <w:t>metabolitom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hydrokortizónu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a ani </w:t>
      </w:r>
      <w:proofErr w:type="spellStart"/>
      <w:r w:rsidRPr="000062B1">
        <w:rPr>
          <w:rFonts w:ascii="Times New Roman" w:hAnsi="Times New Roman"/>
          <w:sz w:val="22"/>
          <w:szCs w:val="22"/>
        </w:rPr>
        <w:t>analógy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tejto kyseliny nie sú </w:t>
      </w:r>
      <w:proofErr w:type="spellStart"/>
      <w:r w:rsidRPr="000062B1">
        <w:rPr>
          <w:rFonts w:ascii="Times New Roman" w:hAnsi="Times New Roman"/>
          <w:sz w:val="22"/>
          <w:szCs w:val="22"/>
        </w:rPr>
        <w:t>kortikosteroidne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aktívne. </w:t>
      </w:r>
      <w:proofErr w:type="spellStart"/>
      <w:r w:rsidRPr="000062B1">
        <w:rPr>
          <w:rFonts w:ascii="Times New Roman" w:hAnsi="Times New Roman"/>
          <w:sz w:val="22"/>
          <w:szCs w:val="22"/>
        </w:rPr>
        <w:t>Loteprednolum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je esterom derivátu jedného z týchto </w:t>
      </w:r>
      <w:proofErr w:type="spellStart"/>
      <w:r w:rsidRPr="000062B1">
        <w:rPr>
          <w:rFonts w:ascii="Times New Roman" w:hAnsi="Times New Roman"/>
          <w:sz w:val="22"/>
          <w:szCs w:val="22"/>
        </w:rPr>
        <w:t>analógov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, </w:t>
      </w:r>
      <w:r w:rsidRPr="000062B1">
        <w:rPr>
          <w:rFonts w:ascii="Times New Roman" w:hAnsi="Times New Roman"/>
          <w:sz w:val="22"/>
          <w:szCs w:val="22"/>
        </w:rPr>
        <w:fldChar w:fldCharType="begin"/>
      </w:r>
      <w:r w:rsidRPr="000062B1">
        <w:rPr>
          <w:rFonts w:ascii="Times New Roman" w:hAnsi="Times New Roman"/>
          <w:sz w:val="22"/>
          <w:szCs w:val="22"/>
        </w:rPr>
        <w:instrText>SYMBOL 68 \f "Symbol" \s 12</w:instrText>
      </w:r>
      <w:r w:rsidRPr="000062B1">
        <w:rPr>
          <w:rFonts w:ascii="Times New Roman" w:hAnsi="Times New Roman"/>
          <w:sz w:val="22"/>
          <w:szCs w:val="22"/>
        </w:rPr>
        <w:fldChar w:fldCharType="separate"/>
      </w:r>
      <w:r w:rsidRPr="000062B1">
        <w:rPr>
          <w:rFonts w:ascii="Times New Roman" w:hAnsi="Times New Roman"/>
          <w:sz w:val="22"/>
          <w:szCs w:val="22"/>
        </w:rPr>
        <w:t>D</w:t>
      </w:r>
      <w:r w:rsidRPr="000062B1">
        <w:rPr>
          <w:rFonts w:ascii="Times New Roman" w:hAnsi="Times New Roman"/>
          <w:sz w:val="22"/>
          <w:szCs w:val="22"/>
        </w:rPr>
        <w:fldChar w:fldCharType="end"/>
      </w:r>
      <w:r w:rsidRPr="000062B1">
        <w:rPr>
          <w:rFonts w:ascii="Times New Roman" w:hAnsi="Times New Roman"/>
          <w:sz w:val="22"/>
          <w:szCs w:val="22"/>
          <w:vertAlign w:val="superscript"/>
        </w:rPr>
        <w:t>1</w:t>
      </w:r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kortienikovej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kyseliny </w:t>
      </w:r>
    </w:p>
    <w:p w14:paraId="471EA182" w14:textId="77777777" w:rsidR="00AF3444" w:rsidRPr="009C1375" w:rsidRDefault="00887D3D" w:rsidP="007C5A33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4"/>
          <w:szCs w:val="22"/>
        </w:rPr>
      </w:pPr>
      <w:r w:rsidRPr="009C1375">
        <w:rPr>
          <w:rFonts w:ascii="Times New Roman" w:hAnsi="Times New Roman"/>
          <w:sz w:val="22"/>
          <w:szCs w:val="22"/>
          <w:u w:val="single"/>
        </w:rPr>
        <w:t>Klinická účinnosť a bezpečnosť</w:t>
      </w:r>
    </w:p>
    <w:p w14:paraId="7D26C0C1" w14:textId="77777777" w:rsidR="00387C2C" w:rsidRPr="000062B1" w:rsidRDefault="00387C2C" w:rsidP="007C5A33">
      <w:pPr>
        <w:tabs>
          <w:tab w:val="left" w:pos="-566"/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062B1">
        <w:rPr>
          <w:rFonts w:ascii="Times New Roman" w:hAnsi="Times New Roman"/>
          <w:sz w:val="22"/>
          <w:szCs w:val="22"/>
        </w:rPr>
        <w:t>Placebom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kontrolované štúdie preukázali, že </w:t>
      </w:r>
      <w:proofErr w:type="spellStart"/>
      <w:r w:rsidR="00C85C5A" w:rsidRPr="000062B1">
        <w:rPr>
          <w:rFonts w:ascii="Times New Roman" w:hAnsi="Times New Roman"/>
          <w:sz w:val="22"/>
          <w:szCs w:val="22"/>
        </w:rPr>
        <w:t>Lotemax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je významne viac efektívny ako </w:t>
      </w:r>
      <w:proofErr w:type="spellStart"/>
      <w:r w:rsidRPr="000062B1">
        <w:rPr>
          <w:rFonts w:ascii="Times New Roman" w:hAnsi="Times New Roman"/>
          <w:sz w:val="22"/>
          <w:szCs w:val="22"/>
        </w:rPr>
        <w:t>placebo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pri liečbe vonkajšieho očného  zápalu. </w:t>
      </w:r>
    </w:p>
    <w:p w14:paraId="52BDA5B9" w14:textId="77777777" w:rsidR="00AF3444" w:rsidRDefault="00AF3444" w:rsidP="007C5A33">
      <w:pPr>
        <w:tabs>
          <w:tab w:val="left" w:pos="-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508B7C8D" w14:textId="77777777" w:rsidR="00887D3D" w:rsidRDefault="00387C2C" w:rsidP="007C5A33">
      <w:pPr>
        <w:tabs>
          <w:tab w:val="left" w:pos="-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proofErr w:type="spellStart"/>
      <w:r w:rsidRPr="000062B1">
        <w:rPr>
          <w:rFonts w:ascii="Times New Roman" w:hAnsi="Times New Roman"/>
          <w:sz w:val="22"/>
          <w:szCs w:val="22"/>
        </w:rPr>
        <w:t>Kortikosteroidy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môžu spôsobiť zvýšenie </w:t>
      </w:r>
      <w:proofErr w:type="spellStart"/>
      <w:r w:rsidRPr="000062B1">
        <w:rPr>
          <w:rFonts w:ascii="Times New Roman" w:hAnsi="Times New Roman"/>
          <w:sz w:val="22"/>
          <w:szCs w:val="22"/>
        </w:rPr>
        <w:t>vnútroočného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 tlaku u vnímavých jedincov.         V  malej štúdii </w:t>
      </w:r>
      <w:proofErr w:type="spellStart"/>
      <w:r w:rsidR="00C85C5A" w:rsidRPr="000062B1">
        <w:rPr>
          <w:rFonts w:ascii="Times New Roman" w:hAnsi="Times New Roman"/>
          <w:sz w:val="22"/>
          <w:szCs w:val="22"/>
        </w:rPr>
        <w:t>Lotemax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potreboval významne dlhší čas na zvýšenie tlaku ako </w:t>
      </w:r>
      <w:proofErr w:type="spellStart"/>
      <w:r w:rsidRPr="000062B1">
        <w:rPr>
          <w:rFonts w:ascii="Times New Roman" w:hAnsi="Times New Roman"/>
          <w:sz w:val="22"/>
          <w:szCs w:val="22"/>
        </w:rPr>
        <w:t>prednisolon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acetát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.  Celkový počet pacientov, ktorým sa zvýšil </w:t>
      </w:r>
      <w:proofErr w:type="spellStart"/>
      <w:r w:rsidRPr="000062B1">
        <w:rPr>
          <w:rFonts w:ascii="Times New Roman" w:hAnsi="Times New Roman"/>
          <w:sz w:val="22"/>
          <w:szCs w:val="22"/>
        </w:rPr>
        <w:t>vnútroočný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tlak o </w:t>
      </w:r>
      <w:r w:rsidRPr="000062B1">
        <w:rPr>
          <w:rFonts w:ascii="Times New Roman" w:hAnsi="Times New Roman"/>
          <w:sz w:val="22"/>
          <w:szCs w:val="22"/>
        </w:rPr>
        <w:fldChar w:fldCharType="begin"/>
      </w:r>
      <w:r w:rsidRPr="000062B1">
        <w:rPr>
          <w:rFonts w:ascii="Times New Roman" w:hAnsi="Times New Roman"/>
          <w:sz w:val="22"/>
          <w:szCs w:val="22"/>
        </w:rPr>
        <w:instrText>SYMBOL 179 \f "Symbol" \s 12</w:instrText>
      </w:r>
      <w:r w:rsidRPr="000062B1">
        <w:rPr>
          <w:rFonts w:ascii="Times New Roman" w:hAnsi="Times New Roman"/>
          <w:sz w:val="22"/>
          <w:szCs w:val="22"/>
        </w:rPr>
        <w:fldChar w:fldCharType="separate"/>
      </w:r>
      <w:r w:rsidRPr="000062B1">
        <w:rPr>
          <w:rFonts w:ascii="Times New Roman" w:hAnsi="Times New Roman"/>
          <w:sz w:val="22"/>
          <w:szCs w:val="22"/>
        </w:rPr>
        <w:t>³</w:t>
      </w:r>
      <w:r w:rsidRPr="000062B1">
        <w:rPr>
          <w:rFonts w:ascii="Times New Roman" w:hAnsi="Times New Roman"/>
          <w:sz w:val="22"/>
          <w:szCs w:val="22"/>
        </w:rPr>
        <w:fldChar w:fldCharType="end"/>
      </w:r>
      <w:r w:rsidRPr="000062B1">
        <w:rPr>
          <w:rFonts w:ascii="Times New Roman" w:hAnsi="Times New Roman"/>
          <w:sz w:val="22"/>
          <w:szCs w:val="22"/>
        </w:rPr>
        <w:t xml:space="preserve">10 mm </w:t>
      </w:r>
      <w:proofErr w:type="spellStart"/>
      <w:r w:rsidRPr="000062B1">
        <w:rPr>
          <w:rFonts w:ascii="Times New Roman" w:hAnsi="Times New Roman"/>
          <w:sz w:val="22"/>
          <w:szCs w:val="22"/>
        </w:rPr>
        <w:t>Hg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bol nižší u pacientov liečených </w:t>
      </w:r>
      <w:proofErr w:type="spellStart"/>
      <w:r w:rsidR="00C85C5A" w:rsidRPr="000062B1">
        <w:rPr>
          <w:rFonts w:ascii="Times New Roman" w:hAnsi="Times New Roman"/>
          <w:sz w:val="22"/>
          <w:szCs w:val="22"/>
        </w:rPr>
        <w:t>Lotemax</w:t>
      </w:r>
      <w:r w:rsidRPr="000062B1">
        <w:rPr>
          <w:rFonts w:ascii="Times New Roman" w:hAnsi="Times New Roman"/>
          <w:sz w:val="22"/>
          <w:szCs w:val="22"/>
        </w:rPr>
        <w:t>om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. U mnohých pacientov liečených </w:t>
      </w:r>
      <w:proofErr w:type="spellStart"/>
      <w:r w:rsidR="00C85C5A" w:rsidRPr="000062B1">
        <w:rPr>
          <w:rFonts w:ascii="Times New Roman" w:hAnsi="Times New Roman"/>
          <w:sz w:val="22"/>
          <w:szCs w:val="22"/>
        </w:rPr>
        <w:t>Lotemax</w:t>
      </w:r>
      <w:r w:rsidRPr="000062B1">
        <w:rPr>
          <w:rFonts w:ascii="Times New Roman" w:hAnsi="Times New Roman"/>
          <w:sz w:val="22"/>
          <w:szCs w:val="22"/>
        </w:rPr>
        <w:t>om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konečné zvýšenie </w:t>
      </w:r>
      <w:proofErr w:type="spellStart"/>
      <w:r w:rsidRPr="000062B1">
        <w:rPr>
          <w:rFonts w:ascii="Times New Roman" w:hAnsi="Times New Roman"/>
          <w:sz w:val="22"/>
          <w:szCs w:val="22"/>
        </w:rPr>
        <w:t>vnútroočného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tlaku nikdy nedosiahlo také hodnoty aké boli dosiahnuté u pacientov liečených </w:t>
      </w:r>
      <w:proofErr w:type="spellStart"/>
      <w:r w:rsidRPr="000062B1">
        <w:rPr>
          <w:rFonts w:ascii="Times New Roman" w:hAnsi="Times New Roman"/>
          <w:sz w:val="22"/>
          <w:szCs w:val="22"/>
        </w:rPr>
        <w:t>prednisolon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acetátom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. V klinických štúdiách len 2% všetkých pacientov malo zvýšenie </w:t>
      </w:r>
      <w:proofErr w:type="spellStart"/>
      <w:r w:rsidRPr="000062B1">
        <w:rPr>
          <w:rFonts w:ascii="Times New Roman" w:hAnsi="Times New Roman"/>
          <w:sz w:val="22"/>
          <w:szCs w:val="22"/>
        </w:rPr>
        <w:t>vnútroočného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tlaku o </w:t>
      </w:r>
      <w:r w:rsidRPr="000062B1">
        <w:rPr>
          <w:rFonts w:ascii="Times New Roman" w:hAnsi="Times New Roman"/>
          <w:sz w:val="22"/>
          <w:szCs w:val="22"/>
        </w:rPr>
        <w:fldChar w:fldCharType="begin"/>
      </w:r>
      <w:r w:rsidRPr="000062B1">
        <w:rPr>
          <w:rFonts w:ascii="Times New Roman" w:hAnsi="Times New Roman"/>
          <w:sz w:val="22"/>
          <w:szCs w:val="22"/>
        </w:rPr>
        <w:instrText>SYMBOL 179 \f "Symbol" \s 12</w:instrText>
      </w:r>
      <w:r w:rsidRPr="000062B1">
        <w:rPr>
          <w:rFonts w:ascii="Times New Roman" w:hAnsi="Times New Roman"/>
          <w:sz w:val="22"/>
          <w:szCs w:val="22"/>
        </w:rPr>
        <w:fldChar w:fldCharType="separate"/>
      </w:r>
      <w:r w:rsidRPr="000062B1">
        <w:rPr>
          <w:rFonts w:ascii="Times New Roman" w:hAnsi="Times New Roman"/>
          <w:sz w:val="22"/>
          <w:szCs w:val="22"/>
        </w:rPr>
        <w:t>³</w:t>
      </w:r>
      <w:r w:rsidRPr="000062B1">
        <w:rPr>
          <w:rFonts w:ascii="Times New Roman" w:hAnsi="Times New Roman"/>
          <w:sz w:val="22"/>
          <w:szCs w:val="22"/>
        </w:rPr>
        <w:fldChar w:fldCharType="end"/>
      </w:r>
      <w:r w:rsidRPr="000062B1">
        <w:rPr>
          <w:rFonts w:ascii="Times New Roman" w:hAnsi="Times New Roman"/>
          <w:sz w:val="22"/>
          <w:szCs w:val="22"/>
        </w:rPr>
        <w:t xml:space="preserve">10 mm </w:t>
      </w:r>
      <w:proofErr w:type="spellStart"/>
      <w:r w:rsidRPr="000062B1">
        <w:rPr>
          <w:rFonts w:ascii="Times New Roman" w:hAnsi="Times New Roman"/>
          <w:sz w:val="22"/>
          <w:szCs w:val="22"/>
        </w:rPr>
        <w:t>Hg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.  U malého percenta pacientov, ktorým sa významne zvýšil </w:t>
      </w:r>
      <w:proofErr w:type="spellStart"/>
      <w:r w:rsidRPr="000062B1">
        <w:rPr>
          <w:rFonts w:ascii="Times New Roman" w:hAnsi="Times New Roman"/>
          <w:sz w:val="22"/>
          <w:szCs w:val="22"/>
        </w:rPr>
        <w:t>vnútroočný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tlak, sa tlak rýchlo upravil na normálny, keď sa prestali podávať lieky.</w:t>
      </w:r>
    </w:p>
    <w:p w14:paraId="12361EF8" w14:textId="77777777" w:rsidR="00887D3D" w:rsidRDefault="00887D3D" w:rsidP="007C5A33">
      <w:pPr>
        <w:tabs>
          <w:tab w:val="left" w:pos="-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414EB93B" w14:textId="77777777" w:rsidR="00887D3D" w:rsidRDefault="00887D3D" w:rsidP="007C5A33">
      <w:pPr>
        <w:tabs>
          <w:tab w:val="left" w:pos="-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Pediatrická populácia</w:t>
      </w:r>
    </w:p>
    <w:p w14:paraId="0424DB90" w14:textId="77777777" w:rsidR="00387C2C" w:rsidRPr="009C1375" w:rsidRDefault="00887D3D" w:rsidP="007C5A33">
      <w:pPr>
        <w:tabs>
          <w:tab w:val="left" w:pos="-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spacing w:line="258" w:lineRule="exact"/>
        <w:jc w:val="both"/>
        <w:rPr>
          <w:rFonts w:ascii="Times New Roman" w:hAnsi="Times New Roman"/>
          <w:b/>
          <w:sz w:val="22"/>
          <w:szCs w:val="22"/>
        </w:rPr>
      </w:pPr>
      <w:r w:rsidRPr="009C1375">
        <w:rPr>
          <w:rStyle w:val="hps"/>
          <w:rFonts w:ascii="Times New Roman" w:hAnsi="Times New Roman"/>
          <w:color w:val="222222"/>
          <w:sz w:val="22"/>
        </w:rPr>
        <w:t>Nie sú</w:t>
      </w:r>
      <w:r w:rsidRPr="009C1375">
        <w:rPr>
          <w:rFonts w:ascii="Times New Roman" w:hAnsi="Times New Roman"/>
          <w:color w:val="222222"/>
          <w:sz w:val="22"/>
        </w:rPr>
        <w:t xml:space="preserve"> </w:t>
      </w:r>
      <w:r w:rsidRPr="009C1375">
        <w:rPr>
          <w:rStyle w:val="hps"/>
          <w:rFonts w:ascii="Times New Roman" w:hAnsi="Times New Roman"/>
          <w:color w:val="222222"/>
          <w:sz w:val="22"/>
        </w:rPr>
        <w:t>k</w:t>
      </w:r>
      <w:r w:rsidRPr="009C1375">
        <w:rPr>
          <w:rFonts w:ascii="Times New Roman" w:hAnsi="Times New Roman"/>
          <w:color w:val="222222"/>
          <w:sz w:val="22"/>
        </w:rPr>
        <w:t xml:space="preserve"> </w:t>
      </w:r>
      <w:r w:rsidRPr="009C1375">
        <w:rPr>
          <w:rStyle w:val="hps"/>
          <w:rFonts w:ascii="Times New Roman" w:hAnsi="Times New Roman"/>
          <w:color w:val="222222"/>
          <w:sz w:val="22"/>
        </w:rPr>
        <w:t>dispozícii u</w:t>
      </w:r>
      <w:r w:rsidRPr="009C1375">
        <w:rPr>
          <w:rFonts w:ascii="Times New Roman" w:hAnsi="Times New Roman"/>
          <w:color w:val="222222"/>
          <w:sz w:val="22"/>
        </w:rPr>
        <w:t xml:space="preserve"> pediatrickej </w:t>
      </w:r>
      <w:r w:rsidRPr="009C1375">
        <w:rPr>
          <w:rStyle w:val="hps"/>
          <w:rFonts w:ascii="Times New Roman" w:hAnsi="Times New Roman"/>
          <w:color w:val="222222"/>
          <w:sz w:val="22"/>
        </w:rPr>
        <w:t>populácie</w:t>
      </w:r>
      <w:r w:rsidRPr="009C1375">
        <w:rPr>
          <w:rFonts w:ascii="Times New Roman" w:hAnsi="Times New Roman"/>
          <w:color w:val="222222"/>
          <w:sz w:val="22"/>
        </w:rPr>
        <w:t xml:space="preserve"> </w:t>
      </w:r>
      <w:r w:rsidRPr="009C1375">
        <w:rPr>
          <w:rStyle w:val="hps"/>
          <w:rFonts w:ascii="Times New Roman" w:hAnsi="Times New Roman"/>
          <w:color w:val="222222"/>
          <w:sz w:val="22"/>
        </w:rPr>
        <w:t>žiadne</w:t>
      </w:r>
      <w:r w:rsidRPr="009C1375">
        <w:rPr>
          <w:rFonts w:ascii="Times New Roman" w:hAnsi="Times New Roman"/>
          <w:color w:val="222222"/>
          <w:sz w:val="22"/>
        </w:rPr>
        <w:t xml:space="preserve"> </w:t>
      </w:r>
      <w:r w:rsidRPr="009C1375">
        <w:rPr>
          <w:rStyle w:val="hps"/>
          <w:rFonts w:ascii="Times New Roman" w:hAnsi="Times New Roman"/>
          <w:color w:val="222222"/>
          <w:sz w:val="22"/>
        </w:rPr>
        <w:t>údaje</w:t>
      </w:r>
      <w:r w:rsidRPr="009C1375">
        <w:rPr>
          <w:rFonts w:ascii="Times New Roman" w:hAnsi="Times New Roman"/>
          <w:color w:val="222222"/>
          <w:sz w:val="22"/>
        </w:rPr>
        <w:t>.</w:t>
      </w:r>
      <w:r w:rsidR="00387C2C" w:rsidRPr="009C1375">
        <w:rPr>
          <w:rFonts w:ascii="Times New Roman" w:hAnsi="Times New Roman"/>
          <w:sz w:val="24"/>
          <w:szCs w:val="22"/>
        </w:rPr>
        <w:t xml:space="preserve">  </w:t>
      </w:r>
      <w:r w:rsidR="00387C2C" w:rsidRPr="009C1375">
        <w:rPr>
          <w:rFonts w:ascii="Times New Roman" w:hAnsi="Times New Roman"/>
          <w:b/>
          <w:sz w:val="22"/>
          <w:szCs w:val="22"/>
        </w:rPr>
        <w:t xml:space="preserve"> </w:t>
      </w:r>
    </w:p>
    <w:p w14:paraId="1507CF99" w14:textId="77777777" w:rsidR="00387C2C" w:rsidRPr="009C1375" w:rsidRDefault="00387C2C">
      <w:pPr>
        <w:tabs>
          <w:tab w:val="left" w:pos="426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426"/>
        <w:jc w:val="both"/>
        <w:rPr>
          <w:rFonts w:ascii="Times New Roman" w:hAnsi="Times New Roman"/>
          <w:b/>
          <w:sz w:val="22"/>
          <w:szCs w:val="22"/>
        </w:rPr>
      </w:pPr>
    </w:p>
    <w:p w14:paraId="67B3E178" w14:textId="77777777" w:rsidR="00387C2C" w:rsidRPr="000062B1" w:rsidRDefault="00387C2C">
      <w:pPr>
        <w:tabs>
          <w:tab w:val="left" w:pos="567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5.2</w:t>
      </w:r>
      <w:r w:rsidRPr="000062B1">
        <w:rPr>
          <w:rFonts w:ascii="Times New Roman" w:hAnsi="Times New Roman"/>
          <w:b/>
          <w:sz w:val="22"/>
          <w:szCs w:val="22"/>
        </w:rPr>
        <w:tab/>
        <w:t xml:space="preserve">  </w:t>
      </w:r>
      <w:proofErr w:type="spellStart"/>
      <w:r w:rsidRPr="000062B1">
        <w:rPr>
          <w:rFonts w:ascii="Times New Roman" w:hAnsi="Times New Roman"/>
          <w:b/>
          <w:sz w:val="22"/>
          <w:szCs w:val="22"/>
        </w:rPr>
        <w:t>Farmakokinetické</w:t>
      </w:r>
      <w:proofErr w:type="spellEnd"/>
      <w:r w:rsidRPr="000062B1">
        <w:rPr>
          <w:rFonts w:ascii="Times New Roman" w:hAnsi="Times New Roman"/>
          <w:b/>
          <w:sz w:val="22"/>
          <w:szCs w:val="22"/>
        </w:rPr>
        <w:t xml:space="preserve"> vlastnosti</w:t>
      </w:r>
    </w:p>
    <w:p w14:paraId="7ADD9DF8" w14:textId="77777777" w:rsidR="00AF3444" w:rsidRDefault="00AF3444" w:rsidP="007C5A33">
      <w:pPr>
        <w:tabs>
          <w:tab w:val="left" w:pos="426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23022A15" w14:textId="77777777" w:rsidR="00387C2C" w:rsidRPr="000062B1" w:rsidRDefault="00387C2C" w:rsidP="007C5A33">
      <w:pPr>
        <w:tabs>
          <w:tab w:val="left" w:pos="426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>Výsledky perorálneho a </w:t>
      </w:r>
      <w:proofErr w:type="spellStart"/>
      <w:r w:rsidRPr="000062B1">
        <w:rPr>
          <w:rFonts w:ascii="Times New Roman" w:hAnsi="Times New Roman"/>
          <w:sz w:val="22"/>
          <w:szCs w:val="22"/>
        </w:rPr>
        <w:t>okulárneho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podávania </w:t>
      </w:r>
      <w:proofErr w:type="spellStart"/>
      <w:r w:rsidR="00C85C5A" w:rsidRPr="000062B1">
        <w:rPr>
          <w:rFonts w:ascii="Times New Roman" w:hAnsi="Times New Roman"/>
          <w:sz w:val="22"/>
          <w:szCs w:val="22"/>
        </w:rPr>
        <w:t>Lotemax</w:t>
      </w:r>
      <w:r w:rsidRPr="000062B1">
        <w:rPr>
          <w:rFonts w:ascii="Times New Roman" w:hAnsi="Times New Roman"/>
          <w:sz w:val="22"/>
          <w:szCs w:val="22"/>
        </w:rPr>
        <w:t>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zdravým dobrovoľníkom preukázali nízke alebo nezistiteľné koncentrácie nezmenenej látky alebo </w:t>
      </w:r>
      <w:proofErr w:type="spellStart"/>
      <w:r w:rsidRPr="000062B1">
        <w:rPr>
          <w:rFonts w:ascii="Times New Roman" w:hAnsi="Times New Roman"/>
          <w:sz w:val="22"/>
          <w:szCs w:val="22"/>
        </w:rPr>
        <w:t>metabolitu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.  Výsledky štúdie </w:t>
      </w:r>
      <w:proofErr w:type="spellStart"/>
      <w:r w:rsidRPr="000062B1">
        <w:rPr>
          <w:rFonts w:ascii="Times New Roman" w:hAnsi="Times New Roman"/>
          <w:sz w:val="22"/>
          <w:szCs w:val="22"/>
        </w:rPr>
        <w:t>biodostupnosti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preukázali, že koncentrácie </w:t>
      </w:r>
      <w:proofErr w:type="spellStart"/>
      <w:r w:rsidRPr="000062B1">
        <w:rPr>
          <w:rFonts w:ascii="Times New Roman" w:hAnsi="Times New Roman"/>
          <w:sz w:val="22"/>
          <w:szCs w:val="22"/>
        </w:rPr>
        <w:t>loteprednolum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etabonátu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v plazme po </w:t>
      </w:r>
      <w:proofErr w:type="spellStart"/>
      <w:r w:rsidRPr="000062B1">
        <w:rPr>
          <w:rFonts w:ascii="Times New Roman" w:hAnsi="Times New Roman"/>
          <w:sz w:val="22"/>
          <w:szCs w:val="22"/>
        </w:rPr>
        <w:t>okulárnom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podávaní jednej kvapky </w:t>
      </w:r>
      <w:proofErr w:type="spellStart"/>
      <w:r w:rsidR="00C85C5A" w:rsidRPr="000062B1">
        <w:rPr>
          <w:rFonts w:ascii="Times New Roman" w:hAnsi="Times New Roman"/>
          <w:sz w:val="22"/>
          <w:szCs w:val="22"/>
        </w:rPr>
        <w:t>Lotemax</w:t>
      </w:r>
      <w:r w:rsidRPr="000062B1">
        <w:rPr>
          <w:rFonts w:ascii="Times New Roman" w:hAnsi="Times New Roman"/>
          <w:sz w:val="22"/>
          <w:szCs w:val="22"/>
        </w:rPr>
        <w:t>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do každého oka 8 krát denne dva dni alebo </w:t>
      </w:r>
      <w:proofErr w:type="spellStart"/>
      <w:r w:rsidRPr="000062B1">
        <w:rPr>
          <w:rFonts w:ascii="Times New Roman" w:hAnsi="Times New Roman"/>
          <w:sz w:val="22"/>
          <w:szCs w:val="22"/>
        </w:rPr>
        <w:t>4-krát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denne 42 dní boli pod limitom kvantifikácie (1 </w:t>
      </w:r>
      <w:proofErr w:type="spellStart"/>
      <w:r w:rsidRPr="000062B1">
        <w:rPr>
          <w:rFonts w:ascii="Times New Roman" w:hAnsi="Times New Roman"/>
          <w:sz w:val="22"/>
          <w:szCs w:val="22"/>
        </w:rPr>
        <w:t>ng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/ml) a detekcie (500 </w:t>
      </w:r>
      <w:proofErr w:type="spellStart"/>
      <w:r w:rsidRPr="000062B1">
        <w:rPr>
          <w:rFonts w:ascii="Times New Roman" w:hAnsi="Times New Roman"/>
          <w:sz w:val="22"/>
          <w:szCs w:val="22"/>
        </w:rPr>
        <w:t>pg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/ml) pri odberoch vo všetkých časových odberoch. V tej istej štúdii sa merali plazmatické koncentrácie </w:t>
      </w:r>
      <w:proofErr w:type="spellStart"/>
      <w:r w:rsidRPr="000062B1">
        <w:rPr>
          <w:rFonts w:ascii="Times New Roman" w:hAnsi="Times New Roman"/>
          <w:sz w:val="22"/>
          <w:szCs w:val="22"/>
        </w:rPr>
        <w:t>kortizolu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a nezistil sa žiadny dôkaz potlačenia nadobličkovej  kôry. Všetky výsledky merania </w:t>
      </w:r>
      <w:proofErr w:type="spellStart"/>
      <w:r w:rsidRPr="000062B1">
        <w:rPr>
          <w:rFonts w:ascii="Times New Roman" w:hAnsi="Times New Roman"/>
          <w:sz w:val="22"/>
          <w:szCs w:val="22"/>
        </w:rPr>
        <w:t>kortizolu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boli v rámci normálnych hodnôt. Táto štúdia naznačuje, že ak vôbec dochádza k systémovej absorpcii </w:t>
      </w:r>
      <w:proofErr w:type="spellStart"/>
      <w:r w:rsidR="00C85C5A" w:rsidRPr="000062B1">
        <w:rPr>
          <w:rFonts w:ascii="Times New Roman" w:hAnsi="Times New Roman"/>
          <w:sz w:val="22"/>
          <w:szCs w:val="22"/>
        </w:rPr>
        <w:t>Lotemax</w:t>
      </w:r>
      <w:r w:rsidRPr="000062B1">
        <w:rPr>
          <w:rFonts w:ascii="Times New Roman" w:hAnsi="Times New Roman"/>
          <w:sz w:val="22"/>
          <w:szCs w:val="22"/>
        </w:rPr>
        <w:t>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, je iba limitovaná. </w:t>
      </w:r>
    </w:p>
    <w:p w14:paraId="25152C31" w14:textId="77777777" w:rsidR="00387C2C" w:rsidRPr="000062B1" w:rsidRDefault="00387C2C">
      <w:pPr>
        <w:tabs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ind w:left="567"/>
        <w:jc w:val="both"/>
        <w:rPr>
          <w:rFonts w:ascii="Times New Roman" w:hAnsi="Times New Roman"/>
          <w:sz w:val="22"/>
          <w:szCs w:val="22"/>
        </w:rPr>
      </w:pPr>
    </w:p>
    <w:p w14:paraId="384D0EFF" w14:textId="49B90CE0" w:rsidR="00387C2C" w:rsidRPr="000062B1" w:rsidRDefault="00262E31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7F451324" w14:textId="77777777" w:rsidR="00387C2C" w:rsidRPr="000062B1" w:rsidRDefault="00387C2C">
      <w:pPr>
        <w:numPr>
          <w:ilvl w:val="1"/>
          <w:numId w:val="1"/>
        </w:numPr>
        <w:tabs>
          <w:tab w:val="left" w:pos="0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Predklinické údaje o bezpečnosti</w:t>
      </w:r>
    </w:p>
    <w:p w14:paraId="17FC495C" w14:textId="77777777" w:rsidR="00AF3444" w:rsidRPr="000062B1" w:rsidRDefault="00AF3444" w:rsidP="00AF3444">
      <w:pPr>
        <w:tabs>
          <w:tab w:val="left" w:pos="0"/>
          <w:tab w:val="left" w:pos="565"/>
          <w:tab w:val="left" w:pos="1131"/>
          <w:tab w:val="left" w:pos="1698"/>
          <w:tab w:val="left" w:pos="2264"/>
          <w:tab w:val="left" w:pos="2829"/>
          <w:tab w:val="left" w:pos="3397"/>
          <w:tab w:val="left" w:pos="3963"/>
          <w:tab w:val="left" w:pos="4530"/>
          <w:tab w:val="left" w:pos="5096"/>
          <w:tab w:val="left" w:pos="5661"/>
          <w:tab w:val="left" w:pos="6229"/>
          <w:tab w:val="left" w:pos="6795"/>
          <w:tab w:val="left" w:pos="7362"/>
          <w:tab w:val="left" w:pos="7928"/>
          <w:tab w:val="left" w:pos="8493"/>
          <w:tab w:val="left" w:pos="8793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44971CDF" w14:textId="77777777" w:rsidR="00387C2C" w:rsidRPr="000062B1" w:rsidRDefault="00387C2C" w:rsidP="007C5A33">
      <w:pPr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0062B1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Predklinické údaje na základe obvyklých štúdií neodhalili žiadne osobitné riziko toxicity a </w:t>
      </w:r>
      <w:proofErr w:type="spellStart"/>
      <w:r w:rsidRPr="000062B1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genotoxicity</w:t>
      </w:r>
      <w:proofErr w:type="spellEnd"/>
      <w:r w:rsidRPr="000062B1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 pre ľudí po opakovanom podávaní.   </w:t>
      </w:r>
    </w:p>
    <w:p w14:paraId="743B77AB" w14:textId="77777777" w:rsidR="00AF3444" w:rsidRPr="000062B1" w:rsidRDefault="00AF3444" w:rsidP="007C5A33">
      <w:pPr>
        <w:jc w:val="both"/>
        <w:rPr>
          <w:rFonts w:ascii="Times New Roman" w:hAnsi="Times New Roman"/>
          <w:sz w:val="22"/>
          <w:szCs w:val="22"/>
        </w:rPr>
      </w:pPr>
    </w:p>
    <w:p w14:paraId="286AC11A" w14:textId="77777777" w:rsidR="00AF3444" w:rsidRPr="000062B1" w:rsidRDefault="00387C2C" w:rsidP="007C5A33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0062B1">
        <w:rPr>
          <w:rFonts w:ascii="Times New Roman" w:hAnsi="Times New Roman"/>
          <w:sz w:val="22"/>
          <w:szCs w:val="22"/>
        </w:rPr>
        <w:t>Embryotoxicita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0062B1">
        <w:rPr>
          <w:rFonts w:ascii="Times New Roman" w:hAnsi="Times New Roman"/>
          <w:sz w:val="22"/>
          <w:szCs w:val="22"/>
        </w:rPr>
        <w:t>teratogenické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účinky boli pozorované v štúdiách reprodukčnej toxicity na králikoch (oneskorená osifikácia, výskyt </w:t>
      </w:r>
      <w:proofErr w:type="spellStart"/>
      <w:r w:rsidRPr="000062B1">
        <w:rPr>
          <w:rFonts w:ascii="Times New Roman" w:hAnsi="Times New Roman"/>
          <w:sz w:val="22"/>
          <w:szCs w:val="22"/>
        </w:rPr>
        <w:t>meningokély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, abnormálna ľavá krčná tepna a zakrivenie končatín) pri perorálnom podávaní </w:t>
      </w:r>
      <w:proofErr w:type="spellStart"/>
      <w:r w:rsidRPr="000062B1">
        <w:rPr>
          <w:rFonts w:ascii="Times New Roman" w:hAnsi="Times New Roman"/>
          <w:sz w:val="22"/>
          <w:szCs w:val="22"/>
        </w:rPr>
        <w:t>35-násobku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maximálnej dennej klinickej dávky a u potkanov (znížená telesná hmotnosť plodu a osifikácia kostry, absencia bezmennej tepny, rozštep podnebia a pupočná prietrž) pri perorálnom podávaní dávok      </w:t>
      </w:r>
      <w:proofErr w:type="spellStart"/>
      <w:r w:rsidRPr="000062B1">
        <w:rPr>
          <w:rFonts w:ascii="Times New Roman" w:hAnsi="Times New Roman"/>
          <w:sz w:val="22"/>
          <w:szCs w:val="22"/>
        </w:rPr>
        <w:t>60-krát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vyšších ako je maximálna denná klinická dávka.</w:t>
      </w:r>
    </w:p>
    <w:p w14:paraId="227EBE2A" w14:textId="77777777" w:rsidR="00AF3444" w:rsidRDefault="00AF3444" w:rsidP="007C5A33">
      <w:pPr>
        <w:jc w:val="both"/>
        <w:rPr>
          <w:rFonts w:ascii="Times New Roman" w:hAnsi="Times New Roman"/>
          <w:sz w:val="22"/>
          <w:szCs w:val="22"/>
        </w:rPr>
      </w:pPr>
    </w:p>
    <w:p w14:paraId="7352222D" w14:textId="77777777" w:rsidR="00387C2C" w:rsidRPr="000062B1" w:rsidRDefault="00387C2C" w:rsidP="007C5A33">
      <w:pPr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V akútnych ako aj v chronických štúdiách bolo u králika pozorované iba mierne dráždenie očí.   </w:t>
      </w:r>
    </w:p>
    <w:p w14:paraId="30F61F25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</w:p>
    <w:p w14:paraId="6D159F96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</w:p>
    <w:p w14:paraId="719832D4" w14:textId="77777777" w:rsidR="00387C2C" w:rsidRPr="000062B1" w:rsidRDefault="00387C2C">
      <w:pPr>
        <w:jc w:val="both"/>
        <w:rPr>
          <w:rFonts w:ascii="Times New Roman" w:hAnsi="Times New Roman"/>
          <w:b/>
          <w:sz w:val="22"/>
          <w:szCs w:val="22"/>
        </w:rPr>
      </w:pPr>
      <w:bookmarkStart w:id="3" w:name="Dynamic"/>
      <w:bookmarkStart w:id="4" w:name="Preclinical"/>
      <w:bookmarkEnd w:id="3"/>
      <w:bookmarkEnd w:id="4"/>
      <w:r w:rsidRPr="000062B1">
        <w:rPr>
          <w:rFonts w:ascii="Times New Roman" w:hAnsi="Times New Roman"/>
          <w:b/>
          <w:sz w:val="22"/>
          <w:szCs w:val="22"/>
        </w:rPr>
        <w:t>6.       FARMACEUTICKÉ INFORMÁCIE</w:t>
      </w:r>
    </w:p>
    <w:p w14:paraId="76E2DA3C" w14:textId="77777777" w:rsidR="00387C2C" w:rsidRPr="000062B1" w:rsidRDefault="00387C2C">
      <w:pPr>
        <w:jc w:val="both"/>
        <w:rPr>
          <w:rFonts w:ascii="Times New Roman" w:hAnsi="Times New Roman"/>
          <w:b/>
          <w:sz w:val="22"/>
          <w:szCs w:val="22"/>
        </w:rPr>
      </w:pPr>
    </w:p>
    <w:p w14:paraId="77DB2D4C" w14:textId="77777777" w:rsidR="00387C2C" w:rsidRPr="000062B1" w:rsidRDefault="00387C2C">
      <w:pPr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 xml:space="preserve">   Zoznam pomocných látok</w:t>
      </w:r>
    </w:p>
    <w:p w14:paraId="2E65C667" w14:textId="77777777" w:rsidR="008147A7" w:rsidRDefault="008147A7" w:rsidP="007C5A33">
      <w:pPr>
        <w:jc w:val="both"/>
        <w:rPr>
          <w:rFonts w:ascii="Times New Roman" w:hAnsi="Times New Roman"/>
          <w:sz w:val="22"/>
          <w:szCs w:val="22"/>
        </w:rPr>
      </w:pPr>
    </w:p>
    <w:p w14:paraId="117938C2" w14:textId="548279AF" w:rsidR="00387C2C" w:rsidRPr="000062B1" w:rsidRDefault="00262E31" w:rsidP="00262E31">
      <w:pPr>
        <w:tabs>
          <w:tab w:val="left" w:pos="142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d</w:t>
      </w:r>
      <w:r w:rsidR="00387C2C" w:rsidRPr="000062B1">
        <w:rPr>
          <w:rFonts w:ascii="Times New Roman" w:hAnsi="Times New Roman"/>
          <w:sz w:val="22"/>
          <w:szCs w:val="22"/>
        </w:rPr>
        <w:t>inátriumedetát</w:t>
      </w:r>
      <w:proofErr w:type="spellEnd"/>
      <w:r w:rsidR="00387C2C" w:rsidRPr="000062B1">
        <w:rPr>
          <w:rFonts w:ascii="Times New Roman" w:hAnsi="Times New Roman"/>
          <w:sz w:val="22"/>
          <w:szCs w:val="22"/>
        </w:rPr>
        <w:t xml:space="preserve">, </w:t>
      </w:r>
    </w:p>
    <w:p w14:paraId="72832E0F" w14:textId="77777777" w:rsidR="00387C2C" w:rsidRPr="000062B1" w:rsidRDefault="00387C2C" w:rsidP="00262E31">
      <w:pPr>
        <w:tabs>
          <w:tab w:val="left" w:pos="142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0062B1">
        <w:rPr>
          <w:rFonts w:ascii="Times New Roman" w:hAnsi="Times New Roman"/>
          <w:sz w:val="22"/>
          <w:szCs w:val="22"/>
        </w:rPr>
        <w:t>glycerol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, </w:t>
      </w:r>
    </w:p>
    <w:p w14:paraId="2D8AEF82" w14:textId="77777777" w:rsidR="00387C2C" w:rsidRPr="000062B1" w:rsidRDefault="00387C2C" w:rsidP="00262E31">
      <w:pPr>
        <w:tabs>
          <w:tab w:val="left" w:pos="142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0062B1">
        <w:rPr>
          <w:rFonts w:ascii="Times New Roman" w:hAnsi="Times New Roman"/>
          <w:sz w:val="22"/>
          <w:szCs w:val="22"/>
        </w:rPr>
        <w:t>povidón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, </w:t>
      </w:r>
    </w:p>
    <w:p w14:paraId="46132405" w14:textId="77777777" w:rsidR="00387C2C" w:rsidRPr="000062B1" w:rsidRDefault="00387C2C" w:rsidP="00262E31">
      <w:pPr>
        <w:tabs>
          <w:tab w:val="left" w:pos="142"/>
        </w:tabs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čistená voda, </w:t>
      </w:r>
    </w:p>
    <w:p w14:paraId="6759ACD4" w14:textId="77777777" w:rsidR="00387C2C" w:rsidRPr="000062B1" w:rsidRDefault="00387C2C" w:rsidP="00262E31">
      <w:pPr>
        <w:tabs>
          <w:tab w:val="left" w:pos="142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0062B1">
        <w:rPr>
          <w:rFonts w:ascii="Times New Roman" w:hAnsi="Times New Roman"/>
          <w:sz w:val="22"/>
          <w:szCs w:val="22"/>
        </w:rPr>
        <w:t>tyloxapol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, </w:t>
      </w:r>
    </w:p>
    <w:p w14:paraId="7648391F" w14:textId="77777777" w:rsidR="00387C2C" w:rsidRPr="000062B1" w:rsidRDefault="00387C2C" w:rsidP="00262E31">
      <w:pPr>
        <w:tabs>
          <w:tab w:val="left" w:pos="142"/>
        </w:tabs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kyselina chlorovodíková (na úpravu pH), </w:t>
      </w:r>
    </w:p>
    <w:p w14:paraId="4BC460FB" w14:textId="77777777" w:rsidR="00387C2C" w:rsidRPr="000062B1" w:rsidRDefault="00387C2C" w:rsidP="00262E31">
      <w:pPr>
        <w:tabs>
          <w:tab w:val="left" w:pos="142"/>
        </w:tabs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hydroxid sodný (na úpravu pH), </w:t>
      </w:r>
    </w:p>
    <w:p w14:paraId="47C96DCD" w14:textId="52340393" w:rsidR="00387C2C" w:rsidRPr="000062B1" w:rsidRDefault="00262E31" w:rsidP="00262E31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b</w:t>
      </w:r>
      <w:r w:rsidR="00387C2C" w:rsidRPr="000062B1">
        <w:rPr>
          <w:rFonts w:ascii="Times New Roman" w:hAnsi="Times New Roman"/>
          <w:sz w:val="22"/>
          <w:szCs w:val="22"/>
        </w:rPr>
        <w:t>enzalkóniumchlorid</w:t>
      </w:r>
      <w:proofErr w:type="spellEnd"/>
      <w:r w:rsidR="00387C2C" w:rsidRPr="000062B1">
        <w:rPr>
          <w:rFonts w:ascii="Times New Roman" w:hAnsi="Times New Roman"/>
          <w:b/>
          <w:sz w:val="22"/>
          <w:szCs w:val="22"/>
        </w:rPr>
        <w:t xml:space="preserve"> </w:t>
      </w:r>
      <w:bookmarkStart w:id="5" w:name="Excipients"/>
      <w:bookmarkEnd w:id="5"/>
    </w:p>
    <w:p w14:paraId="15862B8A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</w:p>
    <w:p w14:paraId="57410D58" w14:textId="77777777" w:rsidR="00387C2C" w:rsidRPr="000062B1" w:rsidRDefault="00387C2C">
      <w:pPr>
        <w:jc w:val="both"/>
        <w:rPr>
          <w:rFonts w:ascii="Times New Roman" w:hAnsi="Times New Roman"/>
          <w:b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6.2.    Inkompatibility</w:t>
      </w:r>
    </w:p>
    <w:p w14:paraId="75A9DC5B" w14:textId="77777777" w:rsidR="008147A7" w:rsidRDefault="008147A7" w:rsidP="006F1CE7">
      <w:pPr>
        <w:jc w:val="both"/>
        <w:rPr>
          <w:rFonts w:ascii="Times New Roman" w:hAnsi="Times New Roman"/>
          <w:sz w:val="22"/>
          <w:szCs w:val="22"/>
        </w:rPr>
      </w:pPr>
      <w:bookmarkStart w:id="6" w:name="Incompatibilities"/>
      <w:bookmarkEnd w:id="6"/>
    </w:p>
    <w:p w14:paraId="107784C6" w14:textId="77777777" w:rsidR="00387C2C" w:rsidRPr="000062B1" w:rsidRDefault="00387C2C" w:rsidP="006F1CE7">
      <w:pPr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Neboli vykonané štúdie inkompatibility, preto sa liek </w:t>
      </w:r>
      <w:r w:rsidR="003362E1" w:rsidRPr="000062B1">
        <w:rPr>
          <w:rFonts w:ascii="Times New Roman" w:hAnsi="Times New Roman"/>
          <w:sz w:val="22"/>
          <w:szCs w:val="22"/>
        </w:rPr>
        <w:t>ne</w:t>
      </w:r>
      <w:r w:rsidR="003362E1">
        <w:rPr>
          <w:rFonts w:ascii="Times New Roman" w:hAnsi="Times New Roman"/>
          <w:sz w:val="22"/>
          <w:szCs w:val="22"/>
        </w:rPr>
        <w:t>smie</w:t>
      </w:r>
      <w:r w:rsidR="003362E1" w:rsidRPr="000062B1">
        <w:rPr>
          <w:rFonts w:ascii="Times New Roman" w:hAnsi="Times New Roman"/>
          <w:sz w:val="22"/>
          <w:szCs w:val="22"/>
        </w:rPr>
        <w:t xml:space="preserve"> </w:t>
      </w:r>
      <w:r w:rsidRPr="000062B1">
        <w:rPr>
          <w:rFonts w:ascii="Times New Roman" w:hAnsi="Times New Roman"/>
          <w:sz w:val="22"/>
          <w:szCs w:val="22"/>
        </w:rPr>
        <w:t xml:space="preserve">miešať s inými liekmi. </w:t>
      </w:r>
    </w:p>
    <w:p w14:paraId="542D6131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</w:p>
    <w:p w14:paraId="6BF676A8" w14:textId="77777777" w:rsidR="00387C2C" w:rsidRPr="000062B1" w:rsidRDefault="00387C2C">
      <w:pPr>
        <w:jc w:val="both"/>
        <w:rPr>
          <w:rFonts w:ascii="Times New Roman" w:hAnsi="Times New Roman"/>
          <w:b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6.3.   Čas použiteľnosti</w:t>
      </w:r>
    </w:p>
    <w:p w14:paraId="6932ED69" w14:textId="77777777" w:rsidR="00AF3444" w:rsidRDefault="00AF3444" w:rsidP="007C5A33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</w:p>
    <w:p w14:paraId="204F7B06" w14:textId="77777777" w:rsidR="00CC2BBA" w:rsidRDefault="00CC2BBA" w:rsidP="007C5A33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2,5 ml: 15 mesiacov (neotvorené)</w:t>
      </w:r>
    </w:p>
    <w:p w14:paraId="61CAC203" w14:textId="242F6B20" w:rsidR="00387C2C" w:rsidRPr="000062B1" w:rsidRDefault="00CC2BBA" w:rsidP="007C5A33">
      <w:pPr>
        <w:tabs>
          <w:tab w:val="left" w:pos="567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 ml a 10 ml: </w:t>
      </w:r>
      <w:r w:rsidR="00387C2C" w:rsidRPr="000062B1">
        <w:rPr>
          <w:rFonts w:ascii="Times New Roman" w:hAnsi="Times New Roman"/>
          <w:sz w:val="22"/>
          <w:szCs w:val="22"/>
        </w:rPr>
        <w:t xml:space="preserve">2 roky (neotvorené).  </w:t>
      </w:r>
    </w:p>
    <w:p w14:paraId="3A81EA5F" w14:textId="77777777" w:rsidR="00387C2C" w:rsidRPr="000062B1" w:rsidRDefault="00387C2C" w:rsidP="007C5A33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bookmarkStart w:id="7" w:name="ShelfLife"/>
      <w:bookmarkEnd w:id="7"/>
      <w:r w:rsidRPr="000062B1">
        <w:rPr>
          <w:rFonts w:ascii="Times New Roman" w:hAnsi="Times New Roman"/>
          <w:sz w:val="22"/>
          <w:szCs w:val="22"/>
        </w:rPr>
        <w:t>Znehodnoťte nepoužitý obsah 4 týždne po prvom otvorení balenia.</w:t>
      </w:r>
    </w:p>
    <w:p w14:paraId="67431A06" w14:textId="77777777" w:rsidR="008147A7" w:rsidRDefault="008147A7">
      <w:pPr>
        <w:widowControl w:val="0"/>
        <w:rPr>
          <w:rFonts w:ascii="Times New Roman" w:hAnsi="Times New Roman"/>
          <w:b/>
          <w:sz w:val="22"/>
          <w:szCs w:val="22"/>
        </w:rPr>
      </w:pPr>
    </w:p>
    <w:p w14:paraId="144A3E29" w14:textId="77777777" w:rsidR="00387C2C" w:rsidRPr="000062B1" w:rsidRDefault="00387C2C">
      <w:pPr>
        <w:widowControl w:val="0"/>
        <w:rPr>
          <w:rFonts w:ascii="Times New Roman" w:hAnsi="Times New Roman"/>
          <w:b/>
          <w:bCs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 xml:space="preserve">6.4.    </w:t>
      </w:r>
      <w:r w:rsidR="008147A7">
        <w:rPr>
          <w:rFonts w:ascii="Times New Roman" w:hAnsi="Times New Roman"/>
          <w:b/>
          <w:sz w:val="22"/>
          <w:szCs w:val="22"/>
        </w:rPr>
        <w:t>Špeciálne upozornenia na uchovávanie</w:t>
      </w:r>
    </w:p>
    <w:p w14:paraId="7F3F6689" w14:textId="77777777" w:rsidR="008147A7" w:rsidRPr="000062B1" w:rsidRDefault="008147A7">
      <w:pPr>
        <w:jc w:val="both"/>
        <w:rPr>
          <w:rFonts w:ascii="Times New Roman" w:hAnsi="Times New Roman"/>
          <w:sz w:val="22"/>
          <w:szCs w:val="22"/>
        </w:rPr>
      </w:pPr>
    </w:p>
    <w:p w14:paraId="3E4D8616" w14:textId="77777777" w:rsidR="00387C2C" w:rsidRPr="000062B1" w:rsidRDefault="00387C2C" w:rsidP="007C5A33">
      <w:pPr>
        <w:jc w:val="both"/>
        <w:rPr>
          <w:rFonts w:ascii="Times New Roman" w:hAnsi="Times New Roman"/>
          <w:sz w:val="22"/>
          <w:szCs w:val="22"/>
        </w:rPr>
      </w:pPr>
      <w:bookmarkStart w:id="8" w:name="Storage"/>
      <w:bookmarkEnd w:id="8"/>
      <w:r w:rsidRPr="000062B1">
        <w:rPr>
          <w:rFonts w:ascii="Times New Roman" w:hAnsi="Times New Roman"/>
          <w:sz w:val="22"/>
          <w:szCs w:val="22"/>
        </w:rPr>
        <w:t>Uchovávajte pri teplote neprevyšujúcej 25</w:t>
      </w:r>
      <w:r w:rsidRPr="000062B1">
        <w:rPr>
          <w:rFonts w:ascii="Times New Roman" w:hAnsi="Times New Roman"/>
          <w:sz w:val="22"/>
          <w:szCs w:val="22"/>
        </w:rPr>
        <w:fldChar w:fldCharType="begin"/>
      </w:r>
      <w:r w:rsidRPr="000062B1">
        <w:rPr>
          <w:rFonts w:ascii="Times New Roman" w:hAnsi="Times New Roman"/>
          <w:sz w:val="22"/>
          <w:szCs w:val="22"/>
        </w:rPr>
        <w:instrText>SYMBOL 176 \f "Symbol" \s 12</w:instrText>
      </w:r>
      <w:r w:rsidRPr="000062B1">
        <w:rPr>
          <w:rFonts w:ascii="Times New Roman" w:hAnsi="Times New Roman"/>
          <w:sz w:val="22"/>
          <w:szCs w:val="22"/>
        </w:rPr>
        <w:fldChar w:fldCharType="separate"/>
      </w:r>
      <w:r w:rsidRPr="000062B1">
        <w:rPr>
          <w:rFonts w:ascii="Times New Roman" w:hAnsi="Times New Roman"/>
          <w:sz w:val="22"/>
          <w:szCs w:val="22"/>
        </w:rPr>
        <w:t>°</w:t>
      </w:r>
      <w:r w:rsidRPr="000062B1">
        <w:rPr>
          <w:rFonts w:ascii="Times New Roman" w:hAnsi="Times New Roman"/>
          <w:sz w:val="22"/>
          <w:szCs w:val="22"/>
        </w:rPr>
        <w:fldChar w:fldCharType="end"/>
      </w:r>
      <w:r w:rsidRPr="000062B1">
        <w:rPr>
          <w:rFonts w:ascii="Times New Roman" w:hAnsi="Times New Roman"/>
          <w:sz w:val="22"/>
          <w:szCs w:val="22"/>
        </w:rPr>
        <w:t>C. Nezmrazujte.</w:t>
      </w:r>
    </w:p>
    <w:p w14:paraId="3F1DDE9F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  <w:bookmarkStart w:id="9" w:name="Container"/>
      <w:bookmarkEnd w:id="9"/>
    </w:p>
    <w:p w14:paraId="77F2516D" w14:textId="77777777" w:rsidR="00387C2C" w:rsidRPr="000062B1" w:rsidRDefault="00387C2C">
      <w:pPr>
        <w:jc w:val="both"/>
        <w:rPr>
          <w:rFonts w:ascii="Times New Roman" w:hAnsi="Times New Roman"/>
          <w:b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6.5</w:t>
      </w:r>
      <w:r w:rsidRPr="000062B1">
        <w:rPr>
          <w:rFonts w:ascii="Times New Roman" w:hAnsi="Times New Roman"/>
          <w:sz w:val="22"/>
          <w:szCs w:val="22"/>
        </w:rPr>
        <w:t xml:space="preserve">     </w:t>
      </w:r>
      <w:r w:rsidRPr="000062B1">
        <w:rPr>
          <w:rFonts w:ascii="Times New Roman" w:hAnsi="Times New Roman"/>
          <w:b/>
          <w:sz w:val="22"/>
          <w:szCs w:val="22"/>
        </w:rPr>
        <w:t>Druh obalu a obsah balenia</w:t>
      </w:r>
    </w:p>
    <w:p w14:paraId="262AB05F" w14:textId="77777777" w:rsidR="008147A7" w:rsidRDefault="008147A7">
      <w:pPr>
        <w:ind w:left="567"/>
        <w:jc w:val="both"/>
        <w:rPr>
          <w:rFonts w:ascii="Times New Roman" w:hAnsi="Times New Roman"/>
          <w:sz w:val="22"/>
          <w:szCs w:val="22"/>
        </w:rPr>
      </w:pPr>
    </w:p>
    <w:p w14:paraId="4EBCE408" w14:textId="77777777" w:rsidR="00387C2C" w:rsidRPr="000062B1" w:rsidRDefault="00C85C5A" w:rsidP="00262E31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0062B1">
        <w:rPr>
          <w:rFonts w:ascii="Times New Roman" w:hAnsi="Times New Roman"/>
          <w:sz w:val="22"/>
          <w:szCs w:val="22"/>
        </w:rPr>
        <w:t>Lotemax</w:t>
      </w:r>
      <w:proofErr w:type="spellEnd"/>
      <w:r w:rsidR="00387C2C" w:rsidRPr="000062B1">
        <w:rPr>
          <w:rFonts w:ascii="Times New Roman" w:hAnsi="Times New Roman"/>
          <w:sz w:val="22"/>
          <w:szCs w:val="22"/>
        </w:rPr>
        <w:t xml:space="preserve"> je dostupný v nasledujúcich baleniach:</w:t>
      </w:r>
    </w:p>
    <w:p w14:paraId="3F84F799" w14:textId="77777777" w:rsidR="00387C2C" w:rsidRPr="000062B1" w:rsidRDefault="00387C2C">
      <w:pPr>
        <w:ind w:left="567"/>
        <w:jc w:val="both"/>
        <w:rPr>
          <w:rFonts w:ascii="Times New Roman" w:hAnsi="Times New Roman"/>
          <w:sz w:val="22"/>
          <w:szCs w:val="22"/>
        </w:rPr>
      </w:pPr>
    </w:p>
    <w:p w14:paraId="6B1B899D" w14:textId="7DE217A8" w:rsidR="00387C2C" w:rsidRPr="000062B1" w:rsidRDefault="00262E31" w:rsidP="00262E31">
      <w:pPr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2,5ml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bCs/>
          <w:sz w:val="22"/>
          <w:szCs w:val="22"/>
        </w:rPr>
        <w:t>5ml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r w:rsidR="00387C2C" w:rsidRPr="000062B1">
        <w:rPr>
          <w:rFonts w:ascii="Times New Roman" w:hAnsi="Times New Roman"/>
          <w:bCs/>
          <w:sz w:val="22"/>
          <w:szCs w:val="22"/>
        </w:rPr>
        <w:t xml:space="preserve">v </w:t>
      </w:r>
      <w:r w:rsidR="00387C2C" w:rsidRPr="000062B1">
        <w:rPr>
          <w:rFonts w:ascii="Times New Roman" w:hAnsi="Times New Roman"/>
          <w:sz w:val="22"/>
          <w:szCs w:val="22"/>
        </w:rPr>
        <w:t xml:space="preserve">bielej </w:t>
      </w:r>
      <w:proofErr w:type="spellStart"/>
      <w:r w:rsidR="00387C2C" w:rsidRPr="000062B1">
        <w:rPr>
          <w:rFonts w:ascii="Times New Roman" w:hAnsi="Times New Roman"/>
          <w:sz w:val="22"/>
          <w:szCs w:val="22"/>
        </w:rPr>
        <w:t>nízkohustotnej</w:t>
      </w:r>
      <w:proofErr w:type="spellEnd"/>
      <w:r w:rsidR="00387C2C" w:rsidRPr="000062B1">
        <w:rPr>
          <w:rFonts w:ascii="Times New Roman" w:hAnsi="Times New Roman"/>
          <w:sz w:val="22"/>
          <w:szCs w:val="22"/>
        </w:rPr>
        <w:t xml:space="preserve"> polyetylé</w:t>
      </w:r>
      <w:r w:rsidR="006F1CE7">
        <w:rPr>
          <w:rFonts w:ascii="Times New Roman" w:hAnsi="Times New Roman"/>
          <w:sz w:val="22"/>
          <w:szCs w:val="22"/>
        </w:rPr>
        <w:t xml:space="preserve">novej fľaštičke (7.5 ml) </w:t>
      </w:r>
      <w:r w:rsidR="006F1CE7">
        <w:rPr>
          <w:rFonts w:ascii="Times New Roman" w:hAnsi="Times New Roman"/>
          <w:sz w:val="22"/>
          <w:szCs w:val="22"/>
        </w:rPr>
        <w:tab/>
      </w:r>
      <w:r w:rsidR="00387C2C" w:rsidRPr="000062B1">
        <w:rPr>
          <w:rFonts w:ascii="Times New Roman" w:hAnsi="Times New Roman"/>
          <w:sz w:val="22"/>
          <w:szCs w:val="22"/>
        </w:rPr>
        <w:t>s bielym kontrolným kvapkadlom a ružovým polypropylénovým viečkom</w:t>
      </w:r>
    </w:p>
    <w:p w14:paraId="1A7B2E7E" w14:textId="77777777" w:rsidR="00387C2C" w:rsidRPr="000062B1" w:rsidRDefault="00387C2C">
      <w:pPr>
        <w:ind w:left="567"/>
        <w:jc w:val="both"/>
        <w:rPr>
          <w:rFonts w:ascii="Times New Roman" w:hAnsi="Times New Roman"/>
          <w:bCs/>
          <w:sz w:val="22"/>
          <w:szCs w:val="22"/>
        </w:rPr>
      </w:pPr>
    </w:p>
    <w:p w14:paraId="02B36554" w14:textId="6388A52A" w:rsidR="00387C2C" w:rsidRPr="000062B1" w:rsidRDefault="00262E31" w:rsidP="00451CAA">
      <w:pPr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10 ml</w:t>
      </w:r>
      <w:r>
        <w:rPr>
          <w:rFonts w:ascii="Times New Roman" w:hAnsi="Times New Roman"/>
          <w:bCs/>
          <w:sz w:val="22"/>
          <w:szCs w:val="22"/>
        </w:rPr>
        <w:tab/>
        <w:t xml:space="preserve"> </w:t>
      </w:r>
      <w:r w:rsidR="00387C2C" w:rsidRPr="000062B1">
        <w:rPr>
          <w:rFonts w:ascii="Times New Roman" w:hAnsi="Times New Roman"/>
          <w:bCs/>
          <w:sz w:val="22"/>
          <w:szCs w:val="22"/>
        </w:rPr>
        <w:t xml:space="preserve">v </w:t>
      </w:r>
      <w:r w:rsidR="00387C2C" w:rsidRPr="000062B1">
        <w:rPr>
          <w:rFonts w:ascii="Times New Roman" w:hAnsi="Times New Roman"/>
          <w:sz w:val="22"/>
          <w:szCs w:val="22"/>
        </w:rPr>
        <w:t xml:space="preserve">bielej </w:t>
      </w:r>
      <w:proofErr w:type="spellStart"/>
      <w:r w:rsidR="00387C2C" w:rsidRPr="000062B1">
        <w:rPr>
          <w:rFonts w:ascii="Times New Roman" w:hAnsi="Times New Roman"/>
          <w:sz w:val="22"/>
          <w:szCs w:val="22"/>
        </w:rPr>
        <w:t>nízkohustotnej</w:t>
      </w:r>
      <w:proofErr w:type="spellEnd"/>
      <w:r w:rsidR="00387C2C" w:rsidRPr="000062B1">
        <w:rPr>
          <w:rFonts w:ascii="Times New Roman" w:hAnsi="Times New Roman"/>
          <w:sz w:val="22"/>
          <w:szCs w:val="22"/>
        </w:rPr>
        <w:t xml:space="preserve"> polyetyl</w:t>
      </w:r>
      <w:r>
        <w:rPr>
          <w:rFonts w:ascii="Times New Roman" w:hAnsi="Times New Roman"/>
          <w:sz w:val="22"/>
          <w:szCs w:val="22"/>
        </w:rPr>
        <w:t xml:space="preserve">énovej fľaštičke (10 ml) </w:t>
      </w:r>
      <w:r w:rsidR="00387C2C" w:rsidRPr="000062B1">
        <w:rPr>
          <w:rFonts w:ascii="Times New Roman" w:hAnsi="Times New Roman"/>
          <w:sz w:val="22"/>
          <w:szCs w:val="22"/>
        </w:rPr>
        <w:t xml:space="preserve">s bielym kontrolným kvapkadlom a ružovým polypropylénovým </w:t>
      </w:r>
      <w:r w:rsidR="00451CAA">
        <w:rPr>
          <w:rFonts w:ascii="Times New Roman" w:hAnsi="Times New Roman"/>
          <w:sz w:val="22"/>
          <w:szCs w:val="22"/>
        </w:rPr>
        <w:t xml:space="preserve"> </w:t>
      </w:r>
      <w:r w:rsidR="00387C2C" w:rsidRPr="000062B1">
        <w:rPr>
          <w:rFonts w:ascii="Times New Roman" w:hAnsi="Times New Roman"/>
          <w:sz w:val="22"/>
          <w:szCs w:val="22"/>
        </w:rPr>
        <w:t>viečkom</w:t>
      </w:r>
    </w:p>
    <w:p w14:paraId="3742FAEB" w14:textId="77777777" w:rsidR="00387C2C" w:rsidRPr="009C1375" w:rsidRDefault="00B10D5C">
      <w:pPr>
        <w:jc w:val="both"/>
        <w:rPr>
          <w:rFonts w:ascii="Times New Roman" w:hAnsi="Times New Roman"/>
          <w:bCs/>
          <w:sz w:val="24"/>
          <w:szCs w:val="22"/>
        </w:rPr>
      </w:pPr>
      <w:r w:rsidRPr="009C1375">
        <w:rPr>
          <w:rFonts w:ascii="Times New Roman" w:hAnsi="Times New Roman"/>
          <w:sz w:val="22"/>
        </w:rPr>
        <w:t>Na trh nemusia byť uvedené</w:t>
      </w:r>
      <w:r w:rsidRPr="009C1375">
        <w:rPr>
          <w:rFonts w:ascii="Times New Roman" w:hAnsi="Times New Roman"/>
          <w:noProof/>
          <w:sz w:val="22"/>
          <w:szCs w:val="22"/>
        </w:rPr>
        <w:t xml:space="preserve"> </w:t>
      </w:r>
      <w:r w:rsidRPr="009C1375">
        <w:rPr>
          <w:rFonts w:ascii="Times New Roman" w:hAnsi="Times New Roman"/>
          <w:sz w:val="22"/>
          <w:szCs w:val="22"/>
        </w:rPr>
        <w:t>všetky veľkosti balenia.</w:t>
      </w:r>
    </w:p>
    <w:p w14:paraId="1FA0D414" w14:textId="0C351E31" w:rsidR="00387C2C" w:rsidRPr="000062B1" w:rsidRDefault="00262E3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77F4D16A" w14:textId="77777777" w:rsidR="00387C2C" w:rsidRPr="000062B1" w:rsidRDefault="00387C2C">
      <w:pPr>
        <w:jc w:val="both"/>
        <w:rPr>
          <w:rFonts w:ascii="Times New Roman" w:hAnsi="Times New Roman"/>
          <w:b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 xml:space="preserve">6.6     </w:t>
      </w:r>
      <w:r w:rsidR="00AF3444">
        <w:rPr>
          <w:rFonts w:ascii="Times New Roman" w:hAnsi="Times New Roman"/>
          <w:b/>
          <w:sz w:val="22"/>
          <w:szCs w:val="22"/>
        </w:rPr>
        <w:t xml:space="preserve">Špeciálne opatrenia na likvidáciu </w:t>
      </w:r>
      <w:r w:rsidRPr="000062B1">
        <w:rPr>
          <w:rFonts w:ascii="Times New Roman" w:hAnsi="Times New Roman"/>
          <w:b/>
          <w:sz w:val="22"/>
          <w:szCs w:val="22"/>
        </w:rPr>
        <w:t xml:space="preserve"> </w:t>
      </w:r>
    </w:p>
    <w:p w14:paraId="0612BAA9" w14:textId="77777777" w:rsidR="008147A7" w:rsidRPr="000062B1" w:rsidRDefault="008147A7">
      <w:pPr>
        <w:jc w:val="both"/>
        <w:rPr>
          <w:rFonts w:ascii="Times New Roman" w:hAnsi="Times New Roman"/>
          <w:sz w:val="22"/>
          <w:szCs w:val="22"/>
        </w:rPr>
      </w:pPr>
    </w:p>
    <w:p w14:paraId="178F8F48" w14:textId="77777777" w:rsidR="00387C2C" w:rsidRPr="000062B1" w:rsidRDefault="00387C2C" w:rsidP="007C5A33">
      <w:pPr>
        <w:jc w:val="both"/>
        <w:rPr>
          <w:rFonts w:ascii="Times New Roman" w:hAnsi="Times New Roman"/>
          <w:sz w:val="22"/>
          <w:szCs w:val="22"/>
        </w:rPr>
      </w:pPr>
      <w:bookmarkStart w:id="10" w:name="Handling"/>
      <w:bookmarkEnd w:id="10"/>
      <w:r w:rsidRPr="000062B1">
        <w:rPr>
          <w:rFonts w:ascii="Times New Roman" w:hAnsi="Times New Roman"/>
          <w:sz w:val="22"/>
          <w:szCs w:val="22"/>
        </w:rPr>
        <w:t>Fľaštičku uchovávajte v zvislej polohe s kvapkadlom obráteným nahor.</w:t>
      </w:r>
    </w:p>
    <w:p w14:paraId="7978853C" w14:textId="77777777" w:rsidR="00387C2C" w:rsidRDefault="00387C2C">
      <w:pPr>
        <w:jc w:val="both"/>
        <w:rPr>
          <w:rFonts w:ascii="Times New Roman" w:hAnsi="Times New Roman"/>
          <w:sz w:val="22"/>
          <w:szCs w:val="22"/>
        </w:rPr>
      </w:pPr>
    </w:p>
    <w:p w14:paraId="1F9C44F6" w14:textId="77777777" w:rsidR="007C5A33" w:rsidRPr="000062B1" w:rsidRDefault="007C5A33">
      <w:pPr>
        <w:jc w:val="both"/>
        <w:rPr>
          <w:rFonts w:ascii="Times New Roman" w:hAnsi="Times New Roman"/>
          <w:sz w:val="22"/>
          <w:szCs w:val="22"/>
        </w:rPr>
      </w:pPr>
    </w:p>
    <w:p w14:paraId="490E5614" w14:textId="77777777" w:rsidR="00387C2C" w:rsidRPr="000062B1" w:rsidRDefault="00387C2C">
      <w:pPr>
        <w:jc w:val="both"/>
        <w:rPr>
          <w:rFonts w:ascii="Times New Roman" w:hAnsi="Times New Roman"/>
          <w:b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7.      DRŽITEĽ ROZHODNUTIA O REGISTRÁCII</w:t>
      </w:r>
    </w:p>
    <w:p w14:paraId="46090665" w14:textId="77777777" w:rsidR="00AF3444" w:rsidRDefault="00387C2C" w:rsidP="007C5A33">
      <w:pPr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 xml:space="preserve">        </w:t>
      </w:r>
      <w:r w:rsidRPr="000062B1">
        <w:rPr>
          <w:rFonts w:ascii="Times New Roman" w:hAnsi="Times New Roman"/>
          <w:sz w:val="22"/>
          <w:szCs w:val="22"/>
        </w:rPr>
        <w:t xml:space="preserve"> </w:t>
      </w:r>
    </w:p>
    <w:p w14:paraId="63473551" w14:textId="77777777" w:rsidR="00387C2C" w:rsidRPr="000062B1" w:rsidRDefault="00387C2C" w:rsidP="007C5A33">
      <w:pPr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 xml:space="preserve">Dr. </w:t>
      </w:r>
      <w:proofErr w:type="spellStart"/>
      <w:r w:rsidRPr="000062B1">
        <w:rPr>
          <w:rFonts w:ascii="Times New Roman" w:hAnsi="Times New Roman"/>
          <w:sz w:val="22"/>
          <w:szCs w:val="22"/>
        </w:rPr>
        <w:t>Gerhard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Mann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062B1">
        <w:rPr>
          <w:rFonts w:ascii="Times New Roman" w:hAnsi="Times New Roman"/>
          <w:sz w:val="22"/>
          <w:szCs w:val="22"/>
        </w:rPr>
        <w:t>Chem.-pharm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0062B1">
        <w:rPr>
          <w:rFonts w:ascii="Times New Roman" w:hAnsi="Times New Roman"/>
          <w:sz w:val="22"/>
          <w:szCs w:val="22"/>
        </w:rPr>
        <w:t>Fabrik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GmbH</w:t>
      </w:r>
      <w:proofErr w:type="spellEnd"/>
    </w:p>
    <w:p w14:paraId="3DD56275" w14:textId="77777777" w:rsidR="00387C2C" w:rsidRPr="000062B1" w:rsidRDefault="00387C2C" w:rsidP="007C5A33">
      <w:pPr>
        <w:rPr>
          <w:rFonts w:ascii="Times New Roman" w:hAnsi="Times New Roman"/>
          <w:sz w:val="22"/>
          <w:szCs w:val="22"/>
        </w:rPr>
      </w:pPr>
      <w:proofErr w:type="spellStart"/>
      <w:r w:rsidRPr="000062B1">
        <w:rPr>
          <w:rFonts w:ascii="Times New Roman" w:hAnsi="Times New Roman"/>
          <w:sz w:val="22"/>
          <w:szCs w:val="22"/>
        </w:rPr>
        <w:t>Brunsbütteler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62B1">
        <w:rPr>
          <w:rFonts w:ascii="Times New Roman" w:hAnsi="Times New Roman"/>
          <w:sz w:val="22"/>
          <w:szCs w:val="22"/>
        </w:rPr>
        <w:t>Damm</w:t>
      </w:r>
      <w:proofErr w:type="spellEnd"/>
      <w:r w:rsidRPr="000062B1">
        <w:rPr>
          <w:rFonts w:ascii="Times New Roman" w:hAnsi="Times New Roman"/>
          <w:sz w:val="22"/>
          <w:szCs w:val="22"/>
        </w:rPr>
        <w:t xml:space="preserve"> 165 – 173</w:t>
      </w:r>
    </w:p>
    <w:p w14:paraId="3E2EE9E9" w14:textId="77777777" w:rsidR="00387C2C" w:rsidRPr="000062B1" w:rsidRDefault="00387C2C" w:rsidP="007C5A33">
      <w:pPr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sz w:val="22"/>
          <w:szCs w:val="22"/>
        </w:rPr>
        <w:t>13581  Berlín, Nemecko</w:t>
      </w:r>
    </w:p>
    <w:p w14:paraId="28D06D75" w14:textId="77777777" w:rsidR="00387C2C" w:rsidRPr="000062B1" w:rsidRDefault="00387C2C">
      <w:pPr>
        <w:jc w:val="both"/>
        <w:rPr>
          <w:rFonts w:ascii="Times New Roman" w:hAnsi="Times New Roman"/>
          <w:sz w:val="22"/>
          <w:szCs w:val="22"/>
        </w:rPr>
      </w:pPr>
    </w:p>
    <w:p w14:paraId="5F03E4DD" w14:textId="77777777" w:rsidR="00387C2C" w:rsidRPr="000062B1" w:rsidRDefault="00387C2C" w:rsidP="00F42CB3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360"/>
        </w:tabs>
        <w:spacing w:line="258" w:lineRule="exact"/>
        <w:jc w:val="both"/>
        <w:rPr>
          <w:rFonts w:ascii="Times New Roman" w:hAnsi="Times New Roman"/>
          <w:sz w:val="22"/>
          <w:szCs w:val="22"/>
        </w:rPr>
      </w:pPr>
      <w:bookmarkStart w:id="11" w:name="MAHolder"/>
      <w:bookmarkEnd w:id="11"/>
      <w:r w:rsidRPr="000062B1">
        <w:rPr>
          <w:rFonts w:ascii="Times New Roman" w:hAnsi="Times New Roman"/>
          <w:sz w:val="22"/>
          <w:szCs w:val="22"/>
        </w:rPr>
        <w:t xml:space="preserve"> </w:t>
      </w:r>
    </w:p>
    <w:p w14:paraId="336FD770" w14:textId="77777777" w:rsidR="00387C2C" w:rsidRPr="000062B1" w:rsidRDefault="00387C2C">
      <w:pPr>
        <w:jc w:val="both"/>
        <w:rPr>
          <w:rFonts w:ascii="Times New Roman" w:hAnsi="Times New Roman"/>
          <w:b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8.       REGISTRAČNÉ ČÍSLO</w:t>
      </w:r>
    </w:p>
    <w:p w14:paraId="64A8C5C4" w14:textId="77777777" w:rsidR="00AF3444" w:rsidRDefault="00AF3444">
      <w:pPr>
        <w:jc w:val="both"/>
        <w:rPr>
          <w:rFonts w:ascii="Times New Roman" w:hAnsi="Times New Roman"/>
          <w:sz w:val="22"/>
          <w:szCs w:val="22"/>
        </w:rPr>
      </w:pPr>
    </w:p>
    <w:p w14:paraId="39B7E77D" w14:textId="77777777" w:rsidR="00387C2C" w:rsidRPr="000062B1" w:rsidRDefault="00F42CB3">
      <w:pPr>
        <w:jc w:val="both"/>
        <w:rPr>
          <w:rFonts w:ascii="Times New Roman" w:hAnsi="Times New Roman"/>
          <w:sz w:val="22"/>
          <w:szCs w:val="22"/>
        </w:rPr>
      </w:pPr>
      <w:bookmarkStart w:id="12" w:name="MANumber"/>
      <w:bookmarkEnd w:id="12"/>
      <w:r w:rsidRPr="000062B1">
        <w:rPr>
          <w:rFonts w:ascii="Times New Roman" w:hAnsi="Times New Roman"/>
          <w:sz w:val="22"/>
          <w:szCs w:val="22"/>
        </w:rPr>
        <w:t>64/0359/05 – S</w:t>
      </w:r>
    </w:p>
    <w:p w14:paraId="5F3886D7" w14:textId="77777777" w:rsidR="006319EC" w:rsidRDefault="006319EC">
      <w:pPr>
        <w:jc w:val="both"/>
        <w:rPr>
          <w:rFonts w:ascii="Times New Roman" w:hAnsi="Times New Roman"/>
          <w:sz w:val="22"/>
          <w:szCs w:val="22"/>
        </w:rPr>
      </w:pPr>
    </w:p>
    <w:p w14:paraId="1699DD8B" w14:textId="77777777" w:rsidR="005E6C0C" w:rsidRPr="000062B1" w:rsidRDefault="005E6C0C">
      <w:pPr>
        <w:jc w:val="both"/>
        <w:rPr>
          <w:rFonts w:ascii="Times New Roman" w:hAnsi="Times New Roman"/>
          <w:sz w:val="22"/>
          <w:szCs w:val="22"/>
        </w:rPr>
      </w:pPr>
    </w:p>
    <w:p w14:paraId="27D4E581" w14:textId="77777777" w:rsidR="008147A7" w:rsidRDefault="00387C2C">
      <w:pPr>
        <w:jc w:val="both"/>
        <w:rPr>
          <w:rFonts w:ascii="Times New Roman" w:hAnsi="Times New Roman"/>
          <w:sz w:val="22"/>
          <w:szCs w:val="22"/>
        </w:rPr>
      </w:pPr>
      <w:r w:rsidRPr="000062B1">
        <w:rPr>
          <w:rFonts w:ascii="Times New Roman" w:hAnsi="Times New Roman"/>
          <w:b/>
          <w:bCs/>
          <w:sz w:val="22"/>
          <w:szCs w:val="22"/>
        </w:rPr>
        <w:t>9.</w:t>
      </w:r>
      <w:r w:rsidR="008147A7">
        <w:rPr>
          <w:rFonts w:ascii="Times New Roman" w:hAnsi="Times New Roman"/>
          <w:sz w:val="22"/>
          <w:szCs w:val="22"/>
        </w:rPr>
        <w:t xml:space="preserve">       </w:t>
      </w:r>
      <w:r w:rsidRPr="000062B1">
        <w:rPr>
          <w:rFonts w:ascii="Times New Roman" w:hAnsi="Times New Roman"/>
          <w:b/>
          <w:sz w:val="22"/>
          <w:szCs w:val="22"/>
        </w:rPr>
        <w:t>DÁTUM PRVEJ REGISTRÁCIE/ PREDĹŽENIA REGISTRÁCIE</w:t>
      </w:r>
      <w:bookmarkStart w:id="13" w:name="MADate"/>
      <w:bookmarkEnd w:id="13"/>
      <w:r w:rsidR="00F42CB3" w:rsidRPr="000062B1">
        <w:rPr>
          <w:rFonts w:ascii="Times New Roman" w:hAnsi="Times New Roman"/>
          <w:sz w:val="22"/>
          <w:szCs w:val="22"/>
        </w:rPr>
        <w:t xml:space="preserve">         </w:t>
      </w:r>
    </w:p>
    <w:p w14:paraId="2D754EB2" w14:textId="77777777" w:rsidR="008147A7" w:rsidRDefault="008147A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0858CB6C" w14:textId="36B5C8AD" w:rsidR="003362E1" w:rsidRDefault="003362E1" w:rsidP="003362E1">
      <w:pPr>
        <w:rPr>
          <w:rFonts w:ascii="Times New Roman" w:hAnsi="Times New Roman"/>
          <w:sz w:val="22"/>
          <w:szCs w:val="22"/>
        </w:rPr>
      </w:pPr>
      <w:r w:rsidRPr="009C1375">
        <w:rPr>
          <w:rFonts w:ascii="Times New Roman" w:hAnsi="Times New Roman"/>
          <w:noProof/>
          <w:sz w:val="22"/>
        </w:rPr>
        <w:t xml:space="preserve">Dátum prvej registrácie: </w:t>
      </w:r>
      <w:proofErr w:type="spellStart"/>
      <w:r w:rsidRPr="000062B1">
        <w:rPr>
          <w:rFonts w:ascii="Times New Roman" w:hAnsi="Times New Roman"/>
          <w:sz w:val="22"/>
          <w:szCs w:val="22"/>
        </w:rPr>
        <w:t>7.</w:t>
      </w:r>
      <w:r w:rsidR="00AD5947">
        <w:rPr>
          <w:rFonts w:ascii="Times New Roman" w:hAnsi="Times New Roman"/>
          <w:sz w:val="22"/>
          <w:szCs w:val="22"/>
        </w:rPr>
        <w:t>októbra</w:t>
      </w:r>
      <w:proofErr w:type="spellEnd"/>
      <w:r w:rsidR="00AD5947">
        <w:rPr>
          <w:rFonts w:ascii="Times New Roman" w:hAnsi="Times New Roman"/>
          <w:sz w:val="22"/>
          <w:szCs w:val="22"/>
        </w:rPr>
        <w:t xml:space="preserve"> </w:t>
      </w:r>
      <w:r w:rsidRPr="000062B1">
        <w:rPr>
          <w:rFonts w:ascii="Times New Roman" w:hAnsi="Times New Roman"/>
          <w:sz w:val="22"/>
          <w:szCs w:val="22"/>
        </w:rPr>
        <w:t>2005</w:t>
      </w:r>
    </w:p>
    <w:p w14:paraId="50ED9C16" w14:textId="6CD400C9" w:rsidR="00387C2C" w:rsidRPr="000062B1" w:rsidRDefault="003362E1" w:rsidP="003362E1">
      <w:pPr>
        <w:rPr>
          <w:rFonts w:ascii="Times New Roman" w:hAnsi="Times New Roman"/>
          <w:sz w:val="22"/>
          <w:szCs w:val="22"/>
        </w:rPr>
      </w:pPr>
      <w:r w:rsidRPr="009C1375">
        <w:rPr>
          <w:rFonts w:ascii="Times New Roman" w:hAnsi="Times New Roman"/>
          <w:noProof/>
          <w:sz w:val="22"/>
        </w:rPr>
        <w:t xml:space="preserve">Dátum posledného predĺženia registrácie: </w:t>
      </w:r>
      <w:r w:rsidR="00AD5947">
        <w:rPr>
          <w:rFonts w:ascii="Times New Roman" w:hAnsi="Times New Roman"/>
          <w:sz w:val="22"/>
          <w:szCs w:val="22"/>
        </w:rPr>
        <w:t xml:space="preserve">15. októbra </w:t>
      </w:r>
      <w:r>
        <w:rPr>
          <w:rFonts w:ascii="Times New Roman" w:hAnsi="Times New Roman"/>
          <w:sz w:val="22"/>
          <w:szCs w:val="22"/>
        </w:rPr>
        <w:t>2008</w:t>
      </w:r>
    </w:p>
    <w:p w14:paraId="4689E3E4" w14:textId="77777777" w:rsidR="00F42CB3" w:rsidRDefault="00F42CB3">
      <w:pPr>
        <w:jc w:val="both"/>
        <w:rPr>
          <w:rFonts w:ascii="Times New Roman" w:hAnsi="Times New Roman"/>
          <w:sz w:val="22"/>
          <w:szCs w:val="22"/>
        </w:rPr>
      </w:pPr>
    </w:p>
    <w:p w14:paraId="32F86AE2" w14:textId="77777777" w:rsidR="006319EC" w:rsidRDefault="006319EC">
      <w:pPr>
        <w:jc w:val="both"/>
        <w:rPr>
          <w:rFonts w:ascii="Times New Roman" w:hAnsi="Times New Roman"/>
          <w:sz w:val="22"/>
          <w:szCs w:val="22"/>
        </w:rPr>
      </w:pPr>
    </w:p>
    <w:p w14:paraId="6C333DA0" w14:textId="1C2F07B2" w:rsidR="006319EC" w:rsidRPr="00262E31" w:rsidRDefault="00387C2C">
      <w:pPr>
        <w:jc w:val="both"/>
        <w:rPr>
          <w:rFonts w:ascii="Times New Roman" w:hAnsi="Times New Roman"/>
          <w:b/>
          <w:sz w:val="22"/>
          <w:szCs w:val="22"/>
        </w:rPr>
      </w:pPr>
      <w:r w:rsidRPr="000062B1">
        <w:rPr>
          <w:rFonts w:ascii="Times New Roman" w:hAnsi="Times New Roman"/>
          <w:b/>
          <w:sz w:val="22"/>
          <w:szCs w:val="22"/>
        </w:rPr>
        <w:t>10.     DÁTUM REVÍZIE TEXTU</w:t>
      </w:r>
      <w:bookmarkStart w:id="14" w:name="_GoBack"/>
      <w:bookmarkEnd w:id="14"/>
    </w:p>
    <w:p w14:paraId="04D01099" w14:textId="77777777" w:rsidR="006319EC" w:rsidRPr="000062B1" w:rsidRDefault="006319EC">
      <w:pPr>
        <w:jc w:val="both"/>
        <w:rPr>
          <w:rFonts w:ascii="Times New Roman" w:hAnsi="Times New Roman"/>
          <w:sz w:val="22"/>
          <w:szCs w:val="22"/>
        </w:rPr>
      </w:pPr>
    </w:p>
    <w:p w14:paraId="1640C509" w14:textId="6CE07812" w:rsidR="00387C2C" w:rsidRPr="000062B1" w:rsidRDefault="008D4C64">
      <w:pPr>
        <w:pStyle w:val="Pta"/>
        <w:tabs>
          <w:tab w:val="clear" w:pos="4153"/>
          <w:tab w:val="clear" w:pos="8306"/>
        </w:tabs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</w:rPr>
        <w:t>Apríl</w:t>
      </w:r>
      <w:proofErr w:type="spellEnd"/>
      <w:r>
        <w:rPr>
          <w:sz w:val="22"/>
          <w:szCs w:val="22"/>
        </w:rPr>
        <w:t xml:space="preserve"> 2018</w:t>
      </w:r>
    </w:p>
    <w:p w14:paraId="4DD3A370" w14:textId="77777777" w:rsidR="00387C2C" w:rsidRPr="000062B1" w:rsidRDefault="00387C2C">
      <w:pPr>
        <w:rPr>
          <w:rFonts w:ascii="Times New Roman" w:hAnsi="Times New Roman"/>
          <w:sz w:val="22"/>
          <w:szCs w:val="22"/>
        </w:rPr>
      </w:pPr>
    </w:p>
    <w:sectPr w:rsidR="00387C2C" w:rsidRPr="000062B1">
      <w:headerReference w:type="default" r:id="rId9"/>
      <w:footerReference w:type="even" r:id="rId10"/>
      <w:footerReference w:type="default" r:id="rId11"/>
      <w:pgSz w:w="11906" w:h="16838"/>
      <w:pgMar w:top="1440" w:right="144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3CF96" w14:textId="77777777" w:rsidR="009A42DC" w:rsidRDefault="009A42DC">
      <w:r>
        <w:separator/>
      </w:r>
    </w:p>
  </w:endnote>
  <w:endnote w:type="continuationSeparator" w:id="0">
    <w:p w14:paraId="4FEBDFE7" w14:textId="77777777" w:rsidR="009A42DC" w:rsidRDefault="009A42DC">
      <w:r>
        <w:continuationSeparator/>
      </w:r>
    </w:p>
  </w:endnote>
  <w:endnote w:type="continuationNotice" w:id="1">
    <w:p w14:paraId="4E59D9F4" w14:textId="77777777" w:rsidR="009A42DC" w:rsidRDefault="009A4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1F03B" w14:textId="77777777" w:rsidR="00670F1D" w:rsidRDefault="00670F1D">
    <w:pPr>
      <w:pStyle w:val="Pta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5D9DA87" w14:textId="77777777" w:rsidR="00670F1D" w:rsidRDefault="00670F1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FE0AD" w14:textId="77777777" w:rsidR="00670F1D" w:rsidRPr="00262E31" w:rsidRDefault="00670F1D">
    <w:pPr>
      <w:pStyle w:val="Pta"/>
      <w:framePr w:wrap="around" w:vAnchor="text" w:hAnchor="margin" w:xAlign="center" w:y="1"/>
      <w:rPr>
        <w:sz w:val="18"/>
        <w:szCs w:val="18"/>
      </w:rPr>
    </w:pPr>
    <w:r w:rsidRPr="00262E31">
      <w:rPr>
        <w:sz w:val="18"/>
        <w:szCs w:val="18"/>
      </w:rPr>
      <w:fldChar w:fldCharType="begin"/>
    </w:r>
    <w:r w:rsidRPr="00262E31">
      <w:rPr>
        <w:sz w:val="18"/>
        <w:szCs w:val="18"/>
      </w:rPr>
      <w:instrText xml:space="preserve">PAGE  </w:instrText>
    </w:r>
    <w:r w:rsidRPr="00262E31">
      <w:rPr>
        <w:sz w:val="18"/>
        <w:szCs w:val="18"/>
      </w:rPr>
      <w:fldChar w:fldCharType="separate"/>
    </w:r>
    <w:r w:rsidR="00262E31">
      <w:rPr>
        <w:noProof/>
        <w:sz w:val="18"/>
        <w:szCs w:val="18"/>
      </w:rPr>
      <w:t>7</w:t>
    </w:r>
    <w:r w:rsidRPr="00262E31">
      <w:rPr>
        <w:sz w:val="18"/>
        <w:szCs w:val="18"/>
      </w:rPr>
      <w:fldChar w:fldCharType="end"/>
    </w:r>
  </w:p>
  <w:p w14:paraId="074B1FB9" w14:textId="77777777" w:rsidR="00670F1D" w:rsidRDefault="00670F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F6B2D" w14:textId="77777777" w:rsidR="009A42DC" w:rsidRDefault="009A42DC">
      <w:r>
        <w:separator/>
      </w:r>
    </w:p>
  </w:footnote>
  <w:footnote w:type="continuationSeparator" w:id="0">
    <w:p w14:paraId="46A2295C" w14:textId="77777777" w:rsidR="009A42DC" w:rsidRDefault="009A42DC">
      <w:r>
        <w:continuationSeparator/>
      </w:r>
    </w:p>
  </w:footnote>
  <w:footnote w:type="continuationNotice" w:id="1">
    <w:p w14:paraId="2E78CDE6" w14:textId="77777777" w:rsidR="009A42DC" w:rsidRDefault="009A42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AE569" w14:textId="6EC095CD" w:rsidR="00D75AD9" w:rsidRDefault="00D75AD9" w:rsidP="00D75AD9">
    <w:pPr>
      <w:rPr>
        <w:rFonts w:ascii="Times New Roman" w:hAnsi="Times New Roman"/>
        <w:noProof/>
        <w:sz w:val="18"/>
        <w:szCs w:val="22"/>
      </w:rPr>
    </w:pPr>
    <w:r w:rsidRPr="00D75AD9">
      <w:rPr>
        <w:rFonts w:ascii="Times New Roman" w:hAnsi="Times New Roman"/>
        <w:noProof/>
        <w:sz w:val="18"/>
        <w:szCs w:val="22"/>
      </w:rPr>
      <w:t>Príloha č. 1 k notifikácii o zmene, ev. č.:</w:t>
    </w:r>
    <w:r w:rsidRPr="00262E31">
      <w:rPr>
        <w:rFonts w:ascii="Times New Roman" w:hAnsi="Times New Roman"/>
        <w:noProof/>
        <w:sz w:val="18"/>
        <w:szCs w:val="22"/>
      </w:rPr>
      <w:t xml:space="preserve"> </w:t>
    </w:r>
    <w:r w:rsidR="00B10301" w:rsidRPr="00B10301">
      <w:rPr>
        <w:rFonts w:ascii="Times New Roman" w:hAnsi="Times New Roman"/>
        <w:noProof/>
        <w:sz w:val="18"/>
        <w:szCs w:val="22"/>
      </w:rPr>
      <w:t>2017/00886-Z1A</w:t>
    </w:r>
  </w:p>
  <w:p w14:paraId="087FD6F2" w14:textId="77777777" w:rsidR="002E706C" w:rsidRDefault="002E706C" w:rsidP="00D75AD9">
    <w:pPr>
      <w:rPr>
        <w:rFonts w:ascii="Times New Roman" w:hAnsi="Times New Roman"/>
        <w:noProof/>
        <w:sz w:val="18"/>
        <w:szCs w:val="22"/>
      </w:rPr>
    </w:pPr>
    <w:r w:rsidRPr="00D75AD9">
      <w:rPr>
        <w:rFonts w:ascii="Times New Roman" w:hAnsi="Times New Roman"/>
        <w:noProof/>
        <w:sz w:val="18"/>
        <w:szCs w:val="22"/>
      </w:rPr>
      <w:t>Príloha č. 1 k notifikácii o zmene, ev. č.:</w:t>
    </w:r>
    <w:r>
      <w:rPr>
        <w:rFonts w:ascii="Times New Roman" w:hAnsi="Times New Roman"/>
        <w:noProof/>
        <w:sz w:val="18"/>
        <w:szCs w:val="22"/>
      </w:rPr>
      <w:t xml:space="preserve"> </w:t>
    </w:r>
    <w:r w:rsidRPr="00FC679F">
      <w:rPr>
        <w:rFonts w:ascii="Times New Roman" w:hAnsi="Times New Roman"/>
        <w:noProof/>
        <w:sz w:val="18"/>
        <w:szCs w:val="22"/>
      </w:rPr>
      <w:t>2017/02527-Z1B</w:t>
    </w:r>
  </w:p>
  <w:p w14:paraId="2B65C7AD" w14:textId="77777777" w:rsidR="002E706C" w:rsidRPr="00D75AD9" w:rsidRDefault="002E706C" w:rsidP="00D75AD9">
    <w:pPr>
      <w:rPr>
        <w:rFonts w:ascii="Times New Roman" w:hAnsi="Times New Roman"/>
        <w:noProof/>
        <w:sz w:val="18"/>
        <w:szCs w:val="22"/>
      </w:rPr>
    </w:pPr>
    <w:r w:rsidRPr="00D75AD9">
      <w:rPr>
        <w:rFonts w:ascii="Times New Roman" w:hAnsi="Times New Roman"/>
        <w:noProof/>
        <w:sz w:val="18"/>
        <w:szCs w:val="22"/>
      </w:rPr>
      <w:t>Príloha č. 1 k notifikácii o zmene, ev. č.:</w:t>
    </w:r>
    <w:r w:rsidRPr="002E706C">
      <w:rPr>
        <w:rFonts w:ascii="Times New Roman" w:hAnsi="Times New Roman"/>
        <w:noProof/>
        <w:sz w:val="18"/>
        <w:szCs w:val="22"/>
      </w:rPr>
      <w:t xml:space="preserve"> </w:t>
    </w:r>
    <w:r w:rsidR="00C82A3D">
      <w:rPr>
        <w:rFonts w:ascii="Times New Roman" w:hAnsi="Times New Roman"/>
        <w:noProof/>
        <w:sz w:val="18"/>
        <w:szCs w:val="22"/>
      </w:rPr>
      <w:t>2017/02995</w:t>
    </w:r>
    <w:r>
      <w:rPr>
        <w:rFonts w:ascii="Times New Roman" w:hAnsi="Times New Roman"/>
        <w:noProof/>
        <w:sz w:val="18"/>
        <w:szCs w:val="22"/>
      </w:rPr>
      <w:t>-Z1A</w:t>
    </w:r>
  </w:p>
  <w:p w14:paraId="1B212952" w14:textId="77777777" w:rsidR="00313357" w:rsidRDefault="0031335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18B0"/>
    <w:multiLevelType w:val="multilevel"/>
    <w:tmpl w:val="7DA20F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1">
    <w:nsid w:val="37340571"/>
    <w:multiLevelType w:val="multilevel"/>
    <w:tmpl w:val="D8BC27F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ED21983"/>
    <w:multiLevelType w:val="multilevel"/>
    <w:tmpl w:val="FA5C62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  <w:b/>
      </w:rPr>
    </w:lvl>
  </w:abstractNum>
  <w:abstractNum w:abstractNumId="3">
    <w:nsid w:val="7127390F"/>
    <w:multiLevelType w:val="hybridMultilevel"/>
    <w:tmpl w:val="ED0205BE"/>
    <w:lvl w:ilvl="0" w:tplc="17268D8E">
      <w:start w:val="3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4">
    <w:nsid w:val="76E17541"/>
    <w:multiLevelType w:val="multilevel"/>
    <w:tmpl w:val="2F74CB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-267"/>
        </w:tabs>
        <w:ind w:left="-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534"/>
        </w:tabs>
        <w:ind w:left="-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161"/>
        </w:tabs>
        <w:ind w:left="-11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428"/>
        </w:tabs>
        <w:ind w:left="-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055"/>
        </w:tabs>
        <w:ind w:left="-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949"/>
        </w:tabs>
        <w:ind w:left="-29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216"/>
        </w:tabs>
        <w:ind w:left="-321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CB3"/>
    <w:rsid w:val="000062B1"/>
    <w:rsid w:val="00045B9A"/>
    <w:rsid w:val="000575EF"/>
    <w:rsid w:val="0008700B"/>
    <w:rsid w:val="000B5E28"/>
    <w:rsid w:val="00106EE2"/>
    <w:rsid w:val="001160E2"/>
    <w:rsid w:val="001E515D"/>
    <w:rsid w:val="00221020"/>
    <w:rsid w:val="00260A75"/>
    <w:rsid w:val="00262E31"/>
    <w:rsid w:val="002E706C"/>
    <w:rsid w:val="003006A0"/>
    <w:rsid w:val="00313357"/>
    <w:rsid w:val="003362E1"/>
    <w:rsid w:val="00362962"/>
    <w:rsid w:val="00387C2C"/>
    <w:rsid w:val="003B3746"/>
    <w:rsid w:val="003B3E2C"/>
    <w:rsid w:val="003B49BD"/>
    <w:rsid w:val="003C676F"/>
    <w:rsid w:val="00404EC3"/>
    <w:rsid w:val="004101AD"/>
    <w:rsid w:val="00412F53"/>
    <w:rsid w:val="004176E0"/>
    <w:rsid w:val="00451CAA"/>
    <w:rsid w:val="004C6ECE"/>
    <w:rsid w:val="004D5573"/>
    <w:rsid w:val="00500388"/>
    <w:rsid w:val="00540D1D"/>
    <w:rsid w:val="00593B27"/>
    <w:rsid w:val="005C27D4"/>
    <w:rsid w:val="005E418C"/>
    <w:rsid w:val="005E6C0C"/>
    <w:rsid w:val="005F0D84"/>
    <w:rsid w:val="00604F8A"/>
    <w:rsid w:val="00612339"/>
    <w:rsid w:val="006319EC"/>
    <w:rsid w:val="00670F1D"/>
    <w:rsid w:val="00690626"/>
    <w:rsid w:val="006F1CE7"/>
    <w:rsid w:val="00713241"/>
    <w:rsid w:val="00716533"/>
    <w:rsid w:val="00753CBB"/>
    <w:rsid w:val="00784C1D"/>
    <w:rsid w:val="007C5A33"/>
    <w:rsid w:val="007E13FA"/>
    <w:rsid w:val="007E2CF2"/>
    <w:rsid w:val="007E6758"/>
    <w:rsid w:val="007F7B83"/>
    <w:rsid w:val="008147A7"/>
    <w:rsid w:val="008357E6"/>
    <w:rsid w:val="00842F88"/>
    <w:rsid w:val="00862A38"/>
    <w:rsid w:val="00883094"/>
    <w:rsid w:val="00887D3D"/>
    <w:rsid w:val="008B4EB0"/>
    <w:rsid w:val="008C15EC"/>
    <w:rsid w:val="008C4815"/>
    <w:rsid w:val="008D4C64"/>
    <w:rsid w:val="0090262F"/>
    <w:rsid w:val="00906523"/>
    <w:rsid w:val="00913DC7"/>
    <w:rsid w:val="0097030B"/>
    <w:rsid w:val="009A009F"/>
    <w:rsid w:val="009A42DC"/>
    <w:rsid w:val="009B057C"/>
    <w:rsid w:val="009B0E20"/>
    <w:rsid w:val="009C1375"/>
    <w:rsid w:val="009D0C51"/>
    <w:rsid w:val="00A04F90"/>
    <w:rsid w:val="00A1032D"/>
    <w:rsid w:val="00A32E74"/>
    <w:rsid w:val="00A60D71"/>
    <w:rsid w:val="00AA39FD"/>
    <w:rsid w:val="00AA449C"/>
    <w:rsid w:val="00AD5947"/>
    <w:rsid w:val="00AF0985"/>
    <w:rsid w:val="00AF3444"/>
    <w:rsid w:val="00AF5E2B"/>
    <w:rsid w:val="00B10301"/>
    <w:rsid w:val="00B10D5C"/>
    <w:rsid w:val="00B43B7D"/>
    <w:rsid w:val="00B52AAE"/>
    <w:rsid w:val="00B855B8"/>
    <w:rsid w:val="00BB08D2"/>
    <w:rsid w:val="00BB2988"/>
    <w:rsid w:val="00BB428F"/>
    <w:rsid w:val="00C215A6"/>
    <w:rsid w:val="00C82A3D"/>
    <w:rsid w:val="00C85C5A"/>
    <w:rsid w:val="00CC2BBA"/>
    <w:rsid w:val="00CC3E21"/>
    <w:rsid w:val="00CC4482"/>
    <w:rsid w:val="00CC7398"/>
    <w:rsid w:val="00CE2152"/>
    <w:rsid w:val="00CE64B1"/>
    <w:rsid w:val="00CF3831"/>
    <w:rsid w:val="00D05919"/>
    <w:rsid w:val="00D0651D"/>
    <w:rsid w:val="00D21566"/>
    <w:rsid w:val="00D40306"/>
    <w:rsid w:val="00D42137"/>
    <w:rsid w:val="00D64769"/>
    <w:rsid w:val="00D75AD9"/>
    <w:rsid w:val="00DA5850"/>
    <w:rsid w:val="00DD773E"/>
    <w:rsid w:val="00DE5D45"/>
    <w:rsid w:val="00E154ED"/>
    <w:rsid w:val="00E510C6"/>
    <w:rsid w:val="00E80D50"/>
    <w:rsid w:val="00EB4F61"/>
    <w:rsid w:val="00EE658D"/>
    <w:rsid w:val="00EF0735"/>
    <w:rsid w:val="00EF61BB"/>
    <w:rsid w:val="00F42CB3"/>
    <w:rsid w:val="00F608DB"/>
    <w:rsid w:val="00F7632B"/>
    <w:rsid w:val="00F77457"/>
    <w:rsid w:val="00F82CDE"/>
    <w:rsid w:val="00F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4A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aliases w:val="D70AR,Info rubrik 1,titel 1"/>
    <w:basedOn w:val="Normlny"/>
    <w:next w:val="Normlny"/>
    <w:qFormat/>
    <w:pPr>
      <w:keepNext/>
      <w:ind w:left="540"/>
      <w:outlineLvl w:val="0"/>
    </w:pPr>
    <w:rPr>
      <w:rFonts w:ascii="Times New Roman" w:hAnsi="Times New Roman"/>
      <w:sz w:val="24"/>
      <w:szCs w:val="24"/>
      <w:lang w:val="en-GB" w:eastAsia="en-US"/>
    </w:rPr>
  </w:style>
  <w:style w:type="paragraph" w:styleId="Nadpis2">
    <w:name w:val="heading 2"/>
    <w:basedOn w:val="Normlny"/>
    <w:next w:val="Normlny"/>
    <w:qFormat/>
    <w:pPr>
      <w:keepNext/>
      <w:ind w:left="540"/>
      <w:outlineLvl w:val="1"/>
    </w:pPr>
    <w:rPr>
      <w:rFonts w:ascii="Times New Roman" w:hAnsi="Times New Roman"/>
      <w:b/>
      <w:bCs/>
      <w:sz w:val="22"/>
      <w:szCs w:val="24"/>
      <w:lang w:val="en-GB" w:eastAsia="en-US"/>
    </w:rPr>
  </w:style>
  <w:style w:type="paragraph" w:styleId="Nadpis3">
    <w:name w:val="heading 3"/>
    <w:basedOn w:val="Normlny"/>
    <w:next w:val="Normlny"/>
    <w:qFormat/>
    <w:pPr>
      <w:keepNext/>
      <w:ind w:left="540"/>
      <w:jc w:val="both"/>
      <w:outlineLvl w:val="2"/>
    </w:pPr>
    <w:rPr>
      <w:rFonts w:ascii="Times New Roman" w:hAnsi="Times New Roman"/>
      <w:sz w:val="22"/>
      <w:szCs w:val="24"/>
      <w:lang w:val="en-GB" w:eastAsia="en-US"/>
    </w:rPr>
  </w:style>
  <w:style w:type="paragraph" w:styleId="Nadpis4">
    <w:name w:val="heading 4"/>
    <w:basedOn w:val="Normlny"/>
    <w:next w:val="Normlny"/>
    <w:qFormat/>
    <w:pPr>
      <w:keepNext/>
      <w:ind w:left="-567" w:firstLine="11"/>
      <w:jc w:val="both"/>
      <w:outlineLvl w:val="3"/>
    </w:pPr>
    <w:rPr>
      <w:rFonts w:ascii="Times New Roman" w:hAnsi="Times New Roman"/>
      <w:b/>
      <w:bCs/>
      <w:sz w:val="24"/>
    </w:rPr>
  </w:style>
  <w:style w:type="paragraph" w:styleId="Nadpis5">
    <w:name w:val="heading 5"/>
    <w:basedOn w:val="Normlny"/>
    <w:next w:val="Normlny"/>
    <w:qFormat/>
    <w:pPr>
      <w:keepNext/>
      <w:tabs>
        <w:tab w:val="left" w:pos="-2880"/>
        <w:tab w:val="left" w:pos="0"/>
        <w:tab w:val="left" w:pos="565"/>
        <w:tab w:val="left" w:pos="2880"/>
        <w:tab w:val="left" w:pos="3397"/>
        <w:tab w:val="left" w:pos="3963"/>
        <w:tab w:val="left" w:pos="4530"/>
        <w:tab w:val="left" w:pos="5096"/>
        <w:tab w:val="left" w:pos="5661"/>
        <w:tab w:val="left" w:pos="6229"/>
        <w:tab w:val="left" w:pos="6795"/>
        <w:tab w:val="left" w:pos="7362"/>
        <w:tab w:val="left" w:pos="7928"/>
        <w:tab w:val="left" w:pos="8493"/>
        <w:tab w:val="left" w:pos="8793"/>
      </w:tabs>
      <w:spacing w:line="258" w:lineRule="exact"/>
      <w:ind w:left="540"/>
      <w:jc w:val="both"/>
      <w:outlineLvl w:val="4"/>
    </w:pPr>
    <w:rPr>
      <w:rFonts w:ascii="Times New Roman" w:hAnsi="Times New Roman"/>
      <w:sz w:val="24"/>
      <w:szCs w:val="24"/>
      <w:lang w:val="en-GB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0"/>
        <w:tab w:val="left" w:pos="565"/>
        <w:tab w:val="left" w:pos="1131"/>
        <w:tab w:val="left" w:pos="1698"/>
        <w:tab w:val="left" w:pos="2264"/>
        <w:tab w:val="left" w:pos="2829"/>
        <w:tab w:val="left" w:pos="3397"/>
        <w:tab w:val="left" w:pos="3963"/>
        <w:tab w:val="left" w:pos="4530"/>
        <w:tab w:val="left" w:pos="5096"/>
        <w:tab w:val="left" w:pos="5661"/>
        <w:tab w:val="left" w:pos="6229"/>
        <w:tab w:val="left" w:pos="6795"/>
        <w:tab w:val="left" w:pos="7362"/>
        <w:tab w:val="left" w:pos="7928"/>
        <w:tab w:val="left" w:pos="8493"/>
        <w:tab w:val="left" w:pos="8793"/>
      </w:tabs>
      <w:spacing w:line="258" w:lineRule="exact"/>
      <w:ind w:left="-567" w:hanging="565"/>
      <w:jc w:val="both"/>
      <w:outlineLvl w:val="5"/>
    </w:pPr>
    <w:rPr>
      <w:rFonts w:ascii="Times New Roman" w:hAnsi="Times New Roman"/>
      <w:sz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3888"/>
      </w:tabs>
      <w:ind w:left="-567"/>
      <w:jc w:val="both"/>
      <w:outlineLvl w:val="6"/>
    </w:pPr>
    <w:rPr>
      <w:rFonts w:ascii="Times New Roman" w:hAnsi="Times New Roman"/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-567" w:hanging="2160"/>
      <w:jc w:val="both"/>
    </w:pPr>
    <w:rPr>
      <w:rFonts w:ascii="Times New Roman" w:hAnsi="Times New Roman"/>
      <w:bCs/>
      <w:sz w:val="22"/>
    </w:rPr>
  </w:style>
  <w:style w:type="paragraph" w:styleId="Nzov">
    <w:name w:val="Title"/>
    <w:basedOn w:val="Normlny"/>
    <w:qFormat/>
    <w:pPr>
      <w:tabs>
        <w:tab w:val="left" w:pos="0"/>
        <w:tab w:val="left" w:pos="565"/>
        <w:tab w:val="left" w:pos="1131"/>
        <w:tab w:val="left" w:pos="1698"/>
        <w:tab w:val="left" w:pos="2264"/>
        <w:tab w:val="left" w:pos="2829"/>
        <w:tab w:val="left" w:pos="3397"/>
        <w:tab w:val="left" w:pos="3963"/>
        <w:tab w:val="left" w:pos="4530"/>
        <w:tab w:val="left" w:pos="5096"/>
        <w:tab w:val="left" w:pos="5661"/>
        <w:tab w:val="left" w:pos="6229"/>
        <w:tab w:val="left" w:pos="6795"/>
        <w:tab w:val="left" w:pos="7362"/>
        <w:tab w:val="left" w:pos="7928"/>
        <w:tab w:val="left" w:pos="8493"/>
        <w:tab w:val="left" w:pos="8793"/>
      </w:tabs>
      <w:spacing w:line="258" w:lineRule="exact"/>
      <w:ind w:left="565" w:hanging="565"/>
      <w:jc w:val="center"/>
    </w:pPr>
    <w:rPr>
      <w:rFonts w:ascii="Times New Roman" w:hAnsi="Times New Roman"/>
      <w:b/>
      <w:sz w:val="32"/>
      <w:szCs w:val="24"/>
      <w:lang w:val="en-GB" w:eastAsia="en-US"/>
    </w:rPr>
  </w:style>
  <w:style w:type="paragraph" w:styleId="Zarkazkladnhotextu3">
    <w:name w:val="Body Text Indent 3"/>
    <w:basedOn w:val="Normlny"/>
    <w:pPr>
      <w:tabs>
        <w:tab w:val="left" w:pos="0"/>
        <w:tab w:val="left" w:pos="565"/>
        <w:tab w:val="left" w:pos="1131"/>
        <w:tab w:val="left" w:pos="1698"/>
        <w:tab w:val="left" w:pos="2264"/>
        <w:tab w:val="left" w:pos="2829"/>
        <w:tab w:val="left" w:pos="3397"/>
        <w:tab w:val="left" w:pos="3963"/>
        <w:tab w:val="left" w:pos="4530"/>
        <w:tab w:val="left" w:pos="5096"/>
        <w:tab w:val="left" w:pos="5661"/>
        <w:tab w:val="left" w:pos="6229"/>
        <w:tab w:val="left" w:pos="6795"/>
        <w:tab w:val="left" w:pos="7362"/>
        <w:tab w:val="left" w:pos="7928"/>
        <w:tab w:val="left" w:pos="8493"/>
        <w:tab w:val="left" w:pos="8793"/>
      </w:tabs>
      <w:spacing w:line="258" w:lineRule="exact"/>
      <w:ind w:left="565" w:hanging="25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  <w:rPr>
      <w:rFonts w:ascii="Times New Roman" w:hAnsi="Times New Roman"/>
      <w:sz w:val="24"/>
      <w:lang w:val="en-GB" w:eastAsia="fr-FR"/>
    </w:rPr>
  </w:style>
  <w:style w:type="paragraph" w:styleId="Textbubliny">
    <w:name w:val="Balloon Text"/>
    <w:basedOn w:val="Normlny"/>
    <w:semiHidden/>
    <w:rsid w:val="00F42CB3"/>
    <w:rPr>
      <w:rFonts w:ascii="Tahoma" w:hAnsi="Tahoma" w:cs="Tahoma"/>
      <w:sz w:val="16"/>
      <w:szCs w:val="16"/>
    </w:rPr>
  </w:style>
  <w:style w:type="character" w:styleId="Hypertextovprepojenie">
    <w:name w:val="Hyperlink"/>
    <w:rsid w:val="00E510C6"/>
    <w:rPr>
      <w:color w:val="0000FF"/>
      <w:u w:val="single"/>
    </w:rPr>
  </w:style>
  <w:style w:type="paragraph" w:customStyle="1" w:styleId="Default">
    <w:name w:val="Default"/>
    <w:rsid w:val="00CF383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ps">
    <w:name w:val="hps"/>
    <w:rsid w:val="00887D3D"/>
  </w:style>
  <w:style w:type="paragraph" w:styleId="Hlavika">
    <w:name w:val="header"/>
    <w:basedOn w:val="Normlny"/>
    <w:link w:val="HlavikaChar"/>
    <w:rsid w:val="003133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13357"/>
    <w:rPr>
      <w:rFonts w:ascii="Arial" w:hAnsi="Arial"/>
    </w:rPr>
  </w:style>
  <w:style w:type="character" w:styleId="Odkaznakomentr">
    <w:name w:val="annotation reference"/>
    <w:rsid w:val="0031335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13357"/>
  </w:style>
  <w:style w:type="character" w:customStyle="1" w:styleId="TextkomentraChar">
    <w:name w:val="Text komentára Char"/>
    <w:basedOn w:val="Predvolenpsmoodseku"/>
    <w:link w:val="Textkomentra"/>
    <w:rsid w:val="0031335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3133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13357"/>
    <w:rPr>
      <w:rFonts w:ascii="Arial" w:hAnsi="Arial"/>
      <w:b/>
      <w:bCs/>
    </w:rPr>
  </w:style>
  <w:style w:type="paragraph" w:styleId="Zarkazkladnhotextu2">
    <w:name w:val="Body Text Indent 2"/>
    <w:basedOn w:val="Normlny"/>
    <w:link w:val="Zarkazkladnhotextu2Char"/>
    <w:rsid w:val="0031335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13357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aliases w:val="D70AR,Info rubrik 1,titel 1"/>
    <w:basedOn w:val="Normlny"/>
    <w:next w:val="Normlny"/>
    <w:qFormat/>
    <w:pPr>
      <w:keepNext/>
      <w:ind w:left="540"/>
      <w:outlineLvl w:val="0"/>
    </w:pPr>
    <w:rPr>
      <w:rFonts w:ascii="Times New Roman" w:hAnsi="Times New Roman"/>
      <w:sz w:val="24"/>
      <w:szCs w:val="24"/>
      <w:lang w:val="en-GB" w:eastAsia="en-US"/>
    </w:rPr>
  </w:style>
  <w:style w:type="paragraph" w:styleId="Nadpis2">
    <w:name w:val="heading 2"/>
    <w:basedOn w:val="Normlny"/>
    <w:next w:val="Normlny"/>
    <w:qFormat/>
    <w:pPr>
      <w:keepNext/>
      <w:ind w:left="540"/>
      <w:outlineLvl w:val="1"/>
    </w:pPr>
    <w:rPr>
      <w:rFonts w:ascii="Times New Roman" w:hAnsi="Times New Roman"/>
      <w:b/>
      <w:bCs/>
      <w:sz w:val="22"/>
      <w:szCs w:val="24"/>
      <w:lang w:val="en-GB" w:eastAsia="en-US"/>
    </w:rPr>
  </w:style>
  <w:style w:type="paragraph" w:styleId="Nadpis3">
    <w:name w:val="heading 3"/>
    <w:basedOn w:val="Normlny"/>
    <w:next w:val="Normlny"/>
    <w:qFormat/>
    <w:pPr>
      <w:keepNext/>
      <w:ind w:left="540"/>
      <w:jc w:val="both"/>
      <w:outlineLvl w:val="2"/>
    </w:pPr>
    <w:rPr>
      <w:rFonts w:ascii="Times New Roman" w:hAnsi="Times New Roman"/>
      <w:sz w:val="22"/>
      <w:szCs w:val="24"/>
      <w:lang w:val="en-GB" w:eastAsia="en-US"/>
    </w:rPr>
  </w:style>
  <w:style w:type="paragraph" w:styleId="Nadpis4">
    <w:name w:val="heading 4"/>
    <w:basedOn w:val="Normlny"/>
    <w:next w:val="Normlny"/>
    <w:qFormat/>
    <w:pPr>
      <w:keepNext/>
      <w:ind w:left="-567" w:firstLine="11"/>
      <w:jc w:val="both"/>
      <w:outlineLvl w:val="3"/>
    </w:pPr>
    <w:rPr>
      <w:rFonts w:ascii="Times New Roman" w:hAnsi="Times New Roman"/>
      <w:b/>
      <w:bCs/>
      <w:sz w:val="24"/>
    </w:rPr>
  </w:style>
  <w:style w:type="paragraph" w:styleId="Nadpis5">
    <w:name w:val="heading 5"/>
    <w:basedOn w:val="Normlny"/>
    <w:next w:val="Normlny"/>
    <w:qFormat/>
    <w:pPr>
      <w:keepNext/>
      <w:tabs>
        <w:tab w:val="left" w:pos="-2880"/>
        <w:tab w:val="left" w:pos="0"/>
        <w:tab w:val="left" w:pos="565"/>
        <w:tab w:val="left" w:pos="2880"/>
        <w:tab w:val="left" w:pos="3397"/>
        <w:tab w:val="left" w:pos="3963"/>
        <w:tab w:val="left" w:pos="4530"/>
        <w:tab w:val="left" w:pos="5096"/>
        <w:tab w:val="left" w:pos="5661"/>
        <w:tab w:val="left" w:pos="6229"/>
        <w:tab w:val="left" w:pos="6795"/>
        <w:tab w:val="left" w:pos="7362"/>
        <w:tab w:val="left" w:pos="7928"/>
        <w:tab w:val="left" w:pos="8493"/>
        <w:tab w:val="left" w:pos="8793"/>
      </w:tabs>
      <w:spacing w:line="258" w:lineRule="exact"/>
      <w:ind w:left="540"/>
      <w:jc w:val="both"/>
      <w:outlineLvl w:val="4"/>
    </w:pPr>
    <w:rPr>
      <w:rFonts w:ascii="Times New Roman" w:hAnsi="Times New Roman"/>
      <w:sz w:val="24"/>
      <w:szCs w:val="24"/>
      <w:lang w:val="en-GB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0"/>
        <w:tab w:val="left" w:pos="565"/>
        <w:tab w:val="left" w:pos="1131"/>
        <w:tab w:val="left" w:pos="1698"/>
        <w:tab w:val="left" w:pos="2264"/>
        <w:tab w:val="left" w:pos="2829"/>
        <w:tab w:val="left" w:pos="3397"/>
        <w:tab w:val="left" w:pos="3963"/>
        <w:tab w:val="left" w:pos="4530"/>
        <w:tab w:val="left" w:pos="5096"/>
        <w:tab w:val="left" w:pos="5661"/>
        <w:tab w:val="left" w:pos="6229"/>
        <w:tab w:val="left" w:pos="6795"/>
        <w:tab w:val="left" w:pos="7362"/>
        <w:tab w:val="left" w:pos="7928"/>
        <w:tab w:val="left" w:pos="8493"/>
        <w:tab w:val="left" w:pos="8793"/>
      </w:tabs>
      <w:spacing w:line="258" w:lineRule="exact"/>
      <w:ind w:left="-567" w:hanging="565"/>
      <w:jc w:val="both"/>
      <w:outlineLvl w:val="5"/>
    </w:pPr>
    <w:rPr>
      <w:rFonts w:ascii="Times New Roman" w:hAnsi="Times New Roman"/>
      <w:sz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3888"/>
      </w:tabs>
      <w:ind w:left="-567"/>
      <w:jc w:val="both"/>
      <w:outlineLvl w:val="6"/>
    </w:pPr>
    <w:rPr>
      <w:rFonts w:ascii="Times New Roman" w:hAnsi="Times New Roman"/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-567" w:hanging="2160"/>
      <w:jc w:val="both"/>
    </w:pPr>
    <w:rPr>
      <w:rFonts w:ascii="Times New Roman" w:hAnsi="Times New Roman"/>
      <w:bCs/>
      <w:sz w:val="22"/>
    </w:rPr>
  </w:style>
  <w:style w:type="paragraph" w:styleId="Nzov">
    <w:name w:val="Title"/>
    <w:basedOn w:val="Normlny"/>
    <w:qFormat/>
    <w:pPr>
      <w:tabs>
        <w:tab w:val="left" w:pos="0"/>
        <w:tab w:val="left" w:pos="565"/>
        <w:tab w:val="left" w:pos="1131"/>
        <w:tab w:val="left" w:pos="1698"/>
        <w:tab w:val="left" w:pos="2264"/>
        <w:tab w:val="left" w:pos="2829"/>
        <w:tab w:val="left" w:pos="3397"/>
        <w:tab w:val="left" w:pos="3963"/>
        <w:tab w:val="left" w:pos="4530"/>
        <w:tab w:val="left" w:pos="5096"/>
        <w:tab w:val="left" w:pos="5661"/>
        <w:tab w:val="left" w:pos="6229"/>
        <w:tab w:val="left" w:pos="6795"/>
        <w:tab w:val="left" w:pos="7362"/>
        <w:tab w:val="left" w:pos="7928"/>
        <w:tab w:val="left" w:pos="8493"/>
        <w:tab w:val="left" w:pos="8793"/>
      </w:tabs>
      <w:spacing w:line="258" w:lineRule="exact"/>
      <w:ind w:left="565" w:hanging="565"/>
      <w:jc w:val="center"/>
    </w:pPr>
    <w:rPr>
      <w:rFonts w:ascii="Times New Roman" w:hAnsi="Times New Roman"/>
      <w:b/>
      <w:sz w:val="32"/>
      <w:szCs w:val="24"/>
      <w:lang w:val="en-GB" w:eastAsia="en-US"/>
    </w:rPr>
  </w:style>
  <w:style w:type="paragraph" w:styleId="Zarkazkladnhotextu3">
    <w:name w:val="Body Text Indent 3"/>
    <w:basedOn w:val="Normlny"/>
    <w:pPr>
      <w:tabs>
        <w:tab w:val="left" w:pos="0"/>
        <w:tab w:val="left" w:pos="565"/>
        <w:tab w:val="left" w:pos="1131"/>
        <w:tab w:val="left" w:pos="1698"/>
        <w:tab w:val="left" w:pos="2264"/>
        <w:tab w:val="left" w:pos="2829"/>
        <w:tab w:val="left" w:pos="3397"/>
        <w:tab w:val="left" w:pos="3963"/>
        <w:tab w:val="left" w:pos="4530"/>
        <w:tab w:val="left" w:pos="5096"/>
        <w:tab w:val="left" w:pos="5661"/>
        <w:tab w:val="left" w:pos="6229"/>
        <w:tab w:val="left" w:pos="6795"/>
        <w:tab w:val="left" w:pos="7362"/>
        <w:tab w:val="left" w:pos="7928"/>
        <w:tab w:val="left" w:pos="8493"/>
        <w:tab w:val="left" w:pos="8793"/>
      </w:tabs>
      <w:spacing w:line="258" w:lineRule="exact"/>
      <w:ind w:left="565" w:hanging="25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  <w:rPr>
      <w:rFonts w:ascii="Times New Roman" w:hAnsi="Times New Roman"/>
      <w:sz w:val="24"/>
      <w:lang w:val="en-GB" w:eastAsia="fr-FR"/>
    </w:rPr>
  </w:style>
  <w:style w:type="paragraph" w:styleId="Textbubliny">
    <w:name w:val="Balloon Text"/>
    <w:basedOn w:val="Normlny"/>
    <w:semiHidden/>
    <w:rsid w:val="00F42CB3"/>
    <w:rPr>
      <w:rFonts w:ascii="Tahoma" w:hAnsi="Tahoma" w:cs="Tahoma"/>
      <w:sz w:val="16"/>
      <w:szCs w:val="16"/>
    </w:rPr>
  </w:style>
  <w:style w:type="character" w:styleId="Hypertextovprepojenie">
    <w:name w:val="Hyperlink"/>
    <w:rsid w:val="00E510C6"/>
    <w:rPr>
      <w:color w:val="0000FF"/>
      <w:u w:val="single"/>
    </w:rPr>
  </w:style>
  <w:style w:type="paragraph" w:customStyle="1" w:styleId="Default">
    <w:name w:val="Default"/>
    <w:rsid w:val="00CF383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ps">
    <w:name w:val="hps"/>
    <w:rsid w:val="00887D3D"/>
  </w:style>
  <w:style w:type="paragraph" w:styleId="Hlavika">
    <w:name w:val="header"/>
    <w:basedOn w:val="Normlny"/>
    <w:link w:val="HlavikaChar"/>
    <w:rsid w:val="003133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13357"/>
    <w:rPr>
      <w:rFonts w:ascii="Arial" w:hAnsi="Arial"/>
    </w:rPr>
  </w:style>
  <w:style w:type="character" w:styleId="Odkaznakomentr">
    <w:name w:val="annotation reference"/>
    <w:rsid w:val="0031335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13357"/>
  </w:style>
  <w:style w:type="character" w:customStyle="1" w:styleId="TextkomentraChar">
    <w:name w:val="Text komentára Char"/>
    <w:basedOn w:val="Predvolenpsmoodseku"/>
    <w:link w:val="Textkomentra"/>
    <w:rsid w:val="0031335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3133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13357"/>
    <w:rPr>
      <w:rFonts w:ascii="Arial" w:hAnsi="Arial"/>
      <w:b/>
      <w:bCs/>
    </w:rPr>
  </w:style>
  <w:style w:type="paragraph" w:styleId="Zarkazkladnhotextu2">
    <w:name w:val="Body Text Indent 2"/>
    <w:basedOn w:val="Normlny"/>
    <w:link w:val="Zarkazkladnhotextu2Char"/>
    <w:rsid w:val="0031335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133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1815</Words>
  <Characters>12784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 LIEKU  (SPC)</vt:lpstr>
      <vt:lpstr>SÚHRN CHARAKTERISTICKÝCH VLASTNOSTÍ  LIEKU  (SPC)</vt:lpstr>
    </vt:vector>
  </TitlesOfParts>
  <Company>práce v domácnosti</Company>
  <LinksUpToDate>false</LinksUpToDate>
  <CharactersWithSpaces>14570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 LIEKU  (SPC)</dc:title>
  <dc:creator>Kováčiková</dc:creator>
  <cp:lastModifiedBy>Skladaná, Judita</cp:lastModifiedBy>
  <cp:revision>2</cp:revision>
  <cp:lastPrinted>2018-04-11T11:28:00Z</cp:lastPrinted>
  <dcterms:created xsi:type="dcterms:W3CDTF">2018-04-11T11:28:00Z</dcterms:created>
  <dcterms:modified xsi:type="dcterms:W3CDTF">2018-04-11T11:28:00Z</dcterms:modified>
</cp:coreProperties>
</file>