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82" w:rsidRPr="00A40935" w:rsidRDefault="00605882" w:rsidP="00A40935">
      <w:pPr>
        <w:pStyle w:val="SPCaPILhlavika"/>
        <w:spacing w:before="0" w:after="0"/>
      </w:pPr>
    </w:p>
    <w:p w:rsidR="00D2379D" w:rsidRDefault="00D2379D" w:rsidP="00A40935">
      <w:pPr>
        <w:pStyle w:val="SPCaPILhlavika"/>
        <w:spacing w:before="0" w:after="0"/>
      </w:pPr>
      <w:r w:rsidRPr="00A40935">
        <w:t>SÚHRN CHARAKTERISTICKÝCH VLASTNOSTÍ LIEKU</w:t>
      </w:r>
    </w:p>
    <w:p w:rsidR="00A40935" w:rsidRDefault="00A40935" w:rsidP="00A40935">
      <w:pPr>
        <w:pStyle w:val="SPCaPILhlavika"/>
        <w:spacing w:before="0" w:after="0"/>
      </w:pPr>
    </w:p>
    <w:p w:rsidR="00A40935" w:rsidRPr="00A40935" w:rsidRDefault="00A40935" w:rsidP="00A40935">
      <w:pPr>
        <w:pStyle w:val="SPCaPILhlavika"/>
        <w:spacing w:before="0" w:after="0"/>
      </w:pPr>
    </w:p>
    <w:p w:rsidR="00D2379D" w:rsidRPr="00A40935" w:rsidRDefault="00D2379D">
      <w:pPr>
        <w:pStyle w:val="Styl1"/>
      </w:pPr>
      <w:r w:rsidRPr="00A40935">
        <w:t>NÁZOV LIEKU</w:t>
      </w:r>
    </w:p>
    <w:p w:rsidR="0036765D" w:rsidRPr="00A40935" w:rsidRDefault="0036765D" w:rsidP="0013449D">
      <w:pPr>
        <w:pStyle w:val="Styl1"/>
        <w:numPr>
          <w:ilvl w:val="0"/>
          <w:numId w:val="0"/>
        </w:numPr>
        <w:ind w:left="357"/>
      </w:pPr>
    </w:p>
    <w:p w:rsidR="00D2379D" w:rsidRPr="00A40935" w:rsidRDefault="00D2379D" w:rsidP="00B542F0">
      <w:pPr>
        <w:pStyle w:val="Normlndobloku"/>
      </w:pPr>
      <w:r w:rsidRPr="00A40935">
        <w:t>TAXIMED 1 g</w:t>
      </w:r>
    </w:p>
    <w:p w:rsidR="00D2379D" w:rsidRPr="00A40935" w:rsidRDefault="00D2379D" w:rsidP="00B542F0">
      <w:pPr>
        <w:pStyle w:val="Normlndobloku"/>
      </w:pPr>
      <w:r w:rsidRPr="00A40935">
        <w:rPr>
          <w:highlight w:val="lightGray"/>
        </w:rPr>
        <w:t>TAXIMED 2 g</w:t>
      </w:r>
    </w:p>
    <w:p w:rsidR="00D2379D" w:rsidRDefault="00D2379D" w:rsidP="00760366">
      <w:pPr>
        <w:pStyle w:val="Normlndobloku"/>
      </w:pPr>
      <w:r w:rsidRPr="00A40935">
        <w:t>prášok na injekčný/</w:t>
      </w:r>
      <w:proofErr w:type="spellStart"/>
      <w:r w:rsidRPr="00A40935">
        <w:t>infúzny</w:t>
      </w:r>
      <w:proofErr w:type="spellEnd"/>
      <w:r w:rsidRPr="00A40935">
        <w:t xml:space="preserve"> roztok</w:t>
      </w:r>
    </w:p>
    <w:p w:rsidR="00A40935" w:rsidRDefault="00A40935" w:rsidP="00760366">
      <w:pPr>
        <w:pStyle w:val="Normlndobloku"/>
      </w:pPr>
    </w:p>
    <w:p w:rsidR="00A40935" w:rsidRPr="00A40935" w:rsidRDefault="00A40935" w:rsidP="00760366">
      <w:pPr>
        <w:pStyle w:val="Normlndobloku"/>
      </w:pPr>
    </w:p>
    <w:p w:rsidR="00D2379D" w:rsidRDefault="00D2379D" w:rsidP="00760366">
      <w:pPr>
        <w:pStyle w:val="Styl1"/>
      </w:pPr>
      <w:r w:rsidRPr="00A40935">
        <w:t>KVALITATÍVNE</w:t>
      </w:r>
      <w:r w:rsidR="00484688" w:rsidRPr="00A40935">
        <w:t xml:space="preserve"> a </w:t>
      </w:r>
      <w:r w:rsidRPr="00A40935">
        <w:t>KVANTITATÍVNE ZLOŽENIE</w:t>
      </w:r>
    </w:p>
    <w:p w:rsidR="00AF2083" w:rsidRPr="00A40935" w:rsidRDefault="00AF2083" w:rsidP="00760366">
      <w:pPr>
        <w:pStyle w:val="Styl1"/>
        <w:numPr>
          <w:ilvl w:val="0"/>
          <w:numId w:val="0"/>
        </w:numPr>
      </w:pPr>
    </w:p>
    <w:p w:rsidR="00D2379D" w:rsidRPr="00A40935" w:rsidRDefault="00D2379D" w:rsidP="00B542F0">
      <w:pPr>
        <w:pStyle w:val="Normlndobloku"/>
      </w:pPr>
      <w:r w:rsidRPr="00A40935">
        <w:t>Jedna injekčná liekovka obsahuje 1 g</w:t>
      </w:r>
      <w:r w:rsidR="00484688" w:rsidRPr="00A40935">
        <w:t> </w:t>
      </w:r>
      <w:proofErr w:type="spellStart"/>
      <w:r w:rsidRPr="00A40935">
        <w:t>cefotaxímu</w:t>
      </w:r>
      <w:proofErr w:type="spellEnd"/>
      <w:r w:rsidRPr="00A40935">
        <w:t xml:space="preserve"> (ako sodnú soľ </w:t>
      </w:r>
      <w:proofErr w:type="spellStart"/>
      <w:r w:rsidRPr="00A40935">
        <w:t>cefotaxímu</w:t>
      </w:r>
      <w:proofErr w:type="spellEnd"/>
      <w:r w:rsidRPr="00A40935">
        <w:t>).</w:t>
      </w:r>
    </w:p>
    <w:p w:rsidR="00D2379D" w:rsidRPr="00A40935" w:rsidRDefault="00D2379D" w:rsidP="00B542F0">
      <w:pPr>
        <w:pStyle w:val="Normlndobloku"/>
      </w:pPr>
      <w:r w:rsidRPr="00A40935">
        <w:rPr>
          <w:highlight w:val="lightGray"/>
        </w:rPr>
        <w:t>Jedna injekčná liekovka obsahuje 2 g</w:t>
      </w:r>
      <w:r w:rsidR="00484688" w:rsidRPr="00A40935">
        <w:rPr>
          <w:highlight w:val="lightGray"/>
        </w:rPr>
        <w:t> </w:t>
      </w:r>
      <w:proofErr w:type="spellStart"/>
      <w:r w:rsidRPr="00A40935">
        <w:rPr>
          <w:highlight w:val="lightGray"/>
        </w:rPr>
        <w:t>cefotaxímu</w:t>
      </w:r>
      <w:proofErr w:type="spellEnd"/>
      <w:r w:rsidRPr="00A40935">
        <w:rPr>
          <w:highlight w:val="lightGray"/>
        </w:rPr>
        <w:t xml:space="preserve"> (ako sodnú soľ </w:t>
      </w:r>
      <w:proofErr w:type="spellStart"/>
      <w:r w:rsidRPr="00A40935">
        <w:rPr>
          <w:highlight w:val="lightGray"/>
        </w:rPr>
        <w:t>cefotaxímu</w:t>
      </w:r>
      <w:proofErr w:type="spellEnd"/>
      <w:r w:rsidRPr="00A40935">
        <w:rPr>
          <w:highlight w:val="lightGray"/>
        </w:rPr>
        <w:t>).</w:t>
      </w:r>
    </w:p>
    <w:p w:rsidR="00A26585" w:rsidRPr="00A40935" w:rsidRDefault="00A26585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>Liek obsahuje sodík.</w:t>
      </w:r>
    </w:p>
    <w:p w:rsidR="00D2379D" w:rsidRPr="00A40935" w:rsidRDefault="00D2379D" w:rsidP="00760366">
      <w:pPr>
        <w:pStyle w:val="Normlndobloku"/>
      </w:pPr>
      <w:r w:rsidRPr="00A40935">
        <w:t>Jedna injekčná liekovka obsahuje 2,1</w:t>
      </w:r>
      <w:r w:rsidR="00484688" w:rsidRPr="00A40935">
        <w:t> </w:t>
      </w:r>
      <w:proofErr w:type="spellStart"/>
      <w:r w:rsidRPr="00A40935">
        <w:t>mmol</w:t>
      </w:r>
      <w:proofErr w:type="spellEnd"/>
      <w:r w:rsidRPr="00A40935">
        <w:t xml:space="preserve"> (48,2</w:t>
      </w:r>
      <w:r w:rsidR="00484688" w:rsidRPr="00A40935">
        <w:t> </w:t>
      </w:r>
      <w:r w:rsidRPr="00A40935">
        <w:t>mg) sodíka.</w:t>
      </w:r>
    </w:p>
    <w:p w:rsidR="00D2379D" w:rsidRPr="00A40935" w:rsidRDefault="00D2379D" w:rsidP="00760366">
      <w:pPr>
        <w:pStyle w:val="Normlndobloku"/>
      </w:pPr>
      <w:r w:rsidRPr="00A40935">
        <w:rPr>
          <w:highlight w:val="lightGray"/>
        </w:rPr>
        <w:t>Jedna injekčná liekovka obsahuje 4,2</w:t>
      </w:r>
      <w:r w:rsidR="00484688" w:rsidRPr="00A40935">
        <w:rPr>
          <w:highlight w:val="lightGray"/>
        </w:rPr>
        <w:t> </w:t>
      </w:r>
      <w:proofErr w:type="spellStart"/>
      <w:r w:rsidRPr="00A40935">
        <w:rPr>
          <w:highlight w:val="lightGray"/>
        </w:rPr>
        <w:t>mmol</w:t>
      </w:r>
      <w:proofErr w:type="spellEnd"/>
      <w:r w:rsidRPr="00A40935">
        <w:rPr>
          <w:highlight w:val="lightGray"/>
        </w:rPr>
        <w:t xml:space="preserve"> (96,4</w:t>
      </w:r>
      <w:r w:rsidR="00484688" w:rsidRPr="00A40935">
        <w:rPr>
          <w:highlight w:val="lightGray"/>
        </w:rPr>
        <w:t> </w:t>
      </w:r>
      <w:r w:rsidRPr="00A40935">
        <w:rPr>
          <w:highlight w:val="lightGray"/>
        </w:rPr>
        <w:t>mg) sodíka.</w:t>
      </w:r>
    </w:p>
    <w:p w:rsidR="00D2379D" w:rsidRDefault="00D2379D" w:rsidP="00760366">
      <w:pPr>
        <w:pStyle w:val="Normlndobloku"/>
      </w:pPr>
      <w:r w:rsidRPr="00A40935">
        <w:t>Úplný zoznam pomocných látok, pozri časť 6.1.</w:t>
      </w:r>
    </w:p>
    <w:p w:rsidR="00A40935" w:rsidRDefault="00A40935" w:rsidP="00760366">
      <w:pPr>
        <w:pStyle w:val="Normlndobloku"/>
      </w:pPr>
    </w:p>
    <w:p w:rsidR="00A40935" w:rsidRPr="00A40935" w:rsidRDefault="00A40935" w:rsidP="00760366">
      <w:pPr>
        <w:pStyle w:val="Normlndobloku"/>
      </w:pPr>
    </w:p>
    <w:p w:rsidR="00D2379D" w:rsidRPr="00A40935" w:rsidRDefault="00D2379D" w:rsidP="00760366">
      <w:pPr>
        <w:pStyle w:val="Styl1"/>
      </w:pPr>
      <w:r w:rsidRPr="00A40935">
        <w:t>LIEKOVÁ FORMA</w:t>
      </w:r>
    </w:p>
    <w:p w:rsidR="00AF2083" w:rsidRDefault="00AF2083" w:rsidP="00B542F0">
      <w:pPr>
        <w:pStyle w:val="Normlndobloku"/>
      </w:pPr>
    </w:p>
    <w:p w:rsidR="00D2379D" w:rsidRPr="00A40935" w:rsidRDefault="00D2379D" w:rsidP="00B542F0">
      <w:pPr>
        <w:pStyle w:val="Normlndobloku"/>
      </w:pPr>
      <w:r w:rsidRPr="00A40935">
        <w:t>Prášok na injekčný/</w:t>
      </w:r>
      <w:proofErr w:type="spellStart"/>
      <w:r w:rsidRPr="00A40935">
        <w:t>infúzny</w:t>
      </w:r>
      <w:proofErr w:type="spellEnd"/>
      <w:r w:rsidRPr="00A40935">
        <w:t xml:space="preserve"> roztok</w:t>
      </w:r>
    </w:p>
    <w:p w:rsidR="00D2379D" w:rsidRDefault="00D2379D" w:rsidP="00760366">
      <w:pPr>
        <w:pStyle w:val="Normlndobloku"/>
      </w:pPr>
      <w:r w:rsidRPr="00AF2083">
        <w:t>Biely až slabo žltý prášok</w:t>
      </w:r>
    </w:p>
    <w:p w:rsidR="00A40935" w:rsidRDefault="00A40935" w:rsidP="00760366">
      <w:pPr>
        <w:pStyle w:val="Normlndobloku"/>
      </w:pPr>
    </w:p>
    <w:p w:rsidR="00A40935" w:rsidRPr="00A40935" w:rsidRDefault="00A40935" w:rsidP="00760366">
      <w:pPr>
        <w:pStyle w:val="Normlndobloku"/>
      </w:pPr>
    </w:p>
    <w:p w:rsidR="00D2379D" w:rsidRDefault="00D2379D">
      <w:pPr>
        <w:pStyle w:val="Styl1"/>
      </w:pPr>
      <w:r w:rsidRPr="00A40935">
        <w:t xml:space="preserve"> KLINICKÉ ÚDAJE</w:t>
      </w:r>
    </w:p>
    <w:p w:rsidR="00A40935" w:rsidRPr="00A40935" w:rsidRDefault="00A40935" w:rsidP="00760366">
      <w:pPr>
        <w:pStyle w:val="Styl1"/>
        <w:numPr>
          <w:ilvl w:val="0"/>
          <w:numId w:val="0"/>
        </w:numPr>
      </w:pPr>
    </w:p>
    <w:p w:rsidR="00D2379D" w:rsidRPr="00A40935" w:rsidRDefault="00D2379D">
      <w:pPr>
        <w:pStyle w:val="Styl2"/>
      </w:pPr>
      <w:r w:rsidRPr="00A40935">
        <w:t>Terapeutické indikácie</w:t>
      </w:r>
    </w:p>
    <w:p w:rsidR="00AF2083" w:rsidRDefault="00AF2083" w:rsidP="00B542F0">
      <w:pPr>
        <w:pStyle w:val="Normlndobloku"/>
      </w:pPr>
    </w:p>
    <w:p w:rsidR="00385335" w:rsidRPr="00AF2083" w:rsidRDefault="00385335" w:rsidP="00B542F0">
      <w:pPr>
        <w:pStyle w:val="Normlndobloku"/>
      </w:pPr>
      <w:r w:rsidRPr="00A40935">
        <w:t>TAXIMED je indikovaný pri liečbe nasledujúcich infekcií buď pred identifikáciou infikujúceho organizmu, alebo keď j</w:t>
      </w:r>
      <w:r w:rsidR="00F16D6F" w:rsidRPr="00AF2083">
        <w:t>e</w:t>
      </w:r>
      <w:r w:rsidRPr="00AF2083">
        <w:t xml:space="preserve"> infekcia spôsobená baktériami so stanovenou citlivosťou:</w:t>
      </w:r>
    </w:p>
    <w:p w:rsidR="00385335" w:rsidRPr="00A40935" w:rsidRDefault="00385335" w:rsidP="00760366">
      <w:pPr>
        <w:pStyle w:val="Normlndoblokusodrkami"/>
      </w:pPr>
      <w:r w:rsidRPr="00A40935">
        <w:t>Septikémia</w:t>
      </w:r>
    </w:p>
    <w:p w:rsidR="00385335" w:rsidRPr="00EE5624" w:rsidRDefault="00385335" w:rsidP="00760366">
      <w:pPr>
        <w:pStyle w:val="Normlndoblokusodrkami"/>
      </w:pPr>
      <w:r w:rsidRPr="00A40935">
        <w:t>Infekcie dýchacích ciest, ako sú akútna</w:t>
      </w:r>
      <w:r w:rsidR="00484688" w:rsidRPr="00A40935">
        <w:t xml:space="preserve"> a </w:t>
      </w:r>
      <w:r w:rsidRPr="00A40935">
        <w:t>chronická bronchitída, bakteriálna pneumónia, inf</w:t>
      </w:r>
      <w:r w:rsidR="00355A62">
        <w:t>ikovaná</w:t>
      </w:r>
      <w:r w:rsidRPr="00EE5624">
        <w:t xml:space="preserve"> </w:t>
      </w:r>
      <w:r w:rsidRPr="00AF2083">
        <w:t>bronchiektázia, pľúcny absces</w:t>
      </w:r>
      <w:r w:rsidR="00484688" w:rsidRPr="00EE5624">
        <w:t xml:space="preserve"> a </w:t>
      </w:r>
      <w:r w:rsidRPr="00EE5624">
        <w:t>pooperačné infekcie hrudníka</w:t>
      </w:r>
    </w:p>
    <w:p w:rsidR="00385335" w:rsidRPr="00A40935" w:rsidRDefault="00385335" w:rsidP="00760366">
      <w:pPr>
        <w:pStyle w:val="Normlndoblokusodrkami"/>
      </w:pPr>
      <w:r w:rsidRPr="00A40935">
        <w:t>Infekcie močových ciest, ako je akútna</w:t>
      </w:r>
      <w:r w:rsidR="00484688" w:rsidRPr="00A40935">
        <w:t xml:space="preserve"> a </w:t>
      </w:r>
      <w:r w:rsidRPr="00A40935">
        <w:t>chronická pyelonefritída, cystitída</w:t>
      </w:r>
      <w:r w:rsidR="00484688" w:rsidRPr="00A40935">
        <w:t xml:space="preserve"> a </w:t>
      </w:r>
      <w:r w:rsidRPr="00A40935">
        <w:t>asymptomatická bakteriúria</w:t>
      </w:r>
    </w:p>
    <w:p w:rsidR="00385335" w:rsidRPr="00A40935" w:rsidRDefault="00385335" w:rsidP="00760366">
      <w:pPr>
        <w:pStyle w:val="Normlndoblokusodrkami"/>
      </w:pPr>
      <w:r w:rsidRPr="00A40935">
        <w:t>Infekcie mäkkých tkanív, ako je celulitída, peritonitída</w:t>
      </w:r>
      <w:r w:rsidR="00484688" w:rsidRPr="00A40935">
        <w:t xml:space="preserve"> a </w:t>
      </w:r>
      <w:r w:rsidRPr="00A40935">
        <w:t>infekcie rany</w:t>
      </w:r>
    </w:p>
    <w:p w:rsidR="00385335" w:rsidRPr="00A40935" w:rsidRDefault="00385335" w:rsidP="00760366">
      <w:pPr>
        <w:pStyle w:val="Normlndoblokusodrkami"/>
      </w:pPr>
      <w:r w:rsidRPr="00A40935">
        <w:t>Kostné</w:t>
      </w:r>
      <w:r w:rsidR="00484688" w:rsidRPr="00A40935">
        <w:t xml:space="preserve"> a </w:t>
      </w:r>
      <w:r w:rsidRPr="00A40935">
        <w:t>kĺbové infekcie, ako je osteomyelitída</w:t>
      </w:r>
      <w:r w:rsidR="00484688" w:rsidRPr="00A40935">
        <w:t xml:space="preserve"> a </w:t>
      </w:r>
      <w:r w:rsidRPr="00A40935">
        <w:t>septická artritída</w:t>
      </w:r>
    </w:p>
    <w:p w:rsidR="00385335" w:rsidRPr="00A40935" w:rsidRDefault="00385335" w:rsidP="00760366">
      <w:pPr>
        <w:pStyle w:val="Normlndoblokusodrkami"/>
      </w:pPr>
      <w:r w:rsidRPr="00A40935">
        <w:t>Pôrodníck</w:t>
      </w:r>
      <w:r w:rsidR="00FD15E7" w:rsidRPr="00A40935">
        <w:t>e</w:t>
      </w:r>
      <w:r w:rsidR="00484688" w:rsidRPr="00A40935">
        <w:t xml:space="preserve"> a </w:t>
      </w:r>
      <w:r w:rsidRPr="00A40935">
        <w:t>gynekologick</w:t>
      </w:r>
      <w:r w:rsidR="00FD15E7" w:rsidRPr="00A40935">
        <w:t>é</w:t>
      </w:r>
      <w:r w:rsidRPr="00A40935">
        <w:t xml:space="preserve"> infekci</w:t>
      </w:r>
      <w:r w:rsidR="00FD15E7" w:rsidRPr="00A40935">
        <w:t>e</w:t>
      </w:r>
      <w:r w:rsidRPr="00A40935">
        <w:t>, ako je zápalové ochorenie panvy.</w:t>
      </w:r>
    </w:p>
    <w:p w:rsidR="00385335" w:rsidRPr="00A40935" w:rsidRDefault="00FD15E7" w:rsidP="00760366">
      <w:pPr>
        <w:pStyle w:val="Normlndoblokusodrkami"/>
      </w:pPr>
      <w:r w:rsidRPr="00A40935">
        <w:t>Gonorea</w:t>
      </w:r>
      <w:r w:rsidR="008654AE" w:rsidRPr="00A40935">
        <w:t xml:space="preserve"> (kvapavka)</w:t>
      </w:r>
      <w:r w:rsidRPr="00A40935">
        <w:t xml:space="preserve"> </w:t>
      </w:r>
      <w:r w:rsidR="00385335" w:rsidRPr="00A40935">
        <w:t>najmä keď penicilín zlyhal alebo je nevhodný.</w:t>
      </w:r>
    </w:p>
    <w:p w:rsidR="00385335" w:rsidRPr="00A40935" w:rsidRDefault="00385335" w:rsidP="00760366">
      <w:pPr>
        <w:pStyle w:val="Normlndoblokusodrkami"/>
      </w:pPr>
      <w:r w:rsidRPr="00A40935">
        <w:t>Iné bakteriálne infekcie, meningitída</w:t>
      </w:r>
      <w:r w:rsidR="00484688" w:rsidRPr="00A40935">
        <w:t xml:space="preserve"> a </w:t>
      </w:r>
      <w:r w:rsidR="00FD15E7" w:rsidRPr="00A40935">
        <w:t xml:space="preserve">ďalšie </w:t>
      </w:r>
      <w:r w:rsidRPr="00A40935">
        <w:t>citlivé infekcie vhodné na parenterálnu antibiotickú liečbu.</w:t>
      </w:r>
    </w:p>
    <w:p w:rsidR="00AF2083" w:rsidRDefault="00AF2083" w:rsidP="0013449D">
      <w:pPr>
        <w:pStyle w:val="Styl3"/>
        <w:spacing w:after="0"/>
      </w:pPr>
    </w:p>
    <w:p w:rsidR="00385335" w:rsidRPr="00EE5624" w:rsidRDefault="00FD15E7" w:rsidP="0013449D">
      <w:pPr>
        <w:pStyle w:val="Styl3"/>
        <w:spacing w:after="0"/>
      </w:pPr>
      <w:r w:rsidRPr="00AF2083">
        <w:t>P</w:t>
      </w:r>
      <w:r w:rsidR="00385335" w:rsidRPr="00EE5624">
        <w:t>rofylaxia</w:t>
      </w:r>
    </w:p>
    <w:p w:rsidR="00385335" w:rsidRPr="00A40935" w:rsidRDefault="00FD15E7" w:rsidP="00B542F0">
      <w:pPr>
        <w:pStyle w:val="Normlndobloku"/>
      </w:pPr>
      <w:r w:rsidRPr="00A40935">
        <w:t>Profylaktické p</w:t>
      </w:r>
      <w:r w:rsidR="00385335" w:rsidRPr="00A40935">
        <w:t xml:space="preserve">odávanie </w:t>
      </w:r>
      <w:proofErr w:type="spellStart"/>
      <w:r w:rsidR="00CA49E1" w:rsidRPr="00A40935">
        <w:t>TAXIMEDu</w:t>
      </w:r>
      <w:proofErr w:type="spellEnd"/>
      <w:r w:rsidR="00385335" w:rsidRPr="00A40935">
        <w:t xml:space="preserve"> môže znížiť výskyt niektorých pooperačných infekcií</w:t>
      </w:r>
      <w:r w:rsidR="00484688" w:rsidRPr="00A40935">
        <w:t xml:space="preserve"> u </w:t>
      </w:r>
      <w:r w:rsidR="00385335" w:rsidRPr="00A40935">
        <w:t>pacientov podstupujúcich chirurgické zákroky, ktoré sú klasifikované ako kontamin</w:t>
      </w:r>
      <w:r w:rsidRPr="00A40935">
        <w:t xml:space="preserve">ujúce </w:t>
      </w:r>
      <w:r w:rsidR="00385335" w:rsidRPr="00A40935">
        <w:t>alebo potenciálne kontamin</w:t>
      </w:r>
      <w:r w:rsidRPr="00A40935">
        <w:t>ujúce</w:t>
      </w:r>
      <w:r w:rsidR="00385335" w:rsidRPr="00A40935">
        <w:t xml:space="preserve">, alebo </w:t>
      </w:r>
      <w:r w:rsidRPr="00A40935">
        <w:t xml:space="preserve">pri ostatných </w:t>
      </w:r>
      <w:r w:rsidR="00385335" w:rsidRPr="00A40935">
        <w:t xml:space="preserve">operáciách, pri ktorých by infekcie mali vážne </w:t>
      </w:r>
      <w:r w:rsidRPr="00A40935">
        <w:t>následky</w:t>
      </w:r>
      <w:r w:rsidR="00385335" w:rsidRPr="00A40935">
        <w:t>.</w:t>
      </w:r>
    </w:p>
    <w:p w:rsidR="00EE5624" w:rsidRDefault="00EE5624" w:rsidP="00B542F0">
      <w:pPr>
        <w:pStyle w:val="Normlndobloku"/>
      </w:pPr>
    </w:p>
    <w:p w:rsidR="00385335" w:rsidRPr="00CC41EF" w:rsidRDefault="00385335" w:rsidP="00760366">
      <w:pPr>
        <w:pStyle w:val="Normlndobloku"/>
      </w:pPr>
      <w:r w:rsidRPr="00EE5624">
        <w:t xml:space="preserve">Ochrana je najlepšie zabezpečená </w:t>
      </w:r>
      <w:r w:rsidR="00FD15E7" w:rsidRPr="00EE5624">
        <w:t>ak sú</w:t>
      </w:r>
      <w:r w:rsidRPr="00CC41EF">
        <w:t xml:space="preserve"> adekvátn</w:t>
      </w:r>
      <w:r w:rsidR="00FD15E7" w:rsidRPr="00CC41EF">
        <w:t>e</w:t>
      </w:r>
      <w:r w:rsidRPr="00CC41EF">
        <w:t xml:space="preserve"> lokáln</w:t>
      </w:r>
      <w:r w:rsidR="00FD15E7" w:rsidRPr="00CC41EF">
        <w:t>e</w:t>
      </w:r>
      <w:r w:rsidRPr="00CC41EF">
        <w:t xml:space="preserve"> koncentráci</w:t>
      </w:r>
      <w:r w:rsidR="00FD15E7" w:rsidRPr="00CC41EF">
        <w:t>e</w:t>
      </w:r>
      <w:r w:rsidR="00484688" w:rsidRPr="00CC41EF">
        <w:t xml:space="preserve"> v </w:t>
      </w:r>
      <w:r w:rsidRPr="00CC41EF">
        <w:t xml:space="preserve">tkanivách </w:t>
      </w:r>
      <w:r w:rsidR="00FD15E7" w:rsidRPr="00CC41EF">
        <w:t>dosiahnuté</w:t>
      </w:r>
      <w:r w:rsidR="00484688" w:rsidRPr="00CC41EF">
        <w:t xml:space="preserve"> v </w:t>
      </w:r>
      <w:r w:rsidRPr="00CC41EF">
        <w:t>čase, keď je pravdepodobná kontaminácia.</w:t>
      </w:r>
    </w:p>
    <w:p w:rsidR="00EE5624" w:rsidRDefault="00EE5624" w:rsidP="00760366">
      <w:pPr>
        <w:pStyle w:val="Normlndobloku"/>
      </w:pPr>
    </w:p>
    <w:p w:rsidR="00385335" w:rsidRDefault="00385335" w:rsidP="00760366">
      <w:pPr>
        <w:pStyle w:val="Normlndobloku"/>
      </w:pPr>
      <w:r w:rsidRPr="00EE5624">
        <w:lastRenderedPageBreak/>
        <w:t>T</w:t>
      </w:r>
      <w:r w:rsidR="00FD15E7" w:rsidRPr="00CC41EF">
        <w:t xml:space="preserve">AXIMED </w:t>
      </w:r>
      <w:r w:rsidR="00FE2A9C" w:rsidRPr="00CC41EF">
        <w:t xml:space="preserve">sa má preto </w:t>
      </w:r>
      <w:r w:rsidRPr="00CC41EF">
        <w:t>podať bezprostredne pred operáciou</w:t>
      </w:r>
      <w:r w:rsidR="00484688" w:rsidRPr="00CC41EF">
        <w:t xml:space="preserve"> a</w:t>
      </w:r>
      <w:r w:rsidR="00FD6BCC" w:rsidRPr="00CC41EF">
        <w:t> </w:t>
      </w:r>
      <w:r w:rsidR="00484688" w:rsidRPr="00CC41EF">
        <w:t>v </w:t>
      </w:r>
      <w:r w:rsidRPr="00CC41EF">
        <w:t>prípade potreby pokračovať</w:t>
      </w:r>
      <w:r w:rsidR="00FE2A9C" w:rsidRPr="00CC41EF">
        <w:t> </w:t>
      </w:r>
      <w:r w:rsidR="00CC41EF">
        <w:t xml:space="preserve">v podávaní </w:t>
      </w:r>
      <w:r w:rsidRPr="00CC41EF">
        <w:t>bezprostredne</w:t>
      </w:r>
      <w:r w:rsidR="00FE2A9C" w:rsidRPr="00CC41EF">
        <w:t xml:space="preserve"> po </w:t>
      </w:r>
      <w:r w:rsidRPr="00CC41EF">
        <w:t>oper</w:t>
      </w:r>
      <w:r w:rsidR="00FE2A9C" w:rsidRPr="00CC41EF">
        <w:t>ácii.</w:t>
      </w:r>
    </w:p>
    <w:p w:rsidR="00CC41EF" w:rsidRPr="00CC41EF" w:rsidRDefault="00CC41EF" w:rsidP="00760366">
      <w:pPr>
        <w:pStyle w:val="Normlndobloku"/>
      </w:pPr>
    </w:p>
    <w:p w:rsidR="00385335" w:rsidRPr="00CC41EF" w:rsidRDefault="00385335" w:rsidP="00760366">
      <w:pPr>
        <w:pStyle w:val="Normlndobloku"/>
      </w:pPr>
      <w:r w:rsidRPr="00CC41EF">
        <w:t>Podávanie sa zvyčajne m</w:t>
      </w:r>
      <w:r w:rsidR="00B27A3F" w:rsidRPr="00CC41EF">
        <w:t xml:space="preserve">á </w:t>
      </w:r>
      <w:r w:rsidR="00CC41EF">
        <w:t>ukončiť</w:t>
      </w:r>
      <w:r w:rsidRPr="00CC41EF">
        <w:t xml:space="preserve"> do 24</w:t>
      </w:r>
      <w:r w:rsidR="00FD6BCC" w:rsidRPr="00CC41EF">
        <w:t> </w:t>
      </w:r>
      <w:r w:rsidRPr="00CC41EF">
        <w:t>hodín, pretože pretrvávajúce užívanie akéhokoľvek antibiotika vo väčšine chirurgických zákrokov neznižuje výskyt následnej infekcie.</w:t>
      </w:r>
    </w:p>
    <w:p w:rsidR="00CC41EF" w:rsidRDefault="00CC41EF" w:rsidP="00760366">
      <w:pPr>
        <w:pStyle w:val="Normlndobloku"/>
      </w:pPr>
    </w:p>
    <w:p w:rsidR="00385335" w:rsidRDefault="00CA49E1" w:rsidP="00760366">
      <w:pPr>
        <w:pStyle w:val="Normlndobloku"/>
      </w:pPr>
      <w:r w:rsidRPr="00CC41EF">
        <w:t>TAXIMED</w:t>
      </w:r>
      <w:r w:rsidR="00385335" w:rsidRPr="00CC41EF">
        <w:t xml:space="preserve"> môže byť tiež použitý profylakticky spolu</w:t>
      </w:r>
      <w:r w:rsidR="00484688" w:rsidRPr="00CC41EF">
        <w:t xml:space="preserve"> s </w:t>
      </w:r>
      <w:r w:rsidR="00385335" w:rsidRPr="00CC41EF">
        <w:t xml:space="preserve">perorálne podávanými </w:t>
      </w:r>
      <w:proofErr w:type="spellStart"/>
      <w:r w:rsidR="00385335" w:rsidRPr="00CC41EF">
        <w:t>neabsorbovateľnými</w:t>
      </w:r>
      <w:proofErr w:type="spellEnd"/>
      <w:r w:rsidR="00385335" w:rsidRPr="00CC41EF">
        <w:t xml:space="preserve"> antibiotikami na zníženie výskytu infekcie</w:t>
      </w:r>
      <w:r w:rsidR="00484688" w:rsidRPr="00A40935">
        <w:t xml:space="preserve"> u </w:t>
      </w:r>
      <w:r w:rsidR="00385335" w:rsidRPr="00A40935">
        <w:t>vybraných pacientov podrobujúcich sa intenzívnej liečbe, ktorých trvanie pobytu</w:t>
      </w:r>
      <w:r w:rsidR="00484688" w:rsidRPr="00A40935">
        <w:t xml:space="preserve"> v </w:t>
      </w:r>
      <w:r w:rsidR="00385335" w:rsidRPr="00A40935">
        <w:t xml:space="preserve">jednotke intenzívnej starostlivosti sa predpokladá </w:t>
      </w:r>
      <w:r w:rsidR="00CC41EF">
        <w:t>na dobu dlhšiu</w:t>
      </w:r>
      <w:r w:rsidR="00385335" w:rsidRPr="00CC41EF">
        <w:t xml:space="preserve"> ako 48</w:t>
      </w:r>
      <w:r w:rsidR="00FD6BCC" w:rsidRPr="00CC41EF">
        <w:t> </w:t>
      </w:r>
      <w:r w:rsidR="00385335" w:rsidRPr="00CC41EF">
        <w:t>hodín.</w:t>
      </w:r>
    </w:p>
    <w:p w:rsidR="00CC41EF" w:rsidRPr="00CC41EF" w:rsidRDefault="00CC41EF" w:rsidP="00760366">
      <w:pPr>
        <w:pStyle w:val="Normlndobloku"/>
      </w:pPr>
    </w:p>
    <w:p w:rsidR="00D2379D" w:rsidRPr="00CC41EF" w:rsidRDefault="00D2379D">
      <w:pPr>
        <w:pStyle w:val="Styl2"/>
      </w:pPr>
      <w:r w:rsidRPr="00CC41EF">
        <w:t>Dávkovanie</w:t>
      </w:r>
      <w:r w:rsidR="00484688" w:rsidRPr="00CC41EF">
        <w:t xml:space="preserve"> a </w:t>
      </w:r>
      <w:r w:rsidRPr="00CC41EF">
        <w:t>spôsob podávania</w:t>
      </w:r>
    </w:p>
    <w:p w:rsidR="00CC41EF" w:rsidRDefault="00CC41EF" w:rsidP="00760366">
      <w:pPr>
        <w:pStyle w:val="Styl2-2"/>
      </w:pPr>
    </w:p>
    <w:p w:rsidR="0036765D" w:rsidRDefault="00D2379D" w:rsidP="00F72437">
      <w:pPr>
        <w:pStyle w:val="Styl2-2"/>
      </w:pPr>
      <w:r w:rsidRPr="00CC41EF">
        <w:t>Dávkovanie</w:t>
      </w:r>
    </w:p>
    <w:p w:rsidR="00CC41EF" w:rsidRPr="00DA3834" w:rsidRDefault="00CC41EF" w:rsidP="0013449D">
      <w:pPr>
        <w:spacing w:after="0" w:line="240" w:lineRule="auto"/>
      </w:pPr>
    </w:p>
    <w:p w:rsidR="00D832DF" w:rsidRPr="00A40935" w:rsidRDefault="006F1C8F" w:rsidP="00B542F0">
      <w:pPr>
        <w:pStyle w:val="Normlndobloku"/>
      </w:pPr>
      <w:r w:rsidRPr="00CC41EF">
        <w:t>TAXIMED</w:t>
      </w:r>
      <w:r w:rsidR="00D832DF" w:rsidRPr="00CC41EF">
        <w:t xml:space="preserve"> sa môže podávať intravenózne</w:t>
      </w:r>
      <w:r w:rsidR="008654AE" w:rsidRPr="00CC41EF">
        <w:t xml:space="preserve">, </w:t>
      </w:r>
      <w:r w:rsidR="00D832DF" w:rsidRPr="00CC41EF">
        <w:t>pomal</w:t>
      </w:r>
      <w:r w:rsidR="008654AE" w:rsidRPr="00CC41EF">
        <w:t>ou injekciou</w:t>
      </w:r>
      <w:r w:rsidR="00D832DF" w:rsidRPr="00CC41EF">
        <w:t xml:space="preserve">, infúziou alebo </w:t>
      </w:r>
      <w:proofErr w:type="spellStart"/>
      <w:r w:rsidR="00D832DF" w:rsidRPr="00CC41EF">
        <w:t>intramuskulárne</w:t>
      </w:r>
      <w:proofErr w:type="spellEnd"/>
      <w:r w:rsidR="00D832DF" w:rsidRPr="00CC41EF">
        <w:t>. Dávkovanie, spôsob</w:t>
      </w:r>
      <w:r w:rsidR="00484688" w:rsidRPr="00A40935">
        <w:t xml:space="preserve"> a </w:t>
      </w:r>
      <w:r w:rsidR="00D832DF" w:rsidRPr="00A40935">
        <w:t>frekvencia podávania sa má stanoviť podľa závažnosti infekcie, citlivosti kauzálneho organizmu</w:t>
      </w:r>
      <w:r w:rsidR="00484688" w:rsidRPr="00A40935">
        <w:t xml:space="preserve"> a </w:t>
      </w:r>
      <w:r w:rsidR="00D832DF" w:rsidRPr="00A40935">
        <w:t>stavu pacienta. Terapia môže byť zahájená predtým, ako sú známe výsledky testov citlivosti.</w:t>
      </w:r>
    </w:p>
    <w:p w:rsidR="00CC41EF" w:rsidRDefault="00CC41EF" w:rsidP="0013449D">
      <w:pPr>
        <w:pStyle w:val="Styl3"/>
        <w:spacing w:after="0"/>
        <w:rPr>
          <w:rStyle w:val="Styl3Char"/>
        </w:rPr>
      </w:pPr>
    </w:p>
    <w:p w:rsidR="00D832DF" w:rsidRPr="00CC41EF" w:rsidRDefault="008654AE" w:rsidP="0013449D">
      <w:pPr>
        <w:pStyle w:val="Styl3"/>
        <w:spacing w:after="0"/>
      </w:pPr>
      <w:r w:rsidRPr="00CC41EF">
        <w:rPr>
          <w:rStyle w:val="Styl3Char"/>
        </w:rPr>
        <w:t>D</w:t>
      </w:r>
      <w:r w:rsidR="00D832DF" w:rsidRPr="00CC41EF">
        <w:rPr>
          <w:rStyle w:val="Styl3Char"/>
        </w:rPr>
        <w:t>ospelí</w:t>
      </w:r>
    </w:p>
    <w:p w:rsidR="00D832DF" w:rsidRPr="00A40935" w:rsidRDefault="00D832DF" w:rsidP="00B542F0">
      <w:pPr>
        <w:pStyle w:val="Normlndobloku"/>
      </w:pPr>
      <w:r w:rsidRPr="00CC41EF">
        <w:t xml:space="preserve">Odporúčaná dávka pre mierne až stredne závažné infekcie je </w:t>
      </w:r>
      <w:r w:rsidR="00FD6BCC" w:rsidRPr="00EF3DAD">
        <w:t> </w:t>
      </w:r>
      <w:r w:rsidR="00CC41EF">
        <w:t xml:space="preserve">1 </w:t>
      </w:r>
      <w:r w:rsidRPr="00CC41EF">
        <w:t xml:space="preserve">g </w:t>
      </w:r>
      <w:r w:rsidR="008654AE" w:rsidRPr="00CC41EF">
        <w:t xml:space="preserve">každých </w:t>
      </w:r>
      <w:r w:rsidRPr="00CC41EF">
        <w:t>12</w:t>
      </w:r>
      <w:r w:rsidR="00FD6BCC" w:rsidRPr="00CC41EF">
        <w:t> </w:t>
      </w:r>
      <w:r w:rsidRPr="00EF3DAD">
        <w:t>hodín. Dávkovanie sa však môže meniť</w:t>
      </w:r>
      <w:r w:rsidR="00484688" w:rsidRPr="00A40935">
        <w:t xml:space="preserve"> v </w:t>
      </w:r>
      <w:r w:rsidRPr="00A40935">
        <w:t>závislosti od závažnosti infekcie, citlivosti kauzálnych organizmov</w:t>
      </w:r>
      <w:r w:rsidR="00484688" w:rsidRPr="00A40935">
        <w:t xml:space="preserve"> a </w:t>
      </w:r>
      <w:r w:rsidRPr="00A40935">
        <w:t>stavu pacienta. Terapia môže byť zahájená predtým, ako sú známe výsledky testov citlivosti.</w:t>
      </w:r>
    </w:p>
    <w:p w:rsidR="00D832DF" w:rsidRPr="00A40935" w:rsidRDefault="00D832DF" w:rsidP="00B542F0">
      <w:pPr>
        <w:pStyle w:val="Normlndobloku"/>
      </w:pPr>
      <w:r w:rsidRPr="00A40935">
        <w:t>Pri ťažkých infekciách môže byť dávka zvýšená až na 12</w:t>
      </w:r>
      <w:r w:rsidR="00FD6BCC" w:rsidRPr="00A40935">
        <w:t> </w:t>
      </w:r>
      <w:r w:rsidRPr="00A40935">
        <w:t>g denne podávaná</w:t>
      </w:r>
      <w:r w:rsidR="00484688" w:rsidRPr="00A40935">
        <w:t xml:space="preserve"> v </w:t>
      </w:r>
      <w:r w:rsidRPr="00A40935">
        <w:t xml:space="preserve">3 alebo 4 rozdelených dávkach. Pre infekcie spôsobené citlivými </w:t>
      </w:r>
      <w:proofErr w:type="spellStart"/>
      <w:r w:rsidRPr="00A40935">
        <w:rPr>
          <w:rStyle w:val="Bacil"/>
        </w:rPr>
        <w:t>Pseudomonas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 xml:space="preserve">. </w:t>
      </w:r>
      <w:r w:rsidR="008654AE" w:rsidRPr="00A40935">
        <w:t xml:space="preserve">Sa </w:t>
      </w:r>
      <w:r w:rsidRPr="00A40935">
        <w:t>odporúča denná dávka vyššia ako</w:t>
      </w:r>
      <w:r w:rsidR="00FD6BCC" w:rsidRPr="00A40935">
        <w:t xml:space="preserve"> </w:t>
      </w:r>
      <w:r w:rsidRPr="00A40935">
        <w:t>6</w:t>
      </w:r>
      <w:r w:rsidR="008654AE" w:rsidRPr="00A40935">
        <w:t> </w:t>
      </w:r>
      <w:r w:rsidRPr="00A40935">
        <w:t>g.</w:t>
      </w:r>
    </w:p>
    <w:p w:rsidR="00EF3DAD" w:rsidRDefault="00EF3DAD" w:rsidP="0013449D">
      <w:pPr>
        <w:pStyle w:val="Styl3"/>
        <w:spacing w:after="0"/>
      </w:pPr>
    </w:p>
    <w:p w:rsidR="00D832DF" w:rsidRPr="00EF3DAD" w:rsidRDefault="00D832DF" w:rsidP="0013449D">
      <w:pPr>
        <w:pStyle w:val="Styl3"/>
        <w:spacing w:after="0"/>
      </w:pPr>
      <w:r w:rsidRPr="00EF3DAD">
        <w:t xml:space="preserve">Dávkovanie </w:t>
      </w:r>
      <w:r w:rsidR="008654AE" w:rsidRPr="00EF3DAD">
        <w:t xml:space="preserve">pri </w:t>
      </w:r>
      <w:r w:rsidRPr="00EF3DAD">
        <w:t>kvapavke</w:t>
      </w:r>
    </w:p>
    <w:p w:rsidR="00D832DF" w:rsidRPr="00A40935" w:rsidRDefault="00D832DF" w:rsidP="00B542F0">
      <w:pPr>
        <w:pStyle w:val="Normlndobloku"/>
      </w:pPr>
      <w:r w:rsidRPr="00A40935">
        <w:t>Jedna injekcia</w:t>
      </w:r>
      <w:r w:rsidR="00484688" w:rsidRPr="00A40935">
        <w:t xml:space="preserve"> s</w:t>
      </w:r>
      <w:r w:rsidR="00FD6BCC" w:rsidRPr="00A40935">
        <w:t> </w:t>
      </w:r>
      <w:r w:rsidRPr="00A40935">
        <w:t>1</w:t>
      </w:r>
      <w:r w:rsidR="00FD6BCC" w:rsidRPr="00A40935">
        <w:t> </w:t>
      </w:r>
      <w:r w:rsidRPr="00A40935">
        <w:t xml:space="preserve">g sa môže podávať </w:t>
      </w:r>
      <w:proofErr w:type="spellStart"/>
      <w:r w:rsidRPr="00A40935">
        <w:t>intramuskulárne</w:t>
      </w:r>
      <w:proofErr w:type="spellEnd"/>
      <w:r w:rsidRPr="00A40935">
        <w:t xml:space="preserve"> alebo intravenózne.</w:t>
      </w:r>
    </w:p>
    <w:p w:rsidR="00EF3DAD" w:rsidRDefault="00EF3DAD" w:rsidP="0013449D">
      <w:pPr>
        <w:pStyle w:val="Styl3"/>
        <w:spacing w:after="0"/>
      </w:pPr>
    </w:p>
    <w:p w:rsidR="00D832DF" w:rsidRPr="00EF3DAD" w:rsidRDefault="008654AE" w:rsidP="0013449D">
      <w:pPr>
        <w:pStyle w:val="Styl3"/>
        <w:spacing w:after="0"/>
      </w:pPr>
      <w:r w:rsidRPr="00EF3DAD">
        <w:t>D</w:t>
      </w:r>
      <w:r w:rsidR="00D832DF" w:rsidRPr="00EF3DAD">
        <w:t>eti</w:t>
      </w:r>
    </w:p>
    <w:p w:rsidR="00D832DF" w:rsidRPr="00A40935" w:rsidRDefault="00D832DF" w:rsidP="00B542F0">
      <w:pPr>
        <w:pStyle w:val="Normlndobloku"/>
      </w:pPr>
      <w:r w:rsidRPr="00A40935">
        <w:t>Zvyčajný rozsah dávok je 100</w:t>
      </w:r>
      <w:r w:rsidR="009641F2" w:rsidRPr="00A40935">
        <w:t> – </w:t>
      </w:r>
      <w:r w:rsidRPr="00A40935">
        <w:t>150</w:t>
      </w:r>
      <w:r w:rsidR="00FD6BCC" w:rsidRPr="00A40935">
        <w:t> </w:t>
      </w:r>
      <w:r w:rsidRPr="00A40935">
        <w:t>mg/kg/deň</w:t>
      </w:r>
      <w:r w:rsidR="00484688" w:rsidRPr="00A40935">
        <w:t xml:space="preserve"> v </w:t>
      </w:r>
      <w:r w:rsidRPr="00A40935">
        <w:t>2 až 4 rozdelených dávkach. Pri veľmi závažných infekciách však môžu byť potrebné dávky až do 200</w:t>
      </w:r>
      <w:r w:rsidR="00FD6BCC" w:rsidRPr="00A40935">
        <w:t xml:space="preserve"> </w:t>
      </w:r>
      <w:r w:rsidRPr="00A40935">
        <w:t>mg/kg/deň.</w:t>
      </w:r>
    </w:p>
    <w:p w:rsidR="00EF3DAD" w:rsidRDefault="00EF3DAD" w:rsidP="0013449D">
      <w:pPr>
        <w:pStyle w:val="Styl3"/>
        <w:spacing w:after="0"/>
      </w:pPr>
    </w:p>
    <w:p w:rsidR="00D832DF" w:rsidRPr="00EF3DAD" w:rsidRDefault="008654AE" w:rsidP="0013449D">
      <w:pPr>
        <w:pStyle w:val="Styl3"/>
        <w:spacing w:after="0"/>
      </w:pPr>
      <w:r w:rsidRPr="00EF3DAD">
        <w:t>Novorodenci</w:t>
      </w:r>
    </w:p>
    <w:p w:rsidR="00D832DF" w:rsidRPr="00A40935" w:rsidRDefault="00D832DF" w:rsidP="00B542F0">
      <w:pPr>
        <w:pStyle w:val="Normlndobloku"/>
      </w:pPr>
      <w:r w:rsidRPr="00A40935">
        <w:t>Odporúčané dávkovanie je 50</w:t>
      </w:r>
      <w:r w:rsidR="00FD6BCC" w:rsidRPr="00A40935">
        <w:t> </w:t>
      </w:r>
      <w:r w:rsidRPr="00A40935">
        <w:t>mg/kg/deň</w:t>
      </w:r>
      <w:r w:rsidR="00484688" w:rsidRPr="00A40935">
        <w:t xml:space="preserve"> v </w:t>
      </w:r>
      <w:r w:rsidRPr="00A40935">
        <w:t>2 až 4 rozdelených dávkach. Pri závažných infekciách boli podané 150</w:t>
      </w:r>
      <w:r w:rsidR="009641F2" w:rsidRPr="00A40935">
        <w:t> – </w:t>
      </w:r>
      <w:r w:rsidRPr="00A40935">
        <w:t>200 mg/kg/deň</w:t>
      </w:r>
      <w:r w:rsidR="00484688" w:rsidRPr="00A40935">
        <w:t xml:space="preserve"> v </w:t>
      </w:r>
      <w:r w:rsidRPr="00A40935">
        <w:t>rozdelených dávkach.</w:t>
      </w:r>
    </w:p>
    <w:p w:rsidR="00EF3DAD" w:rsidRDefault="00EF3DAD" w:rsidP="0013449D">
      <w:pPr>
        <w:pStyle w:val="Styl3"/>
        <w:spacing w:after="0"/>
      </w:pPr>
    </w:p>
    <w:p w:rsidR="00D832DF" w:rsidRPr="00EF3DAD" w:rsidRDefault="00D832DF" w:rsidP="0013449D">
      <w:pPr>
        <w:pStyle w:val="Styl3"/>
        <w:spacing w:after="0"/>
      </w:pPr>
      <w:r w:rsidRPr="00EF3DAD">
        <w:t>Dá</w:t>
      </w:r>
      <w:r w:rsidR="004A0A29" w:rsidRPr="00EF3DAD">
        <w:t>vkovanie pri po</w:t>
      </w:r>
      <w:r w:rsidR="00EF3DAD">
        <w:t>ruche funkcie</w:t>
      </w:r>
      <w:r w:rsidR="004A0A29" w:rsidRPr="00EF3DAD">
        <w:t xml:space="preserve"> obličiek</w:t>
      </w:r>
    </w:p>
    <w:p w:rsidR="00D832DF" w:rsidRPr="00A40935" w:rsidRDefault="00D832DF" w:rsidP="00B542F0">
      <w:pPr>
        <w:pStyle w:val="Normlndobloku"/>
      </w:pPr>
      <w:r w:rsidRPr="00EF3DAD">
        <w:t>U</w:t>
      </w:r>
      <w:r w:rsidR="00FD6BCC" w:rsidRPr="00EF3DAD">
        <w:t> </w:t>
      </w:r>
      <w:r w:rsidRPr="00EF3DAD">
        <w:t>pacientov</w:t>
      </w:r>
      <w:r w:rsidR="00484688" w:rsidRPr="00EF3DAD">
        <w:t xml:space="preserve"> s </w:t>
      </w:r>
      <w:proofErr w:type="spellStart"/>
      <w:r w:rsidRPr="00EF3DAD">
        <w:t>klírensom</w:t>
      </w:r>
      <w:proofErr w:type="spellEnd"/>
      <w:r w:rsidRPr="00EF3DAD">
        <w:t xml:space="preserve"> </w:t>
      </w:r>
      <w:proofErr w:type="spellStart"/>
      <w:r w:rsidRPr="00EF3DAD">
        <w:t>kreatinínu</w:t>
      </w:r>
      <w:proofErr w:type="spellEnd"/>
      <w:r w:rsidRPr="00EF3DAD">
        <w:t xml:space="preserve"> menej ako 10</w:t>
      </w:r>
      <w:r w:rsidR="00FD6BCC" w:rsidRPr="00EF3DAD">
        <w:t> </w:t>
      </w:r>
      <w:r w:rsidRPr="00EF3DAD">
        <w:t>ml/min</w:t>
      </w:r>
      <w:r w:rsidR="004A0A29" w:rsidRPr="00EF3DAD">
        <w:t xml:space="preserve"> </w:t>
      </w:r>
      <w:r w:rsidRPr="00EF3DAD">
        <w:t xml:space="preserve">sa po </w:t>
      </w:r>
      <w:r w:rsidR="00EF3DAD">
        <w:t>za</w:t>
      </w:r>
      <w:r w:rsidRPr="00EF3DAD">
        <w:t xml:space="preserve">čiatočnej normálnej dávke udržiavacie dávky musia znížiť na </w:t>
      </w:r>
      <w:r w:rsidRPr="00A40935">
        <w:t>polovicu bežnej dávky bez zmeny intervalu dávkovania.</w:t>
      </w:r>
    </w:p>
    <w:p w:rsidR="00D832DF" w:rsidRPr="00A40935" w:rsidRDefault="00D832DF" w:rsidP="00B542F0">
      <w:pPr>
        <w:pStyle w:val="Normlndobloku"/>
      </w:pPr>
      <w:r w:rsidRPr="00A40935">
        <w:t>U</w:t>
      </w:r>
      <w:r w:rsidR="00FD6BCC" w:rsidRPr="00A40935">
        <w:t> </w:t>
      </w:r>
      <w:r w:rsidRPr="00A40935">
        <w:t>pacientov</w:t>
      </w:r>
      <w:r w:rsidR="00484688" w:rsidRPr="00A40935">
        <w:t xml:space="preserve"> s </w:t>
      </w:r>
      <w:r w:rsidRPr="00A40935">
        <w:t xml:space="preserve">hemodialýzou alebo </w:t>
      </w:r>
      <w:proofErr w:type="spellStart"/>
      <w:r w:rsidRPr="00A40935">
        <w:t>peritoneálnou</w:t>
      </w:r>
      <w:proofErr w:type="spellEnd"/>
      <w:r w:rsidRPr="00A40935">
        <w:t xml:space="preserve"> dialýzou: 1</w:t>
      </w:r>
      <w:r w:rsidR="00FD6BCC" w:rsidRPr="00A40935">
        <w:t> </w:t>
      </w:r>
      <w:r w:rsidRPr="00A40935">
        <w:t>až 2</w:t>
      </w:r>
      <w:r w:rsidR="00FD6BCC" w:rsidRPr="00A40935">
        <w:t> </w:t>
      </w:r>
      <w:r w:rsidRPr="00A40935">
        <w:t>g denne,</w:t>
      </w:r>
      <w:r w:rsidR="00484688" w:rsidRPr="00A40935">
        <w:t xml:space="preserve"> v </w:t>
      </w:r>
      <w:r w:rsidRPr="00A40935">
        <w:t>závislosti od závažnosti infekcie;</w:t>
      </w:r>
      <w:r w:rsidR="00484688" w:rsidRPr="00A40935">
        <w:t xml:space="preserve"> v </w:t>
      </w:r>
      <w:r w:rsidRPr="00A40935">
        <w:t xml:space="preserve">deň hemodialýzy sa </w:t>
      </w:r>
      <w:proofErr w:type="spellStart"/>
      <w:r w:rsidRPr="00A40935">
        <w:t>cefotax</w:t>
      </w:r>
      <w:r w:rsidR="00605882" w:rsidRPr="00A40935">
        <w:t>í</w:t>
      </w:r>
      <w:r w:rsidRPr="00A40935">
        <w:t>m</w:t>
      </w:r>
      <w:proofErr w:type="spellEnd"/>
      <w:r w:rsidRPr="00A40935">
        <w:t xml:space="preserve"> musí podávať po dialýze.</w:t>
      </w:r>
    </w:p>
    <w:p w:rsidR="00EF3DAD" w:rsidRDefault="00EF3DAD" w:rsidP="00760366">
      <w:pPr>
        <w:pStyle w:val="Styl2-2"/>
      </w:pPr>
    </w:p>
    <w:p w:rsidR="00D2379D" w:rsidRPr="00EF3DAD" w:rsidRDefault="00D2379D" w:rsidP="00F72437">
      <w:pPr>
        <w:pStyle w:val="Styl2-2"/>
      </w:pPr>
      <w:r w:rsidRPr="00EF3DAD">
        <w:t>Spôsob pod</w:t>
      </w:r>
      <w:r w:rsidR="0036765D" w:rsidRPr="00EF3DAD">
        <w:t>áva</w:t>
      </w:r>
      <w:r w:rsidRPr="00EF3DAD">
        <w:t>nia</w:t>
      </w:r>
    </w:p>
    <w:p w:rsidR="006F1C8F" w:rsidRPr="00A40935" w:rsidRDefault="006F1C8F" w:rsidP="00B542F0">
      <w:pPr>
        <w:pStyle w:val="Normlndobloku"/>
      </w:pPr>
      <w:r w:rsidRPr="00A40935">
        <w:t xml:space="preserve">TAXIMED sa môže podávať intravenózne, pomalou injekciou, infúziou alebo </w:t>
      </w:r>
      <w:proofErr w:type="spellStart"/>
      <w:r w:rsidRPr="00A40935">
        <w:t>intramuskulárne</w:t>
      </w:r>
      <w:proofErr w:type="spellEnd"/>
      <w:r w:rsidRPr="00A40935">
        <w:t>.</w:t>
      </w:r>
    </w:p>
    <w:p w:rsidR="00D2379D" w:rsidRPr="00EF3DAD" w:rsidRDefault="00D2379D" w:rsidP="00B542F0">
      <w:pPr>
        <w:pStyle w:val="Normlndobloku"/>
      </w:pPr>
      <w:r w:rsidRPr="00A40935">
        <w:t>Pokyny na rekonštitúciu</w:t>
      </w:r>
      <w:r w:rsidR="00484688" w:rsidRPr="00A40935">
        <w:t xml:space="preserve"> a </w:t>
      </w:r>
      <w:r w:rsidRPr="00A40935">
        <w:t>aplikáciu lieku sú uvedené</w:t>
      </w:r>
      <w:r w:rsidR="00484688" w:rsidRPr="00A40935">
        <w:t xml:space="preserve"> v </w:t>
      </w:r>
      <w:r w:rsidRPr="00A40935">
        <w:t>časti 6.6.</w:t>
      </w:r>
      <w:r w:rsidR="00EF3DAD">
        <w:t>,</w:t>
      </w:r>
      <w:r w:rsidRPr="00EF3DAD">
        <w:t xml:space="preserve"> </w:t>
      </w:r>
      <w:r w:rsidR="00EF3DAD">
        <w:t>i</w:t>
      </w:r>
      <w:r w:rsidRPr="00EF3DAD">
        <w:t xml:space="preserve">nkompatibility pozri </w:t>
      </w:r>
      <w:r w:rsidR="00EF3DAD">
        <w:t xml:space="preserve">v </w:t>
      </w:r>
      <w:r w:rsidRPr="00EF3DAD">
        <w:t>čas</w:t>
      </w:r>
      <w:r w:rsidR="00EF3DAD">
        <w:t>ti</w:t>
      </w:r>
      <w:r w:rsidRPr="00EF3DAD">
        <w:t xml:space="preserve"> 6.2.</w:t>
      </w:r>
    </w:p>
    <w:p w:rsidR="00D2379D" w:rsidRDefault="00EF3DAD" w:rsidP="00B542F0">
      <w:pPr>
        <w:pStyle w:val="Normlndobloku"/>
      </w:pPr>
      <w:r>
        <w:t>Po uvedení lieku na trh</w:t>
      </w:r>
      <w:r w:rsidR="00D2379D" w:rsidRPr="00EF3DAD">
        <w:t xml:space="preserve"> bol hlásený výskyt niekoľkých prípadov potenciálne život ohrozujúcich </w:t>
      </w:r>
      <w:proofErr w:type="spellStart"/>
      <w:r w:rsidR="00D2379D" w:rsidRPr="00EF3DAD">
        <w:t>arytmií</w:t>
      </w:r>
      <w:proofErr w:type="spellEnd"/>
      <w:r w:rsidR="00484688" w:rsidRPr="00EF3DAD">
        <w:t xml:space="preserve"> u </w:t>
      </w:r>
      <w:r w:rsidR="00D2379D" w:rsidRPr="00EF3DAD">
        <w:t xml:space="preserve">pacientov, ktorým bol rýchlo podaný </w:t>
      </w:r>
      <w:proofErr w:type="spellStart"/>
      <w:r w:rsidR="00D2379D" w:rsidRPr="00EF3DAD">
        <w:t>cefotaxím</w:t>
      </w:r>
      <w:proofErr w:type="spellEnd"/>
      <w:r w:rsidR="00D2379D" w:rsidRPr="00EF3DAD">
        <w:t xml:space="preserve"> cez centrálny žilový katéter.</w:t>
      </w:r>
    </w:p>
    <w:p w:rsidR="00EF3DAD" w:rsidRPr="00EF3DAD" w:rsidRDefault="00EF3DAD" w:rsidP="00760366">
      <w:pPr>
        <w:pStyle w:val="Normlndobloku"/>
      </w:pPr>
    </w:p>
    <w:p w:rsidR="00D2379D" w:rsidRDefault="00D2379D">
      <w:pPr>
        <w:pStyle w:val="Styl2"/>
      </w:pPr>
      <w:r w:rsidRPr="00EF3DAD">
        <w:t>Kontraindikácie</w:t>
      </w:r>
    </w:p>
    <w:p w:rsidR="00B74630" w:rsidRPr="00EF3DAD" w:rsidRDefault="00B74630" w:rsidP="00760366">
      <w:pPr>
        <w:pStyle w:val="Styl2"/>
        <w:numPr>
          <w:ilvl w:val="0"/>
          <w:numId w:val="0"/>
        </w:numPr>
      </w:pPr>
    </w:p>
    <w:p w:rsidR="00D2379D" w:rsidRPr="00EF3DAD" w:rsidRDefault="00D2379D" w:rsidP="00B542F0">
      <w:pPr>
        <w:pStyle w:val="Normlndoblokusodrkami"/>
      </w:pPr>
      <w:r w:rsidRPr="00EF3DAD">
        <w:t>Precitlivenosť na cefotaxím</w:t>
      </w:r>
      <w:r w:rsidR="00484688" w:rsidRPr="00EF3DAD">
        <w:t xml:space="preserve"> a </w:t>
      </w:r>
      <w:r w:rsidRPr="00EF3DAD">
        <w:t>na iné antibiotiká</w:t>
      </w:r>
    </w:p>
    <w:p w:rsidR="00D2379D" w:rsidRPr="00A40935" w:rsidRDefault="00D2379D" w:rsidP="00760366">
      <w:pPr>
        <w:pStyle w:val="Normlndoblokusodrkami"/>
      </w:pPr>
      <w:r w:rsidRPr="00B74630">
        <w:t>Anafylaktické reakcie na penicilín</w:t>
      </w:r>
      <w:r w:rsidR="00484688" w:rsidRPr="00A40935">
        <w:t xml:space="preserve"> v </w:t>
      </w:r>
      <w:r w:rsidRPr="00A40935">
        <w:t>anamnéze</w:t>
      </w:r>
    </w:p>
    <w:p w:rsidR="00D2379D" w:rsidRDefault="00D2379D" w:rsidP="00760366">
      <w:pPr>
        <w:pStyle w:val="Normlndoblokusodrkami"/>
      </w:pPr>
      <w:r w:rsidRPr="00A40935">
        <w:lastRenderedPageBreak/>
        <w:t>Skrížené alergické reakcie sa môžu vyskytnúť medzi penicilínmi</w:t>
      </w:r>
      <w:r w:rsidR="00484688" w:rsidRPr="00A40935">
        <w:t xml:space="preserve"> a </w:t>
      </w:r>
      <w:r w:rsidRPr="00A40935">
        <w:t>cefalosporínmi (pozri časť 4.4)</w:t>
      </w:r>
    </w:p>
    <w:p w:rsidR="00B74630" w:rsidRPr="00B74630" w:rsidRDefault="00B74630" w:rsidP="0013449D">
      <w:pPr>
        <w:pStyle w:val="Normlndobloku"/>
      </w:pPr>
    </w:p>
    <w:p w:rsidR="009D5494" w:rsidRPr="00A40935" w:rsidRDefault="00D2379D" w:rsidP="0013449D">
      <w:pPr>
        <w:pStyle w:val="Styl3"/>
        <w:spacing w:after="0"/>
      </w:pPr>
      <w:r w:rsidRPr="00B74630">
        <w:t xml:space="preserve">TAXIMED rekonštituovaný </w:t>
      </w:r>
      <w:proofErr w:type="spellStart"/>
      <w:r w:rsidRPr="00B74630">
        <w:t>lidokaínom</w:t>
      </w:r>
      <w:proofErr w:type="spellEnd"/>
      <w:r w:rsidRPr="00B74630">
        <w:t xml:space="preserve"> je kontraindikovaný</w:t>
      </w:r>
      <w:r w:rsidR="009D5494" w:rsidRPr="00A40935">
        <w:t>:</w:t>
      </w:r>
    </w:p>
    <w:p w:rsidR="00D2379D" w:rsidRPr="00A40935" w:rsidRDefault="00D2379D" w:rsidP="00B542F0">
      <w:pPr>
        <w:pStyle w:val="Normlndoblokusodrkami"/>
      </w:pPr>
      <w:r w:rsidRPr="00A40935">
        <w:t>u</w:t>
      </w:r>
      <w:r w:rsidR="009D5494" w:rsidRPr="00A40935">
        <w:t> </w:t>
      </w:r>
      <w:r w:rsidRPr="00A40935">
        <w:t>pacientov</w:t>
      </w:r>
      <w:r w:rsidR="009D5494" w:rsidRPr="00A40935">
        <w:t xml:space="preserve"> </w:t>
      </w:r>
      <w:r w:rsidRPr="00A40935">
        <w:t>s precitlivenosťou na lidokaín alebo iné lokálne anestetiká amidového typu</w:t>
      </w:r>
      <w:r w:rsidR="00484688" w:rsidRPr="00A40935">
        <w:t xml:space="preserve"> v </w:t>
      </w:r>
      <w:r w:rsidRPr="00A40935">
        <w:t>anamnéze</w:t>
      </w:r>
    </w:p>
    <w:p w:rsidR="00D2379D" w:rsidRPr="00A40935" w:rsidRDefault="009D5494" w:rsidP="00760366">
      <w:pPr>
        <w:pStyle w:val="Normlndoblokusodrkami"/>
      </w:pPr>
      <w:r w:rsidRPr="00A40935">
        <w:t>u</w:t>
      </w:r>
      <w:r w:rsidR="00D2379D" w:rsidRPr="00A40935">
        <w:t> pacientov</w:t>
      </w:r>
      <w:r w:rsidR="00484688" w:rsidRPr="00A40935">
        <w:t xml:space="preserve"> s </w:t>
      </w:r>
      <w:r w:rsidR="00D2379D" w:rsidRPr="00A40935">
        <w:t>nestimulovaným srdcovým blokom (AV blok)</w:t>
      </w:r>
    </w:p>
    <w:p w:rsidR="00D2379D" w:rsidRPr="00B74630" w:rsidRDefault="009D5494" w:rsidP="00760366">
      <w:pPr>
        <w:pStyle w:val="Normlndoblokusodrkami"/>
      </w:pPr>
      <w:r w:rsidRPr="00A40935">
        <w:t>u</w:t>
      </w:r>
      <w:r w:rsidR="00D2379D" w:rsidRPr="00A40935">
        <w:t> pacientov</w:t>
      </w:r>
      <w:r w:rsidR="00484688" w:rsidRPr="00A40935">
        <w:t xml:space="preserve"> s </w:t>
      </w:r>
      <w:r w:rsidR="00D2379D" w:rsidRPr="00A40935">
        <w:t>ťažkým srdcovým zlyh</w:t>
      </w:r>
      <w:r w:rsidR="00B74630">
        <w:t>áva</w:t>
      </w:r>
      <w:r w:rsidR="00D2379D" w:rsidRPr="00B74630">
        <w:t>ním</w:t>
      </w:r>
    </w:p>
    <w:p w:rsidR="00D2379D" w:rsidRPr="00B74630" w:rsidRDefault="00D2379D" w:rsidP="00760366">
      <w:pPr>
        <w:pStyle w:val="Normlndoblokusodrkami"/>
      </w:pPr>
      <w:r w:rsidRPr="00B74630">
        <w:t>pri intravenóznom podaní</w:t>
      </w:r>
    </w:p>
    <w:p w:rsidR="00D2379D" w:rsidRDefault="00D2379D" w:rsidP="00760366">
      <w:pPr>
        <w:pStyle w:val="Normlndoblokusodrkami"/>
      </w:pPr>
      <w:r w:rsidRPr="00A40935">
        <w:t>u detí do 30 mesiacov veku</w:t>
      </w:r>
    </w:p>
    <w:p w:rsidR="00B74630" w:rsidRPr="00B74630" w:rsidRDefault="00B74630" w:rsidP="0013449D">
      <w:pPr>
        <w:pStyle w:val="Normlndobloku"/>
      </w:pPr>
    </w:p>
    <w:p w:rsidR="00D2379D" w:rsidRPr="00B74630" w:rsidRDefault="00D2379D">
      <w:pPr>
        <w:pStyle w:val="Styl2"/>
      </w:pPr>
      <w:r w:rsidRPr="00B74630">
        <w:t>Osobitné upozornenia</w:t>
      </w:r>
      <w:r w:rsidR="00484688" w:rsidRPr="00B74630">
        <w:t xml:space="preserve"> a </w:t>
      </w:r>
      <w:r w:rsidRPr="00B74630">
        <w:t>opatrenia pri používaní</w:t>
      </w:r>
    </w:p>
    <w:p w:rsidR="00B74630" w:rsidRDefault="00B74630" w:rsidP="00B542F0">
      <w:pPr>
        <w:pStyle w:val="Normlndobloku"/>
      </w:pPr>
    </w:p>
    <w:p w:rsidR="00D2379D" w:rsidRPr="00B74630" w:rsidRDefault="00D2379D" w:rsidP="00B542F0">
      <w:pPr>
        <w:pStyle w:val="Normlndobloku"/>
      </w:pPr>
      <w:r w:rsidRPr="00B74630">
        <w:t xml:space="preserve">Rovnako ako pri iných antibiotikách sa môže použitie </w:t>
      </w:r>
      <w:r w:rsidR="00E04D43" w:rsidRPr="00B74630">
        <w:t>TAXIMED</w:t>
      </w:r>
      <w:r w:rsidR="00130FCE">
        <w:t>U</w:t>
      </w:r>
      <w:r w:rsidRPr="00B74630">
        <w:t>, zvlášť ak je dlhodobé, prejaviť pre</w:t>
      </w:r>
      <w:r w:rsidR="00B74630">
        <w:t>množením</w:t>
      </w:r>
      <w:r w:rsidRPr="00B74630">
        <w:t xml:space="preserve"> necitlivých mikroorganizmov. Preto je nevyhnutné časté hodnotenie pacientovho stavu. Ak sa počas liečby vyskytne </w:t>
      </w:r>
      <w:proofErr w:type="spellStart"/>
      <w:r w:rsidRPr="00B74630">
        <w:t>superinfekcia</w:t>
      </w:r>
      <w:proofErr w:type="spellEnd"/>
      <w:r w:rsidRPr="00B74630">
        <w:t>, je potrebné prijať vhodné opatrenia</w:t>
      </w:r>
      <w:r w:rsidR="00C85D65" w:rsidRPr="00B74630">
        <w:t xml:space="preserve"> (</w:t>
      </w:r>
      <w:r w:rsidR="008F2800" w:rsidRPr="00B74630">
        <w:t>pozri</w:t>
      </w:r>
      <w:r w:rsidR="00C85D65" w:rsidRPr="00B74630">
        <w:t xml:space="preserve"> </w:t>
      </w:r>
      <w:r w:rsidR="008F2800" w:rsidRPr="00B74630">
        <w:t>časť</w:t>
      </w:r>
      <w:r w:rsidR="00C85D65" w:rsidRPr="00B74630">
        <w:t xml:space="preserve"> 4.8)</w:t>
      </w:r>
      <w:r w:rsidRPr="00B74630">
        <w:t>.</w:t>
      </w:r>
    </w:p>
    <w:p w:rsidR="00B74630" w:rsidRDefault="00B74630" w:rsidP="0013449D">
      <w:pPr>
        <w:pStyle w:val="Styl3"/>
        <w:spacing w:after="0"/>
      </w:pPr>
    </w:p>
    <w:p w:rsidR="00D2379D" w:rsidRPr="00B74630" w:rsidRDefault="00D2379D" w:rsidP="0013449D">
      <w:pPr>
        <w:pStyle w:val="Styl3"/>
        <w:spacing w:after="0"/>
      </w:pPr>
      <w:proofErr w:type="spellStart"/>
      <w:r w:rsidRPr="00B74630">
        <w:t>Anafylaktické</w:t>
      </w:r>
      <w:proofErr w:type="spellEnd"/>
      <w:r w:rsidRPr="00B74630">
        <w:t xml:space="preserve"> reakcie</w:t>
      </w:r>
    </w:p>
    <w:p w:rsidR="00D2379D" w:rsidRDefault="00D2379D" w:rsidP="00B542F0">
      <w:pPr>
        <w:pStyle w:val="Normlndobloku"/>
      </w:pPr>
      <w:r w:rsidRPr="00A40935">
        <w:t xml:space="preserve">U pacientov liečených </w:t>
      </w:r>
      <w:proofErr w:type="spellStart"/>
      <w:r w:rsidRPr="00A40935">
        <w:t>cefotaxímom</w:t>
      </w:r>
      <w:proofErr w:type="spellEnd"/>
      <w:r w:rsidRPr="00A40935">
        <w:t xml:space="preserve"> boli hlásené závažné </w:t>
      </w:r>
      <w:proofErr w:type="spellStart"/>
      <w:r w:rsidRPr="00A40935">
        <w:t>anafylaktické</w:t>
      </w:r>
      <w:proofErr w:type="spellEnd"/>
      <w:r w:rsidRPr="00A40935">
        <w:t xml:space="preserve"> reakcie vrátane fatálnej </w:t>
      </w:r>
      <w:proofErr w:type="spellStart"/>
      <w:r w:rsidRPr="00A40935">
        <w:t>hypersenzitívnej</w:t>
      </w:r>
      <w:proofErr w:type="spellEnd"/>
      <w:r w:rsidRPr="00A40935">
        <w:t xml:space="preserve"> reakcie (pozri časti 4.3</w:t>
      </w:r>
      <w:r w:rsidR="00484688" w:rsidRPr="00A40935">
        <w:t xml:space="preserve"> a </w:t>
      </w:r>
      <w:r w:rsidRPr="00A40935">
        <w:t>4.8).</w:t>
      </w:r>
    </w:p>
    <w:p w:rsidR="00B74630" w:rsidRPr="00B74630" w:rsidRDefault="00B74630" w:rsidP="00B542F0">
      <w:pPr>
        <w:pStyle w:val="Normlndobloku"/>
      </w:pPr>
    </w:p>
    <w:p w:rsidR="00D2379D" w:rsidRPr="00B74630" w:rsidRDefault="00D2379D" w:rsidP="00760366">
      <w:pPr>
        <w:pStyle w:val="Normlndobloku"/>
      </w:pPr>
      <w:r w:rsidRPr="00B74630">
        <w:t xml:space="preserve">Ak sa </w:t>
      </w:r>
      <w:proofErr w:type="spellStart"/>
      <w:r w:rsidRPr="00B74630">
        <w:t>hypersenzitívna</w:t>
      </w:r>
      <w:proofErr w:type="spellEnd"/>
      <w:r w:rsidRPr="00B74630">
        <w:t xml:space="preserve"> reakcia vyskytne, liečba musí byť ukončená.</w:t>
      </w:r>
    </w:p>
    <w:p w:rsidR="00DA3834" w:rsidRDefault="00DA3834" w:rsidP="00760366">
      <w:pPr>
        <w:pStyle w:val="Normlndobloku"/>
      </w:pPr>
    </w:p>
    <w:p w:rsidR="00D2379D" w:rsidRDefault="00D2379D" w:rsidP="00760366">
      <w:pPr>
        <w:pStyle w:val="Normlndobloku"/>
      </w:pPr>
      <w:r w:rsidRPr="00B74630">
        <w:t xml:space="preserve">Podávanie </w:t>
      </w:r>
      <w:r w:rsidR="00F46199" w:rsidRPr="00B74630">
        <w:t>TAXIMED</w:t>
      </w:r>
      <w:r w:rsidR="00130FCE">
        <w:t>U</w:t>
      </w:r>
      <w:r w:rsidR="00F46199" w:rsidRPr="00B74630">
        <w:t xml:space="preserve"> </w:t>
      </w:r>
      <w:r w:rsidRPr="00B74630">
        <w:t>je prísne kontraindikované</w:t>
      </w:r>
      <w:r w:rsidR="00484688" w:rsidRPr="00A40935">
        <w:t xml:space="preserve"> u </w:t>
      </w:r>
      <w:r w:rsidRPr="00A40935">
        <w:t xml:space="preserve">pacientov so stredne ťažkou precitlivenosťou na </w:t>
      </w:r>
      <w:proofErr w:type="spellStart"/>
      <w:r w:rsidRPr="00A40935">
        <w:t>cefalosporíny</w:t>
      </w:r>
      <w:proofErr w:type="spellEnd"/>
      <w:r w:rsidR="00484688" w:rsidRPr="00A40935">
        <w:t xml:space="preserve"> v </w:t>
      </w:r>
      <w:r w:rsidRPr="00A40935">
        <w:t>anamnéze (pozri časť 4.3).</w:t>
      </w:r>
    </w:p>
    <w:p w:rsidR="00DA3834" w:rsidRPr="00A40935" w:rsidRDefault="00DA3834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>Vzhľadom</w:t>
      </w:r>
      <w:r w:rsidR="00484688" w:rsidRPr="00A40935">
        <w:t xml:space="preserve"> k </w:t>
      </w:r>
      <w:r w:rsidRPr="00A40935">
        <w:t>tomu, že existuje skrížená alergia medzi penicilínmi</w:t>
      </w:r>
      <w:r w:rsidR="00484688" w:rsidRPr="00A40935">
        <w:t xml:space="preserve"> a </w:t>
      </w:r>
      <w:proofErr w:type="spellStart"/>
      <w:r w:rsidRPr="00A40935">
        <w:t>cefalosporínmi</w:t>
      </w:r>
      <w:proofErr w:type="spellEnd"/>
      <w:r w:rsidRPr="00A40935">
        <w:t xml:space="preserve">, musí byť podávanie </w:t>
      </w:r>
      <w:proofErr w:type="spellStart"/>
      <w:r w:rsidRPr="00A40935">
        <w:t>cefalosporínov</w:t>
      </w:r>
      <w:proofErr w:type="spellEnd"/>
      <w:r w:rsidRPr="00A40935">
        <w:t xml:space="preserve"> starostlivo zvážené hlavne</w:t>
      </w:r>
      <w:r w:rsidR="00484688" w:rsidRPr="00A40935">
        <w:t xml:space="preserve"> u </w:t>
      </w:r>
      <w:r w:rsidRPr="00A40935">
        <w:t>pacientov citlivých na penicilín.</w:t>
      </w:r>
    </w:p>
    <w:p w:rsidR="00DA3834" w:rsidRDefault="00DA3834" w:rsidP="0013449D">
      <w:pPr>
        <w:pStyle w:val="Styl3"/>
        <w:spacing w:after="0"/>
      </w:pPr>
    </w:p>
    <w:p w:rsidR="00D2379D" w:rsidRPr="00A40935" w:rsidRDefault="00D2379D" w:rsidP="0013449D">
      <w:pPr>
        <w:pStyle w:val="Styl3"/>
        <w:spacing w:after="0"/>
      </w:pPr>
      <w:r w:rsidRPr="00A40935">
        <w:t>Ťažk</w:t>
      </w:r>
      <w:r w:rsidR="00E118A7" w:rsidRPr="00A40935">
        <w:t>é</w:t>
      </w:r>
      <w:r w:rsidRPr="00A40935">
        <w:t xml:space="preserve"> </w:t>
      </w:r>
      <w:proofErr w:type="spellStart"/>
      <w:r w:rsidRPr="00A40935">
        <w:t>bulózn</w:t>
      </w:r>
      <w:r w:rsidR="00E118A7" w:rsidRPr="00A40935">
        <w:t>e</w:t>
      </w:r>
      <w:proofErr w:type="spellEnd"/>
      <w:r w:rsidRPr="00A40935">
        <w:t xml:space="preserve"> reakci</w:t>
      </w:r>
      <w:r w:rsidR="00E118A7" w:rsidRPr="00A40935">
        <w:t>e</w:t>
      </w:r>
    </w:p>
    <w:p w:rsidR="00D2379D" w:rsidRDefault="00D2379D" w:rsidP="00B542F0">
      <w:pPr>
        <w:pStyle w:val="Normlndobloku"/>
      </w:pPr>
      <w:r w:rsidRPr="00A40935">
        <w:t xml:space="preserve">Pri podávaní </w:t>
      </w:r>
      <w:proofErr w:type="spellStart"/>
      <w:r w:rsidRPr="00A40935">
        <w:t>cefotaxímu</w:t>
      </w:r>
      <w:proofErr w:type="spellEnd"/>
      <w:r w:rsidRPr="00A40935">
        <w:t xml:space="preserve"> boli hlásené prípady závažných </w:t>
      </w:r>
      <w:proofErr w:type="spellStart"/>
      <w:r w:rsidRPr="00A40935">
        <w:t>bulóznych</w:t>
      </w:r>
      <w:proofErr w:type="spellEnd"/>
      <w:r w:rsidRPr="00A40935">
        <w:t xml:space="preserve"> kožných reakcií, ako sú </w:t>
      </w:r>
      <w:proofErr w:type="spellStart"/>
      <w:r w:rsidRPr="00A40935">
        <w:t>Stevensov-Johnsonov</w:t>
      </w:r>
      <w:proofErr w:type="spellEnd"/>
      <w:r w:rsidRPr="00A40935">
        <w:t xml:space="preserve"> syndróm alebo toxická </w:t>
      </w:r>
      <w:proofErr w:type="spellStart"/>
      <w:r w:rsidRPr="00A40935">
        <w:t>epidermálna</w:t>
      </w:r>
      <w:proofErr w:type="spellEnd"/>
      <w:r w:rsidRPr="00A40935">
        <w:t xml:space="preserve"> </w:t>
      </w:r>
      <w:proofErr w:type="spellStart"/>
      <w:r w:rsidRPr="00A40935">
        <w:t>nekrolýza</w:t>
      </w:r>
      <w:proofErr w:type="spellEnd"/>
      <w:r w:rsidRPr="00A40935">
        <w:t xml:space="preserve"> (pozri časť 4.8). Pacientov je potrebné poučiť o tom, že ak sa vyskytnú kožné alebo </w:t>
      </w:r>
      <w:proofErr w:type="spellStart"/>
      <w:r w:rsidRPr="00A40935">
        <w:t>mukózne</w:t>
      </w:r>
      <w:proofErr w:type="spellEnd"/>
      <w:r w:rsidRPr="00A40935">
        <w:t xml:space="preserve"> reakcie, je nutné </w:t>
      </w:r>
      <w:r w:rsidR="00E118A7" w:rsidRPr="00A40935">
        <w:t xml:space="preserve">okamžite kontaktovať svojho lekára </w:t>
      </w:r>
      <w:r w:rsidRPr="00A40935">
        <w:t>pred pokračovaním liečby.</w:t>
      </w:r>
    </w:p>
    <w:p w:rsidR="00DA3834" w:rsidRPr="00A40935" w:rsidRDefault="00DA3834" w:rsidP="00B542F0">
      <w:pPr>
        <w:pStyle w:val="Normlndobloku"/>
      </w:pPr>
    </w:p>
    <w:p w:rsidR="00D2379D" w:rsidRPr="00A40935" w:rsidRDefault="00D2379D" w:rsidP="0013449D">
      <w:pPr>
        <w:pStyle w:val="Styl3"/>
        <w:spacing w:after="0"/>
      </w:pPr>
      <w:r w:rsidRPr="00A40935">
        <w:t>Ochorenia spojené</w:t>
      </w:r>
      <w:r w:rsidR="00484688" w:rsidRPr="00A40935">
        <w:t xml:space="preserve"> s </w:t>
      </w:r>
      <w:proofErr w:type="spellStart"/>
      <w:r w:rsidRPr="00A40935">
        <w:rPr>
          <w:rStyle w:val="Bacil"/>
        </w:rPr>
        <w:t>Clostridium</w:t>
      </w:r>
      <w:proofErr w:type="spellEnd"/>
      <w:r w:rsidRPr="00A40935">
        <w:rPr>
          <w:rStyle w:val="Bacil"/>
        </w:rPr>
        <w:t xml:space="preserve"> </w:t>
      </w:r>
      <w:proofErr w:type="spellStart"/>
      <w:r w:rsidRPr="00A40935">
        <w:rPr>
          <w:rStyle w:val="Bacil"/>
        </w:rPr>
        <w:t>difficile</w:t>
      </w:r>
      <w:proofErr w:type="spellEnd"/>
      <w:r w:rsidRPr="00A40935">
        <w:t xml:space="preserve"> (napr. </w:t>
      </w:r>
      <w:proofErr w:type="spellStart"/>
      <w:r w:rsidRPr="00A40935">
        <w:t>pseudomembranózna</w:t>
      </w:r>
      <w:proofErr w:type="spellEnd"/>
      <w:r w:rsidRPr="00A40935">
        <w:t xml:space="preserve"> </w:t>
      </w:r>
      <w:proofErr w:type="spellStart"/>
      <w:r w:rsidRPr="00A40935">
        <w:t>kolitída</w:t>
      </w:r>
      <w:proofErr w:type="spellEnd"/>
      <w:r w:rsidRPr="00A40935">
        <w:t>)</w:t>
      </w:r>
    </w:p>
    <w:p w:rsidR="00D2379D" w:rsidRPr="00A40935" w:rsidRDefault="00D2379D" w:rsidP="00B542F0">
      <w:pPr>
        <w:pStyle w:val="Normlndobloku"/>
      </w:pPr>
      <w:r w:rsidRPr="00A40935">
        <w:t>Hnačka, obzvlášť ak je ťažká alebo pretrvávajúca, ktorá sa vyskytne počas liečby alebo</w:t>
      </w:r>
      <w:r w:rsidR="00484688" w:rsidRPr="00A40935">
        <w:t xml:space="preserve"> v </w:t>
      </w:r>
      <w:r w:rsidRPr="00A40935">
        <w:t>prvých týždňoch po ukončení liečby, môže byť príznakom ochorenia spojeného</w:t>
      </w:r>
      <w:r w:rsidR="00484688" w:rsidRPr="00A40935">
        <w:t xml:space="preserve"> s </w:t>
      </w:r>
      <w:proofErr w:type="spellStart"/>
      <w:r w:rsidRPr="00A40935">
        <w:rPr>
          <w:rStyle w:val="Bacil"/>
        </w:rPr>
        <w:t>Clostridium</w:t>
      </w:r>
      <w:proofErr w:type="spellEnd"/>
      <w:r w:rsidRPr="00A40935">
        <w:rPr>
          <w:rStyle w:val="Bacil"/>
        </w:rPr>
        <w:t xml:space="preserve"> </w:t>
      </w:r>
      <w:proofErr w:type="spellStart"/>
      <w:r w:rsidRPr="00A40935">
        <w:rPr>
          <w:rStyle w:val="Bacil"/>
        </w:rPr>
        <w:t>difficile</w:t>
      </w:r>
      <w:proofErr w:type="spellEnd"/>
      <w:r w:rsidRPr="00A40935">
        <w:t xml:space="preserve">. </w:t>
      </w:r>
      <w:r w:rsidR="00DA3834">
        <w:t>Hnačka</w:t>
      </w:r>
      <w:r w:rsidRPr="00A40935">
        <w:t xml:space="preserve"> spojen</w:t>
      </w:r>
      <w:r w:rsidR="00DA3834">
        <w:t>á</w:t>
      </w:r>
      <w:r w:rsidR="00484688" w:rsidRPr="00A40935">
        <w:t xml:space="preserve"> s </w:t>
      </w:r>
      <w:proofErr w:type="spellStart"/>
      <w:r w:rsidRPr="00A40935">
        <w:rPr>
          <w:rStyle w:val="Bacil"/>
        </w:rPr>
        <w:t>Clostridium</w:t>
      </w:r>
      <w:proofErr w:type="spellEnd"/>
      <w:r w:rsidRPr="00A40935">
        <w:rPr>
          <w:rStyle w:val="Bacil"/>
        </w:rPr>
        <w:t xml:space="preserve"> </w:t>
      </w:r>
      <w:proofErr w:type="spellStart"/>
      <w:r w:rsidRPr="00A40935">
        <w:rPr>
          <w:rStyle w:val="Bacil"/>
        </w:rPr>
        <w:t>difficile</w:t>
      </w:r>
      <w:proofErr w:type="spellEnd"/>
      <w:r w:rsidRPr="00A40935">
        <w:t xml:space="preserve"> (</w:t>
      </w:r>
      <w:proofErr w:type="spellStart"/>
      <w:r w:rsidR="00DA3834" w:rsidRPr="00DA3834">
        <w:rPr>
          <w:i/>
        </w:rPr>
        <w:t>Clostridium</w:t>
      </w:r>
      <w:proofErr w:type="spellEnd"/>
      <w:r w:rsidR="00DA3834" w:rsidRPr="00DA3834">
        <w:rPr>
          <w:i/>
        </w:rPr>
        <w:t xml:space="preserve"> </w:t>
      </w:r>
      <w:proofErr w:type="spellStart"/>
      <w:r w:rsidR="00DA3834" w:rsidRPr="00DA3834">
        <w:rPr>
          <w:i/>
        </w:rPr>
        <w:t>d</w:t>
      </w:r>
      <w:r w:rsidR="00DA3834" w:rsidRPr="0013449D">
        <w:rPr>
          <w:i/>
        </w:rPr>
        <w:t>ifficile</w:t>
      </w:r>
      <w:proofErr w:type="spellEnd"/>
      <w:r w:rsidR="00DA3834" w:rsidRPr="00DA3834">
        <w:t xml:space="preserve"> </w:t>
      </w:r>
      <w:proofErr w:type="spellStart"/>
      <w:r w:rsidR="00DA3834" w:rsidRPr="00DA3834">
        <w:t>Associated</w:t>
      </w:r>
      <w:proofErr w:type="spellEnd"/>
      <w:r w:rsidR="00DA3834" w:rsidRPr="00DA3834">
        <w:t xml:space="preserve"> </w:t>
      </w:r>
      <w:proofErr w:type="spellStart"/>
      <w:r w:rsidR="00DA3834" w:rsidRPr="00DA3834">
        <w:t>Diarrhea</w:t>
      </w:r>
      <w:proofErr w:type="spellEnd"/>
      <w:r w:rsidR="00DA3834">
        <w:t xml:space="preserve"> - </w:t>
      </w:r>
      <w:r w:rsidRPr="00A40935">
        <w:t>CDAD) môž</w:t>
      </w:r>
      <w:r w:rsidR="00DA3834">
        <w:t>e</w:t>
      </w:r>
      <w:r w:rsidRPr="00A40935">
        <w:t xml:space="preserve"> byť rôznej závažnosti, od miernych až</w:t>
      </w:r>
      <w:r w:rsidR="00484688" w:rsidRPr="00A40935">
        <w:t xml:space="preserve"> k </w:t>
      </w:r>
      <w:r w:rsidRPr="00A40935">
        <w:t xml:space="preserve">život ohrozujúcim najťažším formám, akou je </w:t>
      </w:r>
      <w:proofErr w:type="spellStart"/>
      <w:r w:rsidRPr="00A40935">
        <w:t>pseudomembranózna</w:t>
      </w:r>
      <w:proofErr w:type="spellEnd"/>
      <w:r w:rsidRPr="00A40935">
        <w:t xml:space="preserve"> </w:t>
      </w:r>
      <w:proofErr w:type="spellStart"/>
      <w:r w:rsidRPr="00A40935">
        <w:t>kolitída</w:t>
      </w:r>
      <w:proofErr w:type="spellEnd"/>
      <w:r w:rsidRPr="00A40935">
        <w:t>.</w:t>
      </w:r>
    </w:p>
    <w:p w:rsidR="00DA3834" w:rsidRDefault="00DA3834" w:rsidP="00B542F0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 xml:space="preserve">Diagnózu tohto </w:t>
      </w:r>
      <w:r w:rsidR="00E118A7" w:rsidRPr="00A40935">
        <w:t>zriedkavého</w:t>
      </w:r>
      <w:r w:rsidRPr="00A40935">
        <w:t xml:space="preserve">, ale potenciálne smrteľného stavu, možno stanoviť </w:t>
      </w:r>
      <w:proofErr w:type="spellStart"/>
      <w:r w:rsidRPr="00A40935">
        <w:t>endoskopiou</w:t>
      </w:r>
      <w:proofErr w:type="spellEnd"/>
      <w:r w:rsidRPr="00A40935">
        <w:t xml:space="preserve"> a/alebo histologickým vyšetrením. Je dôležité zvážiť túto diagnózu</w:t>
      </w:r>
      <w:r w:rsidR="00484688" w:rsidRPr="00A40935">
        <w:t xml:space="preserve"> u </w:t>
      </w:r>
      <w:r w:rsidRPr="00A40935">
        <w:t xml:space="preserve">pacientov, ktorí majú </w:t>
      </w:r>
      <w:r w:rsidR="00732C38" w:rsidRPr="00A40935">
        <w:t xml:space="preserve">hnačku </w:t>
      </w:r>
      <w:r w:rsidRPr="00A40935">
        <w:t xml:space="preserve">počas podávania </w:t>
      </w:r>
      <w:proofErr w:type="spellStart"/>
      <w:r w:rsidRPr="00A40935">
        <w:t>cefotaxímu</w:t>
      </w:r>
      <w:proofErr w:type="spellEnd"/>
      <w:r w:rsidRPr="00A40935">
        <w:t xml:space="preserve"> alebo po </w:t>
      </w:r>
      <w:r w:rsidR="00DA3834">
        <w:t>u</w:t>
      </w:r>
      <w:r w:rsidRPr="00A40935">
        <w:t>končení</w:t>
      </w:r>
      <w:r w:rsidR="00E118A7" w:rsidRPr="00A40935">
        <w:t xml:space="preserve"> liečby</w:t>
      </w:r>
      <w:r w:rsidRPr="00A40935">
        <w:t>.</w:t>
      </w:r>
    </w:p>
    <w:p w:rsidR="00DA3834" w:rsidRDefault="00DA3834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 xml:space="preserve">Ak je podozrenie na </w:t>
      </w:r>
      <w:proofErr w:type="spellStart"/>
      <w:r w:rsidRPr="00A40935">
        <w:t>pseudomembranóznu</w:t>
      </w:r>
      <w:proofErr w:type="spellEnd"/>
      <w:r w:rsidRPr="00A40935">
        <w:t xml:space="preserve"> </w:t>
      </w:r>
      <w:proofErr w:type="spellStart"/>
      <w:r w:rsidRPr="00A40935">
        <w:t>kolitídu</w:t>
      </w:r>
      <w:proofErr w:type="spellEnd"/>
      <w:r w:rsidRPr="00A40935">
        <w:t xml:space="preserve">, </w:t>
      </w:r>
      <w:r w:rsidR="00DA3834">
        <w:t xml:space="preserve">liečba </w:t>
      </w:r>
      <w:r w:rsidR="00732C38" w:rsidRPr="00A40935">
        <w:t>TAXIMED</w:t>
      </w:r>
      <w:r w:rsidR="00130FCE">
        <w:t>OM</w:t>
      </w:r>
      <w:r w:rsidR="00732C38" w:rsidRPr="00A40935">
        <w:t xml:space="preserve"> </w:t>
      </w:r>
      <w:r w:rsidRPr="00A40935">
        <w:t xml:space="preserve">má byť okamžite </w:t>
      </w:r>
      <w:r w:rsidR="00DA3834">
        <w:t>ukončená</w:t>
      </w:r>
      <w:r w:rsidR="00484688" w:rsidRPr="00A40935">
        <w:t xml:space="preserve"> a </w:t>
      </w:r>
      <w:r w:rsidRPr="00A40935">
        <w:t xml:space="preserve"> </w:t>
      </w:r>
      <w:r w:rsidR="00DA3834">
        <w:t>ihneď</w:t>
      </w:r>
      <w:r w:rsidRPr="00A40935">
        <w:t xml:space="preserve"> </w:t>
      </w:r>
      <w:r w:rsidR="00130FCE">
        <w:t>sa</w:t>
      </w:r>
      <w:r w:rsidR="00DA3834">
        <w:t xml:space="preserve"> má </w:t>
      </w:r>
      <w:r w:rsidRPr="00A40935">
        <w:t>zača</w:t>
      </w:r>
      <w:r w:rsidR="00DA3834">
        <w:t>ť</w:t>
      </w:r>
      <w:r w:rsidRPr="00A40935">
        <w:t xml:space="preserve"> liečba príslušnými špecifickými antibiotikami.</w:t>
      </w:r>
    </w:p>
    <w:p w:rsidR="00DA3834" w:rsidRDefault="00DA3834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>Pri ochoreniach spojených</w:t>
      </w:r>
      <w:r w:rsidR="00484688" w:rsidRPr="00A40935">
        <w:t xml:space="preserve"> s </w:t>
      </w:r>
      <w:proofErr w:type="spellStart"/>
      <w:r w:rsidRPr="00A40935">
        <w:rPr>
          <w:rStyle w:val="Bacil"/>
        </w:rPr>
        <w:t>Clostridium</w:t>
      </w:r>
      <w:proofErr w:type="spellEnd"/>
      <w:r w:rsidRPr="00A40935">
        <w:rPr>
          <w:rStyle w:val="Bacil"/>
        </w:rPr>
        <w:t xml:space="preserve"> </w:t>
      </w:r>
      <w:proofErr w:type="spellStart"/>
      <w:r w:rsidRPr="00A40935">
        <w:rPr>
          <w:rStyle w:val="Bacil"/>
        </w:rPr>
        <w:t>difficile</w:t>
      </w:r>
      <w:proofErr w:type="spellEnd"/>
      <w:r w:rsidRPr="00A40935">
        <w:t xml:space="preserve"> môže existovať sklon</w:t>
      </w:r>
      <w:r w:rsidR="00484688" w:rsidRPr="00A40935">
        <w:t xml:space="preserve"> k </w:t>
      </w:r>
      <w:r w:rsidRPr="00A40935">
        <w:t xml:space="preserve">zápche. Nemá byť podávaný liek </w:t>
      </w:r>
      <w:proofErr w:type="spellStart"/>
      <w:r w:rsidRPr="00A40935">
        <w:t>inhibujúci</w:t>
      </w:r>
      <w:proofErr w:type="spellEnd"/>
      <w:r w:rsidRPr="00A40935">
        <w:t xml:space="preserve"> </w:t>
      </w:r>
      <w:proofErr w:type="spellStart"/>
      <w:r w:rsidRPr="00A40935">
        <w:t>peristaltiku</w:t>
      </w:r>
      <w:proofErr w:type="spellEnd"/>
      <w:r w:rsidRPr="00A40935">
        <w:t>.</w:t>
      </w:r>
    </w:p>
    <w:p w:rsidR="00DA3834" w:rsidRDefault="00DA3834" w:rsidP="0013449D">
      <w:pPr>
        <w:pStyle w:val="Styl3"/>
        <w:spacing w:after="0"/>
      </w:pPr>
    </w:p>
    <w:p w:rsidR="00D2379D" w:rsidRPr="00A40935" w:rsidRDefault="00D2379D" w:rsidP="0013449D">
      <w:pPr>
        <w:pStyle w:val="Styl3"/>
        <w:spacing w:after="0"/>
      </w:pPr>
      <w:r w:rsidRPr="00A40935">
        <w:t xml:space="preserve">Hematologické </w:t>
      </w:r>
      <w:r w:rsidR="00C62518" w:rsidRPr="00A40935">
        <w:t>poruchy</w:t>
      </w:r>
    </w:p>
    <w:p w:rsidR="00D2379D" w:rsidRPr="00A40935" w:rsidRDefault="00D2379D" w:rsidP="00B542F0">
      <w:pPr>
        <w:pStyle w:val="Normlndobloku"/>
      </w:pPr>
      <w:r w:rsidRPr="00A40935">
        <w:lastRenderedPageBreak/>
        <w:t xml:space="preserve">Počas liečby </w:t>
      </w:r>
      <w:r w:rsidR="00732C38" w:rsidRPr="00A40935">
        <w:t>TAXIMED</w:t>
      </w:r>
      <w:r w:rsidR="00130FCE">
        <w:t>OM</w:t>
      </w:r>
      <w:r w:rsidRPr="00A40935">
        <w:t xml:space="preserve">, zvlášť ak je dlhodobá, sa môže vyvinúť </w:t>
      </w:r>
      <w:proofErr w:type="spellStart"/>
      <w:r w:rsidRPr="00A40935">
        <w:t>leukopénia</w:t>
      </w:r>
      <w:proofErr w:type="spellEnd"/>
      <w:r w:rsidRPr="00A40935">
        <w:t xml:space="preserve">, </w:t>
      </w:r>
      <w:proofErr w:type="spellStart"/>
      <w:r w:rsidRPr="00A40935">
        <w:t>neutropénia</w:t>
      </w:r>
      <w:proofErr w:type="spellEnd"/>
      <w:r w:rsidR="00484688" w:rsidRPr="00A40935">
        <w:t xml:space="preserve"> a </w:t>
      </w:r>
      <w:r w:rsidRPr="00A40935">
        <w:t xml:space="preserve">veľmi zriedkavo </w:t>
      </w:r>
      <w:proofErr w:type="spellStart"/>
      <w:r w:rsidRPr="00A40935">
        <w:t>agranulocytóza</w:t>
      </w:r>
      <w:proofErr w:type="spellEnd"/>
      <w:r w:rsidRPr="00A40935">
        <w:t xml:space="preserve">. Pri liečbe trvajúcej dlhšie ako 7 – 10 dní má byť monitorovaný krvný obraz </w:t>
      </w:r>
      <w:r w:rsidR="00E118A7" w:rsidRPr="00A40935">
        <w:t xml:space="preserve">vzhľadom na počet </w:t>
      </w:r>
      <w:r w:rsidRPr="00A40935">
        <w:t>leukocytov</w:t>
      </w:r>
      <w:r w:rsidR="00484688" w:rsidRPr="00A40935">
        <w:t xml:space="preserve"> a v </w:t>
      </w:r>
      <w:r w:rsidRPr="00A40935">
        <w:t xml:space="preserve">prípade </w:t>
      </w:r>
      <w:proofErr w:type="spellStart"/>
      <w:r w:rsidRPr="00A40935">
        <w:t>neutropénie</w:t>
      </w:r>
      <w:proofErr w:type="spellEnd"/>
      <w:r w:rsidRPr="00A40935">
        <w:t xml:space="preserve"> má byť liečba ukončená.</w:t>
      </w:r>
    </w:p>
    <w:p w:rsidR="00D53F1F" w:rsidRDefault="00D53F1F" w:rsidP="00B542F0">
      <w:pPr>
        <w:pStyle w:val="Normlndobloku"/>
      </w:pPr>
    </w:p>
    <w:p w:rsidR="00D2379D" w:rsidRDefault="00D2379D" w:rsidP="00B542F0">
      <w:pPr>
        <w:pStyle w:val="Normlndobloku"/>
      </w:pPr>
      <w:r w:rsidRPr="00A40935">
        <w:t xml:space="preserve">Boli hlásené prípady </w:t>
      </w:r>
      <w:proofErr w:type="spellStart"/>
      <w:r w:rsidRPr="00A40935">
        <w:t>eozinofílie</w:t>
      </w:r>
      <w:proofErr w:type="spellEnd"/>
      <w:r w:rsidR="00484688" w:rsidRPr="00A40935">
        <w:t xml:space="preserve"> a </w:t>
      </w:r>
      <w:proofErr w:type="spellStart"/>
      <w:r w:rsidRPr="00A40935">
        <w:t>trombocytopénie</w:t>
      </w:r>
      <w:proofErr w:type="spellEnd"/>
      <w:r w:rsidRPr="00A40935">
        <w:t xml:space="preserve">, rýchlo reverzibilné po ukončení liečby. Boli tiež hlásené prípady </w:t>
      </w:r>
      <w:proofErr w:type="spellStart"/>
      <w:r w:rsidRPr="00A40935">
        <w:t>hemolytickej</w:t>
      </w:r>
      <w:proofErr w:type="spellEnd"/>
      <w:r w:rsidRPr="00A40935">
        <w:t xml:space="preserve"> anémie (pozri časť 4.8).</w:t>
      </w:r>
    </w:p>
    <w:p w:rsidR="00D53F1F" w:rsidRPr="00A40935" w:rsidRDefault="00D53F1F" w:rsidP="00760366">
      <w:pPr>
        <w:pStyle w:val="Normlndobloku"/>
      </w:pPr>
    </w:p>
    <w:p w:rsidR="00D2379D" w:rsidRPr="00A40935" w:rsidRDefault="00D2379D" w:rsidP="0013449D">
      <w:pPr>
        <w:pStyle w:val="Styl3"/>
        <w:spacing w:after="0"/>
      </w:pPr>
      <w:r w:rsidRPr="00A40935">
        <w:t>Porucha funkcie obličiek</w:t>
      </w:r>
    </w:p>
    <w:p w:rsidR="00D2379D" w:rsidRPr="00A40935" w:rsidRDefault="00D2379D" w:rsidP="00B542F0">
      <w:pPr>
        <w:pStyle w:val="Normlndobloku"/>
      </w:pPr>
      <w:r w:rsidRPr="00A40935">
        <w:t xml:space="preserve">Dávkovanie má byť upravené podľa vypočítaného </w:t>
      </w:r>
      <w:proofErr w:type="spellStart"/>
      <w:r w:rsidRPr="00A40935">
        <w:t>klírensu</w:t>
      </w:r>
      <w:proofErr w:type="spellEnd"/>
      <w:r w:rsidRPr="00A40935">
        <w:t xml:space="preserve"> </w:t>
      </w:r>
      <w:proofErr w:type="spellStart"/>
      <w:r w:rsidRPr="00A40935">
        <w:t>kreatinínu</w:t>
      </w:r>
      <w:proofErr w:type="spellEnd"/>
      <w:r w:rsidRPr="00A40935">
        <w:t>.</w:t>
      </w:r>
    </w:p>
    <w:p w:rsidR="00D2379D" w:rsidRPr="00A40935" w:rsidRDefault="00D2379D" w:rsidP="00B542F0">
      <w:pPr>
        <w:pStyle w:val="Normlndobloku"/>
      </w:pPr>
      <w:r w:rsidRPr="00A40935">
        <w:t>Opatrnosť je potrebná</w:t>
      </w:r>
      <w:r w:rsidR="00AC3F0A" w:rsidRPr="00A40935">
        <w:t>,</w:t>
      </w:r>
      <w:r w:rsidRPr="00A40935">
        <w:t xml:space="preserve"> ak je </w:t>
      </w:r>
      <w:r w:rsidR="00026EBB" w:rsidRPr="00A40935">
        <w:t xml:space="preserve">TAXIMED </w:t>
      </w:r>
      <w:r w:rsidRPr="00A40935">
        <w:t>podávaný</w:t>
      </w:r>
      <w:r w:rsidR="00484688" w:rsidRPr="00A40935">
        <w:t xml:space="preserve"> s </w:t>
      </w:r>
      <w:proofErr w:type="spellStart"/>
      <w:r w:rsidRPr="00A40935">
        <w:t>aminoglykozidmi</w:t>
      </w:r>
      <w:proofErr w:type="spellEnd"/>
      <w:r w:rsidRPr="00A40935">
        <w:t xml:space="preserve"> alebo inými </w:t>
      </w:r>
      <w:proofErr w:type="spellStart"/>
      <w:r w:rsidRPr="00A40935">
        <w:t>nefrotoxickými</w:t>
      </w:r>
      <w:proofErr w:type="spellEnd"/>
      <w:r w:rsidRPr="00A40935">
        <w:t xml:space="preserve"> látkami (pozri časť 4.8)</w:t>
      </w:r>
      <w:r w:rsidR="00484688" w:rsidRPr="00A40935">
        <w:t xml:space="preserve"> u </w:t>
      </w:r>
      <w:r w:rsidRPr="00A40935">
        <w:t>starších pacientov</w:t>
      </w:r>
      <w:r w:rsidR="00484688" w:rsidRPr="00A40935">
        <w:t xml:space="preserve"> a u </w:t>
      </w:r>
      <w:r w:rsidRPr="00A40935">
        <w:t>pacientov</w:t>
      </w:r>
      <w:r w:rsidR="00484688" w:rsidRPr="00A40935">
        <w:t xml:space="preserve"> s </w:t>
      </w:r>
      <w:r w:rsidR="00AC3F0A" w:rsidRPr="00A40935">
        <w:t>poruchou funkcie</w:t>
      </w:r>
      <w:r w:rsidRPr="00A40935">
        <w:t xml:space="preserve"> obličiek</w:t>
      </w:r>
      <w:r w:rsidR="009B06D7">
        <w:t xml:space="preserve"> v anamnéze</w:t>
      </w:r>
      <w:r w:rsidRPr="00A40935">
        <w:t xml:space="preserve"> je nutné monitorova</w:t>
      </w:r>
      <w:r w:rsidR="00AC3F0A" w:rsidRPr="00A40935">
        <w:t>ť</w:t>
      </w:r>
      <w:r w:rsidRPr="00A40935">
        <w:t xml:space="preserve"> </w:t>
      </w:r>
      <w:proofErr w:type="spellStart"/>
      <w:r w:rsidRPr="00A40935">
        <w:t>renáln</w:t>
      </w:r>
      <w:r w:rsidR="00AC3F0A" w:rsidRPr="00A40935">
        <w:t>e</w:t>
      </w:r>
      <w:proofErr w:type="spellEnd"/>
      <w:r w:rsidRPr="00A40935">
        <w:t xml:space="preserve"> funkci</w:t>
      </w:r>
      <w:r w:rsidR="00AC3F0A" w:rsidRPr="00A40935">
        <w:t>e</w:t>
      </w:r>
      <w:r w:rsidRPr="00A40935">
        <w:t>.</w:t>
      </w:r>
    </w:p>
    <w:p w:rsidR="00D53F1F" w:rsidRDefault="00D53F1F" w:rsidP="0013449D">
      <w:pPr>
        <w:pStyle w:val="Styl3"/>
        <w:spacing w:after="0"/>
      </w:pPr>
    </w:p>
    <w:p w:rsidR="00D2379D" w:rsidRPr="00A40935" w:rsidRDefault="00D2379D" w:rsidP="0013449D">
      <w:pPr>
        <w:pStyle w:val="Styl3"/>
        <w:spacing w:after="0"/>
      </w:pPr>
      <w:proofErr w:type="spellStart"/>
      <w:r w:rsidRPr="00A40935">
        <w:t>Neurotoxicita</w:t>
      </w:r>
      <w:proofErr w:type="spellEnd"/>
    </w:p>
    <w:p w:rsidR="00D2379D" w:rsidRPr="00A40935" w:rsidRDefault="00D2379D" w:rsidP="00B542F0">
      <w:pPr>
        <w:pStyle w:val="Normlndobloku"/>
      </w:pPr>
      <w:r w:rsidRPr="00A40935">
        <w:t xml:space="preserve">Vysoké dávky </w:t>
      </w:r>
      <w:proofErr w:type="spellStart"/>
      <w:r w:rsidRPr="00A40935">
        <w:t>betalaktámových</w:t>
      </w:r>
      <w:proofErr w:type="spellEnd"/>
      <w:r w:rsidRPr="00A40935">
        <w:t xml:space="preserve"> antibiotík, medzi ktoré patrí aj </w:t>
      </w:r>
      <w:r w:rsidR="00026EBB" w:rsidRPr="00A40935">
        <w:t>TAXIMED</w:t>
      </w:r>
      <w:r w:rsidRPr="00A40935">
        <w:t>, môžu najmä</w:t>
      </w:r>
      <w:r w:rsidR="00484688" w:rsidRPr="00A40935">
        <w:t xml:space="preserve"> u </w:t>
      </w:r>
      <w:r w:rsidRPr="00A40935">
        <w:t>pacientov</w:t>
      </w:r>
      <w:r w:rsidR="00484688" w:rsidRPr="00A40935">
        <w:t xml:space="preserve"> s </w:t>
      </w:r>
      <w:proofErr w:type="spellStart"/>
      <w:r w:rsidRPr="00A40935">
        <w:t>renálnou</w:t>
      </w:r>
      <w:proofErr w:type="spellEnd"/>
      <w:r w:rsidRPr="00A40935">
        <w:t xml:space="preserve"> </w:t>
      </w:r>
      <w:proofErr w:type="spellStart"/>
      <w:r w:rsidRPr="00A40935">
        <w:t>insuficienciou</w:t>
      </w:r>
      <w:proofErr w:type="spellEnd"/>
      <w:r w:rsidRPr="00A40935">
        <w:t xml:space="preserve"> viesť</w:t>
      </w:r>
      <w:r w:rsidR="00484688" w:rsidRPr="00A40935">
        <w:t xml:space="preserve"> k </w:t>
      </w:r>
      <w:proofErr w:type="spellStart"/>
      <w:r w:rsidRPr="00A40935">
        <w:t>encefalopatii</w:t>
      </w:r>
      <w:proofErr w:type="spellEnd"/>
      <w:r w:rsidRPr="00A40935">
        <w:t xml:space="preserve"> (napr. po</w:t>
      </w:r>
      <w:r w:rsidR="00C95C11" w:rsidRPr="00A40935">
        <w:t>rucha</w:t>
      </w:r>
      <w:r w:rsidRPr="00A40935">
        <w:t xml:space="preserve"> vedomia, abnormálne pohyby</w:t>
      </w:r>
      <w:r w:rsidR="00484688" w:rsidRPr="00A40935">
        <w:t xml:space="preserve"> a </w:t>
      </w:r>
      <w:r w:rsidRPr="00A40935">
        <w:t>kŕče, pozri časť 4.8).</w:t>
      </w:r>
    </w:p>
    <w:p w:rsidR="009B06D7" w:rsidRDefault="009B06D7" w:rsidP="00B542F0">
      <w:pPr>
        <w:pStyle w:val="Normlndobloku"/>
      </w:pPr>
    </w:p>
    <w:p w:rsidR="00D2379D" w:rsidRDefault="00D2379D" w:rsidP="00B542F0">
      <w:pPr>
        <w:pStyle w:val="Normlndobloku"/>
      </w:pPr>
      <w:r w:rsidRPr="00A40935">
        <w:t xml:space="preserve">Pacientov treba poučiť o tom, že ak sa takéto reakcie vyskytnú, </w:t>
      </w:r>
      <w:r w:rsidR="009B06D7">
        <w:t>majú</w:t>
      </w:r>
      <w:r w:rsidRPr="00A40935">
        <w:t xml:space="preserve"> pred pokrač</w:t>
      </w:r>
      <w:r w:rsidR="009B06D7">
        <w:t>ovaním v</w:t>
      </w:r>
      <w:r w:rsidRPr="00A40935">
        <w:t xml:space="preserve"> liečb</w:t>
      </w:r>
      <w:r w:rsidR="009B06D7">
        <w:t>e</w:t>
      </w:r>
      <w:r w:rsidRPr="00A40935">
        <w:t xml:space="preserve"> kontaktova</w:t>
      </w:r>
      <w:r w:rsidR="00C63E82">
        <w:t>ť</w:t>
      </w:r>
      <w:r w:rsidRPr="00A40935">
        <w:t xml:space="preserve"> svojho lekára.</w:t>
      </w:r>
    </w:p>
    <w:p w:rsidR="009B06D7" w:rsidRPr="00A40935" w:rsidRDefault="009B06D7" w:rsidP="00760366">
      <w:pPr>
        <w:pStyle w:val="Normlndobloku"/>
      </w:pPr>
    </w:p>
    <w:p w:rsidR="00D2379D" w:rsidRPr="00A40935" w:rsidRDefault="00C62518" w:rsidP="0013449D">
      <w:pPr>
        <w:pStyle w:val="Styl3"/>
        <w:spacing w:after="0"/>
      </w:pPr>
      <w:r w:rsidRPr="00A40935">
        <w:t>Opatrenia</w:t>
      </w:r>
      <w:r w:rsidR="00C95C11" w:rsidRPr="00A40935">
        <w:t xml:space="preserve"> </w:t>
      </w:r>
      <w:r w:rsidR="00D2379D" w:rsidRPr="00A40935">
        <w:t>pri podávaní</w:t>
      </w:r>
    </w:p>
    <w:p w:rsidR="00D2379D" w:rsidRDefault="00D2379D" w:rsidP="00B542F0">
      <w:pPr>
        <w:pStyle w:val="Normlndobloku"/>
      </w:pPr>
      <w:r w:rsidRPr="00A40935">
        <w:t>Po</w:t>
      </w:r>
      <w:r w:rsidR="009B06D7">
        <w:t xml:space="preserve"> uvedení lieku na trh</w:t>
      </w:r>
      <w:r w:rsidRPr="00A40935">
        <w:t xml:space="preserve"> bola ojedinele hlásená potenciálne život ohrozujúca </w:t>
      </w:r>
      <w:proofErr w:type="spellStart"/>
      <w:r w:rsidRPr="00A40935">
        <w:t>arytmia</w:t>
      </w:r>
      <w:proofErr w:type="spellEnd"/>
      <w:r w:rsidR="00484688" w:rsidRPr="00A40935">
        <w:t xml:space="preserve"> u </w:t>
      </w:r>
      <w:r w:rsidRPr="00A40935">
        <w:t xml:space="preserve">pacientov, ktorým bol </w:t>
      </w:r>
      <w:proofErr w:type="spellStart"/>
      <w:r w:rsidRPr="00A40935">
        <w:t>cefotaxím</w:t>
      </w:r>
      <w:proofErr w:type="spellEnd"/>
      <w:r w:rsidRPr="00A40935">
        <w:t xml:space="preserve"> rýchlo podaný centrálnym žilovým katétrom. Je potrebné sledovať odporúčanú dobu podávania injekcie alebo infúzie (pozri časť 4.2).</w:t>
      </w:r>
    </w:p>
    <w:p w:rsidR="009B06D7" w:rsidRPr="00A40935" w:rsidRDefault="009B06D7" w:rsidP="00B542F0">
      <w:pPr>
        <w:pStyle w:val="Normlndobloku"/>
      </w:pPr>
    </w:p>
    <w:p w:rsidR="00D2379D" w:rsidRDefault="00D2379D" w:rsidP="00760366">
      <w:pPr>
        <w:pStyle w:val="Normlndobloku"/>
      </w:pPr>
      <w:r w:rsidRPr="00A40935">
        <w:t>V prípade reko</w:t>
      </w:r>
      <w:r w:rsidR="00026EBB" w:rsidRPr="00A40935">
        <w:t>n</w:t>
      </w:r>
      <w:r w:rsidRPr="00A40935">
        <w:t>štitúcie lieku TAXIMED</w:t>
      </w:r>
      <w:r w:rsidR="00484688" w:rsidRPr="00A40935">
        <w:t xml:space="preserve"> v </w:t>
      </w:r>
      <w:proofErr w:type="spellStart"/>
      <w:r w:rsidRPr="00A40935">
        <w:t>lidokaíne</w:t>
      </w:r>
      <w:proofErr w:type="spellEnd"/>
      <w:r w:rsidRPr="00A40935">
        <w:t xml:space="preserve"> je potrebné vziať do úvahy kontraindikácie </w:t>
      </w:r>
      <w:proofErr w:type="spellStart"/>
      <w:r w:rsidRPr="00A40935">
        <w:t>lidokaínu</w:t>
      </w:r>
      <w:proofErr w:type="spellEnd"/>
      <w:r w:rsidRPr="00A40935">
        <w:t>, pozri časť 4.3.</w:t>
      </w:r>
    </w:p>
    <w:p w:rsidR="009B06D7" w:rsidRPr="00A40935" w:rsidRDefault="009B06D7" w:rsidP="00760366">
      <w:pPr>
        <w:pStyle w:val="Normlndobloku"/>
      </w:pPr>
    </w:p>
    <w:p w:rsidR="00D2379D" w:rsidRDefault="00D2379D" w:rsidP="00760366">
      <w:pPr>
        <w:pStyle w:val="Normlndobloku"/>
      </w:pPr>
      <w:r w:rsidRPr="00A40935">
        <w:t>Na zníženie rizika tromboflebitídy by sa nemala prekročiť odporúčaná doba podávania injekcie alebo infúzie.</w:t>
      </w:r>
    </w:p>
    <w:p w:rsidR="009B06D7" w:rsidRPr="00A40935" w:rsidRDefault="009B06D7" w:rsidP="00760366">
      <w:pPr>
        <w:pStyle w:val="Normlndobloku"/>
      </w:pPr>
    </w:p>
    <w:p w:rsidR="00D2379D" w:rsidRPr="00A40935" w:rsidRDefault="00D2379D" w:rsidP="0013449D">
      <w:pPr>
        <w:pStyle w:val="Styl3"/>
        <w:spacing w:after="0"/>
      </w:pPr>
      <w:r w:rsidRPr="00A40935">
        <w:t>Vplyv na laboratórne testy</w:t>
      </w:r>
    </w:p>
    <w:p w:rsidR="00D2379D" w:rsidRPr="00A40935" w:rsidRDefault="00D2379D" w:rsidP="00B542F0">
      <w:pPr>
        <w:pStyle w:val="Normlndobloku"/>
      </w:pPr>
      <w:r w:rsidRPr="00A40935">
        <w:t>Rovnako ako</w:t>
      </w:r>
      <w:r w:rsidR="00484688" w:rsidRPr="00A40935">
        <w:t xml:space="preserve"> u </w:t>
      </w:r>
      <w:r w:rsidRPr="00A40935">
        <w:t xml:space="preserve">iných </w:t>
      </w:r>
      <w:proofErr w:type="spellStart"/>
      <w:r w:rsidRPr="00A40935">
        <w:t>cefalosporínov</w:t>
      </w:r>
      <w:proofErr w:type="spellEnd"/>
      <w:r w:rsidR="006E65AE" w:rsidRPr="00A40935">
        <w:t>,</w:t>
      </w:r>
      <w:r w:rsidRPr="00A40935">
        <w:t xml:space="preserve"> bol</w:t>
      </w:r>
      <w:r w:rsidR="00484688" w:rsidRPr="00A40935">
        <w:t xml:space="preserve"> u </w:t>
      </w:r>
      <w:r w:rsidRPr="00A40935">
        <w:t xml:space="preserve">niektorých pacientov liečených </w:t>
      </w:r>
      <w:proofErr w:type="spellStart"/>
      <w:r w:rsidRPr="00A40935">
        <w:t>cefotaxímom</w:t>
      </w:r>
      <w:proofErr w:type="spellEnd"/>
      <w:r w:rsidRPr="00A40935">
        <w:t xml:space="preserve"> zistený pozitívny </w:t>
      </w:r>
      <w:proofErr w:type="spellStart"/>
      <w:r w:rsidRPr="00A40935">
        <w:t>Coombsov</w:t>
      </w:r>
      <w:proofErr w:type="spellEnd"/>
      <w:r w:rsidRPr="00A40935">
        <w:t xml:space="preserve"> test. Tento jav môže interferovať</w:t>
      </w:r>
      <w:r w:rsidR="00484688" w:rsidRPr="00A40935">
        <w:t xml:space="preserve"> s </w:t>
      </w:r>
      <w:r w:rsidRPr="00A40935">
        <w:t>krížovou skúškou krvi.</w:t>
      </w:r>
      <w:r w:rsidR="00FC1294" w:rsidRPr="00A40935">
        <w:t xml:space="preserve"> </w:t>
      </w:r>
      <w:r w:rsidRPr="00A40935">
        <w:t>Test na glukózu</w:t>
      </w:r>
      <w:r w:rsidR="00484688" w:rsidRPr="00A40935">
        <w:t xml:space="preserve"> v </w:t>
      </w:r>
      <w:r w:rsidRPr="00A40935">
        <w:t>moči</w:t>
      </w:r>
      <w:r w:rsidR="00484688" w:rsidRPr="00A40935">
        <w:t xml:space="preserve"> s </w:t>
      </w:r>
      <w:r w:rsidRPr="00A40935">
        <w:t>použitím nešpecifických redukčných činidiel môže poskytovať falošne pozitívne výsledky.</w:t>
      </w:r>
      <w:r w:rsidR="00484688" w:rsidRPr="00A40935">
        <w:t xml:space="preserve"> </w:t>
      </w:r>
      <w:r w:rsidR="009B06D7">
        <w:t>K</w:t>
      </w:r>
      <w:r w:rsidR="00484688" w:rsidRPr="00A40935">
        <w:t> </w:t>
      </w:r>
      <w:r w:rsidRPr="00A40935">
        <w:t xml:space="preserve">tomuto javu nedochádza, ak sa použije </w:t>
      </w:r>
      <w:proofErr w:type="spellStart"/>
      <w:r w:rsidRPr="00A40935">
        <w:t>glukózo-oxidázová</w:t>
      </w:r>
      <w:proofErr w:type="spellEnd"/>
      <w:r w:rsidRPr="00A40935">
        <w:t xml:space="preserve"> metóda.</w:t>
      </w:r>
    </w:p>
    <w:p w:rsidR="009B06D7" w:rsidRDefault="009B06D7" w:rsidP="0013449D">
      <w:pPr>
        <w:pStyle w:val="Styl3"/>
        <w:spacing w:after="0"/>
      </w:pPr>
    </w:p>
    <w:p w:rsidR="00D2379D" w:rsidRPr="00A40935" w:rsidRDefault="00D2379D" w:rsidP="0013449D">
      <w:pPr>
        <w:pStyle w:val="Styl3"/>
        <w:spacing w:after="0"/>
      </w:pPr>
      <w:r w:rsidRPr="00A40935">
        <w:t>Obsah sodíka</w:t>
      </w:r>
    </w:p>
    <w:p w:rsidR="00D2379D" w:rsidRDefault="00D2379D" w:rsidP="00B542F0">
      <w:pPr>
        <w:pStyle w:val="Normlndobloku"/>
      </w:pPr>
      <w:r w:rsidRPr="00A40935">
        <w:t>Každá liekovka lieku TAXIMED 1 g obsahuje 2,1 </w:t>
      </w:r>
      <w:proofErr w:type="spellStart"/>
      <w:r w:rsidRPr="00A40935">
        <w:t>mmol</w:t>
      </w:r>
      <w:proofErr w:type="spellEnd"/>
      <w:r w:rsidRPr="00A40935">
        <w:t xml:space="preserve"> (48,2 mg) sodíka. </w:t>
      </w:r>
      <w:r w:rsidRPr="0013449D">
        <w:rPr>
          <w:highlight w:val="lightGray"/>
        </w:rPr>
        <w:t>Každá liekovka lieku TAXIMED 2 g obsahuje 4,2 </w:t>
      </w:r>
      <w:proofErr w:type="spellStart"/>
      <w:r w:rsidRPr="0013449D">
        <w:rPr>
          <w:highlight w:val="lightGray"/>
        </w:rPr>
        <w:t>mmol</w:t>
      </w:r>
      <w:proofErr w:type="spellEnd"/>
      <w:r w:rsidRPr="0013449D">
        <w:rPr>
          <w:highlight w:val="lightGray"/>
        </w:rPr>
        <w:t xml:space="preserve"> (96,4 mg) sodíka.</w:t>
      </w:r>
      <w:r w:rsidRPr="00A40935">
        <w:t xml:space="preserve"> To je nutné vziať do úvahy</w:t>
      </w:r>
      <w:r w:rsidR="00484688" w:rsidRPr="00A40935">
        <w:t xml:space="preserve"> u </w:t>
      </w:r>
      <w:r w:rsidRPr="00A40935">
        <w:t xml:space="preserve">pacientov, ktorí </w:t>
      </w:r>
      <w:r w:rsidR="009B06D7">
        <w:t>majú</w:t>
      </w:r>
      <w:r w:rsidRPr="00A40935">
        <w:t xml:space="preserve"> diét</w:t>
      </w:r>
      <w:r w:rsidR="009B06D7">
        <w:t>u</w:t>
      </w:r>
      <w:r w:rsidR="00484688" w:rsidRPr="00A40935">
        <w:t xml:space="preserve"> s </w:t>
      </w:r>
      <w:r w:rsidR="009B06D7">
        <w:t>kontrolovaným</w:t>
      </w:r>
      <w:r w:rsidRPr="00A40935">
        <w:t xml:space="preserve"> obsahom sodíka.</w:t>
      </w:r>
    </w:p>
    <w:p w:rsidR="009B06D7" w:rsidRPr="00A40935" w:rsidRDefault="009B06D7" w:rsidP="00B542F0">
      <w:pPr>
        <w:pStyle w:val="Normlndobloku"/>
      </w:pPr>
    </w:p>
    <w:p w:rsidR="00D2379D" w:rsidRPr="00A40935" w:rsidRDefault="00D2379D" w:rsidP="00760366">
      <w:pPr>
        <w:pStyle w:val="Styl2"/>
      </w:pPr>
      <w:r w:rsidRPr="00A40935">
        <w:t>Liekové</w:t>
      </w:r>
      <w:r w:rsidR="00484688" w:rsidRPr="00A40935">
        <w:t xml:space="preserve"> a </w:t>
      </w:r>
      <w:r w:rsidRPr="00A40935">
        <w:t>iné interakcie</w:t>
      </w:r>
    </w:p>
    <w:p w:rsidR="009B06D7" w:rsidRDefault="009B06D7" w:rsidP="00B542F0">
      <w:pPr>
        <w:pStyle w:val="Normlndobloku"/>
      </w:pPr>
    </w:p>
    <w:p w:rsidR="00D2379D" w:rsidRDefault="00D2379D" w:rsidP="00B542F0">
      <w:pPr>
        <w:pStyle w:val="Normlndobloku"/>
      </w:pPr>
      <w:proofErr w:type="spellStart"/>
      <w:r w:rsidRPr="00A40935">
        <w:t>Probenecid</w:t>
      </w:r>
      <w:proofErr w:type="spellEnd"/>
      <w:r w:rsidRPr="00A40935">
        <w:t xml:space="preserve"> interferuje</w:t>
      </w:r>
      <w:r w:rsidR="00484688" w:rsidRPr="00A40935">
        <w:t xml:space="preserve"> s </w:t>
      </w:r>
      <w:proofErr w:type="spellStart"/>
      <w:r w:rsidRPr="00A40935">
        <w:t>renálnym</w:t>
      </w:r>
      <w:proofErr w:type="spellEnd"/>
      <w:r w:rsidRPr="00A40935">
        <w:t xml:space="preserve"> </w:t>
      </w:r>
      <w:proofErr w:type="spellStart"/>
      <w:r w:rsidRPr="00A40935">
        <w:t>tubulárnym</w:t>
      </w:r>
      <w:proofErr w:type="spellEnd"/>
      <w:r w:rsidRPr="00A40935">
        <w:t xml:space="preserve"> prenosom </w:t>
      </w:r>
      <w:proofErr w:type="spellStart"/>
      <w:r w:rsidRPr="00A40935">
        <w:t>cefalosporínov</w:t>
      </w:r>
      <w:proofErr w:type="spellEnd"/>
      <w:r w:rsidR="006E65AE" w:rsidRPr="00A40935">
        <w:t>,</w:t>
      </w:r>
      <w:r w:rsidR="00484688" w:rsidRPr="00A40935">
        <w:t xml:space="preserve"> a </w:t>
      </w:r>
      <w:r w:rsidRPr="00A40935">
        <w:t>tak spomaľuje ich vylučovanie</w:t>
      </w:r>
      <w:r w:rsidR="00484688" w:rsidRPr="00A40935">
        <w:t xml:space="preserve"> a </w:t>
      </w:r>
      <w:r w:rsidRPr="00A40935">
        <w:t>zvyšuje ich plazmatickú koncentráciu.</w:t>
      </w:r>
    </w:p>
    <w:p w:rsidR="009B06D7" w:rsidRPr="00A40935" w:rsidRDefault="009B06D7" w:rsidP="00760366">
      <w:pPr>
        <w:pStyle w:val="Normlndobloku"/>
      </w:pPr>
    </w:p>
    <w:p w:rsidR="00D2379D" w:rsidRDefault="00D2379D" w:rsidP="00760366">
      <w:pPr>
        <w:pStyle w:val="Normlndobloku"/>
      </w:pPr>
      <w:r w:rsidRPr="00A40935">
        <w:t xml:space="preserve">Rovnako ako ostatné </w:t>
      </w:r>
      <w:proofErr w:type="spellStart"/>
      <w:r w:rsidRPr="00A40935">
        <w:t>cefalosporíny</w:t>
      </w:r>
      <w:proofErr w:type="spellEnd"/>
      <w:r w:rsidR="006E65AE" w:rsidRPr="00A40935">
        <w:t>,</w:t>
      </w:r>
      <w:r w:rsidRPr="00A40935">
        <w:t xml:space="preserve"> môže </w:t>
      </w:r>
      <w:r w:rsidR="006E65AE" w:rsidRPr="00A40935">
        <w:t xml:space="preserve">TAXIMED </w:t>
      </w:r>
      <w:r w:rsidR="009B06D7">
        <w:t>zosilňovať</w:t>
      </w:r>
      <w:r w:rsidRPr="00A40935">
        <w:t xml:space="preserve"> </w:t>
      </w:r>
      <w:proofErr w:type="spellStart"/>
      <w:r w:rsidRPr="00A40935">
        <w:t>nefrotoxické</w:t>
      </w:r>
      <w:proofErr w:type="spellEnd"/>
      <w:r w:rsidRPr="00A40935">
        <w:t xml:space="preserve"> účinky liekov, ako sú </w:t>
      </w:r>
      <w:proofErr w:type="spellStart"/>
      <w:r w:rsidRPr="00A40935">
        <w:t>aminoglykozidy</w:t>
      </w:r>
      <w:proofErr w:type="spellEnd"/>
      <w:r w:rsidRPr="00A40935">
        <w:t xml:space="preserve"> alebo silné diuretiká (napr. </w:t>
      </w:r>
      <w:proofErr w:type="spellStart"/>
      <w:r w:rsidRPr="00A40935">
        <w:t>furosemid</w:t>
      </w:r>
      <w:proofErr w:type="spellEnd"/>
      <w:r w:rsidRPr="00A40935">
        <w:t>).</w:t>
      </w:r>
      <w:r w:rsidR="00484688" w:rsidRPr="00A40935">
        <w:t xml:space="preserve"> </w:t>
      </w:r>
      <w:r w:rsidR="009B06D7">
        <w:t>V</w:t>
      </w:r>
      <w:r w:rsidR="00484688" w:rsidRPr="00A40935">
        <w:t> </w:t>
      </w:r>
      <w:r w:rsidRPr="00A40935">
        <w:t>prípade sú</w:t>
      </w:r>
      <w:r w:rsidR="009B06D7">
        <w:t>bežného</w:t>
      </w:r>
      <w:r w:rsidRPr="00A40935">
        <w:t xml:space="preserve"> podávania musí byť monitorovaná funkcia obličiek (pozri časť 4.4).</w:t>
      </w:r>
    </w:p>
    <w:p w:rsidR="009B06D7" w:rsidRPr="00A40935" w:rsidRDefault="009B06D7" w:rsidP="00760366">
      <w:pPr>
        <w:pStyle w:val="Normlndobloku"/>
      </w:pPr>
    </w:p>
    <w:p w:rsidR="00D2379D" w:rsidRPr="00A40935" w:rsidRDefault="00D2379D" w:rsidP="00760366">
      <w:pPr>
        <w:pStyle w:val="Styl2"/>
      </w:pPr>
      <w:proofErr w:type="spellStart"/>
      <w:r w:rsidRPr="00A40935">
        <w:t>Fertilita</w:t>
      </w:r>
      <w:proofErr w:type="spellEnd"/>
      <w:r w:rsidRPr="00A40935">
        <w:t>, gravidita a</w:t>
      </w:r>
      <w:r w:rsidR="0036765D" w:rsidRPr="00A40935">
        <w:t> </w:t>
      </w:r>
      <w:r w:rsidRPr="00A40935">
        <w:t>laktácia</w:t>
      </w:r>
    </w:p>
    <w:p w:rsidR="009B06D7" w:rsidRDefault="009B06D7" w:rsidP="0013449D">
      <w:pPr>
        <w:pStyle w:val="Styl3"/>
        <w:spacing w:after="0"/>
      </w:pPr>
    </w:p>
    <w:p w:rsidR="00D2379D" w:rsidRPr="00A40935" w:rsidRDefault="00D2379D" w:rsidP="0013449D">
      <w:pPr>
        <w:pStyle w:val="Styl3"/>
        <w:spacing w:after="0"/>
      </w:pPr>
      <w:r w:rsidRPr="00A40935">
        <w:t>Gravidita</w:t>
      </w:r>
    </w:p>
    <w:p w:rsidR="00D2379D" w:rsidRPr="00A40935" w:rsidRDefault="00D2379D" w:rsidP="00B542F0">
      <w:pPr>
        <w:pStyle w:val="Normlndobloku"/>
      </w:pPr>
      <w:r w:rsidRPr="00A40935">
        <w:lastRenderedPageBreak/>
        <w:t xml:space="preserve">Bezpečnosť podávania </w:t>
      </w:r>
      <w:proofErr w:type="spellStart"/>
      <w:r w:rsidRPr="00A40935">
        <w:t>cefotaxímu</w:t>
      </w:r>
      <w:proofErr w:type="spellEnd"/>
      <w:r w:rsidR="00484688" w:rsidRPr="00A40935">
        <w:t xml:space="preserve"> v </w:t>
      </w:r>
      <w:r w:rsidRPr="00A40935">
        <w:t>tehotenstve nebola stanovená.</w:t>
      </w:r>
    </w:p>
    <w:p w:rsidR="00F11CB2" w:rsidRDefault="00F11CB2" w:rsidP="00B542F0">
      <w:pPr>
        <w:pStyle w:val="Normlndobloku"/>
      </w:pPr>
    </w:p>
    <w:p w:rsidR="00FC1294" w:rsidRPr="00A40935" w:rsidRDefault="00D2379D" w:rsidP="00760366">
      <w:pPr>
        <w:pStyle w:val="Normlndobloku"/>
      </w:pPr>
      <w:r w:rsidRPr="00A40935">
        <w:t>Štúdie reprodukčnej toxicity na zvieratách nepreukázali priame alebo nepriame škodlivé účinky.</w:t>
      </w:r>
    </w:p>
    <w:p w:rsidR="00F11CB2" w:rsidRDefault="00F11CB2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>N</w:t>
      </w:r>
      <w:r w:rsidR="00F11CB2">
        <w:t>ie sú k dispozícii</w:t>
      </w:r>
      <w:r w:rsidRPr="00A40935">
        <w:t xml:space="preserve"> </w:t>
      </w:r>
      <w:r w:rsidR="00F11CB2">
        <w:t>zodpovedajúce</w:t>
      </w:r>
      <w:r w:rsidR="00484688" w:rsidRPr="00A40935">
        <w:t xml:space="preserve"> a </w:t>
      </w:r>
      <w:r w:rsidRPr="00A40935">
        <w:t>do</w:t>
      </w:r>
      <w:r w:rsidR="00F11CB2">
        <w:t>statočne</w:t>
      </w:r>
      <w:r w:rsidRPr="00A40935">
        <w:t xml:space="preserve"> kontrolované štúdie</w:t>
      </w:r>
      <w:r w:rsidR="00484688" w:rsidRPr="00A40935">
        <w:t xml:space="preserve"> u </w:t>
      </w:r>
      <w:r w:rsidRPr="00A40935">
        <w:t>tehotných žien.</w:t>
      </w:r>
    </w:p>
    <w:p w:rsidR="00F11CB2" w:rsidRDefault="00F11CB2" w:rsidP="00760366">
      <w:pPr>
        <w:pStyle w:val="Normlndobloku"/>
      </w:pPr>
    </w:p>
    <w:p w:rsidR="00D2379D" w:rsidRPr="00A40935" w:rsidRDefault="00D2379D" w:rsidP="00760366">
      <w:pPr>
        <w:pStyle w:val="Normlndobloku"/>
      </w:pPr>
      <w:proofErr w:type="spellStart"/>
      <w:r w:rsidRPr="00A40935">
        <w:t>Cefotaxím</w:t>
      </w:r>
      <w:proofErr w:type="spellEnd"/>
      <w:r w:rsidRPr="00A40935">
        <w:t xml:space="preserve"> prechádza placentárnou bariérou. Preto sa nemá používať počas gravidity pokiaľ prínos liečby neprevažuje nad potenciálnymi rizikami.</w:t>
      </w:r>
    </w:p>
    <w:p w:rsidR="00F11CB2" w:rsidRDefault="00F11CB2" w:rsidP="0013449D">
      <w:pPr>
        <w:pStyle w:val="Styl3"/>
        <w:spacing w:after="0"/>
      </w:pPr>
    </w:p>
    <w:p w:rsidR="00D2379D" w:rsidRPr="00A40935" w:rsidRDefault="00C95C11" w:rsidP="0013449D">
      <w:pPr>
        <w:pStyle w:val="Styl3"/>
        <w:spacing w:after="0"/>
      </w:pPr>
      <w:r w:rsidRPr="00A40935">
        <w:t>Dojčenie</w:t>
      </w:r>
    </w:p>
    <w:p w:rsidR="00D2379D" w:rsidRPr="00A40935" w:rsidRDefault="00D2379D" w:rsidP="00B542F0">
      <w:pPr>
        <w:pStyle w:val="Normlndobloku"/>
      </w:pPr>
      <w:proofErr w:type="spellStart"/>
      <w:r w:rsidRPr="00A40935">
        <w:t>Cefotaxím</w:t>
      </w:r>
      <w:proofErr w:type="spellEnd"/>
      <w:r w:rsidRPr="00A40935">
        <w:t xml:space="preserve"> sa vylučuje do materského mlieka.</w:t>
      </w:r>
    </w:p>
    <w:p w:rsidR="00F11CB2" w:rsidRDefault="00F11CB2" w:rsidP="00B542F0">
      <w:pPr>
        <w:pStyle w:val="Normlndobloku"/>
      </w:pPr>
    </w:p>
    <w:p w:rsidR="00D2379D" w:rsidRDefault="00D2379D" w:rsidP="00760366">
      <w:pPr>
        <w:pStyle w:val="Normlndobloku"/>
      </w:pPr>
      <w:r w:rsidRPr="00A40935">
        <w:t xml:space="preserve">Nemožno vylúčiť vplyv na </w:t>
      </w:r>
      <w:proofErr w:type="spellStart"/>
      <w:r w:rsidRPr="00A40935">
        <w:t>intestinálnu</w:t>
      </w:r>
      <w:proofErr w:type="spellEnd"/>
      <w:r w:rsidRPr="00A40935">
        <w:t xml:space="preserve"> flóru dojčiat. Môže d</w:t>
      </w:r>
      <w:r w:rsidR="00C95C11" w:rsidRPr="00A40935">
        <w:t>ôj</w:t>
      </w:r>
      <w:r w:rsidRPr="00A40935">
        <w:t>sť</w:t>
      </w:r>
      <w:r w:rsidR="00484688" w:rsidRPr="00A40935">
        <w:t xml:space="preserve"> k </w:t>
      </w:r>
      <w:r w:rsidRPr="00A40935">
        <w:t>hnačkám, kolonizácii kvasinkovými hubami</w:t>
      </w:r>
      <w:r w:rsidR="00484688" w:rsidRPr="00A40935">
        <w:t xml:space="preserve"> a </w:t>
      </w:r>
      <w:proofErr w:type="spellStart"/>
      <w:r w:rsidRPr="00A40935">
        <w:t>alergizácii</w:t>
      </w:r>
      <w:proofErr w:type="spellEnd"/>
      <w:r w:rsidRPr="00A40935">
        <w:t xml:space="preserve"> dojčaťa.</w:t>
      </w:r>
      <w:r w:rsidR="00484688" w:rsidRPr="00A40935">
        <w:t xml:space="preserve"> </w:t>
      </w:r>
      <w:r w:rsidR="00F11CB2">
        <w:t>Z</w:t>
      </w:r>
      <w:r w:rsidR="00484688" w:rsidRPr="00A40935">
        <w:t> </w:t>
      </w:r>
      <w:r w:rsidRPr="00A40935">
        <w:t>tohto dôvodu je nutné na základe posúdenia prospešnosti dojčenia pre dieťa</w:t>
      </w:r>
      <w:r w:rsidR="00484688" w:rsidRPr="00A40935">
        <w:t xml:space="preserve"> a </w:t>
      </w:r>
      <w:r w:rsidRPr="00A40935">
        <w:t>prínosu liečby pre matku rozhodnúť, či prerušiť dojčenie alebo ukončiť/prerušiť podávanie lieku.</w:t>
      </w:r>
    </w:p>
    <w:p w:rsidR="00F11CB2" w:rsidRPr="00A40935" w:rsidRDefault="00F11CB2" w:rsidP="00760366">
      <w:pPr>
        <w:pStyle w:val="Normlndobloku"/>
      </w:pPr>
    </w:p>
    <w:p w:rsidR="00D2379D" w:rsidRPr="00A40935" w:rsidRDefault="00D2379D" w:rsidP="00760366">
      <w:pPr>
        <w:pStyle w:val="Styl2"/>
      </w:pPr>
      <w:r w:rsidRPr="00A40935">
        <w:t>Ovplyvnenie schopnosti viesť vozidlá</w:t>
      </w:r>
      <w:r w:rsidR="00484688" w:rsidRPr="00A40935">
        <w:t xml:space="preserve"> a </w:t>
      </w:r>
      <w:r w:rsidRPr="00A40935">
        <w:t>obsluhovať stroje</w:t>
      </w:r>
    </w:p>
    <w:p w:rsidR="00F11CB2" w:rsidRDefault="00F11CB2" w:rsidP="00B542F0">
      <w:pPr>
        <w:pStyle w:val="Normlndobloku"/>
      </w:pPr>
    </w:p>
    <w:p w:rsidR="00D2379D" w:rsidRDefault="00010535" w:rsidP="00B542F0">
      <w:pPr>
        <w:pStyle w:val="Normlndobloku"/>
      </w:pPr>
      <w:r>
        <w:t>TAXIMED</w:t>
      </w:r>
      <w:r w:rsidR="00D2379D" w:rsidRPr="00A40935">
        <w:t xml:space="preserve"> </w:t>
      </w:r>
      <w:r>
        <w:t>nemá žiadny alebo má zanedbateľný vplyv</w:t>
      </w:r>
      <w:r w:rsidR="00D2379D" w:rsidRPr="00A40935">
        <w:t xml:space="preserve"> </w:t>
      </w:r>
      <w:r>
        <w:t>na</w:t>
      </w:r>
      <w:r w:rsidR="00D2379D" w:rsidRPr="00A40935">
        <w:t xml:space="preserve"> schopnosť viesť vozidlá alebo obsluhovať stroje. Vysoké dávky </w:t>
      </w:r>
      <w:proofErr w:type="spellStart"/>
      <w:r w:rsidR="00D2379D" w:rsidRPr="00A40935">
        <w:t>cefotaxímu</w:t>
      </w:r>
      <w:proofErr w:type="spellEnd"/>
      <w:r w:rsidR="00D2379D" w:rsidRPr="00A40935">
        <w:t>, najmä</w:t>
      </w:r>
      <w:r w:rsidR="00484688" w:rsidRPr="00A40935">
        <w:t xml:space="preserve"> u </w:t>
      </w:r>
      <w:r w:rsidR="00D2379D" w:rsidRPr="00A40935">
        <w:t>pacientov</w:t>
      </w:r>
      <w:r w:rsidR="00484688" w:rsidRPr="00A40935">
        <w:t xml:space="preserve"> s </w:t>
      </w:r>
      <w:proofErr w:type="spellStart"/>
      <w:r w:rsidR="00D2379D" w:rsidRPr="00A40935">
        <w:t>renálnou</w:t>
      </w:r>
      <w:proofErr w:type="spellEnd"/>
      <w:r w:rsidR="00D2379D" w:rsidRPr="00A40935">
        <w:t xml:space="preserve"> </w:t>
      </w:r>
      <w:proofErr w:type="spellStart"/>
      <w:r w:rsidR="00D2379D" w:rsidRPr="00A40935">
        <w:t>insuficienciou</w:t>
      </w:r>
      <w:proofErr w:type="spellEnd"/>
      <w:r w:rsidR="00D2379D" w:rsidRPr="00A40935">
        <w:t xml:space="preserve">, môžu spôsobiť </w:t>
      </w:r>
      <w:proofErr w:type="spellStart"/>
      <w:r w:rsidR="00D2379D" w:rsidRPr="00A40935">
        <w:t>encefalopatiu</w:t>
      </w:r>
      <w:proofErr w:type="spellEnd"/>
      <w:r w:rsidR="00D2379D" w:rsidRPr="00A40935">
        <w:t xml:space="preserve"> (napr. porucha vedomia, abnormálne pohyby</w:t>
      </w:r>
      <w:r w:rsidR="00484688" w:rsidRPr="00A40935">
        <w:t xml:space="preserve"> a </w:t>
      </w:r>
      <w:r w:rsidR="00D2379D" w:rsidRPr="00A40935">
        <w:t>kŕče, pozri časť 4.8). Pacient</w:t>
      </w:r>
      <w:r>
        <w:t>i majú byť upozornení aby</w:t>
      </w:r>
      <w:r w:rsidR="00D2379D" w:rsidRPr="00A40935">
        <w:t xml:space="preserve"> ne</w:t>
      </w:r>
      <w:r w:rsidR="0054537F">
        <w:t>viedli voz</w:t>
      </w:r>
      <w:r>
        <w:t>idlá</w:t>
      </w:r>
      <w:r w:rsidR="00484688" w:rsidRPr="00A40935">
        <w:t xml:space="preserve"> a </w:t>
      </w:r>
      <w:r w:rsidR="00D2379D" w:rsidRPr="00A40935">
        <w:t>neobsluhova</w:t>
      </w:r>
      <w:r>
        <w:t>li</w:t>
      </w:r>
      <w:r w:rsidR="00D2379D" w:rsidRPr="00A40935">
        <w:t xml:space="preserve"> stroje, ak sa takéto príznaky vyskytnú.</w:t>
      </w:r>
    </w:p>
    <w:p w:rsidR="00F11CB2" w:rsidRPr="00A40935" w:rsidRDefault="00F11CB2" w:rsidP="00B542F0">
      <w:pPr>
        <w:pStyle w:val="Normlndobloku"/>
      </w:pPr>
    </w:p>
    <w:p w:rsidR="00D2379D" w:rsidRPr="008F4B2B" w:rsidRDefault="00D2379D" w:rsidP="00760366">
      <w:pPr>
        <w:pStyle w:val="Styl2"/>
      </w:pPr>
      <w:r w:rsidRPr="008F4B2B">
        <w:t>Nežiaduce účinky</w:t>
      </w:r>
    </w:p>
    <w:p w:rsidR="00D2379D" w:rsidRPr="00A40935" w:rsidRDefault="00D2379D" w:rsidP="00B542F0">
      <w:pPr>
        <w:pStyle w:val="Normlndobloku"/>
      </w:pPr>
    </w:p>
    <w:tbl>
      <w:tblPr>
        <w:tblW w:w="104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956"/>
        <w:gridCol w:w="974"/>
        <w:gridCol w:w="1982"/>
        <w:gridCol w:w="1173"/>
        <w:gridCol w:w="1318"/>
        <w:gridCol w:w="2098"/>
      </w:tblGrid>
      <w:tr w:rsidR="0054537F" w:rsidRPr="00A40935" w:rsidTr="0013449D">
        <w:trPr>
          <w:trHeight w:val="1369"/>
          <w:tblHeader/>
        </w:trPr>
        <w:tc>
          <w:tcPr>
            <w:tcW w:w="1988" w:type="dxa"/>
          </w:tcPr>
          <w:p w:rsidR="00D2379D" w:rsidRPr="00A40935" w:rsidRDefault="00D2379D" w:rsidP="00B542F0">
            <w:pPr>
              <w:pStyle w:val="Normlndobloku"/>
            </w:pPr>
            <w:r w:rsidRPr="00A40935">
              <w:t>Triedy orgánových systémov</w:t>
            </w:r>
          </w:p>
        </w:tc>
        <w:tc>
          <w:tcPr>
            <w:tcW w:w="956" w:type="dxa"/>
          </w:tcPr>
          <w:p w:rsidR="0054537F" w:rsidRDefault="00D2379D" w:rsidP="00B542F0">
            <w:pPr>
              <w:pStyle w:val="Normlndobloku"/>
            </w:pPr>
            <w:r w:rsidRPr="00A40935">
              <w:t xml:space="preserve">Veľmi časté </w:t>
            </w:r>
          </w:p>
          <w:p w:rsidR="00D2379D" w:rsidRPr="00A40935" w:rsidRDefault="00D2379D" w:rsidP="00760366">
            <w:pPr>
              <w:pStyle w:val="Normlndobloku"/>
            </w:pPr>
            <w:r w:rsidRPr="00A40935">
              <w:t>(≥ 1/10)</w:t>
            </w:r>
          </w:p>
        </w:tc>
        <w:tc>
          <w:tcPr>
            <w:tcW w:w="1022" w:type="dxa"/>
          </w:tcPr>
          <w:p w:rsidR="0054537F" w:rsidRDefault="00D2379D" w:rsidP="00760366">
            <w:pPr>
              <w:pStyle w:val="Normlndobloku"/>
            </w:pPr>
            <w:r w:rsidRPr="00A40935">
              <w:t xml:space="preserve">Časté </w:t>
            </w:r>
          </w:p>
          <w:p w:rsidR="0054537F" w:rsidRDefault="00D2379D" w:rsidP="00760366">
            <w:pPr>
              <w:pStyle w:val="Normlndobloku"/>
            </w:pPr>
            <w:r w:rsidRPr="00A40935">
              <w:t>(≥</w:t>
            </w:r>
            <w:r w:rsidR="0054537F">
              <w:t> </w:t>
            </w:r>
            <w:r w:rsidRPr="00A40935">
              <w:t>1/100</w:t>
            </w:r>
          </w:p>
          <w:p w:rsidR="0054537F" w:rsidRDefault="00D2379D" w:rsidP="00760366">
            <w:pPr>
              <w:pStyle w:val="Normlndobloku"/>
            </w:pPr>
            <w:r w:rsidRPr="00A40935">
              <w:t xml:space="preserve">až </w:t>
            </w:r>
          </w:p>
          <w:p w:rsidR="00D2379D" w:rsidRPr="00A40935" w:rsidRDefault="00D2379D" w:rsidP="00760366">
            <w:pPr>
              <w:pStyle w:val="Normlndobloku"/>
            </w:pPr>
            <w:r w:rsidRPr="00A40935">
              <w:t>&lt; 1/10)</w:t>
            </w:r>
          </w:p>
        </w:tc>
        <w:tc>
          <w:tcPr>
            <w:tcW w:w="1841" w:type="dxa"/>
          </w:tcPr>
          <w:p w:rsidR="0054537F" w:rsidRDefault="00D2379D" w:rsidP="00760366">
            <w:pPr>
              <w:pStyle w:val="Normlndobloku"/>
            </w:pPr>
            <w:r w:rsidRPr="00A40935">
              <w:t xml:space="preserve">Menej časté </w:t>
            </w:r>
          </w:p>
          <w:p w:rsidR="0054537F" w:rsidRDefault="00D2379D" w:rsidP="00760366">
            <w:pPr>
              <w:pStyle w:val="Normlndobloku"/>
            </w:pPr>
            <w:r w:rsidRPr="00A40935">
              <w:t xml:space="preserve">(≥ 1/1 000 až </w:t>
            </w:r>
          </w:p>
          <w:p w:rsidR="00D2379D" w:rsidRPr="00A40935" w:rsidRDefault="00D2379D" w:rsidP="00760366">
            <w:pPr>
              <w:pStyle w:val="Normlndobloku"/>
            </w:pPr>
            <w:r w:rsidRPr="00A40935">
              <w:t>&lt; 1/100)</w:t>
            </w:r>
          </w:p>
        </w:tc>
        <w:tc>
          <w:tcPr>
            <w:tcW w:w="1451" w:type="dxa"/>
          </w:tcPr>
          <w:p w:rsidR="00D2379D" w:rsidRPr="00A40935" w:rsidRDefault="00D2379D" w:rsidP="00760366">
            <w:pPr>
              <w:pStyle w:val="Normlndobloku"/>
            </w:pPr>
            <w:r w:rsidRPr="00A40935">
              <w:t>Zriedkavé (≥ 1/10 000</w:t>
            </w:r>
            <w:r w:rsidR="0054537F">
              <w:t xml:space="preserve"> </w:t>
            </w:r>
            <w:r w:rsidRPr="00A40935">
              <w:t>až &lt;</w:t>
            </w:r>
            <w:r w:rsidR="0054537F">
              <w:t> </w:t>
            </w:r>
            <w:r w:rsidRPr="00A40935">
              <w:t>1/1 000)</w:t>
            </w:r>
          </w:p>
        </w:tc>
        <w:tc>
          <w:tcPr>
            <w:tcW w:w="1133" w:type="dxa"/>
          </w:tcPr>
          <w:p w:rsidR="00D2379D" w:rsidRPr="00A40935" w:rsidRDefault="00D2379D" w:rsidP="00760366">
            <w:pPr>
              <w:pStyle w:val="Normlndobloku"/>
            </w:pPr>
            <w:r w:rsidRPr="00A40935">
              <w:t>Veľmi zriedkavé (&lt;</w:t>
            </w:r>
            <w:r w:rsidR="0054537F">
              <w:t> </w:t>
            </w:r>
            <w:r w:rsidRPr="00A40935">
              <w:t>1/10 000)</w:t>
            </w:r>
          </w:p>
        </w:tc>
        <w:tc>
          <w:tcPr>
            <w:tcW w:w="2098" w:type="dxa"/>
          </w:tcPr>
          <w:p w:rsidR="00D2379D" w:rsidRPr="00A40935" w:rsidRDefault="00D2379D" w:rsidP="00760366">
            <w:pPr>
              <w:pStyle w:val="Normlndobloku"/>
            </w:pPr>
            <w:r w:rsidRPr="00A40935">
              <w:t>Neznáme (z dostupných údajov)</w:t>
            </w:r>
          </w:p>
        </w:tc>
      </w:tr>
      <w:tr w:rsidR="0054537F" w:rsidRPr="00A40935" w:rsidTr="0013449D">
        <w:trPr>
          <w:trHeight w:val="619"/>
        </w:trPr>
        <w:tc>
          <w:tcPr>
            <w:tcW w:w="1988" w:type="dxa"/>
          </w:tcPr>
          <w:p w:rsidR="00D2379D" w:rsidRPr="00A40935" w:rsidRDefault="00D2379D" w:rsidP="00B542F0">
            <w:pPr>
              <w:pStyle w:val="Normlndobloku"/>
            </w:pPr>
            <w:r w:rsidRPr="00A40935">
              <w:t>Infekcie</w:t>
            </w:r>
            <w:r w:rsidR="00484688" w:rsidRPr="00A40935">
              <w:t xml:space="preserve"> a </w:t>
            </w:r>
            <w:r w:rsidRPr="00A40935">
              <w:t>nákazy</w:t>
            </w:r>
          </w:p>
        </w:tc>
        <w:tc>
          <w:tcPr>
            <w:tcW w:w="956" w:type="dxa"/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451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</w:tcPr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Superinfekcia</w:t>
            </w:r>
            <w:proofErr w:type="spellEnd"/>
            <w:r w:rsidRPr="00A40935">
              <w:t xml:space="preserve"> (pozri časť 4.4)</w:t>
            </w:r>
          </w:p>
        </w:tc>
      </w:tr>
      <w:tr w:rsidR="0054537F" w:rsidRPr="00A40935" w:rsidTr="0013449D">
        <w:trPr>
          <w:trHeight w:val="645"/>
        </w:trPr>
        <w:tc>
          <w:tcPr>
            <w:tcW w:w="1988" w:type="dxa"/>
            <w:tcBorders>
              <w:bottom w:val="single" w:sz="4" w:space="0" w:color="auto"/>
            </w:tcBorders>
          </w:tcPr>
          <w:p w:rsidR="00D2379D" w:rsidRPr="00A40935" w:rsidRDefault="00D2379D" w:rsidP="00B542F0">
            <w:pPr>
              <w:pStyle w:val="Normlndobloku"/>
            </w:pPr>
            <w:r w:rsidRPr="00A40935">
              <w:t>Poruchy krvi</w:t>
            </w:r>
            <w:r w:rsidR="00484688" w:rsidRPr="00A40935">
              <w:t xml:space="preserve"> a </w:t>
            </w:r>
            <w:r w:rsidRPr="00A40935">
              <w:t>lymfatického systému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Leukopénia</w:t>
            </w:r>
            <w:proofErr w:type="spellEnd"/>
            <w:r w:rsidRPr="00A40935">
              <w:t xml:space="preserve">, </w:t>
            </w:r>
            <w:proofErr w:type="spellStart"/>
            <w:r w:rsidRPr="00A40935">
              <w:t>eozinofília</w:t>
            </w:r>
            <w:proofErr w:type="spellEnd"/>
            <w:r w:rsidRPr="00A40935">
              <w:t xml:space="preserve">, </w:t>
            </w:r>
            <w:proofErr w:type="spellStart"/>
            <w:r w:rsidRPr="00A40935">
              <w:t>trombocytopénia</w:t>
            </w:r>
            <w:proofErr w:type="spellEnd"/>
          </w:p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15570" w:rsidRPr="00A40935" w:rsidDel="00605882" w:rsidRDefault="00605882" w:rsidP="00760366">
            <w:pPr>
              <w:pStyle w:val="Normlndobloku"/>
            </w:pPr>
            <w:r w:rsidRPr="00A40935">
              <w:t>Zlyhanie kostnej drene</w:t>
            </w:r>
          </w:p>
          <w:p w:rsidR="00605882" w:rsidRPr="00A40935" w:rsidRDefault="00605882" w:rsidP="00760366">
            <w:pPr>
              <w:pStyle w:val="Normlndobloku"/>
            </w:pPr>
          </w:p>
          <w:p w:rsidR="00843E24" w:rsidRPr="00A40935" w:rsidRDefault="00843E24" w:rsidP="00760366">
            <w:pPr>
              <w:pStyle w:val="Normlndobloku"/>
            </w:pPr>
            <w:proofErr w:type="spellStart"/>
            <w:r w:rsidRPr="00A40935">
              <w:t>Pancytop</w:t>
            </w:r>
            <w:r w:rsidR="00ED283A" w:rsidRPr="00A40935">
              <w:t>é</w:t>
            </w:r>
            <w:r w:rsidRPr="00A40935">
              <w:t>nia</w:t>
            </w:r>
            <w:proofErr w:type="spellEnd"/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Neutropénia</w:t>
            </w:r>
            <w:proofErr w:type="spellEnd"/>
            <w:r w:rsidRPr="00A40935">
              <w:t xml:space="preserve">, </w:t>
            </w:r>
            <w:proofErr w:type="spellStart"/>
            <w:r w:rsidRPr="00A40935">
              <w:t>agranulocytóza</w:t>
            </w:r>
            <w:proofErr w:type="spellEnd"/>
            <w:r w:rsidRPr="00A40935">
              <w:t xml:space="preserve"> (pozri časť 4.4)</w:t>
            </w:r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Hemolytická</w:t>
            </w:r>
            <w:proofErr w:type="spellEnd"/>
            <w:r w:rsidRPr="00A40935">
              <w:t xml:space="preserve"> anémia</w:t>
            </w:r>
          </w:p>
        </w:tc>
      </w:tr>
      <w:tr w:rsidR="0054537F" w:rsidRPr="00A40935" w:rsidTr="0013449D">
        <w:trPr>
          <w:trHeight w:val="2226"/>
        </w:trPr>
        <w:tc>
          <w:tcPr>
            <w:tcW w:w="1988" w:type="dxa"/>
          </w:tcPr>
          <w:p w:rsidR="00D2379D" w:rsidRPr="00A40935" w:rsidRDefault="00D2379D" w:rsidP="00B542F0">
            <w:pPr>
              <w:pStyle w:val="Normlndobloku"/>
            </w:pPr>
            <w:r w:rsidRPr="00A40935">
              <w:t>Poruchy imunitného systému</w:t>
            </w:r>
          </w:p>
        </w:tc>
        <w:tc>
          <w:tcPr>
            <w:tcW w:w="956" w:type="dxa"/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</w:tcPr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Jarisch</w:t>
            </w:r>
            <w:r w:rsidR="00CA4E25">
              <w:t>ova</w:t>
            </w:r>
            <w:r w:rsidRPr="00A40935">
              <w:t>-Herxheimerova</w:t>
            </w:r>
            <w:proofErr w:type="spellEnd"/>
            <w:r w:rsidRPr="00A40935">
              <w:t xml:space="preserve"> reakcia</w:t>
            </w:r>
          </w:p>
        </w:tc>
        <w:tc>
          <w:tcPr>
            <w:tcW w:w="1451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</w:tcPr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Anafylaktická</w:t>
            </w:r>
            <w:proofErr w:type="spellEnd"/>
            <w:r w:rsidRPr="00A40935">
              <w:t xml:space="preserve"> reakcia</w:t>
            </w:r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Angioedém</w:t>
            </w:r>
            <w:proofErr w:type="spellEnd"/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Bronchospa</w:t>
            </w:r>
            <w:r w:rsidR="0054537F">
              <w:t>z</w:t>
            </w:r>
            <w:r w:rsidRPr="00A40935">
              <w:t>mus</w:t>
            </w:r>
            <w:proofErr w:type="spellEnd"/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Anafylaktický</w:t>
            </w:r>
            <w:proofErr w:type="spellEnd"/>
            <w:r w:rsidRPr="00A40935">
              <w:t xml:space="preserve"> šok</w:t>
            </w:r>
          </w:p>
        </w:tc>
      </w:tr>
      <w:tr w:rsidR="0054537F" w:rsidRPr="00A40935" w:rsidTr="0013449D">
        <w:trPr>
          <w:trHeight w:val="2369"/>
        </w:trPr>
        <w:tc>
          <w:tcPr>
            <w:tcW w:w="1988" w:type="dxa"/>
          </w:tcPr>
          <w:p w:rsidR="00D2379D" w:rsidRPr="00A40935" w:rsidRDefault="00D2379D" w:rsidP="00B542F0">
            <w:pPr>
              <w:pStyle w:val="Normlndobloku"/>
            </w:pPr>
            <w:r w:rsidRPr="00A40935">
              <w:lastRenderedPageBreak/>
              <w:t>Poruchy nervového systému</w:t>
            </w:r>
          </w:p>
        </w:tc>
        <w:tc>
          <w:tcPr>
            <w:tcW w:w="956" w:type="dxa"/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</w:tcPr>
          <w:p w:rsidR="00D2379D" w:rsidRPr="00A40935" w:rsidRDefault="00D2379D" w:rsidP="00760366">
            <w:pPr>
              <w:pStyle w:val="Normlndobloku"/>
            </w:pPr>
            <w:r w:rsidRPr="00A40935">
              <w:t>Kŕče (pozri časť 4.4)</w:t>
            </w:r>
          </w:p>
        </w:tc>
        <w:tc>
          <w:tcPr>
            <w:tcW w:w="1451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</w:tcPr>
          <w:p w:rsidR="00D2379D" w:rsidRPr="00A40935" w:rsidRDefault="00D2379D" w:rsidP="00760366">
            <w:pPr>
              <w:pStyle w:val="Normlndobloku"/>
            </w:pPr>
            <w:r w:rsidRPr="00A40935">
              <w:t>Bolesť hlavy</w:t>
            </w:r>
          </w:p>
          <w:p w:rsidR="00D2379D" w:rsidRPr="00A40935" w:rsidRDefault="00D2379D" w:rsidP="00760366">
            <w:pPr>
              <w:pStyle w:val="Normlndobloku"/>
            </w:pPr>
            <w:r w:rsidRPr="00A40935">
              <w:t>Závrat</w:t>
            </w:r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Encefalopatia</w:t>
            </w:r>
            <w:proofErr w:type="spellEnd"/>
            <w:r w:rsidRPr="00A40935">
              <w:t xml:space="preserve"> (napr. porucha vedomia, abnormálne pohyby) (pozri časť 4.4)</w:t>
            </w:r>
          </w:p>
        </w:tc>
      </w:tr>
      <w:tr w:rsidR="0054537F" w:rsidRPr="00A40935" w:rsidTr="0013449D">
        <w:trPr>
          <w:trHeight w:val="2119"/>
        </w:trPr>
        <w:tc>
          <w:tcPr>
            <w:tcW w:w="1988" w:type="dxa"/>
          </w:tcPr>
          <w:p w:rsidR="00D2379D" w:rsidRPr="00A40935" w:rsidRDefault="00D2379D" w:rsidP="00B542F0">
            <w:pPr>
              <w:pStyle w:val="Normlndobloku"/>
            </w:pPr>
            <w:r w:rsidRPr="00A40935">
              <w:t>Poruchy srdca</w:t>
            </w:r>
            <w:r w:rsidR="00484688" w:rsidRPr="00A40935">
              <w:t xml:space="preserve"> a </w:t>
            </w:r>
            <w:r w:rsidRPr="00A40935">
              <w:t>srdcovej činnosti</w:t>
            </w:r>
          </w:p>
        </w:tc>
        <w:tc>
          <w:tcPr>
            <w:tcW w:w="956" w:type="dxa"/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451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</w:tcPr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Arytmia</w:t>
            </w:r>
            <w:proofErr w:type="spellEnd"/>
            <w:r w:rsidRPr="00A40935">
              <w:t xml:space="preserve"> nasledujúca po rýchlom </w:t>
            </w:r>
            <w:proofErr w:type="spellStart"/>
            <w:r w:rsidRPr="00A40935">
              <w:t>bolusovom</w:t>
            </w:r>
            <w:proofErr w:type="spellEnd"/>
            <w:r w:rsidRPr="00A40935">
              <w:t xml:space="preserve"> podaní centrálnym žilovým katétrom</w:t>
            </w:r>
          </w:p>
        </w:tc>
      </w:tr>
      <w:tr w:rsidR="0054537F" w:rsidRPr="00A40935" w:rsidTr="0013449D">
        <w:trPr>
          <w:trHeight w:val="2107"/>
        </w:trPr>
        <w:tc>
          <w:tcPr>
            <w:tcW w:w="1988" w:type="dxa"/>
          </w:tcPr>
          <w:p w:rsidR="00D2379D" w:rsidRPr="00A40935" w:rsidRDefault="00D2379D" w:rsidP="00B542F0">
            <w:pPr>
              <w:pStyle w:val="Normlndobloku"/>
            </w:pPr>
            <w:r w:rsidRPr="00A40935">
              <w:t xml:space="preserve">Poruchy </w:t>
            </w:r>
            <w:proofErr w:type="spellStart"/>
            <w:r w:rsidRPr="00A40935">
              <w:t>gastrointestinálneho</w:t>
            </w:r>
            <w:proofErr w:type="spellEnd"/>
            <w:r w:rsidRPr="00A40935">
              <w:t xml:space="preserve"> traktu</w:t>
            </w:r>
          </w:p>
        </w:tc>
        <w:tc>
          <w:tcPr>
            <w:tcW w:w="956" w:type="dxa"/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</w:tcPr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Diarea</w:t>
            </w:r>
            <w:proofErr w:type="spellEnd"/>
          </w:p>
        </w:tc>
        <w:tc>
          <w:tcPr>
            <w:tcW w:w="1451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</w:tcPr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Nauzea</w:t>
            </w:r>
            <w:proofErr w:type="spellEnd"/>
            <w:r w:rsidRPr="00A40935">
              <w:t xml:space="preserve">, </w:t>
            </w:r>
            <w:proofErr w:type="spellStart"/>
            <w:r w:rsidRPr="00A40935">
              <w:t>vomitus</w:t>
            </w:r>
            <w:proofErr w:type="spellEnd"/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Abdominálna</w:t>
            </w:r>
            <w:proofErr w:type="spellEnd"/>
            <w:r w:rsidRPr="00A40935">
              <w:t xml:space="preserve"> bolesť</w:t>
            </w:r>
          </w:p>
          <w:p w:rsidR="00D2379D" w:rsidRPr="00A40935" w:rsidRDefault="00D2379D" w:rsidP="00760366">
            <w:pPr>
              <w:pStyle w:val="Normlndobloku"/>
              <w:rPr>
                <w:b/>
              </w:rPr>
            </w:pPr>
            <w:proofErr w:type="spellStart"/>
            <w:r w:rsidRPr="00A40935">
              <w:t>Pseudomembranózna</w:t>
            </w:r>
            <w:proofErr w:type="spellEnd"/>
            <w:r w:rsidRPr="00A40935">
              <w:t xml:space="preserve"> </w:t>
            </w:r>
            <w:proofErr w:type="spellStart"/>
            <w:r w:rsidRPr="00A40935">
              <w:t>kolitída</w:t>
            </w:r>
            <w:proofErr w:type="spellEnd"/>
            <w:r w:rsidRPr="00A40935">
              <w:t xml:space="preserve"> (pozri časť 4.4)</w:t>
            </w:r>
          </w:p>
        </w:tc>
      </w:tr>
      <w:tr w:rsidR="0054537F" w:rsidRPr="00A40935" w:rsidTr="0013449D">
        <w:trPr>
          <w:trHeight w:val="370"/>
        </w:trPr>
        <w:tc>
          <w:tcPr>
            <w:tcW w:w="1988" w:type="dxa"/>
            <w:tcBorders>
              <w:bottom w:val="single" w:sz="4" w:space="0" w:color="auto"/>
            </w:tcBorders>
          </w:tcPr>
          <w:p w:rsidR="00D2379D" w:rsidRPr="00A40935" w:rsidRDefault="00D2379D" w:rsidP="00B542F0">
            <w:pPr>
              <w:pStyle w:val="Normlndobloku"/>
            </w:pPr>
            <w:r w:rsidRPr="00A40935">
              <w:t>Poruchy pečene</w:t>
            </w:r>
            <w:r w:rsidR="00484688" w:rsidRPr="00A40935">
              <w:t xml:space="preserve"> a </w:t>
            </w:r>
            <w:r w:rsidRPr="00A40935">
              <w:t>žlčových ciest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  <w:r w:rsidRPr="00A40935">
              <w:t xml:space="preserve">Zvýšenie </w:t>
            </w:r>
            <w:r w:rsidR="00B542F0">
              <w:t>hladín</w:t>
            </w:r>
            <w:r w:rsidR="00CA4E25">
              <w:t xml:space="preserve"> </w:t>
            </w:r>
            <w:r w:rsidRPr="00A40935">
              <w:t xml:space="preserve">pečeňových enzýmov (ALT, AST, LDH, </w:t>
            </w:r>
            <w:proofErr w:type="spellStart"/>
            <w:r w:rsidRPr="00A40935">
              <w:t>gamma-GT</w:t>
            </w:r>
            <w:proofErr w:type="spellEnd"/>
            <w:r w:rsidR="00484688" w:rsidRPr="00A40935">
              <w:t xml:space="preserve"> a </w:t>
            </w:r>
            <w:r w:rsidRPr="00A40935">
              <w:t>/alebo alkalick</w:t>
            </w:r>
            <w:r w:rsidR="00B542F0">
              <w:t>ej</w:t>
            </w:r>
            <w:r w:rsidRPr="00A40935">
              <w:t xml:space="preserve"> </w:t>
            </w:r>
            <w:proofErr w:type="spellStart"/>
            <w:r w:rsidRPr="00A40935">
              <w:t>fosfatáz</w:t>
            </w:r>
            <w:r w:rsidR="00B542F0">
              <w:t>y</w:t>
            </w:r>
            <w:proofErr w:type="spellEnd"/>
            <w:r w:rsidRPr="00A40935">
              <w:t>)</w:t>
            </w:r>
            <w:r w:rsidR="00484688" w:rsidRPr="00A40935">
              <w:t xml:space="preserve"> a </w:t>
            </w:r>
            <w:r w:rsidRPr="00A40935">
              <w:t xml:space="preserve">/alebo </w:t>
            </w:r>
            <w:proofErr w:type="spellStart"/>
            <w:r w:rsidRPr="00A40935">
              <w:t>bilirubín</w:t>
            </w:r>
            <w:r w:rsidR="00B542F0">
              <w:t>u</w:t>
            </w:r>
            <w:proofErr w:type="spellEnd"/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  <w:r w:rsidRPr="00A40935">
              <w:t>Hepatitída * (niekedy</w:t>
            </w:r>
            <w:r w:rsidR="00484688" w:rsidRPr="00A40935">
              <w:t xml:space="preserve"> s</w:t>
            </w:r>
            <w:r w:rsidR="00B542F0">
              <w:t>o</w:t>
            </w:r>
            <w:r w:rsidR="00484688" w:rsidRPr="00A40935">
              <w:t> </w:t>
            </w:r>
            <w:r w:rsidRPr="00A40935">
              <w:t>žltačkou)</w:t>
            </w:r>
          </w:p>
        </w:tc>
      </w:tr>
      <w:tr w:rsidR="0054537F" w:rsidRPr="00A40935" w:rsidTr="0013449D">
        <w:trPr>
          <w:trHeight w:val="621"/>
        </w:trPr>
        <w:tc>
          <w:tcPr>
            <w:tcW w:w="1988" w:type="dxa"/>
          </w:tcPr>
          <w:p w:rsidR="00D2379D" w:rsidRPr="00A40935" w:rsidRDefault="00D2379D" w:rsidP="00B542F0">
            <w:pPr>
              <w:pStyle w:val="Normlndobloku"/>
            </w:pPr>
            <w:r w:rsidRPr="00A40935">
              <w:t>Poruchy kože</w:t>
            </w:r>
            <w:r w:rsidR="00484688" w:rsidRPr="00A40935">
              <w:t xml:space="preserve"> a </w:t>
            </w:r>
            <w:r w:rsidRPr="00A40935">
              <w:t>podkožného tkaniva</w:t>
            </w:r>
          </w:p>
        </w:tc>
        <w:tc>
          <w:tcPr>
            <w:tcW w:w="956" w:type="dxa"/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</w:tcPr>
          <w:p w:rsidR="00D2379D" w:rsidRPr="00A40935" w:rsidRDefault="00D2379D" w:rsidP="00760366">
            <w:pPr>
              <w:pStyle w:val="Normlndobloku"/>
            </w:pPr>
            <w:r w:rsidRPr="00A40935">
              <w:t>Vyrážka</w:t>
            </w:r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Pruritus</w:t>
            </w:r>
            <w:proofErr w:type="spellEnd"/>
          </w:p>
          <w:p w:rsidR="00D2379D" w:rsidRPr="00A40935" w:rsidRDefault="00D2379D" w:rsidP="00760366">
            <w:pPr>
              <w:pStyle w:val="Normlndobloku"/>
            </w:pPr>
            <w:r w:rsidRPr="00A40935">
              <w:t>Žihľavka</w:t>
            </w:r>
          </w:p>
        </w:tc>
        <w:tc>
          <w:tcPr>
            <w:tcW w:w="1451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</w:tcPr>
          <w:p w:rsidR="00D2379D" w:rsidRPr="00A40935" w:rsidRDefault="00B542F0" w:rsidP="00760366">
            <w:pPr>
              <w:pStyle w:val="Normlndobloku"/>
            </w:pPr>
            <w:proofErr w:type="spellStart"/>
            <w:r>
              <w:t>Multiformný</w:t>
            </w:r>
            <w:proofErr w:type="spellEnd"/>
            <w:r>
              <w:t xml:space="preserve"> </w:t>
            </w:r>
            <w:proofErr w:type="spellStart"/>
            <w:r>
              <w:t>erytém</w:t>
            </w:r>
            <w:proofErr w:type="spellEnd"/>
          </w:p>
          <w:p w:rsidR="00D2379D" w:rsidRPr="00A40935" w:rsidRDefault="00D2379D" w:rsidP="00760366">
            <w:pPr>
              <w:pStyle w:val="Normlndobloku"/>
            </w:pPr>
            <w:proofErr w:type="spellStart"/>
            <w:r w:rsidRPr="00A40935">
              <w:t>Stevensov-Johnsonov</w:t>
            </w:r>
            <w:proofErr w:type="spellEnd"/>
            <w:r w:rsidRPr="00A40935">
              <w:t xml:space="preserve"> syndróm</w:t>
            </w:r>
          </w:p>
          <w:p w:rsidR="00D2379D" w:rsidRPr="00A40935" w:rsidRDefault="00D2379D" w:rsidP="00760366">
            <w:pPr>
              <w:pStyle w:val="Normlndobloku"/>
            </w:pPr>
            <w:r w:rsidRPr="00A40935">
              <w:t xml:space="preserve">Toxická </w:t>
            </w:r>
            <w:proofErr w:type="spellStart"/>
            <w:r w:rsidRPr="00A40935">
              <w:t>epidermálna</w:t>
            </w:r>
            <w:proofErr w:type="spellEnd"/>
            <w:r w:rsidRPr="00A40935">
              <w:t xml:space="preserve"> </w:t>
            </w:r>
            <w:proofErr w:type="spellStart"/>
            <w:r w:rsidRPr="00A40935">
              <w:t>nekrolýza</w:t>
            </w:r>
            <w:proofErr w:type="spellEnd"/>
            <w:r w:rsidRPr="00A40935">
              <w:t xml:space="preserve"> (pozri časť 4.4)</w:t>
            </w:r>
          </w:p>
          <w:p w:rsidR="00115570" w:rsidRPr="00A40935" w:rsidRDefault="00A26585" w:rsidP="00760366">
            <w:pPr>
              <w:pStyle w:val="Normlndobloku"/>
            </w:pPr>
            <w:r w:rsidRPr="00A40935">
              <w:t xml:space="preserve">Akútna generalizovaná </w:t>
            </w:r>
            <w:proofErr w:type="spellStart"/>
            <w:r w:rsidRPr="00A40935">
              <w:t>exantémová</w:t>
            </w:r>
            <w:proofErr w:type="spellEnd"/>
            <w:r w:rsidRPr="00A40935">
              <w:t xml:space="preserve"> </w:t>
            </w:r>
            <w:proofErr w:type="spellStart"/>
            <w:r w:rsidRPr="00A40935">
              <w:t>pustulóza</w:t>
            </w:r>
            <w:proofErr w:type="spellEnd"/>
            <w:r w:rsidRPr="00A40935">
              <w:t xml:space="preserve"> (AGEP)</w:t>
            </w:r>
          </w:p>
          <w:p w:rsidR="00843E24" w:rsidRPr="00A40935" w:rsidRDefault="00843E24" w:rsidP="00760366">
            <w:pPr>
              <w:pStyle w:val="Normlndobloku"/>
            </w:pPr>
          </w:p>
        </w:tc>
      </w:tr>
      <w:tr w:rsidR="0054537F" w:rsidRPr="00A40935" w:rsidTr="0013449D">
        <w:trPr>
          <w:trHeight w:val="621"/>
        </w:trPr>
        <w:tc>
          <w:tcPr>
            <w:tcW w:w="1988" w:type="dxa"/>
            <w:tcBorders>
              <w:bottom w:val="single" w:sz="4" w:space="0" w:color="auto"/>
            </w:tcBorders>
          </w:tcPr>
          <w:p w:rsidR="00D2379D" w:rsidRPr="00A40935" w:rsidRDefault="00D2379D" w:rsidP="00B542F0">
            <w:pPr>
              <w:pStyle w:val="Normlndobloku"/>
            </w:pPr>
            <w:r w:rsidRPr="00A40935">
              <w:t>Poruchy obličiek</w:t>
            </w:r>
            <w:r w:rsidR="00484688" w:rsidRPr="00A40935">
              <w:t xml:space="preserve"> a </w:t>
            </w:r>
            <w:r w:rsidRPr="00A40935">
              <w:t>močových ciest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2379D" w:rsidRPr="00A40935" w:rsidRDefault="00D2379D" w:rsidP="00B542F0">
            <w:pPr>
              <w:pStyle w:val="Normlndobloku"/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  <w:r w:rsidRPr="00A40935">
              <w:t>Znížená funkcia obličiek/zvýšen</w:t>
            </w:r>
            <w:r w:rsidR="00B542F0">
              <w:t>á hladina</w:t>
            </w:r>
            <w:r w:rsidRPr="00A40935">
              <w:t xml:space="preserve"> </w:t>
            </w:r>
            <w:proofErr w:type="spellStart"/>
            <w:r w:rsidRPr="00A40935">
              <w:t>kreatinín</w:t>
            </w:r>
            <w:r w:rsidR="00B542F0">
              <w:t>u</w:t>
            </w:r>
            <w:proofErr w:type="spellEnd"/>
          </w:p>
          <w:p w:rsidR="00D2379D" w:rsidRPr="00A40935" w:rsidRDefault="00D2379D" w:rsidP="00760366">
            <w:pPr>
              <w:pStyle w:val="Normlndobloku"/>
            </w:pPr>
            <w:r w:rsidRPr="00A40935">
              <w:t xml:space="preserve">(najmä pri </w:t>
            </w:r>
            <w:r w:rsidR="00B542F0">
              <w:t xml:space="preserve">súbežnej </w:t>
            </w:r>
            <w:r w:rsidR="00B542F0">
              <w:lastRenderedPageBreak/>
              <w:t xml:space="preserve">liečbe </w:t>
            </w:r>
            <w:r w:rsidR="00484688" w:rsidRPr="00A40935">
              <w:t>s </w:t>
            </w:r>
            <w:proofErr w:type="spellStart"/>
            <w:r w:rsidR="00ED283A" w:rsidRPr="00A40935">
              <w:t>aminoglykozidmi</w:t>
            </w:r>
            <w:proofErr w:type="spellEnd"/>
            <w:r w:rsidRPr="00A40935">
              <w:t>)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  <w:r w:rsidRPr="00A40935">
              <w:t xml:space="preserve">Akútne zlyhanie obličiek (pozri časť 4.4), </w:t>
            </w:r>
            <w:proofErr w:type="spellStart"/>
            <w:r w:rsidRPr="00A40935">
              <w:t>intersticiálna</w:t>
            </w:r>
            <w:proofErr w:type="spellEnd"/>
            <w:r w:rsidRPr="00A40935">
              <w:t xml:space="preserve"> </w:t>
            </w:r>
            <w:proofErr w:type="spellStart"/>
            <w:r w:rsidRPr="00A40935">
              <w:t>nefritída</w:t>
            </w:r>
            <w:proofErr w:type="spellEnd"/>
          </w:p>
        </w:tc>
      </w:tr>
      <w:tr w:rsidR="0054537F" w:rsidRPr="00A40935" w:rsidTr="0013449D">
        <w:trPr>
          <w:trHeight w:val="621"/>
        </w:trPr>
        <w:tc>
          <w:tcPr>
            <w:tcW w:w="1988" w:type="dxa"/>
            <w:tcBorders>
              <w:bottom w:val="single" w:sz="4" w:space="0" w:color="auto"/>
            </w:tcBorders>
          </w:tcPr>
          <w:p w:rsidR="00D2379D" w:rsidRPr="00A40935" w:rsidRDefault="00D2379D" w:rsidP="00B542F0">
            <w:pPr>
              <w:pStyle w:val="Normlndobloku"/>
            </w:pPr>
            <w:r w:rsidRPr="00A40935">
              <w:lastRenderedPageBreak/>
              <w:t>Celkové poruchy</w:t>
            </w:r>
            <w:r w:rsidR="00484688" w:rsidRPr="00A40935">
              <w:t xml:space="preserve"> a </w:t>
            </w:r>
            <w:r w:rsidRPr="00A40935">
              <w:t>reakcie</w:t>
            </w:r>
            <w:r w:rsidR="00484688" w:rsidRPr="00A40935">
              <w:t xml:space="preserve"> v </w:t>
            </w:r>
            <w:r w:rsidRPr="00A40935">
              <w:t xml:space="preserve">mieste podania 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2379D" w:rsidRPr="00A40935" w:rsidRDefault="00D2379D" w:rsidP="00B542F0">
            <w:pPr>
              <w:pStyle w:val="Normlndobloku"/>
            </w:pPr>
            <w:r w:rsidRPr="00A40935">
              <w:t>Bolesť</w:t>
            </w:r>
            <w:r w:rsidR="00484688" w:rsidRPr="00A40935">
              <w:t xml:space="preserve"> v </w:t>
            </w:r>
            <w:r w:rsidRPr="00A40935">
              <w:t xml:space="preserve">mieste podania </w:t>
            </w:r>
            <w:proofErr w:type="spellStart"/>
            <w:r w:rsidRPr="00A40935">
              <w:t>i.m</w:t>
            </w:r>
            <w:proofErr w:type="spellEnd"/>
            <w:r w:rsidRPr="00A40935">
              <w:t xml:space="preserve">. injekcie 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  <w:r w:rsidRPr="00A40935">
              <w:t xml:space="preserve"> 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  <w:r w:rsidRPr="00A40935">
              <w:t>Horúčka</w:t>
            </w:r>
          </w:p>
          <w:p w:rsidR="00D2379D" w:rsidRPr="00A40935" w:rsidRDefault="00D2379D" w:rsidP="00760366">
            <w:pPr>
              <w:pStyle w:val="Normlndobloku"/>
            </w:pPr>
            <w:r w:rsidRPr="00A40935">
              <w:t>Zápalové reakcie</w:t>
            </w:r>
            <w:r w:rsidR="00484688" w:rsidRPr="00A40935">
              <w:t xml:space="preserve"> v </w:t>
            </w:r>
            <w:r w:rsidRPr="00A40935">
              <w:t xml:space="preserve">mieste podania </w:t>
            </w:r>
            <w:proofErr w:type="spellStart"/>
            <w:r w:rsidRPr="00A40935">
              <w:t>i.m</w:t>
            </w:r>
            <w:proofErr w:type="spellEnd"/>
            <w:r w:rsidRPr="00A40935">
              <w:t xml:space="preserve">. injekcie zahŕňajúce </w:t>
            </w:r>
            <w:proofErr w:type="spellStart"/>
            <w:r w:rsidRPr="00A40935">
              <w:t>flebitídu</w:t>
            </w:r>
            <w:proofErr w:type="spellEnd"/>
            <w:r w:rsidRPr="00A40935">
              <w:t>/</w:t>
            </w:r>
            <w:proofErr w:type="spellStart"/>
            <w:r w:rsidRPr="00A40935">
              <w:t>trombo-flebitídu</w:t>
            </w:r>
            <w:proofErr w:type="spellEnd"/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2379D" w:rsidRPr="00A40935" w:rsidRDefault="00D2379D" w:rsidP="00760366">
            <w:pPr>
              <w:pStyle w:val="Normlndobloku"/>
            </w:pPr>
            <w:r w:rsidRPr="00A40935">
              <w:t xml:space="preserve">V prípade podávania </w:t>
            </w:r>
            <w:proofErr w:type="spellStart"/>
            <w:r w:rsidRPr="00A40935">
              <w:t>i.m</w:t>
            </w:r>
            <w:proofErr w:type="spellEnd"/>
            <w:r w:rsidRPr="00A40935">
              <w:t xml:space="preserve">. injekcie </w:t>
            </w:r>
            <w:r w:rsidR="00B542F0">
              <w:t>s obsahom</w:t>
            </w:r>
            <w:r w:rsidRPr="00A40935">
              <w:t xml:space="preserve"> roztok</w:t>
            </w:r>
            <w:r w:rsidR="00B542F0">
              <w:t>u</w:t>
            </w:r>
            <w:r w:rsidRPr="00A40935">
              <w:t xml:space="preserve"> </w:t>
            </w:r>
            <w:proofErr w:type="spellStart"/>
            <w:r w:rsidRPr="00A40935">
              <w:t>lidokaínu</w:t>
            </w:r>
            <w:proofErr w:type="spellEnd"/>
            <w:r w:rsidRPr="00A40935">
              <w:t xml:space="preserve">: systémové reakcie na </w:t>
            </w:r>
            <w:proofErr w:type="spellStart"/>
            <w:r w:rsidRPr="00A40935">
              <w:t>lidokaín</w:t>
            </w:r>
            <w:proofErr w:type="spellEnd"/>
          </w:p>
        </w:tc>
      </w:tr>
    </w:tbl>
    <w:p w:rsidR="00D2379D" w:rsidRDefault="00D2379D" w:rsidP="00B542F0">
      <w:pPr>
        <w:pStyle w:val="Normlndobloku"/>
      </w:pPr>
      <w:r w:rsidRPr="00A40935">
        <w:t>* skúsenosti</w:t>
      </w:r>
      <w:r w:rsidR="00B542F0">
        <w:t xml:space="preserve"> po uvedení lieku na trh</w:t>
      </w:r>
    </w:p>
    <w:p w:rsidR="00B542F0" w:rsidRPr="00A40935" w:rsidRDefault="00B542F0" w:rsidP="00B542F0">
      <w:pPr>
        <w:pStyle w:val="Normlndobloku"/>
      </w:pPr>
    </w:p>
    <w:p w:rsidR="00D2379D" w:rsidRPr="00A40935" w:rsidRDefault="00D2379D" w:rsidP="0013449D">
      <w:pPr>
        <w:pStyle w:val="Styl3"/>
        <w:spacing w:after="0"/>
      </w:pPr>
      <w:proofErr w:type="spellStart"/>
      <w:r w:rsidRPr="00A40935">
        <w:t>Jarisch</w:t>
      </w:r>
      <w:r w:rsidR="00CA4E25">
        <w:t>ova</w:t>
      </w:r>
      <w:r w:rsidRPr="00A40935">
        <w:t>-Herxheimerova</w:t>
      </w:r>
      <w:proofErr w:type="spellEnd"/>
      <w:r w:rsidRPr="00A40935">
        <w:t xml:space="preserve"> reakcia</w:t>
      </w:r>
    </w:p>
    <w:p w:rsidR="00D2379D" w:rsidRPr="00A40935" w:rsidRDefault="00D2379D" w:rsidP="00B542F0">
      <w:pPr>
        <w:pStyle w:val="Normlndobloku"/>
      </w:pPr>
      <w:r w:rsidRPr="00A40935">
        <w:t xml:space="preserve">Pri liečbe </w:t>
      </w:r>
      <w:proofErr w:type="spellStart"/>
      <w:r w:rsidRPr="00A40935">
        <w:t>lymskej</w:t>
      </w:r>
      <w:proofErr w:type="spellEnd"/>
      <w:r w:rsidRPr="00A40935">
        <w:t xml:space="preserve"> </w:t>
      </w:r>
      <w:proofErr w:type="spellStart"/>
      <w:r w:rsidRPr="00A40935">
        <w:t>boreliózy</w:t>
      </w:r>
      <w:proofErr w:type="spellEnd"/>
      <w:r w:rsidRPr="00A40935">
        <w:t xml:space="preserve"> sa počas prvých dní liečby môže objaviť </w:t>
      </w:r>
      <w:proofErr w:type="spellStart"/>
      <w:r w:rsidRPr="00A40935">
        <w:t>Jarisch</w:t>
      </w:r>
      <w:r w:rsidR="00B542F0">
        <w:t>ova</w:t>
      </w:r>
      <w:r w:rsidRPr="00A40935">
        <w:t>-Herxheimerova</w:t>
      </w:r>
      <w:proofErr w:type="spellEnd"/>
      <w:r w:rsidRPr="00A40935">
        <w:t xml:space="preserve"> reakcia.</w:t>
      </w:r>
    </w:p>
    <w:p w:rsidR="00B542F0" w:rsidRDefault="00B542F0" w:rsidP="00B542F0">
      <w:pPr>
        <w:pStyle w:val="Normlndobloku"/>
      </w:pPr>
    </w:p>
    <w:p w:rsidR="00D2379D" w:rsidRDefault="00D2379D" w:rsidP="00B542F0">
      <w:pPr>
        <w:pStyle w:val="Normlndobloku"/>
      </w:pPr>
      <w:r w:rsidRPr="00A40935">
        <w:t xml:space="preserve">Po niekoľkých týždňoch liečby </w:t>
      </w:r>
      <w:proofErr w:type="spellStart"/>
      <w:r w:rsidRPr="00A40935">
        <w:t>boreliózy</w:t>
      </w:r>
      <w:proofErr w:type="spellEnd"/>
      <w:r w:rsidRPr="00A40935">
        <w:t xml:space="preserve"> bol hlásený výskyt jedného alebo viacerých nasledujúcich príznakov: kožné vyrážky, svrbenie, horúčka, </w:t>
      </w:r>
      <w:proofErr w:type="spellStart"/>
      <w:r w:rsidRPr="00A40935">
        <w:t>leukopénia</w:t>
      </w:r>
      <w:proofErr w:type="spellEnd"/>
      <w:r w:rsidRPr="00A40935">
        <w:t xml:space="preserve">, zvýšenie </w:t>
      </w:r>
      <w:r w:rsidR="00B542F0">
        <w:t xml:space="preserve">hladín </w:t>
      </w:r>
      <w:r w:rsidRPr="00A40935">
        <w:t>pečeňových enzýmov, ťažkosti</w:t>
      </w:r>
      <w:r w:rsidR="00484688" w:rsidRPr="00A40935">
        <w:t xml:space="preserve"> s </w:t>
      </w:r>
      <w:r w:rsidRPr="00A40935">
        <w:t>dýchaním, ťažkosti</w:t>
      </w:r>
      <w:r w:rsidR="00B542F0">
        <w:t xml:space="preserve"> s kĺbmi</w:t>
      </w:r>
      <w:r w:rsidRPr="00A40935">
        <w:t>.</w:t>
      </w:r>
    </w:p>
    <w:p w:rsidR="00B542F0" w:rsidRPr="00A40935" w:rsidRDefault="00B542F0" w:rsidP="00B542F0">
      <w:pPr>
        <w:pStyle w:val="Normlndobloku"/>
      </w:pPr>
    </w:p>
    <w:p w:rsidR="00D2379D" w:rsidRPr="00A40935" w:rsidRDefault="00D2379D" w:rsidP="0013449D">
      <w:pPr>
        <w:pStyle w:val="Styl3"/>
        <w:spacing w:after="0"/>
      </w:pPr>
      <w:r w:rsidRPr="00A40935">
        <w:t>Poruchy pečene</w:t>
      </w:r>
      <w:r w:rsidR="00484688" w:rsidRPr="00A40935">
        <w:t xml:space="preserve"> a </w:t>
      </w:r>
      <w:r w:rsidRPr="00A40935">
        <w:t>žlčových ciest</w:t>
      </w:r>
    </w:p>
    <w:p w:rsidR="00D2379D" w:rsidRDefault="00D2379D" w:rsidP="00B542F0">
      <w:pPr>
        <w:pStyle w:val="Normlndobloku"/>
      </w:pPr>
      <w:r w:rsidRPr="00A40935">
        <w:t>Bolo zistené zvýšenie h</w:t>
      </w:r>
      <w:r w:rsidR="00B542F0">
        <w:t>ladín</w:t>
      </w:r>
      <w:r w:rsidRPr="00A40935">
        <w:t xml:space="preserve"> pečeňových enzýmov (ALT, AST, LDH, </w:t>
      </w:r>
      <w:proofErr w:type="spellStart"/>
      <w:r w:rsidRPr="00A40935">
        <w:t>gamma-GT</w:t>
      </w:r>
      <w:proofErr w:type="spellEnd"/>
      <w:r w:rsidRPr="00A40935">
        <w:t xml:space="preserve"> a/alebo alkalickej </w:t>
      </w:r>
      <w:proofErr w:type="spellStart"/>
      <w:r w:rsidRPr="00A40935">
        <w:t>fosfatázy</w:t>
      </w:r>
      <w:proofErr w:type="spellEnd"/>
      <w:r w:rsidRPr="00A40935">
        <w:t xml:space="preserve">) a/alebo </w:t>
      </w:r>
      <w:proofErr w:type="spellStart"/>
      <w:r w:rsidRPr="00A40935">
        <w:t>bilirubínu</w:t>
      </w:r>
      <w:proofErr w:type="spellEnd"/>
      <w:r w:rsidRPr="00A40935">
        <w:t>. Tieto abnormálne laboratórne hodnoty môžu zriedkavo až dv</w:t>
      </w:r>
      <w:r w:rsidR="00B542F0">
        <w:t>ojnásobne</w:t>
      </w:r>
      <w:r w:rsidRPr="00A40935">
        <w:t xml:space="preserve"> prevýšiť hornú hranicu normálnych hodnôt</w:t>
      </w:r>
      <w:r w:rsidR="00484688" w:rsidRPr="00A40935">
        <w:t xml:space="preserve"> a </w:t>
      </w:r>
      <w:r w:rsidRPr="00A40935">
        <w:t>vyvolať po</w:t>
      </w:r>
      <w:r w:rsidR="00B542F0">
        <w:t>ruchu funkcie</w:t>
      </w:r>
      <w:r w:rsidRPr="00A40935">
        <w:t xml:space="preserve"> pečene, často </w:t>
      </w:r>
      <w:proofErr w:type="spellStart"/>
      <w:r w:rsidRPr="00A40935">
        <w:t>cholestatick</w:t>
      </w:r>
      <w:r w:rsidR="00B542F0">
        <w:t>ú</w:t>
      </w:r>
      <w:proofErr w:type="spellEnd"/>
      <w:r w:rsidR="00484688" w:rsidRPr="00A40935">
        <w:t xml:space="preserve"> a </w:t>
      </w:r>
      <w:proofErr w:type="spellStart"/>
      <w:r w:rsidRPr="00A40935">
        <w:t>asymptomatick</w:t>
      </w:r>
      <w:r w:rsidR="00B542F0">
        <w:t>ú</w:t>
      </w:r>
      <w:proofErr w:type="spellEnd"/>
      <w:r w:rsidRPr="00A40935">
        <w:t>.</w:t>
      </w:r>
    </w:p>
    <w:p w:rsidR="00B542F0" w:rsidRPr="00A40935" w:rsidRDefault="00B542F0" w:rsidP="00B542F0">
      <w:pPr>
        <w:pStyle w:val="Normlndobloku"/>
      </w:pPr>
    </w:p>
    <w:p w:rsidR="006F1C8F" w:rsidRPr="00A40935" w:rsidRDefault="006F1C8F" w:rsidP="00760366">
      <w:pPr>
        <w:pStyle w:val="Styl2-2"/>
      </w:pPr>
      <w:proofErr w:type="spellStart"/>
      <w:r w:rsidRPr="00A40935">
        <w:t>Superinfekci</w:t>
      </w:r>
      <w:r w:rsidR="00A26585" w:rsidRPr="00A40935">
        <w:t>a</w:t>
      </w:r>
      <w:proofErr w:type="spellEnd"/>
    </w:p>
    <w:p w:rsidR="006F1C8F" w:rsidRDefault="006F1C8F" w:rsidP="00B542F0">
      <w:pPr>
        <w:pStyle w:val="Normlndobloku"/>
      </w:pPr>
      <w:r w:rsidRPr="00A40935">
        <w:t xml:space="preserve">Rovnako ako pri iných antibiotikách, použitie </w:t>
      </w:r>
      <w:r w:rsidR="00ED283A" w:rsidRPr="00A40935">
        <w:t>TAXIMED</w:t>
      </w:r>
      <w:r w:rsidR="00130FCE">
        <w:t>U</w:t>
      </w:r>
      <w:r w:rsidRPr="00A40935">
        <w:t>, najmä ak je predĺžené, môže mať za následok nadmerný výskyt necitlivých mikroorganizmov. Nevyhnutné je opakované hodnotenie stavu pacienta. Ak počas liečby dôjde</w:t>
      </w:r>
      <w:r w:rsidR="00484688" w:rsidRPr="00A40935">
        <w:t xml:space="preserve"> k </w:t>
      </w:r>
      <w:proofErr w:type="spellStart"/>
      <w:r w:rsidRPr="00A40935">
        <w:t>superinfekcii</w:t>
      </w:r>
      <w:proofErr w:type="spellEnd"/>
      <w:r w:rsidRPr="00A40935">
        <w:t>, majú sa prijať vhodné opatrenia.</w:t>
      </w:r>
    </w:p>
    <w:p w:rsidR="00760366" w:rsidRPr="00A40935" w:rsidRDefault="00760366" w:rsidP="00B542F0">
      <w:pPr>
        <w:pStyle w:val="Normlndobloku"/>
      </w:pPr>
    </w:p>
    <w:p w:rsidR="006F1C8F" w:rsidRPr="00A40935" w:rsidRDefault="006F1C8F" w:rsidP="00760366">
      <w:pPr>
        <w:pStyle w:val="Styl2-2"/>
      </w:pPr>
      <w:r w:rsidRPr="00A40935">
        <w:t xml:space="preserve">Pre </w:t>
      </w:r>
      <w:proofErr w:type="spellStart"/>
      <w:r w:rsidRPr="00A40935">
        <w:t>intramuskulárne</w:t>
      </w:r>
      <w:proofErr w:type="spellEnd"/>
      <w:r w:rsidRPr="00A40935">
        <w:t xml:space="preserve"> </w:t>
      </w:r>
      <w:r w:rsidR="00A26585" w:rsidRPr="00A40935">
        <w:t>podanie</w:t>
      </w:r>
    </w:p>
    <w:p w:rsidR="00843E24" w:rsidRDefault="006F1C8F" w:rsidP="00B542F0">
      <w:pPr>
        <w:pStyle w:val="Normlndobloku"/>
      </w:pPr>
      <w:r w:rsidRPr="00A40935">
        <w:t xml:space="preserve">Keďže rozpúšťadlo obsahuje </w:t>
      </w:r>
      <w:proofErr w:type="spellStart"/>
      <w:r w:rsidRPr="00A40935">
        <w:t>lidoka</w:t>
      </w:r>
      <w:r w:rsidR="000A7020" w:rsidRPr="00A40935">
        <w:t>í</w:t>
      </w:r>
      <w:r w:rsidRPr="00A40935">
        <w:t>n</w:t>
      </w:r>
      <w:proofErr w:type="spellEnd"/>
      <w:r w:rsidRPr="00A40935">
        <w:t xml:space="preserve">, môžu sa vyskytnúť systémové reakcie na </w:t>
      </w:r>
      <w:proofErr w:type="spellStart"/>
      <w:r w:rsidRPr="00A40935">
        <w:t>lidokaín</w:t>
      </w:r>
      <w:proofErr w:type="spellEnd"/>
      <w:r w:rsidRPr="00A40935">
        <w:t>, najmä</w:t>
      </w:r>
      <w:r w:rsidR="00484688" w:rsidRPr="00A40935">
        <w:t xml:space="preserve"> v </w:t>
      </w:r>
      <w:r w:rsidRPr="00A40935">
        <w:t>prípade ne</w:t>
      </w:r>
      <w:r w:rsidR="0039582C" w:rsidRPr="00A40935">
        <w:t xml:space="preserve">dostatočne uváženej </w:t>
      </w:r>
      <w:r w:rsidRPr="00A40935">
        <w:t xml:space="preserve">intravenóznej injekcie alebo injekcie do vysoko </w:t>
      </w:r>
      <w:r w:rsidR="00760366">
        <w:t>prekrveného</w:t>
      </w:r>
      <w:r w:rsidRPr="00A40935">
        <w:t xml:space="preserve"> tkaniva alebo</w:t>
      </w:r>
      <w:r w:rsidR="00484688" w:rsidRPr="00A40935">
        <w:t xml:space="preserve"> v </w:t>
      </w:r>
      <w:r w:rsidRPr="00A40935">
        <w:t>prípade predávkovania.</w:t>
      </w:r>
    </w:p>
    <w:p w:rsidR="00760366" w:rsidRPr="00A40935" w:rsidRDefault="00760366" w:rsidP="00B542F0">
      <w:pPr>
        <w:pStyle w:val="Normlndobloku"/>
      </w:pPr>
    </w:p>
    <w:p w:rsidR="00D2379D" w:rsidRPr="00A40935" w:rsidRDefault="00D2379D" w:rsidP="00760366">
      <w:pPr>
        <w:pStyle w:val="Styl2-2"/>
      </w:pPr>
      <w:r w:rsidRPr="00A40935">
        <w:t>Hlásenie podozrení na nežiaduce reakcie</w:t>
      </w:r>
    </w:p>
    <w:p w:rsidR="00D2379D" w:rsidRPr="0013449D" w:rsidRDefault="00D2379D" w:rsidP="00B542F0">
      <w:pPr>
        <w:pStyle w:val="Normlndobloku"/>
        <w:rPr>
          <w:color w:val="000000" w:themeColor="text1"/>
        </w:rPr>
      </w:pPr>
      <w:r w:rsidRPr="00A40935">
        <w:t>Hlásenie podozrení na nežiaduce reakcie po registrácii lieku je dôležité. Umožňuje priebežné monitorovanie pomeru prínosu</w:t>
      </w:r>
      <w:r w:rsidR="00484688" w:rsidRPr="00A40935">
        <w:t xml:space="preserve"> a </w:t>
      </w:r>
      <w:r w:rsidRPr="00A40935">
        <w:t xml:space="preserve">rizika lieku. Od zdravotníckych pracovníkov sa vyžaduje, aby hlásili akékoľvek podozrenia na nežiaduce reakcie </w:t>
      </w:r>
      <w:r w:rsidR="00760366">
        <w:t xml:space="preserve">na </w:t>
      </w:r>
      <w:r w:rsidRPr="0013449D">
        <w:rPr>
          <w:highlight w:val="lightGray"/>
        </w:rPr>
        <w:t xml:space="preserve">národné </w:t>
      </w:r>
      <w:r w:rsidR="00C95C11" w:rsidRPr="0013449D">
        <w:rPr>
          <w:highlight w:val="lightGray"/>
        </w:rPr>
        <w:t>centru</w:t>
      </w:r>
      <w:r w:rsidR="00760366" w:rsidRPr="0013449D">
        <w:rPr>
          <w:highlight w:val="lightGray"/>
        </w:rPr>
        <w:t>m</w:t>
      </w:r>
      <w:r w:rsidRPr="0013449D">
        <w:rPr>
          <w:highlight w:val="lightGray"/>
        </w:rPr>
        <w:t xml:space="preserve"> hlásenia uvedené</w:t>
      </w:r>
      <w:r w:rsidR="00484688" w:rsidRPr="0013449D">
        <w:rPr>
          <w:highlight w:val="lightGray"/>
        </w:rPr>
        <w:t xml:space="preserve"> v </w:t>
      </w:r>
      <w:hyperlink r:id="rId8" w:history="1">
        <w:r w:rsidRPr="0013449D">
          <w:rPr>
            <w:rStyle w:val="Hypertextovprepojenie"/>
            <w:highlight w:val="lightGray"/>
          </w:rPr>
          <w:t>Prílohe V</w:t>
        </w:r>
      </w:hyperlink>
      <w:r w:rsidRPr="00A40935">
        <w:t>.</w:t>
      </w:r>
    </w:p>
    <w:p w:rsidR="00760366" w:rsidRPr="00A40935" w:rsidRDefault="00760366" w:rsidP="00B542F0">
      <w:pPr>
        <w:pStyle w:val="Normlndobloku"/>
      </w:pPr>
    </w:p>
    <w:p w:rsidR="00D2379D" w:rsidRPr="00A40935" w:rsidRDefault="00D2379D" w:rsidP="00760366">
      <w:pPr>
        <w:pStyle w:val="Styl2"/>
      </w:pPr>
      <w:r w:rsidRPr="00A40935">
        <w:t>Predávkovanie</w:t>
      </w:r>
    </w:p>
    <w:p w:rsidR="00760366" w:rsidRDefault="00760366" w:rsidP="00B542F0">
      <w:pPr>
        <w:pStyle w:val="Normlndobloku"/>
      </w:pPr>
    </w:p>
    <w:p w:rsidR="007F4772" w:rsidRPr="00B74630" w:rsidRDefault="007F4772" w:rsidP="00B542F0">
      <w:pPr>
        <w:pStyle w:val="Normlndobloku"/>
      </w:pPr>
      <w:r w:rsidRPr="00A40935">
        <w:t>Symptómy predávkovania môžu</w:t>
      </w:r>
      <w:r w:rsidR="00484688" w:rsidRPr="00A40935">
        <w:t xml:space="preserve"> v </w:t>
      </w:r>
      <w:r w:rsidRPr="00AF2083">
        <w:t xml:space="preserve">rozsiahlej miere </w:t>
      </w:r>
      <w:r w:rsidR="00760366">
        <w:t>zodpovedať</w:t>
      </w:r>
      <w:r w:rsidR="00484688" w:rsidRPr="00AF2083">
        <w:t> </w:t>
      </w:r>
      <w:r w:rsidRPr="00EF3DAD">
        <w:t>pro</w:t>
      </w:r>
      <w:r w:rsidRPr="00B74630">
        <w:t>fil</w:t>
      </w:r>
      <w:r w:rsidR="00760366">
        <w:t>u</w:t>
      </w:r>
      <w:r w:rsidRPr="00B74630">
        <w:t xml:space="preserve"> vedľajších účinkov.</w:t>
      </w:r>
    </w:p>
    <w:p w:rsidR="00760366" w:rsidRDefault="00760366" w:rsidP="00B542F0">
      <w:pPr>
        <w:pStyle w:val="Normlndobloku"/>
      </w:pPr>
    </w:p>
    <w:p w:rsidR="007F4772" w:rsidRDefault="007F4772" w:rsidP="00B542F0">
      <w:pPr>
        <w:pStyle w:val="Normlndobloku"/>
      </w:pPr>
      <w:r w:rsidRPr="00A40935">
        <w:t xml:space="preserve">V prípade podávania vysokých dávok </w:t>
      </w:r>
      <w:proofErr w:type="spellStart"/>
      <w:r w:rsidRPr="00A40935">
        <w:t>β-laktámový</w:t>
      </w:r>
      <w:r w:rsidR="00760366">
        <w:t>ch</w:t>
      </w:r>
      <w:proofErr w:type="spellEnd"/>
      <w:r w:rsidRPr="00A40935">
        <w:t xml:space="preserve"> antibiot</w:t>
      </w:r>
      <w:r w:rsidR="00760366">
        <w:t>ík</w:t>
      </w:r>
      <w:r w:rsidRPr="00A40935">
        <w:t xml:space="preserve">, vrátane </w:t>
      </w:r>
      <w:r w:rsidR="00ED283A" w:rsidRPr="00A40935">
        <w:t>TAXIMED</w:t>
      </w:r>
      <w:r w:rsidR="00130FCE">
        <w:t>U</w:t>
      </w:r>
      <w:r w:rsidRPr="00A40935">
        <w:t xml:space="preserve">, </w:t>
      </w:r>
      <w:r w:rsidR="00760366">
        <w:t>existuje</w:t>
      </w:r>
      <w:r w:rsidRPr="00A40935">
        <w:t xml:space="preserve"> riziko reverzibilnej </w:t>
      </w:r>
      <w:proofErr w:type="spellStart"/>
      <w:r w:rsidRPr="00A40935">
        <w:t>encefalopatie</w:t>
      </w:r>
      <w:proofErr w:type="spellEnd"/>
      <w:r w:rsidRPr="00A40935">
        <w:t>.</w:t>
      </w:r>
    </w:p>
    <w:p w:rsidR="00760366" w:rsidRPr="00A40935" w:rsidRDefault="00760366" w:rsidP="00B542F0">
      <w:pPr>
        <w:pStyle w:val="Normlndobloku"/>
      </w:pPr>
    </w:p>
    <w:p w:rsidR="007F4772" w:rsidRDefault="007F4772" w:rsidP="00760366">
      <w:pPr>
        <w:pStyle w:val="Normlndobloku"/>
      </w:pPr>
      <w:r w:rsidRPr="00A40935">
        <w:lastRenderedPageBreak/>
        <w:t xml:space="preserve">V prípade predávkovania musí byť liečba </w:t>
      </w:r>
      <w:r w:rsidR="00ED283A" w:rsidRPr="00A40935">
        <w:t>TAXIMED</w:t>
      </w:r>
      <w:r w:rsidR="00130FCE">
        <w:t>OM</w:t>
      </w:r>
      <w:r w:rsidRPr="00A40935">
        <w:t xml:space="preserve"> prerušená</w:t>
      </w:r>
      <w:r w:rsidR="00484688" w:rsidRPr="00A40935">
        <w:t xml:space="preserve"> a </w:t>
      </w:r>
      <w:r w:rsidRPr="00A40935">
        <w:t>má sa začať</w:t>
      </w:r>
      <w:r w:rsidR="00484688" w:rsidRPr="00A40935">
        <w:t xml:space="preserve"> s </w:t>
      </w:r>
      <w:r w:rsidRPr="00A40935">
        <w:t xml:space="preserve">podpornou liečbou, ktorá zahŕňa opatrenia na urýchlenie eliminácie </w:t>
      </w:r>
      <w:r w:rsidR="00ED283A" w:rsidRPr="00A40935">
        <w:t>TAXIMED</w:t>
      </w:r>
      <w:r w:rsidR="00130FCE">
        <w:t>U</w:t>
      </w:r>
      <w:r w:rsidR="00484688" w:rsidRPr="00A40935">
        <w:t xml:space="preserve"> a </w:t>
      </w:r>
      <w:r w:rsidRPr="00A40935">
        <w:t>symptomatickú liečbu nežiaducich reakcií (napr. kŕčov).</w:t>
      </w:r>
    </w:p>
    <w:p w:rsidR="00760366" w:rsidRPr="00A40935" w:rsidRDefault="00760366" w:rsidP="00760366">
      <w:pPr>
        <w:pStyle w:val="Normlndobloku"/>
      </w:pPr>
    </w:p>
    <w:p w:rsidR="007F4772" w:rsidRDefault="007F4772" w:rsidP="00760366">
      <w:pPr>
        <w:pStyle w:val="Normlndobloku"/>
      </w:pPr>
      <w:r w:rsidRPr="00A40935">
        <w:t xml:space="preserve">Nie je známe špecifické </w:t>
      </w:r>
      <w:proofErr w:type="spellStart"/>
      <w:r w:rsidRPr="00A40935">
        <w:t>antidotum</w:t>
      </w:r>
      <w:proofErr w:type="spellEnd"/>
      <w:r w:rsidRPr="00A40935">
        <w:t xml:space="preserve"> pri predávkovaní. Hemodialýza alebo </w:t>
      </w:r>
      <w:proofErr w:type="spellStart"/>
      <w:r w:rsidRPr="00A40935">
        <w:t>peritoneálna</w:t>
      </w:r>
      <w:proofErr w:type="spellEnd"/>
      <w:r w:rsidRPr="00A40935">
        <w:t xml:space="preserve"> dialýza môže znižovať hladiny </w:t>
      </w:r>
      <w:proofErr w:type="spellStart"/>
      <w:r w:rsidRPr="00A40935">
        <w:t>cefotaxímu</w:t>
      </w:r>
      <w:proofErr w:type="spellEnd"/>
      <w:r w:rsidR="00484688" w:rsidRPr="00A40935">
        <w:t xml:space="preserve"> v </w:t>
      </w:r>
      <w:r w:rsidRPr="00A40935">
        <w:t>sére.</w:t>
      </w:r>
    </w:p>
    <w:p w:rsidR="00760366" w:rsidRDefault="00760366" w:rsidP="00760366">
      <w:pPr>
        <w:pStyle w:val="Normlndobloku"/>
      </w:pPr>
    </w:p>
    <w:p w:rsidR="00760366" w:rsidRPr="00A40935" w:rsidRDefault="00760366" w:rsidP="00760366">
      <w:pPr>
        <w:pStyle w:val="Normlndobloku"/>
      </w:pPr>
    </w:p>
    <w:p w:rsidR="00D2379D" w:rsidRDefault="00D2379D" w:rsidP="0013449D">
      <w:pPr>
        <w:pStyle w:val="Styl1"/>
      </w:pPr>
      <w:r w:rsidRPr="00A40935">
        <w:t>FARMAKOLOGICKÉ VLASTNOSTI</w:t>
      </w:r>
    </w:p>
    <w:p w:rsidR="00760366" w:rsidRPr="00A40935" w:rsidRDefault="00760366" w:rsidP="0013449D">
      <w:pPr>
        <w:pStyle w:val="Styl1"/>
        <w:numPr>
          <w:ilvl w:val="0"/>
          <w:numId w:val="0"/>
        </w:numPr>
        <w:ind w:left="357"/>
      </w:pPr>
    </w:p>
    <w:p w:rsidR="00D2379D" w:rsidRPr="00A40935" w:rsidRDefault="00D2379D" w:rsidP="00760366">
      <w:pPr>
        <w:pStyle w:val="Styl2"/>
      </w:pPr>
      <w:proofErr w:type="spellStart"/>
      <w:r w:rsidRPr="00A40935">
        <w:t>Farmakodynamické</w:t>
      </w:r>
      <w:proofErr w:type="spellEnd"/>
      <w:r w:rsidRPr="00A40935">
        <w:t xml:space="preserve"> vlastnosti</w:t>
      </w:r>
    </w:p>
    <w:p w:rsidR="00760366" w:rsidRDefault="00760366" w:rsidP="00B542F0">
      <w:pPr>
        <w:pStyle w:val="Normlndobloku"/>
      </w:pPr>
    </w:p>
    <w:p w:rsidR="00F2792F" w:rsidRDefault="00D2379D" w:rsidP="00B542F0">
      <w:pPr>
        <w:pStyle w:val="Normlndobloku"/>
      </w:pPr>
      <w:proofErr w:type="spellStart"/>
      <w:r w:rsidRPr="00A40935">
        <w:t>Farmakoterapeutická</w:t>
      </w:r>
      <w:proofErr w:type="spellEnd"/>
      <w:r w:rsidRPr="00A40935">
        <w:t xml:space="preserve"> skupina: </w:t>
      </w:r>
      <w:r w:rsidR="00F2792F" w:rsidRPr="00F2792F">
        <w:t xml:space="preserve">iné </w:t>
      </w:r>
      <w:proofErr w:type="spellStart"/>
      <w:r w:rsidR="00F2792F" w:rsidRPr="00F2792F">
        <w:t>betalaktámové</w:t>
      </w:r>
      <w:proofErr w:type="spellEnd"/>
      <w:r w:rsidR="00F2792F" w:rsidRPr="00F2792F">
        <w:t xml:space="preserve"> antibiotiká,</w:t>
      </w:r>
      <w:r w:rsidR="00F2792F">
        <w:t xml:space="preserve"> </w:t>
      </w:r>
      <w:proofErr w:type="spellStart"/>
      <w:r w:rsidR="00F2792F">
        <w:t>cefalosporíny</w:t>
      </w:r>
      <w:proofErr w:type="spellEnd"/>
      <w:r w:rsidR="00F2792F">
        <w:t xml:space="preserve"> tretej generácie</w:t>
      </w:r>
      <w:r w:rsidR="0036765D" w:rsidRPr="00A40935">
        <w:t xml:space="preserve"> </w:t>
      </w:r>
    </w:p>
    <w:p w:rsidR="00D2379D" w:rsidRPr="00A40935" w:rsidRDefault="00D2379D" w:rsidP="00B542F0">
      <w:pPr>
        <w:pStyle w:val="Normlndobloku"/>
      </w:pPr>
      <w:r w:rsidRPr="00A40935">
        <w:t>ATC kód: J01DD01</w:t>
      </w:r>
    </w:p>
    <w:p w:rsidR="00760366" w:rsidRDefault="00760366" w:rsidP="00B542F0">
      <w:pPr>
        <w:pStyle w:val="Normlndobloku"/>
      </w:pPr>
    </w:p>
    <w:p w:rsidR="007F4772" w:rsidRDefault="00F2792F" w:rsidP="00B542F0">
      <w:pPr>
        <w:pStyle w:val="Normlndobloku"/>
      </w:pPr>
      <w:proofErr w:type="spellStart"/>
      <w:r>
        <w:t>Cefotaxím</w:t>
      </w:r>
      <w:proofErr w:type="spellEnd"/>
      <w:r w:rsidR="007F4772" w:rsidRPr="00A40935">
        <w:t xml:space="preserve"> je širokospektrálne baktericídne </w:t>
      </w:r>
      <w:proofErr w:type="spellStart"/>
      <w:r w:rsidR="007F4772" w:rsidRPr="00A40935">
        <w:t>cefalosporínové</w:t>
      </w:r>
      <w:proofErr w:type="spellEnd"/>
      <w:r w:rsidR="007F4772" w:rsidRPr="00A40935">
        <w:t xml:space="preserve"> antibiotikum. </w:t>
      </w:r>
      <w:proofErr w:type="spellStart"/>
      <w:r w:rsidR="007F4772" w:rsidRPr="00A40935">
        <w:t>Cefotaxím</w:t>
      </w:r>
      <w:proofErr w:type="spellEnd"/>
      <w:r w:rsidR="007F4772" w:rsidRPr="00A40935">
        <w:t xml:space="preserve"> je výnimočne účinný </w:t>
      </w:r>
      <w:r w:rsidR="007F4772" w:rsidRPr="00A40935">
        <w:rPr>
          <w:rStyle w:val="Bacil"/>
        </w:rPr>
        <w:t xml:space="preserve">in </w:t>
      </w:r>
      <w:proofErr w:type="spellStart"/>
      <w:r w:rsidR="007F4772" w:rsidRPr="00A40935">
        <w:rPr>
          <w:rStyle w:val="Bacil"/>
        </w:rPr>
        <w:t>vitro</w:t>
      </w:r>
      <w:proofErr w:type="spellEnd"/>
      <w:r w:rsidR="007F4772" w:rsidRPr="00A40935">
        <w:t xml:space="preserve"> proti </w:t>
      </w:r>
      <w:proofErr w:type="spellStart"/>
      <w:r w:rsidR="007F4772" w:rsidRPr="00A40935">
        <w:t>gramnegatívnym</w:t>
      </w:r>
      <w:proofErr w:type="spellEnd"/>
      <w:r w:rsidR="007F4772" w:rsidRPr="00A40935">
        <w:t xml:space="preserve"> organizmom citlivým alebo rezistentným na </w:t>
      </w:r>
      <w:proofErr w:type="spellStart"/>
      <w:r w:rsidR="007F4772" w:rsidRPr="00A40935">
        <w:t>cefalosporíny</w:t>
      </w:r>
      <w:proofErr w:type="spellEnd"/>
      <w:r w:rsidR="007F4772" w:rsidRPr="00A40935">
        <w:t xml:space="preserve"> prvej alebo druhej generácie. Je podobný ostatným </w:t>
      </w:r>
      <w:proofErr w:type="spellStart"/>
      <w:r w:rsidR="007F4772" w:rsidRPr="00A40935">
        <w:t>cefalosporínom</w:t>
      </w:r>
      <w:proofErr w:type="spellEnd"/>
      <w:r w:rsidR="007F4772" w:rsidRPr="00A40935">
        <w:t xml:space="preserve"> pôsobiacim proti </w:t>
      </w:r>
      <w:proofErr w:type="spellStart"/>
      <w:r w:rsidR="007F4772" w:rsidRPr="00A40935">
        <w:t>grampozitívnym</w:t>
      </w:r>
      <w:proofErr w:type="spellEnd"/>
      <w:r w:rsidR="007F4772" w:rsidRPr="00A40935">
        <w:t xml:space="preserve"> organizmom.</w:t>
      </w:r>
    </w:p>
    <w:p w:rsidR="00F2792F" w:rsidRPr="00A40935" w:rsidRDefault="00F2792F" w:rsidP="00B542F0">
      <w:pPr>
        <w:pStyle w:val="Normlndobloku"/>
      </w:pPr>
    </w:p>
    <w:p w:rsidR="007F4772" w:rsidRPr="00A40935" w:rsidRDefault="00F2792F" w:rsidP="00760366">
      <w:pPr>
        <w:pStyle w:val="Styl2-2"/>
      </w:pPr>
      <w:r w:rsidRPr="008F4B2B">
        <w:t>Citlivosť</w:t>
      </w:r>
    </w:p>
    <w:p w:rsidR="007F4772" w:rsidRPr="00A40935" w:rsidRDefault="007F4772" w:rsidP="00B542F0">
      <w:pPr>
        <w:pStyle w:val="Normlndobloku"/>
      </w:pPr>
      <w:r w:rsidRPr="00A40935">
        <w:t xml:space="preserve">Nasledujúce </w:t>
      </w:r>
      <w:r w:rsidR="00F2792F">
        <w:t>mikro</w:t>
      </w:r>
      <w:r w:rsidRPr="00A40935">
        <w:t xml:space="preserve">organizmy preukázali </w:t>
      </w:r>
      <w:r w:rsidRPr="00A40935">
        <w:rPr>
          <w:rStyle w:val="Bacil"/>
        </w:rPr>
        <w:t xml:space="preserve">in </w:t>
      </w:r>
      <w:proofErr w:type="spellStart"/>
      <w:r w:rsidRPr="00A40935">
        <w:rPr>
          <w:rStyle w:val="Bacil"/>
        </w:rPr>
        <w:t>vitro</w:t>
      </w:r>
      <w:proofErr w:type="spellEnd"/>
      <w:r w:rsidRPr="00A40935">
        <w:t xml:space="preserve"> citlivosť na </w:t>
      </w:r>
      <w:proofErr w:type="spellStart"/>
      <w:r w:rsidRPr="00A40935">
        <w:t>cefotax</w:t>
      </w:r>
      <w:r w:rsidR="006062C0" w:rsidRPr="00A40935">
        <w:t>í</w:t>
      </w:r>
      <w:r w:rsidRPr="00A40935">
        <w:t>m</w:t>
      </w:r>
      <w:proofErr w:type="spellEnd"/>
      <w:r w:rsidRPr="00A40935">
        <w:t>.</w:t>
      </w:r>
    </w:p>
    <w:p w:rsidR="00F2792F" w:rsidRDefault="00F2792F" w:rsidP="0013449D">
      <w:pPr>
        <w:pStyle w:val="Styl3"/>
        <w:spacing w:after="0"/>
      </w:pPr>
    </w:p>
    <w:p w:rsidR="007F4772" w:rsidRPr="00A40935" w:rsidRDefault="007F4772" w:rsidP="0013449D">
      <w:pPr>
        <w:pStyle w:val="Styl3"/>
        <w:spacing w:after="0"/>
      </w:pPr>
      <w:proofErr w:type="spellStart"/>
      <w:r w:rsidRPr="00A40935">
        <w:t>Grampozitívn</w:t>
      </w:r>
      <w:r w:rsidR="006062C0" w:rsidRPr="00A40935">
        <w:t>e</w:t>
      </w:r>
      <w:proofErr w:type="spellEnd"/>
      <w:r w:rsidR="00F2792F">
        <w:t xml:space="preserve"> mikroorganizmy</w:t>
      </w:r>
    </w:p>
    <w:p w:rsidR="007F4772" w:rsidRPr="00A40935" w:rsidRDefault="007F4772" w:rsidP="00B542F0">
      <w:pPr>
        <w:pStyle w:val="Normlndobloku"/>
      </w:pPr>
      <w:r w:rsidRPr="00A40935">
        <w:t xml:space="preserve">Stafylokoky vrátane </w:t>
      </w:r>
      <w:proofErr w:type="spellStart"/>
      <w:r w:rsidRPr="00A40935">
        <w:t>koaguláz</w:t>
      </w:r>
      <w:r w:rsidR="00F2792F">
        <w:t>a</w:t>
      </w:r>
      <w:r w:rsidRPr="00A40935">
        <w:t>-pozitívnych</w:t>
      </w:r>
      <w:proofErr w:type="spellEnd"/>
      <w:r w:rsidRPr="00A40935">
        <w:t xml:space="preserve">, </w:t>
      </w:r>
      <w:proofErr w:type="spellStart"/>
      <w:r w:rsidRPr="00A40935">
        <w:t>koaguláz</w:t>
      </w:r>
      <w:r w:rsidR="00F2792F">
        <w:t>a</w:t>
      </w:r>
      <w:r w:rsidRPr="00A40935">
        <w:t>-negatívnych</w:t>
      </w:r>
      <w:proofErr w:type="spellEnd"/>
      <w:r w:rsidR="00484688" w:rsidRPr="00A40935">
        <w:t xml:space="preserve"> a </w:t>
      </w:r>
      <w:proofErr w:type="spellStart"/>
      <w:r w:rsidRPr="00A40935">
        <w:t>penicilinázových</w:t>
      </w:r>
      <w:proofErr w:type="spellEnd"/>
      <w:r w:rsidRPr="00A40935">
        <w:t xml:space="preserve"> kmeňov.</w:t>
      </w:r>
    </w:p>
    <w:p w:rsidR="007F4772" w:rsidRPr="00A40935" w:rsidRDefault="007F4772" w:rsidP="00B542F0">
      <w:pPr>
        <w:pStyle w:val="Normlndobloku"/>
      </w:pPr>
      <w:proofErr w:type="spellStart"/>
      <w:r w:rsidRPr="00A40935">
        <w:t>Beta-hemolytické</w:t>
      </w:r>
      <w:proofErr w:type="spellEnd"/>
      <w:r w:rsidR="00484688" w:rsidRPr="00A40935">
        <w:t xml:space="preserve"> a </w:t>
      </w:r>
      <w:r w:rsidRPr="00A40935">
        <w:t xml:space="preserve">iné streptokoky, ako je </w:t>
      </w:r>
      <w:proofErr w:type="spellStart"/>
      <w:r w:rsidRPr="00A40935">
        <w:rPr>
          <w:rStyle w:val="Bacil"/>
        </w:rPr>
        <w:t>Streptococcus</w:t>
      </w:r>
      <w:proofErr w:type="spellEnd"/>
      <w:r w:rsidRPr="00A40935">
        <w:rPr>
          <w:rStyle w:val="Bacil"/>
        </w:rPr>
        <w:t xml:space="preserve"> </w:t>
      </w:r>
      <w:proofErr w:type="spellStart"/>
      <w:r w:rsidRPr="00A40935">
        <w:rPr>
          <w:rStyle w:val="Bacil"/>
        </w:rPr>
        <w:t>mitis</w:t>
      </w:r>
      <w:proofErr w:type="spellEnd"/>
      <w:r w:rsidRPr="00A40935">
        <w:rPr>
          <w:rStyle w:val="Bacil"/>
        </w:rPr>
        <w:t xml:space="preserve"> (</w:t>
      </w:r>
      <w:proofErr w:type="spellStart"/>
      <w:r w:rsidRPr="00A40935">
        <w:rPr>
          <w:rStyle w:val="Bacil"/>
        </w:rPr>
        <w:t>viridans</w:t>
      </w:r>
      <w:proofErr w:type="spellEnd"/>
      <w:r w:rsidRPr="00A40935">
        <w:rPr>
          <w:rStyle w:val="Bacil"/>
        </w:rPr>
        <w:t>)</w:t>
      </w:r>
      <w:r w:rsidRPr="00A40935">
        <w:t xml:space="preserve"> (mnoho kmeňov </w:t>
      </w:r>
      <w:proofErr w:type="spellStart"/>
      <w:r w:rsidRPr="00A40935">
        <w:t>enterokokov</w:t>
      </w:r>
      <w:proofErr w:type="spellEnd"/>
      <w:r w:rsidRPr="00A40935">
        <w:t xml:space="preserve">, napríklad </w:t>
      </w:r>
      <w:proofErr w:type="spellStart"/>
      <w:r w:rsidRPr="00A40935">
        <w:rPr>
          <w:rStyle w:val="Bacil"/>
        </w:rPr>
        <w:t>Streptococcus</w:t>
      </w:r>
      <w:proofErr w:type="spellEnd"/>
      <w:r w:rsidRPr="00A40935">
        <w:rPr>
          <w:rStyle w:val="Bacil"/>
        </w:rPr>
        <w:t xml:space="preserve"> </w:t>
      </w:r>
      <w:proofErr w:type="spellStart"/>
      <w:r w:rsidRPr="00A40935">
        <w:rPr>
          <w:rStyle w:val="Bacil"/>
        </w:rPr>
        <w:t>faecalis</w:t>
      </w:r>
      <w:proofErr w:type="spellEnd"/>
      <w:r w:rsidRPr="00A40935">
        <w:t>, sú relatívne rezistentné).</w:t>
      </w:r>
    </w:p>
    <w:p w:rsidR="007F4772" w:rsidRPr="00A40935" w:rsidRDefault="007F4772" w:rsidP="00760366">
      <w:pPr>
        <w:pStyle w:val="Normlndobloku"/>
        <w:rPr>
          <w:rStyle w:val="Bacil"/>
        </w:rPr>
      </w:pPr>
      <w:proofErr w:type="spellStart"/>
      <w:r w:rsidRPr="00A40935">
        <w:rPr>
          <w:rStyle w:val="Bacil"/>
        </w:rPr>
        <w:t>Streptococcus</w:t>
      </w:r>
      <w:proofErr w:type="spellEnd"/>
      <w:r w:rsidRPr="00A40935">
        <w:rPr>
          <w:rStyle w:val="Bacil"/>
        </w:rPr>
        <w:t xml:space="preserve"> (</w:t>
      </w:r>
      <w:proofErr w:type="spellStart"/>
      <w:r w:rsidRPr="00A40935">
        <w:rPr>
          <w:rStyle w:val="Bacil"/>
        </w:rPr>
        <w:t>Diplococcus</w:t>
      </w:r>
      <w:proofErr w:type="spellEnd"/>
      <w:r w:rsidRPr="00A40935">
        <w:rPr>
          <w:rStyle w:val="Bacil"/>
        </w:rPr>
        <w:t xml:space="preserve">) </w:t>
      </w:r>
      <w:proofErr w:type="spellStart"/>
      <w:r w:rsidRPr="00A40935">
        <w:rPr>
          <w:rStyle w:val="Bacil"/>
        </w:rPr>
        <w:t>pneum</w:t>
      </w:r>
      <w:r w:rsidR="006F7375" w:rsidRPr="00A40935">
        <w:rPr>
          <w:rStyle w:val="Bacil"/>
        </w:rPr>
        <w:t>oniae</w:t>
      </w:r>
      <w:proofErr w:type="spellEnd"/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Clostridium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>.</w:t>
      </w:r>
    </w:p>
    <w:p w:rsidR="00F2792F" w:rsidRDefault="00F2792F" w:rsidP="0013449D">
      <w:pPr>
        <w:pStyle w:val="Styl3"/>
        <w:spacing w:after="0"/>
      </w:pPr>
    </w:p>
    <w:p w:rsidR="007F4772" w:rsidRPr="00A40935" w:rsidRDefault="007F4772" w:rsidP="0013449D">
      <w:pPr>
        <w:pStyle w:val="Styl3"/>
        <w:spacing w:after="0"/>
      </w:pPr>
      <w:proofErr w:type="spellStart"/>
      <w:r w:rsidRPr="00A40935">
        <w:t>Gram</w:t>
      </w:r>
      <w:r w:rsidR="00F2792F">
        <w:t>n</w:t>
      </w:r>
      <w:r w:rsidRPr="00A40935">
        <w:t>egatívn</w:t>
      </w:r>
      <w:r w:rsidR="00387D80" w:rsidRPr="00A40935">
        <w:t>e</w:t>
      </w:r>
      <w:proofErr w:type="spellEnd"/>
      <w:r w:rsidR="00F2792F">
        <w:t xml:space="preserve"> mikroorganizmy</w:t>
      </w:r>
    </w:p>
    <w:p w:rsidR="007F4772" w:rsidRPr="0013449D" w:rsidRDefault="007F4772" w:rsidP="00B542F0">
      <w:pPr>
        <w:pStyle w:val="Normlndobloku"/>
        <w:rPr>
          <w:rStyle w:val="Bacil"/>
        </w:rPr>
      </w:pPr>
      <w:proofErr w:type="spellStart"/>
      <w:r w:rsidRPr="00A40935">
        <w:rPr>
          <w:rStyle w:val="Bacil"/>
        </w:rPr>
        <w:t>Escherichia</w:t>
      </w:r>
      <w:proofErr w:type="spellEnd"/>
      <w:r w:rsidRPr="00A40935">
        <w:rPr>
          <w:rStyle w:val="Bacil"/>
        </w:rPr>
        <w:t xml:space="preserve"> </w:t>
      </w:r>
      <w:proofErr w:type="spellStart"/>
      <w:r w:rsidRPr="00A40935">
        <w:rPr>
          <w:rStyle w:val="Bacil"/>
        </w:rPr>
        <w:t>coli</w:t>
      </w:r>
      <w:proofErr w:type="spellEnd"/>
      <w:r w:rsidRPr="00A40935">
        <w:rPr>
          <w:rStyle w:val="Bacil"/>
        </w:rPr>
        <w:t>.</w:t>
      </w:r>
    </w:p>
    <w:p w:rsidR="007F4772" w:rsidRPr="00A40935" w:rsidRDefault="007F4772" w:rsidP="00B542F0">
      <w:pPr>
        <w:pStyle w:val="Normlndobloku"/>
      </w:pPr>
      <w:proofErr w:type="spellStart"/>
      <w:r w:rsidRPr="00A40935">
        <w:rPr>
          <w:rStyle w:val="Bacil"/>
        </w:rPr>
        <w:t>Haemophilius</w:t>
      </w:r>
      <w:proofErr w:type="spellEnd"/>
      <w:r w:rsidRPr="00A40935">
        <w:rPr>
          <w:rStyle w:val="Bacil"/>
        </w:rPr>
        <w:t xml:space="preserve"> </w:t>
      </w:r>
      <w:proofErr w:type="spellStart"/>
      <w:r w:rsidRPr="00A40935">
        <w:rPr>
          <w:rStyle w:val="Bacil"/>
        </w:rPr>
        <w:t>influenzae</w:t>
      </w:r>
      <w:proofErr w:type="spellEnd"/>
      <w:r w:rsidRPr="00A40935">
        <w:t xml:space="preserve"> vrátane kmeňov rezistentných na </w:t>
      </w:r>
      <w:proofErr w:type="spellStart"/>
      <w:r w:rsidRPr="00A40935">
        <w:t>ampicilín</w:t>
      </w:r>
      <w:proofErr w:type="spellEnd"/>
      <w:r w:rsidRPr="00A40935">
        <w:t>.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Klebsiella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>.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Proteus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>. (</w:t>
      </w:r>
      <w:proofErr w:type="spellStart"/>
      <w:r w:rsidR="00387D80" w:rsidRPr="00A40935">
        <w:t>indol</w:t>
      </w:r>
      <w:r w:rsidR="00F2792F">
        <w:t>-</w:t>
      </w:r>
      <w:r w:rsidRPr="00A40935">
        <w:t>pozitívny</w:t>
      </w:r>
      <w:proofErr w:type="spellEnd"/>
      <w:r w:rsidRPr="00A40935">
        <w:t xml:space="preserve"> </w:t>
      </w:r>
      <w:r w:rsidR="00387D80" w:rsidRPr="00A40935">
        <w:t xml:space="preserve">aj </w:t>
      </w:r>
      <w:proofErr w:type="spellStart"/>
      <w:r w:rsidR="00F2792F">
        <w:t>indol-</w:t>
      </w:r>
      <w:r w:rsidRPr="00A40935">
        <w:t>negatívny</w:t>
      </w:r>
      <w:proofErr w:type="spellEnd"/>
      <w:r w:rsidR="00387D80" w:rsidRPr="00A40935">
        <w:t>)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Enterobacter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>.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Neisseria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 xml:space="preserve">. (vrátane kmeňov </w:t>
      </w:r>
      <w:proofErr w:type="spellStart"/>
      <w:r w:rsidR="00387D80" w:rsidRPr="00A40935">
        <w:rPr>
          <w:rStyle w:val="Bacil"/>
        </w:rPr>
        <w:t>Neisseria</w:t>
      </w:r>
      <w:proofErr w:type="spellEnd"/>
      <w:r w:rsidR="00387D80" w:rsidRPr="00A40935">
        <w:t xml:space="preserve"> </w:t>
      </w:r>
      <w:proofErr w:type="spellStart"/>
      <w:r w:rsidRPr="00A40935">
        <w:rPr>
          <w:rStyle w:val="Bacil"/>
        </w:rPr>
        <w:t>gonorrhoea</w:t>
      </w:r>
      <w:proofErr w:type="spellEnd"/>
      <w:r w:rsidRPr="00A40935">
        <w:t xml:space="preserve"> produkujúcich </w:t>
      </w:r>
      <w:proofErr w:type="spellStart"/>
      <w:r w:rsidR="00F2792F">
        <w:t>beta</w:t>
      </w:r>
      <w:r w:rsidRPr="00A40935">
        <w:t>-laktamázu</w:t>
      </w:r>
      <w:proofErr w:type="spellEnd"/>
      <w:r w:rsidRPr="00A40935">
        <w:t>).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Salmonella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 xml:space="preserve">. (vrátane </w:t>
      </w:r>
      <w:proofErr w:type="spellStart"/>
      <w:r w:rsidRPr="00A40935">
        <w:rPr>
          <w:rStyle w:val="Bacil"/>
        </w:rPr>
        <w:t>Sal</w:t>
      </w:r>
      <w:r w:rsidR="00387D80" w:rsidRPr="00A40935">
        <w:rPr>
          <w:rStyle w:val="Bacil"/>
        </w:rPr>
        <w:t>monella</w:t>
      </w:r>
      <w:proofErr w:type="spellEnd"/>
      <w:r w:rsidR="00387D80" w:rsidRPr="00A40935">
        <w:rPr>
          <w:rStyle w:val="Bacil"/>
        </w:rPr>
        <w:t xml:space="preserve"> </w:t>
      </w:r>
      <w:proofErr w:type="spellStart"/>
      <w:r w:rsidR="00387D80" w:rsidRPr="00A40935">
        <w:rPr>
          <w:rStyle w:val="Bacil"/>
        </w:rPr>
        <w:t>t</w:t>
      </w:r>
      <w:r w:rsidRPr="00A40935">
        <w:rPr>
          <w:rStyle w:val="Bacil"/>
        </w:rPr>
        <w:t>yphi</w:t>
      </w:r>
      <w:proofErr w:type="spellEnd"/>
      <w:r w:rsidRPr="00A40935">
        <w:t>).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Shigella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>.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Providencia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>.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Serratia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>.</w:t>
      </w:r>
    </w:p>
    <w:p w:rsidR="007F4772" w:rsidRPr="00A40935" w:rsidRDefault="007F4772" w:rsidP="00760366">
      <w:pPr>
        <w:pStyle w:val="Normlndobloku"/>
      </w:pPr>
      <w:proofErr w:type="spellStart"/>
      <w:r w:rsidRPr="00A40935">
        <w:rPr>
          <w:rStyle w:val="Bacil"/>
        </w:rPr>
        <w:t>Citrobacter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>.</w:t>
      </w:r>
    </w:p>
    <w:p w:rsidR="00F2792F" w:rsidRDefault="00F2792F" w:rsidP="00760366">
      <w:pPr>
        <w:pStyle w:val="Normlndobloku"/>
      </w:pPr>
    </w:p>
    <w:p w:rsidR="007F4772" w:rsidRPr="00A40935" w:rsidRDefault="000A7020" w:rsidP="00760366">
      <w:pPr>
        <w:pStyle w:val="Normlndobloku"/>
      </w:pPr>
      <w:proofErr w:type="spellStart"/>
      <w:r w:rsidRPr="00A40935">
        <w:t>Cefotaxí</w:t>
      </w:r>
      <w:r w:rsidR="007F4772" w:rsidRPr="00A40935">
        <w:t>m</w:t>
      </w:r>
      <w:proofErr w:type="spellEnd"/>
      <w:r w:rsidR="007F4772" w:rsidRPr="00A40935">
        <w:t xml:space="preserve"> často vykazuje užitočnú </w:t>
      </w:r>
      <w:r w:rsidR="007F4772" w:rsidRPr="00A40935">
        <w:rPr>
          <w:rStyle w:val="Bacil"/>
        </w:rPr>
        <w:t xml:space="preserve">in </w:t>
      </w:r>
      <w:proofErr w:type="spellStart"/>
      <w:r w:rsidR="007F4772" w:rsidRPr="00A40935">
        <w:rPr>
          <w:rStyle w:val="Bacil"/>
        </w:rPr>
        <w:t>vitro</w:t>
      </w:r>
      <w:proofErr w:type="spellEnd"/>
      <w:r w:rsidR="007F4772" w:rsidRPr="00A40935">
        <w:t xml:space="preserve"> aktivitu proti </w:t>
      </w:r>
      <w:r w:rsidR="0042137E" w:rsidRPr="00A40935">
        <w:t>rodom</w:t>
      </w:r>
      <w:r w:rsidR="007F4772" w:rsidRPr="00A40935">
        <w:t xml:space="preserve"> </w:t>
      </w:r>
      <w:proofErr w:type="spellStart"/>
      <w:r w:rsidR="007F4772" w:rsidRPr="00A40935">
        <w:rPr>
          <w:rStyle w:val="Bacil"/>
        </w:rPr>
        <w:t>Pseudomonas</w:t>
      </w:r>
      <w:proofErr w:type="spellEnd"/>
      <w:r w:rsidR="00484688" w:rsidRPr="00A40935">
        <w:t xml:space="preserve"> a </w:t>
      </w:r>
      <w:proofErr w:type="spellStart"/>
      <w:r w:rsidR="007F4772" w:rsidRPr="00A40935">
        <w:rPr>
          <w:rStyle w:val="Bacil"/>
        </w:rPr>
        <w:t>Bacteroides</w:t>
      </w:r>
      <w:proofErr w:type="spellEnd"/>
      <w:r w:rsidR="007F4772" w:rsidRPr="00A40935">
        <w:t xml:space="preserve">, hoci niektoré kmene </w:t>
      </w:r>
      <w:proofErr w:type="spellStart"/>
      <w:r w:rsidR="007F4772" w:rsidRPr="00A40935">
        <w:rPr>
          <w:rStyle w:val="Bacil"/>
        </w:rPr>
        <w:t>Bacteroides</w:t>
      </w:r>
      <w:proofErr w:type="spellEnd"/>
      <w:r w:rsidR="007F4772" w:rsidRPr="00A40935">
        <w:rPr>
          <w:rStyle w:val="Bacil"/>
        </w:rPr>
        <w:t xml:space="preserve"> </w:t>
      </w:r>
      <w:proofErr w:type="spellStart"/>
      <w:r w:rsidR="007F4772" w:rsidRPr="00A40935">
        <w:rPr>
          <w:rStyle w:val="Bacil"/>
        </w:rPr>
        <w:t>fragilis</w:t>
      </w:r>
      <w:proofErr w:type="spellEnd"/>
      <w:r w:rsidR="007F4772" w:rsidRPr="00A40935">
        <w:t xml:space="preserve"> sú rezistentné.</w:t>
      </w:r>
    </w:p>
    <w:p w:rsidR="00F2792F" w:rsidRDefault="00F2792F" w:rsidP="00760366">
      <w:pPr>
        <w:pStyle w:val="Normlndobloku"/>
      </w:pPr>
    </w:p>
    <w:p w:rsidR="00843E24" w:rsidRDefault="007F4772" w:rsidP="00760366">
      <w:pPr>
        <w:pStyle w:val="Normlndobloku"/>
      </w:pPr>
      <w:r w:rsidRPr="00A40935">
        <w:t xml:space="preserve">Existuje </w:t>
      </w:r>
      <w:r w:rsidRPr="00A40935">
        <w:rPr>
          <w:rStyle w:val="Bacil"/>
        </w:rPr>
        <w:t xml:space="preserve">in </w:t>
      </w:r>
      <w:proofErr w:type="spellStart"/>
      <w:r w:rsidRPr="00A40935">
        <w:rPr>
          <w:rStyle w:val="Bacil"/>
        </w:rPr>
        <w:t>vitro</w:t>
      </w:r>
      <w:proofErr w:type="spellEnd"/>
      <w:r w:rsidRPr="00A40935">
        <w:t xml:space="preserve"> dôkaz o synergii medzi </w:t>
      </w:r>
      <w:proofErr w:type="spellStart"/>
      <w:r w:rsidRPr="00A40935">
        <w:t>cefotax</w:t>
      </w:r>
      <w:r w:rsidR="0042137E" w:rsidRPr="00A40935">
        <w:t>í</w:t>
      </w:r>
      <w:r w:rsidRPr="00A40935">
        <w:t>mom</w:t>
      </w:r>
      <w:proofErr w:type="spellEnd"/>
      <w:r w:rsidR="00484688" w:rsidRPr="00A40935">
        <w:t xml:space="preserve"> a </w:t>
      </w:r>
      <w:proofErr w:type="spellStart"/>
      <w:r w:rsidRPr="00A40935">
        <w:t>aminoglykozidovými</w:t>
      </w:r>
      <w:proofErr w:type="spellEnd"/>
      <w:r w:rsidRPr="00A40935">
        <w:t xml:space="preserve"> antibiotikami, ako je </w:t>
      </w:r>
      <w:proofErr w:type="spellStart"/>
      <w:r w:rsidRPr="00A40935">
        <w:t>gen</w:t>
      </w:r>
      <w:r w:rsidR="0042137E" w:rsidRPr="00A40935">
        <w:t>tamicín</w:t>
      </w:r>
      <w:proofErr w:type="spellEnd"/>
      <w:r w:rsidR="0042137E" w:rsidRPr="00A40935">
        <w:t xml:space="preserve"> proti niektorým druhom </w:t>
      </w:r>
      <w:proofErr w:type="spellStart"/>
      <w:r w:rsidR="0042137E" w:rsidRPr="00A40935">
        <w:t>g</w:t>
      </w:r>
      <w:r w:rsidRPr="00A40935">
        <w:t>ramnegatívnych</w:t>
      </w:r>
      <w:proofErr w:type="spellEnd"/>
      <w:r w:rsidRPr="00A40935">
        <w:t xml:space="preserve"> baktérií vrátane niektorých kmeňov </w:t>
      </w:r>
      <w:proofErr w:type="spellStart"/>
      <w:r w:rsidRPr="00A40935">
        <w:rPr>
          <w:rStyle w:val="Bacil"/>
        </w:rPr>
        <w:t>Pseudomonas</w:t>
      </w:r>
      <w:proofErr w:type="spellEnd"/>
      <w:r w:rsidRPr="00A40935">
        <w:t xml:space="preserve">. Nebol </w:t>
      </w:r>
      <w:r w:rsidR="0042137E" w:rsidRPr="00A40935">
        <w:t>pozorovaný</w:t>
      </w:r>
      <w:r w:rsidRPr="00A40935">
        <w:t xml:space="preserve"> </w:t>
      </w:r>
      <w:r w:rsidRPr="00A40935">
        <w:rPr>
          <w:rStyle w:val="Bacil"/>
        </w:rPr>
        <w:t xml:space="preserve">in </w:t>
      </w:r>
      <w:proofErr w:type="spellStart"/>
      <w:r w:rsidRPr="00A40935">
        <w:rPr>
          <w:rStyle w:val="Bacil"/>
        </w:rPr>
        <w:t>vitro</w:t>
      </w:r>
      <w:proofErr w:type="spellEnd"/>
      <w:r w:rsidRPr="00A40935">
        <w:t xml:space="preserve"> antagonizmus. Pri závažných infekciách spôsob</w:t>
      </w:r>
      <w:r w:rsidR="0042137E" w:rsidRPr="00A40935">
        <w:t>ených</w:t>
      </w:r>
      <w:r w:rsidRPr="00A40935">
        <w:t xml:space="preserve"> </w:t>
      </w:r>
      <w:proofErr w:type="spellStart"/>
      <w:r w:rsidRPr="00A40935">
        <w:rPr>
          <w:rStyle w:val="Bacil"/>
        </w:rPr>
        <w:t>Pseudomonas</w:t>
      </w:r>
      <w:proofErr w:type="spellEnd"/>
      <w:r w:rsidRPr="00A40935">
        <w:t xml:space="preserve"> </w:t>
      </w:r>
      <w:proofErr w:type="spellStart"/>
      <w:r w:rsidRPr="00A40935">
        <w:t>spp</w:t>
      </w:r>
      <w:proofErr w:type="spellEnd"/>
      <w:r w:rsidRPr="00A40935">
        <w:t xml:space="preserve">. môže byť indikované pridanie </w:t>
      </w:r>
      <w:proofErr w:type="spellStart"/>
      <w:r w:rsidRPr="00A40935">
        <w:t>aminoglykozidového</w:t>
      </w:r>
      <w:proofErr w:type="spellEnd"/>
      <w:r w:rsidRPr="00A40935">
        <w:t xml:space="preserve"> antibiotika.</w:t>
      </w:r>
    </w:p>
    <w:p w:rsidR="00F72437" w:rsidRPr="00A40935" w:rsidRDefault="00F72437" w:rsidP="00760366">
      <w:pPr>
        <w:pStyle w:val="Normlndobloku"/>
      </w:pPr>
    </w:p>
    <w:p w:rsidR="00D2379D" w:rsidRPr="00A40935" w:rsidRDefault="00D2379D" w:rsidP="00760366">
      <w:pPr>
        <w:pStyle w:val="Styl2"/>
      </w:pPr>
      <w:proofErr w:type="spellStart"/>
      <w:r w:rsidRPr="00A40935">
        <w:t>Farmakokinetické</w:t>
      </w:r>
      <w:proofErr w:type="spellEnd"/>
      <w:r w:rsidRPr="00A40935">
        <w:t xml:space="preserve"> vlastnosti</w:t>
      </w:r>
    </w:p>
    <w:p w:rsidR="00F72437" w:rsidRDefault="00F72437" w:rsidP="00B542F0">
      <w:pPr>
        <w:pStyle w:val="Normlndobloku"/>
      </w:pPr>
    </w:p>
    <w:p w:rsidR="00F72437" w:rsidRPr="0013449D" w:rsidRDefault="00F72437" w:rsidP="00B542F0">
      <w:pPr>
        <w:pStyle w:val="Normlndobloku"/>
        <w:rPr>
          <w:u w:val="single"/>
        </w:rPr>
      </w:pPr>
      <w:r w:rsidRPr="0013449D">
        <w:rPr>
          <w:u w:val="single"/>
        </w:rPr>
        <w:t>Absorpcia</w:t>
      </w:r>
    </w:p>
    <w:p w:rsidR="00CC03C1" w:rsidRPr="00A40935" w:rsidRDefault="00CC03C1" w:rsidP="00B542F0">
      <w:pPr>
        <w:pStyle w:val="Normlndobloku"/>
      </w:pPr>
      <w:r w:rsidRPr="00A40935">
        <w:lastRenderedPageBreak/>
        <w:t xml:space="preserve">Po intravenóznom </w:t>
      </w:r>
      <w:proofErr w:type="spellStart"/>
      <w:r w:rsidRPr="00A40935">
        <w:t>boluse</w:t>
      </w:r>
      <w:proofErr w:type="spellEnd"/>
      <w:r w:rsidRPr="00A40935">
        <w:t xml:space="preserve"> 1</w:t>
      </w:r>
      <w:r w:rsidR="00F72437">
        <w:t> </w:t>
      </w:r>
      <w:r w:rsidRPr="00A40935">
        <w:t xml:space="preserve">000 mg sú priemerné maximálne plazmatické koncentrácie </w:t>
      </w:r>
      <w:proofErr w:type="spellStart"/>
      <w:r w:rsidRPr="00A40935">
        <w:t>cefotaxímu</w:t>
      </w:r>
      <w:proofErr w:type="spellEnd"/>
      <w:r w:rsidRPr="00A40935">
        <w:t xml:space="preserve"> zvyčajne</w:t>
      </w:r>
      <w:r w:rsidR="00484688" w:rsidRPr="00A40935">
        <w:t xml:space="preserve"> v </w:t>
      </w:r>
      <w:r w:rsidRPr="00A40935">
        <w:t>rozmedzí od 81 do 102</w:t>
      </w:r>
      <w:r w:rsidR="0002560E" w:rsidRPr="00A40935">
        <w:t> </w:t>
      </w:r>
      <w:proofErr w:type="spellStart"/>
      <w:r w:rsidRPr="00A40935">
        <w:t>μg</w:t>
      </w:r>
      <w:proofErr w:type="spellEnd"/>
      <w:r w:rsidRPr="00A40935">
        <w:t xml:space="preserve">/ml. </w:t>
      </w:r>
      <w:r w:rsidR="00F72437">
        <w:t>Po podaní d</w:t>
      </w:r>
      <w:r w:rsidRPr="00A40935">
        <w:t>áv</w:t>
      </w:r>
      <w:r w:rsidR="00F72437">
        <w:t>ok</w:t>
      </w:r>
      <w:r w:rsidRPr="00A40935">
        <w:t xml:space="preserve"> 500</w:t>
      </w:r>
      <w:r w:rsidR="0002560E" w:rsidRPr="00A40935">
        <w:t> </w:t>
      </w:r>
      <w:r w:rsidRPr="00A40935">
        <w:t>mg</w:t>
      </w:r>
      <w:r w:rsidR="00484688" w:rsidRPr="00A40935">
        <w:t xml:space="preserve"> a </w:t>
      </w:r>
      <w:r w:rsidRPr="00A40935">
        <w:t xml:space="preserve">2000 mg </w:t>
      </w:r>
      <w:r w:rsidR="00F72437">
        <w:t>sa dosiahnu</w:t>
      </w:r>
      <w:r w:rsidRPr="00A40935">
        <w:t xml:space="preserve"> plazmatické koncentrácie 38</w:t>
      </w:r>
      <w:r w:rsidR="00484688" w:rsidRPr="00A40935">
        <w:t xml:space="preserve"> a </w:t>
      </w:r>
      <w:r w:rsidRPr="00A40935">
        <w:t xml:space="preserve">200 </w:t>
      </w:r>
      <w:proofErr w:type="spellStart"/>
      <w:r w:rsidRPr="00A40935">
        <w:t>μg</w:t>
      </w:r>
      <w:proofErr w:type="spellEnd"/>
      <w:r w:rsidRPr="00A40935">
        <w:t>/ml. Po podaní 1</w:t>
      </w:r>
      <w:r w:rsidR="00F72437">
        <w:t> </w:t>
      </w:r>
      <w:r w:rsidRPr="00A40935">
        <w:t xml:space="preserve">000 mg intravenózne alebo 500 mg </w:t>
      </w:r>
      <w:proofErr w:type="spellStart"/>
      <w:r w:rsidRPr="00A40935">
        <w:t>intramuskulárne</w:t>
      </w:r>
      <w:proofErr w:type="spellEnd"/>
      <w:r w:rsidRPr="00A40935">
        <w:t xml:space="preserve"> počas 10 alebo 14 dní nedochádza</w:t>
      </w:r>
      <w:r w:rsidR="00484688" w:rsidRPr="00A40935">
        <w:t xml:space="preserve"> k </w:t>
      </w:r>
      <w:r w:rsidRPr="00A40935">
        <w:t>akumulácii.</w:t>
      </w:r>
    </w:p>
    <w:p w:rsidR="00F72437" w:rsidRDefault="00F72437" w:rsidP="00B542F0">
      <w:pPr>
        <w:pStyle w:val="Normlndobloku"/>
      </w:pPr>
    </w:p>
    <w:p w:rsidR="00F72437" w:rsidRPr="0013449D" w:rsidRDefault="00F72437" w:rsidP="00B542F0">
      <w:pPr>
        <w:pStyle w:val="Normlndobloku"/>
      </w:pPr>
      <w:r w:rsidRPr="0013449D">
        <w:t>Distribúcia</w:t>
      </w:r>
    </w:p>
    <w:p w:rsidR="00CC03C1" w:rsidRPr="00A40935" w:rsidRDefault="00CC03C1" w:rsidP="00B542F0">
      <w:pPr>
        <w:pStyle w:val="Normlndobloku"/>
      </w:pPr>
      <w:r w:rsidRPr="00AF6CA3">
        <w:t>Zdanlivý</w:t>
      </w:r>
      <w:r w:rsidRPr="00A40935">
        <w:t xml:space="preserve"> distribučný objem </w:t>
      </w:r>
      <w:proofErr w:type="spellStart"/>
      <w:r w:rsidRPr="00A40935">
        <w:t>cefotaxímu</w:t>
      </w:r>
      <w:proofErr w:type="spellEnd"/>
      <w:r w:rsidR="00484688" w:rsidRPr="00A40935">
        <w:t xml:space="preserve"> v </w:t>
      </w:r>
      <w:r w:rsidRPr="00A40935">
        <w:t>rovnovážnom stave je 21,6</w:t>
      </w:r>
      <w:r w:rsidR="009641F2" w:rsidRPr="00A40935">
        <w:t> </w:t>
      </w:r>
      <w:r w:rsidRPr="00A40935">
        <w:t>l/1,73</w:t>
      </w:r>
      <w:r w:rsidR="009641F2" w:rsidRPr="00A40935">
        <w:t> </w:t>
      </w:r>
      <w:r w:rsidRPr="00A40935">
        <w:t>m</w:t>
      </w:r>
      <w:r w:rsidRPr="00A40935">
        <w:rPr>
          <w:vertAlign w:val="superscript"/>
        </w:rPr>
        <w:t>2</w:t>
      </w:r>
      <w:r w:rsidRPr="00A40935">
        <w:t xml:space="preserve"> po intravenóznej infúzii 1</w:t>
      </w:r>
      <w:r w:rsidR="0002560E" w:rsidRPr="00A40935">
        <w:t> </w:t>
      </w:r>
      <w:r w:rsidRPr="00A40935">
        <w:t>g počas 30 minút.</w:t>
      </w:r>
    </w:p>
    <w:p w:rsidR="00F72437" w:rsidRDefault="00F72437" w:rsidP="00760366">
      <w:pPr>
        <w:pStyle w:val="Normlndobloku"/>
      </w:pPr>
    </w:p>
    <w:p w:rsidR="00CC03C1" w:rsidRPr="00A40935" w:rsidRDefault="00CC03C1" w:rsidP="00760366">
      <w:pPr>
        <w:pStyle w:val="Normlndobloku"/>
      </w:pPr>
      <w:r w:rsidRPr="00A40935">
        <w:t xml:space="preserve">Koncentrácie </w:t>
      </w:r>
      <w:proofErr w:type="spellStart"/>
      <w:r w:rsidRPr="00A40935">
        <w:t>cefotaxímu</w:t>
      </w:r>
      <w:proofErr w:type="spellEnd"/>
      <w:r w:rsidRPr="00A40935">
        <w:t xml:space="preserve"> (zvyčajne stanovené neselektívnym stanovením) boli študované</w:t>
      </w:r>
      <w:r w:rsidR="00484688" w:rsidRPr="00A40935">
        <w:t xml:space="preserve"> v </w:t>
      </w:r>
      <w:r w:rsidR="004572EB">
        <w:t>rozličných</w:t>
      </w:r>
      <w:r w:rsidRPr="00A40935">
        <w:t xml:space="preserve"> ľudských tkan</w:t>
      </w:r>
      <w:r w:rsidR="004572EB">
        <w:t>ivách</w:t>
      </w:r>
      <w:r w:rsidR="00484688" w:rsidRPr="00A40935">
        <w:t xml:space="preserve"> a</w:t>
      </w:r>
      <w:r w:rsidR="004572EB">
        <w:t> </w:t>
      </w:r>
      <w:r w:rsidRPr="00A40935">
        <w:t>tekut</w:t>
      </w:r>
      <w:r w:rsidR="004572EB">
        <w:t>inách</w:t>
      </w:r>
      <w:r w:rsidRPr="00A40935">
        <w:t xml:space="preserve">. Koncentrácie </w:t>
      </w:r>
      <w:r w:rsidR="004572EB">
        <w:t>v </w:t>
      </w:r>
      <w:r w:rsidRPr="00A40935">
        <w:t>mozgovomiechov</w:t>
      </w:r>
      <w:r w:rsidR="004572EB">
        <w:t>om</w:t>
      </w:r>
      <w:r w:rsidRPr="00A40935">
        <w:t xml:space="preserve"> </w:t>
      </w:r>
      <w:r w:rsidR="004572EB">
        <w:t>moku</w:t>
      </w:r>
      <w:r w:rsidRPr="00A40935">
        <w:t xml:space="preserve"> sú nízke, keď m</w:t>
      </w:r>
      <w:r w:rsidR="004572EB">
        <w:t>ozgové blany</w:t>
      </w:r>
      <w:r w:rsidRPr="00A40935">
        <w:t xml:space="preserve"> nie sú zapálené, ale</w:t>
      </w:r>
      <w:r w:rsidR="00484688" w:rsidRPr="00A40935">
        <w:t xml:space="preserve"> u </w:t>
      </w:r>
      <w:r w:rsidRPr="00A40935">
        <w:t>detí</w:t>
      </w:r>
      <w:r w:rsidR="00484688" w:rsidRPr="00A40935">
        <w:t xml:space="preserve"> s </w:t>
      </w:r>
      <w:proofErr w:type="spellStart"/>
      <w:r w:rsidRPr="00A40935">
        <w:t>meningitídou</w:t>
      </w:r>
      <w:proofErr w:type="spellEnd"/>
      <w:r w:rsidRPr="00A40935">
        <w:t xml:space="preserve"> sú</w:t>
      </w:r>
      <w:r w:rsidR="00484688" w:rsidRPr="00A40935">
        <w:t xml:space="preserve"> v </w:t>
      </w:r>
      <w:r w:rsidRPr="00A40935">
        <w:t>rozmedzí od 3 do 30</w:t>
      </w:r>
      <w:r w:rsidR="0002560E" w:rsidRPr="00A40935">
        <w:t> </w:t>
      </w:r>
      <w:proofErr w:type="spellStart"/>
      <w:r w:rsidRPr="00A40935">
        <w:t>μg</w:t>
      </w:r>
      <w:proofErr w:type="spellEnd"/>
      <w:r w:rsidRPr="00A40935">
        <w:t xml:space="preserve"> / ml.</w:t>
      </w:r>
    </w:p>
    <w:p w:rsidR="00F72437" w:rsidRDefault="00F72437" w:rsidP="00760366">
      <w:pPr>
        <w:pStyle w:val="Normlndobloku"/>
      </w:pPr>
    </w:p>
    <w:p w:rsidR="00CC03C1" w:rsidRPr="00A40935" w:rsidRDefault="00CC03C1" w:rsidP="00760366">
      <w:pPr>
        <w:pStyle w:val="Normlndobloku"/>
      </w:pPr>
      <w:proofErr w:type="spellStart"/>
      <w:r w:rsidRPr="00A40935">
        <w:t>Cefotaxím</w:t>
      </w:r>
      <w:proofErr w:type="spellEnd"/>
      <w:r w:rsidRPr="00A40935">
        <w:t xml:space="preserve"> zvyčajne prechádza </w:t>
      </w:r>
      <w:proofErr w:type="spellStart"/>
      <w:r w:rsidRPr="00A40935">
        <w:t>hematoencefalickou</w:t>
      </w:r>
      <w:proofErr w:type="spellEnd"/>
      <w:r w:rsidRPr="00A40935">
        <w:t xml:space="preserve"> bariérou</w:t>
      </w:r>
      <w:r w:rsidR="00484688" w:rsidRPr="00A40935">
        <w:t xml:space="preserve"> v </w:t>
      </w:r>
      <w:r w:rsidRPr="00A40935">
        <w:t xml:space="preserve">hladinách </w:t>
      </w:r>
      <w:r w:rsidR="004572EB">
        <w:t>vyšších ako minimálne inhibičné koncentrácie</w:t>
      </w:r>
      <w:r w:rsidRPr="00A40935">
        <w:t xml:space="preserve"> bežných citlivých patogénov, keď sú m</w:t>
      </w:r>
      <w:r w:rsidR="004572EB">
        <w:t>ozgové blany</w:t>
      </w:r>
      <w:r w:rsidRPr="00A40935">
        <w:t xml:space="preserve"> zapálené. Koncentrácie (0,2</w:t>
      </w:r>
      <w:r w:rsidR="009641F2" w:rsidRPr="00A40935">
        <w:t> – </w:t>
      </w:r>
      <w:r w:rsidRPr="00A40935">
        <w:t>5,4 </w:t>
      </w:r>
      <w:proofErr w:type="spellStart"/>
      <w:r w:rsidRPr="00A40935">
        <w:t>μg</w:t>
      </w:r>
      <w:proofErr w:type="spellEnd"/>
      <w:r w:rsidRPr="00A40935">
        <w:t xml:space="preserve">/ml), </w:t>
      </w:r>
      <w:proofErr w:type="spellStart"/>
      <w:r w:rsidRPr="00A40935">
        <w:t>inhibujúce</w:t>
      </w:r>
      <w:proofErr w:type="spellEnd"/>
      <w:r w:rsidRPr="00A40935">
        <w:t xml:space="preserve"> väčšinu </w:t>
      </w:r>
      <w:proofErr w:type="spellStart"/>
      <w:r w:rsidRPr="00A40935">
        <w:t>gramnegatívnych</w:t>
      </w:r>
      <w:proofErr w:type="spellEnd"/>
      <w:r w:rsidRPr="00A40935">
        <w:t xml:space="preserve"> baktérií, sa dosiahnu</w:t>
      </w:r>
      <w:r w:rsidR="00484688" w:rsidRPr="00A40935">
        <w:t xml:space="preserve"> v </w:t>
      </w:r>
      <w:proofErr w:type="spellStart"/>
      <w:r w:rsidRPr="00A40935">
        <w:t>purulentnom</w:t>
      </w:r>
      <w:proofErr w:type="spellEnd"/>
      <w:r w:rsidRPr="00A40935">
        <w:t xml:space="preserve"> spúte,</w:t>
      </w:r>
      <w:r w:rsidR="00484688" w:rsidRPr="00A40935">
        <w:t xml:space="preserve"> v </w:t>
      </w:r>
      <w:r w:rsidRPr="00A40935">
        <w:t>bronchiálnych sekrétoch</w:t>
      </w:r>
      <w:r w:rsidR="00484688" w:rsidRPr="00A40935">
        <w:t xml:space="preserve"> a </w:t>
      </w:r>
      <w:proofErr w:type="spellStart"/>
      <w:r w:rsidRPr="00A40935">
        <w:t>pleurálnej</w:t>
      </w:r>
      <w:proofErr w:type="spellEnd"/>
      <w:r w:rsidRPr="00A40935">
        <w:t xml:space="preserve"> tekutine po </w:t>
      </w:r>
      <w:r w:rsidR="004572EB">
        <w:t xml:space="preserve">podaných </w:t>
      </w:r>
      <w:r w:rsidRPr="00A40935">
        <w:t>dávkach 1 alebo 2</w:t>
      </w:r>
      <w:r w:rsidR="0002560E" w:rsidRPr="00A40935">
        <w:t> </w:t>
      </w:r>
      <w:r w:rsidRPr="00A40935">
        <w:t>g. Koncentrácie, ktoré sú pravdepodobne účinné proti najcitlivejším organizmom, sa podobne dosiahnu</w:t>
      </w:r>
      <w:r w:rsidR="00484688" w:rsidRPr="00A40935">
        <w:t xml:space="preserve"> </w:t>
      </w:r>
      <w:r w:rsidR="004572EB">
        <w:t>pri podaní</w:t>
      </w:r>
      <w:r w:rsidR="00484688" w:rsidRPr="00A40935">
        <w:t> </w:t>
      </w:r>
      <w:r w:rsidRPr="00A40935">
        <w:t>zvyčajných terapeutických dáv</w:t>
      </w:r>
      <w:r w:rsidR="004572EB">
        <w:t>ok</w:t>
      </w:r>
      <w:r w:rsidR="00484688" w:rsidRPr="00A40935">
        <w:t xml:space="preserve"> v </w:t>
      </w:r>
      <w:r w:rsidRPr="00A40935">
        <w:t>ženských reprodukčných orgánoch, výtokoch</w:t>
      </w:r>
      <w:r w:rsidR="00484688" w:rsidRPr="00A40935">
        <w:t xml:space="preserve"> z </w:t>
      </w:r>
      <w:proofErr w:type="spellStart"/>
      <w:r w:rsidRPr="00A40935">
        <w:t>otitis</w:t>
      </w:r>
      <w:proofErr w:type="spellEnd"/>
      <w:r w:rsidRPr="00A40935">
        <w:t xml:space="preserve"> </w:t>
      </w:r>
      <w:proofErr w:type="spellStart"/>
      <w:r w:rsidRPr="00A40935">
        <w:t>media</w:t>
      </w:r>
      <w:proofErr w:type="spellEnd"/>
      <w:r w:rsidRPr="00A40935">
        <w:t>, tkanive</w:t>
      </w:r>
      <w:r w:rsidR="004572EB">
        <w:t xml:space="preserve"> prostaty</w:t>
      </w:r>
      <w:r w:rsidRPr="00A40935">
        <w:t xml:space="preserve">, </w:t>
      </w:r>
      <w:proofErr w:type="spellStart"/>
      <w:r w:rsidRPr="00A40935">
        <w:t>intersticiálnej</w:t>
      </w:r>
      <w:proofErr w:type="spellEnd"/>
      <w:r w:rsidRPr="00A40935">
        <w:t xml:space="preserve"> tekutine, obličkovom tkanive, </w:t>
      </w:r>
      <w:proofErr w:type="spellStart"/>
      <w:r w:rsidRPr="00A40935">
        <w:t>peritoneálnej</w:t>
      </w:r>
      <w:proofErr w:type="spellEnd"/>
      <w:r w:rsidRPr="00A40935">
        <w:t xml:space="preserve"> tekutine</w:t>
      </w:r>
      <w:r w:rsidR="00484688" w:rsidRPr="00A40935">
        <w:t xml:space="preserve"> a </w:t>
      </w:r>
      <w:r w:rsidRPr="00A40935">
        <w:t xml:space="preserve">stene žlčníka. Vysoké koncentrácie </w:t>
      </w:r>
      <w:proofErr w:type="spellStart"/>
      <w:r w:rsidRPr="00A40935">
        <w:t>cefotaxímu</w:t>
      </w:r>
      <w:proofErr w:type="spellEnd"/>
      <w:r w:rsidR="00484688" w:rsidRPr="00A40935">
        <w:t xml:space="preserve"> a </w:t>
      </w:r>
      <w:proofErr w:type="spellStart"/>
      <w:r w:rsidRPr="00A40935">
        <w:t>deacetylcefotaxímu</w:t>
      </w:r>
      <w:proofErr w:type="spellEnd"/>
      <w:r w:rsidRPr="00A40935">
        <w:t xml:space="preserve"> sa dosiahnu </w:t>
      </w:r>
      <w:r w:rsidR="004572EB">
        <w:t xml:space="preserve">v </w:t>
      </w:r>
      <w:r w:rsidRPr="00A40935">
        <w:t>žlč</w:t>
      </w:r>
      <w:r w:rsidR="004572EB">
        <w:t>i</w:t>
      </w:r>
      <w:r w:rsidRPr="00A40935">
        <w:t>.</w:t>
      </w:r>
    </w:p>
    <w:p w:rsidR="004572EB" w:rsidRDefault="004572EB" w:rsidP="00760366">
      <w:pPr>
        <w:pStyle w:val="Normlndobloku"/>
      </w:pPr>
    </w:p>
    <w:p w:rsidR="004572EB" w:rsidRPr="0013449D" w:rsidRDefault="004572EB" w:rsidP="00760366">
      <w:pPr>
        <w:pStyle w:val="Normlndobloku"/>
        <w:rPr>
          <w:u w:val="single"/>
        </w:rPr>
      </w:pPr>
      <w:proofErr w:type="spellStart"/>
      <w:r w:rsidRPr="0013449D">
        <w:rPr>
          <w:u w:val="single"/>
        </w:rPr>
        <w:t>Biotransformácia</w:t>
      </w:r>
      <w:proofErr w:type="spellEnd"/>
    </w:p>
    <w:p w:rsidR="00CC03C1" w:rsidRPr="00A40935" w:rsidRDefault="00CC03C1" w:rsidP="00760366">
      <w:pPr>
        <w:pStyle w:val="Normlndobloku"/>
      </w:pPr>
      <w:proofErr w:type="spellStart"/>
      <w:r w:rsidRPr="00A40935">
        <w:t>Cefotaxím</w:t>
      </w:r>
      <w:proofErr w:type="spellEnd"/>
      <w:r w:rsidRPr="00A40935">
        <w:t xml:space="preserve"> sa čiastočne metabolizuje pred vylučovaním. Hlavným </w:t>
      </w:r>
      <w:proofErr w:type="spellStart"/>
      <w:r w:rsidRPr="00A40935">
        <w:t>metabolitom</w:t>
      </w:r>
      <w:proofErr w:type="spellEnd"/>
      <w:r w:rsidRPr="00A40935">
        <w:t xml:space="preserve"> je mikrobiologicky aktívny produkt, </w:t>
      </w:r>
      <w:proofErr w:type="spellStart"/>
      <w:r w:rsidRPr="00AF6CA3">
        <w:t>deacetylcefotaxím</w:t>
      </w:r>
      <w:proofErr w:type="spellEnd"/>
      <w:r w:rsidRPr="00A40935">
        <w:t xml:space="preserve">. Väčšina dávky </w:t>
      </w:r>
      <w:proofErr w:type="spellStart"/>
      <w:r w:rsidRPr="00A40935">
        <w:t>cefotaxímu</w:t>
      </w:r>
      <w:proofErr w:type="spellEnd"/>
      <w:r w:rsidRPr="00A40935">
        <w:t xml:space="preserve"> sa vylučuje močom </w:t>
      </w:r>
      <w:r w:rsidR="004572EB">
        <w:t xml:space="preserve">- </w:t>
      </w:r>
      <w:r w:rsidRPr="00A40935">
        <w:t>približne 60</w:t>
      </w:r>
      <w:r w:rsidR="00B51E19" w:rsidRPr="00A40935">
        <w:t> </w:t>
      </w:r>
      <w:r w:rsidRPr="00A40935">
        <w:t>% ako nezmenené liečivo</w:t>
      </w:r>
      <w:r w:rsidR="00484688" w:rsidRPr="00A40935">
        <w:t xml:space="preserve"> a </w:t>
      </w:r>
      <w:r w:rsidRPr="00A40935">
        <w:t>ďalších 24</w:t>
      </w:r>
      <w:r w:rsidR="00B51E19" w:rsidRPr="00A40935">
        <w:t> </w:t>
      </w:r>
      <w:r w:rsidRPr="00A40935">
        <w:t xml:space="preserve">% ako </w:t>
      </w:r>
      <w:proofErr w:type="spellStart"/>
      <w:r w:rsidRPr="00A40935">
        <w:t>deacetylcefotaxím</w:t>
      </w:r>
      <w:proofErr w:type="spellEnd"/>
      <w:r w:rsidRPr="00A40935">
        <w:t xml:space="preserve">. Odhaduje sa, že plazmatický </w:t>
      </w:r>
      <w:proofErr w:type="spellStart"/>
      <w:r w:rsidRPr="00A40935">
        <w:t>klírens</w:t>
      </w:r>
      <w:proofErr w:type="spellEnd"/>
      <w:r w:rsidRPr="00A40935">
        <w:t xml:space="preserve"> je medzi 260</w:t>
      </w:r>
      <w:r w:rsidR="00484688" w:rsidRPr="00A40935">
        <w:t xml:space="preserve"> a </w:t>
      </w:r>
      <w:r w:rsidRPr="00A40935">
        <w:t>390 ml/min</w:t>
      </w:r>
      <w:r w:rsidR="00484688" w:rsidRPr="00A40935">
        <w:t xml:space="preserve"> a </w:t>
      </w:r>
      <w:proofErr w:type="spellStart"/>
      <w:r w:rsidRPr="00A40935">
        <w:t>renálny</w:t>
      </w:r>
      <w:proofErr w:type="spellEnd"/>
      <w:r w:rsidRPr="00A40935">
        <w:t xml:space="preserve"> </w:t>
      </w:r>
      <w:proofErr w:type="spellStart"/>
      <w:r w:rsidRPr="00A40935">
        <w:t>klírens</w:t>
      </w:r>
      <w:proofErr w:type="spellEnd"/>
      <w:r w:rsidRPr="00A40935">
        <w:t xml:space="preserve"> je 145 až 217</w:t>
      </w:r>
      <w:r w:rsidR="0002560E" w:rsidRPr="00A40935">
        <w:t> </w:t>
      </w:r>
      <w:r w:rsidRPr="00A40935">
        <w:t>ml/min.</w:t>
      </w:r>
    </w:p>
    <w:p w:rsidR="004572EB" w:rsidRDefault="004572EB" w:rsidP="00760366">
      <w:pPr>
        <w:pStyle w:val="Normlndobloku"/>
      </w:pPr>
    </w:p>
    <w:p w:rsidR="004572EB" w:rsidRPr="0013449D" w:rsidRDefault="004572EB" w:rsidP="00760366">
      <w:pPr>
        <w:pStyle w:val="Normlndobloku"/>
        <w:rPr>
          <w:u w:val="single"/>
        </w:rPr>
      </w:pPr>
      <w:r w:rsidRPr="0013449D">
        <w:rPr>
          <w:u w:val="single"/>
        </w:rPr>
        <w:t>Eliminácia</w:t>
      </w:r>
    </w:p>
    <w:p w:rsidR="00CC03C1" w:rsidRPr="00A40935" w:rsidRDefault="00CC03C1" w:rsidP="00760366">
      <w:pPr>
        <w:pStyle w:val="Normlndobloku"/>
      </w:pPr>
      <w:r w:rsidRPr="00A40935">
        <w:t xml:space="preserve">Po intravenóznom podaní </w:t>
      </w:r>
      <w:proofErr w:type="spellStart"/>
      <w:r w:rsidRPr="00A40935">
        <w:t>cefotaxímu</w:t>
      </w:r>
      <w:proofErr w:type="spellEnd"/>
      <w:r w:rsidRPr="00A40935">
        <w:t xml:space="preserve"> zdravým dospelým </w:t>
      </w:r>
      <w:r w:rsidR="003331F0">
        <w:t xml:space="preserve">jedincom </w:t>
      </w:r>
      <w:r w:rsidRPr="00A40935">
        <w:t xml:space="preserve">je eliminačný polčas </w:t>
      </w:r>
      <w:r w:rsidR="003331F0">
        <w:t>pôvodnej</w:t>
      </w:r>
      <w:r w:rsidRPr="00A40935">
        <w:t xml:space="preserve"> zlúčeniny 0,9</w:t>
      </w:r>
      <w:r w:rsidR="00C3529D" w:rsidRPr="00A40935">
        <w:t> </w:t>
      </w:r>
      <w:r w:rsidRPr="00A40935">
        <w:t>až 1,14 hodín</w:t>
      </w:r>
      <w:r w:rsidR="00484688" w:rsidRPr="00A40935">
        <w:t xml:space="preserve"> a </w:t>
      </w:r>
      <w:r w:rsidRPr="00A40935">
        <w:t xml:space="preserve">eliminačný polčas </w:t>
      </w:r>
      <w:proofErr w:type="spellStart"/>
      <w:r w:rsidRPr="00AF6CA3">
        <w:t>deacetyl</w:t>
      </w:r>
      <w:r w:rsidR="00AF6CA3">
        <w:t>cefotaxímu</w:t>
      </w:r>
      <w:proofErr w:type="spellEnd"/>
      <w:r w:rsidR="00C3529D" w:rsidRPr="00A40935">
        <w:t xml:space="preserve"> </w:t>
      </w:r>
      <w:r w:rsidRPr="00A40935">
        <w:t>približne 1,3 hodiny.</w:t>
      </w:r>
    </w:p>
    <w:p w:rsidR="00CC03C1" w:rsidRPr="00A40935" w:rsidRDefault="00CC03C1" w:rsidP="00760366">
      <w:pPr>
        <w:pStyle w:val="Normlndobloku"/>
      </w:pPr>
      <w:r w:rsidRPr="00A40935">
        <w:t>U</w:t>
      </w:r>
      <w:r w:rsidR="0002560E" w:rsidRPr="00A40935">
        <w:t> </w:t>
      </w:r>
      <w:r w:rsidRPr="00A40935">
        <w:t xml:space="preserve">novorodencov je </w:t>
      </w:r>
      <w:proofErr w:type="spellStart"/>
      <w:r w:rsidRPr="00A40935">
        <w:t>farmakokinetika</w:t>
      </w:r>
      <w:proofErr w:type="spellEnd"/>
      <w:r w:rsidRPr="00A40935">
        <w:t xml:space="preserve"> ovplyvnená </w:t>
      </w:r>
      <w:proofErr w:type="spellStart"/>
      <w:r w:rsidRPr="00A40935">
        <w:t>gestačným</w:t>
      </w:r>
      <w:proofErr w:type="spellEnd"/>
      <w:r w:rsidR="00484688" w:rsidRPr="00A40935">
        <w:t xml:space="preserve"> a </w:t>
      </w:r>
      <w:r w:rsidRPr="00A40935">
        <w:t>chronologickým vekom, polčas je predĺžený</w:t>
      </w:r>
      <w:r w:rsidR="00484688" w:rsidRPr="00A40935">
        <w:t xml:space="preserve"> u </w:t>
      </w:r>
      <w:r w:rsidRPr="00A40935">
        <w:t>predčasne narodených novorodencov</w:t>
      </w:r>
      <w:r w:rsidR="00484688" w:rsidRPr="00A40935">
        <w:t xml:space="preserve"> a </w:t>
      </w:r>
      <w:r w:rsidR="00C3529D" w:rsidRPr="00A40935">
        <w:t>novorodencov</w:t>
      </w:r>
      <w:r w:rsidR="00484688" w:rsidRPr="00A40935">
        <w:t xml:space="preserve"> s </w:t>
      </w:r>
      <w:r w:rsidRPr="00A40935">
        <w:t>nízkou pôrodnou hmotnosťou rovnakého veku.</w:t>
      </w:r>
    </w:p>
    <w:p w:rsidR="00C95C11" w:rsidRDefault="00CC03C1" w:rsidP="00760366">
      <w:pPr>
        <w:pStyle w:val="Normlndobloku"/>
      </w:pPr>
      <w:r w:rsidRPr="00A40935">
        <w:t xml:space="preserve">Pri ťažkej </w:t>
      </w:r>
      <w:proofErr w:type="spellStart"/>
      <w:r w:rsidRPr="00A40935">
        <w:t>renálnej</w:t>
      </w:r>
      <w:proofErr w:type="spellEnd"/>
      <w:r w:rsidRPr="00A40935">
        <w:t xml:space="preserve"> dysfunkcii sa eliminačný polčas </w:t>
      </w:r>
      <w:proofErr w:type="spellStart"/>
      <w:r w:rsidRPr="00A40935">
        <w:t>cefotaxímu</w:t>
      </w:r>
      <w:proofErr w:type="spellEnd"/>
      <w:r w:rsidRPr="00A40935">
        <w:t xml:space="preserve"> zvýšil minimálne na približne 2,5</w:t>
      </w:r>
      <w:r w:rsidR="00C3529D" w:rsidRPr="00A40935">
        <w:t> </w:t>
      </w:r>
      <w:r w:rsidRPr="00A40935">
        <w:t xml:space="preserve">hodiny, zatiaľ čo eliminačný polčas </w:t>
      </w:r>
      <w:proofErr w:type="spellStart"/>
      <w:r w:rsidR="00AF6CA3">
        <w:t>deacetyl</w:t>
      </w:r>
      <w:r w:rsidRPr="00AF6CA3">
        <w:t>cefotaxímu</w:t>
      </w:r>
      <w:proofErr w:type="spellEnd"/>
      <w:r w:rsidRPr="00A40935">
        <w:t xml:space="preserve"> sa zvýšil na približne 10 hodín. Celkové </w:t>
      </w:r>
      <w:r w:rsidR="00C3529D" w:rsidRPr="00A40935">
        <w:t>vylučovanie</w:t>
      </w:r>
      <w:r w:rsidRPr="00A40935">
        <w:t xml:space="preserve"> </w:t>
      </w:r>
      <w:proofErr w:type="spellStart"/>
      <w:r w:rsidRPr="00A40935">
        <w:t>cefotaxímu</w:t>
      </w:r>
      <w:proofErr w:type="spellEnd"/>
      <w:r w:rsidR="00484688" w:rsidRPr="00A40935">
        <w:t xml:space="preserve"> a </w:t>
      </w:r>
      <w:r w:rsidRPr="00A40935">
        <w:t xml:space="preserve">jeho hlavného </w:t>
      </w:r>
      <w:proofErr w:type="spellStart"/>
      <w:r w:rsidRPr="00A40935">
        <w:t>metabolitu</w:t>
      </w:r>
      <w:proofErr w:type="spellEnd"/>
      <w:r w:rsidRPr="00A40935">
        <w:t xml:space="preserve"> moč</w:t>
      </w:r>
      <w:r w:rsidR="00C3529D" w:rsidRPr="00A40935">
        <w:t xml:space="preserve">om </w:t>
      </w:r>
      <w:r w:rsidRPr="00A40935">
        <w:t xml:space="preserve">sa znižuje so znížením </w:t>
      </w:r>
      <w:proofErr w:type="spellStart"/>
      <w:r w:rsidRPr="00A40935">
        <w:t>renálnych</w:t>
      </w:r>
      <w:proofErr w:type="spellEnd"/>
      <w:r w:rsidRPr="00A40935">
        <w:t xml:space="preserve"> funkcií.</w:t>
      </w:r>
    </w:p>
    <w:p w:rsidR="004572EB" w:rsidRPr="00A40935" w:rsidRDefault="004572EB" w:rsidP="00760366">
      <w:pPr>
        <w:pStyle w:val="Normlndobloku"/>
      </w:pPr>
    </w:p>
    <w:p w:rsidR="00D2379D" w:rsidRPr="00A40935" w:rsidRDefault="00D2379D" w:rsidP="00760366">
      <w:pPr>
        <w:pStyle w:val="Styl2"/>
      </w:pPr>
      <w:r w:rsidRPr="00A40935">
        <w:t>Predklinické údaje o</w:t>
      </w:r>
      <w:r w:rsidR="00C95C11" w:rsidRPr="00A40935">
        <w:t> </w:t>
      </w:r>
      <w:r w:rsidRPr="00A40935">
        <w:t>bezpečnosti</w:t>
      </w:r>
    </w:p>
    <w:p w:rsidR="003331F0" w:rsidRDefault="003331F0" w:rsidP="00B542F0">
      <w:pPr>
        <w:pStyle w:val="Normlndobloku"/>
      </w:pPr>
    </w:p>
    <w:p w:rsidR="003331F0" w:rsidRPr="003331F0" w:rsidRDefault="003331F0" w:rsidP="003331F0">
      <w:pPr>
        <w:suppressAutoHyphens/>
        <w:spacing w:after="0" w:line="240" w:lineRule="auto"/>
        <w:rPr>
          <w:lang w:eastAsia="ar-SA"/>
        </w:rPr>
      </w:pPr>
      <w:r w:rsidRPr="00866A52">
        <w:rPr>
          <w:lang w:eastAsia="ar-SA"/>
        </w:rPr>
        <w:t xml:space="preserve">Predklinické údaje na základe obvyklých štúdií farmakologickej bezpečnosti, toxicity po opakovanom podávaní, </w:t>
      </w:r>
      <w:proofErr w:type="spellStart"/>
      <w:r w:rsidRPr="00866A52">
        <w:rPr>
          <w:lang w:eastAsia="ar-SA"/>
        </w:rPr>
        <w:t>genotoxicity</w:t>
      </w:r>
      <w:proofErr w:type="spellEnd"/>
      <w:r w:rsidRPr="00866A52">
        <w:rPr>
          <w:lang w:eastAsia="ar-SA"/>
        </w:rPr>
        <w:t>, karcinogénneho potenciálu, reprodukčnej toxicity a vývinu neodhalili</w:t>
      </w:r>
      <w:r w:rsidRPr="008F4B2B">
        <w:rPr>
          <w:lang w:eastAsia="ar-SA"/>
        </w:rPr>
        <w:t xml:space="preserve"> žiadne osobitné riziko pre ľudí.</w:t>
      </w:r>
    </w:p>
    <w:p w:rsidR="00D2379D" w:rsidRDefault="00D2379D" w:rsidP="00B542F0">
      <w:pPr>
        <w:pStyle w:val="Normlndobloku"/>
      </w:pPr>
    </w:p>
    <w:p w:rsidR="003331F0" w:rsidRPr="00A40935" w:rsidRDefault="003331F0" w:rsidP="00B542F0">
      <w:pPr>
        <w:pStyle w:val="Normlndobloku"/>
      </w:pPr>
    </w:p>
    <w:p w:rsidR="00D2379D" w:rsidRDefault="00D2379D" w:rsidP="0013449D">
      <w:pPr>
        <w:pStyle w:val="Styl1"/>
      </w:pPr>
      <w:r w:rsidRPr="00A40935">
        <w:t>FARMACEUTICKÉ INFORMÁCIE</w:t>
      </w:r>
    </w:p>
    <w:p w:rsidR="003331F0" w:rsidRPr="00A40935" w:rsidRDefault="003331F0" w:rsidP="0013449D">
      <w:pPr>
        <w:pStyle w:val="Styl1"/>
        <w:numPr>
          <w:ilvl w:val="0"/>
          <w:numId w:val="0"/>
        </w:numPr>
      </w:pPr>
    </w:p>
    <w:p w:rsidR="00D2379D" w:rsidRPr="00A40935" w:rsidRDefault="00D2379D" w:rsidP="00760366">
      <w:pPr>
        <w:pStyle w:val="Styl2"/>
      </w:pPr>
      <w:r w:rsidRPr="00A40935">
        <w:t>Zoznam pomocných látok</w:t>
      </w:r>
    </w:p>
    <w:p w:rsidR="003331F0" w:rsidRDefault="003331F0" w:rsidP="00B542F0">
      <w:pPr>
        <w:pStyle w:val="Normlndobloku"/>
      </w:pPr>
    </w:p>
    <w:p w:rsidR="00D2379D" w:rsidRDefault="00D2379D" w:rsidP="00B542F0">
      <w:pPr>
        <w:pStyle w:val="Normlndobloku"/>
      </w:pPr>
      <w:r w:rsidRPr="00A40935">
        <w:t>Žiadne</w:t>
      </w:r>
      <w:r w:rsidR="003331F0">
        <w:t>.</w:t>
      </w:r>
    </w:p>
    <w:p w:rsidR="003331F0" w:rsidRPr="00A40935" w:rsidRDefault="003331F0" w:rsidP="00B542F0">
      <w:pPr>
        <w:pStyle w:val="Normlndobloku"/>
      </w:pPr>
    </w:p>
    <w:p w:rsidR="00D2379D" w:rsidRPr="00A40935" w:rsidRDefault="00D2379D" w:rsidP="00760366">
      <w:pPr>
        <w:pStyle w:val="Styl2"/>
      </w:pPr>
      <w:r w:rsidRPr="00A40935">
        <w:t>Inkompatibility</w:t>
      </w:r>
    </w:p>
    <w:p w:rsidR="003331F0" w:rsidRDefault="003331F0" w:rsidP="00B542F0">
      <w:pPr>
        <w:pStyle w:val="Normlndobloku"/>
      </w:pPr>
    </w:p>
    <w:p w:rsidR="00D2379D" w:rsidRPr="00A40935" w:rsidRDefault="00D2379D" w:rsidP="00B542F0">
      <w:pPr>
        <w:pStyle w:val="Normlndobloku"/>
      </w:pPr>
      <w:r w:rsidRPr="00A40935">
        <w:t xml:space="preserve">Roztok </w:t>
      </w:r>
      <w:proofErr w:type="spellStart"/>
      <w:r w:rsidRPr="00A40935">
        <w:t>cefotaxímu</w:t>
      </w:r>
      <w:proofErr w:type="spellEnd"/>
      <w:r w:rsidRPr="00A40935">
        <w:t xml:space="preserve"> sa nesmie miešať</w:t>
      </w:r>
      <w:r w:rsidR="00484688" w:rsidRPr="00A40935">
        <w:t xml:space="preserve"> s </w:t>
      </w:r>
      <w:r w:rsidRPr="00A40935">
        <w:t>roztokmi iných antibiotík, najmä nie</w:t>
      </w:r>
      <w:r w:rsidR="00484688" w:rsidRPr="00A40935">
        <w:t xml:space="preserve"> s </w:t>
      </w:r>
      <w:proofErr w:type="spellStart"/>
      <w:r w:rsidRPr="00A40935">
        <w:t>aminoglykozidmi</w:t>
      </w:r>
      <w:proofErr w:type="spellEnd"/>
      <w:r w:rsidRPr="00A40935">
        <w:t>.</w:t>
      </w:r>
    </w:p>
    <w:p w:rsidR="00D2379D" w:rsidRDefault="00D2379D" w:rsidP="00B542F0">
      <w:pPr>
        <w:pStyle w:val="Normlndoblokusodrkami"/>
        <w:rPr>
          <w:rStyle w:val="NormlndoblokuChar"/>
          <w:noProof w:val="0"/>
        </w:rPr>
      </w:pPr>
      <w:r w:rsidRPr="00A40935">
        <w:t>Cefotaxím nie je miešateľný</w:t>
      </w:r>
      <w:r w:rsidR="00484688" w:rsidRPr="00A40935">
        <w:t xml:space="preserve"> s </w:t>
      </w:r>
      <w:r w:rsidRPr="00A40935">
        <w:t xml:space="preserve">roztokmi </w:t>
      </w:r>
      <w:r w:rsidRPr="00AF6CA3">
        <w:t>hydrog</w:t>
      </w:r>
      <w:r w:rsidR="00AF6CA3">
        <w:t>e</w:t>
      </w:r>
      <w:r w:rsidRPr="00AF6CA3">
        <w:t>nuhličitanu</w:t>
      </w:r>
      <w:r w:rsidRPr="00A40935">
        <w:t xml:space="preserve"> sodnéh</w:t>
      </w:r>
      <w:r w:rsidRPr="00A40935">
        <w:rPr>
          <w:rStyle w:val="NormlndoblokuChar"/>
          <w:noProof w:val="0"/>
        </w:rPr>
        <w:t>o.</w:t>
      </w:r>
    </w:p>
    <w:p w:rsidR="003331F0" w:rsidRPr="0013449D" w:rsidRDefault="003331F0" w:rsidP="0013449D">
      <w:pPr>
        <w:pStyle w:val="Normlndobloku"/>
      </w:pPr>
    </w:p>
    <w:p w:rsidR="00D2379D" w:rsidRPr="00A40935" w:rsidRDefault="00D2379D" w:rsidP="00760366">
      <w:pPr>
        <w:pStyle w:val="Styl2"/>
      </w:pPr>
      <w:r w:rsidRPr="00A40935">
        <w:t>Čas použiteľnosti</w:t>
      </w:r>
    </w:p>
    <w:p w:rsidR="003331F0" w:rsidRDefault="003331F0" w:rsidP="00B542F0">
      <w:pPr>
        <w:pStyle w:val="Normlndobloku"/>
      </w:pPr>
    </w:p>
    <w:p w:rsidR="00D2379D" w:rsidRDefault="00D2379D" w:rsidP="00B542F0">
      <w:pPr>
        <w:pStyle w:val="Normlndobloku"/>
      </w:pPr>
      <w:r w:rsidRPr="00A40935">
        <w:t>2 roky</w:t>
      </w:r>
    </w:p>
    <w:p w:rsidR="003331F0" w:rsidRPr="00A40935" w:rsidRDefault="003331F0" w:rsidP="00B542F0">
      <w:pPr>
        <w:pStyle w:val="Normlndobloku"/>
      </w:pPr>
    </w:p>
    <w:p w:rsidR="00D2379D" w:rsidRPr="00A40935" w:rsidRDefault="00D2379D" w:rsidP="0013449D">
      <w:pPr>
        <w:pStyle w:val="Styl3"/>
        <w:spacing w:after="0"/>
      </w:pPr>
      <w:r w:rsidRPr="00A40935">
        <w:t>Rekonštituované roztoky</w:t>
      </w:r>
    </w:p>
    <w:p w:rsidR="00D2379D" w:rsidRPr="00A40935" w:rsidRDefault="00D2379D" w:rsidP="00B542F0">
      <w:pPr>
        <w:pStyle w:val="Normlndobloku"/>
      </w:pPr>
      <w:r w:rsidRPr="00A40935">
        <w:t>Chemická</w:t>
      </w:r>
      <w:r w:rsidR="00484688" w:rsidRPr="00A40935">
        <w:t xml:space="preserve"> a </w:t>
      </w:r>
      <w:r w:rsidRPr="00A40935">
        <w:t>fyzikálna stabilita po reko</w:t>
      </w:r>
      <w:r w:rsidR="000B4B17" w:rsidRPr="00A40935">
        <w:t>n</w:t>
      </w:r>
      <w:r w:rsidRPr="00A40935">
        <w:t>štitúcii bola preukázaná na dobu 12 hodín pri teplote 2</w:t>
      </w:r>
      <w:r w:rsidR="00D962FB">
        <w:t> </w:t>
      </w:r>
      <w:r w:rsidRPr="00A40935">
        <w:t>–</w:t>
      </w:r>
      <w:r w:rsidR="00D962FB">
        <w:t> </w:t>
      </w:r>
      <w:r w:rsidRPr="00A40935">
        <w:t>8</w:t>
      </w:r>
      <w:r w:rsidR="00A26585" w:rsidRPr="00A40935">
        <w:t> </w:t>
      </w:r>
      <w:r w:rsidRPr="00A40935">
        <w:t>°C (pozri časť 6.6).</w:t>
      </w:r>
    </w:p>
    <w:p w:rsidR="00617B39" w:rsidRDefault="00617B39" w:rsidP="00B542F0">
      <w:pPr>
        <w:pStyle w:val="Normlndobloku"/>
      </w:pPr>
    </w:p>
    <w:p w:rsidR="00D2379D" w:rsidRDefault="00D2379D" w:rsidP="00B542F0">
      <w:pPr>
        <w:pStyle w:val="Normlndobloku"/>
      </w:pPr>
      <w:r w:rsidRPr="00A40935">
        <w:t>Z</w:t>
      </w:r>
      <w:r w:rsidR="0002560E" w:rsidRPr="00A40935">
        <w:t> </w:t>
      </w:r>
      <w:r w:rsidRPr="00A40935">
        <w:t>mikrobiologického hľadiska má byť liek použitý okamžite. Ak nie je použitý okamžite,</w:t>
      </w:r>
      <w:r w:rsidR="009263BD">
        <w:t xml:space="preserve"> za</w:t>
      </w:r>
      <w:r w:rsidRPr="00A40935">
        <w:t xml:space="preserve"> čas</w:t>
      </w:r>
      <w:r w:rsidR="00484688" w:rsidRPr="00A40935">
        <w:t xml:space="preserve"> a </w:t>
      </w:r>
      <w:r w:rsidRPr="00A40935">
        <w:t xml:space="preserve">podmienky uchovávania lieku pred použitím </w:t>
      </w:r>
      <w:r w:rsidR="00AF6CA3">
        <w:t xml:space="preserve">zodpovedá </w:t>
      </w:r>
      <w:r w:rsidRPr="00AF6CA3">
        <w:t>užívateľ</w:t>
      </w:r>
      <w:r w:rsidR="00484688" w:rsidRPr="00AF6CA3">
        <w:t xml:space="preserve"> a </w:t>
      </w:r>
      <w:r w:rsidRPr="00A40935">
        <w:t xml:space="preserve">nemali byť </w:t>
      </w:r>
      <w:r w:rsidR="005F20E0">
        <w:t>presiahnuť dobu</w:t>
      </w:r>
      <w:r w:rsidRPr="00A40935">
        <w:t xml:space="preserve"> 24 hodín pri teplote 2</w:t>
      </w:r>
      <w:r w:rsidR="00D962FB">
        <w:t> </w:t>
      </w:r>
      <w:r w:rsidRPr="00A40935">
        <w:t>–</w:t>
      </w:r>
      <w:r w:rsidR="00D962FB">
        <w:t> </w:t>
      </w:r>
      <w:r w:rsidRPr="00A40935">
        <w:t>8</w:t>
      </w:r>
      <w:r w:rsidR="00A26585" w:rsidRPr="00A40935">
        <w:t> </w:t>
      </w:r>
      <w:r w:rsidRPr="00A40935">
        <w:t>°C, pokiaľ riedenie neprebehlo za kontrolovaných</w:t>
      </w:r>
      <w:r w:rsidR="00484688" w:rsidRPr="00A40935">
        <w:t xml:space="preserve"> a </w:t>
      </w:r>
      <w:r w:rsidRPr="00A40935">
        <w:t>validovaných aseptických podmienok.</w:t>
      </w:r>
    </w:p>
    <w:p w:rsidR="003331F0" w:rsidRPr="00A40935" w:rsidRDefault="003331F0" w:rsidP="00B542F0">
      <w:pPr>
        <w:pStyle w:val="Normlndobloku"/>
      </w:pPr>
    </w:p>
    <w:p w:rsidR="00D2379D" w:rsidRPr="00A40935" w:rsidRDefault="00D2379D" w:rsidP="00760366">
      <w:pPr>
        <w:pStyle w:val="Styl2"/>
      </w:pPr>
      <w:r w:rsidRPr="00A40935">
        <w:t>Špeciálne upozornenia na uchovávanie</w:t>
      </w:r>
    </w:p>
    <w:p w:rsidR="00617B39" w:rsidRDefault="00617B39" w:rsidP="00B542F0">
      <w:pPr>
        <w:pStyle w:val="Normlndobloku"/>
      </w:pPr>
    </w:p>
    <w:p w:rsidR="005201E5" w:rsidRDefault="00D2379D" w:rsidP="00B542F0">
      <w:pPr>
        <w:pStyle w:val="Normlndobloku"/>
      </w:pPr>
      <w:r w:rsidRPr="00A40935">
        <w:t xml:space="preserve">Tento liek nevyžaduje žiadne zvláštne </w:t>
      </w:r>
      <w:r w:rsidR="005201E5" w:rsidRPr="00A40935">
        <w:t xml:space="preserve">teplotné </w:t>
      </w:r>
      <w:r w:rsidRPr="00A40935">
        <w:t>podmienky na uchovávanie.</w:t>
      </w:r>
    </w:p>
    <w:p w:rsidR="00617B39" w:rsidRPr="00A40935" w:rsidRDefault="00617B39" w:rsidP="00B542F0">
      <w:pPr>
        <w:pStyle w:val="Normlndobloku"/>
      </w:pPr>
    </w:p>
    <w:p w:rsidR="00D2379D" w:rsidRDefault="005201E5" w:rsidP="00B542F0">
      <w:pPr>
        <w:pStyle w:val="Normlndobloku"/>
      </w:pPr>
      <w:r w:rsidRPr="00A40935">
        <w:t>Liek uchovávajte v pôvodnom obale</w:t>
      </w:r>
      <w:r w:rsidR="00617B39">
        <w:t xml:space="preserve"> na ochranu</w:t>
      </w:r>
      <w:r w:rsidRPr="00A40935">
        <w:t xml:space="preserve"> pred svetlom.</w:t>
      </w:r>
    </w:p>
    <w:p w:rsidR="00617B39" w:rsidRPr="00A40935" w:rsidRDefault="00617B39" w:rsidP="00B542F0">
      <w:pPr>
        <w:pStyle w:val="Normlndobloku"/>
      </w:pPr>
    </w:p>
    <w:p w:rsidR="00D2379D" w:rsidRDefault="00D2379D" w:rsidP="00B542F0">
      <w:pPr>
        <w:pStyle w:val="Normlndobloku"/>
      </w:pPr>
      <w:r w:rsidRPr="00A40935">
        <w:t>Podmienky na uchovávanie po rekonštitúcii lieku, pozri časť 6.3.</w:t>
      </w:r>
    </w:p>
    <w:p w:rsidR="00617B39" w:rsidRPr="00A40935" w:rsidRDefault="00617B39" w:rsidP="00B542F0">
      <w:pPr>
        <w:pStyle w:val="Normlndobloku"/>
      </w:pPr>
    </w:p>
    <w:p w:rsidR="00D2379D" w:rsidRPr="00A40935" w:rsidRDefault="00D2379D" w:rsidP="00760366">
      <w:pPr>
        <w:pStyle w:val="Styl2"/>
      </w:pPr>
      <w:r w:rsidRPr="00A40935">
        <w:t>Druh obalu</w:t>
      </w:r>
      <w:r w:rsidR="00484688" w:rsidRPr="00A40935">
        <w:t xml:space="preserve"> a </w:t>
      </w:r>
      <w:r w:rsidRPr="00A40935">
        <w:t>obsah balenia</w:t>
      </w:r>
    </w:p>
    <w:p w:rsidR="00617B39" w:rsidRDefault="00617B39" w:rsidP="00B542F0">
      <w:pPr>
        <w:pStyle w:val="Normlndobloku"/>
      </w:pPr>
    </w:p>
    <w:p w:rsidR="00D2379D" w:rsidRPr="00A40935" w:rsidRDefault="00D2379D" w:rsidP="00B542F0">
      <w:pPr>
        <w:pStyle w:val="Normlndobloku"/>
      </w:pPr>
      <w:r w:rsidRPr="00A40935">
        <w:t>Injekčná liekovka</w:t>
      </w:r>
      <w:r w:rsidR="00484688" w:rsidRPr="00A40935">
        <w:t xml:space="preserve"> z </w:t>
      </w:r>
      <w:r w:rsidRPr="00A40935">
        <w:t>bezfarebného skla (trieda I)</w:t>
      </w:r>
      <w:r w:rsidR="001D17D8" w:rsidRPr="00A40935">
        <w:t xml:space="preserve">, </w:t>
      </w:r>
      <w:r w:rsidR="00617B39">
        <w:t>s</w:t>
      </w:r>
      <w:r w:rsidR="001D17D8" w:rsidRPr="00A40935">
        <w:t xml:space="preserve"> objem</w:t>
      </w:r>
      <w:r w:rsidR="00617B39">
        <w:t>om</w:t>
      </w:r>
      <w:r w:rsidR="001D17D8" w:rsidRPr="00A40935">
        <w:t xml:space="preserve"> 10 ml </w:t>
      </w:r>
      <w:r w:rsidR="001D17D8" w:rsidRPr="0013449D">
        <w:rPr>
          <w:highlight w:val="lightGray"/>
        </w:rPr>
        <w:t>alebo 15 ml</w:t>
      </w:r>
      <w:r w:rsidRPr="00A40935">
        <w:t xml:space="preserve">, </w:t>
      </w:r>
      <w:proofErr w:type="spellStart"/>
      <w:r w:rsidRPr="00A40935">
        <w:t>br</w:t>
      </w:r>
      <w:r w:rsidR="00617B39">
        <w:t>ó</w:t>
      </w:r>
      <w:r w:rsidRPr="00A40935">
        <w:t>mbutylová</w:t>
      </w:r>
      <w:proofErr w:type="spellEnd"/>
      <w:r w:rsidRPr="00A40935">
        <w:t xml:space="preserve"> gumová zátka, hliníkový </w:t>
      </w:r>
      <w:proofErr w:type="spellStart"/>
      <w:r w:rsidRPr="0027725E">
        <w:t>pertlovací</w:t>
      </w:r>
      <w:proofErr w:type="spellEnd"/>
      <w:r w:rsidRPr="00A40935">
        <w:t xml:space="preserve"> uzáver</w:t>
      </w:r>
    </w:p>
    <w:p w:rsidR="00D2379D" w:rsidRDefault="00D2379D" w:rsidP="00B542F0">
      <w:pPr>
        <w:pStyle w:val="Normlndobloku"/>
      </w:pPr>
      <w:r w:rsidRPr="00A40935">
        <w:t xml:space="preserve">Veľkosť balenia: 1, </w:t>
      </w:r>
      <w:r w:rsidR="001D17D8" w:rsidRPr="00A40935">
        <w:t>1</w:t>
      </w:r>
      <w:r w:rsidRPr="00A40935">
        <w:t>0 alebo 100 injekčných liekoviek</w:t>
      </w:r>
      <w:r w:rsidR="00484688" w:rsidRPr="00A40935">
        <w:t xml:space="preserve"> v</w:t>
      </w:r>
      <w:r w:rsidR="00617B39">
        <w:t> </w:t>
      </w:r>
      <w:r w:rsidRPr="00A40935">
        <w:t>škatuľke</w:t>
      </w:r>
    </w:p>
    <w:p w:rsidR="00617B39" w:rsidRPr="00A40935" w:rsidRDefault="00617B39" w:rsidP="00B542F0">
      <w:pPr>
        <w:pStyle w:val="Normlndobloku"/>
      </w:pPr>
    </w:p>
    <w:p w:rsidR="004B4531" w:rsidRDefault="004B4531" w:rsidP="004B4531">
      <w:r w:rsidRPr="004B4531">
        <w:rPr>
          <w:rStyle w:val="NormlndoblokuChar"/>
          <w:rFonts w:eastAsia="Calibri"/>
        </w:rPr>
        <w:t>Na trh nemusia byť uvedené všetky veľkosti balenia.</w:t>
      </w:r>
      <w:bookmarkStart w:id="0" w:name="_GoBack"/>
      <w:bookmarkEnd w:id="0"/>
    </w:p>
    <w:p w:rsidR="00D2379D" w:rsidRDefault="00D2379D" w:rsidP="00760366">
      <w:pPr>
        <w:pStyle w:val="Styl2"/>
      </w:pPr>
      <w:r w:rsidRPr="00A40935">
        <w:t>Špeciálne opatrenia na likvidáciu</w:t>
      </w:r>
      <w:r w:rsidR="00484688" w:rsidRPr="00A40935">
        <w:t xml:space="preserve"> a </w:t>
      </w:r>
      <w:r w:rsidRPr="00A40935">
        <w:t>iné zaobchádzanie s</w:t>
      </w:r>
      <w:r w:rsidR="00617B39">
        <w:t> </w:t>
      </w:r>
      <w:r w:rsidRPr="00A40935">
        <w:t>liekom</w:t>
      </w:r>
    </w:p>
    <w:p w:rsidR="00617B39" w:rsidRPr="00A40935" w:rsidRDefault="00617B39" w:rsidP="00617B39">
      <w:pPr>
        <w:pStyle w:val="Styl2"/>
        <w:numPr>
          <w:ilvl w:val="0"/>
          <w:numId w:val="0"/>
        </w:numPr>
      </w:pPr>
    </w:p>
    <w:p w:rsidR="00D2379D" w:rsidRPr="00A40935" w:rsidRDefault="00D2379D" w:rsidP="00B542F0">
      <w:pPr>
        <w:pStyle w:val="Normlndobloku"/>
      </w:pPr>
      <w:r w:rsidRPr="00A40935">
        <w:t>Rekonštitúcia obsahu fľaštičky sa musí uskutočniť za vhodných aseptických podmienok. Po rekonštitúcii vo vode na injekci</w:t>
      </w:r>
      <w:r w:rsidR="00617B39">
        <w:t>e</w:t>
      </w:r>
      <w:r w:rsidRPr="00A40935">
        <w:t xml:space="preserve"> </w:t>
      </w:r>
      <w:r w:rsidR="00617B39">
        <w:t>vznikne</w:t>
      </w:r>
      <w:r w:rsidRPr="00A40935">
        <w:t xml:space="preserve"> žltý roztok.</w:t>
      </w:r>
    </w:p>
    <w:p w:rsidR="00617B39" w:rsidRDefault="00617B39" w:rsidP="00B542F0">
      <w:pPr>
        <w:pStyle w:val="Normlndobloku"/>
      </w:pPr>
    </w:p>
    <w:p w:rsidR="00D2379D" w:rsidRPr="00A40935" w:rsidRDefault="00D2379D" w:rsidP="00B542F0">
      <w:pPr>
        <w:pStyle w:val="Normlndobloku"/>
      </w:pPr>
      <w:r w:rsidRPr="00A40935">
        <w:t>V roztoku je potrebné pred použitím skontrolovať prítomnosť častíc. Akékoľvek roztoky obsahujúce častice nesmú byť použité.</w:t>
      </w:r>
    </w:p>
    <w:p w:rsidR="00617B39" w:rsidRDefault="00617B39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 xml:space="preserve">Vzniknutý roztok pre </w:t>
      </w:r>
      <w:proofErr w:type="spellStart"/>
      <w:r w:rsidRPr="00A40935">
        <w:t>intramuskulárnu</w:t>
      </w:r>
      <w:proofErr w:type="spellEnd"/>
      <w:r w:rsidRPr="00A40935">
        <w:t xml:space="preserve"> aplikáciu, intravenóznu injekciu alebo rýchlu intravenóznu infúziu je potrebné použiť ihneď po rekonštitúcii.</w:t>
      </w:r>
    </w:p>
    <w:p w:rsidR="00617B39" w:rsidRDefault="00617B39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>Chemická</w:t>
      </w:r>
      <w:r w:rsidR="00484688" w:rsidRPr="00A40935">
        <w:t xml:space="preserve"> a </w:t>
      </w:r>
      <w:r w:rsidRPr="00A40935">
        <w:t xml:space="preserve">fyzikálna stabilita po zriedení na intravenóznu infúziu bola dokázaná počas </w:t>
      </w:r>
      <w:r w:rsidR="009306D1" w:rsidRPr="00A40935">
        <w:t xml:space="preserve">12 </w:t>
      </w:r>
      <w:r w:rsidRPr="00A40935">
        <w:t>hodín pri uchovávaní</w:t>
      </w:r>
      <w:r w:rsidR="00484688" w:rsidRPr="00A40935">
        <w:t xml:space="preserve"> v </w:t>
      </w:r>
      <w:r w:rsidRPr="00A40935">
        <w:t>chladničke (2° C</w:t>
      </w:r>
      <w:r w:rsidR="00D962FB">
        <w:t> </w:t>
      </w:r>
      <w:r w:rsidRPr="00A40935">
        <w:t>–</w:t>
      </w:r>
      <w:r w:rsidR="00D962FB">
        <w:t> </w:t>
      </w:r>
      <w:r w:rsidRPr="00A40935">
        <w:t xml:space="preserve">8° C) s nasledovnými intravenóznymi </w:t>
      </w:r>
      <w:proofErr w:type="spellStart"/>
      <w:r w:rsidRPr="00A40935">
        <w:t>infúznymi</w:t>
      </w:r>
      <w:proofErr w:type="spellEnd"/>
      <w:r w:rsidRPr="00A40935">
        <w:t xml:space="preserve"> roztokmi:</w:t>
      </w:r>
    </w:p>
    <w:p w:rsidR="00D2379D" w:rsidRPr="00A40935" w:rsidRDefault="00D2379D" w:rsidP="00760366">
      <w:pPr>
        <w:pStyle w:val="Normlndoblokusodrkami"/>
      </w:pPr>
      <w:r w:rsidRPr="00A40935">
        <w:t>voda na injekci</w:t>
      </w:r>
      <w:r w:rsidR="00617B39">
        <w:t>e</w:t>
      </w:r>
    </w:p>
    <w:p w:rsidR="00D2379D" w:rsidRPr="00A40935" w:rsidRDefault="00D2379D" w:rsidP="00760366">
      <w:pPr>
        <w:pStyle w:val="Normlndoblokusodrkami"/>
      </w:pPr>
      <w:r w:rsidRPr="00A40935">
        <w:t>0,9 % injekčný roztok chloridu sodného</w:t>
      </w:r>
    </w:p>
    <w:p w:rsidR="00D2379D" w:rsidRPr="00A40935" w:rsidRDefault="00D2379D" w:rsidP="00760366">
      <w:pPr>
        <w:pStyle w:val="Normlndoblokusodrkami"/>
      </w:pPr>
      <w:r w:rsidRPr="00A40935">
        <w:t>5 % injekčný roztok glukózy</w:t>
      </w:r>
    </w:p>
    <w:p w:rsidR="00D2379D" w:rsidRPr="00A40935" w:rsidRDefault="00D2379D" w:rsidP="00760366">
      <w:pPr>
        <w:pStyle w:val="Normlndoblokusodrkami"/>
      </w:pPr>
      <w:r w:rsidRPr="00A40935">
        <w:t>5 % injekčný roztok glukózy</w:t>
      </w:r>
      <w:r w:rsidR="00484688" w:rsidRPr="00A40935">
        <w:t xml:space="preserve"> a </w:t>
      </w:r>
      <w:r w:rsidRPr="00A40935">
        <w:t>0,9 % roztok chloridu sodného</w:t>
      </w:r>
    </w:p>
    <w:p w:rsidR="00D2379D" w:rsidRPr="00A40935" w:rsidRDefault="00D2379D" w:rsidP="00760366">
      <w:pPr>
        <w:pStyle w:val="Normlndoblokusodrkami"/>
      </w:pPr>
      <w:r w:rsidRPr="00A40935">
        <w:t xml:space="preserve">Ringerov injekčný </w:t>
      </w:r>
      <w:r w:rsidRPr="005F20E0">
        <w:t>roztok</w:t>
      </w:r>
      <w:r w:rsidR="00617B39" w:rsidRPr="005F20E0">
        <w:t xml:space="preserve"> s mliečnanom</w:t>
      </w:r>
    </w:p>
    <w:p w:rsidR="00617B39" w:rsidRDefault="00617B39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 xml:space="preserve">Všetok nepoužitý </w:t>
      </w:r>
      <w:r w:rsidR="007E0893">
        <w:t>liek alebo odpad vzniknutý z lieku</w:t>
      </w:r>
      <w:r w:rsidRPr="00A40935">
        <w:t xml:space="preserve"> sa m</w:t>
      </w:r>
      <w:r w:rsidR="007E0893">
        <w:t>á zlikvidovať</w:t>
      </w:r>
      <w:r w:rsidRPr="00A40935">
        <w:t xml:space="preserve"> po uplynutí 24 hodín.</w:t>
      </w:r>
    </w:p>
    <w:p w:rsidR="00617B39" w:rsidRDefault="00617B39" w:rsidP="00760366">
      <w:pPr>
        <w:pStyle w:val="Normlndobloku"/>
      </w:pPr>
    </w:p>
    <w:p w:rsidR="00D2379D" w:rsidRPr="00A40935" w:rsidRDefault="00D2379D" w:rsidP="00760366">
      <w:pPr>
        <w:pStyle w:val="Normlndobloku"/>
      </w:pPr>
      <w:proofErr w:type="spellStart"/>
      <w:r w:rsidRPr="00A40935">
        <w:t>Cefotaxím</w:t>
      </w:r>
      <w:proofErr w:type="spellEnd"/>
      <w:r w:rsidRPr="00A40935">
        <w:t xml:space="preserve"> je tiež kompatibilný</w:t>
      </w:r>
      <w:r w:rsidR="00484688" w:rsidRPr="00A40935">
        <w:t xml:space="preserve"> s </w:t>
      </w:r>
      <w:r w:rsidRPr="00A40935">
        <w:t xml:space="preserve">1 % roztokom </w:t>
      </w:r>
      <w:proofErr w:type="spellStart"/>
      <w:r w:rsidRPr="00A40935">
        <w:t>lidokaínu</w:t>
      </w:r>
      <w:proofErr w:type="spellEnd"/>
      <w:r w:rsidRPr="00A40935">
        <w:t xml:space="preserve">, </w:t>
      </w:r>
      <w:r w:rsidR="00617B39">
        <w:t>podané môžu byť</w:t>
      </w:r>
      <w:r w:rsidRPr="00A40935">
        <w:t xml:space="preserve"> len </w:t>
      </w:r>
      <w:r w:rsidRPr="005F20E0">
        <w:t>čerstvo</w:t>
      </w:r>
      <w:r w:rsidRPr="00A40935">
        <w:t xml:space="preserve"> pripravené roztoky.</w:t>
      </w:r>
    </w:p>
    <w:p w:rsidR="00617B39" w:rsidRDefault="00617B39" w:rsidP="00760366">
      <w:pPr>
        <w:pStyle w:val="Styl2-2"/>
      </w:pPr>
    </w:p>
    <w:p w:rsidR="00D2379D" w:rsidRPr="00A40935" w:rsidRDefault="00D2379D" w:rsidP="00760366">
      <w:pPr>
        <w:pStyle w:val="Styl2-2"/>
      </w:pPr>
      <w:r w:rsidRPr="00A40935">
        <w:t>Rekonštitúcia a</w:t>
      </w:r>
      <w:r w:rsidR="00C95C11" w:rsidRPr="00A40935">
        <w:t> </w:t>
      </w:r>
      <w:r w:rsidRPr="00A40935">
        <w:t>aplikácia</w:t>
      </w:r>
    </w:p>
    <w:p w:rsidR="00617B39" w:rsidRDefault="00617B39" w:rsidP="0013449D">
      <w:pPr>
        <w:pStyle w:val="Styl3"/>
        <w:spacing w:after="0"/>
      </w:pPr>
    </w:p>
    <w:p w:rsidR="00D2379D" w:rsidRPr="00A40935" w:rsidRDefault="00D2379D" w:rsidP="0013449D">
      <w:pPr>
        <w:pStyle w:val="Styl3"/>
        <w:spacing w:after="0"/>
      </w:pPr>
      <w:proofErr w:type="spellStart"/>
      <w:r w:rsidRPr="00A40935">
        <w:t>Intramuskulárne</w:t>
      </w:r>
      <w:proofErr w:type="spellEnd"/>
      <w:r w:rsidRPr="00A40935">
        <w:t xml:space="preserve"> podanie</w:t>
      </w:r>
    </w:p>
    <w:p w:rsidR="00D2379D" w:rsidRPr="00A40935" w:rsidRDefault="00D2379D" w:rsidP="00B542F0">
      <w:pPr>
        <w:pStyle w:val="Normlndobloku"/>
      </w:pPr>
      <w:proofErr w:type="spellStart"/>
      <w:r w:rsidRPr="00A40935">
        <w:t>Cefotaxím</w:t>
      </w:r>
      <w:proofErr w:type="spellEnd"/>
      <w:r w:rsidRPr="00A40935">
        <w:t xml:space="preserve"> vyvoláva lokálne podráždenie</w:t>
      </w:r>
      <w:r w:rsidR="00484688" w:rsidRPr="00A40935">
        <w:t xml:space="preserve"> a </w:t>
      </w:r>
      <w:r w:rsidRPr="00A40935">
        <w:t xml:space="preserve">mal by byť podávaný </w:t>
      </w:r>
      <w:proofErr w:type="spellStart"/>
      <w:r w:rsidRPr="00A40935">
        <w:t>intramuskulárne</w:t>
      </w:r>
      <w:proofErr w:type="spellEnd"/>
      <w:r w:rsidRPr="00A40935">
        <w:t xml:space="preserve"> len zriedka:</w:t>
      </w:r>
    </w:p>
    <w:p w:rsidR="00D2379D" w:rsidRPr="00A40935" w:rsidRDefault="00D2379D" w:rsidP="00B542F0">
      <w:pPr>
        <w:pStyle w:val="Normlndoblokusodrkami"/>
      </w:pPr>
      <w:r w:rsidRPr="00A40935">
        <w:t>1 g sa rekonštituuje minimálne</w:t>
      </w:r>
      <w:r w:rsidR="00484688" w:rsidRPr="00A40935">
        <w:t xml:space="preserve"> v </w:t>
      </w:r>
      <w:r w:rsidRPr="00A40935">
        <w:t>4 ml vody na injekci</w:t>
      </w:r>
      <w:r w:rsidR="00617B39">
        <w:t>e</w:t>
      </w:r>
      <w:r w:rsidRPr="00A40935">
        <w:t xml:space="preserve"> alebo 0,5 – 1 % roztoku </w:t>
      </w:r>
      <w:r w:rsidRPr="005F20E0">
        <w:t>lidokaín</w:t>
      </w:r>
      <w:r w:rsidR="0027725E">
        <w:t>ium</w:t>
      </w:r>
      <w:r w:rsidRPr="005F20E0">
        <w:t>chloridu</w:t>
      </w:r>
      <w:r w:rsidRPr="00A40935">
        <w:t>.</w:t>
      </w:r>
    </w:p>
    <w:p w:rsidR="00617B39" w:rsidRDefault="00617B39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 xml:space="preserve">Roztok </w:t>
      </w:r>
      <w:proofErr w:type="spellStart"/>
      <w:r w:rsidRPr="0027725E">
        <w:t>lidokaín</w:t>
      </w:r>
      <w:r w:rsidR="0027725E">
        <w:t>ium</w:t>
      </w:r>
      <w:r w:rsidRPr="0027725E">
        <w:t>chloridu</w:t>
      </w:r>
      <w:proofErr w:type="spellEnd"/>
      <w:r w:rsidRPr="00A40935">
        <w:t xml:space="preserve"> môže byť použitý iba na riedenie </w:t>
      </w:r>
      <w:r w:rsidR="009263BD">
        <w:t xml:space="preserve">roztoku určeného </w:t>
      </w:r>
      <w:r w:rsidRPr="00A40935">
        <w:t xml:space="preserve">na </w:t>
      </w:r>
      <w:proofErr w:type="spellStart"/>
      <w:r w:rsidRPr="00A40935">
        <w:t>intramuskulárne</w:t>
      </w:r>
      <w:proofErr w:type="spellEnd"/>
      <w:r w:rsidRPr="00A40935">
        <w:t xml:space="preserve"> podanie.</w:t>
      </w:r>
    </w:p>
    <w:p w:rsidR="00617B39" w:rsidRDefault="00617B39" w:rsidP="00760366">
      <w:pPr>
        <w:pStyle w:val="Normlndobloku"/>
      </w:pPr>
    </w:p>
    <w:p w:rsidR="00D2379D" w:rsidRPr="00A40935" w:rsidRDefault="009263BD" w:rsidP="00760366">
      <w:pPr>
        <w:pStyle w:val="Normlndobloku"/>
      </w:pPr>
      <w:r>
        <w:t>Roztok je potrebné d</w:t>
      </w:r>
      <w:r w:rsidR="00D2379D" w:rsidRPr="00A40935">
        <w:t>obre pretrepať</w:t>
      </w:r>
      <w:r w:rsidR="00484688" w:rsidRPr="00A40935">
        <w:t xml:space="preserve"> a </w:t>
      </w:r>
      <w:r w:rsidR="00D2379D" w:rsidRPr="00A40935">
        <w:t>aplikovať hlboko do veľkého svalu.</w:t>
      </w:r>
    </w:p>
    <w:p w:rsidR="00617B39" w:rsidRDefault="00617B39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>Dávky vyššie ako 1 g sa majú podávať intravenózne.</w:t>
      </w:r>
    </w:p>
    <w:p w:rsidR="00617B39" w:rsidRDefault="00617B39" w:rsidP="0013449D">
      <w:pPr>
        <w:pStyle w:val="Styl3"/>
        <w:spacing w:after="0"/>
      </w:pPr>
    </w:p>
    <w:p w:rsidR="00D2379D" w:rsidRPr="00A40935" w:rsidRDefault="00D2379D" w:rsidP="0013449D">
      <w:pPr>
        <w:pStyle w:val="Styl3"/>
        <w:spacing w:after="0"/>
      </w:pPr>
      <w:r w:rsidRPr="00A40935">
        <w:t>Intravenózne podanie</w:t>
      </w:r>
    </w:p>
    <w:p w:rsidR="00D2379D" w:rsidRPr="00A40935" w:rsidRDefault="00D2379D" w:rsidP="00B542F0">
      <w:pPr>
        <w:pStyle w:val="Normlndoblokusodrkami"/>
      </w:pPr>
      <w:r w:rsidRPr="00A40935">
        <w:t>1 g sa rekonštituuje minimálne</w:t>
      </w:r>
      <w:r w:rsidR="00484688" w:rsidRPr="00A40935">
        <w:t xml:space="preserve"> v </w:t>
      </w:r>
      <w:r w:rsidRPr="00A40935">
        <w:t>4 ml vody na injekci</w:t>
      </w:r>
      <w:r w:rsidR="00617B39">
        <w:t>e</w:t>
      </w:r>
    </w:p>
    <w:p w:rsidR="00D2379D" w:rsidRPr="00A40935" w:rsidRDefault="00D2379D" w:rsidP="00760366">
      <w:pPr>
        <w:pStyle w:val="Normlndoblokusodrkami"/>
      </w:pPr>
      <w:r w:rsidRPr="00A40935">
        <w:t>2 g sa rekonštituuje</w:t>
      </w:r>
      <w:r w:rsidR="00484688" w:rsidRPr="00A40935">
        <w:t xml:space="preserve"> v </w:t>
      </w:r>
      <w:r w:rsidRPr="00A40935">
        <w:t>10 ml vody na injekci</w:t>
      </w:r>
      <w:r w:rsidR="00617B39">
        <w:t>e</w:t>
      </w:r>
    </w:p>
    <w:p w:rsidR="00617B39" w:rsidRDefault="00617B39" w:rsidP="00760366">
      <w:pPr>
        <w:pStyle w:val="Normlndobloku"/>
      </w:pPr>
    </w:p>
    <w:p w:rsidR="00D2379D" w:rsidRPr="00A40935" w:rsidRDefault="00D2379D" w:rsidP="00760366">
      <w:pPr>
        <w:pStyle w:val="Normlndobloku"/>
      </w:pPr>
      <w:r w:rsidRPr="00A40935">
        <w:t>Pretrepať. Dávka lieku TAXIMED by mala byť podávaná pomaly</w:t>
      </w:r>
      <w:r w:rsidR="00484688" w:rsidRPr="00A40935">
        <w:t xml:space="preserve"> v </w:t>
      </w:r>
      <w:r w:rsidRPr="00A40935">
        <w:t>priebehu 3 – 5 minút,</w:t>
      </w:r>
      <w:r w:rsidR="00484688" w:rsidRPr="00A40935">
        <w:t xml:space="preserve"> a </w:t>
      </w:r>
      <w:r w:rsidRPr="00A40935">
        <w:t xml:space="preserve">to buď priamo do žily, alebo kontinuálnou infúziou pomocou </w:t>
      </w:r>
      <w:r w:rsidRPr="0027725E">
        <w:t>viaccestného</w:t>
      </w:r>
      <w:r w:rsidRPr="00A40935">
        <w:t xml:space="preserve"> ventilu.</w:t>
      </w:r>
    </w:p>
    <w:p w:rsidR="00617B39" w:rsidRDefault="00617B39" w:rsidP="0013449D">
      <w:pPr>
        <w:pStyle w:val="Styl3"/>
        <w:spacing w:after="0"/>
      </w:pPr>
    </w:p>
    <w:p w:rsidR="00D2379D" w:rsidRPr="00A40935" w:rsidRDefault="00A50154" w:rsidP="0013449D">
      <w:pPr>
        <w:pStyle w:val="Styl3"/>
        <w:spacing w:after="0"/>
      </w:pPr>
      <w:r w:rsidRPr="00A40935">
        <w:t xml:space="preserve">Rýchla </w:t>
      </w:r>
      <w:r w:rsidR="00D2379D" w:rsidRPr="00A40935">
        <w:t>intravenózn</w:t>
      </w:r>
      <w:r w:rsidRPr="00A40935">
        <w:t>a</w:t>
      </w:r>
      <w:r w:rsidR="00D2379D" w:rsidRPr="00A40935">
        <w:t xml:space="preserve"> infúzi</w:t>
      </w:r>
      <w:r w:rsidRPr="00A40935">
        <w:t>a</w:t>
      </w:r>
    </w:p>
    <w:p w:rsidR="00D2379D" w:rsidRPr="00A40935" w:rsidRDefault="00D2379D" w:rsidP="00B542F0">
      <w:pPr>
        <w:pStyle w:val="Normlndobloku"/>
      </w:pPr>
      <w:r w:rsidRPr="00A40935">
        <w:t>2 g sa rekonštituujú</w:t>
      </w:r>
      <w:r w:rsidR="00484688" w:rsidRPr="00A40935">
        <w:t xml:space="preserve"> v </w:t>
      </w:r>
      <w:r w:rsidRPr="00A40935">
        <w:t>40 ml vody na injekci</w:t>
      </w:r>
      <w:r w:rsidR="00617B39">
        <w:t>e</w:t>
      </w:r>
      <w:r w:rsidRPr="00A40935">
        <w:t xml:space="preserve"> alebo 0,9 % roztoku chloridu sodného</w:t>
      </w:r>
      <w:r w:rsidR="00484688" w:rsidRPr="00A40935">
        <w:t xml:space="preserve"> a </w:t>
      </w:r>
      <w:r w:rsidRPr="00A40935">
        <w:t>infúzia sa podá počas 20 minút.</w:t>
      </w:r>
    </w:p>
    <w:p w:rsidR="00617B39" w:rsidRDefault="00617B39" w:rsidP="0013449D">
      <w:pPr>
        <w:pStyle w:val="Styl3"/>
        <w:spacing w:after="0"/>
      </w:pPr>
    </w:p>
    <w:p w:rsidR="00D2379D" w:rsidRPr="00A40935" w:rsidRDefault="00D2379D" w:rsidP="0013449D">
      <w:pPr>
        <w:pStyle w:val="Styl3"/>
        <w:spacing w:after="0"/>
      </w:pPr>
      <w:r w:rsidRPr="00A40935">
        <w:t>Intravenózna infúzia</w:t>
      </w:r>
    </w:p>
    <w:p w:rsidR="00D2379D" w:rsidRPr="00A40935" w:rsidRDefault="00D2379D" w:rsidP="00B542F0">
      <w:pPr>
        <w:pStyle w:val="Normlndobloku"/>
      </w:pPr>
      <w:r w:rsidRPr="00A40935">
        <w:t>2 g sa rekonštituujú</w:t>
      </w:r>
      <w:r w:rsidR="00484688" w:rsidRPr="00A40935">
        <w:t xml:space="preserve"> v </w:t>
      </w:r>
      <w:r w:rsidRPr="00A40935">
        <w:t>100 ml 0,9 % roztoku chloridu sodného alebo 5 % roztoku glukózy</w:t>
      </w:r>
      <w:r w:rsidR="00484688" w:rsidRPr="00A40935">
        <w:t xml:space="preserve"> a </w:t>
      </w:r>
      <w:r w:rsidRPr="00A40935">
        <w:t>infúzia sa podá počas 50 – 60 minút.</w:t>
      </w:r>
    </w:p>
    <w:p w:rsidR="00617B39" w:rsidRDefault="00617B39" w:rsidP="00B542F0">
      <w:pPr>
        <w:pStyle w:val="Normlndobloku"/>
      </w:pPr>
    </w:p>
    <w:p w:rsidR="00D2379D" w:rsidRDefault="007E0893" w:rsidP="00B542F0">
      <w:pPr>
        <w:pStyle w:val="Normlndobloku"/>
      </w:pPr>
      <w:r>
        <w:t>Všetok n</w:t>
      </w:r>
      <w:r w:rsidR="00D2379D" w:rsidRPr="00A40935">
        <w:t>epoužitý liek alebo odpad vzniknutý</w:t>
      </w:r>
      <w:r w:rsidR="00484688" w:rsidRPr="00A40935">
        <w:t xml:space="preserve"> z </w:t>
      </w:r>
      <w:r w:rsidR="00D2379D" w:rsidRPr="00A40935">
        <w:t>lieku sa má zlikvidovať</w:t>
      </w:r>
      <w:r w:rsidR="00484688" w:rsidRPr="00A40935">
        <w:t xml:space="preserve"> v </w:t>
      </w:r>
      <w:r w:rsidR="00D2379D" w:rsidRPr="00A40935">
        <w:t>súlade</w:t>
      </w:r>
      <w:r w:rsidR="00484688" w:rsidRPr="00A40935">
        <w:t xml:space="preserve"> s </w:t>
      </w:r>
      <w:r w:rsidR="00D2379D" w:rsidRPr="00A40935">
        <w:t>národnými požiadavkami.</w:t>
      </w:r>
    </w:p>
    <w:p w:rsidR="00617B39" w:rsidRDefault="00617B39" w:rsidP="00B542F0">
      <w:pPr>
        <w:pStyle w:val="Normlndobloku"/>
      </w:pPr>
    </w:p>
    <w:p w:rsidR="00617B39" w:rsidRPr="00A40935" w:rsidRDefault="00617B39" w:rsidP="00B542F0">
      <w:pPr>
        <w:pStyle w:val="Normlndobloku"/>
      </w:pPr>
    </w:p>
    <w:p w:rsidR="00D2379D" w:rsidRPr="00A40935" w:rsidRDefault="00D2379D" w:rsidP="00760366">
      <w:pPr>
        <w:pStyle w:val="Styl1"/>
      </w:pPr>
      <w:r w:rsidRPr="00A40935">
        <w:t>DRŽITEĽ ROZHODNUTIA O</w:t>
      </w:r>
      <w:r w:rsidR="00C95C11" w:rsidRPr="00A40935">
        <w:t> </w:t>
      </w:r>
      <w:r w:rsidRPr="00A40935">
        <w:t>REGISTRÁCII</w:t>
      </w:r>
    </w:p>
    <w:p w:rsidR="007E0893" w:rsidRDefault="007E0893" w:rsidP="00B542F0">
      <w:pPr>
        <w:pStyle w:val="Normlndobloku"/>
      </w:pPr>
    </w:p>
    <w:p w:rsidR="00AD11CE" w:rsidRPr="0062504E" w:rsidRDefault="00AD11CE" w:rsidP="00AD11CE">
      <w:pPr>
        <w:pStyle w:val="Normlndobloku"/>
      </w:pPr>
      <w:r w:rsidRPr="0062504E">
        <w:t xml:space="preserve">MEDOCHEMIE </w:t>
      </w:r>
      <w:proofErr w:type="spellStart"/>
      <w:r w:rsidRPr="0062504E">
        <w:t>Ltd</w:t>
      </w:r>
      <w:proofErr w:type="spellEnd"/>
      <w:r w:rsidRPr="0062504E">
        <w:t xml:space="preserve">., 1-10 </w:t>
      </w:r>
      <w:proofErr w:type="spellStart"/>
      <w:r w:rsidRPr="0062504E">
        <w:t>Constantinoupoleos</w:t>
      </w:r>
      <w:proofErr w:type="spellEnd"/>
      <w:r w:rsidRPr="0062504E">
        <w:t xml:space="preserve"> </w:t>
      </w:r>
      <w:proofErr w:type="spellStart"/>
      <w:r w:rsidRPr="0062504E">
        <w:t>Street</w:t>
      </w:r>
      <w:proofErr w:type="spellEnd"/>
      <w:r w:rsidRPr="0062504E">
        <w:t xml:space="preserve">, 3011 </w:t>
      </w:r>
      <w:proofErr w:type="spellStart"/>
      <w:r w:rsidRPr="0062504E">
        <w:t>Limassol</w:t>
      </w:r>
      <w:proofErr w:type="spellEnd"/>
      <w:r w:rsidRPr="0062504E">
        <w:t>, Cyprus</w:t>
      </w:r>
    </w:p>
    <w:p w:rsidR="007E0893" w:rsidRDefault="007E0893" w:rsidP="00B542F0">
      <w:pPr>
        <w:pStyle w:val="Normlndobloku"/>
      </w:pPr>
    </w:p>
    <w:p w:rsidR="007E0893" w:rsidRPr="00A40935" w:rsidRDefault="007E0893" w:rsidP="00B542F0">
      <w:pPr>
        <w:pStyle w:val="Normlndobloku"/>
      </w:pPr>
    </w:p>
    <w:p w:rsidR="00D2379D" w:rsidRPr="00A40935" w:rsidRDefault="00D2379D" w:rsidP="00760366">
      <w:pPr>
        <w:pStyle w:val="Styl1"/>
      </w:pPr>
      <w:r w:rsidRPr="00A40935">
        <w:t>REGISTRAČNÉ ČÍSLA</w:t>
      </w:r>
    </w:p>
    <w:p w:rsidR="007E0893" w:rsidRDefault="007E0893" w:rsidP="00B542F0">
      <w:pPr>
        <w:pStyle w:val="Normlndobloku"/>
      </w:pPr>
    </w:p>
    <w:p w:rsidR="00D2379D" w:rsidRPr="00A40935" w:rsidRDefault="00D2379D" w:rsidP="00B542F0">
      <w:pPr>
        <w:pStyle w:val="Normlndobloku"/>
      </w:pPr>
      <w:r w:rsidRPr="00A40935">
        <w:t xml:space="preserve">TAXIMED 1 g: </w:t>
      </w:r>
      <w:r w:rsidR="00A959A0" w:rsidRPr="00A959A0">
        <w:t>15/0087/18-S</w:t>
      </w:r>
    </w:p>
    <w:p w:rsidR="00D2379D" w:rsidRDefault="00D2379D" w:rsidP="00B542F0">
      <w:pPr>
        <w:pStyle w:val="Normlndobloku"/>
      </w:pPr>
      <w:r w:rsidRPr="00A959A0">
        <w:rPr>
          <w:highlight w:val="lightGray"/>
        </w:rPr>
        <w:t xml:space="preserve">TAXIMED 2 g: </w:t>
      </w:r>
      <w:r w:rsidR="00A959A0" w:rsidRPr="00A959A0">
        <w:rPr>
          <w:highlight w:val="lightGray"/>
        </w:rPr>
        <w:t>15/0088/18-S</w:t>
      </w:r>
    </w:p>
    <w:p w:rsidR="007E0893" w:rsidRDefault="007E0893" w:rsidP="00B542F0">
      <w:pPr>
        <w:pStyle w:val="Normlndobloku"/>
      </w:pPr>
    </w:p>
    <w:p w:rsidR="007E0893" w:rsidRPr="00A40935" w:rsidRDefault="007E0893" w:rsidP="00B542F0">
      <w:pPr>
        <w:pStyle w:val="Normlndobloku"/>
      </w:pPr>
    </w:p>
    <w:p w:rsidR="00D2379D" w:rsidRPr="00A40935" w:rsidRDefault="00D2379D" w:rsidP="00760366">
      <w:pPr>
        <w:pStyle w:val="Styl1"/>
      </w:pPr>
      <w:r w:rsidRPr="00A40935">
        <w:t>DÁTUM PRVEJ REGISTRÁCIE/PREDĹŽENIA REGISTRÁCIE</w:t>
      </w:r>
    </w:p>
    <w:p w:rsidR="007E0893" w:rsidRDefault="007E0893" w:rsidP="00B542F0">
      <w:pPr>
        <w:pStyle w:val="Normlndobloku"/>
      </w:pPr>
    </w:p>
    <w:p w:rsidR="00D2379D" w:rsidRPr="00A40935" w:rsidRDefault="00D2379D" w:rsidP="00B542F0">
      <w:pPr>
        <w:pStyle w:val="Normlndobloku"/>
      </w:pPr>
      <w:r w:rsidRPr="00A40935">
        <w:t>Dátum prvej registrácie:</w:t>
      </w:r>
      <w:r w:rsidR="00021733">
        <w:t xml:space="preserve"> 7.</w:t>
      </w:r>
      <w:r w:rsidR="00AB1CBC">
        <w:t xml:space="preserve"> marca  </w:t>
      </w:r>
      <w:r w:rsidR="00021733">
        <w:t>2018</w:t>
      </w:r>
    </w:p>
    <w:p w:rsidR="00D2379D" w:rsidRDefault="00D2379D" w:rsidP="00B542F0">
      <w:pPr>
        <w:pStyle w:val="Normlndobloku"/>
      </w:pPr>
      <w:r w:rsidRPr="00A40935">
        <w:t>Dátum posledného predĺženia registrácie:</w:t>
      </w:r>
    </w:p>
    <w:p w:rsidR="007E0893" w:rsidRDefault="007E0893" w:rsidP="00B542F0">
      <w:pPr>
        <w:pStyle w:val="Normlndobloku"/>
      </w:pPr>
    </w:p>
    <w:p w:rsidR="007E0893" w:rsidRPr="00A40935" w:rsidRDefault="007E0893" w:rsidP="00B542F0">
      <w:pPr>
        <w:pStyle w:val="Normlndobloku"/>
      </w:pPr>
    </w:p>
    <w:p w:rsidR="00D2379D" w:rsidRPr="00A40935" w:rsidRDefault="00D2379D" w:rsidP="00760366">
      <w:pPr>
        <w:pStyle w:val="Styl1"/>
      </w:pPr>
      <w:r w:rsidRPr="00A40935">
        <w:t>DÁTUM REVÍZIE TEXTU</w:t>
      </w:r>
    </w:p>
    <w:p w:rsidR="00DB1539" w:rsidRDefault="00DB1539" w:rsidP="0013449D">
      <w:pPr>
        <w:spacing w:after="0" w:line="240" w:lineRule="auto"/>
      </w:pPr>
    </w:p>
    <w:p w:rsidR="007E0893" w:rsidRPr="00A40935" w:rsidRDefault="006420C4" w:rsidP="0013449D">
      <w:pPr>
        <w:spacing w:after="0" w:line="240" w:lineRule="auto"/>
      </w:pPr>
      <w:r>
        <w:t>04/2018</w:t>
      </w:r>
    </w:p>
    <w:sectPr w:rsidR="007E0893" w:rsidRPr="00A40935" w:rsidSect="003178D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642" w:rsidRDefault="006A6642">
      <w:pPr>
        <w:spacing w:after="0" w:line="240" w:lineRule="auto"/>
      </w:pPr>
      <w:r>
        <w:separator/>
      </w:r>
    </w:p>
  </w:endnote>
  <w:endnote w:type="continuationSeparator" w:id="0">
    <w:p w:rsidR="006A6642" w:rsidRDefault="006A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EB" w:rsidRPr="00605882" w:rsidRDefault="00507950" w:rsidP="00DB1539">
    <w:pPr>
      <w:jc w:val="center"/>
    </w:pPr>
    <w:r w:rsidRPr="00605882">
      <w:fldChar w:fldCharType="begin"/>
    </w:r>
    <w:r w:rsidR="004572EB" w:rsidRPr="00605882">
      <w:instrText>PAGE</w:instrText>
    </w:r>
    <w:r w:rsidRPr="00605882">
      <w:fldChar w:fldCharType="separate"/>
    </w:r>
    <w:r w:rsidR="0088475F">
      <w:rPr>
        <w:noProof/>
      </w:rPr>
      <w:t>11</w:t>
    </w:r>
    <w:r w:rsidRPr="00605882">
      <w:fldChar w:fldCharType="end"/>
    </w:r>
    <w:r w:rsidR="004572EB" w:rsidRPr="00605882">
      <w:t>/</w:t>
    </w:r>
    <w:r w:rsidRPr="00605882">
      <w:fldChar w:fldCharType="begin"/>
    </w:r>
    <w:r w:rsidR="004572EB" w:rsidRPr="00605882">
      <w:instrText>NUMPAGES</w:instrText>
    </w:r>
    <w:r w:rsidRPr="00605882">
      <w:fldChar w:fldCharType="separate"/>
    </w:r>
    <w:r w:rsidR="0088475F">
      <w:rPr>
        <w:noProof/>
      </w:rPr>
      <w:t>11</w:t>
    </w:r>
    <w:r w:rsidRPr="00605882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EB" w:rsidRPr="00C0240D" w:rsidRDefault="00507950" w:rsidP="00DB1539">
    <w:pPr>
      <w:jc w:val="center"/>
    </w:pPr>
    <w:r w:rsidRPr="00C0240D">
      <w:fldChar w:fldCharType="begin"/>
    </w:r>
    <w:r w:rsidR="004572EB" w:rsidRPr="00C0240D">
      <w:instrText>PAGE</w:instrText>
    </w:r>
    <w:r w:rsidRPr="00C0240D">
      <w:fldChar w:fldCharType="separate"/>
    </w:r>
    <w:r w:rsidR="004572EB">
      <w:rPr>
        <w:noProof/>
      </w:rPr>
      <w:t>1</w:t>
    </w:r>
    <w:r w:rsidRPr="00C0240D">
      <w:fldChar w:fldCharType="end"/>
    </w:r>
    <w:r w:rsidR="004572EB" w:rsidRPr="00C0240D">
      <w:t>/</w:t>
    </w:r>
    <w:r w:rsidRPr="00C0240D">
      <w:fldChar w:fldCharType="begin"/>
    </w:r>
    <w:r w:rsidR="004572EB" w:rsidRPr="00C0240D">
      <w:instrText>NUMPAGES</w:instrText>
    </w:r>
    <w:r w:rsidRPr="00C0240D">
      <w:fldChar w:fldCharType="separate"/>
    </w:r>
    <w:r w:rsidR="0088475F">
      <w:rPr>
        <w:noProof/>
      </w:rPr>
      <w:t>11</w:t>
    </w:r>
    <w:r w:rsidRPr="00C0240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642" w:rsidRDefault="006A6642">
      <w:pPr>
        <w:spacing w:after="0" w:line="240" w:lineRule="auto"/>
      </w:pPr>
      <w:r>
        <w:separator/>
      </w:r>
    </w:p>
  </w:footnote>
  <w:footnote w:type="continuationSeparator" w:id="0">
    <w:p w:rsidR="006A6642" w:rsidRDefault="006A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8D4" w:rsidRDefault="003178D4" w:rsidP="003178D4">
    <w:pPr>
      <w:pStyle w:val="Hlavika"/>
      <w:spacing w:after="0"/>
      <w:rPr>
        <w:sz w:val="18"/>
        <w:szCs w:val="18"/>
      </w:rPr>
    </w:pPr>
  </w:p>
  <w:p w:rsidR="004572EB" w:rsidRDefault="00AD11CE" w:rsidP="003178D4">
    <w:pPr>
      <w:pStyle w:val="Hlavika"/>
      <w:spacing w:after="0"/>
      <w:rPr>
        <w:sz w:val="18"/>
        <w:szCs w:val="18"/>
      </w:rPr>
    </w:pPr>
    <w:r>
      <w:rPr>
        <w:sz w:val="18"/>
        <w:szCs w:val="18"/>
      </w:rPr>
      <w:t>Schválený text k rozhodnutiu o prevode, ev. č.:</w:t>
    </w:r>
    <w:r w:rsidR="00AB1CBC">
      <w:rPr>
        <w:sz w:val="18"/>
        <w:szCs w:val="18"/>
      </w:rPr>
      <w:t xml:space="preserve"> 2018/01740-TR a 2018/01742-TR</w:t>
    </w:r>
  </w:p>
  <w:p w:rsidR="004B4531" w:rsidRDefault="004B4531" w:rsidP="004B4531">
    <w:pPr>
      <w:pStyle w:val="Hlavika"/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1CE" w:rsidRDefault="00AD11CE" w:rsidP="00AD11CE">
    <w:pPr>
      <w:pStyle w:val="Hlavika"/>
      <w:spacing w:after="0"/>
      <w:rPr>
        <w:sz w:val="18"/>
        <w:szCs w:val="18"/>
      </w:rPr>
    </w:pPr>
  </w:p>
  <w:p w:rsidR="004B4531" w:rsidRDefault="00AD11CE" w:rsidP="004B4531">
    <w:pPr>
      <w:pStyle w:val="Hlavika"/>
      <w:spacing w:after="0"/>
    </w:pPr>
    <w:r>
      <w:rPr>
        <w:sz w:val="18"/>
        <w:szCs w:val="18"/>
      </w:rPr>
      <w:t>Schválený text k rozhodnutiu o prevode, ev. č.:</w:t>
    </w:r>
  </w:p>
  <w:p w:rsidR="00AD11CE" w:rsidRPr="00960CFD" w:rsidRDefault="00AD11CE" w:rsidP="00DB153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DB5"/>
    <w:multiLevelType w:val="hybridMultilevel"/>
    <w:tmpl w:val="E7DC9DCE"/>
    <w:lvl w:ilvl="0" w:tplc="8E3878FC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31D76"/>
    <w:multiLevelType w:val="hybridMultilevel"/>
    <w:tmpl w:val="D388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D4AA7"/>
    <w:multiLevelType w:val="multilevel"/>
    <w:tmpl w:val="F4E476C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trackRevisions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460728"/>
    <w:rsid w:val="00001762"/>
    <w:rsid w:val="00002901"/>
    <w:rsid w:val="00010535"/>
    <w:rsid w:val="00021733"/>
    <w:rsid w:val="0002560E"/>
    <w:rsid w:val="00026EBB"/>
    <w:rsid w:val="00071419"/>
    <w:rsid w:val="000A7020"/>
    <w:rsid w:val="000B4B17"/>
    <w:rsid w:val="000E29EB"/>
    <w:rsid w:val="000E59E0"/>
    <w:rsid w:val="00115570"/>
    <w:rsid w:val="0012636F"/>
    <w:rsid w:val="00130FCE"/>
    <w:rsid w:val="0013449D"/>
    <w:rsid w:val="00181956"/>
    <w:rsid w:val="00185322"/>
    <w:rsid w:val="001D17D8"/>
    <w:rsid w:val="0025184E"/>
    <w:rsid w:val="00256645"/>
    <w:rsid w:val="00276B8D"/>
    <w:rsid w:val="0027725E"/>
    <w:rsid w:val="002A2ADA"/>
    <w:rsid w:val="002B22FF"/>
    <w:rsid w:val="002C2BAE"/>
    <w:rsid w:val="003178D4"/>
    <w:rsid w:val="003223DF"/>
    <w:rsid w:val="003331F0"/>
    <w:rsid w:val="003354DC"/>
    <w:rsid w:val="00350C8C"/>
    <w:rsid w:val="00355A62"/>
    <w:rsid w:val="0036765D"/>
    <w:rsid w:val="00385335"/>
    <w:rsid w:val="00387D80"/>
    <w:rsid w:val="0039582C"/>
    <w:rsid w:val="003A3C11"/>
    <w:rsid w:val="003C263D"/>
    <w:rsid w:val="003E06E2"/>
    <w:rsid w:val="003E4BBE"/>
    <w:rsid w:val="004031CE"/>
    <w:rsid w:val="004145EC"/>
    <w:rsid w:val="0042137E"/>
    <w:rsid w:val="004572EB"/>
    <w:rsid w:val="00460728"/>
    <w:rsid w:val="00484688"/>
    <w:rsid w:val="004A0A29"/>
    <w:rsid w:val="004B4531"/>
    <w:rsid w:val="004B6B2A"/>
    <w:rsid w:val="004C24C7"/>
    <w:rsid w:val="004C5A32"/>
    <w:rsid w:val="004E5756"/>
    <w:rsid w:val="00507950"/>
    <w:rsid w:val="00511F2D"/>
    <w:rsid w:val="005201E5"/>
    <w:rsid w:val="0054537F"/>
    <w:rsid w:val="00574AA5"/>
    <w:rsid w:val="0059075C"/>
    <w:rsid w:val="005C18A6"/>
    <w:rsid w:val="005C2BE4"/>
    <w:rsid w:val="005F20E0"/>
    <w:rsid w:val="00603C44"/>
    <w:rsid w:val="00605882"/>
    <w:rsid w:val="006062C0"/>
    <w:rsid w:val="00617B39"/>
    <w:rsid w:val="006420C4"/>
    <w:rsid w:val="00653056"/>
    <w:rsid w:val="00677373"/>
    <w:rsid w:val="006A6642"/>
    <w:rsid w:val="006D147F"/>
    <w:rsid w:val="006D6993"/>
    <w:rsid w:val="006E331B"/>
    <w:rsid w:val="006E65AE"/>
    <w:rsid w:val="006F1C8F"/>
    <w:rsid w:val="006F3A34"/>
    <w:rsid w:val="006F7375"/>
    <w:rsid w:val="007017D6"/>
    <w:rsid w:val="00707F19"/>
    <w:rsid w:val="007230FC"/>
    <w:rsid w:val="00732C38"/>
    <w:rsid w:val="00760366"/>
    <w:rsid w:val="00767BAC"/>
    <w:rsid w:val="00776AD8"/>
    <w:rsid w:val="0079722E"/>
    <w:rsid w:val="007A1A34"/>
    <w:rsid w:val="007E0893"/>
    <w:rsid w:val="007F4772"/>
    <w:rsid w:val="00843E24"/>
    <w:rsid w:val="008654AE"/>
    <w:rsid w:val="00866A52"/>
    <w:rsid w:val="00867049"/>
    <w:rsid w:val="0088475F"/>
    <w:rsid w:val="008E2F39"/>
    <w:rsid w:val="008F2800"/>
    <w:rsid w:val="008F4B2B"/>
    <w:rsid w:val="009006DB"/>
    <w:rsid w:val="00911598"/>
    <w:rsid w:val="009263BD"/>
    <w:rsid w:val="009306D1"/>
    <w:rsid w:val="009641F2"/>
    <w:rsid w:val="00985458"/>
    <w:rsid w:val="009A1134"/>
    <w:rsid w:val="009B06D7"/>
    <w:rsid w:val="009B7659"/>
    <w:rsid w:val="009D5494"/>
    <w:rsid w:val="00A26585"/>
    <w:rsid w:val="00A40935"/>
    <w:rsid w:val="00A50154"/>
    <w:rsid w:val="00A959A0"/>
    <w:rsid w:val="00AA6E0E"/>
    <w:rsid w:val="00AB1CBC"/>
    <w:rsid w:val="00AC3F0A"/>
    <w:rsid w:val="00AD11CE"/>
    <w:rsid w:val="00AD191B"/>
    <w:rsid w:val="00AF2083"/>
    <w:rsid w:val="00AF6C0F"/>
    <w:rsid w:val="00AF6CA3"/>
    <w:rsid w:val="00B12768"/>
    <w:rsid w:val="00B27A3F"/>
    <w:rsid w:val="00B51E19"/>
    <w:rsid w:val="00B542F0"/>
    <w:rsid w:val="00B74630"/>
    <w:rsid w:val="00BA657C"/>
    <w:rsid w:val="00BC7712"/>
    <w:rsid w:val="00C02357"/>
    <w:rsid w:val="00C3529D"/>
    <w:rsid w:val="00C62518"/>
    <w:rsid w:val="00C63E82"/>
    <w:rsid w:val="00C85D65"/>
    <w:rsid w:val="00C92227"/>
    <w:rsid w:val="00C95C11"/>
    <w:rsid w:val="00CA49E1"/>
    <w:rsid w:val="00CA4E25"/>
    <w:rsid w:val="00CA6599"/>
    <w:rsid w:val="00CB39A7"/>
    <w:rsid w:val="00CB4BF6"/>
    <w:rsid w:val="00CC03C1"/>
    <w:rsid w:val="00CC41EF"/>
    <w:rsid w:val="00CD3090"/>
    <w:rsid w:val="00CF0EB8"/>
    <w:rsid w:val="00D2379D"/>
    <w:rsid w:val="00D53F1F"/>
    <w:rsid w:val="00D6362D"/>
    <w:rsid w:val="00D832DF"/>
    <w:rsid w:val="00D902C9"/>
    <w:rsid w:val="00D91B99"/>
    <w:rsid w:val="00D962FB"/>
    <w:rsid w:val="00DA3834"/>
    <w:rsid w:val="00DB1539"/>
    <w:rsid w:val="00DB72EA"/>
    <w:rsid w:val="00E04D43"/>
    <w:rsid w:val="00E118A7"/>
    <w:rsid w:val="00E6195B"/>
    <w:rsid w:val="00E84EF8"/>
    <w:rsid w:val="00E91AC1"/>
    <w:rsid w:val="00EA453F"/>
    <w:rsid w:val="00EB0352"/>
    <w:rsid w:val="00EC2444"/>
    <w:rsid w:val="00EC73EF"/>
    <w:rsid w:val="00ED283A"/>
    <w:rsid w:val="00ED51EA"/>
    <w:rsid w:val="00EE5624"/>
    <w:rsid w:val="00EF3DAD"/>
    <w:rsid w:val="00F03B4E"/>
    <w:rsid w:val="00F11CB2"/>
    <w:rsid w:val="00F126A1"/>
    <w:rsid w:val="00F13165"/>
    <w:rsid w:val="00F16D6F"/>
    <w:rsid w:val="00F21D35"/>
    <w:rsid w:val="00F2792F"/>
    <w:rsid w:val="00F46199"/>
    <w:rsid w:val="00F72437"/>
    <w:rsid w:val="00F73D2C"/>
    <w:rsid w:val="00FC1294"/>
    <w:rsid w:val="00FD15E7"/>
    <w:rsid w:val="00FD6BCC"/>
    <w:rsid w:val="00FE1E97"/>
    <w:rsid w:val="00FE2A9C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8D4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2379D"/>
    <w:pPr>
      <w:keepNext/>
      <w:keepLines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7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3178D4"/>
    <w:pPr>
      <w:keepNext/>
      <w:numPr>
        <w:numId w:val="1"/>
      </w:numPr>
      <w:tabs>
        <w:tab w:val="clear" w:pos="360"/>
        <w:tab w:val="num" w:pos="567"/>
      </w:tabs>
      <w:spacing w:after="0" w:line="240" w:lineRule="auto"/>
      <w:ind w:left="567" w:hanging="567"/>
    </w:pPr>
    <w:rPr>
      <w:b/>
      <w:bCs/>
      <w:caps/>
      <w:szCs w:val="24"/>
    </w:rPr>
  </w:style>
  <w:style w:type="paragraph" w:customStyle="1" w:styleId="Styl2">
    <w:name w:val="Styl2"/>
    <w:basedOn w:val="Normlny"/>
    <w:autoRedefine/>
    <w:rsid w:val="003178D4"/>
    <w:pPr>
      <w:keepNext/>
      <w:numPr>
        <w:ilvl w:val="1"/>
        <w:numId w:val="9"/>
      </w:numPr>
      <w:tabs>
        <w:tab w:val="clear" w:pos="720"/>
        <w:tab w:val="left" w:pos="567"/>
      </w:tabs>
      <w:spacing w:after="0" w:line="240" w:lineRule="auto"/>
      <w:ind w:left="0" w:firstLine="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3178D4"/>
    <w:pPr>
      <w:numPr>
        <w:ilvl w:val="0"/>
        <w:numId w:val="0"/>
      </w:numPr>
    </w:pPr>
  </w:style>
  <w:style w:type="paragraph" w:customStyle="1" w:styleId="Styl3">
    <w:name w:val="Styl3"/>
    <w:basedOn w:val="Normlny"/>
    <w:link w:val="Styl3Char"/>
    <w:uiPriority w:val="99"/>
    <w:rsid w:val="003178D4"/>
    <w:pPr>
      <w:tabs>
        <w:tab w:val="left" w:pos="6946"/>
      </w:tabs>
      <w:spacing w:after="120" w:line="240" w:lineRule="auto"/>
      <w:jc w:val="both"/>
    </w:pPr>
    <w:rPr>
      <w:rFonts w:eastAsia="Calibri"/>
      <w:szCs w:val="24"/>
      <w:u w:val="single"/>
    </w:rPr>
  </w:style>
  <w:style w:type="character" w:customStyle="1" w:styleId="Styl3Char">
    <w:name w:val="Styl3 Char"/>
    <w:link w:val="Styl3"/>
    <w:uiPriority w:val="99"/>
    <w:rsid w:val="003178D4"/>
    <w:rPr>
      <w:rFonts w:ascii="Times New Roman" w:hAnsi="Times New Roman"/>
      <w:sz w:val="22"/>
      <w:szCs w:val="24"/>
      <w:u w:val="single"/>
      <w:lang w:eastAsia="cs-CZ"/>
    </w:rPr>
  </w:style>
  <w:style w:type="character" w:customStyle="1" w:styleId="Bacil">
    <w:name w:val="Bacil"/>
    <w:qFormat/>
    <w:rsid w:val="00D902C9"/>
    <w:rPr>
      <w:i/>
      <w:lang w:val="sk-SK"/>
    </w:rPr>
  </w:style>
  <w:style w:type="paragraph" w:customStyle="1" w:styleId="Normlndobloku">
    <w:name w:val="Normální do bloku"/>
    <w:basedOn w:val="Normlny"/>
    <w:link w:val="NormlndoblokuChar"/>
    <w:autoRedefine/>
    <w:rsid w:val="003178D4"/>
    <w:pPr>
      <w:suppressAutoHyphens/>
      <w:spacing w:after="0" w:line="240" w:lineRule="auto"/>
    </w:pPr>
    <w:rPr>
      <w:rFonts w:eastAsia="Calibri"/>
      <w:szCs w:val="24"/>
    </w:rPr>
  </w:style>
  <w:style w:type="character" w:customStyle="1" w:styleId="NormlndoblokuChar">
    <w:name w:val="Normální do bloku Char"/>
    <w:link w:val="Normlndobloku"/>
    <w:rsid w:val="003178D4"/>
    <w:rPr>
      <w:rFonts w:ascii="Times New Roman" w:hAnsi="Times New Roman"/>
      <w:sz w:val="22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3178D4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3178D4"/>
    <w:pPr>
      <w:numPr>
        <w:numId w:val="4"/>
      </w:numPr>
    </w:pPr>
  </w:style>
  <w:style w:type="paragraph" w:customStyle="1" w:styleId="SPCaPILhlavika">
    <w:name w:val="SPC a PIL hlavička"/>
    <w:basedOn w:val="Normlny"/>
    <w:uiPriority w:val="99"/>
    <w:qFormat/>
    <w:rsid w:val="003178D4"/>
    <w:pPr>
      <w:spacing w:before="240" w:after="120" w:line="240" w:lineRule="auto"/>
      <w:jc w:val="center"/>
    </w:pPr>
    <w:rPr>
      <w:b/>
      <w:szCs w:val="20"/>
    </w:rPr>
  </w:style>
  <w:style w:type="character" w:customStyle="1" w:styleId="Nadpis1Char">
    <w:name w:val="Nadpis 1 Char"/>
    <w:link w:val="Nadpis1"/>
    <w:uiPriority w:val="99"/>
    <w:rsid w:val="00D2379D"/>
    <w:rPr>
      <w:rFonts w:ascii="Cambria" w:eastAsia="Times New Roman" w:hAnsi="Cambria" w:cs="Cambria"/>
      <w:b/>
      <w:bCs/>
      <w:color w:val="365F91"/>
      <w:sz w:val="28"/>
      <w:szCs w:val="28"/>
      <w:lang w:val="en-US" w:eastAsia="cs-CZ"/>
    </w:rPr>
  </w:style>
  <w:style w:type="paragraph" w:customStyle="1" w:styleId="Default">
    <w:name w:val="Default"/>
    <w:rsid w:val="00D902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3178D4"/>
    <w:pPr>
      <w:spacing w:line="506" w:lineRule="atLeast"/>
    </w:pPr>
    <w:rPr>
      <w:color w:val="auto"/>
    </w:rPr>
  </w:style>
  <w:style w:type="paragraph" w:customStyle="1" w:styleId="CM58">
    <w:name w:val="CM58"/>
    <w:basedOn w:val="Default"/>
    <w:next w:val="Default"/>
    <w:uiPriority w:val="99"/>
    <w:rsid w:val="00D2379D"/>
    <w:rPr>
      <w:color w:val="auto"/>
    </w:rPr>
  </w:style>
  <w:style w:type="paragraph" w:customStyle="1" w:styleId="CM59">
    <w:name w:val="CM59"/>
    <w:basedOn w:val="Default"/>
    <w:next w:val="Default"/>
    <w:uiPriority w:val="99"/>
    <w:rsid w:val="00D2379D"/>
    <w:rPr>
      <w:color w:val="auto"/>
    </w:rPr>
  </w:style>
  <w:style w:type="paragraph" w:customStyle="1" w:styleId="CM2">
    <w:name w:val="CM2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3178D4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3178D4"/>
    <w:pPr>
      <w:spacing w:line="25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3178D4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3178D4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3178D4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D2379D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D2379D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D2379D"/>
    <w:pPr>
      <w:spacing w:line="508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D2379D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54">
    <w:name w:val="CM54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D2379D"/>
    <w:pPr>
      <w:spacing w:line="25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D2379D"/>
    <w:pPr>
      <w:spacing w:line="253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D237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2379D"/>
    <w:rPr>
      <w:rFonts w:ascii="Times New Roman" w:eastAsia="Times New Roman" w:hAnsi="Times New Roman" w:cs="Times New Roman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379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2379D"/>
    <w:rPr>
      <w:rFonts w:ascii="Times New Roman" w:eastAsia="Times New Roman" w:hAnsi="Times New Roman" w:cs="Times New Roman"/>
      <w:lang w:eastAsia="cs-CZ"/>
    </w:rPr>
  </w:style>
  <w:style w:type="character" w:styleId="Zvraznenie">
    <w:name w:val="Emphasis"/>
    <w:uiPriority w:val="20"/>
    <w:qFormat/>
    <w:rsid w:val="003178D4"/>
    <w:rPr>
      <w:b/>
      <w:bCs/>
      <w:i w:val="0"/>
      <w:iCs w:val="0"/>
      <w:lang w:val="sk-SK"/>
    </w:rPr>
  </w:style>
  <w:style w:type="character" w:customStyle="1" w:styleId="longtext1">
    <w:name w:val="long_text1"/>
    <w:rsid w:val="00D902C9"/>
    <w:rPr>
      <w:sz w:val="13"/>
      <w:szCs w:val="13"/>
      <w:lang w:val="sk-SK"/>
    </w:rPr>
  </w:style>
  <w:style w:type="character" w:customStyle="1" w:styleId="mediumtext1">
    <w:name w:val="medium_text1"/>
    <w:rsid w:val="003178D4"/>
    <w:rPr>
      <w:sz w:val="16"/>
      <w:szCs w:val="16"/>
      <w:lang w:val="sk-SK"/>
    </w:rPr>
  </w:style>
  <w:style w:type="character" w:customStyle="1" w:styleId="NormlndoblokuCharChar">
    <w:name w:val="Normální do bloku Char Char"/>
    <w:rsid w:val="003178D4"/>
    <w:rPr>
      <w:rFonts w:ascii="TimesNewRoman" w:hAnsi="TimesNewRoman" w:cs="TimesNewRoman"/>
      <w:sz w:val="22"/>
      <w:szCs w:val="24"/>
      <w:lang w:val="sk-SK"/>
    </w:rPr>
  </w:style>
  <w:style w:type="table" w:styleId="Mriekatabuky">
    <w:name w:val="Table Grid"/>
    <w:basedOn w:val="Normlnatabuka"/>
    <w:uiPriority w:val="59"/>
    <w:rsid w:val="00D2379D"/>
    <w:rPr>
      <w:rFonts w:eastAsia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D2379D"/>
    <w:pPr>
      <w:spacing w:before="100" w:beforeAutospacing="1" w:after="100" w:afterAutospacing="1" w:line="240" w:lineRule="auto"/>
    </w:pPr>
    <w:rPr>
      <w:sz w:val="24"/>
      <w:szCs w:val="24"/>
      <w:lang w:eastAsia="zh-CN"/>
    </w:rPr>
  </w:style>
  <w:style w:type="paragraph" w:styleId="Nzov">
    <w:name w:val="Title"/>
    <w:basedOn w:val="Normlny"/>
    <w:link w:val="NzovChar"/>
    <w:qFormat/>
    <w:rsid w:val="003178D4"/>
    <w:pPr>
      <w:spacing w:after="0" w:line="240" w:lineRule="auto"/>
      <w:jc w:val="center"/>
    </w:pPr>
    <w:rPr>
      <w:b/>
      <w:szCs w:val="20"/>
      <w:lang w:eastAsia="en-US"/>
    </w:rPr>
  </w:style>
  <w:style w:type="character" w:customStyle="1" w:styleId="NzovChar">
    <w:name w:val="Názov Char"/>
    <w:link w:val="Nzov"/>
    <w:rsid w:val="003178D4"/>
    <w:rPr>
      <w:rFonts w:ascii="Times New Roman" w:eastAsia="Times New Roman" w:hAnsi="Times New Roman"/>
      <w:b/>
      <w:sz w:val="22"/>
      <w:lang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D2379D"/>
  </w:style>
  <w:style w:type="character" w:customStyle="1" w:styleId="DtumChar">
    <w:name w:val="Dátum Char"/>
    <w:link w:val="Dtum"/>
    <w:uiPriority w:val="99"/>
    <w:semiHidden/>
    <w:rsid w:val="00D2379D"/>
    <w:rPr>
      <w:rFonts w:ascii="Times New Roman" w:eastAsia="Times New Roman" w:hAnsi="Times New Roman" w:cs="Times New Roman"/>
      <w:lang w:eastAsia="cs-CZ"/>
    </w:rPr>
  </w:style>
  <w:style w:type="paragraph" w:customStyle="1" w:styleId="Nadpisuvnittabulky">
    <w:name w:val="Nadpis uvnitř tabulky"/>
    <w:basedOn w:val="Normlny"/>
    <w:autoRedefine/>
    <w:qFormat/>
    <w:rsid w:val="003178D4"/>
    <w:pPr>
      <w:suppressAutoHyphens/>
      <w:spacing w:before="120" w:after="120" w:line="240" w:lineRule="auto"/>
    </w:pPr>
    <w:rPr>
      <w:rFonts w:ascii="TimesNewRoman" w:eastAsia="Calibri" w:hAnsi="TimesNewRoman" w:cs="TimesNewRoman"/>
      <w:b/>
      <w:szCs w:val="20"/>
      <w:lang w:eastAsia="en-US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3178D4"/>
    <w:rPr>
      <w:rFonts w:ascii="TimesNewRoman" w:hAnsi="TimesNewRoman"/>
      <w:szCs w:val="20"/>
    </w:rPr>
  </w:style>
  <w:style w:type="character" w:styleId="Hypertextovprepojenie">
    <w:name w:val="Hyperlink"/>
    <w:rsid w:val="00D902C9"/>
    <w:rPr>
      <w:color w:val="0000FF"/>
      <w:u w:val="single"/>
      <w:lang w:val="sk-SK"/>
    </w:rPr>
  </w:style>
  <w:style w:type="character" w:styleId="PouitHypertextovPrepojenie">
    <w:name w:val="FollowedHyperlink"/>
    <w:uiPriority w:val="99"/>
    <w:semiHidden/>
    <w:unhideWhenUsed/>
    <w:rsid w:val="00D2379D"/>
    <w:rPr>
      <w:color w:val="800080"/>
      <w:u w:val="single"/>
    </w:rPr>
  </w:style>
  <w:style w:type="character" w:customStyle="1" w:styleId="NormlndoblokusodrkamiChar">
    <w:name w:val="Normální do bloku s odrážkami Char"/>
    <w:link w:val="Normlndoblokusodrkami"/>
    <w:rsid w:val="003178D4"/>
    <w:rPr>
      <w:rFonts w:ascii="Times New Roman" w:hAnsi="Times New Roman"/>
      <w:noProof/>
      <w:sz w:val="22"/>
      <w:szCs w:val="24"/>
      <w:lang w:eastAsia="cs-CZ"/>
    </w:rPr>
  </w:style>
  <w:style w:type="character" w:styleId="Odkaznakomentr">
    <w:name w:val="annotation reference"/>
    <w:uiPriority w:val="99"/>
    <w:semiHidden/>
    <w:unhideWhenUsed/>
    <w:rsid w:val="00D237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37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D23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379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37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379D"/>
    <w:rPr>
      <w:rFonts w:ascii="Tahoma" w:eastAsia="Times New Roman" w:hAnsi="Tahoma" w:cs="Tahoma"/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D2379D"/>
    <w:rPr>
      <w:rFonts w:ascii="Times New Roman" w:eastAsia="Times New Roman" w:hAnsi="Times New Roman"/>
      <w:sz w:val="22"/>
      <w:szCs w:val="22"/>
      <w:lang w:val="cs-CZ" w:eastAsia="cs-CZ"/>
    </w:rPr>
  </w:style>
  <w:style w:type="character" w:customStyle="1" w:styleId="alt-edited">
    <w:name w:val="alt-edited"/>
    <w:rsid w:val="006E331B"/>
  </w:style>
  <w:style w:type="character" w:customStyle="1" w:styleId="shorttext">
    <w:name w:val="short_text"/>
    <w:rsid w:val="003178D4"/>
    <w:rPr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78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E141-F4C3-40C7-A754-35922AD9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3531</Words>
  <Characters>20127</Characters>
  <Application>Microsoft Office Word</Application>
  <DocSecurity>0</DocSecurity>
  <Lines>167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Medochemie, Ltd.</Company>
  <LinksUpToDate>false</LinksUpToDate>
  <CharactersWithSpaces>23611</CharactersWithSpaces>
  <SharedDoc>false</SharedDoc>
  <HLinks>
    <vt:vector size="42" baseType="variant">
      <vt:variant>
        <vt:i4>131083</vt:i4>
      </vt:variant>
      <vt:variant>
        <vt:i4>18</vt:i4>
      </vt:variant>
      <vt:variant>
        <vt:i4>0</vt:i4>
      </vt:variant>
      <vt:variant>
        <vt:i4>5</vt:i4>
      </vt:variant>
      <vt:variant>
        <vt:lpwstr>http://mic.eucast.org/SearchController/search.jsp?action=performSearch&amp;BeginIndex=0&amp;Micdif=dif&amp;NumberIndex=50&amp;Antib=44&amp;Specium=-1&amp;Discstrength=-1</vt:lpwstr>
      </vt:variant>
      <vt:variant>
        <vt:lpwstr/>
      </vt:variant>
      <vt:variant>
        <vt:i4>131083</vt:i4>
      </vt:variant>
      <vt:variant>
        <vt:i4>15</vt:i4>
      </vt:variant>
      <vt:variant>
        <vt:i4>0</vt:i4>
      </vt:variant>
      <vt:variant>
        <vt:i4>5</vt:i4>
      </vt:variant>
      <vt:variant>
        <vt:lpwstr>http://mic.eucast.org/SearchController/search.jsp?action=performSearch&amp;BeginIndex=0&amp;Micdif=dif&amp;NumberIndex=50&amp;Antib=44&amp;Specium=-1&amp;Discstrength=-1</vt:lpwstr>
      </vt:variant>
      <vt:variant>
        <vt:lpwstr/>
      </vt:variant>
      <vt:variant>
        <vt:i4>1114123</vt:i4>
      </vt:variant>
      <vt:variant>
        <vt:i4>12</vt:i4>
      </vt:variant>
      <vt:variant>
        <vt:i4>0</vt:i4>
      </vt:variant>
      <vt:variant>
        <vt:i4>5</vt:i4>
      </vt:variant>
      <vt:variant>
        <vt:lpwstr>http://mic.eucast.org/SearchController/search.jsp?action=performSearch&amp;BeginIndex=0&amp;Micdif=mic&amp;NumberIndex=50&amp;Antib=44&amp;Specium=-1</vt:lpwstr>
      </vt:variant>
      <vt:variant>
        <vt:lpwstr/>
      </vt:variant>
      <vt:variant>
        <vt:i4>131083</vt:i4>
      </vt:variant>
      <vt:variant>
        <vt:i4>9</vt:i4>
      </vt:variant>
      <vt:variant>
        <vt:i4>0</vt:i4>
      </vt:variant>
      <vt:variant>
        <vt:i4>5</vt:i4>
      </vt:variant>
      <vt:variant>
        <vt:lpwstr>http://mic.eucast.org/SearchController/search.jsp?action=performSearch&amp;BeginIndex=0&amp;Micdif=dif&amp;NumberIndex=50&amp;Antib=44&amp;Specium=-1&amp;Discstrength=-1</vt:lpwstr>
      </vt:variant>
      <vt:variant>
        <vt:lpwstr/>
      </vt:variant>
      <vt:variant>
        <vt:i4>131083</vt:i4>
      </vt:variant>
      <vt:variant>
        <vt:i4>6</vt:i4>
      </vt:variant>
      <vt:variant>
        <vt:i4>0</vt:i4>
      </vt:variant>
      <vt:variant>
        <vt:i4>5</vt:i4>
      </vt:variant>
      <vt:variant>
        <vt:lpwstr>http://mic.eucast.org/SearchController/search.jsp?action=performSearch&amp;BeginIndex=0&amp;Micdif=dif&amp;NumberIndex=50&amp;Antib=44&amp;Specium=-1&amp;Discstrength=-1</vt:lpwstr>
      </vt:variant>
      <vt:variant>
        <vt:lpwstr/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http://mic.eucast.org/SearchController/search.jsp?action=performSearch&amp;BeginIndex=0&amp;Micdif=mic&amp;NumberIndex=50&amp;Antib=44&amp;Specium=-1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Litera</dc:creator>
  <cp:keywords/>
  <dc:description/>
  <cp:lastModifiedBy> Jana Repiščáková</cp:lastModifiedBy>
  <cp:revision>7</cp:revision>
  <cp:lastPrinted>2018-04-17T07:08:00Z</cp:lastPrinted>
  <dcterms:created xsi:type="dcterms:W3CDTF">2018-04-12T10:30:00Z</dcterms:created>
  <dcterms:modified xsi:type="dcterms:W3CDTF">2018-04-17T07:09:00Z</dcterms:modified>
</cp:coreProperties>
</file>