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00E81" w14:textId="77777777" w:rsidR="005A309E" w:rsidRPr="007A1CAE" w:rsidRDefault="005A309E" w:rsidP="005A309E">
      <w:pPr>
        <w:jc w:val="center"/>
        <w:rPr>
          <w:rFonts w:ascii="Times New Roman" w:hAnsi="Times New Roman"/>
          <w:b/>
          <w:sz w:val="22"/>
          <w:szCs w:val="22"/>
        </w:rPr>
      </w:pPr>
    </w:p>
    <w:p w14:paraId="76293929" w14:textId="77777777" w:rsidR="005A309E" w:rsidRPr="007A1CAE" w:rsidRDefault="005A309E" w:rsidP="00201EDA">
      <w:pPr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7A1CAE">
        <w:rPr>
          <w:rFonts w:ascii="Times New Roman" w:hAnsi="Times New Roman"/>
          <w:b/>
          <w:sz w:val="22"/>
          <w:szCs w:val="22"/>
        </w:rPr>
        <w:t>SÚHRN CHARAKTERISTICKÝCH VLASTNOSTÍ LIEKU</w:t>
      </w:r>
    </w:p>
    <w:p w14:paraId="2682D2FB" w14:textId="77777777" w:rsidR="005A309E" w:rsidRDefault="005A309E" w:rsidP="005A309E">
      <w:pPr>
        <w:rPr>
          <w:rFonts w:ascii="Times New Roman" w:hAnsi="Times New Roman"/>
          <w:sz w:val="22"/>
          <w:szCs w:val="22"/>
        </w:rPr>
      </w:pPr>
    </w:p>
    <w:p w14:paraId="03E4AF0B" w14:textId="77777777" w:rsidR="005761B8" w:rsidRPr="007A1CAE" w:rsidRDefault="005761B8" w:rsidP="005A309E">
      <w:pPr>
        <w:rPr>
          <w:rFonts w:ascii="Times New Roman" w:hAnsi="Times New Roman"/>
          <w:sz w:val="22"/>
          <w:szCs w:val="22"/>
        </w:rPr>
      </w:pPr>
    </w:p>
    <w:p w14:paraId="771BF3E3" w14:textId="77777777" w:rsidR="005A309E" w:rsidRPr="007A1CAE" w:rsidRDefault="005A309E" w:rsidP="005A309E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b/>
          <w:sz w:val="22"/>
          <w:szCs w:val="22"/>
        </w:rPr>
        <w:t>1. NÁZOV LIEKU</w:t>
      </w:r>
    </w:p>
    <w:p w14:paraId="066842D4" w14:textId="77777777" w:rsidR="005A309E" w:rsidRPr="007A1CAE" w:rsidRDefault="005A309E" w:rsidP="005A309E">
      <w:pPr>
        <w:jc w:val="both"/>
        <w:rPr>
          <w:rFonts w:ascii="Times New Roman" w:hAnsi="Times New Roman"/>
          <w:sz w:val="22"/>
          <w:szCs w:val="22"/>
        </w:rPr>
      </w:pPr>
    </w:p>
    <w:p w14:paraId="68D88020" w14:textId="77777777" w:rsidR="005A309E" w:rsidRDefault="007A1CAE" w:rsidP="005761B8">
      <w:pPr>
        <w:outlineLvl w:val="0"/>
        <w:rPr>
          <w:rFonts w:ascii="Times New Roman" w:hAnsi="Times New Roman"/>
          <w:sz w:val="22"/>
          <w:szCs w:val="22"/>
        </w:rPr>
      </w:pPr>
      <w:proofErr w:type="spellStart"/>
      <w:r w:rsidRPr="007A1CAE">
        <w:rPr>
          <w:rFonts w:ascii="Times New Roman" w:hAnsi="Times New Roman"/>
          <w:sz w:val="22"/>
          <w:szCs w:val="22"/>
        </w:rPr>
        <w:t>L-</w:t>
      </w:r>
      <w:r w:rsidR="000E7EA9" w:rsidRPr="007A1CAE">
        <w:rPr>
          <w:rFonts w:ascii="Times New Roman" w:hAnsi="Times New Roman"/>
          <w:sz w:val="22"/>
          <w:szCs w:val="22"/>
        </w:rPr>
        <w:t>Thyroxin</w:t>
      </w:r>
      <w:proofErr w:type="spellEnd"/>
      <w:r w:rsidR="000E7EA9" w:rsidRPr="007A1CAE">
        <w:rPr>
          <w:rFonts w:ascii="Times New Roman" w:hAnsi="Times New Roman"/>
          <w:sz w:val="22"/>
          <w:szCs w:val="22"/>
        </w:rPr>
        <w:t xml:space="preserve"> 125</w:t>
      </w:r>
      <w:r w:rsidR="00D71ECD"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71ECD" w:rsidRPr="007A1CAE">
        <w:rPr>
          <w:rFonts w:ascii="Times New Roman" w:hAnsi="Times New Roman"/>
          <w:sz w:val="22"/>
          <w:szCs w:val="22"/>
        </w:rPr>
        <w:t>Berlin-Chemie</w:t>
      </w:r>
      <w:proofErr w:type="spellEnd"/>
    </w:p>
    <w:p w14:paraId="54B845E8" w14:textId="77777777" w:rsidR="00AE1322" w:rsidRPr="007A1CAE" w:rsidRDefault="00AE1322" w:rsidP="005761B8">
      <w:pPr>
        <w:outlineLvl w:val="0"/>
        <w:rPr>
          <w:rFonts w:ascii="Times New Roman" w:hAnsi="Times New Roman"/>
          <w:sz w:val="22"/>
          <w:szCs w:val="22"/>
        </w:rPr>
      </w:pPr>
    </w:p>
    <w:p w14:paraId="3C5EBFE8" w14:textId="6E6E665B" w:rsidR="00AA4E0F" w:rsidRPr="007A1CAE" w:rsidRDefault="00A935FD" w:rsidP="005761B8">
      <w:pPr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>12</w:t>
      </w:r>
      <w:r w:rsidR="00AA4E0F" w:rsidRPr="007A1CAE">
        <w:rPr>
          <w:rFonts w:ascii="Times New Roman" w:hAnsi="Times New Roman"/>
          <w:sz w:val="22"/>
          <w:szCs w:val="22"/>
        </w:rPr>
        <w:t xml:space="preserve">5 </w:t>
      </w:r>
      <w:proofErr w:type="spellStart"/>
      <w:r w:rsidR="00AA4E0F" w:rsidRPr="007A1CAE">
        <w:rPr>
          <w:rFonts w:ascii="Times New Roman" w:hAnsi="Times New Roman"/>
          <w:sz w:val="22"/>
          <w:szCs w:val="22"/>
        </w:rPr>
        <w:t>mikrogramov</w:t>
      </w:r>
      <w:proofErr w:type="spellEnd"/>
      <w:r w:rsidR="00AA4E0F" w:rsidRPr="007A1CAE">
        <w:rPr>
          <w:rFonts w:ascii="Times New Roman" w:hAnsi="Times New Roman"/>
          <w:sz w:val="22"/>
          <w:szCs w:val="22"/>
        </w:rPr>
        <w:t xml:space="preserve"> tablety</w:t>
      </w:r>
    </w:p>
    <w:p w14:paraId="643396B8" w14:textId="77777777" w:rsidR="005A309E" w:rsidRPr="007A1CAE" w:rsidRDefault="005A309E" w:rsidP="005A309E">
      <w:pPr>
        <w:rPr>
          <w:rFonts w:ascii="Times New Roman" w:hAnsi="Times New Roman"/>
          <w:sz w:val="22"/>
          <w:szCs w:val="22"/>
        </w:rPr>
      </w:pPr>
    </w:p>
    <w:p w14:paraId="2A2A0CA0" w14:textId="77777777" w:rsidR="005A309E" w:rsidRPr="007A1CAE" w:rsidRDefault="005A309E" w:rsidP="005A309E">
      <w:pPr>
        <w:rPr>
          <w:rFonts w:ascii="Times New Roman" w:hAnsi="Times New Roman"/>
          <w:sz w:val="22"/>
          <w:szCs w:val="22"/>
        </w:rPr>
      </w:pPr>
    </w:p>
    <w:p w14:paraId="2A3332AA" w14:textId="77777777" w:rsidR="005A309E" w:rsidRPr="007A1CAE" w:rsidRDefault="005A309E" w:rsidP="005A309E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b/>
          <w:sz w:val="22"/>
          <w:szCs w:val="22"/>
        </w:rPr>
        <w:t xml:space="preserve">2.  KVALITATÍVNE A KVANTITATÍVNE ZLOŽENIE </w:t>
      </w:r>
    </w:p>
    <w:p w14:paraId="092B63C0" w14:textId="33D29D1C" w:rsidR="00766BEE" w:rsidRPr="007A1CAE" w:rsidRDefault="00766BEE" w:rsidP="005A309E">
      <w:pPr>
        <w:rPr>
          <w:rFonts w:ascii="Times New Roman" w:hAnsi="Times New Roman"/>
          <w:sz w:val="22"/>
          <w:szCs w:val="22"/>
        </w:rPr>
      </w:pPr>
    </w:p>
    <w:p w14:paraId="609E74DF" w14:textId="55D0903E" w:rsidR="000E7EA9" w:rsidRPr="007A1CAE" w:rsidRDefault="00AE1322" w:rsidP="009B7E4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Jedna</w:t>
      </w:r>
      <w:r w:rsidRPr="007A1CAE">
        <w:rPr>
          <w:rFonts w:ascii="Times New Roman" w:hAnsi="Times New Roman"/>
          <w:sz w:val="22"/>
          <w:szCs w:val="22"/>
        </w:rPr>
        <w:t xml:space="preserve"> </w:t>
      </w:r>
      <w:r w:rsidR="00C041EA" w:rsidRPr="007A1CAE">
        <w:rPr>
          <w:rFonts w:ascii="Times New Roman" w:hAnsi="Times New Roman"/>
          <w:sz w:val="22"/>
          <w:szCs w:val="22"/>
        </w:rPr>
        <w:t>tableta</w:t>
      </w:r>
      <w:r w:rsidR="00AA4E0F" w:rsidRPr="007A1CAE">
        <w:rPr>
          <w:rFonts w:ascii="Times New Roman" w:hAnsi="Times New Roman"/>
          <w:sz w:val="22"/>
          <w:szCs w:val="22"/>
        </w:rPr>
        <w:t xml:space="preserve"> obsahuje </w:t>
      </w:r>
      <w:r w:rsidR="000E7EA9" w:rsidRPr="007A1CAE">
        <w:rPr>
          <w:rFonts w:ascii="Times New Roman" w:hAnsi="Times New Roman"/>
          <w:sz w:val="22"/>
          <w:szCs w:val="22"/>
        </w:rPr>
        <w:t>133,0</w:t>
      </w:r>
      <w:r w:rsidR="001902DA">
        <w:rPr>
          <w:rFonts w:ascii="Times New Roman" w:hAnsi="Times New Roman"/>
          <w:sz w:val="22"/>
          <w:szCs w:val="22"/>
        </w:rPr>
        <w:t xml:space="preserve"> </w:t>
      </w:r>
      <w:r w:rsidR="000E7EA9" w:rsidRPr="007A1CAE">
        <w:rPr>
          <w:rFonts w:ascii="Times New Roman" w:hAnsi="Times New Roman"/>
          <w:sz w:val="22"/>
          <w:szCs w:val="22"/>
        </w:rPr>
        <w:t>-</w:t>
      </w:r>
      <w:r w:rsidR="001902DA">
        <w:rPr>
          <w:rFonts w:ascii="Times New Roman" w:hAnsi="Times New Roman"/>
          <w:sz w:val="22"/>
          <w:szCs w:val="22"/>
        </w:rPr>
        <w:t xml:space="preserve"> </w:t>
      </w:r>
      <w:r w:rsidR="000E7EA9" w:rsidRPr="007A1CAE">
        <w:rPr>
          <w:rFonts w:ascii="Times New Roman" w:hAnsi="Times New Roman"/>
          <w:sz w:val="22"/>
          <w:szCs w:val="22"/>
        </w:rPr>
        <w:t xml:space="preserve">142,0 </w:t>
      </w:r>
      <w:proofErr w:type="spellStart"/>
      <w:r w:rsidR="005761B8">
        <w:rPr>
          <w:rFonts w:ascii="Times New Roman" w:hAnsi="Times New Roman"/>
          <w:sz w:val="22"/>
          <w:szCs w:val="22"/>
        </w:rPr>
        <w:t>mikrogramov</w:t>
      </w:r>
      <w:proofErr w:type="spellEnd"/>
      <w:r w:rsidR="005761B8">
        <w:rPr>
          <w:rFonts w:ascii="Times New Roman" w:hAnsi="Times New Roman"/>
          <w:sz w:val="22"/>
          <w:szCs w:val="22"/>
        </w:rPr>
        <w:t xml:space="preserve"> hydrátu sodnej soli </w:t>
      </w:r>
      <w:proofErr w:type="spellStart"/>
      <w:r w:rsidR="005761B8">
        <w:rPr>
          <w:rFonts w:ascii="Times New Roman" w:hAnsi="Times New Roman"/>
          <w:sz w:val="22"/>
          <w:szCs w:val="22"/>
        </w:rPr>
        <w:t>levotyroxínu</w:t>
      </w:r>
      <w:proofErr w:type="spellEnd"/>
      <w:r w:rsidR="005761B8">
        <w:rPr>
          <w:rFonts w:ascii="Times New Roman" w:hAnsi="Times New Roman"/>
          <w:sz w:val="22"/>
          <w:szCs w:val="22"/>
        </w:rPr>
        <w:t xml:space="preserve"> </w:t>
      </w:r>
      <w:r w:rsidR="000E7EA9" w:rsidRPr="007A1CAE">
        <w:rPr>
          <w:rFonts w:ascii="Times New Roman" w:hAnsi="Times New Roman"/>
          <w:sz w:val="22"/>
          <w:szCs w:val="22"/>
        </w:rPr>
        <w:t>(čo zodpovedá 125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761B8">
        <w:rPr>
          <w:rFonts w:ascii="Times New Roman" w:hAnsi="Times New Roman"/>
          <w:sz w:val="22"/>
          <w:szCs w:val="22"/>
        </w:rPr>
        <w:t>mikrogramo</w:t>
      </w:r>
      <w:r w:rsidR="00EF740A">
        <w:rPr>
          <w:rFonts w:ascii="Times New Roman" w:hAnsi="Times New Roman"/>
          <w:sz w:val="22"/>
          <w:szCs w:val="22"/>
        </w:rPr>
        <w:t>m</w:t>
      </w:r>
      <w:proofErr w:type="spellEnd"/>
      <w:r w:rsidR="005761B8">
        <w:rPr>
          <w:rFonts w:ascii="Times New Roman" w:hAnsi="Times New Roman"/>
          <w:sz w:val="22"/>
          <w:szCs w:val="22"/>
        </w:rPr>
        <w:t xml:space="preserve"> sodnej soli </w:t>
      </w:r>
      <w:proofErr w:type="spellStart"/>
      <w:r w:rsidR="005761B8">
        <w:rPr>
          <w:rFonts w:ascii="Times New Roman" w:hAnsi="Times New Roman"/>
          <w:sz w:val="22"/>
          <w:szCs w:val="22"/>
        </w:rPr>
        <w:t>levotyroxínu</w:t>
      </w:r>
      <w:proofErr w:type="spellEnd"/>
      <w:r w:rsidR="000E7EA9" w:rsidRPr="007A1CAE">
        <w:rPr>
          <w:rFonts w:ascii="Times New Roman" w:hAnsi="Times New Roman"/>
          <w:sz w:val="22"/>
          <w:szCs w:val="22"/>
        </w:rPr>
        <w:t>).</w:t>
      </w:r>
    </w:p>
    <w:p w14:paraId="39F66ABA" w14:textId="77777777" w:rsidR="005761B8" w:rsidRDefault="005761B8" w:rsidP="005761B8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14:paraId="79A81188" w14:textId="77777777" w:rsidR="006C71DA" w:rsidRPr="00293953" w:rsidRDefault="006C71DA" w:rsidP="006C71DA">
      <w:pPr>
        <w:jc w:val="both"/>
        <w:outlineLvl w:val="0"/>
        <w:rPr>
          <w:rFonts w:ascii="Times New Roman" w:hAnsi="Times New Roman"/>
          <w:sz w:val="22"/>
          <w:szCs w:val="22"/>
          <w:u w:val="single"/>
        </w:rPr>
      </w:pPr>
      <w:r w:rsidRPr="00293953">
        <w:rPr>
          <w:rFonts w:ascii="Times New Roman" w:hAnsi="Times New Roman"/>
          <w:sz w:val="22"/>
          <w:szCs w:val="22"/>
          <w:u w:val="single"/>
        </w:rPr>
        <w:t>Pomocná látka so známym účinkom</w:t>
      </w:r>
    </w:p>
    <w:p w14:paraId="3FB57FFF" w14:textId="077C6C75" w:rsidR="006C71DA" w:rsidRDefault="006C71DA" w:rsidP="006C71DA">
      <w:pPr>
        <w:jc w:val="both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Jedna tableta obsahuje 6,97</w:t>
      </w:r>
      <w:r w:rsidR="00562F42">
        <w:rPr>
          <w:rFonts w:ascii="Times New Roman" w:hAnsi="Times New Roman"/>
          <w:sz w:val="22"/>
          <w:szCs w:val="22"/>
        </w:rPr>
        <w:t xml:space="preserve"> mg sodíka.</w:t>
      </w:r>
    </w:p>
    <w:p w14:paraId="35438AA7" w14:textId="77777777" w:rsidR="006C71DA" w:rsidRDefault="006C71DA" w:rsidP="005761B8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14:paraId="3D6921A2" w14:textId="77777777" w:rsidR="005A309E" w:rsidRDefault="004802A6" w:rsidP="005761B8">
      <w:pPr>
        <w:jc w:val="both"/>
        <w:outlineLvl w:val="0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>Úplný zoznam p</w:t>
      </w:r>
      <w:r w:rsidR="005A309E" w:rsidRPr="007A1CAE">
        <w:rPr>
          <w:rFonts w:ascii="Times New Roman" w:hAnsi="Times New Roman"/>
          <w:sz w:val="22"/>
          <w:szCs w:val="22"/>
        </w:rPr>
        <w:t>omocn</w:t>
      </w:r>
      <w:r w:rsidRPr="007A1CAE">
        <w:rPr>
          <w:rFonts w:ascii="Times New Roman" w:hAnsi="Times New Roman"/>
          <w:sz w:val="22"/>
          <w:szCs w:val="22"/>
        </w:rPr>
        <w:t>ých látok,</w:t>
      </w:r>
      <w:r w:rsidR="005A309E" w:rsidRPr="007A1CAE">
        <w:rPr>
          <w:rFonts w:ascii="Times New Roman" w:hAnsi="Times New Roman"/>
          <w:sz w:val="22"/>
          <w:szCs w:val="22"/>
        </w:rPr>
        <w:t xml:space="preserve"> pozri časť 6.1</w:t>
      </w:r>
      <w:r w:rsidR="007A1CAE" w:rsidRPr="007A1CAE">
        <w:rPr>
          <w:rFonts w:ascii="Times New Roman" w:hAnsi="Times New Roman"/>
          <w:sz w:val="22"/>
          <w:szCs w:val="22"/>
        </w:rPr>
        <w:t>.</w:t>
      </w:r>
    </w:p>
    <w:p w14:paraId="053C294F" w14:textId="77777777" w:rsidR="005761B8" w:rsidRPr="007A1CAE" w:rsidRDefault="005761B8" w:rsidP="005761B8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14:paraId="70096CED" w14:textId="77777777" w:rsidR="005A309E" w:rsidRPr="007A1CAE" w:rsidRDefault="005A309E" w:rsidP="002F028B">
      <w:pPr>
        <w:jc w:val="both"/>
        <w:rPr>
          <w:rFonts w:ascii="Times New Roman" w:hAnsi="Times New Roman"/>
          <w:sz w:val="22"/>
          <w:szCs w:val="22"/>
        </w:rPr>
      </w:pPr>
    </w:p>
    <w:p w14:paraId="34A4A6E6" w14:textId="77777777" w:rsidR="005A309E" w:rsidRPr="007A1CAE" w:rsidRDefault="005A309E" w:rsidP="005A309E">
      <w:pPr>
        <w:jc w:val="both"/>
        <w:rPr>
          <w:rFonts w:ascii="Times New Roman" w:hAnsi="Times New Roman"/>
          <w:b/>
          <w:sz w:val="22"/>
          <w:szCs w:val="22"/>
        </w:rPr>
      </w:pPr>
      <w:r w:rsidRPr="007A1CAE">
        <w:rPr>
          <w:rFonts w:ascii="Times New Roman" w:hAnsi="Times New Roman"/>
          <w:b/>
          <w:sz w:val="22"/>
          <w:szCs w:val="22"/>
        </w:rPr>
        <w:t>3. LIEKOVÁ FORMA</w:t>
      </w:r>
    </w:p>
    <w:p w14:paraId="2BA3A77D" w14:textId="77777777" w:rsidR="005A309E" w:rsidRPr="007A1CAE" w:rsidRDefault="005A309E" w:rsidP="002F028B">
      <w:pPr>
        <w:jc w:val="both"/>
        <w:rPr>
          <w:rFonts w:ascii="Times New Roman" w:hAnsi="Times New Roman"/>
          <w:sz w:val="22"/>
          <w:szCs w:val="22"/>
        </w:rPr>
      </w:pPr>
    </w:p>
    <w:p w14:paraId="405D2965" w14:textId="77777777" w:rsidR="005A309E" w:rsidRPr="007A1CAE" w:rsidRDefault="00AA4E0F" w:rsidP="005761B8">
      <w:pPr>
        <w:jc w:val="both"/>
        <w:outlineLvl w:val="0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>T</w:t>
      </w:r>
      <w:r w:rsidR="007218CD" w:rsidRPr="007A1CAE">
        <w:rPr>
          <w:rFonts w:ascii="Times New Roman" w:hAnsi="Times New Roman"/>
          <w:sz w:val="22"/>
          <w:szCs w:val="22"/>
        </w:rPr>
        <w:t>ableta</w:t>
      </w:r>
      <w:r w:rsidR="005761B8">
        <w:rPr>
          <w:rFonts w:ascii="Times New Roman" w:hAnsi="Times New Roman"/>
          <w:sz w:val="22"/>
          <w:szCs w:val="22"/>
        </w:rPr>
        <w:t>.</w:t>
      </w:r>
    </w:p>
    <w:p w14:paraId="5109F05E" w14:textId="77777777" w:rsidR="00AA4E0F" w:rsidRDefault="00AA4E0F" w:rsidP="005761B8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 xml:space="preserve">Takmer biela až svetlobéžová okrúhla mierne </w:t>
      </w:r>
      <w:r w:rsidR="00531848">
        <w:rPr>
          <w:rFonts w:ascii="Times New Roman" w:hAnsi="Times New Roman"/>
          <w:sz w:val="22"/>
          <w:szCs w:val="22"/>
        </w:rPr>
        <w:t>vypuklá</w:t>
      </w:r>
      <w:r w:rsidRPr="007A1CAE">
        <w:rPr>
          <w:rFonts w:ascii="Times New Roman" w:hAnsi="Times New Roman"/>
          <w:sz w:val="22"/>
          <w:szCs w:val="22"/>
        </w:rPr>
        <w:t xml:space="preserve"> tableta s deliacou ryhou na jednej strane a s označením </w:t>
      </w:r>
      <w:r w:rsidR="000E7EA9" w:rsidRPr="007A1CAE">
        <w:rPr>
          <w:rFonts w:ascii="Times New Roman" w:hAnsi="Times New Roman"/>
          <w:sz w:val="22"/>
          <w:szCs w:val="22"/>
        </w:rPr>
        <w:t>12</w:t>
      </w:r>
      <w:r w:rsidRPr="007A1CAE">
        <w:rPr>
          <w:rFonts w:ascii="Times New Roman" w:hAnsi="Times New Roman"/>
          <w:sz w:val="22"/>
          <w:szCs w:val="22"/>
        </w:rPr>
        <w:t>5 na druhej strane.</w:t>
      </w:r>
    </w:p>
    <w:p w14:paraId="0557167A" w14:textId="77777777" w:rsidR="005761B8" w:rsidRPr="007A1CAE" w:rsidRDefault="005761B8" w:rsidP="005761B8">
      <w:pPr>
        <w:jc w:val="both"/>
        <w:rPr>
          <w:rFonts w:ascii="Times New Roman" w:hAnsi="Times New Roman"/>
          <w:sz w:val="22"/>
          <w:szCs w:val="22"/>
        </w:rPr>
      </w:pPr>
    </w:p>
    <w:p w14:paraId="7905EF01" w14:textId="77777777" w:rsidR="005761B8" w:rsidRDefault="00C041EA" w:rsidP="005761B8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>Tableta sa môže rozdeliť na rovnaké</w:t>
      </w:r>
      <w:r w:rsidR="006A7DAF" w:rsidRPr="007A1CAE">
        <w:rPr>
          <w:rFonts w:ascii="Times New Roman" w:hAnsi="Times New Roman"/>
          <w:sz w:val="22"/>
          <w:szCs w:val="22"/>
        </w:rPr>
        <w:t xml:space="preserve"> dávky</w:t>
      </w:r>
      <w:r w:rsidRPr="007A1CAE">
        <w:rPr>
          <w:rFonts w:ascii="Times New Roman" w:hAnsi="Times New Roman"/>
          <w:sz w:val="22"/>
          <w:szCs w:val="22"/>
        </w:rPr>
        <w:t>.</w:t>
      </w:r>
    </w:p>
    <w:p w14:paraId="73AEEB67" w14:textId="0F61FC47" w:rsidR="005A309E" w:rsidRPr="007A1CAE" w:rsidRDefault="005A309E" w:rsidP="005761B8">
      <w:pPr>
        <w:jc w:val="both"/>
        <w:rPr>
          <w:rFonts w:ascii="Times New Roman" w:hAnsi="Times New Roman"/>
          <w:sz w:val="22"/>
          <w:szCs w:val="22"/>
        </w:rPr>
      </w:pPr>
    </w:p>
    <w:p w14:paraId="1889B9F1" w14:textId="77777777" w:rsidR="005A309E" w:rsidRPr="007A1CAE" w:rsidRDefault="005A309E" w:rsidP="005A309E">
      <w:pPr>
        <w:jc w:val="both"/>
        <w:rPr>
          <w:rFonts w:ascii="Times New Roman" w:hAnsi="Times New Roman"/>
          <w:sz w:val="22"/>
          <w:szCs w:val="22"/>
        </w:rPr>
      </w:pPr>
    </w:p>
    <w:p w14:paraId="76AF1F33" w14:textId="77777777" w:rsidR="005A309E" w:rsidRPr="007A1CAE" w:rsidRDefault="005A309E" w:rsidP="005A309E">
      <w:pPr>
        <w:numPr>
          <w:ilvl w:val="0"/>
          <w:numId w:val="23"/>
        </w:numPr>
        <w:jc w:val="both"/>
        <w:textAlignment w:val="auto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b/>
          <w:sz w:val="22"/>
          <w:szCs w:val="22"/>
        </w:rPr>
        <w:t xml:space="preserve">KLINICKÉ  </w:t>
      </w:r>
      <w:r w:rsidR="00665FEB" w:rsidRPr="007A1CAE">
        <w:rPr>
          <w:rFonts w:ascii="Times New Roman" w:hAnsi="Times New Roman"/>
          <w:b/>
          <w:sz w:val="22"/>
          <w:szCs w:val="22"/>
        </w:rPr>
        <w:t>ÚDAJE</w:t>
      </w:r>
    </w:p>
    <w:p w14:paraId="374CE0C3" w14:textId="77777777" w:rsidR="005A309E" w:rsidRPr="007A1CAE" w:rsidRDefault="005A309E" w:rsidP="005A309E">
      <w:pPr>
        <w:jc w:val="both"/>
        <w:rPr>
          <w:rFonts w:ascii="Times New Roman" w:hAnsi="Times New Roman"/>
          <w:sz w:val="22"/>
          <w:szCs w:val="22"/>
        </w:rPr>
      </w:pPr>
    </w:p>
    <w:p w14:paraId="1B576EC9" w14:textId="77777777" w:rsidR="005A309E" w:rsidRPr="007A1CAE" w:rsidRDefault="005A309E" w:rsidP="005A309E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b/>
          <w:sz w:val="22"/>
          <w:szCs w:val="22"/>
        </w:rPr>
        <w:t>4.1 Terapeutické indikácie</w:t>
      </w:r>
    </w:p>
    <w:p w14:paraId="0441D59D" w14:textId="77777777" w:rsidR="005A309E" w:rsidRPr="007A1CAE" w:rsidRDefault="005A309E" w:rsidP="002F028B">
      <w:pPr>
        <w:jc w:val="both"/>
        <w:rPr>
          <w:rFonts w:ascii="Times New Roman" w:hAnsi="Times New Roman"/>
          <w:sz w:val="22"/>
          <w:szCs w:val="22"/>
        </w:rPr>
      </w:pPr>
    </w:p>
    <w:p w14:paraId="6CAC8B2D" w14:textId="1C59A4D3" w:rsidR="005A309E" w:rsidRPr="007A1CAE" w:rsidRDefault="00AB0833" w:rsidP="00FE21BF">
      <w:pPr>
        <w:ind w:left="142" w:hanging="142"/>
        <w:jc w:val="both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S</w:t>
      </w:r>
      <w:r w:rsidR="005A309E" w:rsidRPr="007A1CAE">
        <w:rPr>
          <w:rFonts w:ascii="Times New Roman" w:hAnsi="Times New Roman"/>
          <w:sz w:val="22"/>
          <w:szCs w:val="22"/>
        </w:rPr>
        <w:t xml:space="preserve">ubstitúcia hormónu štítnej žľazy u </w:t>
      </w:r>
      <w:proofErr w:type="spellStart"/>
      <w:r w:rsidR="005A309E" w:rsidRPr="007A1CAE">
        <w:rPr>
          <w:rFonts w:ascii="Times New Roman" w:hAnsi="Times New Roman"/>
          <w:sz w:val="22"/>
          <w:szCs w:val="22"/>
        </w:rPr>
        <w:t>hypotyreózy</w:t>
      </w:r>
      <w:proofErr w:type="spellEnd"/>
      <w:r w:rsidR="005A309E" w:rsidRPr="007A1CAE">
        <w:rPr>
          <w:rFonts w:ascii="Times New Roman" w:hAnsi="Times New Roman"/>
          <w:sz w:val="22"/>
          <w:szCs w:val="22"/>
        </w:rPr>
        <w:t xml:space="preserve"> akejkoľvek etiológie</w:t>
      </w:r>
      <w:r w:rsidR="007A1CAE" w:rsidRPr="007A1CAE">
        <w:rPr>
          <w:rFonts w:ascii="Times New Roman" w:hAnsi="Times New Roman"/>
          <w:sz w:val="22"/>
          <w:szCs w:val="22"/>
        </w:rPr>
        <w:t>,</w:t>
      </w:r>
      <w:r w:rsidR="005A309E" w:rsidRPr="007A1CAE">
        <w:rPr>
          <w:rFonts w:ascii="Times New Roman" w:hAnsi="Times New Roman"/>
          <w:sz w:val="22"/>
          <w:szCs w:val="22"/>
        </w:rPr>
        <w:t xml:space="preserve"> </w:t>
      </w:r>
    </w:p>
    <w:p w14:paraId="32641E75" w14:textId="3614FE8E" w:rsidR="005A309E" w:rsidRPr="007A1CAE" w:rsidRDefault="00AB0833" w:rsidP="00FE21BF">
      <w:pPr>
        <w:ind w:left="142" w:hanging="142"/>
        <w:jc w:val="both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P</w:t>
      </w:r>
      <w:r w:rsidR="005A309E" w:rsidRPr="007A1CAE">
        <w:rPr>
          <w:rFonts w:ascii="Times New Roman" w:hAnsi="Times New Roman"/>
          <w:sz w:val="22"/>
          <w:szCs w:val="22"/>
        </w:rPr>
        <w:t xml:space="preserve">rofylaxia </w:t>
      </w:r>
      <w:proofErr w:type="spellStart"/>
      <w:r w:rsidR="005A309E" w:rsidRPr="007A1CAE">
        <w:rPr>
          <w:rFonts w:ascii="Times New Roman" w:hAnsi="Times New Roman"/>
          <w:sz w:val="22"/>
          <w:szCs w:val="22"/>
        </w:rPr>
        <w:t>rekurentnej</w:t>
      </w:r>
      <w:proofErr w:type="spellEnd"/>
      <w:r w:rsidR="005A309E" w:rsidRPr="007A1CAE">
        <w:rPr>
          <w:rFonts w:ascii="Times New Roman" w:hAnsi="Times New Roman"/>
          <w:sz w:val="22"/>
          <w:szCs w:val="22"/>
        </w:rPr>
        <w:t xml:space="preserve"> strumy po resekcii štítnej žľazy s </w:t>
      </w:r>
      <w:proofErr w:type="spellStart"/>
      <w:r w:rsidR="005A309E" w:rsidRPr="007A1CAE">
        <w:rPr>
          <w:rFonts w:ascii="Times New Roman" w:hAnsi="Times New Roman"/>
          <w:sz w:val="22"/>
          <w:szCs w:val="22"/>
        </w:rPr>
        <w:t>eutyreoidnou</w:t>
      </w:r>
      <w:proofErr w:type="spellEnd"/>
      <w:r w:rsidR="005A309E" w:rsidRPr="007A1CAE">
        <w:rPr>
          <w:rFonts w:ascii="Times New Roman" w:hAnsi="Times New Roman"/>
          <w:sz w:val="22"/>
          <w:szCs w:val="22"/>
        </w:rPr>
        <w:t xml:space="preserve"> funkciou,</w:t>
      </w:r>
    </w:p>
    <w:p w14:paraId="45F13191" w14:textId="5E766780" w:rsidR="005A309E" w:rsidRPr="007A1CAE" w:rsidRDefault="00AB0833" w:rsidP="00FE21BF">
      <w:pPr>
        <w:ind w:left="142" w:hanging="142"/>
        <w:jc w:val="both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B</w:t>
      </w:r>
      <w:r w:rsidR="005A309E" w:rsidRPr="007A1CAE">
        <w:rPr>
          <w:rFonts w:ascii="Times New Roman" w:hAnsi="Times New Roman"/>
          <w:sz w:val="22"/>
          <w:szCs w:val="22"/>
        </w:rPr>
        <w:t>enígna struma s </w:t>
      </w:r>
      <w:proofErr w:type="spellStart"/>
      <w:r w:rsidR="005A309E" w:rsidRPr="007A1CAE">
        <w:rPr>
          <w:rFonts w:ascii="Times New Roman" w:hAnsi="Times New Roman"/>
          <w:sz w:val="22"/>
          <w:szCs w:val="22"/>
        </w:rPr>
        <w:t>eutyreoidnou</w:t>
      </w:r>
      <w:proofErr w:type="spellEnd"/>
      <w:r w:rsidR="005A309E" w:rsidRPr="007A1CAE">
        <w:rPr>
          <w:rFonts w:ascii="Times New Roman" w:hAnsi="Times New Roman"/>
          <w:sz w:val="22"/>
          <w:szCs w:val="22"/>
        </w:rPr>
        <w:t xml:space="preserve"> funkciou</w:t>
      </w:r>
      <w:r w:rsidR="007A1CAE" w:rsidRPr="007A1CAE">
        <w:rPr>
          <w:rFonts w:ascii="Times New Roman" w:hAnsi="Times New Roman"/>
          <w:sz w:val="22"/>
          <w:szCs w:val="22"/>
        </w:rPr>
        <w:t>,</w:t>
      </w:r>
    </w:p>
    <w:p w14:paraId="510750F4" w14:textId="7F6D7223" w:rsidR="005A309E" w:rsidRPr="007A1CAE" w:rsidRDefault="00AB0833" w:rsidP="00FE21BF">
      <w:pPr>
        <w:ind w:left="142" w:hanging="142"/>
        <w:jc w:val="both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</w:t>
      </w:r>
      <w:r w:rsidR="005A309E" w:rsidRPr="007A1CAE">
        <w:rPr>
          <w:rFonts w:ascii="Times New Roman" w:hAnsi="Times New Roman"/>
          <w:sz w:val="22"/>
          <w:szCs w:val="22"/>
        </w:rPr>
        <w:t>upresná</w:t>
      </w:r>
      <w:proofErr w:type="spellEnd"/>
      <w:r w:rsidR="005A309E" w:rsidRPr="007A1CAE">
        <w:rPr>
          <w:rFonts w:ascii="Times New Roman" w:hAnsi="Times New Roman"/>
          <w:sz w:val="22"/>
          <w:szCs w:val="22"/>
        </w:rPr>
        <w:t xml:space="preserve"> a substitučná terapia malígnych ochorení štítnej žľazy, najmä po </w:t>
      </w:r>
      <w:proofErr w:type="spellStart"/>
      <w:r w:rsidR="005A309E" w:rsidRPr="007A1CAE">
        <w:rPr>
          <w:rFonts w:ascii="Times New Roman" w:hAnsi="Times New Roman"/>
          <w:sz w:val="22"/>
          <w:szCs w:val="22"/>
        </w:rPr>
        <w:t>tyreoidektómii</w:t>
      </w:r>
      <w:proofErr w:type="spellEnd"/>
      <w:r w:rsidR="007A1CAE" w:rsidRPr="007A1CAE">
        <w:rPr>
          <w:rFonts w:ascii="Times New Roman" w:hAnsi="Times New Roman"/>
          <w:sz w:val="22"/>
          <w:szCs w:val="22"/>
        </w:rPr>
        <w:t>.</w:t>
      </w:r>
    </w:p>
    <w:p w14:paraId="20B99335" w14:textId="77777777" w:rsidR="007A1CAE" w:rsidRPr="007A1CAE" w:rsidRDefault="007A1CAE" w:rsidP="002F028B">
      <w:pPr>
        <w:jc w:val="both"/>
        <w:textAlignment w:val="auto"/>
        <w:rPr>
          <w:rFonts w:ascii="Times New Roman" w:hAnsi="Times New Roman"/>
          <w:sz w:val="22"/>
          <w:szCs w:val="22"/>
        </w:rPr>
      </w:pPr>
    </w:p>
    <w:p w14:paraId="0A5127AE" w14:textId="579F0970" w:rsidR="00BE378B" w:rsidRPr="007A1CAE" w:rsidRDefault="000E7EA9" w:rsidP="005761B8">
      <w:pPr>
        <w:jc w:val="both"/>
        <w:outlineLvl w:val="0"/>
        <w:rPr>
          <w:rFonts w:ascii="Times New Roman" w:hAnsi="Times New Roman"/>
          <w:bCs/>
          <w:sz w:val="22"/>
          <w:szCs w:val="22"/>
        </w:rPr>
      </w:pPr>
      <w:proofErr w:type="spellStart"/>
      <w:r w:rsidRPr="007A1CAE">
        <w:rPr>
          <w:rFonts w:ascii="Times New Roman" w:hAnsi="Times New Roman"/>
          <w:bCs/>
          <w:sz w:val="22"/>
          <w:szCs w:val="22"/>
        </w:rPr>
        <w:t>L-Thyroxin</w:t>
      </w:r>
      <w:proofErr w:type="spellEnd"/>
      <w:r w:rsidRPr="007A1CAE">
        <w:rPr>
          <w:rFonts w:ascii="Times New Roman" w:hAnsi="Times New Roman"/>
          <w:bCs/>
          <w:sz w:val="22"/>
          <w:szCs w:val="22"/>
        </w:rPr>
        <w:t xml:space="preserve"> 125</w:t>
      </w:r>
      <w:r w:rsidR="00BE378B" w:rsidRPr="007A1CAE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BE378B" w:rsidRPr="007A1CAE">
        <w:rPr>
          <w:rFonts w:ascii="Times New Roman" w:hAnsi="Times New Roman"/>
          <w:bCs/>
          <w:sz w:val="22"/>
          <w:szCs w:val="22"/>
        </w:rPr>
        <w:t>Berlin-Chemie</w:t>
      </w:r>
      <w:proofErr w:type="spellEnd"/>
      <w:r w:rsidR="00BE378B" w:rsidRPr="007A1CAE">
        <w:rPr>
          <w:rFonts w:ascii="Times New Roman" w:hAnsi="Times New Roman"/>
          <w:bCs/>
          <w:sz w:val="22"/>
          <w:szCs w:val="22"/>
        </w:rPr>
        <w:t xml:space="preserve"> je indikovaný paciento</w:t>
      </w:r>
      <w:r w:rsidR="00AE1322">
        <w:rPr>
          <w:rFonts w:ascii="Times New Roman" w:hAnsi="Times New Roman"/>
          <w:bCs/>
          <w:sz w:val="22"/>
          <w:szCs w:val="22"/>
        </w:rPr>
        <w:t>m</w:t>
      </w:r>
      <w:r w:rsidR="00BE378B" w:rsidRPr="007A1CAE">
        <w:rPr>
          <w:rFonts w:ascii="Times New Roman" w:hAnsi="Times New Roman"/>
          <w:bCs/>
          <w:sz w:val="22"/>
          <w:szCs w:val="22"/>
        </w:rPr>
        <w:t xml:space="preserve"> všetkých vekových skupín. </w:t>
      </w:r>
    </w:p>
    <w:p w14:paraId="666C065D" w14:textId="77777777" w:rsidR="00531848" w:rsidRDefault="00531848" w:rsidP="002F028B">
      <w:pPr>
        <w:jc w:val="both"/>
        <w:rPr>
          <w:rFonts w:ascii="Times New Roman" w:hAnsi="Times New Roman"/>
          <w:b/>
          <w:sz w:val="22"/>
          <w:szCs w:val="22"/>
        </w:rPr>
      </w:pPr>
    </w:p>
    <w:p w14:paraId="593D1AEA" w14:textId="77777777" w:rsidR="005F6371" w:rsidRPr="007A1CAE" w:rsidRDefault="005761B8" w:rsidP="0053184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4.</w:t>
      </w:r>
      <w:r w:rsidR="005A309E" w:rsidRPr="007A1CAE">
        <w:rPr>
          <w:rFonts w:ascii="Times New Roman" w:hAnsi="Times New Roman"/>
          <w:b/>
          <w:sz w:val="22"/>
          <w:szCs w:val="22"/>
        </w:rPr>
        <w:t xml:space="preserve">2 </w:t>
      </w:r>
      <w:r w:rsidR="005929DE" w:rsidRPr="007A1CAE">
        <w:rPr>
          <w:rFonts w:ascii="Times New Roman" w:hAnsi="Times New Roman"/>
          <w:b/>
          <w:sz w:val="22"/>
          <w:szCs w:val="22"/>
        </w:rPr>
        <w:t xml:space="preserve"> </w:t>
      </w:r>
      <w:r w:rsidR="005A309E" w:rsidRPr="007A1CAE">
        <w:rPr>
          <w:rFonts w:ascii="Times New Roman" w:hAnsi="Times New Roman"/>
          <w:b/>
          <w:sz w:val="22"/>
          <w:szCs w:val="22"/>
        </w:rPr>
        <w:t>Dávkovanie a spôsob podávania</w:t>
      </w:r>
    </w:p>
    <w:p w14:paraId="183E69E3" w14:textId="77777777" w:rsidR="007A1CAE" w:rsidRPr="007A1CAE" w:rsidRDefault="007A1CAE" w:rsidP="002F028B">
      <w:pPr>
        <w:jc w:val="both"/>
        <w:rPr>
          <w:rFonts w:ascii="Times New Roman" w:hAnsi="Times New Roman"/>
          <w:sz w:val="22"/>
          <w:szCs w:val="22"/>
        </w:rPr>
      </w:pPr>
    </w:p>
    <w:p w14:paraId="2D70EC01" w14:textId="77777777" w:rsidR="005F6371" w:rsidRPr="002F028B" w:rsidRDefault="005F6371" w:rsidP="005761B8">
      <w:pPr>
        <w:jc w:val="both"/>
        <w:outlineLvl w:val="0"/>
        <w:rPr>
          <w:rFonts w:ascii="Times New Roman" w:hAnsi="Times New Roman"/>
          <w:sz w:val="22"/>
          <w:szCs w:val="22"/>
          <w:u w:val="single"/>
        </w:rPr>
      </w:pPr>
      <w:r w:rsidRPr="002F028B">
        <w:rPr>
          <w:rFonts w:ascii="Times New Roman" w:hAnsi="Times New Roman"/>
          <w:sz w:val="22"/>
          <w:szCs w:val="22"/>
          <w:u w:val="single"/>
        </w:rPr>
        <w:t>Dávkovanie</w:t>
      </w:r>
    </w:p>
    <w:p w14:paraId="601AA13A" w14:textId="77777777" w:rsidR="005761B8" w:rsidRDefault="005A309E" w:rsidP="005761B8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>Uvedené dávkovanie je len odporúčaním. Pri pretrvávajúcej funkcii štítnej žľazy môže byť postačujúca substitúcia nižšou dávkou.</w:t>
      </w:r>
    </w:p>
    <w:p w14:paraId="78A8171E" w14:textId="0B39E941" w:rsidR="005A309E" w:rsidRPr="007A1CAE" w:rsidRDefault="005A309E" w:rsidP="005761B8">
      <w:pPr>
        <w:pStyle w:val="Zarkazkladnhotextu"/>
        <w:ind w:left="0"/>
        <w:rPr>
          <w:rFonts w:ascii="Times New Roman" w:hAnsi="Times New Roman"/>
          <w:sz w:val="22"/>
          <w:szCs w:val="22"/>
        </w:rPr>
      </w:pPr>
    </w:p>
    <w:p w14:paraId="638BCD10" w14:textId="47B614BD" w:rsidR="005761B8" w:rsidRDefault="005A309E" w:rsidP="005761B8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>Denná dávka sa stanoví u každého pacienta individuálne na základe výsledkov jeho laboratórnych a klinických vyšetrení.</w:t>
      </w:r>
    </w:p>
    <w:p w14:paraId="0546BFB3" w14:textId="77777777" w:rsidR="005A309E" w:rsidRPr="007A1CAE" w:rsidRDefault="005A309E" w:rsidP="005761B8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 xml:space="preserve"> </w:t>
      </w:r>
    </w:p>
    <w:p w14:paraId="0634E430" w14:textId="3F506DE7" w:rsidR="005A309E" w:rsidRPr="007A1CAE" w:rsidRDefault="005A309E" w:rsidP="005761B8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>Liečba hormónmi štítnej žľazy u starších</w:t>
      </w:r>
      <w:r w:rsidR="00AE1322">
        <w:rPr>
          <w:rFonts w:ascii="Times New Roman" w:hAnsi="Times New Roman"/>
          <w:sz w:val="22"/>
          <w:szCs w:val="22"/>
        </w:rPr>
        <w:t xml:space="preserve"> </w:t>
      </w:r>
      <w:r w:rsidR="005761B8" w:rsidRPr="007A1CAE">
        <w:rPr>
          <w:rFonts w:ascii="Times New Roman" w:hAnsi="Times New Roman"/>
          <w:sz w:val="22"/>
          <w:szCs w:val="22"/>
        </w:rPr>
        <w:t>ľ</w:t>
      </w:r>
      <w:r w:rsidR="005761B8">
        <w:rPr>
          <w:rFonts w:ascii="Times New Roman" w:hAnsi="Times New Roman"/>
          <w:sz w:val="22"/>
          <w:szCs w:val="22"/>
        </w:rPr>
        <w:t>udí</w:t>
      </w:r>
      <w:r w:rsidRPr="007A1CAE">
        <w:rPr>
          <w:rFonts w:ascii="Times New Roman" w:hAnsi="Times New Roman"/>
          <w:sz w:val="22"/>
          <w:szCs w:val="22"/>
        </w:rPr>
        <w:t xml:space="preserve">, u pacientov s koronárnymi srdcovými ochoreniami, u pacientov s ťažkou alebo dlhodobou </w:t>
      </w:r>
      <w:proofErr w:type="spellStart"/>
      <w:r w:rsidRPr="007A1CAE">
        <w:rPr>
          <w:rFonts w:ascii="Times New Roman" w:hAnsi="Times New Roman"/>
          <w:sz w:val="22"/>
          <w:szCs w:val="22"/>
        </w:rPr>
        <w:t>hypotyreózou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sa musí začať opatrne, nízkymi počiatočnými dávkami. Dávky sa zvyšujú po malých prídavkoch lieku a dlhších intervaloch medzi jednotlivými zvýšeniami a pri častom monitorovaní hladín hormónov štítnej žľazy. </w:t>
      </w:r>
    </w:p>
    <w:p w14:paraId="3622B4B8" w14:textId="77777777" w:rsidR="005A309E" w:rsidRPr="007A1CAE" w:rsidRDefault="005A309E" w:rsidP="005761B8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lastRenderedPageBreak/>
        <w:t xml:space="preserve">Klinické skúsenosti potvrdili, že pri nízkej telesnej hmotnosti pacienta postačujú na terapiu </w:t>
      </w:r>
      <w:r w:rsidRPr="002F028B">
        <w:rPr>
          <w:rFonts w:ascii="Times New Roman" w:hAnsi="Times New Roman"/>
          <w:i/>
          <w:sz w:val="22"/>
          <w:szCs w:val="22"/>
        </w:rPr>
        <w:t>struma</w:t>
      </w:r>
      <w:r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F028B">
        <w:rPr>
          <w:rFonts w:ascii="Times New Roman" w:hAnsi="Times New Roman"/>
          <w:i/>
          <w:sz w:val="22"/>
          <w:szCs w:val="22"/>
        </w:rPr>
        <w:t>nodosa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veľkého rozsahu nízke dávky lieku. </w:t>
      </w:r>
    </w:p>
    <w:p w14:paraId="6C7BC1EB" w14:textId="73004E29" w:rsidR="00BE378B" w:rsidRDefault="00BE378B" w:rsidP="005761B8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>Nakoľko u niektorých pacientov môžu byť zvýšené hodnoty T</w:t>
      </w:r>
      <w:r w:rsidRPr="007A1CAE">
        <w:rPr>
          <w:rFonts w:ascii="Times New Roman" w:hAnsi="Times New Roman"/>
          <w:sz w:val="22"/>
          <w:szCs w:val="22"/>
          <w:vertAlign w:val="subscript"/>
        </w:rPr>
        <w:t xml:space="preserve">4 </w:t>
      </w:r>
      <w:r w:rsidRPr="007A1CAE">
        <w:rPr>
          <w:rFonts w:ascii="Times New Roman" w:hAnsi="Times New Roman"/>
          <w:sz w:val="22"/>
          <w:szCs w:val="22"/>
        </w:rPr>
        <w:t>alebo voľného T</w:t>
      </w:r>
      <w:r w:rsidRPr="007A1CAE">
        <w:rPr>
          <w:rFonts w:ascii="Times New Roman" w:hAnsi="Times New Roman"/>
          <w:sz w:val="22"/>
          <w:szCs w:val="22"/>
          <w:vertAlign w:val="subscript"/>
        </w:rPr>
        <w:t xml:space="preserve">4 </w:t>
      </w:r>
      <w:r w:rsidR="009665DF" w:rsidRPr="007A1CAE">
        <w:rPr>
          <w:rFonts w:ascii="Times New Roman" w:hAnsi="Times New Roman"/>
          <w:sz w:val="22"/>
          <w:szCs w:val="22"/>
        </w:rPr>
        <w:t xml:space="preserve">, stanovenie koncentrácie </w:t>
      </w:r>
      <w:proofErr w:type="spellStart"/>
      <w:r w:rsidR="00CC3AD2" w:rsidRPr="009E2E4D">
        <w:rPr>
          <w:rFonts w:ascii="Times New Roman" w:hAnsi="Times New Roman"/>
          <w:sz w:val="22"/>
          <w:szCs w:val="22"/>
        </w:rPr>
        <w:t>tyreostimulačn</w:t>
      </w:r>
      <w:r w:rsidR="00CC3AD2">
        <w:rPr>
          <w:rFonts w:ascii="Times New Roman" w:hAnsi="Times New Roman"/>
          <w:sz w:val="22"/>
          <w:szCs w:val="22"/>
        </w:rPr>
        <w:t>ého</w:t>
      </w:r>
      <w:proofErr w:type="spellEnd"/>
      <w:r w:rsidR="00CC3AD2" w:rsidRPr="009E2E4D">
        <w:rPr>
          <w:rFonts w:ascii="Times New Roman" w:hAnsi="Times New Roman"/>
          <w:sz w:val="22"/>
          <w:szCs w:val="22"/>
        </w:rPr>
        <w:t xml:space="preserve"> hormón</w:t>
      </w:r>
      <w:r w:rsidR="00CC3AD2">
        <w:rPr>
          <w:rFonts w:ascii="Times New Roman" w:hAnsi="Times New Roman"/>
          <w:sz w:val="22"/>
          <w:szCs w:val="22"/>
        </w:rPr>
        <w:t>u (</w:t>
      </w:r>
      <w:r w:rsidR="009665DF" w:rsidRPr="007A1CAE">
        <w:rPr>
          <w:rFonts w:ascii="Times New Roman" w:hAnsi="Times New Roman"/>
          <w:sz w:val="22"/>
          <w:szCs w:val="22"/>
        </w:rPr>
        <w:t>TSH</w:t>
      </w:r>
      <w:r w:rsidR="00CC3AD2">
        <w:rPr>
          <w:rFonts w:ascii="Times New Roman" w:hAnsi="Times New Roman"/>
          <w:sz w:val="22"/>
          <w:szCs w:val="22"/>
        </w:rPr>
        <w:t>)</w:t>
      </w:r>
      <w:r w:rsidR="009665DF" w:rsidRPr="007A1CAE">
        <w:rPr>
          <w:rFonts w:ascii="Times New Roman" w:hAnsi="Times New Roman"/>
          <w:sz w:val="22"/>
          <w:szCs w:val="22"/>
        </w:rPr>
        <w:t xml:space="preserve"> je vhodnejšie pre monitorovanie terapie.</w:t>
      </w:r>
    </w:p>
    <w:p w14:paraId="6DC365F7" w14:textId="77777777" w:rsidR="00CC3AD2" w:rsidRPr="007A1CAE" w:rsidRDefault="00CC3AD2" w:rsidP="005761B8">
      <w:pPr>
        <w:jc w:val="both"/>
        <w:rPr>
          <w:rFonts w:ascii="Times New Roman" w:hAnsi="Times New Roman"/>
          <w:sz w:val="22"/>
          <w:szCs w:val="22"/>
        </w:rPr>
      </w:pPr>
    </w:p>
    <w:p w14:paraId="62CB54B9" w14:textId="77777777" w:rsidR="00E144A9" w:rsidRPr="007A1CAE" w:rsidRDefault="00E144A9" w:rsidP="002F028B">
      <w:pPr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Ind w:w="284" w:type="dxa"/>
        <w:tblLook w:val="0000" w:firstRow="0" w:lastRow="0" w:firstColumn="0" w:lastColumn="0" w:noHBand="0" w:noVBand="0"/>
      </w:tblPr>
      <w:tblGrid>
        <w:gridCol w:w="4644"/>
        <w:gridCol w:w="2126"/>
        <w:gridCol w:w="2234"/>
      </w:tblGrid>
      <w:tr w:rsidR="008018B0" w:rsidRPr="007A1CAE" w14:paraId="2C40C4C5" w14:textId="77777777">
        <w:trPr>
          <w:cantSplit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1CE4" w14:textId="77777777" w:rsidR="008018B0" w:rsidRPr="007A1CAE" w:rsidRDefault="008018B0">
            <w:pPr>
              <w:pStyle w:val="Nadpis1"/>
              <w:rPr>
                <w:rFonts w:ascii="Times New Roman" w:hAnsi="Times New Roman"/>
                <w:b/>
                <w:bCs/>
                <w:i w:val="0"/>
                <w:iCs w:val="0"/>
                <w:sz w:val="22"/>
                <w:szCs w:val="22"/>
              </w:rPr>
            </w:pPr>
            <w:r w:rsidRPr="007A1CAE">
              <w:rPr>
                <w:rFonts w:ascii="Times New Roman" w:hAnsi="Times New Roman"/>
                <w:b/>
                <w:bCs/>
                <w:i w:val="0"/>
                <w:iCs w:val="0"/>
                <w:sz w:val="22"/>
                <w:szCs w:val="22"/>
              </w:rPr>
              <w:t>Indikácia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2EF1" w14:textId="0B94FE67" w:rsidR="008018B0" w:rsidRPr="007A1CAE" w:rsidRDefault="00AC3017" w:rsidP="005761B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1CAE">
              <w:rPr>
                <w:rFonts w:ascii="Times New Roman" w:hAnsi="Times New Roman"/>
                <w:b/>
                <w:bCs/>
                <w:sz w:val="22"/>
                <w:szCs w:val="22"/>
              </w:rPr>
              <w:t>Dávka (</w:t>
            </w:r>
            <w:proofErr w:type="spellStart"/>
            <w:r w:rsidR="005761B8">
              <w:rPr>
                <w:rFonts w:ascii="Times New Roman" w:hAnsi="Times New Roman"/>
                <w:b/>
                <w:bCs/>
                <w:sz w:val="22"/>
                <w:szCs w:val="22"/>
              </w:rPr>
              <w:t>mikrogramov</w:t>
            </w:r>
            <w:proofErr w:type="spellEnd"/>
            <w:r w:rsidR="005761B8" w:rsidRPr="007A1CA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9665DF" w:rsidRPr="007A1CA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sodnej soli </w:t>
            </w:r>
            <w:proofErr w:type="spellStart"/>
            <w:r w:rsidR="009665DF" w:rsidRPr="007A1CAE">
              <w:rPr>
                <w:rFonts w:ascii="Times New Roman" w:hAnsi="Times New Roman"/>
                <w:b/>
                <w:bCs/>
                <w:sz w:val="22"/>
                <w:szCs w:val="22"/>
              </w:rPr>
              <w:t>levotyroxínu</w:t>
            </w:r>
            <w:proofErr w:type="spellEnd"/>
            <w:r w:rsidR="008018B0" w:rsidRPr="007A1CAE">
              <w:rPr>
                <w:rFonts w:ascii="Times New Roman" w:hAnsi="Times New Roman"/>
                <w:b/>
                <w:bCs/>
                <w:sz w:val="22"/>
                <w:szCs w:val="22"/>
              </w:rPr>
              <w:t>/deň</w:t>
            </w:r>
            <w:r w:rsidRPr="007A1CAE">
              <w:rPr>
                <w:rFonts w:ascii="Times New Roman" w:hAnsi="Times New Roman"/>
                <w:b/>
                <w:bCs/>
                <w:sz w:val="22"/>
                <w:szCs w:val="22"/>
              </w:rPr>
              <w:t>)</w:t>
            </w:r>
          </w:p>
        </w:tc>
      </w:tr>
      <w:tr w:rsidR="008018B0" w:rsidRPr="007A1CAE" w14:paraId="4F2B7564" w14:textId="7777777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7EA6" w14:textId="77777777" w:rsidR="008018B0" w:rsidRPr="007A1CAE" w:rsidRDefault="008018B0">
            <w:pPr>
              <w:ind w:right="-260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C0C9248" w14:textId="77777777" w:rsidR="008018B0" w:rsidRPr="007A1CAE" w:rsidRDefault="008018B0">
            <w:pPr>
              <w:pStyle w:val="Nadpis3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A1CAE">
              <w:rPr>
                <w:rFonts w:ascii="Times New Roman" w:hAnsi="Times New Roman"/>
                <w:sz w:val="22"/>
                <w:szCs w:val="22"/>
              </w:rPr>
              <w:t>Hypotyreóza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7DD1" w14:textId="77777777" w:rsidR="008018B0" w:rsidRPr="007A1CAE" w:rsidRDefault="008018B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9478" w14:textId="77777777" w:rsidR="008018B0" w:rsidRPr="007A1CAE" w:rsidRDefault="008018B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018B0" w:rsidRPr="007A1CAE" w14:paraId="1DB4CEC5" w14:textId="7777777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6733" w14:textId="77777777" w:rsidR="008018B0" w:rsidRPr="007A1CAE" w:rsidRDefault="008018B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1DB029F" w14:textId="6DF073D5" w:rsidR="008018B0" w:rsidRPr="007A1CAE" w:rsidRDefault="008018B0" w:rsidP="005761B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A1CAE">
              <w:rPr>
                <w:rFonts w:ascii="Times New Roman" w:hAnsi="Times New Roman"/>
                <w:sz w:val="22"/>
                <w:szCs w:val="22"/>
              </w:rPr>
              <w:t xml:space="preserve">Dospelí: zvyšovanie po 25 – 50 </w:t>
            </w:r>
            <w:proofErr w:type="spellStart"/>
            <w:r w:rsidR="005761B8">
              <w:rPr>
                <w:rFonts w:ascii="Times New Roman" w:hAnsi="Times New Roman"/>
                <w:sz w:val="22"/>
                <w:szCs w:val="22"/>
              </w:rPr>
              <w:t>mikrogramov</w:t>
            </w:r>
            <w:proofErr w:type="spellEnd"/>
            <w:r w:rsidR="005761B8" w:rsidRPr="007A1C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1CAE">
              <w:rPr>
                <w:rFonts w:ascii="Times New Roman" w:hAnsi="Times New Roman"/>
                <w:sz w:val="22"/>
                <w:szCs w:val="22"/>
              </w:rPr>
              <w:t>každý 2</w:t>
            </w:r>
            <w:r w:rsidR="00BB3D6F" w:rsidRPr="007A1C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1CAE">
              <w:rPr>
                <w:rFonts w:ascii="Times New Roman" w:hAnsi="Times New Roman"/>
                <w:sz w:val="22"/>
                <w:szCs w:val="22"/>
              </w:rPr>
              <w:t>.až 4. týždeň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413C" w14:textId="77777777" w:rsidR="008018B0" w:rsidRPr="007A1CAE" w:rsidRDefault="00801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1CAE">
              <w:rPr>
                <w:rFonts w:ascii="Times New Roman" w:hAnsi="Times New Roman"/>
                <w:sz w:val="22"/>
                <w:szCs w:val="22"/>
              </w:rPr>
              <w:t>iniciálne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92D5" w14:textId="77777777" w:rsidR="008018B0" w:rsidRPr="007A1CAE" w:rsidRDefault="00801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1CAE">
              <w:rPr>
                <w:rFonts w:ascii="Times New Roman" w:hAnsi="Times New Roman"/>
                <w:sz w:val="22"/>
                <w:szCs w:val="22"/>
              </w:rPr>
              <w:t xml:space="preserve">25 – 50 </w:t>
            </w:r>
          </w:p>
        </w:tc>
      </w:tr>
      <w:tr w:rsidR="008018B0" w:rsidRPr="007A1CAE" w14:paraId="67596775" w14:textId="7777777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29CB" w14:textId="77777777" w:rsidR="008018B0" w:rsidRPr="007A1CAE" w:rsidRDefault="008018B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1C80" w14:textId="77777777" w:rsidR="008018B0" w:rsidRPr="007A1CAE" w:rsidRDefault="00801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3F7267B" w14:textId="77777777" w:rsidR="008018B0" w:rsidRPr="007A1CAE" w:rsidRDefault="00BB3D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1CAE">
              <w:rPr>
                <w:rFonts w:ascii="Times New Roman" w:hAnsi="Times New Roman"/>
                <w:sz w:val="22"/>
                <w:szCs w:val="22"/>
              </w:rPr>
              <w:t>p</w:t>
            </w:r>
            <w:r w:rsidR="008018B0" w:rsidRPr="007A1CAE">
              <w:rPr>
                <w:rFonts w:ascii="Times New Roman" w:hAnsi="Times New Roman"/>
                <w:sz w:val="22"/>
                <w:szCs w:val="22"/>
              </w:rPr>
              <w:t>o</w:t>
            </w:r>
            <w:r w:rsidR="00390B66" w:rsidRPr="007A1CAE">
              <w:rPr>
                <w:rFonts w:ascii="Times New Roman" w:hAnsi="Times New Roman"/>
                <w:sz w:val="22"/>
                <w:szCs w:val="22"/>
              </w:rPr>
              <w:t>kračovanie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F734" w14:textId="77777777" w:rsidR="008018B0" w:rsidRPr="007A1CAE" w:rsidRDefault="00801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3975A6A" w14:textId="77777777" w:rsidR="008018B0" w:rsidRPr="007A1CAE" w:rsidRDefault="00801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1CAE">
              <w:rPr>
                <w:rFonts w:ascii="Times New Roman" w:hAnsi="Times New Roman"/>
                <w:sz w:val="22"/>
                <w:szCs w:val="22"/>
              </w:rPr>
              <w:t xml:space="preserve">100 – 200 </w:t>
            </w:r>
          </w:p>
          <w:p w14:paraId="607443C9" w14:textId="77777777" w:rsidR="008018B0" w:rsidRPr="007A1CAE" w:rsidRDefault="00801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018B0" w:rsidRPr="007A1CAE" w14:paraId="5B0FA713" w14:textId="7777777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F3DB" w14:textId="77777777" w:rsidR="008018B0" w:rsidRPr="007A1CAE" w:rsidRDefault="008018B0">
            <w:pPr>
              <w:pStyle w:val="Nadpis4"/>
              <w:rPr>
                <w:rFonts w:ascii="Times New Roman" w:hAnsi="Times New Roman"/>
                <w:sz w:val="22"/>
                <w:szCs w:val="22"/>
              </w:rPr>
            </w:pPr>
            <w:r w:rsidRPr="007A1CAE">
              <w:rPr>
                <w:rFonts w:ascii="Times New Roman" w:hAnsi="Times New Roman"/>
                <w:sz w:val="22"/>
                <w:szCs w:val="22"/>
              </w:rPr>
              <w:t xml:space="preserve">Profylaxia </w:t>
            </w:r>
            <w:proofErr w:type="spellStart"/>
            <w:r w:rsidRPr="007A1CAE">
              <w:rPr>
                <w:rFonts w:ascii="Times New Roman" w:hAnsi="Times New Roman"/>
                <w:sz w:val="22"/>
                <w:szCs w:val="22"/>
              </w:rPr>
              <w:t>rekurentnej</w:t>
            </w:r>
            <w:proofErr w:type="spellEnd"/>
            <w:r w:rsidRPr="007A1CAE">
              <w:rPr>
                <w:rFonts w:ascii="Times New Roman" w:hAnsi="Times New Roman"/>
                <w:sz w:val="22"/>
                <w:szCs w:val="22"/>
              </w:rPr>
              <w:t xml:space="preserve"> strumy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F82A" w14:textId="77777777" w:rsidR="008018B0" w:rsidRPr="007A1CAE" w:rsidRDefault="00801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5AC5" w14:textId="77777777" w:rsidR="008018B0" w:rsidRPr="007A1CAE" w:rsidRDefault="00801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1CAE">
              <w:rPr>
                <w:rFonts w:ascii="Times New Roman" w:hAnsi="Times New Roman"/>
                <w:sz w:val="22"/>
                <w:szCs w:val="22"/>
              </w:rPr>
              <w:t xml:space="preserve">75 – 200 </w:t>
            </w:r>
          </w:p>
          <w:p w14:paraId="20C9069E" w14:textId="77777777" w:rsidR="008018B0" w:rsidRPr="007A1CAE" w:rsidRDefault="00801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018B0" w:rsidRPr="007A1CAE" w14:paraId="70689D74" w14:textId="7777777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6F47" w14:textId="77777777" w:rsidR="008018B0" w:rsidRPr="007A1CAE" w:rsidRDefault="008018B0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1CAE">
              <w:rPr>
                <w:rFonts w:ascii="Times New Roman" w:hAnsi="Times New Roman"/>
                <w:b/>
                <w:bCs/>
                <w:sz w:val="22"/>
                <w:szCs w:val="22"/>
              </w:rPr>
              <w:t>Benígna struma s </w:t>
            </w:r>
            <w:proofErr w:type="spellStart"/>
            <w:r w:rsidRPr="007A1CAE">
              <w:rPr>
                <w:rFonts w:ascii="Times New Roman" w:hAnsi="Times New Roman"/>
                <w:b/>
                <w:bCs/>
                <w:sz w:val="22"/>
                <w:szCs w:val="22"/>
              </w:rPr>
              <w:t>eutyr</w:t>
            </w:r>
            <w:r w:rsidR="005A309E" w:rsidRPr="007A1CAE">
              <w:rPr>
                <w:rFonts w:ascii="Times New Roman" w:hAnsi="Times New Roman"/>
                <w:b/>
                <w:bCs/>
                <w:sz w:val="22"/>
                <w:szCs w:val="22"/>
              </w:rPr>
              <w:t>e</w:t>
            </w:r>
            <w:r w:rsidRPr="007A1CAE">
              <w:rPr>
                <w:rFonts w:ascii="Times New Roman" w:hAnsi="Times New Roman"/>
                <w:b/>
                <w:bCs/>
                <w:sz w:val="22"/>
                <w:szCs w:val="22"/>
              </w:rPr>
              <w:t>oidnou</w:t>
            </w:r>
            <w:proofErr w:type="spellEnd"/>
            <w:r w:rsidRPr="007A1CA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funkciou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B56E" w14:textId="77777777" w:rsidR="008018B0" w:rsidRPr="007A1CAE" w:rsidRDefault="00801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3779" w14:textId="77777777" w:rsidR="008018B0" w:rsidRPr="007A1CAE" w:rsidRDefault="00801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373E6C2" w14:textId="77777777" w:rsidR="008018B0" w:rsidRPr="007A1CAE" w:rsidRDefault="00801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1CAE">
              <w:rPr>
                <w:rFonts w:ascii="Times New Roman" w:hAnsi="Times New Roman"/>
                <w:sz w:val="22"/>
                <w:szCs w:val="22"/>
              </w:rPr>
              <w:t xml:space="preserve">75 – 200 </w:t>
            </w:r>
          </w:p>
        </w:tc>
      </w:tr>
      <w:tr w:rsidR="00AC3017" w:rsidRPr="007A1CAE" w14:paraId="18CF2E46" w14:textId="7777777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6A71" w14:textId="77777777" w:rsidR="00AC3017" w:rsidRPr="007A1CAE" w:rsidRDefault="00AC301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8996245" w14:textId="77777777" w:rsidR="00D71ECD" w:rsidRPr="007A1CAE" w:rsidRDefault="00AC3017" w:rsidP="005929DE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1CA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Terapia po </w:t>
            </w:r>
            <w:proofErr w:type="spellStart"/>
            <w:r w:rsidRPr="007A1CAE">
              <w:rPr>
                <w:rFonts w:ascii="Times New Roman" w:hAnsi="Times New Roman"/>
                <w:b/>
                <w:bCs/>
                <w:sz w:val="22"/>
                <w:szCs w:val="22"/>
              </w:rPr>
              <w:t>tyreoidektómii</w:t>
            </w:r>
            <w:proofErr w:type="spellEnd"/>
            <w:r w:rsidRPr="007A1CA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v dôsledku malígneho ochorenia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B63A" w14:textId="77777777" w:rsidR="00AC3017" w:rsidRPr="007A1CAE" w:rsidRDefault="00AC30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C6A9BA7" w14:textId="3C9897FB" w:rsidR="00AC3017" w:rsidRPr="007A1CAE" w:rsidRDefault="00AC30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1CAE">
              <w:rPr>
                <w:rFonts w:ascii="Times New Roman" w:hAnsi="Times New Roman"/>
                <w:sz w:val="22"/>
                <w:szCs w:val="22"/>
              </w:rPr>
              <w:t>150 – 300</w:t>
            </w:r>
            <w:r w:rsidR="006F1AA3" w:rsidRPr="007A1CA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0E1FB34" w14:textId="77777777" w:rsidR="00D71ECD" w:rsidRPr="007A1CAE" w:rsidRDefault="00D71E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86EFA2B" w14:textId="77777777" w:rsidR="00D71ECD" w:rsidRPr="007A1CAE" w:rsidRDefault="00D71E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4801C43" w14:textId="77777777" w:rsidR="00D71ECD" w:rsidRPr="007A1CAE" w:rsidRDefault="00D71E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1C90B9D" w14:textId="77777777" w:rsidR="00D71ECD" w:rsidRPr="007A1CAE" w:rsidRDefault="00D71E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F2EFBA9" w14:textId="77777777" w:rsidR="00836511" w:rsidRDefault="00836511" w:rsidP="005F6371">
      <w:pPr>
        <w:rPr>
          <w:rFonts w:ascii="Times New Roman" w:hAnsi="Times New Roman"/>
          <w:iCs/>
          <w:sz w:val="22"/>
          <w:szCs w:val="22"/>
        </w:rPr>
      </w:pPr>
    </w:p>
    <w:p w14:paraId="28797722" w14:textId="450B5DB6" w:rsidR="007A1CAE" w:rsidRPr="007A1CAE" w:rsidRDefault="007A1CAE" w:rsidP="005F6371">
      <w:pPr>
        <w:rPr>
          <w:rFonts w:ascii="Times New Roman" w:hAnsi="Times New Roman"/>
          <w:iCs/>
          <w:sz w:val="22"/>
          <w:szCs w:val="22"/>
        </w:rPr>
      </w:pPr>
    </w:p>
    <w:p w14:paraId="56DC2D0A" w14:textId="6CED6559" w:rsidR="00C041EA" w:rsidRPr="002F028B" w:rsidRDefault="00C041EA" w:rsidP="005F6371">
      <w:pPr>
        <w:rPr>
          <w:rFonts w:ascii="Times New Roman" w:hAnsi="Times New Roman"/>
          <w:i/>
          <w:iCs/>
          <w:sz w:val="22"/>
          <w:szCs w:val="22"/>
        </w:rPr>
      </w:pPr>
      <w:r w:rsidRPr="002F028B">
        <w:rPr>
          <w:rFonts w:ascii="Times New Roman" w:hAnsi="Times New Roman"/>
          <w:i/>
          <w:iCs/>
          <w:sz w:val="22"/>
          <w:szCs w:val="22"/>
        </w:rPr>
        <w:t>Pediatrick</w:t>
      </w:r>
      <w:r w:rsidR="005761B8" w:rsidRPr="002F028B">
        <w:rPr>
          <w:rFonts w:ascii="Times New Roman" w:hAnsi="Times New Roman"/>
          <w:i/>
          <w:iCs/>
          <w:sz w:val="22"/>
          <w:szCs w:val="22"/>
        </w:rPr>
        <w:t>á populácia</w:t>
      </w:r>
      <w:r w:rsidRPr="002F028B">
        <w:rPr>
          <w:rFonts w:ascii="Times New Roman" w:hAnsi="Times New Roman"/>
          <w:i/>
          <w:iCs/>
          <w:sz w:val="22"/>
          <w:szCs w:val="22"/>
        </w:rPr>
        <w:t xml:space="preserve"> s vrodeným a získaným </w:t>
      </w:r>
      <w:proofErr w:type="spellStart"/>
      <w:r w:rsidRPr="002F028B">
        <w:rPr>
          <w:rFonts w:ascii="Times New Roman" w:hAnsi="Times New Roman"/>
          <w:i/>
          <w:iCs/>
          <w:sz w:val="22"/>
          <w:szCs w:val="22"/>
        </w:rPr>
        <w:t>hypotyreoidizmom</w:t>
      </w:r>
      <w:proofErr w:type="spellEnd"/>
    </w:p>
    <w:p w14:paraId="57B8C2BB" w14:textId="63DD5CB1" w:rsidR="00C041EA" w:rsidRPr="007A1CAE" w:rsidRDefault="005761B8" w:rsidP="002F028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U</w:t>
      </w:r>
      <w:r w:rsidR="00C041EA" w:rsidRPr="007A1CAE">
        <w:rPr>
          <w:rFonts w:ascii="Times New Roman" w:hAnsi="Times New Roman"/>
          <w:iCs/>
          <w:sz w:val="22"/>
          <w:szCs w:val="22"/>
        </w:rPr>
        <w:t>držiavacia dávka je zvyčajne 100</w:t>
      </w:r>
      <w:r w:rsidR="004C70BD">
        <w:rPr>
          <w:rFonts w:ascii="Times New Roman" w:hAnsi="Times New Roman"/>
          <w:iCs/>
          <w:sz w:val="22"/>
          <w:szCs w:val="22"/>
        </w:rPr>
        <w:t xml:space="preserve"> </w:t>
      </w:r>
      <w:r w:rsidR="00C041EA" w:rsidRPr="007A1CAE">
        <w:rPr>
          <w:rFonts w:ascii="Times New Roman" w:hAnsi="Times New Roman"/>
          <w:iCs/>
          <w:sz w:val="22"/>
          <w:szCs w:val="22"/>
        </w:rPr>
        <w:t xml:space="preserve">- 150 </w:t>
      </w:r>
      <w:proofErr w:type="spellStart"/>
      <w:r w:rsidR="00B9601A">
        <w:rPr>
          <w:rFonts w:ascii="Times New Roman" w:hAnsi="Times New Roman"/>
          <w:sz w:val="22"/>
          <w:szCs w:val="22"/>
        </w:rPr>
        <w:t>mikrogramov</w:t>
      </w:r>
      <w:proofErr w:type="spellEnd"/>
      <w:r w:rsidR="00B9601A"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041EA" w:rsidRPr="007A1CAE">
        <w:rPr>
          <w:rFonts w:ascii="Times New Roman" w:hAnsi="Times New Roman"/>
          <w:sz w:val="22"/>
          <w:szCs w:val="22"/>
        </w:rPr>
        <w:t>levotyroxínu</w:t>
      </w:r>
      <w:proofErr w:type="spellEnd"/>
      <w:r w:rsidR="00C041EA" w:rsidRPr="007A1CAE">
        <w:rPr>
          <w:rFonts w:ascii="Times New Roman" w:hAnsi="Times New Roman"/>
          <w:sz w:val="22"/>
          <w:szCs w:val="22"/>
        </w:rPr>
        <w:t xml:space="preserve"> na m</w:t>
      </w:r>
      <w:r w:rsidR="00C041EA" w:rsidRPr="007A1CAE">
        <w:rPr>
          <w:rFonts w:ascii="Times New Roman" w:hAnsi="Times New Roman"/>
          <w:sz w:val="22"/>
          <w:szCs w:val="22"/>
          <w:vertAlign w:val="superscript"/>
        </w:rPr>
        <w:t xml:space="preserve">2 </w:t>
      </w:r>
      <w:r w:rsidR="00C041EA" w:rsidRPr="007A1CAE">
        <w:rPr>
          <w:rFonts w:ascii="Times New Roman" w:hAnsi="Times New Roman"/>
          <w:sz w:val="22"/>
          <w:szCs w:val="22"/>
        </w:rPr>
        <w:t>povrchu tela a</w:t>
      </w:r>
      <w:r w:rsidR="00B9601A">
        <w:rPr>
          <w:rFonts w:ascii="Times New Roman" w:hAnsi="Times New Roman"/>
          <w:sz w:val="22"/>
          <w:szCs w:val="22"/>
        </w:rPr>
        <w:t> </w:t>
      </w:r>
      <w:r w:rsidR="00C041EA" w:rsidRPr="007A1CAE">
        <w:rPr>
          <w:rFonts w:ascii="Times New Roman" w:hAnsi="Times New Roman"/>
          <w:sz w:val="22"/>
          <w:szCs w:val="22"/>
        </w:rPr>
        <w:t>deň</w:t>
      </w:r>
      <w:r w:rsidR="00B9601A">
        <w:rPr>
          <w:rFonts w:ascii="Times New Roman" w:hAnsi="Times New Roman"/>
          <w:sz w:val="22"/>
          <w:szCs w:val="22"/>
        </w:rPr>
        <w:t>.</w:t>
      </w:r>
    </w:p>
    <w:p w14:paraId="66136190" w14:textId="4BEBC0A5" w:rsidR="00C041EA" w:rsidRPr="007A1CAE" w:rsidRDefault="005761B8" w:rsidP="002F028B">
      <w:pPr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="00C041EA" w:rsidRPr="007A1CAE">
        <w:rPr>
          <w:rFonts w:ascii="Times New Roman" w:hAnsi="Times New Roman"/>
          <w:sz w:val="22"/>
          <w:szCs w:val="22"/>
        </w:rPr>
        <w:t xml:space="preserve">re novorodencov a deti s vrodeným </w:t>
      </w:r>
      <w:proofErr w:type="spellStart"/>
      <w:r w:rsidR="00C041EA" w:rsidRPr="007A1CAE">
        <w:rPr>
          <w:rFonts w:ascii="Times New Roman" w:hAnsi="Times New Roman"/>
          <w:sz w:val="22"/>
          <w:szCs w:val="22"/>
        </w:rPr>
        <w:t>hypotyreoidizmom</w:t>
      </w:r>
      <w:proofErr w:type="spellEnd"/>
      <w:r w:rsidR="00C041EA" w:rsidRPr="007A1CAE">
        <w:rPr>
          <w:rFonts w:ascii="Times New Roman" w:hAnsi="Times New Roman"/>
          <w:sz w:val="22"/>
          <w:szCs w:val="22"/>
        </w:rPr>
        <w:t xml:space="preserve"> je skorý začiatok liečby</w:t>
      </w:r>
      <w:r w:rsidR="00B9601A"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l</w:t>
      </w:r>
      <w:r w:rsidR="00C041EA" w:rsidRPr="007A1CAE">
        <w:rPr>
          <w:rFonts w:ascii="Times New Roman" w:hAnsi="Times New Roman"/>
          <w:sz w:val="22"/>
          <w:szCs w:val="22"/>
        </w:rPr>
        <w:t>evotyroxínom</w:t>
      </w:r>
      <w:proofErr w:type="spellEnd"/>
      <w:r w:rsidR="00C041EA" w:rsidRPr="007A1CAE">
        <w:rPr>
          <w:rFonts w:ascii="Times New Roman" w:hAnsi="Times New Roman"/>
          <w:sz w:val="22"/>
          <w:szCs w:val="22"/>
        </w:rPr>
        <w:t xml:space="preserve"> dôležitý, </w:t>
      </w:r>
      <w:r w:rsidR="00FB1CC9" w:rsidRPr="007A1CAE">
        <w:rPr>
          <w:rFonts w:ascii="Times New Roman" w:hAnsi="Times New Roman"/>
          <w:sz w:val="22"/>
          <w:szCs w:val="22"/>
        </w:rPr>
        <w:t xml:space="preserve">iniciálna </w:t>
      </w:r>
      <w:r w:rsidR="00C041EA" w:rsidRPr="007A1CAE">
        <w:rPr>
          <w:rFonts w:ascii="Times New Roman" w:hAnsi="Times New Roman"/>
          <w:sz w:val="22"/>
          <w:szCs w:val="22"/>
        </w:rPr>
        <w:t>odporúčaná dávka je 10</w:t>
      </w:r>
      <w:r w:rsidR="004C70BD">
        <w:rPr>
          <w:rFonts w:ascii="Times New Roman" w:hAnsi="Times New Roman"/>
          <w:sz w:val="22"/>
          <w:szCs w:val="22"/>
        </w:rPr>
        <w:t xml:space="preserve"> </w:t>
      </w:r>
      <w:r w:rsidR="00C041EA" w:rsidRPr="007A1CAE">
        <w:rPr>
          <w:rFonts w:ascii="Times New Roman" w:hAnsi="Times New Roman"/>
          <w:sz w:val="22"/>
          <w:szCs w:val="22"/>
        </w:rPr>
        <w:t>-</w:t>
      </w:r>
      <w:r w:rsidR="004C70BD">
        <w:rPr>
          <w:rFonts w:ascii="Times New Roman" w:hAnsi="Times New Roman"/>
          <w:sz w:val="22"/>
          <w:szCs w:val="22"/>
        </w:rPr>
        <w:t xml:space="preserve"> </w:t>
      </w:r>
      <w:r w:rsidR="00C041EA" w:rsidRPr="007A1CAE">
        <w:rPr>
          <w:rFonts w:ascii="Times New Roman" w:hAnsi="Times New Roman"/>
          <w:sz w:val="22"/>
          <w:szCs w:val="22"/>
        </w:rPr>
        <w:t xml:space="preserve">15 </w:t>
      </w:r>
      <w:proofErr w:type="spellStart"/>
      <w:r w:rsidR="00B9601A">
        <w:rPr>
          <w:rFonts w:ascii="Times New Roman" w:hAnsi="Times New Roman"/>
          <w:sz w:val="22"/>
          <w:szCs w:val="22"/>
        </w:rPr>
        <w:t>mikrogramov</w:t>
      </w:r>
      <w:proofErr w:type="spellEnd"/>
      <w:r w:rsidR="00B9601A"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041EA" w:rsidRPr="007A1CAE">
        <w:rPr>
          <w:rFonts w:ascii="Times New Roman" w:hAnsi="Times New Roman"/>
          <w:sz w:val="22"/>
          <w:szCs w:val="22"/>
        </w:rPr>
        <w:t>levotyroxínu</w:t>
      </w:r>
      <w:proofErr w:type="spellEnd"/>
      <w:r w:rsidR="00C041EA" w:rsidRPr="007A1CAE">
        <w:rPr>
          <w:rFonts w:ascii="Times New Roman" w:hAnsi="Times New Roman"/>
          <w:sz w:val="22"/>
          <w:szCs w:val="22"/>
        </w:rPr>
        <w:t xml:space="preserve"> </w:t>
      </w:r>
      <w:r w:rsidR="00FB1CC9" w:rsidRPr="007A1CAE">
        <w:rPr>
          <w:rFonts w:ascii="Times New Roman" w:hAnsi="Times New Roman"/>
          <w:sz w:val="22"/>
          <w:szCs w:val="22"/>
        </w:rPr>
        <w:t>/kg hmotnosti tela</w:t>
      </w:r>
      <w:r w:rsidR="00AE1322">
        <w:rPr>
          <w:rFonts w:ascii="Times New Roman" w:hAnsi="Times New Roman"/>
          <w:sz w:val="22"/>
          <w:szCs w:val="22"/>
        </w:rPr>
        <w:t xml:space="preserve"> / deň</w:t>
      </w:r>
      <w:r w:rsidR="00FB1CC9" w:rsidRPr="007A1CAE">
        <w:rPr>
          <w:rFonts w:ascii="Times New Roman" w:hAnsi="Times New Roman"/>
          <w:sz w:val="22"/>
          <w:szCs w:val="22"/>
        </w:rPr>
        <w:t xml:space="preserve"> počas prvých troch mesiacov. Potom sa dávka upravuje individuálne na základe klinického nálezu a hladín </w:t>
      </w:r>
      <w:proofErr w:type="spellStart"/>
      <w:r w:rsidR="00FB1CC9" w:rsidRPr="007A1CAE">
        <w:rPr>
          <w:rFonts w:ascii="Times New Roman" w:hAnsi="Times New Roman"/>
          <w:sz w:val="22"/>
          <w:szCs w:val="22"/>
        </w:rPr>
        <w:t>tyreo</w:t>
      </w:r>
      <w:r w:rsidR="0073101A">
        <w:rPr>
          <w:rFonts w:ascii="Times New Roman" w:hAnsi="Times New Roman"/>
          <w:sz w:val="22"/>
          <w:szCs w:val="22"/>
        </w:rPr>
        <w:t>i</w:t>
      </w:r>
      <w:r w:rsidR="00FB1CC9" w:rsidRPr="007A1CAE">
        <w:rPr>
          <w:rFonts w:ascii="Times New Roman" w:hAnsi="Times New Roman"/>
          <w:sz w:val="22"/>
          <w:szCs w:val="22"/>
        </w:rPr>
        <w:t>dálnych</w:t>
      </w:r>
      <w:proofErr w:type="spellEnd"/>
      <w:r w:rsidR="00FB1CC9" w:rsidRPr="007A1CAE">
        <w:rPr>
          <w:rFonts w:ascii="Times New Roman" w:hAnsi="Times New Roman"/>
          <w:sz w:val="22"/>
          <w:szCs w:val="22"/>
        </w:rPr>
        <w:t xml:space="preserve"> hormónov a TSH.</w:t>
      </w:r>
    </w:p>
    <w:p w14:paraId="1092C528" w14:textId="743234B0" w:rsidR="00FB1CC9" w:rsidRPr="007A1CAE" w:rsidRDefault="00FB1CC9" w:rsidP="002F028B">
      <w:pPr>
        <w:rPr>
          <w:rFonts w:ascii="Times New Roman" w:hAnsi="Times New Roman"/>
          <w:iCs/>
          <w:sz w:val="22"/>
          <w:szCs w:val="22"/>
        </w:rPr>
      </w:pPr>
      <w:r w:rsidRPr="007A1CAE">
        <w:rPr>
          <w:rFonts w:ascii="Times New Roman" w:hAnsi="Times New Roman"/>
          <w:iCs/>
          <w:sz w:val="22"/>
          <w:szCs w:val="22"/>
        </w:rPr>
        <w:t xml:space="preserve">Pre deti so získaným </w:t>
      </w:r>
      <w:proofErr w:type="spellStart"/>
      <w:r w:rsidRPr="007A1CAE">
        <w:rPr>
          <w:rFonts w:ascii="Times New Roman" w:hAnsi="Times New Roman"/>
          <w:iCs/>
          <w:sz w:val="22"/>
          <w:szCs w:val="22"/>
        </w:rPr>
        <w:t>hypotyreoidizmom</w:t>
      </w:r>
      <w:proofErr w:type="spellEnd"/>
      <w:r w:rsidRPr="007A1CAE">
        <w:rPr>
          <w:rFonts w:ascii="Times New Roman" w:hAnsi="Times New Roman"/>
          <w:iCs/>
          <w:sz w:val="22"/>
          <w:szCs w:val="22"/>
        </w:rPr>
        <w:t xml:space="preserve"> je odporúčaná iniciálna dávka 12,5 – 50 </w:t>
      </w:r>
      <w:proofErr w:type="spellStart"/>
      <w:r w:rsidR="00B9601A">
        <w:rPr>
          <w:rFonts w:ascii="Times New Roman" w:hAnsi="Times New Roman"/>
          <w:sz w:val="22"/>
          <w:szCs w:val="22"/>
        </w:rPr>
        <w:t>mikrogramov</w:t>
      </w:r>
      <w:proofErr w:type="spellEnd"/>
      <w:r w:rsidR="00B9601A"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A1CAE">
        <w:rPr>
          <w:rFonts w:ascii="Times New Roman" w:hAnsi="Times New Roman"/>
          <w:sz w:val="22"/>
          <w:szCs w:val="22"/>
        </w:rPr>
        <w:t>levotyroxínu</w:t>
      </w:r>
      <w:proofErr w:type="spellEnd"/>
      <w:r w:rsidRPr="007A1CAE">
        <w:rPr>
          <w:rFonts w:ascii="Times New Roman" w:hAnsi="Times New Roman"/>
          <w:sz w:val="22"/>
          <w:szCs w:val="22"/>
        </w:rPr>
        <w:t>/deň. Dávka sa má zvyšovať postupne každé 2</w:t>
      </w:r>
      <w:r w:rsidR="004C70BD">
        <w:rPr>
          <w:rFonts w:ascii="Times New Roman" w:hAnsi="Times New Roman"/>
          <w:sz w:val="22"/>
          <w:szCs w:val="22"/>
        </w:rPr>
        <w:t xml:space="preserve"> </w:t>
      </w:r>
      <w:r w:rsidRPr="007A1CAE">
        <w:rPr>
          <w:rFonts w:ascii="Times New Roman" w:hAnsi="Times New Roman"/>
          <w:sz w:val="22"/>
          <w:szCs w:val="22"/>
        </w:rPr>
        <w:t>-</w:t>
      </w:r>
      <w:r w:rsidR="004C70BD">
        <w:rPr>
          <w:rFonts w:ascii="Times New Roman" w:hAnsi="Times New Roman"/>
          <w:sz w:val="22"/>
          <w:szCs w:val="22"/>
        </w:rPr>
        <w:t xml:space="preserve"> </w:t>
      </w:r>
      <w:r w:rsidRPr="007A1CAE">
        <w:rPr>
          <w:rFonts w:ascii="Times New Roman" w:hAnsi="Times New Roman"/>
          <w:sz w:val="22"/>
          <w:szCs w:val="22"/>
        </w:rPr>
        <w:t>4 týždne na základe klinickéh</w:t>
      </w:r>
      <w:r w:rsidR="009665DF" w:rsidRPr="007A1CAE">
        <w:rPr>
          <w:rFonts w:ascii="Times New Roman" w:hAnsi="Times New Roman"/>
          <w:sz w:val="22"/>
          <w:szCs w:val="22"/>
        </w:rPr>
        <w:t>o</w:t>
      </w:r>
      <w:r w:rsidRPr="007A1CAE">
        <w:rPr>
          <w:rFonts w:ascii="Times New Roman" w:hAnsi="Times New Roman"/>
          <w:sz w:val="22"/>
          <w:szCs w:val="22"/>
        </w:rPr>
        <w:t xml:space="preserve"> nálezu a hladín </w:t>
      </w:r>
      <w:proofErr w:type="spellStart"/>
      <w:r w:rsidRPr="007A1CAE">
        <w:rPr>
          <w:rFonts w:ascii="Times New Roman" w:hAnsi="Times New Roman"/>
          <w:sz w:val="22"/>
          <w:szCs w:val="22"/>
        </w:rPr>
        <w:t>tyreoidálnych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hormónov a</w:t>
      </w:r>
      <w:r w:rsidR="009665DF" w:rsidRPr="007A1CAE">
        <w:rPr>
          <w:rFonts w:ascii="Times New Roman" w:hAnsi="Times New Roman"/>
          <w:sz w:val="22"/>
          <w:szCs w:val="22"/>
        </w:rPr>
        <w:t> </w:t>
      </w:r>
      <w:r w:rsidRPr="007A1CAE">
        <w:rPr>
          <w:rFonts w:ascii="Times New Roman" w:hAnsi="Times New Roman"/>
          <w:sz w:val="22"/>
          <w:szCs w:val="22"/>
        </w:rPr>
        <w:t>TSH</w:t>
      </w:r>
      <w:r w:rsidR="009665DF" w:rsidRPr="007A1CAE">
        <w:rPr>
          <w:rFonts w:ascii="Times New Roman" w:hAnsi="Times New Roman"/>
          <w:sz w:val="22"/>
          <w:szCs w:val="22"/>
        </w:rPr>
        <w:t>,</w:t>
      </w:r>
      <w:r w:rsidRPr="007A1CAE">
        <w:rPr>
          <w:rFonts w:ascii="Times New Roman" w:hAnsi="Times New Roman"/>
          <w:sz w:val="22"/>
          <w:szCs w:val="22"/>
        </w:rPr>
        <w:t xml:space="preserve"> až kým sa nedosiahne dávka na úplnú substitúciu.</w:t>
      </w:r>
    </w:p>
    <w:p w14:paraId="69A23BF6" w14:textId="77777777" w:rsidR="005F6371" w:rsidRPr="007A1CAE" w:rsidRDefault="005F6371" w:rsidP="005761B8">
      <w:pPr>
        <w:tabs>
          <w:tab w:val="num" w:pos="0"/>
        </w:tabs>
        <w:jc w:val="both"/>
        <w:rPr>
          <w:rFonts w:ascii="Times New Roman" w:hAnsi="Times New Roman"/>
          <w:sz w:val="22"/>
          <w:szCs w:val="22"/>
        </w:rPr>
      </w:pPr>
    </w:p>
    <w:p w14:paraId="0FE3418F" w14:textId="206F39DE" w:rsidR="00BE1654" w:rsidRPr="002F028B" w:rsidRDefault="00BE1654" w:rsidP="005761B8">
      <w:pPr>
        <w:tabs>
          <w:tab w:val="num" w:pos="0"/>
        </w:tabs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2F028B">
        <w:rPr>
          <w:rFonts w:ascii="Times New Roman" w:hAnsi="Times New Roman"/>
          <w:i/>
          <w:sz w:val="22"/>
          <w:szCs w:val="22"/>
        </w:rPr>
        <w:t>Dávkova</w:t>
      </w:r>
      <w:r w:rsidR="009E55B2" w:rsidRPr="002F028B">
        <w:rPr>
          <w:rFonts w:ascii="Times New Roman" w:hAnsi="Times New Roman"/>
          <w:i/>
          <w:sz w:val="22"/>
          <w:szCs w:val="22"/>
        </w:rPr>
        <w:t>n</w:t>
      </w:r>
      <w:r w:rsidRPr="002F028B">
        <w:rPr>
          <w:rFonts w:ascii="Times New Roman" w:hAnsi="Times New Roman"/>
          <w:i/>
          <w:sz w:val="22"/>
          <w:szCs w:val="22"/>
        </w:rPr>
        <w:t xml:space="preserve">ie u starších </w:t>
      </w:r>
      <w:r w:rsidR="00836511" w:rsidRPr="002F028B">
        <w:rPr>
          <w:rFonts w:ascii="Times New Roman" w:hAnsi="Times New Roman"/>
          <w:i/>
          <w:sz w:val="22"/>
          <w:szCs w:val="22"/>
        </w:rPr>
        <w:t>ľudí</w:t>
      </w:r>
    </w:p>
    <w:p w14:paraId="1C56C1B9" w14:textId="77777777" w:rsidR="00BE1654" w:rsidRPr="007A1CAE" w:rsidRDefault="00211D26" w:rsidP="005761B8">
      <w:pPr>
        <w:tabs>
          <w:tab w:val="num" w:pos="0"/>
        </w:tabs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 xml:space="preserve">Je potrebné prispôsobiť dávkovanie a kontrolu terapie individuálnemu stavu pacienta, napr. pri ochoreniach srdca pravidelná kontrola hladín TSH. </w:t>
      </w:r>
    </w:p>
    <w:p w14:paraId="4752A794" w14:textId="77777777" w:rsidR="00211D26" w:rsidRPr="007A1CAE" w:rsidRDefault="00211D26" w:rsidP="005761B8">
      <w:pPr>
        <w:tabs>
          <w:tab w:val="num" w:pos="0"/>
        </w:tabs>
        <w:jc w:val="both"/>
        <w:rPr>
          <w:rFonts w:ascii="Times New Roman" w:hAnsi="Times New Roman"/>
          <w:sz w:val="22"/>
          <w:szCs w:val="22"/>
        </w:rPr>
      </w:pPr>
    </w:p>
    <w:p w14:paraId="48F3BCA5" w14:textId="77777777" w:rsidR="005F6371" w:rsidRPr="002F028B" w:rsidRDefault="005F6371" w:rsidP="005761B8">
      <w:pPr>
        <w:tabs>
          <w:tab w:val="num" w:pos="0"/>
        </w:tabs>
        <w:jc w:val="both"/>
        <w:outlineLvl w:val="0"/>
        <w:rPr>
          <w:rFonts w:ascii="Times New Roman" w:hAnsi="Times New Roman"/>
          <w:sz w:val="22"/>
          <w:szCs w:val="22"/>
          <w:u w:val="single"/>
        </w:rPr>
      </w:pPr>
      <w:r w:rsidRPr="002F028B">
        <w:rPr>
          <w:rFonts w:ascii="Times New Roman" w:hAnsi="Times New Roman"/>
          <w:sz w:val="22"/>
          <w:szCs w:val="22"/>
          <w:u w:val="single"/>
        </w:rPr>
        <w:t>Spôsob podávania</w:t>
      </w:r>
    </w:p>
    <w:p w14:paraId="4998E4A7" w14:textId="0ED43397" w:rsidR="008018B0" w:rsidRPr="007A1CAE" w:rsidRDefault="00AB0833" w:rsidP="005761B8">
      <w:pPr>
        <w:tabs>
          <w:tab w:val="num" w:pos="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</w:t>
      </w:r>
      <w:r w:rsidR="008018B0" w:rsidRPr="007A1CAE">
        <w:rPr>
          <w:rFonts w:ascii="Times New Roman" w:hAnsi="Times New Roman"/>
          <w:sz w:val="22"/>
          <w:szCs w:val="22"/>
        </w:rPr>
        <w:t>el</w:t>
      </w:r>
      <w:r>
        <w:rPr>
          <w:rFonts w:ascii="Times New Roman" w:hAnsi="Times New Roman"/>
          <w:sz w:val="22"/>
          <w:szCs w:val="22"/>
        </w:rPr>
        <w:t>á</w:t>
      </w:r>
      <w:r w:rsidR="008018B0" w:rsidRPr="007A1CAE">
        <w:rPr>
          <w:rFonts w:ascii="Times New Roman" w:hAnsi="Times New Roman"/>
          <w:sz w:val="22"/>
          <w:szCs w:val="22"/>
        </w:rPr>
        <w:t xml:space="preserve"> denn</w:t>
      </w:r>
      <w:r>
        <w:rPr>
          <w:rFonts w:ascii="Times New Roman" w:hAnsi="Times New Roman"/>
          <w:sz w:val="22"/>
          <w:szCs w:val="22"/>
        </w:rPr>
        <w:t>á</w:t>
      </w:r>
      <w:r w:rsidR="008018B0" w:rsidRPr="007A1CAE">
        <w:rPr>
          <w:rFonts w:ascii="Times New Roman" w:hAnsi="Times New Roman"/>
          <w:sz w:val="22"/>
          <w:szCs w:val="22"/>
        </w:rPr>
        <w:t xml:space="preserve"> dávk</w:t>
      </w:r>
      <w:r>
        <w:rPr>
          <w:rFonts w:ascii="Times New Roman" w:hAnsi="Times New Roman"/>
          <w:sz w:val="22"/>
          <w:szCs w:val="22"/>
        </w:rPr>
        <w:t>a sa</w:t>
      </w:r>
      <w:r w:rsidR="008018B0" w:rsidRPr="007A1CA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nerozhryzená </w:t>
      </w:r>
      <w:r w:rsidR="004B016C">
        <w:rPr>
          <w:rFonts w:ascii="Times New Roman" w:hAnsi="Times New Roman"/>
          <w:sz w:val="22"/>
          <w:szCs w:val="22"/>
        </w:rPr>
        <w:t xml:space="preserve">prehltne </w:t>
      </w:r>
      <w:r>
        <w:rPr>
          <w:rFonts w:ascii="Times New Roman" w:hAnsi="Times New Roman"/>
          <w:sz w:val="22"/>
          <w:szCs w:val="22"/>
        </w:rPr>
        <w:t>naraz, a to</w:t>
      </w:r>
      <w:r w:rsidR="008018B0" w:rsidRPr="007A1CAE">
        <w:rPr>
          <w:rFonts w:ascii="Times New Roman" w:hAnsi="Times New Roman"/>
          <w:sz w:val="22"/>
          <w:szCs w:val="22"/>
        </w:rPr>
        <w:t xml:space="preserve"> ráno nalačno </w:t>
      </w:r>
      <w:r w:rsidR="000720A7" w:rsidRPr="007A1CAE">
        <w:rPr>
          <w:rFonts w:ascii="Times New Roman" w:hAnsi="Times New Roman"/>
          <w:sz w:val="22"/>
          <w:szCs w:val="22"/>
        </w:rPr>
        <w:t>najmenej</w:t>
      </w:r>
      <w:r w:rsidR="008018B0" w:rsidRPr="007A1CAE">
        <w:rPr>
          <w:rFonts w:ascii="Times New Roman" w:hAnsi="Times New Roman"/>
          <w:sz w:val="22"/>
          <w:szCs w:val="22"/>
        </w:rPr>
        <w:t xml:space="preserve"> 30 minút pred raňajkami a zapije </w:t>
      </w:r>
      <w:r>
        <w:rPr>
          <w:rFonts w:ascii="Times New Roman" w:hAnsi="Times New Roman"/>
          <w:sz w:val="22"/>
          <w:szCs w:val="22"/>
        </w:rPr>
        <w:t xml:space="preserve">sa </w:t>
      </w:r>
      <w:r w:rsidR="008018B0" w:rsidRPr="007A1CAE">
        <w:rPr>
          <w:rFonts w:ascii="Times New Roman" w:hAnsi="Times New Roman"/>
          <w:sz w:val="22"/>
          <w:szCs w:val="22"/>
        </w:rPr>
        <w:t>dostatočným množstvom vody.</w:t>
      </w:r>
    </w:p>
    <w:p w14:paraId="0988A4ED" w14:textId="77777777" w:rsidR="008018B0" w:rsidRPr="007A1CAE" w:rsidRDefault="008018B0" w:rsidP="005761B8">
      <w:pPr>
        <w:tabs>
          <w:tab w:val="num" w:pos="0"/>
        </w:tabs>
        <w:jc w:val="both"/>
        <w:rPr>
          <w:rFonts w:ascii="Times New Roman" w:hAnsi="Times New Roman"/>
          <w:sz w:val="22"/>
          <w:szCs w:val="22"/>
        </w:rPr>
      </w:pPr>
    </w:p>
    <w:p w14:paraId="5A2BCBCC" w14:textId="7DCBD9AE" w:rsidR="007218CD" w:rsidRPr="007A1CAE" w:rsidRDefault="007218CD" w:rsidP="005761B8">
      <w:pPr>
        <w:pStyle w:val="Export0"/>
        <w:tabs>
          <w:tab w:val="num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7A1CAE">
        <w:rPr>
          <w:rFonts w:ascii="Times New Roman" w:hAnsi="Times New Roman"/>
          <w:sz w:val="22"/>
          <w:szCs w:val="22"/>
          <w:lang w:val="sk-SK"/>
        </w:rPr>
        <w:t xml:space="preserve">Deťom sa podáva celá denná dávka najmenej ½ hodiny pred prvým jedlom </w:t>
      </w:r>
      <w:r w:rsidR="000460DF">
        <w:rPr>
          <w:rFonts w:ascii="Times New Roman" w:hAnsi="Times New Roman"/>
          <w:sz w:val="22"/>
          <w:szCs w:val="22"/>
          <w:lang w:val="sk-SK"/>
        </w:rPr>
        <w:t>daného</w:t>
      </w:r>
      <w:r w:rsidR="000460DF" w:rsidRPr="007A1CAE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A1CAE">
        <w:rPr>
          <w:rFonts w:ascii="Times New Roman" w:hAnsi="Times New Roman"/>
          <w:sz w:val="22"/>
          <w:szCs w:val="22"/>
          <w:lang w:val="sk-SK"/>
        </w:rPr>
        <w:t>dňa.</w:t>
      </w:r>
    </w:p>
    <w:p w14:paraId="5D3637AF" w14:textId="544F1020" w:rsidR="007218CD" w:rsidRPr="007A1CAE" w:rsidRDefault="007218CD" w:rsidP="005761B8">
      <w:pPr>
        <w:pStyle w:val="Export0"/>
        <w:tabs>
          <w:tab w:val="num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7A1CAE">
        <w:rPr>
          <w:rFonts w:ascii="Times New Roman" w:hAnsi="Times New Roman"/>
          <w:sz w:val="22"/>
          <w:szCs w:val="22"/>
          <w:lang w:val="sk-SK"/>
        </w:rPr>
        <w:t xml:space="preserve">Pre deti je možné </w:t>
      </w:r>
      <w:r w:rsidR="002139A9">
        <w:rPr>
          <w:rFonts w:ascii="Times New Roman" w:hAnsi="Times New Roman"/>
          <w:sz w:val="22"/>
          <w:szCs w:val="22"/>
          <w:lang w:val="sk-SK"/>
        </w:rPr>
        <w:t>nechať rozpadnúť</w:t>
      </w:r>
      <w:r w:rsidR="002139A9" w:rsidRPr="007A1CAE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A1CAE">
        <w:rPr>
          <w:rFonts w:ascii="Times New Roman" w:hAnsi="Times New Roman"/>
          <w:sz w:val="22"/>
          <w:szCs w:val="22"/>
          <w:lang w:val="sk-SK"/>
        </w:rPr>
        <w:t>tabletu v </w:t>
      </w:r>
      <w:r w:rsidR="00245DB9">
        <w:rPr>
          <w:rFonts w:ascii="Times New Roman" w:hAnsi="Times New Roman"/>
          <w:sz w:val="22"/>
          <w:szCs w:val="22"/>
          <w:lang w:val="sk-SK"/>
        </w:rPr>
        <w:t>malom množstve</w:t>
      </w:r>
      <w:r w:rsidR="00245DB9" w:rsidRPr="007A1CAE" w:rsidDel="00245DB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A1CAE">
        <w:rPr>
          <w:rFonts w:ascii="Times New Roman" w:hAnsi="Times New Roman"/>
          <w:sz w:val="22"/>
          <w:szCs w:val="22"/>
          <w:lang w:val="sk-SK"/>
        </w:rPr>
        <w:t>vody</w:t>
      </w:r>
      <w:r w:rsidR="00D74F03" w:rsidRPr="007A1CAE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FB1CC9" w:rsidRPr="007A1CAE">
        <w:rPr>
          <w:rFonts w:ascii="Times New Roman" w:hAnsi="Times New Roman"/>
          <w:sz w:val="22"/>
          <w:szCs w:val="22"/>
          <w:lang w:val="sk-SK"/>
        </w:rPr>
        <w:t>(10</w:t>
      </w:r>
      <w:r w:rsidR="00641B85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FB1CC9" w:rsidRPr="007A1CAE">
        <w:rPr>
          <w:rFonts w:ascii="Times New Roman" w:hAnsi="Times New Roman"/>
          <w:sz w:val="22"/>
          <w:szCs w:val="22"/>
          <w:lang w:val="sk-SK"/>
        </w:rPr>
        <w:t>-</w:t>
      </w:r>
      <w:r w:rsidR="00641B85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FB1CC9" w:rsidRPr="007A1CAE">
        <w:rPr>
          <w:rFonts w:ascii="Times New Roman" w:hAnsi="Times New Roman"/>
          <w:sz w:val="22"/>
          <w:szCs w:val="22"/>
          <w:lang w:val="sk-SK"/>
        </w:rPr>
        <w:t>15</w:t>
      </w:r>
      <w:r w:rsidR="00641B85" w:rsidRPr="007A1CAE">
        <w:rPr>
          <w:rFonts w:ascii="Times New Roman" w:hAnsi="Times New Roman"/>
          <w:sz w:val="22"/>
          <w:szCs w:val="22"/>
          <w:lang w:val="sk-SK"/>
        </w:rPr>
        <w:t> </w:t>
      </w:r>
      <w:r w:rsidR="00FB1CC9" w:rsidRPr="007A1CAE">
        <w:rPr>
          <w:rFonts w:ascii="Times New Roman" w:hAnsi="Times New Roman"/>
          <w:sz w:val="22"/>
          <w:szCs w:val="22"/>
          <w:lang w:val="sk-SK"/>
        </w:rPr>
        <w:t xml:space="preserve">ml) </w:t>
      </w:r>
      <w:r w:rsidRPr="007A1CAE">
        <w:rPr>
          <w:rFonts w:ascii="Times New Roman" w:hAnsi="Times New Roman"/>
          <w:sz w:val="22"/>
          <w:szCs w:val="22"/>
          <w:lang w:val="sk-SK"/>
        </w:rPr>
        <w:t>a</w:t>
      </w:r>
      <w:r w:rsidR="00D74F03" w:rsidRPr="007A1CAE">
        <w:rPr>
          <w:rFonts w:ascii="Times New Roman" w:hAnsi="Times New Roman"/>
          <w:sz w:val="22"/>
          <w:szCs w:val="22"/>
          <w:lang w:val="sk-SK"/>
        </w:rPr>
        <w:t xml:space="preserve"> podať </w:t>
      </w:r>
      <w:r w:rsidRPr="007A1CAE">
        <w:rPr>
          <w:rFonts w:ascii="Times New Roman" w:hAnsi="Times New Roman"/>
          <w:sz w:val="22"/>
          <w:szCs w:val="22"/>
          <w:lang w:val="sk-SK"/>
        </w:rPr>
        <w:t>túto suspenziu</w:t>
      </w:r>
      <w:r w:rsidR="00D74F03" w:rsidRPr="007A1CAE">
        <w:rPr>
          <w:rFonts w:ascii="Times New Roman" w:hAnsi="Times New Roman"/>
          <w:sz w:val="22"/>
          <w:szCs w:val="22"/>
          <w:lang w:val="sk-SK"/>
        </w:rPr>
        <w:t xml:space="preserve"> s ďalšou </w:t>
      </w:r>
      <w:r w:rsidRPr="007A1CAE">
        <w:rPr>
          <w:rFonts w:ascii="Times New Roman" w:hAnsi="Times New Roman"/>
          <w:sz w:val="22"/>
          <w:szCs w:val="22"/>
          <w:lang w:val="sk-SK"/>
        </w:rPr>
        <w:t>tekutin</w:t>
      </w:r>
      <w:r w:rsidR="00D74F03" w:rsidRPr="007A1CAE">
        <w:rPr>
          <w:rFonts w:ascii="Times New Roman" w:hAnsi="Times New Roman"/>
          <w:sz w:val="22"/>
          <w:szCs w:val="22"/>
          <w:lang w:val="sk-SK"/>
        </w:rPr>
        <w:t>ou</w:t>
      </w:r>
      <w:r w:rsidR="00C33CA4" w:rsidRPr="007A1CAE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FB1CC9" w:rsidRPr="007A1CAE">
        <w:rPr>
          <w:rFonts w:ascii="Times New Roman" w:hAnsi="Times New Roman"/>
          <w:sz w:val="22"/>
          <w:szCs w:val="22"/>
          <w:lang w:val="sk-SK"/>
        </w:rPr>
        <w:t>(5</w:t>
      </w:r>
      <w:r w:rsidR="00641B85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FB1CC9" w:rsidRPr="007A1CAE">
        <w:rPr>
          <w:rFonts w:ascii="Times New Roman" w:hAnsi="Times New Roman"/>
          <w:sz w:val="22"/>
          <w:szCs w:val="22"/>
          <w:lang w:val="sk-SK"/>
        </w:rPr>
        <w:t>-</w:t>
      </w:r>
      <w:r w:rsidR="00641B85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FB1CC9" w:rsidRPr="007A1CAE">
        <w:rPr>
          <w:rFonts w:ascii="Times New Roman" w:hAnsi="Times New Roman"/>
          <w:sz w:val="22"/>
          <w:szCs w:val="22"/>
          <w:lang w:val="sk-SK"/>
        </w:rPr>
        <w:t>10</w:t>
      </w:r>
      <w:r w:rsidR="00641B85" w:rsidRPr="007A1CAE">
        <w:rPr>
          <w:rFonts w:ascii="Times New Roman" w:hAnsi="Times New Roman"/>
          <w:sz w:val="22"/>
          <w:szCs w:val="22"/>
          <w:lang w:val="sk-SK"/>
        </w:rPr>
        <w:t> </w:t>
      </w:r>
      <w:r w:rsidR="00FB1CC9" w:rsidRPr="007A1CAE">
        <w:rPr>
          <w:rFonts w:ascii="Times New Roman" w:hAnsi="Times New Roman"/>
          <w:sz w:val="22"/>
          <w:szCs w:val="22"/>
          <w:lang w:val="sk-SK"/>
        </w:rPr>
        <w:t xml:space="preserve">ml), </w:t>
      </w:r>
      <w:r w:rsidR="00E52083" w:rsidRPr="007A1CAE">
        <w:rPr>
          <w:rFonts w:ascii="Times New Roman" w:hAnsi="Times New Roman"/>
          <w:sz w:val="22"/>
          <w:szCs w:val="22"/>
          <w:lang w:val="sk-SK"/>
        </w:rPr>
        <w:t>suspenzia</w:t>
      </w:r>
      <w:r w:rsidR="00C33CA4" w:rsidRPr="007A1CAE">
        <w:rPr>
          <w:rFonts w:ascii="Times New Roman" w:hAnsi="Times New Roman"/>
          <w:sz w:val="22"/>
          <w:szCs w:val="22"/>
          <w:lang w:val="sk-SK"/>
        </w:rPr>
        <w:t xml:space="preserve"> musí byť vždy čerstvo pripravená</w:t>
      </w:r>
      <w:r w:rsidR="00D74F03" w:rsidRPr="007A1CAE">
        <w:rPr>
          <w:rFonts w:ascii="Times New Roman" w:hAnsi="Times New Roman"/>
          <w:sz w:val="22"/>
          <w:szCs w:val="22"/>
          <w:lang w:val="sk-SK"/>
        </w:rPr>
        <w:t>.</w:t>
      </w:r>
    </w:p>
    <w:p w14:paraId="040327F8" w14:textId="77777777" w:rsidR="00D74F03" w:rsidRPr="007A1CAE" w:rsidRDefault="00D74F03" w:rsidP="005761B8">
      <w:pPr>
        <w:pStyle w:val="Export0"/>
        <w:tabs>
          <w:tab w:val="num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</w:p>
    <w:p w14:paraId="0820FE15" w14:textId="782A6E7E" w:rsidR="008018B0" w:rsidRPr="002F028B" w:rsidRDefault="00D24EA6" w:rsidP="005761B8">
      <w:pPr>
        <w:tabs>
          <w:tab w:val="num" w:pos="0"/>
        </w:tabs>
        <w:jc w:val="both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Dĺžka</w:t>
      </w:r>
      <w:r w:rsidRPr="002F028B">
        <w:rPr>
          <w:rFonts w:ascii="Times New Roman" w:hAnsi="Times New Roman"/>
          <w:sz w:val="22"/>
          <w:szCs w:val="22"/>
          <w:u w:val="single"/>
        </w:rPr>
        <w:t xml:space="preserve"> </w:t>
      </w:r>
      <w:r w:rsidR="008018B0" w:rsidRPr="002F028B">
        <w:rPr>
          <w:rFonts w:ascii="Times New Roman" w:hAnsi="Times New Roman"/>
          <w:sz w:val="22"/>
          <w:szCs w:val="22"/>
          <w:u w:val="single"/>
        </w:rPr>
        <w:t>liečby</w:t>
      </w:r>
    </w:p>
    <w:p w14:paraId="74C02CD0" w14:textId="2A0A5C91" w:rsidR="00FB1CC9" w:rsidRPr="007A1CAE" w:rsidRDefault="00211D26" w:rsidP="005761B8">
      <w:pPr>
        <w:tabs>
          <w:tab w:val="num" w:pos="0"/>
        </w:tabs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iCs/>
          <w:sz w:val="22"/>
          <w:szCs w:val="22"/>
        </w:rPr>
        <w:t>Pri</w:t>
      </w:r>
      <w:r w:rsidR="008018B0" w:rsidRPr="007A1CAE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="008018B0" w:rsidRPr="007A1CAE">
        <w:rPr>
          <w:rFonts w:ascii="Times New Roman" w:hAnsi="Times New Roman"/>
          <w:iCs/>
          <w:sz w:val="22"/>
          <w:szCs w:val="22"/>
        </w:rPr>
        <w:t>hypotyreóz</w:t>
      </w:r>
      <w:r w:rsidRPr="007A1CAE">
        <w:rPr>
          <w:rFonts w:ascii="Times New Roman" w:hAnsi="Times New Roman"/>
          <w:iCs/>
          <w:sz w:val="22"/>
          <w:szCs w:val="22"/>
        </w:rPr>
        <w:t>e</w:t>
      </w:r>
      <w:proofErr w:type="spellEnd"/>
      <w:r w:rsidR="008018B0" w:rsidRPr="007A1CAE">
        <w:rPr>
          <w:rFonts w:ascii="Times New Roman" w:hAnsi="Times New Roman"/>
          <w:iCs/>
          <w:sz w:val="22"/>
          <w:szCs w:val="22"/>
        </w:rPr>
        <w:t xml:space="preserve"> a po </w:t>
      </w:r>
      <w:proofErr w:type="spellStart"/>
      <w:r w:rsidR="008018B0" w:rsidRPr="007A1CAE">
        <w:rPr>
          <w:rFonts w:ascii="Times New Roman" w:hAnsi="Times New Roman"/>
          <w:iCs/>
          <w:sz w:val="22"/>
          <w:szCs w:val="22"/>
        </w:rPr>
        <w:t>tyr</w:t>
      </w:r>
      <w:r w:rsidR="006F1AA3" w:rsidRPr="007A1CAE">
        <w:rPr>
          <w:rFonts w:ascii="Times New Roman" w:hAnsi="Times New Roman"/>
          <w:iCs/>
          <w:sz w:val="22"/>
          <w:szCs w:val="22"/>
        </w:rPr>
        <w:t>e</w:t>
      </w:r>
      <w:r w:rsidR="008018B0" w:rsidRPr="007A1CAE">
        <w:rPr>
          <w:rFonts w:ascii="Times New Roman" w:hAnsi="Times New Roman"/>
          <w:iCs/>
          <w:sz w:val="22"/>
          <w:szCs w:val="22"/>
        </w:rPr>
        <w:t>oidektómii</w:t>
      </w:r>
      <w:proofErr w:type="spellEnd"/>
      <w:r w:rsidR="008018B0" w:rsidRPr="007A1CAE">
        <w:rPr>
          <w:rFonts w:ascii="Times New Roman" w:hAnsi="Times New Roman"/>
          <w:iCs/>
          <w:sz w:val="22"/>
          <w:szCs w:val="22"/>
        </w:rPr>
        <w:t xml:space="preserve"> pri malígnych ochoreniach štítnej žľazy -</w:t>
      </w:r>
      <w:r w:rsidR="008018B0" w:rsidRPr="007A1CAE">
        <w:rPr>
          <w:rFonts w:ascii="Times New Roman" w:hAnsi="Times New Roman"/>
          <w:sz w:val="22"/>
          <w:szCs w:val="22"/>
        </w:rPr>
        <w:t xml:space="preserve"> zvyčajne po celý život</w:t>
      </w:r>
      <w:r w:rsidRPr="007A1CAE">
        <w:rPr>
          <w:rFonts w:ascii="Times New Roman" w:hAnsi="Times New Roman"/>
          <w:sz w:val="22"/>
          <w:szCs w:val="22"/>
        </w:rPr>
        <w:t>.</w:t>
      </w:r>
    </w:p>
    <w:p w14:paraId="0B8428D1" w14:textId="77777777" w:rsidR="008018B0" w:rsidRPr="007A1CAE" w:rsidRDefault="00211D26" w:rsidP="005761B8">
      <w:pPr>
        <w:tabs>
          <w:tab w:val="num" w:pos="0"/>
        </w:tabs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iCs/>
          <w:sz w:val="22"/>
          <w:szCs w:val="22"/>
        </w:rPr>
        <w:t>Pri</w:t>
      </w:r>
      <w:r w:rsidR="008018B0" w:rsidRPr="007A1CAE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="008018B0" w:rsidRPr="007A1CAE">
        <w:rPr>
          <w:rFonts w:ascii="Times New Roman" w:hAnsi="Times New Roman"/>
          <w:iCs/>
          <w:sz w:val="22"/>
          <w:szCs w:val="22"/>
        </w:rPr>
        <w:t>eutyr</w:t>
      </w:r>
      <w:r w:rsidR="006F1AA3" w:rsidRPr="007A1CAE">
        <w:rPr>
          <w:rFonts w:ascii="Times New Roman" w:hAnsi="Times New Roman"/>
          <w:iCs/>
          <w:sz w:val="22"/>
          <w:szCs w:val="22"/>
        </w:rPr>
        <w:t>e</w:t>
      </w:r>
      <w:r w:rsidR="008018B0" w:rsidRPr="007A1CAE">
        <w:rPr>
          <w:rFonts w:ascii="Times New Roman" w:hAnsi="Times New Roman"/>
          <w:iCs/>
          <w:sz w:val="22"/>
          <w:szCs w:val="22"/>
        </w:rPr>
        <w:t>oidn</w:t>
      </w:r>
      <w:r w:rsidRPr="007A1CAE">
        <w:rPr>
          <w:rFonts w:ascii="Times New Roman" w:hAnsi="Times New Roman"/>
          <w:iCs/>
          <w:sz w:val="22"/>
          <w:szCs w:val="22"/>
        </w:rPr>
        <w:t>ej</w:t>
      </w:r>
      <w:proofErr w:type="spellEnd"/>
      <w:r w:rsidR="008018B0" w:rsidRPr="007A1CAE">
        <w:rPr>
          <w:rFonts w:ascii="Times New Roman" w:hAnsi="Times New Roman"/>
          <w:iCs/>
          <w:sz w:val="22"/>
          <w:szCs w:val="22"/>
        </w:rPr>
        <w:t xml:space="preserve"> strum</w:t>
      </w:r>
      <w:r w:rsidRPr="007A1CAE">
        <w:rPr>
          <w:rFonts w:ascii="Times New Roman" w:hAnsi="Times New Roman"/>
          <w:iCs/>
          <w:sz w:val="22"/>
          <w:szCs w:val="22"/>
        </w:rPr>
        <w:t>e</w:t>
      </w:r>
      <w:r w:rsidR="008018B0" w:rsidRPr="007A1CAE">
        <w:rPr>
          <w:rFonts w:ascii="Times New Roman" w:hAnsi="Times New Roman"/>
          <w:iCs/>
          <w:sz w:val="22"/>
          <w:szCs w:val="22"/>
        </w:rPr>
        <w:t xml:space="preserve"> a profylaxi</w:t>
      </w:r>
      <w:r w:rsidRPr="007A1CAE">
        <w:rPr>
          <w:rFonts w:ascii="Times New Roman" w:hAnsi="Times New Roman"/>
          <w:iCs/>
          <w:sz w:val="22"/>
          <w:szCs w:val="22"/>
        </w:rPr>
        <w:t>i</w:t>
      </w:r>
      <w:r w:rsidR="008018B0" w:rsidRPr="007A1CAE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="008018B0" w:rsidRPr="007A1CAE">
        <w:rPr>
          <w:rFonts w:ascii="Times New Roman" w:hAnsi="Times New Roman"/>
          <w:iCs/>
          <w:sz w:val="22"/>
          <w:szCs w:val="22"/>
        </w:rPr>
        <w:t>rekurentnej</w:t>
      </w:r>
      <w:proofErr w:type="spellEnd"/>
      <w:r w:rsidR="008018B0" w:rsidRPr="007A1CAE">
        <w:rPr>
          <w:rFonts w:ascii="Times New Roman" w:hAnsi="Times New Roman"/>
          <w:iCs/>
          <w:sz w:val="22"/>
          <w:szCs w:val="22"/>
        </w:rPr>
        <w:t xml:space="preserve"> strumy </w:t>
      </w:r>
      <w:r w:rsidR="008018B0" w:rsidRPr="007A1CAE">
        <w:rPr>
          <w:rFonts w:ascii="Times New Roman" w:hAnsi="Times New Roman"/>
          <w:sz w:val="22"/>
          <w:szCs w:val="22"/>
        </w:rPr>
        <w:t>-</w:t>
      </w:r>
      <w:r w:rsidR="00A85372" w:rsidRPr="007A1CAE">
        <w:rPr>
          <w:rFonts w:ascii="Times New Roman" w:hAnsi="Times New Roman"/>
          <w:sz w:val="22"/>
          <w:szCs w:val="22"/>
        </w:rPr>
        <w:t xml:space="preserve"> niekoľko mesiacov alebo rokov až </w:t>
      </w:r>
      <w:r w:rsidR="008018B0" w:rsidRPr="007A1CAE">
        <w:rPr>
          <w:rFonts w:ascii="Times New Roman" w:hAnsi="Times New Roman"/>
          <w:sz w:val="22"/>
          <w:szCs w:val="22"/>
        </w:rPr>
        <w:t>po celý život</w:t>
      </w:r>
      <w:r w:rsidRPr="007A1CAE">
        <w:rPr>
          <w:rFonts w:ascii="Times New Roman" w:hAnsi="Times New Roman"/>
          <w:sz w:val="22"/>
          <w:szCs w:val="22"/>
        </w:rPr>
        <w:t>.</w:t>
      </w:r>
      <w:r w:rsidR="00A85372" w:rsidRPr="007A1CAE">
        <w:rPr>
          <w:rFonts w:ascii="Times New Roman" w:hAnsi="Times New Roman"/>
          <w:sz w:val="22"/>
          <w:szCs w:val="22"/>
        </w:rPr>
        <w:t xml:space="preserve"> </w:t>
      </w:r>
    </w:p>
    <w:p w14:paraId="681E9A23" w14:textId="6A8DE0D1" w:rsidR="00D71ECD" w:rsidRPr="007A1CAE" w:rsidRDefault="009E55B2" w:rsidP="005761B8">
      <w:pPr>
        <w:tabs>
          <w:tab w:val="num" w:pos="0"/>
        </w:tabs>
        <w:jc w:val="both"/>
        <w:rPr>
          <w:rFonts w:ascii="Times New Roman" w:hAnsi="Times New Roman"/>
          <w:iCs/>
          <w:sz w:val="22"/>
          <w:szCs w:val="22"/>
        </w:rPr>
      </w:pPr>
      <w:r w:rsidRPr="007A1CAE">
        <w:rPr>
          <w:rFonts w:ascii="Times New Roman" w:hAnsi="Times New Roman"/>
          <w:iCs/>
          <w:sz w:val="22"/>
          <w:szCs w:val="22"/>
        </w:rPr>
        <w:t xml:space="preserve">Pri </w:t>
      </w:r>
      <w:proofErr w:type="spellStart"/>
      <w:r w:rsidR="00D71ECD" w:rsidRPr="007A1CAE">
        <w:rPr>
          <w:rFonts w:ascii="Times New Roman" w:hAnsi="Times New Roman"/>
          <w:iCs/>
          <w:sz w:val="22"/>
          <w:szCs w:val="22"/>
        </w:rPr>
        <w:t>adjuvantn</w:t>
      </w:r>
      <w:r w:rsidRPr="007A1CAE">
        <w:rPr>
          <w:rFonts w:ascii="Times New Roman" w:hAnsi="Times New Roman"/>
          <w:iCs/>
          <w:sz w:val="22"/>
          <w:szCs w:val="22"/>
        </w:rPr>
        <w:t>ej</w:t>
      </w:r>
      <w:proofErr w:type="spellEnd"/>
      <w:r w:rsidR="00D71ECD" w:rsidRPr="007A1CAE">
        <w:rPr>
          <w:rFonts w:ascii="Times New Roman" w:hAnsi="Times New Roman"/>
          <w:iCs/>
          <w:sz w:val="22"/>
          <w:szCs w:val="22"/>
        </w:rPr>
        <w:t xml:space="preserve"> terapi</w:t>
      </w:r>
      <w:r w:rsidRPr="007A1CAE">
        <w:rPr>
          <w:rFonts w:ascii="Times New Roman" w:hAnsi="Times New Roman"/>
          <w:iCs/>
          <w:sz w:val="22"/>
          <w:szCs w:val="22"/>
        </w:rPr>
        <w:t>i</w:t>
      </w:r>
      <w:r w:rsidR="00D71ECD" w:rsidRPr="007A1CAE">
        <w:rPr>
          <w:rFonts w:ascii="Times New Roman" w:hAnsi="Times New Roman"/>
          <w:iCs/>
          <w:sz w:val="22"/>
          <w:szCs w:val="22"/>
        </w:rPr>
        <w:t xml:space="preserve"> k </w:t>
      </w:r>
      <w:proofErr w:type="spellStart"/>
      <w:r w:rsidR="00D71ECD" w:rsidRPr="007A1CAE">
        <w:rPr>
          <w:rFonts w:ascii="Times New Roman" w:hAnsi="Times New Roman"/>
          <w:iCs/>
          <w:sz w:val="22"/>
          <w:szCs w:val="22"/>
        </w:rPr>
        <w:t>tyreostatickej</w:t>
      </w:r>
      <w:proofErr w:type="spellEnd"/>
      <w:r w:rsidR="00D71ECD" w:rsidRPr="007A1CAE">
        <w:rPr>
          <w:rFonts w:ascii="Times New Roman" w:hAnsi="Times New Roman"/>
          <w:iCs/>
          <w:sz w:val="22"/>
          <w:szCs w:val="22"/>
        </w:rPr>
        <w:t xml:space="preserve"> liečbe </w:t>
      </w:r>
      <w:proofErr w:type="spellStart"/>
      <w:r w:rsidR="00D71ECD" w:rsidRPr="007A1CAE">
        <w:rPr>
          <w:rFonts w:ascii="Times New Roman" w:hAnsi="Times New Roman"/>
          <w:iCs/>
          <w:sz w:val="22"/>
          <w:szCs w:val="22"/>
        </w:rPr>
        <w:t>hypertyreózy</w:t>
      </w:r>
      <w:proofErr w:type="spellEnd"/>
      <w:r w:rsidR="00D71ECD" w:rsidRPr="007A1CAE">
        <w:rPr>
          <w:rFonts w:ascii="Times New Roman" w:hAnsi="Times New Roman"/>
          <w:iCs/>
          <w:sz w:val="22"/>
          <w:szCs w:val="22"/>
        </w:rPr>
        <w:t xml:space="preserve"> - podľa doby trvania </w:t>
      </w:r>
      <w:proofErr w:type="spellStart"/>
      <w:r w:rsidR="00D71ECD" w:rsidRPr="007A1CAE">
        <w:rPr>
          <w:rFonts w:ascii="Times New Roman" w:hAnsi="Times New Roman"/>
          <w:iCs/>
          <w:sz w:val="22"/>
          <w:szCs w:val="22"/>
        </w:rPr>
        <w:t>tyreostatickej</w:t>
      </w:r>
      <w:proofErr w:type="spellEnd"/>
      <w:r w:rsidR="00D71ECD" w:rsidRPr="007A1CAE">
        <w:rPr>
          <w:rFonts w:ascii="Times New Roman" w:hAnsi="Times New Roman"/>
          <w:iCs/>
          <w:sz w:val="22"/>
          <w:szCs w:val="22"/>
        </w:rPr>
        <w:t xml:space="preserve"> liečby</w:t>
      </w:r>
      <w:r w:rsidR="00D71ECD" w:rsidRPr="007A1CAE">
        <w:rPr>
          <w:rFonts w:ascii="Times New Roman" w:hAnsi="Times New Roman"/>
          <w:sz w:val="22"/>
          <w:szCs w:val="22"/>
        </w:rPr>
        <w:t>;</w:t>
      </w:r>
    </w:p>
    <w:p w14:paraId="790C241A" w14:textId="77777777" w:rsidR="00F6712C" w:rsidRDefault="00C65834" w:rsidP="005761B8">
      <w:pPr>
        <w:pStyle w:val="Zarkazkladnhotextu"/>
        <w:tabs>
          <w:tab w:val="num" w:pos="0"/>
        </w:tabs>
        <w:ind w:left="0"/>
        <w:rPr>
          <w:rFonts w:ascii="Times New Roman" w:hAnsi="Times New Roman"/>
          <w:iCs/>
          <w:sz w:val="22"/>
          <w:szCs w:val="22"/>
        </w:rPr>
      </w:pPr>
      <w:r w:rsidRPr="007A1CAE">
        <w:rPr>
          <w:rFonts w:ascii="Times New Roman" w:hAnsi="Times New Roman"/>
          <w:iCs/>
          <w:sz w:val="22"/>
          <w:szCs w:val="22"/>
        </w:rPr>
        <w:lastRenderedPageBreak/>
        <w:t xml:space="preserve">Pri </w:t>
      </w:r>
      <w:proofErr w:type="spellStart"/>
      <w:r w:rsidR="00F6712C" w:rsidRPr="007A1CAE">
        <w:rPr>
          <w:rFonts w:ascii="Times New Roman" w:hAnsi="Times New Roman"/>
          <w:iCs/>
          <w:sz w:val="22"/>
          <w:szCs w:val="22"/>
        </w:rPr>
        <w:t>eutyreoidnej</w:t>
      </w:r>
      <w:proofErr w:type="spellEnd"/>
      <w:r w:rsidR="00F6712C" w:rsidRPr="007A1CAE">
        <w:rPr>
          <w:rFonts w:ascii="Times New Roman" w:hAnsi="Times New Roman"/>
          <w:iCs/>
          <w:sz w:val="22"/>
          <w:szCs w:val="22"/>
        </w:rPr>
        <w:t xml:space="preserve"> strum</w:t>
      </w:r>
      <w:r w:rsidRPr="007A1CAE">
        <w:rPr>
          <w:rFonts w:ascii="Times New Roman" w:hAnsi="Times New Roman"/>
          <w:iCs/>
          <w:sz w:val="22"/>
          <w:szCs w:val="22"/>
        </w:rPr>
        <w:t>e</w:t>
      </w:r>
      <w:r w:rsidR="00F6712C" w:rsidRPr="007A1CAE">
        <w:rPr>
          <w:rFonts w:ascii="Times New Roman" w:hAnsi="Times New Roman"/>
          <w:iCs/>
          <w:sz w:val="22"/>
          <w:szCs w:val="22"/>
        </w:rPr>
        <w:t xml:space="preserve"> 6 mesiacov až dva roky.</w:t>
      </w:r>
    </w:p>
    <w:p w14:paraId="61D1EF28" w14:textId="77777777" w:rsidR="00836511" w:rsidRPr="007A1CAE" w:rsidRDefault="00836511" w:rsidP="005761B8">
      <w:pPr>
        <w:pStyle w:val="Zarkazkladnhotextu"/>
        <w:tabs>
          <w:tab w:val="num" w:pos="0"/>
        </w:tabs>
        <w:ind w:left="0"/>
        <w:rPr>
          <w:rFonts w:ascii="Times New Roman" w:hAnsi="Times New Roman"/>
          <w:iCs/>
          <w:sz w:val="22"/>
          <w:szCs w:val="22"/>
        </w:rPr>
      </w:pPr>
    </w:p>
    <w:p w14:paraId="4DD0B928" w14:textId="0EDDD3EF" w:rsidR="008018B0" w:rsidRPr="007A1CAE" w:rsidRDefault="008018B0" w:rsidP="005761B8">
      <w:pPr>
        <w:pStyle w:val="Zarkazkladnhotextu"/>
        <w:tabs>
          <w:tab w:val="num" w:pos="0"/>
        </w:tabs>
        <w:ind w:left="0"/>
        <w:rPr>
          <w:rFonts w:ascii="Times New Roman" w:hAnsi="Times New Roman"/>
          <w:iCs/>
          <w:sz w:val="22"/>
          <w:szCs w:val="22"/>
        </w:rPr>
      </w:pPr>
      <w:r w:rsidRPr="007A1CAE">
        <w:rPr>
          <w:rFonts w:ascii="Times New Roman" w:hAnsi="Times New Roman"/>
          <w:iCs/>
          <w:sz w:val="22"/>
          <w:szCs w:val="22"/>
        </w:rPr>
        <w:t xml:space="preserve">V prípade, že terapia </w:t>
      </w:r>
      <w:proofErr w:type="spellStart"/>
      <w:r w:rsidR="00A935FD" w:rsidRPr="007A1CAE">
        <w:rPr>
          <w:rFonts w:ascii="Times New Roman" w:hAnsi="Times New Roman"/>
          <w:iCs/>
          <w:sz w:val="22"/>
          <w:szCs w:val="22"/>
        </w:rPr>
        <w:t>L</w:t>
      </w:r>
      <w:r w:rsidR="000E7EA9" w:rsidRPr="007A1CAE">
        <w:rPr>
          <w:rFonts w:ascii="Times New Roman" w:hAnsi="Times New Roman"/>
          <w:iCs/>
          <w:sz w:val="22"/>
          <w:szCs w:val="22"/>
        </w:rPr>
        <w:t>-Thyroxinom</w:t>
      </w:r>
      <w:proofErr w:type="spellEnd"/>
      <w:r w:rsidR="000E7EA9" w:rsidRPr="007A1CAE">
        <w:rPr>
          <w:rFonts w:ascii="Times New Roman" w:hAnsi="Times New Roman"/>
          <w:iCs/>
          <w:sz w:val="22"/>
          <w:szCs w:val="22"/>
        </w:rPr>
        <w:t xml:space="preserve"> 125 </w:t>
      </w:r>
      <w:proofErr w:type="spellStart"/>
      <w:r w:rsidR="000E7EA9" w:rsidRPr="007A1CAE">
        <w:rPr>
          <w:rFonts w:ascii="Times New Roman" w:hAnsi="Times New Roman"/>
          <w:iCs/>
          <w:sz w:val="22"/>
          <w:szCs w:val="22"/>
        </w:rPr>
        <w:t>Berlin-Chemie</w:t>
      </w:r>
      <w:proofErr w:type="spellEnd"/>
      <w:r w:rsidR="006F1AA3" w:rsidRPr="007A1CAE">
        <w:rPr>
          <w:rFonts w:ascii="Times New Roman" w:hAnsi="Times New Roman"/>
          <w:iCs/>
          <w:sz w:val="22"/>
          <w:szCs w:val="22"/>
        </w:rPr>
        <w:t xml:space="preserve"> nebola v uvedených časových obdobiach </w:t>
      </w:r>
      <w:r w:rsidRPr="007A1CAE">
        <w:rPr>
          <w:rFonts w:ascii="Times New Roman" w:hAnsi="Times New Roman"/>
          <w:iCs/>
          <w:sz w:val="22"/>
          <w:szCs w:val="22"/>
        </w:rPr>
        <w:t xml:space="preserve">efektívna, je potrebné uvažovať o iných terapeutických </w:t>
      </w:r>
      <w:r w:rsidR="00390B66" w:rsidRPr="007A1CAE">
        <w:rPr>
          <w:rFonts w:ascii="Times New Roman" w:hAnsi="Times New Roman"/>
          <w:iCs/>
          <w:sz w:val="22"/>
          <w:szCs w:val="22"/>
        </w:rPr>
        <w:t>postupoch</w:t>
      </w:r>
      <w:r w:rsidRPr="007A1CAE">
        <w:rPr>
          <w:rFonts w:ascii="Times New Roman" w:hAnsi="Times New Roman"/>
          <w:iCs/>
          <w:sz w:val="22"/>
          <w:szCs w:val="22"/>
        </w:rPr>
        <w:t>.</w:t>
      </w:r>
    </w:p>
    <w:p w14:paraId="5B5C1563" w14:textId="77777777" w:rsidR="00FB1CC9" w:rsidRPr="007A1CAE" w:rsidRDefault="00FB1CC9" w:rsidP="005761B8">
      <w:pPr>
        <w:tabs>
          <w:tab w:val="num" w:pos="0"/>
        </w:tabs>
        <w:jc w:val="both"/>
        <w:rPr>
          <w:rFonts w:ascii="Times New Roman" w:hAnsi="Times New Roman"/>
          <w:sz w:val="22"/>
          <w:szCs w:val="22"/>
        </w:rPr>
      </w:pPr>
    </w:p>
    <w:p w14:paraId="76AD5958" w14:textId="77777777" w:rsidR="008018B0" w:rsidRPr="007A1CAE" w:rsidRDefault="00836511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4.</w:t>
      </w:r>
      <w:r w:rsidR="008018B0" w:rsidRPr="007A1CAE">
        <w:rPr>
          <w:rFonts w:ascii="Times New Roman" w:hAnsi="Times New Roman"/>
          <w:b/>
          <w:sz w:val="22"/>
          <w:szCs w:val="22"/>
        </w:rPr>
        <w:t>3 Kontraindikácie</w:t>
      </w:r>
    </w:p>
    <w:p w14:paraId="734971C3" w14:textId="77777777" w:rsidR="008018B0" w:rsidRPr="007A1CAE" w:rsidRDefault="008018B0" w:rsidP="002F028B">
      <w:pPr>
        <w:jc w:val="both"/>
        <w:rPr>
          <w:rFonts w:ascii="Times New Roman" w:hAnsi="Times New Roman"/>
          <w:sz w:val="22"/>
          <w:szCs w:val="22"/>
        </w:rPr>
      </w:pPr>
    </w:p>
    <w:p w14:paraId="639E3C26" w14:textId="2A66C7B2" w:rsidR="008018B0" w:rsidRPr="00FE21BF" w:rsidRDefault="007218CD" w:rsidP="00FE21BF">
      <w:pPr>
        <w:pStyle w:val="Odsekzoznamu"/>
        <w:numPr>
          <w:ilvl w:val="0"/>
          <w:numId w:val="27"/>
        </w:numPr>
        <w:tabs>
          <w:tab w:val="left" w:pos="284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  <w:r w:rsidRPr="00FE21BF">
        <w:rPr>
          <w:rFonts w:ascii="Times New Roman" w:hAnsi="Times New Roman"/>
          <w:sz w:val="22"/>
          <w:szCs w:val="22"/>
        </w:rPr>
        <w:t>Precitlivenosť</w:t>
      </w:r>
      <w:r w:rsidR="008018B0" w:rsidRPr="00FE21BF">
        <w:rPr>
          <w:rFonts w:ascii="Times New Roman" w:hAnsi="Times New Roman"/>
          <w:sz w:val="22"/>
          <w:szCs w:val="22"/>
        </w:rPr>
        <w:t xml:space="preserve"> na liečivo alebo</w:t>
      </w:r>
      <w:r w:rsidR="00836511" w:rsidRPr="00FE21BF">
        <w:rPr>
          <w:rFonts w:ascii="Times New Roman" w:hAnsi="Times New Roman"/>
          <w:sz w:val="22"/>
          <w:szCs w:val="22"/>
        </w:rPr>
        <w:t xml:space="preserve"> na ktorúkoľvek </w:t>
      </w:r>
      <w:r w:rsidR="008018B0" w:rsidRPr="00FE21BF">
        <w:rPr>
          <w:rFonts w:ascii="Times New Roman" w:hAnsi="Times New Roman"/>
          <w:sz w:val="22"/>
          <w:szCs w:val="22"/>
        </w:rPr>
        <w:t xml:space="preserve"> z pomocných látok</w:t>
      </w:r>
      <w:r w:rsidR="006A7DAF" w:rsidRPr="00FE21BF">
        <w:rPr>
          <w:rFonts w:ascii="Times New Roman" w:hAnsi="Times New Roman"/>
          <w:sz w:val="22"/>
          <w:szCs w:val="22"/>
        </w:rPr>
        <w:t xml:space="preserve"> uvedených v časti 6.1.</w:t>
      </w:r>
    </w:p>
    <w:p w14:paraId="487676D0" w14:textId="15D770C4" w:rsidR="008018B0" w:rsidRPr="00FE21BF" w:rsidRDefault="008018B0" w:rsidP="00FE21BF">
      <w:pPr>
        <w:pStyle w:val="Odsekzoznamu"/>
        <w:numPr>
          <w:ilvl w:val="0"/>
          <w:numId w:val="28"/>
        </w:numPr>
        <w:tabs>
          <w:tab w:val="left" w:pos="284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  <w:r w:rsidRPr="00FE21BF">
        <w:rPr>
          <w:rFonts w:ascii="Times New Roman" w:hAnsi="Times New Roman"/>
          <w:sz w:val="22"/>
          <w:szCs w:val="22"/>
        </w:rPr>
        <w:t xml:space="preserve">Neliečená </w:t>
      </w:r>
      <w:proofErr w:type="spellStart"/>
      <w:r w:rsidRPr="00FE21BF">
        <w:rPr>
          <w:rFonts w:ascii="Times New Roman" w:hAnsi="Times New Roman"/>
          <w:sz w:val="22"/>
          <w:szCs w:val="22"/>
        </w:rPr>
        <w:t>hypertyreóza</w:t>
      </w:r>
      <w:proofErr w:type="spellEnd"/>
      <w:r w:rsidRPr="00FE21BF">
        <w:rPr>
          <w:rFonts w:ascii="Times New Roman" w:hAnsi="Times New Roman"/>
          <w:sz w:val="22"/>
          <w:szCs w:val="22"/>
        </w:rPr>
        <w:t xml:space="preserve"> akéhokoľvek pôvodu.</w:t>
      </w:r>
    </w:p>
    <w:p w14:paraId="03B8F0D1" w14:textId="77777777" w:rsidR="008018B0" w:rsidRPr="00FE21BF" w:rsidRDefault="008018B0" w:rsidP="00FE21BF">
      <w:pPr>
        <w:pStyle w:val="Odsekzoznamu"/>
        <w:numPr>
          <w:ilvl w:val="0"/>
          <w:numId w:val="28"/>
        </w:numPr>
        <w:tabs>
          <w:tab w:val="left" w:pos="284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  <w:r w:rsidRPr="00FE21BF">
        <w:rPr>
          <w:rFonts w:ascii="Times New Roman" w:hAnsi="Times New Roman"/>
          <w:sz w:val="22"/>
          <w:szCs w:val="22"/>
        </w:rPr>
        <w:t xml:space="preserve">Neliečená </w:t>
      </w:r>
      <w:proofErr w:type="spellStart"/>
      <w:r w:rsidRPr="00FE21BF">
        <w:rPr>
          <w:rFonts w:ascii="Times New Roman" w:hAnsi="Times New Roman"/>
          <w:sz w:val="22"/>
          <w:szCs w:val="22"/>
        </w:rPr>
        <w:t>adrenálna</w:t>
      </w:r>
      <w:proofErr w:type="spellEnd"/>
      <w:r w:rsidRPr="00FE21B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E21BF">
        <w:rPr>
          <w:rFonts w:ascii="Times New Roman" w:hAnsi="Times New Roman"/>
          <w:sz w:val="22"/>
          <w:szCs w:val="22"/>
        </w:rPr>
        <w:t>insuficiencia</w:t>
      </w:r>
      <w:proofErr w:type="spellEnd"/>
      <w:r w:rsidRPr="00FE21BF">
        <w:rPr>
          <w:rFonts w:ascii="Times New Roman" w:hAnsi="Times New Roman"/>
          <w:sz w:val="22"/>
          <w:szCs w:val="22"/>
        </w:rPr>
        <w:t>.</w:t>
      </w:r>
    </w:p>
    <w:p w14:paraId="68FB40F0" w14:textId="0D253BF1" w:rsidR="008018B0" w:rsidRPr="00FE21BF" w:rsidRDefault="008018B0" w:rsidP="00FE21BF">
      <w:pPr>
        <w:numPr>
          <w:ilvl w:val="0"/>
          <w:numId w:val="28"/>
        </w:numPr>
        <w:tabs>
          <w:tab w:val="left" w:pos="284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  <w:r w:rsidRPr="00FE21BF">
        <w:rPr>
          <w:rFonts w:ascii="Times New Roman" w:hAnsi="Times New Roman"/>
          <w:sz w:val="22"/>
          <w:szCs w:val="22"/>
        </w:rPr>
        <w:t xml:space="preserve">Neliečená </w:t>
      </w:r>
      <w:proofErr w:type="spellStart"/>
      <w:r w:rsidRPr="00FE21BF">
        <w:rPr>
          <w:rFonts w:ascii="Times New Roman" w:hAnsi="Times New Roman"/>
          <w:sz w:val="22"/>
          <w:szCs w:val="22"/>
        </w:rPr>
        <w:t>insuficiencia</w:t>
      </w:r>
      <w:proofErr w:type="spellEnd"/>
      <w:r w:rsidRPr="00FE21BF">
        <w:rPr>
          <w:rFonts w:ascii="Times New Roman" w:hAnsi="Times New Roman"/>
          <w:sz w:val="22"/>
          <w:szCs w:val="22"/>
        </w:rPr>
        <w:t xml:space="preserve"> hypofýzy</w:t>
      </w:r>
      <w:r w:rsidR="00FE21BF">
        <w:rPr>
          <w:rFonts w:ascii="Times New Roman" w:hAnsi="Times New Roman"/>
          <w:sz w:val="22"/>
          <w:szCs w:val="22"/>
        </w:rPr>
        <w:t>.</w:t>
      </w:r>
      <w:r w:rsidR="0033452C" w:rsidRPr="0033452C">
        <w:rPr>
          <w:rFonts w:ascii="Times New Roman" w:hAnsi="Times New Roman"/>
          <w:sz w:val="22"/>
          <w:szCs w:val="22"/>
        </w:rPr>
        <w:t xml:space="preserve"> </w:t>
      </w:r>
    </w:p>
    <w:p w14:paraId="09F72E2D" w14:textId="050DD869" w:rsidR="008018B0" w:rsidRPr="00FE21BF" w:rsidRDefault="008018B0" w:rsidP="00FE21BF">
      <w:pPr>
        <w:pStyle w:val="Odsekzoznamu"/>
        <w:numPr>
          <w:ilvl w:val="0"/>
          <w:numId w:val="28"/>
        </w:numPr>
        <w:tabs>
          <w:tab w:val="left" w:pos="284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  <w:r w:rsidRPr="00FE21BF">
        <w:rPr>
          <w:rFonts w:ascii="Times New Roman" w:hAnsi="Times New Roman"/>
          <w:sz w:val="22"/>
          <w:szCs w:val="22"/>
        </w:rPr>
        <w:t>Akútny infarkt myokardu.</w:t>
      </w:r>
    </w:p>
    <w:p w14:paraId="6AB338E8" w14:textId="77777777" w:rsidR="008018B0" w:rsidRPr="00FE21BF" w:rsidRDefault="008018B0" w:rsidP="00FE21BF">
      <w:pPr>
        <w:pStyle w:val="Odsekzoznamu"/>
        <w:numPr>
          <w:ilvl w:val="0"/>
          <w:numId w:val="28"/>
        </w:numPr>
        <w:tabs>
          <w:tab w:val="left" w:pos="284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  <w:r w:rsidRPr="00FE21BF">
        <w:rPr>
          <w:rFonts w:ascii="Times New Roman" w:hAnsi="Times New Roman"/>
          <w:sz w:val="22"/>
          <w:szCs w:val="22"/>
        </w:rPr>
        <w:t xml:space="preserve">Akútna </w:t>
      </w:r>
      <w:proofErr w:type="spellStart"/>
      <w:r w:rsidRPr="00FE21BF">
        <w:rPr>
          <w:rFonts w:ascii="Times New Roman" w:hAnsi="Times New Roman"/>
          <w:sz w:val="22"/>
          <w:szCs w:val="22"/>
        </w:rPr>
        <w:t>myokarditída</w:t>
      </w:r>
      <w:proofErr w:type="spellEnd"/>
      <w:r w:rsidRPr="00FE21BF">
        <w:rPr>
          <w:rFonts w:ascii="Times New Roman" w:hAnsi="Times New Roman"/>
          <w:sz w:val="22"/>
          <w:szCs w:val="22"/>
        </w:rPr>
        <w:t>.</w:t>
      </w:r>
    </w:p>
    <w:p w14:paraId="789AFDD6" w14:textId="77777777" w:rsidR="008018B0" w:rsidRPr="00FE21BF" w:rsidRDefault="008018B0" w:rsidP="00FE21BF">
      <w:pPr>
        <w:pStyle w:val="Odsekzoznamu"/>
        <w:numPr>
          <w:ilvl w:val="0"/>
          <w:numId w:val="28"/>
        </w:numPr>
        <w:tabs>
          <w:tab w:val="left" w:pos="284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  <w:r w:rsidRPr="00FE21BF">
        <w:rPr>
          <w:rFonts w:ascii="Times New Roman" w:hAnsi="Times New Roman"/>
          <w:sz w:val="22"/>
          <w:szCs w:val="22"/>
        </w:rPr>
        <w:t xml:space="preserve">Akútna </w:t>
      </w:r>
      <w:proofErr w:type="spellStart"/>
      <w:r w:rsidRPr="00FE21BF">
        <w:rPr>
          <w:rFonts w:ascii="Times New Roman" w:hAnsi="Times New Roman"/>
          <w:sz w:val="22"/>
          <w:szCs w:val="22"/>
        </w:rPr>
        <w:t>pankarditída</w:t>
      </w:r>
      <w:proofErr w:type="spellEnd"/>
      <w:r w:rsidRPr="00FE21BF">
        <w:rPr>
          <w:rFonts w:ascii="Times New Roman" w:hAnsi="Times New Roman"/>
          <w:sz w:val="22"/>
          <w:szCs w:val="22"/>
        </w:rPr>
        <w:t>.</w:t>
      </w:r>
    </w:p>
    <w:p w14:paraId="6D08E79C" w14:textId="77777777" w:rsidR="00836511" w:rsidRPr="007A1CAE" w:rsidRDefault="00836511" w:rsidP="00836511">
      <w:pPr>
        <w:tabs>
          <w:tab w:val="left" w:pos="644"/>
        </w:tabs>
        <w:jc w:val="both"/>
        <w:rPr>
          <w:rFonts w:ascii="Times New Roman" w:hAnsi="Times New Roman"/>
          <w:sz w:val="22"/>
          <w:szCs w:val="22"/>
        </w:rPr>
      </w:pPr>
    </w:p>
    <w:p w14:paraId="09AA4908" w14:textId="0EF61A14" w:rsidR="008018B0" w:rsidRPr="007A1CAE" w:rsidRDefault="00365A6F" w:rsidP="00836511">
      <w:pPr>
        <w:tabs>
          <w:tab w:val="left" w:pos="644"/>
        </w:tabs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>Sú</w:t>
      </w:r>
      <w:r w:rsidR="00A3361B">
        <w:rPr>
          <w:rFonts w:ascii="Times New Roman" w:hAnsi="Times New Roman"/>
          <w:sz w:val="22"/>
          <w:szCs w:val="22"/>
        </w:rPr>
        <w:t>bežná</w:t>
      </w:r>
      <w:r w:rsidRPr="007A1CAE">
        <w:rPr>
          <w:rFonts w:ascii="Times New Roman" w:hAnsi="Times New Roman"/>
          <w:sz w:val="22"/>
          <w:szCs w:val="22"/>
        </w:rPr>
        <w:t xml:space="preserve"> a</w:t>
      </w:r>
      <w:r w:rsidR="008018B0" w:rsidRPr="007A1CAE">
        <w:rPr>
          <w:rFonts w:ascii="Times New Roman" w:hAnsi="Times New Roman"/>
          <w:sz w:val="22"/>
          <w:szCs w:val="22"/>
        </w:rPr>
        <w:t xml:space="preserve">plikácia 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levotyroxínu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tyreostatických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 xml:space="preserve"> liekov</w:t>
      </w:r>
      <w:r w:rsidR="00B438BF" w:rsidRPr="007A1CAE">
        <w:rPr>
          <w:rFonts w:ascii="Times New Roman" w:hAnsi="Times New Roman"/>
          <w:sz w:val="22"/>
          <w:szCs w:val="22"/>
        </w:rPr>
        <w:t xml:space="preserve"> je kontraindikovaná </w:t>
      </w:r>
      <w:r w:rsidR="000353F8">
        <w:rPr>
          <w:rFonts w:ascii="Times New Roman" w:hAnsi="Times New Roman"/>
          <w:sz w:val="22"/>
          <w:szCs w:val="22"/>
        </w:rPr>
        <w:t>v</w:t>
      </w:r>
      <w:r w:rsidR="00CF429B">
        <w:rPr>
          <w:rFonts w:ascii="Times New Roman" w:hAnsi="Times New Roman"/>
          <w:sz w:val="22"/>
          <w:szCs w:val="22"/>
        </w:rPr>
        <w:t> </w:t>
      </w:r>
      <w:r w:rsidR="000353F8">
        <w:rPr>
          <w:rFonts w:ascii="Times New Roman" w:hAnsi="Times New Roman"/>
          <w:sz w:val="22"/>
          <w:szCs w:val="22"/>
        </w:rPr>
        <w:t>gravidite</w:t>
      </w:r>
      <w:r w:rsidR="00CF429B">
        <w:rPr>
          <w:rFonts w:ascii="Times New Roman" w:hAnsi="Times New Roman"/>
          <w:sz w:val="22"/>
          <w:szCs w:val="22"/>
        </w:rPr>
        <w:t xml:space="preserve"> (pozri časť 4.6)</w:t>
      </w:r>
      <w:r w:rsidR="000353F8">
        <w:rPr>
          <w:rFonts w:ascii="Times New Roman" w:hAnsi="Times New Roman"/>
          <w:sz w:val="22"/>
          <w:szCs w:val="22"/>
        </w:rPr>
        <w:t>.</w:t>
      </w:r>
    </w:p>
    <w:p w14:paraId="64C06709" w14:textId="77777777" w:rsidR="005929DE" w:rsidRPr="007A1CAE" w:rsidRDefault="005929DE">
      <w:pPr>
        <w:tabs>
          <w:tab w:val="left" w:pos="644"/>
        </w:tabs>
        <w:jc w:val="both"/>
        <w:rPr>
          <w:rFonts w:ascii="Times New Roman" w:hAnsi="Times New Roman"/>
          <w:sz w:val="22"/>
          <w:szCs w:val="22"/>
        </w:rPr>
      </w:pPr>
    </w:p>
    <w:p w14:paraId="443DA7C6" w14:textId="77777777" w:rsidR="008018B0" w:rsidRPr="007A1CAE" w:rsidRDefault="00836511" w:rsidP="00C65834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4.</w:t>
      </w:r>
      <w:r w:rsidR="00C65834" w:rsidRPr="007A1CAE">
        <w:rPr>
          <w:rFonts w:ascii="Times New Roman" w:hAnsi="Times New Roman"/>
          <w:b/>
          <w:sz w:val="22"/>
          <w:szCs w:val="22"/>
        </w:rPr>
        <w:t xml:space="preserve">4 </w:t>
      </w:r>
      <w:r w:rsidR="005648EE" w:rsidRPr="007A1CAE">
        <w:rPr>
          <w:rFonts w:ascii="Times New Roman" w:hAnsi="Times New Roman"/>
          <w:b/>
          <w:sz w:val="22"/>
          <w:szCs w:val="22"/>
        </w:rPr>
        <w:t>Osobit</w:t>
      </w:r>
      <w:r w:rsidR="007A1CAE">
        <w:rPr>
          <w:rFonts w:ascii="Times New Roman" w:hAnsi="Times New Roman"/>
          <w:b/>
          <w:sz w:val="22"/>
          <w:szCs w:val="22"/>
        </w:rPr>
        <w:t>n</w:t>
      </w:r>
      <w:r w:rsidR="005648EE" w:rsidRPr="007A1CAE">
        <w:rPr>
          <w:rFonts w:ascii="Times New Roman" w:hAnsi="Times New Roman"/>
          <w:b/>
          <w:sz w:val="22"/>
          <w:szCs w:val="22"/>
        </w:rPr>
        <w:t>é</w:t>
      </w:r>
      <w:r w:rsidR="008018B0" w:rsidRPr="007A1CAE">
        <w:rPr>
          <w:rFonts w:ascii="Times New Roman" w:hAnsi="Times New Roman"/>
          <w:b/>
          <w:sz w:val="22"/>
          <w:szCs w:val="22"/>
        </w:rPr>
        <w:t xml:space="preserve"> upozornenia</w:t>
      </w:r>
      <w:r w:rsidR="005648EE" w:rsidRPr="007A1CAE">
        <w:rPr>
          <w:rFonts w:ascii="Times New Roman" w:hAnsi="Times New Roman"/>
          <w:b/>
          <w:sz w:val="22"/>
          <w:szCs w:val="22"/>
        </w:rPr>
        <w:t xml:space="preserve"> a opatrenia pri používaní</w:t>
      </w:r>
      <w:r w:rsidR="008018B0" w:rsidRPr="007A1CAE">
        <w:rPr>
          <w:rFonts w:ascii="Times New Roman" w:hAnsi="Times New Roman"/>
          <w:b/>
          <w:sz w:val="22"/>
          <w:szCs w:val="22"/>
        </w:rPr>
        <w:t xml:space="preserve"> </w:t>
      </w:r>
    </w:p>
    <w:p w14:paraId="0C5A392A" w14:textId="77777777" w:rsidR="008018B0" w:rsidRPr="007A1CAE" w:rsidRDefault="008018B0">
      <w:pPr>
        <w:jc w:val="both"/>
        <w:rPr>
          <w:rFonts w:ascii="Times New Roman" w:hAnsi="Times New Roman"/>
          <w:sz w:val="22"/>
          <w:szCs w:val="22"/>
        </w:rPr>
      </w:pPr>
    </w:p>
    <w:p w14:paraId="7C4FB8C0" w14:textId="77777777" w:rsidR="008018B0" w:rsidRDefault="008018B0" w:rsidP="00836511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>Pred začatím hormonálnej liečby majú byť vylúčené alebo liečené nasledovné ochorenia</w:t>
      </w:r>
      <w:r w:rsidR="009B67AB" w:rsidRPr="007A1CAE">
        <w:rPr>
          <w:rFonts w:ascii="Times New Roman" w:hAnsi="Times New Roman"/>
          <w:sz w:val="22"/>
          <w:szCs w:val="22"/>
        </w:rPr>
        <w:t xml:space="preserve"> alebo stavy</w:t>
      </w:r>
      <w:r w:rsidRPr="007A1CAE">
        <w:rPr>
          <w:rFonts w:ascii="Times New Roman" w:hAnsi="Times New Roman"/>
          <w:sz w:val="22"/>
          <w:szCs w:val="22"/>
        </w:rPr>
        <w:t>:</w:t>
      </w:r>
    </w:p>
    <w:p w14:paraId="196F9C4E" w14:textId="77777777" w:rsidR="004E2AEE" w:rsidRPr="007A1CAE" w:rsidRDefault="004E2AEE" w:rsidP="00836511">
      <w:pPr>
        <w:jc w:val="both"/>
        <w:rPr>
          <w:rFonts w:ascii="Times New Roman" w:hAnsi="Times New Roman"/>
          <w:sz w:val="22"/>
          <w:szCs w:val="22"/>
        </w:rPr>
      </w:pPr>
    </w:p>
    <w:p w14:paraId="69CC2E3B" w14:textId="77777777" w:rsidR="008018B0" w:rsidRPr="007A1CAE" w:rsidRDefault="007218CD" w:rsidP="002F028B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>-</w:t>
      </w:r>
      <w:r w:rsidR="004E2AEE">
        <w:rPr>
          <w:rFonts w:ascii="Times New Roman" w:hAnsi="Times New Roman"/>
          <w:sz w:val="22"/>
          <w:szCs w:val="22"/>
        </w:rPr>
        <w:tab/>
      </w:r>
      <w:r w:rsidR="008018B0" w:rsidRPr="007A1CAE">
        <w:rPr>
          <w:rFonts w:ascii="Times New Roman" w:hAnsi="Times New Roman"/>
          <w:sz w:val="22"/>
          <w:szCs w:val="22"/>
        </w:rPr>
        <w:t xml:space="preserve">koronárne srdcové ochorenia, </w:t>
      </w:r>
    </w:p>
    <w:p w14:paraId="59167BBA" w14:textId="77777777" w:rsidR="008018B0" w:rsidRPr="007A1CAE" w:rsidRDefault="004E2AEE" w:rsidP="004E2AEE">
      <w:pPr>
        <w:tabs>
          <w:tab w:val="left" w:pos="284"/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ab/>
      </w:r>
      <w:r w:rsidR="008018B0" w:rsidRPr="007A1CAE">
        <w:rPr>
          <w:rFonts w:ascii="Times New Roman" w:hAnsi="Times New Roman"/>
          <w:sz w:val="22"/>
          <w:szCs w:val="22"/>
        </w:rPr>
        <w:t>ang</w:t>
      </w:r>
      <w:r w:rsidR="009B0B2A">
        <w:rPr>
          <w:rFonts w:ascii="Times New Roman" w:hAnsi="Times New Roman"/>
          <w:sz w:val="22"/>
          <w:szCs w:val="22"/>
        </w:rPr>
        <w:t>í</w:t>
      </w:r>
      <w:r w:rsidR="008018B0" w:rsidRPr="007A1CAE">
        <w:rPr>
          <w:rFonts w:ascii="Times New Roman" w:hAnsi="Times New Roman"/>
          <w:sz w:val="22"/>
          <w:szCs w:val="22"/>
        </w:rPr>
        <w:t xml:space="preserve">na 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pe</w:t>
      </w:r>
      <w:r w:rsidR="005F6371" w:rsidRPr="007A1CAE">
        <w:rPr>
          <w:rFonts w:ascii="Times New Roman" w:hAnsi="Times New Roman"/>
          <w:sz w:val="22"/>
          <w:szCs w:val="22"/>
        </w:rPr>
        <w:t>k</w:t>
      </w:r>
      <w:r w:rsidR="008018B0" w:rsidRPr="007A1CAE">
        <w:rPr>
          <w:rFonts w:ascii="Times New Roman" w:hAnsi="Times New Roman"/>
          <w:sz w:val="22"/>
          <w:szCs w:val="22"/>
        </w:rPr>
        <w:t>toris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>,</w:t>
      </w:r>
    </w:p>
    <w:p w14:paraId="4E9576CC" w14:textId="77777777" w:rsidR="008018B0" w:rsidRPr="007A1CAE" w:rsidRDefault="004E2AEE" w:rsidP="004E2AEE">
      <w:pPr>
        <w:tabs>
          <w:tab w:val="left" w:pos="284"/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ab/>
      </w:r>
      <w:r w:rsidR="008018B0" w:rsidRPr="007A1CAE">
        <w:rPr>
          <w:rFonts w:ascii="Times New Roman" w:hAnsi="Times New Roman"/>
          <w:sz w:val="22"/>
          <w:szCs w:val="22"/>
        </w:rPr>
        <w:t>hypertenzia,</w:t>
      </w:r>
    </w:p>
    <w:p w14:paraId="56FB3CFC" w14:textId="77777777" w:rsidR="008018B0" w:rsidRPr="007A1CAE" w:rsidRDefault="004E2AEE" w:rsidP="004E2AEE">
      <w:pPr>
        <w:tabs>
          <w:tab w:val="left" w:pos="284"/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ab/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hypofyzárna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 xml:space="preserve"> a</w:t>
      </w:r>
      <w:r w:rsidR="00F6712C" w:rsidRPr="007A1CAE">
        <w:rPr>
          <w:rFonts w:ascii="Times New Roman" w:hAnsi="Times New Roman"/>
          <w:sz w:val="22"/>
          <w:szCs w:val="22"/>
        </w:rPr>
        <w:t>/alebo</w:t>
      </w:r>
      <w:r w:rsidR="008018B0"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adrenálna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insuficiencia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 xml:space="preserve">, </w:t>
      </w:r>
    </w:p>
    <w:p w14:paraId="7F5F7752" w14:textId="77777777" w:rsidR="008018B0" w:rsidRPr="007A1CAE" w:rsidRDefault="004E2AEE" w:rsidP="004E2AEE">
      <w:pPr>
        <w:tabs>
          <w:tab w:val="left" w:pos="284"/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ab/>
      </w:r>
      <w:r w:rsidR="008018B0" w:rsidRPr="007A1CAE">
        <w:rPr>
          <w:rFonts w:ascii="Times New Roman" w:hAnsi="Times New Roman"/>
          <w:sz w:val="22"/>
          <w:szCs w:val="22"/>
        </w:rPr>
        <w:t>autonómia štítnej žľazy.</w:t>
      </w:r>
    </w:p>
    <w:p w14:paraId="0C717496" w14:textId="77777777" w:rsidR="00B44334" w:rsidRDefault="00B44334" w:rsidP="00836511">
      <w:pPr>
        <w:jc w:val="both"/>
        <w:rPr>
          <w:rFonts w:ascii="Times New Roman" w:hAnsi="Times New Roman"/>
          <w:sz w:val="22"/>
          <w:szCs w:val="22"/>
        </w:rPr>
      </w:pPr>
    </w:p>
    <w:p w14:paraId="68C3275B" w14:textId="557867D8" w:rsidR="00936391" w:rsidRDefault="00936391" w:rsidP="00836511">
      <w:pPr>
        <w:jc w:val="both"/>
        <w:rPr>
          <w:rFonts w:ascii="Times New Roman" w:hAnsi="Times New Roman"/>
          <w:sz w:val="22"/>
          <w:szCs w:val="22"/>
        </w:rPr>
      </w:pPr>
      <w:r w:rsidRPr="00C03D67">
        <w:rPr>
          <w:rFonts w:ascii="Times New Roman" w:hAnsi="Times New Roman"/>
          <w:sz w:val="22"/>
          <w:szCs w:val="22"/>
        </w:rPr>
        <w:t xml:space="preserve">Tieto ochorenia alebo </w:t>
      </w:r>
      <w:r>
        <w:rPr>
          <w:rFonts w:ascii="Times New Roman" w:hAnsi="Times New Roman"/>
          <w:sz w:val="22"/>
          <w:szCs w:val="22"/>
        </w:rPr>
        <w:t>stavy musia byť vylúčené alebo</w:t>
      </w:r>
      <w:r w:rsidRPr="00C03D67">
        <w:rPr>
          <w:rFonts w:ascii="Times New Roman" w:hAnsi="Times New Roman"/>
          <w:sz w:val="22"/>
          <w:szCs w:val="22"/>
        </w:rPr>
        <w:t xml:space="preserve"> liečené aj pred </w:t>
      </w:r>
      <w:proofErr w:type="spellStart"/>
      <w:r w:rsidRPr="00C03D67">
        <w:rPr>
          <w:rFonts w:ascii="Times New Roman" w:hAnsi="Times New Roman"/>
          <w:sz w:val="22"/>
          <w:szCs w:val="22"/>
        </w:rPr>
        <w:t>supresn</w:t>
      </w:r>
      <w:r w:rsidR="00BB5392">
        <w:rPr>
          <w:rFonts w:ascii="Times New Roman" w:hAnsi="Times New Roman"/>
          <w:sz w:val="22"/>
          <w:szCs w:val="22"/>
        </w:rPr>
        <w:t>ý</w:t>
      </w:r>
      <w:r w:rsidRPr="00C03D67">
        <w:rPr>
          <w:rFonts w:ascii="Times New Roman" w:hAnsi="Times New Roman"/>
          <w:sz w:val="22"/>
          <w:szCs w:val="22"/>
        </w:rPr>
        <w:t>m</w:t>
      </w:r>
      <w:proofErr w:type="spellEnd"/>
      <w:r w:rsidRPr="00C03D67">
        <w:rPr>
          <w:rFonts w:ascii="Times New Roman" w:hAnsi="Times New Roman"/>
          <w:sz w:val="22"/>
          <w:szCs w:val="22"/>
        </w:rPr>
        <w:t xml:space="preserve"> testom okrem autonómie štítnej žľazy, ktorá môže byť dôvodom pre indikáciu </w:t>
      </w:r>
      <w:proofErr w:type="spellStart"/>
      <w:r w:rsidRPr="00C03D67">
        <w:rPr>
          <w:rFonts w:ascii="Times New Roman" w:hAnsi="Times New Roman"/>
          <w:sz w:val="22"/>
          <w:szCs w:val="22"/>
        </w:rPr>
        <w:t>supres</w:t>
      </w:r>
      <w:r w:rsidR="00BB5392">
        <w:rPr>
          <w:rFonts w:ascii="Times New Roman" w:hAnsi="Times New Roman"/>
          <w:sz w:val="22"/>
          <w:szCs w:val="22"/>
        </w:rPr>
        <w:t>né</w:t>
      </w:r>
      <w:r w:rsidRPr="00C03D67">
        <w:rPr>
          <w:rFonts w:ascii="Times New Roman" w:hAnsi="Times New Roman"/>
          <w:sz w:val="22"/>
          <w:szCs w:val="22"/>
        </w:rPr>
        <w:t>ho</w:t>
      </w:r>
      <w:proofErr w:type="spellEnd"/>
      <w:r w:rsidRPr="00C03D67">
        <w:rPr>
          <w:rFonts w:ascii="Times New Roman" w:hAnsi="Times New Roman"/>
          <w:sz w:val="22"/>
          <w:szCs w:val="22"/>
        </w:rPr>
        <w:t xml:space="preserve"> testu</w:t>
      </w:r>
      <w:r>
        <w:rPr>
          <w:rFonts w:ascii="Times New Roman" w:hAnsi="Times New Roman"/>
          <w:sz w:val="22"/>
          <w:szCs w:val="22"/>
        </w:rPr>
        <w:t>.</w:t>
      </w:r>
    </w:p>
    <w:p w14:paraId="21C9ADF8" w14:textId="77777777" w:rsidR="00936391" w:rsidRPr="007A1CAE" w:rsidRDefault="00936391" w:rsidP="00836511">
      <w:pPr>
        <w:jc w:val="both"/>
        <w:rPr>
          <w:rFonts w:ascii="Times New Roman" w:hAnsi="Times New Roman"/>
          <w:sz w:val="22"/>
          <w:szCs w:val="22"/>
        </w:rPr>
      </w:pPr>
    </w:p>
    <w:p w14:paraId="77925244" w14:textId="17608A3B" w:rsidR="00B44334" w:rsidRDefault="00AB0833" w:rsidP="00836511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Pri</w:t>
      </w:r>
      <w:r w:rsidRPr="007A1CAE">
        <w:rPr>
          <w:rFonts w:ascii="Times New Roman" w:hAnsi="Times New Roman"/>
          <w:sz w:val="22"/>
          <w:szCs w:val="22"/>
        </w:rPr>
        <w:t> </w:t>
      </w:r>
      <w:r w:rsidR="008018B0" w:rsidRPr="007A1CAE">
        <w:rPr>
          <w:rFonts w:ascii="Times New Roman" w:hAnsi="Times New Roman"/>
          <w:sz w:val="22"/>
          <w:szCs w:val="22"/>
        </w:rPr>
        <w:t>koronárn</w:t>
      </w:r>
      <w:r>
        <w:rPr>
          <w:rFonts w:ascii="Times New Roman" w:hAnsi="Times New Roman"/>
          <w:sz w:val="22"/>
          <w:szCs w:val="22"/>
        </w:rPr>
        <w:t>om</w:t>
      </w:r>
      <w:r w:rsidR="008018B0" w:rsidRPr="007A1CAE">
        <w:rPr>
          <w:rFonts w:ascii="Times New Roman" w:hAnsi="Times New Roman"/>
          <w:sz w:val="22"/>
          <w:szCs w:val="22"/>
        </w:rPr>
        <w:t xml:space="preserve"> srdcov</w:t>
      </w:r>
      <w:r>
        <w:rPr>
          <w:rFonts w:ascii="Times New Roman" w:hAnsi="Times New Roman"/>
          <w:sz w:val="22"/>
          <w:szCs w:val="22"/>
        </w:rPr>
        <w:t>om</w:t>
      </w:r>
      <w:r w:rsidR="008018B0" w:rsidRPr="007A1CAE">
        <w:rPr>
          <w:rFonts w:ascii="Times New Roman" w:hAnsi="Times New Roman"/>
          <w:sz w:val="22"/>
          <w:szCs w:val="22"/>
        </w:rPr>
        <w:t xml:space="preserve"> ochorení, srdcovom zlyhaní</w:t>
      </w:r>
      <w:r>
        <w:rPr>
          <w:rFonts w:ascii="Times New Roman" w:hAnsi="Times New Roman"/>
          <w:sz w:val="22"/>
          <w:szCs w:val="22"/>
        </w:rPr>
        <w:t>,</w:t>
      </w:r>
      <w:r w:rsidR="008018B0"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tachyarytmii</w:t>
      </w:r>
      <w:proofErr w:type="spellEnd"/>
      <w:r w:rsidR="00F6712C" w:rsidRPr="007A1CAE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 xml:space="preserve">neakútnej </w:t>
      </w:r>
      <w:proofErr w:type="spellStart"/>
      <w:r w:rsidR="00F6712C" w:rsidRPr="007A1CAE">
        <w:rPr>
          <w:rFonts w:ascii="Times New Roman" w:hAnsi="Times New Roman"/>
          <w:sz w:val="22"/>
          <w:szCs w:val="22"/>
        </w:rPr>
        <w:t>myokarditíde</w:t>
      </w:r>
      <w:proofErr w:type="spellEnd"/>
      <w:r w:rsidR="00F6712C" w:rsidRPr="007A1CAE">
        <w:rPr>
          <w:rFonts w:ascii="Times New Roman" w:hAnsi="Times New Roman"/>
          <w:sz w:val="22"/>
          <w:szCs w:val="22"/>
        </w:rPr>
        <w:t xml:space="preserve">, dlhotrvajúcom </w:t>
      </w:r>
      <w:proofErr w:type="spellStart"/>
      <w:r w:rsidR="00F6712C" w:rsidRPr="007A1CAE">
        <w:rPr>
          <w:rFonts w:ascii="Times New Roman" w:hAnsi="Times New Roman"/>
          <w:sz w:val="22"/>
          <w:szCs w:val="22"/>
        </w:rPr>
        <w:t>hypotyreo</w:t>
      </w:r>
      <w:r w:rsidR="009B0B2A">
        <w:rPr>
          <w:rFonts w:ascii="Times New Roman" w:hAnsi="Times New Roman"/>
          <w:sz w:val="22"/>
          <w:szCs w:val="22"/>
        </w:rPr>
        <w:t>i</w:t>
      </w:r>
      <w:r w:rsidR="00F6712C" w:rsidRPr="007A1CAE">
        <w:rPr>
          <w:rFonts w:ascii="Times New Roman" w:hAnsi="Times New Roman"/>
          <w:sz w:val="22"/>
          <w:szCs w:val="22"/>
        </w:rPr>
        <w:t>dizme</w:t>
      </w:r>
      <w:proofErr w:type="spellEnd"/>
      <w:r w:rsidR="00F6712C" w:rsidRPr="007A1CAE">
        <w:rPr>
          <w:rFonts w:ascii="Times New Roman" w:hAnsi="Times New Roman"/>
          <w:sz w:val="22"/>
          <w:szCs w:val="22"/>
        </w:rPr>
        <w:t xml:space="preserve"> alebo u pacientov, ktorí už mali infarkt myokardu,</w:t>
      </w:r>
      <w:r w:rsidR="008018B0" w:rsidRPr="007A1CAE">
        <w:rPr>
          <w:rFonts w:ascii="Times New Roman" w:hAnsi="Times New Roman"/>
          <w:sz w:val="22"/>
          <w:szCs w:val="22"/>
        </w:rPr>
        <w:t xml:space="preserve"> je nutné zabrániť vzniku hoci aj miernej liekmi indukovanej 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hypertyreózy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 xml:space="preserve">. Pri týchto ochoreniach je </w:t>
      </w:r>
      <w:r w:rsidR="00F87B83">
        <w:rPr>
          <w:rFonts w:ascii="Times New Roman" w:hAnsi="Times New Roman"/>
          <w:sz w:val="22"/>
          <w:szCs w:val="22"/>
        </w:rPr>
        <w:t xml:space="preserve">u pacientov </w:t>
      </w:r>
      <w:r w:rsidR="008018B0" w:rsidRPr="007A1CAE">
        <w:rPr>
          <w:rFonts w:ascii="Times New Roman" w:hAnsi="Times New Roman"/>
          <w:sz w:val="22"/>
          <w:szCs w:val="22"/>
        </w:rPr>
        <w:t>nevyhnutná častejšia kontrola hladiny hormónov štítnej žľazy (pozri</w:t>
      </w:r>
      <w:r w:rsidR="007218CD" w:rsidRPr="007A1CAE">
        <w:rPr>
          <w:rFonts w:ascii="Times New Roman" w:hAnsi="Times New Roman"/>
          <w:sz w:val="22"/>
          <w:szCs w:val="22"/>
        </w:rPr>
        <w:t xml:space="preserve"> časť 4.2</w:t>
      </w:r>
      <w:r w:rsidR="008018B0" w:rsidRPr="007A1CAE">
        <w:rPr>
          <w:rFonts w:ascii="Times New Roman" w:hAnsi="Times New Roman"/>
          <w:sz w:val="22"/>
          <w:szCs w:val="22"/>
        </w:rPr>
        <w:t>).</w:t>
      </w:r>
    </w:p>
    <w:p w14:paraId="436AE840" w14:textId="77777777" w:rsidR="008B5BFE" w:rsidRPr="007A1CAE" w:rsidRDefault="008B5BFE" w:rsidP="00836511">
      <w:pPr>
        <w:jc w:val="both"/>
        <w:rPr>
          <w:rFonts w:ascii="Times New Roman" w:hAnsi="Times New Roman"/>
          <w:sz w:val="22"/>
          <w:szCs w:val="22"/>
        </w:rPr>
      </w:pPr>
    </w:p>
    <w:p w14:paraId="775CA84D" w14:textId="77777777" w:rsidR="008018B0" w:rsidRDefault="005F6371" w:rsidP="00836511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>U</w:t>
      </w:r>
      <w:r w:rsidR="008018B0" w:rsidRPr="007A1CAE">
        <w:rPr>
          <w:rFonts w:ascii="Times New Roman" w:hAnsi="Times New Roman"/>
          <w:sz w:val="22"/>
          <w:szCs w:val="22"/>
        </w:rPr>
        <w:t xml:space="preserve"> sekundárnej 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hypotyreózy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 xml:space="preserve"> sa musí zistiť, či pacient </w:t>
      </w:r>
      <w:r w:rsidR="006F1AA3" w:rsidRPr="007A1CAE">
        <w:rPr>
          <w:rFonts w:ascii="Times New Roman" w:hAnsi="Times New Roman"/>
          <w:sz w:val="22"/>
          <w:szCs w:val="22"/>
        </w:rPr>
        <w:t xml:space="preserve">netrpí </w:t>
      </w:r>
      <w:r w:rsidR="008018B0" w:rsidRPr="007A1CAE">
        <w:rPr>
          <w:rFonts w:ascii="Times New Roman" w:hAnsi="Times New Roman"/>
          <w:sz w:val="22"/>
          <w:szCs w:val="22"/>
        </w:rPr>
        <w:t>sú</w:t>
      </w:r>
      <w:r w:rsidR="006F1AA3" w:rsidRPr="007A1CAE">
        <w:rPr>
          <w:rFonts w:ascii="Times New Roman" w:hAnsi="Times New Roman"/>
          <w:sz w:val="22"/>
          <w:szCs w:val="22"/>
        </w:rPr>
        <w:t>čas</w:t>
      </w:r>
      <w:r w:rsidR="008018B0" w:rsidRPr="007A1CAE">
        <w:rPr>
          <w:rFonts w:ascii="Times New Roman" w:hAnsi="Times New Roman"/>
          <w:sz w:val="22"/>
          <w:szCs w:val="22"/>
        </w:rPr>
        <w:t xml:space="preserve">ne 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adrenáln</w:t>
      </w:r>
      <w:r w:rsidR="006F1AA3" w:rsidRPr="007A1CAE">
        <w:rPr>
          <w:rFonts w:ascii="Times New Roman" w:hAnsi="Times New Roman"/>
          <w:sz w:val="22"/>
          <w:szCs w:val="22"/>
        </w:rPr>
        <w:t>o</w:t>
      </w:r>
      <w:r w:rsidR="008018B0" w:rsidRPr="007A1CAE">
        <w:rPr>
          <w:rFonts w:ascii="Times New Roman" w:hAnsi="Times New Roman"/>
          <w:sz w:val="22"/>
          <w:szCs w:val="22"/>
        </w:rPr>
        <w:t>u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insuficienci</w:t>
      </w:r>
      <w:r w:rsidR="006F1AA3" w:rsidRPr="007A1CAE">
        <w:rPr>
          <w:rFonts w:ascii="Times New Roman" w:hAnsi="Times New Roman"/>
          <w:sz w:val="22"/>
          <w:szCs w:val="22"/>
        </w:rPr>
        <w:t>o</w:t>
      </w:r>
      <w:r w:rsidR="008018B0" w:rsidRPr="007A1CAE">
        <w:rPr>
          <w:rFonts w:ascii="Times New Roman" w:hAnsi="Times New Roman"/>
          <w:sz w:val="22"/>
          <w:szCs w:val="22"/>
        </w:rPr>
        <w:t>u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>. V takom prípade sa musí najprv zabezpečiť substitúcia (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hydrokortizón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>).</w:t>
      </w:r>
    </w:p>
    <w:p w14:paraId="38B195FF" w14:textId="77777777" w:rsidR="008B5BFE" w:rsidRPr="007A1CAE" w:rsidRDefault="008B5BFE" w:rsidP="00836511">
      <w:pPr>
        <w:jc w:val="both"/>
        <w:rPr>
          <w:rFonts w:ascii="Times New Roman" w:hAnsi="Times New Roman"/>
          <w:sz w:val="22"/>
          <w:szCs w:val="22"/>
        </w:rPr>
      </w:pPr>
    </w:p>
    <w:p w14:paraId="0FD43394" w14:textId="75F22B08" w:rsidR="005B51C0" w:rsidRDefault="00F87B83" w:rsidP="00836511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Ak existuje podozrenie na </w:t>
      </w:r>
      <w:r w:rsidR="005B51C0" w:rsidRPr="007A1CAE">
        <w:rPr>
          <w:rFonts w:ascii="Times New Roman" w:hAnsi="Times New Roman"/>
          <w:sz w:val="22"/>
          <w:szCs w:val="22"/>
        </w:rPr>
        <w:t xml:space="preserve"> autonómi</w:t>
      </w:r>
      <w:r>
        <w:rPr>
          <w:rFonts w:ascii="Times New Roman" w:hAnsi="Times New Roman"/>
          <w:sz w:val="22"/>
          <w:szCs w:val="22"/>
        </w:rPr>
        <w:t>u</w:t>
      </w:r>
      <w:r w:rsidR="005B51C0" w:rsidRPr="007A1CAE">
        <w:rPr>
          <w:rFonts w:ascii="Times New Roman" w:hAnsi="Times New Roman"/>
          <w:sz w:val="22"/>
          <w:szCs w:val="22"/>
        </w:rPr>
        <w:t xml:space="preserve"> štítnej žľazy</w:t>
      </w:r>
      <w:r>
        <w:rPr>
          <w:rFonts w:ascii="Times New Roman" w:hAnsi="Times New Roman"/>
          <w:sz w:val="22"/>
          <w:szCs w:val="22"/>
        </w:rPr>
        <w:t xml:space="preserve">, </w:t>
      </w:r>
      <w:r w:rsidR="005B51C0" w:rsidRPr="007A1CAE">
        <w:rPr>
          <w:rFonts w:ascii="Times New Roman" w:hAnsi="Times New Roman"/>
          <w:sz w:val="22"/>
          <w:szCs w:val="22"/>
        </w:rPr>
        <w:t xml:space="preserve"> odporúča </w:t>
      </w:r>
      <w:r>
        <w:rPr>
          <w:rFonts w:ascii="Times New Roman" w:hAnsi="Times New Roman"/>
          <w:sz w:val="22"/>
          <w:szCs w:val="22"/>
        </w:rPr>
        <w:t xml:space="preserve">sa vykonať </w:t>
      </w:r>
      <w:r w:rsidR="005B51C0" w:rsidRPr="007A1CAE">
        <w:rPr>
          <w:rFonts w:ascii="Times New Roman" w:hAnsi="Times New Roman"/>
          <w:sz w:val="22"/>
          <w:szCs w:val="22"/>
        </w:rPr>
        <w:t xml:space="preserve">TRH test alebo </w:t>
      </w:r>
      <w:proofErr w:type="spellStart"/>
      <w:r w:rsidR="005B51C0" w:rsidRPr="007A1CAE">
        <w:rPr>
          <w:rFonts w:ascii="Times New Roman" w:hAnsi="Times New Roman"/>
          <w:sz w:val="22"/>
          <w:szCs w:val="22"/>
        </w:rPr>
        <w:t>supresný</w:t>
      </w:r>
      <w:proofErr w:type="spellEnd"/>
      <w:r w:rsidR="005B51C0"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B51C0" w:rsidRPr="007A1CAE">
        <w:rPr>
          <w:rFonts w:ascii="Times New Roman" w:hAnsi="Times New Roman"/>
          <w:sz w:val="22"/>
          <w:szCs w:val="22"/>
        </w:rPr>
        <w:t>scintigram</w:t>
      </w:r>
      <w:proofErr w:type="spellEnd"/>
      <w:r w:rsidR="005B51C0" w:rsidRPr="007A1CAE">
        <w:rPr>
          <w:rFonts w:ascii="Times New Roman" w:hAnsi="Times New Roman"/>
          <w:sz w:val="22"/>
          <w:szCs w:val="22"/>
        </w:rPr>
        <w:t>.</w:t>
      </w:r>
    </w:p>
    <w:p w14:paraId="5ACB635F" w14:textId="77777777" w:rsidR="008B5BFE" w:rsidRPr="007A1CAE" w:rsidRDefault="008B5BFE" w:rsidP="00836511">
      <w:pPr>
        <w:jc w:val="both"/>
        <w:rPr>
          <w:rFonts w:ascii="Times New Roman" w:hAnsi="Times New Roman"/>
          <w:sz w:val="22"/>
          <w:szCs w:val="22"/>
        </w:rPr>
      </w:pPr>
    </w:p>
    <w:p w14:paraId="47B00C9A" w14:textId="77777777" w:rsidR="008B5BFE" w:rsidRDefault="008018B0" w:rsidP="00836511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>U žien v </w:t>
      </w:r>
      <w:proofErr w:type="spellStart"/>
      <w:r w:rsidRPr="007A1CAE">
        <w:rPr>
          <w:rFonts w:ascii="Times New Roman" w:hAnsi="Times New Roman"/>
          <w:sz w:val="22"/>
          <w:szCs w:val="22"/>
        </w:rPr>
        <w:t>postmenopauzálnom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veku, u ktorých je zvýšené riziko vzniku </w:t>
      </w:r>
      <w:proofErr w:type="spellStart"/>
      <w:r w:rsidRPr="007A1CAE">
        <w:rPr>
          <w:rFonts w:ascii="Times New Roman" w:hAnsi="Times New Roman"/>
          <w:sz w:val="22"/>
          <w:szCs w:val="22"/>
        </w:rPr>
        <w:t>osteoporózy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, sa počas terapie </w:t>
      </w:r>
      <w:proofErr w:type="spellStart"/>
      <w:r w:rsidRPr="007A1CAE">
        <w:rPr>
          <w:rFonts w:ascii="Times New Roman" w:hAnsi="Times New Roman"/>
          <w:sz w:val="22"/>
          <w:szCs w:val="22"/>
        </w:rPr>
        <w:t>levotyroxínom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musia častejšie monitorovať </w:t>
      </w:r>
      <w:proofErr w:type="spellStart"/>
      <w:r w:rsidRPr="007A1CAE">
        <w:rPr>
          <w:rFonts w:ascii="Times New Roman" w:hAnsi="Times New Roman"/>
          <w:sz w:val="22"/>
          <w:szCs w:val="22"/>
        </w:rPr>
        <w:t>tyreoidné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funkcie, aby sa predišlo vzniku </w:t>
      </w:r>
      <w:proofErr w:type="spellStart"/>
      <w:r w:rsidRPr="007A1CAE">
        <w:rPr>
          <w:rFonts w:ascii="Times New Roman" w:hAnsi="Times New Roman"/>
          <w:sz w:val="22"/>
          <w:szCs w:val="22"/>
        </w:rPr>
        <w:t>suprafyziologických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hladín </w:t>
      </w:r>
      <w:proofErr w:type="spellStart"/>
      <w:r w:rsidRPr="007A1CAE">
        <w:rPr>
          <w:rFonts w:ascii="Times New Roman" w:hAnsi="Times New Roman"/>
          <w:sz w:val="22"/>
          <w:szCs w:val="22"/>
        </w:rPr>
        <w:t>levotyroxínu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v krvi.</w:t>
      </w:r>
    </w:p>
    <w:p w14:paraId="47E048A9" w14:textId="77777777" w:rsidR="00BB3D6F" w:rsidRPr="007A1CAE" w:rsidRDefault="008018B0" w:rsidP="00836511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 xml:space="preserve"> </w:t>
      </w:r>
    </w:p>
    <w:p w14:paraId="025057A3" w14:textId="6669C525" w:rsidR="0088550E" w:rsidRDefault="0088550E" w:rsidP="00836511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 xml:space="preserve">Hormóny štítnej žľazy sa nesmú používať na redukciu hmotnosti. U </w:t>
      </w:r>
      <w:proofErr w:type="spellStart"/>
      <w:r w:rsidRPr="007A1CAE">
        <w:rPr>
          <w:rFonts w:ascii="Times New Roman" w:hAnsi="Times New Roman"/>
          <w:sz w:val="22"/>
          <w:szCs w:val="22"/>
        </w:rPr>
        <w:t>eutyreoidných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pacientov normálne dávky nespôsobia redukciu hmotnosti. Vyššie dávky môžu spôsobiť závažné alebo život ohrozujúce nežiaduce účinky, najmä v kombinácii s niektorými </w:t>
      </w:r>
      <w:r w:rsidR="00F87B83">
        <w:rPr>
          <w:rFonts w:ascii="Times New Roman" w:hAnsi="Times New Roman"/>
          <w:sz w:val="22"/>
          <w:szCs w:val="22"/>
        </w:rPr>
        <w:t>látkami</w:t>
      </w:r>
      <w:r w:rsidR="00F87B83" w:rsidRPr="007A1CAE">
        <w:rPr>
          <w:rFonts w:ascii="Times New Roman" w:hAnsi="Times New Roman"/>
          <w:sz w:val="22"/>
          <w:szCs w:val="22"/>
        </w:rPr>
        <w:t xml:space="preserve"> </w:t>
      </w:r>
      <w:r w:rsidRPr="007A1CAE">
        <w:rPr>
          <w:rFonts w:ascii="Times New Roman" w:hAnsi="Times New Roman"/>
          <w:sz w:val="22"/>
          <w:szCs w:val="22"/>
        </w:rPr>
        <w:t>na redukciu hmotnosti.</w:t>
      </w:r>
    </w:p>
    <w:p w14:paraId="5F3EAC54" w14:textId="77777777" w:rsidR="008B5BFE" w:rsidRPr="007A1CAE" w:rsidRDefault="008B5BFE" w:rsidP="00836511">
      <w:pPr>
        <w:jc w:val="both"/>
        <w:rPr>
          <w:rFonts w:ascii="Times New Roman" w:hAnsi="Times New Roman"/>
          <w:sz w:val="22"/>
          <w:szCs w:val="22"/>
        </w:rPr>
      </w:pPr>
    </w:p>
    <w:p w14:paraId="0266017E" w14:textId="238AE0A4" w:rsidR="0088550E" w:rsidRDefault="00F87B83" w:rsidP="00836511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Ak bola nastavená liečba </w:t>
      </w:r>
      <w:r w:rsidR="0088550E"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8550E" w:rsidRPr="007A1CAE">
        <w:rPr>
          <w:rFonts w:ascii="Times New Roman" w:hAnsi="Times New Roman"/>
          <w:sz w:val="22"/>
          <w:szCs w:val="22"/>
        </w:rPr>
        <w:t>levotyroxínom</w:t>
      </w:r>
      <w:proofErr w:type="spellEnd"/>
      <w:r>
        <w:rPr>
          <w:rFonts w:ascii="Times New Roman" w:hAnsi="Times New Roman"/>
          <w:sz w:val="22"/>
          <w:szCs w:val="22"/>
        </w:rPr>
        <w:t>, prechod</w:t>
      </w:r>
      <w:r w:rsidR="0088550E" w:rsidRPr="007A1CAE">
        <w:rPr>
          <w:rFonts w:ascii="Times New Roman" w:hAnsi="Times New Roman"/>
          <w:sz w:val="22"/>
          <w:szCs w:val="22"/>
        </w:rPr>
        <w:t xml:space="preserve"> na iné lieky s obsahom hormónov štítnej žľazy sa musí</w:t>
      </w:r>
      <w:r>
        <w:rPr>
          <w:rFonts w:ascii="Times New Roman" w:hAnsi="Times New Roman"/>
          <w:sz w:val="22"/>
          <w:szCs w:val="22"/>
        </w:rPr>
        <w:t xml:space="preserve"> uskutočniť iba so starostlivým</w:t>
      </w:r>
      <w:r w:rsidR="0088550E" w:rsidRPr="007A1CAE">
        <w:rPr>
          <w:rFonts w:ascii="Times New Roman" w:hAnsi="Times New Roman"/>
          <w:sz w:val="22"/>
          <w:szCs w:val="22"/>
        </w:rPr>
        <w:t xml:space="preserve"> kontrolova</w:t>
      </w:r>
      <w:r>
        <w:rPr>
          <w:rFonts w:ascii="Times New Roman" w:hAnsi="Times New Roman"/>
          <w:sz w:val="22"/>
          <w:szCs w:val="22"/>
        </w:rPr>
        <w:t>ním</w:t>
      </w:r>
      <w:r w:rsidR="0088550E" w:rsidRPr="007A1CAE">
        <w:rPr>
          <w:rFonts w:ascii="Times New Roman" w:hAnsi="Times New Roman"/>
          <w:sz w:val="22"/>
          <w:szCs w:val="22"/>
        </w:rPr>
        <w:t xml:space="preserve"> laboratórny</w:t>
      </w:r>
      <w:r>
        <w:rPr>
          <w:rFonts w:ascii="Times New Roman" w:hAnsi="Times New Roman"/>
          <w:sz w:val="22"/>
          <w:szCs w:val="22"/>
        </w:rPr>
        <w:t>ch</w:t>
      </w:r>
      <w:r w:rsidR="0088550E" w:rsidRPr="007A1CAE">
        <w:rPr>
          <w:rFonts w:ascii="Times New Roman" w:hAnsi="Times New Roman"/>
          <w:sz w:val="22"/>
          <w:szCs w:val="22"/>
        </w:rPr>
        <w:t xml:space="preserve"> diagnostický</w:t>
      </w:r>
      <w:r>
        <w:rPr>
          <w:rFonts w:ascii="Times New Roman" w:hAnsi="Times New Roman"/>
          <w:sz w:val="22"/>
          <w:szCs w:val="22"/>
        </w:rPr>
        <w:t>ch</w:t>
      </w:r>
      <w:r w:rsidR="0088550E" w:rsidRPr="007A1CAE">
        <w:rPr>
          <w:rFonts w:ascii="Times New Roman" w:hAnsi="Times New Roman"/>
          <w:sz w:val="22"/>
          <w:szCs w:val="22"/>
        </w:rPr>
        <w:t xml:space="preserve"> a klinických parametrov.</w:t>
      </w:r>
    </w:p>
    <w:p w14:paraId="1E53E344" w14:textId="77777777" w:rsidR="008B5BFE" w:rsidRPr="007A1CAE" w:rsidRDefault="008B5BFE" w:rsidP="00836511">
      <w:pPr>
        <w:jc w:val="both"/>
        <w:rPr>
          <w:rFonts w:ascii="Times New Roman" w:hAnsi="Times New Roman"/>
          <w:sz w:val="22"/>
          <w:szCs w:val="22"/>
        </w:rPr>
      </w:pPr>
    </w:p>
    <w:p w14:paraId="13426CCB" w14:textId="3C41D252" w:rsidR="0088550E" w:rsidRDefault="00F87B83" w:rsidP="00836511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</w:t>
      </w:r>
      <w:r w:rsidR="0088550E" w:rsidRPr="007A1CAE">
        <w:rPr>
          <w:rFonts w:ascii="Times New Roman" w:hAnsi="Times New Roman"/>
          <w:sz w:val="22"/>
          <w:szCs w:val="22"/>
        </w:rPr>
        <w:t xml:space="preserve">nformácie </w:t>
      </w:r>
      <w:r>
        <w:rPr>
          <w:rFonts w:ascii="Times New Roman" w:hAnsi="Times New Roman"/>
          <w:sz w:val="22"/>
          <w:szCs w:val="22"/>
        </w:rPr>
        <w:t>pre</w:t>
      </w:r>
      <w:r w:rsidRPr="007A1CAE">
        <w:rPr>
          <w:rFonts w:ascii="Times New Roman" w:hAnsi="Times New Roman"/>
          <w:sz w:val="22"/>
          <w:szCs w:val="22"/>
        </w:rPr>
        <w:t> </w:t>
      </w:r>
      <w:r w:rsidR="0088550E" w:rsidRPr="007A1CAE">
        <w:rPr>
          <w:rFonts w:ascii="Times New Roman" w:hAnsi="Times New Roman"/>
          <w:sz w:val="22"/>
          <w:szCs w:val="22"/>
        </w:rPr>
        <w:t>diabetiko</w:t>
      </w:r>
      <w:r>
        <w:rPr>
          <w:rFonts w:ascii="Times New Roman" w:hAnsi="Times New Roman"/>
          <w:sz w:val="22"/>
          <w:szCs w:val="22"/>
        </w:rPr>
        <w:t>v</w:t>
      </w:r>
      <w:r w:rsidR="0088550E" w:rsidRPr="007A1CAE">
        <w:rPr>
          <w:rFonts w:ascii="Times New Roman" w:hAnsi="Times New Roman"/>
          <w:sz w:val="22"/>
          <w:szCs w:val="22"/>
        </w:rPr>
        <w:t xml:space="preserve"> a paciento</w:t>
      </w:r>
      <w:r>
        <w:rPr>
          <w:rFonts w:ascii="Times New Roman" w:hAnsi="Times New Roman"/>
          <w:sz w:val="22"/>
          <w:szCs w:val="22"/>
        </w:rPr>
        <w:t>v</w:t>
      </w:r>
      <w:r w:rsidR="0088550E" w:rsidRPr="007A1CAE">
        <w:rPr>
          <w:rFonts w:ascii="Times New Roman" w:hAnsi="Times New Roman"/>
          <w:sz w:val="22"/>
          <w:szCs w:val="22"/>
        </w:rPr>
        <w:t xml:space="preserve"> liečených </w:t>
      </w:r>
      <w:proofErr w:type="spellStart"/>
      <w:r w:rsidR="0088550E" w:rsidRPr="007A1CAE">
        <w:rPr>
          <w:rFonts w:ascii="Times New Roman" w:hAnsi="Times New Roman"/>
          <w:sz w:val="22"/>
          <w:szCs w:val="22"/>
        </w:rPr>
        <w:t>antikoagulanciami</w:t>
      </w:r>
      <w:proofErr w:type="spellEnd"/>
      <w:r w:rsidR="0088550E" w:rsidRPr="007A1CAE">
        <w:rPr>
          <w:rFonts w:ascii="Times New Roman" w:hAnsi="Times New Roman"/>
          <w:sz w:val="22"/>
          <w:szCs w:val="22"/>
        </w:rPr>
        <w:t xml:space="preserve"> pozri </w:t>
      </w:r>
      <w:r>
        <w:rPr>
          <w:rFonts w:ascii="Times New Roman" w:hAnsi="Times New Roman"/>
          <w:sz w:val="22"/>
          <w:szCs w:val="22"/>
        </w:rPr>
        <w:t xml:space="preserve">v </w:t>
      </w:r>
      <w:r w:rsidR="0088550E" w:rsidRPr="007A1CAE">
        <w:rPr>
          <w:rFonts w:ascii="Times New Roman" w:hAnsi="Times New Roman"/>
          <w:sz w:val="22"/>
          <w:szCs w:val="22"/>
        </w:rPr>
        <w:t>čas</w:t>
      </w:r>
      <w:r>
        <w:rPr>
          <w:rFonts w:ascii="Times New Roman" w:hAnsi="Times New Roman"/>
          <w:sz w:val="22"/>
          <w:szCs w:val="22"/>
        </w:rPr>
        <w:t>ti</w:t>
      </w:r>
      <w:r w:rsidR="0088550E" w:rsidRPr="007A1CAE">
        <w:rPr>
          <w:rFonts w:ascii="Times New Roman" w:hAnsi="Times New Roman"/>
          <w:sz w:val="22"/>
          <w:szCs w:val="22"/>
        </w:rPr>
        <w:t xml:space="preserve"> 4.5.</w:t>
      </w:r>
    </w:p>
    <w:p w14:paraId="224E73CA" w14:textId="77777777" w:rsidR="009C7B75" w:rsidRPr="007A1CAE" w:rsidRDefault="009C7B75" w:rsidP="00836511">
      <w:pPr>
        <w:jc w:val="both"/>
        <w:rPr>
          <w:rFonts w:ascii="Times New Roman" w:hAnsi="Times New Roman"/>
          <w:sz w:val="22"/>
          <w:szCs w:val="22"/>
        </w:rPr>
      </w:pPr>
    </w:p>
    <w:p w14:paraId="221D8FA9" w14:textId="412980B7" w:rsidR="003860AC" w:rsidRPr="007A1CAE" w:rsidRDefault="003860AC" w:rsidP="00836511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 xml:space="preserve">Veľmi zriedkavé prípady </w:t>
      </w:r>
      <w:proofErr w:type="spellStart"/>
      <w:r w:rsidRPr="007A1CAE">
        <w:rPr>
          <w:rFonts w:ascii="Times New Roman" w:hAnsi="Times New Roman"/>
          <w:sz w:val="22"/>
          <w:szCs w:val="22"/>
        </w:rPr>
        <w:t>hypotyreoidizmu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boli hlásené u pacientov </w:t>
      </w:r>
      <w:r w:rsidR="00DE7403">
        <w:rPr>
          <w:rFonts w:ascii="Times New Roman" w:hAnsi="Times New Roman"/>
          <w:sz w:val="22"/>
          <w:szCs w:val="22"/>
        </w:rPr>
        <w:t xml:space="preserve">súbežne </w:t>
      </w:r>
      <w:r w:rsidRPr="007A1CAE">
        <w:rPr>
          <w:rFonts w:ascii="Times New Roman" w:hAnsi="Times New Roman"/>
          <w:sz w:val="22"/>
          <w:szCs w:val="22"/>
        </w:rPr>
        <w:t xml:space="preserve">liečených </w:t>
      </w:r>
      <w:proofErr w:type="spellStart"/>
      <w:r w:rsidRPr="007A1CAE">
        <w:rPr>
          <w:rFonts w:ascii="Times New Roman" w:hAnsi="Times New Roman"/>
          <w:sz w:val="22"/>
          <w:szCs w:val="22"/>
        </w:rPr>
        <w:t>sevelam</w:t>
      </w:r>
      <w:r w:rsidR="00DE7403">
        <w:rPr>
          <w:rFonts w:ascii="Times New Roman" w:hAnsi="Times New Roman"/>
          <w:sz w:val="22"/>
          <w:szCs w:val="22"/>
        </w:rPr>
        <w:t>é</w:t>
      </w:r>
      <w:r w:rsidRPr="007A1CAE">
        <w:rPr>
          <w:rFonts w:ascii="Times New Roman" w:hAnsi="Times New Roman"/>
          <w:sz w:val="22"/>
          <w:szCs w:val="22"/>
        </w:rPr>
        <w:t>rom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a </w:t>
      </w:r>
      <w:proofErr w:type="spellStart"/>
      <w:r w:rsidRPr="007A1CAE">
        <w:rPr>
          <w:rFonts w:ascii="Times New Roman" w:hAnsi="Times New Roman"/>
          <w:sz w:val="22"/>
          <w:szCs w:val="22"/>
        </w:rPr>
        <w:t>levotyroxínom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. Preto sa odporúča </w:t>
      </w:r>
      <w:r w:rsidR="00F87B83">
        <w:rPr>
          <w:rFonts w:ascii="Times New Roman" w:hAnsi="Times New Roman"/>
          <w:sz w:val="22"/>
          <w:szCs w:val="22"/>
        </w:rPr>
        <w:t xml:space="preserve">starostlivé </w:t>
      </w:r>
      <w:r w:rsidRPr="007A1CAE">
        <w:rPr>
          <w:rFonts w:ascii="Times New Roman" w:hAnsi="Times New Roman"/>
          <w:sz w:val="22"/>
          <w:szCs w:val="22"/>
        </w:rPr>
        <w:t>monitorovanie</w:t>
      </w:r>
      <w:r w:rsidR="0083404D">
        <w:rPr>
          <w:rFonts w:ascii="Times New Roman" w:hAnsi="Times New Roman"/>
          <w:sz w:val="22"/>
          <w:szCs w:val="22"/>
        </w:rPr>
        <w:t xml:space="preserve"> </w:t>
      </w:r>
      <w:r w:rsidRPr="007A1CAE">
        <w:rPr>
          <w:rFonts w:ascii="Times New Roman" w:hAnsi="Times New Roman"/>
          <w:sz w:val="22"/>
          <w:szCs w:val="22"/>
        </w:rPr>
        <w:t xml:space="preserve">hladín TSH </w:t>
      </w:r>
      <w:r w:rsidR="00F87B83">
        <w:rPr>
          <w:rFonts w:ascii="Times New Roman" w:hAnsi="Times New Roman"/>
          <w:sz w:val="22"/>
          <w:szCs w:val="22"/>
        </w:rPr>
        <w:t>u pacientov, ktorí sú sú</w:t>
      </w:r>
      <w:r w:rsidR="00DE7403">
        <w:rPr>
          <w:rFonts w:ascii="Times New Roman" w:hAnsi="Times New Roman"/>
          <w:sz w:val="22"/>
          <w:szCs w:val="22"/>
        </w:rPr>
        <w:t>bežne</w:t>
      </w:r>
      <w:r w:rsidR="00F87B83">
        <w:rPr>
          <w:rFonts w:ascii="Times New Roman" w:hAnsi="Times New Roman"/>
          <w:sz w:val="22"/>
          <w:szCs w:val="22"/>
        </w:rPr>
        <w:t xml:space="preserve"> liečení obidvoma liečivami </w:t>
      </w:r>
      <w:r w:rsidRPr="007A1CAE">
        <w:rPr>
          <w:rFonts w:ascii="Times New Roman" w:hAnsi="Times New Roman"/>
          <w:sz w:val="22"/>
          <w:szCs w:val="22"/>
        </w:rPr>
        <w:t>(pozri časť 4.5).</w:t>
      </w:r>
    </w:p>
    <w:p w14:paraId="631D0316" w14:textId="77777777" w:rsidR="00BB3D6F" w:rsidRDefault="00BB3D6F" w:rsidP="00706D78">
      <w:pPr>
        <w:jc w:val="both"/>
        <w:rPr>
          <w:rFonts w:ascii="Times New Roman" w:hAnsi="Times New Roman"/>
          <w:sz w:val="22"/>
          <w:szCs w:val="22"/>
        </w:rPr>
      </w:pPr>
    </w:p>
    <w:p w14:paraId="0CA7A999" w14:textId="5B851931" w:rsidR="00774874" w:rsidRDefault="00774874" w:rsidP="00706D7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Tento liek obsahuje menej ako 1 </w:t>
      </w:r>
      <w:proofErr w:type="spellStart"/>
      <w:r>
        <w:rPr>
          <w:rFonts w:ascii="Times New Roman" w:hAnsi="Times New Roman"/>
          <w:sz w:val="22"/>
          <w:szCs w:val="22"/>
        </w:rPr>
        <w:t>mmol</w:t>
      </w:r>
      <w:proofErr w:type="spellEnd"/>
      <w:r>
        <w:rPr>
          <w:rFonts w:ascii="Times New Roman" w:hAnsi="Times New Roman"/>
          <w:sz w:val="22"/>
          <w:szCs w:val="22"/>
        </w:rPr>
        <w:t xml:space="preserve"> sodíka (23 mg) v jednej tablete, t.j. v podstate zanedbateľné množstvo sodíka.</w:t>
      </w:r>
    </w:p>
    <w:p w14:paraId="0D91B32C" w14:textId="77777777" w:rsidR="00774874" w:rsidRPr="007A1CAE" w:rsidRDefault="00774874" w:rsidP="00706D78">
      <w:pPr>
        <w:jc w:val="both"/>
        <w:rPr>
          <w:rFonts w:ascii="Times New Roman" w:hAnsi="Times New Roman"/>
          <w:sz w:val="22"/>
          <w:szCs w:val="22"/>
        </w:rPr>
      </w:pPr>
    </w:p>
    <w:p w14:paraId="6B0C41C6" w14:textId="77777777" w:rsidR="008018B0" w:rsidRPr="007A1CAE" w:rsidRDefault="00C65834" w:rsidP="00706D78">
      <w:pPr>
        <w:jc w:val="both"/>
        <w:outlineLvl w:val="0"/>
        <w:rPr>
          <w:rFonts w:ascii="Times New Roman" w:hAnsi="Times New Roman"/>
          <w:b/>
          <w:sz w:val="22"/>
          <w:szCs w:val="22"/>
        </w:rPr>
      </w:pPr>
      <w:r w:rsidRPr="007A1CAE">
        <w:rPr>
          <w:rFonts w:ascii="Times New Roman" w:hAnsi="Times New Roman"/>
          <w:b/>
          <w:sz w:val="22"/>
          <w:szCs w:val="22"/>
        </w:rPr>
        <w:t>4.</w:t>
      </w:r>
      <w:r w:rsidR="008018B0" w:rsidRPr="007A1CAE">
        <w:rPr>
          <w:rFonts w:ascii="Times New Roman" w:hAnsi="Times New Roman"/>
          <w:b/>
          <w:sz w:val="22"/>
          <w:szCs w:val="22"/>
        </w:rPr>
        <w:t xml:space="preserve">5 Liekové a iné interakcie </w:t>
      </w:r>
    </w:p>
    <w:p w14:paraId="50444084" w14:textId="77777777" w:rsidR="008018B0" w:rsidRPr="007A1CAE" w:rsidRDefault="008018B0" w:rsidP="00706D78">
      <w:pPr>
        <w:jc w:val="both"/>
        <w:rPr>
          <w:rFonts w:ascii="Times New Roman" w:hAnsi="Times New Roman"/>
          <w:i/>
          <w:iCs/>
          <w:sz w:val="22"/>
          <w:szCs w:val="22"/>
        </w:rPr>
      </w:pPr>
    </w:p>
    <w:p w14:paraId="656BDDE5" w14:textId="77777777" w:rsidR="00594268" w:rsidRPr="007A1CAE" w:rsidRDefault="00594268" w:rsidP="00706D78">
      <w:pPr>
        <w:jc w:val="both"/>
        <w:rPr>
          <w:rFonts w:ascii="Times New Roman" w:hAnsi="Times New Roman"/>
          <w:i/>
          <w:iCs/>
          <w:sz w:val="22"/>
          <w:szCs w:val="22"/>
        </w:rPr>
      </w:pPr>
      <w:proofErr w:type="spellStart"/>
      <w:r w:rsidRPr="007A1CAE">
        <w:rPr>
          <w:rFonts w:ascii="Times New Roman" w:hAnsi="Times New Roman"/>
          <w:i/>
          <w:iCs/>
          <w:sz w:val="22"/>
          <w:szCs w:val="22"/>
        </w:rPr>
        <w:t>Antidiabetiká</w:t>
      </w:r>
      <w:proofErr w:type="spellEnd"/>
      <w:r w:rsidRPr="007A1CAE">
        <w:rPr>
          <w:rFonts w:ascii="Times New Roman" w:hAnsi="Times New Roman"/>
          <w:i/>
          <w:iCs/>
          <w:sz w:val="22"/>
          <w:szCs w:val="22"/>
        </w:rPr>
        <w:t>:</w:t>
      </w:r>
    </w:p>
    <w:p w14:paraId="762C8124" w14:textId="703BB888" w:rsidR="00594268" w:rsidRPr="007A1CAE" w:rsidRDefault="00594268" w:rsidP="00706D78">
      <w:pPr>
        <w:jc w:val="both"/>
        <w:rPr>
          <w:rFonts w:ascii="Times New Roman" w:hAnsi="Times New Roman"/>
          <w:sz w:val="22"/>
          <w:szCs w:val="22"/>
        </w:rPr>
      </w:pPr>
      <w:proofErr w:type="spellStart"/>
      <w:r w:rsidRPr="007A1CAE">
        <w:rPr>
          <w:rFonts w:ascii="Times New Roman" w:hAnsi="Times New Roman"/>
          <w:sz w:val="22"/>
          <w:szCs w:val="22"/>
        </w:rPr>
        <w:t>Levotyroxín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môže </w:t>
      </w:r>
      <w:r w:rsidR="00F87B83">
        <w:rPr>
          <w:rFonts w:ascii="Times New Roman" w:hAnsi="Times New Roman"/>
          <w:sz w:val="22"/>
          <w:szCs w:val="22"/>
        </w:rPr>
        <w:t>znižovať</w:t>
      </w:r>
      <w:r w:rsidR="00F87B83" w:rsidRPr="007A1CAE">
        <w:rPr>
          <w:rFonts w:ascii="Times New Roman" w:hAnsi="Times New Roman"/>
          <w:sz w:val="22"/>
          <w:szCs w:val="22"/>
        </w:rPr>
        <w:t xml:space="preserve"> </w:t>
      </w:r>
      <w:r w:rsidRPr="007A1CAE">
        <w:rPr>
          <w:rFonts w:ascii="Times New Roman" w:hAnsi="Times New Roman"/>
          <w:sz w:val="22"/>
          <w:szCs w:val="22"/>
        </w:rPr>
        <w:t xml:space="preserve">účinok </w:t>
      </w:r>
      <w:proofErr w:type="spellStart"/>
      <w:r w:rsidRPr="007A1CAE">
        <w:rPr>
          <w:rFonts w:ascii="Times New Roman" w:hAnsi="Times New Roman"/>
          <w:sz w:val="22"/>
          <w:szCs w:val="22"/>
        </w:rPr>
        <w:t>antidiabetík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. Hladina krvného cukru u diabetikov sa preto musí pravidelne kontrolovať, najmä na začiatku liečby hormónmi štítnej žľazy a v prípade potreby lekár musí opäť nastaviť dávkovanie </w:t>
      </w:r>
      <w:proofErr w:type="spellStart"/>
      <w:r w:rsidRPr="007A1CAE">
        <w:rPr>
          <w:rFonts w:ascii="Times New Roman" w:hAnsi="Times New Roman"/>
          <w:sz w:val="22"/>
          <w:szCs w:val="22"/>
        </w:rPr>
        <w:t>antidiabetík</w:t>
      </w:r>
      <w:proofErr w:type="spellEnd"/>
      <w:r w:rsidRPr="007A1CAE">
        <w:rPr>
          <w:rFonts w:ascii="Times New Roman" w:hAnsi="Times New Roman"/>
          <w:sz w:val="22"/>
          <w:szCs w:val="22"/>
        </w:rPr>
        <w:t>.</w:t>
      </w:r>
    </w:p>
    <w:p w14:paraId="246331F3" w14:textId="77777777" w:rsidR="00594268" w:rsidRPr="007A1CAE" w:rsidRDefault="00594268" w:rsidP="00706D78">
      <w:pPr>
        <w:jc w:val="both"/>
        <w:rPr>
          <w:rFonts w:ascii="Times New Roman" w:hAnsi="Times New Roman"/>
          <w:i/>
          <w:iCs/>
          <w:sz w:val="22"/>
          <w:szCs w:val="22"/>
        </w:rPr>
      </w:pPr>
    </w:p>
    <w:p w14:paraId="0C7FF219" w14:textId="77777777" w:rsidR="00594268" w:rsidRPr="007A1CAE" w:rsidRDefault="00594268" w:rsidP="00706D78">
      <w:pPr>
        <w:jc w:val="both"/>
        <w:rPr>
          <w:rFonts w:ascii="Times New Roman" w:hAnsi="Times New Roman"/>
          <w:i/>
          <w:iCs/>
          <w:sz w:val="22"/>
          <w:szCs w:val="22"/>
        </w:rPr>
      </w:pPr>
      <w:r w:rsidRPr="007A1CAE">
        <w:rPr>
          <w:rFonts w:ascii="Times New Roman" w:hAnsi="Times New Roman"/>
          <w:i/>
          <w:iCs/>
          <w:sz w:val="22"/>
          <w:szCs w:val="22"/>
        </w:rPr>
        <w:t xml:space="preserve">Deriváty </w:t>
      </w:r>
      <w:proofErr w:type="spellStart"/>
      <w:r w:rsidRPr="007A1CAE">
        <w:rPr>
          <w:rFonts w:ascii="Times New Roman" w:hAnsi="Times New Roman"/>
          <w:i/>
          <w:iCs/>
          <w:sz w:val="22"/>
          <w:szCs w:val="22"/>
        </w:rPr>
        <w:t>kumarínu</w:t>
      </w:r>
      <w:proofErr w:type="spellEnd"/>
      <w:r w:rsidRPr="007A1CAE">
        <w:rPr>
          <w:rFonts w:ascii="Times New Roman" w:hAnsi="Times New Roman"/>
          <w:i/>
          <w:iCs/>
          <w:sz w:val="22"/>
          <w:szCs w:val="22"/>
        </w:rPr>
        <w:t>:</w:t>
      </w:r>
    </w:p>
    <w:p w14:paraId="2377731D" w14:textId="452B508A" w:rsidR="00594268" w:rsidRPr="007A1CAE" w:rsidRDefault="00F87B83" w:rsidP="00706D78">
      <w:pPr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L</w:t>
      </w:r>
      <w:r w:rsidR="00594268" w:rsidRPr="007A1CAE">
        <w:rPr>
          <w:rFonts w:ascii="Times New Roman" w:hAnsi="Times New Roman"/>
          <w:sz w:val="22"/>
          <w:szCs w:val="22"/>
        </w:rPr>
        <w:t>evotyroxín</w:t>
      </w:r>
      <w:proofErr w:type="spellEnd"/>
      <w:r w:rsidR="00594268" w:rsidRPr="007A1CA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môže zvyšovať účinok derivátov </w:t>
      </w:r>
      <w:proofErr w:type="spellStart"/>
      <w:r>
        <w:rPr>
          <w:rFonts w:ascii="Times New Roman" w:hAnsi="Times New Roman"/>
          <w:sz w:val="22"/>
          <w:szCs w:val="22"/>
        </w:rPr>
        <w:t>kumarínu</w:t>
      </w:r>
      <w:proofErr w:type="spellEnd"/>
      <w:r>
        <w:rPr>
          <w:rFonts w:ascii="Times New Roman" w:hAnsi="Times New Roman"/>
          <w:sz w:val="22"/>
          <w:szCs w:val="22"/>
        </w:rPr>
        <w:t xml:space="preserve">, pretože </w:t>
      </w:r>
      <w:proofErr w:type="spellStart"/>
      <w:r w:rsidR="00594268" w:rsidRPr="007A1CAE">
        <w:rPr>
          <w:rFonts w:ascii="Times New Roman" w:hAnsi="Times New Roman"/>
          <w:sz w:val="22"/>
          <w:szCs w:val="22"/>
        </w:rPr>
        <w:t>vytesňuje</w:t>
      </w:r>
      <w:proofErr w:type="spellEnd"/>
      <w:r w:rsidR="00594268"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94268" w:rsidRPr="007A1CAE">
        <w:rPr>
          <w:rFonts w:ascii="Times New Roman" w:hAnsi="Times New Roman"/>
          <w:sz w:val="22"/>
          <w:szCs w:val="22"/>
        </w:rPr>
        <w:t>antikoagulanciá</w:t>
      </w:r>
      <w:proofErr w:type="spellEnd"/>
      <w:r w:rsidR="00594268" w:rsidRPr="007A1CAE">
        <w:rPr>
          <w:rFonts w:ascii="Times New Roman" w:hAnsi="Times New Roman"/>
          <w:sz w:val="22"/>
          <w:szCs w:val="22"/>
        </w:rPr>
        <w:t xml:space="preserve"> z ich väzby na </w:t>
      </w:r>
      <w:r>
        <w:rPr>
          <w:rFonts w:ascii="Times New Roman" w:hAnsi="Times New Roman"/>
          <w:sz w:val="22"/>
          <w:szCs w:val="22"/>
        </w:rPr>
        <w:t xml:space="preserve">plazmatické </w:t>
      </w:r>
      <w:r w:rsidR="00594268" w:rsidRPr="007A1CAE">
        <w:rPr>
          <w:rFonts w:ascii="Times New Roman" w:hAnsi="Times New Roman"/>
          <w:sz w:val="22"/>
          <w:szCs w:val="22"/>
        </w:rPr>
        <w:t>proteíny</w:t>
      </w:r>
      <w:r>
        <w:rPr>
          <w:rFonts w:ascii="Times New Roman" w:hAnsi="Times New Roman"/>
          <w:sz w:val="22"/>
          <w:szCs w:val="22"/>
        </w:rPr>
        <w:t>.</w:t>
      </w:r>
      <w:r w:rsidR="00594268" w:rsidRPr="007A1CAE">
        <w:rPr>
          <w:rFonts w:ascii="Times New Roman" w:hAnsi="Times New Roman"/>
          <w:sz w:val="22"/>
          <w:szCs w:val="22"/>
        </w:rPr>
        <w:t xml:space="preserve"> Pri </w:t>
      </w:r>
      <w:r>
        <w:rPr>
          <w:rFonts w:ascii="Times New Roman" w:hAnsi="Times New Roman"/>
          <w:sz w:val="22"/>
          <w:szCs w:val="22"/>
        </w:rPr>
        <w:t>súbežnej</w:t>
      </w:r>
      <w:r w:rsidRPr="007A1CAE">
        <w:rPr>
          <w:rFonts w:ascii="Times New Roman" w:hAnsi="Times New Roman"/>
          <w:sz w:val="22"/>
          <w:szCs w:val="22"/>
        </w:rPr>
        <w:t xml:space="preserve"> </w:t>
      </w:r>
      <w:r w:rsidR="00594268" w:rsidRPr="007A1CAE">
        <w:rPr>
          <w:rFonts w:ascii="Times New Roman" w:hAnsi="Times New Roman"/>
          <w:sz w:val="22"/>
          <w:szCs w:val="22"/>
        </w:rPr>
        <w:t xml:space="preserve">liečbe je preto nutná pravidelná kontrola zrážavosti krvi, ak je to potrebné, </w:t>
      </w:r>
      <w:r>
        <w:rPr>
          <w:rFonts w:ascii="Times New Roman" w:hAnsi="Times New Roman"/>
          <w:sz w:val="22"/>
          <w:szCs w:val="22"/>
        </w:rPr>
        <w:t>má</w:t>
      </w:r>
      <w:r w:rsidRPr="007A1CAE">
        <w:rPr>
          <w:rFonts w:ascii="Times New Roman" w:hAnsi="Times New Roman"/>
          <w:sz w:val="22"/>
          <w:szCs w:val="22"/>
        </w:rPr>
        <w:t xml:space="preserve"> </w:t>
      </w:r>
      <w:r w:rsidR="00594268" w:rsidRPr="007A1CAE">
        <w:rPr>
          <w:rFonts w:ascii="Times New Roman" w:hAnsi="Times New Roman"/>
          <w:sz w:val="22"/>
          <w:szCs w:val="22"/>
        </w:rPr>
        <w:t xml:space="preserve">sa upraviť dávka </w:t>
      </w:r>
      <w:proofErr w:type="spellStart"/>
      <w:r w:rsidR="00594268" w:rsidRPr="007A1CAE">
        <w:rPr>
          <w:rFonts w:ascii="Times New Roman" w:hAnsi="Times New Roman"/>
          <w:sz w:val="22"/>
          <w:szCs w:val="22"/>
        </w:rPr>
        <w:t>antikoagulancia</w:t>
      </w:r>
      <w:proofErr w:type="spellEnd"/>
      <w:r w:rsidR="00594268" w:rsidRPr="007A1CAE">
        <w:rPr>
          <w:rFonts w:ascii="Times New Roman" w:hAnsi="Times New Roman"/>
          <w:sz w:val="22"/>
          <w:szCs w:val="22"/>
        </w:rPr>
        <w:t>.</w:t>
      </w:r>
    </w:p>
    <w:p w14:paraId="3887E4B2" w14:textId="77777777" w:rsidR="00594268" w:rsidRPr="007A1CAE" w:rsidRDefault="00594268" w:rsidP="00706D78">
      <w:pPr>
        <w:jc w:val="both"/>
        <w:rPr>
          <w:rFonts w:ascii="Times New Roman" w:hAnsi="Times New Roman"/>
          <w:sz w:val="22"/>
          <w:szCs w:val="22"/>
        </w:rPr>
      </w:pPr>
    </w:p>
    <w:p w14:paraId="505D4D3D" w14:textId="77777777" w:rsidR="00594268" w:rsidRPr="007A1CAE" w:rsidRDefault="00594268" w:rsidP="00706D78">
      <w:pPr>
        <w:jc w:val="both"/>
        <w:rPr>
          <w:rFonts w:ascii="Times New Roman" w:hAnsi="Times New Roman"/>
          <w:i/>
          <w:iCs/>
          <w:sz w:val="22"/>
          <w:szCs w:val="22"/>
        </w:rPr>
      </w:pPr>
      <w:proofErr w:type="spellStart"/>
      <w:r w:rsidRPr="007A1CAE">
        <w:rPr>
          <w:rFonts w:ascii="Times New Roman" w:hAnsi="Times New Roman"/>
          <w:i/>
          <w:iCs/>
          <w:sz w:val="22"/>
          <w:szCs w:val="22"/>
        </w:rPr>
        <w:t>Iónomeniče</w:t>
      </w:r>
      <w:proofErr w:type="spellEnd"/>
      <w:r w:rsidRPr="007A1CAE">
        <w:rPr>
          <w:rFonts w:ascii="Times New Roman" w:hAnsi="Times New Roman"/>
          <w:i/>
          <w:iCs/>
          <w:sz w:val="22"/>
          <w:szCs w:val="22"/>
        </w:rPr>
        <w:t xml:space="preserve"> na báze živíc :</w:t>
      </w:r>
    </w:p>
    <w:p w14:paraId="26690F6D" w14:textId="03D430CD" w:rsidR="008018B0" w:rsidRPr="007A1CAE" w:rsidRDefault="00F87B83" w:rsidP="00706D7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Živice fungujúce ako </w:t>
      </w:r>
      <w:proofErr w:type="spellStart"/>
      <w:r>
        <w:rPr>
          <w:rFonts w:ascii="Times New Roman" w:hAnsi="Times New Roman"/>
          <w:iCs/>
          <w:sz w:val="22"/>
          <w:szCs w:val="22"/>
        </w:rPr>
        <w:t>iónomeniče</w:t>
      </w:r>
      <w:proofErr w:type="spellEnd"/>
      <w:r>
        <w:rPr>
          <w:rFonts w:ascii="Times New Roman" w:hAnsi="Times New Roman"/>
          <w:iCs/>
          <w:sz w:val="22"/>
          <w:szCs w:val="22"/>
        </w:rPr>
        <w:t xml:space="preserve">, napr. </w:t>
      </w:r>
      <w:proofErr w:type="spellStart"/>
      <w:r>
        <w:rPr>
          <w:rFonts w:ascii="Times New Roman" w:hAnsi="Times New Roman"/>
          <w:iCs/>
          <w:sz w:val="22"/>
          <w:szCs w:val="22"/>
        </w:rPr>
        <w:t>c</w:t>
      </w:r>
      <w:r w:rsidR="000353F8" w:rsidRPr="002F028B">
        <w:rPr>
          <w:rFonts w:ascii="Times New Roman" w:hAnsi="Times New Roman"/>
          <w:iCs/>
          <w:sz w:val="22"/>
          <w:szCs w:val="22"/>
        </w:rPr>
        <w:t>h</w:t>
      </w:r>
      <w:r w:rsidR="008018B0" w:rsidRPr="002F028B">
        <w:rPr>
          <w:rFonts w:ascii="Times New Roman" w:hAnsi="Times New Roman"/>
          <w:iCs/>
          <w:sz w:val="22"/>
          <w:szCs w:val="22"/>
        </w:rPr>
        <w:t>olestyramín</w:t>
      </w:r>
      <w:proofErr w:type="spellEnd"/>
      <w:r w:rsidR="003860AC" w:rsidRPr="002F028B">
        <w:rPr>
          <w:rFonts w:ascii="Times New Roman" w:hAnsi="Times New Roman"/>
          <w:iCs/>
          <w:sz w:val="22"/>
          <w:szCs w:val="22"/>
        </w:rPr>
        <w:t>,</w:t>
      </w:r>
      <w:r w:rsidR="008018B0" w:rsidRPr="002F028B">
        <w:rPr>
          <w:rFonts w:ascii="Times New Roman" w:hAnsi="Times New Roman"/>
          <w:iCs/>
          <w:sz w:val="22"/>
          <w:szCs w:val="22"/>
        </w:rPr>
        <w:t> </w:t>
      </w:r>
      <w:proofErr w:type="spellStart"/>
      <w:r w:rsidR="000353F8" w:rsidRPr="002F028B">
        <w:rPr>
          <w:rFonts w:ascii="Times New Roman" w:hAnsi="Times New Roman"/>
          <w:iCs/>
          <w:sz w:val="22"/>
          <w:szCs w:val="22"/>
        </w:rPr>
        <w:t>ch</w:t>
      </w:r>
      <w:r w:rsidR="008018B0" w:rsidRPr="002F028B">
        <w:rPr>
          <w:rFonts w:ascii="Times New Roman" w:hAnsi="Times New Roman"/>
          <w:iCs/>
          <w:sz w:val="22"/>
          <w:szCs w:val="22"/>
        </w:rPr>
        <w:t>olestipol</w:t>
      </w:r>
      <w:proofErr w:type="spellEnd"/>
      <w:r w:rsidR="00594268" w:rsidRPr="002F028B">
        <w:rPr>
          <w:rFonts w:ascii="Times New Roman" w:hAnsi="Times New Roman"/>
          <w:iCs/>
          <w:sz w:val="22"/>
          <w:szCs w:val="22"/>
        </w:rPr>
        <w:t>,</w:t>
      </w:r>
      <w:r w:rsidR="003860AC" w:rsidRPr="009C7B7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860AC" w:rsidRPr="002F028B">
        <w:rPr>
          <w:rFonts w:ascii="Times New Roman" w:hAnsi="Times New Roman"/>
          <w:iCs/>
          <w:sz w:val="22"/>
          <w:szCs w:val="22"/>
        </w:rPr>
        <w:t>kole</w:t>
      </w:r>
      <w:r w:rsidR="00FC768F" w:rsidRPr="002F028B">
        <w:rPr>
          <w:rFonts w:ascii="Times New Roman" w:hAnsi="Times New Roman"/>
          <w:iCs/>
          <w:sz w:val="22"/>
          <w:szCs w:val="22"/>
        </w:rPr>
        <w:t>se</w:t>
      </w:r>
      <w:r w:rsidR="003860AC" w:rsidRPr="002F028B">
        <w:rPr>
          <w:rFonts w:ascii="Times New Roman" w:hAnsi="Times New Roman"/>
          <w:iCs/>
          <w:sz w:val="22"/>
          <w:szCs w:val="22"/>
        </w:rPr>
        <w:t>velam</w:t>
      </w:r>
      <w:proofErr w:type="spellEnd"/>
      <w:r w:rsidR="00594268" w:rsidRPr="007A1CAE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594268" w:rsidRPr="007A1CAE">
        <w:rPr>
          <w:rFonts w:ascii="Times New Roman" w:hAnsi="Times New Roman"/>
          <w:sz w:val="22"/>
          <w:szCs w:val="22"/>
        </w:rPr>
        <w:t xml:space="preserve">alebo </w:t>
      </w:r>
      <w:r>
        <w:rPr>
          <w:rFonts w:ascii="Times New Roman" w:hAnsi="Times New Roman"/>
          <w:sz w:val="22"/>
          <w:szCs w:val="22"/>
        </w:rPr>
        <w:t>vápenaté</w:t>
      </w:r>
      <w:r w:rsidRPr="007A1CAE">
        <w:rPr>
          <w:rFonts w:ascii="Times New Roman" w:hAnsi="Times New Roman"/>
          <w:sz w:val="22"/>
          <w:szCs w:val="22"/>
        </w:rPr>
        <w:t xml:space="preserve"> </w:t>
      </w:r>
      <w:r w:rsidR="00594268" w:rsidRPr="007A1CAE">
        <w:rPr>
          <w:rFonts w:ascii="Times New Roman" w:hAnsi="Times New Roman"/>
          <w:sz w:val="22"/>
          <w:szCs w:val="22"/>
        </w:rPr>
        <w:t xml:space="preserve">a sodné soli </w:t>
      </w:r>
      <w:proofErr w:type="spellStart"/>
      <w:r w:rsidR="00594268" w:rsidRPr="007A1CAE">
        <w:rPr>
          <w:rFonts w:ascii="Times New Roman" w:hAnsi="Times New Roman"/>
          <w:sz w:val="22"/>
          <w:szCs w:val="22"/>
        </w:rPr>
        <w:t>polystyrénsulfónovej</w:t>
      </w:r>
      <w:proofErr w:type="spellEnd"/>
      <w:r w:rsidR="00594268" w:rsidRPr="007A1CAE">
        <w:rPr>
          <w:rFonts w:ascii="Times New Roman" w:hAnsi="Times New Roman"/>
          <w:sz w:val="22"/>
          <w:szCs w:val="22"/>
        </w:rPr>
        <w:t xml:space="preserve"> kyseliny 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inhibujú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 xml:space="preserve"> absorpciu 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levotyroxínu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 xml:space="preserve">a </w:t>
      </w:r>
      <w:r w:rsidR="008018B0" w:rsidRPr="007A1CAE">
        <w:rPr>
          <w:rFonts w:ascii="Times New Roman" w:hAnsi="Times New Roman"/>
          <w:sz w:val="22"/>
          <w:szCs w:val="22"/>
        </w:rPr>
        <w:t xml:space="preserve">preto sa </w:t>
      </w:r>
      <w:r w:rsidR="00432DB9">
        <w:rPr>
          <w:rFonts w:ascii="Times New Roman" w:hAnsi="Times New Roman"/>
          <w:sz w:val="22"/>
          <w:szCs w:val="22"/>
        </w:rPr>
        <w:t>nesmú</w:t>
      </w:r>
      <w:r w:rsidR="00432DB9" w:rsidRPr="007A1CAE">
        <w:rPr>
          <w:rFonts w:ascii="Times New Roman" w:hAnsi="Times New Roman"/>
          <w:sz w:val="22"/>
          <w:szCs w:val="22"/>
        </w:rPr>
        <w:t xml:space="preserve"> </w:t>
      </w:r>
      <w:r w:rsidR="008018B0" w:rsidRPr="007A1CAE">
        <w:rPr>
          <w:rFonts w:ascii="Times New Roman" w:hAnsi="Times New Roman"/>
          <w:sz w:val="22"/>
          <w:szCs w:val="22"/>
        </w:rPr>
        <w:t>aplikovať</w:t>
      </w:r>
      <w:r w:rsidR="00432DB9">
        <w:rPr>
          <w:rFonts w:ascii="Times New Roman" w:hAnsi="Times New Roman"/>
          <w:sz w:val="22"/>
          <w:szCs w:val="22"/>
        </w:rPr>
        <w:t xml:space="preserve"> skôr ako za</w:t>
      </w:r>
      <w:r w:rsidR="008018B0" w:rsidRPr="007A1CAE">
        <w:rPr>
          <w:rFonts w:ascii="Times New Roman" w:hAnsi="Times New Roman"/>
          <w:sz w:val="22"/>
          <w:szCs w:val="22"/>
        </w:rPr>
        <w:t xml:space="preserve"> 4 - 5 hodín po </w:t>
      </w:r>
      <w:r w:rsidR="00432DB9">
        <w:rPr>
          <w:rFonts w:ascii="Times New Roman" w:hAnsi="Times New Roman"/>
          <w:sz w:val="22"/>
          <w:szCs w:val="22"/>
        </w:rPr>
        <w:t>užití</w:t>
      </w:r>
      <w:r w:rsidR="00432DB9"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L-</w:t>
      </w:r>
      <w:r w:rsidR="009B0B2A">
        <w:rPr>
          <w:rFonts w:ascii="Times New Roman" w:hAnsi="Times New Roman"/>
          <w:sz w:val="22"/>
          <w:szCs w:val="22"/>
        </w:rPr>
        <w:t>T</w:t>
      </w:r>
      <w:r w:rsidR="008018B0" w:rsidRPr="007A1CAE">
        <w:rPr>
          <w:rFonts w:ascii="Times New Roman" w:hAnsi="Times New Roman"/>
          <w:sz w:val="22"/>
          <w:szCs w:val="22"/>
        </w:rPr>
        <w:t>hyrox</w:t>
      </w:r>
      <w:r w:rsidR="009B0B2A">
        <w:rPr>
          <w:rFonts w:ascii="Times New Roman" w:hAnsi="Times New Roman"/>
          <w:sz w:val="22"/>
          <w:szCs w:val="22"/>
        </w:rPr>
        <w:t>i</w:t>
      </w:r>
      <w:r w:rsidR="008018B0" w:rsidRPr="007A1CAE">
        <w:rPr>
          <w:rFonts w:ascii="Times New Roman" w:hAnsi="Times New Roman"/>
          <w:sz w:val="22"/>
          <w:szCs w:val="22"/>
        </w:rPr>
        <w:t>nu</w:t>
      </w:r>
      <w:proofErr w:type="spellEnd"/>
      <w:r w:rsidR="00B44334" w:rsidRPr="007A1CAE">
        <w:rPr>
          <w:rFonts w:ascii="Times New Roman" w:hAnsi="Times New Roman"/>
          <w:sz w:val="22"/>
          <w:szCs w:val="22"/>
        </w:rPr>
        <w:t xml:space="preserve"> </w:t>
      </w:r>
      <w:r w:rsidR="00A935FD" w:rsidRPr="007A1CAE">
        <w:rPr>
          <w:rFonts w:ascii="Times New Roman" w:hAnsi="Times New Roman"/>
          <w:sz w:val="22"/>
          <w:szCs w:val="22"/>
        </w:rPr>
        <w:t>12</w:t>
      </w:r>
      <w:r w:rsidR="00B44334" w:rsidRPr="007A1CAE">
        <w:rPr>
          <w:rFonts w:ascii="Times New Roman" w:hAnsi="Times New Roman"/>
          <w:sz w:val="22"/>
          <w:szCs w:val="22"/>
        </w:rPr>
        <w:t xml:space="preserve">5 </w:t>
      </w:r>
      <w:proofErr w:type="spellStart"/>
      <w:r w:rsidR="00B44334" w:rsidRPr="007A1CAE">
        <w:rPr>
          <w:rFonts w:ascii="Times New Roman" w:hAnsi="Times New Roman"/>
          <w:sz w:val="22"/>
          <w:szCs w:val="22"/>
        </w:rPr>
        <w:t>Berlin-Chemie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>.</w:t>
      </w:r>
    </w:p>
    <w:p w14:paraId="2781A283" w14:textId="77777777" w:rsidR="008018B0" w:rsidRPr="007A1CAE" w:rsidRDefault="008018B0" w:rsidP="00706D78">
      <w:pPr>
        <w:jc w:val="both"/>
        <w:rPr>
          <w:rFonts w:ascii="Times New Roman" w:hAnsi="Times New Roman"/>
          <w:i/>
          <w:iCs/>
          <w:sz w:val="22"/>
          <w:szCs w:val="22"/>
        </w:rPr>
      </w:pPr>
    </w:p>
    <w:p w14:paraId="3344543B" w14:textId="7E60E337" w:rsidR="008018B0" w:rsidRPr="007A1CAE" w:rsidRDefault="008018B0" w:rsidP="00706D78">
      <w:pPr>
        <w:jc w:val="both"/>
        <w:rPr>
          <w:rFonts w:ascii="Times New Roman" w:hAnsi="Times New Roman"/>
          <w:i/>
          <w:iCs/>
          <w:sz w:val="22"/>
          <w:szCs w:val="22"/>
        </w:rPr>
      </w:pPr>
      <w:proofErr w:type="spellStart"/>
      <w:r w:rsidRPr="007A1CAE">
        <w:rPr>
          <w:rFonts w:ascii="Times New Roman" w:hAnsi="Times New Roman"/>
          <w:i/>
          <w:iCs/>
          <w:sz w:val="22"/>
          <w:szCs w:val="22"/>
        </w:rPr>
        <w:t>Antacidá</w:t>
      </w:r>
      <w:proofErr w:type="spellEnd"/>
      <w:r w:rsidRPr="007A1CAE">
        <w:rPr>
          <w:rFonts w:ascii="Times New Roman" w:hAnsi="Times New Roman"/>
          <w:i/>
          <w:iCs/>
          <w:sz w:val="22"/>
          <w:szCs w:val="22"/>
        </w:rPr>
        <w:t xml:space="preserve"> obsahujúce hliník, soli železa, </w:t>
      </w:r>
      <w:r w:rsidR="00432DB9">
        <w:rPr>
          <w:rFonts w:ascii="Times New Roman" w:hAnsi="Times New Roman"/>
          <w:i/>
          <w:iCs/>
          <w:sz w:val="22"/>
          <w:szCs w:val="22"/>
        </w:rPr>
        <w:t>vápnik</w:t>
      </w:r>
      <w:r w:rsidRPr="007A1CAE">
        <w:rPr>
          <w:rFonts w:ascii="Times New Roman" w:hAnsi="Times New Roman"/>
          <w:i/>
          <w:iCs/>
          <w:sz w:val="22"/>
          <w:szCs w:val="22"/>
        </w:rPr>
        <w:t>:</w:t>
      </w:r>
    </w:p>
    <w:p w14:paraId="5F6030B3" w14:textId="3998FDCA" w:rsidR="008018B0" w:rsidRPr="007A1CAE" w:rsidRDefault="008018B0" w:rsidP="00706D78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 xml:space="preserve">Pri súčasnom podávaní s uvedenými liekmi sa môže absorpcia </w:t>
      </w:r>
      <w:proofErr w:type="spellStart"/>
      <w:r w:rsidR="00432DB9">
        <w:rPr>
          <w:rFonts w:ascii="Times New Roman" w:hAnsi="Times New Roman"/>
          <w:sz w:val="22"/>
          <w:szCs w:val="22"/>
        </w:rPr>
        <w:t>levotyroxínu</w:t>
      </w:r>
      <w:proofErr w:type="spellEnd"/>
      <w:r w:rsidR="00432DB9">
        <w:rPr>
          <w:rFonts w:ascii="Times New Roman" w:hAnsi="Times New Roman"/>
          <w:sz w:val="22"/>
          <w:szCs w:val="22"/>
        </w:rPr>
        <w:t xml:space="preserve"> </w:t>
      </w:r>
      <w:r w:rsidRPr="007A1CAE">
        <w:rPr>
          <w:rFonts w:ascii="Times New Roman" w:hAnsi="Times New Roman"/>
          <w:sz w:val="22"/>
          <w:szCs w:val="22"/>
        </w:rPr>
        <w:t xml:space="preserve">znížiť, preto </w:t>
      </w:r>
      <w:r w:rsidR="00DF54FF" w:rsidRPr="007A1CAE">
        <w:rPr>
          <w:rFonts w:ascii="Times New Roman" w:hAnsi="Times New Roman"/>
          <w:sz w:val="22"/>
          <w:szCs w:val="22"/>
        </w:rPr>
        <w:t>sa má</w:t>
      </w:r>
      <w:r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32DB9" w:rsidRPr="007A1CAE">
        <w:rPr>
          <w:rFonts w:ascii="Times New Roman" w:hAnsi="Times New Roman"/>
          <w:bCs/>
          <w:sz w:val="22"/>
          <w:szCs w:val="22"/>
        </w:rPr>
        <w:t>L-Thyroxin</w:t>
      </w:r>
      <w:proofErr w:type="spellEnd"/>
      <w:r w:rsidR="00432DB9" w:rsidRPr="007A1CAE">
        <w:rPr>
          <w:rFonts w:ascii="Times New Roman" w:hAnsi="Times New Roman"/>
          <w:bCs/>
          <w:sz w:val="22"/>
          <w:szCs w:val="22"/>
        </w:rPr>
        <w:t xml:space="preserve"> 125 </w:t>
      </w:r>
      <w:proofErr w:type="spellStart"/>
      <w:r w:rsidR="00432DB9" w:rsidRPr="007A1CAE">
        <w:rPr>
          <w:rFonts w:ascii="Times New Roman" w:hAnsi="Times New Roman"/>
          <w:bCs/>
          <w:sz w:val="22"/>
          <w:szCs w:val="22"/>
        </w:rPr>
        <w:t>Berlin-Chemie</w:t>
      </w:r>
      <w:proofErr w:type="spellEnd"/>
      <w:r w:rsidR="00432DB9" w:rsidRPr="007A1CAE">
        <w:rPr>
          <w:rFonts w:ascii="Times New Roman" w:hAnsi="Times New Roman"/>
          <w:bCs/>
          <w:sz w:val="22"/>
          <w:szCs w:val="22"/>
        </w:rPr>
        <w:t xml:space="preserve"> </w:t>
      </w:r>
      <w:r w:rsidRPr="007A1CAE">
        <w:rPr>
          <w:rFonts w:ascii="Times New Roman" w:hAnsi="Times New Roman"/>
          <w:sz w:val="22"/>
          <w:szCs w:val="22"/>
        </w:rPr>
        <w:t>užiť aspoň o 2 hodiny skôr.</w:t>
      </w:r>
    </w:p>
    <w:p w14:paraId="083937FE" w14:textId="7B4B6400" w:rsidR="00FB411F" w:rsidRPr="007A1CAE" w:rsidRDefault="00FB411F" w:rsidP="00706D78">
      <w:pPr>
        <w:jc w:val="both"/>
        <w:rPr>
          <w:rFonts w:ascii="Times New Roman" w:hAnsi="Times New Roman"/>
          <w:b/>
          <w:sz w:val="22"/>
          <w:szCs w:val="22"/>
        </w:rPr>
      </w:pPr>
    </w:p>
    <w:p w14:paraId="1625D382" w14:textId="77777777" w:rsidR="003860AC" w:rsidRPr="007A1CAE" w:rsidRDefault="003860AC" w:rsidP="00706D78">
      <w:pPr>
        <w:jc w:val="both"/>
        <w:rPr>
          <w:rFonts w:ascii="Times New Roman" w:hAnsi="Times New Roman"/>
          <w:bCs/>
          <w:i/>
          <w:iCs/>
          <w:sz w:val="22"/>
          <w:szCs w:val="22"/>
        </w:rPr>
      </w:pPr>
      <w:proofErr w:type="spellStart"/>
      <w:r w:rsidRPr="007A1CAE">
        <w:rPr>
          <w:rFonts w:ascii="Times New Roman" w:hAnsi="Times New Roman"/>
          <w:bCs/>
          <w:i/>
          <w:iCs/>
          <w:sz w:val="22"/>
          <w:szCs w:val="22"/>
        </w:rPr>
        <w:t>Sevelam</w:t>
      </w:r>
      <w:r w:rsidR="000353F8">
        <w:rPr>
          <w:rFonts w:ascii="Times New Roman" w:hAnsi="Times New Roman"/>
          <w:bCs/>
          <w:i/>
          <w:iCs/>
          <w:sz w:val="22"/>
          <w:szCs w:val="22"/>
        </w:rPr>
        <w:t>é</w:t>
      </w:r>
      <w:r w:rsidRPr="007A1CAE">
        <w:rPr>
          <w:rFonts w:ascii="Times New Roman" w:hAnsi="Times New Roman"/>
          <w:bCs/>
          <w:i/>
          <w:iCs/>
          <w:sz w:val="22"/>
          <w:szCs w:val="22"/>
        </w:rPr>
        <w:t>r</w:t>
      </w:r>
      <w:proofErr w:type="spellEnd"/>
      <w:r w:rsidRPr="007A1CAE">
        <w:rPr>
          <w:rFonts w:ascii="Times New Roman" w:hAnsi="Times New Roman"/>
          <w:bCs/>
          <w:i/>
          <w:iCs/>
          <w:sz w:val="22"/>
          <w:szCs w:val="22"/>
        </w:rPr>
        <w:t xml:space="preserve"> a </w:t>
      </w:r>
      <w:proofErr w:type="spellStart"/>
      <w:r w:rsidRPr="007A1CAE">
        <w:rPr>
          <w:rFonts w:ascii="Times New Roman" w:hAnsi="Times New Roman"/>
          <w:bCs/>
          <w:i/>
          <w:iCs/>
          <w:sz w:val="22"/>
          <w:szCs w:val="22"/>
        </w:rPr>
        <w:t>lantanum</w:t>
      </w:r>
      <w:proofErr w:type="spellEnd"/>
      <w:r w:rsidRPr="007A1CAE">
        <w:rPr>
          <w:rFonts w:ascii="Times New Roman" w:hAnsi="Times New Roman"/>
          <w:bCs/>
          <w:i/>
          <w:iCs/>
          <w:sz w:val="22"/>
          <w:szCs w:val="22"/>
        </w:rPr>
        <w:t xml:space="preserve"> karbonát:</w:t>
      </w:r>
    </w:p>
    <w:p w14:paraId="442FD999" w14:textId="3D4CF2CB" w:rsidR="0030249A" w:rsidRPr="00BA3F86" w:rsidRDefault="003860AC" w:rsidP="000677D7">
      <w:pPr>
        <w:jc w:val="both"/>
        <w:rPr>
          <w:rFonts w:ascii="Times New Roman" w:hAnsi="Times New Roman"/>
          <w:bCs/>
          <w:sz w:val="22"/>
          <w:szCs w:val="22"/>
        </w:rPr>
      </w:pPr>
      <w:r w:rsidRPr="00BA3F86">
        <w:rPr>
          <w:rFonts w:ascii="Times New Roman" w:hAnsi="Times New Roman"/>
          <w:bCs/>
          <w:sz w:val="22"/>
          <w:szCs w:val="22"/>
        </w:rPr>
        <w:t xml:space="preserve">Môžu znížiť </w:t>
      </w:r>
      <w:proofErr w:type="spellStart"/>
      <w:r w:rsidRPr="00BA3F86">
        <w:rPr>
          <w:rFonts w:ascii="Times New Roman" w:hAnsi="Times New Roman"/>
          <w:bCs/>
          <w:sz w:val="22"/>
          <w:szCs w:val="22"/>
        </w:rPr>
        <w:t>biodostupnosť</w:t>
      </w:r>
      <w:proofErr w:type="spellEnd"/>
      <w:r w:rsidRPr="00BA3F8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BA3F86">
        <w:rPr>
          <w:rFonts w:ascii="Times New Roman" w:hAnsi="Times New Roman"/>
          <w:bCs/>
          <w:sz w:val="22"/>
          <w:szCs w:val="22"/>
        </w:rPr>
        <w:t>levotyroxínu</w:t>
      </w:r>
      <w:proofErr w:type="spellEnd"/>
      <w:r w:rsidRPr="00BA3F86">
        <w:rPr>
          <w:rFonts w:ascii="Times New Roman" w:hAnsi="Times New Roman"/>
          <w:bCs/>
          <w:sz w:val="22"/>
          <w:szCs w:val="22"/>
        </w:rPr>
        <w:t xml:space="preserve">. </w:t>
      </w:r>
      <w:r w:rsidR="00FB411F" w:rsidRPr="00BA3F86">
        <w:rPr>
          <w:rFonts w:ascii="Times New Roman" w:hAnsi="Times New Roman"/>
          <w:bCs/>
          <w:sz w:val="22"/>
          <w:szCs w:val="22"/>
        </w:rPr>
        <w:t xml:space="preserve">Preto sa </w:t>
      </w:r>
      <w:proofErr w:type="spellStart"/>
      <w:r w:rsidR="000E7EA9" w:rsidRPr="00BA3F86">
        <w:rPr>
          <w:rFonts w:ascii="Times New Roman" w:hAnsi="Times New Roman"/>
          <w:bCs/>
          <w:sz w:val="22"/>
          <w:szCs w:val="22"/>
        </w:rPr>
        <w:t>L-Thyroxin</w:t>
      </w:r>
      <w:proofErr w:type="spellEnd"/>
      <w:r w:rsidR="000E7EA9" w:rsidRPr="00BA3F86">
        <w:rPr>
          <w:rFonts w:ascii="Times New Roman" w:hAnsi="Times New Roman"/>
          <w:bCs/>
          <w:sz w:val="22"/>
          <w:szCs w:val="22"/>
        </w:rPr>
        <w:t xml:space="preserve"> 125</w:t>
      </w:r>
      <w:r w:rsidR="00FB411F" w:rsidRPr="00BA3F8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FB411F" w:rsidRPr="00BA3F86">
        <w:rPr>
          <w:rFonts w:ascii="Times New Roman" w:hAnsi="Times New Roman"/>
          <w:bCs/>
          <w:sz w:val="22"/>
          <w:szCs w:val="22"/>
        </w:rPr>
        <w:t>Berlin-Chemie</w:t>
      </w:r>
      <w:proofErr w:type="spellEnd"/>
      <w:r w:rsidR="00FB411F" w:rsidRPr="00BA3F86">
        <w:rPr>
          <w:rFonts w:ascii="Times New Roman" w:hAnsi="Times New Roman"/>
          <w:bCs/>
          <w:sz w:val="22"/>
          <w:szCs w:val="22"/>
        </w:rPr>
        <w:t xml:space="preserve"> má podávať </w:t>
      </w:r>
    </w:p>
    <w:p w14:paraId="0BC2BD85" w14:textId="4C0B295E" w:rsidR="008018B0" w:rsidRPr="007A1CAE" w:rsidRDefault="00FB411F" w:rsidP="000677D7">
      <w:pPr>
        <w:jc w:val="both"/>
        <w:rPr>
          <w:rFonts w:ascii="Times New Roman" w:hAnsi="Times New Roman"/>
          <w:bCs/>
          <w:sz w:val="22"/>
          <w:szCs w:val="22"/>
        </w:rPr>
      </w:pPr>
      <w:r w:rsidRPr="00BA3F86">
        <w:rPr>
          <w:rFonts w:ascii="Times New Roman" w:hAnsi="Times New Roman"/>
          <w:bCs/>
          <w:sz w:val="22"/>
          <w:szCs w:val="22"/>
        </w:rPr>
        <w:t xml:space="preserve">najmenej 1 hodinu pred alebo 3 hodiny po podaní </w:t>
      </w:r>
      <w:proofErr w:type="spellStart"/>
      <w:r w:rsidRPr="00BA3F86">
        <w:rPr>
          <w:rFonts w:ascii="Times New Roman" w:hAnsi="Times New Roman"/>
          <w:bCs/>
          <w:sz w:val="22"/>
          <w:szCs w:val="22"/>
        </w:rPr>
        <w:t>sevelam</w:t>
      </w:r>
      <w:r w:rsidR="000353F8" w:rsidRPr="00BA3F86">
        <w:rPr>
          <w:rFonts w:ascii="Times New Roman" w:hAnsi="Times New Roman"/>
          <w:bCs/>
          <w:sz w:val="22"/>
          <w:szCs w:val="22"/>
        </w:rPr>
        <w:t>é</w:t>
      </w:r>
      <w:r w:rsidRPr="00BA3F86">
        <w:rPr>
          <w:rFonts w:ascii="Times New Roman" w:hAnsi="Times New Roman"/>
          <w:bCs/>
          <w:sz w:val="22"/>
          <w:szCs w:val="22"/>
        </w:rPr>
        <w:t>ru</w:t>
      </w:r>
      <w:proofErr w:type="spellEnd"/>
      <w:r w:rsidRPr="00BA3F86">
        <w:rPr>
          <w:rFonts w:ascii="Times New Roman" w:hAnsi="Times New Roman"/>
          <w:bCs/>
          <w:sz w:val="22"/>
          <w:szCs w:val="22"/>
        </w:rPr>
        <w:t xml:space="preserve"> alebo </w:t>
      </w:r>
      <w:proofErr w:type="spellStart"/>
      <w:r w:rsidRPr="00BA3F86">
        <w:rPr>
          <w:rFonts w:ascii="Times New Roman" w:hAnsi="Times New Roman"/>
          <w:bCs/>
          <w:sz w:val="22"/>
          <w:szCs w:val="22"/>
        </w:rPr>
        <w:t>lantanum</w:t>
      </w:r>
      <w:proofErr w:type="spellEnd"/>
      <w:r w:rsidRPr="00BA3F86">
        <w:rPr>
          <w:rFonts w:ascii="Times New Roman" w:hAnsi="Times New Roman"/>
          <w:bCs/>
          <w:sz w:val="22"/>
          <w:szCs w:val="22"/>
        </w:rPr>
        <w:t xml:space="preserve"> karbonátu (pozri časť 4.4).</w:t>
      </w:r>
      <w:r w:rsidR="00F56D75" w:rsidRPr="007A1CAE" w:rsidDel="00F56D75">
        <w:rPr>
          <w:rFonts w:ascii="Times New Roman" w:hAnsi="Times New Roman"/>
          <w:bCs/>
          <w:sz w:val="22"/>
          <w:szCs w:val="22"/>
        </w:rPr>
        <w:t xml:space="preserve"> </w:t>
      </w:r>
    </w:p>
    <w:p w14:paraId="48ED52BC" w14:textId="77777777" w:rsidR="00594268" w:rsidRPr="007A1CAE" w:rsidRDefault="00594268" w:rsidP="00706D78">
      <w:pPr>
        <w:jc w:val="both"/>
        <w:rPr>
          <w:rFonts w:ascii="Times New Roman" w:hAnsi="Times New Roman"/>
          <w:i/>
          <w:iCs/>
          <w:sz w:val="22"/>
          <w:szCs w:val="22"/>
        </w:rPr>
      </w:pPr>
    </w:p>
    <w:p w14:paraId="538BD1B5" w14:textId="77777777" w:rsidR="00594268" w:rsidRPr="007A1CAE" w:rsidRDefault="00594268" w:rsidP="00706D78">
      <w:pPr>
        <w:jc w:val="both"/>
        <w:rPr>
          <w:rFonts w:ascii="Times New Roman" w:hAnsi="Times New Roman"/>
          <w:i/>
          <w:iCs/>
          <w:sz w:val="22"/>
          <w:szCs w:val="22"/>
        </w:rPr>
      </w:pPr>
      <w:r w:rsidRPr="007A1CAE">
        <w:rPr>
          <w:rFonts w:ascii="Times New Roman" w:hAnsi="Times New Roman"/>
          <w:i/>
          <w:iCs/>
          <w:sz w:val="22"/>
          <w:szCs w:val="22"/>
        </w:rPr>
        <w:t xml:space="preserve">Inhibítory </w:t>
      </w:r>
      <w:proofErr w:type="spellStart"/>
      <w:r w:rsidRPr="007A1CAE">
        <w:rPr>
          <w:rFonts w:ascii="Times New Roman" w:hAnsi="Times New Roman"/>
          <w:i/>
          <w:iCs/>
          <w:sz w:val="22"/>
          <w:szCs w:val="22"/>
        </w:rPr>
        <w:t>tyrozínkinázy</w:t>
      </w:r>
      <w:proofErr w:type="spellEnd"/>
      <w:r w:rsidRPr="007A1CAE">
        <w:rPr>
          <w:rFonts w:ascii="Times New Roman" w:hAnsi="Times New Roman"/>
          <w:i/>
          <w:iCs/>
          <w:sz w:val="22"/>
          <w:szCs w:val="22"/>
        </w:rPr>
        <w:t>:</w:t>
      </w:r>
    </w:p>
    <w:p w14:paraId="35F8FDAC" w14:textId="3E7658B3" w:rsidR="00594268" w:rsidRPr="007A1CAE" w:rsidRDefault="00594268" w:rsidP="00706D78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 xml:space="preserve">Inhibítory </w:t>
      </w:r>
      <w:proofErr w:type="spellStart"/>
      <w:r w:rsidRPr="007A1CAE">
        <w:rPr>
          <w:rFonts w:ascii="Times New Roman" w:hAnsi="Times New Roman"/>
          <w:sz w:val="22"/>
          <w:szCs w:val="22"/>
        </w:rPr>
        <w:t>tyrozínkinázy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(</w:t>
      </w:r>
      <w:r w:rsidR="00432DB9">
        <w:rPr>
          <w:rFonts w:ascii="Times New Roman" w:hAnsi="Times New Roman"/>
          <w:sz w:val="22"/>
          <w:szCs w:val="22"/>
        </w:rPr>
        <w:t>napr.</w:t>
      </w:r>
      <w:r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A1CAE">
        <w:rPr>
          <w:rFonts w:ascii="Times New Roman" w:hAnsi="Times New Roman"/>
          <w:sz w:val="22"/>
          <w:szCs w:val="22"/>
        </w:rPr>
        <w:t>imatinib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7A1CAE">
        <w:rPr>
          <w:rFonts w:ascii="Times New Roman" w:hAnsi="Times New Roman"/>
          <w:sz w:val="22"/>
          <w:szCs w:val="22"/>
        </w:rPr>
        <w:t>sunitinib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) môžu znižovať účinnosť </w:t>
      </w:r>
      <w:proofErr w:type="spellStart"/>
      <w:r w:rsidRPr="007A1CAE">
        <w:rPr>
          <w:rFonts w:ascii="Times New Roman" w:hAnsi="Times New Roman"/>
          <w:sz w:val="22"/>
          <w:szCs w:val="22"/>
        </w:rPr>
        <w:t>levotyroxínu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. Preto sa odporúča monitorovanie funkcie štítnej žľazy u pacientov na začiatku a na konci kombinovanej liečby. V prípade potreby </w:t>
      </w:r>
      <w:r w:rsidR="00432DB9">
        <w:rPr>
          <w:rFonts w:ascii="Times New Roman" w:hAnsi="Times New Roman"/>
          <w:sz w:val="22"/>
          <w:szCs w:val="22"/>
        </w:rPr>
        <w:t>sa musí</w:t>
      </w:r>
      <w:r w:rsidRPr="007A1CAE">
        <w:rPr>
          <w:rFonts w:ascii="Times New Roman" w:hAnsi="Times New Roman"/>
          <w:sz w:val="22"/>
          <w:szCs w:val="22"/>
        </w:rPr>
        <w:t xml:space="preserve"> upraviť dávkovanie </w:t>
      </w:r>
      <w:proofErr w:type="spellStart"/>
      <w:r w:rsidRPr="007A1CAE">
        <w:rPr>
          <w:rFonts w:ascii="Times New Roman" w:hAnsi="Times New Roman"/>
          <w:sz w:val="22"/>
          <w:szCs w:val="22"/>
        </w:rPr>
        <w:t>levotyroxínu</w:t>
      </w:r>
      <w:proofErr w:type="spellEnd"/>
      <w:r w:rsidRPr="007A1CAE">
        <w:rPr>
          <w:rFonts w:ascii="Times New Roman" w:hAnsi="Times New Roman"/>
          <w:sz w:val="22"/>
          <w:szCs w:val="22"/>
        </w:rPr>
        <w:t>.</w:t>
      </w:r>
    </w:p>
    <w:p w14:paraId="2C287F0F" w14:textId="77777777" w:rsidR="00594268" w:rsidRPr="007A1CAE" w:rsidRDefault="00594268" w:rsidP="00706D78">
      <w:pPr>
        <w:jc w:val="both"/>
        <w:rPr>
          <w:rFonts w:ascii="Times New Roman" w:hAnsi="Times New Roman"/>
          <w:sz w:val="22"/>
          <w:szCs w:val="22"/>
        </w:rPr>
      </w:pPr>
    </w:p>
    <w:p w14:paraId="289F388B" w14:textId="5D35AE9B" w:rsidR="00594268" w:rsidRPr="007A1CAE" w:rsidRDefault="00594268" w:rsidP="00706D78">
      <w:pPr>
        <w:jc w:val="both"/>
        <w:rPr>
          <w:rFonts w:ascii="Times New Roman" w:hAnsi="Times New Roman"/>
          <w:bCs/>
          <w:i/>
          <w:iCs/>
          <w:sz w:val="22"/>
          <w:szCs w:val="22"/>
        </w:rPr>
      </w:pPr>
      <w:proofErr w:type="spellStart"/>
      <w:r w:rsidRPr="007A1CAE">
        <w:rPr>
          <w:rFonts w:ascii="Times New Roman" w:hAnsi="Times New Roman"/>
          <w:bCs/>
          <w:i/>
          <w:iCs/>
          <w:sz w:val="22"/>
          <w:szCs w:val="22"/>
        </w:rPr>
        <w:t>Propyltiouracyl</w:t>
      </w:r>
      <w:proofErr w:type="spellEnd"/>
      <w:r w:rsidRPr="007A1CAE">
        <w:rPr>
          <w:rFonts w:ascii="Times New Roman" w:hAnsi="Times New Roman"/>
          <w:bCs/>
          <w:i/>
          <w:iCs/>
          <w:sz w:val="22"/>
          <w:szCs w:val="22"/>
        </w:rPr>
        <w:t xml:space="preserve">, </w:t>
      </w:r>
      <w:proofErr w:type="spellStart"/>
      <w:r w:rsidRPr="007A1CAE">
        <w:rPr>
          <w:rFonts w:ascii="Times New Roman" w:hAnsi="Times New Roman"/>
          <w:bCs/>
          <w:i/>
          <w:iCs/>
          <w:sz w:val="22"/>
          <w:szCs w:val="22"/>
        </w:rPr>
        <w:t>glukokortikoidy</w:t>
      </w:r>
      <w:proofErr w:type="spellEnd"/>
      <w:r w:rsidR="006A42CD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r w:rsidR="00432DB9">
        <w:rPr>
          <w:rFonts w:ascii="Times New Roman" w:hAnsi="Times New Roman"/>
          <w:bCs/>
          <w:i/>
          <w:iCs/>
          <w:sz w:val="22"/>
          <w:szCs w:val="22"/>
        </w:rPr>
        <w:t>a</w:t>
      </w:r>
      <w:r w:rsidRPr="007A1CAE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r w:rsidRPr="007A1CAE">
        <w:rPr>
          <w:rFonts w:ascii="Times New Roman" w:hAnsi="Times New Roman"/>
          <w:bCs/>
          <w:i/>
          <w:iCs/>
          <w:sz w:val="22"/>
          <w:szCs w:val="22"/>
        </w:rPr>
        <w:sym w:font="Symbol" w:char="F062"/>
      </w:r>
      <w:r w:rsidRPr="007A1CAE">
        <w:rPr>
          <w:rFonts w:ascii="Times New Roman" w:hAnsi="Times New Roman"/>
          <w:bCs/>
          <w:i/>
          <w:iCs/>
          <w:sz w:val="22"/>
          <w:szCs w:val="22"/>
        </w:rPr>
        <w:t>-</w:t>
      </w:r>
      <w:proofErr w:type="spellStart"/>
      <w:r w:rsidRPr="007A1CAE">
        <w:rPr>
          <w:rFonts w:ascii="Times New Roman" w:hAnsi="Times New Roman"/>
          <w:bCs/>
          <w:i/>
          <w:iCs/>
          <w:sz w:val="22"/>
          <w:szCs w:val="22"/>
        </w:rPr>
        <w:t>blokátory</w:t>
      </w:r>
      <w:proofErr w:type="spellEnd"/>
      <w:r w:rsidRPr="007A1CAE">
        <w:rPr>
          <w:rFonts w:ascii="Times New Roman" w:hAnsi="Times New Roman"/>
          <w:bCs/>
          <w:i/>
          <w:iCs/>
          <w:sz w:val="22"/>
          <w:szCs w:val="22"/>
        </w:rPr>
        <w:t>:</w:t>
      </w:r>
    </w:p>
    <w:p w14:paraId="2DD2D672" w14:textId="26AFB23A" w:rsidR="002005A6" w:rsidRPr="007A1CAE" w:rsidRDefault="002005A6" w:rsidP="00706D78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bCs/>
          <w:sz w:val="22"/>
          <w:szCs w:val="22"/>
        </w:rPr>
        <w:t xml:space="preserve">Tieto liečivá </w:t>
      </w:r>
      <w:proofErr w:type="spellStart"/>
      <w:r w:rsidRPr="007A1CAE">
        <w:rPr>
          <w:rFonts w:ascii="Times New Roman" w:hAnsi="Times New Roman"/>
          <w:bCs/>
          <w:sz w:val="22"/>
          <w:szCs w:val="22"/>
        </w:rPr>
        <w:t>i</w:t>
      </w:r>
      <w:r w:rsidR="00594268" w:rsidRPr="007A1CAE">
        <w:rPr>
          <w:rFonts w:ascii="Times New Roman" w:hAnsi="Times New Roman"/>
          <w:bCs/>
          <w:sz w:val="22"/>
          <w:szCs w:val="22"/>
        </w:rPr>
        <w:t>nhibujú</w:t>
      </w:r>
      <w:proofErr w:type="spellEnd"/>
      <w:r w:rsidR="00594268" w:rsidRPr="007A1CAE">
        <w:rPr>
          <w:rFonts w:ascii="Times New Roman" w:hAnsi="Times New Roman"/>
          <w:bCs/>
          <w:sz w:val="22"/>
          <w:szCs w:val="22"/>
        </w:rPr>
        <w:t xml:space="preserve"> konverziu</w:t>
      </w:r>
      <w:r w:rsidR="00594268" w:rsidRPr="007A1CAE">
        <w:rPr>
          <w:rFonts w:ascii="Times New Roman" w:hAnsi="Times New Roman"/>
          <w:b/>
          <w:sz w:val="22"/>
          <w:szCs w:val="22"/>
        </w:rPr>
        <w:t xml:space="preserve"> </w:t>
      </w:r>
      <w:r w:rsidR="00594268" w:rsidRPr="007A1CAE">
        <w:rPr>
          <w:rFonts w:ascii="Times New Roman" w:hAnsi="Times New Roman"/>
          <w:bCs/>
          <w:sz w:val="22"/>
          <w:szCs w:val="22"/>
        </w:rPr>
        <w:t>T4 na T3.</w:t>
      </w:r>
    </w:p>
    <w:p w14:paraId="77A67614" w14:textId="77777777" w:rsidR="002005A6" w:rsidRPr="007A1CAE" w:rsidRDefault="002005A6" w:rsidP="00706D78">
      <w:pPr>
        <w:jc w:val="both"/>
        <w:rPr>
          <w:rFonts w:ascii="Times New Roman" w:hAnsi="Times New Roman"/>
          <w:sz w:val="22"/>
          <w:szCs w:val="22"/>
        </w:rPr>
      </w:pPr>
    </w:p>
    <w:p w14:paraId="480CD3F4" w14:textId="77777777" w:rsidR="008018B0" w:rsidRPr="007A1CAE" w:rsidRDefault="008018B0" w:rsidP="00706D78">
      <w:pPr>
        <w:jc w:val="both"/>
        <w:rPr>
          <w:rFonts w:ascii="Times New Roman" w:hAnsi="Times New Roman"/>
          <w:i/>
          <w:iCs/>
          <w:sz w:val="22"/>
          <w:szCs w:val="22"/>
        </w:rPr>
      </w:pPr>
      <w:proofErr w:type="spellStart"/>
      <w:r w:rsidRPr="007A1CAE">
        <w:rPr>
          <w:rFonts w:ascii="Times New Roman" w:hAnsi="Times New Roman"/>
          <w:i/>
          <w:iCs/>
          <w:sz w:val="22"/>
          <w:szCs w:val="22"/>
        </w:rPr>
        <w:t>Amiodar</w:t>
      </w:r>
      <w:r w:rsidR="000353F8">
        <w:rPr>
          <w:rFonts w:ascii="Times New Roman" w:hAnsi="Times New Roman"/>
          <w:i/>
          <w:iCs/>
          <w:sz w:val="22"/>
          <w:szCs w:val="22"/>
        </w:rPr>
        <w:t>ó</w:t>
      </w:r>
      <w:r w:rsidRPr="007A1CAE">
        <w:rPr>
          <w:rFonts w:ascii="Times New Roman" w:hAnsi="Times New Roman"/>
          <w:i/>
          <w:iCs/>
          <w:sz w:val="22"/>
          <w:szCs w:val="22"/>
        </w:rPr>
        <w:t>n</w:t>
      </w:r>
      <w:proofErr w:type="spellEnd"/>
      <w:r w:rsidR="002005A6" w:rsidRPr="007A1CAE">
        <w:rPr>
          <w:rFonts w:ascii="Times New Roman" w:hAnsi="Times New Roman"/>
          <w:i/>
          <w:iCs/>
          <w:sz w:val="22"/>
          <w:szCs w:val="22"/>
        </w:rPr>
        <w:t xml:space="preserve"> a kontra</w:t>
      </w:r>
      <w:r w:rsidR="00D81BFF" w:rsidRPr="007A1CAE">
        <w:rPr>
          <w:rFonts w:ascii="Times New Roman" w:hAnsi="Times New Roman"/>
          <w:i/>
          <w:iCs/>
          <w:sz w:val="22"/>
          <w:szCs w:val="22"/>
        </w:rPr>
        <w:t>s</w:t>
      </w:r>
      <w:r w:rsidR="002005A6" w:rsidRPr="007A1CAE">
        <w:rPr>
          <w:rFonts w:ascii="Times New Roman" w:hAnsi="Times New Roman"/>
          <w:i/>
          <w:iCs/>
          <w:sz w:val="22"/>
          <w:szCs w:val="22"/>
        </w:rPr>
        <w:t>tné látky s obsahom jódu</w:t>
      </w:r>
      <w:r w:rsidRPr="007A1CAE">
        <w:rPr>
          <w:rFonts w:ascii="Times New Roman" w:hAnsi="Times New Roman"/>
          <w:i/>
          <w:iCs/>
          <w:sz w:val="22"/>
          <w:szCs w:val="22"/>
        </w:rPr>
        <w:t>:</w:t>
      </w:r>
    </w:p>
    <w:p w14:paraId="2F2C06B1" w14:textId="0BDB901A" w:rsidR="008018B0" w:rsidRPr="007A1CAE" w:rsidRDefault="008018B0" w:rsidP="00706D78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 xml:space="preserve">Vysoký obsah jódu </w:t>
      </w:r>
      <w:r w:rsidR="00F56D75">
        <w:rPr>
          <w:rFonts w:ascii="Times New Roman" w:hAnsi="Times New Roman"/>
          <w:sz w:val="22"/>
          <w:szCs w:val="22"/>
        </w:rPr>
        <w:t xml:space="preserve">v </w:t>
      </w:r>
      <w:r w:rsidR="00432DB9">
        <w:rPr>
          <w:rFonts w:ascii="Times New Roman" w:hAnsi="Times New Roman"/>
          <w:sz w:val="22"/>
          <w:szCs w:val="22"/>
        </w:rPr>
        <w:t xml:space="preserve">týchto látkach </w:t>
      </w:r>
      <w:r w:rsidRPr="007A1CAE">
        <w:rPr>
          <w:rFonts w:ascii="Times New Roman" w:hAnsi="Times New Roman"/>
          <w:sz w:val="22"/>
          <w:szCs w:val="22"/>
        </w:rPr>
        <w:t xml:space="preserve">môže </w:t>
      </w:r>
      <w:r w:rsidR="00432DB9">
        <w:rPr>
          <w:rFonts w:ascii="Times New Roman" w:hAnsi="Times New Roman"/>
          <w:sz w:val="22"/>
          <w:szCs w:val="22"/>
        </w:rPr>
        <w:t xml:space="preserve">vyvolať </w:t>
      </w:r>
      <w:proofErr w:type="spellStart"/>
      <w:r w:rsidR="00432DB9" w:rsidRPr="007A1CAE">
        <w:rPr>
          <w:rFonts w:ascii="Times New Roman" w:hAnsi="Times New Roman"/>
          <w:sz w:val="22"/>
          <w:szCs w:val="22"/>
        </w:rPr>
        <w:t>hypotyreózu</w:t>
      </w:r>
      <w:proofErr w:type="spellEnd"/>
      <w:r w:rsidR="00432DB9" w:rsidRPr="007A1CAE">
        <w:rPr>
          <w:rFonts w:ascii="Times New Roman" w:hAnsi="Times New Roman"/>
          <w:sz w:val="22"/>
          <w:szCs w:val="22"/>
        </w:rPr>
        <w:t xml:space="preserve"> </w:t>
      </w:r>
      <w:r w:rsidR="00432DB9">
        <w:rPr>
          <w:rFonts w:ascii="Times New Roman" w:hAnsi="Times New Roman"/>
          <w:sz w:val="22"/>
          <w:szCs w:val="22"/>
        </w:rPr>
        <w:t xml:space="preserve">ako </w:t>
      </w:r>
      <w:r w:rsidRPr="007A1CAE">
        <w:rPr>
          <w:rFonts w:ascii="Times New Roman" w:hAnsi="Times New Roman"/>
          <w:sz w:val="22"/>
          <w:szCs w:val="22"/>
        </w:rPr>
        <w:t xml:space="preserve">aj </w:t>
      </w:r>
      <w:proofErr w:type="spellStart"/>
      <w:r w:rsidR="00432DB9" w:rsidRPr="007A1CAE">
        <w:rPr>
          <w:rFonts w:ascii="Times New Roman" w:hAnsi="Times New Roman"/>
          <w:sz w:val="22"/>
          <w:szCs w:val="22"/>
        </w:rPr>
        <w:t>hypertyreózu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. </w:t>
      </w:r>
      <w:r w:rsidR="00DF54FF" w:rsidRPr="007A1CAE">
        <w:rPr>
          <w:rFonts w:ascii="Times New Roman" w:hAnsi="Times New Roman"/>
          <w:sz w:val="22"/>
          <w:szCs w:val="22"/>
        </w:rPr>
        <w:t xml:space="preserve">Mimoriadna </w:t>
      </w:r>
      <w:r w:rsidRPr="007A1CAE">
        <w:rPr>
          <w:rFonts w:ascii="Times New Roman" w:hAnsi="Times New Roman"/>
          <w:sz w:val="22"/>
          <w:szCs w:val="22"/>
        </w:rPr>
        <w:t xml:space="preserve">pozornosť </w:t>
      </w:r>
      <w:r w:rsidR="00DF54FF" w:rsidRPr="007A1CAE">
        <w:rPr>
          <w:rFonts w:ascii="Times New Roman" w:hAnsi="Times New Roman"/>
          <w:sz w:val="22"/>
          <w:szCs w:val="22"/>
        </w:rPr>
        <w:t xml:space="preserve">sa má </w:t>
      </w:r>
      <w:r w:rsidRPr="007A1CAE">
        <w:rPr>
          <w:rFonts w:ascii="Times New Roman" w:hAnsi="Times New Roman"/>
          <w:sz w:val="22"/>
          <w:szCs w:val="22"/>
        </w:rPr>
        <w:t>venovať pacientom s </w:t>
      </w:r>
      <w:proofErr w:type="spellStart"/>
      <w:r w:rsidRPr="007A1CAE">
        <w:rPr>
          <w:rFonts w:ascii="Times New Roman" w:hAnsi="Times New Roman"/>
          <w:sz w:val="22"/>
          <w:szCs w:val="22"/>
        </w:rPr>
        <w:t>nodulárnou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strumou </w:t>
      </w:r>
      <w:r w:rsidR="002005A6" w:rsidRPr="007A1CAE">
        <w:rPr>
          <w:rFonts w:ascii="Times New Roman" w:hAnsi="Times New Roman"/>
          <w:sz w:val="22"/>
          <w:szCs w:val="22"/>
        </w:rPr>
        <w:t>s</w:t>
      </w:r>
      <w:r w:rsidR="00432DB9">
        <w:rPr>
          <w:rFonts w:ascii="Times New Roman" w:hAnsi="Times New Roman"/>
          <w:sz w:val="22"/>
          <w:szCs w:val="22"/>
        </w:rPr>
        <w:t> </w:t>
      </w:r>
      <w:r w:rsidRPr="007A1CAE">
        <w:rPr>
          <w:rFonts w:ascii="Times New Roman" w:hAnsi="Times New Roman"/>
          <w:sz w:val="22"/>
          <w:szCs w:val="22"/>
        </w:rPr>
        <w:t>možn</w:t>
      </w:r>
      <w:r w:rsidR="00432DB9">
        <w:rPr>
          <w:rFonts w:ascii="Times New Roman" w:hAnsi="Times New Roman"/>
          <w:sz w:val="22"/>
          <w:szCs w:val="22"/>
        </w:rPr>
        <w:t>ým</w:t>
      </w:r>
      <w:r w:rsidRPr="007A1CAE">
        <w:rPr>
          <w:rFonts w:ascii="Times New Roman" w:hAnsi="Times New Roman"/>
          <w:sz w:val="22"/>
          <w:szCs w:val="22"/>
        </w:rPr>
        <w:t xml:space="preserve"> nediagnostikovan</w:t>
      </w:r>
      <w:r w:rsidR="00432DB9">
        <w:rPr>
          <w:rFonts w:ascii="Times New Roman" w:hAnsi="Times New Roman"/>
          <w:sz w:val="22"/>
          <w:szCs w:val="22"/>
        </w:rPr>
        <w:t>ým</w:t>
      </w:r>
      <w:r w:rsidRPr="007A1CAE">
        <w:rPr>
          <w:rFonts w:ascii="Times New Roman" w:hAnsi="Times New Roman"/>
          <w:sz w:val="22"/>
          <w:szCs w:val="22"/>
        </w:rPr>
        <w:t xml:space="preserve"> autonóm</w:t>
      </w:r>
      <w:r w:rsidR="00432DB9">
        <w:rPr>
          <w:rFonts w:ascii="Times New Roman" w:hAnsi="Times New Roman"/>
          <w:sz w:val="22"/>
          <w:szCs w:val="22"/>
        </w:rPr>
        <w:t>nym pôvodom ochorenia</w:t>
      </w:r>
      <w:r w:rsidRPr="007A1CAE">
        <w:rPr>
          <w:rFonts w:ascii="Times New Roman" w:hAnsi="Times New Roman"/>
          <w:sz w:val="22"/>
          <w:szCs w:val="22"/>
        </w:rPr>
        <w:t>.</w:t>
      </w:r>
      <w:r w:rsidR="002005A6" w:rsidRPr="007A1CAE">
        <w:rPr>
          <w:rFonts w:ascii="Times New Roman" w:hAnsi="Times New Roman"/>
          <w:sz w:val="22"/>
          <w:szCs w:val="22"/>
        </w:rPr>
        <w:t xml:space="preserve"> Kvôli účinku </w:t>
      </w:r>
      <w:proofErr w:type="spellStart"/>
      <w:r w:rsidR="002005A6" w:rsidRPr="007A1CAE">
        <w:rPr>
          <w:rFonts w:ascii="Times New Roman" w:hAnsi="Times New Roman"/>
          <w:sz w:val="22"/>
          <w:szCs w:val="22"/>
        </w:rPr>
        <w:t>amiodar</w:t>
      </w:r>
      <w:r w:rsidR="000353F8">
        <w:rPr>
          <w:rFonts w:ascii="Times New Roman" w:hAnsi="Times New Roman"/>
          <w:sz w:val="22"/>
          <w:szCs w:val="22"/>
        </w:rPr>
        <w:t>ó</w:t>
      </w:r>
      <w:r w:rsidR="002005A6" w:rsidRPr="007A1CAE">
        <w:rPr>
          <w:rFonts w:ascii="Times New Roman" w:hAnsi="Times New Roman"/>
          <w:sz w:val="22"/>
          <w:szCs w:val="22"/>
        </w:rPr>
        <w:t>nu</w:t>
      </w:r>
      <w:proofErr w:type="spellEnd"/>
      <w:r w:rsidR="002005A6" w:rsidRPr="007A1CAE">
        <w:rPr>
          <w:rFonts w:ascii="Times New Roman" w:hAnsi="Times New Roman"/>
          <w:sz w:val="22"/>
          <w:szCs w:val="22"/>
        </w:rPr>
        <w:t xml:space="preserve"> na funkciu štítnej žľazy môže byť </w:t>
      </w:r>
      <w:r w:rsidR="00432DB9">
        <w:rPr>
          <w:rFonts w:ascii="Times New Roman" w:hAnsi="Times New Roman"/>
          <w:sz w:val="22"/>
          <w:szCs w:val="22"/>
        </w:rPr>
        <w:t>potrebné</w:t>
      </w:r>
      <w:r w:rsidR="00432DB9" w:rsidRPr="007A1CAE">
        <w:rPr>
          <w:rFonts w:ascii="Times New Roman" w:hAnsi="Times New Roman"/>
          <w:sz w:val="22"/>
          <w:szCs w:val="22"/>
        </w:rPr>
        <w:t xml:space="preserve"> </w:t>
      </w:r>
      <w:r w:rsidR="002005A6" w:rsidRPr="007A1CAE">
        <w:rPr>
          <w:rFonts w:ascii="Times New Roman" w:hAnsi="Times New Roman"/>
          <w:sz w:val="22"/>
          <w:szCs w:val="22"/>
        </w:rPr>
        <w:t xml:space="preserve">upraviť dávku </w:t>
      </w:r>
      <w:proofErr w:type="spellStart"/>
      <w:r w:rsidR="000E7EA9" w:rsidRPr="007A1CAE">
        <w:rPr>
          <w:rFonts w:ascii="Times New Roman" w:hAnsi="Times New Roman"/>
          <w:sz w:val="22"/>
          <w:szCs w:val="22"/>
        </w:rPr>
        <w:t>L-Thyroxinu</w:t>
      </w:r>
      <w:proofErr w:type="spellEnd"/>
      <w:r w:rsidR="000E7EA9" w:rsidRPr="007A1CAE">
        <w:rPr>
          <w:rFonts w:ascii="Times New Roman" w:hAnsi="Times New Roman"/>
          <w:sz w:val="22"/>
          <w:szCs w:val="22"/>
        </w:rPr>
        <w:t xml:space="preserve"> 125 </w:t>
      </w:r>
      <w:proofErr w:type="spellStart"/>
      <w:r w:rsidR="000E7EA9" w:rsidRPr="007A1CAE">
        <w:rPr>
          <w:rFonts w:ascii="Times New Roman" w:hAnsi="Times New Roman"/>
          <w:sz w:val="22"/>
          <w:szCs w:val="22"/>
        </w:rPr>
        <w:t>Berlin-Chemie</w:t>
      </w:r>
      <w:proofErr w:type="spellEnd"/>
      <w:r w:rsidR="002005A6" w:rsidRPr="007A1CAE">
        <w:rPr>
          <w:rFonts w:ascii="Times New Roman" w:hAnsi="Times New Roman"/>
          <w:sz w:val="22"/>
          <w:szCs w:val="22"/>
        </w:rPr>
        <w:t>.</w:t>
      </w:r>
    </w:p>
    <w:p w14:paraId="47097FFA" w14:textId="77777777" w:rsidR="00D81BFF" w:rsidRPr="007A1CAE" w:rsidRDefault="00D81BFF" w:rsidP="00706D78">
      <w:pPr>
        <w:jc w:val="both"/>
        <w:rPr>
          <w:rFonts w:ascii="Times New Roman" w:hAnsi="Times New Roman"/>
          <w:i/>
          <w:iCs/>
          <w:sz w:val="22"/>
          <w:szCs w:val="22"/>
        </w:rPr>
      </w:pPr>
    </w:p>
    <w:p w14:paraId="527F8531" w14:textId="78C1E781" w:rsidR="00D81BFF" w:rsidRPr="007A1CAE" w:rsidRDefault="00D81BFF" w:rsidP="00706D78">
      <w:pPr>
        <w:jc w:val="both"/>
        <w:rPr>
          <w:rFonts w:ascii="Times New Roman" w:hAnsi="Times New Roman"/>
          <w:sz w:val="22"/>
          <w:szCs w:val="22"/>
        </w:rPr>
      </w:pPr>
      <w:proofErr w:type="spellStart"/>
      <w:r w:rsidRPr="007A1CAE">
        <w:rPr>
          <w:rFonts w:ascii="Times New Roman" w:hAnsi="Times New Roman"/>
          <w:i/>
          <w:iCs/>
          <w:sz w:val="22"/>
          <w:szCs w:val="22"/>
        </w:rPr>
        <w:t>Salicyláty</w:t>
      </w:r>
      <w:proofErr w:type="spellEnd"/>
      <w:r w:rsidRPr="007A1CAE">
        <w:rPr>
          <w:rFonts w:ascii="Times New Roman" w:hAnsi="Times New Roman"/>
          <w:i/>
          <w:iCs/>
          <w:sz w:val="22"/>
          <w:szCs w:val="22"/>
        </w:rPr>
        <w:t xml:space="preserve">, </w:t>
      </w:r>
      <w:proofErr w:type="spellStart"/>
      <w:r w:rsidRPr="007A1CAE">
        <w:rPr>
          <w:rFonts w:ascii="Times New Roman" w:hAnsi="Times New Roman"/>
          <w:i/>
          <w:iCs/>
          <w:sz w:val="22"/>
          <w:szCs w:val="22"/>
        </w:rPr>
        <w:t>dikumarol</w:t>
      </w:r>
      <w:proofErr w:type="spellEnd"/>
      <w:r w:rsidRPr="007A1CAE">
        <w:rPr>
          <w:rFonts w:ascii="Times New Roman" w:hAnsi="Times New Roman"/>
          <w:i/>
          <w:iCs/>
          <w:sz w:val="22"/>
          <w:szCs w:val="22"/>
        </w:rPr>
        <w:t xml:space="preserve">, vysoká dávka </w:t>
      </w:r>
      <w:proofErr w:type="spellStart"/>
      <w:r w:rsidRPr="007A1CAE">
        <w:rPr>
          <w:rFonts w:ascii="Times New Roman" w:hAnsi="Times New Roman"/>
          <w:i/>
          <w:iCs/>
          <w:sz w:val="22"/>
          <w:szCs w:val="22"/>
        </w:rPr>
        <w:t>furosemidu</w:t>
      </w:r>
      <w:proofErr w:type="spellEnd"/>
      <w:r w:rsidRPr="007A1CAE">
        <w:rPr>
          <w:rFonts w:ascii="Times New Roman" w:hAnsi="Times New Roman"/>
          <w:i/>
          <w:iCs/>
          <w:sz w:val="22"/>
          <w:szCs w:val="22"/>
        </w:rPr>
        <w:t xml:space="preserve"> (250 mg), </w:t>
      </w:r>
      <w:proofErr w:type="spellStart"/>
      <w:r w:rsidRPr="007A1CAE">
        <w:rPr>
          <w:rFonts w:ascii="Times New Roman" w:hAnsi="Times New Roman"/>
          <w:i/>
          <w:iCs/>
          <w:sz w:val="22"/>
          <w:szCs w:val="22"/>
        </w:rPr>
        <w:t>klofibrát</w:t>
      </w:r>
      <w:proofErr w:type="spellEnd"/>
      <w:r w:rsidRPr="007A1CAE">
        <w:rPr>
          <w:rFonts w:ascii="Times New Roman" w:hAnsi="Times New Roman"/>
          <w:i/>
          <w:iCs/>
          <w:sz w:val="22"/>
          <w:szCs w:val="22"/>
        </w:rPr>
        <w:t xml:space="preserve">, </w:t>
      </w:r>
      <w:proofErr w:type="spellStart"/>
      <w:r w:rsidRPr="007A1CAE">
        <w:rPr>
          <w:rFonts w:ascii="Times New Roman" w:hAnsi="Times New Roman"/>
          <w:i/>
          <w:iCs/>
          <w:sz w:val="22"/>
          <w:szCs w:val="22"/>
        </w:rPr>
        <w:t>fenytoín</w:t>
      </w:r>
      <w:proofErr w:type="spellEnd"/>
      <w:r w:rsidRPr="007A1CAE">
        <w:rPr>
          <w:rFonts w:ascii="Times New Roman" w:hAnsi="Times New Roman"/>
          <w:i/>
          <w:iCs/>
          <w:sz w:val="22"/>
          <w:szCs w:val="22"/>
        </w:rPr>
        <w:t>:</w:t>
      </w:r>
    </w:p>
    <w:p w14:paraId="01258DCF" w14:textId="3E074BB1" w:rsidR="00D81BFF" w:rsidRPr="007A1CAE" w:rsidRDefault="00D81BFF" w:rsidP="00706D78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 xml:space="preserve">Môžu </w:t>
      </w:r>
      <w:proofErr w:type="spellStart"/>
      <w:r w:rsidRPr="007A1CAE">
        <w:rPr>
          <w:rFonts w:ascii="Times New Roman" w:hAnsi="Times New Roman"/>
          <w:sz w:val="22"/>
          <w:szCs w:val="22"/>
        </w:rPr>
        <w:t>levotyroxín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vytesniť z väzby na </w:t>
      </w:r>
      <w:r w:rsidR="00432DB9">
        <w:rPr>
          <w:rFonts w:ascii="Times New Roman" w:hAnsi="Times New Roman"/>
          <w:sz w:val="22"/>
          <w:szCs w:val="22"/>
        </w:rPr>
        <w:t xml:space="preserve">plazmatické </w:t>
      </w:r>
      <w:r w:rsidRPr="007A1CAE">
        <w:rPr>
          <w:rFonts w:ascii="Times New Roman" w:hAnsi="Times New Roman"/>
          <w:sz w:val="22"/>
          <w:szCs w:val="22"/>
        </w:rPr>
        <w:t xml:space="preserve">proteíny a zvýšiť tak plazmatickú hladinu voľného </w:t>
      </w:r>
      <w:proofErr w:type="spellStart"/>
      <w:r w:rsidRPr="007A1CAE">
        <w:rPr>
          <w:rFonts w:ascii="Times New Roman" w:hAnsi="Times New Roman"/>
          <w:sz w:val="22"/>
          <w:szCs w:val="22"/>
        </w:rPr>
        <w:t>tyroxínu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T</w:t>
      </w:r>
      <w:r w:rsidRPr="007A1CAE">
        <w:rPr>
          <w:rFonts w:ascii="Times New Roman" w:hAnsi="Times New Roman"/>
          <w:sz w:val="22"/>
          <w:szCs w:val="22"/>
          <w:vertAlign w:val="subscript"/>
        </w:rPr>
        <w:t>4</w:t>
      </w:r>
      <w:r w:rsidRPr="007A1CAE">
        <w:rPr>
          <w:rFonts w:ascii="Times New Roman" w:hAnsi="Times New Roman"/>
          <w:sz w:val="22"/>
          <w:szCs w:val="22"/>
        </w:rPr>
        <w:t>.</w:t>
      </w:r>
    </w:p>
    <w:p w14:paraId="18BDEBFC" w14:textId="77777777" w:rsidR="00D81BFF" w:rsidRPr="007A1CAE" w:rsidRDefault="00D81BFF" w:rsidP="00706D78">
      <w:pPr>
        <w:pStyle w:val="Zarkazkladnhotextu2"/>
        <w:ind w:left="0"/>
        <w:rPr>
          <w:rFonts w:ascii="Times New Roman" w:hAnsi="Times New Roman"/>
          <w:sz w:val="22"/>
          <w:szCs w:val="22"/>
        </w:rPr>
      </w:pPr>
    </w:p>
    <w:p w14:paraId="4912D559" w14:textId="36E2A8C2" w:rsidR="00D81BFF" w:rsidRPr="007A1CAE" w:rsidRDefault="00D81BFF" w:rsidP="00706D78">
      <w:pPr>
        <w:pStyle w:val="Zarkazkladnhotextu2"/>
        <w:ind w:left="0"/>
        <w:rPr>
          <w:rFonts w:ascii="Times New Roman" w:hAnsi="Times New Roman"/>
          <w:sz w:val="22"/>
          <w:szCs w:val="22"/>
        </w:rPr>
      </w:pPr>
      <w:proofErr w:type="spellStart"/>
      <w:r w:rsidRPr="007A1CAE">
        <w:rPr>
          <w:rFonts w:ascii="Times New Roman" w:hAnsi="Times New Roman"/>
          <w:sz w:val="22"/>
          <w:szCs w:val="22"/>
        </w:rPr>
        <w:t>Kontraceptíva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s obsahom estrogénu</w:t>
      </w:r>
      <w:r w:rsidR="00432DB9">
        <w:rPr>
          <w:rFonts w:ascii="Times New Roman" w:hAnsi="Times New Roman"/>
          <w:sz w:val="22"/>
          <w:szCs w:val="22"/>
        </w:rPr>
        <w:t>,</w:t>
      </w:r>
      <w:r w:rsidR="006A42CD">
        <w:rPr>
          <w:rFonts w:ascii="Times New Roman" w:hAnsi="Times New Roman"/>
          <w:sz w:val="22"/>
          <w:szCs w:val="22"/>
        </w:rPr>
        <w:t xml:space="preserve"> </w:t>
      </w:r>
      <w:r w:rsidR="00FC194A">
        <w:rPr>
          <w:rFonts w:ascii="Times New Roman" w:hAnsi="Times New Roman"/>
          <w:sz w:val="22"/>
          <w:szCs w:val="22"/>
        </w:rPr>
        <w:t>lieky na</w:t>
      </w:r>
      <w:r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A1CAE">
        <w:rPr>
          <w:rFonts w:ascii="Times New Roman" w:hAnsi="Times New Roman"/>
          <w:sz w:val="22"/>
          <w:szCs w:val="22"/>
        </w:rPr>
        <w:t>postmenopauzáln</w:t>
      </w:r>
      <w:r w:rsidR="00FC194A">
        <w:rPr>
          <w:rFonts w:ascii="Times New Roman" w:hAnsi="Times New Roman"/>
          <w:sz w:val="22"/>
          <w:szCs w:val="22"/>
        </w:rPr>
        <w:t>u</w:t>
      </w:r>
      <w:proofErr w:type="spellEnd"/>
      <w:r w:rsidR="00FC194A">
        <w:rPr>
          <w:rFonts w:ascii="Times New Roman" w:hAnsi="Times New Roman"/>
          <w:sz w:val="22"/>
          <w:szCs w:val="22"/>
        </w:rPr>
        <w:t xml:space="preserve"> hormonálnu</w:t>
      </w:r>
      <w:r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F2C1A" w:rsidRPr="007A1CAE">
        <w:rPr>
          <w:rFonts w:ascii="Times New Roman" w:hAnsi="Times New Roman"/>
          <w:sz w:val="22"/>
          <w:szCs w:val="22"/>
        </w:rPr>
        <w:t>substitučn</w:t>
      </w:r>
      <w:r w:rsidR="005D3BE1">
        <w:rPr>
          <w:rFonts w:ascii="Times New Roman" w:hAnsi="Times New Roman"/>
          <w:sz w:val="22"/>
          <w:szCs w:val="22"/>
        </w:rPr>
        <w:t>úterapiu</w:t>
      </w:r>
      <w:proofErr w:type="spellEnd"/>
      <w:r w:rsidRPr="007A1CAE">
        <w:rPr>
          <w:rFonts w:ascii="Times New Roman" w:hAnsi="Times New Roman"/>
          <w:sz w:val="22"/>
          <w:szCs w:val="22"/>
        </w:rPr>
        <w:t>:</w:t>
      </w:r>
    </w:p>
    <w:p w14:paraId="728FA284" w14:textId="77777777" w:rsidR="00D81BFF" w:rsidRPr="007A1CAE" w:rsidRDefault="00D81BFF" w:rsidP="00706D78">
      <w:pPr>
        <w:jc w:val="both"/>
        <w:rPr>
          <w:rFonts w:ascii="Times New Roman" w:hAnsi="Times New Roman"/>
          <w:i/>
          <w:iCs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 xml:space="preserve">Zvyšujú potrebu </w:t>
      </w:r>
      <w:proofErr w:type="spellStart"/>
      <w:r w:rsidRPr="007A1CAE">
        <w:rPr>
          <w:rFonts w:ascii="Times New Roman" w:hAnsi="Times New Roman"/>
          <w:sz w:val="22"/>
          <w:szCs w:val="22"/>
        </w:rPr>
        <w:t>suplementácie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A1CAE">
        <w:rPr>
          <w:rFonts w:ascii="Times New Roman" w:hAnsi="Times New Roman"/>
          <w:sz w:val="22"/>
          <w:szCs w:val="22"/>
        </w:rPr>
        <w:t>levotyroxínom</w:t>
      </w:r>
      <w:proofErr w:type="spellEnd"/>
      <w:r w:rsidRPr="007A1CAE">
        <w:rPr>
          <w:rFonts w:ascii="Times New Roman" w:hAnsi="Times New Roman"/>
          <w:i/>
          <w:iCs/>
          <w:sz w:val="22"/>
          <w:szCs w:val="22"/>
        </w:rPr>
        <w:t>.</w:t>
      </w:r>
    </w:p>
    <w:p w14:paraId="0B5A88C2" w14:textId="77777777" w:rsidR="00D81BFF" w:rsidRPr="007A1CAE" w:rsidRDefault="00D81BFF" w:rsidP="00706D78">
      <w:pPr>
        <w:jc w:val="both"/>
        <w:rPr>
          <w:rFonts w:ascii="Times New Roman" w:hAnsi="Times New Roman"/>
          <w:bCs/>
          <w:sz w:val="22"/>
          <w:szCs w:val="22"/>
        </w:rPr>
      </w:pPr>
    </w:p>
    <w:p w14:paraId="2B3D360C" w14:textId="77777777" w:rsidR="005F2C1A" w:rsidRPr="007A1CAE" w:rsidRDefault="005F2C1A" w:rsidP="00706D78">
      <w:pPr>
        <w:jc w:val="both"/>
        <w:rPr>
          <w:rFonts w:ascii="Times New Roman" w:hAnsi="Times New Roman"/>
          <w:i/>
          <w:iCs/>
          <w:sz w:val="22"/>
          <w:szCs w:val="22"/>
        </w:rPr>
      </w:pPr>
      <w:proofErr w:type="spellStart"/>
      <w:r w:rsidRPr="007A1CAE">
        <w:rPr>
          <w:rFonts w:ascii="Times New Roman" w:hAnsi="Times New Roman"/>
          <w:i/>
          <w:iCs/>
          <w:sz w:val="22"/>
          <w:szCs w:val="22"/>
        </w:rPr>
        <w:lastRenderedPageBreak/>
        <w:t>Sertralín</w:t>
      </w:r>
      <w:proofErr w:type="spellEnd"/>
      <w:r w:rsidRPr="007A1CAE">
        <w:rPr>
          <w:rFonts w:ascii="Times New Roman" w:hAnsi="Times New Roman"/>
          <w:i/>
          <w:iCs/>
          <w:sz w:val="22"/>
          <w:szCs w:val="22"/>
        </w:rPr>
        <w:t xml:space="preserve"> a </w:t>
      </w:r>
      <w:proofErr w:type="spellStart"/>
      <w:r w:rsidRPr="007A1CAE">
        <w:rPr>
          <w:rFonts w:ascii="Times New Roman" w:hAnsi="Times New Roman"/>
          <w:i/>
          <w:iCs/>
          <w:sz w:val="22"/>
          <w:szCs w:val="22"/>
        </w:rPr>
        <w:t>chlorochín</w:t>
      </w:r>
      <w:proofErr w:type="spellEnd"/>
      <w:r w:rsidRPr="007A1CAE">
        <w:rPr>
          <w:rFonts w:ascii="Times New Roman" w:hAnsi="Times New Roman"/>
          <w:i/>
          <w:iCs/>
          <w:sz w:val="22"/>
          <w:szCs w:val="22"/>
        </w:rPr>
        <w:t>/</w:t>
      </w:r>
      <w:proofErr w:type="spellStart"/>
      <w:r w:rsidRPr="007A1CAE">
        <w:rPr>
          <w:rFonts w:ascii="Times New Roman" w:hAnsi="Times New Roman"/>
          <w:i/>
          <w:iCs/>
          <w:sz w:val="22"/>
          <w:szCs w:val="22"/>
        </w:rPr>
        <w:t>proguanil</w:t>
      </w:r>
      <w:proofErr w:type="spellEnd"/>
      <w:r w:rsidRPr="007A1CAE">
        <w:rPr>
          <w:rFonts w:ascii="Times New Roman" w:hAnsi="Times New Roman"/>
          <w:i/>
          <w:iCs/>
          <w:sz w:val="22"/>
          <w:szCs w:val="22"/>
        </w:rPr>
        <w:t>:</w:t>
      </w:r>
    </w:p>
    <w:p w14:paraId="664F2D58" w14:textId="3070F152" w:rsidR="005F2C1A" w:rsidRPr="007A1CAE" w:rsidRDefault="00FC194A" w:rsidP="00706D7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Tieto látky znižujú</w:t>
      </w:r>
      <w:r w:rsidR="005F2C1A" w:rsidRPr="007A1CAE">
        <w:rPr>
          <w:rFonts w:ascii="Times New Roman" w:hAnsi="Times New Roman"/>
          <w:sz w:val="22"/>
          <w:szCs w:val="22"/>
        </w:rPr>
        <w:t xml:space="preserve"> účinnosť </w:t>
      </w:r>
      <w:proofErr w:type="spellStart"/>
      <w:r w:rsidR="005F2C1A" w:rsidRPr="007A1CAE">
        <w:rPr>
          <w:rFonts w:ascii="Times New Roman" w:hAnsi="Times New Roman"/>
          <w:sz w:val="22"/>
          <w:szCs w:val="22"/>
        </w:rPr>
        <w:t>levotyroxínu</w:t>
      </w:r>
      <w:proofErr w:type="spellEnd"/>
      <w:r w:rsidR="005F2C1A" w:rsidRPr="007A1CAE">
        <w:rPr>
          <w:rFonts w:ascii="Times New Roman" w:hAnsi="Times New Roman"/>
          <w:sz w:val="22"/>
          <w:szCs w:val="22"/>
        </w:rPr>
        <w:t xml:space="preserve"> a zvyšujú hladinu TSH v sére.</w:t>
      </w:r>
    </w:p>
    <w:p w14:paraId="068B71A6" w14:textId="77777777" w:rsidR="005929DE" w:rsidRPr="007A1CAE" w:rsidRDefault="005929DE" w:rsidP="00706D78">
      <w:pPr>
        <w:jc w:val="both"/>
        <w:rPr>
          <w:rFonts w:ascii="Times New Roman" w:hAnsi="Times New Roman"/>
          <w:i/>
          <w:iCs/>
          <w:sz w:val="22"/>
          <w:szCs w:val="22"/>
        </w:rPr>
      </w:pPr>
    </w:p>
    <w:p w14:paraId="2E939744" w14:textId="77777777" w:rsidR="008018B0" w:rsidRPr="007A1CAE" w:rsidRDefault="005F2C1A" w:rsidP="00706D78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i/>
          <w:iCs/>
          <w:sz w:val="22"/>
          <w:szCs w:val="22"/>
        </w:rPr>
        <w:t>L</w:t>
      </w:r>
      <w:r w:rsidR="008018B0" w:rsidRPr="007A1CAE">
        <w:rPr>
          <w:rFonts w:ascii="Times New Roman" w:hAnsi="Times New Roman"/>
          <w:i/>
          <w:iCs/>
          <w:sz w:val="22"/>
          <w:szCs w:val="22"/>
        </w:rPr>
        <w:t xml:space="preserve">ieky, ktoré indukujú aktivitu </w:t>
      </w:r>
      <w:proofErr w:type="spellStart"/>
      <w:r w:rsidR="008018B0" w:rsidRPr="007A1CAE">
        <w:rPr>
          <w:rFonts w:ascii="Times New Roman" w:hAnsi="Times New Roman"/>
          <w:i/>
          <w:iCs/>
          <w:sz w:val="22"/>
          <w:szCs w:val="22"/>
        </w:rPr>
        <w:t>hepatálnych</w:t>
      </w:r>
      <w:proofErr w:type="spellEnd"/>
      <w:r w:rsidR="008018B0" w:rsidRPr="007A1CAE">
        <w:rPr>
          <w:rFonts w:ascii="Times New Roman" w:hAnsi="Times New Roman"/>
          <w:i/>
          <w:iCs/>
          <w:sz w:val="22"/>
          <w:szCs w:val="22"/>
        </w:rPr>
        <w:t xml:space="preserve"> enzýmov:</w:t>
      </w:r>
    </w:p>
    <w:p w14:paraId="6F1EDAC0" w14:textId="77E69E44" w:rsidR="008018B0" w:rsidRPr="007A1CAE" w:rsidRDefault="005F2C1A" w:rsidP="00706D78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>Barbituráty</w:t>
      </w:r>
      <w:r w:rsidR="00267071" w:rsidRPr="007A1CA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267071" w:rsidRPr="007A1CAE">
        <w:rPr>
          <w:rFonts w:ascii="Times New Roman" w:hAnsi="Times New Roman"/>
          <w:sz w:val="22"/>
          <w:szCs w:val="22"/>
        </w:rPr>
        <w:t>rifampicín</w:t>
      </w:r>
      <w:proofErr w:type="spellEnd"/>
      <w:r w:rsidR="00267071" w:rsidRPr="007A1CA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267071" w:rsidRPr="007A1CAE">
        <w:rPr>
          <w:rFonts w:ascii="Times New Roman" w:hAnsi="Times New Roman"/>
          <w:sz w:val="22"/>
          <w:szCs w:val="22"/>
        </w:rPr>
        <w:t>karbamazepín</w:t>
      </w:r>
      <w:proofErr w:type="spellEnd"/>
      <w:r w:rsidR="00267071" w:rsidRPr="007A1CAE">
        <w:rPr>
          <w:rFonts w:ascii="Times New Roman" w:hAnsi="Times New Roman"/>
          <w:sz w:val="22"/>
          <w:szCs w:val="22"/>
        </w:rPr>
        <w:t xml:space="preserve"> a ďalšie lieky s</w:t>
      </w:r>
      <w:r w:rsidR="00FC194A">
        <w:rPr>
          <w:rFonts w:ascii="Times New Roman" w:hAnsi="Times New Roman"/>
          <w:sz w:val="22"/>
          <w:szCs w:val="22"/>
        </w:rPr>
        <w:t xml:space="preserve"> indukčným </w:t>
      </w:r>
      <w:r w:rsidR="00267071" w:rsidRPr="007A1CAE">
        <w:rPr>
          <w:rFonts w:ascii="Times New Roman" w:hAnsi="Times New Roman"/>
          <w:sz w:val="22"/>
          <w:szCs w:val="22"/>
        </w:rPr>
        <w:t xml:space="preserve">účinkom na </w:t>
      </w:r>
      <w:proofErr w:type="spellStart"/>
      <w:r w:rsidR="00267071" w:rsidRPr="007A1CAE">
        <w:rPr>
          <w:rFonts w:ascii="Times New Roman" w:hAnsi="Times New Roman"/>
          <w:sz w:val="22"/>
          <w:szCs w:val="22"/>
        </w:rPr>
        <w:t>hepatálne</w:t>
      </w:r>
      <w:proofErr w:type="spellEnd"/>
      <w:r w:rsidR="00267071" w:rsidRPr="007A1CAE">
        <w:rPr>
          <w:rFonts w:ascii="Times New Roman" w:hAnsi="Times New Roman"/>
          <w:sz w:val="22"/>
          <w:szCs w:val="22"/>
        </w:rPr>
        <w:t xml:space="preserve"> enzýmy m</w:t>
      </w:r>
      <w:r w:rsidR="008018B0" w:rsidRPr="007A1CAE">
        <w:rPr>
          <w:rFonts w:ascii="Times New Roman" w:hAnsi="Times New Roman"/>
          <w:sz w:val="22"/>
          <w:szCs w:val="22"/>
        </w:rPr>
        <w:t xml:space="preserve">ôžu zvyšovať 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hepatálny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klírens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levotyroxínu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>.</w:t>
      </w:r>
    </w:p>
    <w:p w14:paraId="56A7D5E7" w14:textId="77777777" w:rsidR="00267071" w:rsidRPr="007A1CAE" w:rsidRDefault="00267071" w:rsidP="00706D78">
      <w:pPr>
        <w:jc w:val="both"/>
        <w:rPr>
          <w:rFonts w:ascii="Times New Roman" w:hAnsi="Times New Roman"/>
          <w:i/>
          <w:iCs/>
          <w:sz w:val="22"/>
          <w:szCs w:val="22"/>
        </w:rPr>
      </w:pPr>
    </w:p>
    <w:p w14:paraId="7FC5F1DB" w14:textId="41DB2F35" w:rsidR="00267071" w:rsidRPr="007A1CAE" w:rsidRDefault="00267071" w:rsidP="00706D78">
      <w:pPr>
        <w:jc w:val="both"/>
        <w:rPr>
          <w:rFonts w:ascii="Times New Roman" w:hAnsi="Times New Roman"/>
          <w:i/>
          <w:iCs/>
          <w:sz w:val="22"/>
          <w:szCs w:val="22"/>
        </w:rPr>
      </w:pPr>
      <w:r w:rsidRPr="007A1CAE">
        <w:rPr>
          <w:rFonts w:ascii="Times New Roman" w:hAnsi="Times New Roman"/>
          <w:i/>
          <w:iCs/>
          <w:sz w:val="22"/>
          <w:szCs w:val="22"/>
        </w:rPr>
        <w:t xml:space="preserve">Inhibítory </w:t>
      </w:r>
      <w:proofErr w:type="spellStart"/>
      <w:r w:rsidRPr="007A1CAE">
        <w:rPr>
          <w:rFonts w:ascii="Times New Roman" w:hAnsi="Times New Roman"/>
          <w:i/>
          <w:iCs/>
          <w:sz w:val="22"/>
          <w:szCs w:val="22"/>
        </w:rPr>
        <w:t>proteáz</w:t>
      </w:r>
      <w:proofErr w:type="spellEnd"/>
      <w:r w:rsidRPr="007A1CAE">
        <w:rPr>
          <w:rFonts w:ascii="Times New Roman" w:hAnsi="Times New Roman"/>
          <w:i/>
          <w:iCs/>
          <w:sz w:val="22"/>
          <w:szCs w:val="22"/>
        </w:rPr>
        <w:t>:</w:t>
      </w:r>
    </w:p>
    <w:p w14:paraId="7727DB2F" w14:textId="605994F0" w:rsidR="00267071" w:rsidRPr="007A1CAE" w:rsidRDefault="00267071" w:rsidP="00706D78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>Pri sú</w:t>
      </w:r>
      <w:r w:rsidR="006F4B4A">
        <w:rPr>
          <w:rFonts w:ascii="Times New Roman" w:hAnsi="Times New Roman"/>
          <w:sz w:val="22"/>
          <w:szCs w:val="22"/>
        </w:rPr>
        <w:t>bežnej</w:t>
      </w:r>
      <w:r w:rsidRPr="007A1CAE">
        <w:rPr>
          <w:rFonts w:ascii="Times New Roman" w:hAnsi="Times New Roman"/>
          <w:sz w:val="22"/>
          <w:szCs w:val="22"/>
        </w:rPr>
        <w:t xml:space="preserve"> terapii </w:t>
      </w:r>
      <w:proofErr w:type="spellStart"/>
      <w:r w:rsidRPr="007A1CAE">
        <w:rPr>
          <w:rFonts w:ascii="Times New Roman" w:hAnsi="Times New Roman"/>
          <w:sz w:val="22"/>
          <w:szCs w:val="22"/>
        </w:rPr>
        <w:t>levotyroxínom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a </w:t>
      </w:r>
      <w:proofErr w:type="spellStart"/>
      <w:r w:rsidRPr="007A1CAE">
        <w:rPr>
          <w:rFonts w:ascii="Times New Roman" w:hAnsi="Times New Roman"/>
          <w:sz w:val="22"/>
          <w:szCs w:val="22"/>
        </w:rPr>
        <w:t>lopinavirom</w:t>
      </w:r>
      <w:proofErr w:type="spellEnd"/>
      <w:r w:rsidRPr="007A1CAE">
        <w:rPr>
          <w:rFonts w:ascii="Times New Roman" w:hAnsi="Times New Roman"/>
          <w:sz w:val="22"/>
          <w:szCs w:val="22"/>
        </w:rPr>
        <w:t>/</w:t>
      </w:r>
      <w:proofErr w:type="spellStart"/>
      <w:r w:rsidRPr="007A1CAE">
        <w:rPr>
          <w:rFonts w:ascii="Times New Roman" w:hAnsi="Times New Roman"/>
          <w:sz w:val="22"/>
          <w:szCs w:val="22"/>
        </w:rPr>
        <w:t>ritonavirom</w:t>
      </w:r>
      <w:proofErr w:type="spellEnd"/>
      <w:r w:rsidR="005929DE" w:rsidRPr="007A1CAE">
        <w:rPr>
          <w:rFonts w:ascii="Times New Roman" w:hAnsi="Times New Roman"/>
          <w:sz w:val="22"/>
          <w:szCs w:val="22"/>
        </w:rPr>
        <w:t xml:space="preserve"> bolo pozorované zníženie </w:t>
      </w:r>
      <w:r w:rsidR="009B6254">
        <w:rPr>
          <w:rFonts w:ascii="Times New Roman" w:hAnsi="Times New Roman"/>
          <w:sz w:val="22"/>
          <w:szCs w:val="22"/>
        </w:rPr>
        <w:t>ú</w:t>
      </w:r>
      <w:r w:rsidRPr="007A1CAE">
        <w:rPr>
          <w:rFonts w:ascii="Times New Roman" w:hAnsi="Times New Roman"/>
          <w:sz w:val="22"/>
          <w:szCs w:val="22"/>
        </w:rPr>
        <w:t>činnosti</w:t>
      </w:r>
      <w:r w:rsidR="005929DE"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A1CAE">
        <w:rPr>
          <w:rFonts w:ascii="Times New Roman" w:hAnsi="Times New Roman"/>
          <w:sz w:val="22"/>
          <w:szCs w:val="22"/>
        </w:rPr>
        <w:t>levotyroxínu</w:t>
      </w:r>
      <w:proofErr w:type="spellEnd"/>
      <w:r w:rsidRPr="007A1CAE">
        <w:rPr>
          <w:rFonts w:ascii="Times New Roman" w:hAnsi="Times New Roman"/>
          <w:sz w:val="22"/>
          <w:szCs w:val="22"/>
        </w:rPr>
        <w:t>. Preto sa pri sú</w:t>
      </w:r>
      <w:r w:rsidR="006F4B4A">
        <w:rPr>
          <w:rFonts w:ascii="Times New Roman" w:hAnsi="Times New Roman"/>
          <w:sz w:val="22"/>
          <w:szCs w:val="22"/>
        </w:rPr>
        <w:t>bežnej</w:t>
      </w:r>
      <w:r w:rsidRPr="007A1CAE">
        <w:rPr>
          <w:rFonts w:ascii="Times New Roman" w:hAnsi="Times New Roman"/>
          <w:sz w:val="22"/>
          <w:szCs w:val="22"/>
        </w:rPr>
        <w:t xml:space="preserve"> terapii </w:t>
      </w:r>
      <w:proofErr w:type="spellStart"/>
      <w:r w:rsidRPr="007A1CAE">
        <w:rPr>
          <w:rFonts w:ascii="Times New Roman" w:hAnsi="Times New Roman"/>
          <w:sz w:val="22"/>
          <w:szCs w:val="22"/>
        </w:rPr>
        <w:t>levotyroxínom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a inhibítormi </w:t>
      </w:r>
      <w:proofErr w:type="spellStart"/>
      <w:r w:rsidRPr="007A1CAE">
        <w:rPr>
          <w:rFonts w:ascii="Times New Roman" w:hAnsi="Times New Roman"/>
          <w:sz w:val="22"/>
          <w:szCs w:val="22"/>
        </w:rPr>
        <w:t>proteáz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</w:t>
      </w:r>
      <w:r w:rsidR="005929DE" w:rsidRPr="007A1CAE">
        <w:rPr>
          <w:rFonts w:ascii="Times New Roman" w:hAnsi="Times New Roman"/>
          <w:sz w:val="22"/>
          <w:szCs w:val="22"/>
        </w:rPr>
        <w:t xml:space="preserve"> </w:t>
      </w:r>
      <w:r w:rsidRPr="007A1CAE">
        <w:rPr>
          <w:rFonts w:ascii="Times New Roman" w:hAnsi="Times New Roman"/>
          <w:sz w:val="22"/>
          <w:szCs w:val="22"/>
        </w:rPr>
        <w:t>odporúča dôsledné monitorovanie klini</w:t>
      </w:r>
      <w:r w:rsidR="005929DE" w:rsidRPr="007A1CAE">
        <w:rPr>
          <w:rFonts w:ascii="Times New Roman" w:hAnsi="Times New Roman"/>
          <w:sz w:val="22"/>
          <w:szCs w:val="22"/>
        </w:rPr>
        <w:t>c</w:t>
      </w:r>
      <w:r w:rsidRPr="007A1CAE">
        <w:rPr>
          <w:rFonts w:ascii="Times New Roman" w:hAnsi="Times New Roman"/>
          <w:sz w:val="22"/>
          <w:szCs w:val="22"/>
        </w:rPr>
        <w:t>kých symptómov a funkcie štítnej žľazy.</w:t>
      </w:r>
    </w:p>
    <w:p w14:paraId="4F109196" w14:textId="77777777" w:rsidR="005929DE" w:rsidRPr="007A1CAE" w:rsidRDefault="005929DE" w:rsidP="00706D78">
      <w:pPr>
        <w:jc w:val="both"/>
        <w:rPr>
          <w:rFonts w:ascii="Times New Roman" w:hAnsi="Times New Roman"/>
          <w:sz w:val="22"/>
          <w:szCs w:val="22"/>
        </w:rPr>
      </w:pPr>
    </w:p>
    <w:p w14:paraId="49ADF68B" w14:textId="32946531" w:rsidR="008018B0" w:rsidRPr="007A1CAE" w:rsidRDefault="008018B0" w:rsidP="00706D78">
      <w:pPr>
        <w:jc w:val="both"/>
        <w:rPr>
          <w:rFonts w:ascii="Times New Roman" w:hAnsi="Times New Roman"/>
          <w:i/>
          <w:iCs/>
          <w:sz w:val="22"/>
          <w:szCs w:val="22"/>
        </w:rPr>
      </w:pPr>
      <w:r w:rsidRPr="007A1CAE">
        <w:rPr>
          <w:rFonts w:ascii="Times New Roman" w:hAnsi="Times New Roman"/>
          <w:i/>
          <w:iCs/>
          <w:sz w:val="22"/>
          <w:szCs w:val="22"/>
        </w:rPr>
        <w:t>Sójové produkty:</w:t>
      </w:r>
    </w:p>
    <w:p w14:paraId="1FADFA3F" w14:textId="4846CEBC" w:rsidR="00FB411F" w:rsidRPr="007A1CAE" w:rsidRDefault="008018B0" w:rsidP="00706D78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 xml:space="preserve">Môžu </w:t>
      </w:r>
      <w:r w:rsidR="00FC194A">
        <w:rPr>
          <w:rFonts w:ascii="Times New Roman" w:hAnsi="Times New Roman"/>
          <w:sz w:val="22"/>
          <w:szCs w:val="22"/>
        </w:rPr>
        <w:t>znižovať</w:t>
      </w:r>
      <w:r w:rsidR="00FC194A"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A1CAE">
        <w:rPr>
          <w:rFonts w:ascii="Times New Roman" w:hAnsi="Times New Roman"/>
          <w:sz w:val="22"/>
          <w:szCs w:val="22"/>
        </w:rPr>
        <w:t>intestinálnu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absorpciu </w:t>
      </w:r>
      <w:proofErr w:type="spellStart"/>
      <w:r w:rsidRPr="007A1CAE">
        <w:rPr>
          <w:rFonts w:ascii="Times New Roman" w:hAnsi="Times New Roman"/>
          <w:sz w:val="22"/>
          <w:szCs w:val="22"/>
        </w:rPr>
        <w:t>levotyroxín</w:t>
      </w:r>
      <w:r w:rsidR="00267071" w:rsidRPr="007A1CAE">
        <w:rPr>
          <w:rFonts w:ascii="Times New Roman" w:hAnsi="Times New Roman"/>
          <w:sz w:val="22"/>
          <w:szCs w:val="22"/>
        </w:rPr>
        <w:t>u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. </w:t>
      </w:r>
      <w:r w:rsidR="00267071" w:rsidRPr="007A1CAE">
        <w:rPr>
          <w:rFonts w:ascii="Times New Roman" w:hAnsi="Times New Roman"/>
          <w:sz w:val="22"/>
          <w:szCs w:val="22"/>
        </w:rPr>
        <w:t xml:space="preserve">U detí, ktoré boli liečené </w:t>
      </w:r>
      <w:proofErr w:type="spellStart"/>
      <w:r w:rsidR="00267071" w:rsidRPr="007A1CAE">
        <w:rPr>
          <w:rFonts w:ascii="Times New Roman" w:hAnsi="Times New Roman"/>
          <w:sz w:val="22"/>
          <w:szCs w:val="22"/>
        </w:rPr>
        <w:t>levotyroxínom</w:t>
      </w:r>
      <w:proofErr w:type="spellEnd"/>
      <w:r w:rsidR="00267071" w:rsidRPr="007A1CAE">
        <w:rPr>
          <w:rFonts w:ascii="Times New Roman" w:hAnsi="Times New Roman"/>
          <w:sz w:val="22"/>
          <w:szCs w:val="22"/>
        </w:rPr>
        <w:t xml:space="preserve"> pre vrodenú </w:t>
      </w:r>
      <w:proofErr w:type="spellStart"/>
      <w:r w:rsidR="00267071" w:rsidRPr="007A1CAE">
        <w:rPr>
          <w:rFonts w:ascii="Times New Roman" w:hAnsi="Times New Roman"/>
          <w:sz w:val="22"/>
          <w:szCs w:val="22"/>
        </w:rPr>
        <w:t>hypotyreózu</w:t>
      </w:r>
      <w:proofErr w:type="spellEnd"/>
      <w:r w:rsidR="00267071" w:rsidRPr="007A1CAE">
        <w:rPr>
          <w:rFonts w:ascii="Times New Roman" w:hAnsi="Times New Roman"/>
          <w:sz w:val="22"/>
          <w:szCs w:val="22"/>
        </w:rPr>
        <w:t xml:space="preserve"> a mali sójovú diétu bolo pozorované zvýšenie sérovej hladiny TSH. Nezvyčajne vysoké dávky </w:t>
      </w:r>
      <w:proofErr w:type="spellStart"/>
      <w:r w:rsidR="00267071" w:rsidRPr="007A1CAE">
        <w:rPr>
          <w:rFonts w:ascii="Times New Roman" w:hAnsi="Times New Roman"/>
          <w:sz w:val="22"/>
          <w:szCs w:val="22"/>
        </w:rPr>
        <w:t>levotyroxínu</w:t>
      </w:r>
      <w:proofErr w:type="spellEnd"/>
      <w:r w:rsidR="00267071" w:rsidRPr="007A1CAE">
        <w:rPr>
          <w:rFonts w:ascii="Times New Roman" w:hAnsi="Times New Roman"/>
          <w:sz w:val="22"/>
          <w:szCs w:val="22"/>
        </w:rPr>
        <w:t xml:space="preserve"> môžu byť potrebné n</w:t>
      </w:r>
      <w:r w:rsidR="005929DE" w:rsidRPr="007A1CAE">
        <w:rPr>
          <w:rFonts w:ascii="Times New Roman" w:hAnsi="Times New Roman"/>
          <w:sz w:val="22"/>
          <w:szCs w:val="22"/>
        </w:rPr>
        <w:t xml:space="preserve">a dosiahnutie normálnej sérovej </w:t>
      </w:r>
      <w:r w:rsidR="00267071" w:rsidRPr="007A1CAE">
        <w:rPr>
          <w:rFonts w:ascii="Times New Roman" w:hAnsi="Times New Roman"/>
          <w:sz w:val="22"/>
          <w:szCs w:val="22"/>
        </w:rPr>
        <w:t>hladiny T</w:t>
      </w:r>
      <w:r w:rsidR="00267071" w:rsidRPr="007A1CAE">
        <w:rPr>
          <w:rFonts w:ascii="Times New Roman" w:hAnsi="Times New Roman"/>
          <w:sz w:val="22"/>
          <w:szCs w:val="22"/>
          <w:vertAlign w:val="subscript"/>
        </w:rPr>
        <w:t xml:space="preserve">4 </w:t>
      </w:r>
      <w:r w:rsidR="00267071" w:rsidRPr="007A1CAE">
        <w:rPr>
          <w:rFonts w:ascii="Times New Roman" w:hAnsi="Times New Roman"/>
          <w:sz w:val="22"/>
          <w:szCs w:val="22"/>
        </w:rPr>
        <w:t>a TSH. Dôsledná kontrola sérových hladín T</w:t>
      </w:r>
      <w:r w:rsidR="00267071" w:rsidRPr="007A1CAE">
        <w:rPr>
          <w:rFonts w:ascii="Times New Roman" w:hAnsi="Times New Roman"/>
          <w:sz w:val="22"/>
          <w:szCs w:val="22"/>
          <w:vertAlign w:val="subscript"/>
        </w:rPr>
        <w:t xml:space="preserve">4 </w:t>
      </w:r>
      <w:r w:rsidR="005929DE" w:rsidRPr="007A1CAE">
        <w:rPr>
          <w:rFonts w:ascii="Times New Roman" w:hAnsi="Times New Roman"/>
          <w:sz w:val="22"/>
          <w:szCs w:val="22"/>
        </w:rPr>
        <w:t>a TSH je nevyhnutná počas a po</w:t>
      </w:r>
      <w:r w:rsidR="005929DE" w:rsidRPr="007A1CAE">
        <w:t xml:space="preserve"> </w:t>
      </w:r>
      <w:r w:rsidR="00267071" w:rsidRPr="007A1CAE">
        <w:rPr>
          <w:rFonts w:ascii="Times New Roman" w:hAnsi="Times New Roman"/>
          <w:sz w:val="22"/>
          <w:szCs w:val="22"/>
        </w:rPr>
        <w:t>skonč</w:t>
      </w:r>
      <w:r w:rsidR="005929DE" w:rsidRPr="007A1CAE">
        <w:rPr>
          <w:rFonts w:ascii="Times New Roman" w:hAnsi="Times New Roman"/>
          <w:sz w:val="22"/>
          <w:szCs w:val="22"/>
        </w:rPr>
        <w:t>e</w:t>
      </w:r>
      <w:r w:rsidR="00267071" w:rsidRPr="007A1CAE">
        <w:rPr>
          <w:rFonts w:ascii="Times New Roman" w:hAnsi="Times New Roman"/>
          <w:sz w:val="22"/>
          <w:szCs w:val="22"/>
        </w:rPr>
        <w:t>ní sójovej diéty</w:t>
      </w:r>
      <w:r w:rsidR="00FC194A">
        <w:rPr>
          <w:rFonts w:ascii="Times New Roman" w:hAnsi="Times New Roman"/>
          <w:sz w:val="22"/>
          <w:szCs w:val="22"/>
        </w:rPr>
        <w:t>,</w:t>
      </w:r>
      <w:r w:rsidR="00267071" w:rsidRPr="007A1CAE">
        <w:rPr>
          <w:rFonts w:ascii="Times New Roman" w:hAnsi="Times New Roman"/>
          <w:sz w:val="22"/>
          <w:szCs w:val="22"/>
        </w:rPr>
        <w:t xml:space="preserve"> </w:t>
      </w:r>
      <w:r w:rsidR="005F6371" w:rsidRPr="007A1CAE">
        <w:rPr>
          <w:rFonts w:ascii="Times New Roman" w:hAnsi="Times New Roman"/>
          <w:sz w:val="22"/>
          <w:szCs w:val="22"/>
        </w:rPr>
        <w:t>môže byť</w:t>
      </w:r>
      <w:r w:rsidRPr="007A1CAE">
        <w:rPr>
          <w:rFonts w:ascii="Times New Roman" w:hAnsi="Times New Roman"/>
          <w:sz w:val="22"/>
          <w:szCs w:val="22"/>
        </w:rPr>
        <w:t xml:space="preserve"> </w:t>
      </w:r>
      <w:r w:rsidR="00FC194A">
        <w:rPr>
          <w:rFonts w:ascii="Times New Roman" w:hAnsi="Times New Roman"/>
          <w:sz w:val="22"/>
          <w:szCs w:val="22"/>
        </w:rPr>
        <w:t xml:space="preserve">potrebná </w:t>
      </w:r>
      <w:r w:rsidRPr="007A1CAE">
        <w:rPr>
          <w:rFonts w:ascii="Times New Roman" w:hAnsi="Times New Roman"/>
          <w:sz w:val="22"/>
          <w:szCs w:val="22"/>
        </w:rPr>
        <w:t xml:space="preserve">úprava dávky </w:t>
      </w:r>
      <w:proofErr w:type="spellStart"/>
      <w:r w:rsidR="00DD7D1D" w:rsidRPr="007A1CAE">
        <w:rPr>
          <w:rFonts w:ascii="Times New Roman" w:hAnsi="Times New Roman"/>
          <w:sz w:val="22"/>
          <w:szCs w:val="22"/>
        </w:rPr>
        <w:t>levotyroxínu</w:t>
      </w:r>
      <w:proofErr w:type="spellEnd"/>
      <w:r w:rsidRPr="007A1CAE">
        <w:rPr>
          <w:rFonts w:ascii="Times New Roman" w:hAnsi="Times New Roman"/>
          <w:sz w:val="22"/>
          <w:szCs w:val="22"/>
        </w:rPr>
        <w:t>.</w:t>
      </w:r>
    </w:p>
    <w:p w14:paraId="7066032C" w14:textId="77777777" w:rsidR="008018B0" w:rsidRPr="007A1CAE" w:rsidRDefault="008018B0" w:rsidP="00706D78">
      <w:pPr>
        <w:jc w:val="both"/>
        <w:rPr>
          <w:rFonts w:ascii="Times New Roman" w:hAnsi="Times New Roman"/>
          <w:sz w:val="22"/>
          <w:szCs w:val="22"/>
        </w:rPr>
      </w:pPr>
    </w:p>
    <w:p w14:paraId="1494A958" w14:textId="5F75EE1E" w:rsidR="008018B0" w:rsidRPr="007A1CAE" w:rsidRDefault="00C65834" w:rsidP="00201EDA">
      <w:pPr>
        <w:jc w:val="both"/>
        <w:outlineLvl w:val="0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b/>
          <w:sz w:val="22"/>
          <w:szCs w:val="22"/>
        </w:rPr>
        <w:t xml:space="preserve">4.6 </w:t>
      </w:r>
      <w:r w:rsidR="005929DE" w:rsidRPr="007A1CAE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6A7DAF" w:rsidRPr="007A1CAE">
        <w:rPr>
          <w:rFonts w:ascii="Times New Roman" w:hAnsi="Times New Roman"/>
          <w:b/>
          <w:sz w:val="22"/>
          <w:szCs w:val="22"/>
        </w:rPr>
        <w:t>Fertilita</w:t>
      </w:r>
      <w:proofErr w:type="spellEnd"/>
      <w:r w:rsidR="006A7DAF" w:rsidRPr="007A1CAE">
        <w:rPr>
          <w:rFonts w:ascii="Times New Roman" w:hAnsi="Times New Roman"/>
          <w:b/>
          <w:sz w:val="22"/>
          <w:szCs w:val="22"/>
        </w:rPr>
        <w:t>, g</w:t>
      </w:r>
      <w:r w:rsidR="008018B0" w:rsidRPr="007A1CAE">
        <w:rPr>
          <w:rFonts w:ascii="Times New Roman" w:hAnsi="Times New Roman"/>
          <w:b/>
          <w:sz w:val="22"/>
          <w:szCs w:val="22"/>
        </w:rPr>
        <w:t>ravidit</w:t>
      </w:r>
      <w:r w:rsidR="005648EE" w:rsidRPr="007A1CAE">
        <w:rPr>
          <w:rFonts w:ascii="Times New Roman" w:hAnsi="Times New Roman"/>
          <w:b/>
          <w:sz w:val="22"/>
          <w:szCs w:val="22"/>
        </w:rPr>
        <w:t>a</w:t>
      </w:r>
      <w:r w:rsidR="008018B0" w:rsidRPr="007A1CAE">
        <w:rPr>
          <w:rFonts w:ascii="Times New Roman" w:hAnsi="Times New Roman"/>
          <w:b/>
          <w:sz w:val="22"/>
          <w:szCs w:val="22"/>
        </w:rPr>
        <w:t xml:space="preserve"> a laktáci</w:t>
      </w:r>
      <w:r w:rsidR="005648EE" w:rsidRPr="007A1CAE">
        <w:rPr>
          <w:rFonts w:ascii="Times New Roman" w:hAnsi="Times New Roman"/>
          <w:b/>
          <w:sz w:val="22"/>
          <w:szCs w:val="22"/>
        </w:rPr>
        <w:t>a</w:t>
      </w:r>
    </w:p>
    <w:p w14:paraId="26316046" w14:textId="77777777" w:rsidR="008018B0" w:rsidRPr="007A1CAE" w:rsidRDefault="008018B0">
      <w:pPr>
        <w:jc w:val="both"/>
        <w:rPr>
          <w:rFonts w:ascii="Times New Roman" w:hAnsi="Times New Roman"/>
          <w:sz w:val="22"/>
          <w:szCs w:val="22"/>
        </w:rPr>
      </w:pPr>
    </w:p>
    <w:p w14:paraId="4F4725F6" w14:textId="77777777" w:rsidR="00DD7D1D" w:rsidRPr="002F028B" w:rsidRDefault="00DD7D1D" w:rsidP="00706D78">
      <w:pPr>
        <w:jc w:val="both"/>
        <w:outlineLvl w:val="0"/>
        <w:rPr>
          <w:rFonts w:ascii="Times New Roman" w:hAnsi="Times New Roman"/>
          <w:sz w:val="22"/>
          <w:szCs w:val="22"/>
          <w:u w:val="single"/>
        </w:rPr>
      </w:pPr>
      <w:r w:rsidRPr="002F028B">
        <w:rPr>
          <w:rFonts w:ascii="Times New Roman" w:hAnsi="Times New Roman"/>
          <w:sz w:val="22"/>
          <w:szCs w:val="22"/>
          <w:u w:val="single"/>
        </w:rPr>
        <w:t>Gravidita</w:t>
      </w:r>
    </w:p>
    <w:p w14:paraId="7788219C" w14:textId="66D7FC9A" w:rsidR="00706D78" w:rsidRDefault="008018B0" w:rsidP="00706D78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 xml:space="preserve">Terapia hormónmi štítnej žľazy musí byť dôsledná najmä počas gravidity. Napriek ich rozsiahlemu používaniu počas gravidity, nie </w:t>
      </w:r>
      <w:r w:rsidR="00FC194A">
        <w:rPr>
          <w:rFonts w:ascii="Times New Roman" w:hAnsi="Times New Roman"/>
          <w:sz w:val="22"/>
          <w:szCs w:val="22"/>
        </w:rPr>
        <w:t>sú doteraz</w:t>
      </w:r>
      <w:r w:rsidR="00FC194A" w:rsidRPr="007A1CAE">
        <w:rPr>
          <w:rFonts w:ascii="Times New Roman" w:hAnsi="Times New Roman"/>
          <w:sz w:val="22"/>
          <w:szCs w:val="22"/>
        </w:rPr>
        <w:t xml:space="preserve"> </w:t>
      </w:r>
      <w:r w:rsidRPr="007A1CAE">
        <w:rPr>
          <w:rFonts w:ascii="Times New Roman" w:hAnsi="Times New Roman"/>
          <w:sz w:val="22"/>
          <w:szCs w:val="22"/>
        </w:rPr>
        <w:t>znám</w:t>
      </w:r>
      <w:r w:rsidR="00FC194A">
        <w:rPr>
          <w:rFonts w:ascii="Times New Roman" w:hAnsi="Times New Roman"/>
          <w:sz w:val="22"/>
          <w:szCs w:val="22"/>
        </w:rPr>
        <w:t>e</w:t>
      </w:r>
      <w:r w:rsidRPr="007A1CAE">
        <w:rPr>
          <w:rFonts w:ascii="Times New Roman" w:hAnsi="Times New Roman"/>
          <w:sz w:val="22"/>
          <w:szCs w:val="22"/>
        </w:rPr>
        <w:t xml:space="preserve"> </w:t>
      </w:r>
      <w:r w:rsidR="00DD7D1D" w:rsidRPr="007A1CAE">
        <w:rPr>
          <w:rFonts w:ascii="Times New Roman" w:hAnsi="Times New Roman"/>
          <w:sz w:val="22"/>
          <w:szCs w:val="22"/>
        </w:rPr>
        <w:t>nežiaduc</w:t>
      </w:r>
      <w:r w:rsidR="00FC194A">
        <w:rPr>
          <w:rFonts w:ascii="Times New Roman" w:hAnsi="Times New Roman"/>
          <w:sz w:val="22"/>
          <w:szCs w:val="22"/>
        </w:rPr>
        <w:t>e</w:t>
      </w:r>
      <w:r w:rsidR="00DD7D1D" w:rsidRPr="007A1CAE">
        <w:rPr>
          <w:rFonts w:ascii="Times New Roman" w:hAnsi="Times New Roman"/>
          <w:sz w:val="22"/>
          <w:szCs w:val="22"/>
        </w:rPr>
        <w:t xml:space="preserve"> účink</w:t>
      </w:r>
      <w:r w:rsidR="00FC194A">
        <w:rPr>
          <w:rFonts w:ascii="Times New Roman" w:hAnsi="Times New Roman"/>
          <w:sz w:val="22"/>
          <w:szCs w:val="22"/>
        </w:rPr>
        <w:t>y</w:t>
      </w:r>
      <w:r w:rsidR="00DD7D1D"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D7D1D" w:rsidRPr="007A1CAE">
        <w:rPr>
          <w:rFonts w:ascii="Times New Roman" w:hAnsi="Times New Roman"/>
          <w:sz w:val="22"/>
          <w:szCs w:val="22"/>
        </w:rPr>
        <w:t>levotyroxínu</w:t>
      </w:r>
      <w:proofErr w:type="spellEnd"/>
      <w:r w:rsidR="00DD7D1D" w:rsidRPr="007A1CAE">
        <w:rPr>
          <w:rFonts w:ascii="Times New Roman" w:hAnsi="Times New Roman"/>
          <w:sz w:val="22"/>
          <w:szCs w:val="22"/>
        </w:rPr>
        <w:t xml:space="preserve"> na </w:t>
      </w:r>
      <w:r w:rsidR="00FC194A">
        <w:rPr>
          <w:rFonts w:ascii="Times New Roman" w:hAnsi="Times New Roman"/>
          <w:sz w:val="22"/>
          <w:szCs w:val="22"/>
        </w:rPr>
        <w:t xml:space="preserve">priebeh </w:t>
      </w:r>
      <w:r w:rsidR="000353F8">
        <w:rPr>
          <w:rFonts w:ascii="Times New Roman" w:hAnsi="Times New Roman"/>
          <w:sz w:val="22"/>
          <w:szCs w:val="22"/>
        </w:rPr>
        <w:t>gravidit</w:t>
      </w:r>
      <w:r w:rsidR="00FC194A">
        <w:rPr>
          <w:rFonts w:ascii="Times New Roman" w:hAnsi="Times New Roman"/>
          <w:sz w:val="22"/>
          <w:szCs w:val="22"/>
        </w:rPr>
        <w:t>y</w:t>
      </w:r>
      <w:r w:rsidR="00DD7D1D" w:rsidRPr="007A1CAE">
        <w:rPr>
          <w:rFonts w:ascii="Times New Roman" w:hAnsi="Times New Roman"/>
          <w:sz w:val="22"/>
          <w:szCs w:val="22"/>
        </w:rPr>
        <w:t xml:space="preserve"> alebo</w:t>
      </w:r>
      <w:r w:rsidR="00FC194A">
        <w:rPr>
          <w:rFonts w:ascii="Times New Roman" w:hAnsi="Times New Roman"/>
          <w:sz w:val="22"/>
          <w:szCs w:val="22"/>
        </w:rPr>
        <w:t xml:space="preserve"> na</w:t>
      </w:r>
      <w:r w:rsidR="00DD7D1D" w:rsidRPr="007A1CAE">
        <w:rPr>
          <w:rFonts w:ascii="Times New Roman" w:hAnsi="Times New Roman"/>
          <w:sz w:val="22"/>
          <w:szCs w:val="22"/>
        </w:rPr>
        <w:t xml:space="preserve"> zdravie </w:t>
      </w:r>
      <w:r w:rsidRPr="007A1CAE">
        <w:rPr>
          <w:rFonts w:ascii="Times New Roman" w:hAnsi="Times New Roman"/>
          <w:sz w:val="22"/>
          <w:szCs w:val="22"/>
        </w:rPr>
        <w:t>plodu</w:t>
      </w:r>
      <w:r w:rsidR="00DD7D1D" w:rsidRPr="007A1CAE">
        <w:rPr>
          <w:rFonts w:ascii="Times New Roman" w:hAnsi="Times New Roman"/>
          <w:sz w:val="22"/>
          <w:szCs w:val="22"/>
        </w:rPr>
        <w:t xml:space="preserve"> či novorodenca</w:t>
      </w:r>
      <w:r w:rsidRPr="007A1CAE">
        <w:rPr>
          <w:rFonts w:ascii="Times New Roman" w:hAnsi="Times New Roman"/>
          <w:sz w:val="22"/>
          <w:szCs w:val="22"/>
        </w:rPr>
        <w:t>.</w:t>
      </w:r>
    </w:p>
    <w:p w14:paraId="3C7E564F" w14:textId="77777777" w:rsidR="00706D78" w:rsidRDefault="00706D78" w:rsidP="00706D78">
      <w:pPr>
        <w:jc w:val="both"/>
        <w:rPr>
          <w:rFonts w:ascii="Times New Roman" w:hAnsi="Times New Roman"/>
          <w:sz w:val="22"/>
          <w:szCs w:val="22"/>
        </w:rPr>
      </w:pPr>
    </w:p>
    <w:p w14:paraId="55C1D942" w14:textId="3A46A21F" w:rsidR="008018B0" w:rsidRDefault="00FC194A" w:rsidP="00706D7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Počas gravidity môže byť </w:t>
      </w:r>
      <w:r w:rsidR="00104792" w:rsidRPr="007A1CAE">
        <w:rPr>
          <w:rFonts w:ascii="Times New Roman" w:hAnsi="Times New Roman"/>
          <w:sz w:val="22"/>
          <w:szCs w:val="22"/>
        </w:rPr>
        <w:t xml:space="preserve"> zvýšená potreba </w:t>
      </w:r>
      <w:proofErr w:type="spellStart"/>
      <w:r w:rsidR="00104792" w:rsidRPr="007A1CAE">
        <w:rPr>
          <w:rFonts w:ascii="Times New Roman" w:hAnsi="Times New Roman"/>
          <w:sz w:val="22"/>
          <w:szCs w:val="22"/>
        </w:rPr>
        <w:t>levotyroxínu</w:t>
      </w:r>
      <w:proofErr w:type="spellEnd"/>
      <w:r w:rsidR="00104792" w:rsidRPr="007A1CAE">
        <w:rPr>
          <w:rFonts w:ascii="Times New Roman" w:hAnsi="Times New Roman"/>
          <w:sz w:val="22"/>
          <w:szCs w:val="22"/>
        </w:rPr>
        <w:t xml:space="preserve"> podmienená hladinou estrogénov. Funkci</w:t>
      </w:r>
      <w:r>
        <w:rPr>
          <w:rFonts w:ascii="Times New Roman" w:hAnsi="Times New Roman"/>
          <w:sz w:val="22"/>
          <w:szCs w:val="22"/>
        </w:rPr>
        <w:t xml:space="preserve">a </w:t>
      </w:r>
      <w:r w:rsidR="00104792" w:rsidRPr="007A1CAE">
        <w:rPr>
          <w:rFonts w:ascii="Times New Roman" w:hAnsi="Times New Roman"/>
          <w:sz w:val="22"/>
          <w:szCs w:val="22"/>
        </w:rPr>
        <w:t xml:space="preserve"> štítnej žľazy</w:t>
      </w:r>
      <w:r>
        <w:rPr>
          <w:rFonts w:ascii="Times New Roman" w:hAnsi="Times New Roman"/>
          <w:sz w:val="22"/>
          <w:szCs w:val="22"/>
        </w:rPr>
        <w:t xml:space="preserve"> má byť preto </w:t>
      </w:r>
      <w:r w:rsidR="00104792" w:rsidRPr="007A1CAE">
        <w:rPr>
          <w:rFonts w:ascii="Times New Roman" w:hAnsi="Times New Roman"/>
          <w:sz w:val="22"/>
          <w:szCs w:val="22"/>
        </w:rPr>
        <w:t xml:space="preserve"> počas </w:t>
      </w:r>
      <w:r w:rsidR="000353F8">
        <w:rPr>
          <w:rFonts w:ascii="Times New Roman" w:hAnsi="Times New Roman"/>
          <w:sz w:val="22"/>
          <w:szCs w:val="22"/>
        </w:rPr>
        <w:t>gravidity</w:t>
      </w:r>
      <w:r w:rsidR="00104792" w:rsidRPr="007A1CA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kontrolovaná </w:t>
      </w:r>
      <w:r w:rsidR="00104792" w:rsidRPr="007A1CAE">
        <w:rPr>
          <w:rFonts w:ascii="Times New Roman" w:hAnsi="Times New Roman"/>
          <w:sz w:val="22"/>
          <w:szCs w:val="22"/>
        </w:rPr>
        <w:t>a v prípade potreby</w:t>
      </w:r>
      <w:r>
        <w:rPr>
          <w:rFonts w:ascii="Times New Roman" w:hAnsi="Times New Roman"/>
          <w:sz w:val="22"/>
          <w:szCs w:val="22"/>
        </w:rPr>
        <w:t xml:space="preserve"> má byť</w:t>
      </w:r>
      <w:r w:rsidR="00104792" w:rsidRPr="007A1CAE">
        <w:rPr>
          <w:rFonts w:ascii="Times New Roman" w:hAnsi="Times New Roman"/>
          <w:sz w:val="22"/>
          <w:szCs w:val="22"/>
        </w:rPr>
        <w:t xml:space="preserve"> uprav</w:t>
      </w:r>
      <w:r>
        <w:rPr>
          <w:rFonts w:ascii="Times New Roman" w:hAnsi="Times New Roman"/>
          <w:sz w:val="22"/>
          <w:szCs w:val="22"/>
        </w:rPr>
        <w:t>ené</w:t>
      </w:r>
      <w:r w:rsidR="00104792" w:rsidRPr="007A1CAE">
        <w:rPr>
          <w:rFonts w:ascii="Times New Roman" w:hAnsi="Times New Roman"/>
          <w:sz w:val="22"/>
          <w:szCs w:val="22"/>
        </w:rPr>
        <w:t xml:space="preserve"> dávk</w:t>
      </w:r>
      <w:r>
        <w:rPr>
          <w:rFonts w:ascii="Times New Roman" w:hAnsi="Times New Roman"/>
          <w:sz w:val="22"/>
          <w:szCs w:val="22"/>
        </w:rPr>
        <w:t>ovanie hormónov štítnej žľazy.</w:t>
      </w:r>
    </w:p>
    <w:p w14:paraId="08B89A89" w14:textId="77777777" w:rsidR="00706D78" w:rsidRPr="007A1CAE" w:rsidRDefault="00706D78" w:rsidP="00706D78">
      <w:pPr>
        <w:jc w:val="both"/>
        <w:rPr>
          <w:rFonts w:ascii="Times New Roman" w:hAnsi="Times New Roman"/>
          <w:sz w:val="22"/>
          <w:szCs w:val="22"/>
        </w:rPr>
      </w:pPr>
    </w:p>
    <w:p w14:paraId="2D0D4047" w14:textId="43BC85C8" w:rsidR="00706D78" w:rsidRDefault="00FC194A" w:rsidP="00706D7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Používanie</w:t>
      </w:r>
      <w:r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levotyroxínu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 xml:space="preserve"> ako 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adjuvansu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 xml:space="preserve"> pri terapii 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hypertyreózy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tyreostatikami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 xml:space="preserve"> je </w:t>
      </w:r>
      <w:r w:rsidR="00936391">
        <w:rPr>
          <w:rFonts w:ascii="Times New Roman" w:hAnsi="Times New Roman"/>
          <w:sz w:val="22"/>
          <w:szCs w:val="22"/>
        </w:rPr>
        <w:t xml:space="preserve">v </w:t>
      </w:r>
      <w:r w:rsidR="008018B0" w:rsidRPr="007A1CAE">
        <w:rPr>
          <w:rFonts w:ascii="Times New Roman" w:hAnsi="Times New Roman"/>
          <w:sz w:val="22"/>
          <w:szCs w:val="22"/>
        </w:rPr>
        <w:t xml:space="preserve">období </w:t>
      </w:r>
      <w:r w:rsidR="000353F8">
        <w:rPr>
          <w:rFonts w:ascii="Times New Roman" w:hAnsi="Times New Roman"/>
          <w:sz w:val="22"/>
          <w:szCs w:val="22"/>
        </w:rPr>
        <w:t>gravidity</w:t>
      </w:r>
      <w:r w:rsidR="00D15152" w:rsidRPr="007A1CAE">
        <w:rPr>
          <w:rFonts w:ascii="Times New Roman" w:hAnsi="Times New Roman"/>
          <w:sz w:val="22"/>
          <w:szCs w:val="22"/>
        </w:rPr>
        <w:t xml:space="preserve"> </w:t>
      </w:r>
      <w:r w:rsidR="008018B0" w:rsidRPr="007A1CAE">
        <w:rPr>
          <w:rFonts w:ascii="Times New Roman" w:hAnsi="Times New Roman"/>
          <w:sz w:val="22"/>
          <w:szCs w:val="22"/>
        </w:rPr>
        <w:t>kontraindikovan</w:t>
      </w:r>
      <w:r>
        <w:rPr>
          <w:rFonts w:ascii="Times New Roman" w:hAnsi="Times New Roman"/>
          <w:sz w:val="22"/>
          <w:szCs w:val="22"/>
        </w:rPr>
        <w:t>é</w:t>
      </w:r>
      <w:r w:rsidR="008018B0" w:rsidRPr="007A1CAE">
        <w:rPr>
          <w:rFonts w:ascii="Times New Roman" w:hAnsi="Times New Roman"/>
          <w:sz w:val="22"/>
          <w:szCs w:val="22"/>
        </w:rPr>
        <w:t xml:space="preserve">, vzhľadom na nutnosť použitia 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tyreostatík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 xml:space="preserve"> vo vyššej dávke. 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Tyreostatiká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 xml:space="preserve"> na rozdiel od 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levotyroxínu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 xml:space="preserve"> môžu prechádzať placentárnou bariérou </w:t>
      </w:r>
      <w:r w:rsidR="00104792" w:rsidRPr="007A1CAE">
        <w:rPr>
          <w:rFonts w:ascii="Times New Roman" w:hAnsi="Times New Roman"/>
          <w:sz w:val="22"/>
          <w:szCs w:val="22"/>
        </w:rPr>
        <w:t xml:space="preserve">v účinnej dávke </w:t>
      </w:r>
      <w:r w:rsidR="008018B0" w:rsidRPr="007A1CAE">
        <w:rPr>
          <w:rFonts w:ascii="Times New Roman" w:hAnsi="Times New Roman"/>
          <w:sz w:val="22"/>
          <w:szCs w:val="22"/>
        </w:rPr>
        <w:t xml:space="preserve">a spôsobiť 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hypotyreózu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 xml:space="preserve"> plodu. Pokiaľ je u gravidnej ženy diagnostikovaná 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hypertyreóza</w:t>
      </w:r>
      <w:proofErr w:type="spellEnd"/>
      <w:r w:rsidR="00F56D75">
        <w:rPr>
          <w:rFonts w:ascii="Times New Roman" w:hAnsi="Times New Roman"/>
          <w:sz w:val="22"/>
          <w:szCs w:val="22"/>
        </w:rPr>
        <w:t>,</w:t>
      </w:r>
      <w:r w:rsidR="008018B0" w:rsidRPr="007A1CAE">
        <w:rPr>
          <w:rFonts w:ascii="Times New Roman" w:hAnsi="Times New Roman"/>
          <w:sz w:val="22"/>
          <w:szCs w:val="22"/>
        </w:rPr>
        <w:t xml:space="preserve"> je možné na terapiu použiť nízke dávky 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tyreostatík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 xml:space="preserve"> v</w:t>
      </w:r>
      <w:r w:rsidR="00CD39ED">
        <w:rPr>
          <w:rFonts w:ascii="Times New Roman" w:hAnsi="Times New Roman"/>
          <w:sz w:val="22"/>
          <w:szCs w:val="22"/>
        </w:rPr>
        <w:t> </w:t>
      </w:r>
      <w:proofErr w:type="spellStart"/>
      <w:r w:rsidR="008018B0" w:rsidRPr="007A1CAE">
        <w:rPr>
          <w:rFonts w:ascii="Times New Roman" w:hAnsi="Times New Roman"/>
          <w:sz w:val="22"/>
          <w:szCs w:val="22"/>
        </w:rPr>
        <w:t>monoterapii</w:t>
      </w:r>
      <w:proofErr w:type="spellEnd"/>
      <w:r w:rsidR="00CD39ED">
        <w:rPr>
          <w:rFonts w:ascii="Times New Roman" w:hAnsi="Times New Roman"/>
          <w:sz w:val="22"/>
          <w:szCs w:val="22"/>
        </w:rPr>
        <w:t xml:space="preserve"> (pozri </w:t>
      </w:r>
      <w:proofErr w:type="spellStart"/>
      <w:r w:rsidR="00CD39ED">
        <w:rPr>
          <w:rFonts w:ascii="Times New Roman" w:hAnsi="Times New Roman"/>
          <w:sz w:val="22"/>
          <w:szCs w:val="22"/>
        </w:rPr>
        <w:t>čať</w:t>
      </w:r>
      <w:proofErr w:type="spellEnd"/>
      <w:r w:rsidR="00CD39ED">
        <w:rPr>
          <w:rFonts w:ascii="Times New Roman" w:hAnsi="Times New Roman"/>
          <w:sz w:val="22"/>
          <w:szCs w:val="22"/>
        </w:rPr>
        <w:t xml:space="preserve"> 4.3)</w:t>
      </w:r>
      <w:r w:rsidR="008018B0" w:rsidRPr="007A1CAE">
        <w:rPr>
          <w:rFonts w:ascii="Times New Roman" w:hAnsi="Times New Roman"/>
          <w:sz w:val="22"/>
          <w:szCs w:val="22"/>
        </w:rPr>
        <w:t>.</w:t>
      </w:r>
    </w:p>
    <w:p w14:paraId="7067BAB5" w14:textId="737CE6DE" w:rsidR="008018B0" w:rsidRPr="007A1CAE" w:rsidRDefault="008018B0" w:rsidP="00706D78">
      <w:pPr>
        <w:jc w:val="both"/>
        <w:rPr>
          <w:rFonts w:ascii="Times New Roman" w:hAnsi="Times New Roman"/>
          <w:sz w:val="22"/>
          <w:szCs w:val="22"/>
        </w:rPr>
      </w:pPr>
    </w:p>
    <w:p w14:paraId="5672A691" w14:textId="56EE2E95" w:rsidR="008018B0" w:rsidRPr="007A1CAE" w:rsidRDefault="00FC194A" w:rsidP="00706D78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Počas gravidity sa nesmie vykonávať </w:t>
      </w:r>
      <w:proofErr w:type="spellStart"/>
      <w:r>
        <w:rPr>
          <w:rFonts w:ascii="Times New Roman" w:hAnsi="Times New Roman"/>
          <w:sz w:val="22"/>
          <w:szCs w:val="22"/>
        </w:rPr>
        <w:t>s</w:t>
      </w:r>
      <w:r w:rsidR="008018B0" w:rsidRPr="007A1CAE">
        <w:rPr>
          <w:rFonts w:ascii="Times New Roman" w:hAnsi="Times New Roman"/>
          <w:sz w:val="22"/>
          <w:szCs w:val="22"/>
        </w:rPr>
        <w:t>upresn</w:t>
      </w:r>
      <w:r w:rsidR="007D145F">
        <w:rPr>
          <w:rFonts w:ascii="Times New Roman" w:hAnsi="Times New Roman"/>
          <w:sz w:val="22"/>
          <w:szCs w:val="22"/>
        </w:rPr>
        <w:t>ý</w:t>
      </w:r>
      <w:proofErr w:type="spellEnd"/>
      <w:r w:rsidR="008018B0" w:rsidRPr="007A1CAE">
        <w:rPr>
          <w:rFonts w:ascii="Times New Roman" w:hAnsi="Times New Roman"/>
          <w:sz w:val="22"/>
          <w:szCs w:val="22"/>
        </w:rPr>
        <w:t xml:space="preserve"> test</w:t>
      </w:r>
      <w:r>
        <w:rPr>
          <w:rFonts w:ascii="Times New Roman" w:hAnsi="Times New Roman"/>
          <w:sz w:val="22"/>
          <w:szCs w:val="22"/>
        </w:rPr>
        <w:t>.</w:t>
      </w:r>
      <w:r w:rsidR="008018B0" w:rsidRPr="007A1CAE">
        <w:rPr>
          <w:rFonts w:ascii="Times New Roman" w:hAnsi="Times New Roman"/>
          <w:sz w:val="22"/>
          <w:szCs w:val="22"/>
        </w:rPr>
        <w:t xml:space="preserve"> </w:t>
      </w:r>
    </w:p>
    <w:p w14:paraId="076CE969" w14:textId="77777777" w:rsidR="00B44334" w:rsidRPr="007A1CAE" w:rsidRDefault="00B44334" w:rsidP="00706D78">
      <w:pPr>
        <w:pStyle w:val="Zarkazkladnhotextu"/>
        <w:ind w:left="0"/>
        <w:rPr>
          <w:rFonts w:ascii="Times New Roman" w:hAnsi="Times New Roman"/>
          <w:sz w:val="22"/>
          <w:szCs w:val="22"/>
        </w:rPr>
      </w:pPr>
    </w:p>
    <w:p w14:paraId="784327B9" w14:textId="77777777" w:rsidR="00104792" w:rsidRPr="002F028B" w:rsidRDefault="00104792" w:rsidP="00706D78">
      <w:pPr>
        <w:pStyle w:val="Zarkazkladnhotextu"/>
        <w:ind w:left="0"/>
        <w:outlineLvl w:val="0"/>
        <w:rPr>
          <w:rFonts w:ascii="Times New Roman" w:hAnsi="Times New Roman"/>
          <w:sz w:val="22"/>
          <w:szCs w:val="22"/>
          <w:u w:val="single"/>
        </w:rPr>
      </w:pPr>
      <w:r w:rsidRPr="002F028B">
        <w:rPr>
          <w:rFonts w:ascii="Times New Roman" w:hAnsi="Times New Roman"/>
          <w:sz w:val="22"/>
          <w:szCs w:val="22"/>
          <w:u w:val="single"/>
        </w:rPr>
        <w:t xml:space="preserve">Dojčenie </w:t>
      </w:r>
    </w:p>
    <w:p w14:paraId="4357E875" w14:textId="63262608" w:rsidR="00776CB3" w:rsidRDefault="00FC194A" w:rsidP="00706D7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 období dojčenia sa </w:t>
      </w:r>
      <w:r w:rsidR="00ED27A3">
        <w:rPr>
          <w:rFonts w:ascii="Times New Roman" w:hAnsi="Times New Roman"/>
          <w:sz w:val="22"/>
          <w:szCs w:val="22"/>
        </w:rPr>
        <w:t xml:space="preserve">dôsledne </w:t>
      </w:r>
      <w:r>
        <w:rPr>
          <w:rFonts w:ascii="Times New Roman" w:hAnsi="Times New Roman"/>
          <w:sz w:val="22"/>
          <w:szCs w:val="22"/>
        </w:rPr>
        <w:t>pokračuje s l</w:t>
      </w:r>
      <w:r w:rsidR="00776CB3" w:rsidRPr="007A1CAE">
        <w:rPr>
          <w:rFonts w:ascii="Times New Roman" w:hAnsi="Times New Roman"/>
          <w:sz w:val="22"/>
          <w:szCs w:val="22"/>
        </w:rPr>
        <w:t>iečb</w:t>
      </w:r>
      <w:r>
        <w:rPr>
          <w:rFonts w:ascii="Times New Roman" w:hAnsi="Times New Roman"/>
          <w:sz w:val="22"/>
          <w:szCs w:val="22"/>
        </w:rPr>
        <w:t>ou</w:t>
      </w:r>
      <w:r w:rsidR="00776CB3" w:rsidRPr="007A1CAE">
        <w:rPr>
          <w:rFonts w:ascii="Times New Roman" w:hAnsi="Times New Roman"/>
          <w:sz w:val="22"/>
          <w:szCs w:val="22"/>
        </w:rPr>
        <w:t xml:space="preserve"> hormónmi štítnej žľazy</w:t>
      </w:r>
      <w:r>
        <w:rPr>
          <w:rFonts w:ascii="Times New Roman" w:hAnsi="Times New Roman"/>
          <w:sz w:val="22"/>
          <w:szCs w:val="22"/>
        </w:rPr>
        <w:t>.</w:t>
      </w:r>
      <w:r w:rsidR="00776CB3" w:rsidRPr="007A1CAE">
        <w:rPr>
          <w:rFonts w:ascii="Times New Roman" w:hAnsi="Times New Roman"/>
          <w:sz w:val="22"/>
          <w:szCs w:val="22"/>
        </w:rPr>
        <w:t xml:space="preserve"> Doteraz nie </w:t>
      </w:r>
      <w:r>
        <w:rPr>
          <w:rFonts w:ascii="Times New Roman" w:hAnsi="Times New Roman"/>
          <w:sz w:val="22"/>
          <w:szCs w:val="22"/>
        </w:rPr>
        <w:t>sú</w:t>
      </w:r>
      <w:r w:rsidRPr="007A1CAE">
        <w:rPr>
          <w:rFonts w:ascii="Times New Roman" w:hAnsi="Times New Roman"/>
          <w:sz w:val="22"/>
          <w:szCs w:val="22"/>
        </w:rPr>
        <w:t xml:space="preserve"> </w:t>
      </w:r>
      <w:r w:rsidR="00776CB3" w:rsidRPr="007A1CAE">
        <w:rPr>
          <w:rFonts w:ascii="Times New Roman" w:hAnsi="Times New Roman"/>
          <w:sz w:val="22"/>
          <w:szCs w:val="22"/>
        </w:rPr>
        <w:t>znám</w:t>
      </w:r>
      <w:r>
        <w:rPr>
          <w:rFonts w:ascii="Times New Roman" w:hAnsi="Times New Roman"/>
          <w:sz w:val="22"/>
          <w:szCs w:val="22"/>
        </w:rPr>
        <w:t>e</w:t>
      </w:r>
      <w:r w:rsidR="00776CB3" w:rsidRPr="007A1CAE">
        <w:rPr>
          <w:rFonts w:ascii="Times New Roman" w:hAnsi="Times New Roman"/>
          <w:sz w:val="22"/>
          <w:szCs w:val="22"/>
        </w:rPr>
        <w:t xml:space="preserve"> nežiaduc</w:t>
      </w:r>
      <w:r>
        <w:rPr>
          <w:rFonts w:ascii="Times New Roman" w:hAnsi="Times New Roman"/>
          <w:sz w:val="22"/>
          <w:szCs w:val="22"/>
        </w:rPr>
        <w:t>e</w:t>
      </w:r>
      <w:r w:rsidR="00776CB3" w:rsidRPr="007A1CAE">
        <w:rPr>
          <w:rFonts w:ascii="Times New Roman" w:hAnsi="Times New Roman"/>
          <w:sz w:val="22"/>
          <w:szCs w:val="22"/>
        </w:rPr>
        <w:t xml:space="preserve"> účink</w:t>
      </w:r>
      <w:r>
        <w:rPr>
          <w:rFonts w:ascii="Times New Roman" w:hAnsi="Times New Roman"/>
          <w:sz w:val="22"/>
          <w:szCs w:val="22"/>
        </w:rPr>
        <w:t>y</w:t>
      </w:r>
      <w:r w:rsidR="00776CB3"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76CB3" w:rsidRPr="007A1CAE">
        <w:rPr>
          <w:rFonts w:ascii="Times New Roman" w:hAnsi="Times New Roman"/>
          <w:sz w:val="22"/>
          <w:szCs w:val="22"/>
        </w:rPr>
        <w:t>levotyroxínu</w:t>
      </w:r>
      <w:proofErr w:type="spellEnd"/>
      <w:r w:rsidR="00776CB3" w:rsidRPr="007A1CAE">
        <w:rPr>
          <w:rFonts w:ascii="Times New Roman" w:hAnsi="Times New Roman"/>
          <w:sz w:val="22"/>
          <w:szCs w:val="22"/>
        </w:rPr>
        <w:t xml:space="preserve"> na zdravie novorodenca. Množstvo hormónov štítnej žľazy, ktoré sa vylučuje do materského mlieka počas laktácie, dokonca aj pri užívaní vysokých dávok </w:t>
      </w:r>
      <w:proofErr w:type="spellStart"/>
      <w:r w:rsidR="00776CB3" w:rsidRPr="007A1CAE">
        <w:rPr>
          <w:rFonts w:ascii="Times New Roman" w:hAnsi="Times New Roman"/>
          <w:sz w:val="22"/>
          <w:szCs w:val="22"/>
        </w:rPr>
        <w:t>levotyroxínu</w:t>
      </w:r>
      <w:proofErr w:type="spellEnd"/>
      <w:r w:rsidR="00776CB3" w:rsidRPr="007A1CAE">
        <w:rPr>
          <w:rFonts w:ascii="Times New Roman" w:hAnsi="Times New Roman"/>
          <w:sz w:val="22"/>
          <w:szCs w:val="22"/>
        </w:rPr>
        <w:t xml:space="preserve">, nedosahuje takú hladinu, aby u novorodenca došlo ku vzniku </w:t>
      </w:r>
      <w:proofErr w:type="spellStart"/>
      <w:r w:rsidR="00776CB3" w:rsidRPr="007A1CAE">
        <w:rPr>
          <w:rFonts w:ascii="Times New Roman" w:hAnsi="Times New Roman"/>
          <w:sz w:val="22"/>
          <w:szCs w:val="22"/>
        </w:rPr>
        <w:t>hypertyreózy</w:t>
      </w:r>
      <w:proofErr w:type="spellEnd"/>
      <w:r w:rsidR="00776CB3" w:rsidRPr="007A1CAE">
        <w:rPr>
          <w:rFonts w:ascii="Times New Roman" w:hAnsi="Times New Roman"/>
          <w:sz w:val="22"/>
          <w:szCs w:val="22"/>
        </w:rPr>
        <w:t xml:space="preserve"> alebo ku </w:t>
      </w:r>
      <w:proofErr w:type="spellStart"/>
      <w:r w:rsidR="00776CB3" w:rsidRPr="007A1CAE">
        <w:rPr>
          <w:rFonts w:ascii="Times New Roman" w:hAnsi="Times New Roman"/>
          <w:sz w:val="22"/>
          <w:szCs w:val="22"/>
        </w:rPr>
        <w:t>supresii</w:t>
      </w:r>
      <w:proofErr w:type="spellEnd"/>
      <w:r w:rsidR="00776CB3" w:rsidRPr="007A1CAE">
        <w:rPr>
          <w:rFonts w:ascii="Times New Roman" w:hAnsi="Times New Roman"/>
          <w:sz w:val="22"/>
          <w:szCs w:val="22"/>
        </w:rPr>
        <w:t xml:space="preserve"> TSH sekrécie.</w:t>
      </w:r>
    </w:p>
    <w:p w14:paraId="1E7D9AE9" w14:textId="77777777" w:rsidR="00706D78" w:rsidRPr="007A1CAE" w:rsidRDefault="00706D78" w:rsidP="00706D78">
      <w:pPr>
        <w:jc w:val="both"/>
        <w:rPr>
          <w:rFonts w:ascii="Times New Roman" w:hAnsi="Times New Roman"/>
          <w:sz w:val="22"/>
          <w:szCs w:val="22"/>
        </w:rPr>
      </w:pPr>
    </w:p>
    <w:p w14:paraId="53AC9E48" w14:textId="02A7D148" w:rsidR="00776CB3" w:rsidRDefault="00776CB3" w:rsidP="00706D78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>U </w:t>
      </w:r>
      <w:r w:rsidR="000353F8">
        <w:rPr>
          <w:rFonts w:ascii="Times New Roman" w:hAnsi="Times New Roman"/>
          <w:sz w:val="22"/>
          <w:szCs w:val="22"/>
        </w:rPr>
        <w:t>gravid</w:t>
      </w:r>
      <w:r w:rsidRPr="007A1CAE">
        <w:rPr>
          <w:rFonts w:ascii="Times New Roman" w:hAnsi="Times New Roman"/>
          <w:sz w:val="22"/>
          <w:szCs w:val="22"/>
        </w:rPr>
        <w:t xml:space="preserve">ných žien je zvýšená potreba </w:t>
      </w:r>
      <w:proofErr w:type="spellStart"/>
      <w:r w:rsidRPr="007A1CAE">
        <w:rPr>
          <w:rFonts w:ascii="Times New Roman" w:hAnsi="Times New Roman"/>
          <w:sz w:val="22"/>
          <w:szCs w:val="22"/>
        </w:rPr>
        <w:t>levotyroxínu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podmienená hladinou estrogénov. Funkciu štítnej žľazy je teda potrebné kontrolovať aj po skončení </w:t>
      </w:r>
      <w:r w:rsidR="000353F8">
        <w:rPr>
          <w:rFonts w:ascii="Times New Roman" w:hAnsi="Times New Roman"/>
          <w:sz w:val="22"/>
          <w:szCs w:val="22"/>
        </w:rPr>
        <w:t>gravidity</w:t>
      </w:r>
      <w:r w:rsidRPr="007A1CAE">
        <w:rPr>
          <w:rFonts w:ascii="Times New Roman" w:hAnsi="Times New Roman"/>
          <w:sz w:val="22"/>
          <w:szCs w:val="22"/>
        </w:rPr>
        <w:t xml:space="preserve"> a v prípade potreby upraviť dávku lieku.</w:t>
      </w:r>
    </w:p>
    <w:p w14:paraId="20410E7E" w14:textId="77777777" w:rsidR="00706D78" w:rsidRPr="007A1CAE" w:rsidRDefault="00706D78" w:rsidP="00706D78">
      <w:pPr>
        <w:jc w:val="both"/>
        <w:rPr>
          <w:rFonts w:ascii="Times New Roman" w:hAnsi="Times New Roman"/>
          <w:sz w:val="22"/>
          <w:szCs w:val="22"/>
        </w:rPr>
      </w:pPr>
    </w:p>
    <w:p w14:paraId="7AD5C58C" w14:textId="006E133C" w:rsidR="00104792" w:rsidRPr="007A1CAE" w:rsidRDefault="009F10A9" w:rsidP="00706D78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 období </w:t>
      </w:r>
      <w:r w:rsidR="00ED27A3">
        <w:rPr>
          <w:rFonts w:ascii="Times New Roman" w:hAnsi="Times New Roman"/>
          <w:sz w:val="22"/>
          <w:szCs w:val="22"/>
        </w:rPr>
        <w:t>laktácie</w:t>
      </w:r>
      <w:r>
        <w:rPr>
          <w:rFonts w:ascii="Times New Roman" w:hAnsi="Times New Roman"/>
          <w:sz w:val="22"/>
          <w:szCs w:val="22"/>
        </w:rPr>
        <w:t xml:space="preserve"> sa nesmie vykonávať </w:t>
      </w:r>
      <w:proofErr w:type="spellStart"/>
      <w:r>
        <w:rPr>
          <w:rFonts w:ascii="Times New Roman" w:hAnsi="Times New Roman"/>
          <w:sz w:val="22"/>
          <w:szCs w:val="22"/>
        </w:rPr>
        <w:t>s</w:t>
      </w:r>
      <w:r w:rsidR="00776CB3" w:rsidRPr="007A1CAE">
        <w:rPr>
          <w:rFonts w:ascii="Times New Roman" w:hAnsi="Times New Roman"/>
          <w:sz w:val="22"/>
          <w:szCs w:val="22"/>
        </w:rPr>
        <w:t>upresn</w:t>
      </w:r>
      <w:r w:rsidR="007D145F">
        <w:rPr>
          <w:rFonts w:ascii="Times New Roman" w:hAnsi="Times New Roman"/>
          <w:sz w:val="22"/>
          <w:szCs w:val="22"/>
        </w:rPr>
        <w:t>ý</w:t>
      </w:r>
      <w:proofErr w:type="spellEnd"/>
      <w:r w:rsidR="00776CB3" w:rsidRPr="007A1CAE">
        <w:rPr>
          <w:rFonts w:ascii="Times New Roman" w:hAnsi="Times New Roman"/>
          <w:sz w:val="22"/>
          <w:szCs w:val="22"/>
        </w:rPr>
        <w:t xml:space="preserve"> test</w:t>
      </w:r>
      <w:r>
        <w:rPr>
          <w:rFonts w:ascii="Times New Roman" w:hAnsi="Times New Roman"/>
          <w:sz w:val="22"/>
          <w:szCs w:val="22"/>
        </w:rPr>
        <w:t>.</w:t>
      </w:r>
      <w:r w:rsidR="00776CB3" w:rsidRPr="007A1CAE">
        <w:rPr>
          <w:rFonts w:ascii="Times New Roman" w:hAnsi="Times New Roman"/>
          <w:sz w:val="22"/>
          <w:szCs w:val="22"/>
        </w:rPr>
        <w:t xml:space="preserve"> </w:t>
      </w:r>
    </w:p>
    <w:p w14:paraId="76087A87" w14:textId="77777777" w:rsidR="00776CB3" w:rsidRPr="007A1CAE" w:rsidRDefault="00776CB3" w:rsidP="00706D78">
      <w:pPr>
        <w:pStyle w:val="Zarkazkladnhotextu"/>
        <w:ind w:left="0"/>
        <w:rPr>
          <w:rFonts w:ascii="Times New Roman" w:hAnsi="Times New Roman"/>
          <w:sz w:val="22"/>
          <w:szCs w:val="22"/>
        </w:rPr>
      </w:pPr>
    </w:p>
    <w:p w14:paraId="3E5171D2" w14:textId="77777777" w:rsidR="00776CB3" w:rsidRPr="002F028B" w:rsidRDefault="00776CB3" w:rsidP="00706D78">
      <w:pPr>
        <w:pStyle w:val="Zarkazkladnhotextu"/>
        <w:ind w:left="0"/>
        <w:outlineLvl w:val="0"/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2F028B">
        <w:rPr>
          <w:rFonts w:ascii="Times New Roman" w:hAnsi="Times New Roman"/>
          <w:sz w:val="22"/>
          <w:szCs w:val="22"/>
          <w:u w:val="single"/>
        </w:rPr>
        <w:t>Fertilita</w:t>
      </w:r>
      <w:proofErr w:type="spellEnd"/>
    </w:p>
    <w:p w14:paraId="6D7C7239" w14:textId="6FDDFC2E" w:rsidR="00776CB3" w:rsidRPr="007A1CAE" w:rsidRDefault="00776CB3" w:rsidP="00706D78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 xml:space="preserve">K dispozícii nie sú žiadne údaje z výskumu o poškodení mužskej alebo ženskej </w:t>
      </w:r>
      <w:proofErr w:type="spellStart"/>
      <w:r w:rsidRPr="007A1CAE">
        <w:rPr>
          <w:rFonts w:ascii="Times New Roman" w:hAnsi="Times New Roman"/>
          <w:sz w:val="22"/>
          <w:szCs w:val="22"/>
        </w:rPr>
        <w:t>fertility</w:t>
      </w:r>
      <w:proofErr w:type="spellEnd"/>
      <w:r w:rsidR="009F10A9">
        <w:rPr>
          <w:rFonts w:ascii="Times New Roman" w:hAnsi="Times New Roman"/>
          <w:sz w:val="22"/>
          <w:szCs w:val="22"/>
        </w:rPr>
        <w:t>.</w:t>
      </w:r>
      <w:r w:rsidRPr="007A1CAE">
        <w:rPr>
          <w:rFonts w:ascii="Times New Roman" w:hAnsi="Times New Roman"/>
          <w:sz w:val="22"/>
          <w:szCs w:val="22"/>
        </w:rPr>
        <w:t xml:space="preserve"> </w:t>
      </w:r>
      <w:r w:rsidR="009F10A9">
        <w:rPr>
          <w:rFonts w:ascii="Times New Roman" w:hAnsi="Times New Roman"/>
          <w:sz w:val="22"/>
          <w:szCs w:val="22"/>
        </w:rPr>
        <w:t>N</w:t>
      </w:r>
      <w:r w:rsidRPr="007A1CAE">
        <w:rPr>
          <w:rFonts w:ascii="Times New Roman" w:hAnsi="Times New Roman"/>
          <w:sz w:val="22"/>
          <w:szCs w:val="22"/>
        </w:rPr>
        <w:t>eexistuje ani podozrenie alebo indikácia takéhoto vplyvu.</w:t>
      </w:r>
    </w:p>
    <w:p w14:paraId="5A36F582" w14:textId="77777777" w:rsidR="008018B0" w:rsidRPr="007A1CAE" w:rsidRDefault="008018B0" w:rsidP="00706D78">
      <w:pPr>
        <w:jc w:val="both"/>
        <w:rPr>
          <w:rFonts w:ascii="Times New Roman" w:hAnsi="Times New Roman"/>
          <w:sz w:val="22"/>
          <w:szCs w:val="22"/>
        </w:rPr>
      </w:pPr>
    </w:p>
    <w:p w14:paraId="09755F5C" w14:textId="77777777" w:rsidR="008018B0" w:rsidRPr="007A1CAE" w:rsidRDefault="00C65834" w:rsidP="00201EDA">
      <w:pPr>
        <w:jc w:val="both"/>
        <w:outlineLvl w:val="0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b/>
          <w:sz w:val="22"/>
          <w:szCs w:val="22"/>
        </w:rPr>
        <w:t xml:space="preserve">4.7 </w:t>
      </w:r>
      <w:r w:rsidR="007F11BE" w:rsidRPr="007A1CAE">
        <w:rPr>
          <w:rFonts w:ascii="Times New Roman" w:hAnsi="Times New Roman"/>
          <w:b/>
          <w:sz w:val="22"/>
          <w:szCs w:val="22"/>
        </w:rPr>
        <w:t xml:space="preserve"> </w:t>
      </w:r>
      <w:r w:rsidR="008018B0" w:rsidRPr="007A1CAE">
        <w:rPr>
          <w:rFonts w:ascii="Times New Roman" w:hAnsi="Times New Roman"/>
          <w:b/>
          <w:sz w:val="22"/>
          <w:szCs w:val="22"/>
        </w:rPr>
        <w:t xml:space="preserve">Ovplyvnenie schopnosti viesť </w:t>
      </w:r>
      <w:r w:rsidR="00423A1A" w:rsidRPr="007A1CAE">
        <w:rPr>
          <w:rFonts w:ascii="Times New Roman" w:hAnsi="Times New Roman"/>
          <w:b/>
          <w:sz w:val="22"/>
          <w:szCs w:val="22"/>
        </w:rPr>
        <w:t>v</w:t>
      </w:r>
      <w:r w:rsidR="008018B0" w:rsidRPr="007A1CAE">
        <w:rPr>
          <w:rFonts w:ascii="Times New Roman" w:hAnsi="Times New Roman"/>
          <w:b/>
          <w:sz w:val="22"/>
          <w:szCs w:val="22"/>
        </w:rPr>
        <w:t>ozidlá a obsluhovať stroje</w:t>
      </w:r>
    </w:p>
    <w:p w14:paraId="76D80BCF" w14:textId="77777777" w:rsidR="008018B0" w:rsidRPr="007A1CAE" w:rsidRDefault="008018B0" w:rsidP="002F028B">
      <w:pPr>
        <w:jc w:val="both"/>
        <w:rPr>
          <w:rFonts w:ascii="Times New Roman" w:hAnsi="Times New Roman"/>
          <w:sz w:val="22"/>
          <w:szCs w:val="22"/>
        </w:rPr>
      </w:pPr>
    </w:p>
    <w:p w14:paraId="5949F7AA" w14:textId="77777777" w:rsidR="008018B0" w:rsidRPr="007A1CAE" w:rsidRDefault="00ED1EBB" w:rsidP="002F028B">
      <w:pPr>
        <w:jc w:val="both"/>
        <w:outlineLvl w:val="0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>Ne</w:t>
      </w:r>
      <w:r w:rsidR="00665FEB" w:rsidRPr="007A1CAE">
        <w:rPr>
          <w:rFonts w:ascii="Times New Roman" w:hAnsi="Times New Roman"/>
          <w:sz w:val="22"/>
          <w:szCs w:val="22"/>
        </w:rPr>
        <w:t>uskutočnili sa žiadne štúdie o účinkoch na schopnosť viesť vozidlá a obsluhovať stroje.</w:t>
      </w:r>
    </w:p>
    <w:p w14:paraId="05AF0B27" w14:textId="77777777" w:rsidR="008018B0" w:rsidRPr="007A1CAE" w:rsidRDefault="008018B0">
      <w:pPr>
        <w:jc w:val="both"/>
        <w:rPr>
          <w:rFonts w:ascii="Times New Roman" w:hAnsi="Times New Roman"/>
          <w:sz w:val="22"/>
          <w:szCs w:val="22"/>
        </w:rPr>
      </w:pPr>
    </w:p>
    <w:p w14:paraId="274B9B34" w14:textId="77777777" w:rsidR="008018B0" w:rsidRPr="007A1CAE" w:rsidRDefault="00C65834" w:rsidP="00201EDA">
      <w:pPr>
        <w:jc w:val="both"/>
        <w:outlineLvl w:val="0"/>
        <w:rPr>
          <w:rFonts w:ascii="Times New Roman" w:hAnsi="Times New Roman"/>
          <w:b/>
          <w:sz w:val="22"/>
          <w:szCs w:val="22"/>
        </w:rPr>
      </w:pPr>
      <w:r w:rsidRPr="007A1CAE">
        <w:rPr>
          <w:rFonts w:ascii="Times New Roman" w:hAnsi="Times New Roman"/>
          <w:b/>
          <w:sz w:val="22"/>
          <w:szCs w:val="22"/>
        </w:rPr>
        <w:t xml:space="preserve">4.8 </w:t>
      </w:r>
      <w:r w:rsidR="007F11BE" w:rsidRPr="007A1CAE">
        <w:rPr>
          <w:rFonts w:ascii="Times New Roman" w:hAnsi="Times New Roman"/>
          <w:b/>
          <w:sz w:val="22"/>
          <w:szCs w:val="22"/>
        </w:rPr>
        <w:t xml:space="preserve"> </w:t>
      </w:r>
      <w:r w:rsidR="008018B0" w:rsidRPr="007A1CAE">
        <w:rPr>
          <w:rFonts w:ascii="Times New Roman" w:hAnsi="Times New Roman"/>
          <w:b/>
          <w:sz w:val="22"/>
          <w:szCs w:val="22"/>
        </w:rPr>
        <w:t>Nežiaduce účinky</w:t>
      </w:r>
    </w:p>
    <w:p w14:paraId="79D815A2" w14:textId="1886909D" w:rsidR="00FB411F" w:rsidRPr="007A1CAE" w:rsidRDefault="00FB411F" w:rsidP="00706D78">
      <w:pPr>
        <w:jc w:val="both"/>
        <w:rPr>
          <w:rFonts w:ascii="Times New Roman" w:hAnsi="Times New Roman"/>
          <w:bCs/>
          <w:sz w:val="22"/>
          <w:szCs w:val="22"/>
        </w:rPr>
      </w:pPr>
    </w:p>
    <w:p w14:paraId="71C2CEF3" w14:textId="12E3E04D" w:rsidR="008018B0" w:rsidRPr="007A1CAE" w:rsidRDefault="008018B0" w:rsidP="00706D78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 xml:space="preserve">Pri správnej liečbe </w:t>
      </w:r>
      <w:proofErr w:type="spellStart"/>
      <w:r w:rsidR="005F6371" w:rsidRPr="007A1CAE">
        <w:rPr>
          <w:rFonts w:ascii="Times New Roman" w:hAnsi="Times New Roman"/>
          <w:sz w:val="22"/>
          <w:szCs w:val="22"/>
        </w:rPr>
        <w:t>L-Thyroxinom</w:t>
      </w:r>
      <w:proofErr w:type="spellEnd"/>
      <w:r w:rsidR="009F10A9">
        <w:rPr>
          <w:rFonts w:ascii="Times New Roman" w:hAnsi="Times New Roman"/>
          <w:sz w:val="22"/>
          <w:szCs w:val="22"/>
        </w:rPr>
        <w:t xml:space="preserve"> </w:t>
      </w:r>
      <w:r w:rsidR="00A935FD" w:rsidRPr="007A1CAE">
        <w:rPr>
          <w:rFonts w:ascii="Times New Roman" w:hAnsi="Times New Roman"/>
          <w:sz w:val="22"/>
          <w:szCs w:val="22"/>
        </w:rPr>
        <w:t>12</w:t>
      </w:r>
      <w:r w:rsidR="005F6371" w:rsidRPr="007A1CAE">
        <w:rPr>
          <w:rFonts w:ascii="Times New Roman" w:hAnsi="Times New Roman"/>
          <w:sz w:val="22"/>
          <w:szCs w:val="22"/>
        </w:rPr>
        <w:t xml:space="preserve">5 </w:t>
      </w:r>
      <w:proofErr w:type="spellStart"/>
      <w:r w:rsidR="005F6371" w:rsidRPr="007A1CAE">
        <w:rPr>
          <w:rFonts w:ascii="Times New Roman" w:hAnsi="Times New Roman"/>
          <w:sz w:val="22"/>
          <w:szCs w:val="22"/>
        </w:rPr>
        <w:t>Berlin-Chemie</w:t>
      </w:r>
      <w:proofErr w:type="spellEnd"/>
      <w:r w:rsidR="005F6371" w:rsidRPr="007A1CAE">
        <w:rPr>
          <w:rFonts w:ascii="Times New Roman" w:hAnsi="Times New Roman"/>
          <w:sz w:val="22"/>
          <w:szCs w:val="22"/>
        </w:rPr>
        <w:t xml:space="preserve"> </w:t>
      </w:r>
      <w:r w:rsidRPr="007A1CAE">
        <w:rPr>
          <w:rFonts w:ascii="Times New Roman" w:hAnsi="Times New Roman"/>
          <w:sz w:val="22"/>
          <w:szCs w:val="22"/>
        </w:rPr>
        <w:t xml:space="preserve">na základe </w:t>
      </w:r>
      <w:r w:rsidR="00ED1EBB" w:rsidRPr="007A1CAE">
        <w:rPr>
          <w:rFonts w:ascii="Times New Roman" w:hAnsi="Times New Roman"/>
          <w:sz w:val="22"/>
          <w:szCs w:val="22"/>
        </w:rPr>
        <w:t>z</w:t>
      </w:r>
      <w:r w:rsidRPr="007A1CAE">
        <w:rPr>
          <w:rFonts w:ascii="Times New Roman" w:hAnsi="Times New Roman"/>
          <w:sz w:val="22"/>
          <w:szCs w:val="22"/>
        </w:rPr>
        <w:t xml:space="preserve">hodnotenia klinického stavu a laboratórnych vyšetrení je výskyt nežiaducich účinkov nepravdepodobný. Ak pacient v zriedkavých prípadoch netoleruje </w:t>
      </w:r>
      <w:r w:rsidR="009F10A9">
        <w:rPr>
          <w:rFonts w:ascii="Times New Roman" w:hAnsi="Times New Roman"/>
          <w:sz w:val="22"/>
          <w:szCs w:val="22"/>
        </w:rPr>
        <w:t xml:space="preserve">danú veľkosť </w:t>
      </w:r>
      <w:r w:rsidRPr="007A1CAE">
        <w:rPr>
          <w:rFonts w:ascii="Times New Roman" w:hAnsi="Times New Roman"/>
          <w:sz w:val="22"/>
          <w:szCs w:val="22"/>
        </w:rPr>
        <w:t>dávk</w:t>
      </w:r>
      <w:r w:rsidR="009F10A9">
        <w:rPr>
          <w:rFonts w:ascii="Times New Roman" w:hAnsi="Times New Roman"/>
          <w:sz w:val="22"/>
          <w:szCs w:val="22"/>
        </w:rPr>
        <w:t>y</w:t>
      </w:r>
      <w:r w:rsidRPr="007A1CAE">
        <w:rPr>
          <w:rFonts w:ascii="Times New Roman" w:hAnsi="Times New Roman"/>
          <w:sz w:val="22"/>
          <w:szCs w:val="22"/>
        </w:rPr>
        <w:t xml:space="preserve">, </w:t>
      </w:r>
      <w:r w:rsidR="009F10A9">
        <w:rPr>
          <w:rFonts w:ascii="Times New Roman" w:hAnsi="Times New Roman"/>
          <w:sz w:val="22"/>
          <w:szCs w:val="22"/>
        </w:rPr>
        <w:t>alebo došlo k</w:t>
      </w:r>
      <w:r w:rsidRPr="007A1CAE">
        <w:rPr>
          <w:rFonts w:ascii="Times New Roman" w:hAnsi="Times New Roman"/>
          <w:sz w:val="22"/>
          <w:szCs w:val="22"/>
        </w:rPr>
        <w:t xml:space="preserve"> predávkovan</w:t>
      </w:r>
      <w:r w:rsidR="009F10A9">
        <w:rPr>
          <w:rFonts w:ascii="Times New Roman" w:hAnsi="Times New Roman"/>
          <w:sz w:val="22"/>
          <w:szCs w:val="22"/>
        </w:rPr>
        <w:t>iu</w:t>
      </w:r>
      <w:r w:rsidRPr="007A1CAE">
        <w:rPr>
          <w:rFonts w:ascii="Times New Roman" w:hAnsi="Times New Roman"/>
          <w:sz w:val="22"/>
          <w:szCs w:val="22"/>
        </w:rPr>
        <w:t xml:space="preserve">, </w:t>
      </w:r>
      <w:r w:rsidR="009F10A9">
        <w:rPr>
          <w:rFonts w:ascii="Times New Roman" w:hAnsi="Times New Roman"/>
          <w:sz w:val="22"/>
          <w:szCs w:val="22"/>
        </w:rPr>
        <w:t>a to hlavne</w:t>
      </w:r>
      <w:r w:rsidRPr="007A1CAE">
        <w:rPr>
          <w:rFonts w:ascii="Times New Roman" w:hAnsi="Times New Roman"/>
          <w:sz w:val="22"/>
          <w:szCs w:val="22"/>
        </w:rPr>
        <w:t xml:space="preserve"> pri veľmi rýchlom zvyšovaní </w:t>
      </w:r>
      <w:r w:rsidR="009F10A9">
        <w:rPr>
          <w:rFonts w:ascii="Times New Roman" w:hAnsi="Times New Roman"/>
          <w:sz w:val="22"/>
          <w:szCs w:val="22"/>
        </w:rPr>
        <w:t>dávok</w:t>
      </w:r>
      <w:r w:rsidR="009F10A9" w:rsidRPr="007A1CAE">
        <w:rPr>
          <w:rFonts w:ascii="Times New Roman" w:hAnsi="Times New Roman"/>
          <w:sz w:val="22"/>
          <w:szCs w:val="22"/>
        </w:rPr>
        <w:t xml:space="preserve"> </w:t>
      </w:r>
      <w:r w:rsidRPr="007A1CAE">
        <w:rPr>
          <w:rFonts w:ascii="Times New Roman" w:hAnsi="Times New Roman"/>
          <w:sz w:val="22"/>
          <w:szCs w:val="22"/>
        </w:rPr>
        <w:t xml:space="preserve">na začiatku liečby, </w:t>
      </w:r>
      <w:r w:rsidR="009F10A9">
        <w:rPr>
          <w:rFonts w:ascii="Times New Roman" w:hAnsi="Times New Roman"/>
          <w:sz w:val="22"/>
          <w:szCs w:val="22"/>
        </w:rPr>
        <w:t xml:space="preserve">potom </w:t>
      </w:r>
      <w:r w:rsidRPr="007A1CAE">
        <w:rPr>
          <w:rFonts w:ascii="Times New Roman" w:hAnsi="Times New Roman"/>
          <w:sz w:val="22"/>
          <w:szCs w:val="22"/>
        </w:rPr>
        <w:t xml:space="preserve">sa môžu vyskytnúť </w:t>
      </w:r>
      <w:r w:rsidR="009F10A9">
        <w:rPr>
          <w:rFonts w:ascii="Times New Roman" w:hAnsi="Times New Roman"/>
          <w:sz w:val="22"/>
          <w:szCs w:val="22"/>
        </w:rPr>
        <w:t xml:space="preserve">typické príznaky </w:t>
      </w:r>
      <w:r w:rsidR="00320ABC"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A1CAE">
        <w:rPr>
          <w:rFonts w:ascii="Times New Roman" w:hAnsi="Times New Roman"/>
          <w:sz w:val="22"/>
          <w:szCs w:val="22"/>
        </w:rPr>
        <w:t>hypertyreóz</w:t>
      </w:r>
      <w:r w:rsidR="009F10A9">
        <w:rPr>
          <w:rFonts w:ascii="Times New Roman" w:hAnsi="Times New Roman"/>
          <w:sz w:val="22"/>
          <w:szCs w:val="22"/>
        </w:rPr>
        <w:t>y</w:t>
      </w:r>
      <w:proofErr w:type="spellEnd"/>
      <w:r w:rsidR="009F10A9">
        <w:rPr>
          <w:rFonts w:ascii="Times New Roman" w:hAnsi="Times New Roman"/>
          <w:sz w:val="22"/>
          <w:szCs w:val="22"/>
        </w:rPr>
        <w:t>, napr.</w:t>
      </w:r>
      <w:r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A1CAE">
        <w:rPr>
          <w:rFonts w:ascii="Times New Roman" w:hAnsi="Times New Roman"/>
          <w:sz w:val="22"/>
          <w:szCs w:val="22"/>
        </w:rPr>
        <w:t>palpitácie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BF33FA" w:rsidRPr="007A1CAE">
        <w:rPr>
          <w:rFonts w:ascii="Times New Roman" w:hAnsi="Times New Roman"/>
          <w:sz w:val="22"/>
          <w:szCs w:val="22"/>
        </w:rPr>
        <w:t>arytmie</w:t>
      </w:r>
      <w:proofErr w:type="spellEnd"/>
      <w:r w:rsidR="00BF33FA" w:rsidRPr="007A1CAE">
        <w:rPr>
          <w:rFonts w:ascii="Times New Roman" w:hAnsi="Times New Roman"/>
          <w:sz w:val="22"/>
          <w:szCs w:val="22"/>
        </w:rPr>
        <w:t>,</w:t>
      </w:r>
      <w:r w:rsidR="00320ABC" w:rsidRPr="007A1CAE">
        <w:rPr>
          <w:rFonts w:ascii="Times New Roman" w:hAnsi="Times New Roman"/>
          <w:sz w:val="22"/>
          <w:szCs w:val="22"/>
        </w:rPr>
        <w:t xml:space="preserve"> najmä </w:t>
      </w:r>
      <w:proofErr w:type="spellStart"/>
      <w:r w:rsidR="00320ABC" w:rsidRPr="007A1CAE">
        <w:rPr>
          <w:rFonts w:ascii="Times New Roman" w:hAnsi="Times New Roman"/>
          <w:sz w:val="22"/>
          <w:szCs w:val="22"/>
        </w:rPr>
        <w:t>tachykardia</w:t>
      </w:r>
      <w:proofErr w:type="spellEnd"/>
      <w:r w:rsidR="00320ABC" w:rsidRPr="007A1CAE">
        <w:rPr>
          <w:rFonts w:ascii="Times New Roman" w:hAnsi="Times New Roman"/>
          <w:sz w:val="22"/>
          <w:szCs w:val="22"/>
        </w:rPr>
        <w:t>,</w:t>
      </w:r>
      <w:r w:rsidR="00BF33FA" w:rsidRPr="007A1CAE">
        <w:rPr>
          <w:rFonts w:ascii="Times New Roman" w:hAnsi="Times New Roman"/>
          <w:sz w:val="22"/>
          <w:szCs w:val="22"/>
        </w:rPr>
        <w:t xml:space="preserve"> </w:t>
      </w:r>
      <w:r w:rsidR="00320ABC" w:rsidRPr="007A1CAE">
        <w:rPr>
          <w:rFonts w:ascii="Times New Roman" w:hAnsi="Times New Roman"/>
          <w:sz w:val="22"/>
          <w:szCs w:val="22"/>
        </w:rPr>
        <w:t xml:space="preserve">ťažkosti </w:t>
      </w:r>
      <w:r w:rsidRPr="007A1CAE">
        <w:rPr>
          <w:rFonts w:ascii="Times New Roman" w:hAnsi="Times New Roman"/>
          <w:sz w:val="22"/>
          <w:szCs w:val="22"/>
        </w:rPr>
        <w:t>podobn</w:t>
      </w:r>
      <w:r w:rsidR="00320ABC" w:rsidRPr="007A1CAE">
        <w:rPr>
          <w:rFonts w:ascii="Times New Roman" w:hAnsi="Times New Roman"/>
          <w:sz w:val="22"/>
          <w:szCs w:val="22"/>
        </w:rPr>
        <w:t>é</w:t>
      </w:r>
      <w:r w:rsidRPr="007A1CAE">
        <w:rPr>
          <w:rFonts w:ascii="Times New Roman" w:hAnsi="Times New Roman"/>
          <w:sz w:val="22"/>
          <w:szCs w:val="22"/>
        </w:rPr>
        <w:t xml:space="preserve"> </w:t>
      </w:r>
      <w:r w:rsidR="00DF54FF" w:rsidRPr="007A1CAE">
        <w:rPr>
          <w:rFonts w:ascii="Times New Roman" w:hAnsi="Times New Roman"/>
          <w:sz w:val="22"/>
          <w:szCs w:val="22"/>
        </w:rPr>
        <w:t>angíne</w:t>
      </w:r>
      <w:r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A1CAE">
        <w:rPr>
          <w:rFonts w:ascii="Times New Roman" w:hAnsi="Times New Roman"/>
          <w:sz w:val="22"/>
          <w:szCs w:val="22"/>
        </w:rPr>
        <w:t>pe</w:t>
      </w:r>
      <w:r w:rsidR="00320ABC" w:rsidRPr="007A1CAE">
        <w:rPr>
          <w:rFonts w:ascii="Times New Roman" w:hAnsi="Times New Roman"/>
          <w:sz w:val="22"/>
          <w:szCs w:val="22"/>
        </w:rPr>
        <w:t>k</w:t>
      </w:r>
      <w:r w:rsidRPr="007A1CAE">
        <w:rPr>
          <w:rFonts w:ascii="Times New Roman" w:hAnsi="Times New Roman"/>
          <w:sz w:val="22"/>
          <w:szCs w:val="22"/>
        </w:rPr>
        <w:t>toris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, </w:t>
      </w:r>
      <w:r w:rsidR="00320ABC" w:rsidRPr="007A1CAE">
        <w:rPr>
          <w:rFonts w:ascii="Times New Roman" w:hAnsi="Times New Roman"/>
          <w:sz w:val="22"/>
          <w:szCs w:val="22"/>
        </w:rPr>
        <w:t xml:space="preserve">svalová slabosť a kŕče, pocity tepla, </w:t>
      </w:r>
      <w:proofErr w:type="spellStart"/>
      <w:r w:rsidR="00320ABC" w:rsidRPr="007A1CAE">
        <w:rPr>
          <w:rFonts w:ascii="Times New Roman" w:hAnsi="Times New Roman"/>
          <w:sz w:val="22"/>
          <w:szCs w:val="22"/>
        </w:rPr>
        <w:t>hyperh</w:t>
      </w:r>
      <w:r w:rsidR="00DD6D1E">
        <w:rPr>
          <w:rFonts w:ascii="Times New Roman" w:hAnsi="Times New Roman"/>
          <w:sz w:val="22"/>
          <w:szCs w:val="22"/>
        </w:rPr>
        <w:t>i</w:t>
      </w:r>
      <w:r w:rsidR="00320ABC" w:rsidRPr="007A1CAE">
        <w:rPr>
          <w:rFonts w:ascii="Times New Roman" w:hAnsi="Times New Roman"/>
          <w:sz w:val="22"/>
          <w:szCs w:val="22"/>
        </w:rPr>
        <w:t>dróza</w:t>
      </w:r>
      <w:proofErr w:type="spellEnd"/>
      <w:r w:rsidR="00320ABC" w:rsidRPr="007A1CA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7A1CAE">
        <w:rPr>
          <w:rFonts w:ascii="Times New Roman" w:hAnsi="Times New Roman"/>
          <w:sz w:val="22"/>
          <w:szCs w:val="22"/>
        </w:rPr>
        <w:t>tremor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, </w:t>
      </w:r>
      <w:r w:rsidR="00320ABC" w:rsidRPr="007A1CAE">
        <w:rPr>
          <w:rFonts w:ascii="Times New Roman" w:hAnsi="Times New Roman"/>
          <w:sz w:val="22"/>
          <w:szCs w:val="22"/>
        </w:rPr>
        <w:t xml:space="preserve">vnútorný </w:t>
      </w:r>
      <w:r w:rsidR="009F10A9" w:rsidRPr="007A1CAE">
        <w:rPr>
          <w:rFonts w:ascii="Times New Roman" w:hAnsi="Times New Roman"/>
          <w:sz w:val="22"/>
          <w:szCs w:val="22"/>
        </w:rPr>
        <w:t>ne</w:t>
      </w:r>
      <w:r w:rsidR="009F10A9">
        <w:rPr>
          <w:rFonts w:ascii="Times New Roman" w:hAnsi="Times New Roman"/>
          <w:sz w:val="22"/>
          <w:szCs w:val="22"/>
        </w:rPr>
        <w:t>pokoj</w:t>
      </w:r>
      <w:r w:rsidRPr="007A1CAE">
        <w:rPr>
          <w:rFonts w:ascii="Times New Roman" w:hAnsi="Times New Roman"/>
          <w:sz w:val="22"/>
          <w:szCs w:val="22"/>
        </w:rPr>
        <w:t>, nespavosť,</w:t>
      </w:r>
      <w:r w:rsidR="00320ABC" w:rsidRPr="007A1CAE">
        <w:rPr>
          <w:rFonts w:ascii="Times New Roman" w:hAnsi="Times New Roman"/>
          <w:sz w:val="22"/>
          <w:szCs w:val="22"/>
        </w:rPr>
        <w:t xml:space="preserve"> </w:t>
      </w:r>
      <w:r w:rsidR="009B0B2A">
        <w:rPr>
          <w:rFonts w:ascii="Times New Roman" w:hAnsi="Times New Roman"/>
          <w:sz w:val="22"/>
          <w:szCs w:val="22"/>
        </w:rPr>
        <w:t>hnačka</w:t>
      </w:r>
      <w:r w:rsidR="00320ABC" w:rsidRPr="007A1CAE">
        <w:rPr>
          <w:rFonts w:ascii="Times New Roman" w:hAnsi="Times New Roman"/>
          <w:sz w:val="22"/>
          <w:szCs w:val="22"/>
        </w:rPr>
        <w:t>,</w:t>
      </w:r>
      <w:r w:rsidRPr="007A1CAE">
        <w:rPr>
          <w:rFonts w:ascii="Times New Roman" w:hAnsi="Times New Roman"/>
          <w:sz w:val="22"/>
          <w:szCs w:val="22"/>
        </w:rPr>
        <w:t xml:space="preserve"> </w:t>
      </w:r>
      <w:r w:rsidR="009B0B2A">
        <w:rPr>
          <w:rFonts w:ascii="Times New Roman" w:hAnsi="Times New Roman"/>
          <w:sz w:val="22"/>
          <w:szCs w:val="22"/>
        </w:rPr>
        <w:t>zníženie</w:t>
      </w:r>
      <w:r w:rsidRPr="007A1CAE">
        <w:rPr>
          <w:rFonts w:ascii="Times New Roman" w:hAnsi="Times New Roman"/>
          <w:sz w:val="22"/>
          <w:szCs w:val="22"/>
        </w:rPr>
        <w:t xml:space="preserve"> hmotnosti, bolesti hlavy, menštruačné poruchy.</w:t>
      </w:r>
      <w:r w:rsidR="00320ABC" w:rsidRPr="007A1CAE">
        <w:rPr>
          <w:rFonts w:ascii="Times New Roman" w:hAnsi="Times New Roman"/>
          <w:sz w:val="22"/>
          <w:szCs w:val="22"/>
        </w:rPr>
        <w:t xml:space="preserve"> Ako atypické </w:t>
      </w:r>
      <w:r w:rsidR="009F10A9">
        <w:rPr>
          <w:rFonts w:ascii="Times New Roman" w:hAnsi="Times New Roman"/>
          <w:sz w:val="22"/>
          <w:szCs w:val="22"/>
        </w:rPr>
        <w:t>príznaky</w:t>
      </w:r>
      <w:r w:rsidR="009F10A9" w:rsidRPr="007A1CAE">
        <w:rPr>
          <w:rFonts w:ascii="Times New Roman" w:hAnsi="Times New Roman"/>
          <w:sz w:val="22"/>
          <w:szCs w:val="22"/>
        </w:rPr>
        <w:t xml:space="preserve"> </w:t>
      </w:r>
      <w:r w:rsidR="00320ABC" w:rsidRPr="007A1CAE">
        <w:rPr>
          <w:rFonts w:ascii="Times New Roman" w:hAnsi="Times New Roman"/>
          <w:sz w:val="22"/>
          <w:szCs w:val="22"/>
        </w:rPr>
        <w:t>sa môžu objaviť horúčka, vracanie</w:t>
      </w:r>
      <w:r w:rsidR="009F10A9">
        <w:rPr>
          <w:rFonts w:ascii="Times New Roman" w:hAnsi="Times New Roman"/>
          <w:sz w:val="22"/>
          <w:szCs w:val="22"/>
        </w:rPr>
        <w:t>, a tiež</w:t>
      </w:r>
      <w:r w:rsidR="00320ABC"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20ABC" w:rsidRPr="007A1CAE">
        <w:rPr>
          <w:rFonts w:ascii="Times New Roman" w:hAnsi="Times New Roman"/>
          <w:sz w:val="22"/>
          <w:szCs w:val="22"/>
        </w:rPr>
        <w:t>pseudotumor</w:t>
      </w:r>
      <w:proofErr w:type="spellEnd"/>
      <w:r w:rsidR="00320ABC"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20ABC" w:rsidRPr="007A1CAE">
        <w:rPr>
          <w:rFonts w:ascii="Times New Roman" w:hAnsi="Times New Roman"/>
          <w:sz w:val="22"/>
          <w:szCs w:val="22"/>
        </w:rPr>
        <w:t>cerebri</w:t>
      </w:r>
      <w:proofErr w:type="spellEnd"/>
      <w:r w:rsidR="00320ABC" w:rsidRPr="007A1CAE">
        <w:rPr>
          <w:rFonts w:ascii="Times New Roman" w:hAnsi="Times New Roman"/>
          <w:sz w:val="22"/>
          <w:szCs w:val="22"/>
        </w:rPr>
        <w:t xml:space="preserve"> (najmä u detí).</w:t>
      </w:r>
      <w:r w:rsidRPr="007A1CAE">
        <w:rPr>
          <w:rFonts w:ascii="Times New Roman" w:hAnsi="Times New Roman"/>
          <w:sz w:val="22"/>
          <w:szCs w:val="22"/>
        </w:rPr>
        <w:t xml:space="preserve"> </w:t>
      </w:r>
      <w:r w:rsidR="009F10A9">
        <w:rPr>
          <w:rFonts w:ascii="Times New Roman" w:hAnsi="Times New Roman"/>
          <w:sz w:val="22"/>
          <w:szCs w:val="22"/>
        </w:rPr>
        <w:t xml:space="preserve"> V takomto prípade má byť </w:t>
      </w:r>
      <w:r w:rsidRPr="007A1CAE">
        <w:rPr>
          <w:rFonts w:ascii="Times New Roman" w:hAnsi="Times New Roman"/>
          <w:sz w:val="22"/>
          <w:szCs w:val="22"/>
        </w:rPr>
        <w:t xml:space="preserve"> </w:t>
      </w:r>
      <w:r w:rsidR="009F10A9">
        <w:rPr>
          <w:rFonts w:ascii="Times New Roman" w:hAnsi="Times New Roman"/>
          <w:sz w:val="22"/>
          <w:szCs w:val="22"/>
        </w:rPr>
        <w:t xml:space="preserve">znížená </w:t>
      </w:r>
      <w:r w:rsidR="009F10A9" w:rsidRPr="007A1CAE">
        <w:rPr>
          <w:rFonts w:ascii="Times New Roman" w:hAnsi="Times New Roman"/>
          <w:sz w:val="22"/>
          <w:szCs w:val="22"/>
        </w:rPr>
        <w:t xml:space="preserve"> </w:t>
      </w:r>
      <w:r w:rsidRPr="007A1CAE">
        <w:rPr>
          <w:rFonts w:ascii="Times New Roman" w:hAnsi="Times New Roman"/>
          <w:sz w:val="22"/>
          <w:szCs w:val="22"/>
        </w:rPr>
        <w:t xml:space="preserve">denná dávka alebo sa na niekoľko dní preruší liečba. Hneď po odznení nežiaducich účinkov sa odporúča znova začať liečbu, ale </w:t>
      </w:r>
      <w:r w:rsidR="00DF54FF" w:rsidRPr="007A1CAE">
        <w:rPr>
          <w:rFonts w:ascii="Times New Roman" w:hAnsi="Times New Roman"/>
          <w:sz w:val="22"/>
          <w:szCs w:val="22"/>
        </w:rPr>
        <w:t xml:space="preserve">má sa </w:t>
      </w:r>
      <w:r w:rsidRPr="007A1CAE">
        <w:rPr>
          <w:rFonts w:ascii="Times New Roman" w:hAnsi="Times New Roman"/>
          <w:sz w:val="22"/>
          <w:szCs w:val="22"/>
        </w:rPr>
        <w:t xml:space="preserve">venovať </w:t>
      </w:r>
      <w:r w:rsidR="00DF54FF" w:rsidRPr="007A1CAE">
        <w:rPr>
          <w:rFonts w:ascii="Times New Roman" w:hAnsi="Times New Roman"/>
          <w:sz w:val="22"/>
          <w:szCs w:val="22"/>
        </w:rPr>
        <w:t xml:space="preserve">väčšia </w:t>
      </w:r>
      <w:r w:rsidRPr="007A1CAE">
        <w:rPr>
          <w:rFonts w:ascii="Times New Roman" w:hAnsi="Times New Roman"/>
          <w:sz w:val="22"/>
          <w:szCs w:val="22"/>
        </w:rPr>
        <w:t xml:space="preserve">pozornosť dávkovaniu. </w:t>
      </w:r>
    </w:p>
    <w:p w14:paraId="598A3E15" w14:textId="77777777" w:rsidR="00706D78" w:rsidRDefault="00706D78" w:rsidP="00706D78">
      <w:pPr>
        <w:jc w:val="both"/>
        <w:rPr>
          <w:rFonts w:ascii="Times New Roman" w:hAnsi="Times New Roman"/>
          <w:sz w:val="22"/>
          <w:szCs w:val="22"/>
        </w:rPr>
      </w:pPr>
    </w:p>
    <w:p w14:paraId="277C8492" w14:textId="7AE8C9D7" w:rsidR="00BF33FA" w:rsidRPr="007A1CAE" w:rsidRDefault="00BF33FA" w:rsidP="00706D78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 xml:space="preserve">V prípade precitlivenosti na </w:t>
      </w:r>
      <w:proofErr w:type="spellStart"/>
      <w:r w:rsidRPr="007A1CAE">
        <w:rPr>
          <w:rFonts w:ascii="Times New Roman" w:hAnsi="Times New Roman"/>
          <w:sz w:val="22"/>
          <w:szCs w:val="22"/>
        </w:rPr>
        <w:t>levotyrox</w:t>
      </w:r>
      <w:r w:rsidR="002E6597">
        <w:rPr>
          <w:rFonts w:ascii="Times New Roman" w:hAnsi="Times New Roman"/>
          <w:sz w:val="22"/>
          <w:szCs w:val="22"/>
        </w:rPr>
        <w:t>í</w:t>
      </w:r>
      <w:r w:rsidRPr="007A1CAE">
        <w:rPr>
          <w:rFonts w:ascii="Times New Roman" w:hAnsi="Times New Roman"/>
          <w:sz w:val="22"/>
          <w:szCs w:val="22"/>
        </w:rPr>
        <w:t>n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alebo </w:t>
      </w:r>
      <w:r w:rsidR="009F10A9">
        <w:rPr>
          <w:rFonts w:ascii="Times New Roman" w:hAnsi="Times New Roman"/>
          <w:sz w:val="22"/>
          <w:szCs w:val="22"/>
        </w:rPr>
        <w:t>na ktorúkoľvek</w:t>
      </w:r>
      <w:r w:rsidR="009F10A9" w:rsidRPr="007A1CAE">
        <w:rPr>
          <w:rFonts w:ascii="Times New Roman" w:hAnsi="Times New Roman"/>
          <w:sz w:val="22"/>
          <w:szCs w:val="22"/>
        </w:rPr>
        <w:t xml:space="preserve"> </w:t>
      </w:r>
      <w:r w:rsidRPr="007A1CAE">
        <w:rPr>
          <w:rFonts w:ascii="Times New Roman" w:hAnsi="Times New Roman"/>
          <w:sz w:val="22"/>
          <w:szCs w:val="22"/>
        </w:rPr>
        <w:t xml:space="preserve">z pomocných látok </w:t>
      </w:r>
      <w:proofErr w:type="spellStart"/>
      <w:r w:rsidR="009F10A9" w:rsidRPr="007A1CAE">
        <w:rPr>
          <w:rFonts w:ascii="Times New Roman" w:hAnsi="Times New Roman"/>
          <w:sz w:val="22"/>
          <w:szCs w:val="22"/>
        </w:rPr>
        <w:t>L-Thyroxin</w:t>
      </w:r>
      <w:r w:rsidR="009F10A9">
        <w:rPr>
          <w:rFonts w:ascii="Times New Roman" w:hAnsi="Times New Roman"/>
          <w:sz w:val="22"/>
          <w:szCs w:val="22"/>
        </w:rPr>
        <w:t>u</w:t>
      </w:r>
      <w:proofErr w:type="spellEnd"/>
      <w:r w:rsidR="009F10A9">
        <w:rPr>
          <w:rFonts w:ascii="Times New Roman" w:hAnsi="Times New Roman"/>
          <w:sz w:val="22"/>
          <w:szCs w:val="22"/>
        </w:rPr>
        <w:t xml:space="preserve"> </w:t>
      </w:r>
      <w:r w:rsidR="009F10A9" w:rsidRPr="007A1CAE">
        <w:rPr>
          <w:rFonts w:ascii="Times New Roman" w:hAnsi="Times New Roman"/>
          <w:sz w:val="22"/>
          <w:szCs w:val="22"/>
        </w:rPr>
        <w:t xml:space="preserve">125 </w:t>
      </w:r>
      <w:proofErr w:type="spellStart"/>
      <w:r w:rsidR="009F10A9" w:rsidRPr="007A1CAE">
        <w:rPr>
          <w:rFonts w:ascii="Times New Roman" w:hAnsi="Times New Roman"/>
          <w:sz w:val="22"/>
          <w:szCs w:val="22"/>
        </w:rPr>
        <w:t>Berlin-Chemie</w:t>
      </w:r>
      <w:proofErr w:type="spellEnd"/>
      <w:r w:rsidR="009F10A9" w:rsidRPr="007A1CAE">
        <w:rPr>
          <w:rFonts w:ascii="Times New Roman" w:hAnsi="Times New Roman"/>
          <w:sz w:val="22"/>
          <w:szCs w:val="22"/>
        </w:rPr>
        <w:t xml:space="preserve"> </w:t>
      </w:r>
      <w:r w:rsidRPr="007A1CAE">
        <w:rPr>
          <w:rFonts w:ascii="Times New Roman" w:hAnsi="Times New Roman"/>
          <w:sz w:val="22"/>
          <w:szCs w:val="22"/>
        </w:rPr>
        <w:t>môžu nastať alergické reakcie</w:t>
      </w:r>
      <w:r w:rsidR="00320ABC" w:rsidRPr="007A1CAE">
        <w:rPr>
          <w:rFonts w:ascii="Times New Roman" w:hAnsi="Times New Roman"/>
          <w:sz w:val="22"/>
          <w:szCs w:val="22"/>
        </w:rPr>
        <w:t xml:space="preserve"> na koži alebo v respiračnom systéme</w:t>
      </w:r>
      <w:r w:rsidRPr="007A1CAE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7A1CAE">
        <w:rPr>
          <w:rFonts w:ascii="Times New Roman" w:hAnsi="Times New Roman"/>
          <w:sz w:val="22"/>
          <w:szCs w:val="22"/>
        </w:rPr>
        <w:t>Anafylaktický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šok bol hlásený </w:t>
      </w:r>
      <w:r w:rsidR="00320ABC" w:rsidRPr="007A1CAE">
        <w:rPr>
          <w:rFonts w:ascii="Times New Roman" w:hAnsi="Times New Roman"/>
          <w:sz w:val="22"/>
          <w:szCs w:val="22"/>
        </w:rPr>
        <w:t>iba v ojedinelých prípadoch</w:t>
      </w:r>
      <w:r w:rsidR="009F10A9">
        <w:rPr>
          <w:rFonts w:ascii="Times New Roman" w:hAnsi="Times New Roman"/>
          <w:sz w:val="22"/>
          <w:szCs w:val="22"/>
        </w:rPr>
        <w:t xml:space="preserve">. V takomto prípade </w:t>
      </w:r>
      <w:r w:rsidR="00C30692">
        <w:rPr>
          <w:rFonts w:ascii="Times New Roman" w:hAnsi="Times New Roman"/>
          <w:sz w:val="22"/>
          <w:szCs w:val="22"/>
        </w:rPr>
        <w:t xml:space="preserve"> </w:t>
      </w:r>
      <w:r w:rsidR="00320ABC" w:rsidRPr="007A1CAE">
        <w:rPr>
          <w:rFonts w:ascii="Times New Roman" w:hAnsi="Times New Roman"/>
          <w:sz w:val="22"/>
          <w:szCs w:val="22"/>
        </w:rPr>
        <w:t>je potrebné</w:t>
      </w:r>
      <w:r w:rsidRPr="007A1CAE">
        <w:rPr>
          <w:rFonts w:ascii="Times New Roman" w:hAnsi="Times New Roman"/>
          <w:sz w:val="22"/>
          <w:szCs w:val="22"/>
        </w:rPr>
        <w:t xml:space="preserve"> liečbu prerušiť.</w:t>
      </w:r>
    </w:p>
    <w:p w14:paraId="6EF69FD1" w14:textId="77777777" w:rsidR="008018B0" w:rsidRDefault="008018B0">
      <w:pPr>
        <w:jc w:val="both"/>
        <w:rPr>
          <w:rFonts w:ascii="Times New Roman" w:hAnsi="Times New Roman"/>
          <w:sz w:val="22"/>
          <w:szCs w:val="22"/>
        </w:rPr>
      </w:pPr>
    </w:p>
    <w:p w14:paraId="065DF969" w14:textId="77777777" w:rsidR="00706D78" w:rsidRDefault="00706D78" w:rsidP="00706D78">
      <w:pPr>
        <w:suppressLineNumbers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noProof/>
          <w:sz w:val="22"/>
          <w:szCs w:val="22"/>
          <w:u w:val="single"/>
        </w:rPr>
        <w:t>Hlásenie podozrení na nežiaduce reakcie</w:t>
      </w:r>
    </w:p>
    <w:p w14:paraId="5E35D496" w14:textId="17638CB8" w:rsidR="00706D78" w:rsidRDefault="00706D78" w:rsidP="00706D78">
      <w:pPr>
        <w:suppressLineNumber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Hlásenie podozrení na nežiaduce reakcie po registrácii lieku je dôležité.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noProof/>
          <w:sz w:val="22"/>
          <w:szCs w:val="22"/>
        </w:rPr>
        <w:t>Umožňuje priebežné monitorovanie pomeru prínosu a rizika lieku.</w:t>
      </w:r>
      <w:r>
        <w:rPr>
          <w:rFonts w:ascii="Times New Roman" w:hAnsi="Times New Roman"/>
          <w:sz w:val="22"/>
          <w:szCs w:val="22"/>
        </w:rPr>
        <w:t xml:space="preserve"> Od </w:t>
      </w:r>
      <w:r>
        <w:rPr>
          <w:rFonts w:ascii="Times New Roman" w:hAnsi="Times New Roman"/>
          <w:noProof/>
          <w:sz w:val="22"/>
          <w:szCs w:val="22"/>
        </w:rPr>
        <w:t xml:space="preserve">zdravotníckych pracovníkov sa vyžaduje, aby hlásili akékoľvek podozrenia na nežiaduce reakcie </w:t>
      </w:r>
      <w:r w:rsidR="009172E3">
        <w:rPr>
          <w:rFonts w:ascii="Times New Roman" w:hAnsi="Times New Roman"/>
          <w:noProof/>
          <w:sz w:val="22"/>
          <w:szCs w:val="22"/>
        </w:rPr>
        <w:t xml:space="preserve">na </w:t>
      </w:r>
      <w:r>
        <w:rPr>
          <w:rFonts w:ascii="Times New Roman" w:hAnsi="Times New Roman"/>
          <w:noProof/>
          <w:sz w:val="22"/>
          <w:szCs w:val="22"/>
          <w:highlight w:val="lightGray"/>
        </w:rPr>
        <w:t xml:space="preserve">národné </w:t>
      </w:r>
      <w:r w:rsidR="009172E3">
        <w:rPr>
          <w:rFonts w:ascii="Times New Roman" w:hAnsi="Times New Roman"/>
          <w:noProof/>
          <w:sz w:val="22"/>
          <w:szCs w:val="22"/>
          <w:highlight w:val="lightGray"/>
        </w:rPr>
        <w:t xml:space="preserve">centrum </w:t>
      </w:r>
      <w:r>
        <w:rPr>
          <w:rFonts w:ascii="Times New Roman" w:hAnsi="Times New Roman"/>
          <w:noProof/>
          <w:sz w:val="22"/>
          <w:szCs w:val="22"/>
          <w:highlight w:val="lightGray"/>
        </w:rPr>
        <w:t>hlásenia uvedené v </w:t>
      </w:r>
      <w:hyperlink r:id="rId8" w:history="1">
        <w:r>
          <w:rPr>
            <w:rStyle w:val="Hypertextovprepojenie"/>
            <w:rFonts w:ascii="Times New Roman" w:hAnsi="Times New Roman"/>
            <w:noProof/>
            <w:sz w:val="22"/>
            <w:szCs w:val="22"/>
            <w:highlight w:val="lightGray"/>
          </w:rPr>
          <w:t>Prílohe V</w:t>
        </w:r>
      </w:hyperlink>
      <w:r>
        <w:rPr>
          <w:rFonts w:ascii="Times New Roman" w:hAnsi="Times New Roman"/>
          <w:noProof/>
          <w:sz w:val="22"/>
          <w:szCs w:val="22"/>
        </w:rPr>
        <w:t>.</w:t>
      </w:r>
    </w:p>
    <w:p w14:paraId="5229551C" w14:textId="77777777" w:rsidR="00706D78" w:rsidRPr="007A1CAE" w:rsidRDefault="00706D78">
      <w:pPr>
        <w:jc w:val="both"/>
        <w:rPr>
          <w:rFonts w:ascii="Times New Roman" w:hAnsi="Times New Roman"/>
          <w:sz w:val="22"/>
          <w:szCs w:val="22"/>
        </w:rPr>
      </w:pPr>
    </w:p>
    <w:p w14:paraId="16B2EC1D" w14:textId="77777777" w:rsidR="008018B0" w:rsidRPr="007A1CAE" w:rsidRDefault="00C65834" w:rsidP="00201EDA">
      <w:pPr>
        <w:jc w:val="both"/>
        <w:outlineLvl w:val="0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b/>
          <w:sz w:val="22"/>
          <w:szCs w:val="22"/>
        </w:rPr>
        <w:t xml:space="preserve">4.9 </w:t>
      </w:r>
      <w:r w:rsidR="007F11BE" w:rsidRPr="007A1CAE">
        <w:rPr>
          <w:rFonts w:ascii="Times New Roman" w:hAnsi="Times New Roman"/>
          <w:b/>
          <w:sz w:val="22"/>
          <w:szCs w:val="22"/>
        </w:rPr>
        <w:t xml:space="preserve"> </w:t>
      </w:r>
      <w:r w:rsidR="008018B0" w:rsidRPr="007A1CAE">
        <w:rPr>
          <w:rFonts w:ascii="Times New Roman" w:hAnsi="Times New Roman"/>
          <w:b/>
          <w:sz w:val="22"/>
          <w:szCs w:val="22"/>
        </w:rPr>
        <w:t>Predávkovanie</w:t>
      </w:r>
    </w:p>
    <w:p w14:paraId="6918DF50" w14:textId="77777777" w:rsidR="008018B0" w:rsidRPr="007A1CAE" w:rsidRDefault="008018B0" w:rsidP="002F028B">
      <w:pPr>
        <w:jc w:val="both"/>
        <w:rPr>
          <w:rFonts w:ascii="Times New Roman" w:hAnsi="Times New Roman"/>
          <w:sz w:val="22"/>
          <w:szCs w:val="22"/>
        </w:rPr>
      </w:pPr>
    </w:p>
    <w:p w14:paraId="7A3BE48A" w14:textId="79DDC2D7" w:rsidR="00706D78" w:rsidRDefault="009E57AD" w:rsidP="00706D78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>Zvýšenie hladín T</w:t>
      </w:r>
      <w:r w:rsidRPr="007A1CAE">
        <w:rPr>
          <w:rFonts w:ascii="Times New Roman" w:hAnsi="Times New Roman"/>
          <w:sz w:val="22"/>
          <w:szCs w:val="22"/>
          <w:vertAlign w:val="subscript"/>
        </w:rPr>
        <w:t>3</w:t>
      </w:r>
      <w:r w:rsidRPr="007A1CAE">
        <w:rPr>
          <w:rFonts w:ascii="Times New Roman" w:hAnsi="Times New Roman"/>
          <w:sz w:val="22"/>
          <w:szCs w:val="22"/>
        </w:rPr>
        <w:t xml:space="preserve"> je spoľahlivejším indikátorom predávkovania ako zvýšenie hladín T</w:t>
      </w:r>
      <w:r w:rsidRPr="007A1CAE">
        <w:rPr>
          <w:rFonts w:ascii="Times New Roman" w:hAnsi="Times New Roman"/>
          <w:sz w:val="22"/>
          <w:szCs w:val="22"/>
          <w:vertAlign w:val="subscript"/>
        </w:rPr>
        <w:t xml:space="preserve">4 </w:t>
      </w:r>
      <w:r w:rsidRPr="007A1CAE">
        <w:rPr>
          <w:rFonts w:ascii="Times New Roman" w:hAnsi="Times New Roman"/>
          <w:sz w:val="22"/>
          <w:szCs w:val="22"/>
        </w:rPr>
        <w:t>a</w:t>
      </w:r>
      <w:r w:rsidR="009F10A9">
        <w:rPr>
          <w:rFonts w:ascii="Times New Roman" w:hAnsi="Times New Roman"/>
          <w:sz w:val="22"/>
          <w:szCs w:val="22"/>
        </w:rPr>
        <w:t>lebo</w:t>
      </w:r>
      <w:r w:rsidRPr="007A1CAE">
        <w:rPr>
          <w:rFonts w:ascii="Times New Roman" w:hAnsi="Times New Roman"/>
          <w:sz w:val="22"/>
          <w:szCs w:val="22"/>
        </w:rPr>
        <w:t> voľného T</w:t>
      </w:r>
      <w:r w:rsidRPr="007A1CAE">
        <w:rPr>
          <w:rFonts w:ascii="Times New Roman" w:hAnsi="Times New Roman"/>
          <w:sz w:val="22"/>
          <w:szCs w:val="22"/>
          <w:vertAlign w:val="subscript"/>
        </w:rPr>
        <w:t>4</w:t>
      </w:r>
      <w:r w:rsidRPr="007A1CAE">
        <w:rPr>
          <w:rFonts w:ascii="Times New Roman" w:hAnsi="Times New Roman"/>
          <w:sz w:val="22"/>
          <w:szCs w:val="22"/>
        </w:rPr>
        <w:t>.</w:t>
      </w:r>
      <w:r w:rsidR="007F11BE" w:rsidRPr="007A1CAE">
        <w:rPr>
          <w:rFonts w:ascii="Times New Roman" w:hAnsi="Times New Roman"/>
          <w:sz w:val="22"/>
          <w:szCs w:val="22"/>
        </w:rPr>
        <w:t xml:space="preserve"> </w:t>
      </w:r>
      <w:r w:rsidR="009F10A9">
        <w:rPr>
          <w:rFonts w:ascii="Times New Roman" w:hAnsi="Times New Roman"/>
          <w:sz w:val="22"/>
          <w:szCs w:val="22"/>
        </w:rPr>
        <w:t>Príznakmi</w:t>
      </w:r>
      <w:r w:rsidR="009F10A9" w:rsidRPr="007A1CAE">
        <w:rPr>
          <w:rFonts w:ascii="Times New Roman" w:hAnsi="Times New Roman"/>
          <w:sz w:val="22"/>
          <w:szCs w:val="22"/>
        </w:rPr>
        <w:t xml:space="preserve"> </w:t>
      </w:r>
      <w:r w:rsidR="008018B0" w:rsidRPr="007A1CAE">
        <w:rPr>
          <w:rFonts w:ascii="Times New Roman" w:hAnsi="Times New Roman"/>
          <w:sz w:val="22"/>
          <w:szCs w:val="22"/>
        </w:rPr>
        <w:t>predávkovania a intoxikácie je mierne až silné zvýšenie rýchlosti metabolizmu (pozri</w:t>
      </w:r>
      <w:r w:rsidR="00DF54FF" w:rsidRPr="007A1CAE">
        <w:rPr>
          <w:rFonts w:ascii="Times New Roman" w:hAnsi="Times New Roman"/>
          <w:sz w:val="22"/>
          <w:szCs w:val="22"/>
        </w:rPr>
        <w:t xml:space="preserve"> časť</w:t>
      </w:r>
      <w:r w:rsidR="008018B0" w:rsidRPr="007A1CAE">
        <w:rPr>
          <w:rFonts w:ascii="Times New Roman" w:hAnsi="Times New Roman"/>
          <w:sz w:val="22"/>
          <w:szCs w:val="22"/>
        </w:rPr>
        <w:t xml:space="preserve"> 4.8</w:t>
      </w:r>
      <w:r w:rsidR="008018B0" w:rsidRPr="00B80B4E">
        <w:rPr>
          <w:rFonts w:ascii="Times New Roman" w:hAnsi="Times New Roman"/>
          <w:sz w:val="22"/>
          <w:szCs w:val="22"/>
        </w:rPr>
        <w:t>).</w:t>
      </w:r>
      <w:r w:rsidR="00F56D75">
        <w:rPr>
          <w:rFonts w:ascii="Times New Roman" w:hAnsi="Times New Roman"/>
          <w:sz w:val="22"/>
          <w:szCs w:val="22"/>
        </w:rPr>
        <w:t xml:space="preserve"> </w:t>
      </w:r>
      <w:r w:rsidR="00F56D75" w:rsidRPr="004E7CCC">
        <w:rPr>
          <w:rFonts w:ascii="Times New Roman" w:hAnsi="Times New Roman"/>
          <w:sz w:val="22"/>
          <w:szCs w:val="22"/>
        </w:rPr>
        <w:t>V závislosti od rozsahu predávkovania sa odporúča prerušiť terapiu a urobiť kontrolné vyšetrenia.</w:t>
      </w:r>
    </w:p>
    <w:p w14:paraId="66BB7239" w14:textId="77777777" w:rsidR="009E57AD" w:rsidRPr="007A1CAE" w:rsidRDefault="008018B0" w:rsidP="00706D78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 xml:space="preserve"> </w:t>
      </w:r>
    </w:p>
    <w:p w14:paraId="4019EAB8" w14:textId="5D6B5B36" w:rsidR="009E57AD" w:rsidRDefault="009E57AD" w:rsidP="00706D78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 xml:space="preserve">Dávky </w:t>
      </w:r>
      <w:r w:rsidR="009F10A9">
        <w:rPr>
          <w:rFonts w:ascii="Times New Roman" w:hAnsi="Times New Roman"/>
          <w:sz w:val="22"/>
          <w:szCs w:val="22"/>
        </w:rPr>
        <w:t xml:space="preserve">až </w:t>
      </w:r>
      <w:r w:rsidRPr="007A1CAE">
        <w:rPr>
          <w:rFonts w:ascii="Times New Roman" w:hAnsi="Times New Roman"/>
          <w:sz w:val="22"/>
          <w:szCs w:val="22"/>
        </w:rPr>
        <w:t xml:space="preserve">10 mg </w:t>
      </w:r>
      <w:proofErr w:type="spellStart"/>
      <w:r w:rsidRPr="007A1CAE">
        <w:rPr>
          <w:rFonts w:ascii="Times New Roman" w:hAnsi="Times New Roman"/>
          <w:sz w:val="22"/>
          <w:szCs w:val="22"/>
        </w:rPr>
        <w:t>levotyroxínu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pri intoxikácii </w:t>
      </w:r>
      <w:r w:rsidR="00493508">
        <w:rPr>
          <w:rFonts w:ascii="Times New Roman" w:hAnsi="Times New Roman"/>
          <w:sz w:val="22"/>
          <w:szCs w:val="22"/>
        </w:rPr>
        <w:t>(</w:t>
      </w:r>
      <w:proofErr w:type="spellStart"/>
      <w:r w:rsidRPr="007A1CAE">
        <w:rPr>
          <w:rFonts w:ascii="Times New Roman" w:hAnsi="Times New Roman"/>
          <w:sz w:val="22"/>
          <w:szCs w:val="22"/>
        </w:rPr>
        <w:t>suicidálny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pokus</w:t>
      </w:r>
      <w:r w:rsidR="00493508">
        <w:rPr>
          <w:rFonts w:ascii="Times New Roman" w:hAnsi="Times New Roman"/>
          <w:sz w:val="22"/>
          <w:szCs w:val="22"/>
        </w:rPr>
        <w:t>)</w:t>
      </w:r>
      <w:r w:rsidRPr="007A1CAE">
        <w:rPr>
          <w:rFonts w:ascii="Times New Roman" w:hAnsi="Times New Roman"/>
          <w:sz w:val="22"/>
          <w:szCs w:val="22"/>
        </w:rPr>
        <w:t xml:space="preserve"> boli </w:t>
      </w:r>
      <w:r w:rsidR="00493508">
        <w:rPr>
          <w:rFonts w:ascii="Times New Roman" w:hAnsi="Times New Roman"/>
          <w:sz w:val="22"/>
          <w:szCs w:val="22"/>
        </w:rPr>
        <w:t xml:space="preserve">u ľudí </w:t>
      </w:r>
      <w:r w:rsidRPr="007A1CAE">
        <w:rPr>
          <w:rFonts w:ascii="Times New Roman" w:hAnsi="Times New Roman"/>
          <w:sz w:val="22"/>
          <w:szCs w:val="22"/>
        </w:rPr>
        <w:t xml:space="preserve">tolerované bez komplikácií. Závažné život ohrozujúce poškodenie vitálnych funkcií (dýchania a krvného obehu) je nepravdepodobné okrem pacientov s existujúcim ochorením srdca. Napriek tomu boli hlásené  prípady </w:t>
      </w:r>
      <w:proofErr w:type="spellStart"/>
      <w:r w:rsidRPr="007A1CAE">
        <w:rPr>
          <w:rFonts w:ascii="Times New Roman" w:hAnsi="Times New Roman"/>
          <w:sz w:val="22"/>
          <w:szCs w:val="22"/>
        </w:rPr>
        <w:t>tyreotoxickej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krízy, kŕčov, zlyhania srdca a</w:t>
      </w:r>
      <w:r w:rsidR="00493508">
        <w:rPr>
          <w:rFonts w:ascii="Times New Roman" w:hAnsi="Times New Roman"/>
          <w:sz w:val="22"/>
          <w:szCs w:val="22"/>
        </w:rPr>
        <w:t> </w:t>
      </w:r>
      <w:r w:rsidRPr="007A1CAE">
        <w:rPr>
          <w:rFonts w:ascii="Times New Roman" w:hAnsi="Times New Roman"/>
          <w:sz w:val="22"/>
          <w:szCs w:val="22"/>
        </w:rPr>
        <w:t>kómy</w:t>
      </w:r>
      <w:r w:rsidR="00493508">
        <w:rPr>
          <w:rFonts w:ascii="Times New Roman" w:hAnsi="Times New Roman"/>
          <w:sz w:val="22"/>
          <w:szCs w:val="22"/>
        </w:rPr>
        <w:t>.</w:t>
      </w:r>
      <w:r w:rsidRPr="007A1CAE">
        <w:rPr>
          <w:rFonts w:ascii="Times New Roman" w:hAnsi="Times New Roman"/>
          <w:sz w:val="22"/>
          <w:szCs w:val="22"/>
        </w:rPr>
        <w:t xml:space="preserve"> </w:t>
      </w:r>
      <w:r w:rsidR="00493508">
        <w:rPr>
          <w:rFonts w:ascii="Times New Roman" w:hAnsi="Times New Roman"/>
          <w:sz w:val="22"/>
          <w:szCs w:val="22"/>
        </w:rPr>
        <w:t>Zaznamenané boli  aj  ojedinelé</w:t>
      </w:r>
      <w:r w:rsidRPr="007A1CAE">
        <w:rPr>
          <w:rFonts w:ascii="Times New Roman" w:hAnsi="Times New Roman"/>
          <w:sz w:val="22"/>
          <w:szCs w:val="22"/>
        </w:rPr>
        <w:t xml:space="preserve"> prípady náhlej srdcovej smrti u pacientov po dlho</w:t>
      </w:r>
      <w:r w:rsidR="00493508">
        <w:rPr>
          <w:rFonts w:ascii="Times New Roman" w:hAnsi="Times New Roman"/>
          <w:sz w:val="22"/>
          <w:szCs w:val="22"/>
        </w:rPr>
        <w:t>ročnom</w:t>
      </w:r>
      <w:r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A1CAE">
        <w:rPr>
          <w:rFonts w:ascii="Times New Roman" w:hAnsi="Times New Roman"/>
          <w:sz w:val="22"/>
          <w:szCs w:val="22"/>
        </w:rPr>
        <w:t>ab</w:t>
      </w:r>
      <w:r w:rsidR="00DD6D1E">
        <w:rPr>
          <w:rFonts w:ascii="Times New Roman" w:hAnsi="Times New Roman"/>
          <w:sz w:val="22"/>
          <w:szCs w:val="22"/>
        </w:rPr>
        <w:t>úz</w:t>
      </w:r>
      <w:r w:rsidRPr="007A1CAE">
        <w:rPr>
          <w:rFonts w:ascii="Times New Roman" w:hAnsi="Times New Roman"/>
          <w:sz w:val="22"/>
          <w:szCs w:val="22"/>
        </w:rPr>
        <w:t>e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A1CAE">
        <w:rPr>
          <w:rFonts w:ascii="Times New Roman" w:hAnsi="Times New Roman"/>
          <w:sz w:val="22"/>
          <w:szCs w:val="22"/>
        </w:rPr>
        <w:t>levotyroxínu</w:t>
      </w:r>
      <w:proofErr w:type="spellEnd"/>
      <w:r w:rsidRPr="007A1CAE">
        <w:rPr>
          <w:rFonts w:ascii="Times New Roman" w:hAnsi="Times New Roman"/>
          <w:sz w:val="22"/>
          <w:szCs w:val="22"/>
        </w:rPr>
        <w:t>.</w:t>
      </w:r>
    </w:p>
    <w:p w14:paraId="3D4E71E8" w14:textId="77777777" w:rsidR="00706D78" w:rsidRPr="007A1CAE" w:rsidRDefault="00706D78" w:rsidP="00706D78">
      <w:pPr>
        <w:jc w:val="both"/>
        <w:rPr>
          <w:rFonts w:ascii="Times New Roman" w:hAnsi="Times New Roman"/>
          <w:sz w:val="22"/>
          <w:szCs w:val="22"/>
        </w:rPr>
      </w:pPr>
    </w:p>
    <w:p w14:paraId="05749BB0" w14:textId="72B41C67" w:rsidR="009E57AD" w:rsidRDefault="009E57AD" w:rsidP="00706D78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 xml:space="preserve">Pri akútnom predávkovaní sa </w:t>
      </w:r>
      <w:proofErr w:type="spellStart"/>
      <w:r w:rsidRPr="007A1CAE">
        <w:rPr>
          <w:rFonts w:ascii="Times New Roman" w:hAnsi="Times New Roman"/>
          <w:sz w:val="22"/>
          <w:szCs w:val="22"/>
        </w:rPr>
        <w:t>gastrointestinálna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absorpcia môže znížiť podaním aktívneho uhlia.</w:t>
      </w:r>
      <w:r w:rsidR="007900AC" w:rsidRPr="007A1CAE">
        <w:rPr>
          <w:rFonts w:ascii="Times New Roman" w:hAnsi="Times New Roman"/>
          <w:sz w:val="22"/>
          <w:szCs w:val="22"/>
        </w:rPr>
        <w:t xml:space="preserve"> Liečba je zvyčajne symptomatická a podporná. V prípade vzniku závažných </w:t>
      </w:r>
      <w:proofErr w:type="spellStart"/>
      <w:r w:rsidR="007900AC" w:rsidRPr="007A1CAE">
        <w:rPr>
          <w:rFonts w:ascii="Times New Roman" w:hAnsi="Times New Roman"/>
          <w:sz w:val="22"/>
          <w:szCs w:val="22"/>
        </w:rPr>
        <w:t>beta-symp</w:t>
      </w:r>
      <w:r w:rsidR="00A11F0D">
        <w:rPr>
          <w:rFonts w:ascii="Times New Roman" w:hAnsi="Times New Roman"/>
          <w:sz w:val="22"/>
          <w:szCs w:val="22"/>
        </w:rPr>
        <w:t>a</w:t>
      </w:r>
      <w:r w:rsidR="007900AC" w:rsidRPr="007A1CAE">
        <w:rPr>
          <w:rFonts w:ascii="Times New Roman" w:hAnsi="Times New Roman"/>
          <w:sz w:val="22"/>
          <w:szCs w:val="22"/>
        </w:rPr>
        <w:t>tomimetických</w:t>
      </w:r>
      <w:proofErr w:type="spellEnd"/>
      <w:r w:rsidR="007900AC" w:rsidRPr="007A1CAE">
        <w:rPr>
          <w:rFonts w:ascii="Times New Roman" w:hAnsi="Times New Roman"/>
          <w:sz w:val="22"/>
          <w:szCs w:val="22"/>
        </w:rPr>
        <w:t xml:space="preserve"> účinkov ako sú </w:t>
      </w:r>
      <w:proofErr w:type="spellStart"/>
      <w:r w:rsidR="007900AC" w:rsidRPr="007A1CAE">
        <w:rPr>
          <w:rFonts w:ascii="Times New Roman" w:hAnsi="Times New Roman"/>
          <w:sz w:val="22"/>
          <w:szCs w:val="22"/>
        </w:rPr>
        <w:t>tachykardia</w:t>
      </w:r>
      <w:proofErr w:type="spellEnd"/>
      <w:r w:rsidR="007900AC" w:rsidRPr="007A1CAE">
        <w:rPr>
          <w:rFonts w:ascii="Times New Roman" w:hAnsi="Times New Roman"/>
          <w:sz w:val="22"/>
          <w:szCs w:val="22"/>
        </w:rPr>
        <w:t xml:space="preserve">, úzkosť, agitácia alebo </w:t>
      </w:r>
      <w:proofErr w:type="spellStart"/>
      <w:r w:rsidR="007900AC" w:rsidRPr="007A1CAE">
        <w:rPr>
          <w:rFonts w:ascii="Times New Roman" w:hAnsi="Times New Roman"/>
          <w:sz w:val="22"/>
          <w:szCs w:val="22"/>
        </w:rPr>
        <w:t>hyperkinézia</w:t>
      </w:r>
      <w:proofErr w:type="spellEnd"/>
      <w:r w:rsidR="007900AC" w:rsidRPr="007A1CAE">
        <w:rPr>
          <w:rFonts w:ascii="Times New Roman" w:hAnsi="Times New Roman"/>
          <w:sz w:val="22"/>
          <w:szCs w:val="22"/>
        </w:rPr>
        <w:t xml:space="preserve"> sa môžu symptómy zmierniť podaním </w:t>
      </w:r>
      <w:proofErr w:type="spellStart"/>
      <w:r w:rsidR="007900AC" w:rsidRPr="007A1CAE">
        <w:rPr>
          <w:rFonts w:ascii="Times New Roman" w:hAnsi="Times New Roman"/>
          <w:sz w:val="22"/>
          <w:szCs w:val="22"/>
        </w:rPr>
        <w:t>blokátorov</w:t>
      </w:r>
      <w:proofErr w:type="spellEnd"/>
      <w:r w:rsidR="007900AC"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900AC" w:rsidRPr="007A1CAE">
        <w:rPr>
          <w:rFonts w:ascii="Times New Roman" w:hAnsi="Times New Roman"/>
          <w:sz w:val="22"/>
          <w:szCs w:val="22"/>
        </w:rPr>
        <w:t>beta-receptorov</w:t>
      </w:r>
      <w:proofErr w:type="spellEnd"/>
      <w:r w:rsidR="007900AC" w:rsidRPr="007A1CAE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7900AC" w:rsidRPr="007A1CAE">
        <w:rPr>
          <w:rFonts w:ascii="Times New Roman" w:hAnsi="Times New Roman"/>
          <w:sz w:val="22"/>
          <w:szCs w:val="22"/>
        </w:rPr>
        <w:t>Tyreostatiká</w:t>
      </w:r>
      <w:proofErr w:type="spellEnd"/>
      <w:r w:rsidR="007900AC" w:rsidRPr="007A1CAE">
        <w:rPr>
          <w:rFonts w:ascii="Times New Roman" w:hAnsi="Times New Roman"/>
          <w:sz w:val="22"/>
          <w:szCs w:val="22"/>
        </w:rPr>
        <w:t xml:space="preserve"> sú nevhodné, nakoľko štítna žľaza je kompletne </w:t>
      </w:r>
      <w:proofErr w:type="spellStart"/>
      <w:r w:rsidR="007900AC" w:rsidRPr="007A1CAE">
        <w:rPr>
          <w:rFonts w:ascii="Times New Roman" w:hAnsi="Times New Roman"/>
          <w:sz w:val="22"/>
          <w:szCs w:val="22"/>
        </w:rPr>
        <w:t>suprimovaná</w:t>
      </w:r>
      <w:proofErr w:type="spellEnd"/>
      <w:r w:rsidR="007900AC" w:rsidRPr="007A1CAE">
        <w:rPr>
          <w:rFonts w:ascii="Times New Roman" w:hAnsi="Times New Roman"/>
          <w:sz w:val="22"/>
          <w:szCs w:val="22"/>
        </w:rPr>
        <w:t>.</w:t>
      </w:r>
    </w:p>
    <w:p w14:paraId="65857093" w14:textId="77777777" w:rsidR="00706D78" w:rsidRPr="007A1CAE" w:rsidRDefault="00706D78" w:rsidP="00706D78">
      <w:pPr>
        <w:jc w:val="both"/>
        <w:rPr>
          <w:rFonts w:ascii="Times New Roman" w:hAnsi="Times New Roman"/>
          <w:sz w:val="22"/>
          <w:szCs w:val="22"/>
        </w:rPr>
      </w:pPr>
    </w:p>
    <w:p w14:paraId="4B3C95BD" w14:textId="7A96FECE" w:rsidR="008018B0" w:rsidRDefault="008018B0" w:rsidP="00706D78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 xml:space="preserve">Po </w:t>
      </w:r>
      <w:r w:rsidR="00EF1054">
        <w:rPr>
          <w:rFonts w:ascii="Times New Roman" w:hAnsi="Times New Roman"/>
          <w:sz w:val="22"/>
          <w:szCs w:val="22"/>
        </w:rPr>
        <w:t>u</w:t>
      </w:r>
      <w:r w:rsidRPr="007A1CAE">
        <w:rPr>
          <w:rFonts w:ascii="Times New Roman" w:hAnsi="Times New Roman"/>
          <w:sz w:val="22"/>
          <w:szCs w:val="22"/>
        </w:rPr>
        <w:t>žití extrémn</w:t>
      </w:r>
      <w:r w:rsidR="00493508">
        <w:rPr>
          <w:rFonts w:ascii="Times New Roman" w:hAnsi="Times New Roman"/>
          <w:sz w:val="22"/>
          <w:szCs w:val="22"/>
        </w:rPr>
        <w:t>e vysokých</w:t>
      </w:r>
      <w:r w:rsidRPr="007A1CAE">
        <w:rPr>
          <w:rFonts w:ascii="Times New Roman" w:hAnsi="Times New Roman"/>
          <w:sz w:val="22"/>
          <w:szCs w:val="22"/>
        </w:rPr>
        <w:t xml:space="preserve"> dávok (</w:t>
      </w:r>
      <w:proofErr w:type="spellStart"/>
      <w:r w:rsidRPr="007A1CAE">
        <w:rPr>
          <w:rFonts w:ascii="Times New Roman" w:hAnsi="Times New Roman"/>
          <w:sz w:val="22"/>
          <w:szCs w:val="22"/>
        </w:rPr>
        <w:t>suicidálny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pokus), môže byť užitočná </w:t>
      </w:r>
      <w:proofErr w:type="spellStart"/>
      <w:r w:rsidRPr="007A1CAE">
        <w:rPr>
          <w:rFonts w:ascii="Times New Roman" w:hAnsi="Times New Roman"/>
          <w:sz w:val="22"/>
          <w:szCs w:val="22"/>
        </w:rPr>
        <w:t>plazmaferéza</w:t>
      </w:r>
      <w:proofErr w:type="spellEnd"/>
      <w:r w:rsidRPr="007A1CAE">
        <w:rPr>
          <w:rFonts w:ascii="Times New Roman" w:hAnsi="Times New Roman"/>
          <w:sz w:val="22"/>
          <w:szCs w:val="22"/>
        </w:rPr>
        <w:t>.</w:t>
      </w:r>
    </w:p>
    <w:p w14:paraId="6E49416F" w14:textId="77777777" w:rsidR="00706D78" w:rsidRDefault="00706D78" w:rsidP="00706D78">
      <w:pPr>
        <w:jc w:val="both"/>
        <w:rPr>
          <w:rFonts w:ascii="Times New Roman" w:hAnsi="Times New Roman"/>
          <w:sz w:val="22"/>
          <w:szCs w:val="22"/>
        </w:rPr>
      </w:pPr>
    </w:p>
    <w:p w14:paraId="17460A37" w14:textId="475BC16D" w:rsidR="00EF1054" w:rsidRDefault="00EF1054" w:rsidP="00EF1054">
      <w:pPr>
        <w:jc w:val="both"/>
        <w:rPr>
          <w:rFonts w:ascii="Times New Roman" w:hAnsi="Times New Roman"/>
          <w:sz w:val="22"/>
          <w:szCs w:val="22"/>
        </w:rPr>
      </w:pPr>
      <w:r w:rsidRPr="004E7CCC">
        <w:rPr>
          <w:rFonts w:ascii="Times New Roman" w:hAnsi="Times New Roman"/>
          <w:sz w:val="22"/>
          <w:szCs w:val="22"/>
        </w:rPr>
        <w:t>Predávkova</w:t>
      </w:r>
      <w:r>
        <w:rPr>
          <w:rFonts w:ascii="Times New Roman" w:hAnsi="Times New Roman"/>
          <w:sz w:val="22"/>
          <w:szCs w:val="22"/>
        </w:rPr>
        <w:t>n</w:t>
      </w:r>
      <w:r w:rsidRPr="004E7CCC">
        <w:rPr>
          <w:rFonts w:ascii="Times New Roman" w:hAnsi="Times New Roman"/>
          <w:sz w:val="22"/>
          <w:szCs w:val="22"/>
        </w:rPr>
        <w:t xml:space="preserve">ie </w:t>
      </w:r>
      <w:proofErr w:type="spellStart"/>
      <w:r w:rsidRPr="004E7CCC">
        <w:rPr>
          <w:rFonts w:ascii="Times New Roman" w:hAnsi="Times New Roman"/>
          <w:sz w:val="22"/>
          <w:szCs w:val="22"/>
        </w:rPr>
        <w:t>levotyroxínom</w:t>
      </w:r>
      <w:proofErr w:type="spellEnd"/>
      <w:r w:rsidRPr="004E7CCC">
        <w:rPr>
          <w:rFonts w:ascii="Times New Roman" w:hAnsi="Times New Roman"/>
          <w:sz w:val="22"/>
          <w:szCs w:val="22"/>
        </w:rPr>
        <w:t xml:space="preserve"> vyžaduje dlhšiu periódu monitorovania. Vďaka postupnej konverzii </w:t>
      </w:r>
      <w:proofErr w:type="spellStart"/>
      <w:r w:rsidRPr="004E7CCC">
        <w:rPr>
          <w:rFonts w:ascii="Times New Roman" w:hAnsi="Times New Roman"/>
          <w:sz w:val="22"/>
          <w:szCs w:val="22"/>
        </w:rPr>
        <w:t>levotyroxínu</w:t>
      </w:r>
      <w:proofErr w:type="spellEnd"/>
      <w:r w:rsidRPr="004E7CCC">
        <w:rPr>
          <w:rFonts w:ascii="Times New Roman" w:hAnsi="Times New Roman"/>
          <w:sz w:val="22"/>
          <w:szCs w:val="22"/>
        </w:rPr>
        <w:t xml:space="preserve"> na </w:t>
      </w:r>
      <w:proofErr w:type="spellStart"/>
      <w:r w:rsidRPr="004E7CCC">
        <w:rPr>
          <w:rFonts w:ascii="Times New Roman" w:hAnsi="Times New Roman"/>
          <w:sz w:val="22"/>
          <w:szCs w:val="22"/>
        </w:rPr>
        <w:t>liotyronín</w:t>
      </w:r>
      <w:proofErr w:type="spellEnd"/>
      <w:r w:rsidRPr="004E7CCC">
        <w:rPr>
          <w:rFonts w:ascii="Times New Roman" w:hAnsi="Times New Roman"/>
          <w:sz w:val="22"/>
          <w:szCs w:val="22"/>
        </w:rPr>
        <w:t xml:space="preserve"> </w:t>
      </w:r>
      <w:r w:rsidR="00493508">
        <w:rPr>
          <w:rFonts w:ascii="Times New Roman" w:hAnsi="Times New Roman"/>
          <w:sz w:val="22"/>
          <w:szCs w:val="22"/>
        </w:rPr>
        <w:t xml:space="preserve">sa príznaky </w:t>
      </w:r>
      <w:r w:rsidRPr="004E7CCC">
        <w:rPr>
          <w:rFonts w:ascii="Times New Roman" w:hAnsi="Times New Roman"/>
          <w:sz w:val="22"/>
          <w:szCs w:val="22"/>
        </w:rPr>
        <w:t>môžu prejaviť oneskorene až do 6 dní.</w:t>
      </w:r>
    </w:p>
    <w:p w14:paraId="51146A7C" w14:textId="77777777" w:rsidR="00EF1054" w:rsidRPr="007A1CAE" w:rsidRDefault="00EF1054" w:rsidP="00706D78">
      <w:pPr>
        <w:jc w:val="both"/>
        <w:rPr>
          <w:rFonts w:ascii="Times New Roman" w:hAnsi="Times New Roman"/>
          <w:sz w:val="22"/>
          <w:szCs w:val="22"/>
        </w:rPr>
      </w:pPr>
    </w:p>
    <w:p w14:paraId="0B602DFF" w14:textId="77777777" w:rsidR="007351AF" w:rsidRPr="007A1CAE" w:rsidRDefault="007351AF">
      <w:pPr>
        <w:jc w:val="both"/>
        <w:rPr>
          <w:rFonts w:ascii="Times New Roman" w:hAnsi="Times New Roman"/>
          <w:sz w:val="22"/>
          <w:szCs w:val="22"/>
        </w:rPr>
      </w:pPr>
    </w:p>
    <w:p w14:paraId="03D14E0E" w14:textId="77777777" w:rsidR="008018B0" w:rsidRPr="007A1CAE" w:rsidRDefault="007F11BE">
      <w:pPr>
        <w:numPr>
          <w:ilvl w:val="0"/>
          <w:numId w:val="9"/>
        </w:numPr>
        <w:jc w:val="both"/>
        <w:rPr>
          <w:rFonts w:ascii="Times New Roman" w:hAnsi="Times New Roman"/>
          <w:b/>
          <w:sz w:val="22"/>
          <w:szCs w:val="22"/>
        </w:rPr>
      </w:pPr>
      <w:r w:rsidRPr="007A1CAE">
        <w:rPr>
          <w:rFonts w:ascii="Times New Roman" w:hAnsi="Times New Roman"/>
          <w:b/>
          <w:sz w:val="22"/>
          <w:szCs w:val="22"/>
        </w:rPr>
        <w:t xml:space="preserve">  </w:t>
      </w:r>
      <w:r w:rsidR="008018B0" w:rsidRPr="007A1CAE">
        <w:rPr>
          <w:rFonts w:ascii="Times New Roman" w:hAnsi="Times New Roman"/>
          <w:b/>
          <w:sz w:val="22"/>
          <w:szCs w:val="22"/>
        </w:rPr>
        <w:t>FARMAKOLOGICKÉ VLASTNOSTI</w:t>
      </w:r>
    </w:p>
    <w:p w14:paraId="0FAC2E54" w14:textId="77777777" w:rsidR="008018B0" w:rsidRPr="007A1CAE" w:rsidRDefault="008018B0">
      <w:pPr>
        <w:jc w:val="both"/>
        <w:rPr>
          <w:rFonts w:ascii="Times New Roman" w:hAnsi="Times New Roman"/>
          <w:b/>
          <w:sz w:val="22"/>
          <w:szCs w:val="22"/>
        </w:rPr>
      </w:pPr>
    </w:p>
    <w:p w14:paraId="5B7A0BAE" w14:textId="77777777" w:rsidR="008018B0" w:rsidRPr="007A1CAE" w:rsidRDefault="00C65834" w:rsidP="00201EDA">
      <w:pPr>
        <w:jc w:val="both"/>
        <w:outlineLvl w:val="0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b/>
          <w:sz w:val="22"/>
          <w:szCs w:val="22"/>
        </w:rPr>
        <w:t xml:space="preserve">5.1 </w:t>
      </w:r>
      <w:r w:rsidR="007F11BE" w:rsidRPr="007A1CAE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8018B0" w:rsidRPr="007A1CAE">
        <w:rPr>
          <w:rFonts w:ascii="Times New Roman" w:hAnsi="Times New Roman"/>
          <w:b/>
          <w:sz w:val="22"/>
          <w:szCs w:val="22"/>
        </w:rPr>
        <w:t>Farmakodynamické</w:t>
      </w:r>
      <w:proofErr w:type="spellEnd"/>
      <w:r w:rsidR="008018B0" w:rsidRPr="007A1CAE">
        <w:rPr>
          <w:rFonts w:ascii="Times New Roman" w:hAnsi="Times New Roman"/>
          <w:b/>
          <w:sz w:val="22"/>
          <w:szCs w:val="22"/>
        </w:rPr>
        <w:t xml:space="preserve"> vlastnosti</w:t>
      </w:r>
    </w:p>
    <w:p w14:paraId="741EF0C5" w14:textId="77777777" w:rsidR="008018B0" w:rsidRPr="007A1CAE" w:rsidRDefault="008018B0">
      <w:pPr>
        <w:jc w:val="both"/>
        <w:rPr>
          <w:rFonts w:ascii="Times New Roman" w:hAnsi="Times New Roman"/>
          <w:sz w:val="22"/>
          <w:szCs w:val="22"/>
        </w:rPr>
      </w:pPr>
    </w:p>
    <w:p w14:paraId="6207983F" w14:textId="3A453EE0" w:rsidR="008018B0" w:rsidRPr="00201EDA" w:rsidRDefault="008018B0" w:rsidP="001C6F75">
      <w:pPr>
        <w:jc w:val="both"/>
        <w:outlineLvl w:val="0"/>
        <w:rPr>
          <w:rFonts w:ascii="Times New Roman" w:hAnsi="Times New Roman"/>
          <w:sz w:val="22"/>
          <w:szCs w:val="22"/>
        </w:rPr>
      </w:pPr>
      <w:proofErr w:type="spellStart"/>
      <w:r w:rsidRPr="00201EDA">
        <w:rPr>
          <w:rFonts w:ascii="Times New Roman" w:hAnsi="Times New Roman"/>
          <w:iCs/>
          <w:sz w:val="22"/>
          <w:szCs w:val="22"/>
        </w:rPr>
        <w:t>Farmakoterapeutická</w:t>
      </w:r>
      <w:proofErr w:type="spellEnd"/>
      <w:r w:rsidRPr="00201EDA">
        <w:rPr>
          <w:rFonts w:ascii="Times New Roman" w:hAnsi="Times New Roman"/>
          <w:iCs/>
          <w:sz w:val="22"/>
          <w:szCs w:val="22"/>
        </w:rPr>
        <w:t xml:space="preserve"> skupina</w:t>
      </w:r>
      <w:r w:rsidRPr="00201EDA">
        <w:rPr>
          <w:rFonts w:ascii="Times New Roman" w:hAnsi="Times New Roman"/>
          <w:sz w:val="22"/>
          <w:szCs w:val="22"/>
        </w:rPr>
        <w:t>:</w:t>
      </w:r>
      <w:r w:rsidR="007E1547" w:rsidRPr="007E1547">
        <w:rPr>
          <w:rFonts w:ascii="Times New Roman" w:hAnsi="Times New Roman"/>
          <w:sz w:val="22"/>
          <w:szCs w:val="22"/>
        </w:rPr>
        <w:t xml:space="preserve"> </w:t>
      </w:r>
      <w:r w:rsidR="007E1547">
        <w:rPr>
          <w:rFonts w:ascii="Times New Roman" w:hAnsi="Times New Roman"/>
          <w:sz w:val="22"/>
          <w:szCs w:val="22"/>
        </w:rPr>
        <w:t>Liečba štítnej žľazy,</w:t>
      </w:r>
      <w:r w:rsidRPr="00201EDA">
        <w:rPr>
          <w:rFonts w:ascii="Times New Roman" w:hAnsi="Times New Roman"/>
          <w:sz w:val="22"/>
          <w:szCs w:val="22"/>
        </w:rPr>
        <w:t xml:space="preserve"> hormóny štítnej žľazy</w:t>
      </w:r>
      <w:r w:rsidR="001C6F75">
        <w:rPr>
          <w:rFonts w:ascii="Times New Roman" w:hAnsi="Times New Roman"/>
          <w:sz w:val="22"/>
          <w:szCs w:val="22"/>
        </w:rPr>
        <w:t>,</w:t>
      </w:r>
    </w:p>
    <w:p w14:paraId="58688B44" w14:textId="0D89FD81" w:rsidR="008018B0" w:rsidRPr="00201EDA" w:rsidRDefault="008018B0" w:rsidP="001C6F75">
      <w:pPr>
        <w:jc w:val="both"/>
        <w:rPr>
          <w:rFonts w:ascii="Times New Roman" w:hAnsi="Times New Roman"/>
          <w:sz w:val="22"/>
          <w:szCs w:val="22"/>
        </w:rPr>
      </w:pPr>
      <w:r w:rsidRPr="00201EDA">
        <w:rPr>
          <w:rFonts w:ascii="Times New Roman" w:hAnsi="Times New Roman"/>
          <w:iCs/>
          <w:sz w:val="22"/>
          <w:szCs w:val="22"/>
        </w:rPr>
        <w:lastRenderedPageBreak/>
        <w:t>ATC kód</w:t>
      </w:r>
      <w:r w:rsidRPr="00201EDA">
        <w:rPr>
          <w:rFonts w:ascii="Times New Roman" w:hAnsi="Times New Roman"/>
          <w:sz w:val="22"/>
          <w:szCs w:val="22"/>
        </w:rPr>
        <w:t>: H03A</w:t>
      </w:r>
      <w:r w:rsidR="007351AF" w:rsidRPr="00201EDA">
        <w:rPr>
          <w:rFonts w:ascii="Times New Roman" w:hAnsi="Times New Roman"/>
          <w:sz w:val="22"/>
          <w:szCs w:val="22"/>
        </w:rPr>
        <w:t>A</w:t>
      </w:r>
      <w:r w:rsidRPr="00201EDA">
        <w:rPr>
          <w:rFonts w:ascii="Times New Roman" w:hAnsi="Times New Roman"/>
          <w:sz w:val="22"/>
          <w:szCs w:val="22"/>
        </w:rPr>
        <w:t>01</w:t>
      </w:r>
    </w:p>
    <w:p w14:paraId="3DB39C80" w14:textId="77777777" w:rsidR="007A171B" w:rsidRPr="007A1CAE" w:rsidRDefault="007A171B" w:rsidP="001C6F75">
      <w:pPr>
        <w:jc w:val="both"/>
        <w:rPr>
          <w:rFonts w:ascii="Times New Roman" w:hAnsi="Times New Roman"/>
          <w:sz w:val="22"/>
          <w:szCs w:val="22"/>
        </w:rPr>
      </w:pPr>
    </w:p>
    <w:p w14:paraId="2E87AA73" w14:textId="77777777" w:rsidR="007A171B" w:rsidRPr="002F028B" w:rsidRDefault="007A171B" w:rsidP="001C6F75">
      <w:pPr>
        <w:jc w:val="both"/>
        <w:outlineLvl w:val="0"/>
        <w:rPr>
          <w:rFonts w:ascii="Times New Roman" w:hAnsi="Times New Roman"/>
          <w:sz w:val="22"/>
          <w:szCs w:val="22"/>
          <w:u w:val="single"/>
        </w:rPr>
      </w:pPr>
      <w:r w:rsidRPr="002F028B">
        <w:rPr>
          <w:rFonts w:ascii="Times New Roman" w:hAnsi="Times New Roman"/>
          <w:sz w:val="22"/>
          <w:szCs w:val="22"/>
          <w:u w:val="single"/>
        </w:rPr>
        <w:t>Mechanizmus účinku</w:t>
      </w:r>
    </w:p>
    <w:p w14:paraId="6BADC9B5" w14:textId="01CF0772" w:rsidR="007E1547" w:rsidRDefault="008018B0" w:rsidP="001C6F75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 xml:space="preserve">Syntetický </w:t>
      </w:r>
      <w:proofErr w:type="spellStart"/>
      <w:r w:rsidRPr="007A1CAE">
        <w:rPr>
          <w:rFonts w:ascii="Times New Roman" w:hAnsi="Times New Roman"/>
          <w:sz w:val="22"/>
          <w:szCs w:val="22"/>
        </w:rPr>
        <w:t>levotyroxín</w:t>
      </w:r>
      <w:proofErr w:type="spellEnd"/>
      <w:r w:rsidRPr="007A1CAE">
        <w:rPr>
          <w:rFonts w:ascii="Times New Roman" w:hAnsi="Times New Roman"/>
          <w:sz w:val="22"/>
          <w:szCs w:val="22"/>
        </w:rPr>
        <w:t>, ktorý sa nachádza v </w:t>
      </w:r>
      <w:r w:rsidR="00D62B9F" w:rsidRPr="007A1CAE">
        <w:rPr>
          <w:rFonts w:ascii="Times New Roman" w:hAnsi="Times New Roman"/>
          <w:sz w:val="22"/>
          <w:szCs w:val="22"/>
        </w:rPr>
        <w:t>lie</w:t>
      </w:r>
      <w:r w:rsidRPr="007A1CAE">
        <w:rPr>
          <w:rFonts w:ascii="Times New Roman" w:hAnsi="Times New Roman"/>
          <w:sz w:val="22"/>
          <w:szCs w:val="22"/>
        </w:rPr>
        <w:t xml:space="preserve">ku </w:t>
      </w:r>
      <w:proofErr w:type="spellStart"/>
      <w:r w:rsidR="00A935FD" w:rsidRPr="007A1CAE">
        <w:rPr>
          <w:rFonts w:ascii="Times New Roman" w:hAnsi="Times New Roman"/>
          <w:sz w:val="22"/>
          <w:szCs w:val="22"/>
        </w:rPr>
        <w:t>L</w:t>
      </w:r>
      <w:r w:rsidR="000E7EA9" w:rsidRPr="007A1CAE">
        <w:rPr>
          <w:rFonts w:ascii="Times New Roman" w:hAnsi="Times New Roman"/>
          <w:sz w:val="22"/>
          <w:szCs w:val="22"/>
        </w:rPr>
        <w:t>-Thyroxin</w:t>
      </w:r>
      <w:proofErr w:type="spellEnd"/>
      <w:r w:rsidR="000E7EA9" w:rsidRPr="007A1CAE">
        <w:rPr>
          <w:rFonts w:ascii="Times New Roman" w:hAnsi="Times New Roman"/>
          <w:sz w:val="22"/>
          <w:szCs w:val="22"/>
        </w:rPr>
        <w:t xml:space="preserve"> 125</w:t>
      </w:r>
      <w:r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A1CAE">
        <w:rPr>
          <w:rFonts w:ascii="Times New Roman" w:hAnsi="Times New Roman"/>
          <w:sz w:val="22"/>
          <w:szCs w:val="22"/>
        </w:rPr>
        <w:t>Berlin-Chemie</w:t>
      </w:r>
      <w:proofErr w:type="spellEnd"/>
      <w:r w:rsidR="00D62B9F" w:rsidRPr="007A1CAE">
        <w:rPr>
          <w:rFonts w:ascii="Times New Roman" w:hAnsi="Times New Roman"/>
          <w:sz w:val="22"/>
          <w:szCs w:val="22"/>
        </w:rPr>
        <w:t>,</w:t>
      </w:r>
      <w:r w:rsidRPr="007A1CAE">
        <w:rPr>
          <w:rFonts w:ascii="Times New Roman" w:hAnsi="Times New Roman"/>
          <w:sz w:val="22"/>
          <w:szCs w:val="22"/>
        </w:rPr>
        <w:t xml:space="preserve"> je svojím účinkom identický s hormónom biologického pôvodu tvoreným štítnou žľazou. </w:t>
      </w:r>
      <w:r w:rsidR="007A171B" w:rsidRPr="007A1CAE">
        <w:rPr>
          <w:rFonts w:ascii="Times New Roman" w:hAnsi="Times New Roman"/>
          <w:sz w:val="22"/>
          <w:szCs w:val="22"/>
        </w:rPr>
        <w:t xml:space="preserve">Organizmus nerozlišuje endogénne vytvorený </w:t>
      </w:r>
      <w:proofErr w:type="spellStart"/>
      <w:r w:rsidR="007A171B" w:rsidRPr="007A1CAE">
        <w:rPr>
          <w:rFonts w:ascii="Times New Roman" w:hAnsi="Times New Roman"/>
          <w:sz w:val="22"/>
          <w:szCs w:val="22"/>
        </w:rPr>
        <w:t>levotyroxín</w:t>
      </w:r>
      <w:proofErr w:type="spellEnd"/>
      <w:r w:rsidR="007A171B" w:rsidRPr="007A1CAE">
        <w:rPr>
          <w:rFonts w:ascii="Times New Roman" w:hAnsi="Times New Roman"/>
          <w:sz w:val="22"/>
          <w:szCs w:val="22"/>
        </w:rPr>
        <w:t xml:space="preserve"> od exogénneho. </w:t>
      </w:r>
    </w:p>
    <w:p w14:paraId="3D7E7971" w14:textId="77777777" w:rsidR="007E1547" w:rsidRDefault="007E1547" w:rsidP="001C6F75">
      <w:pPr>
        <w:pStyle w:val="Zarkazkladnhotextu"/>
        <w:ind w:left="0"/>
        <w:rPr>
          <w:rFonts w:ascii="Times New Roman" w:hAnsi="Times New Roman"/>
          <w:sz w:val="22"/>
          <w:szCs w:val="22"/>
        </w:rPr>
      </w:pPr>
    </w:p>
    <w:p w14:paraId="3805C981" w14:textId="3E4D781C" w:rsidR="007E1547" w:rsidRPr="002F028B" w:rsidRDefault="007E1547" w:rsidP="001C6F75">
      <w:pPr>
        <w:pStyle w:val="Zarkazkladnhotextu"/>
        <w:ind w:left="0"/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2F028B">
        <w:rPr>
          <w:rFonts w:ascii="Times New Roman" w:hAnsi="Times New Roman"/>
          <w:sz w:val="22"/>
          <w:szCs w:val="22"/>
          <w:u w:val="single"/>
        </w:rPr>
        <w:t>Farmakodynamické</w:t>
      </w:r>
      <w:proofErr w:type="spellEnd"/>
      <w:r w:rsidRPr="002F028B">
        <w:rPr>
          <w:rFonts w:ascii="Times New Roman" w:hAnsi="Times New Roman"/>
          <w:sz w:val="22"/>
          <w:szCs w:val="22"/>
          <w:u w:val="single"/>
        </w:rPr>
        <w:t xml:space="preserve"> účinky</w:t>
      </w:r>
    </w:p>
    <w:p w14:paraId="25A2D05A" w14:textId="07027359" w:rsidR="008018B0" w:rsidRPr="007A1CAE" w:rsidRDefault="008018B0" w:rsidP="001C6F75">
      <w:pPr>
        <w:pStyle w:val="Zarkazkladnhotextu"/>
        <w:ind w:left="0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 xml:space="preserve">Po čiastočnej konverzii na </w:t>
      </w:r>
      <w:proofErr w:type="spellStart"/>
      <w:r w:rsidRPr="007A1CAE">
        <w:rPr>
          <w:rFonts w:ascii="Times New Roman" w:hAnsi="Times New Roman"/>
          <w:sz w:val="22"/>
          <w:szCs w:val="22"/>
        </w:rPr>
        <w:t>liotyronín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(T3), </w:t>
      </w:r>
      <w:r w:rsidR="00493508">
        <w:rPr>
          <w:rFonts w:ascii="Times New Roman" w:hAnsi="Times New Roman"/>
          <w:sz w:val="22"/>
          <w:szCs w:val="22"/>
        </w:rPr>
        <w:t>predovšetkým</w:t>
      </w:r>
      <w:r w:rsidR="00493508" w:rsidRPr="007A1CAE">
        <w:rPr>
          <w:rFonts w:ascii="Times New Roman" w:hAnsi="Times New Roman"/>
          <w:sz w:val="22"/>
          <w:szCs w:val="22"/>
        </w:rPr>
        <w:t xml:space="preserve"> </w:t>
      </w:r>
      <w:r w:rsidRPr="007A1CAE">
        <w:rPr>
          <w:rFonts w:ascii="Times New Roman" w:hAnsi="Times New Roman"/>
          <w:sz w:val="22"/>
          <w:szCs w:val="22"/>
        </w:rPr>
        <w:t>v pečeni a obličkách, a po prechode do buniek tela</w:t>
      </w:r>
      <w:r w:rsidR="00493508">
        <w:rPr>
          <w:rFonts w:ascii="Times New Roman" w:hAnsi="Times New Roman"/>
          <w:sz w:val="22"/>
          <w:szCs w:val="22"/>
        </w:rPr>
        <w:t xml:space="preserve"> sa pozorujú charakteristické účinky </w:t>
      </w:r>
      <w:r w:rsidRPr="007A1CAE">
        <w:rPr>
          <w:rFonts w:ascii="Times New Roman" w:hAnsi="Times New Roman"/>
          <w:sz w:val="22"/>
          <w:szCs w:val="22"/>
        </w:rPr>
        <w:t xml:space="preserve"> </w:t>
      </w:r>
      <w:r w:rsidR="00C85F5A" w:rsidRPr="007A1CAE">
        <w:rPr>
          <w:rFonts w:ascii="Times New Roman" w:hAnsi="Times New Roman"/>
          <w:sz w:val="22"/>
          <w:szCs w:val="22"/>
        </w:rPr>
        <w:t>hormón</w:t>
      </w:r>
      <w:r w:rsidR="00493508">
        <w:rPr>
          <w:rFonts w:ascii="Times New Roman" w:hAnsi="Times New Roman"/>
          <w:sz w:val="22"/>
          <w:szCs w:val="22"/>
        </w:rPr>
        <w:t>ov</w:t>
      </w:r>
      <w:r w:rsidR="00C85F5A" w:rsidRPr="007A1CAE">
        <w:rPr>
          <w:rFonts w:ascii="Times New Roman" w:hAnsi="Times New Roman"/>
          <w:sz w:val="22"/>
          <w:szCs w:val="22"/>
        </w:rPr>
        <w:t xml:space="preserve"> štítnej žľazy </w:t>
      </w:r>
      <w:r w:rsidR="00493508">
        <w:rPr>
          <w:rFonts w:ascii="Times New Roman" w:hAnsi="Times New Roman"/>
          <w:sz w:val="22"/>
          <w:szCs w:val="22"/>
        </w:rPr>
        <w:t xml:space="preserve">na </w:t>
      </w:r>
      <w:r w:rsidR="00C85F5A" w:rsidRPr="007A1CAE">
        <w:rPr>
          <w:rFonts w:ascii="Times New Roman" w:hAnsi="Times New Roman"/>
          <w:sz w:val="22"/>
          <w:szCs w:val="22"/>
        </w:rPr>
        <w:t>vývoj</w:t>
      </w:r>
      <w:r w:rsidRPr="007A1CAE">
        <w:rPr>
          <w:rFonts w:ascii="Times New Roman" w:hAnsi="Times New Roman"/>
          <w:sz w:val="22"/>
          <w:szCs w:val="22"/>
        </w:rPr>
        <w:t xml:space="preserve">, rast a metabolizmus </w:t>
      </w:r>
      <w:r w:rsidR="00493508">
        <w:rPr>
          <w:rFonts w:ascii="Times New Roman" w:hAnsi="Times New Roman"/>
          <w:sz w:val="22"/>
          <w:szCs w:val="22"/>
        </w:rPr>
        <w:t>prostredníctvom</w:t>
      </w:r>
      <w:r w:rsidR="007A171B" w:rsidRPr="007A1CAE">
        <w:rPr>
          <w:rFonts w:ascii="Times New Roman" w:hAnsi="Times New Roman"/>
          <w:sz w:val="22"/>
          <w:szCs w:val="22"/>
        </w:rPr>
        <w:t xml:space="preserve"> aktivácie T</w:t>
      </w:r>
      <w:r w:rsidR="007A171B" w:rsidRPr="007A1CAE">
        <w:rPr>
          <w:rFonts w:ascii="Times New Roman" w:hAnsi="Times New Roman"/>
          <w:sz w:val="22"/>
          <w:szCs w:val="22"/>
          <w:vertAlign w:val="subscript"/>
        </w:rPr>
        <w:t>3</w:t>
      </w:r>
      <w:r w:rsidR="007A171B" w:rsidRPr="007A1CAE">
        <w:rPr>
          <w:rFonts w:ascii="Times New Roman" w:hAnsi="Times New Roman"/>
          <w:sz w:val="22"/>
          <w:szCs w:val="22"/>
        </w:rPr>
        <w:t xml:space="preserve"> receptorov</w:t>
      </w:r>
      <w:r w:rsidRPr="007A1CAE">
        <w:rPr>
          <w:rFonts w:ascii="Times New Roman" w:hAnsi="Times New Roman"/>
          <w:sz w:val="22"/>
          <w:szCs w:val="22"/>
        </w:rPr>
        <w:t>.</w:t>
      </w:r>
    </w:p>
    <w:p w14:paraId="721FC69D" w14:textId="77777777" w:rsidR="007A171B" w:rsidRPr="007A1CAE" w:rsidRDefault="007A171B" w:rsidP="001C6F75">
      <w:pPr>
        <w:pStyle w:val="Zarkazkladnhotextu"/>
        <w:ind w:left="0"/>
        <w:rPr>
          <w:rFonts w:ascii="Times New Roman" w:hAnsi="Times New Roman"/>
          <w:sz w:val="22"/>
          <w:szCs w:val="22"/>
        </w:rPr>
      </w:pPr>
    </w:p>
    <w:p w14:paraId="48135E89" w14:textId="5F8A4AEE" w:rsidR="007A171B" w:rsidRPr="00FE21BF" w:rsidRDefault="007A171B" w:rsidP="001C6F75">
      <w:pPr>
        <w:pStyle w:val="Zarkazkladnhotextu"/>
        <w:ind w:left="0"/>
        <w:outlineLvl w:val="0"/>
        <w:rPr>
          <w:rFonts w:ascii="Times New Roman" w:hAnsi="Times New Roman"/>
          <w:sz w:val="22"/>
          <w:szCs w:val="22"/>
          <w:u w:val="single"/>
        </w:rPr>
      </w:pPr>
      <w:r w:rsidRPr="00FE21BF">
        <w:rPr>
          <w:rFonts w:ascii="Times New Roman" w:hAnsi="Times New Roman"/>
          <w:sz w:val="22"/>
          <w:szCs w:val="22"/>
          <w:u w:val="single"/>
        </w:rPr>
        <w:t>Klinick</w:t>
      </w:r>
      <w:r w:rsidR="001C6F75" w:rsidRPr="00FE21BF">
        <w:rPr>
          <w:rFonts w:ascii="Times New Roman" w:hAnsi="Times New Roman"/>
          <w:sz w:val="22"/>
          <w:szCs w:val="22"/>
          <w:u w:val="single"/>
        </w:rPr>
        <w:t>á</w:t>
      </w:r>
      <w:r w:rsidRPr="00FE21BF">
        <w:rPr>
          <w:rFonts w:ascii="Times New Roman" w:hAnsi="Times New Roman"/>
          <w:sz w:val="22"/>
          <w:szCs w:val="22"/>
          <w:u w:val="single"/>
        </w:rPr>
        <w:t xml:space="preserve"> účin</w:t>
      </w:r>
      <w:r w:rsidR="001C6F75" w:rsidRPr="00FE21BF">
        <w:rPr>
          <w:rFonts w:ascii="Times New Roman" w:hAnsi="Times New Roman"/>
          <w:sz w:val="22"/>
          <w:szCs w:val="22"/>
          <w:u w:val="single"/>
        </w:rPr>
        <w:t>nosť</w:t>
      </w:r>
      <w:r w:rsidRPr="00FE21BF">
        <w:rPr>
          <w:rFonts w:ascii="Times New Roman" w:hAnsi="Times New Roman"/>
          <w:sz w:val="22"/>
          <w:szCs w:val="22"/>
          <w:u w:val="single"/>
        </w:rPr>
        <w:t xml:space="preserve"> a bezpečnosť</w:t>
      </w:r>
    </w:p>
    <w:p w14:paraId="2A1E7E05" w14:textId="6BFA8EF4" w:rsidR="008018B0" w:rsidRPr="007A1CAE" w:rsidRDefault="007A171B" w:rsidP="001C6F75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>Substitúci</w:t>
      </w:r>
      <w:r w:rsidR="00493508">
        <w:rPr>
          <w:rFonts w:ascii="Times New Roman" w:hAnsi="Times New Roman"/>
          <w:sz w:val="22"/>
          <w:szCs w:val="22"/>
        </w:rPr>
        <w:t>a</w:t>
      </w:r>
      <w:r w:rsidRPr="007A1CAE">
        <w:rPr>
          <w:rFonts w:ascii="Times New Roman" w:hAnsi="Times New Roman"/>
          <w:sz w:val="22"/>
          <w:szCs w:val="22"/>
        </w:rPr>
        <w:t xml:space="preserve"> hormónov štítnej žľazy </w:t>
      </w:r>
      <w:r w:rsidR="00493508">
        <w:rPr>
          <w:rFonts w:ascii="Times New Roman" w:hAnsi="Times New Roman"/>
          <w:sz w:val="22"/>
          <w:szCs w:val="22"/>
        </w:rPr>
        <w:t xml:space="preserve">vedie k </w:t>
      </w:r>
      <w:r w:rsidRPr="007A1CAE">
        <w:rPr>
          <w:rFonts w:ascii="Times New Roman" w:hAnsi="Times New Roman"/>
          <w:sz w:val="22"/>
          <w:szCs w:val="22"/>
        </w:rPr>
        <w:t>normaliz</w:t>
      </w:r>
      <w:r w:rsidR="00493508">
        <w:rPr>
          <w:rFonts w:ascii="Times New Roman" w:hAnsi="Times New Roman"/>
          <w:sz w:val="22"/>
          <w:szCs w:val="22"/>
        </w:rPr>
        <w:t xml:space="preserve">ácii </w:t>
      </w:r>
      <w:r w:rsidRPr="007A1CAE">
        <w:rPr>
          <w:rFonts w:ascii="Times New Roman" w:hAnsi="Times New Roman"/>
          <w:sz w:val="22"/>
          <w:szCs w:val="22"/>
        </w:rPr>
        <w:t>metabolick</w:t>
      </w:r>
      <w:r w:rsidR="00493508">
        <w:rPr>
          <w:rFonts w:ascii="Times New Roman" w:hAnsi="Times New Roman"/>
          <w:sz w:val="22"/>
          <w:szCs w:val="22"/>
        </w:rPr>
        <w:t>ých</w:t>
      </w:r>
      <w:r w:rsidRPr="007A1CAE">
        <w:rPr>
          <w:rFonts w:ascii="Times New Roman" w:hAnsi="Times New Roman"/>
          <w:sz w:val="22"/>
          <w:szCs w:val="22"/>
        </w:rPr>
        <w:t xml:space="preserve"> proces</w:t>
      </w:r>
      <w:r w:rsidR="00493508">
        <w:rPr>
          <w:rFonts w:ascii="Times New Roman" w:hAnsi="Times New Roman"/>
          <w:sz w:val="22"/>
          <w:szCs w:val="22"/>
        </w:rPr>
        <w:t>ov</w:t>
      </w:r>
      <w:r w:rsidRPr="007A1CAE">
        <w:rPr>
          <w:rFonts w:ascii="Times New Roman" w:hAnsi="Times New Roman"/>
          <w:sz w:val="22"/>
          <w:szCs w:val="22"/>
        </w:rPr>
        <w:t xml:space="preserve">. </w:t>
      </w:r>
      <w:r w:rsidR="0094415A" w:rsidRPr="007A1CAE">
        <w:rPr>
          <w:rFonts w:ascii="Times New Roman" w:hAnsi="Times New Roman"/>
          <w:sz w:val="22"/>
          <w:szCs w:val="22"/>
        </w:rPr>
        <w:t>Napríklad zvýšený cholesterol v kontexte s </w:t>
      </w:r>
      <w:proofErr w:type="spellStart"/>
      <w:r w:rsidR="0094415A" w:rsidRPr="007A1CAE">
        <w:rPr>
          <w:rFonts w:ascii="Times New Roman" w:hAnsi="Times New Roman"/>
          <w:sz w:val="22"/>
          <w:szCs w:val="22"/>
        </w:rPr>
        <w:t>hypotyreoidizmom</w:t>
      </w:r>
      <w:proofErr w:type="spellEnd"/>
      <w:r w:rsidR="0094415A" w:rsidRPr="007A1CAE">
        <w:rPr>
          <w:rFonts w:ascii="Times New Roman" w:hAnsi="Times New Roman"/>
          <w:sz w:val="22"/>
          <w:szCs w:val="22"/>
        </w:rPr>
        <w:t xml:space="preserve"> sa významne </w:t>
      </w:r>
      <w:r w:rsidR="00493508">
        <w:rPr>
          <w:rFonts w:ascii="Times New Roman" w:hAnsi="Times New Roman"/>
          <w:sz w:val="22"/>
          <w:szCs w:val="22"/>
        </w:rPr>
        <w:t>znižuje</w:t>
      </w:r>
      <w:r w:rsidR="00493508" w:rsidRPr="007A1CAE">
        <w:rPr>
          <w:rFonts w:ascii="Times New Roman" w:hAnsi="Times New Roman"/>
          <w:sz w:val="22"/>
          <w:szCs w:val="22"/>
        </w:rPr>
        <w:t xml:space="preserve"> </w:t>
      </w:r>
      <w:r w:rsidR="0094415A" w:rsidRPr="007A1CAE">
        <w:rPr>
          <w:rFonts w:ascii="Times New Roman" w:hAnsi="Times New Roman"/>
          <w:sz w:val="22"/>
          <w:szCs w:val="22"/>
        </w:rPr>
        <w:t xml:space="preserve">po podaní </w:t>
      </w:r>
      <w:proofErr w:type="spellStart"/>
      <w:r w:rsidR="0094415A" w:rsidRPr="007A1CAE">
        <w:rPr>
          <w:rFonts w:ascii="Times New Roman" w:hAnsi="Times New Roman"/>
          <w:sz w:val="22"/>
          <w:szCs w:val="22"/>
        </w:rPr>
        <w:t>levotyroxínu</w:t>
      </w:r>
      <w:proofErr w:type="spellEnd"/>
      <w:r w:rsidR="0094415A" w:rsidRPr="007A1CAE">
        <w:rPr>
          <w:rFonts w:ascii="Times New Roman" w:hAnsi="Times New Roman"/>
          <w:sz w:val="22"/>
          <w:szCs w:val="22"/>
        </w:rPr>
        <w:t>.</w:t>
      </w:r>
    </w:p>
    <w:p w14:paraId="6ED54DE5" w14:textId="77777777" w:rsidR="007A171B" w:rsidRPr="007A1CAE" w:rsidRDefault="007A171B">
      <w:pPr>
        <w:ind w:left="284"/>
        <w:jc w:val="both"/>
        <w:rPr>
          <w:rFonts w:ascii="Times New Roman" w:hAnsi="Times New Roman"/>
          <w:sz w:val="22"/>
          <w:szCs w:val="22"/>
        </w:rPr>
      </w:pPr>
    </w:p>
    <w:p w14:paraId="081A405B" w14:textId="77777777" w:rsidR="008018B0" w:rsidRPr="007A1CAE" w:rsidRDefault="00C65834" w:rsidP="00201EDA">
      <w:pPr>
        <w:jc w:val="both"/>
        <w:outlineLvl w:val="0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b/>
          <w:sz w:val="22"/>
          <w:szCs w:val="22"/>
        </w:rPr>
        <w:t xml:space="preserve">5.2 </w:t>
      </w:r>
      <w:r w:rsidR="007F11BE" w:rsidRPr="007A1CAE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8018B0" w:rsidRPr="007A1CAE">
        <w:rPr>
          <w:rFonts w:ascii="Times New Roman" w:hAnsi="Times New Roman"/>
          <w:b/>
          <w:sz w:val="22"/>
          <w:szCs w:val="22"/>
        </w:rPr>
        <w:t>Farmakokinetické</w:t>
      </w:r>
      <w:proofErr w:type="spellEnd"/>
      <w:r w:rsidR="008018B0" w:rsidRPr="007A1CAE">
        <w:rPr>
          <w:rFonts w:ascii="Times New Roman" w:hAnsi="Times New Roman"/>
          <w:b/>
          <w:sz w:val="22"/>
          <w:szCs w:val="22"/>
        </w:rPr>
        <w:t xml:space="preserve"> vlastnosti</w:t>
      </w:r>
    </w:p>
    <w:p w14:paraId="7223A7C4" w14:textId="028EDDC0" w:rsidR="0030249A" w:rsidRPr="007A1CAE" w:rsidRDefault="0030249A" w:rsidP="0030249A">
      <w:pPr>
        <w:jc w:val="both"/>
        <w:rPr>
          <w:rFonts w:ascii="Times New Roman" w:hAnsi="Times New Roman"/>
          <w:sz w:val="22"/>
          <w:szCs w:val="22"/>
        </w:rPr>
      </w:pPr>
    </w:p>
    <w:p w14:paraId="5CE7F9B2" w14:textId="77777777" w:rsidR="001C6F75" w:rsidRDefault="001C6F75" w:rsidP="001C6F75">
      <w:pPr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Absorpcia</w:t>
      </w:r>
    </w:p>
    <w:p w14:paraId="7E34F5CE" w14:textId="4100F64F" w:rsidR="0017194A" w:rsidRDefault="008018B0" w:rsidP="001C6F75">
      <w:pPr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 xml:space="preserve">Po užití nalačno, v závislosti od </w:t>
      </w:r>
      <w:proofErr w:type="spellStart"/>
      <w:r w:rsidRPr="007A1CAE">
        <w:rPr>
          <w:rFonts w:ascii="Times New Roman" w:hAnsi="Times New Roman"/>
          <w:sz w:val="22"/>
          <w:szCs w:val="22"/>
        </w:rPr>
        <w:t>galenick</w:t>
      </w:r>
      <w:r w:rsidR="00493508">
        <w:rPr>
          <w:rFonts w:ascii="Times New Roman" w:hAnsi="Times New Roman"/>
          <w:sz w:val="22"/>
          <w:szCs w:val="22"/>
        </w:rPr>
        <w:t>ej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</w:t>
      </w:r>
      <w:r w:rsidR="00493508">
        <w:rPr>
          <w:rFonts w:ascii="Times New Roman" w:hAnsi="Times New Roman"/>
          <w:sz w:val="22"/>
          <w:szCs w:val="22"/>
        </w:rPr>
        <w:t>formy lieku</w:t>
      </w:r>
      <w:r w:rsidRPr="007A1CAE">
        <w:rPr>
          <w:rFonts w:ascii="Times New Roman" w:hAnsi="Times New Roman"/>
          <w:sz w:val="22"/>
          <w:szCs w:val="22"/>
        </w:rPr>
        <w:t xml:space="preserve">, sa absorbuje maximum 80 % </w:t>
      </w:r>
      <w:proofErr w:type="spellStart"/>
      <w:r w:rsidRPr="007A1CAE">
        <w:rPr>
          <w:rFonts w:ascii="Times New Roman" w:hAnsi="Times New Roman"/>
          <w:sz w:val="22"/>
          <w:szCs w:val="22"/>
        </w:rPr>
        <w:t>levotyroxínu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najmä v tenkom </w:t>
      </w:r>
      <w:bookmarkStart w:id="0" w:name="_GoBack"/>
      <w:bookmarkEnd w:id="0"/>
      <w:r w:rsidRPr="007A1CAE">
        <w:rPr>
          <w:rFonts w:ascii="Times New Roman" w:hAnsi="Times New Roman"/>
          <w:sz w:val="22"/>
          <w:szCs w:val="22"/>
        </w:rPr>
        <w:t xml:space="preserve">čreve. </w:t>
      </w:r>
      <w:r w:rsidR="0017194A" w:rsidRPr="004E7CCC">
        <w:rPr>
          <w:rFonts w:ascii="Times New Roman" w:hAnsi="Times New Roman"/>
          <w:sz w:val="22"/>
          <w:szCs w:val="22"/>
        </w:rPr>
        <w:t xml:space="preserve">Užitie </w:t>
      </w:r>
      <w:r w:rsidR="00C51A92">
        <w:rPr>
          <w:rFonts w:ascii="Times New Roman" w:hAnsi="Times New Roman"/>
          <w:sz w:val="22"/>
          <w:szCs w:val="22"/>
        </w:rPr>
        <w:t xml:space="preserve">lieku </w:t>
      </w:r>
      <w:r w:rsidR="0017194A" w:rsidRPr="004E7CCC">
        <w:rPr>
          <w:rFonts w:ascii="Times New Roman" w:hAnsi="Times New Roman"/>
          <w:sz w:val="22"/>
          <w:szCs w:val="22"/>
        </w:rPr>
        <w:t>súčasne s jedlom výrazne zníži absorpciu</w:t>
      </w:r>
      <w:r w:rsidR="0017194A">
        <w:rPr>
          <w:rFonts w:ascii="Times New Roman" w:hAnsi="Times New Roman"/>
          <w:sz w:val="22"/>
          <w:szCs w:val="22"/>
        </w:rPr>
        <w:t>.</w:t>
      </w:r>
    </w:p>
    <w:p w14:paraId="7814F6CF" w14:textId="77777777" w:rsidR="0017194A" w:rsidRDefault="0017194A" w:rsidP="001C6F75">
      <w:pPr>
        <w:rPr>
          <w:rFonts w:ascii="Times New Roman" w:hAnsi="Times New Roman"/>
          <w:sz w:val="22"/>
          <w:szCs w:val="22"/>
        </w:rPr>
      </w:pPr>
    </w:p>
    <w:p w14:paraId="3AB990A2" w14:textId="6670579D" w:rsidR="002E2613" w:rsidRDefault="002E2613" w:rsidP="002E2613">
      <w:pPr>
        <w:jc w:val="both"/>
        <w:rPr>
          <w:rFonts w:ascii="Times New Roman" w:hAnsi="Times New Roman"/>
          <w:sz w:val="22"/>
          <w:szCs w:val="22"/>
        </w:rPr>
      </w:pPr>
      <w:r w:rsidRPr="004E7CCC">
        <w:rPr>
          <w:rFonts w:ascii="Times New Roman" w:hAnsi="Times New Roman"/>
          <w:sz w:val="22"/>
          <w:szCs w:val="22"/>
        </w:rPr>
        <w:t xml:space="preserve">Maximálna plazmatická hladina sa dosiahne </w:t>
      </w:r>
      <w:r w:rsidR="00C51A92">
        <w:rPr>
          <w:rFonts w:ascii="Times New Roman" w:hAnsi="Times New Roman"/>
          <w:sz w:val="22"/>
          <w:szCs w:val="22"/>
        </w:rPr>
        <w:t>približne</w:t>
      </w:r>
      <w:r w:rsidR="00C51A92" w:rsidRPr="004E7CCC">
        <w:rPr>
          <w:rFonts w:ascii="Times New Roman" w:hAnsi="Times New Roman"/>
          <w:sz w:val="22"/>
          <w:szCs w:val="22"/>
        </w:rPr>
        <w:t xml:space="preserve"> </w:t>
      </w:r>
      <w:r w:rsidRPr="004E7CCC">
        <w:rPr>
          <w:rFonts w:ascii="Times New Roman" w:hAnsi="Times New Roman"/>
          <w:sz w:val="22"/>
          <w:szCs w:val="22"/>
        </w:rPr>
        <w:t>za 2</w:t>
      </w:r>
      <w:r w:rsidR="00C51A92">
        <w:rPr>
          <w:rFonts w:ascii="Times New Roman" w:hAnsi="Times New Roman"/>
          <w:sz w:val="22"/>
          <w:szCs w:val="22"/>
        </w:rPr>
        <w:t xml:space="preserve"> až </w:t>
      </w:r>
      <w:r w:rsidRPr="004E7CCC">
        <w:rPr>
          <w:rFonts w:ascii="Times New Roman" w:hAnsi="Times New Roman"/>
          <w:sz w:val="22"/>
          <w:szCs w:val="22"/>
        </w:rPr>
        <w:t>3 hodiny po užití.</w:t>
      </w:r>
    </w:p>
    <w:p w14:paraId="7BEE788E" w14:textId="77DBB03A" w:rsidR="002E2613" w:rsidRDefault="002E2613" w:rsidP="001C6F75">
      <w:pPr>
        <w:rPr>
          <w:rFonts w:ascii="Times New Roman" w:hAnsi="Times New Roman"/>
          <w:sz w:val="22"/>
          <w:szCs w:val="22"/>
        </w:rPr>
      </w:pPr>
    </w:p>
    <w:p w14:paraId="0314D26B" w14:textId="0693DA66" w:rsidR="0030249A" w:rsidRPr="007A1CAE" w:rsidRDefault="00D62B9F" w:rsidP="001C6F75">
      <w:pPr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>Po</w:t>
      </w:r>
      <w:r w:rsidR="008018B0" w:rsidRPr="007A1CAE">
        <w:rPr>
          <w:rFonts w:ascii="Times New Roman" w:hAnsi="Times New Roman"/>
          <w:sz w:val="22"/>
          <w:szCs w:val="22"/>
        </w:rPr>
        <w:t xml:space="preserve"> začiatku perorálnej aplikácie sa dá liečebný efekt očakávať po 3 až 5 dňoch. </w:t>
      </w:r>
    </w:p>
    <w:p w14:paraId="50D90A51" w14:textId="77777777" w:rsidR="001C6F75" w:rsidRDefault="001C6F75" w:rsidP="001C6F75">
      <w:pPr>
        <w:rPr>
          <w:rFonts w:ascii="Times New Roman" w:hAnsi="Times New Roman"/>
          <w:sz w:val="22"/>
          <w:szCs w:val="22"/>
        </w:rPr>
      </w:pPr>
    </w:p>
    <w:p w14:paraId="316DAF27" w14:textId="77777777" w:rsidR="001C6F75" w:rsidRDefault="001C6F75" w:rsidP="001C6F75">
      <w:pPr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Distribúcia</w:t>
      </w:r>
    </w:p>
    <w:p w14:paraId="2D941A4A" w14:textId="33592036" w:rsidR="00337267" w:rsidRDefault="00337267" w:rsidP="00337267">
      <w:pPr>
        <w:jc w:val="both"/>
        <w:rPr>
          <w:rFonts w:ascii="Times New Roman" w:hAnsi="Times New Roman"/>
          <w:sz w:val="22"/>
          <w:szCs w:val="22"/>
        </w:rPr>
      </w:pPr>
      <w:r w:rsidRPr="004E7CCC">
        <w:rPr>
          <w:rFonts w:ascii="Times New Roman" w:hAnsi="Times New Roman"/>
          <w:sz w:val="22"/>
          <w:szCs w:val="22"/>
        </w:rPr>
        <w:t xml:space="preserve">Distribučný objem je </w:t>
      </w:r>
      <w:r w:rsidR="00C51A92">
        <w:rPr>
          <w:rFonts w:ascii="Times New Roman" w:hAnsi="Times New Roman"/>
          <w:sz w:val="22"/>
          <w:szCs w:val="22"/>
        </w:rPr>
        <w:t>približne</w:t>
      </w:r>
      <w:r w:rsidR="00C51A92" w:rsidRPr="004E7CCC">
        <w:rPr>
          <w:rFonts w:ascii="Times New Roman" w:hAnsi="Times New Roman"/>
          <w:sz w:val="22"/>
          <w:szCs w:val="22"/>
        </w:rPr>
        <w:t xml:space="preserve"> </w:t>
      </w:r>
      <w:r w:rsidRPr="004E7CCC">
        <w:rPr>
          <w:rFonts w:ascii="Times New Roman" w:hAnsi="Times New Roman"/>
          <w:sz w:val="22"/>
          <w:szCs w:val="22"/>
        </w:rPr>
        <w:t>10</w:t>
      </w:r>
      <w:r w:rsidR="00C51A92">
        <w:rPr>
          <w:rFonts w:ascii="Times New Roman" w:hAnsi="Times New Roman"/>
          <w:sz w:val="22"/>
          <w:szCs w:val="22"/>
        </w:rPr>
        <w:t xml:space="preserve"> až </w:t>
      </w:r>
      <w:r w:rsidRPr="004E7CCC">
        <w:rPr>
          <w:rFonts w:ascii="Times New Roman" w:hAnsi="Times New Roman"/>
          <w:sz w:val="22"/>
          <w:szCs w:val="22"/>
        </w:rPr>
        <w:t xml:space="preserve">12 l. </w:t>
      </w:r>
      <w:r w:rsidR="00C51A92">
        <w:rPr>
          <w:rFonts w:ascii="Times New Roman" w:hAnsi="Times New Roman"/>
          <w:sz w:val="22"/>
          <w:szCs w:val="22"/>
        </w:rPr>
        <w:t>Približne</w:t>
      </w:r>
      <w:r w:rsidR="00C51A92" w:rsidRPr="004E7CCC">
        <w:rPr>
          <w:rFonts w:ascii="Times New Roman" w:hAnsi="Times New Roman"/>
          <w:sz w:val="22"/>
          <w:szCs w:val="22"/>
        </w:rPr>
        <w:t xml:space="preserve"> </w:t>
      </w:r>
      <w:r w:rsidRPr="004E7CCC">
        <w:rPr>
          <w:rFonts w:ascii="Times New Roman" w:hAnsi="Times New Roman"/>
          <w:sz w:val="22"/>
          <w:szCs w:val="22"/>
        </w:rPr>
        <w:t>99,97</w:t>
      </w:r>
      <w:r w:rsidR="001E36EC" w:rsidRPr="004E7CCC">
        <w:rPr>
          <w:rFonts w:ascii="Times New Roman" w:hAnsi="Times New Roman"/>
          <w:sz w:val="22"/>
          <w:szCs w:val="22"/>
        </w:rPr>
        <w:t> </w:t>
      </w:r>
      <w:r w:rsidRPr="004E7CCC">
        <w:rPr>
          <w:rFonts w:ascii="Times New Roman" w:hAnsi="Times New Roman"/>
          <w:sz w:val="22"/>
          <w:szCs w:val="22"/>
        </w:rPr>
        <w:t xml:space="preserve">% </w:t>
      </w:r>
      <w:proofErr w:type="spellStart"/>
      <w:r w:rsidRPr="004E7CCC">
        <w:rPr>
          <w:rFonts w:ascii="Times New Roman" w:hAnsi="Times New Roman"/>
          <w:sz w:val="22"/>
          <w:szCs w:val="22"/>
        </w:rPr>
        <w:t>levotyroxínu</w:t>
      </w:r>
      <w:proofErr w:type="spellEnd"/>
      <w:r>
        <w:rPr>
          <w:rFonts w:ascii="Times New Roman" w:hAnsi="Times New Roman"/>
          <w:sz w:val="22"/>
          <w:szCs w:val="22"/>
        </w:rPr>
        <w:t xml:space="preserve"> sa viaže na </w:t>
      </w:r>
      <w:r w:rsidRPr="004E7CCC">
        <w:rPr>
          <w:rFonts w:ascii="Times New Roman" w:hAnsi="Times New Roman"/>
          <w:sz w:val="22"/>
          <w:szCs w:val="22"/>
        </w:rPr>
        <w:t xml:space="preserve">špecifické transportné bielkoviny plazmy. Väzba hormónov na tieto proteíny nie je </w:t>
      </w:r>
      <w:proofErr w:type="spellStart"/>
      <w:r w:rsidRPr="004E7CCC">
        <w:rPr>
          <w:rFonts w:ascii="Times New Roman" w:hAnsi="Times New Roman"/>
          <w:sz w:val="22"/>
          <w:szCs w:val="22"/>
        </w:rPr>
        <w:t>kovalentná</w:t>
      </w:r>
      <w:proofErr w:type="spellEnd"/>
      <w:r w:rsidRPr="004E7CCC">
        <w:rPr>
          <w:rFonts w:ascii="Times New Roman" w:hAnsi="Times New Roman"/>
          <w:sz w:val="22"/>
          <w:szCs w:val="22"/>
        </w:rPr>
        <w:t>, to znamená, že prebieha konštantná a veľmi rýchla výmena medzi voľným a viazaným hormónom.</w:t>
      </w:r>
    </w:p>
    <w:p w14:paraId="10F9F663" w14:textId="77777777" w:rsidR="001C6F75" w:rsidRDefault="001C6F75" w:rsidP="001C6F75">
      <w:pPr>
        <w:rPr>
          <w:rFonts w:ascii="Times New Roman" w:hAnsi="Times New Roman"/>
          <w:sz w:val="22"/>
          <w:szCs w:val="22"/>
        </w:rPr>
      </w:pPr>
    </w:p>
    <w:p w14:paraId="606DDF59" w14:textId="77777777" w:rsidR="001C6F75" w:rsidRDefault="001C6F75" w:rsidP="001C6F75">
      <w:pPr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Eliminácia</w:t>
      </w:r>
    </w:p>
    <w:p w14:paraId="0C980569" w14:textId="4CD6B990" w:rsidR="008018B0" w:rsidRDefault="008018B0" w:rsidP="001C6F75">
      <w:pPr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 xml:space="preserve">Metabolický </w:t>
      </w:r>
      <w:proofErr w:type="spellStart"/>
      <w:r w:rsidRPr="007A1CAE">
        <w:rPr>
          <w:rFonts w:ascii="Times New Roman" w:hAnsi="Times New Roman"/>
          <w:sz w:val="22"/>
          <w:szCs w:val="22"/>
        </w:rPr>
        <w:t>klírens</w:t>
      </w:r>
      <w:proofErr w:type="spellEnd"/>
      <w:r w:rsidR="00C51A9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51A92" w:rsidRPr="004E7CCC">
        <w:rPr>
          <w:rFonts w:ascii="Times New Roman" w:hAnsi="Times New Roman"/>
          <w:sz w:val="22"/>
          <w:szCs w:val="22"/>
        </w:rPr>
        <w:t>levotyroxínu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je približne </w:t>
      </w:r>
      <w:smartTag w:uri="urn:schemas-microsoft-com:office:smarttags" w:element="metricconverter">
        <w:smartTagPr>
          <w:attr w:name="ProductID" w:val="1,2 l"/>
        </w:smartTagPr>
        <w:r w:rsidRPr="007A1CAE">
          <w:rPr>
            <w:rFonts w:ascii="Times New Roman" w:hAnsi="Times New Roman"/>
            <w:sz w:val="22"/>
            <w:szCs w:val="22"/>
          </w:rPr>
          <w:t>1,2 l</w:t>
        </w:r>
      </w:smartTag>
      <w:r w:rsidRPr="007A1CAE">
        <w:rPr>
          <w:rFonts w:ascii="Times New Roman" w:hAnsi="Times New Roman"/>
          <w:sz w:val="22"/>
          <w:szCs w:val="22"/>
        </w:rPr>
        <w:t xml:space="preserve"> plazmy/deň, k odbúr</w:t>
      </w:r>
      <w:r w:rsidR="0030249A" w:rsidRPr="007A1CAE">
        <w:rPr>
          <w:rFonts w:ascii="Times New Roman" w:hAnsi="Times New Roman"/>
          <w:sz w:val="22"/>
          <w:szCs w:val="22"/>
        </w:rPr>
        <w:t>avaniu dochádza najmä v pečeni,</w:t>
      </w:r>
      <w:r w:rsidR="00894B4D">
        <w:rPr>
          <w:rFonts w:ascii="Times New Roman" w:hAnsi="Times New Roman"/>
          <w:sz w:val="22"/>
          <w:szCs w:val="22"/>
        </w:rPr>
        <w:t xml:space="preserve"> </w:t>
      </w:r>
      <w:r w:rsidRPr="007A1CAE">
        <w:rPr>
          <w:rFonts w:ascii="Times New Roman" w:hAnsi="Times New Roman"/>
          <w:sz w:val="22"/>
          <w:szCs w:val="22"/>
        </w:rPr>
        <w:t xml:space="preserve">obličkách, mozgu a vo svaloch. </w:t>
      </w:r>
      <w:proofErr w:type="spellStart"/>
      <w:r w:rsidR="00894B4D" w:rsidRPr="004E7CCC">
        <w:rPr>
          <w:rFonts w:ascii="Times New Roman" w:hAnsi="Times New Roman"/>
          <w:sz w:val="22"/>
          <w:szCs w:val="22"/>
        </w:rPr>
        <w:t>Metabolity</w:t>
      </w:r>
      <w:proofErr w:type="spellEnd"/>
      <w:r w:rsidR="00894B4D" w:rsidRPr="004E7CCC">
        <w:rPr>
          <w:rFonts w:ascii="Times New Roman" w:hAnsi="Times New Roman"/>
          <w:sz w:val="22"/>
          <w:szCs w:val="22"/>
        </w:rPr>
        <w:t xml:space="preserve"> sa vylučujú močom a stolicou.</w:t>
      </w:r>
    </w:p>
    <w:p w14:paraId="21386429" w14:textId="77777777" w:rsidR="00894B4D" w:rsidRDefault="00894B4D" w:rsidP="001C6F75">
      <w:pPr>
        <w:rPr>
          <w:rFonts w:ascii="Times New Roman" w:hAnsi="Times New Roman"/>
          <w:sz w:val="22"/>
          <w:szCs w:val="22"/>
        </w:rPr>
      </w:pPr>
    </w:p>
    <w:p w14:paraId="35F5814A" w14:textId="1E6FA45F" w:rsidR="00894B4D" w:rsidRPr="004E7CCC" w:rsidRDefault="00894B4D" w:rsidP="00894B4D">
      <w:pPr>
        <w:jc w:val="both"/>
        <w:rPr>
          <w:rFonts w:ascii="Times New Roman" w:hAnsi="Times New Roman"/>
          <w:sz w:val="22"/>
          <w:szCs w:val="22"/>
        </w:rPr>
      </w:pPr>
      <w:r w:rsidRPr="004E7CCC">
        <w:rPr>
          <w:rFonts w:ascii="Times New Roman" w:hAnsi="Times New Roman"/>
          <w:sz w:val="22"/>
          <w:szCs w:val="22"/>
        </w:rPr>
        <w:t xml:space="preserve">Polčas </w:t>
      </w:r>
      <w:proofErr w:type="spellStart"/>
      <w:r w:rsidRPr="004E7CCC">
        <w:rPr>
          <w:rFonts w:ascii="Times New Roman" w:hAnsi="Times New Roman"/>
          <w:sz w:val="22"/>
          <w:szCs w:val="22"/>
        </w:rPr>
        <w:t>levotyroxínu</w:t>
      </w:r>
      <w:proofErr w:type="spellEnd"/>
      <w:r w:rsidRPr="004E7CCC">
        <w:rPr>
          <w:rFonts w:ascii="Times New Roman" w:hAnsi="Times New Roman"/>
          <w:sz w:val="22"/>
          <w:szCs w:val="22"/>
        </w:rPr>
        <w:t xml:space="preserve"> je </w:t>
      </w:r>
      <w:r w:rsidR="00C51A92">
        <w:rPr>
          <w:rFonts w:ascii="Times New Roman" w:hAnsi="Times New Roman"/>
          <w:sz w:val="22"/>
          <w:szCs w:val="22"/>
        </w:rPr>
        <w:t>približne</w:t>
      </w:r>
      <w:r w:rsidR="00C51A92" w:rsidRPr="004E7CCC">
        <w:rPr>
          <w:rFonts w:ascii="Times New Roman" w:hAnsi="Times New Roman"/>
          <w:sz w:val="22"/>
          <w:szCs w:val="22"/>
        </w:rPr>
        <w:t xml:space="preserve"> </w:t>
      </w:r>
      <w:r w:rsidRPr="004E7CCC">
        <w:rPr>
          <w:rFonts w:ascii="Times New Roman" w:hAnsi="Times New Roman"/>
          <w:sz w:val="22"/>
          <w:szCs w:val="22"/>
        </w:rPr>
        <w:t xml:space="preserve">7 dní, pri </w:t>
      </w:r>
      <w:proofErr w:type="spellStart"/>
      <w:r w:rsidRPr="004E7CCC">
        <w:rPr>
          <w:rFonts w:ascii="Times New Roman" w:hAnsi="Times New Roman"/>
          <w:sz w:val="22"/>
          <w:szCs w:val="22"/>
        </w:rPr>
        <w:t>hypertyreoidizme</w:t>
      </w:r>
      <w:proofErr w:type="spellEnd"/>
      <w:r w:rsidRPr="004E7CCC">
        <w:rPr>
          <w:rFonts w:ascii="Times New Roman" w:hAnsi="Times New Roman"/>
          <w:sz w:val="22"/>
          <w:szCs w:val="22"/>
        </w:rPr>
        <w:t xml:space="preserve"> </w:t>
      </w:r>
      <w:r w:rsidR="00C51A92">
        <w:rPr>
          <w:rFonts w:ascii="Times New Roman" w:hAnsi="Times New Roman"/>
          <w:sz w:val="22"/>
          <w:szCs w:val="22"/>
        </w:rPr>
        <w:t xml:space="preserve">je kratší </w:t>
      </w:r>
      <w:r w:rsidRPr="004E7CCC">
        <w:rPr>
          <w:rFonts w:ascii="Times New Roman" w:hAnsi="Times New Roman"/>
          <w:sz w:val="22"/>
          <w:szCs w:val="22"/>
        </w:rPr>
        <w:t>(3</w:t>
      </w:r>
      <w:r w:rsidR="00C51A92">
        <w:rPr>
          <w:rFonts w:ascii="Times New Roman" w:hAnsi="Times New Roman"/>
          <w:sz w:val="22"/>
          <w:szCs w:val="22"/>
        </w:rPr>
        <w:t xml:space="preserve"> až </w:t>
      </w:r>
      <w:r w:rsidRPr="004E7CCC">
        <w:rPr>
          <w:rFonts w:ascii="Times New Roman" w:hAnsi="Times New Roman"/>
          <w:sz w:val="22"/>
          <w:szCs w:val="22"/>
        </w:rPr>
        <w:t>4 dni</w:t>
      </w:r>
      <w:r w:rsidR="00936391">
        <w:rPr>
          <w:rFonts w:ascii="Times New Roman" w:hAnsi="Times New Roman"/>
          <w:sz w:val="22"/>
          <w:szCs w:val="22"/>
        </w:rPr>
        <w:t>)</w:t>
      </w:r>
      <w:r w:rsidRPr="004E7CCC">
        <w:rPr>
          <w:rFonts w:ascii="Times New Roman" w:hAnsi="Times New Roman"/>
          <w:sz w:val="22"/>
          <w:szCs w:val="22"/>
        </w:rPr>
        <w:t xml:space="preserve"> a  pri </w:t>
      </w:r>
      <w:proofErr w:type="spellStart"/>
      <w:r w:rsidRPr="004E7CCC">
        <w:rPr>
          <w:rFonts w:ascii="Times New Roman" w:hAnsi="Times New Roman"/>
          <w:sz w:val="22"/>
          <w:szCs w:val="22"/>
        </w:rPr>
        <w:t>hypotyreoidizme</w:t>
      </w:r>
      <w:proofErr w:type="spellEnd"/>
      <w:r w:rsidRPr="004E7CCC">
        <w:rPr>
          <w:rFonts w:ascii="Times New Roman" w:hAnsi="Times New Roman"/>
          <w:sz w:val="22"/>
          <w:szCs w:val="22"/>
        </w:rPr>
        <w:t xml:space="preserve"> </w:t>
      </w:r>
      <w:r w:rsidR="007C5247" w:rsidRPr="004E7CCC">
        <w:rPr>
          <w:rFonts w:ascii="Times New Roman" w:hAnsi="Times New Roman"/>
          <w:sz w:val="22"/>
          <w:szCs w:val="22"/>
        </w:rPr>
        <w:t xml:space="preserve">dlhší </w:t>
      </w:r>
      <w:r w:rsidRPr="004E7CCC">
        <w:rPr>
          <w:rFonts w:ascii="Times New Roman" w:hAnsi="Times New Roman"/>
          <w:sz w:val="22"/>
          <w:szCs w:val="22"/>
        </w:rPr>
        <w:t>(</w:t>
      </w:r>
      <w:r w:rsidR="00C51A92">
        <w:rPr>
          <w:rFonts w:ascii="Times New Roman" w:hAnsi="Times New Roman"/>
          <w:sz w:val="22"/>
          <w:szCs w:val="22"/>
        </w:rPr>
        <w:t xml:space="preserve">približne </w:t>
      </w:r>
      <w:r w:rsidRPr="004E7CCC">
        <w:rPr>
          <w:rFonts w:ascii="Times New Roman" w:hAnsi="Times New Roman"/>
          <w:sz w:val="22"/>
          <w:szCs w:val="22"/>
        </w:rPr>
        <w:t>9</w:t>
      </w:r>
      <w:r w:rsidR="00C51A92">
        <w:rPr>
          <w:rFonts w:ascii="Times New Roman" w:hAnsi="Times New Roman"/>
          <w:sz w:val="22"/>
          <w:szCs w:val="22"/>
        </w:rPr>
        <w:t xml:space="preserve"> až </w:t>
      </w:r>
      <w:r w:rsidRPr="004E7CCC">
        <w:rPr>
          <w:rFonts w:ascii="Times New Roman" w:hAnsi="Times New Roman"/>
          <w:sz w:val="22"/>
          <w:szCs w:val="22"/>
        </w:rPr>
        <w:t>10 dní).</w:t>
      </w:r>
    </w:p>
    <w:p w14:paraId="04F4BCFA" w14:textId="69219D1F" w:rsidR="008018B0" w:rsidRDefault="008018B0">
      <w:pPr>
        <w:jc w:val="both"/>
        <w:rPr>
          <w:rFonts w:ascii="Times New Roman" w:hAnsi="Times New Roman"/>
          <w:sz w:val="22"/>
          <w:szCs w:val="22"/>
        </w:rPr>
      </w:pPr>
    </w:p>
    <w:p w14:paraId="0C75A76A" w14:textId="3C018DF4" w:rsidR="00894B4D" w:rsidRPr="004E7CCC" w:rsidRDefault="00894B4D" w:rsidP="00894B4D">
      <w:pPr>
        <w:jc w:val="both"/>
        <w:outlineLvl w:val="0"/>
        <w:rPr>
          <w:rFonts w:ascii="Times New Roman" w:hAnsi="Times New Roman"/>
          <w:i/>
          <w:iCs/>
          <w:sz w:val="22"/>
          <w:szCs w:val="22"/>
        </w:rPr>
      </w:pPr>
      <w:r w:rsidRPr="004E7CCC">
        <w:rPr>
          <w:rFonts w:ascii="Times New Roman" w:hAnsi="Times New Roman"/>
          <w:i/>
          <w:iCs/>
          <w:sz w:val="22"/>
          <w:szCs w:val="22"/>
        </w:rPr>
        <w:t xml:space="preserve">Gravidita a </w:t>
      </w:r>
      <w:r w:rsidR="00C51A92">
        <w:rPr>
          <w:rFonts w:ascii="Times New Roman" w:hAnsi="Times New Roman"/>
          <w:i/>
          <w:iCs/>
          <w:sz w:val="22"/>
          <w:szCs w:val="22"/>
        </w:rPr>
        <w:t>dojčenie</w:t>
      </w:r>
    </w:p>
    <w:p w14:paraId="18A4573D" w14:textId="77777777" w:rsidR="00894B4D" w:rsidRPr="004E7CCC" w:rsidRDefault="00894B4D" w:rsidP="00894B4D">
      <w:pPr>
        <w:jc w:val="both"/>
        <w:rPr>
          <w:rFonts w:ascii="Times New Roman" w:hAnsi="Times New Roman"/>
          <w:sz w:val="22"/>
          <w:szCs w:val="22"/>
        </w:rPr>
      </w:pPr>
      <w:proofErr w:type="spellStart"/>
      <w:r w:rsidRPr="004E7CCC">
        <w:rPr>
          <w:rFonts w:ascii="Times New Roman" w:hAnsi="Times New Roman"/>
          <w:sz w:val="22"/>
          <w:szCs w:val="22"/>
        </w:rPr>
        <w:t>Levotyroxín</w:t>
      </w:r>
      <w:proofErr w:type="spellEnd"/>
      <w:r w:rsidRPr="004E7CCC">
        <w:rPr>
          <w:rFonts w:ascii="Times New Roman" w:hAnsi="Times New Roman"/>
          <w:sz w:val="22"/>
          <w:szCs w:val="22"/>
        </w:rPr>
        <w:t xml:space="preserve"> prechádza cez placentu v malých množstvách. Pri liečbe normálnymi dávkami sa do       materského mlieka dostanú len malé množstvá </w:t>
      </w:r>
      <w:proofErr w:type="spellStart"/>
      <w:r w:rsidRPr="004E7CCC">
        <w:rPr>
          <w:rFonts w:ascii="Times New Roman" w:hAnsi="Times New Roman"/>
          <w:sz w:val="22"/>
          <w:szCs w:val="22"/>
        </w:rPr>
        <w:t>levotyroxínu</w:t>
      </w:r>
      <w:proofErr w:type="spellEnd"/>
      <w:r w:rsidRPr="004E7CCC">
        <w:rPr>
          <w:rFonts w:ascii="Times New Roman" w:hAnsi="Times New Roman"/>
          <w:sz w:val="22"/>
          <w:szCs w:val="22"/>
        </w:rPr>
        <w:t>.</w:t>
      </w:r>
    </w:p>
    <w:p w14:paraId="73B38ECE" w14:textId="77777777" w:rsidR="00894B4D" w:rsidRPr="004E7CCC" w:rsidRDefault="00894B4D" w:rsidP="00894B4D">
      <w:pPr>
        <w:jc w:val="both"/>
        <w:rPr>
          <w:rFonts w:ascii="Times New Roman" w:hAnsi="Times New Roman"/>
          <w:sz w:val="22"/>
          <w:szCs w:val="22"/>
        </w:rPr>
      </w:pPr>
    </w:p>
    <w:p w14:paraId="4A7A7843" w14:textId="46CEFAFA" w:rsidR="00894B4D" w:rsidRPr="004E7CCC" w:rsidRDefault="00C51A92" w:rsidP="00894B4D">
      <w:pPr>
        <w:jc w:val="both"/>
        <w:outlineLvl w:val="0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Porucha funkcie obličiek</w:t>
      </w:r>
    </w:p>
    <w:p w14:paraId="57646CBE" w14:textId="77777777" w:rsidR="00894B4D" w:rsidRPr="004E7CCC" w:rsidRDefault="00894B4D" w:rsidP="00894B4D">
      <w:pPr>
        <w:jc w:val="both"/>
        <w:rPr>
          <w:rFonts w:ascii="Times New Roman" w:hAnsi="Times New Roman"/>
          <w:sz w:val="22"/>
          <w:szCs w:val="22"/>
        </w:rPr>
      </w:pPr>
      <w:r w:rsidRPr="004E7CCC">
        <w:rPr>
          <w:rFonts w:ascii="Times New Roman" w:hAnsi="Times New Roman"/>
          <w:sz w:val="22"/>
          <w:szCs w:val="22"/>
        </w:rPr>
        <w:t xml:space="preserve">Vzhľadom na vysoký stupeň väzby na proteíny nepodlieha </w:t>
      </w:r>
      <w:proofErr w:type="spellStart"/>
      <w:r>
        <w:rPr>
          <w:rFonts w:ascii="Times New Roman" w:hAnsi="Times New Roman"/>
          <w:sz w:val="22"/>
          <w:szCs w:val="22"/>
        </w:rPr>
        <w:t>levotyroxín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Pr="004E7CCC">
        <w:rPr>
          <w:rFonts w:ascii="Times New Roman" w:hAnsi="Times New Roman"/>
          <w:sz w:val="22"/>
          <w:szCs w:val="22"/>
        </w:rPr>
        <w:t xml:space="preserve">hemodialýze ani </w:t>
      </w:r>
      <w:proofErr w:type="spellStart"/>
      <w:r w:rsidRPr="004E7CCC">
        <w:rPr>
          <w:rFonts w:ascii="Times New Roman" w:hAnsi="Times New Roman"/>
          <w:sz w:val="22"/>
          <w:szCs w:val="22"/>
        </w:rPr>
        <w:t>hemoperfúzii</w:t>
      </w:r>
      <w:proofErr w:type="spellEnd"/>
      <w:r w:rsidRPr="004E7CCC">
        <w:rPr>
          <w:rFonts w:ascii="Times New Roman" w:hAnsi="Times New Roman"/>
          <w:sz w:val="22"/>
          <w:szCs w:val="22"/>
        </w:rPr>
        <w:t>.</w:t>
      </w:r>
    </w:p>
    <w:p w14:paraId="3C02649D" w14:textId="77777777" w:rsidR="00B44334" w:rsidRPr="007A1CAE" w:rsidRDefault="00B44334">
      <w:pPr>
        <w:jc w:val="both"/>
        <w:rPr>
          <w:rFonts w:ascii="Times New Roman" w:hAnsi="Times New Roman"/>
          <w:sz w:val="22"/>
          <w:szCs w:val="22"/>
        </w:rPr>
      </w:pPr>
    </w:p>
    <w:p w14:paraId="42DAB1CD" w14:textId="77777777" w:rsidR="008018B0" w:rsidRPr="007A1CAE" w:rsidRDefault="00C65834" w:rsidP="00201EDA">
      <w:pPr>
        <w:jc w:val="both"/>
        <w:outlineLvl w:val="0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b/>
          <w:sz w:val="22"/>
          <w:szCs w:val="22"/>
        </w:rPr>
        <w:t xml:space="preserve">5.3 </w:t>
      </w:r>
      <w:r w:rsidR="007F11BE" w:rsidRPr="007A1CAE">
        <w:rPr>
          <w:rFonts w:ascii="Times New Roman" w:hAnsi="Times New Roman"/>
          <w:b/>
          <w:sz w:val="22"/>
          <w:szCs w:val="22"/>
        </w:rPr>
        <w:t xml:space="preserve"> </w:t>
      </w:r>
      <w:r w:rsidR="008018B0" w:rsidRPr="007A1CAE">
        <w:rPr>
          <w:rFonts w:ascii="Times New Roman" w:hAnsi="Times New Roman"/>
          <w:b/>
          <w:sz w:val="22"/>
          <w:szCs w:val="22"/>
        </w:rPr>
        <w:t>Predklinické údaje o bezpečnosti</w:t>
      </w:r>
    </w:p>
    <w:p w14:paraId="5AE3EC59" w14:textId="77777777" w:rsidR="0030249A" w:rsidRPr="007A1CAE" w:rsidRDefault="0030249A" w:rsidP="002F028B">
      <w:pPr>
        <w:jc w:val="both"/>
        <w:rPr>
          <w:rFonts w:ascii="Times New Roman" w:hAnsi="Times New Roman"/>
          <w:i/>
          <w:iCs/>
          <w:sz w:val="22"/>
          <w:szCs w:val="22"/>
        </w:rPr>
      </w:pPr>
    </w:p>
    <w:p w14:paraId="74EEFB3B" w14:textId="0E447D8D" w:rsidR="008018B0" w:rsidRPr="007A1CAE" w:rsidRDefault="008018B0" w:rsidP="001C6F75">
      <w:pPr>
        <w:jc w:val="both"/>
        <w:outlineLvl w:val="0"/>
        <w:rPr>
          <w:rFonts w:ascii="Times New Roman" w:hAnsi="Times New Roman"/>
          <w:i/>
          <w:iCs/>
          <w:sz w:val="22"/>
          <w:szCs w:val="22"/>
        </w:rPr>
      </w:pPr>
      <w:r w:rsidRPr="002F028B">
        <w:rPr>
          <w:rFonts w:ascii="Times New Roman" w:hAnsi="Times New Roman"/>
          <w:iCs/>
          <w:sz w:val="22"/>
          <w:szCs w:val="22"/>
          <w:u w:val="single"/>
        </w:rPr>
        <w:t>Akútna toxicita</w:t>
      </w:r>
    </w:p>
    <w:p w14:paraId="0F28EBAA" w14:textId="77777777" w:rsidR="008018B0" w:rsidRPr="007A1CAE" w:rsidRDefault="008018B0" w:rsidP="001C6F75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 xml:space="preserve">Akútna toxicita </w:t>
      </w:r>
      <w:proofErr w:type="spellStart"/>
      <w:r w:rsidRPr="007A1CAE">
        <w:rPr>
          <w:rFonts w:ascii="Times New Roman" w:hAnsi="Times New Roman"/>
          <w:sz w:val="22"/>
          <w:szCs w:val="22"/>
        </w:rPr>
        <w:t>levotyroxínu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je veľmi nízka.</w:t>
      </w:r>
    </w:p>
    <w:p w14:paraId="2FE59B85" w14:textId="77777777" w:rsidR="005F6371" w:rsidRPr="007A1CAE" w:rsidRDefault="005F6371" w:rsidP="001C6F75">
      <w:pPr>
        <w:jc w:val="both"/>
        <w:rPr>
          <w:rFonts w:ascii="Times New Roman" w:hAnsi="Times New Roman"/>
          <w:sz w:val="22"/>
          <w:szCs w:val="22"/>
        </w:rPr>
      </w:pPr>
    </w:p>
    <w:p w14:paraId="168C1117" w14:textId="749151DA" w:rsidR="008018B0" w:rsidRPr="007A1CAE" w:rsidRDefault="008018B0" w:rsidP="001C6F75">
      <w:pPr>
        <w:jc w:val="both"/>
        <w:outlineLvl w:val="0"/>
        <w:rPr>
          <w:rFonts w:ascii="Times New Roman" w:hAnsi="Times New Roman"/>
          <w:i/>
          <w:iCs/>
          <w:sz w:val="22"/>
          <w:szCs w:val="22"/>
        </w:rPr>
      </w:pPr>
      <w:r w:rsidRPr="002F028B">
        <w:rPr>
          <w:rFonts w:ascii="Times New Roman" w:hAnsi="Times New Roman"/>
          <w:iCs/>
          <w:sz w:val="22"/>
          <w:szCs w:val="22"/>
          <w:u w:val="single"/>
        </w:rPr>
        <w:t>Chronická toxicita</w:t>
      </w:r>
    </w:p>
    <w:p w14:paraId="167855AE" w14:textId="17C7B4C9" w:rsidR="008018B0" w:rsidRPr="007A1CAE" w:rsidRDefault="008018B0" w:rsidP="001C6F75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 xml:space="preserve">Chronická toxicita </w:t>
      </w:r>
      <w:r w:rsidR="009556E4" w:rsidRPr="007A1CAE">
        <w:rPr>
          <w:rFonts w:ascii="Times New Roman" w:hAnsi="Times New Roman"/>
          <w:sz w:val="22"/>
          <w:szCs w:val="22"/>
        </w:rPr>
        <w:t>bola</w:t>
      </w:r>
      <w:r w:rsidRPr="007A1CAE">
        <w:rPr>
          <w:rFonts w:ascii="Times New Roman" w:hAnsi="Times New Roman"/>
          <w:sz w:val="22"/>
          <w:szCs w:val="22"/>
        </w:rPr>
        <w:t xml:space="preserve"> sledova</w:t>
      </w:r>
      <w:r w:rsidR="009556E4" w:rsidRPr="007A1CAE">
        <w:rPr>
          <w:rFonts w:ascii="Times New Roman" w:hAnsi="Times New Roman"/>
          <w:sz w:val="22"/>
          <w:szCs w:val="22"/>
        </w:rPr>
        <w:t>ná</w:t>
      </w:r>
      <w:r w:rsidRPr="007A1CAE">
        <w:rPr>
          <w:rFonts w:ascii="Times New Roman" w:hAnsi="Times New Roman"/>
          <w:sz w:val="22"/>
          <w:szCs w:val="22"/>
        </w:rPr>
        <w:t xml:space="preserve"> na rôznych druhoch zvierat (potkany, psy). Pri vysokých dávkach sa u potkanov </w:t>
      </w:r>
      <w:r w:rsidR="00C51A92">
        <w:rPr>
          <w:rFonts w:ascii="Times New Roman" w:hAnsi="Times New Roman"/>
          <w:sz w:val="22"/>
          <w:szCs w:val="22"/>
        </w:rPr>
        <w:t>pozoroval</w:t>
      </w:r>
      <w:r w:rsidR="006D0EE7">
        <w:rPr>
          <w:rFonts w:ascii="Times New Roman" w:hAnsi="Times New Roman"/>
          <w:sz w:val="22"/>
          <w:szCs w:val="22"/>
        </w:rPr>
        <w:t>a</w:t>
      </w:r>
      <w:r w:rsidR="00C51A9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A1CAE">
        <w:rPr>
          <w:rFonts w:ascii="Times New Roman" w:hAnsi="Times New Roman"/>
          <w:sz w:val="22"/>
          <w:szCs w:val="22"/>
        </w:rPr>
        <w:t>hepatopatia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, </w:t>
      </w:r>
      <w:r w:rsidR="00B475F4">
        <w:rPr>
          <w:rFonts w:ascii="Times New Roman" w:hAnsi="Times New Roman"/>
          <w:sz w:val="22"/>
          <w:szCs w:val="22"/>
        </w:rPr>
        <w:t xml:space="preserve">zvýšený </w:t>
      </w:r>
      <w:r w:rsidRPr="007A1CAE">
        <w:rPr>
          <w:rFonts w:ascii="Times New Roman" w:hAnsi="Times New Roman"/>
          <w:sz w:val="22"/>
          <w:szCs w:val="22"/>
        </w:rPr>
        <w:t xml:space="preserve">výskyt spontánnych </w:t>
      </w:r>
      <w:proofErr w:type="spellStart"/>
      <w:r w:rsidRPr="007A1CAE">
        <w:rPr>
          <w:rFonts w:ascii="Times New Roman" w:hAnsi="Times New Roman"/>
          <w:sz w:val="22"/>
          <w:szCs w:val="22"/>
        </w:rPr>
        <w:t>nefróz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a</w:t>
      </w:r>
      <w:r w:rsidR="00C51A92">
        <w:rPr>
          <w:rFonts w:ascii="Times New Roman" w:hAnsi="Times New Roman"/>
          <w:sz w:val="22"/>
          <w:szCs w:val="22"/>
        </w:rPr>
        <w:t xml:space="preserve"> tiež</w:t>
      </w:r>
      <w:r w:rsidRPr="007A1CAE">
        <w:rPr>
          <w:rFonts w:ascii="Times New Roman" w:hAnsi="Times New Roman"/>
          <w:sz w:val="22"/>
          <w:szCs w:val="22"/>
        </w:rPr>
        <w:t xml:space="preserve"> zmena hmotnosti orgánov.</w:t>
      </w:r>
    </w:p>
    <w:p w14:paraId="217BC223" w14:textId="77777777" w:rsidR="008018B0" w:rsidRPr="007A1CAE" w:rsidRDefault="008018B0" w:rsidP="001C6F75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>U psov sa nezistili žiadne výrazné nežiaduce účinky.</w:t>
      </w:r>
    </w:p>
    <w:p w14:paraId="23D38EF6" w14:textId="77777777" w:rsidR="008018B0" w:rsidRDefault="008018B0" w:rsidP="001C6F75">
      <w:pPr>
        <w:jc w:val="both"/>
        <w:rPr>
          <w:rFonts w:ascii="Times New Roman" w:hAnsi="Times New Roman"/>
          <w:sz w:val="22"/>
          <w:szCs w:val="22"/>
        </w:rPr>
      </w:pPr>
    </w:p>
    <w:p w14:paraId="592C90C6" w14:textId="1DBADD0A" w:rsidR="00251B56" w:rsidRPr="002F028B" w:rsidRDefault="00251B56" w:rsidP="001C6F75">
      <w:pPr>
        <w:jc w:val="both"/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2F028B">
        <w:rPr>
          <w:rFonts w:ascii="Times New Roman" w:hAnsi="Times New Roman"/>
          <w:sz w:val="22"/>
          <w:szCs w:val="22"/>
          <w:u w:val="single"/>
        </w:rPr>
        <w:t>Mutagenita</w:t>
      </w:r>
      <w:proofErr w:type="spellEnd"/>
    </w:p>
    <w:p w14:paraId="66154608" w14:textId="77777777" w:rsidR="00251B56" w:rsidRPr="007A1CAE" w:rsidRDefault="00251B56" w:rsidP="00251B56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 xml:space="preserve">Experimentálne údaje týkajúce sa mutagénneho potenciálu </w:t>
      </w:r>
      <w:proofErr w:type="spellStart"/>
      <w:r w:rsidRPr="007A1CAE">
        <w:rPr>
          <w:rFonts w:ascii="Times New Roman" w:hAnsi="Times New Roman"/>
          <w:sz w:val="22"/>
          <w:szCs w:val="22"/>
        </w:rPr>
        <w:t>levotyroxínu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nie sú k dispozícii. V súčasnosti nie sú známe žiadne údaje o vzniku poškodenia potomstva zmenou v </w:t>
      </w:r>
      <w:proofErr w:type="spellStart"/>
      <w:r w:rsidRPr="007A1CAE">
        <w:rPr>
          <w:rFonts w:ascii="Times New Roman" w:hAnsi="Times New Roman"/>
          <w:sz w:val="22"/>
          <w:szCs w:val="22"/>
        </w:rPr>
        <w:t>genóme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ako následku pôsobenia hormónov štítnej žľazy.</w:t>
      </w:r>
    </w:p>
    <w:p w14:paraId="698D2019" w14:textId="77777777" w:rsidR="00251B56" w:rsidRPr="007A1CAE" w:rsidRDefault="00251B56" w:rsidP="001C6F75">
      <w:pPr>
        <w:jc w:val="both"/>
        <w:rPr>
          <w:rFonts w:ascii="Times New Roman" w:hAnsi="Times New Roman"/>
          <w:sz w:val="22"/>
          <w:szCs w:val="22"/>
        </w:rPr>
      </w:pPr>
    </w:p>
    <w:p w14:paraId="06202978" w14:textId="77E36B22" w:rsidR="008018B0" w:rsidRPr="007A1CAE" w:rsidRDefault="008018B0" w:rsidP="001C6F75">
      <w:pPr>
        <w:jc w:val="both"/>
        <w:outlineLvl w:val="0"/>
        <w:rPr>
          <w:rFonts w:ascii="Times New Roman" w:hAnsi="Times New Roman"/>
          <w:i/>
          <w:iCs/>
          <w:sz w:val="22"/>
          <w:szCs w:val="22"/>
        </w:rPr>
      </w:pPr>
      <w:r w:rsidRPr="002F028B">
        <w:rPr>
          <w:rFonts w:ascii="Times New Roman" w:hAnsi="Times New Roman"/>
          <w:iCs/>
          <w:sz w:val="22"/>
          <w:szCs w:val="22"/>
          <w:u w:val="single"/>
        </w:rPr>
        <w:t>Karcinog</w:t>
      </w:r>
      <w:r w:rsidR="00251B56">
        <w:rPr>
          <w:rFonts w:ascii="Times New Roman" w:hAnsi="Times New Roman"/>
          <w:iCs/>
          <w:sz w:val="22"/>
          <w:szCs w:val="22"/>
          <w:u w:val="single"/>
        </w:rPr>
        <w:t>enita</w:t>
      </w:r>
    </w:p>
    <w:p w14:paraId="1AE3999E" w14:textId="6EE1D174" w:rsidR="008018B0" w:rsidRPr="007A1CAE" w:rsidRDefault="008018B0" w:rsidP="001C6F75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 xml:space="preserve">Dlhodobé sledovania </w:t>
      </w:r>
      <w:r w:rsidR="00B475F4">
        <w:rPr>
          <w:rFonts w:ascii="Times New Roman" w:hAnsi="Times New Roman"/>
          <w:sz w:val="22"/>
          <w:szCs w:val="22"/>
        </w:rPr>
        <w:t xml:space="preserve">karcinogénneho potenciálu </w:t>
      </w:r>
      <w:proofErr w:type="spellStart"/>
      <w:r w:rsidR="00C4019B">
        <w:rPr>
          <w:rFonts w:ascii="Times New Roman" w:hAnsi="Times New Roman"/>
          <w:sz w:val="22"/>
          <w:szCs w:val="22"/>
        </w:rPr>
        <w:t>levotyroxínu</w:t>
      </w:r>
      <w:proofErr w:type="spellEnd"/>
      <w:r w:rsidR="00C4019B">
        <w:rPr>
          <w:rFonts w:ascii="Times New Roman" w:hAnsi="Times New Roman"/>
          <w:sz w:val="22"/>
          <w:szCs w:val="22"/>
        </w:rPr>
        <w:t xml:space="preserve"> </w:t>
      </w:r>
      <w:r w:rsidRPr="007A1CAE">
        <w:rPr>
          <w:rFonts w:ascii="Times New Roman" w:hAnsi="Times New Roman"/>
          <w:sz w:val="22"/>
          <w:szCs w:val="22"/>
        </w:rPr>
        <w:t xml:space="preserve">na zvieratách neboli vykonané. </w:t>
      </w:r>
    </w:p>
    <w:p w14:paraId="2888FEA4" w14:textId="77777777" w:rsidR="008018B0" w:rsidRPr="007A1CAE" w:rsidRDefault="008018B0" w:rsidP="001C6F75">
      <w:pPr>
        <w:jc w:val="both"/>
        <w:rPr>
          <w:rFonts w:ascii="Times New Roman" w:hAnsi="Times New Roman"/>
          <w:iCs/>
          <w:sz w:val="22"/>
          <w:szCs w:val="22"/>
        </w:rPr>
      </w:pPr>
    </w:p>
    <w:p w14:paraId="2A9DB4EB" w14:textId="2E0D2BEC" w:rsidR="008018B0" w:rsidRPr="009F1A92" w:rsidRDefault="008018B0" w:rsidP="001C6F75">
      <w:pPr>
        <w:jc w:val="both"/>
        <w:rPr>
          <w:rFonts w:ascii="Times New Roman" w:hAnsi="Times New Roman"/>
          <w:i/>
          <w:sz w:val="22"/>
          <w:szCs w:val="22"/>
        </w:rPr>
      </w:pPr>
      <w:r w:rsidRPr="00FE21BF">
        <w:rPr>
          <w:rFonts w:ascii="Times New Roman" w:hAnsi="Times New Roman"/>
          <w:iCs/>
          <w:sz w:val="22"/>
          <w:szCs w:val="22"/>
          <w:u w:val="single"/>
        </w:rPr>
        <w:t>Reprodukčná</w:t>
      </w:r>
      <w:r w:rsidRPr="006D0EE7">
        <w:rPr>
          <w:rFonts w:ascii="Times New Roman" w:hAnsi="Times New Roman"/>
          <w:iCs/>
          <w:sz w:val="22"/>
          <w:szCs w:val="22"/>
          <w:u w:val="single"/>
        </w:rPr>
        <w:t xml:space="preserve"> toxicita</w:t>
      </w:r>
    </w:p>
    <w:p w14:paraId="7F325EF4" w14:textId="77777777" w:rsidR="001C6F75" w:rsidRDefault="008018B0" w:rsidP="001C6F75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>Cez placentárnu membránu prechádza len veľmi malá časť hormónov štítnej žľazy.</w:t>
      </w:r>
    </w:p>
    <w:p w14:paraId="667EEFD7" w14:textId="2094A1A7" w:rsidR="00961CAD" w:rsidRDefault="00C51A92" w:rsidP="00961CAD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Experimentálne ú</w:t>
      </w:r>
      <w:r w:rsidR="00961CAD">
        <w:rPr>
          <w:rFonts w:ascii="Times New Roman" w:hAnsi="Times New Roman"/>
          <w:sz w:val="22"/>
          <w:szCs w:val="22"/>
        </w:rPr>
        <w:t>daje</w:t>
      </w:r>
      <w:r w:rsidR="00961CAD" w:rsidRPr="004E7CCC">
        <w:rPr>
          <w:rFonts w:ascii="Times New Roman" w:hAnsi="Times New Roman"/>
          <w:sz w:val="22"/>
          <w:szCs w:val="22"/>
        </w:rPr>
        <w:t xml:space="preserve"> o poškodení </w:t>
      </w:r>
      <w:proofErr w:type="spellStart"/>
      <w:r w:rsidR="00961CAD" w:rsidRPr="004E7CCC">
        <w:rPr>
          <w:rFonts w:ascii="Times New Roman" w:hAnsi="Times New Roman"/>
          <w:sz w:val="22"/>
          <w:szCs w:val="22"/>
        </w:rPr>
        <w:t>fertility</w:t>
      </w:r>
      <w:proofErr w:type="spellEnd"/>
      <w:r w:rsidR="00961CAD" w:rsidRPr="004E7CCC">
        <w:rPr>
          <w:rFonts w:ascii="Times New Roman" w:hAnsi="Times New Roman"/>
          <w:sz w:val="22"/>
          <w:szCs w:val="22"/>
        </w:rPr>
        <w:t xml:space="preserve"> obidvoch pohlaví účinkom </w:t>
      </w:r>
      <w:proofErr w:type="spellStart"/>
      <w:r w:rsidR="00961CAD" w:rsidRPr="004E7CCC">
        <w:rPr>
          <w:rFonts w:ascii="Times New Roman" w:hAnsi="Times New Roman"/>
          <w:sz w:val="22"/>
          <w:szCs w:val="22"/>
        </w:rPr>
        <w:t>levotyroxínu</w:t>
      </w:r>
      <w:proofErr w:type="spellEnd"/>
      <w:r>
        <w:rPr>
          <w:rFonts w:ascii="Times New Roman" w:hAnsi="Times New Roman"/>
          <w:sz w:val="22"/>
          <w:szCs w:val="22"/>
        </w:rPr>
        <w:t xml:space="preserve"> nie sú k dispozícii. N</w:t>
      </w:r>
      <w:r w:rsidR="00961CAD" w:rsidRPr="004E7CCC">
        <w:rPr>
          <w:rFonts w:ascii="Times New Roman" w:hAnsi="Times New Roman"/>
          <w:sz w:val="22"/>
          <w:szCs w:val="22"/>
        </w:rPr>
        <w:t xml:space="preserve">ie je ani podozrenie alebo náznak, že by hormóny štítnej žľazy </w:t>
      </w:r>
      <w:proofErr w:type="spellStart"/>
      <w:r w:rsidR="00961CAD" w:rsidRPr="004E7CCC">
        <w:rPr>
          <w:rFonts w:ascii="Times New Roman" w:hAnsi="Times New Roman"/>
          <w:sz w:val="22"/>
          <w:szCs w:val="22"/>
        </w:rPr>
        <w:t>fertilitu</w:t>
      </w:r>
      <w:proofErr w:type="spellEnd"/>
      <w:r w:rsidR="00961CAD" w:rsidRPr="004E7CCC">
        <w:rPr>
          <w:rFonts w:ascii="Times New Roman" w:hAnsi="Times New Roman"/>
          <w:sz w:val="22"/>
          <w:szCs w:val="22"/>
        </w:rPr>
        <w:t xml:space="preserve"> ovplyvňovali.</w:t>
      </w:r>
    </w:p>
    <w:p w14:paraId="4A71B0B3" w14:textId="77777777" w:rsidR="008018B0" w:rsidRPr="007A1CAE" w:rsidRDefault="008018B0" w:rsidP="001C6F75">
      <w:pPr>
        <w:jc w:val="both"/>
        <w:rPr>
          <w:rFonts w:ascii="Times New Roman" w:hAnsi="Times New Roman"/>
          <w:sz w:val="22"/>
          <w:szCs w:val="22"/>
        </w:rPr>
      </w:pPr>
    </w:p>
    <w:p w14:paraId="069498D3" w14:textId="77777777" w:rsidR="008018B0" w:rsidRPr="007A1CAE" w:rsidRDefault="008018B0" w:rsidP="001C6F75">
      <w:pPr>
        <w:jc w:val="both"/>
        <w:rPr>
          <w:rFonts w:ascii="Times New Roman" w:hAnsi="Times New Roman"/>
          <w:sz w:val="22"/>
          <w:szCs w:val="22"/>
        </w:rPr>
      </w:pPr>
    </w:p>
    <w:p w14:paraId="0DB7894F" w14:textId="77777777" w:rsidR="008018B0" w:rsidRPr="007A1CAE" w:rsidRDefault="007F11BE">
      <w:pPr>
        <w:numPr>
          <w:ilvl w:val="0"/>
          <w:numId w:val="13"/>
        </w:numPr>
        <w:jc w:val="both"/>
        <w:rPr>
          <w:rFonts w:ascii="Times New Roman" w:hAnsi="Times New Roman"/>
          <w:b/>
          <w:sz w:val="22"/>
          <w:szCs w:val="22"/>
        </w:rPr>
      </w:pPr>
      <w:r w:rsidRPr="007A1CAE">
        <w:rPr>
          <w:rFonts w:ascii="Times New Roman" w:hAnsi="Times New Roman"/>
          <w:b/>
          <w:sz w:val="22"/>
          <w:szCs w:val="22"/>
        </w:rPr>
        <w:t xml:space="preserve"> </w:t>
      </w:r>
      <w:r w:rsidR="008018B0" w:rsidRPr="007A1CAE">
        <w:rPr>
          <w:rFonts w:ascii="Times New Roman" w:hAnsi="Times New Roman"/>
          <w:b/>
          <w:sz w:val="22"/>
          <w:szCs w:val="22"/>
        </w:rPr>
        <w:t>FARMACEUTICKÉ INFORMÁCIE</w:t>
      </w:r>
    </w:p>
    <w:p w14:paraId="551B4715" w14:textId="77777777" w:rsidR="008018B0" w:rsidRPr="007A1CAE" w:rsidRDefault="008018B0">
      <w:pPr>
        <w:jc w:val="both"/>
        <w:rPr>
          <w:rFonts w:ascii="Times New Roman" w:hAnsi="Times New Roman"/>
          <w:b/>
          <w:sz w:val="22"/>
          <w:szCs w:val="22"/>
        </w:rPr>
      </w:pPr>
    </w:p>
    <w:p w14:paraId="1282D0FD" w14:textId="77777777" w:rsidR="008018B0" w:rsidRPr="007A1CAE" w:rsidRDefault="00C65834" w:rsidP="00201EDA">
      <w:pPr>
        <w:jc w:val="both"/>
        <w:outlineLvl w:val="0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b/>
          <w:sz w:val="22"/>
          <w:szCs w:val="22"/>
        </w:rPr>
        <w:t xml:space="preserve">6.1 </w:t>
      </w:r>
      <w:r w:rsidR="008018B0" w:rsidRPr="007A1CAE">
        <w:rPr>
          <w:rFonts w:ascii="Times New Roman" w:hAnsi="Times New Roman"/>
          <w:b/>
          <w:sz w:val="22"/>
          <w:szCs w:val="22"/>
        </w:rPr>
        <w:t>Zoznam pomocných látok</w:t>
      </w:r>
    </w:p>
    <w:p w14:paraId="3F984404" w14:textId="77777777" w:rsidR="0030249A" w:rsidRPr="007A1CAE" w:rsidRDefault="0030249A" w:rsidP="002F028B">
      <w:pPr>
        <w:pStyle w:val="Zkladntext"/>
        <w:rPr>
          <w:rFonts w:ascii="Times New Roman" w:hAnsi="Times New Roman"/>
          <w:sz w:val="22"/>
          <w:szCs w:val="22"/>
        </w:rPr>
      </w:pPr>
    </w:p>
    <w:p w14:paraId="00C03197" w14:textId="448A88BD" w:rsidR="008018B0" w:rsidRPr="007A1CAE" w:rsidRDefault="009F1A92" w:rsidP="0030249A">
      <w:pPr>
        <w:pStyle w:val="Zklad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</w:t>
      </w:r>
      <w:r w:rsidR="00C51A92">
        <w:rPr>
          <w:rFonts w:ascii="Times New Roman" w:hAnsi="Times New Roman"/>
          <w:sz w:val="22"/>
          <w:szCs w:val="22"/>
        </w:rPr>
        <w:t xml:space="preserve">osforečnan vápenatý, </w:t>
      </w:r>
      <w:proofErr w:type="spellStart"/>
      <w:r w:rsidR="00C51A92">
        <w:rPr>
          <w:rFonts w:ascii="Times New Roman" w:hAnsi="Times New Roman"/>
          <w:sz w:val="22"/>
          <w:szCs w:val="22"/>
        </w:rPr>
        <w:t>dihydrát</w:t>
      </w:r>
      <w:r w:rsidR="00F85CA4">
        <w:rPr>
          <w:rFonts w:ascii="Times New Roman" w:hAnsi="Times New Roman"/>
          <w:sz w:val="22"/>
          <w:szCs w:val="22"/>
        </w:rPr>
        <w:t>m</w:t>
      </w:r>
      <w:r w:rsidR="001C6F75">
        <w:rPr>
          <w:rFonts w:ascii="Times New Roman" w:hAnsi="Times New Roman"/>
          <w:sz w:val="22"/>
          <w:szCs w:val="22"/>
        </w:rPr>
        <w:t>ikrokryštalická</w:t>
      </w:r>
      <w:proofErr w:type="spellEnd"/>
      <w:r w:rsidR="001C6F75">
        <w:rPr>
          <w:rFonts w:ascii="Times New Roman" w:hAnsi="Times New Roman"/>
          <w:sz w:val="22"/>
          <w:szCs w:val="22"/>
        </w:rPr>
        <w:t xml:space="preserve"> celulóza</w:t>
      </w:r>
    </w:p>
    <w:p w14:paraId="683B13C4" w14:textId="104195E5" w:rsidR="001C6F75" w:rsidRDefault="00F85CA4" w:rsidP="00590EF5">
      <w:pPr>
        <w:pStyle w:val="Zklad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</w:t>
      </w:r>
      <w:r w:rsidR="001C6F75">
        <w:rPr>
          <w:rFonts w:ascii="Times New Roman" w:hAnsi="Times New Roman"/>
          <w:sz w:val="22"/>
          <w:szCs w:val="22"/>
        </w:rPr>
        <w:t xml:space="preserve">odná soľ </w:t>
      </w:r>
      <w:proofErr w:type="spellStart"/>
      <w:r w:rsidR="001C6F75">
        <w:rPr>
          <w:rFonts w:ascii="Times New Roman" w:hAnsi="Times New Roman"/>
          <w:sz w:val="22"/>
          <w:szCs w:val="22"/>
        </w:rPr>
        <w:t>karboxymetylškrobu</w:t>
      </w:r>
      <w:proofErr w:type="spellEnd"/>
      <w:r w:rsidR="00976FD6" w:rsidRPr="007A1CAE">
        <w:rPr>
          <w:rFonts w:ascii="Times New Roman" w:hAnsi="Times New Roman"/>
          <w:sz w:val="22"/>
          <w:szCs w:val="22"/>
        </w:rPr>
        <w:t xml:space="preserve"> (typ A)</w:t>
      </w:r>
      <w:r w:rsidR="008018B0" w:rsidRPr="007A1CAE">
        <w:rPr>
          <w:rFonts w:ascii="Times New Roman" w:hAnsi="Times New Roman"/>
          <w:sz w:val="22"/>
          <w:szCs w:val="22"/>
        </w:rPr>
        <w:t xml:space="preserve"> </w:t>
      </w:r>
    </w:p>
    <w:p w14:paraId="3D7242F6" w14:textId="3F202ECF" w:rsidR="00976FD6" w:rsidRPr="007A1CAE" w:rsidRDefault="00936391" w:rsidP="00590EF5">
      <w:pPr>
        <w:pStyle w:val="Zklad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C6F75">
        <w:rPr>
          <w:rFonts w:ascii="Times New Roman" w:hAnsi="Times New Roman"/>
          <w:sz w:val="22"/>
          <w:szCs w:val="22"/>
        </w:rPr>
        <w:t>extrín</w:t>
      </w:r>
      <w:r w:rsidR="001C6F75" w:rsidRPr="007A1CAE">
        <w:rPr>
          <w:rFonts w:ascii="Times New Roman" w:hAnsi="Times New Roman"/>
          <w:sz w:val="22"/>
          <w:szCs w:val="22"/>
        </w:rPr>
        <w:t xml:space="preserve"> </w:t>
      </w:r>
      <w:r w:rsidR="00976FD6" w:rsidRPr="007A1CAE">
        <w:rPr>
          <w:rFonts w:ascii="Times New Roman" w:hAnsi="Times New Roman"/>
          <w:sz w:val="22"/>
          <w:szCs w:val="22"/>
        </w:rPr>
        <w:t>(z  kukuričného škrobu)</w:t>
      </w:r>
      <w:r w:rsidR="008018B0" w:rsidRPr="007A1CAE">
        <w:rPr>
          <w:rFonts w:ascii="Times New Roman" w:hAnsi="Times New Roman"/>
          <w:sz w:val="22"/>
          <w:szCs w:val="22"/>
        </w:rPr>
        <w:t xml:space="preserve"> </w:t>
      </w:r>
      <w:r w:rsidR="00976FD6" w:rsidRPr="007A1CAE">
        <w:rPr>
          <w:rFonts w:ascii="Times New Roman" w:hAnsi="Times New Roman"/>
          <w:sz w:val="22"/>
          <w:szCs w:val="22"/>
        </w:rPr>
        <w:t xml:space="preserve">          </w:t>
      </w:r>
    </w:p>
    <w:p w14:paraId="03A012DA" w14:textId="50B09304" w:rsidR="002671BF" w:rsidRDefault="00F85CA4" w:rsidP="002F028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</w:t>
      </w:r>
      <w:r w:rsidR="001C6F75">
        <w:rPr>
          <w:rFonts w:ascii="Times New Roman" w:hAnsi="Times New Roman"/>
          <w:sz w:val="22"/>
          <w:szCs w:val="22"/>
        </w:rPr>
        <w:t xml:space="preserve">iastočné </w:t>
      </w:r>
      <w:proofErr w:type="spellStart"/>
      <w:r w:rsidR="001C6F75">
        <w:rPr>
          <w:rFonts w:ascii="Times New Roman" w:hAnsi="Times New Roman"/>
          <w:sz w:val="22"/>
          <w:szCs w:val="22"/>
        </w:rPr>
        <w:t>glyceridy</w:t>
      </w:r>
      <w:proofErr w:type="spellEnd"/>
      <w:r w:rsidR="001C6F7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vyšších </w:t>
      </w:r>
      <w:r w:rsidR="001C6F75">
        <w:rPr>
          <w:rFonts w:ascii="Times New Roman" w:hAnsi="Times New Roman"/>
          <w:sz w:val="22"/>
          <w:szCs w:val="22"/>
        </w:rPr>
        <w:t>mastných kyselín</w:t>
      </w:r>
    </w:p>
    <w:p w14:paraId="1AB25BCE" w14:textId="77777777" w:rsidR="004267F0" w:rsidRPr="007A1CAE" w:rsidRDefault="004267F0" w:rsidP="002F028B">
      <w:pPr>
        <w:rPr>
          <w:rFonts w:ascii="Times New Roman" w:hAnsi="Times New Roman"/>
          <w:sz w:val="22"/>
          <w:szCs w:val="22"/>
        </w:rPr>
      </w:pPr>
    </w:p>
    <w:p w14:paraId="0880BB94" w14:textId="77777777" w:rsidR="001C6F75" w:rsidRDefault="00C65834" w:rsidP="001C6F75">
      <w:pPr>
        <w:jc w:val="both"/>
        <w:outlineLvl w:val="0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b/>
          <w:sz w:val="22"/>
          <w:szCs w:val="22"/>
        </w:rPr>
        <w:t xml:space="preserve">6.2 </w:t>
      </w:r>
      <w:r w:rsidR="008018B0" w:rsidRPr="007A1CAE">
        <w:rPr>
          <w:rFonts w:ascii="Times New Roman" w:hAnsi="Times New Roman"/>
          <w:b/>
          <w:sz w:val="22"/>
          <w:szCs w:val="22"/>
        </w:rPr>
        <w:t>Inkompatibility</w:t>
      </w:r>
    </w:p>
    <w:p w14:paraId="4DA8DDA7" w14:textId="77777777" w:rsidR="001C6F75" w:rsidRDefault="001C6F75" w:rsidP="001C6F75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14:paraId="624C350B" w14:textId="77777777" w:rsidR="008018B0" w:rsidRPr="007A1CAE" w:rsidRDefault="00665FEB" w:rsidP="001C6F75">
      <w:pPr>
        <w:jc w:val="both"/>
        <w:outlineLvl w:val="0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>Neaplikovateľné.</w:t>
      </w:r>
    </w:p>
    <w:p w14:paraId="209BDDFC" w14:textId="77777777" w:rsidR="00665FEB" w:rsidRPr="007A1CAE" w:rsidRDefault="00665FEB" w:rsidP="002F028B">
      <w:pPr>
        <w:jc w:val="both"/>
        <w:rPr>
          <w:rFonts w:ascii="Times New Roman" w:hAnsi="Times New Roman"/>
          <w:sz w:val="22"/>
          <w:szCs w:val="22"/>
        </w:rPr>
      </w:pPr>
    </w:p>
    <w:p w14:paraId="169FD11C" w14:textId="77777777" w:rsidR="008018B0" w:rsidRPr="007A1CAE" w:rsidRDefault="00C65834" w:rsidP="00201EDA">
      <w:pPr>
        <w:jc w:val="both"/>
        <w:outlineLvl w:val="0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b/>
          <w:sz w:val="22"/>
          <w:szCs w:val="22"/>
        </w:rPr>
        <w:t xml:space="preserve">6.3 </w:t>
      </w:r>
      <w:r w:rsidR="008018B0" w:rsidRPr="007A1CAE">
        <w:rPr>
          <w:rFonts w:ascii="Times New Roman" w:hAnsi="Times New Roman"/>
          <w:b/>
          <w:sz w:val="22"/>
          <w:szCs w:val="22"/>
        </w:rPr>
        <w:t>Čas použiteľnosti</w:t>
      </w:r>
    </w:p>
    <w:p w14:paraId="0C25DA5E" w14:textId="77777777" w:rsidR="001C6F75" w:rsidRDefault="001C6F75" w:rsidP="001C6F75">
      <w:pPr>
        <w:jc w:val="both"/>
        <w:rPr>
          <w:rFonts w:ascii="Times New Roman" w:hAnsi="Times New Roman"/>
          <w:sz w:val="22"/>
          <w:szCs w:val="22"/>
        </w:rPr>
      </w:pPr>
    </w:p>
    <w:p w14:paraId="23370EA8" w14:textId="77777777" w:rsidR="008018B0" w:rsidRPr="007A1CAE" w:rsidRDefault="008018B0" w:rsidP="001C6F75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>2 roky</w:t>
      </w:r>
    </w:p>
    <w:p w14:paraId="123A19F4" w14:textId="0D5823D3" w:rsidR="007F11BE" w:rsidRPr="007A1CAE" w:rsidRDefault="007F11BE" w:rsidP="002F028B">
      <w:pPr>
        <w:jc w:val="both"/>
        <w:rPr>
          <w:rFonts w:ascii="Times New Roman" w:hAnsi="Times New Roman"/>
          <w:sz w:val="22"/>
          <w:szCs w:val="22"/>
        </w:rPr>
      </w:pPr>
    </w:p>
    <w:p w14:paraId="5A024DBA" w14:textId="77777777" w:rsidR="008018B0" w:rsidRPr="007A1CAE" w:rsidRDefault="00C65834" w:rsidP="00201EDA">
      <w:pPr>
        <w:jc w:val="both"/>
        <w:outlineLvl w:val="0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b/>
          <w:sz w:val="22"/>
          <w:szCs w:val="22"/>
        </w:rPr>
        <w:t>6.4</w:t>
      </w:r>
      <w:r w:rsidR="007F11BE" w:rsidRPr="007A1CAE">
        <w:rPr>
          <w:rFonts w:ascii="Times New Roman" w:hAnsi="Times New Roman"/>
          <w:b/>
          <w:sz w:val="22"/>
          <w:szCs w:val="22"/>
        </w:rPr>
        <w:t xml:space="preserve"> </w:t>
      </w:r>
      <w:r w:rsidRPr="007A1CAE">
        <w:rPr>
          <w:rFonts w:ascii="Times New Roman" w:hAnsi="Times New Roman"/>
          <w:b/>
          <w:sz w:val="22"/>
          <w:szCs w:val="22"/>
        </w:rPr>
        <w:t xml:space="preserve"> </w:t>
      </w:r>
      <w:r w:rsidR="00423A1A" w:rsidRPr="007A1CAE">
        <w:rPr>
          <w:rFonts w:ascii="Times New Roman" w:hAnsi="Times New Roman"/>
          <w:b/>
          <w:sz w:val="22"/>
          <w:szCs w:val="22"/>
        </w:rPr>
        <w:t>Špeciálne u</w:t>
      </w:r>
      <w:r w:rsidR="008018B0" w:rsidRPr="007A1CAE">
        <w:rPr>
          <w:rFonts w:ascii="Times New Roman" w:hAnsi="Times New Roman"/>
          <w:b/>
          <w:sz w:val="22"/>
          <w:szCs w:val="22"/>
        </w:rPr>
        <w:t xml:space="preserve">pozornenia na </w:t>
      </w:r>
      <w:r w:rsidR="00423A1A" w:rsidRPr="007A1CAE">
        <w:rPr>
          <w:rFonts w:ascii="Times New Roman" w:hAnsi="Times New Roman"/>
          <w:b/>
          <w:sz w:val="22"/>
          <w:szCs w:val="22"/>
        </w:rPr>
        <w:t>uchovávanie</w:t>
      </w:r>
    </w:p>
    <w:p w14:paraId="256CB93B" w14:textId="77777777" w:rsidR="0030249A" w:rsidRPr="007A1CAE" w:rsidRDefault="0030249A" w:rsidP="002F028B">
      <w:pPr>
        <w:jc w:val="both"/>
        <w:rPr>
          <w:rFonts w:ascii="Times New Roman" w:hAnsi="Times New Roman"/>
          <w:iCs/>
          <w:sz w:val="22"/>
          <w:szCs w:val="22"/>
        </w:rPr>
      </w:pPr>
    </w:p>
    <w:p w14:paraId="570ACC0C" w14:textId="77777777" w:rsidR="008018B0" w:rsidRPr="007A1CAE" w:rsidRDefault="008018B0" w:rsidP="00201EDA">
      <w:pPr>
        <w:jc w:val="both"/>
        <w:outlineLvl w:val="0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iCs/>
          <w:sz w:val="22"/>
          <w:szCs w:val="22"/>
        </w:rPr>
        <w:t>U</w:t>
      </w:r>
      <w:r w:rsidRPr="007A1CAE">
        <w:rPr>
          <w:rFonts w:ascii="Times New Roman" w:hAnsi="Times New Roman"/>
          <w:sz w:val="22"/>
          <w:szCs w:val="22"/>
        </w:rPr>
        <w:t>chováva</w:t>
      </w:r>
      <w:r w:rsidR="00590EF5">
        <w:rPr>
          <w:rFonts w:ascii="Times New Roman" w:hAnsi="Times New Roman"/>
          <w:sz w:val="22"/>
          <w:szCs w:val="22"/>
        </w:rPr>
        <w:t>jte</w:t>
      </w:r>
      <w:r w:rsidRPr="007A1CAE">
        <w:rPr>
          <w:rFonts w:ascii="Times New Roman" w:hAnsi="Times New Roman"/>
          <w:sz w:val="22"/>
          <w:szCs w:val="22"/>
        </w:rPr>
        <w:t xml:space="preserve"> pri teplote do 25</w:t>
      </w:r>
      <w:r w:rsidR="00972C6A" w:rsidRPr="007A1CAE">
        <w:rPr>
          <w:rFonts w:ascii="Times New Roman" w:hAnsi="Times New Roman"/>
          <w:sz w:val="22"/>
          <w:szCs w:val="22"/>
        </w:rPr>
        <w:t xml:space="preserve"> </w:t>
      </w:r>
      <w:r w:rsidRPr="007A1CAE">
        <w:rPr>
          <w:rFonts w:ascii="Times New Roman" w:hAnsi="Times New Roman"/>
          <w:sz w:val="22"/>
          <w:szCs w:val="22"/>
        </w:rPr>
        <w:sym w:font="Symbol" w:char="F0B0"/>
      </w:r>
      <w:r w:rsidRPr="007A1CAE">
        <w:rPr>
          <w:rFonts w:ascii="Times New Roman" w:hAnsi="Times New Roman"/>
          <w:sz w:val="22"/>
          <w:szCs w:val="22"/>
        </w:rPr>
        <w:t>C.</w:t>
      </w:r>
    </w:p>
    <w:p w14:paraId="5442CA5D" w14:textId="77777777" w:rsidR="008018B0" w:rsidRPr="007A1CAE" w:rsidRDefault="008018B0">
      <w:pPr>
        <w:jc w:val="both"/>
        <w:rPr>
          <w:rFonts w:ascii="Times New Roman" w:hAnsi="Times New Roman"/>
          <w:sz w:val="22"/>
          <w:szCs w:val="22"/>
        </w:rPr>
      </w:pPr>
    </w:p>
    <w:p w14:paraId="215A421B" w14:textId="77777777" w:rsidR="008018B0" w:rsidRPr="007A1CAE" w:rsidRDefault="00C65834" w:rsidP="00201EDA">
      <w:pPr>
        <w:jc w:val="both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7A1CAE">
        <w:rPr>
          <w:rFonts w:ascii="Times New Roman" w:hAnsi="Times New Roman"/>
          <w:b/>
          <w:bCs/>
          <w:sz w:val="22"/>
          <w:szCs w:val="22"/>
        </w:rPr>
        <w:t xml:space="preserve">6.5 </w:t>
      </w:r>
      <w:r w:rsidR="007F11BE" w:rsidRPr="007A1CA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423A1A" w:rsidRPr="007A1CAE">
        <w:rPr>
          <w:rFonts w:ascii="Times New Roman" w:hAnsi="Times New Roman"/>
          <w:b/>
          <w:bCs/>
          <w:sz w:val="22"/>
          <w:szCs w:val="22"/>
        </w:rPr>
        <w:t>Druh</w:t>
      </w:r>
      <w:r w:rsidR="008018B0" w:rsidRPr="007A1CAE">
        <w:rPr>
          <w:rFonts w:ascii="Times New Roman" w:hAnsi="Times New Roman"/>
          <w:b/>
          <w:bCs/>
          <w:sz w:val="22"/>
          <w:szCs w:val="22"/>
        </w:rPr>
        <w:t xml:space="preserve"> obalu</w:t>
      </w:r>
      <w:r w:rsidR="00423A1A" w:rsidRPr="007A1CAE">
        <w:rPr>
          <w:rFonts w:ascii="Times New Roman" w:hAnsi="Times New Roman"/>
          <w:b/>
          <w:bCs/>
          <w:sz w:val="22"/>
          <w:szCs w:val="22"/>
        </w:rPr>
        <w:t xml:space="preserve"> a obsah balenia</w:t>
      </w:r>
    </w:p>
    <w:p w14:paraId="1EA6C400" w14:textId="77777777" w:rsidR="0030249A" w:rsidRPr="007A1CAE" w:rsidRDefault="0030249A" w:rsidP="002F028B">
      <w:pPr>
        <w:jc w:val="both"/>
        <w:rPr>
          <w:rFonts w:ascii="Times New Roman" w:hAnsi="Times New Roman"/>
          <w:iCs/>
          <w:sz w:val="22"/>
          <w:szCs w:val="22"/>
        </w:rPr>
      </w:pPr>
    </w:p>
    <w:p w14:paraId="7EBA04B2" w14:textId="77777777" w:rsidR="00D832A4" w:rsidRPr="007A1CAE" w:rsidRDefault="00D832A4" w:rsidP="001C6F75">
      <w:pPr>
        <w:jc w:val="both"/>
        <w:rPr>
          <w:rFonts w:ascii="Times New Roman" w:hAnsi="Times New Roman"/>
          <w:sz w:val="22"/>
          <w:szCs w:val="22"/>
        </w:rPr>
      </w:pPr>
      <w:proofErr w:type="spellStart"/>
      <w:r w:rsidRPr="007A1CAE">
        <w:rPr>
          <w:rFonts w:ascii="Times New Roman" w:hAnsi="Times New Roman"/>
          <w:sz w:val="22"/>
          <w:szCs w:val="22"/>
        </w:rPr>
        <w:t>Blister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z potiahnutej alumíniovej fólie zatavený s alumíniovou fóliou.</w:t>
      </w:r>
    </w:p>
    <w:p w14:paraId="4153128E" w14:textId="77777777" w:rsidR="008018B0" w:rsidRPr="007A1CAE" w:rsidRDefault="00665FEB" w:rsidP="001C6F75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>Obsah</w:t>
      </w:r>
      <w:r w:rsidR="008018B0" w:rsidRPr="007A1CAE">
        <w:rPr>
          <w:rFonts w:ascii="Times New Roman" w:hAnsi="Times New Roman"/>
          <w:sz w:val="22"/>
          <w:szCs w:val="22"/>
        </w:rPr>
        <w:t xml:space="preserve"> balenia: 25, 50 a 100 tabliet</w:t>
      </w:r>
    </w:p>
    <w:p w14:paraId="2AFBAF06" w14:textId="397010FF" w:rsidR="008018B0" w:rsidRPr="007A1CAE" w:rsidRDefault="001C6F75" w:rsidP="001C6F75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trh nemusia byť uvedené</w:t>
      </w:r>
      <w:r w:rsidRPr="007A1CAE">
        <w:rPr>
          <w:rFonts w:ascii="Times New Roman" w:hAnsi="Times New Roman"/>
          <w:sz w:val="22"/>
          <w:szCs w:val="22"/>
        </w:rPr>
        <w:t xml:space="preserve"> </w:t>
      </w:r>
      <w:r w:rsidR="00976FD6" w:rsidRPr="007A1CAE">
        <w:rPr>
          <w:rFonts w:ascii="Times New Roman" w:hAnsi="Times New Roman"/>
          <w:sz w:val="22"/>
          <w:szCs w:val="22"/>
        </w:rPr>
        <w:t>všetky veľkosti balenia.</w:t>
      </w:r>
    </w:p>
    <w:p w14:paraId="14764011" w14:textId="77777777" w:rsidR="00976FD6" w:rsidRPr="007A1CAE" w:rsidRDefault="00976FD6">
      <w:pPr>
        <w:jc w:val="both"/>
        <w:rPr>
          <w:rFonts w:ascii="Times New Roman" w:hAnsi="Times New Roman"/>
          <w:sz w:val="22"/>
          <w:szCs w:val="22"/>
        </w:rPr>
      </w:pPr>
    </w:p>
    <w:p w14:paraId="17847936" w14:textId="77777777" w:rsidR="008018B0" w:rsidRPr="007A1CAE" w:rsidRDefault="008018B0" w:rsidP="00201EDA">
      <w:pPr>
        <w:jc w:val="both"/>
        <w:outlineLvl w:val="0"/>
        <w:rPr>
          <w:rFonts w:ascii="Times New Roman" w:hAnsi="Times New Roman"/>
          <w:b/>
          <w:sz w:val="22"/>
          <w:szCs w:val="22"/>
        </w:rPr>
      </w:pPr>
      <w:r w:rsidRPr="007A1CAE">
        <w:rPr>
          <w:rFonts w:ascii="Times New Roman" w:hAnsi="Times New Roman"/>
          <w:b/>
          <w:sz w:val="22"/>
          <w:szCs w:val="22"/>
        </w:rPr>
        <w:t>6.6</w:t>
      </w:r>
      <w:r w:rsidR="00C65834" w:rsidRPr="007A1CAE">
        <w:rPr>
          <w:rFonts w:ascii="Times New Roman" w:hAnsi="Times New Roman"/>
          <w:b/>
          <w:sz w:val="22"/>
          <w:szCs w:val="22"/>
        </w:rPr>
        <w:t xml:space="preserve"> </w:t>
      </w:r>
      <w:r w:rsidRPr="007A1CAE">
        <w:rPr>
          <w:rFonts w:ascii="Times New Roman" w:hAnsi="Times New Roman"/>
          <w:b/>
          <w:sz w:val="22"/>
          <w:szCs w:val="22"/>
        </w:rPr>
        <w:t xml:space="preserve"> </w:t>
      </w:r>
      <w:r w:rsidR="006A7DAF" w:rsidRPr="007A1CAE">
        <w:rPr>
          <w:rFonts w:ascii="Times New Roman" w:hAnsi="Times New Roman"/>
          <w:b/>
          <w:sz w:val="22"/>
          <w:szCs w:val="22"/>
        </w:rPr>
        <w:t>Špeciálne opatrenia na likvidáciu a iné zaobchádzanie s liekom</w:t>
      </w:r>
      <w:r w:rsidRPr="007A1CAE">
        <w:rPr>
          <w:rFonts w:ascii="Times New Roman" w:hAnsi="Times New Roman"/>
          <w:sz w:val="22"/>
          <w:szCs w:val="22"/>
        </w:rPr>
        <w:t xml:space="preserve">   </w:t>
      </w:r>
    </w:p>
    <w:p w14:paraId="502AC676" w14:textId="77777777" w:rsidR="007F11BE" w:rsidRPr="007A1CAE" w:rsidRDefault="007F11BE" w:rsidP="0030249A">
      <w:pPr>
        <w:jc w:val="both"/>
        <w:rPr>
          <w:rFonts w:ascii="Times New Roman" w:hAnsi="Times New Roman"/>
          <w:sz w:val="22"/>
          <w:szCs w:val="22"/>
        </w:rPr>
      </w:pPr>
    </w:p>
    <w:p w14:paraId="140C7F67" w14:textId="77777777" w:rsidR="002817B2" w:rsidRDefault="006A7DAF" w:rsidP="007F11BE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 xml:space="preserve">Žiadne zvláštne požiadavky na likvidáciu. </w:t>
      </w:r>
    </w:p>
    <w:p w14:paraId="59345D4E" w14:textId="1B48C6C7" w:rsidR="00AF399F" w:rsidRPr="007A1CAE" w:rsidRDefault="002817B2" w:rsidP="007F11BE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Všetok nepoužitý liek alebo odpad vzniknutý z lieku sa má zlikvidovať v súlade s národnými požiadavkami.</w:t>
      </w:r>
    </w:p>
    <w:p w14:paraId="48EC4CA8" w14:textId="77777777" w:rsidR="0030249A" w:rsidRDefault="0030249A">
      <w:pPr>
        <w:jc w:val="both"/>
        <w:rPr>
          <w:rFonts w:ascii="Times New Roman" w:hAnsi="Times New Roman"/>
          <w:sz w:val="22"/>
          <w:szCs w:val="22"/>
        </w:rPr>
      </w:pPr>
    </w:p>
    <w:p w14:paraId="4687F4B2" w14:textId="77777777" w:rsidR="00936391" w:rsidRPr="007A1CAE" w:rsidRDefault="00936391">
      <w:pPr>
        <w:jc w:val="both"/>
        <w:rPr>
          <w:rFonts w:ascii="Times New Roman" w:hAnsi="Times New Roman"/>
          <w:sz w:val="22"/>
          <w:szCs w:val="22"/>
        </w:rPr>
      </w:pPr>
    </w:p>
    <w:p w14:paraId="2C45A246" w14:textId="77777777" w:rsidR="008018B0" w:rsidRPr="007A1CAE" w:rsidRDefault="008018B0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b/>
          <w:sz w:val="22"/>
          <w:szCs w:val="22"/>
        </w:rPr>
        <w:t xml:space="preserve">7. </w:t>
      </w:r>
      <w:r w:rsidR="007F11BE" w:rsidRPr="007A1CAE">
        <w:rPr>
          <w:rFonts w:ascii="Times New Roman" w:hAnsi="Times New Roman"/>
          <w:b/>
          <w:sz w:val="22"/>
          <w:szCs w:val="22"/>
        </w:rPr>
        <w:t xml:space="preserve"> </w:t>
      </w:r>
      <w:r w:rsidRPr="007A1CAE">
        <w:rPr>
          <w:rFonts w:ascii="Times New Roman" w:hAnsi="Times New Roman"/>
          <w:b/>
          <w:sz w:val="22"/>
          <w:szCs w:val="22"/>
        </w:rPr>
        <w:t>DRŽITEĽ ROZHODNUTIA O REGISTRÁCII</w:t>
      </w:r>
    </w:p>
    <w:p w14:paraId="066F17B9" w14:textId="51FE865A" w:rsidR="0030249A" w:rsidRPr="007A1CAE" w:rsidRDefault="0030249A" w:rsidP="0030249A">
      <w:pPr>
        <w:jc w:val="both"/>
        <w:rPr>
          <w:rFonts w:ascii="Times New Roman" w:hAnsi="Times New Roman"/>
          <w:sz w:val="22"/>
          <w:szCs w:val="22"/>
        </w:rPr>
      </w:pPr>
    </w:p>
    <w:p w14:paraId="6EEDC1D6" w14:textId="77777777" w:rsidR="00972C6A" w:rsidRPr="007A1CAE" w:rsidRDefault="008018B0" w:rsidP="00201EDA">
      <w:pPr>
        <w:jc w:val="both"/>
        <w:outlineLvl w:val="0"/>
        <w:rPr>
          <w:rFonts w:ascii="Times New Roman" w:hAnsi="Times New Roman"/>
          <w:sz w:val="22"/>
          <w:szCs w:val="22"/>
        </w:rPr>
      </w:pPr>
      <w:proofErr w:type="spellStart"/>
      <w:r w:rsidRPr="007A1CAE">
        <w:rPr>
          <w:rFonts w:ascii="Times New Roman" w:hAnsi="Times New Roman"/>
          <w:sz w:val="22"/>
          <w:szCs w:val="22"/>
        </w:rPr>
        <w:t>Berlin-Chemie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AG </w:t>
      </w:r>
    </w:p>
    <w:p w14:paraId="32322056" w14:textId="77777777" w:rsidR="008018B0" w:rsidRPr="007A1CAE" w:rsidRDefault="008018B0" w:rsidP="00AF399F">
      <w:pPr>
        <w:jc w:val="both"/>
        <w:rPr>
          <w:rFonts w:ascii="Times New Roman" w:hAnsi="Times New Roman"/>
          <w:sz w:val="22"/>
          <w:szCs w:val="22"/>
        </w:rPr>
      </w:pPr>
      <w:proofErr w:type="spellStart"/>
      <w:r w:rsidRPr="007A1CAE">
        <w:rPr>
          <w:rFonts w:ascii="Times New Roman" w:hAnsi="Times New Roman"/>
          <w:sz w:val="22"/>
          <w:szCs w:val="22"/>
        </w:rPr>
        <w:t>Glienicker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A1CAE">
        <w:rPr>
          <w:rFonts w:ascii="Times New Roman" w:hAnsi="Times New Roman"/>
          <w:sz w:val="22"/>
          <w:szCs w:val="22"/>
        </w:rPr>
        <w:t>Weg</w:t>
      </w:r>
      <w:proofErr w:type="spellEnd"/>
      <w:r w:rsidRPr="007A1CAE">
        <w:rPr>
          <w:rFonts w:ascii="Times New Roman" w:hAnsi="Times New Roman"/>
          <w:sz w:val="22"/>
          <w:szCs w:val="22"/>
        </w:rPr>
        <w:t xml:space="preserve"> 125</w:t>
      </w:r>
    </w:p>
    <w:p w14:paraId="480F44CE" w14:textId="77777777" w:rsidR="008018B0" w:rsidRPr="007A1CAE" w:rsidRDefault="00392F75" w:rsidP="00AF399F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8018B0" w:rsidRPr="007A1CAE">
        <w:rPr>
          <w:rFonts w:ascii="Times New Roman" w:hAnsi="Times New Roman"/>
          <w:sz w:val="22"/>
          <w:szCs w:val="22"/>
        </w:rPr>
        <w:t>2489 Berl</w:t>
      </w:r>
      <w:r w:rsidR="00972C6A" w:rsidRPr="007A1CAE">
        <w:rPr>
          <w:rFonts w:ascii="Times New Roman" w:hAnsi="Times New Roman"/>
          <w:sz w:val="22"/>
          <w:szCs w:val="22"/>
        </w:rPr>
        <w:t>í</w:t>
      </w:r>
      <w:r w:rsidR="008018B0" w:rsidRPr="007A1CAE">
        <w:rPr>
          <w:rFonts w:ascii="Times New Roman" w:hAnsi="Times New Roman"/>
          <w:sz w:val="22"/>
          <w:szCs w:val="22"/>
        </w:rPr>
        <w:t>n</w:t>
      </w:r>
    </w:p>
    <w:p w14:paraId="0CCF6A35" w14:textId="77777777" w:rsidR="008018B0" w:rsidRDefault="008018B0" w:rsidP="00976FD6">
      <w:pPr>
        <w:jc w:val="both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>Nemecko</w:t>
      </w:r>
    </w:p>
    <w:p w14:paraId="0C2A1ECA" w14:textId="77777777" w:rsidR="00AF399F" w:rsidRPr="007A1CAE" w:rsidRDefault="00AF399F" w:rsidP="00976FD6">
      <w:pPr>
        <w:jc w:val="both"/>
        <w:rPr>
          <w:rFonts w:ascii="Times New Roman" w:hAnsi="Times New Roman"/>
          <w:sz w:val="22"/>
          <w:szCs w:val="22"/>
        </w:rPr>
      </w:pPr>
    </w:p>
    <w:p w14:paraId="46EBF350" w14:textId="77777777" w:rsidR="008018B0" w:rsidRPr="007A1CAE" w:rsidRDefault="008018B0">
      <w:pPr>
        <w:jc w:val="both"/>
        <w:rPr>
          <w:rFonts w:ascii="Times New Roman" w:hAnsi="Times New Roman"/>
          <w:sz w:val="22"/>
          <w:szCs w:val="22"/>
        </w:rPr>
      </w:pPr>
    </w:p>
    <w:p w14:paraId="64E22C49" w14:textId="77777777" w:rsidR="008018B0" w:rsidRPr="007A1CAE" w:rsidRDefault="008018B0">
      <w:pPr>
        <w:numPr>
          <w:ilvl w:val="0"/>
          <w:numId w:val="20"/>
        </w:numPr>
        <w:rPr>
          <w:rFonts w:ascii="Times New Roman" w:hAnsi="Times New Roman"/>
          <w:b/>
          <w:sz w:val="22"/>
          <w:szCs w:val="22"/>
        </w:rPr>
      </w:pPr>
      <w:r w:rsidRPr="007A1CAE">
        <w:rPr>
          <w:rFonts w:ascii="Times New Roman" w:hAnsi="Times New Roman"/>
          <w:b/>
          <w:sz w:val="22"/>
          <w:szCs w:val="22"/>
        </w:rPr>
        <w:t>REGISTRAČNÉ ČÍSLO</w:t>
      </w:r>
    </w:p>
    <w:p w14:paraId="53C9DFC2" w14:textId="77777777" w:rsidR="00AF399F" w:rsidRDefault="00AF399F" w:rsidP="00A935FD">
      <w:pPr>
        <w:rPr>
          <w:rFonts w:ascii="Times New Roman" w:hAnsi="Times New Roman"/>
          <w:sz w:val="22"/>
          <w:szCs w:val="22"/>
        </w:rPr>
      </w:pPr>
    </w:p>
    <w:p w14:paraId="0299FD42" w14:textId="77777777" w:rsidR="00970E89" w:rsidRDefault="00970E89" w:rsidP="00A935FD">
      <w:pPr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>56/048</w:t>
      </w:r>
      <w:r w:rsidR="00A935FD" w:rsidRPr="007A1CAE">
        <w:rPr>
          <w:rFonts w:ascii="Times New Roman" w:hAnsi="Times New Roman"/>
          <w:sz w:val="22"/>
          <w:szCs w:val="22"/>
        </w:rPr>
        <w:t>9</w:t>
      </w:r>
      <w:r w:rsidRPr="007A1CAE">
        <w:rPr>
          <w:rFonts w:ascii="Times New Roman" w:hAnsi="Times New Roman"/>
          <w:sz w:val="22"/>
          <w:szCs w:val="22"/>
        </w:rPr>
        <w:t>/07-S</w:t>
      </w:r>
    </w:p>
    <w:p w14:paraId="6895700A" w14:textId="77777777" w:rsidR="00AF399F" w:rsidRPr="007A1CAE" w:rsidRDefault="00AF399F" w:rsidP="00A935FD">
      <w:pPr>
        <w:rPr>
          <w:rFonts w:ascii="Times New Roman" w:hAnsi="Times New Roman"/>
          <w:sz w:val="22"/>
          <w:szCs w:val="22"/>
        </w:rPr>
      </w:pPr>
    </w:p>
    <w:p w14:paraId="47F83023" w14:textId="77777777" w:rsidR="00970E89" w:rsidRPr="007A1CAE" w:rsidRDefault="00970E89">
      <w:pPr>
        <w:rPr>
          <w:rFonts w:ascii="Times New Roman" w:hAnsi="Times New Roman"/>
          <w:sz w:val="22"/>
          <w:szCs w:val="22"/>
        </w:rPr>
      </w:pPr>
    </w:p>
    <w:p w14:paraId="175B8CE7" w14:textId="77777777" w:rsidR="008018B0" w:rsidRPr="007A1CAE" w:rsidRDefault="008018B0">
      <w:pPr>
        <w:rPr>
          <w:rFonts w:ascii="Times New Roman" w:hAnsi="Times New Roman"/>
          <w:b/>
          <w:sz w:val="22"/>
          <w:szCs w:val="22"/>
        </w:rPr>
      </w:pPr>
      <w:r w:rsidRPr="007A1CAE">
        <w:rPr>
          <w:rFonts w:ascii="Times New Roman" w:hAnsi="Times New Roman"/>
          <w:b/>
          <w:sz w:val="22"/>
          <w:szCs w:val="22"/>
        </w:rPr>
        <w:t xml:space="preserve">9. </w:t>
      </w:r>
      <w:r w:rsidR="00423A1A" w:rsidRPr="007A1CAE">
        <w:rPr>
          <w:rFonts w:ascii="Times New Roman" w:hAnsi="Times New Roman"/>
          <w:b/>
          <w:sz w:val="22"/>
          <w:szCs w:val="22"/>
        </w:rPr>
        <w:t xml:space="preserve"> </w:t>
      </w:r>
      <w:r w:rsidRPr="007A1CAE">
        <w:rPr>
          <w:rFonts w:ascii="Times New Roman" w:hAnsi="Times New Roman"/>
          <w:b/>
          <w:sz w:val="22"/>
          <w:szCs w:val="22"/>
        </w:rPr>
        <w:t xml:space="preserve">DÁTUM </w:t>
      </w:r>
      <w:r w:rsidR="00423A1A" w:rsidRPr="007A1CAE">
        <w:rPr>
          <w:rFonts w:ascii="Times New Roman" w:hAnsi="Times New Roman"/>
          <w:b/>
          <w:sz w:val="22"/>
          <w:szCs w:val="22"/>
        </w:rPr>
        <w:t xml:space="preserve">PRVEJ </w:t>
      </w:r>
      <w:r w:rsidRPr="007A1CAE">
        <w:rPr>
          <w:rFonts w:ascii="Times New Roman" w:hAnsi="Times New Roman"/>
          <w:b/>
          <w:sz w:val="22"/>
          <w:szCs w:val="22"/>
        </w:rPr>
        <w:t>REGISTRÁCIE</w:t>
      </w:r>
      <w:r w:rsidR="0030249A" w:rsidRPr="007A1CAE">
        <w:rPr>
          <w:rFonts w:ascii="Times New Roman" w:hAnsi="Times New Roman"/>
          <w:b/>
          <w:sz w:val="22"/>
          <w:szCs w:val="22"/>
        </w:rPr>
        <w:t>/PREDĹŽENIA REGISTRÁCIE</w:t>
      </w:r>
    </w:p>
    <w:p w14:paraId="2E3939C2" w14:textId="77777777" w:rsidR="0030249A" w:rsidRPr="007A1CAE" w:rsidRDefault="0030249A" w:rsidP="0030249A">
      <w:pPr>
        <w:rPr>
          <w:rFonts w:ascii="Times New Roman" w:hAnsi="Times New Roman"/>
          <w:sz w:val="22"/>
          <w:szCs w:val="22"/>
        </w:rPr>
      </w:pPr>
    </w:p>
    <w:p w14:paraId="64699806" w14:textId="2C74FE2B" w:rsidR="008018B0" w:rsidRPr="007A1CAE" w:rsidRDefault="0030249A" w:rsidP="00201EDA">
      <w:pPr>
        <w:outlineLvl w:val="0"/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 xml:space="preserve">Dátum prvej registrácie: </w:t>
      </w:r>
      <w:r w:rsidR="006A7DAF" w:rsidRPr="007A1CAE">
        <w:rPr>
          <w:rFonts w:ascii="Times New Roman" w:hAnsi="Times New Roman"/>
          <w:sz w:val="22"/>
          <w:szCs w:val="22"/>
        </w:rPr>
        <w:t>17.</w:t>
      </w:r>
      <w:r w:rsidR="00F85CA4">
        <w:rPr>
          <w:rFonts w:ascii="Times New Roman" w:hAnsi="Times New Roman"/>
          <w:sz w:val="22"/>
          <w:szCs w:val="22"/>
        </w:rPr>
        <w:t xml:space="preserve"> decembra </w:t>
      </w:r>
      <w:r w:rsidR="006A7DAF" w:rsidRPr="007A1CAE">
        <w:rPr>
          <w:rFonts w:ascii="Times New Roman" w:hAnsi="Times New Roman"/>
          <w:sz w:val="22"/>
          <w:szCs w:val="22"/>
        </w:rPr>
        <w:t>2007</w:t>
      </w:r>
    </w:p>
    <w:p w14:paraId="41FA0222" w14:textId="1A257AB9" w:rsidR="0030249A" w:rsidRPr="007A1CAE" w:rsidRDefault="0030249A" w:rsidP="0030249A">
      <w:pPr>
        <w:rPr>
          <w:rFonts w:ascii="Times New Roman" w:hAnsi="Times New Roman"/>
          <w:sz w:val="22"/>
          <w:szCs w:val="22"/>
        </w:rPr>
      </w:pPr>
      <w:r w:rsidRPr="007A1CAE">
        <w:rPr>
          <w:rFonts w:ascii="Times New Roman" w:hAnsi="Times New Roman"/>
          <w:sz w:val="22"/>
          <w:szCs w:val="22"/>
        </w:rPr>
        <w:t>Dátum predĺženia registrácie:</w:t>
      </w:r>
      <w:r w:rsidR="00F85CA4">
        <w:rPr>
          <w:rFonts w:ascii="Times New Roman" w:hAnsi="Times New Roman"/>
          <w:sz w:val="22"/>
          <w:szCs w:val="22"/>
        </w:rPr>
        <w:t xml:space="preserve"> 5. novembra 2012</w:t>
      </w:r>
    </w:p>
    <w:p w14:paraId="2F30B808" w14:textId="77777777" w:rsidR="00970E89" w:rsidRPr="007A1CAE" w:rsidRDefault="00970E89">
      <w:pPr>
        <w:rPr>
          <w:rFonts w:ascii="Times New Roman" w:hAnsi="Times New Roman"/>
          <w:sz w:val="22"/>
          <w:szCs w:val="22"/>
        </w:rPr>
      </w:pPr>
    </w:p>
    <w:p w14:paraId="7B10D109" w14:textId="77777777" w:rsidR="00970E89" w:rsidRPr="007A1CAE" w:rsidRDefault="00970E89">
      <w:pPr>
        <w:rPr>
          <w:rFonts w:ascii="Times New Roman" w:hAnsi="Times New Roman"/>
          <w:sz w:val="22"/>
          <w:szCs w:val="22"/>
        </w:rPr>
      </w:pPr>
    </w:p>
    <w:p w14:paraId="4F304712" w14:textId="77777777" w:rsidR="008018B0" w:rsidRDefault="00AF399F" w:rsidP="002F028B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10. </w:t>
      </w:r>
      <w:r w:rsidR="008018B0" w:rsidRPr="007A1CAE">
        <w:rPr>
          <w:rFonts w:ascii="Times New Roman" w:hAnsi="Times New Roman"/>
          <w:b/>
          <w:sz w:val="22"/>
          <w:szCs w:val="22"/>
        </w:rPr>
        <w:t>DÁTUM  REVÍZIE TEXTU</w:t>
      </w:r>
    </w:p>
    <w:p w14:paraId="0413EC75" w14:textId="77777777" w:rsidR="00415EA7" w:rsidRDefault="00415EA7" w:rsidP="00AF399F">
      <w:pPr>
        <w:rPr>
          <w:rFonts w:ascii="Times New Roman" w:hAnsi="Times New Roman"/>
          <w:sz w:val="22"/>
          <w:szCs w:val="22"/>
        </w:rPr>
      </w:pPr>
    </w:p>
    <w:p w14:paraId="0A4065E1" w14:textId="124FFCD5" w:rsidR="00970E89" w:rsidRPr="007A1CAE" w:rsidRDefault="00415EA7" w:rsidP="00AF399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</w:t>
      </w:r>
      <w:r w:rsidR="006A42CD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>/2018</w:t>
      </w:r>
    </w:p>
    <w:sectPr w:rsidR="00970E89" w:rsidRPr="007A1CAE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FB773D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4F9937" w14:textId="77777777" w:rsidR="00BD6456" w:rsidRDefault="00BD6456">
      <w:r>
        <w:separator/>
      </w:r>
    </w:p>
  </w:endnote>
  <w:endnote w:type="continuationSeparator" w:id="0">
    <w:p w14:paraId="35A64029" w14:textId="77777777" w:rsidR="00BD6456" w:rsidRDefault="00BD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vinio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DB0F0" w14:textId="77777777" w:rsidR="009F10A9" w:rsidRDefault="009F10A9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9B9BC61" w14:textId="77777777" w:rsidR="009F10A9" w:rsidRDefault="009F10A9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149821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1224DC98" w14:textId="5435EFD4" w:rsidR="001902DA" w:rsidRPr="00FE21BF" w:rsidRDefault="001902DA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FE21BF">
          <w:rPr>
            <w:rFonts w:ascii="Times New Roman" w:hAnsi="Times New Roman"/>
            <w:sz w:val="18"/>
            <w:szCs w:val="18"/>
          </w:rPr>
          <w:fldChar w:fldCharType="begin"/>
        </w:r>
        <w:r w:rsidRPr="00FE21BF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FE21BF">
          <w:rPr>
            <w:rFonts w:ascii="Times New Roman" w:hAnsi="Times New Roman"/>
            <w:sz w:val="18"/>
            <w:szCs w:val="18"/>
          </w:rPr>
          <w:fldChar w:fldCharType="separate"/>
        </w:r>
        <w:r w:rsidR="00FE21BF">
          <w:rPr>
            <w:rFonts w:ascii="Times New Roman" w:hAnsi="Times New Roman"/>
            <w:noProof/>
            <w:sz w:val="18"/>
            <w:szCs w:val="18"/>
          </w:rPr>
          <w:t>7</w:t>
        </w:r>
        <w:r w:rsidRPr="00FE21BF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75E50C2A" w14:textId="77777777" w:rsidR="009F10A9" w:rsidRDefault="009F10A9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CF4249" w14:textId="77777777" w:rsidR="00BD6456" w:rsidRDefault="00BD6456">
      <w:r>
        <w:separator/>
      </w:r>
    </w:p>
  </w:footnote>
  <w:footnote w:type="continuationSeparator" w:id="0">
    <w:p w14:paraId="68A705DF" w14:textId="77777777" w:rsidR="00BD6456" w:rsidRDefault="00BD6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54589" w14:textId="371CA6F8" w:rsidR="00A23027" w:rsidRDefault="00A23027" w:rsidP="00FE21BF">
    <w:r>
      <w:rPr>
        <w:rFonts w:ascii="Times New Roman" w:hAnsi="Times New Roman"/>
        <w:sz w:val="18"/>
        <w:szCs w:val="18"/>
        <w:lang w:eastAsia="sk-SK"/>
      </w:rPr>
      <w:t>Príloha č.</w:t>
    </w:r>
    <w:r w:rsidR="001902DA">
      <w:rPr>
        <w:rFonts w:ascii="Times New Roman" w:hAnsi="Times New Roman"/>
        <w:sz w:val="18"/>
        <w:szCs w:val="18"/>
        <w:lang w:eastAsia="sk-SK"/>
      </w:rPr>
      <w:t xml:space="preserve"> </w:t>
    </w:r>
    <w:r>
      <w:rPr>
        <w:rFonts w:ascii="Times New Roman" w:hAnsi="Times New Roman"/>
        <w:sz w:val="18"/>
        <w:szCs w:val="18"/>
        <w:lang w:eastAsia="sk-SK"/>
      </w:rPr>
      <w:t>1 k notifikácii o zmene, ev.</w:t>
    </w:r>
    <w:r w:rsidR="001902DA">
      <w:rPr>
        <w:rFonts w:ascii="Times New Roman" w:hAnsi="Times New Roman"/>
        <w:sz w:val="18"/>
        <w:szCs w:val="18"/>
        <w:lang w:eastAsia="sk-SK"/>
      </w:rPr>
      <w:t xml:space="preserve"> </w:t>
    </w:r>
    <w:r>
      <w:rPr>
        <w:rFonts w:ascii="Times New Roman" w:hAnsi="Times New Roman"/>
        <w:sz w:val="18"/>
        <w:szCs w:val="18"/>
        <w:lang w:eastAsia="sk-SK"/>
      </w:rPr>
      <w:t>č.: 2017/04864-Z1B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33C9098"/>
    <w:lvl w:ilvl="0">
      <w:numFmt w:val="decimal"/>
      <w:lvlText w:val="*"/>
      <w:lvlJc w:val="left"/>
    </w:lvl>
  </w:abstractNum>
  <w:abstractNum w:abstractNumId="1">
    <w:nsid w:val="0D0A60B6"/>
    <w:multiLevelType w:val="hybridMultilevel"/>
    <w:tmpl w:val="2CCACD9A"/>
    <w:lvl w:ilvl="0" w:tplc="040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04008F"/>
    <w:multiLevelType w:val="singleLevel"/>
    <w:tmpl w:val="D80257FA"/>
    <w:lvl w:ilvl="0">
      <w:start w:val="6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3">
    <w:nsid w:val="15CA1AA2"/>
    <w:multiLevelType w:val="singleLevel"/>
    <w:tmpl w:val="4712E9A4"/>
    <w:lvl w:ilvl="0">
      <w:start w:val="4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4">
    <w:nsid w:val="16A2739B"/>
    <w:multiLevelType w:val="hybridMultilevel"/>
    <w:tmpl w:val="A4D4EFCE"/>
    <w:lvl w:ilvl="0" w:tplc="5BD437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7C776C"/>
    <w:multiLevelType w:val="singleLevel"/>
    <w:tmpl w:val="953A43A4"/>
    <w:lvl w:ilvl="0">
      <w:start w:val="7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6">
    <w:nsid w:val="27262236"/>
    <w:multiLevelType w:val="singleLevel"/>
    <w:tmpl w:val="AA029D6E"/>
    <w:lvl w:ilvl="0">
      <w:start w:val="2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7">
    <w:nsid w:val="272E4523"/>
    <w:multiLevelType w:val="hybridMultilevel"/>
    <w:tmpl w:val="270406E2"/>
    <w:lvl w:ilvl="0" w:tplc="040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5170C3"/>
    <w:multiLevelType w:val="singleLevel"/>
    <w:tmpl w:val="8BEC4422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9">
    <w:nsid w:val="2CC53C8A"/>
    <w:multiLevelType w:val="singleLevel"/>
    <w:tmpl w:val="42AA03EC"/>
    <w:lvl w:ilvl="0">
      <w:start w:val="2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10">
    <w:nsid w:val="35246BFD"/>
    <w:multiLevelType w:val="singleLevel"/>
    <w:tmpl w:val="0EB4537E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11">
    <w:nsid w:val="37394AED"/>
    <w:multiLevelType w:val="multilevel"/>
    <w:tmpl w:val="DF2894CC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52576E"/>
    <w:multiLevelType w:val="hybridMultilevel"/>
    <w:tmpl w:val="7884BCB6"/>
    <w:lvl w:ilvl="0" w:tplc="4F5C04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0779D4"/>
    <w:multiLevelType w:val="hybridMultilevel"/>
    <w:tmpl w:val="6F802370"/>
    <w:lvl w:ilvl="0" w:tplc="5BD437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162359"/>
    <w:multiLevelType w:val="singleLevel"/>
    <w:tmpl w:val="3A5C680C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15">
    <w:nsid w:val="49AB68C6"/>
    <w:multiLevelType w:val="singleLevel"/>
    <w:tmpl w:val="63227D00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</w:rPr>
    </w:lvl>
  </w:abstractNum>
  <w:abstractNum w:abstractNumId="16">
    <w:nsid w:val="49FE5E95"/>
    <w:multiLevelType w:val="singleLevel"/>
    <w:tmpl w:val="5B7652D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17">
    <w:nsid w:val="511E2220"/>
    <w:multiLevelType w:val="singleLevel"/>
    <w:tmpl w:val="4E662632"/>
    <w:lvl w:ilvl="0">
      <w:start w:val="9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18">
    <w:nsid w:val="563913FC"/>
    <w:multiLevelType w:val="singleLevel"/>
    <w:tmpl w:val="A264488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19">
    <w:nsid w:val="58642F96"/>
    <w:multiLevelType w:val="singleLevel"/>
    <w:tmpl w:val="760AD308"/>
    <w:lvl w:ilvl="0">
      <w:start w:val="6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</w:rPr>
    </w:lvl>
  </w:abstractNum>
  <w:abstractNum w:abstractNumId="20">
    <w:nsid w:val="5EC62AB2"/>
    <w:multiLevelType w:val="singleLevel"/>
    <w:tmpl w:val="63227D00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</w:rPr>
    </w:lvl>
  </w:abstractNum>
  <w:abstractNum w:abstractNumId="21">
    <w:nsid w:val="6728325D"/>
    <w:multiLevelType w:val="singleLevel"/>
    <w:tmpl w:val="895E6D08"/>
    <w:lvl w:ilvl="0">
      <w:start w:val="3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22">
    <w:nsid w:val="75516EE3"/>
    <w:multiLevelType w:val="singleLevel"/>
    <w:tmpl w:val="2024450A"/>
    <w:lvl w:ilvl="0">
      <w:start w:val="8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23">
    <w:nsid w:val="76804D86"/>
    <w:multiLevelType w:val="singleLevel"/>
    <w:tmpl w:val="75B4DEBE"/>
    <w:lvl w:ilvl="0">
      <w:start w:val="5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24">
    <w:nsid w:val="785E097A"/>
    <w:multiLevelType w:val="hybridMultilevel"/>
    <w:tmpl w:val="E086290E"/>
    <w:lvl w:ilvl="0" w:tplc="BFB64560">
      <w:start w:val="5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>
    <w:nsid w:val="78A06C2B"/>
    <w:multiLevelType w:val="singleLevel"/>
    <w:tmpl w:val="B5E462EA"/>
    <w:lvl w:ilvl="0">
      <w:start w:val="3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26">
    <w:nsid w:val="79E16CFA"/>
    <w:multiLevelType w:val="hybridMultilevel"/>
    <w:tmpl w:val="4FF83722"/>
    <w:lvl w:ilvl="0" w:tplc="867A7ACC">
      <w:start w:val="15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0"/>
  </w:num>
  <w:num w:numId="4">
    <w:abstractNumId w:val="15"/>
  </w:num>
  <w:num w:numId="5">
    <w:abstractNumId w:val="2"/>
  </w:num>
  <w:num w:numId="6">
    <w:abstractNumId w:val="5"/>
  </w:num>
  <w:num w:numId="7">
    <w:abstractNumId w:val="22"/>
  </w:num>
  <w:num w:numId="8">
    <w:abstractNumId w:val="17"/>
  </w:num>
  <w:num w:numId="9">
    <w:abstractNumId w:val="18"/>
  </w:num>
  <w:num w:numId="10">
    <w:abstractNumId w:val="8"/>
  </w:num>
  <w:num w:numId="11">
    <w:abstractNumId w:val="6"/>
  </w:num>
  <w:num w:numId="12">
    <w:abstractNumId w:val="21"/>
  </w:num>
  <w:num w:numId="13">
    <w:abstractNumId w:val="14"/>
  </w:num>
  <w:num w:numId="14">
    <w:abstractNumId w:val="10"/>
  </w:num>
  <w:num w:numId="15">
    <w:abstractNumId w:val="9"/>
  </w:num>
  <w:num w:numId="16">
    <w:abstractNumId w:val="25"/>
  </w:num>
  <w:num w:numId="17">
    <w:abstractNumId w:val="3"/>
  </w:num>
  <w:num w:numId="18">
    <w:abstractNumId w:val="23"/>
  </w:num>
  <w:num w:numId="19">
    <w:abstractNumId w:val="19"/>
  </w:num>
  <w:num w:numId="20">
    <w:abstractNumId w:val="11"/>
  </w:num>
  <w:num w:numId="21">
    <w:abstractNumId w:val="26"/>
  </w:num>
  <w:num w:numId="22">
    <w:abstractNumId w:val="7"/>
  </w:num>
  <w:num w:numId="23">
    <w:abstractNumId w:val="16"/>
    <w:lvlOverride w:ilvl="0">
      <w:startOverride w:val="4"/>
    </w:lvlOverride>
  </w:num>
  <w:num w:numId="2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5">
    <w:abstractNumId w:val="1"/>
  </w:num>
  <w:num w:numId="26">
    <w:abstractNumId w:val="24"/>
  </w:num>
  <w:num w:numId="27">
    <w:abstractNumId w:val="13"/>
  </w:num>
  <w:num w:numId="28">
    <w:abstractNumId w:val="4"/>
  </w:num>
  <w:num w:numId="29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ra Dočolomanská">
    <w15:presenceInfo w15:providerId="None" w15:userId="Petra Dočolomansk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4A9"/>
    <w:rsid w:val="00002487"/>
    <w:rsid w:val="000210CA"/>
    <w:rsid w:val="00023740"/>
    <w:rsid w:val="00024579"/>
    <w:rsid w:val="000279C0"/>
    <w:rsid w:val="00032879"/>
    <w:rsid w:val="000353F8"/>
    <w:rsid w:val="000460DF"/>
    <w:rsid w:val="000552D2"/>
    <w:rsid w:val="000560EA"/>
    <w:rsid w:val="000677D7"/>
    <w:rsid w:val="000720A7"/>
    <w:rsid w:val="00072B4A"/>
    <w:rsid w:val="000C4945"/>
    <w:rsid w:val="000E4709"/>
    <w:rsid w:val="000E7EA9"/>
    <w:rsid w:val="00104792"/>
    <w:rsid w:val="0010559E"/>
    <w:rsid w:val="001171CB"/>
    <w:rsid w:val="00131D4E"/>
    <w:rsid w:val="00134F70"/>
    <w:rsid w:val="00137A3F"/>
    <w:rsid w:val="001427C5"/>
    <w:rsid w:val="00156CD0"/>
    <w:rsid w:val="001617C6"/>
    <w:rsid w:val="0017194A"/>
    <w:rsid w:val="0018136E"/>
    <w:rsid w:val="001902DA"/>
    <w:rsid w:val="00196432"/>
    <w:rsid w:val="001A63B4"/>
    <w:rsid w:val="001B3A51"/>
    <w:rsid w:val="001C4DB2"/>
    <w:rsid w:val="001C6202"/>
    <w:rsid w:val="001C6F75"/>
    <w:rsid w:val="001E36EC"/>
    <w:rsid w:val="001E45F5"/>
    <w:rsid w:val="001E57C4"/>
    <w:rsid w:val="001E5A1D"/>
    <w:rsid w:val="001F003E"/>
    <w:rsid w:val="002005A6"/>
    <w:rsid w:val="00201EDA"/>
    <w:rsid w:val="00211D26"/>
    <w:rsid w:val="002139A9"/>
    <w:rsid w:val="002146A1"/>
    <w:rsid w:val="00214F93"/>
    <w:rsid w:val="0021560C"/>
    <w:rsid w:val="00220A97"/>
    <w:rsid w:val="00223EB7"/>
    <w:rsid w:val="002268E0"/>
    <w:rsid w:val="00245DB9"/>
    <w:rsid w:val="002467C8"/>
    <w:rsid w:val="00251B56"/>
    <w:rsid w:val="00253E1C"/>
    <w:rsid w:val="002643B5"/>
    <w:rsid w:val="00267071"/>
    <w:rsid w:val="002671BF"/>
    <w:rsid w:val="002817B2"/>
    <w:rsid w:val="00284912"/>
    <w:rsid w:val="00286C4E"/>
    <w:rsid w:val="00290788"/>
    <w:rsid w:val="002A5631"/>
    <w:rsid w:val="002A6147"/>
    <w:rsid w:val="002C4EF3"/>
    <w:rsid w:val="002D1761"/>
    <w:rsid w:val="002D4772"/>
    <w:rsid w:val="002E2613"/>
    <w:rsid w:val="002E5BED"/>
    <w:rsid w:val="002E62DF"/>
    <w:rsid w:val="002E6597"/>
    <w:rsid w:val="002F028B"/>
    <w:rsid w:val="0030249A"/>
    <w:rsid w:val="00305352"/>
    <w:rsid w:val="00320ABC"/>
    <w:rsid w:val="0033452C"/>
    <w:rsid w:val="00337267"/>
    <w:rsid w:val="00365A6F"/>
    <w:rsid w:val="00384285"/>
    <w:rsid w:val="003860AC"/>
    <w:rsid w:val="00390B66"/>
    <w:rsid w:val="00392F75"/>
    <w:rsid w:val="003C36BE"/>
    <w:rsid w:val="003C53CC"/>
    <w:rsid w:val="003D2185"/>
    <w:rsid w:val="003E373D"/>
    <w:rsid w:val="004022F7"/>
    <w:rsid w:val="00406FBD"/>
    <w:rsid w:val="00415EA7"/>
    <w:rsid w:val="00422C6F"/>
    <w:rsid w:val="00423A1A"/>
    <w:rsid w:val="004267F0"/>
    <w:rsid w:val="00432DB9"/>
    <w:rsid w:val="004376D1"/>
    <w:rsid w:val="00444D3C"/>
    <w:rsid w:val="004608C0"/>
    <w:rsid w:val="00467156"/>
    <w:rsid w:val="00467B2C"/>
    <w:rsid w:val="00474830"/>
    <w:rsid w:val="00476B03"/>
    <w:rsid w:val="004802A6"/>
    <w:rsid w:val="00492530"/>
    <w:rsid w:val="00493508"/>
    <w:rsid w:val="004B016C"/>
    <w:rsid w:val="004C70BD"/>
    <w:rsid w:val="004D3CA6"/>
    <w:rsid w:val="004D4AB4"/>
    <w:rsid w:val="004E2AEE"/>
    <w:rsid w:val="004E72CB"/>
    <w:rsid w:val="00502D2B"/>
    <w:rsid w:val="00507C0F"/>
    <w:rsid w:val="00531537"/>
    <w:rsid w:val="00531848"/>
    <w:rsid w:val="005575DC"/>
    <w:rsid w:val="00562F42"/>
    <w:rsid w:val="005648EE"/>
    <w:rsid w:val="00565040"/>
    <w:rsid w:val="00571F70"/>
    <w:rsid w:val="005761B8"/>
    <w:rsid w:val="00590EF5"/>
    <w:rsid w:val="005929DE"/>
    <w:rsid w:val="00594268"/>
    <w:rsid w:val="005965CE"/>
    <w:rsid w:val="005A309E"/>
    <w:rsid w:val="005B51C0"/>
    <w:rsid w:val="005B5DBD"/>
    <w:rsid w:val="005C3508"/>
    <w:rsid w:val="005D2B1E"/>
    <w:rsid w:val="005D3BE1"/>
    <w:rsid w:val="005E550A"/>
    <w:rsid w:val="005F2C1A"/>
    <w:rsid w:val="005F423F"/>
    <w:rsid w:val="005F6371"/>
    <w:rsid w:val="005F64BA"/>
    <w:rsid w:val="00630F8B"/>
    <w:rsid w:val="00641B85"/>
    <w:rsid w:val="006619FF"/>
    <w:rsid w:val="0066396D"/>
    <w:rsid w:val="00665FEB"/>
    <w:rsid w:val="00675956"/>
    <w:rsid w:val="00685B1C"/>
    <w:rsid w:val="0069082C"/>
    <w:rsid w:val="006A42CD"/>
    <w:rsid w:val="006A7DAF"/>
    <w:rsid w:val="006C5E76"/>
    <w:rsid w:val="006C71DA"/>
    <w:rsid w:val="006D0EE7"/>
    <w:rsid w:val="006F1AA3"/>
    <w:rsid w:val="006F4B4A"/>
    <w:rsid w:val="00706D78"/>
    <w:rsid w:val="007079BB"/>
    <w:rsid w:val="00710F82"/>
    <w:rsid w:val="007218CD"/>
    <w:rsid w:val="0073101A"/>
    <w:rsid w:val="007351AF"/>
    <w:rsid w:val="00752A38"/>
    <w:rsid w:val="00761338"/>
    <w:rsid w:val="00766BEE"/>
    <w:rsid w:val="00774874"/>
    <w:rsid w:val="00776CB3"/>
    <w:rsid w:val="007900AC"/>
    <w:rsid w:val="007A171B"/>
    <w:rsid w:val="007A1CAE"/>
    <w:rsid w:val="007C5247"/>
    <w:rsid w:val="007D145F"/>
    <w:rsid w:val="007D1909"/>
    <w:rsid w:val="007D675D"/>
    <w:rsid w:val="007E1547"/>
    <w:rsid w:val="007F11BE"/>
    <w:rsid w:val="008018B0"/>
    <w:rsid w:val="00810D43"/>
    <w:rsid w:val="008111CC"/>
    <w:rsid w:val="00827B1D"/>
    <w:rsid w:val="00830A4A"/>
    <w:rsid w:val="0083404D"/>
    <w:rsid w:val="00836095"/>
    <w:rsid w:val="0083642D"/>
    <w:rsid w:val="00836511"/>
    <w:rsid w:val="008428B7"/>
    <w:rsid w:val="00856FBB"/>
    <w:rsid w:val="00874606"/>
    <w:rsid w:val="0088550E"/>
    <w:rsid w:val="00894B4D"/>
    <w:rsid w:val="008970E3"/>
    <w:rsid w:val="008B3423"/>
    <w:rsid w:val="008B5BFE"/>
    <w:rsid w:val="008E779E"/>
    <w:rsid w:val="008E7ABA"/>
    <w:rsid w:val="008F3C95"/>
    <w:rsid w:val="00901BA3"/>
    <w:rsid w:val="00912606"/>
    <w:rsid w:val="009172E3"/>
    <w:rsid w:val="00934FF8"/>
    <w:rsid w:val="00936391"/>
    <w:rsid w:val="00937D5F"/>
    <w:rsid w:val="0094415A"/>
    <w:rsid w:val="00945B3D"/>
    <w:rsid w:val="009556E4"/>
    <w:rsid w:val="00961CAD"/>
    <w:rsid w:val="00965A97"/>
    <w:rsid w:val="009665DF"/>
    <w:rsid w:val="00970E89"/>
    <w:rsid w:val="00972C6A"/>
    <w:rsid w:val="00976FD6"/>
    <w:rsid w:val="00993B27"/>
    <w:rsid w:val="00997A65"/>
    <w:rsid w:val="009A37D6"/>
    <w:rsid w:val="009B0B2A"/>
    <w:rsid w:val="009B6254"/>
    <w:rsid w:val="009B67AB"/>
    <w:rsid w:val="009B7E47"/>
    <w:rsid w:val="009C7B75"/>
    <w:rsid w:val="009E1CC6"/>
    <w:rsid w:val="009E49FF"/>
    <w:rsid w:val="009E55B2"/>
    <w:rsid w:val="009E57AD"/>
    <w:rsid w:val="009E7E0D"/>
    <w:rsid w:val="009F10A9"/>
    <w:rsid w:val="009F1A92"/>
    <w:rsid w:val="009F1C4C"/>
    <w:rsid w:val="009F37E8"/>
    <w:rsid w:val="00A0632E"/>
    <w:rsid w:val="00A11F0D"/>
    <w:rsid w:val="00A23027"/>
    <w:rsid w:val="00A26965"/>
    <w:rsid w:val="00A27D0C"/>
    <w:rsid w:val="00A3361B"/>
    <w:rsid w:val="00A75305"/>
    <w:rsid w:val="00A85372"/>
    <w:rsid w:val="00A935FD"/>
    <w:rsid w:val="00A954E5"/>
    <w:rsid w:val="00AA4E0F"/>
    <w:rsid w:val="00AB0833"/>
    <w:rsid w:val="00AB7F5F"/>
    <w:rsid w:val="00AC3017"/>
    <w:rsid w:val="00AC71A2"/>
    <w:rsid w:val="00AD464A"/>
    <w:rsid w:val="00AE1322"/>
    <w:rsid w:val="00AE7135"/>
    <w:rsid w:val="00AF399F"/>
    <w:rsid w:val="00AF5D9C"/>
    <w:rsid w:val="00B01A75"/>
    <w:rsid w:val="00B41EBC"/>
    <w:rsid w:val="00B438BF"/>
    <w:rsid w:val="00B44334"/>
    <w:rsid w:val="00B475F4"/>
    <w:rsid w:val="00B502C6"/>
    <w:rsid w:val="00B63117"/>
    <w:rsid w:val="00B65972"/>
    <w:rsid w:val="00B67A05"/>
    <w:rsid w:val="00B80B4E"/>
    <w:rsid w:val="00B941A2"/>
    <w:rsid w:val="00B9569C"/>
    <w:rsid w:val="00B9601A"/>
    <w:rsid w:val="00BA3F86"/>
    <w:rsid w:val="00BB3D6F"/>
    <w:rsid w:val="00BB5392"/>
    <w:rsid w:val="00BC40CA"/>
    <w:rsid w:val="00BD6456"/>
    <w:rsid w:val="00BE1654"/>
    <w:rsid w:val="00BE378B"/>
    <w:rsid w:val="00BF03B8"/>
    <w:rsid w:val="00BF212A"/>
    <w:rsid w:val="00BF33FA"/>
    <w:rsid w:val="00C041EA"/>
    <w:rsid w:val="00C26A7C"/>
    <w:rsid w:val="00C30692"/>
    <w:rsid w:val="00C3251B"/>
    <w:rsid w:val="00C33CA4"/>
    <w:rsid w:val="00C4019B"/>
    <w:rsid w:val="00C4325E"/>
    <w:rsid w:val="00C508A2"/>
    <w:rsid w:val="00C51A92"/>
    <w:rsid w:val="00C65834"/>
    <w:rsid w:val="00C713D1"/>
    <w:rsid w:val="00C7756C"/>
    <w:rsid w:val="00C85F5A"/>
    <w:rsid w:val="00CB0297"/>
    <w:rsid w:val="00CB2E49"/>
    <w:rsid w:val="00CC040C"/>
    <w:rsid w:val="00CC3AD2"/>
    <w:rsid w:val="00CD39ED"/>
    <w:rsid w:val="00CF429B"/>
    <w:rsid w:val="00CF7F29"/>
    <w:rsid w:val="00D014CB"/>
    <w:rsid w:val="00D11B33"/>
    <w:rsid w:val="00D139C0"/>
    <w:rsid w:val="00D15152"/>
    <w:rsid w:val="00D24EA6"/>
    <w:rsid w:val="00D26D05"/>
    <w:rsid w:val="00D30CCC"/>
    <w:rsid w:val="00D537E4"/>
    <w:rsid w:val="00D62B9F"/>
    <w:rsid w:val="00D71ECD"/>
    <w:rsid w:val="00D74F03"/>
    <w:rsid w:val="00D77567"/>
    <w:rsid w:val="00D81BFF"/>
    <w:rsid w:val="00D832A4"/>
    <w:rsid w:val="00D91FCF"/>
    <w:rsid w:val="00DB3D2C"/>
    <w:rsid w:val="00DD6D1E"/>
    <w:rsid w:val="00DD7D1D"/>
    <w:rsid w:val="00DE6956"/>
    <w:rsid w:val="00DE7403"/>
    <w:rsid w:val="00DF54FF"/>
    <w:rsid w:val="00E10C18"/>
    <w:rsid w:val="00E144A9"/>
    <w:rsid w:val="00E26F23"/>
    <w:rsid w:val="00E52083"/>
    <w:rsid w:val="00EA6985"/>
    <w:rsid w:val="00EB03F0"/>
    <w:rsid w:val="00EC2D8F"/>
    <w:rsid w:val="00EC31F3"/>
    <w:rsid w:val="00ED1EBB"/>
    <w:rsid w:val="00ED27A3"/>
    <w:rsid w:val="00EF1054"/>
    <w:rsid w:val="00EF4C96"/>
    <w:rsid w:val="00EF740A"/>
    <w:rsid w:val="00EF7A94"/>
    <w:rsid w:val="00F00DE5"/>
    <w:rsid w:val="00F01529"/>
    <w:rsid w:val="00F56D75"/>
    <w:rsid w:val="00F6712C"/>
    <w:rsid w:val="00F85CA4"/>
    <w:rsid w:val="00F87B83"/>
    <w:rsid w:val="00FB1CC9"/>
    <w:rsid w:val="00FB411F"/>
    <w:rsid w:val="00FC194A"/>
    <w:rsid w:val="00FC768F"/>
    <w:rsid w:val="00FD4F7A"/>
    <w:rsid w:val="00FE21BF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5434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Nadpis1">
    <w:name w:val="heading 1"/>
    <w:basedOn w:val="Normlny"/>
    <w:next w:val="Normlny"/>
    <w:qFormat/>
    <w:pPr>
      <w:keepNext/>
      <w:jc w:val="both"/>
      <w:outlineLvl w:val="0"/>
    </w:pPr>
    <w:rPr>
      <w:i/>
      <w:iCs/>
    </w:rPr>
  </w:style>
  <w:style w:type="paragraph" w:styleId="Nadpis2">
    <w:name w:val="heading 2"/>
    <w:basedOn w:val="Normlny"/>
    <w:next w:val="Normlny"/>
    <w:qFormat/>
    <w:pPr>
      <w:keepNext/>
      <w:ind w:left="284"/>
      <w:jc w:val="both"/>
      <w:outlineLvl w:val="1"/>
    </w:pPr>
    <w:rPr>
      <w:i/>
      <w:iCs/>
    </w:rPr>
  </w:style>
  <w:style w:type="paragraph" w:styleId="Nadpis3">
    <w:name w:val="heading 3"/>
    <w:basedOn w:val="Normlny"/>
    <w:next w:val="Normlny"/>
    <w:qFormat/>
    <w:pPr>
      <w:keepNext/>
      <w:ind w:right="-2600"/>
      <w:jc w:val="both"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pPr>
      <w:ind w:left="284"/>
      <w:jc w:val="both"/>
    </w:pPr>
  </w:style>
  <w:style w:type="paragraph" w:styleId="Zkladntext">
    <w:name w:val="Body Text"/>
    <w:basedOn w:val="Normlny"/>
    <w:pPr>
      <w:jc w:val="both"/>
    </w:pPr>
    <w:rPr>
      <w:bCs/>
    </w:rPr>
  </w:style>
  <w:style w:type="paragraph" w:styleId="Zarkazkladnhotextu2">
    <w:name w:val="Body Text Indent 2"/>
    <w:basedOn w:val="Normlny"/>
    <w:pPr>
      <w:ind w:left="284"/>
      <w:jc w:val="both"/>
    </w:pPr>
    <w:rPr>
      <w:i/>
      <w:iCs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customStyle="1" w:styleId="Export0">
    <w:name w:val="Export 0"/>
    <w:pPr>
      <w:overflowPunct w:val="0"/>
      <w:autoSpaceDE w:val="0"/>
      <w:autoSpaceDN w:val="0"/>
      <w:adjustRightInd w:val="0"/>
      <w:textAlignment w:val="baseline"/>
    </w:pPr>
    <w:rPr>
      <w:rFonts w:ascii="Avinion" w:hAnsi="Avinion"/>
      <w:sz w:val="24"/>
      <w:lang w:val="en-US" w:eastAsia="en-US"/>
    </w:rPr>
  </w:style>
  <w:style w:type="paragraph" w:styleId="Hlavika">
    <w:name w:val="header"/>
    <w:basedOn w:val="Normlny"/>
    <w:rsid w:val="00D62B9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284912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201EDA"/>
    <w:pPr>
      <w:shd w:val="clear" w:color="auto" w:fill="000080"/>
    </w:pPr>
    <w:rPr>
      <w:rFonts w:ascii="Tahoma" w:hAnsi="Tahoma" w:cs="Tahoma"/>
      <w:sz w:val="20"/>
    </w:rPr>
  </w:style>
  <w:style w:type="character" w:styleId="Hypertextovprepojenie">
    <w:name w:val="Hyperlink"/>
    <w:rsid w:val="00706D78"/>
    <w:rPr>
      <w:color w:val="0000FF"/>
      <w:u w:val="single"/>
    </w:rPr>
  </w:style>
  <w:style w:type="character" w:styleId="Odkaznakomentr">
    <w:name w:val="annotation reference"/>
    <w:basedOn w:val="Predvolenpsmoodseku"/>
    <w:rsid w:val="00AE1322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E1322"/>
    <w:rPr>
      <w:sz w:val="20"/>
    </w:rPr>
  </w:style>
  <w:style w:type="character" w:customStyle="1" w:styleId="TextkomentraChar">
    <w:name w:val="Text komentára Char"/>
    <w:basedOn w:val="Predvolenpsmoodseku"/>
    <w:link w:val="Textkomentra"/>
    <w:rsid w:val="00AE1322"/>
    <w:rPr>
      <w:rFonts w:ascii="Arial" w:hAnsi="Arial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AE13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AE1322"/>
    <w:rPr>
      <w:rFonts w:ascii="Arial" w:hAnsi="Arial"/>
      <w:b/>
      <w:bCs/>
      <w:lang w:eastAsia="en-US"/>
    </w:rPr>
  </w:style>
  <w:style w:type="paragraph" w:styleId="Odsekzoznamu">
    <w:name w:val="List Paragraph"/>
    <w:basedOn w:val="Normlny"/>
    <w:uiPriority w:val="34"/>
    <w:qFormat/>
    <w:rsid w:val="00AB0833"/>
    <w:pPr>
      <w:ind w:left="720"/>
      <w:contextualSpacing/>
    </w:pPr>
  </w:style>
  <w:style w:type="character" w:customStyle="1" w:styleId="PtaChar">
    <w:name w:val="Päta Char"/>
    <w:basedOn w:val="Predvolenpsmoodseku"/>
    <w:link w:val="Pta"/>
    <w:uiPriority w:val="99"/>
    <w:rsid w:val="001902DA"/>
    <w:rPr>
      <w:rFonts w:ascii="Arial" w:hAnsi="Arial"/>
      <w:sz w:val="24"/>
      <w:lang w:eastAsia="en-US"/>
    </w:rPr>
  </w:style>
  <w:style w:type="paragraph" w:styleId="Revzia">
    <w:name w:val="Revision"/>
    <w:hidden/>
    <w:uiPriority w:val="99"/>
    <w:semiHidden/>
    <w:rsid w:val="006A42CD"/>
    <w:rPr>
      <w:rFonts w:ascii="Arial" w:hAnsi="Arial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Nadpis1">
    <w:name w:val="heading 1"/>
    <w:basedOn w:val="Normlny"/>
    <w:next w:val="Normlny"/>
    <w:qFormat/>
    <w:pPr>
      <w:keepNext/>
      <w:jc w:val="both"/>
      <w:outlineLvl w:val="0"/>
    </w:pPr>
    <w:rPr>
      <w:i/>
      <w:iCs/>
    </w:rPr>
  </w:style>
  <w:style w:type="paragraph" w:styleId="Nadpis2">
    <w:name w:val="heading 2"/>
    <w:basedOn w:val="Normlny"/>
    <w:next w:val="Normlny"/>
    <w:qFormat/>
    <w:pPr>
      <w:keepNext/>
      <w:ind w:left="284"/>
      <w:jc w:val="both"/>
      <w:outlineLvl w:val="1"/>
    </w:pPr>
    <w:rPr>
      <w:i/>
      <w:iCs/>
    </w:rPr>
  </w:style>
  <w:style w:type="paragraph" w:styleId="Nadpis3">
    <w:name w:val="heading 3"/>
    <w:basedOn w:val="Normlny"/>
    <w:next w:val="Normlny"/>
    <w:qFormat/>
    <w:pPr>
      <w:keepNext/>
      <w:ind w:right="-2600"/>
      <w:jc w:val="both"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pPr>
      <w:ind w:left="284"/>
      <w:jc w:val="both"/>
    </w:pPr>
  </w:style>
  <w:style w:type="paragraph" w:styleId="Zkladntext">
    <w:name w:val="Body Text"/>
    <w:basedOn w:val="Normlny"/>
    <w:pPr>
      <w:jc w:val="both"/>
    </w:pPr>
    <w:rPr>
      <w:bCs/>
    </w:rPr>
  </w:style>
  <w:style w:type="paragraph" w:styleId="Zarkazkladnhotextu2">
    <w:name w:val="Body Text Indent 2"/>
    <w:basedOn w:val="Normlny"/>
    <w:pPr>
      <w:ind w:left="284"/>
      <w:jc w:val="both"/>
    </w:pPr>
    <w:rPr>
      <w:i/>
      <w:iCs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customStyle="1" w:styleId="Export0">
    <w:name w:val="Export 0"/>
    <w:pPr>
      <w:overflowPunct w:val="0"/>
      <w:autoSpaceDE w:val="0"/>
      <w:autoSpaceDN w:val="0"/>
      <w:adjustRightInd w:val="0"/>
      <w:textAlignment w:val="baseline"/>
    </w:pPr>
    <w:rPr>
      <w:rFonts w:ascii="Avinion" w:hAnsi="Avinion"/>
      <w:sz w:val="24"/>
      <w:lang w:val="en-US" w:eastAsia="en-US"/>
    </w:rPr>
  </w:style>
  <w:style w:type="paragraph" w:styleId="Hlavika">
    <w:name w:val="header"/>
    <w:basedOn w:val="Normlny"/>
    <w:rsid w:val="00D62B9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284912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201EDA"/>
    <w:pPr>
      <w:shd w:val="clear" w:color="auto" w:fill="000080"/>
    </w:pPr>
    <w:rPr>
      <w:rFonts w:ascii="Tahoma" w:hAnsi="Tahoma" w:cs="Tahoma"/>
      <w:sz w:val="20"/>
    </w:rPr>
  </w:style>
  <w:style w:type="character" w:styleId="Hypertextovprepojenie">
    <w:name w:val="Hyperlink"/>
    <w:rsid w:val="00706D78"/>
    <w:rPr>
      <w:color w:val="0000FF"/>
      <w:u w:val="single"/>
    </w:rPr>
  </w:style>
  <w:style w:type="character" w:styleId="Odkaznakomentr">
    <w:name w:val="annotation reference"/>
    <w:basedOn w:val="Predvolenpsmoodseku"/>
    <w:rsid w:val="00AE1322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E1322"/>
    <w:rPr>
      <w:sz w:val="20"/>
    </w:rPr>
  </w:style>
  <w:style w:type="character" w:customStyle="1" w:styleId="TextkomentraChar">
    <w:name w:val="Text komentára Char"/>
    <w:basedOn w:val="Predvolenpsmoodseku"/>
    <w:link w:val="Textkomentra"/>
    <w:rsid w:val="00AE1322"/>
    <w:rPr>
      <w:rFonts w:ascii="Arial" w:hAnsi="Arial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AE13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AE1322"/>
    <w:rPr>
      <w:rFonts w:ascii="Arial" w:hAnsi="Arial"/>
      <w:b/>
      <w:bCs/>
      <w:lang w:eastAsia="en-US"/>
    </w:rPr>
  </w:style>
  <w:style w:type="paragraph" w:styleId="Odsekzoznamu">
    <w:name w:val="List Paragraph"/>
    <w:basedOn w:val="Normlny"/>
    <w:uiPriority w:val="34"/>
    <w:qFormat/>
    <w:rsid w:val="00AB0833"/>
    <w:pPr>
      <w:ind w:left="720"/>
      <w:contextualSpacing/>
    </w:pPr>
  </w:style>
  <w:style w:type="character" w:customStyle="1" w:styleId="PtaChar">
    <w:name w:val="Päta Char"/>
    <w:basedOn w:val="Predvolenpsmoodseku"/>
    <w:link w:val="Pta"/>
    <w:uiPriority w:val="99"/>
    <w:rsid w:val="001902DA"/>
    <w:rPr>
      <w:rFonts w:ascii="Arial" w:hAnsi="Arial"/>
      <w:sz w:val="24"/>
      <w:lang w:eastAsia="en-US"/>
    </w:rPr>
  </w:style>
  <w:style w:type="paragraph" w:styleId="Revzia">
    <w:name w:val="Revision"/>
    <w:hidden/>
    <w:uiPriority w:val="99"/>
    <w:semiHidden/>
    <w:rsid w:val="006A42CD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2595</Words>
  <Characters>17032</Characters>
  <Application>Microsoft Office Word</Application>
  <DocSecurity>0</DocSecurity>
  <Lines>141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BERLIN CHEMIE A.G.</Company>
  <LinksUpToDate>false</LinksUpToDate>
  <CharactersWithSpaces>19588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MONITOR</dc:creator>
  <cp:lastModifiedBy>Miroslava Slahúčková</cp:lastModifiedBy>
  <cp:revision>2</cp:revision>
  <cp:lastPrinted>2012-05-31T13:11:00Z</cp:lastPrinted>
  <dcterms:created xsi:type="dcterms:W3CDTF">2018-04-20T15:17:00Z</dcterms:created>
  <dcterms:modified xsi:type="dcterms:W3CDTF">2018-04-20T15:17:00Z</dcterms:modified>
</cp:coreProperties>
</file>