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F2" w:rsidRPr="001A4403" w:rsidRDefault="00CD09F2" w:rsidP="00D97C41">
      <w:pPr>
        <w:pStyle w:val="SPCaPILhlavika"/>
        <w:rPr>
          <w:sz w:val="22"/>
          <w:szCs w:val="22"/>
        </w:rPr>
      </w:pPr>
      <w:r w:rsidRPr="001A4403">
        <w:rPr>
          <w:sz w:val="22"/>
          <w:szCs w:val="22"/>
        </w:rPr>
        <w:t>SÚHRN CHARAKTERISTICKÝCH VLASTNOSTÍ LIEKU</w:t>
      </w:r>
    </w:p>
    <w:p w:rsidR="00030D43" w:rsidRPr="001A4403" w:rsidRDefault="00030D43" w:rsidP="00D97C41">
      <w:pPr>
        <w:pStyle w:val="SPCaPILhlavika"/>
        <w:rPr>
          <w:sz w:val="22"/>
          <w:szCs w:val="22"/>
        </w:rPr>
      </w:pPr>
    </w:p>
    <w:p w:rsidR="00DA5209" w:rsidRPr="001A4403" w:rsidRDefault="00CD09F2" w:rsidP="00CF1EA7">
      <w:pPr>
        <w:pStyle w:val="Styl1"/>
        <w:spacing w:before="0" w:after="0"/>
        <w:ind w:left="0"/>
        <w:jc w:val="left"/>
        <w:rPr>
          <w:szCs w:val="22"/>
          <w:lang w:val="sk-SK"/>
        </w:rPr>
      </w:pPr>
      <w:r w:rsidRPr="001A4403">
        <w:rPr>
          <w:szCs w:val="22"/>
          <w:lang w:val="sk-SK"/>
        </w:rPr>
        <w:t>NÁZOV LIEKU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9F099C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</w:p>
    <w:p w:rsidR="005C77D3" w:rsidRPr="001A4403" w:rsidRDefault="009F099C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11,6 mg/g gél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 w:rsidP="00CF1EA7">
      <w:pPr>
        <w:pStyle w:val="Styl1"/>
        <w:spacing w:before="0" w:after="0"/>
        <w:ind w:left="0"/>
        <w:jc w:val="left"/>
        <w:rPr>
          <w:szCs w:val="22"/>
          <w:lang w:val="sk-SK"/>
        </w:rPr>
      </w:pPr>
      <w:r w:rsidRPr="001A4403">
        <w:rPr>
          <w:szCs w:val="22"/>
          <w:lang w:val="sk-SK"/>
        </w:rPr>
        <w:t>Kvalitatívne</w:t>
      </w:r>
      <w:r w:rsidR="00D8161D" w:rsidRPr="001A4403">
        <w:rPr>
          <w:szCs w:val="22"/>
          <w:lang w:val="sk-SK"/>
        </w:rPr>
        <w:t xml:space="preserve"> a </w:t>
      </w:r>
      <w:r w:rsidRPr="001A4403">
        <w:rPr>
          <w:szCs w:val="22"/>
          <w:lang w:val="sk-SK"/>
        </w:rPr>
        <w:t>kvantitatívne zloženie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5C77D3" w:rsidRPr="001A4403" w:rsidRDefault="00CD09F2" w:rsidP="00CF1EA7">
      <w:pPr>
        <w:pStyle w:val="Normlndobloku"/>
        <w:spacing w:after="0"/>
        <w:jc w:val="left"/>
        <w:rPr>
          <w:szCs w:val="22"/>
        </w:rPr>
      </w:pPr>
      <w:smartTag w:uri="urn:schemas-microsoft-com:office:smarttags" w:element="metricconverter">
        <w:smartTagPr>
          <w:attr w:name="ProductID" w:val="1 g"/>
        </w:smartTagPr>
        <w:r w:rsidRPr="001A4403">
          <w:rPr>
            <w:szCs w:val="22"/>
          </w:rPr>
          <w:t>1 g</w:t>
        </w:r>
      </w:smartTag>
      <w:r w:rsidRPr="001A4403">
        <w:rPr>
          <w:szCs w:val="22"/>
        </w:rPr>
        <w:t xml:space="preserve"> gélu obsahuje 11,6</w:t>
      </w:r>
      <w:r w:rsidR="00D8161D" w:rsidRPr="001A4403">
        <w:rPr>
          <w:szCs w:val="22"/>
        </w:rPr>
        <w:t xml:space="preserve"> mg </w:t>
      </w:r>
      <w:r w:rsidRPr="001A4403">
        <w:rPr>
          <w:szCs w:val="22"/>
        </w:rPr>
        <w:t>dietylamínovej soli diklofenaku</w:t>
      </w:r>
      <w:r w:rsidR="001A4403" w:rsidRPr="001A4403">
        <w:rPr>
          <w:szCs w:val="22"/>
        </w:rPr>
        <w:t xml:space="preserve"> </w:t>
      </w:r>
      <w:r w:rsidR="001A4403" w:rsidRPr="001A4403">
        <w:rPr>
          <w:szCs w:val="22"/>
        </w:rPr>
        <w:t>(diclofenacum diethylaminum)</w:t>
      </w:r>
      <w:r w:rsidRPr="001A4403">
        <w:rPr>
          <w:szCs w:val="22"/>
        </w:rPr>
        <w:t>, čo zodpovedá 10</w:t>
      </w:r>
      <w:r w:rsidR="00D8161D" w:rsidRPr="001A4403">
        <w:rPr>
          <w:szCs w:val="22"/>
        </w:rPr>
        <w:t xml:space="preserve"> mg </w:t>
      </w:r>
      <w:r w:rsidRPr="001A4403">
        <w:rPr>
          <w:szCs w:val="22"/>
        </w:rPr>
        <w:t>sodnej soli diklofenaku</w:t>
      </w:r>
      <w:r w:rsidR="001A4403" w:rsidRPr="001A4403">
        <w:rPr>
          <w:szCs w:val="22"/>
        </w:rPr>
        <w:t xml:space="preserve"> </w:t>
      </w:r>
      <w:r w:rsidR="001A4403" w:rsidRPr="001A4403">
        <w:rPr>
          <w:color w:val="000000"/>
          <w:szCs w:val="22"/>
        </w:rPr>
        <w:t>(</w:t>
      </w:r>
      <w:r w:rsidR="001A4403" w:rsidRPr="001A4403">
        <w:rPr>
          <w:szCs w:val="22"/>
        </w:rPr>
        <w:t>diclofenacum natricum)</w:t>
      </w:r>
      <w:r w:rsidRPr="001A4403">
        <w:rPr>
          <w:szCs w:val="22"/>
        </w:rPr>
        <w:t>.</w:t>
      </w:r>
    </w:p>
    <w:p w:rsidR="00E077A4" w:rsidRPr="001A4403" w:rsidRDefault="00DA5209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Pomocná látka so známym účinkom:</w:t>
      </w:r>
      <w:r w:rsidR="00CD09F2" w:rsidRPr="001A4403">
        <w:rPr>
          <w:szCs w:val="22"/>
        </w:rPr>
        <w:t xml:space="preserve"> propylénglykol</w:t>
      </w:r>
    </w:p>
    <w:p w:rsidR="00CD09F2" w:rsidRPr="001A4403" w:rsidRDefault="00CD09F2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Úplný zoznam pomocných látok, pozri časť 6.1.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 w:rsidP="00CF1EA7">
      <w:pPr>
        <w:pStyle w:val="Styl1"/>
        <w:spacing w:before="0" w:after="0"/>
        <w:ind w:left="0"/>
        <w:jc w:val="left"/>
        <w:rPr>
          <w:szCs w:val="22"/>
          <w:lang w:val="sk-SK"/>
        </w:rPr>
      </w:pPr>
      <w:r w:rsidRPr="001A4403">
        <w:rPr>
          <w:szCs w:val="22"/>
          <w:lang w:val="sk-SK"/>
        </w:rPr>
        <w:t>Lieková forma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CD09F2" w:rsidRPr="001A4403" w:rsidRDefault="00821451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G</w:t>
      </w:r>
      <w:r w:rsidR="00CD09F2" w:rsidRPr="001A4403">
        <w:rPr>
          <w:szCs w:val="22"/>
        </w:rPr>
        <w:t>él</w:t>
      </w:r>
    </w:p>
    <w:p w:rsidR="00CD09F2" w:rsidRPr="001A4403" w:rsidRDefault="00CD09F2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Bezfarebný, priesvitný, hladký, homogénny</w:t>
      </w:r>
      <w:r w:rsidR="003F704A" w:rsidRPr="001A4403">
        <w:rPr>
          <w:szCs w:val="22"/>
        </w:rPr>
        <w:t xml:space="preserve"> gél charakteristického zápachu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 w:rsidP="00CF1EA7">
      <w:pPr>
        <w:pStyle w:val="Styl1"/>
        <w:spacing w:before="0" w:after="0"/>
        <w:ind w:left="0"/>
        <w:jc w:val="left"/>
        <w:rPr>
          <w:szCs w:val="22"/>
          <w:lang w:val="sk-SK"/>
        </w:rPr>
      </w:pPr>
      <w:r w:rsidRPr="001A4403">
        <w:rPr>
          <w:szCs w:val="22"/>
          <w:lang w:val="sk-SK"/>
        </w:rPr>
        <w:t>Klinické údaje</w:t>
      </w:r>
    </w:p>
    <w:p w:rsidR="00CF1EA7" w:rsidRPr="001A4403" w:rsidRDefault="00CF1EA7" w:rsidP="00CF1EA7">
      <w:pPr>
        <w:pStyle w:val="Styl1"/>
        <w:numPr>
          <w:ilvl w:val="0"/>
          <w:numId w:val="0"/>
        </w:numPr>
        <w:spacing w:before="0" w:after="0"/>
        <w:jc w:val="left"/>
        <w:rPr>
          <w:szCs w:val="22"/>
          <w:lang w:val="sk-SK"/>
        </w:rPr>
      </w:pPr>
    </w:p>
    <w:p w:rsidR="00D64191" w:rsidRPr="001A4403" w:rsidRDefault="003F704A" w:rsidP="00CF1EA7">
      <w:pPr>
        <w:pStyle w:val="Styl2"/>
        <w:spacing w:before="0" w:after="0"/>
        <w:ind w:left="0"/>
      </w:pPr>
      <w:r w:rsidRPr="001A4403">
        <w:t>Terapeutické indikácie</w:t>
      </w:r>
    </w:p>
    <w:p w:rsidR="00CF1EA7" w:rsidRPr="001A4403" w:rsidRDefault="00CF1EA7" w:rsidP="00CF1EA7">
      <w:pPr>
        <w:pStyle w:val="Styl2"/>
        <w:numPr>
          <w:ilvl w:val="0"/>
          <w:numId w:val="0"/>
        </w:numPr>
        <w:spacing w:before="0" w:after="0"/>
      </w:pPr>
    </w:p>
    <w:p w:rsidR="003F704A" w:rsidRPr="001A4403" w:rsidRDefault="003F704A" w:rsidP="00CF1EA7">
      <w:pPr>
        <w:pStyle w:val="Styl3"/>
        <w:spacing w:before="0" w:after="0"/>
      </w:pPr>
      <w:r w:rsidRPr="001A4403">
        <w:t>Dospelí</w:t>
      </w:r>
      <w:r w:rsidR="00D8161D" w:rsidRPr="001A4403">
        <w:t xml:space="preserve"> a </w:t>
      </w:r>
      <w:r w:rsidRPr="001A4403">
        <w:t>dospievajúci vo veku 14 rokov</w:t>
      </w:r>
      <w:r w:rsidR="00D8161D" w:rsidRPr="001A4403">
        <w:t xml:space="preserve"> a </w:t>
      </w:r>
      <w:r w:rsidRPr="001A4403">
        <w:t>starší</w:t>
      </w:r>
    </w:p>
    <w:p w:rsidR="003F704A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 xml:space="preserve">ALMIRAL GEL </w:t>
      </w:r>
      <w:r w:rsidR="003F704A" w:rsidRPr="001A4403">
        <w:rPr>
          <w:szCs w:val="22"/>
        </w:rPr>
        <w:t>tlmí bolesť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>zápal, zmierňuje opuch:</w:t>
      </w:r>
    </w:p>
    <w:p w:rsidR="000B7285" w:rsidRPr="001A4403" w:rsidRDefault="003F704A" w:rsidP="009F099C">
      <w:pPr>
        <w:pStyle w:val="Normlndoblokusodrkami"/>
        <w:rPr>
          <w:szCs w:val="22"/>
        </w:rPr>
      </w:pPr>
      <w:r w:rsidRPr="001A4403">
        <w:rPr>
          <w:szCs w:val="22"/>
        </w:rPr>
        <w:t>pri poraneniach mäkkého tkaniva: poranenia šliach, svalov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kĺbov napr. po vytknutí, natiahnutí alebo pomliaždení, bolesti chrbta (športové úrazy)</w:t>
      </w:r>
    </w:p>
    <w:p w:rsidR="00DA5209" w:rsidRPr="001A4403" w:rsidRDefault="003F704A" w:rsidP="00DA5209">
      <w:pPr>
        <w:pStyle w:val="Normlndoblokusodrkami"/>
        <w:rPr>
          <w:szCs w:val="22"/>
        </w:rPr>
      </w:pPr>
      <w:r w:rsidRPr="001A4403">
        <w:rPr>
          <w:szCs w:val="22"/>
        </w:rPr>
        <w:t>pri lokalizovaných formách reumatizmu mäkkých tkanív napr. tendinitíde (tenisový la</w:t>
      </w:r>
      <w:r w:rsidR="00D755AB" w:rsidRPr="001A4403">
        <w:rPr>
          <w:szCs w:val="22"/>
        </w:rPr>
        <w:t>keť), burzitíde</w:t>
      </w:r>
      <w:r w:rsidRPr="001A4403">
        <w:rPr>
          <w:szCs w:val="22"/>
        </w:rPr>
        <w:t>, periartropati</w:t>
      </w:r>
      <w:r w:rsidR="00A05CD7" w:rsidRPr="001A4403">
        <w:rPr>
          <w:szCs w:val="22"/>
        </w:rPr>
        <w:t>i</w:t>
      </w:r>
    </w:p>
    <w:p w:rsidR="003F704A" w:rsidRPr="001A4403" w:rsidRDefault="00DA5209">
      <w:pPr>
        <w:pStyle w:val="Styl3"/>
      </w:pPr>
      <w:r w:rsidRPr="001A4403">
        <w:rPr>
          <w:rFonts w:eastAsia="Calibri"/>
          <w:noProof/>
          <w:color w:val="000000"/>
          <w:lang w:eastAsia="cs-CZ"/>
        </w:rPr>
        <w:t>Dospelí</w:t>
      </w:r>
      <w:r w:rsidR="003F704A" w:rsidRPr="001A4403">
        <w:t xml:space="preserve"> (18 rokov</w:t>
      </w:r>
      <w:r w:rsidR="00D8161D" w:rsidRPr="001A4403">
        <w:t xml:space="preserve"> a </w:t>
      </w:r>
      <w:r w:rsidR="003F704A" w:rsidRPr="001A4403">
        <w:t>starší)</w:t>
      </w:r>
    </w:p>
    <w:p w:rsidR="00CF1EA7" w:rsidRPr="001A4403" w:rsidRDefault="003F704A" w:rsidP="00CF1EA7">
      <w:pPr>
        <w:pStyle w:val="Normlndoblokusodrkami"/>
        <w:rPr>
          <w:noProof w:val="0"/>
          <w:szCs w:val="22"/>
        </w:rPr>
      </w:pPr>
      <w:r w:rsidRPr="001A4403">
        <w:rPr>
          <w:noProof w:val="0"/>
          <w:szCs w:val="22"/>
        </w:rPr>
        <w:t>prináša úľavu od bolesti pri lokalizovaných formách degeneratívneho reumatizmu, napr. osteoartritíde</w:t>
      </w:r>
      <w:r w:rsidR="000B7285" w:rsidRPr="001A4403">
        <w:rPr>
          <w:noProof w:val="0"/>
          <w:szCs w:val="22"/>
        </w:rPr>
        <w:t xml:space="preserve"> </w:t>
      </w:r>
      <w:r w:rsidRPr="001A4403">
        <w:rPr>
          <w:noProof w:val="0"/>
          <w:szCs w:val="22"/>
        </w:rPr>
        <w:t>periférnych kĺbov</w:t>
      </w:r>
      <w:r w:rsidR="00D8161D" w:rsidRPr="001A4403">
        <w:rPr>
          <w:noProof w:val="0"/>
          <w:szCs w:val="22"/>
        </w:rPr>
        <w:t xml:space="preserve"> a </w:t>
      </w:r>
      <w:r w:rsidRPr="001A4403">
        <w:rPr>
          <w:noProof w:val="0"/>
          <w:szCs w:val="22"/>
        </w:rPr>
        <w:t>chrbtice.</w:t>
      </w:r>
    </w:p>
    <w:p w:rsidR="003F704A" w:rsidRPr="001A4403" w:rsidRDefault="003F704A" w:rsidP="00CF1EA7">
      <w:pPr>
        <w:pStyle w:val="Styl2"/>
        <w:spacing w:before="0" w:after="0"/>
        <w:ind w:left="0"/>
      </w:pPr>
      <w:r w:rsidRPr="001A4403">
        <w:t>Dávkovanie a spôsob podávania</w:t>
      </w:r>
    </w:p>
    <w:p w:rsidR="00CF1EA7" w:rsidRPr="001A4403" w:rsidRDefault="00CF1EA7" w:rsidP="00CF1EA7">
      <w:pPr>
        <w:pStyle w:val="Styl2"/>
        <w:numPr>
          <w:ilvl w:val="0"/>
          <w:numId w:val="0"/>
        </w:numPr>
        <w:spacing w:before="0" w:after="0"/>
      </w:pPr>
    </w:p>
    <w:p w:rsidR="00DA5209" w:rsidRPr="001A4403" w:rsidRDefault="00E077A4" w:rsidP="00CF1EA7">
      <w:pPr>
        <w:pStyle w:val="Styl3"/>
        <w:spacing w:before="0" w:after="0"/>
      </w:pPr>
      <w:r w:rsidRPr="001A4403">
        <w:t>Dávkovanie</w:t>
      </w:r>
    </w:p>
    <w:p w:rsidR="00CF1EA7" w:rsidRPr="001A4403" w:rsidRDefault="00CF1EA7" w:rsidP="00CF1EA7">
      <w:pPr>
        <w:pStyle w:val="Normlndobloku"/>
        <w:spacing w:after="0"/>
        <w:jc w:val="left"/>
        <w:rPr>
          <w:i/>
          <w:color w:val="000000" w:themeColor="text1"/>
          <w:szCs w:val="22"/>
          <w:shd w:val="clear" w:color="auto" w:fill="FFFFFF"/>
        </w:rPr>
      </w:pPr>
    </w:p>
    <w:p w:rsidR="00030D43" w:rsidRPr="001A4403" w:rsidRDefault="00DA5209" w:rsidP="00CF1EA7">
      <w:pPr>
        <w:pStyle w:val="Normlndobloku"/>
        <w:spacing w:after="0"/>
        <w:jc w:val="left"/>
        <w:rPr>
          <w:i/>
          <w:color w:val="000000" w:themeColor="text1"/>
          <w:szCs w:val="22"/>
          <w:shd w:val="clear" w:color="auto" w:fill="FFFFFF"/>
        </w:rPr>
      </w:pPr>
      <w:r w:rsidRPr="001A4403">
        <w:rPr>
          <w:i/>
          <w:color w:val="000000" w:themeColor="text1"/>
          <w:szCs w:val="22"/>
          <w:shd w:val="clear" w:color="auto" w:fill="FFFFFF"/>
        </w:rPr>
        <w:t>Dospelí a dospievajúci vo veku 14 rokov a starší:</w:t>
      </w:r>
    </w:p>
    <w:p w:rsidR="00DA5209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nanáša miestne</w:t>
      </w:r>
      <w:r w:rsidR="00DA5209" w:rsidRPr="001A4403">
        <w:rPr>
          <w:szCs w:val="22"/>
        </w:rPr>
        <w:t xml:space="preserve"> </w:t>
      </w:r>
      <w:r w:rsidR="003F704A" w:rsidRPr="001A4403">
        <w:rPr>
          <w:szCs w:val="22"/>
        </w:rPr>
        <w:t>na kožu 3 až 4-krát denne na postihnuté miesto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>jemne sa vtiera. Potrebné množstvo závisí od veľkosti bolestivého miesta</w:t>
      </w:r>
      <w:r w:rsidR="002805FA" w:rsidRPr="001A4403">
        <w:rPr>
          <w:szCs w:val="22"/>
        </w:rPr>
        <w:t>,</w:t>
      </w:r>
      <w:r w:rsidR="003F704A" w:rsidRPr="001A4403">
        <w:rPr>
          <w:szCs w:val="22"/>
        </w:rPr>
        <w:t xml:space="preserve"> </w:t>
      </w:r>
      <w:r w:rsidR="002805FA" w:rsidRPr="001A4403">
        <w:rPr>
          <w:szCs w:val="22"/>
        </w:rPr>
        <w:t>n</w:t>
      </w:r>
      <w:r w:rsidR="003F704A" w:rsidRPr="001A4403">
        <w:rPr>
          <w:szCs w:val="22"/>
        </w:rPr>
        <w:t>apr. 2</w:t>
      </w:r>
      <w:r w:rsidR="00602E2F" w:rsidRPr="001A4403">
        <w:rPr>
          <w:szCs w:val="22"/>
        </w:rPr>
        <w:t> – </w:t>
      </w:r>
      <w:r w:rsidR="003F704A" w:rsidRPr="001A4403">
        <w:rPr>
          <w:szCs w:val="22"/>
        </w:rPr>
        <w:t>4</w:t>
      </w:r>
      <w:r w:rsidR="00161400" w:rsidRPr="001A4403">
        <w:rPr>
          <w:szCs w:val="22"/>
        </w:rPr>
        <w:t> </w:t>
      </w:r>
      <w:r w:rsidR="003F704A" w:rsidRPr="001A4403">
        <w:rPr>
          <w:szCs w:val="22"/>
        </w:rPr>
        <w:t>g</w:t>
      </w:r>
      <w:r w:rsidR="002805FA" w:rsidRPr="001A4403">
        <w:rPr>
          <w:szCs w:val="22"/>
        </w:rPr>
        <w:t xml:space="preserve"> lieku.</w:t>
      </w:r>
      <w:r w:rsidR="003F704A" w:rsidRPr="001A4403">
        <w:rPr>
          <w:szCs w:val="22"/>
        </w:rPr>
        <w:t xml:space="preserve"> </w:t>
      </w:r>
      <w:r w:rsidRPr="001A4403">
        <w:rPr>
          <w:szCs w:val="22"/>
        </w:rPr>
        <w:t>ALMIRAL GEL</w:t>
      </w:r>
      <w:r w:rsidR="00602E2F" w:rsidRPr="001A4403">
        <w:rPr>
          <w:szCs w:val="22"/>
        </w:rPr>
        <w:t xml:space="preserve"> </w:t>
      </w:r>
      <w:r w:rsidR="003F704A" w:rsidRPr="001A4403">
        <w:rPr>
          <w:szCs w:val="22"/>
        </w:rPr>
        <w:t xml:space="preserve">(množstvo </w:t>
      </w:r>
      <w:r w:rsidR="00B549B8" w:rsidRPr="001A4403">
        <w:rPr>
          <w:szCs w:val="22"/>
        </w:rPr>
        <w:t>o</w:t>
      </w:r>
      <w:r w:rsidR="003F704A" w:rsidRPr="001A4403">
        <w:rPr>
          <w:szCs w:val="22"/>
        </w:rPr>
        <w:t> veľkos</w:t>
      </w:r>
      <w:r w:rsidR="00B549B8" w:rsidRPr="001A4403">
        <w:rPr>
          <w:szCs w:val="22"/>
        </w:rPr>
        <w:t>ti</w:t>
      </w:r>
      <w:r w:rsidR="003F704A" w:rsidRPr="001A4403">
        <w:rPr>
          <w:szCs w:val="22"/>
        </w:rPr>
        <w:t xml:space="preserve"> čerešne až orecha) postačuje na ošetrenie plochy asi 400</w:t>
      </w:r>
      <w:r w:rsidR="00FE4649" w:rsidRPr="001A4403">
        <w:rPr>
          <w:szCs w:val="22"/>
        </w:rPr>
        <w:t> – </w:t>
      </w:r>
      <w:r w:rsidR="003F704A" w:rsidRPr="001A4403">
        <w:rPr>
          <w:szCs w:val="22"/>
        </w:rPr>
        <w:t>800 cm². Po použití sa majú umyť ruky, pokiaľ ruky nie sú ošetrovaným miestom.</w:t>
      </w:r>
    </w:p>
    <w:p w:rsidR="003F704A" w:rsidRPr="001A4403" w:rsidRDefault="003F704A" w:rsidP="00CF1EA7">
      <w:pPr>
        <w:tabs>
          <w:tab w:val="num" w:pos="0"/>
        </w:tabs>
        <w:jc w:val="both"/>
        <w:rPr>
          <w:sz w:val="22"/>
          <w:szCs w:val="22"/>
        </w:rPr>
      </w:pPr>
      <w:r w:rsidRPr="001A4403">
        <w:rPr>
          <w:sz w:val="22"/>
          <w:szCs w:val="22"/>
        </w:rPr>
        <w:t>Trvanie liečby závisí od indikácie</w:t>
      </w:r>
      <w:r w:rsidR="00D8161D" w:rsidRPr="001A4403">
        <w:rPr>
          <w:sz w:val="22"/>
          <w:szCs w:val="22"/>
        </w:rPr>
        <w:t xml:space="preserve"> a </w:t>
      </w:r>
      <w:r w:rsidRPr="001A4403">
        <w:rPr>
          <w:sz w:val="22"/>
          <w:szCs w:val="22"/>
        </w:rPr>
        <w:t>dosiahnutej odpovede pacienta na liečbu</w:t>
      </w:r>
      <w:r w:rsidR="00E077A4" w:rsidRPr="001A4403">
        <w:rPr>
          <w:sz w:val="22"/>
          <w:szCs w:val="22"/>
        </w:rPr>
        <w:t>: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poraneniach mäkkého tkaniva alebo pri reumatizme mäkkých tkanív sa nemá gél používať dlhšie ako 14 dní, pokiaľ to neodporučil lekár.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artritickej bolesti (dospelí vo veku 18 rokov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starší): dĺžka liečby nemá presiahnuť 21 dní, pokiaľ to neodporučil lekár.</w:t>
      </w:r>
    </w:p>
    <w:p w:rsidR="003F704A" w:rsidRPr="001A4403" w:rsidRDefault="003F704A" w:rsidP="00CF1EA7">
      <w:pPr>
        <w:ind w:left="720"/>
        <w:jc w:val="both"/>
        <w:rPr>
          <w:sz w:val="22"/>
          <w:szCs w:val="22"/>
        </w:rPr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lastRenderedPageBreak/>
        <w:t>Pri používaní lieku pre niektorú z vyššie uvedených indikácií</w:t>
      </w:r>
      <w:r w:rsidR="00B549B8" w:rsidRPr="001A4403">
        <w:rPr>
          <w:szCs w:val="22"/>
        </w:rPr>
        <w:t xml:space="preserve"> bez odporúčania lekára</w:t>
      </w:r>
      <w:r w:rsidRPr="001A4403">
        <w:rPr>
          <w:szCs w:val="22"/>
        </w:rPr>
        <w:t>, má pacient vyhľadať lekára, ak sa stav nezlepší do 7 dní, alebo sa stav zhorší.</w:t>
      </w: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t>Deti</w:t>
      </w:r>
      <w:r w:rsidR="00D8161D" w:rsidRPr="001A4403">
        <w:rPr>
          <w:szCs w:val="22"/>
        </w:rPr>
        <w:t xml:space="preserve"> a </w:t>
      </w:r>
      <w:r w:rsidR="00E077A4" w:rsidRPr="001A4403">
        <w:rPr>
          <w:szCs w:val="22"/>
        </w:rPr>
        <w:t>dospievajúci</w:t>
      </w:r>
      <w:r w:rsidRPr="001A4403">
        <w:rPr>
          <w:szCs w:val="22"/>
        </w:rPr>
        <w:t xml:space="preserve"> do 14 rokov</w:t>
      </w:r>
    </w:p>
    <w:p w:rsidR="00DA5209" w:rsidRPr="001A4403" w:rsidRDefault="003F704A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Nie sú k dispozícii dostatočné údaje o účinnosti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bezpečnosti pre deti</w:t>
      </w:r>
      <w:r w:rsidR="00D8161D" w:rsidRPr="001A4403">
        <w:rPr>
          <w:szCs w:val="22"/>
        </w:rPr>
        <w:t xml:space="preserve"> a </w:t>
      </w:r>
      <w:r w:rsidR="00A72C4F" w:rsidRPr="001A4403">
        <w:rPr>
          <w:szCs w:val="22"/>
        </w:rPr>
        <w:t>dospievajúcich</w:t>
      </w:r>
      <w:r w:rsidRPr="001A4403">
        <w:rPr>
          <w:szCs w:val="22"/>
        </w:rPr>
        <w:t xml:space="preserve"> mladších ako 14 rokov (pozri časť 4.3)</w:t>
      </w:r>
      <w:r w:rsidR="00DA5209" w:rsidRPr="001A4403">
        <w:rPr>
          <w:szCs w:val="22"/>
          <w:lang w:eastAsia="sk-SK"/>
        </w:rPr>
        <w:t>.</w:t>
      </w:r>
    </w:p>
    <w:p w:rsidR="00DA5209" w:rsidRPr="001A4403" w:rsidRDefault="002805FA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  <w:lang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t>Starší ľudia (nad 65 rokov)</w:t>
      </w: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Môžu byť použité dávky obvyklé pre dospelých.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2805FA" w:rsidP="00CF1EA7">
      <w:pPr>
        <w:pStyle w:val="Styl3"/>
        <w:spacing w:before="0" w:after="0"/>
        <w:rPr>
          <w:u w:val="none"/>
        </w:rPr>
      </w:pPr>
      <w:r w:rsidRPr="001A4403">
        <w:t>Spôsob podávania</w:t>
      </w:r>
    </w:p>
    <w:p w:rsidR="00D64191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  <w:r w:rsidR="002805FA" w:rsidRPr="001A4403">
        <w:rPr>
          <w:szCs w:val="22"/>
        </w:rPr>
        <w:t xml:space="preserve"> sa nanáša na kožu</w:t>
      </w:r>
      <w:r w:rsidR="00DD1289" w:rsidRPr="001A4403">
        <w:rPr>
          <w:szCs w:val="22"/>
        </w:rPr>
        <w:t>.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  <w:u w:val="single"/>
        </w:rPr>
      </w:pPr>
    </w:p>
    <w:p w:rsidR="00D64191" w:rsidRPr="001A4403" w:rsidRDefault="003F704A" w:rsidP="00B50C4B">
      <w:pPr>
        <w:pStyle w:val="Styl2"/>
      </w:pPr>
      <w:r w:rsidRPr="001A4403">
        <w:t>Kontraindikácie</w:t>
      </w:r>
    </w:p>
    <w:p w:rsidR="00DA5209" w:rsidRPr="001A4403" w:rsidRDefault="003F704A" w:rsidP="00CF1EA7">
      <w:pPr>
        <w:pStyle w:val="Normlndoblokusodrkami"/>
        <w:spacing w:after="0"/>
        <w:ind w:left="782" w:hanging="357"/>
        <w:rPr>
          <w:szCs w:val="22"/>
        </w:rPr>
      </w:pPr>
      <w:r w:rsidRPr="001A4403">
        <w:rPr>
          <w:noProof w:val="0"/>
          <w:szCs w:val="22"/>
        </w:rPr>
        <w:t>Známa precitlivenosť</w:t>
      </w:r>
      <w:r w:rsidRPr="001A4403">
        <w:rPr>
          <w:szCs w:val="22"/>
        </w:rPr>
        <w:t xml:space="preserve"> na </w:t>
      </w:r>
      <w:r w:rsidR="00B549B8" w:rsidRPr="001A4403">
        <w:rPr>
          <w:szCs w:val="22"/>
        </w:rPr>
        <w:t>liečivo</w:t>
      </w:r>
      <w:r w:rsidRPr="001A4403">
        <w:rPr>
          <w:szCs w:val="22"/>
        </w:rPr>
        <w:t xml:space="preserve"> alebo na ktorúkoľvek z</w:t>
      </w:r>
      <w:r w:rsidRPr="001A4403">
        <w:rPr>
          <w:noProof w:val="0"/>
          <w:szCs w:val="22"/>
        </w:rPr>
        <w:t xml:space="preserve"> </w:t>
      </w:r>
      <w:r w:rsidRPr="001A4403">
        <w:rPr>
          <w:szCs w:val="22"/>
        </w:rPr>
        <w:t xml:space="preserve">pomocných látok </w:t>
      </w:r>
      <w:r w:rsidRPr="001A4403">
        <w:rPr>
          <w:noProof w:val="0"/>
          <w:szCs w:val="22"/>
        </w:rPr>
        <w:t>(pozri časť</w:t>
      </w:r>
      <w:r w:rsidRPr="001A4403">
        <w:rPr>
          <w:szCs w:val="22"/>
        </w:rPr>
        <w:t xml:space="preserve"> 6.1</w:t>
      </w:r>
      <w:r w:rsidRPr="001A4403">
        <w:rPr>
          <w:noProof w:val="0"/>
          <w:szCs w:val="22"/>
        </w:rPr>
        <w:t>)</w:t>
      </w:r>
      <w:r w:rsidR="00161400" w:rsidRPr="001A4403">
        <w:rPr>
          <w:noProof w:val="0"/>
          <w:szCs w:val="22"/>
        </w:rPr>
        <w:t>.</w:t>
      </w:r>
    </w:p>
    <w:p w:rsidR="000B7285" w:rsidRPr="001A4403" w:rsidRDefault="003F704A" w:rsidP="00CF1EA7">
      <w:pPr>
        <w:pStyle w:val="Normlndoblokusodrkami"/>
        <w:spacing w:after="0"/>
        <w:ind w:left="782" w:hanging="357"/>
        <w:rPr>
          <w:noProof w:val="0"/>
          <w:szCs w:val="22"/>
        </w:rPr>
      </w:pPr>
      <w:r w:rsidRPr="001A4403">
        <w:rPr>
          <w:noProof w:val="0"/>
          <w:szCs w:val="22"/>
        </w:rPr>
        <w:t xml:space="preserve">Používanie u pacientov, u ktorých kyselina acetylsalicylová alebo iné nesteroidové protizápalové liečivá </w:t>
      </w:r>
      <w:r w:rsidR="002805FA" w:rsidRPr="001A4403">
        <w:rPr>
          <w:szCs w:val="22"/>
        </w:rPr>
        <w:t xml:space="preserve">(NSAID) </w:t>
      </w:r>
      <w:r w:rsidRPr="001A4403">
        <w:rPr>
          <w:noProof w:val="0"/>
          <w:szCs w:val="22"/>
        </w:rPr>
        <w:t>vyvolávajú záchvaty astmy,</w:t>
      </w:r>
      <w:r w:rsidR="000B7285" w:rsidRPr="001A4403">
        <w:rPr>
          <w:noProof w:val="0"/>
          <w:szCs w:val="22"/>
        </w:rPr>
        <w:t xml:space="preserve"> žihľavku alebo akútnu rinitídu</w:t>
      </w:r>
      <w:r w:rsidR="00161400" w:rsidRPr="001A4403">
        <w:rPr>
          <w:noProof w:val="0"/>
          <w:szCs w:val="22"/>
        </w:rPr>
        <w:t>.</w:t>
      </w:r>
    </w:p>
    <w:p w:rsidR="00DA5209" w:rsidRPr="001A4403" w:rsidRDefault="00B549B8" w:rsidP="00CF1EA7">
      <w:pPr>
        <w:pStyle w:val="Normlndoblokusodrkami"/>
        <w:spacing w:after="0"/>
        <w:ind w:left="782" w:hanging="357"/>
        <w:rPr>
          <w:szCs w:val="22"/>
        </w:rPr>
      </w:pPr>
      <w:r w:rsidRPr="001A4403">
        <w:rPr>
          <w:noProof w:val="0"/>
          <w:szCs w:val="22"/>
        </w:rPr>
        <w:t>P</w:t>
      </w:r>
      <w:r w:rsidR="003F704A" w:rsidRPr="001A4403">
        <w:rPr>
          <w:noProof w:val="0"/>
          <w:szCs w:val="22"/>
        </w:rPr>
        <w:t>osledn</w:t>
      </w:r>
      <w:r w:rsidRPr="001A4403">
        <w:rPr>
          <w:noProof w:val="0"/>
          <w:szCs w:val="22"/>
        </w:rPr>
        <w:t>ý</w:t>
      </w:r>
      <w:r w:rsidR="003F704A" w:rsidRPr="001A4403">
        <w:rPr>
          <w:noProof w:val="0"/>
          <w:szCs w:val="22"/>
        </w:rPr>
        <w:t xml:space="preserve"> trimest</w:t>
      </w:r>
      <w:r w:rsidRPr="001A4403">
        <w:rPr>
          <w:noProof w:val="0"/>
          <w:szCs w:val="22"/>
        </w:rPr>
        <w:t>er</w:t>
      </w:r>
      <w:r w:rsidR="003F704A" w:rsidRPr="001A4403">
        <w:rPr>
          <w:szCs w:val="22"/>
        </w:rPr>
        <w:t xml:space="preserve"> gravidity</w:t>
      </w:r>
      <w:r w:rsidR="00161400" w:rsidRPr="001A4403">
        <w:rPr>
          <w:szCs w:val="22"/>
        </w:rPr>
        <w:t>.</w:t>
      </w:r>
    </w:p>
    <w:p w:rsidR="00CF1EA7" w:rsidRPr="001A4403" w:rsidRDefault="003F704A" w:rsidP="00CF1EA7">
      <w:pPr>
        <w:pStyle w:val="Normlndoblokusodrkami"/>
        <w:spacing w:after="0"/>
        <w:ind w:left="782" w:hanging="357"/>
        <w:rPr>
          <w:color w:val="000000"/>
          <w:szCs w:val="22"/>
          <w:lang w:eastAsia="cs-CZ"/>
        </w:rPr>
      </w:pPr>
      <w:r w:rsidRPr="001A4403">
        <w:rPr>
          <w:szCs w:val="22"/>
        </w:rPr>
        <w:t>Používanie u detí</w:t>
      </w:r>
      <w:r w:rsidR="00D8161D" w:rsidRPr="001A4403">
        <w:rPr>
          <w:szCs w:val="22"/>
        </w:rPr>
        <w:t xml:space="preserve"> a </w:t>
      </w:r>
      <w:r w:rsidR="00391C12" w:rsidRPr="001A4403">
        <w:rPr>
          <w:szCs w:val="22"/>
        </w:rPr>
        <w:t>dospievajúcich</w:t>
      </w:r>
      <w:r w:rsidR="00DA5209" w:rsidRPr="001A4403">
        <w:rPr>
          <w:color w:val="000000"/>
          <w:szCs w:val="22"/>
          <w:lang w:eastAsia="cs-CZ"/>
        </w:rPr>
        <w:t xml:space="preserve"> mladších ako 14 rokov</w:t>
      </w:r>
      <w:r w:rsidR="00161400" w:rsidRPr="001A4403">
        <w:rPr>
          <w:color w:val="000000"/>
          <w:szCs w:val="22"/>
          <w:lang w:eastAsia="cs-CZ"/>
        </w:rPr>
        <w:t>.</w:t>
      </w:r>
    </w:p>
    <w:p w:rsidR="00CF1EA7" w:rsidRPr="001A4403" w:rsidRDefault="00CF1EA7" w:rsidP="00CF1EA7">
      <w:pPr>
        <w:pStyle w:val="Normlndobloku"/>
        <w:rPr>
          <w:szCs w:val="22"/>
          <w:lang w:eastAsia="cs-CZ"/>
        </w:rPr>
      </w:pPr>
    </w:p>
    <w:p w:rsidR="00D64191" w:rsidRPr="001A4403" w:rsidRDefault="003F704A" w:rsidP="00B50C4B">
      <w:pPr>
        <w:pStyle w:val="Styl2"/>
      </w:pPr>
      <w:r w:rsidRPr="001A4403">
        <w:t>Osobitné upozornenia</w:t>
      </w:r>
      <w:r w:rsidR="00D8161D" w:rsidRPr="001A4403">
        <w:t xml:space="preserve"> a </w:t>
      </w:r>
      <w:r w:rsidRPr="001A4403">
        <w:t>opatrenia pri používaní</w:t>
      </w:r>
    </w:p>
    <w:p w:rsidR="00CF1EA7" w:rsidRPr="001A4403" w:rsidRDefault="00CF1EA7" w:rsidP="00CF1EA7">
      <w:pPr>
        <w:pStyle w:val="Styl2"/>
        <w:numPr>
          <w:ilvl w:val="0"/>
          <w:numId w:val="0"/>
        </w:numPr>
        <w:ind w:left="284"/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Ak sa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nanáša na pomerne veľké plochy kože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 xml:space="preserve">počas dlhšieho obdobia, možnosť systémových nežiaducich účinkov nemožno vylúčiť (pozri </w:t>
      </w:r>
      <w:r w:rsidR="00D64191" w:rsidRPr="001A4403">
        <w:rPr>
          <w:szCs w:val="22"/>
        </w:rPr>
        <w:t>SPC</w:t>
      </w:r>
      <w:r w:rsidRPr="001A4403">
        <w:rPr>
          <w:szCs w:val="22"/>
        </w:rPr>
        <w:t xml:space="preserve"> pre systémov</w:t>
      </w:r>
      <w:r w:rsidR="00B549B8" w:rsidRPr="001A4403">
        <w:rPr>
          <w:szCs w:val="22"/>
        </w:rPr>
        <w:t>é</w:t>
      </w:r>
      <w:r w:rsidRPr="001A4403">
        <w:rPr>
          <w:szCs w:val="22"/>
        </w:rPr>
        <w:t xml:space="preserve"> liekov</w:t>
      </w:r>
      <w:r w:rsidR="00092CED" w:rsidRPr="001A4403">
        <w:rPr>
          <w:szCs w:val="22"/>
        </w:rPr>
        <w:t>é</w:t>
      </w:r>
      <w:r w:rsidRPr="001A4403">
        <w:rPr>
          <w:szCs w:val="22"/>
        </w:rPr>
        <w:t xml:space="preserve"> form</w:t>
      </w:r>
      <w:r w:rsidR="00092CED" w:rsidRPr="001A4403">
        <w:rPr>
          <w:szCs w:val="22"/>
        </w:rPr>
        <w:t>y</w:t>
      </w:r>
      <w:r w:rsidRPr="001A4403">
        <w:rPr>
          <w:szCs w:val="22"/>
        </w:rPr>
        <w:t xml:space="preserve"> diklofenaku).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092CED" w:rsidRPr="001A4403" w:rsidRDefault="005A11BD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má nanášať len na zdravú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 xml:space="preserve">intaktnú </w:t>
      </w:r>
      <w:r w:rsidR="00DA5209" w:rsidRPr="001A4403">
        <w:rPr>
          <w:szCs w:val="22"/>
          <w:lang w:eastAsia="sk-SK"/>
        </w:rPr>
        <w:t xml:space="preserve">kožu, (bez otvorených rán alebo poranení).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092CE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ALMIRAL GEL </w:t>
      </w:r>
      <w:r w:rsidRPr="001A4403">
        <w:rPr>
          <w:szCs w:val="22"/>
          <w:lang w:eastAsia="sk-SK"/>
        </w:rPr>
        <w:t>n</w:t>
      </w:r>
      <w:r w:rsidR="00DA5209" w:rsidRPr="001A4403">
        <w:rPr>
          <w:szCs w:val="22"/>
          <w:lang w:eastAsia="sk-SK"/>
        </w:rPr>
        <w:t>emá prísť do styku</w:t>
      </w:r>
      <w:r w:rsidR="00D8161D" w:rsidRPr="001A4403">
        <w:rPr>
          <w:szCs w:val="22"/>
          <w:lang w:eastAsia="sk-SK"/>
        </w:rPr>
        <w:t xml:space="preserve"> s </w:t>
      </w:r>
      <w:r w:rsidR="00DA5209" w:rsidRPr="001A4403">
        <w:rPr>
          <w:szCs w:val="22"/>
          <w:lang w:eastAsia="sk-SK"/>
        </w:rPr>
        <w:t>očnou spojovkou alebo so sliznicami</w:t>
      </w:r>
      <w:r w:rsidRPr="001A4403">
        <w:rPr>
          <w:szCs w:val="22"/>
          <w:lang w:eastAsia="sk-SK"/>
        </w:rPr>
        <w:t xml:space="preserve"> a</w:t>
      </w:r>
      <w:r w:rsidR="00DA5209" w:rsidRPr="001A4403">
        <w:rPr>
          <w:szCs w:val="22"/>
          <w:lang w:eastAsia="sk-SK"/>
        </w:rPr>
        <w:t xml:space="preserve"> nemá sa užívať vnútorne.</w:t>
      </w: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Zastavte liečbu ak sa po aplikácii lieku objaví kožná vyrážka.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5A11B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môže používať spolu</w:t>
      </w:r>
      <w:r w:rsidR="00D8161D" w:rsidRPr="001A4403">
        <w:rPr>
          <w:szCs w:val="22"/>
        </w:rPr>
        <w:t xml:space="preserve"> s </w:t>
      </w:r>
      <w:r w:rsidR="003F704A" w:rsidRPr="001A4403">
        <w:rPr>
          <w:szCs w:val="22"/>
        </w:rPr>
        <w:t>neokluzívnou bandážou, ale nemá sa používať</w:t>
      </w:r>
      <w:r w:rsidR="00D8161D" w:rsidRPr="001A4403">
        <w:rPr>
          <w:szCs w:val="22"/>
        </w:rPr>
        <w:t xml:space="preserve"> s </w:t>
      </w:r>
      <w:r w:rsidR="00AA4658" w:rsidRPr="001A4403">
        <w:rPr>
          <w:szCs w:val="22"/>
        </w:rPr>
        <w:t>nepriedušným</w:t>
      </w:r>
      <w:r w:rsidR="003F704A" w:rsidRPr="001A4403">
        <w:rPr>
          <w:szCs w:val="22"/>
        </w:rPr>
        <w:t>, okluzívnym obväzom.</w:t>
      </w:r>
    </w:p>
    <w:p w:rsidR="00CF1EA7" w:rsidRPr="001A4403" w:rsidRDefault="00CF1EA7" w:rsidP="00CF1EA7">
      <w:pPr>
        <w:pStyle w:val="Styl3"/>
        <w:spacing w:before="0" w:after="0"/>
      </w:pPr>
    </w:p>
    <w:p w:rsidR="00DA5209" w:rsidRPr="001A4403" w:rsidRDefault="00C8510E" w:rsidP="00CF1EA7">
      <w:pPr>
        <w:pStyle w:val="Styl3"/>
        <w:spacing w:before="0" w:after="0"/>
      </w:pPr>
      <w:r w:rsidRPr="001A4403">
        <w:t>Pomocné látky so známym účinkom:</w:t>
      </w:r>
    </w:p>
    <w:p w:rsidR="00D64191" w:rsidRPr="001A4403" w:rsidRDefault="00602E2F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ALMIRAL </w:t>
      </w:r>
      <w:r w:rsidR="00DD1289" w:rsidRPr="001A4403">
        <w:rPr>
          <w:szCs w:val="22"/>
        </w:rPr>
        <w:t>GEL</w:t>
      </w:r>
      <w:r w:rsidR="003F704A" w:rsidRPr="001A4403">
        <w:rPr>
          <w:szCs w:val="22"/>
        </w:rPr>
        <w:t xml:space="preserve"> obsahuje propylénglykol</w:t>
      </w:r>
      <w:r w:rsidRPr="001A4403">
        <w:rPr>
          <w:szCs w:val="22"/>
        </w:rPr>
        <w:t>,</w:t>
      </w:r>
      <w:r w:rsidR="003F704A" w:rsidRPr="001A4403">
        <w:rPr>
          <w:szCs w:val="22"/>
        </w:rPr>
        <w:t xml:space="preserve"> ktor</w:t>
      </w:r>
      <w:r w:rsidRPr="001A4403">
        <w:rPr>
          <w:szCs w:val="22"/>
        </w:rPr>
        <w:t>ý</w:t>
      </w:r>
      <w:r w:rsidR="003F704A" w:rsidRPr="001A4403">
        <w:rPr>
          <w:szCs w:val="22"/>
        </w:rPr>
        <w:t xml:space="preserve"> môž</w:t>
      </w:r>
      <w:r w:rsidRPr="001A4403">
        <w:rPr>
          <w:szCs w:val="22"/>
        </w:rPr>
        <w:t>e</w:t>
      </w:r>
      <w:r w:rsidR="003F704A" w:rsidRPr="001A4403">
        <w:rPr>
          <w:szCs w:val="22"/>
        </w:rPr>
        <w:t xml:space="preserve"> vyvolať podráždenie pokožky.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CF1EA7">
      <w:pPr>
        <w:pStyle w:val="Styl2"/>
        <w:spacing w:before="0" w:after="0"/>
      </w:pPr>
      <w:r w:rsidRPr="001A4403">
        <w:t>Liekové</w:t>
      </w:r>
      <w:r w:rsidR="00D8161D" w:rsidRPr="001A4403">
        <w:t xml:space="preserve"> a </w:t>
      </w:r>
      <w:r w:rsidRPr="001A4403">
        <w:t>iné interakcie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Pretože systémová absorpcia pri topickej aplikácii gélu je veľmi nízka, sú interakcie veľmi nepravdepodobné.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3F704A" w:rsidP="00CF1EA7">
      <w:pPr>
        <w:pStyle w:val="Styl2"/>
        <w:spacing w:before="0" w:after="0"/>
      </w:pPr>
      <w:r w:rsidRPr="001A4403">
        <w:t>Fertilita, gravidita a</w:t>
      </w:r>
      <w:r w:rsidR="00CF1EA7" w:rsidRPr="001A4403">
        <w:t> </w:t>
      </w:r>
      <w:r w:rsidRPr="001A4403">
        <w:t>laktácia</w:t>
      </w:r>
    </w:p>
    <w:p w:rsidR="00CF1EA7" w:rsidRPr="001A4403" w:rsidRDefault="00CF1EA7" w:rsidP="00CF1EA7">
      <w:pPr>
        <w:pStyle w:val="Styl2"/>
        <w:numPr>
          <w:ilvl w:val="0"/>
          <w:numId w:val="0"/>
        </w:numPr>
        <w:spacing w:before="0" w:after="0"/>
        <w:ind w:left="284"/>
      </w:pPr>
    </w:p>
    <w:p w:rsidR="003F704A" w:rsidRPr="001A4403" w:rsidRDefault="003F704A" w:rsidP="00CF1EA7">
      <w:pPr>
        <w:pStyle w:val="Styl3"/>
        <w:spacing w:before="0" w:after="0"/>
      </w:pPr>
      <w:r w:rsidRPr="001A4403">
        <w:t>Gravidita</w:t>
      </w:r>
    </w:p>
    <w:p w:rsidR="000B7285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Systémová koncentrácia diklofenaku je nižšia po lokálnej aplikácii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porovnaní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perorálnym podaním.</w:t>
      </w: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lastRenderedPageBreak/>
        <w:t>S odkazom na skúsenosti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liečbou systémovými NSAID sa odporúča nasledovné:</w:t>
      </w: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Inhibícia syntézy prostaglandínov môže nepriaznivo ovplyvniť graviditu a/alebo embryofetálny/vývoj. Údaje z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epidemiologických štúdií naznačujú zvýšené riziko potratov a kardiálnych malformácií</w:t>
      </w:r>
      <w:r w:rsidR="000B7285" w:rsidRPr="001A4403">
        <w:rPr>
          <w:szCs w:val="22"/>
        </w:rPr>
        <w:t xml:space="preserve"> </w:t>
      </w:r>
      <w:r w:rsidR="00E374D9" w:rsidRPr="001A4403">
        <w:rPr>
          <w:szCs w:val="22"/>
        </w:rPr>
        <w:t>či</w:t>
      </w:r>
      <w:r w:rsidRPr="001A4403">
        <w:rPr>
          <w:szCs w:val="22"/>
        </w:rPr>
        <w:t> gastroschíz</w:t>
      </w:r>
      <w:r w:rsidR="00C8510E" w:rsidRPr="001A4403">
        <w:rPr>
          <w:szCs w:val="22"/>
        </w:rPr>
        <w:t>y</w:t>
      </w:r>
      <w:r w:rsidRPr="001A4403">
        <w:rPr>
          <w:szCs w:val="22"/>
        </w:rPr>
        <w:t xml:space="preserve"> po užívaní inhibítorov syntézy prostaglandínov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počiatočných štádiách gravidity.</w:t>
      </w:r>
    </w:p>
    <w:p w:rsidR="00C8510E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Absolútne riziko kardiovaskulárnych malformácií sa zvýšilo z menej než 1 % na približne 1,5 %. Predpokladá sa, že sa riziko zvyšuje s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dávkou a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dĺžkou liečby.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U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zvierat sa preukázalo, že podanie inhibítorov syntézy prostaglandínov vedie k zvýšeniu pre-</w:t>
      </w:r>
      <w:r w:rsidR="00AA4658" w:rsidRPr="001A4403">
        <w:rPr>
          <w:szCs w:val="22"/>
        </w:rPr>
        <w:t xml:space="preserve"> </w:t>
      </w:r>
      <w:r w:rsidRPr="001A4403">
        <w:rPr>
          <w:szCs w:val="22"/>
        </w:rPr>
        <w:t>a</w:t>
      </w:r>
      <w:r w:rsidR="00E374D9" w:rsidRPr="001A4403">
        <w:rPr>
          <w:szCs w:val="22"/>
        </w:rPr>
        <w:t> </w:t>
      </w:r>
      <w:r w:rsidRPr="001A4403">
        <w:rPr>
          <w:szCs w:val="22"/>
        </w:rPr>
        <w:t>post</w:t>
      </w:r>
      <w:r w:rsidR="00E374D9" w:rsidRPr="001A4403">
        <w:rPr>
          <w:szCs w:val="22"/>
        </w:rPr>
        <w:t>-</w:t>
      </w:r>
      <w:r w:rsidRPr="001A4403">
        <w:rPr>
          <w:szCs w:val="22"/>
        </w:rPr>
        <w:t xml:space="preserve">implantačných strát a k embryofetálnej letalite. </w:t>
      </w:r>
      <w:r w:rsidR="00092CED" w:rsidRPr="001A4403">
        <w:rPr>
          <w:szCs w:val="22"/>
        </w:rPr>
        <w:t>Navyše, u zvierat, ktorým boli podané inhibítory syntézy prostaglandínov počas obdobia organogenézy, bola hlásená zvýšená incidencia rôznych malformácií, vrátane kardiovaskulárnych.</w:t>
      </w:r>
      <w:r w:rsidR="00092CED" w:rsidRPr="001A4403" w:rsidDel="00092CED">
        <w:rPr>
          <w:szCs w:val="22"/>
        </w:rPr>
        <w:t xml:space="preserve">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V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 xml:space="preserve">priebehu prvého a druhého trimestra gravidity, sa </w:t>
      </w:r>
      <w:r w:rsidR="00092CED" w:rsidRPr="001A4403">
        <w:rPr>
          <w:szCs w:val="22"/>
        </w:rPr>
        <w:t xml:space="preserve">diklofenak </w:t>
      </w:r>
      <w:r w:rsidRPr="001A4403">
        <w:rPr>
          <w:szCs w:val="22"/>
        </w:rPr>
        <w:t>nemá podávať, ak to nie je nevyhnutné. Pokiaľ diklofenak používa žena, ktorá má snahu otehotnieť alebo 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období prvého</w:t>
      </w:r>
      <w:r w:rsidR="00092CED" w:rsidRPr="001A4403">
        <w:rPr>
          <w:szCs w:val="22"/>
        </w:rPr>
        <w:t xml:space="preserve"> </w:t>
      </w:r>
      <w:r w:rsidRPr="001A4403">
        <w:rPr>
          <w:szCs w:val="22"/>
        </w:rPr>
        <w:t xml:space="preserve">alebo druhého </w:t>
      </w:r>
      <w:r w:rsidR="00AA4658" w:rsidRPr="001A4403">
        <w:rPr>
          <w:szCs w:val="22"/>
        </w:rPr>
        <w:t>trimestra</w:t>
      </w:r>
      <w:r w:rsidRPr="001A4403">
        <w:rPr>
          <w:szCs w:val="22"/>
        </w:rPr>
        <w:t xml:space="preserve"> gravidity, dávka má byť čo najnižšia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dĺžka liečby čo najkratšia.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Počas tretieho trimestra gravidity môžu všetky inhibítory syntézy prostaglandínov vystaviť plod:</w:t>
      </w:r>
    </w:p>
    <w:p w:rsidR="000B7285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noProof w:val="0"/>
          <w:szCs w:val="22"/>
        </w:rPr>
        <w:t>kardiopulmonálnej</w:t>
      </w:r>
      <w:r w:rsidRPr="001A4403">
        <w:rPr>
          <w:szCs w:val="22"/>
        </w:rPr>
        <w:t xml:space="preserve"> toxicite (</w:t>
      </w:r>
      <w:r w:rsidRPr="001A4403">
        <w:rPr>
          <w:noProof w:val="0"/>
          <w:szCs w:val="22"/>
        </w:rPr>
        <w:t>predčasný uzáver</w:t>
      </w:r>
      <w:r w:rsidRPr="001A4403">
        <w:rPr>
          <w:szCs w:val="22"/>
        </w:rPr>
        <w:t xml:space="preserve"> ductus arteriosus a</w:t>
      </w:r>
      <w:r w:rsidRPr="001A4403">
        <w:rPr>
          <w:noProof w:val="0"/>
          <w:szCs w:val="22"/>
        </w:rPr>
        <w:t xml:space="preserve"> pulmonálna hypertenzia)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color w:val="000000"/>
          <w:szCs w:val="22"/>
          <w:lang w:eastAsia="cs-CZ"/>
        </w:rPr>
        <w:t xml:space="preserve">renálnej dysfunkcii, ktorá môže progredovať </w:t>
      </w:r>
      <w:r w:rsidRPr="001A4403">
        <w:rPr>
          <w:noProof w:val="0"/>
          <w:szCs w:val="22"/>
        </w:rPr>
        <w:t>v renálne zlyhanie</w:t>
      </w:r>
      <w:r w:rsidR="00D8161D" w:rsidRPr="001A4403">
        <w:rPr>
          <w:noProof w:val="0"/>
          <w:szCs w:val="22"/>
        </w:rPr>
        <w:t xml:space="preserve"> s </w:t>
      </w:r>
      <w:r w:rsidRPr="001A4403">
        <w:rPr>
          <w:noProof w:val="0"/>
          <w:szCs w:val="22"/>
        </w:rPr>
        <w:t>oligohydramniónom</w:t>
      </w:r>
    </w:p>
    <w:p w:rsidR="000B7285" w:rsidRPr="001A4403" w:rsidRDefault="00092CE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</w:t>
      </w:r>
      <w:r w:rsidR="003F704A" w:rsidRPr="001A4403">
        <w:rPr>
          <w:szCs w:val="22"/>
        </w:rPr>
        <w:t>atku a novorodenca na konci tehotenstva:</w:t>
      </w:r>
    </w:p>
    <w:p w:rsidR="000B7285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noProof w:val="0"/>
          <w:szCs w:val="22"/>
        </w:rPr>
        <w:t>potenciálnemu</w:t>
      </w:r>
      <w:r w:rsidRPr="001A4403">
        <w:rPr>
          <w:szCs w:val="22"/>
        </w:rPr>
        <w:t xml:space="preserve"> predĺženiu </w:t>
      </w:r>
      <w:r w:rsidRPr="001A4403">
        <w:rPr>
          <w:noProof w:val="0"/>
          <w:szCs w:val="22"/>
        </w:rPr>
        <w:t>doby</w:t>
      </w:r>
      <w:r w:rsidRPr="001A4403">
        <w:rPr>
          <w:szCs w:val="22"/>
        </w:rPr>
        <w:t xml:space="preserve"> krvácania</w:t>
      </w:r>
      <w:r w:rsidR="007972C4" w:rsidRPr="001A4403">
        <w:rPr>
          <w:szCs w:val="22"/>
        </w:rPr>
        <w:t xml:space="preserve"> a </w:t>
      </w:r>
      <w:r w:rsidRPr="001A4403">
        <w:rPr>
          <w:szCs w:val="22"/>
        </w:rPr>
        <w:t xml:space="preserve">antiagregačnému </w:t>
      </w:r>
      <w:r w:rsidRPr="001A4403">
        <w:rPr>
          <w:noProof w:val="0"/>
          <w:szCs w:val="22"/>
        </w:rPr>
        <w:t>efektu</w:t>
      </w:r>
      <w:r w:rsidRPr="001A4403">
        <w:rPr>
          <w:szCs w:val="22"/>
        </w:rPr>
        <w:t xml:space="preserve">, ktorý sa môže vyskytnúť </w:t>
      </w:r>
      <w:r w:rsidRPr="001A4403">
        <w:rPr>
          <w:noProof w:val="0"/>
          <w:szCs w:val="22"/>
        </w:rPr>
        <w:t xml:space="preserve">dokonca </w:t>
      </w:r>
      <w:r w:rsidRPr="001A4403">
        <w:rPr>
          <w:szCs w:val="22"/>
        </w:rPr>
        <w:t xml:space="preserve">aj </w:t>
      </w:r>
      <w:r w:rsidRPr="001A4403">
        <w:rPr>
          <w:noProof w:val="0"/>
          <w:szCs w:val="22"/>
        </w:rPr>
        <w:t>pri</w:t>
      </w:r>
      <w:r w:rsidRPr="001A4403">
        <w:rPr>
          <w:szCs w:val="22"/>
        </w:rPr>
        <w:t xml:space="preserve"> veľmi nízkych dávkach</w:t>
      </w:r>
    </w:p>
    <w:p w:rsidR="003F704A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inhibícii </w:t>
      </w:r>
      <w:r w:rsidRPr="001A4403">
        <w:rPr>
          <w:noProof w:val="0"/>
          <w:szCs w:val="22"/>
        </w:rPr>
        <w:t xml:space="preserve">maternicových </w:t>
      </w:r>
      <w:r w:rsidRPr="001A4403">
        <w:rPr>
          <w:szCs w:val="22"/>
        </w:rPr>
        <w:t xml:space="preserve">kontrakcií </w:t>
      </w:r>
      <w:r w:rsidRPr="001A4403">
        <w:rPr>
          <w:noProof w:val="0"/>
          <w:szCs w:val="22"/>
        </w:rPr>
        <w:t>vedúcej k oneskoreniu</w:t>
      </w:r>
      <w:r w:rsidRPr="001A4403">
        <w:rPr>
          <w:szCs w:val="22"/>
        </w:rPr>
        <w:t xml:space="preserve"> alebo </w:t>
      </w:r>
      <w:r w:rsidRPr="001A4403">
        <w:rPr>
          <w:noProof w:val="0"/>
          <w:szCs w:val="22"/>
        </w:rPr>
        <w:t>predĺženiu priebehu</w:t>
      </w:r>
      <w:r w:rsidRPr="001A4403">
        <w:rPr>
          <w:szCs w:val="22"/>
        </w:rPr>
        <w:t xml:space="preserve"> pôrodu.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Preto je diklofenak kontraindikovaný v treťom trimestri gravidity.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534AB8" w:rsidP="00CF1EA7">
      <w:pPr>
        <w:pStyle w:val="Styl3"/>
        <w:spacing w:before="0" w:after="0"/>
      </w:pPr>
      <w:r w:rsidRPr="001A4403">
        <w:t>Dojčenie</w:t>
      </w:r>
    </w:p>
    <w:p w:rsidR="00DD128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Rovnako ako aj iné NSAID, tak aj diklofenak prestupuje do materského mlieka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malom množstve. Napriek tomu pri terapeutických dávkach </w:t>
      </w:r>
      <w:r w:rsidR="007972C4" w:rsidRPr="001A4403">
        <w:rPr>
          <w:szCs w:val="22"/>
        </w:rPr>
        <w:t xml:space="preserve">lieku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nie je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 xml:space="preserve">žiaden účinok na dojčené dieťa.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 nedostatok kontrolovaných štúdií u dojčiacich matiek môže byť liek používaný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priebehu dojčenia iba po porade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 xml:space="preserve">lekárom. Za týchto okolností sa nesmie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aplikovať na prsia dojčiacej matky ani na rozsiahle plochy kože alebo používať dlhší čas (pozri časť</w:t>
      </w:r>
      <w:r w:rsidR="009103E5" w:rsidRPr="001A4403">
        <w:rPr>
          <w:szCs w:val="22"/>
        </w:rPr>
        <w:t xml:space="preserve"> </w:t>
      </w:r>
      <w:r w:rsidRPr="001A4403">
        <w:rPr>
          <w:szCs w:val="22"/>
        </w:rPr>
        <w:t>4.4).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3F704A" w:rsidP="00CF1EA7">
      <w:pPr>
        <w:pStyle w:val="Styl2"/>
        <w:spacing w:before="0" w:after="0"/>
        <w:rPr>
          <w:rFonts w:eastAsia="Calibri"/>
        </w:rPr>
      </w:pPr>
      <w:r w:rsidRPr="001A4403">
        <w:t>Ovplyvnenie schopnosti viesť vozidlá</w:t>
      </w:r>
      <w:r w:rsidR="00D8161D" w:rsidRPr="001A4403">
        <w:t xml:space="preserve"> a </w:t>
      </w:r>
      <w:r w:rsidRPr="001A4403">
        <w:t>obsluhovať stroje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7972C4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Pri dermálnom podaní nemá</w:t>
      </w:r>
      <w:r w:rsidRPr="001A4403" w:rsidDel="007972C4">
        <w:rPr>
          <w:szCs w:val="22"/>
        </w:rPr>
        <w:t xml:space="preserve"> </w:t>
      </w:r>
      <w:r w:rsidR="00602E2F" w:rsidRPr="001A4403">
        <w:rPr>
          <w:szCs w:val="22"/>
        </w:rPr>
        <w:t xml:space="preserve">ALMIRAL </w:t>
      </w:r>
      <w:r w:rsidR="00243157" w:rsidRPr="001A4403">
        <w:rPr>
          <w:szCs w:val="22"/>
        </w:rPr>
        <w:t>GEL</w:t>
      </w:r>
      <w:r w:rsidR="003F704A" w:rsidRPr="001A4403">
        <w:rPr>
          <w:szCs w:val="22"/>
        </w:rPr>
        <w:t xml:space="preserve"> žiaden vplyv na schopnosť viesť vozidlá a obsluhovať stroje.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CD09F2" w:rsidP="00CF1EA7">
      <w:pPr>
        <w:pStyle w:val="Styl2"/>
        <w:spacing w:before="0" w:after="0"/>
      </w:pPr>
      <w:r w:rsidRPr="001A4403">
        <w:t>Nežiaduce účinky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E374D9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Nežiaduce účinky sú zoradené podľa tried orgánových systémov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frekvencie. Frekvencie sú určené ako: veľmi časté (≥ 1/10), časté (≥ 1/100 až &lt; 1/10); menej časté (≥ 1/1 000 až &lt; 1/100); zriedkavé (≥ 1/10 000 až &lt; 1/1 000); veľmi zriedkavé (&lt; 1/10 000), n</w:t>
      </w:r>
      <w:r w:rsidR="00A51253" w:rsidRPr="001A4403">
        <w:rPr>
          <w:szCs w:val="22"/>
        </w:rPr>
        <w:t>e</w:t>
      </w:r>
      <w:r w:rsidRPr="001A4403">
        <w:rPr>
          <w:szCs w:val="22"/>
        </w:rPr>
        <w:t>známe (z dostupných údajov).</w:t>
      </w:r>
      <w:r w:rsidR="00D8161D" w:rsidRPr="001A4403">
        <w:rPr>
          <w:szCs w:val="22"/>
        </w:rPr>
        <w:t xml:space="preserve"> </w:t>
      </w:r>
      <w:r w:rsidR="001A4403" w:rsidRPr="001A4403">
        <w:rPr>
          <w:szCs w:val="22"/>
        </w:rPr>
        <w:t>V</w:t>
      </w:r>
      <w:r w:rsidR="00D8161D" w:rsidRPr="001A4403">
        <w:rPr>
          <w:szCs w:val="22"/>
        </w:rPr>
        <w:t> </w:t>
      </w:r>
      <w:r w:rsidRPr="001A4403">
        <w:rPr>
          <w:szCs w:val="22"/>
        </w:rPr>
        <w:t>každej skupine sú nežiaduce účinky zoradené podľa klesajúcej závažnosti.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4"/>
        <w:gridCol w:w="795"/>
        <w:gridCol w:w="1359"/>
        <w:gridCol w:w="779"/>
        <w:gridCol w:w="1525"/>
        <w:gridCol w:w="1929"/>
        <w:gridCol w:w="1457"/>
      </w:tblGrid>
      <w:tr w:rsidR="00B365D1" w:rsidRPr="001A4403" w:rsidTr="00780194">
        <w:trPr>
          <w:tblHeader/>
        </w:trPr>
        <w:tc>
          <w:tcPr>
            <w:tcW w:w="1413" w:type="dxa"/>
          </w:tcPr>
          <w:p w:rsidR="00CD09F2" w:rsidRPr="001A4403" w:rsidRDefault="00CD09F2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733" w:type="dxa"/>
          </w:tcPr>
          <w:p w:rsidR="00CD09F2" w:rsidRPr="001A4403" w:rsidRDefault="00CD09F2" w:rsidP="00B73055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Veľ</w:t>
            </w:r>
            <w:r w:rsidR="00DD1289" w:rsidRPr="001A4403">
              <w:rPr>
                <w:szCs w:val="22"/>
              </w:rPr>
              <w:t>m</w:t>
            </w:r>
            <w:r w:rsidRPr="001A4403">
              <w:rPr>
                <w:szCs w:val="22"/>
              </w:rPr>
              <w:t>i časté</w:t>
            </w:r>
          </w:p>
        </w:tc>
        <w:tc>
          <w:tcPr>
            <w:tcW w:w="1242" w:type="dxa"/>
          </w:tcPr>
          <w:p w:rsidR="00CD09F2" w:rsidRPr="001A4403" w:rsidRDefault="00CD09F2" w:rsidP="00485451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Časté</w:t>
            </w:r>
          </w:p>
        </w:tc>
        <w:tc>
          <w:tcPr>
            <w:tcW w:w="733" w:type="dxa"/>
          </w:tcPr>
          <w:p w:rsidR="00CD09F2" w:rsidRPr="001A4403" w:rsidRDefault="00CD09F2" w:rsidP="00485451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Men</w:t>
            </w:r>
            <w:r w:rsidR="00DD1289" w:rsidRPr="001A4403">
              <w:rPr>
                <w:szCs w:val="22"/>
              </w:rPr>
              <w:t>e</w:t>
            </w:r>
            <w:r w:rsidRPr="001A4403">
              <w:rPr>
                <w:szCs w:val="22"/>
              </w:rPr>
              <w:t>j časté</w:t>
            </w:r>
          </w:p>
        </w:tc>
        <w:tc>
          <w:tcPr>
            <w:tcW w:w="1677" w:type="dxa"/>
          </w:tcPr>
          <w:p w:rsidR="00CD09F2" w:rsidRPr="001A4403" w:rsidRDefault="00CD09F2" w:rsidP="00485451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Zriedkavé</w:t>
            </w:r>
          </w:p>
        </w:tc>
        <w:tc>
          <w:tcPr>
            <w:tcW w:w="1941" w:type="dxa"/>
          </w:tcPr>
          <w:p w:rsidR="00CD09F2" w:rsidRPr="001A4403" w:rsidRDefault="00CD09F2" w:rsidP="00A51F92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Veľmi zriedkavé</w:t>
            </w:r>
          </w:p>
        </w:tc>
        <w:tc>
          <w:tcPr>
            <w:tcW w:w="1323" w:type="dxa"/>
          </w:tcPr>
          <w:p w:rsidR="00CD09F2" w:rsidRPr="001A4403" w:rsidRDefault="00CD09F2" w:rsidP="00A51F92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 xml:space="preserve">Neznáme </w:t>
            </w:r>
            <w:r w:rsidR="00B365D1" w:rsidRPr="001A4403">
              <w:rPr>
                <w:szCs w:val="22"/>
              </w:rPr>
              <w:t>(</w:t>
            </w:r>
            <w:r w:rsidRPr="001A4403">
              <w:rPr>
                <w:szCs w:val="22"/>
              </w:rPr>
              <w:t>z dostupný</w:t>
            </w:r>
            <w:r w:rsidR="00B365D1" w:rsidRPr="001A4403">
              <w:rPr>
                <w:szCs w:val="22"/>
              </w:rPr>
              <w:t>c</w:t>
            </w:r>
            <w:r w:rsidRPr="001A4403">
              <w:rPr>
                <w:szCs w:val="22"/>
              </w:rPr>
              <w:t>h údajov)</w:t>
            </w:r>
          </w:p>
        </w:tc>
      </w:tr>
      <w:tr w:rsidR="00B365D1" w:rsidRPr="001A4403" w:rsidTr="00780194">
        <w:tc>
          <w:tcPr>
            <w:tcW w:w="1413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Infekcie</w:t>
            </w:r>
            <w:r w:rsidR="00D8161D" w:rsidRPr="001A4403">
              <w:rPr>
                <w:szCs w:val="22"/>
              </w:rPr>
              <w:t xml:space="preserve"> a </w:t>
            </w:r>
            <w:r w:rsidRPr="001A4403">
              <w:rPr>
                <w:szCs w:val="22"/>
              </w:rPr>
              <w:t>nákazy</w:t>
            </w:r>
          </w:p>
        </w:tc>
        <w:tc>
          <w:tcPr>
            <w:tcW w:w="733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</w:p>
        </w:tc>
        <w:tc>
          <w:tcPr>
            <w:tcW w:w="1242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</w:p>
        </w:tc>
        <w:tc>
          <w:tcPr>
            <w:tcW w:w="733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</w:p>
        </w:tc>
        <w:tc>
          <w:tcPr>
            <w:tcW w:w="1677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</w:p>
        </w:tc>
        <w:tc>
          <w:tcPr>
            <w:tcW w:w="1941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pustulózna vyrážka</w:t>
            </w:r>
          </w:p>
        </w:tc>
        <w:tc>
          <w:tcPr>
            <w:tcW w:w="1323" w:type="dxa"/>
          </w:tcPr>
          <w:p w:rsidR="00DB2819" w:rsidRPr="001A4403" w:rsidRDefault="00DB2819" w:rsidP="00DB2819">
            <w:pPr>
              <w:pStyle w:val="Normlndobloku"/>
              <w:rPr>
                <w:szCs w:val="22"/>
              </w:rPr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 xml:space="preserve">Poruchy </w:t>
            </w:r>
            <w:r w:rsidRPr="001A4403">
              <w:rPr>
                <w:szCs w:val="22"/>
              </w:rPr>
              <w:lastRenderedPageBreak/>
              <w:t>imunitného systému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242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677" w:type="dxa"/>
          </w:tcPr>
          <w:p w:rsidR="001071BF" w:rsidRPr="001A4403" w:rsidRDefault="001071BF" w:rsidP="00485451">
            <w:pPr>
              <w:pStyle w:val="Normlndobloku"/>
              <w:rPr>
                <w:szCs w:val="22"/>
              </w:rPr>
            </w:pPr>
          </w:p>
        </w:tc>
        <w:tc>
          <w:tcPr>
            <w:tcW w:w="1941" w:type="dxa"/>
          </w:tcPr>
          <w:p w:rsidR="001071BF" w:rsidRPr="001A4403" w:rsidRDefault="00DB2819" w:rsidP="00485451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 xml:space="preserve">hypersenzitivita </w:t>
            </w:r>
            <w:r w:rsidRPr="001A4403">
              <w:rPr>
                <w:szCs w:val="22"/>
              </w:rPr>
              <w:lastRenderedPageBreak/>
              <w:t>(vrátane</w:t>
            </w:r>
            <w:r w:rsidR="00B365D1" w:rsidRPr="001A4403">
              <w:rPr>
                <w:szCs w:val="22"/>
              </w:rPr>
              <w:t> </w:t>
            </w:r>
            <w:r w:rsidRPr="001A4403">
              <w:rPr>
                <w:szCs w:val="22"/>
              </w:rPr>
              <w:t>žihľavky), angioneurotický edém</w:t>
            </w:r>
          </w:p>
        </w:tc>
        <w:tc>
          <w:tcPr>
            <w:tcW w:w="1323" w:type="dxa"/>
          </w:tcPr>
          <w:p w:rsidR="001071BF" w:rsidRPr="001A4403" w:rsidRDefault="001071BF" w:rsidP="00485451">
            <w:pPr>
              <w:pStyle w:val="Normlndobloku"/>
              <w:rPr>
                <w:szCs w:val="22"/>
              </w:rPr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lastRenderedPageBreak/>
              <w:t>Poruchy dýchacej sústavy, hrudníka</w:t>
            </w:r>
            <w:r w:rsidR="00D8161D" w:rsidRPr="001A4403">
              <w:rPr>
                <w:szCs w:val="22"/>
              </w:rPr>
              <w:t xml:space="preserve"> a</w:t>
            </w:r>
            <w:r w:rsidR="00780194" w:rsidRPr="001A4403">
              <w:rPr>
                <w:szCs w:val="22"/>
              </w:rPr>
              <w:t> </w:t>
            </w:r>
            <w:r w:rsidRPr="001A4403">
              <w:rPr>
                <w:szCs w:val="22"/>
              </w:rPr>
              <w:t>mediastína</w:t>
            </w:r>
            <w:r w:rsidR="00780194" w:rsidRPr="001A4403">
              <w:rPr>
                <w:szCs w:val="22"/>
              </w:rPr>
              <w:t xml:space="preserve"> 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242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677" w:type="dxa"/>
          </w:tcPr>
          <w:p w:rsidR="001071BF" w:rsidRPr="001A4403" w:rsidRDefault="001071BF" w:rsidP="00485451">
            <w:pPr>
              <w:pStyle w:val="Normlndobloku"/>
              <w:rPr>
                <w:szCs w:val="22"/>
              </w:rPr>
            </w:pPr>
          </w:p>
        </w:tc>
        <w:tc>
          <w:tcPr>
            <w:tcW w:w="1941" w:type="dxa"/>
          </w:tcPr>
          <w:p w:rsidR="001071BF" w:rsidRPr="001A4403" w:rsidRDefault="00DB2819" w:rsidP="00485451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astma</w:t>
            </w:r>
          </w:p>
        </w:tc>
        <w:tc>
          <w:tcPr>
            <w:tcW w:w="1323" w:type="dxa"/>
          </w:tcPr>
          <w:p w:rsidR="001071BF" w:rsidRPr="001A4403" w:rsidRDefault="001071BF" w:rsidP="00485451">
            <w:pPr>
              <w:pStyle w:val="Normlndobloku"/>
              <w:rPr>
                <w:szCs w:val="22"/>
              </w:rPr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Poruchy</w:t>
            </w:r>
            <w:r w:rsidR="00B365D1" w:rsidRPr="001A4403">
              <w:rPr>
                <w:szCs w:val="22"/>
              </w:rPr>
              <w:t xml:space="preserve"> </w:t>
            </w:r>
            <w:r w:rsidRPr="001A4403">
              <w:rPr>
                <w:szCs w:val="22"/>
              </w:rPr>
              <w:t>ko</w:t>
            </w:r>
            <w:r w:rsidR="00B365D1" w:rsidRPr="001A4403">
              <w:rPr>
                <w:szCs w:val="22"/>
              </w:rPr>
              <w:t>ž</w:t>
            </w:r>
            <w:r w:rsidRPr="001A4403">
              <w:rPr>
                <w:szCs w:val="22"/>
              </w:rPr>
              <w:t>e</w:t>
            </w:r>
            <w:r w:rsidR="00D8161D" w:rsidRPr="001A4403">
              <w:rPr>
                <w:szCs w:val="22"/>
              </w:rPr>
              <w:t xml:space="preserve"> a </w:t>
            </w:r>
            <w:r w:rsidRPr="001A4403">
              <w:rPr>
                <w:szCs w:val="22"/>
              </w:rPr>
              <w:t>podkožného tkaniva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242" w:type="dxa"/>
          </w:tcPr>
          <w:p w:rsidR="001071BF" w:rsidRPr="001A4403" w:rsidRDefault="00DB2819" w:rsidP="00B73055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dermatitída (vrátane kontaktnej dermatitíd</w:t>
            </w:r>
            <w:r w:rsidR="00B365D1" w:rsidRPr="001A4403">
              <w:rPr>
                <w:szCs w:val="22"/>
              </w:rPr>
              <w:t>y</w:t>
            </w:r>
            <w:r w:rsidRPr="001A4403">
              <w:rPr>
                <w:szCs w:val="22"/>
              </w:rPr>
              <w:t>)</w:t>
            </w:r>
            <w:r w:rsidR="007972C4" w:rsidRPr="001A4403">
              <w:rPr>
                <w:szCs w:val="22"/>
              </w:rPr>
              <w:t>,</w:t>
            </w:r>
            <w:r w:rsidRPr="001A4403">
              <w:rPr>
                <w:szCs w:val="22"/>
              </w:rPr>
              <w:t xml:space="preserve"> vyrážka, ekzém,  erytém, pruritus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  <w:tc>
          <w:tcPr>
            <w:tcW w:w="1677" w:type="dxa"/>
          </w:tcPr>
          <w:p w:rsidR="001071BF" w:rsidRPr="001A4403" w:rsidRDefault="00DB2819" w:rsidP="00CC7CBA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bulózna dermatitída</w:t>
            </w:r>
          </w:p>
        </w:tc>
        <w:tc>
          <w:tcPr>
            <w:tcW w:w="1941" w:type="dxa"/>
          </w:tcPr>
          <w:p w:rsidR="001071BF" w:rsidRPr="001A4403" w:rsidRDefault="00DB2819" w:rsidP="00B73055">
            <w:pPr>
              <w:pStyle w:val="Normlndobloku"/>
              <w:rPr>
                <w:szCs w:val="22"/>
              </w:rPr>
            </w:pPr>
            <w:r w:rsidRPr="001A4403">
              <w:rPr>
                <w:szCs w:val="22"/>
              </w:rPr>
              <w:t>fotosenzitívne reakcie</w:t>
            </w:r>
          </w:p>
        </w:tc>
        <w:tc>
          <w:tcPr>
            <w:tcW w:w="1323" w:type="dxa"/>
          </w:tcPr>
          <w:p w:rsidR="001071BF" w:rsidRPr="001A4403" w:rsidRDefault="001071BF" w:rsidP="00B73055">
            <w:pPr>
              <w:pStyle w:val="Normlndobloku"/>
              <w:rPr>
                <w:szCs w:val="22"/>
              </w:rPr>
            </w:pPr>
          </w:p>
        </w:tc>
      </w:tr>
    </w:tbl>
    <w:p w:rsidR="00030D43" w:rsidRPr="001A4403" w:rsidRDefault="00030D43" w:rsidP="00030D43">
      <w:pPr>
        <w:pStyle w:val="Styl3"/>
        <w:spacing w:before="0" w:after="0"/>
      </w:pPr>
    </w:p>
    <w:p w:rsidR="00CD09F2" w:rsidRPr="001A4403" w:rsidRDefault="00CD09F2" w:rsidP="00030D43">
      <w:pPr>
        <w:pStyle w:val="Styl3"/>
        <w:spacing w:before="0" w:after="0"/>
      </w:pPr>
      <w:r w:rsidRPr="001A4403">
        <w:t>Hlásenie podozrení na nežiaduce reakcie</w:t>
      </w:r>
    </w:p>
    <w:p w:rsidR="00CD09F2" w:rsidRPr="001A4403" w:rsidRDefault="00CD09F2" w:rsidP="00030D43">
      <w:pPr>
        <w:pStyle w:val="Normlndobloku"/>
        <w:spacing w:after="0"/>
        <w:rPr>
          <w:szCs w:val="22"/>
          <w:highlight w:val="lightGray"/>
        </w:rPr>
      </w:pPr>
      <w:r w:rsidRPr="001A4403">
        <w:rPr>
          <w:szCs w:val="22"/>
        </w:rPr>
        <w:t>Hlásenie podozrení na nežiaduce reakcie po registrácii lieku je dôležité. Umožňuje priebežné monitorovanie pomeru prínosu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 xml:space="preserve">rizika lieku. Od zdravotníckych pracovníkov sa vyžaduje, aby hlásili akékoľvek podozrenia na nežiaduce reakcie </w:t>
      </w:r>
      <w:r w:rsidR="000D08C1" w:rsidRPr="001A4403">
        <w:rPr>
          <w:szCs w:val="22"/>
        </w:rPr>
        <w:t>na</w:t>
      </w:r>
      <w:r w:rsidRPr="001A4403">
        <w:rPr>
          <w:szCs w:val="22"/>
        </w:rPr>
        <w:t xml:space="preserve"> </w:t>
      </w:r>
      <w:r w:rsidRPr="001A4403">
        <w:rPr>
          <w:szCs w:val="22"/>
          <w:highlight w:val="lightGray"/>
        </w:rPr>
        <w:t xml:space="preserve">národné </w:t>
      </w:r>
      <w:r w:rsidR="000D08C1" w:rsidRPr="001A4403">
        <w:rPr>
          <w:szCs w:val="22"/>
          <w:highlight w:val="lightGray"/>
        </w:rPr>
        <w:t>centrum</w:t>
      </w:r>
      <w:r w:rsidRPr="001A4403">
        <w:rPr>
          <w:szCs w:val="22"/>
          <w:highlight w:val="lightGray"/>
        </w:rPr>
        <w:t xml:space="preserve"> hlásenia uvedené</w:t>
      </w:r>
      <w:r w:rsidR="00D8161D" w:rsidRPr="001A4403">
        <w:rPr>
          <w:szCs w:val="22"/>
          <w:highlight w:val="lightGray"/>
        </w:rPr>
        <w:t xml:space="preserve"> v </w:t>
      </w:r>
      <w:hyperlink r:id="rId8" w:history="1">
        <w:r w:rsidRPr="001A4403">
          <w:rPr>
            <w:rStyle w:val="Hypertextovprepojenie"/>
            <w:szCs w:val="22"/>
            <w:highlight w:val="lightGray"/>
          </w:rPr>
          <w:t>Prílohe V</w:t>
        </w:r>
      </w:hyperlink>
      <w:r w:rsidRPr="001A4403">
        <w:rPr>
          <w:szCs w:val="22"/>
          <w:highlight w:val="lightGray"/>
        </w:rPr>
        <w:t>.</w:t>
      </w:r>
    </w:p>
    <w:p w:rsidR="00030D43" w:rsidRPr="001A4403" w:rsidRDefault="00030D43" w:rsidP="00030D43">
      <w:pPr>
        <w:pStyle w:val="Normlndobloku"/>
        <w:spacing w:after="0"/>
        <w:rPr>
          <w:szCs w:val="22"/>
          <w:highlight w:val="lightGray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Predávkovanie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Vzhľadom na nízku systémovú absorpciu diklofenaku pri topickom použití je predávkovanie veľmi nepravdepodobné.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Nežiaduce účinky podobné účinkom pri predávkovaní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perorálnej forme však možno očakávať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prípade</w:t>
      </w:r>
      <w:r w:rsidR="00DA5209" w:rsidRPr="001A4403">
        <w:rPr>
          <w:szCs w:val="22"/>
          <w:lang w:eastAsia="sk-SK"/>
        </w:rPr>
        <w:t>, že došlo k náhodnému požitiu lieku.</w:t>
      </w:r>
      <w:r w:rsidR="00D8161D" w:rsidRPr="001A4403">
        <w:rPr>
          <w:szCs w:val="22"/>
          <w:lang w:eastAsia="sk-SK"/>
        </w:rPr>
        <w:t xml:space="preserve"> </w:t>
      </w:r>
      <w:r w:rsidR="007972C4" w:rsidRPr="001A4403">
        <w:rPr>
          <w:szCs w:val="22"/>
        </w:rPr>
        <w:t>A</w:t>
      </w:r>
      <w:r w:rsidR="00DA5209" w:rsidRPr="001A4403">
        <w:rPr>
          <w:szCs w:val="22"/>
        </w:rPr>
        <w:t>LMIRAL</w:t>
      </w:r>
      <w:r w:rsidR="007972C4" w:rsidRPr="001A4403">
        <w:rPr>
          <w:szCs w:val="22"/>
        </w:rPr>
        <w:t xml:space="preserve"> GEL (100 g </w:t>
      </w:r>
      <w:r w:rsidR="00F43A68" w:rsidRPr="001A4403">
        <w:rPr>
          <w:szCs w:val="22"/>
        </w:rPr>
        <w:t xml:space="preserve">gélu </w:t>
      </w:r>
      <w:r w:rsidR="007972C4" w:rsidRPr="001A4403">
        <w:rPr>
          <w:szCs w:val="22"/>
        </w:rPr>
        <w:t>obsahuje 1 g sodnej soli diklofenaku)</w:t>
      </w:r>
      <w:r w:rsidR="007972C4" w:rsidRPr="001A4403">
        <w:rPr>
          <w:szCs w:val="22"/>
          <w:lang w:eastAsia="sk-SK"/>
        </w:rPr>
        <w:t xml:space="preserve"> V</w:t>
      </w:r>
      <w:r w:rsidR="00D8161D" w:rsidRPr="001A4403">
        <w:rPr>
          <w:szCs w:val="22"/>
          <w:lang w:eastAsia="sk-SK"/>
        </w:rPr>
        <w:t> </w:t>
      </w:r>
      <w:r w:rsidR="00DA5209" w:rsidRPr="001A4403">
        <w:rPr>
          <w:szCs w:val="22"/>
          <w:lang w:eastAsia="sk-SK"/>
        </w:rPr>
        <w:t xml:space="preserve">prípade náhodného požitia, ktoré by viedlo k signifikantným systémovým nežiaducim účinkom, je potrebné použiť všeobecné terapeutické postupy, ktoré sa bežne používajú pri otrave </w:t>
      </w:r>
      <w:r w:rsidR="00E374D9" w:rsidRPr="001A4403">
        <w:rPr>
          <w:szCs w:val="22"/>
        </w:rPr>
        <w:t>NSAID</w:t>
      </w:r>
      <w:r w:rsidR="00DA5209" w:rsidRPr="001A4403">
        <w:rPr>
          <w:szCs w:val="22"/>
          <w:lang w:eastAsia="sk-SK"/>
        </w:rPr>
        <w:t>.</w:t>
      </w:r>
      <w:r w:rsidR="00B365D1" w:rsidRPr="001A4403">
        <w:rPr>
          <w:szCs w:val="22"/>
        </w:rPr>
        <w:t xml:space="preserve"> </w:t>
      </w:r>
      <w:r w:rsidRPr="001A4403">
        <w:rPr>
          <w:szCs w:val="22"/>
        </w:rPr>
        <w:t>Je potrebné uvažovať o gastricke</w:t>
      </w:r>
      <w:r w:rsidR="00E374D9" w:rsidRPr="001A4403">
        <w:rPr>
          <w:szCs w:val="22"/>
        </w:rPr>
        <w:t>j</w:t>
      </w:r>
      <w:r w:rsidRPr="001A4403">
        <w:rPr>
          <w:szCs w:val="22"/>
        </w:rPr>
        <w:t xml:space="preserve"> dekontaminácii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užití aktívneho uhlia najmä bezprostredne po požití.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t>Farmakologické vlastnosti</w:t>
      </w:r>
    </w:p>
    <w:p w:rsidR="00030D43" w:rsidRPr="001A4403" w:rsidRDefault="00030D43" w:rsidP="00030D43">
      <w:pPr>
        <w:pStyle w:val="Styl1"/>
        <w:numPr>
          <w:ilvl w:val="0"/>
          <w:numId w:val="0"/>
        </w:numPr>
        <w:spacing w:before="0" w:after="0"/>
        <w:ind w:left="360"/>
        <w:rPr>
          <w:szCs w:val="22"/>
          <w:lang w:val="sk-SK"/>
        </w:rPr>
      </w:pPr>
    </w:p>
    <w:p w:rsidR="00D64191" w:rsidRPr="001A4403" w:rsidRDefault="00A05CD7" w:rsidP="00030D43">
      <w:pPr>
        <w:pStyle w:val="Styl2"/>
        <w:spacing w:before="0" w:after="0"/>
      </w:pPr>
      <w:r w:rsidRPr="001A4403">
        <w:t>Farmakodynamické vlastnosti</w:t>
      </w:r>
    </w:p>
    <w:p w:rsidR="00030D43" w:rsidRPr="001A4403" w:rsidRDefault="00030D43" w:rsidP="00030D43">
      <w:pPr>
        <w:pStyle w:val="Normlndobloku"/>
        <w:spacing w:after="0"/>
        <w:rPr>
          <w:rStyle w:val="Styl3Char"/>
          <w:rFonts w:eastAsia="Calibri"/>
          <w:szCs w:val="22"/>
        </w:rPr>
      </w:pPr>
    </w:p>
    <w:p w:rsidR="00B365D1" w:rsidRPr="001A4403" w:rsidRDefault="00DA5209" w:rsidP="00030D43">
      <w:pPr>
        <w:pStyle w:val="Normlndobloku"/>
        <w:spacing w:after="0"/>
        <w:rPr>
          <w:szCs w:val="22"/>
        </w:rPr>
      </w:pPr>
      <w:r w:rsidRPr="001A4403">
        <w:rPr>
          <w:rStyle w:val="Styl3Char"/>
          <w:rFonts w:eastAsia="Calibri"/>
          <w:szCs w:val="22"/>
        </w:rPr>
        <w:t>Farmakoterapeutická skupina:</w:t>
      </w:r>
      <w:r w:rsidR="00C37122" w:rsidRPr="001A4403">
        <w:rPr>
          <w:szCs w:val="22"/>
        </w:rPr>
        <w:t xml:space="preserve"> </w:t>
      </w:r>
    </w:p>
    <w:p w:rsidR="00A05CD7" w:rsidRPr="001A4403" w:rsidRDefault="00C3712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Liečivá proti bolesti kĺbov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svalov na lokálne použitie, nesteroidové antiflogistiká na lokálne použitie.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ATC kód: M02AA15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B7285" w:rsidRPr="001A4403" w:rsidRDefault="00A05CD7" w:rsidP="00030D43">
      <w:pPr>
        <w:pStyle w:val="Styl3"/>
        <w:spacing w:before="0" w:after="0"/>
      </w:pPr>
      <w:r w:rsidRPr="001A4403">
        <w:t>Mechanizmus účinku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Diklofenak je nesteroidové protizápalové liečivo (NSAID)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výraznými analgetickými, protizápalovými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 xml:space="preserve">antipyretickými vlastnosťami. </w:t>
      </w:r>
      <w:r w:rsidR="007972C4" w:rsidRPr="001A4403">
        <w:rPr>
          <w:szCs w:val="22"/>
        </w:rPr>
        <w:t>Primárnym mechanizmom účinku diklofenaku je inhibícia biosyntézy prostaglandínov.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7972C4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lastRenderedPageBreak/>
        <w:t xml:space="preserve">ALMIRAL GEL </w:t>
      </w:r>
      <w:r w:rsidR="00A05CD7" w:rsidRPr="001A4403">
        <w:rPr>
          <w:szCs w:val="22"/>
        </w:rPr>
        <w:t>je protizápalový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>analgetický liek určený na topickú aplikáciu. Pri zápale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 xml:space="preserve">bolesti traumatického alebo reumatického pôvodu </w:t>
      </w:r>
      <w:r w:rsidRPr="001A4403">
        <w:rPr>
          <w:szCs w:val="22"/>
        </w:rPr>
        <w:t>ALMIRAL GEL</w:t>
      </w:r>
      <w:r w:rsidR="00A05CD7" w:rsidRPr="001A4403">
        <w:rPr>
          <w:szCs w:val="22"/>
        </w:rPr>
        <w:t xml:space="preserve"> zmierňuje bolesť, zmenšuje opuch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>skracuje dobu návratu k normálnej funkcii.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Je klinicky dokázané, že k redukcii akútnej bolesti dochádza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priebehu jednej hodiny po iniciálnej aplikácii gélu(p &lt;0,0001 verzus placebo gél). U 94 % pacientov bola preukázaná úľava od bolesti po 2 dňoch liečby </w:t>
      </w:r>
      <w:r w:rsidR="008C407F" w:rsidRPr="001A4403">
        <w:rPr>
          <w:szCs w:val="22"/>
        </w:rPr>
        <w:t xml:space="preserve">gélom </w:t>
      </w:r>
      <w:r w:rsidRPr="001A4403">
        <w:rPr>
          <w:szCs w:val="22"/>
        </w:rPr>
        <w:t>oproti 8 % pacientov používajúcich placebo gél (p &lt;0,0001). Ústup bolesti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funkčné zlepšenie pohybového aparátu bolo dosiahnuté po 4 dňoch liečby gélom (p &lt;0,0001 verzus placebo gél).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64191" w:rsidRPr="001A4403" w:rsidRDefault="00A05CD7" w:rsidP="00030D43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Vďaka vodno-alkoholovému základu gélu tiež vykazuje hojivý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chladi</w:t>
      </w:r>
      <w:r w:rsidR="00C37122" w:rsidRPr="001A4403">
        <w:rPr>
          <w:szCs w:val="22"/>
        </w:rPr>
        <w:t>vý</w:t>
      </w:r>
      <w:r w:rsidR="00DA5209" w:rsidRPr="001A4403">
        <w:rPr>
          <w:szCs w:val="22"/>
          <w:lang w:eastAsia="sk-SK"/>
        </w:rPr>
        <w:t xml:space="preserve"> efekt.</w:t>
      </w:r>
    </w:p>
    <w:p w:rsidR="00030D43" w:rsidRPr="001A4403" w:rsidRDefault="00030D43" w:rsidP="00030D43">
      <w:pPr>
        <w:pStyle w:val="Normlndobloku"/>
        <w:spacing w:after="0"/>
        <w:rPr>
          <w:szCs w:val="22"/>
          <w:lang w:eastAsia="sk-SK"/>
        </w:rPr>
      </w:pPr>
    </w:p>
    <w:p w:rsidR="00D64191" w:rsidRPr="001A4403" w:rsidRDefault="00A05CD7" w:rsidP="00030D43">
      <w:pPr>
        <w:pStyle w:val="Styl2"/>
        <w:spacing w:before="0" w:after="0"/>
      </w:pPr>
      <w:r w:rsidRPr="001A4403">
        <w:t>Farmakokinetické vlastnosti</w:t>
      </w:r>
    </w:p>
    <w:p w:rsidR="00030D43" w:rsidRPr="001A4403" w:rsidRDefault="00030D43" w:rsidP="00030D43">
      <w:pPr>
        <w:pStyle w:val="Styl3"/>
        <w:spacing w:before="0" w:after="0"/>
      </w:pPr>
    </w:p>
    <w:p w:rsidR="00A05CD7" w:rsidRPr="001A4403" w:rsidRDefault="00A05CD7" w:rsidP="00030D43">
      <w:pPr>
        <w:pStyle w:val="Styl3"/>
        <w:spacing w:before="0" w:after="0"/>
      </w:pPr>
      <w:r w:rsidRPr="001A4403">
        <w:t>Absorpcia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Množstvo diklofenaku absorbovaného cez kožu je úmerné veľkosti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plochy, na ktorú bol gél aplikovaný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závisí od celkovej topickej dávky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hydratácie kože. Absorpcia dosahuje približne 6 % dávky diklofenaku po topickom použití 2,5</w:t>
      </w:r>
      <w:r w:rsidR="00F02BAC" w:rsidRPr="001A4403">
        <w:rPr>
          <w:szCs w:val="22"/>
        </w:rPr>
        <w:t> </w:t>
      </w:r>
      <w:r w:rsidRPr="001A4403">
        <w:rPr>
          <w:szCs w:val="22"/>
        </w:rPr>
        <w:t>g gélu na 500 cm² kože, táto hodnota je určená pomerom k celkovej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renálnej eliminácii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porovnaní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tabletovou formou. Oklúzia po dobu 10 hodín vedie k trojnásobnému zvýšeniu absorpcie diklofenaku.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030D43">
      <w:pPr>
        <w:pStyle w:val="Styl3"/>
        <w:spacing w:before="0" w:after="0"/>
      </w:pPr>
      <w:r w:rsidRPr="001A4403">
        <w:t>Distribúcia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Koncentrácia diklofenaku po </w:t>
      </w:r>
      <w:r w:rsidR="008C407F" w:rsidRPr="001A4403">
        <w:rPr>
          <w:szCs w:val="22"/>
        </w:rPr>
        <w:t xml:space="preserve">jeho </w:t>
      </w:r>
      <w:r w:rsidRPr="001A4403">
        <w:rPr>
          <w:szCs w:val="22"/>
        </w:rPr>
        <w:t xml:space="preserve">topickej aplikácii </w:t>
      </w:r>
      <w:bookmarkStart w:id="0" w:name="_GoBack"/>
      <w:bookmarkEnd w:id="0"/>
      <w:r w:rsidR="008C407F" w:rsidRPr="001A4403">
        <w:rPr>
          <w:szCs w:val="22"/>
        </w:rPr>
        <w:t xml:space="preserve">gélu </w:t>
      </w:r>
      <w:r w:rsidRPr="001A4403">
        <w:rPr>
          <w:szCs w:val="22"/>
        </w:rPr>
        <w:t>na kĺby ruky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kolenné kĺby bola meraná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plazme, synoviálnom tkanive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synoviálnej tekutine.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Maximálne koncentrácie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 sú po topickom podaní gélu asi 100-krát nižšie ako po perorálnom podaní rovnakého množstva diklofenaku. 99,7 % diklofenaku sa viaže na sérové bielkoviny, predovšetkým na albumín (99,4 %)</w:t>
      </w:r>
      <w:r w:rsidR="00EA5F49" w:rsidRPr="001A4403">
        <w:rPr>
          <w:szCs w:val="22"/>
        </w:rPr>
        <w:t>.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Diklofenak sa prednostne akumuluje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koži, ktorá pôsobí ako rezervoár, odkiaľ sa liečivo nepretržite uvoľňuje do okolitých tkanív. Z nich sa diklofenak prednostne distribuuje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pretrváva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hlboko uložených zapálených tkanivách, ako sú kĺby, kde sa nachádza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koncentráciách až 20-krát vyšších ako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030D43">
      <w:pPr>
        <w:pStyle w:val="Styl3"/>
        <w:spacing w:before="0" w:after="0"/>
      </w:pPr>
      <w:r w:rsidRPr="001A4403">
        <w:t>Biotransformácia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Biotransformácia diklofenaku zahŕňa sčasti glukuronidáciu intaktnej molekuly, ale hlavne jednorazovú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mnohopočetnú hydroxyláciu. Výsledkom celého procesu je vytvorenie niekoľkých fenolových metabolitov diklofenaku, z ktorých je väčšina následne premenená na glukuronidové konjugáty. Dva z týchto fenolových metabolitov sú biologicky aktívne, ale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menšej miere ako diklofenak.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030D43">
      <w:pPr>
        <w:pStyle w:val="Styl3"/>
        <w:spacing w:before="0" w:after="0"/>
      </w:pPr>
      <w:r w:rsidRPr="001A4403">
        <w:t>Eliminácia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Celkový systémový klírens diklofenaku z plazmy je 263 </w:t>
      </w:r>
      <w:r w:rsidRPr="001A4403">
        <w:rPr>
          <w:szCs w:val="22"/>
        </w:rPr>
        <w:sym w:font="Symbol" w:char="F0B1"/>
      </w:r>
      <w:r w:rsidRPr="001A4403">
        <w:rPr>
          <w:szCs w:val="22"/>
        </w:rPr>
        <w:t> 56 ml/min. Konečný polčas vylučovania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plazme je </w:t>
      </w:r>
      <w:r w:rsidR="00C14BC2" w:rsidRPr="001A4403">
        <w:rPr>
          <w:szCs w:val="22"/>
        </w:rPr>
        <w:t>1</w:t>
      </w:r>
      <w:r w:rsidRPr="001A4403">
        <w:rPr>
          <w:szCs w:val="22"/>
        </w:rPr>
        <w:t> – 2 hodiny. Štyri z metabolitov vrátane dvoch aktívnych majú tiež krátky polčas vylučovania 1 – 3 hodiny. Jeden metabolit, 3´hydroxy-4´metoxy diklofenak má oveľa dlhší polčas vylučovania. Avšak tento metabolit 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skutočnosti neúčinný. Diklofenak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jeho metabolity sú vylučované prevažne močom.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B7285" w:rsidRPr="001A4403" w:rsidRDefault="00633E51" w:rsidP="00030D43">
      <w:pPr>
        <w:pStyle w:val="Styl3"/>
        <w:spacing w:before="0" w:after="0"/>
      </w:pPr>
      <w:r w:rsidRPr="001A4403">
        <w:t>R</w:t>
      </w:r>
      <w:r w:rsidR="00A05CD7" w:rsidRPr="001A4403">
        <w:t>enáln</w:t>
      </w:r>
      <w:r w:rsidRPr="001A4403">
        <w:t>a</w:t>
      </w:r>
      <w:r w:rsidR="00D8161D" w:rsidRPr="001A4403">
        <w:t xml:space="preserve"> a </w:t>
      </w:r>
      <w:r w:rsidRPr="001A4403">
        <w:t xml:space="preserve">hepatálna </w:t>
      </w:r>
      <w:r w:rsidR="00A05CD7" w:rsidRPr="001A4403">
        <w:t>insuficienci</w:t>
      </w:r>
      <w:r w:rsidRPr="001A4403">
        <w:t>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Nebola zistená žiadna kumulácia diklofenaku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jeho metabolitov u pacientov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renálnou insuficienciou. U pacientov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chronickou hepatitídou alebo nedekompenzovanou cirhózou je kinetika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metabolizmus diklofenaku rovnaká ako u pacientov bez ochorenia pečene.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64191" w:rsidRPr="001A4403" w:rsidRDefault="00A05CD7" w:rsidP="00030D43">
      <w:pPr>
        <w:pStyle w:val="Styl2"/>
        <w:spacing w:before="0" w:after="0"/>
      </w:pPr>
      <w:r w:rsidRPr="001A4403">
        <w:t>Predklinické údaje o bezpečnosti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8C407F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Údaje získané z predklinických štúdií založené na štúdiách akútnej toxicity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toxicity po opakovanom podaní, ako aj</w:t>
      </w:r>
      <w:r w:rsidRPr="001A4403">
        <w:rPr>
          <w:b/>
          <w:szCs w:val="22"/>
        </w:rPr>
        <w:t xml:space="preserve"> </w:t>
      </w:r>
      <w:r w:rsidRPr="001A4403">
        <w:rPr>
          <w:szCs w:val="22"/>
        </w:rPr>
        <w:t>štúdie genotoxicity, mutagenity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karcinogenity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odporúčaných terapeutických dávkach nevykazujú špecifické riziko pre človeka. Neboli získané dôkazy, že diklofenak je potenciálne teratogénny u myší, potkanov alebo králikov. Diklofenak neovplyvnil </w:t>
      </w:r>
      <w:r w:rsidRPr="001A4403">
        <w:rPr>
          <w:szCs w:val="22"/>
        </w:rPr>
        <w:lastRenderedPageBreak/>
        <w:t>plodnosť zvierat (potkanov), ani prenatálny, perinatálny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postnatálny vývoj potomkov nebol ovplyvnený.</w:t>
      </w:r>
    </w:p>
    <w:p w:rsidR="008C407F" w:rsidRPr="001A4403" w:rsidRDefault="00DA5209" w:rsidP="00030D43">
      <w:pPr>
        <w:tabs>
          <w:tab w:val="num" w:pos="0"/>
          <w:tab w:val="left" w:pos="567"/>
        </w:tabs>
        <w:rPr>
          <w:rFonts w:eastAsia="Calibri"/>
          <w:sz w:val="22"/>
          <w:szCs w:val="22"/>
          <w:lang w:eastAsia="en-US"/>
        </w:rPr>
      </w:pPr>
      <w:r w:rsidRPr="001A4403">
        <w:rPr>
          <w:rFonts w:eastAsia="Calibri"/>
          <w:sz w:val="22"/>
          <w:szCs w:val="22"/>
          <w:lang w:eastAsia="en-US"/>
        </w:rPr>
        <w:t>Diklofenak vo forme gélu bol dobre tolerovaný vo viacerých štúdiách. Nebol zaznamenaný potenciál pre vznik fototoxicity a nespôsoboval kožnú senzibilizáciu.</w:t>
      </w:r>
    </w:p>
    <w:p w:rsidR="00DA5209" w:rsidRPr="001A4403" w:rsidRDefault="00DA5209" w:rsidP="00030D43">
      <w:pPr>
        <w:pStyle w:val="Normlndobloku"/>
        <w:spacing w:after="0"/>
        <w:rPr>
          <w:szCs w:val="22"/>
        </w:rPr>
      </w:pPr>
    </w:p>
    <w:p w:rsidR="00D64191" w:rsidRPr="001A4403" w:rsidRDefault="00D64191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t>Farmaceutické informácie</w:t>
      </w:r>
    </w:p>
    <w:p w:rsidR="00030D43" w:rsidRPr="001A4403" w:rsidRDefault="00030D43" w:rsidP="00030D43">
      <w:pPr>
        <w:pStyle w:val="Styl1"/>
        <w:numPr>
          <w:ilvl w:val="0"/>
          <w:numId w:val="0"/>
        </w:numPr>
        <w:spacing w:before="0" w:after="0"/>
        <w:ind w:left="360"/>
        <w:rPr>
          <w:szCs w:val="22"/>
          <w:lang w:val="sk-SK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Zoznam pomocných látok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</w:t>
      </w:r>
      <w:r w:rsidR="00CD09F2" w:rsidRPr="001A4403">
        <w:rPr>
          <w:szCs w:val="22"/>
        </w:rPr>
        <w:t>ropylénglykol</w:t>
      </w:r>
    </w:p>
    <w:p w:rsidR="000B7285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i</w:t>
      </w:r>
      <w:r w:rsidR="00CD09F2" w:rsidRPr="001A4403">
        <w:rPr>
          <w:szCs w:val="22"/>
        </w:rPr>
        <w:t>zopropylalkohol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k</w:t>
      </w:r>
      <w:r w:rsidR="00CD09F2" w:rsidRPr="001A4403">
        <w:rPr>
          <w:szCs w:val="22"/>
        </w:rPr>
        <w:t>arbomér 940</w:t>
      </w:r>
    </w:p>
    <w:p w:rsidR="00CD09F2" w:rsidRPr="001A4403" w:rsidRDefault="00B549B8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s</w:t>
      </w:r>
      <w:r w:rsidR="00CD09F2" w:rsidRPr="001A4403">
        <w:rPr>
          <w:szCs w:val="22"/>
        </w:rPr>
        <w:t>ilica mäty piepornej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</w:t>
      </w:r>
      <w:r w:rsidR="00CD09F2" w:rsidRPr="001A4403">
        <w:rPr>
          <w:szCs w:val="22"/>
        </w:rPr>
        <w:t>etyléter dipropylénglykolu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č</w:t>
      </w:r>
      <w:r w:rsidR="00CD09F2" w:rsidRPr="001A4403">
        <w:rPr>
          <w:szCs w:val="22"/>
        </w:rPr>
        <w:t>istená voda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Inkompatibility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Neaplikovateľné.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Čas použiteľnosti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2 roky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Špeciálne upozornenia na uchovávanie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Uchovávajte pri teplote do 25 °C.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Druh obalu</w:t>
      </w:r>
      <w:r w:rsidR="00D8161D" w:rsidRPr="001A4403">
        <w:t xml:space="preserve"> a </w:t>
      </w:r>
      <w:r w:rsidRPr="001A4403">
        <w:t>obsah balenia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a) Hliníková tuba, škatuľka</w:t>
      </w:r>
    </w:p>
    <w:p w:rsidR="00DA5209" w:rsidRPr="001A4403" w:rsidRDefault="00CD09F2" w:rsidP="00030D43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 g"/>
        </w:smartTagPr>
        <w:r w:rsidRPr="001A4403">
          <w:rPr>
            <w:szCs w:val="22"/>
          </w:rPr>
          <w:t>25 g</w:t>
        </w:r>
      </w:smartTag>
      <w:r w:rsidRPr="001A4403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50 g"/>
        </w:smartTagPr>
        <w:r w:rsidRPr="001A4403">
          <w:rPr>
            <w:szCs w:val="22"/>
          </w:rPr>
          <w:t>50 g</w:t>
        </w:r>
      </w:smartTag>
      <w:r w:rsidRPr="001A4403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100 g"/>
        </w:smartTagPr>
        <w:r w:rsidRPr="001A4403">
          <w:rPr>
            <w:szCs w:val="22"/>
          </w:rPr>
          <w:t>100 g</w:t>
        </w:r>
      </w:smartTag>
    </w:p>
    <w:p w:rsidR="00030D43" w:rsidRPr="001A4403" w:rsidRDefault="00030D43" w:rsidP="00030D43">
      <w:pPr>
        <w:pStyle w:val="Normlndobloku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b) Nádobka z PVC, škatuľka</w:t>
      </w:r>
    </w:p>
    <w:p w:rsidR="00DA5209" w:rsidRPr="001A4403" w:rsidRDefault="00CD09F2" w:rsidP="00030D43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0 g"/>
        </w:smartTagPr>
        <w:r w:rsidRPr="001A4403">
          <w:rPr>
            <w:szCs w:val="22"/>
          </w:rPr>
          <w:t>250 g</w:t>
        </w:r>
      </w:smartTag>
    </w:p>
    <w:p w:rsidR="00030D43" w:rsidRPr="001A4403" w:rsidRDefault="00030D43" w:rsidP="00030D43">
      <w:pPr>
        <w:pStyle w:val="Normlndobloku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Na trh nemusia byť uvedené všetky veľkosti balenia.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Styl2"/>
        <w:spacing w:before="0" w:after="0"/>
      </w:pPr>
      <w:r w:rsidRPr="001A4403">
        <w:t>Špeciálne opatrenia na likvidáciu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Po aplikácii gélu si dobre umyte ruky, ak ruky nie sú miestom aplikácie.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Žiadne zvláštne požiadavky na likvidáciu.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t>Držiteľ rozhodnutia o</w:t>
      </w:r>
      <w:r w:rsidR="008D1687" w:rsidRPr="001A4403">
        <w:rPr>
          <w:szCs w:val="22"/>
          <w:lang w:val="sk-SK"/>
        </w:rPr>
        <w:t> </w:t>
      </w:r>
      <w:r w:rsidRPr="001A4403">
        <w:rPr>
          <w:szCs w:val="22"/>
          <w:lang w:val="sk-SK"/>
        </w:rPr>
        <w:t>registrácii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8D1687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MEDOCHEMIE Ltd.</w:t>
      </w:r>
    </w:p>
    <w:p w:rsidR="00DA5209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1-10 Constantinoupoleos Street</w:t>
      </w:r>
    </w:p>
    <w:p w:rsidR="008D1687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3011 Limassol</w:t>
      </w: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Cyprus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lastRenderedPageBreak/>
        <w:t>Registračné číslo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29/0011/93-S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t>Dátum prvej registrácie/predĺženia registrácie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Dátum prvej registrácie: 22. marca 1993</w:t>
      </w: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Dátum posledného predĺženia registrácie: 23. októbra 2006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030D43">
      <w:pPr>
        <w:pStyle w:val="Styl1"/>
        <w:spacing w:before="0" w:after="0"/>
        <w:rPr>
          <w:szCs w:val="22"/>
          <w:lang w:val="sk-SK"/>
        </w:rPr>
      </w:pPr>
      <w:r w:rsidRPr="001A4403">
        <w:rPr>
          <w:szCs w:val="22"/>
          <w:lang w:val="sk-SK"/>
        </w:rPr>
        <w:t>Dátum revízie textu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24315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04</w:t>
      </w:r>
      <w:r w:rsidR="004F77EE" w:rsidRPr="001A4403">
        <w:rPr>
          <w:szCs w:val="22"/>
        </w:rPr>
        <w:t>/2018</w:t>
      </w:r>
    </w:p>
    <w:sectPr w:rsidR="00CD09F2" w:rsidRPr="001A4403" w:rsidSect="00A761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2DBED8" w15:done="0"/>
  <w15:commentEx w15:paraId="28FF461A" w15:done="0"/>
  <w15:commentEx w15:paraId="643120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2DBED8" w16cid:durableId="1E8041E0"/>
  <w16cid:commentId w16cid:paraId="28FF461A" w16cid:durableId="1E8041E1"/>
  <w16cid:commentId w16cid:paraId="643120EB" w16cid:durableId="1E8041E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0E" w:rsidRDefault="00C8510E" w:rsidP="00DD0F58">
      <w:r>
        <w:separator/>
      </w:r>
    </w:p>
  </w:endnote>
  <w:endnote w:type="continuationSeparator" w:id="0">
    <w:p w:rsidR="00C8510E" w:rsidRDefault="00C8510E" w:rsidP="00DD0F58">
      <w:r>
        <w:continuationSeparator/>
      </w:r>
    </w:p>
  </w:endnote>
  <w:endnote w:type="continuationNotice" w:id="1">
    <w:p w:rsidR="00C8510E" w:rsidRDefault="00C851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0E" w:rsidRDefault="003B03D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8510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8510E" w:rsidRDefault="00C8510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0E" w:rsidRPr="00E077A4" w:rsidRDefault="003B03D6" w:rsidP="00A86275">
    <w:pPr>
      <w:pStyle w:val="Pta"/>
      <w:jc w:val="center"/>
      <w:rPr>
        <w:sz w:val="18"/>
        <w:szCs w:val="18"/>
      </w:rPr>
    </w:pPr>
    <w:r w:rsidRPr="00E077A4">
      <w:rPr>
        <w:rStyle w:val="slostrany"/>
        <w:sz w:val="18"/>
        <w:szCs w:val="18"/>
      </w:rPr>
      <w:fldChar w:fldCharType="begin"/>
    </w:r>
    <w:r w:rsidR="00DA5209" w:rsidRPr="00DA5209">
      <w:rPr>
        <w:rStyle w:val="slostrany"/>
        <w:sz w:val="18"/>
        <w:szCs w:val="18"/>
      </w:rPr>
      <w:instrText xml:space="preserve"> PAGE </w:instrText>
    </w:r>
    <w:r w:rsidRPr="00E077A4">
      <w:rPr>
        <w:rStyle w:val="slostrany"/>
        <w:sz w:val="18"/>
        <w:szCs w:val="18"/>
      </w:rPr>
      <w:fldChar w:fldCharType="separate"/>
    </w:r>
    <w:r w:rsidR="001A4403">
      <w:rPr>
        <w:rStyle w:val="slostrany"/>
        <w:noProof/>
        <w:sz w:val="18"/>
        <w:szCs w:val="18"/>
      </w:rPr>
      <w:t>7</w:t>
    </w:r>
    <w:r w:rsidRPr="00E077A4">
      <w:rPr>
        <w:rStyle w:val="slostrany"/>
        <w:sz w:val="18"/>
        <w:szCs w:val="18"/>
      </w:rPr>
      <w:fldChar w:fldCharType="end"/>
    </w:r>
    <w:r w:rsidR="00C8510E" w:rsidRPr="00E077A4">
      <w:rPr>
        <w:rStyle w:val="slostrany"/>
        <w:sz w:val="18"/>
        <w:szCs w:val="18"/>
      </w:rPr>
      <w:t>/</w:t>
    </w:r>
    <w:r w:rsidRPr="00E077A4">
      <w:rPr>
        <w:rStyle w:val="slostrany"/>
        <w:sz w:val="18"/>
        <w:szCs w:val="18"/>
      </w:rPr>
      <w:fldChar w:fldCharType="begin"/>
    </w:r>
    <w:r w:rsidR="00DA5209" w:rsidRPr="00DA5209">
      <w:rPr>
        <w:rStyle w:val="slostrany"/>
        <w:sz w:val="18"/>
        <w:szCs w:val="18"/>
      </w:rPr>
      <w:instrText xml:space="preserve"> NUMPAGES </w:instrText>
    </w:r>
    <w:r w:rsidRPr="00E077A4">
      <w:rPr>
        <w:rStyle w:val="slostrany"/>
        <w:sz w:val="18"/>
        <w:szCs w:val="18"/>
      </w:rPr>
      <w:fldChar w:fldCharType="separate"/>
    </w:r>
    <w:r w:rsidR="001A4403">
      <w:rPr>
        <w:rStyle w:val="slostrany"/>
        <w:noProof/>
        <w:sz w:val="18"/>
        <w:szCs w:val="18"/>
      </w:rPr>
      <w:t>7</w:t>
    </w:r>
    <w:r w:rsidRPr="00E077A4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0E" w:rsidRPr="00CD6B74" w:rsidRDefault="003B03D6" w:rsidP="0083597F">
    <w:pPr>
      <w:pStyle w:val="Pta"/>
      <w:jc w:val="center"/>
      <w:rPr>
        <w:sz w:val="22"/>
      </w:rPr>
    </w:pPr>
    <w:r w:rsidRPr="00DA5209">
      <w:rPr>
        <w:rStyle w:val="slostrany"/>
        <w:sz w:val="22"/>
      </w:rPr>
      <w:fldChar w:fldCharType="begin"/>
    </w:r>
    <w:r w:rsidR="00DA5209" w:rsidRPr="00DA5209">
      <w:rPr>
        <w:rStyle w:val="slostrany"/>
        <w:sz w:val="22"/>
      </w:rPr>
      <w:instrText xml:space="preserve"> PAGE </w:instrText>
    </w:r>
    <w:r w:rsidRPr="00DA5209">
      <w:rPr>
        <w:rStyle w:val="slostrany"/>
        <w:sz w:val="22"/>
      </w:rPr>
      <w:fldChar w:fldCharType="separate"/>
    </w:r>
    <w:r w:rsidR="00C8510E">
      <w:rPr>
        <w:rStyle w:val="slostrany"/>
        <w:noProof/>
        <w:sz w:val="22"/>
      </w:rPr>
      <w:t>1</w:t>
    </w:r>
    <w:r w:rsidRPr="00DA5209">
      <w:rPr>
        <w:rStyle w:val="slostrany"/>
        <w:sz w:val="22"/>
      </w:rPr>
      <w:fldChar w:fldCharType="end"/>
    </w:r>
    <w:r w:rsidR="00DA5209" w:rsidRPr="00DA5209">
      <w:rPr>
        <w:rStyle w:val="slostrany"/>
        <w:sz w:val="22"/>
      </w:rPr>
      <w:t>/</w:t>
    </w:r>
    <w:r w:rsidRPr="00DA5209">
      <w:rPr>
        <w:rStyle w:val="slostrany"/>
        <w:sz w:val="22"/>
      </w:rPr>
      <w:fldChar w:fldCharType="begin"/>
    </w:r>
    <w:r w:rsidR="00C8510E" w:rsidRPr="00CD6B74">
      <w:rPr>
        <w:rStyle w:val="slostrany"/>
        <w:sz w:val="22"/>
        <w:szCs w:val="22"/>
      </w:rPr>
      <w:instrText xml:space="preserve"> NUMPAGES </w:instrText>
    </w:r>
    <w:r w:rsidRPr="00DA5209">
      <w:rPr>
        <w:rStyle w:val="slostrany"/>
        <w:sz w:val="22"/>
      </w:rPr>
      <w:fldChar w:fldCharType="separate"/>
    </w:r>
    <w:r w:rsidR="00C8510E">
      <w:rPr>
        <w:rStyle w:val="slostrany"/>
        <w:noProof/>
        <w:sz w:val="22"/>
        <w:szCs w:val="22"/>
      </w:rPr>
      <w:t>7</w:t>
    </w:r>
    <w:r w:rsidRPr="00DA5209">
      <w:rPr>
        <w:rStyle w:val="slostrany"/>
        <w:sz w:val="22"/>
      </w:rPr>
      <w:fldChar w:fldCharType="end"/>
    </w:r>
  </w:p>
  <w:p w:rsidR="00C8510E" w:rsidRPr="00491843" w:rsidRDefault="00C8510E">
    <w:pPr>
      <w:pStyle w:val="Pta"/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0E" w:rsidRDefault="00C8510E" w:rsidP="00DD0F58">
      <w:r>
        <w:separator/>
      </w:r>
    </w:p>
  </w:footnote>
  <w:footnote w:type="continuationSeparator" w:id="0">
    <w:p w:rsidR="00C8510E" w:rsidRDefault="00C8510E" w:rsidP="00DD0F58">
      <w:r>
        <w:continuationSeparator/>
      </w:r>
    </w:p>
  </w:footnote>
  <w:footnote w:type="continuationNotice" w:id="1">
    <w:p w:rsidR="00C8510E" w:rsidRDefault="00C851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0E" w:rsidRDefault="00C8510E" w:rsidP="008C60D5">
    <w:pPr>
      <w:pStyle w:val="Hlavika"/>
      <w:rPr>
        <w:sz w:val="18"/>
        <w:szCs w:val="18"/>
      </w:rPr>
    </w:pPr>
  </w:p>
  <w:p w:rsidR="00C8510E" w:rsidRPr="005B6BE9" w:rsidRDefault="00C8510E" w:rsidP="008C60D5">
    <w:pPr>
      <w:pStyle w:val="Hlavika"/>
      <w:rPr>
        <w:sz w:val="18"/>
      </w:rPr>
    </w:pPr>
    <w:r w:rsidRPr="005B6BE9">
      <w:rPr>
        <w:sz w:val="18"/>
      </w:rPr>
      <w:t>Príloha č.</w:t>
    </w:r>
    <w:r>
      <w:rPr>
        <w:sz w:val="18"/>
        <w:szCs w:val="18"/>
      </w:rPr>
      <w:t xml:space="preserve"> 1</w:t>
    </w:r>
    <w:r w:rsidRPr="005B6BE9">
      <w:rPr>
        <w:sz w:val="18"/>
      </w:rPr>
      <w:t xml:space="preserve">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>.: 2015/06076-Z1B</w:t>
    </w:r>
  </w:p>
  <w:p w:rsidR="00C8510E" w:rsidRDefault="00C8510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0E" w:rsidRPr="005B6BE9" w:rsidRDefault="00C8510E" w:rsidP="000E2643">
    <w:pPr>
      <w:pStyle w:val="Hlavika"/>
      <w:rPr>
        <w:sz w:val="18"/>
      </w:rPr>
    </w:pPr>
    <w:r w:rsidRPr="005B6BE9">
      <w:rPr>
        <w:sz w:val="18"/>
      </w:rPr>
      <w:t>Príloha č.</w:t>
    </w:r>
    <w:r>
      <w:rPr>
        <w:sz w:val="18"/>
        <w:szCs w:val="18"/>
      </w:rPr>
      <w:t xml:space="preserve"> </w:t>
    </w:r>
    <w:r w:rsidRPr="005B6BE9">
      <w:rPr>
        <w:sz w:val="18"/>
      </w:rPr>
      <w:t>1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>.: 2015/035132015/06076</w:t>
    </w:r>
    <w:r w:rsidRPr="005B6BE9">
      <w:rPr>
        <w:sz w:val="18"/>
      </w:rPr>
      <w:t>Príloha č.</w:t>
    </w:r>
    <w:r>
      <w:rPr>
        <w:sz w:val="18"/>
        <w:szCs w:val="18"/>
      </w:rPr>
      <w:t xml:space="preserve"> 2</w:t>
    </w:r>
    <w:r w:rsidRPr="005B6BE9">
      <w:rPr>
        <w:sz w:val="18"/>
      </w:rPr>
      <w:t xml:space="preserve">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>.: 2015/03514-ZIB</w:t>
    </w:r>
  </w:p>
  <w:p w:rsidR="00C8510E" w:rsidRPr="005B6BE9" w:rsidRDefault="00C8510E">
    <w:pPr>
      <w:pStyle w:val="Hlavika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208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F0B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461C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F46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64A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DC53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0A4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8C3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446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B0A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AD0EAC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>
    <w:nsid w:val="02F63C86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>
    <w:nsid w:val="035D29C7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>
    <w:nsid w:val="042E77C9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0589758E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6">
    <w:nsid w:val="06BD4346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>
    <w:nsid w:val="076B3FA4"/>
    <w:multiLevelType w:val="hybridMultilevel"/>
    <w:tmpl w:val="561010F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8183B0D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08251A2B"/>
    <w:multiLevelType w:val="hybridMultilevel"/>
    <w:tmpl w:val="612E782C"/>
    <w:lvl w:ilvl="0" w:tplc="ACDCEBB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9FF2600"/>
    <w:multiLevelType w:val="singleLevel"/>
    <w:tmpl w:val="1EFE8142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1">
    <w:nsid w:val="0D0C2A14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2">
    <w:nsid w:val="0D4D0061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>
    <w:nsid w:val="0E950C32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4">
    <w:nsid w:val="1025046E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>
    <w:nsid w:val="12144B23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6">
    <w:nsid w:val="151C1632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>
    <w:nsid w:val="161C5391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8">
    <w:nsid w:val="16AD1279"/>
    <w:multiLevelType w:val="singleLevel"/>
    <w:tmpl w:val="B8CAB6F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9">
    <w:nsid w:val="16B555AC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0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174C7DB5"/>
    <w:multiLevelType w:val="hybridMultilevel"/>
    <w:tmpl w:val="3446F13A"/>
    <w:lvl w:ilvl="0" w:tplc="A0EC0DE4">
      <w:start w:val="1"/>
      <w:numFmt w:val="bullet"/>
      <w:pStyle w:val="Normlndoblokusodrkami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1C326A31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1D184F89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>
    <w:nsid w:val="1EF13550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>
    <w:nsid w:val="1FE55532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6">
    <w:nsid w:val="206E4897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7">
    <w:nsid w:val="20EA6435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8">
    <w:nsid w:val="220B2BFE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>
    <w:nsid w:val="23506FD4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0">
    <w:nsid w:val="24451454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8E355F5"/>
    <w:multiLevelType w:val="singleLevel"/>
    <w:tmpl w:val="B8CAB6F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3">
    <w:nsid w:val="293A44FB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4">
    <w:nsid w:val="2E204131"/>
    <w:multiLevelType w:val="singleLevel"/>
    <w:tmpl w:val="4F6EB66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45">
    <w:nsid w:val="2E7F0492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6">
    <w:nsid w:val="2EEA0A38"/>
    <w:multiLevelType w:val="hybridMultilevel"/>
    <w:tmpl w:val="4D06717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EF3539A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8">
    <w:nsid w:val="37B56606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9">
    <w:nsid w:val="386E1EB4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0">
    <w:nsid w:val="3D9C4885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1">
    <w:nsid w:val="3E4F2BC4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2">
    <w:nsid w:val="3E521074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3">
    <w:nsid w:val="3F3F2677"/>
    <w:multiLevelType w:val="singleLevel"/>
    <w:tmpl w:val="1EFE8142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4">
    <w:nsid w:val="402350F3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5">
    <w:nsid w:val="403D27BB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6">
    <w:nsid w:val="45EB01B3"/>
    <w:multiLevelType w:val="hybridMultilevel"/>
    <w:tmpl w:val="4B86ECDA"/>
    <w:lvl w:ilvl="0" w:tplc="DF042A0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66D18AC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8">
    <w:nsid w:val="47DA3DCC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9">
    <w:nsid w:val="491F006D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0">
    <w:nsid w:val="4C714A3A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1">
    <w:nsid w:val="4D1A2FB9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2">
    <w:nsid w:val="4D852064"/>
    <w:multiLevelType w:val="multilevel"/>
    <w:tmpl w:val="387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3">
    <w:nsid w:val="4E415EA3"/>
    <w:multiLevelType w:val="singleLevel"/>
    <w:tmpl w:val="B944EE84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4">
    <w:nsid w:val="513E7CDD"/>
    <w:multiLevelType w:val="hybridMultilevel"/>
    <w:tmpl w:val="942834D6"/>
    <w:lvl w:ilvl="0" w:tplc="4432B35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3300E16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6">
    <w:nsid w:val="544C2CC2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7">
    <w:nsid w:val="54D65E59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>
    <w:nsid w:val="55DD444F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9">
    <w:nsid w:val="56C92FA4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0">
    <w:nsid w:val="59625C73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1">
    <w:nsid w:val="597351ED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2">
    <w:nsid w:val="5AD308F1"/>
    <w:multiLevelType w:val="hybridMultilevel"/>
    <w:tmpl w:val="53E62ADA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3">
    <w:nsid w:val="5B3B3D70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4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E74187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6">
    <w:nsid w:val="6426532D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7">
    <w:nsid w:val="66C274AB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8">
    <w:nsid w:val="67086226"/>
    <w:multiLevelType w:val="hybridMultilevel"/>
    <w:tmpl w:val="C2F02C7A"/>
    <w:lvl w:ilvl="0" w:tplc="9288F2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ED40C4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0">
    <w:nsid w:val="6A4B0441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1">
    <w:nsid w:val="6A4B084E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2">
    <w:nsid w:val="6AAD4AA7"/>
    <w:multiLevelType w:val="multilevel"/>
    <w:tmpl w:val="89726C2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>
    <w:nsid w:val="6ADB1A09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4">
    <w:nsid w:val="6B810187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5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611940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7">
    <w:nsid w:val="6DAB0A63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8">
    <w:nsid w:val="6ED07205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9">
    <w:nsid w:val="71691CB0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0">
    <w:nsid w:val="744676D0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1">
    <w:nsid w:val="771E0E0E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2">
    <w:nsid w:val="7E350C4A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3">
    <w:nsid w:val="7F4D7BB7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4">
    <w:nsid w:val="7FE837C2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82"/>
  </w:num>
  <w:num w:numId="2">
    <w:abstractNumId w:val="82"/>
  </w:num>
  <w:num w:numId="3">
    <w:abstractNumId w:val="31"/>
  </w:num>
  <w:num w:numId="4">
    <w:abstractNumId w:val="78"/>
  </w:num>
  <w:num w:numId="5">
    <w:abstractNumId w:val="66"/>
  </w:num>
  <w:num w:numId="6">
    <w:abstractNumId w:val="90"/>
  </w:num>
  <w:num w:numId="7">
    <w:abstractNumId w:val="18"/>
  </w:num>
  <w:num w:numId="8">
    <w:abstractNumId w:val="38"/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0">
    <w:abstractNumId w:val="34"/>
  </w:num>
  <w:num w:numId="11">
    <w:abstractNumId w:val="76"/>
  </w:num>
  <w:num w:numId="12">
    <w:abstractNumId w:val="60"/>
  </w:num>
  <w:num w:numId="13">
    <w:abstractNumId w:val="63"/>
  </w:num>
  <w:num w:numId="14">
    <w:abstractNumId w:val="86"/>
  </w:num>
  <w:num w:numId="15">
    <w:abstractNumId w:val="71"/>
  </w:num>
  <w:num w:numId="16">
    <w:abstractNumId w:val="36"/>
  </w:num>
  <w:num w:numId="17">
    <w:abstractNumId w:val="94"/>
  </w:num>
  <w:num w:numId="18">
    <w:abstractNumId w:val="57"/>
  </w:num>
  <w:num w:numId="19">
    <w:abstractNumId w:val="16"/>
  </w:num>
  <w:num w:numId="20">
    <w:abstractNumId w:val="50"/>
  </w:num>
  <w:num w:numId="21">
    <w:abstractNumId w:val="70"/>
  </w:num>
  <w:num w:numId="22">
    <w:abstractNumId w:val="73"/>
  </w:num>
  <w:num w:numId="23">
    <w:abstractNumId w:val="54"/>
  </w:num>
  <w:num w:numId="24">
    <w:abstractNumId w:val="51"/>
  </w:num>
  <w:num w:numId="25">
    <w:abstractNumId w:val="14"/>
  </w:num>
  <w:num w:numId="26">
    <w:abstractNumId w:val="79"/>
  </w:num>
  <w:num w:numId="27">
    <w:abstractNumId w:val="26"/>
  </w:num>
  <w:num w:numId="28">
    <w:abstractNumId w:val="45"/>
  </w:num>
  <w:num w:numId="29">
    <w:abstractNumId w:val="92"/>
  </w:num>
  <w:num w:numId="30">
    <w:abstractNumId w:val="84"/>
  </w:num>
  <w:num w:numId="31">
    <w:abstractNumId w:val="77"/>
  </w:num>
  <w:num w:numId="32">
    <w:abstractNumId w:val="24"/>
  </w:num>
  <w:num w:numId="33">
    <w:abstractNumId w:val="88"/>
  </w:num>
  <w:num w:numId="34">
    <w:abstractNumId w:val="11"/>
  </w:num>
  <w:num w:numId="35">
    <w:abstractNumId w:val="20"/>
  </w:num>
  <w:num w:numId="36">
    <w:abstractNumId w:val="20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7">
    <w:abstractNumId w:val="28"/>
  </w:num>
  <w:num w:numId="38">
    <w:abstractNumId w:val="40"/>
  </w:num>
  <w:num w:numId="39">
    <w:abstractNumId w:val="47"/>
  </w:num>
  <w:num w:numId="40">
    <w:abstractNumId w:val="81"/>
  </w:num>
  <w:num w:numId="41">
    <w:abstractNumId w:val="35"/>
  </w:num>
  <w:num w:numId="42">
    <w:abstractNumId w:val="75"/>
  </w:num>
  <w:num w:numId="43">
    <w:abstractNumId w:val="80"/>
  </w:num>
  <w:num w:numId="44">
    <w:abstractNumId w:val="23"/>
  </w:num>
  <w:num w:numId="45">
    <w:abstractNumId w:val="49"/>
  </w:num>
  <w:num w:numId="46">
    <w:abstractNumId w:val="21"/>
  </w:num>
  <w:num w:numId="47">
    <w:abstractNumId w:val="89"/>
  </w:num>
  <w:num w:numId="48">
    <w:abstractNumId w:val="91"/>
  </w:num>
  <w:num w:numId="49">
    <w:abstractNumId w:val="39"/>
  </w:num>
  <w:num w:numId="50">
    <w:abstractNumId w:val="37"/>
  </w:num>
  <w:num w:numId="51">
    <w:abstractNumId w:val="61"/>
  </w:num>
  <w:num w:numId="52">
    <w:abstractNumId w:val="15"/>
  </w:num>
  <w:num w:numId="53">
    <w:abstractNumId w:val="55"/>
  </w:num>
  <w:num w:numId="54">
    <w:abstractNumId w:val="48"/>
  </w:num>
  <w:num w:numId="55">
    <w:abstractNumId w:val="68"/>
  </w:num>
  <w:num w:numId="56">
    <w:abstractNumId w:val="32"/>
  </w:num>
  <w:num w:numId="57">
    <w:abstractNumId w:val="52"/>
  </w:num>
  <w:num w:numId="58">
    <w:abstractNumId w:val="65"/>
  </w:num>
  <w:num w:numId="59">
    <w:abstractNumId w:val="53"/>
  </w:num>
  <w:num w:numId="60">
    <w:abstractNumId w:val="53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61">
    <w:abstractNumId w:val="42"/>
  </w:num>
  <w:num w:numId="62">
    <w:abstractNumId w:val="87"/>
  </w:num>
  <w:num w:numId="63">
    <w:abstractNumId w:val="12"/>
  </w:num>
  <w:num w:numId="64">
    <w:abstractNumId w:val="25"/>
  </w:num>
  <w:num w:numId="65">
    <w:abstractNumId w:val="22"/>
  </w:num>
  <w:num w:numId="66">
    <w:abstractNumId w:val="33"/>
  </w:num>
  <w:num w:numId="67">
    <w:abstractNumId w:val="29"/>
  </w:num>
  <w:num w:numId="68">
    <w:abstractNumId w:val="83"/>
  </w:num>
  <w:num w:numId="69">
    <w:abstractNumId w:val="59"/>
  </w:num>
  <w:num w:numId="70">
    <w:abstractNumId w:val="93"/>
  </w:num>
  <w:num w:numId="71">
    <w:abstractNumId w:val="58"/>
  </w:num>
  <w:num w:numId="72">
    <w:abstractNumId w:val="13"/>
  </w:num>
  <w:num w:numId="73">
    <w:abstractNumId w:val="27"/>
  </w:num>
  <w:num w:numId="74">
    <w:abstractNumId w:val="43"/>
  </w:num>
  <w:num w:numId="75">
    <w:abstractNumId w:val="69"/>
  </w:num>
  <w:num w:numId="76">
    <w:abstractNumId w:val="67"/>
  </w:num>
  <w:num w:numId="77">
    <w:abstractNumId w:val="44"/>
  </w:num>
  <w:num w:numId="78">
    <w:abstractNumId w:val="56"/>
  </w:num>
  <w:num w:numId="79">
    <w:abstractNumId w:val="19"/>
  </w:num>
  <w:num w:numId="80">
    <w:abstractNumId w:val="46"/>
  </w:num>
  <w:num w:numId="81">
    <w:abstractNumId w:val="17"/>
  </w:num>
  <w:num w:numId="82">
    <w:abstractNumId w:val="62"/>
  </w:num>
  <w:num w:numId="83">
    <w:abstractNumId w:val="64"/>
  </w:num>
  <w:num w:numId="84">
    <w:abstractNumId w:val="72"/>
  </w:num>
  <w:num w:numId="85">
    <w:abstractNumId w:val="85"/>
  </w:num>
  <w:num w:numId="86">
    <w:abstractNumId w:val="74"/>
  </w:num>
  <w:num w:numId="87">
    <w:abstractNumId w:val="30"/>
  </w:num>
  <w:num w:numId="88">
    <w:abstractNumId w:val="31"/>
  </w:num>
  <w:num w:numId="89">
    <w:abstractNumId w:val="82"/>
  </w:num>
  <w:num w:numId="90">
    <w:abstractNumId w:val="82"/>
  </w:num>
  <w:num w:numId="91">
    <w:abstractNumId w:val="82"/>
  </w:num>
  <w:num w:numId="92">
    <w:abstractNumId w:val="41"/>
  </w:num>
  <w:num w:numId="93">
    <w:abstractNumId w:val="82"/>
  </w:num>
  <w:num w:numId="94">
    <w:abstractNumId w:val="82"/>
  </w:num>
  <w:num w:numId="95">
    <w:abstractNumId w:val="8"/>
  </w:num>
  <w:num w:numId="96">
    <w:abstractNumId w:val="3"/>
  </w:num>
  <w:num w:numId="97">
    <w:abstractNumId w:val="2"/>
  </w:num>
  <w:num w:numId="98">
    <w:abstractNumId w:val="1"/>
  </w:num>
  <w:num w:numId="99">
    <w:abstractNumId w:val="0"/>
  </w:num>
  <w:num w:numId="100">
    <w:abstractNumId w:val="9"/>
  </w:num>
  <w:num w:numId="101">
    <w:abstractNumId w:val="7"/>
  </w:num>
  <w:num w:numId="102">
    <w:abstractNumId w:val="6"/>
  </w:num>
  <w:num w:numId="103">
    <w:abstractNumId w:val="5"/>
  </w:num>
  <w:num w:numId="104">
    <w:abstractNumId w:val="4"/>
  </w:num>
  <w:numIdMacAtCleanup w:val="10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4456D"/>
    <w:rsid w:val="00014360"/>
    <w:rsid w:val="000206D3"/>
    <w:rsid w:val="0002713A"/>
    <w:rsid w:val="00030D43"/>
    <w:rsid w:val="000349A5"/>
    <w:rsid w:val="00043662"/>
    <w:rsid w:val="00071AB4"/>
    <w:rsid w:val="0008321F"/>
    <w:rsid w:val="00092CED"/>
    <w:rsid w:val="000B7285"/>
    <w:rsid w:val="000D08C1"/>
    <w:rsid w:val="000E2643"/>
    <w:rsid w:val="000E3824"/>
    <w:rsid w:val="000F59EA"/>
    <w:rsid w:val="001071BF"/>
    <w:rsid w:val="001123CB"/>
    <w:rsid w:val="00112E59"/>
    <w:rsid w:val="0014473E"/>
    <w:rsid w:val="00145876"/>
    <w:rsid w:val="00152C5A"/>
    <w:rsid w:val="00161400"/>
    <w:rsid w:val="0016437F"/>
    <w:rsid w:val="00165F0B"/>
    <w:rsid w:val="001707EC"/>
    <w:rsid w:val="001721CC"/>
    <w:rsid w:val="00177730"/>
    <w:rsid w:val="00190DF3"/>
    <w:rsid w:val="001A04BE"/>
    <w:rsid w:val="001A4403"/>
    <w:rsid w:val="001B0098"/>
    <w:rsid w:val="001B1B00"/>
    <w:rsid w:val="001C0A75"/>
    <w:rsid w:val="001C4C72"/>
    <w:rsid w:val="00226544"/>
    <w:rsid w:val="00231A83"/>
    <w:rsid w:val="00243157"/>
    <w:rsid w:val="002565B6"/>
    <w:rsid w:val="0026241F"/>
    <w:rsid w:val="0026421B"/>
    <w:rsid w:val="002805FA"/>
    <w:rsid w:val="0029275C"/>
    <w:rsid w:val="002979C5"/>
    <w:rsid w:val="002D6991"/>
    <w:rsid w:val="002E5E44"/>
    <w:rsid w:val="003223DF"/>
    <w:rsid w:val="003313B9"/>
    <w:rsid w:val="003354DC"/>
    <w:rsid w:val="00343CC9"/>
    <w:rsid w:val="00345A4B"/>
    <w:rsid w:val="00350C8C"/>
    <w:rsid w:val="003548A5"/>
    <w:rsid w:val="00365406"/>
    <w:rsid w:val="00391C12"/>
    <w:rsid w:val="003A2001"/>
    <w:rsid w:val="003A6AEA"/>
    <w:rsid w:val="003B03D6"/>
    <w:rsid w:val="003C4EB3"/>
    <w:rsid w:val="003E5B28"/>
    <w:rsid w:val="003F3015"/>
    <w:rsid w:val="003F704A"/>
    <w:rsid w:val="00400D4A"/>
    <w:rsid w:val="004066D4"/>
    <w:rsid w:val="004145B2"/>
    <w:rsid w:val="00415E4B"/>
    <w:rsid w:val="00430187"/>
    <w:rsid w:val="00454D56"/>
    <w:rsid w:val="00467556"/>
    <w:rsid w:val="00485451"/>
    <w:rsid w:val="00491843"/>
    <w:rsid w:val="004A668A"/>
    <w:rsid w:val="004A6828"/>
    <w:rsid w:val="004E10B3"/>
    <w:rsid w:val="004F77EE"/>
    <w:rsid w:val="0050716C"/>
    <w:rsid w:val="00511F2D"/>
    <w:rsid w:val="0051534D"/>
    <w:rsid w:val="00534AB8"/>
    <w:rsid w:val="00564DB6"/>
    <w:rsid w:val="005770DE"/>
    <w:rsid w:val="005A11BD"/>
    <w:rsid w:val="005B6BE9"/>
    <w:rsid w:val="005C18A6"/>
    <w:rsid w:val="005C2ED9"/>
    <w:rsid w:val="005C77D3"/>
    <w:rsid w:val="005D0D8B"/>
    <w:rsid w:val="005D4166"/>
    <w:rsid w:val="005D7AE4"/>
    <w:rsid w:val="005E11AC"/>
    <w:rsid w:val="005E6411"/>
    <w:rsid w:val="005E7366"/>
    <w:rsid w:val="00602E2F"/>
    <w:rsid w:val="0060322B"/>
    <w:rsid w:val="00633E51"/>
    <w:rsid w:val="00644D24"/>
    <w:rsid w:val="006548F8"/>
    <w:rsid w:val="0068211D"/>
    <w:rsid w:val="00691D70"/>
    <w:rsid w:val="00694EB2"/>
    <w:rsid w:val="00695EB1"/>
    <w:rsid w:val="006A7787"/>
    <w:rsid w:val="006C35FE"/>
    <w:rsid w:val="006D1361"/>
    <w:rsid w:val="006D2202"/>
    <w:rsid w:val="006D7D6E"/>
    <w:rsid w:val="006F2311"/>
    <w:rsid w:val="006F291C"/>
    <w:rsid w:val="006F61F0"/>
    <w:rsid w:val="00714669"/>
    <w:rsid w:val="00725D3F"/>
    <w:rsid w:val="00752A43"/>
    <w:rsid w:val="00755B90"/>
    <w:rsid w:val="0077481B"/>
    <w:rsid w:val="00780194"/>
    <w:rsid w:val="007972C4"/>
    <w:rsid w:val="007C0CB8"/>
    <w:rsid w:val="007C52D5"/>
    <w:rsid w:val="007D0C55"/>
    <w:rsid w:val="007D5A70"/>
    <w:rsid w:val="007D6124"/>
    <w:rsid w:val="007F46AB"/>
    <w:rsid w:val="0081750E"/>
    <w:rsid w:val="00821451"/>
    <w:rsid w:val="008221F0"/>
    <w:rsid w:val="0083597F"/>
    <w:rsid w:val="00842375"/>
    <w:rsid w:val="00843A5F"/>
    <w:rsid w:val="0084456D"/>
    <w:rsid w:val="008B034F"/>
    <w:rsid w:val="008C407F"/>
    <w:rsid w:val="008C60D5"/>
    <w:rsid w:val="008D1687"/>
    <w:rsid w:val="008E4892"/>
    <w:rsid w:val="00905524"/>
    <w:rsid w:val="009103E5"/>
    <w:rsid w:val="00911598"/>
    <w:rsid w:val="009134E8"/>
    <w:rsid w:val="009224F3"/>
    <w:rsid w:val="00922FF5"/>
    <w:rsid w:val="009324DB"/>
    <w:rsid w:val="0095197F"/>
    <w:rsid w:val="00967D67"/>
    <w:rsid w:val="00974358"/>
    <w:rsid w:val="00975200"/>
    <w:rsid w:val="009B045B"/>
    <w:rsid w:val="009C5FBC"/>
    <w:rsid w:val="009D191B"/>
    <w:rsid w:val="009E39E8"/>
    <w:rsid w:val="009F099C"/>
    <w:rsid w:val="009F281E"/>
    <w:rsid w:val="009F33F3"/>
    <w:rsid w:val="00A02F03"/>
    <w:rsid w:val="00A0540B"/>
    <w:rsid w:val="00A05CD7"/>
    <w:rsid w:val="00A1408D"/>
    <w:rsid w:val="00A17FD4"/>
    <w:rsid w:val="00A23217"/>
    <w:rsid w:val="00A4287E"/>
    <w:rsid w:val="00A51253"/>
    <w:rsid w:val="00A51F92"/>
    <w:rsid w:val="00A61F8A"/>
    <w:rsid w:val="00A6670E"/>
    <w:rsid w:val="00A72C4F"/>
    <w:rsid w:val="00A7613C"/>
    <w:rsid w:val="00A86275"/>
    <w:rsid w:val="00A91EBE"/>
    <w:rsid w:val="00AA4658"/>
    <w:rsid w:val="00AA5B7D"/>
    <w:rsid w:val="00AA6E0E"/>
    <w:rsid w:val="00AB0DE9"/>
    <w:rsid w:val="00AE4A24"/>
    <w:rsid w:val="00AF5C59"/>
    <w:rsid w:val="00B21CE0"/>
    <w:rsid w:val="00B24CEE"/>
    <w:rsid w:val="00B365D1"/>
    <w:rsid w:val="00B4328C"/>
    <w:rsid w:val="00B470C4"/>
    <w:rsid w:val="00B50C4B"/>
    <w:rsid w:val="00B549B8"/>
    <w:rsid w:val="00B634E3"/>
    <w:rsid w:val="00B73055"/>
    <w:rsid w:val="00B8508A"/>
    <w:rsid w:val="00B8662C"/>
    <w:rsid w:val="00B93258"/>
    <w:rsid w:val="00BA71EF"/>
    <w:rsid w:val="00BB0AAA"/>
    <w:rsid w:val="00BC274D"/>
    <w:rsid w:val="00C02AA9"/>
    <w:rsid w:val="00C14BC2"/>
    <w:rsid w:val="00C37122"/>
    <w:rsid w:val="00C40AB7"/>
    <w:rsid w:val="00C509F4"/>
    <w:rsid w:val="00C617F9"/>
    <w:rsid w:val="00C61B1A"/>
    <w:rsid w:val="00C74FB5"/>
    <w:rsid w:val="00C8510E"/>
    <w:rsid w:val="00C87E1F"/>
    <w:rsid w:val="00CA67D3"/>
    <w:rsid w:val="00CA7808"/>
    <w:rsid w:val="00CB58D6"/>
    <w:rsid w:val="00CC7CBA"/>
    <w:rsid w:val="00CD09F2"/>
    <w:rsid w:val="00CD3162"/>
    <w:rsid w:val="00CD6B74"/>
    <w:rsid w:val="00CE61BF"/>
    <w:rsid w:val="00CE6229"/>
    <w:rsid w:val="00CE6F9E"/>
    <w:rsid w:val="00CF1EA7"/>
    <w:rsid w:val="00D040E4"/>
    <w:rsid w:val="00D20DEF"/>
    <w:rsid w:val="00D2182D"/>
    <w:rsid w:val="00D24877"/>
    <w:rsid w:val="00D627A2"/>
    <w:rsid w:val="00D62A6D"/>
    <w:rsid w:val="00D6362D"/>
    <w:rsid w:val="00D64191"/>
    <w:rsid w:val="00D755AB"/>
    <w:rsid w:val="00D8161D"/>
    <w:rsid w:val="00D90169"/>
    <w:rsid w:val="00D97C41"/>
    <w:rsid w:val="00DA5209"/>
    <w:rsid w:val="00DB0094"/>
    <w:rsid w:val="00DB2819"/>
    <w:rsid w:val="00DB72EA"/>
    <w:rsid w:val="00DD0F58"/>
    <w:rsid w:val="00DD1289"/>
    <w:rsid w:val="00DD1AA9"/>
    <w:rsid w:val="00DD48B0"/>
    <w:rsid w:val="00DD73E7"/>
    <w:rsid w:val="00DF7300"/>
    <w:rsid w:val="00E07380"/>
    <w:rsid w:val="00E077A4"/>
    <w:rsid w:val="00E10941"/>
    <w:rsid w:val="00E20C95"/>
    <w:rsid w:val="00E33D63"/>
    <w:rsid w:val="00E374D9"/>
    <w:rsid w:val="00E56FC0"/>
    <w:rsid w:val="00E700E1"/>
    <w:rsid w:val="00E7103C"/>
    <w:rsid w:val="00EA5F49"/>
    <w:rsid w:val="00EE2113"/>
    <w:rsid w:val="00F02BAC"/>
    <w:rsid w:val="00F040B2"/>
    <w:rsid w:val="00F0454F"/>
    <w:rsid w:val="00F118C3"/>
    <w:rsid w:val="00F43A68"/>
    <w:rsid w:val="00F43AC4"/>
    <w:rsid w:val="00F53031"/>
    <w:rsid w:val="00F5797F"/>
    <w:rsid w:val="00F73D2C"/>
    <w:rsid w:val="00F823C7"/>
    <w:rsid w:val="00F8557A"/>
    <w:rsid w:val="00F867F1"/>
    <w:rsid w:val="00FC2164"/>
    <w:rsid w:val="00FC5398"/>
    <w:rsid w:val="00FE1E97"/>
    <w:rsid w:val="00FE360F"/>
    <w:rsid w:val="00FE4649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431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0F58"/>
    <w:pPr>
      <w:keepNext/>
      <w:jc w:val="both"/>
      <w:outlineLvl w:val="0"/>
    </w:pPr>
    <w:rPr>
      <w:b/>
      <w:sz w:val="36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D0F58"/>
    <w:rPr>
      <w:rFonts w:ascii="Times New Roman" w:hAnsi="Times New Roman" w:cs="Times New Roman"/>
      <w:b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DD0F58"/>
    <w:pPr>
      <w:jc w:val="both"/>
    </w:pPr>
    <w:rPr>
      <w:szCs w:val="20"/>
    </w:rPr>
  </w:style>
  <w:style w:type="paragraph" w:styleId="Zkladntext2">
    <w:name w:val="Body Text 2"/>
    <w:basedOn w:val="Normlny"/>
    <w:link w:val="Zkladntext2Char"/>
    <w:uiPriority w:val="99"/>
    <w:semiHidden/>
    <w:rsid w:val="00DD0F58"/>
    <w:pPr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y"/>
    <w:autoRedefine/>
    <w:rsid w:val="00152C5A"/>
    <w:pPr>
      <w:keepNext/>
      <w:numPr>
        <w:numId w:val="94"/>
      </w:numPr>
      <w:spacing w:before="360" w:after="120"/>
      <w:jc w:val="both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link w:val="Styl2Char"/>
    <w:autoRedefine/>
    <w:rsid w:val="00243157"/>
    <w:pPr>
      <w:keepNext/>
      <w:numPr>
        <w:ilvl w:val="1"/>
        <w:numId w:val="94"/>
      </w:numPr>
      <w:spacing w:before="240" w:after="120"/>
      <w:ind w:left="284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E33D63"/>
    <w:pPr>
      <w:numPr>
        <w:ilvl w:val="0"/>
        <w:numId w:val="0"/>
      </w:numPr>
      <w:spacing w:before="120"/>
    </w:pPr>
    <w:rPr>
      <w:szCs w:val="20"/>
      <w:lang w:val="en-GB"/>
    </w:rPr>
  </w:style>
  <w:style w:type="paragraph" w:customStyle="1" w:styleId="Styl3">
    <w:name w:val="Styl3"/>
    <w:basedOn w:val="Styl2"/>
    <w:link w:val="Styl3Char"/>
    <w:rsid w:val="00243157"/>
    <w:pPr>
      <w:numPr>
        <w:ilvl w:val="0"/>
        <w:numId w:val="0"/>
      </w:numPr>
    </w:pPr>
    <w:rPr>
      <w:b w:val="0"/>
      <w:u w:val="single"/>
    </w:rPr>
  </w:style>
  <w:style w:type="character" w:customStyle="1" w:styleId="Styl3Char">
    <w:name w:val="Styl3 Char"/>
    <w:link w:val="Styl3"/>
    <w:locked/>
    <w:rsid w:val="00243157"/>
    <w:rPr>
      <w:rFonts w:ascii="Times New Roman" w:eastAsia="Times New Roman" w:hAnsi="Times New Roman"/>
      <w:bCs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243157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243157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3157"/>
    <w:pPr>
      <w:numPr>
        <w:numId w:val="88"/>
      </w:numPr>
    </w:pPr>
    <w:rPr>
      <w:noProof/>
    </w:rPr>
  </w:style>
  <w:style w:type="character" w:customStyle="1" w:styleId="Styl2Char">
    <w:name w:val="Styl2 Char"/>
    <w:link w:val="Styl2"/>
    <w:locked/>
    <w:rsid w:val="00243157"/>
    <w:rPr>
      <w:rFonts w:ascii="Times New Roman" w:eastAsia="Times New Roman" w:hAnsi="Times New Roman"/>
      <w:b/>
      <w:bCs/>
      <w:lang w:val="sk-SK" w:eastAsia="en-US"/>
    </w:rPr>
  </w:style>
  <w:style w:type="paragraph" w:customStyle="1" w:styleId="SPCaPILhlavika">
    <w:name w:val="SPC a PIL hlavička"/>
    <w:basedOn w:val="Normlny"/>
    <w:uiPriority w:val="99"/>
    <w:rsid w:val="00243157"/>
    <w:pPr>
      <w:spacing w:before="240" w:after="120"/>
      <w:jc w:val="center"/>
    </w:pPr>
    <w:rPr>
      <w:b/>
      <w:szCs w:val="20"/>
    </w:rPr>
  </w:style>
  <w:style w:type="paragraph" w:styleId="Pta">
    <w:name w:val="footer"/>
    <w:basedOn w:val="Normlny"/>
    <w:link w:val="PtaChar"/>
    <w:uiPriority w:val="99"/>
    <w:rsid w:val="00AB0DE9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semiHidden/>
    <w:rsid w:val="00AB0D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AB0DE9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D0F58"/>
    <w:pPr>
      <w:ind w:firstLine="708"/>
      <w:jc w:val="both"/>
    </w:pPr>
    <w:rPr>
      <w:rFonts w:ascii="Arial" w:hAnsi="Arial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AB0DE9"/>
    <w:rPr>
      <w:rFonts w:cs="Times New Roman"/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D0F58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SPCnadpis">
    <w:name w:val="SPC nadpis"/>
    <w:basedOn w:val="Nadpis1"/>
    <w:uiPriority w:val="99"/>
    <w:rsid w:val="00DD0F58"/>
    <w:pPr>
      <w:keepNext w:val="0"/>
      <w:keepLines/>
      <w:spacing w:before="480" w:after="120"/>
      <w:ind w:left="357" w:hanging="357"/>
      <w:jc w:val="left"/>
    </w:pPr>
    <w:rPr>
      <w:rFonts w:eastAsia="Calibri"/>
      <w:bCs/>
      <w:color w:val="365F91"/>
      <w:sz w:val="22"/>
      <w:szCs w:val="28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D0F58"/>
    <w:rPr>
      <w:rFonts w:ascii="Arial" w:hAnsi="Arial" w:cs="Times New Roman"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0F58"/>
    <w:rPr>
      <w:rFonts w:ascii="Tahoma" w:hAnsi="Tahoma" w:cs="Tahoma"/>
      <w:sz w:val="16"/>
      <w:szCs w:val="16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D0F58"/>
    <w:rPr>
      <w:rFonts w:ascii="Arial" w:hAnsi="Arial" w:cs="Arial"/>
      <w:sz w:val="20"/>
      <w:szCs w:val="20"/>
      <w:lang w:val="sk-SK" w:eastAsia="sk-SK"/>
    </w:rPr>
  </w:style>
  <w:style w:type="paragraph" w:customStyle="1" w:styleId="Styl4">
    <w:name w:val="Styl4"/>
    <w:basedOn w:val="Normlny"/>
    <w:autoRedefine/>
    <w:qFormat/>
    <w:rsid w:val="00243157"/>
    <w:pPr>
      <w:keepNext/>
      <w:suppressAutoHyphens/>
      <w:spacing w:before="120" w:after="60"/>
    </w:pPr>
    <w:rPr>
      <w:rFonts w:eastAsia="Calibri"/>
      <w:i/>
      <w:color w:val="212121"/>
      <w:sz w:val="22"/>
      <w:shd w:val="clear" w:color="auto" w:fill="FFFFFF"/>
      <w:lang w:eastAsia="en-US"/>
    </w:rPr>
  </w:style>
  <w:style w:type="paragraph" w:customStyle="1" w:styleId="styl30">
    <w:name w:val="styl3"/>
    <w:basedOn w:val="Styl2"/>
    <w:next w:val="Normlny"/>
    <w:link w:val="styl3Char0"/>
    <w:uiPriority w:val="99"/>
    <w:rsid w:val="00DD0F58"/>
    <w:pPr>
      <w:keepNext w:val="0"/>
      <w:numPr>
        <w:ilvl w:val="0"/>
        <w:numId w:val="0"/>
      </w:numPr>
    </w:pPr>
    <w:rPr>
      <w:b w:val="0"/>
      <w:bCs w:val="0"/>
      <w:sz w:val="20"/>
      <w:szCs w:val="24"/>
      <w:u w:val="single"/>
    </w:rPr>
  </w:style>
  <w:style w:type="character" w:customStyle="1" w:styleId="styl3Char0">
    <w:name w:val="styl3 Char"/>
    <w:link w:val="styl30"/>
    <w:uiPriority w:val="99"/>
    <w:locked/>
    <w:rsid w:val="00DD0F58"/>
    <w:rPr>
      <w:rFonts w:ascii="Times New Roman" w:hAnsi="Times New Roman"/>
      <w:sz w:val="24"/>
      <w:u w:val="single"/>
      <w:lang w:val="sk-SK" w:eastAsia="sk-SK"/>
    </w:rPr>
  </w:style>
  <w:style w:type="paragraph" w:customStyle="1" w:styleId="Revzia1">
    <w:name w:val="Revízia1"/>
    <w:hidden/>
    <w:uiPriority w:val="99"/>
    <w:semiHidden/>
    <w:rsid w:val="00DD0F58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DD0F5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D0F58"/>
    <w:rPr>
      <w:sz w:val="20"/>
      <w:szCs w:val="20"/>
    </w:rPr>
  </w:style>
  <w:style w:type="paragraph" w:styleId="Revzia">
    <w:name w:val="Revision"/>
    <w:hidden/>
    <w:uiPriority w:val="99"/>
    <w:semiHidden/>
    <w:rsid w:val="00A86275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D0F58"/>
    <w:rPr>
      <w:b/>
      <w:bCs/>
    </w:rPr>
  </w:style>
  <w:style w:type="paragraph" w:customStyle="1" w:styleId="Text">
    <w:name w:val="Text"/>
    <w:basedOn w:val="Normlny"/>
    <w:link w:val="TextChar"/>
    <w:rsid w:val="003F704A"/>
    <w:pPr>
      <w:spacing w:before="120"/>
      <w:jc w:val="both"/>
    </w:pPr>
    <w:rPr>
      <w:rFonts w:eastAsia="MS Mincho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D0F58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TextChar">
    <w:name w:val="Text Char"/>
    <w:link w:val="Text"/>
    <w:rsid w:val="003F704A"/>
    <w:rPr>
      <w:rFonts w:ascii="Times New Roman" w:eastAsia="MS Mincho" w:hAnsi="Times New Roman"/>
      <w:sz w:val="24"/>
      <w:szCs w:val="20"/>
      <w:lang w:val="en-US" w:eastAsia="en-US"/>
    </w:rPr>
  </w:style>
  <w:style w:type="paragraph" w:customStyle="1" w:styleId="Normlnedoblokusodrkami">
    <w:name w:val="Normálne do bloku s odrážkami"/>
    <w:basedOn w:val="Normlny"/>
    <w:rsid w:val="005A11BD"/>
    <w:pPr>
      <w:numPr>
        <w:numId w:val="92"/>
      </w:numPr>
    </w:pPr>
    <w:rPr>
      <w:rFonts w:eastAsia="Calibri"/>
      <w:sz w:val="22"/>
      <w:szCs w:val="22"/>
      <w:lang w:val="cs-CZ" w:eastAsia="en-US"/>
    </w:rPr>
  </w:style>
  <w:style w:type="paragraph" w:customStyle="1" w:styleId="Styl5">
    <w:name w:val="Styl5"/>
    <w:basedOn w:val="Normlny"/>
    <w:autoRedefine/>
    <w:qFormat/>
    <w:rsid w:val="005A11BD"/>
    <w:pPr>
      <w:keepNext/>
      <w:suppressAutoHyphens/>
      <w:spacing w:before="120" w:after="120"/>
    </w:pPr>
    <w:rPr>
      <w:rFonts w:ascii="TimesNewRoman" w:eastAsia="Calibri" w:hAnsi="TimesNewRoman" w:cs="TimesNewRoman"/>
      <w:b/>
      <w:sz w:val="22"/>
      <w:szCs w:val="20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0B59-25D8-4B11-927F-0FD1B3EC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1818</Words>
  <Characters>11341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Medochemie, Ltd.</Company>
  <LinksUpToDate>false</LinksUpToDate>
  <CharactersWithSpaces>13133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Jaroslav Litera</dc:creator>
  <cp:lastModifiedBy>Andrea Krajčí</cp:lastModifiedBy>
  <cp:revision>13</cp:revision>
  <cp:lastPrinted>2015-10-26T09:17:00Z</cp:lastPrinted>
  <dcterms:created xsi:type="dcterms:W3CDTF">2018-04-17T08:22:00Z</dcterms:created>
  <dcterms:modified xsi:type="dcterms:W3CDTF">2018-04-23T11:02:00Z</dcterms:modified>
</cp:coreProperties>
</file>