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15" w:rsidRPr="0026645A" w:rsidRDefault="00066F15" w:rsidP="00066F15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26645A">
        <w:rPr>
          <w:b/>
          <w:bCs/>
          <w:sz w:val="22"/>
          <w:szCs w:val="22"/>
        </w:rPr>
        <w:t>SÚHRN CHARAKTERISTICKÝCH VLASTNOSTÍ LIEKU</w:t>
      </w:r>
    </w:p>
    <w:p w:rsidR="00BB7B2E" w:rsidRPr="00852161" w:rsidRDefault="00BB7B2E" w:rsidP="00BB7B2E">
      <w:pPr>
        <w:jc w:val="both"/>
        <w:rPr>
          <w:b/>
          <w:sz w:val="22"/>
          <w:szCs w:val="22"/>
        </w:rPr>
      </w:pPr>
    </w:p>
    <w:p w:rsidR="00BB7B2E" w:rsidRPr="001D2A46" w:rsidRDefault="00BB7B2E" w:rsidP="00BB7B2E">
      <w:pPr>
        <w:jc w:val="both"/>
        <w:rPr>
          <w:b/>
          <w:sz w:val="22"/>
          <w:szCs w:val="22"/>
        </w:rPr>
      </w:pPr>
    </w:p>
    <w:p w:rsidR="00BB7B2E" w:rsidRPr="00CD66B0" w:rsidRDefault="00BB7B2E" w:rsidP="00BB7B2E">
      <w:pPr>
        <w:numPr>
          <w:ilvl w:val="0"/>
          <w:numId w:val="5"/>
        </w:numPr>
        <w:ind w:left="0" w:firstLine="0"/>
        <w:jc w:val="both"/>
        <w:rPr>
          <w:b/>
          <w:sz w:val="22"/>
          <w:szCs w:val="22"/>
        </w:rPr>
      </w:pPr>
      <w:r w:rsidRPr="00CD66B0">
        <w:rPr>
          <w:b/>
          <w:sz w:val="22"/>
          <w:szCs w:val="22"/>
        </w:rPr>
        <w:t>NÁZOV LIEKU</w:t>
      </w:r>
    </w:p>
    <w:p w:rsidR="00BB7B2E" w:rsidRPr="009C4AF1" w:rsidRDefault="00BB7B2E" w:rsidP="00BB7B2E">
      <w:pPr>
        <w:jc w:val="both"/>
        <w:rPr>
          <w:b/>
          <w:sz w:val="22"/>
          <w:szCs w:val="22"/>
        </w:rPr>
      </w:pPr>
    </w:p>
    <w:p w:rsidR="00BB7B2E" w:rsidRPr="00D27A29" w:rsidRDefault="00BB7B2E" w:rsidP="00BB7B2E">
      <w:pPr>
        <w:jc w:val="both"/>
        <w:rPr>
          <w:sz w:val="22"/>
          <w:szCs w:val="22"/>
        </w:rPr>
      </w:pPr>
      <w:proofErr w:type="spellStart"/>
      <w:r w:rsidRPr="00A816DE">
        <w:rPr>
          <w:bCs/>
          <w:sz w:val="22"/>
          <w:szCs w:val="22"/>
        </w:rPr>
        <w:t>Furosemid</w:t>
      </w:r>
      <w:r w:rsidR="00665A19">
        <w:rPr>
          <w:bCs/>
          <w:sz w:val="22"/>
          <w:szCs w:val="22"/>
        </w:rPr>
        <w:t>e</w:t>
      </w:r>
      <w:proofErr w:type="spellEnd"/>
      <w:r w:rsidR="00F107DB">
        <w:rPr>
          <w:bCs/>
          <w:sz w:val="22"/>
          <w:szCs w:val="22"/>
        </w:rPr>
        <w:t xml:space="preserve"> </w:t>
      </w:r>
      <w:proofErr w:type="spellStart"/>
      <w:r w:rsidR="00665A19">
        <w:rPr>
          <w:bCs/>
          <w:sz w:val="22"/>
          <w:szCs w:val="22"/>
        </w:rPr>
        <w:t>Norameda</w:t>
      </w:r>
      <w:proofErr w:type="spellEnd"/>
      <w:r w:rsidRPr="00A816DE">
        <w:rPr>
          <w:bCs/>
          <w:sz w:val="22"/>
          <w:szCs w:val="22"/>
        </w:rPr>
        <w:t xml:space="preserve"> 10 mg/ml injekčný</w:t>
      </w:r>
      <w:r w:rsidR="00665A19">
        <w:rPr>
          <w:bCs/>
          <w:sz w:val="22"/>
          <w:szCs w:val="22"/>
        </w:rPr>
        <w:t>/infúzny</w:t>
      </w:r>
      <w:r w:rsidRPr="00A816DE">
        <w:rPr>
          <w:bCs/>
          <w:sz w:val="22"/>
          <w:szCs w:val="22"/>
        </w:rPr>
        <w:t xml:space="preserve"> roztok</w:t>
      </w:r>
    </w:p>
    <w:p w:rsidR="00BB7B2E" w:rsidRPr="00483856" w:rsidRDefault="00BB7B2E" w:rsidP="00BB7B2E">
      <w:pPr>
        <w:jc w:val="both"/>
        <w:rPr>
          <w:b/>
          <w:sz w:val="22"/>
          <w:szCs w:val="22"/>
        </w:rPr>
      </w:pPr>
    </w:p>
    <w:p w:rsidR="00BB7B2E" w:rsidRPr="00A608A6" w:rsidRDefault="00BB7B2E" w:rsidP="00BB7B2E">
      <w:pPr>
        <w:jc w:val="both"/>
        <w:rPr>
          <w:b/>
          <w:sz w:val="22"/>
          <w:szCs w:val="22"/>
        </w:rPr>
      </w:pPr>
    </w:p>
    <w:p w:rsidR="00BB7B2E" w:rsidRPr="00852161" w:rsidRDefault="00BB7B2E" w:rsidP="00BB7B2E">
      <w:pPr>
        <w:numPr>
          <w:ilvl w:val="0"/>
          <w:numId w:val="5"/>
        </w:numPr>
        <w:ind w:left="0" w:firstLine="0"/>
        <w:jc w:val="both"/>
        <w:rPr>
          <w:b/>
          <w:sz w:val="22"/>
          <w:szCs w:val="22"/>
        </w:rPr>
      </w:pPr>
      <w:r w:rsidRPr="00852161">
        <w:rPr>
          <w:b/>
          <w:sz w:val="22"/>
          <w:szCs w:val="22"/>
        </w:rPr>
        <w:t>KVALITATÍVNE A KVANTITATÍVNE ZLOŽENIE</w:t>
      </w:r>
    </w:p>
    <w:p w:rsidR="00BB7B2E" w:rsidRPr="001D2A46" w:rsidRDefault="00BB7B2E" w:rsidP="00BB7B2E">
      <w:pPr>
        <w:jc w:val="both"/>
        <w:rPr>
          <w:b/>
          <w:sz w:val="22"/>
          <w:szCs w:val="22"/>
        </w:rPr>
      </w:pPr>
    </w:p>
    <w:p w:rsidR="00BB7B2E" w:rsidRPr="00A816DE" w:rsidRDefault="000B11D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B7B2E" w:rsidRPr="00CD66B0">
        <w:rPr>
          <w:sz w:val="22"/>
          <w:szCs w:val="22"/>
        </w:rPr>
        <w:t xml:space="preserve"> ml </w:t>
      </w:r>
      <w:r w:rsidR="00BB7B2E" w:rsidRPr="009C4AF1">
        <w:rPr>
          <w:sz w:val="22"/>
          <w:szCs w:val="22"/>
        </w:rPr>
        <w:t xml:space="preserve">roztoku </w:t>
      </w:r>
      <w:r w:rsidR="00BB7B2E" w:rsidRPr="004D5892">
        <w:rPr>
          <w:sz w:val="22"/>
          <w:szCs w:val="22"/>
        </w:rPr>
        <w:t>obsahuj</w:t>
      </w:r>
      <w:r w:rsidR="00665A19">
        <w:rPr>
          <w:sz w:val="22"/>
          <w:szCs w:val="22"/>
        </w:rPr>
        <w:t>e 1</w:t>
      </w:r>
      <w:r w:rsidR="00BB7B2E" w:rsidRPr="003F5FC9">
        <w:rPr>
          <w:sz w:val="22"/>
          <w:szCs w:val="22"/>
        </w:rPr>
        <w:t xml:space="preserve">0 mg </w:t>
      </w:r>
      <w:proofErr w:type="spellStart"/>
      <w:r w:rsidR="00BB7B2E" w:rsidRPr="003F5FC9">
        <w:rPr>
          <w:sz w:val="22"/>
          <w:szCs w:val="22"/>
        </w:rPr>
        <w:t>furosemidu</w:t>
      </w:r>
      <w:proofErr w:type="spellEnd"/>
      <w:r w:rsidR="00BB7B2E" w:rsidRPr="00A816DE">
        <w:rPr>
          <w:sz w:val="22"/>
          <w:szCs w:val="22"/>
        </w:rPr>
        <w:t>.</w:t>
      </w:r>
    </w:p>
    <w:p w:rsidR="00665A19" w:rsidRDefault="00665A1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B7B2E" w:rsidRPr="00A816DE">
        <w:rPr>
          <w:sz w:val="22"/>
          <w:szCs w:val="22"/>
        </w:rPr>
        <w:t xml:space="preserve"> ml sterilného injekčného</w:t>
      </w:r>
      <w:r>
        <w:rPr>
          <w:sz w:val="22"/>
          <w:szCs w:val="22"/>
        </w:rPr>
        <w:t>/infúzneho</w:t>
      </w:r>
      <w:r w:rsidR="00BB7B2E" w:rsidRPr="00A816DE">
        <w:rPr>
          <w:sz w:val="22"/>
          <w:szCs w:val="22"/>
        </w:rPr>
        <w:t xml:space="preserve"> roztoku obsahujú</w:t>
      </w:r>
      <w:r>
        <w:rPr>
          <w:sz w:val="22"/>
          <w:szCs w:val="22"/>
        </w:rPr>
        <w:t xml:space="preserve"> 2</w:t>
      </w:r>
      <w:r w:rsidR="00BB7B2E" w:rsidRPr="00A816DE">
        <w:rPr>
          <w:sz w:val="22"/>
          <w:szCs w:val="22"/>
        </w:rPr>
        <w:t xml:space="preserve">0 mg </w:t>
      </w:r>
      <w:proofErr w:type="spellStart"/>
      <w:r w:rsidR="00BB7B2E" w:rsidRPr="00A816DE"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:rsidR="00BB7B2E" w:rsidRPr="00A816DE" w:rsidRDefault="00665A1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B2E" w:rsidRPr="00A816DE">
        <w:rPr>
          <w:sz w:val="22"/>
          <w:szCs w:val="22"/>
        </w:rPr>
        <w:t xml:space="preserve"> ml sterilného injekčného</w:t>
      </w:r>
      <w:r>
        <w:rPr>
          <w:sz w:val="22"/>
          <w:szCs w:val="22"/>
        </w:rPr>
        <w:t>/infúzneho</w:t>
      </w:r>
      <w:r w:rsidR="00BB7B2E" w:rsidRPr="00A816DE">
        <w:rPr>
          <w:sz w:val="22"/>
          <w:szCs w:val="22"/>
        </w:rPr>
        <w:t xml:space="preserve"> roztoku obsahuj</w:t>
      </w:r>
      <w:r w:rsidR="00090F95">
        <w:rPr>
          <w:sz w:val="22"/>
          <w:szCs w:val="22"/>
        </w:rPr>
        <w:t>ú</w:t>
      </w:r>
      <w:r w:rsidR="00BB7B2E" w:rsidRPr="00A816DE">
        <w:rPr>
          <w:sz w:val="22"/>
          <w:szCs w:val="22"/>
        </w:rPr>
        <w:t xml:space="preserve"> 50 mg </w:t>
      </w:r>
      <w:proofErr w:type="spellStart"/>
      <w:r w:rsidR="00BB7B2E" w:rsidRPr="00A816DE">
        <w:rPr>
          <w:sz w:val="22"/>
          <w:szCs w:val="22"/>
        </w:rPr>
        <w:t>furosemidu</w:t>
      </w:r>
      <w:proofErr w:type="spellEnd"/>
      <w:r w:rsidR="00BB7B2E" w:rsidRPr="00A816DE">
        <w:rPr>
          <w:sz w:val="22"/>
          <w:szCs w:val="22"/>
        </w:rPr>
        <w:t xml:space="preserve">. </w:t>
      </w:r>
    </w:p>
    <w:p w:rsidR="00665A19" w:rsidRPr="00A816DE" w:rsidRDefault="00665A19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665A19">
        <w:rPr>
          <w:sz w:val="22"/>
          <w:szCs w:val="22"/>
          <w:u w:val="single"/>
        </w:rPr>
        <w:t>Pomocn</w:t>
      </w:r>
      <w:r w:rsidR="000B11D9">
        <w:rPr>
          <w:sz w:val="22"/>
          <w:szCs w:val="22"/>
          <w:u w:val="single"/>
        </w:rPr>
        <w:t>á</w:t>
      </w:r>
      <w:r w:rsidRPr="00665A19">
        <w:rPr>
          <w:sz w:val="22"/>
          <w:szCs w:val="22"/>
          <w:u w:val="single"/>
        </w:rPr>
        <w:t xml:space="preserve"> látk</w:t>
      </w:r>
      <w:r w:rsidR="000B11D9">
        <w:rPr>
          <w:sz w:val="22"/>
          <w:szCs w:val="22"/>
          <w:u w:val="single"/>
        </w:rPr>
        <w:t>a</w:t>
      </w:r>
      <w:r w:rsidRPr="00665A19">
        <w:rPr>
          <w:sz w:val="22"/>
          <w:szCs w:val="22"/>
          <w:u w:val="single"/>
        </w:rPr>
        <w:t xml:space="preserve"> so známym účinkom:</w:t>
      </w:r>
      <w:r w:rsidR="00F107DB" w:rsidRPr="00F107DB">
        <w:rPr>
          <w:sz w:val="22"/>
          <w:szCs w:val="22"/>
        </w:rPr>
        <w:t xml:space="preserve"> </w:t>
      </w:r>
      <w:r w:rsidR="00665A19">
        <w:rPr>
          <w:sz w:val="22"/>
          <w:szCs w:val="22"/>
        </w:rPr>
        <w:t xml:space="preserve">Obsahuje menej ako 1 mmol </w:t>
      </w:r>
      <w:r w:rsidRPr="00A816DE">
        <w:rPr>
          <w:sz w:val="22"/>
          <w:szCs w:val="22"/>
        </w:rPr>
        <w:t>sodíka</w:t>
      </w:r>
      <w:r w:rsidR="00665A19">
        <w:rPr>
          <w:sz w:val="22"/>
          <w:szCs w:val="22"/>
        </w:rPr>
        <w:t xml:space="preserve"> (23 mg)</w:t>
      </w:r>
      <w:r w:rsidRPr="00A816DE">
        <w:rPr>
          <w:sz w:val="22"/>
          <w:szCs w:val="22"/>
        </w:rPr>
        <w:t xml:space="preserve"> na </w:t>
      </w:r>
      <w:r w:rsidR="00665A19">
        <w:rPr>
          <w:sz w:val="22"/>
          <w:szCs w:val="22"/>
        </w:rPr>
        <w:t>jednu dávku</w:t>
      </w:r>
      <w:r w:rsidRPr="00A816DE">
        <w:rPr>
          <w:sz w:val="22"/>
          <w:szCs w:val="22"/>
        </w:rPr>
        <w:t>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>Úplný zoznam pomocných látok, pozri časť 6.1.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numPr>
          <w:ilvl w:val="0"/>
          <w:numId w:val="5"/>
        </w:numPr>
        <w:ind w:left="0" w:firstLine="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LIEKOVÁ FORMA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>Injekčný</w:t>
      </w:r>
      <w:r w:rsidR="00665A19">
        <w:rPr>
          <w:sz w:val="22"/>
          <w:szCs w:val="22"/>
        </w:rPr>
        <w:t xml:space="preserve">/infúzny </w:t>
      </w:r>
      <w:r w:rsidRPr="00A816DE">
        <w:rPr>
          <w:sz w:val="22"/>
          <w:szCs w:val="22"/>
        </w:rPr>
        <w:t>roztok.</w:t>
      </w:r>
    </w:p>
    <w:p w:rsidR="00C80178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 xml:space="preserve">Číry </w:t>
      </w:r>
      <w:r w:rsidR="000B11D9">
        <w:rPr>
          <w:sz w:val="22"/>
          <w:szCs w:val="22"/>
        </w:rPr>
        <w:t xml:space="preserve">a </w:t>
      </w:r>
      <w:r w:rsidRPr="00A816DE">
        <w:rPr>
          <w:sz w:val="22"/>
          <w:szCs w:val="22"/>
        </w:rPr>
        <w:t>bezfarebný až takmer bezfarebný roztok</w:t>
      </w:r>
      <w:r w:rsidR="00741D3B">
        <w:rPr>
          <w:sz w:val="22"/>
          <w:szCs w:val="22"/>
        </w:rPr>
        <w:t>, v</w:t>
      </w:r>
      <w:r w:rsidR="00F107DB">
        <w:rPr>
          <w:sz w:val="22"/>
          <w:szCs w:val="22"/>
        </w:rPr>
        <w:t> </w:t>
      </w:r>
      <w:r w:rsidR="000B11D9">
        <w:rPr>
          <w:sz w:val="22"/>
          <w:szCs w:val="22"/>
        </w:rPr>
        <w:t>podstate</w:t>
      </w:r>
      <w:r w:rsidR="00F107DB">
        <w:rPr>
          <w:sz w:val="22"/>
          <w:szCs w:val="22"/>
        </w:rPr>
        <w:t xml:space="preserve"> </w:t>
      </w:r>
      <w:r w:rsidR="000B11D9">
        <w:rPr>
          <w:sz w:val="22"/>
          <w:szCs w:val="22"/>
        </w:rPr>
        <w:t xml:space="preserve">bez </w:t>
      </w:r>
      <w:r w:rsidR="00C80178">
        <w:rPr>
          <w:sz w:val="22"/>
          <w:szCs w:val="22"/>
        </w:rPr>
        <w:t>viditeľn</w:t>
      </w:r>
      <w:r w:rsidR="000B11D9">
        <w:rPr>
          <w:sz w:val="22"/>
          <w:szCs w:val="22"/>
        </w:rPr>
        <w:t>ých</w:t>
      </w:r>
      <w:r w:rsidR="00C80178">
        <w:rPr>
          <w:sz w:val="22"/>
          <w:szCs w:val="22"/>
        </w:rPr>
        <w:t xml:space="preserve"> čast</w:t>
      </w:r>
      <w:r w:rsidR="000B11D9">
        <w:rPr>
          <w:sz w:val="22"/>
          <w:szCs w:val="22"/>
        </w:rPr>
        <w:t>í</w:t>
      </w:r>
      <w:r w:rsidR="00C80178">
        <w:rPr>
          <w:sz w:val="22"/>
          <w:szCs w:val="22"/>
        </w:rPr>
        <w:t>c.</w:t>
      </w:r>
    </w:p>
    <w:p w:rsidR="00BB7B2E" w:rsidRPr="00A816DE" w:rsidRDefault="00C80178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pH roztoku sa pohybuje v rozmedzí 8,0</w:t>
      </w:r>
      <w:r w:rsidR="00EE14BA">
        <w:rPr>
          <w:sz w:val="22"/>
          <w:szCs w:val="22"/>
        </w:rPr>
        <w:t>0</w:t>
      </w:r>
      <w:r>
        <w:rPr>
          <w:sz w:val="22"/>
          <w:szCs w:val="22"/>
        </w:rPr>
        <w:t xml:space="preserve"> až 9,30</w:t>
      </w:r>
      <w:r w:rsidR="00BB7B2E" w:rsidRPr="00A816DE">
        <w:rPr>
          <w:sz w:val="22"/>
          <w:szCs w:val="22"/>
        </w:rPr>
        <w:t>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numPr>
          <w:ilvl w:val="0"/>
          <w:numId w:val="5"/>
        </w:numPr>
        <w:ind w:left="0" w:firstLine="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KLINICKÉ ÚDAJE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BB7B2E" w:rsidRPr="00AC3879" w:rsidRDefault="00BB7B2E" w:rsidP="003153C5">
      <w:pPr>
        <w:pStyle w:val="Odsekzoznamu"/>
        <w:numPr>
          <w:ilvl w:val="1"/>
          <w:numId w:val="5"/>
        </w:numPr>
        <w:ind w:left="284"/>
        <w:jc w:val="both"/>
        <w:rPr>
          <w:b/>
          <w:sz w:val="22"/>
          <w:szCs w:val="22"/>
        </w:rPr>
      </w:pPr>
      <w:r w:rsidRPr="00AC3879">
        <w:rPr>
          <w:b/>
          <w:sz w:val="22"/>
          <w:szCs w:val="22"/>
        </w:rPr>
        <w:t>Terapeutické indikácie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0B11D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V prípade akútnych zdravotných stavov</w:t>
      </w:r>
      <w:r w:rsidR="00CA5210">
        <w:rPr>
          <w:sz w:val="22"/>
          <w:szCs w:val="22"/>
        </w:rPr>
        <w:t>, k</w:t>
      </w:r>
      <w:r>
        <w:rPr>
          <w:sz w:val="22"/>
          <w:szCs w:val="22"/>
        </w:rPr>
        <w:t>eď</w:t>
      </w:r>
      <w:r w:rsidR="00CA5210">
        <w:rPr>
          <w:sz w:val="22"/>
          <w:szCs w:val="22"/>
        </w:rPr>
        <w:t xml:space="preserve"> je</w:t>
      </w:r>
      <w:r w:rsidR="00F107DB">
        <w:rPr>
          <w:sz w:val="22"/>
          <w:szCs w:val="22"/>
        </w:rPr>
        <w:t xml:space="preserve"> </w:t>
      </w:r>
      <w:r w:rsidR="00BB7B2E" w:rsidRPr="00A816DE">
        <w:rPr>
          <w:sz w:val="22"/>
          <w:szCs w:val="22"/>
        </w:rPr>
        <w:t xml:space="preserve">potrebná okamžitá </w:t>
      </w:r>
      <w:proofErr w:type="spellStart"/>
      <w:r w:rsidR="00BB7B2E" w:rsidRPr="00A816DE">
        <w:rPr>
          <w:sz w:val="22"/>
          <w:szCs w:val="22"/>
        </w:rPr>
        <w:t>diuréza</w:t>
      </w:r>
      <w:proofErr w:type="spellEnd"/>
      <w:r w:rsidR="00E33473">
        <w:rPr>
          <w:sz w:val="22"/>
          <w:szCs w:val="22"/>
        </w:rPr>
        <w:t xml:space="preserve"> alebo </w:t>
      </w:r>
      <w:r>
        <w:rPr>
          <w:sz w:val="22"/>
          <w:szCs w:val="22"/>
        </w:rPr>
        <w:t>keď</w:t>
      </w:r>
      <w:r w:rsidR="00F107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 je možná </w:t>
      </w:r>
      <w:r w:rsidR="00E33473">
        <w:rPr>
          <w:sz w:val="22"/>
          <w:szCs w:val="22"/>
        </w:rPr>
        <w:t>perorálna liečba</w:t>
      </w:r>
      <w:r w:rsidR="00BB7B2E" w:rsidRPr="00A816DE">
        <w:rPr>
          <w:sz w:val="22"/>
          <w:szCs w:val="22"/>
        </w:rPr>
        <w:t>.</w:t>
      </w:r>
    </w:p>
    <w:p w:rsidR="003E72FC" w:rsidRDefault="003E72FC" w:rsidP="00AC3879">
      <w:pPr>
        <w:pStyle w:val="Odsekzoznamu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AC3879">
        <w:rPr>
          <w:sz w:val="22"/>
          <w:szCs w:val="22"/>
        </w:rPr>
        <w:t>E</w:t>
      </w:r>
      <w:r w:rsidR="00BB7B2E" w:rsidRPr="00AC3879">
        <w:rPr>
          <w:sz w:val="22"/>
          <w:szCs w:val="22"/>
        </w:rPr>
        <w:t>dém</w:t>
      </w:r>
      <w:r>
        <w:rPr>
          <w:sz w:val="22"/>
          <w:szCs w:val="22"/>
        </w:rPr>
        <w:t xml:space="preserve"> spôsobený ochoren</w:t>
      </w:r>
      <w:r w:rsidR="002F299F">
        <w:rPr>
          <w:sz w:val="22"/>
          <w:szCs w:val="22"/>
        </w:rPr>
        <w:t>ia</w:t>
      </w:r>
      <w:r>
        <w:rPr>
          <w:sz w:val="22"/>
          <w:szCs w:val="22"/>
        </w:rPr>
        <w:t>m</w:t>
      </w:r>
      <w:r w:rsidR="002F299F">
        <w:rPr>
          <w:sz w:val="22"/>
          <w:szCs w:val="22"/>
        </w:rPr>
        <w:t>i</w:t>
      </w:r>
      <w:r w:rsidR="00BB7B2E" w:rsidRPr="00AC3879">
        <w:rPr>
          <w:sz w:val="22"/>
          <w:szCs w:val="22"/>
        </w:rPr>
        <w:t xml:space="preserve"> srdca</w:t>
      </w:r>
      <w:r>
        <w:rPr>
          <w:sz w:val="22"/>
          <w:szCs w:val="22"/>
        </w:rPr>
        <w:t xml:space="preserve"> a</w:t>
      </w:r>
      <w:r w:rsidR="00CA5210">
        <w:rPr>
          <w:sz w:val="22"/>
          <w:szCs w:val="22"/>
        </w:rPr>
        <w:t>lebo</w:t>
      </w:r>
      <w:r>
        <w:rPr>
          <w:sz w:val="22"/>
          <w:szCs w:val="22"/>
        </w:rPr>
        <w:t> </w:t>
      </w:r>
      <w:r w:rsidR="00BB7B2E" w:rsidRPr="00AC3879">
        <w:rPr>
          <w:sz w:val="22"/>
          <w:szCs w:val="22"/>
        </w:rPr>
        <w:t>pečene</w:t>
      </w:r>
      <w:r>
        <w:rPr>
          <w:sz w:val="22"/>
          <w:szCs w:val="22"/>
        </w:rPr>
        <w:t>.</w:t>
      </w:r>
    </w:p>
    <w:p w:rsidR="00B20569" w:rsidRDefault="003E72FC" w:rsidP="00AC3879">
      <w:pPr>
        <w:pStyle w:val="Odsekzoznamu"/>
        <w:numPr>
          <w:ilvl w:val="0"/>
          <w:numId w:val="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Edém spôsobený ochoren</w:t>
      </w:r>
      <w:r w:rsidR="002F299F">
        <w:rPr>
          <w:sz w:val="22"/>
          <w:szCs w:val="22"/>
        </w:rPr>
        <w:t>ia</w:t>
      </w:r>
      <w:r>
        <w:rPr>
          <w:sz w:val="22"/>
          <w:szCs w:val="22"/>
        </w:rPr>
        <w:t>m</w:t>
      </w:r>
      <w:r w:rsidR="002F299F">
        <w:rPr>
          <w:sz w:val="22"/>
          <w:szCs w:val="22"/>
        </w:rPr>
        <w:t>i</w:t>
      </w:r>
      <w:r>
        <w:rPr>
          <w:sz w:val="22"/>
          <w:szCs w:val="22"/>
        </w:rPr>
        <w:t xml:space="preserve"> obličiek (v prípade </w:t>
      </w:r>
      <w:proofErr w:type="spellStart"/>
      <w:r>
        <w:rPr>
          <w:sz w:val="22"/>
          <w:szCs w:val="22"/>
        </w:rPr>
        <w:t>nefrotického</w:t>
      </w:r>
      <w:proofErr w:type="spellEnd"/>
      <w:r>
        <w:rPr>
          <w:sz w:val="22"/>
          <w:szCs w:val="22"/>
        </w:rPr>
        <w:t xml:space="preserve"> syndr</w:t>
      </w:r>
      <w:r w:rsidR="00B20569">
        <w:rPr>
          <w:sz w:val="22"/>
          <w:szCs w:val="22"/>
        </w:rPr>
        <w:t xml:space="preserve">ómu </w:t>
      </w:r>
      <w:r w:rsidR="002F299F">
        <w:rPr>
          <w:sz w:val="22"/>
          <w:szCs w:val="22"/>
        </w:rPr>
        <w:t xml:space="preserve">je dôležitá </w:t>
      </w:r>
      <w:r w:rsidR="00FE4839">
        <w:rPr>
          <w:sz w:val="22"/>
          <w:szCs w:val="22"/>
        </w:rPr>
        <w:t>liečba</w:t>
      </w:r>
      <w:r w:rsidR="00F107DB">
        <w:rPr>
          <w:sz w:val="22"/>
          <w:szCs w:val="22"/>
        </w:rPr>
        <w:t xml:space="preserve"> </w:t>
      </w:r>
      <w:r w:rsidR="002F299F">
        <w:rPr>
          <w:sz w:val="22"/>
          <w:szCs w:val="22"/>
        </w:rPr>
        <w:t>základného</w:t>
      </w:r>
      <w:r w:rsidR="00B20569">
        <w:rPr>
          <w:sz w:val="22"/>
          <w:szCs w:val="22"/>
        </w:rPr>
        <w:t xml:space="preserve"> ochorenia).</w:t>
      </w:r>
    </w:p>
    <w:p w:rsidR="00FD7D27" w:rsidRDefault="00B20569" w:rsidP="00AC3879">
      <w:pPr>
        <w:pStyle w:val="Odsekzoznamu"/>
        <w:numPr>
          <w:ilvl w:val="0"/>
          <w:numId w:val="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Edém pľúc (</w:t>
      </w:r>
      <w:r w:rsidR="002F299F">
        <w:rPr>
          <w:sz w:val="22"/>
          <w:szCs w:val="22"/>
        </w:rPr>
        <w:t xml:space="preserve">napr. </w:t>
      </w:r>
      <w:r>
        <w:rPr>
          <w:sz w:val="22"/>
          <w:szCs w:val="22"/>
        </w:rPr>
        <w:t>v prípade akútneho srdcového zlyh</w:t>
      </w:r>
      <w:r w:rsidR="002F299F">
        <w:rPr>
          <w:sz w:val="22"/>
          <w:szCs w:val="22"/>
        </w:rPr>
        <w:t>áv</w:t>
      </w:r>
      <w:r>
        <w:rPr>
          <w:sz w:val="22"/>
          <w:szCs w:val="22"/>
        </w:rPr>
        <w:t>ania).</w:t>
      </w:r>
    </w:p>
    <w:p w:rsidR="00FD7D27" w:rsidRDefault="00FD7D27" w:rsidP="00FD7D27">
      <w:pPr>
        <w:jc w:val="both"/>
        <w:rPr>
          <w:sz w:val="22"/>
          <w:szCs w:val="22"/>
        </w:rPr>
      </w:pPr>
    </w:p>
    <w:p w:rsidR="00BB7B2E" w:rsidRPr="00FD7D27" w:rsidRDefault="00FD7D27" w:rsidP="00FD7D2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 w:rsidR="00F107DB">
        <w:rPr>
          <w:sz w:val="22"/>
          <w:szCs w:val="22"/>
        </w:rPr>
        <w:t xml:space="preserve"> </w:t>
      </w:r>
      <w:r w:rsidR="002F299F">
        <w:rPr>
          <w:sz w:val="22"/>
          <w:szCs w:val="22"/>
        </w:rPr>
        <w:t xml:space="preserve">je indikovaný </w:t>
      </w:r>
      <w:r>
        <w:rPr>
          <w:sz w:val="22"/>
          <w:szCs w:val="22"/>
        </w:rPr>
        <w:t xml:space="preserve">dospelým a dospievajúcim </w:t>
      </w:r>
      <w:r w:rsidR="002F299F">
        <w:rPr>
          <w:sz w:val="22"/>
          <w:szCs w:val="22"/>
        </w:rPr>
        <w:t>nad</w:t>
      </w:r>
      <w:r>
        <w:rPr>
          <w:sz w:val="22"/>
          <w:szCs w:val="22"/>
        </w:rPr>
        <w:t xml:space="preserve"> 15 rokov.</w:t>
      </w:r>
      <w:r w:rsidR="00D5440F">
        <w:rPr>
          <w:sz w:val="22"/>
          <w:szCs w:val="22"/>
        </w:rPr>
        <w:t xml:space="preserve"> </w:t>
      </w:r>
    </w:p>
    <w:p w:rsidR="00BB7B2E" w:rsidRPr="004D5892" w:rsidRDefault="00BB7B2E" w:rsidP="00BB7B2E">
      <w:pPr>
        <w:jc w:val="both"/>
        <w:rPr>
          <w:sz w:val="22"/>
          <w:szCs w:val="22"/>
        </w:rPr>
      </w:pPr>
    </w:p>
    <w:p w:rsidR="00BB7B2E" w:rsidRPr="00CA5210" w:rsidRDefault="00CA5210" w:rsidP="00CA5210">
      <w:pPr>
        <w:jc w:val="both"/>
        <w:rPr>
          <w:b/>
          <w:sz w:val="22"/>
          <w:szCs w:val="22"/>
        </w:rPr>
      </w:pPr>
      <w:r w:rsidRPr="00CA5210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 w:rsidR="00BB7B2E" w:rsidRPr="00CA5210">
        <w:rPr>
          <w:b/>
          <w:sz w:val="22"/>
          <w:szCs w:val="22"/>
        </w:rPr>
        <w:t>Dávkovanie a spôsob podávania</w:t>
      </w:r>
    </w:p>
    <w:p w:rsidR="00CA5210" w:rsidRDefault="00CA5210" w:rsidP="00CA5210"/>
    <w:p w:rsidR="00CA5210" w:rsidRPr="00CA5210" w:rsidRDefault="00CA5210" w:rsidP="00CA5210">
      <w:pPr>
        <w:rPr>
          <w:sz w:val="22"/>
          <w:szCs w:val="22"/>
          <w:u w:val="single"/>
        </w:rPr>
      </w:pPr>
      <w:r w:rsidRPr="00CA5210">
        <w:rPr>
          <w:sz w:val="22"/>
          <w:szCs w:val="22"/>
          <w:u w:val="single"/>
        </w:rPr>
        <w:t>Dávkovanie</w:t>
      </w:r>
    </w:p>
    <w:p w:rsidR="00CA5210" w:rsidRDefault="00CA5210" w:rsidP="00BB7B2E">
      <w:pPr>
        <w:jc w:val="both"/>
        <w:rPr>
          <w:b/>
          <w:sz w:val="22"/>
          <w:szCs w:val="22"/>
        </w:rPr>
      </w:pPr>
    </w:p>
    <w:p w:rsidR="00731B6C" w:rsidRPr="00BA31C8" w:rsidRDefault="00731B6C" w:rsidP="00BB7B2E">
      <w:pPr>
        <w:jc w:val="both"/>
        <w:rPr>
          <w:i/>
          <w:sz w:val="22"/>
          <w:szCs w:val="22"/>
        </w:rPr>
      </w:pPr>
      <w:r w:rsidRPr="00BA31C8">
        <w:rPr>
          <w:i/>
          <w:sz w:val="22"/>
          <w:szCs w:val="22"/>
        </w:rPr>
        <w:t>Dospelí a</w:t>
      </w:r>
      <w:r w:rsidR="00F107DB">
        <w:rPr>
          <w:i/>
          <w:sz w:val="22"/>
          <w:szCs w:val="22"/>
        </w:rPr>
        <w:t> </w:t>
      </w:r>
      <w:r w:rsidRPr="00BA31C8">
        <w:rPr>
          <w:i/>
          <w:sz w:val="22"/>
          <w:szCs w:val="22"/>
        </w:rPr>
        <w:t>dospievajúci</w:t>
      </w:r>
      <w:r w:rsidR="00F107DB">
        <w:rPr>
          <w:i/>
          <w:sz w:val="22"/>
          <w:szCs w:val="22"/>
        </w:rPr>
        <w:t xml:space="preserve"> </w:t>
      </w:r>
      <w:r w:rsidRPr="00BA31C8">
        <w:rPr>
          <w:i/>
          <w:sz w:val="22"/>
          <w:szCs w:val="22"/>
        </w:rPr>
        <w:t>nad 15 rokov</w:t>
      </w:r>
    </w:p>
    <w:p w:rsidR="00D23FCD" w:rsidRDefault="00BA31C8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si okolnosti nevyžadujú zníženú dávku (pozri nižšie), </w:t>
      </w:r>
      <w:r w:rsidR="00473F31">
        <w:rPr>
          <w:sz w:val="22"/>
          <w:szCs w:val="22"/>
        </w:rPr>
        <w:t>za</w:t>
      </w:r>
      <w:r>
        <w:rPr>
          <w:sz w:val="22"/>
          <w:szCs w:val="22"/>
        </w:rPr>
        <w:t xml:space="preserve">čiatočná dávka pre dospelých a dospievajúcich nad 15 rokov je </w:t>
      </w:r>
      <w:r w:rsidR="00BB7B2E" w:rsidRPr="00A816DE">
        <w:rPr>
          <w:sz w:val="22"/>
          <w:szCs w:val="22"/>
        </w:rPr>
        <w:t>20 mg</w:t>
      </w:r>
      <w:r>
        <w:rPr>
          <w:sz w:val="22"/>
          <w:szCs w:val="22"/>
        </w:rPr>
        <w:t xml:space="preserve"> až 40 mg </w:t>
      </w:r>
      <w:proofErr w:type="spellStart"/>
      <w:r>
        <w:rPr>
          <w:sz w:val="22"/>
          <w:szCs w:val="22"/>
        </w:rPr>
        <w:t>furosemidu</w:t>
      </w:r>
      <w:proofErr w:type="spellEnd"/>
      <w:r w:rsidR="00F107DB">
        <w:rPr>
          <w:sz w:val="22"/>
          <w:szCs w:val="22"/>
        </w:rPr>
        <w:t xml:space="preserve"> </w:t>
      </w:r>
      <w:r w:rsidR="00473F31">
        <w:rPr>
          <w:sz w:val="22"/>
          <w:szCs w:val="22"/>
        </w:rPr>
        <w:t xml:space="preserve">podaného </w:t>
      </w:r>
      <w:r w:rsidR="00BB7B2E" w:rsidRPr="00A816DE">
        <w:rPr>
          <w:sz w:val="22"/>
          <w:szCs w:val="22"/>
        </w:rPr>
        <w:t xml:space="preserve">intravenózne </w:t>
      </w:r>
      <w:r>
        <w:rPr>
          <w:sz w:val="22"/>
          <w:szCs w:val="22"/>
        </w:rPr>
        <w:t>(</w:t>
      </w:r>
      <w:r w:rsidR="00473F31">
        <w:rPr>
          <w:sz w:val="22"/>
          <w:szCs w:val="22"/>
        </w:rPr>
        <w:t xml:space="preserve">alebo </w:t>
      </w:r>
      <w:r>
        <w:rPr>
          <w:sz w:val="22"/>
          <w:szCs w:val="22"/>
        </w:rPr>
        <w:t xml:space="preserve">vo výnimočných prípadoch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>)</w:t>
      </w:r>
      <w:r w:rsidR="00473F31">
        <w:rPr>
          <w:sz w:val="22"/>
          <w:szCs w:val="22"/>
        </w:rPr>
        <w:t>;</w:t>
      </w:r>
      <w:r w:rsidR="00BC5498">
        <w:rPr>
          <w:sz w:val="22"/>
          <w:szCs w:val="22"/>
        </w:rPr>
        <w:t xml:space="preserve"> maximálna dávka sa mení v závislosti od individuálnej </w:t>
      </w:r>
      <w:r w:rsidR="00F107DB">
        <w:rPr>
          <w:sz w:val="22"/>
          <w:szCs w:val="22"/>
        </w:rPr>
        <w:t>odpovede</w:t>
      </w:r>
      <w:r w:rsidR="00772C57">
        <w:rPr>
          <w:sz w:val="22"/>
          <w:szCs w:val="22"/>
        </w:rPr>
        <w:t xml:space="preserve"> pacienta</w:t>
      </w:r>
      <w:r w:rsidR="00BC5498">
        <w:rPr>
          <w:sz w:val="22"/>
          <w:szCs w:val="22"/>
        </w:rPr>
        <w:t xml:space="preserve">. </w:t>
      </w:r>
    </w:p>
    <w:p w:rsidR="00D23FCD" w:rsidRDefault="00D23FCD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473F31">
        <w:rPr>
          <w:sz w:val="22"/>
          <w:szCs w:val="22"/>
        </w:rPr>
        <w:t>sú</w:t>
      </w:r>
      <w:r>
        <w:rPr>
          <w:sz w:val="22"/>
          <w:szCs w:val="22"/>
        </w:rPr>
        <w:t xml:space="preserve"> potrebn</w:t>
      </w:r>
      <w:r w:rsidR="00473F31">
        <w:rPr>
          <w:sz w:val="22"/>
          <w:szCs w:val="22"/>
        </w:rPr>
        <w:t>é</w:t>
      </w:r>
      <w:r w:rsidR="00F107DB">
        <w:rPr>
          <w:sz w:val="22"/>
          <w:szCs w:val="22"/>
        </w:rPr>
        <w:t xml:space="preserve"> </w:t>
      </w:r>
      <w:r w:rsidR="00473F31">
        <w:rPr>
          <w:sz w:val="22"/>
          <w:szCs w:val="22"/>
        </w:rPr>
        <w:t>vyššie</w:t>
      </w:r>
      <w:r>
        <w:rPr>
          <w:sz w:val="22"/>
          <w:szCs w:val="22"/>
        </w:rPr>
        <w:t xml:space="preserve"> dávk</w:t>
      </w:r>
      <w:r w:rsidR="00473F31">
        <w:rPr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 w:rsidR="00473F31">
        <w:rPr>
          <w:sz w:val="22"/>
          <w:szCs w:val="22"/>
        </w:rPr>
        <w:t>majú sa zvyšovať po</w:t>
      </w:r>
      <w:r>
        <w:rPr>
          <w:sz w:val="22"/>
          <w:szCs w:val="22"/>
        </w:rPr>
        <w:t xml:space="preserve"> 20 mg a</w:t>
      </w:r>
      <w:r w:rsidR="00473F31">
        <w:rPr>
          <w:sz w:val="22"/>
          <w:szCs w:val="22"/>
        </w:rPr>
        <w:t xml:space="preserve"> nemajú sa </w:t>
      </w:r>
      <w:r>
        <w:rPr>
          <w:sz w:val="22"/>
          <w:szCs w:val="22"/>
        </w:rPr>
        <w:t>podáva</w:t>
      </w:r>
      <w:r w:rsidR="00473F31">
        <w:rPr>
          <w:sz w:val="22"/>
          <w:szCs w:val="22"/>
        </w:rPr>
        <w:t>ť</w:t>
      </w:r>
      <w:r>
        <w:rPr>
          <w:sz w:val="22"/>
          <w:szCs w:val="22"/>
        </w:rPr>
        <w:t xml:space="preserve"> častejšie</w:t>
      </w:r>
      <w:r w:rsidR="00934471">
        <w:rPr>
          <w:sz w:val="22"/>
          <w:szCs w:val="22"/>
        </w:rPr>
        <w:t xml:space="preserve"> ako</w:t>
      </w:r>
      <w:r>
        <w:rPr>
          <w:sz w:val="22"/>
          <w:szCs w:val="22"/>
        </w:rPr>
        <w:t xml:space="preserve"> každé dve hodiny.</w:t>
      </w:r>
    </w:p>
    <w:p w:rsidR="00D23FCD" w:rsidRDefault="00D23FCD" w:rsidP="00BB7B2E">
      <w:pPr>
        <w:jc w:val="both"/>
        <w:rPr>
          <w:sz w:val="22"/>
          <w:szCs w:val="22"/>
        </w:rPr>
      </w:pPr>
    </w:p>
    <w:p w:rsidR="00D23FCD" w:rsidRDefault="009674B2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U dospelých je o</w:t>
      </w:r>
      <w:r w:rsidR="00D23FCD">
        <w:rPr>
          <w:sz w:val="22"/>
          <w:szCs w:val="22"/>
        </w:rPr>
        <w:t>dp</w:t>
      </w:r>
      <w:r w:rsidR="00934471">
        <w:rPr>
          <w:sz w:val="22"/>
          <w:szCs w:val="22"/>
        </w:rPr>
        <w:t>o</w:t>
      </w:r>
      <w:r w:rsidR="00D23FCD">
        <w:rPr>
          <w:sz w:val="22"/>
          <w:szCs w:val="22"/>
        </w:rPr>
        <w:t xml:space="preserve">rúčaná maximálna </w:t>
      </w:r>
      <w:r>
        <w:rPr>
          <w:sz w:val="22"/>
          <w:szCs w:val="22"/>
        </w:rPr>
        <w:t xml:space="preserve">denná </w:t>
      </w:r>
      <w:r w:rsidR="00D23FCD">
        <w:rPr>
          <w:sz w:val="22"/>
          <w:szCs w:val="22"/>
        </w:rPr>
        <w:t xml:space="preserve">dávka </w:t>
      </w:r>
      <w:proofErr w:type="spellStart"/>
      <w:r w:rsidR="00D23FCD">
        <w:rPr>
          <w:sz w:val="22"/>
          <w:szCs w:val="22"/>
        </w:rPr>
        <w:t>furosemidu</w:t>
      </w:r>
      <w:proofErr w:type="spellEnd"/>
      <w:r w:rsidR="00D23FCD">
        <w:rPr>
          <w:sz w:val="22"/>
          <w:szCs w:val="22"/>
        </w:rPr>
        <w:t xml:space="preserve"> 1500 mg. </w:t>
      </w:r>
    </w:p>
    <w:p w:rsidR="00D23FCD" w:rsidRDefault="00D23FCD" w:rsidP="00BB7B2E">
      <w:pPr>
        <w:jc w:val="both"/>
        <w:rPr>
          <w:sz w:val="22"/>
          <w:szCs w:val="22"/>
        </w:rPr>
      </w:pPr>
    </w:p>
    <w:p w:rsidR="00BB7B2E" w:rsidRPr="00A816DE" w:rsidRDefault="00D23FCD" w:rsidP="00BB7B2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Úbytok hmotnosti vyvolaný </w:t>
      </w:r>
      <w:r w:rsidR="00934471">
        <w:rPr>
          <w:sz w:val="22"/>
          <w:szCs w:val="22"/>
        </w:rPr>
        <w:t xml:space="preserve">zvýšenou </w:t>
      </w:r>
      <w:proofErr w:type="spellStart"/>
      <w:r w:rsidR="00934471">
        <w:rPr>
          <w:sz w:val="22"/>
          <w:szCs w:val="22"/>
        </w:rPr>
        <w:t>diurézou</w:t>
      </w:r>
      <w:proofErr w:type="spellEnd"/>
      <w:r w:rsidR="00934471">
        <w:rPr>
          <w:sz w:val="22"/>
          <w:szCs w:val="22"/>
        </w:rPr>
        <w:t xml:space="preserve"> nem</w:t>
      </w:r>
      <w:r w:rsidR="009674B2">
        <w:rPr>
          <w:sz w:val="22"/>
          <w:szCs w:val="22"/>
        </w:rPr>
        <w:t>á</w:t>
      </w:r>
      <w:r w:rsidR="00934471">
        <w:rPr>
          <w:sz w:val="22"/>
          <w:szCs w:val="22"/>
        </w:rPr>
        <w:t xml:space="preserve"> prekročiť 1 kg za deň.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934471" w:rsidRDefault="00934471" w:rsidP="00BB7B2E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934471" w:rsidRDefault="00934471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9674B2">
        <w:rPr>
          <w:sz w:val="22"/>
          <w:szCs w:val="22"/>
        </w:rPr>
        <w:t>n</w:t>
      </w:r>
      <w:r>
        <w:rPr>
          <w:sz w:val="22"/>
          <w:szCs w:val="22"/>
        </w:rPr>
        <w:t xml:space="preserve">travenózne podanie </w:t>
      </w:r>
      <w:proofErr w:type="spellStart"/>
      <w:r>
        <w:rPr>
          <w:sz w:val="22"/>
          <w:szCs w:val="22"/>
        </w:rPr>
        <w:t>furosemidu</w:t>
      </w:r>
      <w:proofErr w:type="spellEnd"/>
      <w:r w:rsidR="00BB7B2E" w:rsidRPr="00A816DE">
        <w:rPr>
          <w:sz w:val="22"/>
          <w:szCs w:val="22"/>
        </w:rPr>
        <w:t xml:space="preserve"> u detí </w:t>
      </w:r>
      <w:r>
        <w:rPr>
          <w:sz w:val="22"/>
          <w:szCs w:val="22"/>
        </w:rPr>
        <w:t xml:space="preserve">a dospievajúcich do 15 rokov sa odporúča iba vo výnimočných prípadoch. </w:t>
      </w:r>
    </w:p>
    <w:p w:rsidR="00BB7B2E" w:rsidRPr="00A816DE" w:rsidRDefault="00934471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Dávka sa </w:t>
      </w:r>
      <w:r w:rsidR="003922E2">
        <w:rPr>
          <w:sz w:val="22"/>
          <w:szCs w:val="22"/>
        </w:rPr>
        <w:t>upraví podľa</w:t>
      </w:r>
      <w:r>
        <w:rPr>
          <w:sz w:val="22"/>
          <w:szCs w:val="22"/>
        </w:rPr>
        <w:t xml:space="preserve"> telesnej hmotnosti, pričom odporúčan</w:t>
      </w:r>
      <w:r w:rsidR="003922E2">
        <w:rPr>
          <w:sz w:val="22"/>
          <w:szCs w:val="22"/>
        </w:rPr>
        <w:t>á</w:t>
      </w:r>
      <w:r w:rsidR="00F107DB">
        <w:rPr>
          <w:sz w:val="22"/>
          <w:szCs w:val="22"/>
        </w:rPr>
        <w:t xml:space="preserve"> </w:t>
      </w:r>
      <w:r w:rsidR="003922E2">
        <w:rPr>
          <w:sz w:val="22"/>
          <w:szCs w:val="22"/>
        </w:rPr>
        <w:t xml:space="preserve">dávka </w:t>
      </w:r>
      <w:r>
        <w:rPr>
          <w:sz w:val="22"/>
          <w:szCs w:val="22"/>
        </w:rPr>
        <w:t>sa pohybuj</w:t>
      </w:r>
      <w:r w:rsidR="003922E2">
        <w:rPr>
          <w:sz w:val="22"/>
          <w:szCs w:val="22"/>
        </w:rPr>
        <w:t>e</w:t>
      </w:r>
      <w:r w:rsidR="00BB7B2E" w:rsidRPr="00A816DE">
        <w:rPr>
          <w:sz w:val="22"/>
          <w:szCs w:val="22"/>
        </w:rPr>
        <w:t xml:space="preserve"> v rozmedzí od 0,5 do 1</w:t>
      </w:r>
      <w:r w:rsidR="003922E2">
        <w:rPr>
          <w:sz w:val="22"/>
          <w:szCs w:val="22"/>
        </w:rPr>
        <w:t> </w:t>
      </w:r>
      <w:r w:rsidR="00BB7B2E" w:rsidRPr="00A816DE">
        <w:rPr>
          <w:sz w:val="22"/>
          <w:szCs w:val="22"/>
        </w:rPr>
        <w:t>mg/kg telesnej hmotnosti za deň až po maximálnu celkovú dennú dávku 20 mg.</w:t>
      </w:r>
    </w:p>
    <w:p w:rsidR="00BB7B2E" w:rsidRDefault="00BB7B2E" w:rsidP="00BB7B2E">
      <w:pPr>
        <w:jc w:val="both"/>
        <w:rPr>
          <w:sz w:val="22"/>
          <w:szCs w:val="22"/>
        </w:rPr>
      </w:pPr>
    </w:p>
    <w:p w:rsidR="00B85B84" w:rsidRDefault="003922E2" w:rsidP="00BB7B2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Porucha funkcie obličiek</w:t>
      </w:r>
    </w:p>
    <w:p w:rsidR="00B85B84" w:rsidRDefault="00BD2853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U pacientov so závažn</w:t>
      </w:r>
      <w:r w:rsidR="003922E2">
        <w:rPr>
          <w:sz w:val="22"/>
          <w:szCs w:val="22"/>
        </w:rPr>
        <w:t>ou</w:t>
      </w:r>
      <w:r w:rsidR="00F107DB">
        <w:rPr>
          <w:sz w:val="22"/>
          <w:szCs w:val="22"/>
        </w:rPr>
        <w:t xml:space="preserve"> </w:t>
      </w:r>
      <w:r w:rsidR="003922E2">
        <w:rPr>
          <w:sz w:val="22"/>
          <w:szCs w:val="22"/>
        </w:rPr>
        <w:t>poruchou funkcie</w:t>
      </w:r>
      <w:r>
        <w:rPr>
          <w:sz w:val="22"/>
          <w:szCs w:val="22"/>
        </w:rPr>
        <w:t xml:space="preserve"> obličiek (kreatinín</w:t>
      </w:r>
      <w:r w:rsidR="003922E2">
        <w:rPr>
          <w:sz w:val="22"/>
          <w:szCs w:val="22"/>
        </w:rPr>
        <w:t xml:space="preserve"> v</w:t>
      </w:r>
      <w:r w:rsidR="00F107DB">
        <w:rPr>
          <w:sz w:val="22"/>
          <w:szCs w:val="22"/>
        </w:rPr>
        <w:t> </w:t>
      </w:r>
      <w:r w:rsidR="003922E2">
        <w:rPr>
          <w:sz w:val="22"/>
          <w:szCs w:val="22"/>
        </w:rPr>
        <w:t>sére</w:t>
      </w:r>
      <w:r w:rsidR="00F107DB">
        <w:rPr>
          <w:sz w:val="22"/>
          <w:szCs w:val="22"/>
        </w:rPr>
        <w:t xml:space="preserve"> </w:t>
      </w:r>
      <w:r>
        <w:rPr>
          <w:sz w:val="22"/>
          <w:szCs w:val="22"/>
        </w:rPr>
        <w:t>&gt; 5</w:t>
      </w:r>
      <w:r w:rsidR="00F107DB">
        <w:rPr>
          <w:sz w:val="22"/>
          <w:szCs w:val="22"/>
        </w:rPr>
        <w:t> </w:t>
      </w:r>
      <w:r>
        <w:rPr>
          <w:sz w:val="22"/>
          <w:szCs w:val="22"/>
        </w:rPr>
        <w:t>mg/dl) sa odporúča neprekr</w:t>
      </w:r>
      <w:r w:rsidR="00F107DB">
        <w:rPr>
          <w:sz w:val="22"/>
          <w:szCs w:val="22"/>
        </w:rPr>
        <w:t>ačova</w:t>
      </w:r>
      <w:r>
        <w:rPr>
          <w:sz w:val="22"/>
          <w:szCs w:val="22"/>
        </w:rPr>
        <w:t xml:space="preserve">ť </w:t>
      </w:r>
      <w:r w:rsidR="0018431A">
        <w:rPr>
          <w:sz w:val="22"/>
          <w:szCs w:val="22"/>
        </w:rPr>
        <w:t xml:space="preserve">rýchlosť infúzie </w:t>
      </w:r>
      <w:r>
        <w:rPr>
          <w:sz w:val="22"/>
          <w:szCs w:val="22"/>
        </w:rPr>
        <w:t xml:space="preserve">2,5 mg </w:t>
      </w:r>
      <w:proofErr w:type="spellStart"/>
      <w:r>
        <w:rPr>
          <w:sz w:val="22"/>
          <w:szCs w:val="22"/>
        </w:rPr>
        <w:t>furosemidu</w:t>
      </w:r>
      <w:proofErr w:type="spellEnd"/>
      <w:r w:rsidR="0018431A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minútu. </w:t>
      </w:r>
    </w:p>
    <w:p w:rsidR="00BD2853" w:rsidRDefault="00BD2853" w:rsidP="00BB7B2E">
      <w:pPr>
        <w:jc w:val="both"/>
        <w:rPr>
          <w:sz w:val="22"/>
          <w:szCs w:val="22"/>
        </w:rPr>
      </w:pPr>
    </w:p>
    <w:p w:rsidR="00E27E3C" w:rsidRDefault="00BD2853" w:rsidP="00BD2853">
      <w:pPr>
        <w:rPr>
          <w:sz w:val="22"/>
          <w:szCs w:val="22"/>
        </w:rPr>
      </w:pPr>
      <w:r w:rsidRPr="00BD2853">
        <w:rPr>
          <w:i/>
          <w:sz w:val="22"/>
          <w:szCs w:val="22"/>
        </w:rPr>
        <w:t>Starší pacienti</w:t>
      </w:r>
    </w:p>
    <w:p w:rsidR="00E27E3C" w:rsidRDefault="00E27E3C" w:rsidP="00BD2853">
      <w:pPr>
        <w:rPr>
          <w:sz w:val="22"/>
          <w:szCs w:val="22"/>
        </w:rPr>
      </w:pPr>
      <w:r>
        <w:rPr>
          <w:sz w:val="22"/>
          <w:szCs w:val="22"/>
        </w:rPr>
        <w:t xml:space="preserve">Odporúčaná </w:t>
      </w:r>
      <w:r w:rsidR="0018431A">
        <w:rPr>
          <w:sz w:val="22"/>
          <w:szCs w:val="22"/>
        </w:rPr>
        <w:t>za</w:t>
      </w:r>
      <w:r>
        <w:rPr>
          <w:sz w:val="22"/>
          <w:szCs w:val="22"/>
        </w:rPr>
        <w:t xml:space="preserve">čiatočná dávka je 20 mg/deň, </w:t>
      </w:r>
      <w:r w:rsidR="0018431A">
        <w:rPr>
          <w:sz w:val="22"/>
          <w:szCs w:val="22"/>
        </w:rPr>
        <w:t>postupne sa zvyšujúca, kým</w:t>
      </w:r>
      <w:r>
        <w:rPr>
          <w:sz w:val="22"/>
          <w:szCs w:val="22"/>
        </w:rPr>
        <w:t xml:space="preserve"> sa nedosiahne požadovaný účinok. </w:t>
      </w:r>
    </w:p>
    <w:p w:rsidR="00E27E3C" w:rsidRDefault="00E27E3C" w:rsidP="00BD2853">
      <w:pPr>
        <w:rPr>
          <w:sz w:val="22"/>
          <w:szCs w:val="22"/>
        </w:rPr>
      </w:pPr>
    </w:p>
    <w:p w:rsidR="005E3755" w:rsidRPr="00FD0DD2" w:rsidRDefault="005E59D2" w:rsidP="00934471">
      <w:pPr>
        <w:jc w:val="both"/>
        <w:rPr>
          <w:sz w:val="22"/>
          <w:szCs w:val="22"/>
          <w:u w:val="single"/>
        </w:rPr>
      </w:pPr>
      <w:r w:rsidRPr="00FD0DD2">
        <w:rPr>
          <w:sz w:val="22"/>
          <w:szCs w:val="22"/>
          <w:u w:val="single"/>
        </w:rPr>
        <w:t>Osobitné odporúčania pre dávkovanie:</w:t>
      </w:r>
    </w:p>
    <w:p w:rsidR="00C3308F" w:rsidRDefault="00C3308F" w:rsidP="009344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dospelých </w:t>
      </w:r>
      <w:r w:rsidR="00F107DB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dávka stanovuje </w:t>
      </w:r>
      <w:r w:rsidR="00F107DB">
        <w:rPr>
          <w:sz w:val="22"/>
          <w:szCs w:val="22"/>
        </w:rPr>
        <w:t xml:space="preserve">v závislosti od </w:t>
      </w:r>
      <w:r>
        <w:rPr>
          <w:sz w:val="22"/>
          <w:szCs w:val="22"/>
        </w:rPr>
        <w:t xml:space="preserve">nasledujúcich </w:t>
      </w:r>
      <w:r w:rsidR="00F107DB">
        <w:rPr>
          <w:sz w:val="22"/>
          <w:szCs w:val="22"/>
        </w:rPr>
        <w:t>stavov</w:t>
      </w:r>
      <w:r>
        <w:rPr>
          <w:sz w:val="22"/>
          <w:szCs w:val="22"/>
        </w:rPr>
        <w:t>:</w:t>
      </w:r>
    </w:p>
    <w:p w:rsidR="00C3308F" w:rsidRDefault="00C3308F" w:rsidP="00FD0DD2">
      <w:pPr>
        <w:pStyle w:val="Odsekzoznamu"/>
        <w:numPr>
          <w:ilvl w:val="0"/>
          <w:numId w:val="7"/>
        </w:numPr>
        <w:ind w:left="284" w:hanging="284"/>
        <w:rPr>
          <w:sz w:val="22"/>
          <w:szCs w:val="22"/>
        </w:rPr>
      </w:pPr>
      <w:r w:rsidRPr="00C3308F">
        <w:rPr>
          <w:sz w:val="22"/>
          <w:szCs w:val="22"/>
        </w:rPr>
        <w:t xml:space="preserve">Opuch spojený s chronickým a akútnym </w:t>
      </w:r>
      <w:proofErr w:type="spellStart"/>
      <w:r w:rsidRPr="00C3308F">
        <w:rPr>
          <w:sz w:val="22"/>
          <w:szCs w:val="22"/>
        </w:rPr>
        <w:t>kongestívnym</w:t>
      </w:r>
      <w:proofErr w:type="spellEnd"/>
      <w:r w:rsidRPr="00C3308F">
        <w:rPr>
          <w:sz w:val="22"/>
          <w:szCs w:val="22"/>
        </w:rPr>
        <w:t xml:space="preserve"> zlyhávaním srdca</w:t>
      </w:r>
    </w:p>
    <w:p w:rsidR="00C3308F" w:rsidRDefault="00C3308F" w:rsidP="00FD0DD2">
      <w:pPr>
        <w:rPr>
          <w:sz w:val="22"/>
          <w:szCs w:val="22"/>
        </w:rPr>
      </w:pPr>
      <w:r>
        <w:rPr>
          <w:sz w:val="22"/>
          <w:szCs w:val="22"/>
        </w:rPr>
        <w:t xml:space="preserve">Odporúčaná začiatočná dávka je 20 až 40 mg denne. V prípade potreby sa môže táto dávka upraviť podľa odpovede daného pacienta. Dávka sa môže podať v dvoch alebo troch jednotlivých dávkach za deň pri chronickom srdcovom zlyhávaní a ako </w:t>
      </w:r>
      <w:proofErr w:type="spellStart"/>
      <w:r>
        <w:rPr>
          <w:sz w:val="22"/>
          <w:szCs w:val="22"/>
        </w:rPr>
        <w:t>bolusová</w:t>
      </w:r>
      <w:proofErr w:type="spellEnd"/>
      <w:r w:rsidR="00F107DB">
        <w:rPr>
          <w:sz w:val="22"/>
          <w:szCs w:val="22"/>
        </w:rPr>
        <w:t xml:space="preserve"> </w:t>
      </w:r>
      <w:r w:rsidR="004759E3">
        <w:rPr>
          <w:sz w:val="22"/>
          <w:szCs w:val="22"/>
        </w:rPr>
        <w:t xml:space="preserve">injekcia pri akútnom </w:t>
      </w:r>
      <w:proofErr w:type="spellStart"/>
      <w:r w:rsidR="004759E3">
        <w:rPr>
          <w:sz w:val="22"/>
          <w:szCs w:val="22"/>
        </w:rPr>
        <w:t>kongestívnom</w:t>
      </w:r>
      <w:proofErr w:type="spellEnd"/>
      <w:r w:rsidR="004759E3">
        <w:rPr>
          <w:sz w:val="22"/>
          <w:szCs w:val="22"/>
        </w:rPr>
        <w:t xml:space="preserve"> srdcovom zlyhávaní.</w:t>
      </w:r>
    </w:p>
    <w:p w:rsidR="004759E3" w:rsidRDefault="004759E3" w:rsidP="00FD0DD2">
      <w:pPr>
        <w:pStyle w:val="Odsekzoznamu"/>
        <w:numPr>
          <w:ilvl w:val="0"/>
          <w:numId w:val="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Opuch spojený s ochorením obličiek</w:t>
      </w:r>
    </w:p>
    <w:p w:rsidR="004759E3" w:rsidRDefault="004759E3" w:rsidP="00FD0DD2">
      <w:pPr>
        <w:rPr>
          <w:sz w:val="22"/>
          <w:szCs w:val="22"/>
        </w:rPr>
      </w:pPr>
      <w:r>
        <w:rPr>
          <w:sz w:val="22"/>
          <w:szCs w:val="22"/>
        </w:rPr>
        <w:t>Odporúčaná začiatočná dávka je 20 až 40 mg denne. V prípade potreby sa môže táto dávka upraviť podľa odpovede daného pacienta. Celková denná dávka sa môže podať ako jedn</w:t>
      </w:r>
      <w:r w:rsidR="005F67DA">
        <w:rPr>
          <w:sz w:val="22"/>
          <w:szCs w:val="22"/>
        </w:rPr>
        <w:t>orazová</w:t>
      </w:r>
      <w:r>
        <w:rPr>
          <w:sz w:val="22"/>
          <w:szCs w:val="22"/>
        </w:rPr>
        <w:t xml:space="preserve"> dávka alebo ako niekoľko dávok v priebehu dňa.</w:t>
      </w:r>
    </w:p>
    <w:p w:rsidR="004759E3" w:rsidRDefault="004759E3" w:rsidP="00FD0DD2">
      <w:pPr>
        <w:rPr>
          <w:sz w:val="22"/>
          <w:szCs w:val="22"/>
        </w:rPr>
      </w:pPr>
      <w:r>
        <w:rPr>
          <w:sz w:val="22"/>
          <w:szCs w:val="22"/>
        </w:rPr>
        <w:t xml:space="preserve">Ak toto nevedie k zvýšeniu optimálneho vylučovania tekutín,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musí podávať ako kontinuálna intravenózna infúzia so začiatočnou rýchlosťou 50 mg až 100 mg za hodinu.</w:t>
      </w:r>
    </w:p>
    <w:p w:rsidR="004759E3" w:rsidRDefault="004759E3" w:rsidP="00FD0DD2">
      <w:pPr>
        <w:rPr>
          <w:sz w:val="22"/>
          <w:szCs w:val="22"/>
        </w:rPr>
      </w:pPr>
      <w:r>
        <w:rPr>
          <w:sz w:val="22"/>
          <w:szCs w:val="22"/>
        </w:rPr>
        <w:t xml:space="preserve">Pred začatím podávania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sa musí upraviť </w:t>
      </w: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</w:t>
      </w:r>
      <w:r w:rsidR="00F107DB">
        <w:rPr>
          <w:sz w:val="22"/>
          <w:szCs w:val="22"/>
        </w:rPr>
        <w:t>hypotenzia</w:t>
      </w:r>
      <w:r w:rsidR="001229C6">
        <w:rPr>
          <w:sz w:val="22"/>
          <w:szCs w:val="22"/>
        </w:rPr>
        <w:t xml:space="preserve"> a poruchy acidobázickej a </w:t>
      </w:r>
      <w:proofErr w:type="spellStart"/>
      <w:r w:rsidR="001229C6">
        <w:rPr>
          <w:sz w:val="22"/>
          <w:szCs w:val="22"/>
        </w:rPr>
        <w:t>elektrolytovej</w:t>
      </w:r>
      <w:proofErr w:type="spellEnd"/>
      <w:r w:rsidR="001229C6">
        <w:rPr>
          <w:sz w:val="22"/>
          <w:szCs w:val="22"/>
        </w:rPr>
        <w:t xml:space="preserve"> rovnováhy.</w:t>
      </w:r>
    </w:p>
    <w:p w:rsidR="001229C6" w:rsidRDefault="001229C6" w:rsidP="00FD0DD2">
      <w:pPr>
        <w:rPr>
          <w:sz w:val="22"/>
          <w:szCs w:val="22"/>
        </w:rPr>
      </w:pPr>
      <w:r>
        <w:rPr>
          <w:sz w:val="22"/>
          <w:szCs w:val="22"/>
        </w:rPr>
        <w:t>U dialyzovaných pacientov sa udržiavacia dávka zvyčajne pohybuje od 250 mg do 1500 mg denne.</w:t>
      </w:r>
    </w:p>
    <w:p w:rsidR="001229C6" w:rsidRDefault="001229C6" w:rsidP="00FD0DD2">
      <w:pPr>
        <w:rPr>
          <w:sz w:val="22"/>
          <w:szCs w:val="22"/>
        </w:rPr>
      </w:pPr>
      <w:r>
        <w:rPr>
          <w:sz w:val="22"/>
          <w:szCs w:val="22"/>
        </w:rPr>
        <w:t>U pacientov s </w:t>
      </w:r>
      <w:proofErr w:type="spellStart"/>
      <w:r>
        <w:rPr>
          <w:sz w:val="22"/>
          <w:szCs w:val="22"/>
        </w:rPr>
        <w:t>nefrotickým</w:t>
      </w:r>
      <w:proofErr w:type="spellEnd"/>
      <w:r>
        <w:rPr>
          <w:sz w:val="22"/>
          <w:szCs w:val="22"/>
        </w:rPr>
        <w:t xml:space="preserve"> syndrómom sa musí dávka stanoviť s opatrnosťou pre riziko vyššieho výskytu nežiaducich udalostí.</w:t>
      </w:r>
    </w:p>
    <w:p w:rsidR="005B3B79" w:rsidRDefault="00E53429" w:rsidP="00FD0DD2">
      <w:pPr>
        <w:pStyle w:val="Odsekzoznamu"/>
        <w:numPr>
          <w:ilvl w:val="0"/>
          <w:numId w:val="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Opuch spojený s ochorením pečene</w:t>
      </w:r>
    </w:p>
    <w:p w:rsidR="00E53429" w:rsidRDefault="00E53429" w:rsidP="00FD0DD2">
      <w:pPr>
        <w:rPr>
          <w:sz w:val="22"/>
          <w:szCs w:val="22"/>
        </w:rPr>
      </w:pPr>
      <w:r>
        <w:rPr>
          <w:sz w:val="22"/>
          <w:szCs w:val="22"/>
        </w:rPr>
        <w:t xml:space="preserve">Ak je bezpodmienečne potrebná intravenózna liečba, začiatočná dávka sa má pohybovať od 20 mg do 40 mg. </w:t>
      </w:r>
      <w:r w:rsidR="00092783">
        <w:rPr>
          <w:sz w:val="22"/>
          <w:szCs w:val="22"/>
        </w:rPr>
        <w:t>V prípade potreby sa môže táto dávka upraviť podľa odpovede daného pacienta.</w:t>
      </w:r>
      <w:r w:rsidR="00EE59EB">
        <w:rPr>
          <w:sz w:val="22"/>
          <w:szCs w:val="22"/>
        </w:rPr>
        <w:t xml:space="preserve"> Celková denná dávka sa môže podať ako jedn</w:t>
      </w:r>
      <w:r w:rsidR="00FA59CE">
        <w:rPr>
          <w:sz w:val="22"/>
          <w:szCs w:val="22"/>
        </w:rPr>
        <w:t>orazová</w:t>
      </w:r>
      <w:r w:rsidR="00EE59EB">
        <w:rPr>
          <w:sz w:val="22"/>
          <w:szCs w:val="22"/>
        </w:rPr>
        <w:t xml:space="preserve"> dávka alebo v niekoľkých dávkach.</w:t>
      </w:r>
    </w:p>
    <w:p w:rsidR="00764C15" w:rsidRDefault="00F50BC4" w:rsidP="00FD0D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môže použiť v kombinácii s antagonistami </w:t>
      </w:r>
      <w:proofErr w:type="spellStart"/>
      <w:r>
        <w:rPr>
          <w:sz w:val="22"/>
          <w:szCs w:val="22"/>
        </w:rPr>
        <w:t>aldosterónu</w:t>
      </w:r>
      <w:proofErr w:type="spellEnd"/>
      <w:r>
        <w:rPr>
          <w:sz w:val="22"/>
          <w:szCs w:val="22"/>
        </w:rPr>
        <w:t xml:space="preserve"> v prípadoch, keď tieto látky v </w:t>
      </w:r>
      <w:proofErr w:type="spellStart"/>
      <w:r>
        <w:rPr>
          <w:sz w:val="22"/>
          <w:szCs w:val="22"/>
        </w:rPr>
        <w:t>monoterapii</w:t>
      </w:r>
      <w:proofErr w:type="spellEnd"/>
      <w:r>
        <w:rPr>
          <w:sz w:val="22"/>
          <w:szCs w:val="22"/>
        </w:rPr>
        <w:t xml:space="preserve"> nie sú dostatočné. Aby sa predišlo komplikáciám, ako </w:t>
      </w:r>
      <w:proofErr w:type="spellStart"/>
      <w:r>
        <w:rPr>
          <w:sz w:val="22"/>
          <w:szCs w:val="22"/>
        </w:rPr>
        <w:t>ortostatickej</w:t>
      </w:r>
      <w:proofErr w:type="spellEnd"/>
      <w:r>
        <w:rPr>
          <w:sz w:val="22"/>
          <w:szCs w:val="22"/>
        </w:rPr>
        <w:t xml:space="preserve"> intolerancii alebo poruchám acidobázickej a </w:t>
      </w:r>
      <w:proofErr w:type="spellStart"/>
      <w:r>
        <w:rPr>
          <w:sz w:val="22"/>
          <w:szCs w:val="22"/>
        </w:rPr>
        <w:t>elektrolytovej</w:t>
      </w:r>
      <w:proofErr w:type="spellEnd"/>
      <w:r>
        <w:rPr>
          <w:sz w:val="22"/>
          <w:szCs w:val="22"/>
        </w:rPr>
        <w:t xml:space="preserve"> rovnováhy, alebo </w:t>
      </w:r>
      <w:proofErr w:type="spellStart"/>
      <w:r>
        <w:rPr>
          <w:sz w:val="22"/>
          <w:szCs w:val="22"/>
        </w:rPr>
        <w:t>hepatálnej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encefalopatii</w:t>
      </w:r>
      <w:proofErr w:type="spellEnd"/>
      <w:r>
        <w:rPr>
          <w:sz w:val="22"/>
          <w:szCs w:val="22"/>
        </w:rPr>
        <w:t>, dávka sa musí pozorne upravovať, aby sa dosiah</w:t>
      </w:r>
      <w:r w:rsidR="00764C15">
        <w:rPr>
          <w:sz w:val="22"/>
          <w:szCs w:val="22"/>
        </w:rPr>
        <w:t>o</w:t>
      </w:r>
      <w:r>
        <w:rPr>
          <w:sz w:val="22"/>
          <w:szCs w:val="22"/>
        </w:rPr>
        <w:t>l postupn</w:t>
      </w:r>
      <w:r w:rsidR="00764C15">
        <w:rPr>
          <w:sz w:val="22"/>
          <w:szCs w:val="22"/>
        </w:rPr>
        <w:t>ý</w:t>
      </w:r>
      <w:r w:rsidR="004302A6">
        <w:rPr>
          <w:sz w:val="22"/>
          <w:szCs w:val="22"/>
        </w:rPr>
        <w:t xml:space="preserve"> </w:t>
      </w:r>
      <w:r w:rsidR="00764C15">
        <w:rPr>
          <w:sz w:val="22"/>
          <w:szCs w:val="22"/>
        </w:rPr>
        <w:t>úbytok</w:t>
      </w:r>
      <w:r>
        <w:rPr>
          <w:sz w:val="22"/>
          <w:szCs w:val="22"/>
        </w:rPr>
        <w:t xml:space="preserve"> tekutín. </w:t>
      </w:r>
      <w:r w:rsidR="00764C15">
        <w:rPr>
          <w:sz w:val="22"/>
          <w:szCs w:val="22"/>
        </w:rPr>
        <w:t xml:space="preserve">Dávka môže spôsobiť u dospelých denný úbytok telesnej hmotnosti približne 0,5 kg. </w:t>
      </w:r>
    </w:p>
    <w:p w:rsidR="00F50BC4" w:rsidRDefault="00764C15" w:rsidP="00FD0DD2">
      <w:pPr>
        <w:pStyle w:val="Odsekzoznamu"/>
        <w:numPr>
          <w:ilvl w:val="0"/>
          <w:numId w:val="7"/>
        </w:numPr>
        <w:ind w:left="284" w:hanging="284"/>
        <w:rPr>
          <w:sz w:val="22"/>
          <w:szCs w:val="22"/>
        </w:rPr>
      </w:pPr>
      <w:r w:rsidRPr="00FD0DD2">
        <w:rPr>
          <w:sz w:val="22"/>
          <w:szCs w:val="22"/>
        </w:rPr>
        <w:t>Pľúcny opuch</w:t>
      </w:r>
      <w:r>
        <w:rPr>
          <w:sz w:val="22"/>
          <w:szCs w:val="22"/>
        </w:rPr>
        <w:t xml:space="preserve"> (pri akútnom zlyhávaní srdca)</w:t>
      </w:r>
    </w:p>
    <w:p w:rsidR="00764C15" w:rsidRPr="00764C15" w:rsidRDefault="00764C15" w:rsidP="00FD0DD2">
      <w:pPr>
        <w:rPr>
          <w:sz w:val="22"/>
          <w:szCs w:val="22"/>
        </w:rPr>
      </w:pPr>
      <w:r>
        <w:rPr>
          <w:sz w:val="22"/>
          <w:szCs w:val="22"/>
        </w:rPr>
        <w:t xml:space="preserve">Má byť podaná začiatočná dávka 40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intravenóznym podaním. Ak si to vyžaduje stav pacienta, podá sa ďalšia injekcia 20 mg až 40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po 30 – 60 minútach.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má používať ako doplnok k iným terapeutickým opatreniam. </w:t>
      </w:r>
    </w:p>
    <w:p w:rsidR="00764C15" w:rsidRDefault="00764C15" w:rsidP="00FD0DD2">
      <w:pPr>
        <w:pStyle w:val="Odsekzoznamu"/>
        <w:rPr>
          <w:sz w:val="22"/>
          <w:szCs w:val="22"/>
        </w:rPr>
      </w:pPr>
    </w:p>
    <w:p w:rsidR="00BB7B2E" w:rsidRPr="00FD0DD2" w:rsidRDefault="00764C15" w:rsidP="00BB7B2E">
      <w:pPr>
        <w:jc w:val="both"/>
        <w:rPr>
          <w:sz w:val="22"/>
          <w:szCs w:val="22"/>
          <w:u w:val="single"/>
        </w:rPr>
      </w:pPr>
      <w:r w:rsidRPr="00FD0DD2">
        <w:rPr>
          <w:sz w:val="22"/>
          <w:szCs w:val="22"/>
          <w:u w:val="single"/>
        </w:rPr>
        <w:t>Spôsob podávania</w:t>
      </w:r>
    </w:p>
    <w:p w:rsidR="00764C15" w:rsidRDefault="00764C15" w:rsidP="00BB7B2E">
      <w:pPr>
        <w:jc w:val="both"/>
        <w:rPr>
          <w:sz w:val="22"/>
          <w:szCs w:val="22"/>
        </w:rPr>
      </w:pPr>
    </w:p>
    <w:p w:rsidR="00764C15" w:rsidRDefault="00764C15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Intravenózne alebo </w:t>
      </w:r>
      <w:proofErr w:type="spellStart"/>
      <w:r>
        <w:rPr>
          <w:sz w:val="22"/>
          <w:szCs w:val="22"/>
        </w:rPr>
        <w:t>intramuskulárne</w:t>
      </w:r>
      <w:proofErr w:type="spellEnd"/>
      <w:r w:rsidR="004302A6">
        <w:rPr>
          <w:sz w:val="22"/>
          <w:szCs w:val="22"/>
        </w:rPr>
        <w:t>.</w:t>
      </w:r>
    </w:p>
    <w:p w:rsidR="00764C15" w:rsidRDefault="00764C15" w:rsidP="00BB7B2E">
      <w:pPr>
        <w:jc w:val="both"/>
        <w:rPr>
          <w:sz w:val="22"/>
          <w:szCs w:val="22"/>
        </w:rPr>
      </w:pPr>
    </w:p>
    <w:p w:rsidR="00764C15" w:rsidRDefault="00A87E05" w:rsidP="00BB7B2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Parenterálne</w:t>
      </w:r>
      <w:proofErr w:type="spellEnd"/>
      <w:r>
        <w:rPr>
          <w:sz w:val="22"/>
          <w:szCs w:val="22"/>
        </w:rPr>
        <w:t xml:space="preserve"> 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indikované v prípadoch, keď perorálne podávanie nie je možné alebo je neefektívne (napr. v prípade zníženej absorpcie z čreva) alebo keď sa vyžaduje rýchly účinok. Na dosiahnutie </w:t>
      </w:r>
      <w:r w:rsidR="00927809">
        <w:rPr>
          <w:sz w:val="22"/>
          <w:szCs w:val="22"/>
        </w:rPr>
        <w:t xml:space="preserve">optimálnej účinnosti a potlačenie </w:t>
      </w:r>
      <w:r w:rsidR="00927809" w:rsidRPr="004302A6">
        <w:rPr>
          <w:sz w:val="22"/>
          <w:szCs w:val="22"/>
        </w:rPr>
        <w:t>protichodných regulačných mechanizmov</w:t>
      </w:r>
      <w:r w:rsidR="004302A6">
        <w:rPr>
          <w:sz w:val="22"/>
          <w:szCs w:val="22"/>
        </w:rPr>
        <w:t xml:space="preserve"> </w:t>
      </w:r>
      <w:r w:rsidR="00927809">
        <w:rPr>
          <w:sz w:val="22"/>
          <w:szCs w:val="22"/>
        </w:rPr>
        <w:t xml:space="preserve">sa všeobecne uprednostňuje kontinuálna infúzia </w:t>
      </w:r>
      <w:proofErr w:type="spellStart"/>
      <w:r w:rsidR="00927809">
        <w:rPr>
          <w:sz w:val="22"/>
          <w:szCs w:val="22"/>
        </w:rPr>
        <w:t>furosemidu</w:t>
      </w:r>
      <w:proofErr w:type="spellEnd"/>
      <w:r w:rsidR="00927809">
        <w:rPr>
          <w:sz w:val="22"/>
          <w:szCs w:val="22"/>
        </w:rPr>
        <w:t xml:space="preserve"> pred opakovanými </w:t>
      </w:r>
      <w:proofErr w:type="spellStart"/>
      <w:r w:rsidR="00927809">
        <w:rPr>
          <w:sz w:val="22"/>
          <w:szCs w:val="22"/>
        </w:rPr>
        <w:t>bolusovými</w:t>
      </w:r>
      <w:proofErr w:type="spellEnd"/>
      <w:r w:rsidR="00927809">
        <w:rPr>
          <w:sz w:val="22"/>
          <w:szCs w:val="22"/>
        </w:rPr>
        <w:t xml:space="preserve"> injekciami.</w:t>
      </w:r>
    </w:p>
    <w:p w:rsidR="00927809" w:rsidRDefault="0092780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Keď nie je možná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, </w:t>
      </w:r>
      <w:r w:rsidR="00601772">
        <w:rPr>
          <w:sz w:val="22"/>
          <w:szCs w:val="22"/>
        </w:rPr>
        <w:t xml:space="preserve">na pokračovanie v liečbe </w:t>
      </w:r>
      <w:r w:rsidR="009B1F37">
        <w:rPr>
          <w:sz w:val="22"/>
          <w:szCs w:val="22"/>
        </w:rPr>
        <w:t xml:space="preserve">po jednej alebo viacerých </w:t>
      </w:r>
      <w:r w:rsidR="00601772">
        <w:rPr>
          <w:sz w:val="22"/>
          <w:szCs w:val="22"/>
        </w:rPr>
        <w:t xml:space="preserve">akútnych </w:t>
      </w:r>
      <w:proofErr w:type="spellStart"/>
      <w:r w:rsidR="00601772">
        <w:rPr>
          <w:sz w:val="22"/>
          <w:szCs w:val="22"/>
        </w:rPr>
        <w:t>bolusových</w:t>
      </w:r>
      <w:proofErr w:type="spellEnd"/>
      <w:r w:rsidR="00601772">
        <w:rPr>
          <w:sz w:val="22"/>
          <w:szCs w:val="22"/>
        </w:rPr>
        <w:t xml:space="preserve"> dávkach sa má uprednostniť pokračovací režim s nízkymi dávkami v krátkych intervaloch (približne 4 hodiny) pred režimom s vyššími </w:t>
      </w:r>
      <w:proofErr w:type="spellStart"/>
      <w:r w:rsidR="00601772">
        <w:rPr>
          <w:sz w:val="22"/>
          <w:szCs w:val="22"/>
        </w:rPr>
        <w:t>bolusovými</w:t>
      </w:r>
      <w:proofErr w:type="spellEnd"/>
      <w:r w:rsidR="00601772">
        <w:rPr>
          <w:sz w:val="22"/>
          <w:szCs w:val="22"/>
        </w:rPr>
        <w:t xml:space="preserve"> dávkami v dlhších intervaloch.</w:t>
      </w:r>
    </w:p>
    <w:p w:rsidR="00601772" w:rsidRPr="00A816DE" w:rsidRDefault="0014793B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intravenóznou injekciou alebo infúziou </w:t>
      </w:r>
      <w:r w:rsidR="005F2691">
        <w:rPr>
          <w:sz w:val="22"/>
          <w:szCs w:val="22"/>
        </w:rPr>
        <w:t xml:space="preserve">musí byť pomalé; nesmie sa prekročiť rýchlosť 4 mg za minútu a nikdy sa nemá podať spolu s inými liekmi v tej istej striekačke. Vo všeobecnosti sa má </w:t>
      </w:r>
      <w:proofErr w:type="spellStart"/>
      <w:r w:rsidR="005F2691">
        <w:rPr>
          <w:sz w:val="22"/>
          <w:szCs w:val="22"/>
        </w:rPr>
        <w:t>furosemid</w:t>
      </w:r>
      <w:proofErr w:type="spellEnd"/>
      <w:r w:rsidR="005F2691">
        <w:rPr>
          <w:sz w:val="22"/>
          <w:szCs w:val="22"/>
        </w:rPr>
        <w:t xml:space="preserve"> podávať intravenózne. </w:t>
      </w:r>
      <w:proofErr w:type="spellStart"/>
      <w:r w:rsidR="005F2691">
        <w:rPr>
          <w:sz w:val="22"/>
          <w:szCs w:val="22"/>
        </w:rPr>
        <w:t>Intramuskulárne</w:t>
      </w:r>
      <w:proofErr w:type="spellEnd"/>
      <w:r w:rsidR="005F2691">
        <w:rPr>
          <w:sz w:val="22"/>
          <w:szCs w:val="22"/>
        </w:rPr>
        <w:t xml:space="preserve"> podávanie sa musí obmedziť len na </w:t>
      </w:r>
      <w:r w:rsidR="00C035E0">
        <w:rPr>
          <w:sz w:val="22"/>
          <w:szCs w:val="22"/>
        </w:rPr>
        <w:t xml:space="preserve">výnimočné prípady, keď nie je možné ani perorálne, ani intravenózne podanie. Treba poznamenať, že </w:t>
      </w:r>
      <w:proofErr w:type="spellStart"/>
      <w:r w:rsidR="00C035E0">
        <w:rPr>
          <w:sz w:val="22"/>
          <w:szCs w:val="22"/>
        </w:rPr>
        <w:t>intramuskulárna</w:t>
      </w:r>
      <w:proofErr w:type="spellEnd"/>
      <w:r w:rsidR="00C035E0">
        <w:rPr>
          <w:sz w:val="22"/>
          <w:szCs w:val="22"/>
        </w:rPr>
        <w:t xml:space="preserve"> injekcia nie je vhodná na liečbu akútnych ochorení ako je pľúcny opuch.</w:t>
      </w:r>
    </w:p>
    <w:p w:rsidR="00BB7B2E" w:rsidRPr="00A816DE" w:rsidRDefault="00BB7B2E" w:rsidP="00BB7B2E">
      <w:pPr>
        <w:ind w:left="1260" w:hanging="1260"/>
        <w:jc w:val="both"/>
        <w:rPr>
          <w:i/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b/>
          <w:sz w:val="22"/>
          <w:szCs w:val="22"/>
        </w:rPr>
        <w:t>4.3</w:t>
      </w:r>
      <w:r w:rsidRPr="00A816DE">
        <w:rPr>
          <w:b/>
          <w:sz w:val="22"/>
          <w:szCs w:val="22"/>
        </w:rPr>
        <w:tab/>
        <w:t>Kontraindikácie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FD0DD2" w:rsidRDefault="00BB7B2E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FD0DD2">
        <w:rPr>
          <w:sz w:val="22"/>
          <w:szCs w:val="22"/>
        </w:rPr>
        <w:t xml:space="preserve">Precitlivenosť na </w:t>
      </w:r>
      <w:proofErr w:type="spellStart"/>
      <w:r w:rsidR="00651B69">
        <w:rPr>
          <w:sz w:val="22"/>
          <w:szCs w:val="22"/>
        </w:rPr>
        <w:t>furosemid</w:t>
      </w:r>
      <w:proofErr w:type="spellEnd"/>
      <w:r w:rsidRPr="00FD0DD2">
        <w:rPr>
          <w:sz w:val="22"/>
          <w:szCs w:val="22"/>
        </w:rPr>
        <w:t xml:space="preserve"> alebo na ktorúkoľvek z pomocných látok uvedených v časti 6.1</w:t>
      </w:r>
      <w:r w:rsidR="004302A6">
        <w:rPr>
          <w:sz w:val="22"/>
          <w:szCs w:val="22"/>
        </w:rPr>
        <w:t>.</w:t>
      </w:r>
    </w:p>
    <w:p w:rsidR="00BB7B2E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Pacienti s </w:t>
      </w:r>
      <w:proofErr w:type="spellStart"/>
      <w:r>
        <w:rPr>
          <w:sz w:val="22"/>
          <w:szCs w:val="22"/>
        </w:rPr>
        <w:t>anúriou</w:t>
      </w:r>
      <w:proofErr w:type="spellEnd"/>
      <w:r>
        <w:rPr>
          <w:sz w:val="22"/>
          <w:szCs w:val="22"/>
        </w:rPr>
        <w:t xml:space="preserve"> alebo so zlyhaním obličiek s </w:t>
      </w:r>
      <w:proofErr w:type="spellStart"/>
      <w:r>
        <w:rPr>
          <w:sz w:val="22"/>
          <w:szCs w:val="22"/>
        </w:rPr>
        <w:t>anúriou</w:t>
      </w:r>
      <w:proofErr w:type="spellEnd"/>
      <w:r>
        <w:rPr>
          <w:sz w:val="22"/>
          <w:szCs w:val="22"/>
        </w:rPr>
        <w:t xml:space="preserve"> nereagujúcimi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>.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Zlyhanie obličiek v dôsledku otravy </w:t>
      </w:r>
      <w:proofErr w:type="spellStart"/>
      <w:r>
        <w:rPr>
          <w:sz w:val="22"/>
          <w:szCs w:val="22"/>
        </w:rPr>
        <w:t>nefrotoxickými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hepatotoxickými</w:t>
      </w:r>
      <w:proofErr w:type="spellEnd"/>
      <w:r>
        <w:rPr>
          <w:sz w:val="22"/>
          <w:szCs w:val="22"/>
        </w:rPr>
        <w:t xml:space="preserve"> látkami.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Zlyhanie obličiek spojené s </w:t>
      </w:r>
      <w:proofErr w:type="spellStart"/>
      <w:r>
        <w:rPr>
          <w:sz w:val="22"/>
          <w:szCs w:val="22"/>
        </w:rPr>
        <w:t>hepatálnou</w:t>
      </w:r>
      <w:proofErr w:type="spellEnd"/>
      <w:r>
        <w:rPr>
          <w:sz w:val="22"/>
          <w:szCs w:val="22"/>
        </w:rPr>
        <w:t xml:space="preserve"> kómou.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Pacienti so závažnou </w:t>
      </w:r>
      <w:proofErr w:type="spellStart"/>
      <w:r>
        <w:rPr>
          <w:sz w:val="22"/>
          <w:szCs w:val="22"/>
        </w:rPr>
        <w:t>hypokal</w:t>
      </w:r>
      <w:r w:rsidR="004302A6">
        <w:rPr>
          <w:sz w:val="22"/>
          <w:szCs w:val="22"/>
        </w:rPr>
        <w:t>i</w:t>
      </w:r>
      <w:r>
        <w:rPr>
          <w:sz w:val="22"/>
          <w:szCs w:val="22"/>
        </w:rPr>
        <w:t>émiou</w:t>
      </w:r>
      <w:proofErr w:type="spellEnd"/>
      <w:r>
        <w:rPr>
          <w:sz w:val="22"/>
          <w:szCs w:val="22"/>
        </w:rPr>
        <w:t xml:space="preserve"> alebo so závažnou </w:t>
      </w:r>
      <w:proofErr w:type="spellStart"/>
      <w:r>
        <w:rPr>
          <w:sz w:val="22"/>
          <w:szCs w:val="22"/>
        </w:rPr>
        <w:t>hyponatr</w:t>
      </w:r>
      <w:r w:rsidR="002B5AC2">
        <w:rPr>
          <w:sz w:val="22"/>
          <w:szCs w:val="22"/>
        </w:rPr>
        <w:t>i</w:t>
      </w:r>
      <w:r>
        <w:rPr>
          <w:sz w:val="22"/>
          <w:szCs w:val="22"/>
        </w:rPr>
        <w:t>émiou</w:t>
      </w:r>
      <w:proofErr w:type="spellEnd"/>
      <w:r>
        <w:rPr>
          <w:sz w:val="22"/>
          <w:szCs w:val="22"/>
        </w:rPr>
        <w:t>.</w:t>
      </w:r>
      <w:r w:rsidR="002A6454">
        <w:rPr>
          <w:sz w:val="22"/>
          <w:szCs w:val="22"/>
        </w:rPr>
        <w:t xml:space="preserve"> 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Pacienti s </w:t>
      </w:r>
      <w:proofErr w:type="spellStart"/>
      <w:r>
        <w:rPr>
          <w:sz w:val="22"/>
          <w:szCs w:val="22"/>
        </w:rPr>
        <w:t>hypovolémiou</w:t>
      </w:r>
      <w:proofErr w:type="spellEnd"/>
      <w:r>
        <w:rPr>
          <w:sz w:val="22"/>
          <w:szCs w:val="22"/>
        </w:rPr>
        <w:t xml:space="preserve"> (s </w:t>
      </w:r>
      <w:r w:rsidR="004302A6">
        <w:rPr>
          <w:sz w:val="22"/>
          <w:szCs w:val="22"/>
        </w:rPr>
        <w:t xml:space="preserve">hypotenziou </w:t>
      </w:r>
      <w:r>
        <w:rPr>
          <w:sz w:val="22"/>
          <w:szCs w:val="22"/>
        </w:rPr>
        <w:t xml:space="preserve">alebo bez </w:t>
      </w:r>
      <w:r w:rsidR="004302A6">
        <w:rPr>
          <w:sz w:val="22"/>
          <w:szCs w:val="22"/>
        </w:rPr>
        <w:t>hypotenzie</w:t>
      </w:r>
      <w:r>
        <w:rPr>
          <w:sz w:val="22"/>
          <w:szCs w:val="22"/>
        </w:rPr>
        <w:t>) alebo s dehydratáciou.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Pacienti s </w:t>
      </w:r>
      <w:proofErr w:type="spellStart"/>
      <w:r>
        <w:rPr>
          <w:sz w:val="22"/>
          <w:szCs w:val="22"/>
        </w:rPr>
        <w:t>prekomatóznym</w:t>
      </w:r>
      <w:proofErr w:type="spellEnd"/>
      <w:r>
        <w:rPr>
          <w:sz w:val="22"/>
          <w:szCs w:val="22"/>
        </w:rPr>
        <w:t xml:space="preserve"> a komatóznym stavom spojeným s </w:t>
      </w:r>
      <w:proofErr w:type="spellStart"/>
      <w:r>
        <w:rPr>
          <w:sz w:val="22"/>
          <w:szCs w:val="22"/>
        </w:rPr>
        <w:t>hepatálnou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encefalopatiou</w:t>
      </w:r>
      <w:proofErr w:type="spellEnd"/>
      <w:r>
        <w:rPr>
          <w:sz w:val="22"/>
          <w:szCs w:val="22"/>
        </w:rPr>
        <w:t>.</w:t>
      </w:r>
    </w:p>
    <w:p w:rsidR="00651B69" w:rsidRDefault="00651B69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Pacienti s precitlivenosťou na </w:t>
      </w:r>
      <w:r w:rsidR="00C94040">
        <w:rPr>
          <w:sz w:val="22"/>
          <w:szCs w:val="22"/>
        </w:rPr>
        <w:t>sulf</w:t>
      </w:r>
      <w:r w:rsidR="0015202D">
        <w:rPr>
          <w:sz w:val="22"/>
          <w:szCs w:val="22"/>
        </w:rPr>
        <w:t>ó</w:t>
      </w:r>
      <w:r w:rsidR="00C94040">
        <w:rPr>
          <w:sz w:val="22"/>
          <w:szCs w:val="22"/>
        </w:rPr>
        <w:t>namidy</w:t>
      </w:r>
      <w:r w:rsidR="0015202D">
        <w:rPr>
          <w:sz w:val="22"/>
          <w:szCs w:val="22"/>
        </w:rPr>
        <w:t xml:space="preserve"> (napr. na báze </w:t>
      </w:r>
      <w:proofErr w:type="spellStart"/>
      <w:r w:rsidR="0015202D">
        <w:rPr>
          <w:sz w:val="22"/>
          <w:szCs w:val="22"/>
        </w:rPr>
        <w:t>sulfonylmočoviny</w:t>
      </w:r>
      <w:proofErr w:type="spellEnd"/>
      <w:r w:rsidR="0015202D">
        <w:rPr>
          <w:sz w:val="22"/>
          <w:szCs w:val="22"/>
        </w:rPr>
        <w:t xml:space="preserve"> alebo antibiotiká sulfónamidovej skupiny) môžu vykazovať skríženú citlivosť na </w:t>
      </w:r>
      <w:proofErr w:type="spellStart"/>
      <w:r w:rsidR="0015202D">
        <w:rPr>
          <w:sz w:val="22"/>
          <w:szCs w:val="22"/>
        </w:rPr>
        <w:t>furosemid</w:t>
      </w:r>
      <w:proofErr w:type="spellEnd"/>
      <w:r w:rsidR="0015202D">
        <w:rPr>
          <w:sz w:val="22"/>
          <w:szCs w:val="22"/>
        </w:rPr>
        <w:t>.</w:t>
      </w:r>
    </w:p>
    <w:p w:rsidR="0015202D" w:rsidRPr="00FD0DD2" w:rsidRDefault="0015202D" w:rsidP="00FD0DD2">
      <w:pPr>
        <w:pStyle w:val="Odsekzoznamu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Dojčenie (pozri časť 4.6).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b/>
          <w:sz w:val="22"/>
          <w:szCs w:val="22"/>
        </w:rPr>
        <w:t>4.4</w:t>
      </w:r>
      <w:r w:rsidRPr="00A816DE">
        <w:rPr>
          <w:b/>
          <w:sz w:val="22"/>
          <w:szCs w:val="22"/>
        </w:rPr>
        <w:tab/>
        <w:t>Osobitné upozornenia a opatrenia pri používaní</w:t>
      </w:r>
    </w:p>
    <w:p w:rsidR="00BB7B2E" w:rsidRPr="00A816DE" w:rsidRDefault="00BB7B2E" w:rsidP="00BB7B2E">
      <w:pPr>
        <w:jc w:val="both"/>
        <w:rPr>
          <w:b/>
          <w:i/>
          <w:sz w:val="22"/>
          <w:szCs w:val="22"/>
        </w:rPr>
      </w:pPr>
    </w:p>
    <w:p w:rsidR="00BB7B2E" w:rsidRDefault="0015202D" w:rsidP="00BB7B2E">
      <w:pPr>
        <w:tabs>
          <w:tab w:val="left" w:pos="7380"/>
        </w:tabs>
        <w:jc w:val="both"/>
        <w:rPr>
          <w:sz w:val="22"/>
          <w:szCs w:val="22"/>
        </w:rPr>
      </w:pPr>
      <w:r w:rsidRPr="00FD0DD2">
        <w:rPr>
          <w:sz w:val="22"/>
          <w:szCs w:val="22"/>
        </w:rPr>
        <w:t xml:space="preserve">Dôsledné </w:t>
      </w:r>
      <w:r w:rsidR="00033198">
        <w:rPr>
          <w:sz w:val="22"/>
          <w:szCs w:val="22"/>
        </w:rPr>
        <w:t>sledovanie</w:t>
      </w:r>
      <w:r w:rsidRPr="00FD0DD2">
        <w:rPr>
          <w:sz w:val="22"/>
          <w:szCs w:val="22"/>
        </w:rPr>
        <w:t xml:space="preserve"> sa vyžaduje v prípade:</w:t>
      </w:r>
    </w:p>
    <w:p w:rsidR="0015202D" w:rsidRDefault="00021B1A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5202D">
        <w:rPr>
          <w:sz w:val="22"/>
          <w:szCs w:val="22"/>
        </w:rPr>
        <w:t>acient</w:t>
      </w:r>
      <w:r>
        <w:rPr>
          <w:sz w:val="22"/>
          <w:szCs w:val="22"/>
        </w:rPr>
        <w:t>ov</w:t>
      </w:r>
      <w:r w:rsidR="0015202D">
        <w:rPr>
          <w:sz w:val="22"/>
          <w:szCs w:val="22"/>
        </w:rPr>
        <w:t xml:space="preserve"> s čiastočnou obštrukciou výdaja moču (napr. hypertrofia prostaty, </w:t>
      </w:r>
      <w:proofErr w:type="spellStart"/>
      <w:r>
        <w:rPr>
          <w:sz w:val="22"/>
          <w:szCs w:val="22"/>
        </w:rPr>
        <w:t>hydronefróza</w:t>
      </w:r>
      <w:proofErr w:type="spellEnd"/>
      <w:r>
        <w:rPr>
          <w:sz w:val="22"/>
          <w:szCs w:val="22"/>
        </w:rPr>
        <w:t>, zúženie močovodu). Výdaj moču musí byť zachovaný;</w:t>
      </w:r>
    </w:p>
    <w:p w:rsidR="00021B1A" w:rsidRDefault="00021B1A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pacientov s </w:t>
      </w:r>
      <w:r w:rsidR="004302A6">
        <w:rPr>
          <w:sz w:val="22"/>
          <w:szCs w:val="22"/>
        </w:rPr>
        <w:t>hypotenziou</w:t>
      </w:r>
      <w:r>
        <w:rPr>
          <w:sz w:val="22"/>
          <w:szCs w:val="22"/>
        </w:rPr>
        <w:t xml:space="preserve"> alebo so zvýšeným rizikom výrazného poklesu krvného tlaku (pacienti so zúžen</w:t>
      </w:r>
      <w:r w:rsidR="00033198">
        <w:rPr>
          <w:sz w:val="22"/>
          <w:szCs w:val="22"/>
        </w:rPr>
        <w:t>ím</w:t>
      </w:r>
      <w:r>
        <w:rPr>
          <w:sz w:val="22"/>
          <w:szCs w:val="22"/>
        </w:rPr>
        <w:t xml:space="preserve"> srdcový</w:t>
      </w:r>
      <w:r w:rsidR="00033198">
        <w:rPr>
          <w:sz w:val="22"/>
          <w:szCs w:val="22"/>
        </w:rPr>
        <w:t>ch</w:t>
      </w:r>
      <w:r w:rsidR="004302A6">
        <w:rPr>
          <w:sz w:val="22"/>
          <w:szCs w:val="22"/>
        </w:rPr>
        <w:t xml:space="preserve"> </w:t>
      </w:r>
      <w:r>
        <w:rPr>
          <w:sz w:val="22"/>
          <w:szCs w:val="22"/>
        </w:rPr>
        <w:t>alebo mozgový</w:t>
      </w:r>
      <w:r w:rsidR="00033198">
        <w:rPr>
          <w:sz w:val="22"/>
          <w:szCs w:val="22"/>
        </w:rPr>
        <w:t>ch</w:t>
      </w:r>
      <w:r w:rsidR="004302A6">
        <w:rPr>
          <w:sz w:val="22"/>
          <w:szCs w:val="22"/>
        </w:rPr>
        <w:t xml:space="preserve"> </w:t>
      </w:r>
      <w:r w:rsidR="00033198">
        <w:rPr>
          <w:sz w:val="22"/>
          <w:szCs w:val="22"/>
        </w:rPr>
        <w:t>tepien</w:t>
      </w:r>
      <w:r>
        <w:rPr>
          <w:sz w:val="22"/>
          <w:szCs w:val="22"/>
        </w:rPr>
        <w:t>);</w:t>
      </w:r>
    </w:p>
    <w:p w:rsidR="00021B1A" w:rsidRDefault="00033198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pacienti s prejaven</w:t>
      </w:r>
      <w:r w:rsidR="00367041">
        <w:rPr>
          <w:sz w:val="22"/>
          <w:szCs w:val="22"/>
        </w:rPr>
        <w:t>ým</w:t>
      </w:r>
      <w:r>
        <w:rPr>
          <w:sz w:val="22"/>
          <w:szCs w:val="22"/>
        </w:rPr>
        <w:t xml:space="preserve"> alebo latentn</w:t>
      </w:r>
      <w:r w:rsidR="0013110F">
        <w:rPr>
          <w:sz w:val="22"/>
          <w:szCs w:val="22"/>
        </w:rPr>
        <w:t>ým</w:t>
      </w:r>
      <w:r>
        <w:rPr>
          <w:sz w:val="22"/>
          <w:szCs w:val="22"/>
        </w:rPr>
        <w:t xml:space="preserve"> diabet</w:t>
      </w:r>
      <w:r w:rsidR="0013110F">
        <w:rPr>
          <w:sz w:val="22"/>
          <w:szCs w:val="22"/>
        </w:rPr>
        <w:t>om</w:t>
      </w:r>
      <w:r>
        <w:rPr>
          <w:sz w:val="22"/>
          <w:szCs w:val="22"/>
        </w:rPr>
        <w:t xml:space="preserve"> mellitus alebo so zmenou glykémie (nevyhnutné pravidelné sledovanie hladín glukózy v krvi);</w:t>
      </w:r>
    </w:p>
    <w:p w:rsidR="00033198" w:rsidRDefault="00033198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pacienti s dnou a </w:t>
      </w:r>
      <w:proofErr w:type="spellStart"/>
      <w:r>
        <w:rPr>
          <w:sz w:val="22"/>
          <w:szCs w:val="22"/>
        </w:rPr>
        <w:t>hyperurikémiou</w:t>
      </w:r>
      <w:proofErr w:type="spellEnd"/>
      <w:r>
        <w:rPr>
          <w:sz w:val="22"/>
          <w:szCs w:val="22"/>
        </w:rPr>
        <w:t xml:space="preserve"> (nevyhnutné pravidelné sledovanie hladín kyseliny močovej v sére);</w:t>
      </w:r>
    </w:p>
    <w:p w:rsidR="00033198" w:rsidRDefault="00033198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pacienti s ochorením pečene alebo </w:t>
      </w:r>
      <w:proofErr w:type="spellStart"/>
      <w:r>
        <w:rPr>
          <w:sz w:val="22"/>
          <w:szCs w:val="22"/>
        </w:rPr>
        <w:t>hepatorenálnym</w:t>
      </w:r>
      <w:proofErr w:type="spellEnd"/>
      <w:r>
        <w:rPr>
          <w:sz w:val="22"/>
          <w:szCs w:val="22"/>
        </w:rPr>
        <w:t xml:space="preserve"> syndrómom (porucha funkcie obličiek spojená so závažným ochorením pečene);</w:t>
      </w:r>
    </w:p>
    <w:p w:rsidR="0013110F" w:rsidRDefault="00033198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hypoproteinémia</w:t>
      </w:r>
      <w:proofErr w:type="spellEnd"/>
      <w:r>
        <w:rPr>
          <w:sz w:val="22"/>
          <w:szCs w:val="22"/>
        </w:rPr>
        <w:t xml:space="preserve"> (spojená s </w:t>
      </w:r>
      <w:proofErr w:type="spellStart"/>
      <w:r>
        <w:rPr>
          <w:sz w:val="22"/>
          <w:szCs w:val="22"/>
        </w:rPr>
        <w:t>nefrotickým</w:t>
      </w:r>
      <w:proofErr w:type="spellEnd"/>
      <w:r>
        <w:rPr>
          <w:sz w:val="22"/>
          <w:szCs w:val="22"/>
        </w:rPr>
        <w:t xml:space="preserve"> syndrómom, </w:t>
      </w:r>
      <w:r w:rsidR="0013110F">
        <w:rPr>
          <w:sz w:val="22"/>
          <w:szCs w:val="22"/>
        </w:rPr>
        <w:t xml:space="preserve">účinok </w:t>
      </w:r>
      <w:proofErr w:type="spellStart"/>
      <w:r w:rsidR="0013110F">
        <w:rPr>
          <w:sz w:val="22"/>
          <w:szCs w:val="22"/>
        </w:rPr>
        <w:t>furosemidu</w:t>
      </w:r>
      <w:proofErr w:type="spellEnd"/>
      <w:r w:rsidR="0013110F">
        <w:rPr>
          <w:sz w:val="22"/>
          <w:szCs w:val="22"/>
        </w:rPr>
        <w:t xml:space="preserve"> môže byť znížený a jeho </w:t>
      </w:r>
      <w:proofErr w:type="spellStart"/>
      <w:r w:rsidR="0013110F">
        <w:rPr>
          <w:sz w:val="22"/>
          <w:szCs w:val="22"/>
        </w:rPr>
        <w:t>ototoxicita</w:t>
      </w:r>
      <w:proofErr w:type="spellEnd"/>
      <w:r w:rsidR="0013110F">
        <w:rPr>
          <w:sz w:val="22"/>
          <w:szCs w:val="22"/>
        </w:rPr>
        <w:t xml:space="preserve"> môže byť vyššia);</w:t>
      </w:r>
    </w:p>
    <w:p w:rsidR="0013110F" w:rsidRDefault="0013110F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súbežné podávanie so soľami lítia (vyžaduje sa sledovanie hladín lítia, pozri časť 4.5);</w:t>
      </w:r>
      <w:r w:rsidR="000222E1">
        <w:rPr>
          <w:sz w:val="22"/>
          <w:szCs w:val="22"/>
        </w:rPr>
        <w:t xml:space="preserve"> </w:t>
      </w:r>
    </w:p>
    <w:p w:rsidR="007670B0" w:rsidRDefault="0013110F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akútna </w:t>
      </w:r>
      <w:proofErr w:type="spellStart"/>
      <w:r>
        <w:rPr>
          <w:sz w:val="22"/>
          <w:szCs w:val="22"/>
        </w:rPr>
        <w:t>porfýria</w:t>
      </w:r>
      <w:proofErr w:type="spellEnd"/>
      <w:r>
        <w:rPr>
          <w:sz w:val="22"/>
          <w:szCs w:val="22"/>
        </w:rPr>
        <w:t xml:space="preserve"> (použitie </w:t>
      </w:r>
      <w:r w:rsidR="007670B0">
        <w:rPr>
          <w:sz w:val="22"/>
          <w:szCs w:val="22"/>
        </w:rPr>
        <w:t xml:space="preserve">diuretík sa považuje za nebezpečné pri akútnej </w:t>
      </w:r>
      <w:proofErr w:type="spellStart"/>
      <w:r w:rsidR="007670B0">
        <w:rPr>
          <w:sz w:val="22"/>
          <w:szCs w:val="22"/>
        </w:rPr>
        <w:t>porfýrii</w:t>
      </w:r>
      <w:proofErr w:type="spellEnd"/>
      <w:r w:rsidR="007670B0">
        <w:rPr>
          <w:sz w:val="22"/>
          <w:szCs w:val="22"/>
        </w:rPr>
        <w:t xml:space="preserve"> a je potrebná opatrnosť);</w:t>
      </w:r>
    </w:p>
    <w:p w:rsidR="007670B0" w:rsidRDefault="007670B0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príliš silná </w:t>
      </w:r>
      <w:proofErr w:type="spellStart"/>
      <w:r>
        <w:rPr>
          <w:sz w:val="22"/>
          <w:szCs w:val="22"/>
        </w:rPr>
        <w:t>diuréza</w:t>
      </w:r>
      <w:proofErr w:type="spellEnd"/>
      <w:r>
        <w:rPr>
          <w:sz w:val="22"/>
          <w:szCs w:val="22"/>
        </w:rPr>
        <w:t xml:space="preserve"> môže spôsobiť </w:t>
      </w:r>
      <w:proofErr w:type="spellStart"/>
      <w:r>
        <w:rPr>
          <w:sz w:val="22"/>
          <w:szCs w:val="22"/>
        </w:rPr>
        <w:t>ortostatickú</w:t>
      </w:r>
      <w:proofErr w:type="spellEnd"/>
      <w:r>
        <w:rPr>
          <w:sz w:val="22"/>
          <w:szCs w:val="22"/>
        </w:rPr>
        <w:t xml:space="preserve"> hypotenziu alebo akútnu epizódu hypotenzie;</w:t>
      </w:r>
    </w:p>
    <w:p w:rsidR="007003EB" w:rsidRDefault="007003EB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sú indikované, majú sa vykonať opatrenia na úpravu hypotenzie alebo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 xml:space="preserve"> pred začatím liečby.</w:t>
      </w:r>
    </w:p>
    <w:p w:rsidR="007003EB" w:rsidRDefault="007003EB">
      <w:pPr>
        <w:tabs>
          <w:tab w:val="left" w:pos="7380"/>
        </w:tabs>
        <w:jc w:val="both"/>
        <w:rPr>
          <w:sz w:val="22"/>
          <w:szCs w:val="22"/>
        </w:rPr>
      </w:pPr>
    </w:p>
    <w:p w:rsidR="00033198" w:rsidRDefault="0026663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Opatrná titrácia dávky sa vyžaduje pri: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zmenách elektrolytov (napr. </w:t>
      </w:r>
      <w:proofErr w:type="spellStart"/>
      <w:r>
        <w:rPr>
          <w:sz w:val="22"/>
          <w:szCs w:val="22"/>
        </w:rPr>
        <w:t>hypokal</w:t>
      </w:r>
      <w:r w:rsidR="004302A6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5C5626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>);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zmenách telesných tekutín, dehydratácii, redukcii krvného objemu s kolapsom cirkulácie a možnou trombózou a embóliou, zvlášť u starších pacientov, pri nadmernom používaní;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ototoxicite</w:t>
      </w:r>
      <w:proofErr w:type="spellEnd"/>
      <w:r>
        <w:rPr>
          <w:sz w:val="22"/>
          <w:szCs w:val="22"/>
        </w:rPr>
        <w:t xml:space="preserve"> (ak sa podáva rýchlejšie ako 4 mg/ml – toto riziko môže byť zvýšené pri súbežnom podávaní iných </w:t>
      </w:r>
      <w:proofErr w:type="spellStart"/>
      <w:r>
        <w:rPr>
          <w:sz w:val="22"/>
          <w:szCs w:val="22"/>
        </w:rPr>
        <w:t>ototoxických</w:t>
      </w:r>
      <w:proofErr w:type="spellEnd"/>
      <w:r>
        <w:rPr>
          <w:sz w:val="22"/>
          <w:szCs w:val="22"/>
        </w:rPr>
        <w:t xml:space="preserve"> zlúčenín, pozri časť 4.5);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podávaní vysokých dávok;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podávaní pri progresívnych a závažných ochoreniach obličiek;</w:t>
      </w:r>
    </w:p>
    <w:p w:rsidR="0026663E" w:rsidRDefault="0026663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podávaní so </w:t>
      </w:r>
      <w:proofErr w:type="spellStart"/>
      <w:r>
        <w:rPr>
          <w:sz w:val="22"/>
          <w:szCs w:val="22"/>
        </w:rPr>
        <w:t>sorbitolom</w:t>
      </w:r>
      <w:proofErr w:type="spellEnd"/>
      <w:r>
        <w:rPr>
          <w:sz w:val="22"/>
          <w:szCs w:val="22"/>
        </w:rPr>
        <w:t>. Súbežné podávanie</w:t>
      </w:r>
      <w:r w:rsidR="0003161E">
        <w:rPr>
          <w:sz w:val="22"/>
          <w:szCs w:val="22"/>
        </w:rPr>
        <w:t xml:space="preserve"> oboch látok môže viesť k vyššej dehydratácii (</w:t>
      </w:r>
      <w:proofErr w:type="spellStart"/>
      <w:r w:rsidR="0003161E">
        <w:rPr>
          <w:sz w:val="22"/>
          <w:szCs w:val="22"/>
        </w:rPr>
        <w:t>sorbitol</w:t>
      </w:r>
      <w:proofErr w:type="spellEnd"/>
      <w:r w:rsidR="0003161E">
        <w:rPr>
          <w:sz w:val="22"/>
          <w:szCs w:val="22"/>
        </w:rPr>
        <w:t xml:space="preserve"> môže spôsobiť ďalšiu stratu tekutín navodením hnačky);</w:t>
      </w:r>
    </w:p>
    <w:p w:rsidR="0003161E" w:rsidRDefault="0003161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podávaní pri </w:t>
      </w:r>
      <w:proofErr w:type="spellStart"/>
      <w:r>
        <w:rPr>
          <w:sz w:val="22"/>
          <w:szCs w:val="22"/>
        </w:rPr>
        <w:t>lupuse</w:t>
      </w:r>
      <w:proofErr w:type="spellEnd"/>
      <w:r w:rsidR="004302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erythematosus</w:t>
      </w:r>
      <w:proofErr w:type="spellEnd"/>
      <w:r>
        <w:rPr>
          <w:sz w:val="22"/>
          <w:szCs w:val="22"/>
        </w:rPr>
        <w:t>;</w:t>
      </w:r>
    </w:p>
    <w:p w:rsidR="0003161E" w:rsidRDefault="0003161E" w:rsidP="00FD0DD2">
      <w:pPr>
        <w:pStyle w:val="Odsekzoznamu"/>
        <w:numPr>
          <w:ilvl w:val="0"/>
          <w:numId w:val="7"/>
        </w:numPr>
        <w:tabs>
          <w:tab w:val="left" w:pos="73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liekoch predlžujúcich QT interval.</w:t>
      </w:r>
    </w:p>
    <w:p w:rsidR="0003161E" w:rsidRDefault="0003161E">
      <w:pPr>
        <w:tabs>
          <w:tab w:val="left" w:pos="7380"/>
        </w:tabs>
        <w:jc w:val="both"/>
        <w:rPr>
          <w:sz w:val="22"/>
          <w:szCs w:val="22"/>
        </w:rPr>
      </w:pPr>
    </w:p>
    <w:p w:rsidR="0003161E" w:rsidRDefault="0003161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Opatrnosť je potrebná u pacientov náchylných na poruchy </w:t>
      </w:r>
      <w:r w:rsidR="00557EF1">
        <w:rPr>
          <w:sz w:val="22"/>
          <w:szCs w:val="22"/>
        </w:rPr>
        <w:t xml:space="preserve">rovnováhy </w:t>
      </w:r>
      <w:r>
        <w:rPr>
          <w:sz w:val="22"/>
          <w:szCs w:val="22"/>
        </w:rPr>
        <w:t>elektrolytov.</w:t>
      </w:r>
    </w:p>
    <w:p w:rsidR="0003161E" w:rsidRDefault="00912062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Počas liečby </w:t>
      </w:r>
      <w:proofErr w:type="spellStart"/>
      <w:r>
        <w:rPr>
          <w:sz w:val="22"/>
          <w:szCs w:val="22"/>
        </w:rPr>
        <w:t>furosemidom</w:t>
      </w:r>
      <w:proofErr w:type="spellEnd"/>
      <w:r w:rsidR="008F2364">
        <w:rPr>
          <w:sz w:val="22"/>
          <w:szCs w:val="22"/>
        </w:rPr>
        <w:t xml:space="preserve"> sa všeobecne odporúča </w:t>
      </w:r>
      <w:r w:rsidR="00557EF1">
        <w:rPr>
          <w:sz w:val="22"/>
          <w:szCs w:val="22"/>
        </w:rPr>
        <w:t>pravidelné sledovanie sodíka, draslíka a kreatinínu v sére; zvlášť dôsledné sledovanie sa vyžaduje u pacientov s vysokým rizikom porúch rovnováhy elektrolytov alebo v prípade výrazného dodatočného úbytku telesných tekutín (napr. v dôsledku vracania alebo hnačky).</w:t>
      </w:r>
    </w:p>
    <w:p w:rsidR="00CA2EDE" w:rsidRDefault="00825CD9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 alebo dehydratácia</w:t>
      </w:r>
      <w:r w:rsidR="00CA2EDE">
        <w:rPr>
          <w:sz w:val="22"/>
          <w:szCs w:val="22"/>
        </w:rPr>
        <w:t xml:space="preserve">, ako aj výrazné poruchy </w:t>
      </w:r>
      <w:proofErr w:type="spellStart"/>
      <w:r w:rsidR="00CA2EDE">
        <w:rPr>
          <w:sz w:val="22"/>
          <w:szCs w:val="22"/>
        </w:rPr>
        <w:t>elektrolytovej</w:t>
      </w:r>
      <w:proofErr w:type="spellEnd"/>
      <w:r w:rsidR="00CA2EDE">
        <w:rPr>
          <w:sz w:val="22"/>
          <w:szCs w:val="22"/>
        </w:rPr>
        <w:t xml:space="preserve"> a acidobázickej rovnováhy musia byť korigované. To si môže vyžadovať vysadenie </w:t>
      </w:r>
      <w:proofErr w:type="spellStart"/>
      <w:r w:rsidR="00CA2EDE">
        <w:rPr>
          <w:sz w:val="22"/>
          <w:szCs w:val="22"/>
        </w:rPr>
        <w:t>furosemidu</w:t>
      </w:r>
      <w:proofErr w:type="spellEnd"/>
      <w:r w:rsidR="00CA2EDE">
        <w:rPr>
          <w:sz w:val="22"/>
          <w:szCs w:val="22"/>
        </w:rPr>
        <w:t>.</w:t>
      </w:r>
    </w:p>
    <w:p w:rsidR="00557EF1" w:rsidRDefault="00CA2ED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pacientov, u ktorých je vysoké riziko </w:t>
      </w:r>
      <w:proofErr w:type="spellStart"/>
      <w:r>
        <w:rPr>
          <w:sz w:val="22"/>
          <w:szCs w:val="22"/>
        </w:rPr>
        <w:t>rádiokontrastnej</w:t>
      </w:r>
      <w:proofErr w:type="spellEnd"/>
      <w:r w:rsidR="008412C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nefropatie</w:t>
      </w:r>
      <w:proofErr w:type="spellEnd"/>
      <w:r>
        <w:rPr>
          <w:sz w:val="22"/>
          <w:szCs w:val="22"/>
        </w:rPr>
        <w:t xml:space="preserve">, sa neodporúča používať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diurézu</w:t>
      </w:r>
      <w:proofErr w:type="spellEnd"/>
      <w:r>
        <w:rPr>
          <w:sz w:val="22"/>
          <w:szCs w:val="22"/>
        </w:rPr>
        <w:t xml:space="preserve"> ako súčasť preventívnych opatrení proti </w:t>
      </w:r>
      <w:proofErr w:type="spellStart"/>
      <w:r>
        <w:rPr>
          <w:sz w:val="22"/>
          <w:szCs w:val="22"/>
        </w:rPr>
        <w:t>nefropatii</w:t>
      </w:r>
      <w:proofErr w:type="spellEnd"/>
      <w:r>
        <w:rPr>
          <w:sz w:val="22"/>
          <w:szCs w:val="22"/>
        </w:rPr>
        <w:t xml:space="preserve"> indukovanej </w:t>
      </w:r>
      <w:proofErr w:type="spellStart"/>
      <w:r>
        <w:rPr>
          <w:sz w:val="22"/>
          <w:szCs w:val="22"/>
        </w:rPr>
        <w:t>rádiokontrastnou</w:t>
      </w:r>
      <w:proofErr w:type="spellEnd"/>
      <w:r>
        <w:rPr>
          <w:sz w:val="22"/>
          <w:szCs w:val="22"/>
        </w:rPr>
        <w:t xml:space="preserve"> látkou.</w:t>
      </w:r>
    </w:p>
    <w:p w:rsidR="00CA2EDE" w:rsidRDefault="00CA2EDE">
      <w:pPr>
        <w:tabs>
          <w:tab w:val="left" w:pos="7380"/>
        </w:tabs>
        <w:jc w:val="both"/>
        <w:rPr>
          <w:sz w:val="22"/>
          <w:szCs w:val="22"/>
        </w:rPr>
      </w:pPr>
    </w:p>
    <w:p w:rsidR="00CA2EDE" w:rsidRDefault="00CA2ED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Súbežné podávanie s </w:t>
      </w:r>
      <w:proofErr w:type="spellStart"/>
      <w:r>
        <w:rPr>
          <w:sz w:val="22"/>
          <w:szCs w:val="22"/>
        </w:rPr>
        <w:t>risperidónom</w:t>
      </w:r>
      <w:proofErr w:type="spellEnd"/>
    </w:p>
    <w:p w:rsidR="002700B6" w:rsidRDefault="00E64967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placebom kontrolovaných skúšaniach s </w:t>
      </w:r>
      <w:proofErr w:type="spellStart"/>
      <w:r>
        <w:rPr>
          <w:sz w:val="22"/>
          <w:szCs w:val="22"/>
        </w:rPr>
        <w:t>risperidónom</w:t>
      </w:r>
      <w:proofErr w:type="spellEnd"/>
      <w:r>
        <w:rPr>
          <w:sz w:val="22"/>
          <w:szCs w:val="22"/>
        </w:rPr>
        <w:t xml:space="preserve"> u starších pacientov s demenciou bol pozorovaný vyšší výskyt úmrtnosti u pacientov liečených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spolu s </w:t>
      </w:r>
      <w:proofErr w:type="spellStart"/>
      <w:r>
        <w:rPr>
          <w:sz w:val="22"/>
          <w:szCs w:val="22"/>
        </w:rPr>
        <w:t>risperidónom</w:t>
      </w:r>
      <w:proofErr w:type="spellEnd"/>
      <w:r>
        <w:rPr>
          <w:sz w:val="22"/>
          <w:szCs w:val="22"/>
        </w:rPr>
        <w:t xml:space="preserve"> (7,3 %; priemerný vek 89 rokov, vekové rozpätie 75 – 97 rokov) v porovnaní s pacientmi liečenými </w:t>
      </w:r>
      <w:proofErr w:type="spellStart"/>
      <w:r>
        <w:rPr>
          <w:sz w:val="22"/>
          <w:szCs w:val="22"/>
        </w:rPr>
        <w:t>risperidónom</w:t>
      </w:r>
      <w:proofErr w:type="spellEnd"/>
      <w:r>
        <w:rPr>
          <w:sz w:val="22"/>
          <w:szCs w:val="22"/>
        </w:rPr>
        <w:t xml:space="preserve"> samotným (3,1 %; priemerný vek 84 rokov, vekové rozpätie 70 – 96 rokov) alebo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samotným (4,1 %; priemerný vek 80 rokov, vekové rozpätie 67 – 90 rokov). Súbežné použitie </w:t>
      </w:r>
      <w:proofErr w:type="spellStart"/>
      <w:r>
        <w:rPr>
          <w:sz w:val="22"/>
          <w:szCs w:val="22"/>
        </w:rPr>
        <w:t>risperidónu</w:t>
      </w:r>
      <w:proofErr w:type="spellEnd"/>
      <w:r>
        <w:rPr>
          <w:sz w:val="22"/>
          <w:szCs w:val="22"/>
        </w:rPr>
        <w:t xml:space="preserve"> s inými diuretikami (hlavne </w:t>
      </w:r>
      <w:proofErr w:type="spellStart"/>
      <w:r>
        <w:rPr>
          <w:sz w:val="22"/>
          <w:szCs w:val="22"/>
        </w:rPr>
        <w:t>tiazidovými</w:t>
      </w:r>
      <w:proofErr w:type="spellEnd"/>
      <w:r>
        <w:rPr>
          <w:sz w:val="22"/>
          <w:szCs w:val="22"/>
        </w:rPr>
        <w:t xml:space="preserve"> diuretikami používanými v nízkej dávke) nebolo spojené s podobnými nálezmi. Nebol zistený žiadny </w:t>
      </w:r>
      <w:proofErr w:type="spellStart"/>
      <w:r>
        <w:rPr>
          <w:sz w:val="22"/>
          <w:szCs w:val="22"/>
        </w:rPr>
        <w:t>patofyziologický</w:t>
      </w:r>
      <w:proofErr w:type="spellEnd"/>
      <w:r>
        <w:rPr>
          <w:sz w:val="22"/>
          <w:szCs w:val="22"/>
        </w:rPr>
        <w:t xml:space="preserve"> mechanizmus vysvetľujúci tento nález a nebola ani pozorovaná žiadna jednotná príčina úmrtia. Napriek tomu sa vyžaduje opatrnosť a majú sa porovnať riziká s prínosom tejto kombinácie alebo súbežnej liečby s inými silnými diuretikami pred rozhodnutím o ich použití. </w:t>
      </w:r>
      <w:r w:rsidR="002700B6">
        <w:rPr>
          <w:sz w:val="22"/>
          <w:szCs w:val="22"/>
        </w:rPr>
        <w:t>U pacientov užívajúcich iné diuretiká ako súbežnú liečbu s </w:t>
      </w:r>
      <w:proofErr w:type="spellStart"/>
      <w:r w:rsidR="002700B6">
        <w:rPr>
          <w:sz w:val="22"/>
          <w:szCs w:val="22"/>
        </w:rPr>
        <w:t>risperidónom</w:t>
      </w:r>
      <w:proofErr w:type="spellEnd"/>
      <w:r w:rsidR="002700B6">
        <w:rPr>
          <w:sz w:val="22"/>
          <w:szCs w:val="22"/>
        </w:rPr>
        <w:t xml:space="preserve"> nebol zvýšený výskyt úmrtnosti. Bez ohľadu na liečbu</w:t>
      </w:r>
      <w:r w:rsidR="00A16004">
        <w:rPr>
          <w:sz w:val="22"/>
          <w:szCs w:val="22"/>
        </w:rPr>
        <w:t>,</w:t>
      </w:r>
      <w:r w:rsidR="002700B6">
        <w:rPr>
          <w:sz w:val="22"/>
          <w:szCs w:val="22"/>
        </w:rPr>
        <w:t xml:space="preserve"> dehydratácia bola celkovým rizikovým faktorom úmrtnosti a má sa jej </w:t>
      </w:r>
      <w:r w:rsidR="00AB2E8F">
        <w:rPr>
          <w:sz w:val="22"/>
          <w:szCs w:val="22"/>
        </w:rPr>
        <w:t xml:space="preserve">u starších pacientov s demenciou </w:t>
      </w:r>
      <w:r w:rsidR="002700B6">
        <w:rPr>
          <w:sz w:val="22"/>
          <w:szCs w:val="22"/>
        </w:rPr>
        <w:t>predchádzať (pozri časť 4.3).</w:t>
      </w:r>
    </w:p>
    <w:p w:rsidR="002700B6" w:rsidRDefault="002700B6">
      <w:pPr>
        <w:tabs>
          <w:tab w:val="left" w:pos="7380"/>
        </w:tabs>
        <w:jc w:val="both"/>
        <w:rPr>
          <w:sz w:val="22"/>
          <w:szCs w:val="22"/>
        </w:rPr>
      </w:pPr>
    </w:p>
    <w:p w:rsidR="002700B6" w:rsidRDefault="00AB2E8F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Citlivosť na svetlo</w:t>
      </w:r>
      <w:r w:rsidR="002700B6">
        <w:rPr>
          <w:sz w:val="22"/>
          <w:szCs w:val="22"/>
        </w:rPr>
        <w:t xml:space="preserve">: Boli hlásené prípady </w:t>
      </w:r>
      <w:proofErr w:type="spellStart"/>
      <w:r w:rsidR="002700B6">
        <w:rPr>
          <w:sz w:val="22"/>
          <w:szCs w:val="22"/>
        </w:rPr>
        <w:t>fotosenzitívnych</w:t>
      </w:r>
      <w:proofErr w:type="spellEnd"/>
      <w:r w:rsidR="002700B6">
        <w:rPr>
          <w:sz w:val="22"/>
          <w:szCs w:val="22"/>
        </w:rPr>
        <w:t xml:space="preserve"> reakcií. Ak sa počas liečby vyskytne </w:t>
      </w:r>
      <w:proofErr w:type="spellStart"/>
      <w:r w:rsidR="002700B6">
        <w:rPr>
          <w:sz w:val="22"/>
          <w:szCs w:val="22"/>
        </w:rPr>
        <w:t>fotosenzitívna</w:t>
      </w:r>
      <w:proofErr w:type="spellEnd"/>
      <w:r w:rsidR="002700B6">
        <w:rPr>
          <w:sz w:val="22"/>
          <w:szCs w:val="22"/>
        </w:rPr>
        <w:t xml:space="preserve"> reakcia, odporúča sa zastaviť liečbu. Ak sa jej opätovné nasadenie považuje za nevyhnutné, odporúča sa chrániť exponované miesta pred slnkom alebo umelým UVA žiarením.</w:t>
      </w:r>
    </w:p>
    <w:p w:rsidR="002700B6" w:rsidRDefault="002700B6">
      <w:pPr>
        <w:tabs>
          <w:tab w:val="left" w:pos="7380"/>
        </w:tabs>
        <w:jc w:val="both"/>
        <w:rPr>
          <w:sz w:val="22"/>
          <w:szCs w:val="22"/>
        </w:rPr>
      </w:pPr>
    </w:p>
    <w:p w:rsidR="00CA2EDE" w:rsidRPr="00FD0DD2" w:rsidRDefault="002700B6">
      <w:pPr>
        <w:tabs>
          <w:tab w:val="left" w:pos="7380"/>
        </w:tabs>
        <w:jc w:val="both"/>
        <w:rPr>
          <w:sz w:val="22"/>
          <w:szCs w:val="22"/>
          <w:u w:val="single"/>
        </w:rPr>
      </w:pPr>
      <w:r w:rsidRPr="00FD0DD2">
        <w:rPr>
          <w:sz w:val="22"/>
          <w:szCs w:val="22"/>
          <w:u w:val="single"/>
        </w:rPr>
        <w:t>Pediatrická populácia</w:t>
      </w:r>
    </w:p>
    <w:p w:rsidR="002700B6" w:rsidRDefault="002700B6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Predčasne narodené </w:t>
      </w:r>
      <w:r w:rsidR="001A3410">
        <w:rPr>
          <w:sz w:val="22"/>
          <w:szCs w:val="22"/>
        </w:rPr>
        <w:t xml:space="preserve">deti (možný vznik </w:t>
      </w:r>
      <w:proofErr w:type="spellStart"/>
      <w:r w:rsidR="001A3410">
        <w:rPr>
          <w:sz w:val="22"/>
          <w:szCs w:val="22"/>
        </w:rPr>
        <w:t>nefrokalcinózy</w:t>
      </w:r>
      <w:proofErr w:type="spellEnd"/>
      <w:r w:rsidR="001A3410">
        <w:rPr>
          <w:sz w:val="22"/>
          <w:szCs w:val="22"/>
        </w:rPr>
        <w:t>/</w:t>
      </w:r>
      <w:proofErr w:type="spellStart"/>
      <w:r w:rsidR="001A3410">
        <w:rPr>
          <w:sz w:val="22"/>
          <w:szCs w:val="22"/>
        </w:rPr>
        <w:t>nefrolitiázy</w:t>
      </w:r>
      <w:proofErr w:type="spellEnd"/>
      <w:r w:rsidR="001A3410">
        <w:rPr>
          <w:sz w:val="22"/>
          <w:szCs w:val="22"/>
        </w:rPr>
        <w:t xml:space="preserve">; funkcia obličiek musí byť sledovaná a musí sa urobiť sonografia obličiek). U predčasne narodených detí so syndrómom respiračnej tiesne diuretická liečba </w:t>
      </w:r>
      <w:proofErr w:type="spellStart"/>
      <w:r w:rsidR="001A3410">
        <w:rPr>
          <w:sz w:val="22"/>
          <w:szCs w:val="22"/>
        </w:rPr>
        <w:t>furosemidom</w:t>
      </w:r>
      <w:proofErr w:type="spellEnd"/>
      <w:r w:rsidR="001A3410">
        <w:rPr>
          <w:sz w:val="22"/>
          <w:szCs w:val="22"/>
        </w:rPr>
        <w:t xml:space="preserve"> počas prvých týždňov života môže zvýšiť riziko </w:t>
      </w:r>
      <w:r w:rsidR="00E94BAA">
        <w:rPr>
          <w:sz w:val="22"/>
          <w:szCs w:val="22"/>
        </w:rPr>
        <w:t xml:space="preserve">otvorenej </w:t>
      </w:r>
      <w:proofErr w:type="spellStart"/>
      <w:r w:rsidR="00E94BAA">
        <w:rPr>
          <w:sz w:val="22"/>
          <w:szCs w:val="22"/>
        </w:rPr>
        <w:t>Botallovej</w:t>
      </w:r>
      <w:proofErr w:type="spellEnd"/>
      <w:r w:rsidR="00E94BAA">
        <w:rPr>
          <w:sz w:val="22"/>
          <w:szCs w:val="22"/>
        </w:rPr>
        <w:t xml:space="preserve"> spojky.</w:t>
      </w:r>
    </w:p>
    <w:p w:rsidR="00E94BAA" w:rsidRDefault="00E94BAA">
      <w:pPr>
        <w:tabs>
          <w:tab w:val="left" w:pos="7380"/>
        </w:tabs>
        <w:jc w:val="both"/>
        <w:rPr>
          <w:sz w:val="22"/>
          <w:szCs w:val="22"/>
        </w:rPr>
      </w:pPr>
    </w:p>
    <w:p w:rsidR="00E94BAA" w:rsidRPr="00FD0DD2" w:rsidRDefault="00E94BAA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na 40 mg, t. j. v podstate zanedbateľné množstvo sodíka.</w:t>
      </w:r>
    </w:p>
    <w:p w:rsidR="0015202D" w:rsidRPr="004D5892" w:rsidRDefault="0015202D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BB7B2E" w:rsidRPr="003F5FC9" w:rsidRDefault="00BB7B2E" w:rsidP="00BB7B2E">
      <w:pPr>
        <w:tabs>
          <w:tab w:val="left" w:pos="0"/>
        </w:tabs>
        <w:jc w:val="both"/>
        <w:rPr>
          <w:b/>
          <w:sz w:val="22"/>
          <w:szCs w:val="22"/>
        </w:rPr>
      </w:pPr>
      <w:r w:rsidRPr="00AF1232">
        <w:rPr>
          <w:b/>
          <w:sz w:val="22"/>
          <w:szCs w:val="22"/>
        </w:rPr>
        <w:t>4.5</w:t>
      </w:r>
      <w:r w:rsidRPr="003F5FC9">
        <w:rPr>
          <w:b/>
          <w:sz w:val="22"/>
          <w:szCs w:val="22"/>
        </w:rPr>
        <w:tab/>
        <w:t>Liekové a iné interakcie</w:t>
      </w:r>
    </w:p>
    <w:p w:rsidR="00BB7B2E" w:rsidRPr="00A816DE" w:rsidRDefault="00BB7B2E" w:rsidP="00BB7B2E">
      <w:pPr>
        <w:tabs>
          <w:tab w:val="left" w:pos="7380"/>
        </w:tabs>
        <w:jc w:val="both"/>
        <w:rPr>
          <w:sz w:val="22"/>
          <w:szCs w:val="22"/>
          <w:u w:val="single"/>
        </w:rPr>
      </w:pPr>
    </w:p>
    <w:p w:rsidR="00BB523A" w:rsidRPr="00FD0DD2" w:rsidRDefault="00BB523A" w:rsidP="00BB7B2E">
      <w:pPr>
        <w:tabs>
          <w:tab w:val="left" w:pos="7380"/>
        </w:tabs>
        <w:jc w:val="both"/>
        <w:rPr>
          <w:sz w:val="22"/>
          <w:szCs w:val="22"/>
          <w:u w:val="single"/>
        </w:rPr>
      </w:pPr>
      <w:r w:rsidRPr="00FD0DD2">
        <w:rPr>
          <w:sz w:val="22"/>
          <w:szCs w:val="22"/>
          <w:u w:val="single"/>
        </w:rPr>
        <w:t>Neodporúčané kombinácie</w:t>
      </w:r>
    </w:p>
    <w:p w:rsidR="00BB523A" w:rsidRDefault="00BB523A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BB523A" w:rsidRDefault="00BB523A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Lítium:</w:t>
      </w:r>
    </w:p>
    <w:p w:rsidR="007D7B17" w:rsidRDefault="007D7B17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znížiť </w:t>
      </w:r>
      <w:r w:rsidR="00AB2E8F">
        <w:rPr>
          <w:sz w:val="22"/>
          <w:szCs w:val="22"/>
        </w:rPr>
        <w:t>mieru</w:t>
      </w:r>
      <w:r>
        <w:rPr>
          <w:sz w:val="22"/>
          <w:szCs w:val="22"/>
        </w:rPr>
        <w:t xml:space="preserve"> vylučovania lítia, čo vedie k zvýšenému </w:t>
      </w:r>
      <w:proofErr w:type="spellStart"/>
      <w:r>
        <w:rPr>
          <w:sz w:val="22"/>
          <w:szCs w:val="22"/>
        </w:rPr>
        <w:t>kardiotoxickému</w:t>
      </w:r>
      <w:proofErr w:type="spellEnd"/>
      <w:r>
        <w:rPr>
          <w:sz w:val="22"/>
          <w:szCs w:val="22"/>
        </w:rPr>
        <w:t xml:space="preserve"> účinku a toxicite lítia. Preto sa táto kombinácia neodporúča (pozri časť 4.4). Ak sa táto kombinácia považuje za nevyhnutnú, hladiny lítia majú byť starostlivo sledované a dávkovanie lítia sa má upraviť.</w:t>
      </w:r>
    </w:p>
    <w:p w:rsidR="007D7B17" w:rsidRDefault="007D7B17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Ototoxické</w:t>
      </w:r>
      <w:proofErr w:type="spellEnd"/>
      <w:r>
        <w:rPr>
          <w:sz w:val="22"/>
          <w:szCs w:val="22"/>
        </w:rPr>
        <w:t xml:space="preserve"> lieky (napr. </w:t>
      </w:r>
      <w:proofErr w:type="spellStart"/>
      <w:r>
        <w:rPr>
          <w:sz w:val="22"/>
          <w:szCs w:val="22"/>
        </w:rPr>
        <w:t>aminoglykozidy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cisplatina</w:t>
      </w:r>
      <w:proofErr w:type="spellEnd"/>
      <w:r>
        <w:rPr>
          <w:sz w:val="22"/>
          <w:szCs w:val="22"/>
        </w:rPr>
        <w:t>):</w:t>
      </w:r>
    </w:p>
    <w:p w:rsidR="00444191" w:rsidRDefault="007D7B17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vystupňovať </w:t>
      </w:r>
      <w:proofErr w:type="spellStart"/>
      <w:r>
        <w:rPr>
          <w:sz w:val="22"/>
          <w:szCs w:val="22"/>
        </w:rPr>
        <w:t>ototoxicitu</w:t>
      </w:r>
      <w:proofErr w:type="spellEnd"/>
      <w:r>
        <w:rPr>
          <w:sz w:val="22"/>
          <w:szCs w:val="22"/>
        </w:rPr>
        <w:t xml:space="preserve"> niektorých liekov, napr. </w:t>
      </w:r>
      <w:proofErr w:type="spellStart"/>
      <w:r>
        <w:rPr>
          <w:sz w:val="22"/>
          <w:szCs w:val="22"/>
        </w:rPr>
        <w:t>cisplatiny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aminoglykozidových</w:t>
      </w:r>
      <w:proofErr w:type="spellEnd"/>
      <w:r>
        <w:rPr>
          <w:sz w:val="22"/>
          <w:szCs w:val="22"/>
        </w:rPr>
        <w:t xml:space="preserve"> antibiotík, ako </w:t>
      </w:r>
      <w:proofErr w:type="spellStart"/>
      <w:r>
        <w:rPr>
          <w:sz w:val="22"/>
          <w:szCs w:val="22"/>
        </w:rPr>
        <w:t>kanamycín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gentamycín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tobramycín</w:t>
      </w:r>
      <w:proofErr w:type="spellEnd"/>
      <w:r>
        <w:rPr>
          <w:sz w:val="22"/>
          <w:szCs w:val="22"/>
        </w:rPr>
        <w:t xml:space="preserve">, zvlášť u pacientov s poruchou funkcie obličiek. Keďže to môže viesť k nezvratnému poškodeniu, tieto lieky </w:t>
      </w:r>
      <w:r w:rsidR="00444191">
        <w:rPr>
          <w:sz w:val="22"/>
          <w:szCs w:val="22"/>
        </w:rPr>
        <w:t>môžu byť použité spolu s </w:t>
      </w:r>
      <w:proofErr w:type="spellStart"/>
      <w:r w:rsidR="00444191">
        <w:rPr>
          <w:sz w:val="22"/>
          <w:szCs w:val="22"/>
        </w:rPr>
        <w:t>furosemidom</w:t>
      </w:r>
      <w:proofErr w:type="spellEnd"/>
      <w:r w:rsidR="00444191">
        <w:rPr>
          <w:sz w:val="22"/>
          <w:szCs w:val="22"/>
        </w:rPr>
        <w:t>, len ak sú na to závažné medicínske dôvody.</w:t>
      </w:r>
    </w:p>
    <w:p w:rsidR="00BB523A" w:rsidRDefault="00444191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Chloralhydrát</w:t>
      </w:r>
      <w:proofErr w:type="spellEnd"/>
      <w:r>
        <w:rPr>
          <w:sz w:val="22"/>
          <w:szCs w:val="22"/>
        </w:rPr>
        <w:t>:</w:t>
      </w:r>
    </w:p>
    <w:p w:rsidR="00444191" w:rsidRDefault="00444191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ojedinelých prípadoch môže intravenózne podanie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v priebehu 24 hodín pred podaním </w:t>
      </w:r>
      <w:proofErr w:type="spellStart"/>
      <w:r>
        <w:rPr>
          <w:sz w:val="22"/>
          <w:szCs w:val="22"/>
        </w:rPr>
        <w:t>chloralhydrátu</w:t>
      </w:r>
      <w:proofErr w:type="spellEnd"/>
      <w:r>
        <w:rPr>
          <w:sz w:val="22"/>
          <w:szCs w:val="22"/>
        </w:rPr>
        <w:t xml:space="preserve"> viesť k sčervenaniu, nadmernému poteniu, úzkosti, nauzei, zvýšenému krvnému tlaku a </w:t>
      </w:r>
      <w:proofErr w:type="spellStart"/>
      <w:r>
        <w:rPr>
          <w:sz w:val="22"/>
          <w:szCs w:val="22"/>
        </w:rPr>
        <w:t>tachykardii</w:t>
      </w:r>
      <w:proofErr w:type="spellEnd"/>
      <w:r>
        <w:rPr>
          <w:sz w:val="22"/>
          <w:szCs w:val="22"/>
        </w:rPr>
        <w:t xml:space="preserve">. Preto sa súbežné 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chloralhydrátu</w:t>
      </w:r>
      <w:proofErr w:type="spellEnd"/>
      <w:r>
        <w:rPr>
          <w:sz w:val="22"/>
          <w:szCs w:val="22"/>
        </w:rPr>
        <w:t xml:space="preserve"> neodporúča.</w:t>
      </w:r>
    </w:p>
    <w:p w:rsidR="00444191" w:rsidRDefault="00444191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444191" w:rsidRPr="00444191" w:rsidRDefault="00444191" w:rsidP="00BB7B2E">
      <w:pPr>
        <w:tabs>
          <w:tab w:val="left" w:pos="7380"/>
        </w:tabs>
        <w:jc w:val="both"/>
        <w:rPr>
          <w:sz w:val="22"/>
          <w:szCs w:val="22"/>
          <w:u w:val="single"/>
        </w:rPr>
      </w:pPr>
      <w:r w:rsidRPr="00444191">
        <w:rPr>
          <w:sz w:val="22"/>
          <w:szCs w:val="22"/>
          <w:u w:val="single"/>
        </w:rPr>
        <w:t>Kombinácie vyžadujúce si opatrnosť pri používaní</w:t>
      </w:r>
    </w:p>
    <w:p w:rsidR="00444191" w:rsidRDefault="00444191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444191" w:rsidRDefault="00444191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aminoglutetimid</w:t>
      </w:r>
      <w:proofErr w:type="spellEnd"/>
      <w:r>
        <w:rPr>
          <w:sz w:val="22"/>
          <w:szCs w:val="22"/>
        </w:rPr>
        <w:t>:</w:t>
      </w:r>
    </w:p>
    <w:p w:rsidR="00444191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Súbežné podávanie s </w:t>
      </w:r>
      <w:proofErr w:type="spellStart"/>
      <w:r>
        <w:rPr>
          <w:sz w:val="22"/>
          <w:szCs w:val="22"/>
        </w:rPr>
        <w:t>karbamazepínom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aminoglutetimidom</w:t>
      </w:r>
      <w:proofErr w:type="spellEnd"/>
      <w:r>
        <w:rPr>
          <w:sz w:val="22"/>
          <w:szCs w:val="22"/>
        </w:rPr>
        <w:t xml:space="preserve"> môže zvýšiť riziko </w:t>
      </w:r>
      <w:proofErr w:type="spellStart"/>
      <w:r>
        <w:rPr>
          <w:sz w:val="22"/>
          <w:szCs w:val="22"/>
        </w:rPr>
        <w:t>hyponatr</w:t>
      </w:r>
      <w:r w:rsidR="00AE7E1C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>.</w:t>
      </w: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Ďalšie </w:t>
      </w:r>
      <w:proofErr w:type="spellStart"/>
      <w:r>
        <w:rPr>
          <w:sz w:val="22"/>
          <w:szCs w:val="22"/>
        </w:rPr>
        <w:t>antihypertenzíva</w:t>
      </w:r>
      <w:proofErr w:type="spellEnd"/>
      <w:r>
        <w:rPr>
          <w:sz w:val="22"/>
          <w:szCs w:val="22"/>
        </w:rPr>
        <w:t>:</w:t>
      </w: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Účinok niektorých ďalších </w:t>
      </w:r>
      <w:proofErr w:type="spellStart"/>
      <w:r>
        <w:rPr>
          <w:sz w:val="22"/>
          <w:szCs w:val="22"/>
        </w:rPr>
        <w:t>antihypertenzív</w:t>
      </w:r>
      <w:proofErr w:type="spellEnd"/>
      <w:r>
        <w:rPr>
          <w:sz w:val="22"/>
          <w:szCs w:val="22"/>
        </w:rPr>
        <w:t xml:space="preserve"> (diuretiká a iné lieky znižujúce krvný tlak) môže byť zosilnený pri súbežnom podávaní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>.</w:t>
      </w: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Inhibítory </w:t>
      </w:r>
      <w:proofErr w:type="spellStart"/>
      <w:r w:rsidR="007E59BE">
        <w:rPr>
          <w:sz w:val="22"/>
          <w:szCs w:val="22"/>
        </w:rPr>
        <w:t>angiotenzín</w:t>
      </w:r>
      <w:proofErr w:type="spellEnd"/>
      <w:r w:rsidR="007E59BE">
        <w:rPr>
          <w:sz w:val="22"/>
          <w:szCs w:val="22"/>
        </w:rPr>
        <w:t xml:space="preserve"> konvertujúceho </w:t>
      </w:r>
      <w:r>
        <w:rPr>
          <w:sz w:val="22"/>
          <w:szCs w:val="22"/>
        </w:rPr>
        <w:t>enzýmu (ACE) a </w:t>
      </w:r>
      <w:proofErr w:type="spellStart"/>
      <w:r>
        <w:rPr>
          <w:sz w:val="22"/>
          <w:szCs w:val="22"/>
        </w:rPr>
        <w:t>antagonisty</w:t>
      </w:r>
      <w:proofErr w:type="spellEnd"/>
      <w:r>
        <w:rPr>
          <w:sz w:val="22"/>
          <w:szCs w:val="22"/>
        </w:rPr>
        <w:t xml:space="preserve"> receptorov pre </w:t>
      </w:r>
      <w:proofErr w:type="spellStart"/>
      <w:r>
        <w:rPr>
          <w:sz w:val="22"/>
          <w:szCs w:val="22"/>
        </w:rPr>
        <w:t>angiotenzín</w:t>
      </w:r>
      <w:proofErr w:type="spellEnd"/>
      <w:r>
        <w:rPr>
          <w:sz w:val="22"/>
          <w:szCs w:val="22"/>
        </w:rPr>
        <w:t xml:space="preserve"> II:</w:t>
      </w:r>
    </w:p>
    <w:p w:rsidR="00084007" w:rsidRDefault="00084007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Účinok iných </w:t>
      </w:r>
      <w:proofErr w:type="spellStart"/>
      <w:r>
        <w:rPr>
          <w:sz w:val="22"/>
          <w:szCs w:val="22"/>
        </w:rPr>
        <w:t>antihypertenzív</w:t>
      </w:r>
      <w:proofErr w:type="spellEnd"/>
      <w:r>
        <w:rPr>
          <w:sz w:val="22"/>
          <w:szCs w:val="22"/>
        </w:rPr>
        <w:t xml:space="preserve"> môže byť zosilnený pri súbežnom podávaní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. Bol pozorovaný závažný pokles krvného tlaku sprevádzaný šokom v extrémnych prípadoch a zhoršenie funkcie obličiek </w:t>
      </w:r>
      <w:r w:rsidR="00947CE1">
        <w:rPr>
          <w:sz w:val="22"/>
          <w:szCs w:val="22"/>
        </w:rPr>
        <w:t xml:space="preserve">(v ojedinelých prípadoch akútne zlyhanie obličiek) v kombinácii s inhibítormi ACE, keď bol inhibítor ACE podávaný po prvýkrát alebo po prvýkrát vo vysokej dávke (nízky krvný tlak súvisiaci s prvou dávkou). Ak je to možné, liečba </w:t>
      </w:r>
      <w:proofErr w:type="spellStart"/>
      <w:r w:rsidR="00947CE1">
        <w:rPr>
          <w:sz w:val="22"/>
          <w:szCs w:val="22"/>
        </w:rPr>
        <w:t>furosemidom</w:t>
      </w:r>
      <w:proofErr w:type="spellEnd"/>
      <w:r w:rsidR="00947CE1">
        <w:rPr>
          <w:sz w:val="22"/>
          <w:szCs w:val="22"/>
        </w:rPr>
        <w:t xml:space="preserve"> má byť dočasne prerušená (alebo aspoň sa má znížiť dávka) na tri dni pred začatím liečby inhibítorom ACE alebo antagonistami receptorov pre </w:t>
      </w:r>
      <w:proofErr w:type="spellStart"/>
      <w:r w:rsidR="00947CE1">
        <w:rPr>
          <w:sz w:val="22"/>
          <w:szCs w:val="22"/>
        </w:rPr>
        <w:t>angiotenzín</w:t>
      </w:r>
      <w:proofErr w:type="spellEnd"/>
      <w:r w:rsidR="00947CE1">
        <w:rPr>
          <w:sz w:val="22"/>
          <w:szCs w:val="22"/>
        </w:rPr>
        <w:t xml:space="preserve"> II alebo pred zvýšením dávky inhibítora ACE alebo antagonistov receptorov pre </w:t>
      </w:r>
      <w:proofErr w:type="spellStart"/>
      <w:r w:rsidR="00947CE1">
        <w:rPr>
          <w:sz w:val="22"/>
          <w:szCs w:val="22"/>
        </w:rPr>
        <w:t>angiotenzín</w:t>
      </w:r>
      <w:proofErr w:type="spellEnd"/>
      <w:r w:rsidR="00947CE1">
        <w:rPr>
          <w:sz w:val="22"/>
          <w:szCs w:val="22"/>
        </w:rPr>
        <w:t xml:space="preserve"> II.</w:t>
      </w:r>
    </w:p>
    <w:p w:rsidR="00947CE1" w:rsidRDefault="00947CE1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947CE1" w:rsidRDefault="00947CE1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Pacienti užívajúci diuretiká môžu trpieť výraznejšie zníženým krvným tlakom a zhoršenou funkciou obličiek; porucha funkcie obličiek sa môže vyskytnúť aj počas súbežného podávania alebo s prvým podaním vyšších dávok ACE alebo antagonistu receptorov pre </w:t>
      </w:r>
      <w:proofErr w:type="spellStart"/>
      <w:r>
        <w:rPr>
          <w:sz w:val="22"/>
          <w:szCs w:val="22"/>
        </w:rPr>
        <w:t>angiotenzín</w:t>
      </w:r>
      <w:proofErr w:type="spellEnd"/>
      <w:r>
        <w:rPr>
          <w:sz w:val="22"/>
          <w:szCs w:val="22"/>
        </w:rPr>
        <w:t xml:space="preserve"> II.</w:t>
      </w:r>
    </w:p>
    <w:p w:rsidR="00947CE1" w:rsidRDefault="00947CE1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947CE1" w:rsidRDefault="00947CE1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Tiazidy</w:t>
      </w:r>
      <w:proofErr w:type="spellEnd"/>
      <w:r>
        <w:rPr>
          <w:sz w:val="22"/>
          <w:szCs w:val="22"/>
        </w:rPr>
        <w:t>:</w:t>
      </w:r>
    </w:p>
    <w:p w:rsidR="00947CE1" w:rsidRDefault="00947CE1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dôsledku interakcie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</w:t>
      </w:r>
      <w:r w:rsidR="00AB2E8F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tiazidov</w:t>
      </w:r>
      <w:proofErr w:type="spellEnd"/>
      <w:r w:rsidR="00AB2E8F">
        <w:rPr>
          <w:sz w:val="22"/>
          <w:szCs w:val="22"/>
        </w:rPr>
        <w:t xml:space="preserve"> </w:t>
      </w:r>
      <w:r w:rsidR="00CD6F82">
        <w:rPr>
          <w:sz w:val="22"/>
          <w:szCs w:val="22"/>
        </w:rPr>
        <w:t xml:space="preserve">dochádza k synergickému účinku na </w:t>
      </w:r>
      <w:proofErr w:type="spellStart"/>
      <w:r w:rsidR="00CD6F82">
        <w:rPr>
          <w:sz w:val="22"/>
          <w:szCs w:val="22"/>
        </w:rPr>
        <w:t>diurézu</w:t>
      </w:r>
      <w:proofErr w:type="spellEnd"/>
      <w:r w:rsidR="00CD6F82">
        <w:rPr>
          <w:sz w:val="22"/>
          <w:szCs w:val="22"/>
        </w:rPr>
        <w:t>.</w:t>
      </w:r>
    </w:p>
    <w:p w:rsidR="00CD6F82" w:rsidRDefault="00CD6F82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CD6F82" w:rsidRDefault="00CD6F82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Antidiabetiká</w:t>
      </w:r>
      <w:proofErr w:type="spellEnd"/>
      <w:r>
        <w:rPr>
          <w:sz w:val="22"/>
          <w:szCs w:val="22"/>
        </w:rPr>
        <w:t>:</w:t>
      </w:r>
    </w:p>
    <w:p w:rsidR="00444191" w:rsidRDefault="00CD6F82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Môže sa vyskytnúť nižšia glukózová tolerancia, pretože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znížiť účinnosť týchto liekov.</w:t>
      </w:r>
    </w:p>
    <w:p w:rsidR="00CD6F82" w:rsidRDefault="00CD6F82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CD6F82" w:rsidRDefault="00CD6F82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Metformín</w:t>
      </w:r>
      <w:proofErr w:type="spellEnd"/>
      <w:r>
        <w:rPr>
          <w:sz w:val="22"/>
          <w:szCs w:val="22"/>
        </w:rPr>
        <w:t>:</w:t>
      </w:r>
    </w:p>
    <w:p w:rsidR="00CD6F82" w:rsidRDefault="00097227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zvýšiť </w:t>
      </w:r>
      <w:r w:rsidR="009B22F3">
        <w:rPr>
          <w:sz w:val="22"/>
          <w:szCs w:val="22"/>
        </w:rPr>
        <w:t xml:space="preserve">hladiny </w:t>
      </w:r>
      <w:proofErr w:type="spellStart"/>
      <w:r w:rsidR="009B22F3">
        <w:rPr>
          <w:sz w:val="22"/>
          <w:szCs w:val="22"/>
        </w:rPr>
        <w:t>metformínu</w:t>
      </w:r>
      <w:proofErr w:type="spellEnd"/>
      <w:r w:rsidR="009B22F3">
        <w:rPr>
          <w:sz w:val="22"/>
          <w:szCs w:val="22"/>
        </w:rPr>
        <w:t xml:space="preserve"> v krvi. Naopak </w:t>
      </w:r>
      <w:proofErr w:type="spellStart"/>
      <w:r w:rsidR="009B22F3">
        <w:rPr>
          <w:sz w:val="22"/>
          <w:szCs w:val="22"/>
        </w:rPr>
        <w:t>metformín</w:t>
      </w:r>
      <w:proofErr w:type="spellEnd"/>
      <w:r w:rsidR="009B22F3">
        <w:rPr>
          <w:sz w:val="22"/>
          <w:szCs w:val="22"/>
        </w:rPr>
        <w:t xml:space="preserve"> môže znížiť koncentráciu </w:t>
      </w:r>
      <w:proofErr w:type="spellStart"/>
      <w:r w:rsidR="009B22F3">
        <w:rPr>
          <w:sz w:val="22"/>
          <w:szCs w:val="22"/>
        </w:rPr>
        <w:t>furosemidu</w:t>
      </w:r>
      <w:proofErr w:type="spellEnd"/>
      <w:r w:rsidR="009B22F3">
        <w:rPr>
          <w:sz w:val="22"/>
          <w:szCs w:val="22"/>
        </w:rPr>
        <w:t xml:space="preserve">. Riziko je spojené so zvýšeným výskytom </w:t>
      </w:r>
      <w:proofErr w:type="spellStart"/>
      <w:r w:rsidR="009B22F3">
        <w:rPr>
          <w:sz w:val="22"/>
          <w:szCs w:val="22"/>
        </w:rPr>
        <w:t>laktátovej</w:t>
      </w:r>
      <w:proofErr w:type="spellEnd"/>
      <w:r w:rsidR="009B22F3">
        <w:rPr>
          <w:sz w:val="22"/>
          <w:szCs w:val="22"/>
        </w:rPr>
        <w:t xml:space="preserve"> </w:t>
      </w:r>
      <w:proofErr w:type="spellStart"/>
      <w:r w:rsidR="009B22F3">
        <w:rPr>
          <w:sz w:val="22"/>
          <w:szCs w:val="22"/>
        </w:rPr>
        <w:t>acidózy</w:t>
      </w:r>
      <w:proofErr w:type="spellEnd"/>
      <w:r w:rsidR="009B22F3">
        <w:rPr>
          <w:sz w:val="22"/>
          <w:szCs w:val="22"/>
        </w:rPr>
        <w:t xml:space="preserve"> v prípade nedostatočnej funkcie obličiek.</w:t>
      </w:r>
    </w:p>
    <w:p w:rsidR="009B22F3" w:rsidRDefault="009B22F3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9B22F3" w:rsidRDefault="00DE3EA5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Srdcové</w:t>
      </w:r>
      <w:r w:rsidR="00AB2E8F">
        <w:rPr>
          <w:sz w:val="22"/>
          <w:szCs w:val="22"/>
        </w:rPr>
        <w:t xml:space="preserve"> </w:t>
      </w:r>
      <w:proofErr w:type="spellStart"/>
      <w:r w:rsidR="009B22F3">
        <w:rPr>
          <w:sz w:val="22"/>
          <w:szCs w:val="22"/>
        </w:rPr>
        <w:t>glykozidy</w:t>
      </w:r>
      <w:proofErr w:type="spellEnd"/>
      <w:r w:rsidR="009B22F3">
        <w:rPr>
          <w:sz w:val="22"/>
          <w:szCs w:val="22"/>
        </w:rPr>
        <w:t xml:space="preserve"> (napr. </w:t>
      </w:r>
      <w:proofErr w:type="spellStart"/>
      <w:r w:rsidR="009B22F3">
        <w:rPr>
          <w:sz w:val="22"/>
          <w:szCs w:val="22"/>
        </w:rPr>
        <w:t>digoxín</w:t>
      </w:r>
      <w:proofErr w:type="spellEnd"/>
      <w:r w:rsidR="009B22F3">
        <w:rPr>
          <w:sz w:val="22"/>
          <w:szCs w:val="22"/>
        </w:rPr>
        <w:t>) a iné lieky, ktoré môžu spôsobiť predĺženie QT intervalu:</w:t>
      </w:r>
    </w:p>
    <w:p w:rsidR="009B22F3" w:rsidRDefault="009B22F3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Pokles hladín draslíka môže zvýšiť toxicitu </w:t>
      </w:r>
      <w:proofErr w:type="spellStart"/>
      <w:r>
        <w:rPr>
          <w:sz w:val="22"/>
          <w:szCs w:val="22"/>
        </w:rPr>
        <w:t>digitalisu</w:t>
      </w:r>
      <w:proofErr w:type="spellEnd"/>
      <w:r w:rsidR="00763DC2">
        <w:rPr>
          <w:sz w:val="22"/>
          <w:szCs w:val="22"/>
        </w:rPr>
        <w:t>; z tohto dôvodu sa majú sledovať hladiny draslíka.</w:t>
      </w:r>
    </w:p>
    <w:p w:rsidR="00763DC2" w:rsidRDefault="00763DC2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Niektoré poruchy elektrolytov môžu zvýšiť toxicitu niektorých súbežne podávaných liekov, čo môže spôsobiť predĺženie QT intervalu, napr. </w:t>
      </w:r>
      <w:proofErr w:type="spellStart"/>
      <w:r>
        <w:rPr>
          <w:sz w:val="22"/>
          <w:szCs w:val="22"/>
        </w:rPr>
        <w:t>antiarytmiká</w:t>
      </w:r>
      <w:proofErr w:type="spellEnd"/>
      <w:r>
        <w:rPr>
          <w:sz w:val="22"/>
          <w:szCs w:val="22"/>
        </w:rPr>
        <w:t xml:space="preserve"> triedy </w:t>
      </w:r>
      <w:proofErr w:type="spellStart"/>
      <w:r>
        <w:rPr>
          <w:sz w:val="22"/>
          <w:szCs w:val="22"/>
        </w:rPr>
        <w:t>Ia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antiarytmiká</w:t>
      </w:r>
      <w:proofErr w:type="spellEnd"/>
      <w:r>
        <w:rPr>
          <w:sz w:val="22"/>
          <w:szCs w:val="22"/>
        </w:rPr>
        <w:t xml:space="preserve"> triedy III, ako </w:t>
      </w:r>
      <w:proofErr w:type="spellStart"/>
      <w:r>
        <w:rPr>
          <w:sz w:val="22"/>
          <w:szCs w:val="22"/>
        </w:rPr>
        <w:t>amiodar</w:t>
      </w:r>
      <w:r w:rsidR="007E59BE">
        <w:rPr>
          <w:sz w:val="22"/>
          <w:szCs w:val="22"/>
        </w:rPr>
        <w:t>ó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sotalol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dofetilid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ibutilid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chinolóny</w:t>
      </w:r>
      <w:proofErr w:type="spellEnd"/>
      <w:r>
        <w:rPr>
          <w:sz w:val="22"/>
          <w:szCs w:val="22"/>
        </w:rPr>
        <w:t>). Odporúča sa sledovať plazmatické hladiny draslíka a E</w:t>
      </w:r>
      <w:r w:rsidR="00AB2E8F">
        <w:rPr>
          <w:sz w:val="22"/>
          <w:szCs w:val="22"/>
        </w:rPr>
        <w:t>K</w:t>
      </w:r>
      <w:r>
        <w:rPr>
          <w:sz w:val="22"/>
          <w:szCs w:val="22"/>
        </w:rPr>
        <w:t>G.</w:t>
      </w:r>
    </w:p>
    <w:p w:rsidR="00763DC2" w:rsidRDefault="00763DC2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763DC2" w:rsidRDefault="00763DC2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Fibráty</w:t>
      </w:r>
      <w:proofErr w:type="spellEnd"/>
      <w:r>
        <w:rPr>
          <w:sz w:val="22"/>
          <w:szCs w:val="22"/>
        </w:rPr>
        <w:t>:</w:t>
      </w:r>
    </w:p>
    <w:p w:rsidR="00763DC2" w:rsidRDefault="002026B6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</w:t>
      </w:r>
      <w:r w:rsidR="00763DC2">
        <w:rPr>
          <w:sz w:val="22"/>
          <w:szCs w:val="22"/>
        </w:rPr>
        <w:t xml:space="preserve">súbežného podávania </w:t>
      </w:r>
      <w:r>
        <w:rPr>
          <w:sz w:val="22"/>
          <w:szCs w:val="22"/>
        </w:rPr>
        <w:t xml:space="preserve">môžu byť zvýšené hladiny </w:t>
      </w:r>
      <w:proofErr w:type="spellStart"/>
      <w:r w:rsidR="00763DC2">
        <w:rPr>
          <w:sz w:val="22"/>
          <w:szCs w:val="22"/>
        </w:rPr>
        <w:t>furosemidu</w:t>
      </w:r>
      <w:proofErr w:type="spellEnd"/>
      <w:r w:rsidR="00763DC2">
        <w:rPr>
          <w:sz w:val="22"/>
          <w:szCs w:val="22"/>
        </w:rPr>
        <w:t xml:space="preserve"> a derivátov kyseliny </w:t>
      </w:r>
      <w:proofErr w:type="spellStart"/>
      <w:r w:rsidR="00763DC2">
        <w:rPr>
          <w:sz w:val="22"/>
          <w:szCs w:val="22"/>
        </w:rPr>
        <w:t>fibrovej</w:t>
      </w:r>
      <w:proofErr w:type="spellEnd"/>
      <w:r w:rsidR="00763DC2">
        <w:rPr>
          <w:sz w:val="22"/>
          <w:szCs w:val="22"/>
        </w:rPr>
        <w:t xml:space="preserve"> (napr. </w:t>
      </w:r>
      <w:proofErr w:type="spellStart"/>
      <w:r w:rsidR="00763DC2">
        <w:rPr>
          <w:sz w:val="22"/>
          <w:szCs w:val="22"/>
        </w:rPr>
        <w:t>klofibrát</w:t>
      </w:r>
      <w:proofErr w:type="spellEnd"/>
      <w:r w:rsidR="00763DC2">
        <w:rPr>
          <w:sz w:val="22"/>
          <w:szCs w:val="22"/>
        </w:rPr>
        <w:t xml:space="preserve"> a </w:t>
      </w:r>
      <w:proofErr w:type="spellStart"/>
      <w:r w:rsidR="00763DC2">
        <w:rPr>
          <w:sz w:val="22"/>
          <w:szCs w:val="22"/>
        </w:rPr>
        <w:t>fenofibrát</w:t>
      </w:r>
      <w:proofErr w:type="spellEnd"/>
      <w:r w:rsidR="00763DC2">
        <w:rPr>
          <w:sz w:val="22"/>
          <w:szCs w:val="22"/>
        </w:rPr>
        <w:t>)</w:t>
      </w:r>
      <w:r>
        <w:rPr>
          <w:sz w:val="22"/>
          <w:szCs w:val="22"/>
        </w:rPr>
        <w:t xml:space="preserve"> v krvi (zvlášť v prípade </w:t>
      </w:r>
      <w:proofErr w:type="spellStart"/>
      <w:r>
        <w:rPr>
          <w:sz w:val="22"/>
          <w:szCs w:val="22"/>
        </w:rPr>
        <w:t>hypoalbuminémie</w:t>
      </w:r>
      <w:proofErr w:type="spellEnd"/>
      <w:r>
        <w:rPr>
          <w:sz w:val="22"/>
          <w:szCs w:val="22"/>
        </w:rPr>
        <w:t>). Zvýšenie jeho účinku/toxicity sa má sledovať.</w:t>
      </w:r>
    </w:p>
    <w:p w:rsidR="002026B6" w:rsidRDefault="002026B6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2026B6" w:rsidRDefault="002026B6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Nesteroidné</w:t>
      </w:r>
      <w:proofErr w:type="spellEnd"/>
      <w:r>
        <w:rPr>
          <w:sz w:val="22"/>
          <w:szCs w:val="22"/>
        </w:rPr>
        <w:t xml:space="preserve"> protizápalové lieky a vysoké dávky </w:t>
      </w:r>
      <w:proofErr w:type="spellStart"/>
      <w:r>
        <w:rPr>
          <w:sz w:val="22"/>
          <w:szCs w:val="22"/>
        </w:rPr>
        <w:t>salicylátov</w:t>
      </w:r>
      <w:proofErr w:type="spellEnd"/>
      <w:r>
        <w:rPr>
          <w:sz w:val="22"/>
          <w:szCs w:val="22"/>
        </w:rPr>
        <w:t>:</w:t>
      </w:r>
    </w:p>
    <w:p w:rsidR="00CD6F82" w:rsidRDefault="002026B6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Nesteroidné</w:t>
      </w:r>
      <w:proofErr w:type="spellEnd"/>
      <w:r>
        <w:rPr>
          <w:sz w:val="22"/>
          <w:szCs w:val="22"/>
        </w:rPr>
        <w:t xml:space="preserve"> protizápalové lieky (vrátane </w:t>
      </w:r>
      <w:proofErr w:type="spellStart"/>
      <w:r>
        <w:rPr>
          <w:sz w:val="22"/>
          <w:szCs w:val="22"/>
        </w:rPr>
        <w:t>koxibov</w:t>
      </w:r>
      <w:proofErr w:type="spellEnd"/>
      <w:r>
        <w:rPr>
          <w:sz w:val="22"/>
          <w:szCs w:val="22"/>
        </w:rPr>
        <w:t xml:space="preserve">) môžu navodiť akútne zlyhanie obličiek v prípade už prítomnej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 xml:space="preserve"> a znížiť tak jeho diuretický, </w:t>
      </w:r>
      <w:proofErr w:type="spellStart"/>
      <w:r>
        <w:rPr>
          <w:sz w:val="22"/>
          <w:szCs w:val="22"/>
        </w:rPr>
        <w:t>natriuretický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antihypertenzívny</w:t>
      </w:r>
      <w:proofErr w:type="spellEnd"/>
      <w:r>
        <w:rPr>
          <w:sz w:val="22"/>
          <w:szCs w:val="22"/>
        </w:rPr>
        <w:t xml:space="preserve"> účinok. Pri súbežnom podávaní s vysokými dávkami </w:t>
      </w:r>
      <w:proofErr w:type="spellStart"/>
      <w:r>
        <w:rPr>
          <w:sz w:val="22"/>
          <w:szCs w:val="22"/>
        </w:rPr>
        <w:t>salicylátov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predispozícia</w:t>
      </w:r>
      <w:proofErr w:type="spellEnd"/>
      <w:r>
        <w:rPr>
          <w:sz w:val="22"/>
          <w:szCs w:val="22"/>
        </w:rPr>
        <w:t xml:space="preserve"> toxicity </w:t>
      </w:r>
      <w:proofErr w:type="spellStart"/>
      <w:r w:rsidR="00EE383F">
        <w:rPr>
          <w:sz w:val="22"/>
          <w:szCs w:val="22"/>
        </w:rPr>
        <w:t>salicylátov</w:t>
      </w:r>
      <w:proofErr w:type="spellEnd"/>
      <w:r w:rsidR="00EE38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môže zvýšiť </w:t>
      </w:r>
      <w:r w:rsidR="00592D4F">
        <w:rPr>
          <w:sz w:val="22"/>
          <w:szCs w:val="22"/>
        </w:rPr>
        <w:t>v dôsledku zníženého vylučovania obličkami alebo zmenenej funkcie obličiek.</w:t>
      </w:r>
    </w:p>
    <w:p w:rsidR="00592D4F" w:rsidRDefault="00592D4F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592D4F" w:rsidRDefault="00592D4F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Nefrotoxické</w:t>
      </w:r>
      <w:proofErr w:type="spellEnd"/>
      <w:r>
        <w:rPr>
          <w:sz w:val="22"/>
          <w:szCs w:val="22"/>
        </w:rPr>
        <w:t xml:space="preserve"> lieky (napr. </w:t>
      </w:r>
      <w:proofErr w:type="spellStart"/>
      <w:r>
        <w:rPr>
          <w:sz w:val="22"/>
          <w:szCs w:val="22"/>
        </w:rPr>
        <w:t>polymyxíny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aminoglykozidy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cefalosporíny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organoplatina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imunosupresíva</w:t>
      </w:r>
      <w:proofErr w:type="spellEnd"/>
      <w:r>
        <w:rPr>
          <w:sz w:val="22"/>
          <w:szCs w:val="22"/>
        </w:rPr>
        <w:t xml:space="preserve">, jódované kontrastné médiá, </w:t>
      </w:r>
      <w:proofErr w:type="spellStart"/>
      <w:r>
        <w:rPr>
          <w:sz w:val="22"/>
          <w:szCs w:val="22"/>
        </w:rPr>
        <w:t>foskarnet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pentamidín</w:t>
      </w:r>
      <w:proofErr w:type="spellEnd"/>
      <w:r>
        <w:rPr>
          <w:sz w:val="22"/>
          <w:szCs w:val="22"/>
        </w:rPr>
        <w:t>):</w:t>
      </w:r>
    </w:p>
    <w:p w:rsidR="00592D4F" w:rsidRDefault="00592D4F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zvýšiť </w:t>
      </w:r>
      <w:proofErr w:type="spellStart"/>
      <w:r>
        <w:rPr>
          <w:sz w:val="22"/>
          <w:szCs w:val="22"/>
        </w:rPr>
        <w:t>nefrotoxické</w:t>
      </w:r>
      <w:proofErr w:type="spellEnd"/>
      <w:r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liekov.</w:t>
      </w:r>
    </w:p>
    <w:p w:rsidR="00592D4F" w:rsidRDefault="00592D4F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592D4F" w:rsidRDefault="00592D4F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Nefrotoxicita</w:t>
      </w:r>
      <w:proofErr w:type="spellEnd"/>
      <w:r w:rsidR="00AB2E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cisplatiny</w:t>
      </w:r>
      <w:proofErr w:type="spellEnd"/>
      <w:r>
        <w:rPr>
          <w:sz w:val="22"/>
          <w:szCs w:val="22"/>
        </w:rPr>
        <w:t xml:space="preserve"> môže byť </w:t>
      </w:r>
      <w:r w:rsidR="00AB2E8F">
        <w:rPr>
          <w:sz w:val="22"/>
          <w:szCs w:val="22"/>
        </w:rPr>
        <w:t>vyššia</w:t>
      </w:r>
      <w:r>
        <w:rPr>
          <w:sz w:val="22"/>
          <w:szCs w:val="22"/>
        </w:rPr>
        <w:t xml:space="preserve">, ak sa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nepodáva v nízkych dávkach (napr. 40 mg u pacientov s normálnou funkciou obličiek) a pri pozitívnej rovnováhe telesných tekutín, keď sa používa na dosiahnutie vynútenej </w:t>
      </w:r>
      <w:proofErr w:type="spellStart"/>
      <w:r>
        <w:rPr>
          <w:sz w:val="22"/>
          <w:szCs w:val="22"/>
        </w:rPr>
        <w:t>diurézy</w:t>
      </w:r>
      <w:proofErr w:type="spellEnd"/>
      <w:r>
        <w:rPr>
          <w:sz w:val="22"/>
          <w:szCs w:val="22"/>
        </w:rPr>
        <w:t xml:space="preserve"> počas liečby </w:t>
      </w:r>
      <w:proofErr w:type="spellStart"/>
      <w:r>
        <w:rPr>
          <w:sz w:val="22"/>
          <w:szCs w:val="22"/>
        </w:rPr>
        <w:t>cisplatinou</w:t>
      </w:r>
      <w:proofErr w:type="spellEnd"/>
      <w:r>
        <w:rPr>
          <w:sz w:val="22"/>
          <w:szCs w:val="22"/>
        </w:rPr>
        <w:t>.</w:t>
      </w:r>
    </w:p>
    <w:p w:rsidR="002026B6" w:rsidRDefault="002026B6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DE3EA5" w:rsidRDefault="00DE3EA5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Lieky vo významnej miere prechádzajúce </w:t>
      </w:r>
      <w:proofErr w:type="spellStart"/>
      <w:r>
        <w:rPr>
          <w:sz w:val="22"/>
          <w:szCs w:val="22"/>
        </w:rPr>
        <w:t>renálnou</w:t>
      </w:r>
      <w:proofErr w:type="spellEnd"/>
      <w:r w:rsidR="00AB2E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tubulárnou</w:t>
      </w:r>
      <w:proofErr w:type="spellEnd"/>
      <w:r>
        <w:rPr>
          <w:sz w:val="22"/>
          <w:szCs w:val="22"/>
        </w:rPr>
        <w:t xml:space="preserve"> sekréciou</w:t>
      </w:r>
      <w:r w:rsidR="00EE383F">
        <w:rPr>
          <w:sz w:val="22"/>
          <w:szCs w:val="22"/>
        </w:rPr>
        <w:t>:</w:t>
      </w:r>
    </w:p>
    <w:p w:rsidR="002026B6" w:rsidRDefault="00DE3EA5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Probenecid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metotrexát</w:t>
      </w:r>
      <w:proofErr w:type="spellEnd"/>
      <w:r>
        <w:rPr>
          <w:sz w:val="22"/>
          <w:szCs w:val="22"/>
        </w:rPr>
        <w:t xml:space="preserve"> a iné lieky, ktoré podobne ako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prechádzajú </w:t>
      </w:r>
      <w:proofErr w:type="spellStart"/>
      <w:r>
        <w:rPr>
          <w:sz w:val="22"/>
          <w:szCs w:val="22"/>
        </w:rPr>
        <w:t>renálnou</w:t>
      </w:r>
      <w:proofErr w:type="spellEnd"/>
      <w:r w:rsidR="00AB2E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tubulárnou</w:t>
      </w:r>
      <w:proofErr w:type="spellEnd"/>
      <w:r>
        <w:rPr>
          <w:sz w:val="22"/>
          <w:szCs w:val="22"/>
        </w:rPr>
        <w:t xml:space="preserve"> sekréciou, môžu znížiť účinok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Naopak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znížiť vylučovanie týchto liekov obličkami. V prípade liečby s vysokými dávkami (zvlášť oboch,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 iných liekov) môže dôjsť k zvýšeným hladinám v sére a zvýšenému riziku nežiaducich účinkov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alebo súbežne podávaných liekov.</w:t>
      </w:r>
    </w:p>
    <w:p w:rsidR="00DE3EA5" w:rsidRDefault="00DE3EA5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DE3EA5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Periférne </w:t>
      </w:r>
      <w:proofErr w:type="spellStart"/>
      <w:r>
        <w:rPr>
          <w:sz w:val="22"/>
          <w:szCs w:val="22"/>
        </w:rPr>
        <w:t>adrenergné</w:t>
      </w:r>
      <w:proofErr w:type="spellEnd"/>
      <w:r>
        <w:rPr>
          <w:sz w:val="22"/>
          <w:szCs w:val="22"/>
        </w:rPr>
        <w:t xml:space="preserve"> inhibítory:</w:t>
      </w: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Účinok týchto liekov môže byť silnejší pri súbežnom podávaní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>.</w:t>
      </w:r>
    </w:p>
    <w:p w:rsidR="00AB2E8F" w:rsidRDefault="00AB2E8F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Fenobarbital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>:</w:t>
      </w: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Môže sa vyskytnúť slabší účinok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po súbežnom podávaní s týmito liekmi.</w:t>
      </w: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Tubokurarín</w:t>
      </w:r>
      <w:proofErr w:type="spellEnd"/>
      <w:r>
        <w:rPr>
          <w:sz w:val="22"/>
          <w:szCs w:val="22"/>
        </w:rPr>
        <w:t xml:space="preserve">, deriváty </w:t>
      </w:r>
      <w:proofErr w:type="spellStart"/>
      <w:r>
        <w:rPr>
          <w:sz w:val="22"/>
          <w:szCs w:val="22"/>
        </w:rPr>
        <w:t>kurarínu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sukcinylcholín</w:t>
      </w:r>
      <w:proofErr w:type="spellEnd"/>
      <w:r>
        <w:rPr>
          <w:sz w:val="22"/>
          <w:szCs w:val="22"/>
        </w:rPr>
        <w:t>:</w:t>
      </w:r>
    </w:p>
    <w:p w:rsidR="00DE3EA5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zvýšiť </w:t>
      </w:r>
      <w:proofErr w:type="spellStart"/>
      <w:r>
        <w:rPr>
          <w:sz w:val="22"/>
          <w:szCs w:val="22"/>
        </w:rPr>
        <w:t>myorelaxačný</w:t>
      </w:r>
      <w:proofErr w:type="spellEnd"/>
      <w:r>
        <w:rPr>
          <w:sz w:val="22"/>
          <w:szCs w:val="22"/>
        </w:rPr>
        <w:t xml:space="preserve"> účinok týchto liekov.</w:t>
      </w: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88381A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Glukokortikoidy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karbenoxolón</w:t>
      </w:r>
      <w:proofErr w:type="spellEnd"/>
      <w:r>
        <w:rPr>
          <w:sz w:val="22"/>
          <w:szCs w:val="22"/>
        </w:rPr>
        <w:t>, laxatíva a </w:t>
      </w:r>
      <w:proofErr w:type="spellStart"/>
      <w:r>
        <w:rPr>
          <w:sz w:val="22"/>
          <w:szCs w:val="22"/>
        </w:rPr>
        <w:t>sladovka</w:t>
      </w:r>
      <w:proofErr w:type="spellEnd"/>
      <w:r>
        <w:rPr>
          <w:sz w:val="22"/>
          <w:szCs w:val="22"/>
        </w:rPr>
        <w:t>:</w:t>
      </w:r>
    </w:p>
    <w:p w:rsidR="00E2792D" w:rsidRDefault="0088381A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glukokortikoidmi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karbenoxolónom</w:t>
      </w:r>
      <w:proofErr w:type="spellEnd"/>
      <w:r>
        <w:rPr>
          <w:sz w:val="22"/>
          <w:szCs w:val="22"/>
        </w:rPr>
        <w:t xml:space="preserve">, veľkým množstvom </w:t>
      </w:r>
      <w:proofErr w:type="spellStart"/>
      <w:r>
        <w:rPr>
          <w:sz w:val="22"/>
          <w:szCs w:val="22"/>
        </w:rPr>
        <w:t>sladovky</w:t>
      </w:r>
      <w:proofErr w:type="spellEnd"/>
      <w:r>
        <w:rPr>
          <w:sz w:val="22"/>
          <w:szCs w:val="22"/>
        </w:rPr>
        <w:t xml:space="preserve"> alebo dlhodobé používanie laxatív môže zvýšiť úbytok draslíka. </w:t>
      </w:r>
      <w:r w:rsidR="00B070F8">
        <w:rPr>
          <w:sz w:val="22"/>
          <w:szCs w:val="22"/>
        </w:rPr>
        <w:t xml:space="preserve">V súvislosti s glukokortikoidmi </w:t>
      </w:r>
      <w:r w:rsidR="00E2792D">
        <w:rPr>
          <w:sz w:val="22"/>
          <w:szCs w:val="22"/>
        </w:rPr>
        <w:t xml:space="preserve">sa má zvážiť </w:t>
      </w:r>
      <w:proofErr w:type="spellStart"/>
      <w:r w:rsidR="00E2792D">
        <w:rPr>
          <w:sz w:val="22"/>
          <w:szCs w:val="22"/>
        </w:rPr>
        <w:t>hypokal</w:t>
      </w:r>
      <w:r w:rsidR="00AB2E8F">
        <w:rPr>
          <w:sz w:val="22"/>
          <w:szCs w:val="22"/>
        </w:rPr>
        <w:t>i</w:t>
      </w:r>
      <w:r w:rsidR="00E2792D">
        <w:rPr>
          <w:sz w:val="22"/>
          <w:szCs w:val="22"/>
        </w:rPr>
        <w:t>émia</w:t>
      </w:r>
      <w:proofErr w:type="spellEnd"/>
      <w:r w:rsidR="00E2792D">
        <w:rPr>
          <w:sz w:val="22"/>
          <w:szCs w:val="22"/>
        </w:rPr>
        <w:t xml:space="preserve"> a jej zhoršenie pri nadmernom užívaní laxatív. Keďže to môže viesť k nezvratnému poškodeniu sluchu, táto kombinácia sa má použiť len v prípade závažných medicínskych dôvodov. Majú sa sledovať hladiny draslíka.</w:t>
      </w:r>
    </w:p>
    <w:p w:rsidR="00E2792D" w:rsidRDefault="00E2792D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DE3EA5" w:rsidRDefault="00E044EE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Sukralfát</w:t>
      </w:r>
      <w:proofErr w:type="spellEnd"/>
      <w:r>
        <w:rPr>
          <w:sz w:val="22"/>
          <w:szCs w:val="22"/>
        </w:rPr>
        <w:t>:</w:t>
      </w:r>
    </w:p>
    <w:p w:rsidR="000B6D19" w:rsidRDefault="00E044EE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sukralfátu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môže znížiť </w:t>
      </w:r>
      <w:proofErr w:type="spellStart"/>
      <w:r>
        <w:rPr>
          <w:sz w:val="22"/>
          <w:szCs w:val="22"/>
        </w:rPr>
        <w:t>natriuretické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antihypertenzívne</w:t>
      </w:r>
      <w:proofErr w:type="spellEnd"/>
      <w:r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Pacienti dostávajúci oba lieky majú byť </w:t>
      </w:r>
      <w:r w:rsidR="00A32EA4">
        <w:rPr>
          <w:sz w:val="22"/>
          <w:szCs w:val="22"/>
        </w:rPr>
        <w:t xml:space="preserve">dôsledne sledovaní, aby sa zistilo, či sa dosahuje požadovaný diuretický a/alebo </w:t>
      </w:r>
      <w:proofErr w:type="spellStart"/>
      <w:r w:rsidR="00A32EA4">
        <w:rPr>
          <w:sz w:val="22"/>
          <w:szCs w:val="22"/>
        </w:rPr>
        <w:t>antihypertenzívny</w:t>
      </w:r>
      <w:proofErr w:type="spellEnd"/>
      <w:r w:rsidR="00A32EA4">
        <w:rPr>
          <w:sz w:val="22"/>
          <w:szCs w:val="22"/>
        </w:rPr>
        <w:t xml:space="preserve"> účinok </w:t>
      </w:r>
      <w:proofErr w:type="spellStart"/>
      <w:r w:rsidR="00A32EA4">
        <w:rPr>
          <w:sz w:val="22"/>
          <w:szCs w:val="22"/>
        </w:rPr>
        <w:t>furosemidu</w:t>
      </w:r>
      <w:proofErr w:type="spellEnd"/>
      <w:r w:rsidR="00A32EA4">
        <w:rPr>
          <w:sz w:val="22"/>
          <w:szCs w:val="22"/>
        </w:rPr>
        <w:t xml:space="preserve">. </w:t>
      </w:r>
      <w:r w:rsidR="000B6D19">
        <w:rPr>
          <w:sz w:val="22"/>
          <w:szCs w:val="22"/>
        </w:rPr>
        <w:t>Medzi po</w:t>
      </w:r>
      <w:r w:rsidR="006A22A9">
        <w:rPr>
          <w:sz w:val="22"/>
          <w:szCs w:val="22"/>
        </w:rPr>
        <w:t>u</w:t>
      </w:r>
      <w:r w:rsidR="000B6D19">
        <w:rPr>
          <w:sz w:val="22"/>
          <w:szCs w:val="22"/>
        </w:rPr>
        <w:t xml:space="preserve">žitím </w:t>
      </w:r>
      <w:proofErr w:type="spellStart"/>
      <w:r w:rsidR="000B6D19">
        <w:rPr>
          <w:sz w:val="22"/>
          <w:szCs w:val="22"/>
        </w:rPr>
        <w:t>furosemidu</w:t>
      </w:r>
      <w:proofErr w:type="spellEnd"/>
      <w:r w:rsidR="000B6D19">
        <w:rPr>
          <w:sz w:val="22"/>
          <w:szCs w:val="22"/>
        </w:rPr>
        <w:t xml:space="preserve"> a </w:t>
      </w:r>
      <w:proofErr w:type="spellStart"/>
      <w:r w:rsidR="000B6D19">
        <w:rPr>
          <w:sz w:val="22"/>
          <w:szCs w:val="22"/>
        </w:rPr>
        <w:t>sukralfátu</w:t>
      </w:r>
      <w:proofErr w:type="spellEnd"/>
      <w:r w:rsidR="000B6D19">
        <w:rPr>
          <w:sz w:val="22"/>
          <w:szCs w:val="22"/>
        </w:rPr>
        <w:t xml:space="preserve"> má byť odstup aspoň dv</w:t>
      </w:r>
      <w:r w:rsidR="006A22A9">
        <w:rPr>
          <w:sz w:val="22"/>
          <w:szCs w:val="22"/>
        </w:rPr>
        <w:t>e</w:t>
      </w:r>
      <w:r w:rsidR="000B6D19">
        <w:rPr>
          <w:sz w:val="22"/>
          <w:szCs w:val="22"/>
        </w:rPr>
        <w:t xml:space="preserve"> hod</w:t>
      </w:r>
      <w:r w:rsidR="006A22A9">
        <w:rPr>
          <w:sz w:val="22"/>
          <w:szCs w:val="22"/>
        </w:rPr>
        <w:t>i</w:t>
      </w:r>
      <w:r w:rsidR="000B6D19">
        <w:rPr>
          <w:sz w:val="22"/>
          <w:szCs w:val="22"/>
        </w:rPr>
        <w:t>n</w:t>
      </w:r>
      <w:r w:rsidR="006A22A9">
        <w:rPr>
          <w:sz w:val="22"/>
          <w:szCs w:val="22"/>
        </w:rPr>
        <w:t>y</w:t>
      </w:r>
      <w:r w:rsidR="000B6D19">
        <w:rPr>
          <w:sz w:val="22"/>
          <w:szCs w:val="22"/>
        </w:rPr>
        <w:t>.</w:t>
      </w: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E044EE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Perorálne </w:t>
      </w:r>
      <w:proofErr w:type="spellStart"/>
      <w:r>
        <w:rPr>
          <w:sz w:val="22"/>
          <w:szCs w:val="22"/>
        </w:rPr>
        <w:t>antikoagulanciá</w:t>
      </w:r>
      <w:proofErr w:type="spellEnd"/>
      <w:r>
        <w:rPr>
          <w:sz w:val="22"/>
          <w:szCs w:val="22"/>
        </w:rPr>
        <w:t>:</w:t>
      </w: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zvyšuje účinky perorálnych </w:t>
      </w:r>
      <w:proofErr w:type="spellStart"/>
      <w:r>
        <w:rPr>
          <w:sz w:val="22"/>
          <w:szCs w:val="22"/>
        </w:rPr>
        <w:t>antikoagulancií</w:t>
      </w:r>
      <w:proofErr w:type="spellEnd"/>
      <w:r>
        <w:rPr>
          <w:sz w:val="22"/>
          <w:szCs w:val="22"/>
        </w:rPr>
        <w:t>.</w:t>
      </w: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Teofylín</w:t>
      </w:r>
      <w:proofErr w:type="spellEnd"/>
      <w:r>
        <w:rPr>
          <w:sz w:val="22"/>
          <w:szCs w:val="22"/>
        </w:rPr>
        <w:t>:</w:t>
      </w: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Účinky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a</w:t>
      </w:r>
      <w:r w:rsidR="003B7B4A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myorelaxancií</w:t>
      </w:r>
      <w:proofErr w:type="spellEnd"/>
      <w:r w:rsidR="003B7B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kurarového</w:t>
      </w:r>
      <w:proofErr w:type="spellEnd"/>
      <w:r>
        <w:rPr>
          <w:sz w:val="22"/>
          <w:szCs w:val="22"/>
        </w:rPr>
        <w:t xml:space="preserve"> typu môžu byť silnejšie.</w:t>
      </w:r>
    </w:p>
    <w:p w:rsidR="000B6D19" w:rsidRDefault="000B6D19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0B6D19" w:rsidRDefault="004B52FE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Presorické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amíny</w:t>
      </w:r>
      <w:proofErr w:type="spellEnd"/>
      <w:r>
        <w:rPr>
          <w:sz w:val="22"/>
          <w:szCs w:val="22"/>
        </w:rPr>
        <w:t xml:space="preserve"> (napr. adrenalín, noradrenalín):</w:t>
      </w:r>
    </w:p>
    <w:p w:rsidR="004B52FE" w:rsidRDefault="004B52FE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Súbežné podávanie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môže zoslabiť účinky </w:t>
      </w:r>
      <w:proofErr w:type="spellStart"/>
      <w:r>
        <w:rPr>
          <w:sz w:val="22"/>
          <w:szCs w:val="22"/>
        </w:rPr>
        <w:t>presorických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amínov</w:t>
      </w:r>
      <w:proofErr w:type="spellEnd"/>
      <w:r>
        <w:rPr>
          <w:sz w:val="22"/>
          <w:szCs w:val="22"/>
        </w:rPr>
        <w:t>.</w:t>
      </w:r>
    </w:p>
    <w:p w:rsidR="004B52FE" w:rsidRDefault="004B52FE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4B52FE" w:rsidRDefault="004B52FE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Iné interakcie:</w:t>
      </w:r>
    </w:p>
    <w:p w:rsidR="004B52FE" w:rsidRDefault="004B52FE" w:rsidP="00BB7B2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c</w:t>
      </w:r>
      <w:r w:rsidR="006A22A9">
        <w:rPr>
          <w:sz w:val="22"/>
          <w:szCs w:val="22"/>
        </w:rPr>
        <w:t>y</w:t>
      </w:r>
      <w:r>
        <w:rPr>
          <w:sz w:val="22"/>
          <w:szCs w:val="22"/>
        </w:rPr>
        <w:t>klosporínu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spojené s vyšším rizikom dnovej artritídy.</w:t>
      </w:r>
    </w:p>
    <w:p w:rsidR="00DE3EA5" w:rsidRPr="00FD0DD2" w:rsidRDefault="00DE3EA5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BB7B2E" w:rsidRPr="003F5FC9" w:rsidRDefault="00BB7B2E" w:rsidP="00BB7B2E">
      <w:pPr>
        <w:tabs>
          <w:tab w:val="left" w:pos="0"/>
        </w:tabs>
        <w:jc w:val="both"/>
        <w:rPr>
          <w:b/>
          <w:sz w:val="22"/>
          <w:szCs w:val="22"/>
        </w:rPr>
      </w:pPr>
      <w:r w:rsidRPr="009C4AF1">
        <w:rPr>
          <w:b/>
          <w:sz w:val="22"/>
          <w:szCs w:val="22"/>
        </w:rPr>
        <w:t>4.6</w:t>
      </w:r>
      <w:r w:rsidRPr="004D5892">
        <w:rPr>
          <w:b/>
          <w:sz w:val="22"/>
          <w:szCs w:val="22"/>
        </w:rPr>
        <w:tab/>
      </w:r>
      <w:proofErr w:type="spellStart"/>
      <w:r w:rsidRPr="004D5892">
        <w:rPr>
          <w:b/>
          <w:sz w:val="22"/>
          <w:szCs w:val="22"/>
        </w:rPr>
        <w:t>Fertilita</w:t>
      </w:r>
      <w:proofErr w:type="spellEnd"/>
      <w:r w:rsidRPr="00AF1232">
        <w:rPr>
          <w:b/>
          <w:sz w:val="22"/>
          <w:szCs w:val="22"/>
        </w:rPr>
        <w:t>, g</w:t>
      </w:r>
      <w:r w:rsidRPr="003F5FC9">
        <w:rPr>
          <w:b/>
          <w:sz w:val="22"/>
          <w:szCs w:val="22"/>
        </w:rPr>
        <w:t>ravidita a laktácia</w:t>
      </w:r>
    </w:p>
    <w:p w:rsidR="00BB7B2E" w:rsidRPr="00A816DE" w:rsidRDefault="00BB7B2E" w:rsidP="00BB7B2E">
      <w:pPr>
        <w:tabs>
          <w:tab w:val="left" w:pos="7380"/>
        </w:tabs>
        <w:jc w:val="both"/>
        <w:rPr>
          <w:b/>
          <w:sz w:val="22"/>
          <w:szCs w:val="22"/>
        </w:rPr>
      </w:pPr>
    </w:p>
    <w:p w:rsidR="00BB7B2E" w:rsidRPr="004B52FE" w:rsidRDefault="00BB7B2E" w:rsidP="00BB7B2E">
      <w:pPr>
        <w:tabs>
          <w:tab w:val="left" w:pos="7380"/>
        </w:tabs>
        <w:jc w:val="both"/>
        <w:rPr>
          <w:sz w:val="22"/>
          <w:szCs w:val="22"/>
          <w:u w:val="single"/>
        </w:rPr>
      </w:pPr>
      <w:r w:rsidRPr="004B52FE">
        <w:rPr>
          <w:sz w:val="22"/>
          <w:szCs w:val="22"/>
          <w:u w:val="single"/>
        </w:rPr>
        <w:t>Gravidita</w:t>
      </w:r>
    </w:p>
    <w:p w:rsidR="004B52FE" w:rsidRDefault="004B52FE" w:rsidP="004B52F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Furosemid</w:t>
      </w:r>
      <w:proofErr w:type="spellEnd"/>
      <w:r>
        <w:rPr>
          <w:sz w:val="22"/>
          <w:szCs w:val="22"/>
        </w:rPr>
        <w:t xml:space="preserve"> sa nemá podávať počas gravidity, ak na to nie sú závažné medicínske dôvody. </w:t>
      </w:r>
      <w:proofErr w:type="spellStart"/>
      <w:r w:rsidR="00BB7B2E" w:rsidRPr="00A816DE">
        <w:rPr>
          <w:sz w:val="22"/>
          <w:szCs w:val="22"/>
        </w:rPr>
        <w:t>Furosemid</w:t>
      </w:r>
      <w:proofErr w:type="spellEnd"/>
      <w:r w:rsidR="00BB7B2E" w:rsidRPr="00A816DE">
        <w:rPr>
          <w:sz w:val="22"/>
          <w:szCs w:val="22"/>
        </w:rPr>
        <w:t xml:space="preserve"> prechádza placentou, </w:t>
      </w:r>
      <w:r>
        <w:rPr>
          <w:sz w:val="22"/>
          <w:szCs w:val="22"/>
        </w:rPr>
        <w:t xml:space="preserve">a preto môže pôsobiť na </w:t>
      </w:r>
      <w:proofErr w:type="spellStart"/>
      <w:r>
        <w:rPr>
          <w:sz w:val="22"/>
          <w:szCs w:val="22"/>
        </w:rPr>
        <w:t>diurézu</w:t>
      </w:r>
      <w:proofErr w:type="spellEnd"/>
      <w:r>
        <w:rPr>
          <w:sz w:val="22"/>
          <w:szCs w:val="22"/>
        </w:rPr>
        <w:t xml:space="preserve"> plodu. Liečba počas gravidity vyžaduje sledovanie rastu plodu.</w:t>
      </w:r>
    </w:p>
    <w:p w:rsidR="00811564" w:rsidRDefault="00811564" w:rsidP="004B52F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hypertenzie a opuchu v gravidite sa vo všeobecnosti neodporúča, pretože sa môže navodiť fyziologická </w:t>
      </w: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čo môže zapríčiniť zníženie placentárnej </w:t>
      </w:r>
      <w:proofErr w:type="spellStart"/>
      <w:r>
        <w:rPr>
          <w:sz w:val="22"/>
          <w:szCs w:val="22"/>
        </w:rPr>
        <w:t>perfúzie</w:t>
      </w:r>
      <w:proofErr w:type="spellEnd"/>
      <w:r>
        <w:rPr>
          <w:sz w:val="22"/>
          <w:szCs w:val="22"/>
        </w:rPr>
        <w:t>.</w:t>
      </w:r>
    </w:p>
    <w:p w:rsidR="00811564" w:rsidRDefault="00811564" w:rsidP="004B52FE">
      <w:pPr>
        <w:tabs>
          <w:tab w:val="left" w:pos="7380"/>
        </w:tabs>
        <w:jc w:val="both"/>
        <w:rPr>
          <w:sz w:val="22"/>
          <w:szCs w:val="22"/>
        </w:rPr>
      </w:pPr>
    </w:p>
    <w:p w:rsidR="00A73071" w:rsidRDefault="00811564" w:rsidP="004B52FE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je použitie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na liečbu srdcovej alebo obličkovej nedostatočnosti počas gravidity nevyhnutné, potom je nevyhnutné</w:t>
      </w:r>
      <w:r w:rsidR="006A22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dôsledné sledovanie elektrolytov, </w:t>
      </w:r>
      <w:proofErr w:type="spellStart"/>
      <w:r>
        <w:rPr>
          <w:sz w:val="22"/>
          <w:szCs w:val="22"/>
        </w:rPr>
        <w:t>hematokritu</w:t>
      </w:r>
      <w:proofErr w:type="spellEnd"/>
      <w:r>
        <w:rPr>
          <w:sz w:val="22"/>
          <w:szCs w:val="22"/>
        </w:rPr>
        <w:t xml:space="preserve"> a rastu plodu. V súvislosti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sa diskutuje o možnom vytláčaní bilirubínu z väzby na albumín </w:t>
      </w:r>
      <w:r w:rsidR="00A73071">
        <w:rPr>
          <w:sz w:val="22"/>
          <w:szCs w:val="22"/>
        </w:rPr>
        <w:t xml:space="preserve">a v dôsledku toho o zvýšenom riziku jadrového </w:t>
      </w:r>
      <w:proofErr w:type="spellStart"/>
      <w:r w:rsidR="00A73071">
        <w:rPr>
          <w:sz w:val="22"/>
          <w:szCs w:val="22"/>
        </w:rPr>
        <w:t>ikteru</w:t>
      </w:r>
      <w:proofErr w:type="spellEnd"/>
      <w:r w:rsidR="00A73071">
        <w:rPr>
          <w:sz w:val="22"/>
          <w:szCs w:val="22"/>
        </w:rPr>
        <w:t xml:space="preserve"> pri </w:t>
      </w:r>
      <w:proofErr w:type="spellStart"/>
      <w:r w:rsidR="00A73071">
        <w:rPr>
          <w:sz w:val="22"/>
          <w:szCs w:val="22"/>
        </w:rPr>
        <w:t>hyperbilirubinémii</w:t>
      </w:r>
      <w:proofErr w:type="spellEnd"/>
      <w:r w:rsidR="00A73071">
        <w:rPr>
          <w:sz w:val="22"/>
          <w:szCs w:val="22"/>
        </w:rPr>
        <w:t xml:space="preserve">. </w:t>
      </w:r>
      <w:proofErr w:type="spellStart"/>
      <w:r w:rsidR="00A73071">
        <w:rPr>
          <w:sz w:val="22"/>
          <w:szCs w:val="22"/>
        </w:rPr>
        <w:t>Furosemid</w:t>
      </w:r>
      <w:proofErr w:type="spellEnd"/>
      <w:r w:rsidR="00A73071">
        <w:rPr>
          <w:sz w:val="22"/>
          <w:szCs w:val="22"/>
        </w:rPr>
        <w:t xml:space="preserve"> môže v plode vyvolať </w:t>
      </w:r>
      <w:proofErr w:type="spellStart"/>
      <w:r w:rsidR="00A73071">
        <w:rPr>
          <w:sz w:val="22"/>
          <w:szCs w:val="22"/>
        </w:rPr>
        <w:t>predispozíciu</w:t>
      </w:r>
      <w:proofErr w:type="spellEnd"/>
      <w:r w:rsidR="00A73071">
        <w:rPr>
          <w:sz w:val="22"/>
          <w:szCs w:val="22"/>
        </w:rPr>
        <w:t xml:space="preserve"> na </w:t>
      </w:r>
      <w:proofErr w:type="spellStart"/>
      <w:r w:rsidR="00A73071">
        <w:rPr>
          <w:sz w:val="22"/>
          <w:szCs w:val="22"/>
        </w:rPr>
        <w:t>hyperkalciúriu</w:t>
      </w:r>
      <w:proofErr w:type="spellEnd"/>
      <w:r w:rsidR="00A73071">
        <w:rPr>
          <w:sz w:val="22"/>
          <w:szCs w:val="22"/>
        </w:rPr>
        <w:t xml:space="preserve">, </w:t>
      </w:r>
      <w:proofErr w:type="spellStart"/>
      <w:r w:rsidR="00A73071">
        <w:rPr>
          <w:sz w:val="22"/>
          <w:szCs w:val="22"/>
        </w:rPr>
        <w:t>nefrokalcinózu</w:t>
      </w:r>
      <w:proofErr w:type="spellEnd"/>
      <w:r w:rsidR="00A73071">
        <w:rPr>
          <w:sz w:val="22"/>
          <w:szCs w:val="22"/>
        </w:rPr>
        <w:t xml:space="preserve"> a sekundárny </w:t>
      </w:r>
      <w:proofErr w:type="spellStart"/>
      <w:r w:rsidR="00A73071">
        <w:rPr>
          <w:sz w:val="22"/>
          <w:szCs w:val="22"/>
        </w:rPr>
        <w:t>hyperparatyroidizmus</w:t>
      </w:r>
      <w:proofErr w:type="spellEnd"/>
      <w:r w:rsidR="00A73071">
        <w:rPr>
          <w:sz w:val="22"/>
          <w:szCs w:val="22"/>
        </w:rPr>
        <w:t>.</w:t>
      </w:r>
    </w:p>
    <w:p w:rsidR="00811564" w:rsidRDefault="00811564" w:rsidP="004B52FE">
      <w:pPr>
        <w:tabs>
          <w:tab w:val="left" w:pos="7380"/>
        </w:tabs>
        <w:jc w:val="both"/>
        <w:rPr>
          <w:sz w:val="22"/>
          <w:szCs w:val="22"/>
        </w:rPr>
      </w:pPr>
    </w:p>
    <w:p w:rsidR="00A73071" w:rsidRPr="00852161" w:rsidRDefault="00A73071" w:rsidP="004B52F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dosahuje </w:t>
      </w:r>
      <w:r w:rsidR="003B7B4A">
        <w:rPr>
          <w:sz w:val="22"/>
          <w:szCs w:val="22"/>
        </w:rPr>
        <w:t>v </w:t>
      </w:r>
      <w:proofErr w:type="spellStart"/>
      <w:r w:rsidR="003B7B4A">
        <w:rPr>
          <w:sz w:val="22"/>
          <w:szCs w:val="22"/>
        </w:rPr>
        <w:t>pupočníkovej</w:t>
      </w:r>
      <w:proofErr w:type="spellEnd"/>
      <w:r w:rsidR="003B7B4A">
        <w:rPr>
          <w:sz w:val="22"/>
          <w:szCs w:val="22"/>
        </w:rPr>
        <w:t xml:space="preserve"> krvi </w:t>
      </w:r>
      <w:r>
        <w:rPr>
          <w:sz w:val="22"/>
          <w:szCs w:val="22"/>
        </w:rPr>
        <w:t>100 % koncentrácie </w:t>
      </w:r>
      <w:r w:rsidR="000C2F2E">
        <w:rPr>
          <w:sz w:val="22"/>
          <w:szCs w:val="22"/>
        </w:rPr>
        <w:t xml:space="preserve">zo </w:t>
      </w:r>
      <w:r>
        <w:rPr>
          <w:sz w:val="22"/>
          <w:szCs w:val="22"/>
        </w:rPr>
        <w:t>sér</w:t>
      </w:r>
      <w:r w:rsidR="006A22A9">
        <w:rPr>
          <w:sz w:val="22"/>
          <w:szCs w:val="22"/>
        </w:rPr>
        <w:t>a</w:t>
      </w:r>
      <w:r>
        <w:rPr>
          <w:sz w:val="22"/>
          <w:szCs w:val="22"/>
        </w:rPr>
        <w:t xml:space="preserve"> matky. Do súčasnosti neboli hlásené žiadne </w:t>
      </w:r>
      <w:proofErr w:type="spellStart"/>
      <w:r>
        <w:rPr>
          <w:sz w:val="22"/>
          <w:szCs w:val="22"/>
        </w:rPr>
        <w:t>malformácie</w:t>
      </w:r>
      <w:proofErr w:type="spellEnd"/>
      <w:r>
        <w:rPr>
          <w:sz w:val="22"/>
          <w:szCs w:val="22"/>
        </w:rPr>
        <w:t xml:space="preserve"> u ľudí, ktoré by mohli súvisieť s expozíciou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. K dispozícii sú však len obmedzené skúsenosti, ktoré neumožňujú vyvodiť hodnotenie potenciálnych škodlivých účinkov na embryo/plod. </w:t>
      </w:r>
    </w:p>
    <w:p w:rsidR="00BB7B2E" w:rsidRPr="001D2A46" w:rsidRDefault="00BB7B2E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BB7B2E" w:rsidRPr="00192348" w:rsidRDefault="00BB7B2E" w:rsidP="003B7B4A">
      <w:pPr>
        <w:tabs>
          <w:tab w:val="left" w:pos="1774"/>
        </w:tabs>
        <w:jc w:val="both"/>
        <w:rPr>
          <w:sz w:val="22"/>
          <w:szCs w:val="22"/>
          <w:u w:val="single"/>
        </w:rPr>
      </w:pPr>
      <w:r w:rsidRPr="00192348">
        <w:rPr>
          <w:sz w:val="22"/>
          <w:szCs w:val="22"/>
          <w:u w:val="single"/>
        </w:rPr>
        <w:t>Dojčenie</w:t>
      </w:r>
    </w:p>
    <w:p w:rsidR="00BB7B2E" w:rsidRPr="001D2A46" w:rsidRDefault="00BB7B2E" w:rsidP="00BB7B2E">
      <w:pPr>
        <w:tabs>
          <w:tab w:val="left" w:pos="7380"/>
        </w:tabs>
        <w:jc w:val="both"/>
        <w:rPr>
          <w:sz w:val="22"/>
          <w:szCs w:val="22"/>
        </w:rPr>
      </w:pPr>
      <w:proofErr w:type="spellStart"/>
      <w:r w:rsidRPr="00A608A6">
        <w:rPr>
          <w:sz w:val="22"/>
          <w:szCs w:val="22"/>
        </w:rPr>
        <w:t>Furosemid</w:t>
      </w:r>
      <w:proofErr w:type="spellEnd"/>
      <w:r w:rsidR="003B7B4A">
        <w:rPr>
          <w:sz w:val="22"/>
          <w:szCs w:val="22"/>
        </w:rPr>
        <w:t xml:space="preserve"> </w:t>
      </w:r>
      <w:r w:rsidR="00192348">
        <w:rPr>
          <w:sz w:val="22"/>
          <w:szCs w:val="22"/>
        </w:rPr>
        <w:t xml:space="preserve">prechádza do materského mlieka a môže </w:t>
      </w:r>
      <w:r w:rsidR="000C2F2E">
        <w:rPr>
          <w:sz w:val="22"/>
          <w:szCs w:val="22"/>
        </w:rPr>
        <w:t>zabraňovať</w:t>
      </w:r>
      <w:r w:rsidR="00192348">
        <w:rPr>
          <w:sz w:val="22"/>
          <w:szCs w:val="22"/>
        </w:rPr>
        <w:t xml:space="preserve"> laktácii. Ženy nesmú dojčiť, ak sú liečené </w:t>
      </w:r>
      <w:proofErr w:type="spellStart"/>
      <w:r w:rsidR="00192348">
        <w:rPr>
          <w:sz w:val="22"/>
          <w:szCs w:val="22"/>
        </w:rPr>
        <w:t>furosemidom</w:t>
      </w:r>
      <w:proofErr w:type="spellEnd"/>
      <w:r w:rsidR="00192348">
        <w:rPr>
          <w:sz w:val="22"/>
          <w:szCs w:val="22"/>
        </w:rPr>
        <w:t xml:space="preserve"> (pozri časť 4.3)</w:t>
      </w:r>
      <w:r w:rsidRPr="00852161">
        <w:rPr>
          <w:sz w:val="22"/>
          <w:szCs w:val="22"/>
        </w:rPr>
        <w:t>.</w:t>
      </w:r>
    </w:p>
    <w:p w:rsidR="00BB7B2E" w:rsidRPr="00CD66B0" w:rsidRDefault="00BB7B2E" w:rsidP="00BB7B2E">
      <w:pPr>
        <w:tabs>
          <w:tab w:val="left" w:pos="7380"/>
        </w:tabs>
        <w:jc w:val="both"/>
        <w:rPr>
          <w:sz w:val="22"/>
          <w:szCs w:val="22"/>
        </w:rPr>
      </w:pPr>
    </w:p>
    <w:p w:rsidR="00BB7B2E" w:rsidRPr="004D5892" w:rsidRDefault="00BB7B2E" w:rsidP="00BB7B2E">
      <w:pPr>
        <w:tabs>
          <w:tab w:val="left" w:pos="0"/>
        </w:tabs>
        <w:jc w:val="both"/>
        <w:rPr>
          <w:b/>
          <w:sz w:val="22"/>
          <w:szCs w:val="22"/>
        </w:rPr>
      </w:pPr>
      <w:r w:rsidRPr="009C4AF1">
        <w:rPr>
          <w:b/>
          <w:sz w:val="22"/>
          <w:szCs w:val="22"/>
        </w:rPr>
        <w:t>4.7</w:t>
      </w:r>
      <w:r w:rsidRPr="004D5892">
        <w:rPr>
          <w:b/>
          <w:sz w:val="22"/>
          <w:szCs w:val="22"/>
        </w:rPr>
        <w:tab/>
        <w:t>Ovplyvnenie schopnosti viesť vozidlá a obsluhovať stroje</w:t>
      </w:r>
    </w:p>
    <w:p w:rsidR="00BB7B2E" w:rsidRPr="00AF1232" w:rsidRDefault="00BB7B2E" w:rsidP="00BB7B2E">
      <w:pPr>
        <w:tabs>
          <w:tab w:val="left" w:pos="6300"/>
        </w:tabs>
        <w:jc w:val="both"/>
        <w:rPr>
          <w:b/>
          <w:sz w:val="22"/>
          <w:szCs w:val="22"/>
        </w:rPr>
      </w:pPr>
    </w:p>
    <w:p w:rsidR="00BB7B2E" w:rsidRDefault="00330261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Reakcie pacientov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sú individuálne.</w:t>
      </w:r>
    </w:p>
    <w:p w:rsidR="00330261" w:rsidRDefault="00330261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Schopnosť viesť vozidlá alebo obsluhovať stroje môže byť náhodne znížená v dôsledku liečby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>, zvlášť na začiatku liečby, počas zmeny liečby alebo v kombinácii s alkoholom.</w:t>
      </w:r>
    </w:p>
    <w:p w:rsidR="00BB7B2E" w:rsidRPr="004D5892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BB7B2E" w:rsidRPr="00AF1232" w:rsidRDefault="00BB7B2E" w:rsidP="00330261">
      <w:pPr>
        <w:jc w:val="both"/>
        <w:rPr>
          <w:b/>
          <w:sz w:val="22"/>
          <w:szCs w:val="22"/>
        </w:rPr>
      </w:pPr>
      <w:r w:rsidRPr="00AF1232">
        <w:rPr>
          <w:b/>
          <w:sz w:val="22"/>
          <w:szCs w:val="22"/>
        </w:rPr>
        <w:t>4.8</w:t>
      </w:r>
      <w:r w:rsidR="00330261">
        <w:rPr>
          <w:b/>
          <w:sz w:val="22"/>
          <w:szCs w:val="22"/>
        </w:rPr>
        <w:tab/>
      </w:r>
      <w:r w:rsidRPr="00AF1232">
        <w:rPr>
          <w:b/>
          <w:sz w:val="22"/>
          <w:szCs w:val="22"/>
        </w:rPr>
        <w:t>Nežiaduce účinky</w:t>
      </w:r>
    </w:p>
    <w:p w:rsidR="00BB7B2E" w:rsidRPr="00A816DE" w:rsidRDefault="00BB7B2E" w:rsidP="00BB7B2E">
      <w:pPr>
        <w:tabs>
          <w:tab w:val="left" w:pos="6300"/>
        </w:tabs>
        <w:jc w:val="both"/>
        <w:rPr>
          <w:b/>
          <w:sz w:val="22"/>
          <w:szCs w:val="22"/>
        </w:rPr>
      </w:pPr>
    </w:p>
    <w:p w:rsidR="00392E05" w:rsidRDefault="00392E0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Hodnotenie nežiaducich reakcií je založené na nasledovne definovaných frekvenciách</w:t>
      </w:r>
      <w:r w:rsidR="00BB7B2E" w:rsidRPr="00AF1232">
        <w:rPr>
          <w:sz w:val="22"/>
          <w:szCs w:val="22"/>
        </w:rPr>
        <w:t>:</w:t>
      </w:r>
    </w:p>
    <w:p w:rsidR="00392E05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3F5FC9">
        <w:rPr>
          <w:sz w:val="22"/>
          <w:szCs w:val="22"/>
        </w:rPr>
        <w:t>v</w:t>
      </w:r>
      <w:r w:rsidRPr="00A816DE">
        <w:rPr>
          <w:sz w:val="22"/>
          <w:szCs w:val="22"/>
        </w:rPr>
        <w:t>eľmi časté (</w:t>
      </w:r>
      <w:r w:rsidR="00392E05">
        <w:rPr>
          <w:sz w:val="22"/>
          <w:szCs w:val="22"/>
        </w:rPr>
        <w:t>≥</w:t>
      </w:r>
      <w:r w:rsidRPr="00D27A29">
        <w:rPr>
          <w:sz w:val="22"/>
          <w:szCs w:val="22"/>
        </w:rPr>
        <w:t>1/10)</w:t>
      </w:r>
    </w:p>
    <w:p w:rsidR="00392E05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D27A29">
        <w:rPr>
          <w:sz w:val="22"/>
          <w:szCs w:val="22"/>
        </w:rPr>
        <w:t>časté (</w:t>
      </w:r>
      <w:r w:rsidR="00392E05">
        <w:rPr>
          <w:sz w:val="22"/>
          <w:szCs w:val="22"/>
        </w:rPr>
        <w:t>≥</w:t>
      </w:r>
      <w:r w:rsidRPr="00D27A29">
        <w:rPr>
          <w:sz w:val="22"/>
          <w:szCs w:val="22"/>
        </w:rPr>
        <w:t>1/100</w:t>
      </w:r>
      <w:r w:rsidR="00392E05">
        <w:rPr>
          <w:sz w:val="22"/>
          <w:szCs w:val="22"/>
        </w:rPr>
        <w:t xml:space="preserve"> až</w:t>
      </w:r>
      <w:r w:rsidRPr="00D27A29">
        <w:rPr>
          <w:sz w:val="22"/>
          <w:szCs w:val="22"/>
        </w:rPr>
        <w:t>&lt;1/10)</w:t>
      </w:r>
    </w:p>
    <w:p w:rsidR="00392E05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D27A29">
        <w:rPr>
          <w:sz w:val="22"/>
          <w:szCs w:val="22"/>
        </w:rPr>
        <w:t>menej časté (</w:t>
      </w:r>
      <w:r w:rsidR="00392E05">
        <w:rPr>
          <w:sz w:val="22"/>
          <w:szCs w:val="22"/>
        </w:rPr>
        <w:t>≥</w:t>
      </w:r>
      <w:r w:rsidRPr="00D27A29">
        <w:rPr>
          <w:sz w:val="22"/>
          <w:szCs w:val="22"/>
        </w:rPr>
        <w:t>1/1000</w:t>
      </w:r>
      <w:r w:rsidR="00392E05">
        <w:rPr>
          <w:sz w:val="22"/>
          <w:szCs w:val="22"/>
        </w:rPr>
        <w:t xml:space="preserve"> až</w:t>
      </w:r>
      <w:r w:rsidRPr="00D27A29">
        <w:rPr>
          <w:sz w:val="22"/>
          <w:szCs w:val="22"/>
        </w:rPr>
        <w:t>&lt;1/100)</w:t>
      </w:r>
    </w:p>
    <w:p w:rsidR="00392E05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D27A29">
        <w:rPr>
          <w:sz w:val="22"/>
          <w:szCs w:val="22"/>
        </w:rPr>
        <w:t>zriedkavé (</w:t>
      </w:r>
      <w:r w:rsidR="00392E05">
        <w:rPr>
          <w:sz w:val="22"/>
          <w:szCs w:val="22"/>
        </w:rPr>
        <w:t>≥</w:t>
      </w:r>
      <w:r w:rsidRPr="00D27A29">
        <w:rPr>
          <w:sz w:val="22"/>
          <w:szCs w:val="22"/>
        </w:rPr>
        <w:t>1/10 000</w:t>
      </w:r>
      <w:r w:rsidR="00392E05">
        <w:rPr>
          <w:sz w:val="22"/>
          <w:szCs w:val="22"/>
        </w:rPr>
        <w:t xml:space="preserve"> až</w:t>
      </w:r>
      <w:r w:rsidRPr="00D27A29">
        <w:rPr>
          <w:sz w:val="22"/>
          <w:szCs w:val="22"/>
        </w:rPr>
        <w:t>&lt;1/1000)</w:t>
      </w:r>
    </w:p>
    <w:p w:rsidR="00BB7B2E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D27A29">
        <w:rPr>
          <w:sz w:val="22"/>
          <w:szCs w:val="22"/>
        </w:rPr>
        <w:t>v</w:t>
      </w:r>
      <w:r w:rsidRPr="00483856">
        <w:rPr>
          <w:sz w:val="22"/>
          <w:szCs w:val="22"/>
        </w:rPr>
        <w:t>eľmi zriedkavé (&lt;10</w:t>
      </w:r>
      <w:r w:rsidR="00392E05">
        <w:rPr>
          <w:sz w:val="22"/>
          <w:szCs w:val="22"/>
        </w:rPr>
        <w:t> </w:t>
      </w:r>
      <w:r w:rsidRPr="00852161">
        <w:rPr>
          <w:sz w:val="22"/>
          <w:szCs w:val="22"/>
        </w:rPr>
        <w:t>000</w:t>
      </w:r>
      <w:r w:rsidR="00392E05">
        <w:rPr>
          <w:sz w:val="22"/>
          <w:szCs w:val="22"/>
        </w:rPr>
        <w:t>); neznáme</w:t>
      </w:r>
      <w:r w:rsidR="00361360">
        <w:rPr>
          <w:sz w:val="22"/>
          <w:szCs w:val="22"/>
        </w:rPr>
        <w:t xml:space="preserve"> (z dostupných údajov)</w:t>
      </w:r>
    </w:p>
    <w:p w:rsidR="004C2B1F" w:rsidRDefault="004C2B1F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Tak ako s inými diuretikami, môžu sa vyskytnúť určité nežiaduce účinky, ako napr.:</w:t>
      </w:r>
    </w:p>
    <w:p w:rsidR="004C2B1F" w:rsidRDefault="004C2B1F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4C2B1F" w:rsidRPr="000C4925" w:rsidRDefault="000C4925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0C4925">
        <w:rPr>
          <w:sz w:val="22"/>
          <w:szCs w:val="22"/>
          <w:u w:val="single"/>
        </w:rPr>
        <w:t>Laboratórne a funkčné vyšetrenia</w:t>
      </w:r>
    </w:p>
    <w:p w:rsidR="000C4925" w:rsidRDefault="000C492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hladiny cholesterolu a triglyceridov v sére sa môžu počas liečby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zvýšiť.</w:t>
      </w:r>
    </w:p>
    <w:p w:rsidR="000C4925" w:rsidRDefault="000C4925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0C4925" w:rsidRPr="000C4925" w:rsidRDefault="000C4925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0C4925">
        <w:rPr>
          <w:sz w:val="22"/>
          <w:szCs w:val="22"/>
          <w:u w:val="single"/>
        </w:rPr>
        <w:t>Poruchy srdca a srdcovej činnosti</w:t>
      </w:r>
    </w:p>
    <w:p w:rsidR="000C4925" w:rsidRDefault="000C492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Zvlášť na začiatku liečby a u starších pacientov môže veľmi intenzívna </w:t>
      </w:r>
      <w:proofErr w:type="spellStart"/>
      <w:r>
        <w:rPr>
          <w:sz w:val="22"/>
          <w:szCs w:val="22"/>
        </w:rPr>
        <w:t>diuréza</w:t>
      </w:r>
      <w:proofErr w:type="spellEnd"/>
      <w:r>
        <w:rPr>
          <w:sz w:val="22"/>
          <w:szCs w:val="22"/>
        </w:rPr>
        <w:t xml:space="preserve"> spôsobiť pokles krvného tlaku, čo v prípade, že je výrazný, môže byť príčinou prejavov a príznakov ako </w:t>
      </w:r>
      <w:proofErr w:type="spellStart"/>
      <w:r>
        <w:rPr>
          <w:sz w:val="22"/>
          <w:szCs w:val="22"/>
        </w:rPr>
        <w:t>ortostatická</w:t>
      </w:r>
      <w:proofErr w:type="spellEnd"/>
      <w:r>
        <w:rPr>
          <w:sz w:val="22"/>
          <w:szCs w:val="22"/>
        </w:rPr>
        <w:t xml:space="preserve"> hypotenzia, akútna hypotenzia, pocity tlaku v hlave, závrat, kolaps krvného obehu, tromboflebitída alebo náhle úmrtie (pri i. m. alebo i. v. podaní).</w:t>
      </w:r>
    </w:p>
    <w:p w:rsidR="00BB7B2E" w:rsidRPr="00CD66B0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BB7B2E" w:rsidRPr="000C4925" w:rsidRDefault="00BB7B2E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0C4925">
        <w:rPr>
          <w:sz w:val="22"/>
          <w:szCs w:val="22"/>
          <w:u w:val="single"/>
        </w:rPr>
        <w:t>Poruchy krvi a lymfatického systému</w:t>
      </w:r>
    </w:p>
    <w:p w:rsidR="00BB7B2E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0C4925">
        <w:rPr>
          <w:sz w:val="22"/>
          <w:szCs w:val="22"/>
        </w:rPr>
        <w:t xml:space="preserve">Menej časté: </w:t>
      </w:r>
      <w:proofErr w:type="spellStart"/>
      <w:r w:rsidR="000C4925">
        <w:rPr>
          <w:sz w:val="22"/>
          <w:szCs w:val="22"/>
        </w:rPr>
        <w:t>t</w:t>
      </w:r>
      <w:r w:rsidRPr="00A816DE">
        <w:rPr>
          <w:sz w:val="22"/>
          <w:szCs w:val="22"/>
        </w:rPr>
        <w:t>rombocytopénia</w:t>
      </w:r>
      <w:proofErr w:type="spellEnd"/>
      <w:r w:rsidR="000C4925">
        <w:rPr>
          <w:sz w:val="22"/>
          <w:szCs w:val="22"/>
        </w:rPr>
        <w:t xml:space="preserve">; </w:t>
      </w:r>
      <w:proofErr w:type="spellStart"/>
      <w:r w:rsidR="00EA6EFB">
        <w:rPr>
          <w:sz w:val="22"/>
          <w:szCs w:val="22"/>
        </w:rPr>
        <w:t>trombocytopénia</w:t>
      </w:r>
      <w:proofErr w:type="spellEnd"/>
      <w:r w:rsidR="00EA6EFB">
        <w:rPr>
          <w:sz w:val="22"/>
          <w:szCs w:val="22"/>
        </w:rPr>
        <w:t xml:space="preserve"> sa môže ohlásiť s jej prejavmi, zvlášť so zvýšenou tendenciou ku krvácaniu.</w:t>
      </w:r>
    </w:p>
    <w:p w:rsidR="00EA6EFB" w:rsidRDefault="00EA6EFB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proofErr w:type="spellStart"/>
      <w:r>
        <w:rPr>
          <w:sz w:val="22"/>
          <w:szCs w:val="22"/>
        </w:rPr>
        <w:t>eozinofília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leukopénia</w:t>
      </w:r>
      <w:proofErr w:type="spellEnd"/>
      <w:r>
        <w:rPr>
          <w:sz w:val="22"/>
          <w:szCs w:val="22"/>
        </w:rPr>
        <w:t>, útl</w:t>
      </w:r>
      <w:r w:rsidR="0035434A">
        <w:rPr>
          <w:sz w:val="22"/>
          <w:szCs w:val="22"/>
        </w:rPr>
        <w:t>m</w:t>
      </w:r>
      <w:r>
        <w:rPr>
          <w:sz w:val="22"/>
          <w:szCs w:val="22"/>
        </w:rPr>
        <w:t xml:space="preserve"> kostnej drene; na výskyt tohto príznaku je nevyhnutné reagovať vysadením liečby.</w:t>
      </w:r>
    </w:p>
    <w:p w:rsidR="00EA6EFB" w:rsidRDefault="00EA6EFB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zriedkavé: </w:t>
      </w:r>
      <w:proofErr w:type="spellStart"/>
      <w:r>
        <w:rPr>
          <w:sz w:val="22"/>
          <w:szCs w:val="22"/>
        </w:rPr>
        <w:t>hemolytická</w:t>
      </w:r>
      <w:proofErr w:type="spellEnd"/>
      <w:r>
        <w:rPr>
          <w:sz w:val="22"/>
          <w:szCs w:val="22"/>
        </w:rPr>
        <w:t xml:space="preserve"> anémia, </w:t>
      </w:r>
      <w:proofErr w:type="spellStart"/>
      <w:r>
        <w:rPr>
          <w:sz w:val="22"/>
          <w:szCs w:val="22"/>
        </w:rPr>
        <w:t>aplastická</w:t>
      </w:r>
      <w:proofErr w:type="spellEnd"/>
      <w:r>
        <w:rPr>
          <w:sz w:val="22"/>
          <w:szCs w:val="22"/>
        </w:rPr>
        <w:t xml:space="preserve"> anémia, </w:t>
      </w:r>
      <w:proofErr w:type="spellStart"/>
      <w:r>
        <w:rPr>
          <w:sz w:val="22"/>
          <w:szCs w:val="22"/>
        </w:rPr>
        <w:t>agranulocytóza</w:t>
      </w:r>
      <w:proofErr w:type="spellEnd"/>
      <w:r>
        <w:rPr>
          <w:sz w:val="22"/>
          <w:szCs w:val="22"/>
        </w:rPr>
        <w:t>.</w:t>
      </w:r>
    </w:p>
    <w:p w:rsidR="00EA6EFB" w:rsidRDefault="00EA6EFB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Závažná strata telesných tekutín môže viesť k zahusteniu krvi s tendenciou k tvorbe trombóz, zvlášť u starších pacientov.</w:t>
      </w:r>
    </w:p>
    <w:p w:rsidR="00EA6EFB" w:rsidRDefault="00EA6EFB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BB7B2E" w:rsidRPr="00EA6EFB" w:rsidRDefault="00BB7B2E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EA6EFB">
        <w:rPr>
          <w:sz w:val="22"/>
          <w:szCs w:val="22"/>
          <w:u w:val="single"/>
        </w:rPr>
        <w:lastRenderedPageBreak/>
        <w:t>Poruchy nervového systému</w:t>
      </w:r>
    </w:p>
    <w:p w:rsidR="00BB7B2E" w:rsidRPr="00EA6EFB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  <w:r w:rsidRPr="00EA6EFB">
        <w:rPr>
          <w:sz w:val="22"/>
          <w:szCs w:val="22"/>
        </w:rPr>
        <w:t>Zriedkavé:</w:t>
      </w:r>
      <w:r w:rsidR="003B7B4A">
        <w:rPr>
          <w:sz w:val="22"/>
          <w:szCs w:val="22"/>
        </w:rPr>
        <w:t xml:space="preserve"> </w:t>
      </w:r>
      <w:proofErr w:type="spellStart"/>
      <w:r w:rsidR="00EA6EFB">
        <w:rPr>
          <w:sz w:val="22"/>
          <w:szCs w:val="22"/>
        </w:rPr>
        <w:t>parestézia</w:t>
      </w:r>
      <w:proofErr w:type="spellEnd"/>
      <w:r w:rsidR="00EA6EFB">
        <w:rPr>
          <w:sz w:val="22"/>
          <w:szCs w:val="22"/>
        </w:rPr>
        <w:t xml:space="preserve">, </w:t>
      </w:r>
      <w:proofErr w:type="spellStart"/>
      <w:r w:rsidR="00EA6EFB">
        <w:rPr>
          <w:sz w:val="22"/>
          <w:szCs w:val="22"/>
        </w:rPr>
        <w:t>vertigo</w:t>
      </w:r>
      <w:proofErr w:type="spellEnd"/>
      <w:r w:rsidR="00EA6EFB">
        <w:rPr>
          <w:sz w:val="22"/>
          <w:szCs w:val="22"/>
        </w:rPr>
        <w:t>, závrat, ospalosť, zmätenosť, pocity tlaku v hlave.</w:t>
      </w:r>
    </w:p>
    <w:p w:rsidR="00BB7B2E" w:rsidRPr="00A816DE" w:rsidRDefault="00BB7B2E" w:rsidP="00BB7B2E">
      <w:pPr>
        <w:tabs>
          <w:tab w:val="left" w:pos="6300"/>
        </w:tabs>
        <w:jc w:val="both"/>
        <w:rPr>
          <w:i/>
          <w:sz w:val="22"/>
          <w:szCs w:val="22"/>
        </w:rPr>
      </w:pPr>
    </w:p>
    <w:p w:rsidR="00BB7B2E" w:rsidRPr="00663AEA" w:rsidRDefault="00663AEA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663AEA">
        <w:rPr>
          <w:sz w:val="22"/>
          <w:szCs w:val="22"/>
          <w:u w:val="single"/>
        </w:rPr>
        <w:t>Poruchy oka</w:t>
      </w:r>
    </w:p>
    <w:p w:rsidR="00663AEA" w:rsidRPr="00663AEA" w:rsidRDefault="00663AEA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zhoršenie krátkozrakosti, rozmazané videnie; poruchy zraku s príznakmi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>.</w:t>
      </w:r>
    </w:p>
    <w:p w:rsidR="00663AEA" w:rsidRDefault="00663AEA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663AEA" w:rsidRPr="00663AEA" w:rsidRDefault="00663AEA" w:rsidP="00663AEA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663AEA">
        <w:rPr>
          <w:sz w:val="22"/>
          <w:szCs w:val="22"/>
          <w:u w:val="single"/>
        </w:rPr>
        <w:t>Poruchy ucha a labyrintu</w:t>
      </w:r>
    </w:p>
    <w:p w:rsidR="00663AEA" w:rsidRDefault="00663AEA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r w:rsidR="00497D14">
        <w:rPr>
          <w:sz w:val="22"/>
          <w:szCs w:val="22"/>
        </w:rPr>
        <w:t>p</w:t>
      </w:r>
      <w:r w:rsidR="00497D14" w:rsidRPr="00A816DE">
        <w:rPr>
          <w:sz w:val="22"/>
          <w:szCs w:val="22"/>
        </w:rPr>
        <w:t>oruchy sluchu a</w:t>
      </w:r>
      <w:r w:rsidR="00497D14">
        <w:rPr>
          <w:sz w:val="22"/>
          <w:szCs w:val="22"/>
        </w:rPr>
        <w:t> </w:t>
      </w:r>
      <w:proofErr w:type="spellStart"/>
      <w:r w:rsidR="00497D14" w:rsidRPr="00A816DE">
        <w:rPr>
          <w:sz w:val="22"/>
          <w:szCs w:val="22"/>
        </w:rPr>
        <w:t>tinnitus</w:t>
      </w:r>
      <w:proofErr w:type="spellEnd"/>
      <w:r w:rsidR="00497D14">
        <w:rPr>
          <w:sz w:val="22"/>
          <w:szCs w:val="22"/>
        </w:rPr>
        <w:t xml:space="preserve"> v dôsledku </w:t>
      </w:r>
      <w:proofErr w:type="spellStart"/>
      <w:r w:rsidR="00497D14">
        <w:rPr>
          <w:sz w:val="22"/>
          <w:szCs w:val="22"/>
        </w:rPr>
        <w:t>furosemidu</w:t>
      </w:r>
      <w:proofErr w:type="spellEnd"/>
      <w:r w:rsidR="00497D14">
        <w:rPr>
          <w:sz w:val="22"/>
          <w:szCs w:val="22"/>
        </w:rPr>
        <w:t xml:space="preserve"> sú zriedkavé a zvyčajne prechodné; ich výskyt je častejší pri rýchlom intravenóznom podávaní,</w:t>
      </w:r>
      <w:r w:rsidR="003B7B4A">
        <w:rPr>
          <w:sz w:val="22"/>
          <w:szCs w:val="22"/>
        </w:rPr>
        <w:t xml:space="preserve"> </w:t>
      </w:r>
      <w:r w:rsidR="00497D14">
        <w:rPr>
          <w:sz w:val="22"/>
          <w:szCs w:val="22"/>
        </w:rPr>
        <w:t>zvlášť</w:t>
      </w:r>
      <w:r w:rsidR="00497D14" w:rsidRPr="00A816DE">
        <w:rPr>
          <w:sz w:val="22"/>
          <w:szCs w:val="22"/>
        </w:rPr>
        <w:t xml:space="preserve"> u pacientov so zlyhaním obličiek</w:t>
      </w:r>
      <w:r w:rsidR="00497D14">
        <w:rPr>
          <w:sz w:val="22"/>
          <w:szCs w:val="22"/>
        </w:rPr>
        <w:t xml:space="preserve"> alebo</w:t>
      </w:r>
      <w:r w:rsidR="003B7B4A">
        <w:rPr>
          <w:sz w:val="22"/>
          <w:szCs w:val="22"/>
        </w:rPr>
        <w:t xml:space="preserve"> </w:t>
      </w:r>
      <w:proofErr w:type="spellStart"/>
      <w:r w:rsidR="00497D14" w:rsidRPr="00A816DE">
        <w:rPr>
          <w:sz w:val="22"/>
          <w:szCs w:val="22"/>
        </w:rPr>
        <w:t>hypoproteinémiou</w:t>
      </w:r>
      <w:proofErr w:type="spellEnd"/>
      <w:r w:rsidR="00497D14" w:rsidRPr="00A816DE">
        <w:rPr>
          <w:sz w:val="22"/>
          <w:szCs w:val="22"/>
        </w:rPr>
        <w:t xml:space="preserve"> (napr. </w:t>
      </w:r>
      <w:r w:rsidR="00497D14">
        <w:rPr>
          <w:sz w:val="22"/>
          <w:szCs w:val="22"/>
        </w:rPr>
        <w:t>pri</w:t>
      </w:r>
      <w:r w:rsidR="003B7B4A">
        <w:rPr>
          <w:sz w:val="22"/>
          <w:szCs w:val="22"/>
        </w:rPr>
        <w:t xml:space="preserve"> </w:t>
      </w:r>
      <w:proofErr w:type="spellStart"/>
      <w:r w:rsidR="00497D14" w:rsidRPr="00A816DE">
        <w:rPr>
          <w:sz w:val="22"/>
          <w:szCs w:val="22"/>
        </w:rPr>
        <w:t>nefrotick</w:t>
      </w:r>
      <w:r w:rsidR="00497D14">
        <w:rPr>
          <w:sz w:val="22"/>
          <w:szCs w:val="22"/>
        </w:rPr>
        <w:t>om</w:t>
      </w:r>
      <w:proofErr w:type="spellEnd"/>
      <w:r w:rsidR="00497D14" w:rsidRPr="00A816DE">
        <w:rPr>
          <w:sz w:val="22"/>
          <w:szCs w:val="22"/>
        </w:rPr>
        <w:t xml:space="preserve"> syndróm</w:t>
      </w:r>
      <w:r w:rsidR="00497D14">
        <w:rPr>
          <w:sz w:val="22"/>
          <w:szCs w:val="22"/>
        </w:rPr>
        <w:t>e</w:t>
      </w:r>
      <w:r w:rsidR="00497D14" w:rsidRPr="00A816DE">
        <w:rPr>
          <w:sz w:val="22"/>
          <w:szCs w:val="22"/>
        </w:rPr>
        <w:t>).</w:t>
      </w:r>
    </w:p>
    <w:p w:rsidR="00663AEA" w:rsidRDefault="00663AEA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497D14" w:rsidRPr="00497D14" w:rsidRDefault="00497D14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497D14">
        <w:rPr>
          <w:sz w:val="22"/>
          <w:szCs w:val="22"/>
          <w:u w:val="single"/>
        </w:rPr>
        <w:t>Poruchy gastrointestinálneho traktu</w:t>
      </w:r>
    </w:p>
    <w:p w:rsidR="00497D14" w:rsidRDefault="00497D14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 xml:space="preserve">, vracanie, hnačka,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, žalúdočné ťažkosti, zápcha, sucho v ústach.</w:t>
      </w:r>
    </w:p>
    <w:p w:rsidR="00497D14" w:rsidRDefault="00497D14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497D14" w:rsidRPr="00497D14" w:rsidRDefault="00497D14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497D14">
        <w:rPr>
          <w:sz w:val="22"/>
          <w:szCs w:val="22"/>
          <w:u w:val="single"/>
        </w:rPr>
        <w:t>Poruchy pečene a žlčových ciest</w:t>
      </w:r>
    </w:p>
    <w:p w:rsidR="00497D14" w:rsidRDefault="00497D14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zriedkavé: akútna </w:t>
      </w:r>
      <w:proofErr w:type="spellStart"/>
      <w:r>
        <w:rPr>
          <w:sz w:val="22"/>
          <w:szCs w:val="22"/>
        </w:rPr>
        <w:t>pankreatitída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intrahepatická</w:t>
      </w:r>
      <w:proofErr w:type="spellEnd"/>
      <w:r w:rsidR="003B7B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cholestáza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cholestatická</w:t>
      </w:r>
      <w:proofErr w:type="spellEnd"/>
      <w:r>
        <w:rPr>
          <w:sz w:val="22"/>
          <w:szCs w:val="22"/>
        </w:rPr>
        <w:t xml:space="preserve"> žltačka, ischémia</w:t>
      </w:r>
      <w:r w:rsidR="00303F34">
        <w:rPr>
          <w:sz w:val="22"/>
          <w:szCs w:val="22"/>
        </w:rPr>
        <w:t xml:space="preserve"> pečene, zvýšenie pečeňových </w:t>
      </w:r>
      <w:proofErr w:type="spellStart"/>
      <w:r w:rsidR="00303F34">
        <w:rPr>
          <w:sz w:val="22"/>
          <w:szCs w:val="22"/>
        </w:rPr>
        <w:t>transamináz</w:t>
      </w:r>
      <w:proofErr w:type="spellEnd"/>
      <w:r w:rsidR="00303F34">
        <w:rPr>
          <w:sz w:val="22"/>
          <w:szCs w:val="22"/>
        </w:rPr>
        <w:t>.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03F34" w:rsidRPr="00303F34" w:rsidRDefault="00303F34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303F34">
        <w:rPr>
          <w:sz w:val="22"/>
          <w:szCs w:val="22"/>
          <w:u w:val="single"/>
        </w:rPr>
        <w:t>Poruchy obličiek a močových ciest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Diuretiká môžu zhoršiť alebo odhaliť príznaky akútneho zadržiavania moču (poruchy vyprázdňovania močového mechúra, zväčšenie prostaty alebo zúženie močovej trubice), </w:t>
      </w:r>
      <w:proofErr w:type="spellStart"/>
      <w:r>
        <w:rPr>
          <w:sz w:val="22"/>
          <w:szCs w:val="22"/>
        </w:rPr>
        <w:t>vaskulitídu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glykozúriu</w:t>
      </w:r>
      <w:proofErr w:type="spellEnd"/>
      <w:r>
        <w:rPr>
          <w:sz w:val="22"/>
          <w:szCs w:val="22"/>
        </w:rPr>
        <w:t>, prechodné zvýšenie hladiny kreatinínu a močoviny v krvi.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proofErr w:type="spellStart"/>
      <w:r>
        <w:rPr>
          <w:sz w:val="22"/>
          <w:szCs w:val="22"/>
        </w:rPr>
        <w:t>intersticiálna</w:t>
      </w:r>
      <w:proofErr w:type="spellEnd"/>
      <w:r w:rsidR="003B7B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nefritída</w:t>
      </w:r>
      <w:proofErr w:type="spellEnd"/>
      <w:r>
        <w:rPr>
          <w:sz w:val="22"/>
          <w:szCs w:val="22"/>
        </w:rPr>
        <w:t>.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03F34" w:rsidRPr="00303F34" w:rsidRDefault="00303F34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303F34">
        <w:rPr>
          <w:sz w:val="22"/>
          <w:szCs w:val="22"/>
          <w:u w:val="single"/>
        </w:rPr>
        <w:t>Poruchy imunitného systému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závažné </w:t>
      </w:r>
      <w:proofErr w:type="spellStart"/>
      <w:r>
        <w:rPr>
          <w:sz w:val="22"/>
          <w:szCs w:val="22"/>
        </w:rPr>
        <w:t>anafylaktické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anafylaktoidné</w:t>
      </w:r>
      <w:proofErr w:type="spellEnd"/>
      <w:r>
        <w:rPr>
          <w:sz w:val="22"/>
          <w:szCs w:val="22"/>
        </w:rPr>
        <w:t xml:space="preserve"> reakcie, ako </w:t>
      </w:r>
      <w:proofErr w:type="spellStart"/>
      <w:r>
        <w:rPr>
          <w:sz w:val="22"/>
          <w:szCs w:val="22"/>
        </w:rPr>
        <w:t>anafylaktický</w:t>
      </w:r>
      <w:proofErr w:type="spellEnd"/>
      <w:r>
        <w:rPr>
          <w:sz w:val="22"/>
          <w:szCs w:val="22"/>
        </w:rPr>
        <w:t xml:space="preserve"> šok (liečb</w:t>
      </w:r>
      <w:r w:rsidR="003B7B4A">
        <w:rPr>
          <w:sz w:val="22"/>
          <w:szCs w:val="22"/>
        </w:rPr>
        <w:t>a,</w:t>
      </w:r>
      <w:r>
        <w:rPr>
          <w:sz w:val="22"/>
          <w:szCs w:val="22"/>
        </w:rPr>
        <w:t xml:space="preserve"> pozri čas</w:t>
      </w:r>
      <w:r w:rsidR="003B7B4A">
        <w:rPr>
          <w:sz w:val="22"/>
          <w:szCs w:val="22"/>
        </w:rPr>
        <w:t>ť</w:t>
      </w:r>
      <w:r>
        <w:rPr>
          <w:sz w:val="22"/>
          <w:szCs w:val="22"/>
        </w:rPr>
        <w:t xml:space="preserve"> 4.9).</w:t>
      </w:r>
    </w:p>
    <w:p w:rsidR="00303F34" w:rsidRDefault="00303F34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03F34" w:rsidRPr="005D0678" w:rsidRDefault="00303F34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5D0678">
        <w:rPr>
          <w:sz w:val="22"/>
          <w:szCs w:val="22"/>
          <w:u w:val="single"/>
        </w:rPr>
        <w:t>Poruchy kože a podkožného tkaniva</w:t>
      </w:r>
    </w:p>
    <w:p w:rsidR="00303F34" w:rsidRDefault="005D0678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Menej časté: svrbenie, kožné reakcie a reakcie na slizniciach (napr. </w:t>
      </w:r>
      <w:proofErr w:type="spellStart"/>
      <w:r>
        <w:rPr>
          <w:sz w:val="22"/>
          <w:szCs w:val="22"/>
        </w:rPr>
        <w:t>bulózny</w:t>
      </w:r>
      <w:proofErr w:type="spellEnd"/>
      <w:r>
        <w:rPr>
          <w:sz w:val="22"/>
          <w:szCs w:val="22"/>
        </w:rPr>
        <w:t xml:space="preserve"> exantém, vyrážka, žihľavka, </w:t>
      </w:r>
      <w:proofErr w:type="spellStart"/>
      <w:r>
        <w:rPr>
          <w:sz w:val="22"/>
          <w:szCs w:val="22"/>
        </w:rPr>
        <w:t>purpura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multiformný</w:t>
      </w:r>
      <w:proofErr w:type="spellEnd"/>
      <w:r w:rsidR="003B7B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erytém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exfoliatívna</w:t>
      </w:r>
      <w:proofErr w:type="spellEnd"/>
      <w:r>
        <w:rPr>
          <w:sz w:val="22"/>
          <w:szCs w:val="22"/>
        </w:rPr>
        <w:t xml:space="preserve"> dermatitída, citlivosť na svetlo).</w:t>
      </w:r>
    </w:p>
    <w:p w:rsidR="005D0678" w:rsidRDefault="005D0678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proofErr w:type="spellStart"/>
      <w:r>
        <w:rPr>
          <w:sz w:val="22"/>
          <w:szCs w:val="22"/>
        </w:rPr>
        <w:t>vaskulitída</w:t>
      </w:r>
      <w:proofErr w:type="spellEnd"/>
      <w:r>
        <w:rPr>
          <w:sz w:val="22"/>
          <w:szCs w:val="22"/>
        </w:rPr>
        <w:t xml:space="preserve">, zhoršenie alebo aktivácia </w:t>
      </w:r>
      <w:proofErr w:type="spellStart"/>
      <w:r>
        <w:rPr>
          <w:sz w:val="22"/>
          <w:szCs w:val="22"/>
        </w:rPr>
        <w:t>lupusu</w:t>
      </w:r>
      <w:proofErr w:type="spellEnd"/>
      <w:r w:rsidR="003B7B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erythematosus</w:t>
      </w:r>
      <w:proofErr w:type="spellEnd"/>
      <w:r>
        <w:rPr>
          <w:sz w:val="22"/>
          <w:szCs w:val="22"/>
        </w:rPr>
        <w:t>.</w:t>
      </w:r>
    </w:p>
    <w:p w:rsidR="005D0678" w:rsidRDefault="005D0678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497D14" w:rsidRPr="005D0678" w:rsidRDefault="005D0678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5D0678">
        <w:rPr>
          <w:sz w:val="22"/>
          <w:szCs w:val="22"/>
          <w:u w:val="single"/>
        </w:rPr>
        <w:t>Poruchy kostrovej a svalovej sústavy a spojivového tkaniva</w:t>
      </w:r>
    </w:p>
    <w:p w:rsidR="005D0678" w:rsidRDefault="00932D89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Zriedkavé: kŕče svalov dolných končatín, asténia, chronická artritída.</w:t>
      </w:r>
    </w:p>
    <w:p w:rsidR="00932D89" w:rsidRDefault="00932D89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BB7B2E" w:rsidRDefault="00BB7B2E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932D89">
        <w:rPr>
          <w:sz w:val="22"/>
          <w:szCs w:val="22"/>
          <w:u w:val="single"/>
        </w:rPr>
        <w:t>Poruchy endokrinného systému</w:t>
      </w:r>
    </w:p>
    <w:p w:rsidR="006241D3" w:rsidRPr="00BE2C6E" w:rsidRDefault="00BE2C6E" w:rsidP="00BB7B2E">
      <w:pPr>
        <w:tabs>
          <w:tab w:val="left" w:pos="6300"/>
        </w:tabs>
        <w:jc w:val="both"/>
        <w:rPr>
          <w:sz w:val="22"/>
          <w:szCs w:val="22"/>
        </w:rPr>
      </w:pPr>
      <w:r w:rsidRPr="00BE2C6E">
        <w:rPr>
          <w:sz w:val="22"/>
          <w:szCs w:val="22"/>
        </w:rPr>
        <w:t xml:space="preserve">Glukózová tolerancia </w:t>
      </w:r>
      <w:r w:rsidR="00CC428C">
        <w:rPr>
          <w:sz w:val="22"/>
          <w:szCs w:val="22"/>
        </w:rPr>
        <w:t>sa môže s </w:t>
      </w:r>
      <w:proofErr w:type="spellStart"/>
      <w:r w:rsidR="00CC428C">
        <w:rPr>
          <w:sz w:val="22"/>
          <w:szCs w:val="22"/>
        </w:rPr>
        <w:t>furosemidom</w:t>
      </w:r>
      <w:proofErr w:type="spellEnd"/>
      <w:r w:rsidR="00CC428C">
        <w:rPr>
          <w:sz w:val="22"/>
          <w:szCs w:val="22"/>
        </w:rPr>
        <w:t xml:space="preserve"> znížiť. U pacientov s diabetom mellitus to môže viesť k zhoršeniu metabolickej </w:t>
      </w:r>
      <w:r w:rsidR="005716B0">
        <w:rPr>
          <w:sz w:val="22"/>
          <w:szCs w:val="22"/>
        </w:rPr>
        <w:t>kontroly; môže sa prejaviť latentný diabetes mellitus.</w:t>
      </w:r>
    </w:p>
    <w:p w:rsidR="00BB7B2E" w:rsidRDefault="00BB7B2E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5716B0" w:rsidRPr="005716B0" w:rsidRDefault="005716B0" w:rsidP="00BB7B2E">
      <w:pPr>
        <w:tabs>
          <w:tab w:val="left" w:pos="6300"/>
        </w:tabs>
        <w:jc w:val="both"/>
        <w:rPr>
          <w:sz w:val="22"/>
          <w:szCs w:val="22"/>
          <w:u w:val="single"/>
        </w:rPr>
      </w:pPr>
      <w:r w:rsidRPr="005716B0">
        <w:rPr>
          <w:sz w:val="22"/>
          <w:szCs w:val="22"/>
          <w:u w:val="single"/>
        </w:rPr>
        <w:t>Poruchy metabolizmu a výživy</w:t>
      </w:r>
    </w:p>
    <w:p w:rsidR="005716B0" w:rsidRDefault="005716B0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Môže sa vyskytnúť </w:t>
      </w:r>
      <w:proofErr w:type="spellStart"/>
      <w:r>
        <w:rPr>
          <w:sz w:val="22"/>
          <w:szCs w:val="22"/>
        </w:rPr>
        <w:t>hypokal</w:t>
      </w:r>
      <w:r w:rsidR="003B7B4A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856BFA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 a metabolická </w:t>
      </w:r>
      <w:proofErr w:type="spellStart"/>
      <w:r>
        <w:rPr>
          <w:sz w:val="22"/>
          <w:szCs w:val="22"/>
        </w:rPr>
        <w:t>alkalóza</w:t>
      </w:r>
      <w:proofErr w:type="spellEnd"/>
      <w:r>
        <w:rPr>
          <w:sz w:val="22"/>
          <w:szCs w:val="22"/>
        </w:rPr>
        <w:t>, zvlášť po dlhotrvajúcej liečbe alebo pri podávaní vysokých dávok. Preto je potrebné pravidelné sledovanie elektrolytov v sére (zvlášť draslíka, sodíka a vápnika).</w:t>
      </w:r>
    </w:p>
    <w:p w:rsidR="005716B0" w:rsidRDefault="005716B0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Môže sa vyskytnúť úbytok draslíka, zvlášť v dôsledku diéty s nedostatočným príjmom draslíka. Najmä v prípade súbežného zníženého príjmu draslíka a/alebo </w:t>
      </w:r>
      <w:proofErr w:type="spellStart"/>
      <w:r>
        <w:rPr>
          <w:sz w:val="22"/>
          <w:szCs w:val="22"/>
        </w:rPr>
        <w:t>mimoobličkového</w:t>
      </w:r>
      <w:proofErr w:type="spellEnd"/>
      <w:r>
        <w:rPr>
          <w:sz w:val="22"/>
          <w:szCs w:val="22"/>
        </w:rPr>
        <w:t xml:space="preserve"> zvýšeného </w:t>
      </w:r>
      <w:r w:rsidR="00867DD5">
        <w:rPr>
          <w:sz w:val="22"/>
          <w:szCs w:val="22"/>
        </w:rPr>
        <w:t>vylučovania</w:t>
      </w:r>
      <w:r>
        <w:rPr>
          <w:sz w:val="22"/>
          <w:szCs w:val="22"/>
        </w:rPr>
        <w:t xml:space="preserve"> draslíka (napr. vracaním alebo chronickou hnačkou), môže sa vyskytnúť </w:t>
      </w:r>
      <w:proofErr w:type="spellStart"/>
      <w:r>
        <w:rPr>
          <w:sz w:val="22"/>
          <w:szCs w:val="22"/>
        </w:rPr>
        <w:t>hypokal</w:t>
      </w:r>
      <w:r w:rsidR="003B7B4A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 w:rsidR="003B7B4A">
        <w:rPr>
          <w:sz w:val="22"/>
          <w:szCs w:val="22"/>
        </w:rPr>
        <w:t xml:space="preserve"> </w:t>
      </w:r>
      <w:r w:rsidR="00867DD5">
        <w:rPr>
          <w:sz w:val="22"/>
          <w:szCs w:val="22"/>
        </w:rPr>
        <w:t>ako dôsledok zvýšeného vylučovania draslíka obličkami.</w:t>
      </w:r>
    </w:p>
    <w:p w:rsidR="00867DD5" w:rsidRDefault="00867DD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Základné ochorenia (napr. </w:t>
      </w:r>
      <w:proofErr w:type="spellStart"/>
      <w:r>
        <w:rPr>
          <w:sz w:val="22"/>
          <w:szCs w:val="22"/>
        </w:rPr>
        <w:t>cirhotické</w:t>
      </w:r>
      <w:proofErr w:type="spellEnd"/>
      <w:r>
        <w:rPr>
          <w:sz w:val="22"/>
          <w:szCs w:val="22"/>
        </w:rPr>
        <w:t xml:space="preserve"> ochorenie alebo srdcové zlyhávanie), súbežne podávané lieky (pozri časť 4.5) a výživa môžu vytvárať predispozíciu na nedostatok draslíka. V týchto prípadoch je nevyhnutné adekvátne sledovanie a zmena liečby.</w:t>
      </w:r>
    </w:p>
    <w:p w:rsidR="00867DD5" w:rsidRDefault="00867DD5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867DD5" w:rsidRDefault="00867DD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dôsledku zvýšeného výdaja sodíka obličkami sa môže vyskytnúť </w:t>
      </w:r>
      <w:proofErr w:type="spellStart"/>
      <w:r>
        <w:rPr>
          <w:sz w:val="22"/>
          <w:szCs w:val="22"/>
        </w:rPr>
        <w:t>hyponatr</w:t>
      </w:r>
      <w:r w:rsidR="00856BFA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 so sprievodnými príznakmi, zvlášť v prípade obmedzeného príjmu chloridu sodného.</w:t>
      </w:r>
    </w:p>
    <w:p w:rsidR="00867DD5" w:rsidRDefault="00867DD5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867DD5" w:rsidRDefault="00867DD5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Zvýšenie výdaja vápnika obličkami môže viesť k </w:t>
      </w:r>
      <w:proofErr w:type="spellStart"/>
      <w:r>
        <w:rPr>
          <w:sz w:val="22"/>
          <w:szCs w:val="22"/>
        </w:rPr>
        <w:t>hypokalciémii</w:t>
      </w:r>
      <w:proofErr w:type="spellEnd"/>
      <w:r>
        <w:rPr>
          <w:sz w:val="22"/>
          <w:szCs w:val="22"/>
        </w:rPr>
        <w:t xml:space="preserve">, ktorá môže </w:t>
      </w:r>
      <w:r w:rsidR="003531D6">
        <w:rPr>
          <w:sz w:val="22"/>
          <w:szCs w:val="22"/>
        </w:rPr>
        <w:t xml:space="preserve">v zriedkavých prípadoch </w:t>
      </w:r>
      <w:r>
        <w:rPr>
          <w:sz w:val="22"/>
          <w:szCs w:val="22"/>
        </w:rPr>
        <w:t xml:space="preserve">navodiť </w:t>
      </w:r>
      <w:proofErr w:type="spellStart"/>
      <w:r w:rsidR="003531D6">
        <w:rPr>
          <w:sz w:val="22"/>
          <w:szCs w:val="22"/>
        </w:rPr>
        <w:t>tetániu</w:t>
      </w:r>
      <w:proofErr w:type="spellEnd"/>
      <w:r w:rsidR="003531D6">
        <w:rPr>
          <w:sz w:val="22"/>
          <w:szCs w:val="22"/>
        </w:rPr>
        <w:t>.</w:t>
      </w: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pacientov so zvýšeným výdajom horčíka obličkami boli v zriedkavých prípadoch pozorované </w:t>
      </w:r>
      <w:proofErr w:type="spellStart"/>
      <w:r>
        <w:rPr>
          <w:sz w:val="22"/>
          <w:szCs w:val="22"/>
        </w:rPr>
        <w:t>tet</w:t>
      </w:r>
      <w:r w:rsidR="00CB57A2">
        <w:rPr>
          <w:sz w:val="22"/>
          <w:szCs w:val="22"/>
        </w:rPr>
        <w:t>á</w:t>
      </w:r>
      <w:r>
        <w:rPr>
          <w:sz w:val="22"/>
          <w:szCs w:val="22"/>
        </w:rPr>
        <w:t>nia</w:t>
      </w:r>
      <w:proofErr w:type="spellEnd"/>
      <w:r>
        <w:rPr>
          <w:sz w:val="22"/>
          <w:szCs w:val="22"/>
        </w:rPr>
        <w:t xml:space="preserve"> alebo srdcové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 ako dôsledok </w:t>
      </w:r>
      <w:proofErr w:type="spellStart"/>
      <w:r>
        <w:rPr>
          <w:sz w:val="22"/>
          <w:szCs w:val="22"/>
        </w:rPr>
        <w:t>hypomagneziémie</w:t>
      </w:r>
      <w:proofErr w:type="spellEnd"/>
      <w:r>
        <w:rPr>
          <w:sz w:val="22"/>
          <w:szCs w:val="22"/>
        </w:rPr>
        <w:t>.</w:t>
      </w: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Hladina kyseliny močovej sa môže zvýšiť a môžu sa vyskytnúť záchvaty dny.</w:t>
      </w: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Môže vzniknúť metabolická </w:t>
      </w:r>
      <w:proofErr w:type="spellStart"/>
      <w:r>
        <w:rPr>
          <w:sz w:val="22"/>
          <w:szCs w:val="22"/>
        </w:rPr>
        <w:t>alkalóza</w:t>
      </w:r>
      <w:proofErr w:type="spellEnd"/>
      <w:r>
        <w:rPr>
          <w:sz w:val="22"/>
          <w:szCs w:val="22"/>
        </w:rPr>
        <w:t xml:space="preserve"> alebo už prítomná metabolická </w:t>
      </w:r>
      <w:proofErr w:type="spellStart"/>
      <w:r>
        <w:rPr>
          <w:sz w:val="22"/>
          <w:szCs w:val="22"/>
        </w:rPr>
        <w:t>alkalóza</w:t>
      </w:r>
      <w:proofErr w:type="spellEnd"/>
      <w:r>
        <w:rPr>
          <w:sz w:val="22"/>
          <w:szCs w:val="22"/>
        </w:rPr>
        <w:t xml:space="preserve"> (napr. pre dekompenzovanú cirhózu pečene) sa môže s 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zhoršiť.</w:t>
      </w:r>
    </w:p>
    <w:p w:rsidR="003531D6" w:rsidRDefault="003531D6" w:rsidP="00BB7B2E">
      <w:pPr>
        <w:tabs>
          <w:tab w:val="left" w:pos="6300"/>
        </w:tabs>
        <w:jc w:val="both"/>
        <w:rPr>
          <w:sz w:val="22"/>
          <w:szCs w:val="22"/>
        </w:rPr>
      </w:pPr>
    </w:p>
    <w:p w:rsidR="00BB7B2E" w:rsidRPr="003531D6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  <w:u w:val="single"/>
        </w:rPr>
      </w:pPr>
      <w:r w:rsidRPr="003531D6">
        <w:rPr>
          <w:sz w:val="22"/>
          <w:szCs w:val="22"/>
          <w:u w:val="single"/>
        </w:rPr>
        <w:t>Celkové poruchy a reakcie v mieste podania</w:t>
      </w:r>
    </w:p>
    <w:p w:rsidR="00BB7B2E" w:rsidRPr="00EB5BCD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  <w:r w:rsidRPr="00A816DE">
        <w:rPr>
          <w:sz w:val="22"/>
          <w:szCs w:val="22"/>
        </w:rPr>
        <w:t xml:space="preserve">Zriedkavé: </w:t>
      </w:r>
      <w:r w:rsidR="00D049BC">
        <w:rPr>
          <w:sz w:val="22"/>
          <w:szCs w:val="22"/>
        </w:rPr>
        <w:t>h</w:t>
      </w:r>
      <w:r w:rsidRPr="00A816DE">
        <w:rPr>
          <w:sz w:val="22"/>
          <w:szCs w:val="22"/>
        </w:rPr>
        <w:t>orúčk</w:t>
      </w:r>
      <w:r w:rsidR="00D049BC">
        <w:rPr>
          <w:sz w:val="22"/>
          <w:szCs w:val="22"/>
        </w:rPr>
        <w:t>ovité stavy; po i. m. injekcii sa môžu objaviť lokálne reakcie ako bolesť.</w:t>
      </w:r>
    </w:p>
    <w:p w:rsidR="00BB7B2E" w:rsidRPr="00EB5BCD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</w:p>
    <w:p w:rsidR="00BB7B2E" w:rsidRPr="009C4AF1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  <w:u w:val="single"/>
        </w:rPr>
      </w:pPr>
      <w:r w:rsidRPr="009C4AF1">
        <w:rPr>
          <w:sz w:val="22"/>
          <w:szCs w:val="22"/>
          <w:u w:val="single"/>
        </w:rPr>
        <w:t>Hlásenie podozrení na nežiaduce reakcie</w:t>
      </w:r>
    </w:p>
    <w:p w:rsidR="00BB7B2E" w:rsidRPr="009C4AF1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  <w:r w:rsidRPr="004D5892">
        <w:rPr>
          <w:sz w:val="22"/>
          <w:szCs w:val="22"/>
        </w:rPr>
        <w:t xml:space="preserve">Hlásenie podozrení na nežiaduce reakcie po registrácii lieku je dôležité. Umožňuje priebežné monitorovanie pomeru prínosu a rizika </w:t>
      </w:r>
      <w:r w:rsidRPr="00AF1232">
        <w:rPr>
          <w:sz w:val="22"/>
          <w:szCs w:val="22"/>
        </w:rPr>
        <w:t xml:space="preserve">lieku. Od zdravotníckych pracovníkov sa vyžaduje, aby hlásili akékoľvek podozrenia na nežiaduce reakcie </w:t>
      </w:r>
      <w:r w:rsidR="00D049BC">
        <w:rPr>
          <w:sz w:val="22"/>
          <w:szCs w:val="22"/>
        </w:rPr>
        <w:t>na</w:t>
      </w:r>
      <w:r w:rsidR="003B7B4A">
        <w:rPr>
          <w:sz w:val="22"/>
          <w:szCs w:val="22"/>
        </w:rPr>
        <w:t xml:space="preserve"> </w:t>
      </w:r>
      <w:r w:rsidRPr="003F5FC9">
        <w:rPr>
          <w:sz w:val="22"/>
          <w:szCs w:val="22"/>
          <w:highlight w:val="lightGray"/>
        </w:rPr>
        <w:t xml:space="preserve">národné </w:t>
      </w:r>
      <w:r w:rsidR="00D049BC">
        <w:rPr>
          <w:sz w:val="22"/>
          <w:szCs w:val="22"/>
          <w:highlight w:val="lightGray"/>
        </w:rPr>
        <w:t>centrum</w:t>
      </w:r>
      <w:r w:rsidRPr="003F5FC9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3B7B4A">
          <w:rPr>
            <w:color w:val="1F4E79" w:themeColor="accent5" w:themeShade="80"/>
            <w:sz w:val="22"/>
            <w:szCs w:val="22"/>
            <w:highlight w:val="lightGray"/>
            <w:u w:val="single"/>
          </w:rPr>
          <w:t>Prílohe V</w:t>
        </w:r>
      </w:hyperlink>
      <w:r w:rsidRPr="00CD66B0">
        <w:rPr>
          <w:sz w:val="22"/>
          <w:szCs w:val="22"/>
          <w:highlight w:val="lightGray"/>
        </w:rPr>
        <w:t>.</w:t>
      </w:r>
    </w:p>
    <w:p w:rsidR="00BB7B2E" w:rsidRPr="004D5892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</w:p>
    <w:p w:rsidR="00BB7B2E" w:rsidRPr="003F5FC9" w:rsidRDefault="00BB7B2E" w:rsidP="00BB7B2E">
      <w:pPr>
        <w:tabs>
          <w:tab w:val="left" w:pos="0"/>
        </w:tabs>
        <w:jc w:val="both"/>
        <w:rPr>
          <w:b/>
          <w:sz w:val="22"/>
          <w:szCs w:val="22"/>
        </w:rPr>
      </w:pPr>
      <w:r w:rsidRPr="00AF1232">
        <w:rPr>
          <w:b/>
          <w:sz w:val="22"/>
          <w:szCs w:val="22"/>
        </w:rPr>
        <w:t>4.9</w:t>
      </w:r>
      <w:r w:rsidRPr="003F5FC9">
        <w:rPr>
          <w:b/>
          <w:sz w:val="22"/>
          <w:szCs w:val="22"/>
        </w:rPr>
        <w:tab/>
        <w:t>Predávkovanie</w:t>
      </w:r>
    </w:p>
    <w:p w:rsidR="00BB7B2E" w:rsidRPr="00D049BC" w:rsidRDefault="00BB7B2E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</w:p>
    <w:p w:rsidR="00D049BC" w:rsidRDefault="00627EF8" w:rsidP="00BB7B2E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Klinický obraz pri akútnom alebo chronickom predávkovaní primárne závisí od rozsahu a dôsledkov úbytku elektrolytov a telesných tekutín (napr. </w:t>
      </w: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dehydratácia, zahustenie krvi, srdcové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 vrátane </w:t>
      </w:r>
      <w:proofErr w:type="spellStart"/>
      <w:r>
        <w:rPr>
          <w:sz w:val="22"/>
          <w:szCs w:val="22"/>
        </w:rPr>
        <w:t>atrioventrikulárnej</w:t>
      </w:r>
      <w:proofErr w:type="spellEnd"/>
      <w:r>
        <w:rPr>
          <w:sz w:val="22"/>
          <w:szCs w:val="22"/>
        </w:rPr>
        <w:t xml:space="preserve"> blokády a 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fibrilácie</w:t>
      </w:r>
      <w:proofErr w:type="spellEnd"/>
      <w:r>
        <w:rPr>
          <w:sz w:val="22"/>
          <w:szCs w:val="22"/>
        </w:rPr>
        <w:t>) v dôsledku nadmerného močenia.</w:t>
      </w:r>
    </w:p>
    <w:p w:rsidR="00627EF8" w:rsidRPr="00753467" w:rsidRDefault="00627EF8" w:rsidP="00BB7B2E">
      <w:pPr>
        <w:tabs>
          <w:tab w:val="left" w:pos="7200"/>
          <w:tab w:val="left" w:pos="7380"/>
        </w:tabs>
        <w:jc w:val="both"/>
        <w:rPr>
          <w:b/>
          <w:sz w:val="22"/>
          <w:szCs w:val="22"/>
        </w:rPr>
      </w:pPr>
      <w:r w:rsidRPr="00753467">
        <w:rPr>
          <w:b/>
          <w:sz w:val="22"/>
          <w:szCs w:val="22"/>
        </w:rPr>
        <w:t>Príznaky:</w:t>
      </w:r>
    </w:p>
    <w:p w:rsidR="00BB7B2E" w:rsidRPr="009C4AF1" w:rsidRDefault="00627EF8" w:rsidP="00753467">
      <w:pPr>
        <w:tabs>
          <w:tab w:val="left" w:pos="7200"/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Príznaky týchto porúch zahŕňajú závažnú hypotenziu (</w:t>
      </w:r>
      <w:proofErr w:type="spellStart"/>
      <w:r>
        <w:rPr>
          <w:sz w:val="22"/>
          <w:szCs w:val="22"/>
        </w:rPr>
        <w:t>progredujúcu</w:t>
      </w:r>
      <w:proofErr w:type="spellEnd"/>
      <w:r>
        <w:rPr>
          <w:sz w:val="22"/>
          <w:szCs w:val="22"/>
        </w:rPr>
        <w:t xml:space="preserve"> do šoku), akútne zlyhanie obličiek, trombózu, delirické stavy, </w:t>
      </w:r>
      <w:r w:rsidR="00753467">
        <w:rPr>
          <w:sz w:val="22"/>
          <w:szCs w:val="22"/>
        </w:rPr>
        <w:t>periférnu paralýzu, apatiu a zmätenosť.</w:t>
      </w:r>
    </w:p>
    <w:p w:rsidR="00BB7B2E" w:rsidRDefault="00BB7B2E" w:rsidP="00BB7B2E">
      <w:pPr>
        <w:jc w:val="both"/>
        <w:rPr>
          <w:b/>
          <w:sz w:val="22"/>
          <w:szCs w:val="22"/>
        </w:rPr>
      </w:pPr>
      <w:r w:rsidRPr="00753467">
        <w:rPr>
          <w:b/>
          <w:sz w:val="22"/>
          <w:szCs w:val="22"/>
        </w:rPr>
        <w:t>Liečba</w:t>
      </w:r>
      <w:r w:rsidR="00753467">
        <w:rPr>
          <w:b/>
          <w:sz w:val="22"/>
          <w:szCs w:val="22"/>
        </w:rPr>
        <w:t>:</w:t>
      </w:r>
    </w:p>
    <w:p w:rsidR="00811CDD" w:rsidRDefault="00753467" w:rsidP="00BB7B2E">
      <w:pPr>
        <w:jc w:val="both"/>
        <w:rPr>
          <w:sz w:val="22"/>
          <w:szCs w:val="22"/>
        </w:rPr>
      </w:pPr>
      <w:r w:rsidRPr="00753467">
        <w:rPr>
          <w:sz w:val="22"/>
          <w:szCs w:val="22"/>
        </w:rPr>
        <w:t>Pri prvých prejavoch šoku</w:t>
      </w:r>
      <w:r>
        <w:rPr>
          <w:sz w:val="22"/>
          <w:szCs w:val="22"/>
        </w:rPr>
        <w:t xml:space="preserve"> (nízky krvný tlak, </w:t>
      </w:r>
      <w:r w:rsidR="00811CDD">
        <w:rPr>
          <w:sz w:val="22"/>
          <w:szCs w:val="22"/>
        </w:rPr>
        <w:t xml:space="preserve">nadmerné potenie, </w:t>
      </w:r>
      <w:proofErr w:type="spellStart"/>
      <w:r w:rsidR="00811CDD">
        <w:rPr>
          <w:sz w:val="22"/>
          <w:szCs w:val="22"/>
        </w:rPr>
        <w:t>nauzea</w:t>
      </w:r>
      <w:proofErr w:type="spellEnd"/>
      <w:r w:rsidR="00811CDD">
        <w:rPr>
          <w:sz w:val="22"/>
          <w:szCs w:val="22"/>
        </w:rPr>
        <w:t xml:space="preserve">, </w:t>
      </w:r>
      <w:proofErr w:type="spellStart"/>
      <w:r w:rsidR="00811CDD">
        <w:rPr>
          <w:sz w:val="22"/>
          <w:szCs w:val="22"/>
        </w:rPr>
        <w:t>cyanóza</w:t>
      </w:r>
      <w:proofErr w:type="spellEnd"/>
      <w:r w:rsidR="00811CDD">
        <w:rPr>
          <w:sz w:val="22"/>
          <w:szCs w:val="22"/>
        </w:rPr>
        <w:t>) injekcia sa má okamžite prerušiť, pacienta treba uložiť do polohy s hlavou pod úrovňou tela a umožniť mu voľné dýchanie.</w:t>
      </w:r>
    </w:p>
    <w:p w:rsidR="00753467" w:rsidRDefault="00811CDD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Náhrada telesných tekutín a úprava </w:t>
      </w:r>
      <w:proofErr w:type="spellStart"/>
      <w:r>
        <w:rPr>
          <w:sz w:val="22"/>
          <w:szCs w:val="22"/>
        </w:rPr>
        <w:t>elektrolytovej</w:t>
      </w:r>
      <w:proofErr w:type="spellEnd"/>
      <w:r>
        <w:rPr>
          <w:sz w:val="22"/>
          <w:szCs w:val="22"/>
        </w:rPr>
        <w:t xml:space="preserve"> nerovnováhy; sledovanie metabolických funkcií a udržiavanie prúdu moču.</w:t>
      </w:r>
    </w:p>
    <w:p w:rsidR="00811CDD" w:rsidRDefault="00811CDD" w:rsidP="00BB7B2E">
      <w:pPr>
        <w:jc w:val="both"/>
        <w:rPr>
          <w:sz w:val="22"/>
          <w:szCs w:val="22"/>
        </w:rPr>
      </w:pPr>
    </w:p>
    <w:p w:rsidR="00811CDD" w:rsidRPr="00753467" w:rsidRDefault="00811CDD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Medikamentózna liečba v prípade </w:t>
      </w:r>
      <w:proofErr w:type="spellStart"/>
      <w:r>
        <w:rPr>
          <w:sz w:val="22"/>
          <w:szCs w:val="22"/>
        </w:rPr>
        <w:t>anafylaktického</w:t>
      </w:r>
      <w:proofErr w:type="spellEnd"/>
      <w:r>
        <w:rPr>
          <w:sz w:val="22"/>
          <w:szCs w:val="22"/>
        </w:rPr>
        <w:t xml:space="preserve"> šoku: </w:t>
      </w:r>
      <w:r w:rsidR="008C65EA">
        <w:rPr>
          <w:sz w:val="22"/>
          <w:szCs w:val="22"/>
        </w:rPr>
        <w:t xml:space="preserve">rozrieďte 1 ml 1:1000 roztoku adrenalínu v 10 ml a pomaly injekčne podajte 1 ml roztoku (zodpovedajúci 0,1 mg adrenalínu), kontrolujte pulz a napätie a sledujte prípadné arytmie. Ak je to nevyhnutné, podanie adrenalínu sa môže opakovať. Následne intravenóznou injekciou podajte glukokortikoid (napr. 250 mg </w:t>
      </w:r>
      <w:proofErr w:type="spellStart"/>
      <w:r w:rsidR="008C65EA">
        <w:rPr>
          <w:sz w:val="22"/>
          <w:szCs w:val="22"/>
        </w:rPr>
        <w:t>metylprednizolónu</w:t>
      </w:r>
      <w:proofErr w:type="spellEnd"/>
      <w:r w:rsidR="008C65EA">
        <w:rPr>
          <w:sz w:val="22"/>
          <w:szCs w:val="22"/>
        </w:rPr>
        <w:t xml:space="preserve">), ak je to nevyhnutné, </w:t>
      </w:r>
      <w:r w:rsidR="00A662CF">
        <w:rPr>
          <w:sz w:val="22"/>
          <w:szCs w:val="22"/>
        </w:rPr>
        <w:t xml:space="preserve">podanie </w:t>
      </w:r>
      <w:r w:rsidR="008C65EA">
        <w:rPr>
          <w:sz w:val="22"/>
          <w:szCs w:val="22"/>
        </w:rPr>
        <w:t>opakujte.</w:t>
      </w:r>
    </w:p>
    <w:p w:rsidR="00BB7B2E" w:rsidRDefault="00BB7B2E" w:rsidP="00BB7B2E">
      <w:pPr>
        <w:jc w:val="both"/>
        <w:rPr>
          <w:sz w:val="22"/>
          <w:szCs w:val="22"/>
        </w:rPr>
      </w:pPr>
    </w:p>
    <w:p w:rsidR="00E8079A" w:rsidRPr="008F620F" w:rsidRDefault="00E8079A" w:rsidP="00BB7B2E">
      <w:pPr>
        <w:jc w:val="both"/>
        <w:rPr>
          <w:sz w:val="22"/>
          <w:szCs w:val="22"/>
          <w:u w:val="single"/>
        </w:rPr>
      </w:pPr>
      <w:r w:rsidRPr="008F620F">
        <w:rPr>
          <w:sz w:val="22"/>
          <w:szCs w:val="22"/>
          <w:u w:val="single"/>
        </w:rPr>
        <w:t>Pediatrická populácia</w:t>
      </w:r>
    </w:p>
    <w:p w:rsidR="00E8079A" w:rsidRDefault="00E8079A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Prispôsobte hore uvedené dávkovanie pre deti podľa telesnej hmotnosti.</w:t>
      </w:r>
    </w:p>
    <w:p w:rsidR="008F620F" w:rsidRDefault="008F620F" w:rsidP="00BB7B2E">
      <w:pPr>
        <w:jc w:val="both"/>
        <w:rPr>
          <w:sz w:val="22"/>
          <w:szCs w:val="22"/>
        </w:rPr>
      </w:pPr>
    </w:p>
    <w:p w:rsidR="008F620F" w:rsidRDefault="008F620F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Upravte </w:t>
      </w:r>
      <w:proofErr w:type="spellStart"/>
      <w:r>
        <w:rPr>
          <w:sz w:val="22"/>
          <w:szCs w:val="22"/>
        </w:rPr>
        <w:t>hypovolémiu</w:t>
      </w:r>
      <w:proofErr w:type="spellEnd"/>
      <w:r>
        <w:rPr>
          <w:sz w:val="22"/>
          <w:szCs w:val="22"/>
        </w:rPr>
        <w:t xml:space="preserve"> dostupnými prostriedkami a doplňte umelou pľúcnou ventiláciou, kyslíkom a v prípade </w:t>
      </w:r>
      <w:proofErr w:type="spellStart"/>
      <w:r>
        <w:rPr>
          <w:sz w:val="22"/>
          <w:szCs w:val="22"/>
        </w:rPr>
        <w:t>anafylaktického</w:t>
      </w:r>
      <w:proofErr w:type="spellEnd"/>
      <w:r>
        <w:rPr>
          <w:sz w:val="22"/>
          <w:szCs w:val="22"/>
        </w:rPr>
        <w:t xml:space="preserve"> šoku </w:t>
      </w:r>
      <w:proofErr w:type="spellStart"/>
      <w:r>
        <w:rPr>
          <w:sz w:val="22"/>
          <w:szCs w:val="22"/>
        </w:rPr>
        <w:t>antihistamínmi</w:t>
      </w:r>
      <w:proofErr w:type="spellEnd"/>
      <w:r>
        <w:rPr>
          <w:sz w:val="22"/>
          <w:szCs w:val="22"/>
        </w:rPr>
        <w:t>.</w:t>
      </w:r>
    </w:p>
    <w:p w:rsidR="008F620F" w:rsidRDefault="008F620F" w:rsidP="00BB7B2E">
      <w:pPr>
        <w:jc w:val="both"/>
        <w:rPr>
          <w:sz w:val="22"/>
          <w:szCs w:val="22"/>
        </w:rPr>
      </w:pPr>
    </w:p>
    <w:p w:rsidR="008F620F" w:rsidRDefault="008F620F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je známe žiadne špecifické </w:t>
      </w:r>
      <w:proofErr w:type="spellStart"/>
      <w:r>
        <w:rPr>
          <w:sz w:val="22"/>
          <w:szCs w:val="22"/>
        </w:rPr>
        <w:t>antidotum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. Ak dôjde k predávkovaniu počas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liečby, liečba v princípe pozostáva zo sledovania a podpornej liečby. Hemodialýzou sa neurýchli vylúčenie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:rsidR="008F620F" w:rsidRPr="00AF1232" w:rsidRDefault="008F620F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numPr>
          <w:ilvl w:val="0"/>
          <w:numId w:val="2"/>
        </w:numPr>
        <w:tabs>
          <w:tab w:val="clear" w:pos="720"/>
          <w:tab w:val="left" w:pos="0"/>
        </w:tabs>
        <w:ind w:hanging="72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FARMAKOLOGICKÉ VLASTNOSTI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BB7B2E" w:rsidRPr="00A816DE" w:rsidRDefault="00BB7B2E" w:rsidP="00BB7B2E">
      <w:pPr>
        <w:numPr>
          <w:ilvl w:val="1"/>
          <w:numId w:val="2"/>
        </w:numPr>
        <w:tabs>
          <w:tab w:val="clear" w:pos="720"/>
        </w:tabs>
        <w:ind w:hanging="720"/>
        <w:jc w:val="both"/>
        <w:rPr>
          <w:b/>
          <w:sz w:val="22"/>
          <w:szCs w:val="22"/>
        </w:rPr>
      </w:pPr>
      <w:proofErr w:type="spellStart"/>
      <w:r w:rsidRPr="00A816DE">
        <w:rPr>
          <w:b/>
          <w:sz w:val="22"/>
          <w:szCs w:val="22"/>
        </w:rPr>
        <w:t>Farmakodynamické</w:t>
      </w:r>
      <w:proofErr w:type="spellEnd"/>
      <w:r w:rsidRPr="00A816DE">
        <w:rPr>
          <w:b/>
          <w:sz w:val="22"/>
          <w:szCs w:val="22"/>
        </w:rPr>
        <w:t xml:space="preserve"> vlastnosti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116781" w:rsidRPr="002C429B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  <w:proofErr w:type="spellStart"/>
      <w:r w:rsidRPr="002C429B">
        <w:rPr>
          <w:sz w:val="22"/>
          <w:szCs w:val="22"/>
        </w:rPr>
        <w:t>Farmakoterapeutická</w:t>
      </w:r>
      <w:proofErr w:type="spellEnd"/>
      <w:r w:rsidRPr="002C429B">
        <w:rPr>
          <w:sz w:val="22"/>
          <w:szCs w:val="22"/>
        </w:rPr>
        <w:t xml:space="preserve"> skupina: </w:t>
      </w:r>
      <w:r>
        <w:rPr>
          <w:sz w:val="22"/>
          <w:szCs w:val="22"/>
        </w:rPr>
        <w:t>Diuretiká so silným účinkom</w:t>
      </w:r>
      <w:r w:rsidRPr="002C429B">
        <w:rPr>
          <w:sz w:val="22"/>
          <w:szCs w:val="22"/>
        </w:rPr>
        <w:t xml:space="preserve">, </w:t>
      </w:r>
      <w:r w:rsidRPr="00313BCE">
        <w:rPr>
          <w:sz w:val="22"/>
          <w:szCs w:val="22"/>
        </w:rPr>
        <w:t>sulfónamidy samotné</w:t>
      </w:r>
    </w:p>
    <w:p w:rsidR="00116781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  <w:r w:rsidRPr="002C429B">
        <w:rPr>
          <w:sz w:val="22"/>
          <w:szCs w:val="22"/>
        </w:rPr>
        <w:t xml:space="preserve">ATC kód:C03CA01 </w:t>
      </w:r>
    </w:p>
    <w:p w:rsidR="00954789" w:rsidRDefault="00954789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</w:p>
    <w:p w:rsidR="00954789" w:rsidRPr="00954789" w:rsidRDefault="00954789" w:rsidP="00116781">
      <w:pPr>
        <w:tabs>
          <w:tab w:val="left" w:pos="8505"/>
        </w:tabs>
        <w:ind w:right="-1"/>
        <w:jc w:val="both"/>
        <w:rPr>
          <w:sz w:val="22"/>
          <w:szCs w:val="22"/>
          <w:u w:val="single"/>
        </w:rPr>
      </w:pPr>
      <w:r w:rsidRPr="00954789">
        <w:rPr>
          <w:sz w:val="22"/>
          <w:szCs w:val="22"/>
          <w:u w:val="single"/>
        </w:rPr>
        <w:t>Mechanizmus účinku</w:t>
      </w:r>
    </w:p>
    <w:p w:rsidR="00116781" w:rsidRPr="002C429B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  <w:proofErr w:type="spellStart"/>
      <w:r w:rsidRPr="002C429B">
        <w:rPr>
          <w:sz w:val="22"/>
          <w:szCs w:val="22"/>
        </w:rPr>
        <w:t>Furosemid</w:t>
      </w:r>
      <w:proofErr w:type="spellEnd"/>
      <w:r w:rsidRPr="002C429B">
        <w:rPr>
          <w:sz w:val="22"/>
          <w:szCs w:val="22"/>
        </w:rPr>
        <w:t xml:space="preserve"> je silné</w:t>
      </w:r>
      <w:r w:rsidR="00954789">
        <w:rPr>
          <w:sz w:val="22"/>
          <w:szCs w:val="22"/>
        </w:rPr>
        <w:t>,</w:t>
      </w:r>
      <w:r w:rsidRPr="002C429B">
        <w:rPr>
          <w:sz w:val="22"/>
          <w:szCs w:val="22"/>
        </w:rPr>
        <w:t xml:space="preserve"> rýchlo pôsobiace diuretikum. </w:t>
      </w:r>
      <w:r w:rsidR="00954789">
        <w:rPr>
          <w:sz w:val="22"/>
          <w:szCs w:val="22"/>
        </w:rPr>
        <w:t xml:space="preserve">Z farmakologického hľadiska </w:t>
      </w:r>
      <w:proofErr w:type="spellStart"/>
      <w:r w:rsidR="00954789">
        <w:rPr>
          <w:sz w:val="22"/>
          <w:szCs w:val="22"/>
        </w:rPr>
        <w:t>i</w:t>
      </w:r>
      <w:r w:rsidRPr="002C429B">
        <w:rPr>
          <w:sz w:val="22"/>
          <w:szCs w:val="22"/>
        </w:rPr>
        <w:t>nhibuje</w:t>
      </w:r>
      <w:proofErr w:type="spellEnd"/>
      <w:r w:rsidRPr="002C429B">
        <w:rPr>
          <w:sz w:val="22"/>
          <w:szCs w:val="22"/>
        </w:rPr>
        <w:t xml:space="preserve"> </w:t>
      </w:r>
      <w:proofErr w:type="spellStart"/>
      <w:r w:rsidR="00954789">
        <w:rPr>
          <w:sz w:val="22"/>
          <w:szCs w:val="22"/>
        </w:rPr>
        <w:t>kotransportný</w:t>
      </w:r>
      <w:proofErr w:type="spellEnd"/>
      <w:r w:rsidR="00954789">
        <w:rPr>
          <w:sz w:val="22"/>
          <w:szCs w:val="22"/>
        </w:rPr>
        <w:t xml:space="preserve"> systém (</w:t>
      </w:r>
      <w:proofErr w:type="spellStart"/>
      <w:r w:rsidRPr="002C429B">
        <w:rPr>
          <w:sz w:val="22"/>
          <w:szCs w:val="22"/>
        </w:rPr>
        <w:t>reabsorpciu</w:t>
      </w:r>
      <w:proofErr w:type="spellEnd"/>
      <w:r w:rsidR="00954789">
        <w:rPr>
          <w:sz w:val="22"/>
          <w:szCs w:val="22"/>
        </w:rPr>
        <w:t>)</w:t>
      </w:r>
      <w:r w:rsidR="00A662CF">
        <w:rPr>
          <w:sz w:val="22"/>
          <w:szCs w:val="22"/>
        </w:rPr>
        <w:t xml:space="preserve"> </w:t>
      </w:r>
      <w:r w:rsidR="00954789">
        <w:rPr>
          <w:sz w:val="22"/>
          <w:szCs w:val="22"/>
        </w:rPr>
        <w:t xml:space="preserve">nasledujúcich elektrolytov </w:t>
      </w:r>
      <w:r w:rsidRPr="002C429B">
        <w:rPr>
          <w:sz w:val="22"/>
          <w:szCs w:val="22"/>
        </w:rPr>
        <w:t>Na</w:t>
      </w:r>
      <w:r w:rsidRPr="002C429B">
        <w:rPr>
          <w:sz w:val="22"/>
          <w:szCs w:val="22"/>
          <w:vertAlign w:val="superscript"/>
        </w:rPr>
        <w:t>+</w:t>
      </w:r>
      <w:r w:rsidRPr="002C429B">
        <w:rPr>
          <w:sz w:val="22"/>
          <w:szCs w:val="22"/>
        </w:rPr>
        <w:t xml:space="preserve">, </w:t>
      </w:r>
      <w:r w:rsidR="00954789" w:rsidRPr="002C429B">
        <w:rPr>
          <w:sz w:val="22"/>
          <w:szCs w:val="22"/>
        </w:rPr>
        <w:t>K</w:t>
      </w:r>
      <w:r w:rsidR="00954789" w:rsidRPr="002C429B">
        <w:rPr>
          <w:sz w:val="22"/>
          <w:szCs w:val="22"/>
          <w:vertAlign w:val="superscript"/>
        </w:rPr>
        <w:t>+</w:t>
      </w:r>
      <w:r w:rsidR="00954789">
        <w:rPr>
          <w:sz w:val="22"/>
          <w:szCs w:val="22"/>
        </w:rPr>
        <w:t xml:space="preserve"> a 2</w:t>
      </w:r>
      <w:r w:rsidRPr="002C429B">
        <w:rPr>
          <w:sz w:val="22"/>
          <w:szCs w:val="22"/>
        </w:rPr>
        <w:t>Cl</w:t>
      </w:r>
      <w:r w:rsidRPr="002C429B">
        <w:rPr>
          <w:sz w:val="22"/>
          <w:szCs w:val="22"/>
          <w:vertAlign w:val="superscript"/>
        </w:rPr>
        <w:t>-</w:t>
      </w:r>
      <w:r w:rsidR="00A662CF">
        <w:rPr>
          <w:sz w:val="22"/>
          <w:szCs w:val="22"/>
          <w:vertAlign w:val="superscript"/>
        </w:rPr>
        <w:t xml:space="preserve"> </w:t>
      </w:r>
      <w:r w:rsidR="00954789">
        <w:rPr>
          <w:sz w:val="22"/>
          <w:szCs w:val="22"/>
        </w:rPr>
        <w:t xml:space="preserve">na </w:t>
      </w:r>
      <w:proofErr w:type="spellStart"/>
      <w:r w:rsidR="00954789">
        <w:rPr>
          <w:sz w:val="22"/>
          <w:szCs w:val="22"/>
        </w:rPr>
        <w:t>luminálnej</w:t>
      </w:r>
      <w:proofErr w:type="spellEnd"/>
      <w:r w:rsidR="00954789">
        <w:rPr>
          <w:sz w:val="22"/>
          <w:szCs w:val="22"/>
        </w:rPr>
        <w:t xml:space="preserve"> bunkovej membráne </w:t>
      </w:r>
      <w:r w:rsidRPr="002C429B">
        <w:rPr>
          <w:sz w:val="22"/>
          <w:szCs w:val="22"/>
        </w:rPr>
        <w:t>v</w:t>
      </w:r>
      <w:r w:rsidR="00954789">
        <w:rPr>
          <w:sz w:val="22"/>
          <w:szCs w:val="22"/>
        </w:rPr>
        <w:t> </w:t>
      </w:r>
      <w:r w:rsidRPr="002C429B">
        <w:rPr>
          <w:sz w:val="22"/>
          <w:szCs w:val="22"/>
        </w:rPr>
        <w:t>asce</w:t>
      </w:r>
      <w:r w:rsidR="00A662CF">
        <w:rPr>
          <w:sz w:val="22"/>
          <w:szCs w:val="22"/>
        </w:rPr>
        <w:t>n</w:t>
      </w:r>
      <w:r w:rsidRPr="002C429B">
        <w:rPr>
          <w:sz w:val="22"/>
          <w:szCs w:val="22"/>
        </w:rPr>
        <w:t xml:space="preserve">dentnom ramienku </w:t>
      </w:r>
      <w:proofErr w:type="spellStart"/>
      <w:r w:rsidRPr="002C429B">
        <w:rPr>
          <w:sz w:val="22"/>
          <w:szCs w:val="22"/>
        </w:rPr>
        <w:t>Henleho</w:t>
      </w:r>
      <w:proofErr w:type="spellEnd"/>
      <w:r w:rsidRPr="002C429B">
        <w:rPr>
          <w:sz w:val="22"/>
          <w:szCs w:val="22"/>
        </w:rPr>
        <w:t xml:space="preserve"> kľučky. </w:t>
      </w:r>
      <w:r w:rsidR="00954789">
        <w:rPr>
          <w:sz w:val="22"/>
          <w:szCs w:val="22"/>
        </w:rPr>
        <w:t xml:space="preserve">V dôsledku toho účinok </w:t>
      </w:r>
      <w:proofErr w:type="spellStart"/>
      <w:r w:rsidR="00954789">
        <w:rPr>
          <w:sz w:val="22"/>
          <w:szCs w:val="22"/>
        </w:rPr>
        <w:t>furosemidu</w:t>
      </w:r>
      <w:proofErr w:type="spellEnd"/>
      <w:r w:rsidR="00954789">
        <w:rPr>
          <w:sz w:val="22"/>
          <w:szCs w:val="22"/>
        </w:rPr>
        <w:t xml:space="preserve"> závisí od </w:t>
      </w:r>
      <w:r w:rsidR="000209FD">
        <w:rPr>
          <w:sz w:val="22"/>
          <w:szCs w:val="22"/>
        </w:rPr>
        <w:t xml:space="preserve">dopravenia liečiva na </w:t>
      </w:r>
      <w:proofErr w:type="spellStart"/>
      <w:r w:rsidR="000209FD">
        <w:rPr>
          <w:sz w:val="22"/>
          <w:szCs w:val="22"/>
        </w:rPr>
        <w:t>tubulárny</w:t>
      </w:r>
      <w:proofErr w:type="spellEnd"/>
      <w:r w:rsidR="00A662CF">
        <w:rPr>
          <w:sz w:val="22"/>
          <w:szCs w:val="22"/>
        </w:rPr>
        <w:t xml:space="preserve"> </w:t>
      </w:r>
      <w:proofErr w:type="spellStart"/>
      <w:r w:rsidR="000209FD">
        <w:rPr>
          <w:sz w:val="22"/>
          <w:szCs w:val="22"/>
        </w:rPr>
        <w:t>lumen</w:t>
      </w:r>
      <w:proofErr w:type="spellEnd"/>
      <w:r w:rsidR="000209FD">
        <w:rPr>
          <w:sz w:val="22"/>
          <w:szCs w:val="22"/>
        </w:rPr>
        <w:t xml:space="preserve"> prostredníctvom aniónového transportného mechanizmu. Výsledkom diuretického účinku je inhibícia </w:t>
      </w:r>
      <w:proofErr w:type="spellStart"/>
      <w:r w:rsidR="000209FD">
        <w:rPr>
          <w:sz w:val="22"/>
          <w:szCs w:val="22"/>
        </w:rPr>
        <w:t>reabsorpcie</w:t>
      </w:r>
      <w:proofErr w:type="spellEnd"/>
      <w:r w:rsidR="000209FD">
        <w:rPr>
          <w:sz w:val="22"/>
          <w:szCs w:val="22"/>
        </w:rPr>
        <w:t xml:space="preserve"> chloridu sodného v tomto segmente </w:t>
      </w:r>
      <w:proofErr w:type="spellStart"/>
      <w:r w:rsidR="000209FD">
        <w:rPr>
          <w:sz w:val="22"/>
          <w:szCs w:val="22"/>
        </w:rPr>
        <w:t>Henleho</w:t>
      </w:r>
      <w:proofErr w:type="spellEnd"/>
      <w:r w:rsidR="000209FD">
        <w:rPr>
          <w:sz w:val="22"/>
          <w:szCs w:val="22"/>
        </w:rPr>
        <w:t xml:space="preserve"> kľučky. V dôsledku toho môže e</w:t>
      </w:r>
      <w:r w:rsidRPr="002C429B">
        <w:rPr>
          <w:sz w:val="22"/>
          <w:szCs w:val="22"/>
        </w:rPr>
        <w:t>xkrečná frakcia sodíka dosiahnuť až 35</w:t>
      </w:r>
      <w:r>
        <w:rPr>
          <w:sz w:val="22"/>
          <w:szCs w:val="22"/>
        </w:rPr>
        <w:t> </w:t>
      </w:r>
      <w:r w:rsidRPr="002C429B">
        <w:rPr>
          <w:sz w:val="22"/>
          <w:szCs w:val="22"/>
        </w:rPr>
        <w:t xml:space="preserve">% sodíka filtrovaného </w:t>
      </w:r>
      <w:proofErr w:type="spellStart"/>
      <w:r w:rsidRPr="002C429B">
        <w:rPr>
          <w:sz w:val="22"/>
          <w:szCs w:val="22"/>
        </w:rPr>
        <w:t>glomerulom</w:t>
      </w:r>
      <w:proofErr w:type="spellEnd"/>
      <w:r w:rsidRPr="002C429B">
        <w:rPr>
          <w:sz w:val="22"/>
          <w:szCs w:val="22"/>
        </w:rPr>
        <w:t xml:space="preserve">. </w:t>
      </w:r>
      <w:r w:rsidR="000209FD">
        <w:rPr>
          <w:sz w:val="22"/>
          <w:szCs w:val="22"/>
        </w:rPr>
        <w:t xml:space="preserve">Sekundárnymi účinkami zvýšeného vylučovania sodíka sú: zvýšené vylučovanie moču </w:t>
      </w:r>
      <w:r w:rsidRPr="002C429B">
        <w:rPr>
          <w:sz w:val="22"/>
          <w:szCs w:val="22"/>
        </w:rPr>
        <w:t xml:space="preserve">a zvýšená sekrécia </w:t>
      </w:r>
      <w:r w:rsidR="000209FD">
        <w:rPr>
          <w:sz w:val="22"/>
          <w:szCs w:val="22"/>
        </w:rPr>
        <w:t xml:space="preserve">draslíka </w:t>
      </w:r>
      <w:r w:rsidRPr="002C429B">
        <w:rPr>
          <w:sz w:val="22"/>
          <w:szCs w:val="22"/>
        </w:rPr>
        <w:t xml:space="preserve">v </w:t>
      </w:r>
      <w:proofErr w:type="spellStart"/>
      <w:r w:rsidRPr="002C429B">
        <w:rPr>
          <w:sz w:val="22"/>
          <w:szCs w:val="22"/>
        </w:rPr>
        <w:t>distálnom</w:t>
      </w:r>
      <w:proofErr w:type="spellEnd"/>
      <w:r w:rsidRPr="002C429B">
        <w:rPr>
          <w:sz w:val="22"/>
          <w:szCs w:val="22"/>
        </w:rPr>
        <w:t xml:space="preserve"> </w:t>
      </w:r>
      <w:proofErr w:type="spellStart"/>
      <w:r w:rsidRPr="002C429B">
        <w:rPr>
          <w:sz w:val="22"/>
          <w:szCs w:val="22"/>
        </w:rPr>
        <w:t>tubule</w:t>
      </w:r>
      <w:proofErr w:type="spellEnd"/>
      <w:r w:rsidRPr="002C429B">
        <w:rPr>
          <w:sz w:val="22"/>
          <w:szCs w:val="22"/>
        </w:rPr>
        <w:t xml:space="preserve">. Zvýšené je i vylučovanie </w:t>
      </w:r>
      <w:r w:rsidR="000209FD">
        <w:rPr>
          <w:sz w:val="22"/>
          <w:szCs w:val="22"/>
        </w:rPr>
        <w:t xml:space="preserve">solí vápnika </w:t>
      </w:r>
      <w:r w:rsidRPr="002C429B">
        <w:rPr>
          <w:sz w:val="22"/>
          <w:szCs w:val="22"/>
        </w:rPr>
        <w:t xml:space="preserve">a </w:t>
      </w:r>
      <w:r w:rsidR="000209FD">
        <w:rPr>
          <w:sz w:val="22"/>
          <w:szCs w:val="22"/>
        </w:rPr>
        <w:t>magnézia</w:t>
      </w:r>
      <w:r w:rsidRPr="002C429B">
        <w:rPr>
          <w:sz w:val="22"/>
          <w:szCs w:val="22"/>
        </w:rPr>
        <w:t xml:space="preserve">. </w:t>
      </w:r>
    </w:p>
    <w:p w:rsidR="00116781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</w:p>
    <w:p w:rsidR="005814B6" w:rsidRDefault="005814B6" w:rsidP="00116781">
      <w:pPr>
        <w:tabs>
          <w:tab w:val="left" w:pos="8505"/>
        </w:tabs>
        <w:ind w:right="-1"/>
        <w:jc w:val="both"/>
        <w:rPr>
          <w:sz w:val="22"/>
          <w:szCs w:val="22"/>
          <w:u w:val="single"/>
        </w:rPr>
      </w:pPr>
      <w:proofErr w:type="spellStart"/>
      <w:r w:rsidRPr="005814B6">
        <w:rPr>
          <w:sz w:val="22"/>
          <w:szCs w:val="22"/>
          <w:u w:val="single"/>
        </w:rPr>
        <w:t>Farmakodynamické</w:t>
      </w:r>
      <w:proofErr w:type="spellEnd"/>
      <w:r w:rsidRPr="005814B6">
        <w:rPr>
          <w:sz w:val="22"/>
          <w:szCs w:val="22"/>
          <w:u w:val="single"/>
        </w:rPr>
        <w:t xml:space="preserve"> účinky</w:t>
      </w:r>
    </w:p>
    <w:p w:rsidR="00116781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  <w:proofErr w:type="spellStart"/>
      <w:r w:rsidRPr="002C429B">
        <w:rPr>
          <w:sz w:val="22"/>
          <w:szCs w:val="22"/>
        </w:rPr>
        <w:t>Furosemid</w:t>
      </w:r>
      <w:proofErr w:type="spellEnd"/>
      <w:r w:rsidR="00A662CF">
        <w:rPr>
          <w:sz w:val="22"/>
          <w:szCs w:val="22"/>
        </w:rPr>
        <w:t xml:space="preserve"> </w:t>
      </w:r>
      <w:proofErr w:type="spellStart"/>
      <w:r w:rsidR="00864B76">
        <w:rPr>
          <w:sz w:val="22"/>
          <w:szCs w:val="22"/>
        </w:rPr>
        <w:t>inhibuje</w:t>
      </w:r>
      <w:proofErr w:type="spellEnd"/>
      <w:r w:rsidR="00864B76">
        <w:rPr>
          <w:sz w:val="22"/>
          <w:szCs w:val="22"/>
        </w:rPr>
        <w:t xml:space="preserve"> signálny mechanizmus v</w:t>
      </w:r>
      <w:r w:rsidR="00A662CF">
        <w:rPr>
          <w:sz w:val="22"/>
          <w:szCs w:val="22"/>
        </w:rPr>
        <w:t> </w:t>
      </w:r>
      <w:proofErr w:type="spellStart"/>
      <w:r w:rsidR="00864B76" w:rsidRPr="00864B76">
        <w:rPr>
          <w:i/>
          <w:sz w:val="22"/>
          <w:szCs w:val="22"/>
        </w:rPr>
        <w:t>macula</w:t>
      </w:r>
      <w:proofErr w:type="spellEnd"/>
      <w:r w:rsidR="00A662CF">
        <w:rPr>
          <w:i/>
          <w:sz w:val="22"/>
          <w:szCs w:val="22"/>
        </w:rPr>
        <w:t xml:space="preserve"> </w:t>
      </w:r>
      <w:proofErr w:type="spellStart"/>
      <w:r w:rsidR="00864B76" w:rsidRPr="00864B76">
        <w:rPr>
          <w:i/>
          <w:sz w:val="22"/>
          <w:szCs w:val="22"/>
        </w:rPr>
        <w:t>densa</w:t>
      </w:r>
      <w:proofErr w:type="spellEnd"/>
      <w:r w:rsidR="00864B76">
        <w:rPr>
          <w:sz w:val="22"/>
          <w:szCs w:val="22"/>
        </w:rPr>
        <w:t xml:space="preserve"> a </w:t>
      </w:r>
      <w:r w:rsidRPr="002C429B">
        <w:rPr>
          <w:sz w:val="22"/>
          <w:szCs w:val="22"/>
        </w:rPr>
        <w:t xml:space="preserve">vyvoláva stimuláciu </w:t>
      </w:r>
      <w:r>
        <w:rPr>
          <w:sz w:val="22"/>
          <w:szCs w:val="22"/>
        </w:rPr>
        <w:t xml:space="preserve">systému </w:t>
      </w:r>
      <w:proofErr w:type="spellStart"/>
      <w:r w:rsidRPr="002C429B">
        <w:rPr>
          <w:sz w:val="22"/>
          <w:szCs w:val="22"/>
        </w:rPr>
        <w:t>renín-angiotenzín-aldosterón</w:t>
      </w:r>
      <w:proofErr w:type="spellEnd"/>
      <w:r w:rsidRPr="002C429B">
        <w:rPr>
          <w:sz w:val="22"/>
          <w:szCs w:val="22"/>
        </w:rPr>
        <w:t xml:space="preserve"> v závislosti od dávky. </w:t>
      </w:r>
    </w:p>
    <w:p w:rsidR="00864B76" w:rsidRPr="002C429B" w:rsidRDefault="00864B76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srdcového zlyhávania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vyvoláva náhle zníženie </w:t>
      </w:r>
      <w:proofErr w:type="spellStart"/>
      <w:r>
        <w:rPr>
          <w:sz w:val="22"/>
          <w:szCs w:val="22"/>
        </w:rPr>
        <w:t>predzáťaže</w:t>
      </w:r>
      <w:proofErr w:type="spellEnd"/>
      <w:r>
        <w:rPr>
          <w:sz w:val="22"/>
          <w:szCs w:val="22"/>
        </w:rPr>
        <w:t xml:space="preserve"> srdca (zväčšením </w:t>
      </w:r>
      <w:proofErr w:type="spellStart"/>
      <w:r>
        <w:rPr>
          <w:sz w:val="22"/>
          <w:szCs w:val="22"/>
        </w:rPr>
        <w:t>venózneho</w:t>
      </w:r>
      <w:proofErr w:type="spellEnd"/>
      <w:r>
        <w:rPr>
          <w:sz w:val="22"/>
          <w:szCs w:val="22"/>
        </w:rPr>
        <w:t xml:space="preserve"> kapacitného riečiska). Tento včasný vaskulárny účinok je pravdepodobne sprostredkovaný </w:t>
      </w:r>
      <w:proofErr w:type="spellStart"/>
      <w:r>
        <w:rPr>
          <w:sz w:val="22"/>
          <w:szCs w:val="22"/>
        </w:rPr>
        <w:t>prostaglandínmi</w:t>
      </w:r>
      <w:proofErr w:type="spellEnd"/>
      <w:r>
        <w:rPr>
          <w:sz w:val="22"/>
          <w:szCs w:val="22"/>
        </w:rPr>
        <w:t xml:space="preserve"> a jeho predpokladom je adekvátna funkcia obličiek</w:t>
      </w:r>
      <w:r w:rsidR="00C32D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aktiváciou </w:t>
      </w:r>
      <w:proofErr w:type="spellStart"/>
      <w:r>
        <w:rPr>
          <w:sz w:val="22"/>
          <w:szCs w:val="22"/>
        </w:rPr>
        <w:t>renín-angiotenzínového</w:t>
      </w:r>
      <w:proofErr w:type="spellEnd"/>
      <w:r>
        <w:rPr>
          <w:sz w:val="22"/>
          <w:szCs w:val="22"/>
        </w:rPr>
        <w:t xml:space="preserve"> systému</w:t>
      </w:r>
      <w:r w:rsidR="00CB18E9">
        <w:rPr>
          <w:sz w:val="22"/>
          <w:szCs w:val="22"/>
        </w:rPr>
        <w:t xml:space="preserve"> a nenarušenou syntézou </w:t>
      </w:r>
      <w:proofErr w:type="spellStart"/>
      <w:r w:rsidR="00CB18E9">
        <w:rPr>
          <w:sz w:val="22"/>
          <w:szCs w:val="22"/>
        </w:rPr>
        <w:t>prostaglandínov</w:t>
      </w:r>
      <w:proofErr w:type="spellEnd"/>
      <w:r w:rsidR="00CB18E9">
        <w:rPr>
          <w:sz w:val="22"/>
          <w:szCs w:val="22"/>
        </w:rPr>
        <w:t>.</w:t>
      </w:r>
      <w:r w:rsidR="00A662CF">
        <w:rPr>
          <w:sz w:val="22"/>
          <w:szCs w:val="22"/>
        </w:rPr>
        <w:t xml:space="preserve"> </w:t>
      </w:r>
      <w:r w:rsidR="00CB18E9">
        <w:rPr>
          <w:sz w:val="22"/>
          <w:szCs w:val="22"/>
        </w:rPr>
        <w:t xml:space="preserve">Pre </w:t>
      </w:r>
      <w:proofErr w:type="spellStart"/>
      <w:r w:rsidR="00CB18E9">
        <w:rPr>
          <w:sz w:val="22"/>
          <w:szCs w:val="22"/>
        </w:rPr>
        <w:t>natriuretický</w:t>
      </w:r>
      <w:proofErr w:type="spellEnd"/>
      <w:r w:rsidR="00CB18E9">
        <w:rPr>
          <w:sz w:val="22"/>
          <w:szCs w:val="22"/>
        </w:rPr>
        <w:t xml:space="preserve"> účinok </w:t>
      </w:r>
      <w:proofErr w:type="spellStart"/>
      <w:r w:rsidR="00CB18E9">
        <w:rPr>
          <w:sz w:val="22"/>
          <w:szCs w:val="22"/>
        </w:rPr>
        <w:t>furosemid</w:t>
      </w:r>
      <w:proofErr w:type="spellEnd"/>
      <w:r w:rsidR="00CB18E9">
        <w:rPr>
          <w:sz w:val="22"/>
          <w:szCs w:val="22"/>
        </w:rPr>
        <w:t xml:space="preserve"> znižuje vaskulárnu reaktivitu na katecholamín, ktorý je vyšší u pacientov s hypertenziou.</w:t>
      </w:r>
    </w:p>
    <w:p w:rsidR="00116781" w:rsidRPr="002C429B" w:rsidRDefault="00116781" w:rsidP="00116781">
      <w:pPr>
        <w:tabs>
          <w:tab w:val="left" w:pos="8505"/>
        </w:tabs>
        <w:ind w:right="-1"/>
        <w:jc w:val="both"/>
        <w:rPr>
          <w:sz w:val="22"/>
          <w:szCs w:val="22"/>
        </w:rPr>
      </w:pPr>
    </w:p>
    <w:p w:rsidR="00BB7B2E" w:rsidRDefault="00CB18E9" w:rsidP="00BB7B2E">
      <w:pPr>
        <w:jc w:val="both"/>
        <w:rPr>
          <w:sz w:val="22"/>
          <w:szCs w:val="22"/>
          <w:u w:val="single"/>
        </w:rPr>
      </w:pPr>
      <w:r w:rsidRPr="00CB18E9">
        <w:rPr>
          <w:sz w:val="22"/>
          <w:szCs w:val="22"/>
          <w:u w:val="single"/>
        </w:rPr>
        <w:t>Klinická účinnosť a</w:t>
      </w:r>
      <w:r w:rsidR="00A662CF">
        <w:rPr>
          <w:sz w:val="22"/>
          <w:szCs w:val="22"/>
          <w:u w:val="single"/>
        </w:rPr>
        <w:t> </w:t>
      </w:r>
      <w:r w:rsidRPr="00CB18E9">
        <w:rPr>
          <w:sz w:val="22"/>
          <w:szCs w:val="22"/>
          <w:u w:val="single"/>
        </w:rPr>
        <w:t>bezpečnosť</w:t>
      </w:r>
    </w:p>
    <w:p w:rsidR="00CB18E9" w:rsidRDefault="00DE283D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Diuretický účinok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nastupuje do 15 minút intravenózneho pod</w:t>
      </w:r>
      <w:r w:rsidR="001B5086">
        <w:rPr>
          <w:sz w:val="22"/>
          <w:szCs w:val="22"/>
        </w:rPr>
        <w:t>áv</w:t>
      </w:r>
      <w:r>
        <w:rPr>
          <w:sz w:val="22"/>
          <w:szCs w:val="22"/>
        </w:rPr>
        <w:t xml:space="preserve">ania. </w:t>
      </w:r>
      <w:r w:rsidR="001313B2">
        <w:rPr>
          <w:sz w:val="22"/>
          <w:szCs w:val="22"/>
        </w:rPr>
        <w:t xml:space="preserve">U zdravých osôb, ktorým bol podávaný </w:t>
      </w:r>
      <w:proofErr w:type="spellStart"/>
      <w:r w:rsidR="001313B2">
        <w:rPr>
          <w:sz w:val="22"/>
          <w:szCs w:val="22"/>
        </w:rPr>
        <w:t>furosemid</w:t>
      </w:r>
      <w:proofErr w:type="spellEnd"/>
      <w:r w:rsidR="001313B2">
        <w:rPr>
          <w:sz w:val="22"/>
          <w:szCs w:val="22"/>
        </w:rPr>
        <w:t>, bolo zistené o</w:t>
      </w:r>
      <w:r>
        <w:rPr>
          <w:sz w:val="22"/>
          <w:szCs w:val="22"/>
        </w:rPr>
        <w:t xml:space="preserve">d dávky závislé zvýšenie </w:t>
      </w:r>
      <w:proofErr w:type="spellStart"/>
      <w:r w:rsidR="001313B2">
        <w:rPr>
          <w:sz w:val="22"/>
          <w:szCs w:val="22"/>
        </w:rPr>
        <w:t>diurézy</w:t>
      </w:r>
      <w:proofErr w:type="spellEnd"/>
      <w:r w:rsidR="001313B2">
        <w:rPr>
          <w:sz w:val="22"/>
          <w:szCs w:val="22"/>
        </w:rPr>
        <w:t xml:space="preserve"> a </w:t>
      </w:r>
      <w:proofErr w:type="spellStart"/>
      <w:r w:rsidR="001313B2">
        <w:rPr>
          <w:sz w:val="22"/>
          <w:szCs w:val="22"/>
        </w:rPr>
        <w:t>natriurézy</w:t>
      </w:r>
      <w:proofErr w:type="spellEnd"/>
      <w:r>
        <w:rPr>
          <w:sz w:val="22"/>
          <w:szCs w:val="22"/>
        </w:rPr>
        <w:t xml:space="preserve"> </w:t>
      </w:r>
      <w:r w:rsidR="001313B2">
        <w:rPr>
          <w:sz w:val="22"/>
          <w:szCs w:val="22"/>
        </w:rPr>
        <w:t xml:space="preserve">(dávky v rozpätí 10 až 100 mg). Trvanie účinku u zdravých osôb po podaní intravenóznej dávky 20 mg </w:t>
      </w:r>
      <w:proofErr w:type="spellStart"/>
      <w:r w:rsidR="001313B2">
        <w:rPr>
          <w:sz w:val="22"/>
          <w:szCs w:val="22"/>
        </w:rPr>
        <w:t>furosemidu</w:t>
      </w:r>
      <w:proofErr w:type="spellEnd"/>
      <w:r w:rsidR="001313B2">
        <w:rPr>
          <w:sz w:val="22"/>
          <w:szCs w:val="22"/>
        </w:rPr>
        <w:t xml:space="preserve"> </w:t>
      </w:r>
      <w:r w:rsidR="001B5086">
        <w:rPr>
          <w:sz w:val="22"/>
          <w:szCs w:val="22"/>
        </w:rPr>
        <w:t>je</w:t>
      </w:r>
      <w:r w:rsidR="001313B2">
        <w:rPr>
          <w:sz w:val="22"/>
          <w:szCs w:val="22"/>
        </w:rPr>
        <w:t xml:space="preserve"> približne 3 hodiny a v prípade perorálnej dávky 40 mg 3 až 6 hodín.</w:t>
      </w:r>
    </w:p>
    <w:p w:rsidR="001B5086" w:rsidRDefault="001B5086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chorých pacientov závislosť medzi </w:t>
      </w:r>
      <w:proofErr w:type="spellStart"/>
      <w:r>
        <w:rPr>
          <w:sz w:val="22"/>
          <w:szCs w:val="22"/>
        </w:rPr>
        <w:t>tubulárnou</w:t>
      </w:r>
      <w:proofErr w:type="spellEnd"/>
      <w:r>
        <w:rPr>
          <w:sz w:val="22"/>
          <w:szCs w:val="22"/>
        </w:rPr>
        <w:t xml:space="preserve"> koncentráciou voľného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 viazaného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(danú rýchlosťou vylučovania moču) a jeho </w:t>
      </w:r>
      <w:proofErr w:type="spellStart"/>
      <w:r>
        <w:rPr>
          <w:sz w:val="22"/>
          <w:szCs w:val="22"/>
        </w:rPr>
        <w:t>natriuretickým</w:t>
      </w:r>
      <w:proofErr w:type="spellEnd"/>
      <w:r>
        <w:rPr>
          <w:sz w:val="22"/>
          <w:szCs w:val="22"/>
        </w:rPr>
        <w:t xml:space="preserve"> účinkom vyjadruje </w:t>
      </w:r>
      <w:proofErr w:type="spellStart"/>
      <w:r>
        <w:rPr>
          <w:sz w:val="22"/>
          <w:szCs w:val="22"/>
        </w:rPr>
        <w:t>sigmoidná</w:t>
      </w:r>
      <w:proofErr w:type="spellEnd"/>
      <w:r>
        <w:rPr>
          <w:sz w:val="22"/>
          <w:szCs w:val="22"/>
        </w:rPr>
        <w:t xml:space="preserve"> krivka s </w:t>
      </w:r>
      <w:r w:rsidR="002520D6">
        <w:rPr>
          <w:sz w:val="22"/>
          <w:szCs w:val="22"/>
        </w:rPr>
        <w:t>minimálnou</w:t>
      </w:r>
      <w:r>
        <w:rPr>
          <w:sz w:val="22"/>
          <w:szCs w:val="22"/>
        </w:rPr>
        <w:t xml:space="preserve"> efektívnou rýchlosťou vylučovania približne</w:t>
      </w:r>
      <w:r w:rsidR="00A662CF">
        <w:rPr>
          <w:sz w:val="22"/>
          <w:szCs w:val="22"/>
        </w:rPr>
        <w:t xml:space="preserve"> </w:t>
      </w:r>
      <w:r>
        <w:rPr>
          <w:sz w:val="22"/>
          <w:szCs w:val="22"/>
        </w:rPr>
        <w:t>10 mikrogramov za minútu.</w:t>
      </w:r>
      <w:r w:rsidR="00C33A4A">
        <w:rPr>
          <w:sz w:val="22"/>
          <w:szCs w:val="22"/>
        </w:rPr>
        <w:t xml:space="preserve"> Z toho dôvodu je kontinuálna infúzia </w:t>
      </w:r>
      <w:proofErr w:type="spellStart"/>
      <w:r w:rsidR="00C33A4A">
        <w:rPr>
          <w:sz w:val="22"/>
          <w:szCs w:val="22"/>
        </w:rPr>
        <w:t>furosemidu</w:t>
      </w:r>
      <w:proofErr w:type="spellEnd"/>
      <w:r w:rsidR="00C33A4A">
        <w:rPr>
          <w:sz w:val="22"/>
          <w:szCs w:val="22"/>
        </w:rPr>
        <w:t xml:space="preserve"> účinnejšia ako opakované </w:t>
      </w:r>
      <w:proofErr w:type="spellStart"/>
      <w:r w:rsidR="00C33A4A">
        <w:rPr>
          <w:sz w:val="22"/>
          <w:szCs w:val="22"/>
        </w:rPr>
        <w:t>bolusové</w:t>
      </w:r>
      <w:proofErr w:type="spellEnd"/>
      <w:r w:rsidR="00C33A4A">
        <w:rPr>
          <w:sz w:val="22"/>
          <w:szCs w:val="22"/>
        </w:rPr>
        <w:t xml:space="preserve"> injekcie. Od určitej </w:t>
      </w:r>
      <w:proofErr w:type="spellStart"/>
      <w:r w:rsidR="00C33A4A">
        <w:rPr>
          <w:sz w:val="22"/>
          <w:szCs w:val="22"/>
        </w:rPr>
        <w:t>bolusovou</w:t>
      </w:r>
      <w:proofErr w:type="spellEnd"/>
      <w:r w:rsidR="00C33A4A">
        <w:rPr>
          <w:sz w:val="22"/>
          <w:szCs w:val="22"/>
        </w:rPr>
        <w:t xml:space="preserve"> injekciou podanej dávky účinky liečiv významne nevzrastajú. Účinnosť </w:t>
      </w:r>
      <w:proofErr w:type="spellStart"/>
      <w:r w:rsidR="00C33A4A">
        <w:rPr>
          <w:sz w:val="22"/>
          <w:szCs w:val="22"/>
        </w:rPr>
        <w:t>furosemidu</w:t>
      </w:r>
      <w:proofErr w:type="spellEnd"/>
      <w:r w:rsidR="00C33A4A">
        <w:rPr>
          <w:sz w:val="22"/>
          <w:szCs w:val="22"/>
        </w:rPr>
        <w:t xml:space="preserve"> je znížená v prípadoch slabšej </w:t>
      </w:r>
      <w:proofErr w:type="spellStart"/>
      <w:r w:rsidR="00C33A4A">
        <w:rPr>
          <w:sz w:val="22"/>
          <w:szCs w:val="22"/>
        </w:rPr>
        <w:t>tubulárnej</w:t>
      </w:r>
      <w:proofErr w:type="spellEnd"/>
      <w:r w:rsidR="00C33A4A">
        <w:rPr>
          <w:sz w:val="22"/>
          <w:szCs w:val="22"/>
        </w:rPr>
        <w:t xml:space="preserve"> sekrécie alebo v prípadoch </w:t>
      </w:r>
      <w:proofErr w:type="spellStart"/>
      <w:r w:rsidR="00C33A4A">
        <w:rPr>
          <w:sz w:val="22"/>
          <w:szCs w:val="22"/>
        </w:rPr>
        <w:t>intratubulárneho</w:t>
      </w:r>
      <w:proofErr w:type="spellEnd"/>
      <w:r w:rsidR="00C33A4A">
        <w:rPr>
          <w:sz w:val="22"/>
          <w:szCs w:val="22"/>
        </w:rPr>
        <w:t xml:space="preserve"> viazania liečiva na albumín.</w:t>
      </w:r>
    </w:p>
    <w:p w:rsidR="00CB18E9" w:rsidRPr="00CD66B0" w:rsidRDefault="00CB18E9" w:rsidP="00BB7B2E">
      <w:pPr>
        <w:jc w:val="both"/>
        <w:rPr>
          <w:sz w:val="22"/>
          <w:szCs w:val="22"/>
        </w:rPr>
      </w:pPr>
    </w:p>
    <w:p w:rsidR="00BB7B2E" w:rsidRPr="004D5892" w:rsidRDefault="00BB7B2E" w:rsidP="00BB7B2E">
      <w:pPr>
        <w:numPr>
          <w:ilvl w:val="1"/>
          <w:numId w:val="2"/>
        </w:numPr>
        <w:tabs>
          <w:tab w:val="left" w:pos="720"/>
        </w:tabs>
        <w:ind w:hanging="720"/>
        <w:jc w:val="both"/>
        <w:rPr>
          <w:b/>
          <w:sz w:val="22"/>
          <w:szCs w:val="22"/>
        </w:rPr>
      </w:pPr>
      <w:proofErr w:type="spellStart"/>
      <w:r w:rsidRPr="009C4AF1">
        <w:rPr>
          <w:b/>
          <w:sz w:val="22"/>
          <w:szCs w:val="22"/>
        </w:rPr>
        <w:t>Far</w:t>
      </w:r>
      <w:r w:rsidRPr="004D5892">
        <w:rPr>
          <w:b/>
          <w:sz w:val="22"/>
          <w:szCs w:val="22"/>
        </w:rPr>
        <w:t>makokinetické</w:t>
      </w:r>
      <w:proofErr w:type="spellEnd"/>
      <w:r w:rsidRPr="004D5892">
        <w:rPr>
          <w:b/>
          <w:sz w:val="22"/>
          <w:szCs w:val="22"/>
        </w:rPr>
        <w:t xml:space="preserve"> vlastnosti</w:t>
      </w:r>
    </w:p>
    <w:p w:rsidR="00BB7B2E" w:rsidRPr="00AF1232" w:rsidRDefault="00E515CC" w:rsidP="00BB7B2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C33A4A" w:rsidRPr="00C33A4A" w:rsidRDefault="00C33A4A" w:rsidP="00BB7B2E">
      <w:pPr>
        <w:jc w:val="both"/>
        <w:rPr>
          <w:sz w:val="22"/>
          <w:szCs w:val="22"/>
          <w:u w:val="single"/>
        </w:rPr>
      </w:pPr>
      <w:r w:rsidRPr="00C33A4A">
        <w:rPr>
          <w:sz w:val="22"/>
          <w:szCs w:val="22"/>
          <w:u w:val="single"/>
        </w:rPr>
        <w:t>Distribúcia</w:t>
      </w:r>
    </w:p>
    <w:p w:rsidR="00C33A4A" w:rsidRDefault="00C33A4A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Distribučný objem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0,1 až 1,2 litra na kg telesnej hmotnosti. Distribučný objem sa môže zvýšiť v závislosti od </w:t>
      </w:r>
      <w:proofErr w:type="spellStart"/>
      <w:r>
        <w:rPr>
          <w:sz w:val="22"/>
          <w:szCs w:val="22"/>
        </w:rPr>
        <w:t>konkomitantných</w:t>
      </w:r>
      <w:proofErr w:type="spellEnd"/>
      <w:r>
        <w:rPr>
          <w:sz w:val="22"/>
          <w:szCs w:val="22"/>
        </w:rPr>
        <w:t xml:space="preserve"> ochorení. Väzba na bielkoviny (zväčša na albumín) je viac ako 98 %.</w:t>
      </w:r>
    </w:p>
    <w:p w:rsidR="00C33A4A" w:rsidRDefault="00C33A4A" w:rsidP="00BB7B2E">
      <w:pPr>
        <w:jc w:val="both"/>
        <w:rPr>
          <w:sz w:val="22"/>
          <w:szCs w:val="22"/>
        </w:rPr>
      </w:pPr>
    </w:p>
    <w:p w:rsidR="00C33A4A" w:rsidRPr="00C33A4A" w:rsidRDefault="00C33A4A" w:rsidP="00BB7B2E">
      <w:pPr>
        <w:jc w:val="both"/>
        <w:rPr>
          <w:sz w:val="22"/>
          <w:szCs w:val="22"/>
          <w:u w:val="single"/>
        </w:rPr>
      </w:pPr>
      <w:r w:rsidRPr="00C33A4A">
        <w:rPr>
          <w:sz w:val="22"/>
          <w:szCs w:val="22"/>
          <w:u w:val="single"/>
        </w:rPr>
        <w:t>Eliminácia</w:t>
      </w:r>
    </w:p>
    <w:p w:rsidR="00C33A4A" w:rsidRDefault="00F22CBE" w:rsidP="00BB7B2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zväčša vylučovaný v </w:t>
      </w:r>
      <w:proofErr w:type="spellStart"/>
      <w:r>
        <w:rPr>
          <w:sz w:val="22"/>
          <w:szCs w:val="22"/>
        </w:rPr>
        <w:t>nekonjugovanej</w:t>
      </w:r>
      <w:proofErr w:type="spellEnd"/>
      <w:r>
        <w:rPr>
          <w:sz w:val="22"/>
          <w:szCs w:val="22"/>
        </w:rPr>
        <w:t xml:space="preserve"> forme, hlavne</w:t>
      </w:r>
      <w:r w:rsidR="00A662CF">
        <w:rPr>
          <w:sz w:val="22"/>
          <w:szCs w:val="22"/>
        </w:rPr>
        <w:t xml:space="preserve"> </w:t>
      </w:r>
      <w:r>
        <w:rPr>
          <w:sz w:val="22"/>
          <w:szCs w:val="22"/>
        </w:rPr>
        <w:t>prostredníctvom sekrécie v </w:t>
      </w:r>
      <w:proofErr w:type="spellStart"/>
      <w:r>
        <w:rPr>
          <w:sz w:val="22"/>
          <w:szCs w:val="22"/>
        </w:rPr>
        <w:t>proximálnom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tubule</w:t>
      </w:r>
      <w:proofErr w:type="spellEnd"/>
      <w:r>
        <w:rPr>
          <w:sz w:val="22"/>
          <w:szCs w:val="22"/>
        </w:rPr>
        <w:t xml:space="preserve">. Po intravenóznom podaní sa týmto spôsobom vylúči 60 % až 70 %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Glukuronický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metabolit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predstavuje 10 % až 20 % </w:t>
      </w:r>
      <w:r w:rsidRPr="00A662CF">
        <w:rPr>
          <w:sz w:val="22"/>
          <w:szCs w:val="22"/>
        </w:rPr>
        <w:t>získaných</w:t>
      </w:r>
      <w:r>
        <w:rPr>
          <w:sz w:val="22"/>
          <w:szCs w:val="22"/>
        </w:rPr>
        <w:t xml:space="preserve"> látok v moči. Zvy</w:t>
      </w:r>
      <w:r w:rsidR="00421BC8">
        <w:rPr>
          <w:sz w:val="22"/>
          <w:szCs w:val="22"/>
        </w:rPr>
        <w:t xml:space="preserve">šok dávky sa vylúči v stolici, pravdepodobne po sekrécii žlče. Po intravenóznom podaní sa polčas </w:t>
      </w:r>
      <w:proofErr w:type="spellStart"/>
      <w:r w:rsidR="00421BC8">
        <w:rPr>
          <w:sz w:val="22"/>
          <w:szCs w:val="22"/>
        </w:rPr>
        <w:t>furosemidu</w:t>
      </w:r>
      <w:proofErr w:type="spellEnd"/>
      <w:r w:rsidR="00421BC8">
        <w:rPr>
          <w:sz w:val="22"/>
          <w:szCs w:val="22"/>
        </w:rPr>
        <w:t xml:space="preserve"> v plazme pohybuje od 1 do 1,5 hodiny.</w:t>
      </w:r>
    </w:p>
    <w:p w:rsidR="00421BC8" w:rsidRDefault="00421BC8" w:rsidP="00BB7B2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vylučuje do materského mlieka. Prechádza cez placentárnu bariéru a pomaly preniká do plodu.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dosahuje podobné koncentrácie u matky, plodu a novorodenca.</w:t>
      </w:r>
    </w:p>
    <w:p w:rsidR="00421BC8" w:rsidRDefault="00421BC8" w:rsidP="00BB7B2E">
      <w:pPr>
        <w:jc w:val="both"/>
        <w:rPr>
          <w:sz w:val="22"/>
          <w:szCs w:val="22"/>
        </w:rPr>
      </w:pPr>
    </w:p>
    <w:p w:rsidR="00421BC8" w:rsidRPr="00421BC8" w:rsidRDefault="00421BC8" w:rsidP="00BB7B2E">
      <w:pPr>
        <w:jc w:val="both"/>
        <w:rPr>
          <w:sz w:val="22"/>
          <w:szCs w:val="22"/>
          <w:u w:val="single"/>
        </w:rPr>
      </w:pPr>
      <w:r w:rsidRPr="00421BC8">
        <w:rPr>
          <w:sz w:val="22"/>
          <w:szCs w:val="22"/>
          <w:u w:val="single"/>
        </w:rPr>
        <w:t>Porucha funkcie obličiek</w:t>
      </w:r>
    </w:p>
    <w:p w:rsidR="00421BC8" w:rsidRDefault="00421BC8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prípade poruchy funkcie obličiek je vylučovanie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pomalšie a jeho polčas je vyšší. U pacientov s terminálnym ochorením obličiek je priemerný polčas 9,7 hodín. V prípade viacpočetného zlyhávania orgánov sa polčas môže pohybovať od 20 do 24 hodín.</w:t>
      </w:r>
    </w:p>
    <w:p w:rsidR="00421BC8" w:rsidRDefault="006C1927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</w:t>
      </w:r>
      <w:proofErr w:type="spellStart"/>
      <w:r>
        <w:rPr>
          <w:sz w:val="22"/>
          <w:szCs w:val="22"/>
        </w:rPr>
        <w:t>nefrotického</w:t>
      </w:r>
      <w:proofErr w:type="spellEnd"/>
      <w:r>
        <w:rPr>
          <w:sz w:val="22"/>
          <w:szCs w:val="22"/>
        </w:rPr>
        <w:t xml:space="preserve"> syndrómu</w:t>
      </w:r>
      <w:r w:rsidR="00E515CC">
        <w:rPr>
          <w:sz w:val="22"/>
          <w:szCs w:val="22"/>
        </w:rPr>
        <w:t>,</w:t>
      </w:r>
      <w:r>
        <w:rPr>
          <w:sz w:val="22"/>
          <w:szCs w:val="22"/>
        </w:rPr>
        <w:t xml:space="preserve"> nižšia koncentrácia plazmatických bielkovín vedie k vyšším koncentráciám voľného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Na druhej strane účinnosť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u týchto pacientov nižšia z dôvodu </w:t>
      </w:r>
      <w:proofErr w:type="spellStart"/>
      <w:r>
        <w:rPr>
          <w:sz w:val="22"/>
          <w:szCs w:val="22"/>
        </w:rPr>
        <w:t>intratubulárneho</w:t>
      </w:r>
      <w:proofErr w:type="spellEnd"/>
      <w:r>
        <w:rPr>
          <w:sz w:val="22"/>
          <w:szCs w:val="22"/>
        </w:rPr>
        <w:t xml:space="preserve"> viazania na albumín a z dôvodu nižšej </w:t>
      </w:r>
      <w:proofErr w:type="spellStart"/>
      <w:r>
        <w:rPr>
          <w:sz w:val="22"/>
          <w:szCs w:val="22"/>
        </w:rPr>
        <w:t>tubulárnej</w:t>
      </w:r>
      <w:proofErr w:type="spellEnd"/>
      <w:r>
        <w:rPr>
          <w:sz w:val="22"/>
          <w:szCs w:val="22"/>
        </w:rPr>
        <w:t xml:space="preserve"> sekrécie.</w:t>
      </w:r>
    </w:p>
    <w:p w:rsidR="006C1927" w:rsidRDefault="006C1927" w:rsidP="00BB7B2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slabo odstraňuje dialýzou u pacientov podstupujúcich hemodialýzu, peritoneálnu dialýzu alebo </w:t>
      </w:r>
      <w:r w:rsidRPr="006C1927">
        <w:rPr>
          <w:sz w:val="22"/>
          <w:szCs w:val="22"/>
        </w:rPr>
        <w:t>nepretržit</w:t>
      </w:r>
      <w:r>
        <w:rPr>
          <w:sz w:val="22"/>
          <w:szCs w:val="22"/>
        </w:rPr>
        <w:t>ú</w:t>
      </w:r>
      <w:r w:rsidRPr="006C1927">
        <w:rPr>
          <w:sz w:val="22"/>
          <w:szCs w:val="22"/>
        </w:rPr>
        <w:t xml:space="preserve"> ambulantn</w:t>
      </w:r>
      <w:r>
        <w:rPr>
          <w:sz w:val="22"/>
          <w:szCs w:val="22"/>
        </w:rPr>
        <w:t xml:space="preserve">ú </w:t>
      </w:r>
      <w:r w:rsidRPr="006C1927">
        <w:rPr>
          <w:sz w:val="22"/>
          <w:szCs w:val="22"/>
        </w:rPr>
        <w:t>peritoneáln</w:t>
      </w:r>
      <w:r>
        <w:rPr>
          <w:sz w:val="22"/>
          <w:szCs w:val="22"/>
        </w:rPr>
        <w:t>u</w:t>
      </w:r>
      <w:r w:rsidRPr="006C1927">
        <w:rPr>
          <w:sz w:val="22"/>
          <w:szCs w:val="22"/>
        </w:rPr>
        <w:t xml:space="preserve"> dialýz</w:t>
      </w:r>
      <w:r>
        <w:rPr>
          <w:sz w:val="22"/>
          <w:szCs w:val="22"/>
        </w:rPr>
        <w:t>u.</w:t>
      </w:r>
    </w:p>
    <w:p w:rsidR="006C1927" w:rsidRDefault="006C1927" w:rsidP="00BB7B2E">
      <w:pPr>
        <w:jc w:val="both"/>
        <w:rPr>
          <w:sz w:val="22"/>
          <w:szCs w:val="22"/>
        </w:rPr>
      </w:pPr>
    </w:p>
    <w:p w:rsidR="006C1927" w:rsidRPr="006C1927" w:rsidRDefault="006C1927" w:rsidP="00BB7B2E">
      <w:pPr>
        <w:jc w:val="both"/>
        <w:rPr>
          <w:sz w:val="22"/>
          <w:szCs w:val="22"/>
          <w:u w:val="single"/>
        </w:rPr>
      </w:pPr>
      <w:r w:rsidRPr="006C1927">
        <w:rPr>
          <w:sz w:val="22"/>
          <w:szCs w:val="22"/>
          <w:u w:val="single"/>
        </w:rPr>
        <w:t>Porucha funkcie pečene</w:t>
      </w:r>
    </w:p>
    <w:p w:rsidR="00E544BC" w:rsidRDefault="006C1927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V prípade poruchy funkcie pečene</w:t>
      </w:r>
      <w:r w:rsidR="00E544BC">
        <w:rPr>
          <w:sz w:val="22"/>
          <w:szCs w:val="22"/>
        </w:rPr>
        <w:t xml:space="preserve"> polčas </w:t>
      </w:r>
      <w:proofErr w:type="spellStart"/>
      <w:r w:rsidR="00E544BC">
        <w:rPr>
          <w:sz w:val="22"/>
          <w:szCs w:val="22"/>
        </w:rPr>
        <w:t>furosemidu</w:t>
      </w:r>
      <w:proofErr w:type="spellEnd"/>
      <w:r w:rsidR="00E544BC">
        <w:rPr>
          <w:sz w:val="22"/>
          <w:szCs w:val="22"/>
        </w:rPr>
        <w:t xml:space="preserve"> sa zvyšuje o 30 % až 90 %, hlavne z dôvodu vyššieho distribučného objemu. Eliminácia žlčou môže byť nižšia (až o 50 %). V tejto skupine pacientov je široká variabilita </w:t>
      </w:r>
      <w:proofErr w:type="spellStart"/>
      <w:r w:rsidR="00E544BC">
        <w:rPr>
          <w:sz w:val="22"/>
          <w:szCs w:val="22"/>
        </w:rPr>
        <w:t>farmakokinetických</w:t>
      </w:r>
      <w:proofErr w:type="spellEnd"/>
      <w:r w:rsidR="00E544BC">
        <w:rPr>
          <w:sz w:val="22"/>
          <w:szCs w:val="22"/>
        </w:rPr>
        <w:t xml:space="preserve"> parametrov.</w:t>
      </w:r>
    </w:p>
    <w:p w:rsidR="00E544BC" w:rsidRDefault="00E544BC" w:rsidP="00BB7B2E">
      <w:pPr>
        <w:jc w:val="both"/>
        <w:rPr>
          <w:sz w:val="22"/>
          <w:szCs w:val="22"/>
        </w:rPr>
      </w:pPr>
    </w:p>
    <w:p w:rsidR="006C1927" w:rsidRPr="009D7E37" w:rsidRDefault="00E544BC" w:rsidP="00BB7B2E">
      <w:pPr>
        <w:jc w:val="both"/>
        <w:rPr>
          <w:sz w:val="22"/>
          <w:szCs w:val="22"/>
          <w:u w:val="single"/>
        </w:rPr>
      </w:pPr>
      <w:proofErr w:type="spellStart"/>
      <w:r w:rsidRPr="009D7E37">
        <w:rPr>
          <w:sz w:val="22"/>
          <w:szCs w:val="22"/>
          <w:u w:val="single"/>
        </w:rPr>
        <w:t>Kongestívne</w:t>
      </w:r>
      <w:proofErr w:type="spellEnd"/>
      <w:r w:rsidRPr="009D7E37">
        <w:rPr>
          <w:sz w:val="22"/>
          <w:szCs w:val="22"/>
          <w:u w:val="single"/>
        </w:rPr>
        <w:t xml:space="preserve"> zlyhávanie srdca, závažná hypertenzia</w:t>
      </w:r>
      <w:r w:rsidR="009D7E37" w:rsidRPr="009D7E37">
        <w:rPr>
          <w:sz w:val="22"/>
          <w:szCs w:val="22"/>
          <w:u w:val="single"/>
        </w:rPr>
        <w:t>, starší pacienti</w:t>
      </w:r>
    </w:p>
    <w:p w:rsidR="009D7E37" w:rsidRDefault="004A1B0A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Vylučovanie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pomalšie v dôsledku zníženej funkcie obličiek u pacientov s </w:t>
      </w:r>
      <w:proofErr w:type="spellStart"/>
      <w:r>
        <w:rPr>
          <w:sz w:val="22"/>
          <w:szCs w:val="22"/>
        </w:rPr>
        <w:t>kongestívnym</w:t>
      </w:r>
      <w:proofErr w:type="spellEnd"/>
      <w:r>
        <w:rPr>
          <w:sz w:val="22"/>
          <w:szCs w:val="22"/>
        </w:rPr>
        <w:t xml:space="preserve"> zlyhávaním srdca, závažnou hypertenziou alebo u starších pacientov.</w:t>
      </w:r>
    </w:p>
    <w:p w:rsidR="004A1B0A" w:rsidRDefault="004A1B0A" w:rsidP="00BB7B2E">
      <w:pPr>
        <w:jc w:val="both"/>
        <w:rPr>
          <w:sz w:val="22"/>
          <w:szCs w:val="22"/>
        </w:rPr>
      </w:pPr>
    </w:p>
    <w:p w:rsidR="004A1B0A" w:rsidRPr="00DD5B68" w:rsidRDefault="00DD5B68" w:rsidP="00BB7B2E">
      <w:pPr>
        <w:jc w:val="both"/>
        <w:rPr>
          <w:sz w:val="22"/>
          <w:szCs w:val="22"/>
          <w:u w:val="single"/>
        </w:rPr>
      </w:pPr>
      <w:r w:rsidRPr="00DD5B68">
        <w:rPr>
          <w:sz w:val="22"/>
          <w:szCs w:val="22"/>
          <w:u w:val="single"/>
        </w:rPr>
        <w:t>Predčasne narodené deti a novorodenci</w:t>
      </w:r>
    </w:p>
    <w:p w:rsidR="00DD5B68" w:rsidRDefault="00DC6AF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závislosti od vývinovej zrelosti obličiek môže byť vylučovanie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pomalé. Aj v prípade detí s nedostatočnou kapacitou </w:t>
      </w:r>
      <w:proofErr w:type="spellStart"/>
      <w:r>
        <w:rPr>
          <w:sz w:val="22"/>
          <w:szCs w:val="22"/>
        </w:rPr>
        <w:t>glukuronidácie</w:t>
      </w:r>
      <w:proofErr w:type="spellEnd"/>
      <w:r>
        <w:rPr>
          <w:sz w:val="22"/>
          <w:szCs w:val="22"/>
        </w:rPr>
        <w:t xml:space="preserve"> môže byť metabolizovanie liečiva zhoršené. U novorodencov je polčas vo všeobecnosti menej ako 12 hodín.</w:t>
      </w:r>
    </w:p>
    <w:p w:rsidR="00C33A4A" w:rsidRDefault="00C33A4A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numPr>
          <w:ilvl w:val="1"/>
          <w:numId w:val="2"/>
        </w:numPr>
        <w:tabs>
          <w:tab w:val="left" w:pos="720"/>
        </w:tabs>
        <w:ind w:hanging="72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Predklinické údaje o bezpečnosti</w:t>
      </w:r>
    </w:p>
    <w:p w:rsidR="00BB7B2E" w:rsidRPr="00A816DE" w:rsidRDefault="00BB7B2E" w:rsidP="00BB7B2E">
      <w:pPr>
        <w:rPr>
          <w:b/>
          <w:sz w:val="22"/>
          <w:szCs w:val="22"/>
        </w:rPr>
      </w:pPr>
    </w:p>
    <w:p w:rsidR="00BB7B2E" w:rsidRDefault="009451F6" w:rsidP="00BB7B2E">
      <w:pPr>
        <w:jc w:val="both"/>
        <w:rPr>
          <w:sz w:val="22"/>
          <w:szCs w:val="22"/>
        </w:rPr>
      </w:pPr>
      <w:r w:rsidRPr="009451F6">
        <w:rPr>
          <w:sz w:val="22"/>
          <w:szCs w:val="22"/>
        </w:rPr>
        <w:t>Neklinické údaje</w:t>
      </w:r>
      <w:r>
        <w:rPr>
          <w:sz w:val="22"/>
          <w:szCs w:val="22"/>
        </w:rPr>
        <w:t xml:space="preserve"> </w:t>
      </w:r>
      <w:r w:rsidRPr="009451F6">
        <w:rPr>
          <w:sz w:val="22"/>
          <w:szCs w:val="22"/>
        </w:rPr>
        <w:t>neodhalili žiadne riziká pre ľudí na základe toxicit</w:t>
      </w:r>
      <w:r>
        <w:rPr>
          <w:sz w:val="22"/>
          <w:szCs w:val="22"/>
        </w:rPr>
        <w:t>y</w:t>
      </w:r>
      <w:r w:rsidRPr="009451F6">
        <w:rPr>
          <w:sz w:val="22"/>
          <w:szCs w:val="22"/>
        </w:rPr>
        <w:t xml:space="preserve"> pri opakovanej dávke, </w:t>
      </w:r>
      <w:proofErr w:type="spellStart"/>
      <w:r w:rsidRPr="009451F6">
        <w:rPr>
          <w:sz w:val="22"/>
          <w:szCs w:val="22"/>
        </w:rPr>
        <w:t>genotoxicit</w:t>
      </w:r>
      <w:r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 xml:space="preserve"> a </w:t>
      </w:r>
      <w:r w:rsidRPr="009451F6">
        <w:rPr>
          <w:sz w:val="22"/>
          <w:szCs w:val="22"/>
        </w:rPr>
        <w:t>karcinogénn</w:t>
      </w:r>
      <w:r w:rsidR="00A662CF">
        <w:rPr>
          <w:sz w:val="22"/>
          <w:szCs w:val="22"/>
        </w:rPr>
        <w:t>eho</w:t>
      </w:r>
      <w:r>
        <w:rPr>
          <w:sz w:val="22"/>
          <w:szCs w:val="22"/>
        </w:rPr>
        <w:t xml:space="preserve"> potenciál</w:t>
      </w:r>
      <w:r w:rsidR="00A662CF">
        <w:rPr>
          <w:sz w:val="22"/>
          <w:szCs w:val="22"/>
        </w:rPr>
        <w:t>u</w:t>
      </w:r>
      <w:r w:rsidRPr="009451F6">
        <w:rPr>
          <w:sz w:val="22"/>
          <w:szCs w:val="22"/>
        </w:rPr>
        <w:t>.</w:t>
      </w:r>
    </w:p>
    <w:p w:rsidR="009451F6" w:rsidRDefault="009451F6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štúdiách reprodukčnej toxicity bol pozorovaný nižší počet diferencovaných </w:t>
      </w:r>
      <w:proofErr w:type="spellStart"/>
      <w:r>
        <w:rPr>
          <w:sz w:val="22"/>
          <w:szCs w:val="22"/>
        </w:rPr>
        <w:t>glomerulov</w:t>
      </w:r>
      <w:proofErr w:type="spellEnd"/>
      <w:r>
        <w:rPr>
          <w:sz w:val="22"/>
          <w:szCs w:val="22"/>
        </w:rPr>
        <w:t xml:space="preserve">, kostrové anomálie lopatky, ramennej kosti a rebier (vyvolanými </w:t>
      </w:r>
      <w:proofErr w:type="spellStart"/>
      <w:r>
        <w:rPr>
          <w:sz w:val="22"/>
          <w:szCs w:val="22"/>
        </w:rPr>
        <w:t>hypokaliémiou</w:t>
      </w:r>
      <w:proofErr w:type="spellEnd"/>
      <w:r>
        <w:rPr>
          <w:sz w:val="22"/>
          <w:szCs w:val="22"/>
        </w:rPr>
        <w:t>) plod</w:t>
      </w:r>
      <w:r w:rsidR="00AC4ECF">
        <w:rPr>
          <w:sz w:val="22"/>
          <w:szCs w:val="22"/>
        </w:rPr>
        <w:t>u u </w:t>
      </w:r>
      <w:r>
        <w:rPr>
          <w:sz w:val="22"/>
          <w:szCs w:val="22"/>
        </w:rPr>
        <w:t>potkanov</w:t>
      </w:r>
      <w:r w:rsidR="00AC4ECF">
        <w:rPr>
          <w:sz w:val="22"/>
          <w:szCs w:val="22"/>
        </w:rPr>
        <w:t xml:space="preserve">, ako aj </w:t>
      </w:r>
      <w:proofErr w:type="spellStart"/>
      <w:r w:rsidR="00AC4ECF">
        <w:rPr>
          <w:sz w:val="22"/>
          <w:szCs w:val="22"/>
        </w:rPr>
        <w:t>hydronefróza</w:t>
      </w:r>
      <w:proofErr w:type="spellEnd"/>
      <w:r w:rsidR="00AC4ECF">
        <w:rPr>
          <w:sz w:val="22"/>
          <w:szCs w:val="22"/>
        </w:rPr>
        <w:t xml:space="preserve">, ktorá sa vyskytla u plodu myší a králikov po podávaní vysokých dávok. </w:t>
      </w:r>
    </w:p>
    <w:p w:rsidR="00AC4ECF" w:rsidRPr="00A816DE" w:rsidRDefault="00AC4ECF" w:rsidP="00BB7B2E">
      <w:pPr>
        <w:jc w:val="both"/>
        <w:rPr>
          <w:sz w:val="22"/>
          <w:szCs w:val="22"/>
        </w:rPr>
      </w:pPr>
      <w:r w:rsidRPr="00AC4ECF">
        <w:rPr>
          <w:sz w:val="22"/>
          <w:szCs w:val="22"/>
        </w:rPr>
        <w:t xml:space="preserve">Výsledky štúdie na myšiach a jednej z troch štúdií na králikoch ukázali zvýšenú </w:t>
      </w:r>
      <w:proofErr w:type="spellStart"/>
      <w:r w:rsidRPr="00AC4ECF">
        <w:rPr>
          <w:sz w:val="22"/>
          <w:szCs w:val="22"/>
        </w:rPr>
        <w:t>incidenciu</w:t>
      </w:r>
      <w:proofErr w:type="spellEnd"/>
      <w:r w:rsidRPr="00AC4ECF">
        <w:rPr>
          <w:sz w:val="22"/>
          <w:szCs w:val="22"/>
        </w:rPr>
        <w:t xml:space="preserve"> a závažnosť </w:t>
      </w:r>
      <w:proofErr w:type="spellStart"/>
      <w:r w:rsidRPr="00AC4ECF">
        <w:rPr>
          <w:sz w:val="22"/>
          <w:szCs w:val="22"/>
        </w:rPr>
        <w:t>hydronefrózy</w:t>
      </w:r>
      <w:proofErr w:type="spellEnd"/>
      <w:r w:rsidRPr="00AC4ECF">
        <w:rPr>
          <w:sz w:val="22"/>
          <w:szCs w:val="22"/>
        </w:rPr>
        <w:t xml:space="preserve"> (dilatácia obličkovej panvičky a v niektorých prípadoch močovodu) u plodov pochádzajúcich od liečených samíc v porovnaní s </w:t>
      </w:r>
      <w:proofErr w:type="spellStart"/>
      <w:r w:rsidRPr="00AC4ECF">
        <w:rPr>
          <w:sz w:val="22"/>
          <w:szCs w:val="22"/>
        </w:rPr>
        <w:t>inciden</w:t>
      </w:r>
      <w:r>
        <w:rPr>
          <w:sz w:val="22"/>
          <w:szCs w:val="22"/>
        </w:rPr>
        <w:t>c</w:t>
      </w:r>
      <w:r w:rsidRPr="00AC4ECF">
        <w:rPr>
          <w:sz w:val="22"/>
          <w:szCs w:val="22"/>
        </w:rPr>
        <w:t>iou</w:t>
      </w:r>
      <w:proofErr w:type="spellEnd"/>
      <w:r w:rsidRPr="00AC4ECF">
        <w:rPr>
          <w:sz w:val="22"/>
          <w:szCs w:val="22"/>
        </w:rPr>
        <w:t xml:space="preserve"> u plodov z kontrolnej skupiny</w:t>
      </w:r>
      <w:r>
        <w:rPr>
          <w:sz w:val="22"/>
          <w:szCs w:val="22"/>
        </w:rPr>
        <w:t xml:space="preserve">. </w:t>
      </w:r>
      <w:r w:rsidRPr="00AC4ECF">
        <w:rPr>
          <w:sz w:val="22"/>
          <w:szCs w:val="22"/>
        </w:rPr>
        <w:t xml:space="preserve">Predčasne narodené králiky, ktorým bol podávaný </w:t>
      </w:r>
      <w:proofErr w:type="spellStart"/>
      <w:r w:rsidRPr="00AC4ECF">
        <w:rPr>
          <w:sz w:val="22"/>
          <w:szCs w:val="22"/>
        </w:rPr>
        <w:t>furosemid</w:t>
      </w:r>
      <w:proofErr w:type="spellEnd"/>
      <w:r w:rsidRPr="00AC4ECF">
        <w:rPr>
          <w:sz w:val="22"/>
          <w:szCs w:val="22"/>
        </w:rPr>
        <w:t xml:space="preserve">, mali vyššiu </w:t>
      </w:r>
      <w:proofErr w:type="spellStart"/>
      <w:r w:rsidRPr="00AC4ECF">
        <w:rPr>
          <w:sz w:val="22"/>
          <w:szCs w:val="22"/>
        </w:rPr>
        <w:t>incidenciu</w:t>
      </w:r>
      <w:proofErr w:type="spellEnd"/>
      <w:r w:rsidRPr="00AC4ECF">
        <w:rPr>
          <w:sz w:val="22"/>
          <w:szCs w:val="22"/>
        </w:rPr>
        <w:t xml:space="preserve"> </w:t>
      </w:r>
      <w:proofErr w:type="spellStart"/>
      <w:r w:rsidRPr="00AC4ECF">
        <w:rPr>
          <w:sz w:val="22"/>
          <w:szCs w:val="22"/>
        </w:rPr>
        <w:t>intraventrikulárnej</w:t>
      </w:r>
      <w:proofErr w:type="spellEnd"/>
      <w:r w:rsidRPr="00AC4ECF">
        <w:rPr>
          <w:sz w:val="22"/>
          <w:szCs w:val="22"/>
        </w:rPr>
        <w:t xml:space="preserve"> </w:t>
      </w:r>
      <w:proofErr w:type="spellStart"/>
      <w:r w:rsidRPr="00AC4ECF">
        <w:rPr>
          <w:sz w:val="22"/>
          <w:szCs w:val="22"/>
        </w:rPr>
        <w:t>hemor</w:t>
      </w:r>
      <w:r w:rsidR="0060651D">
        <w:rPr>
          <w:sz w:val="22"/>
          <w:szCs w:val="22"/>
        </w:rPr>
        <w:t>á</w:t>
      </w:r>
      <w:r w:rsidRPr="00AC4ECF">
        <w:rPr>
          <w:sz w:val="22"/>
          <w:szCs w:val="22"/>
        </w:rPr>
        <w:t>gie</w:t>
      </w:r>
      <w:proofErr w:type="spellEnd"/>
      <w:r w:rsidRPr="00AC4ECF">
        <w:rPr>
          <w:sz w:val="22"/>
          <w:szCs w:val="22"/>
        </w:rPr>
        <w:t xml:space="preserve"> ako mláďatá </w:t>
      </w:r>
      <w:r>
        <w:rPr>
          <w:sz w:val="22"/>
          <w:szCs w:val="22"/>
        </w:rPr>
        <w:t>liečené</w:t>
      </w:r>
      <w:r w:rsidRPr="00AC4ECF">
        <w:rPr>
          <w:sz w:val="22"/>
          <w:szCs w:val="22"/>
        </w:rPr>
        <w:t xml:space="preserve"> fyziologickým roztokom, pravdepodobne následkom </w:t>
      </w:r>
      <w:proofErr w:type="spellStart"/>
      <w:r w:rsidRPr="00AC4ECF">
        <w:rPr>
          <w:sz w:val="22"/>
          <w:szCs w:val="22"/>
        </w:rPr>
        <w:t>furosemidom</w:t>
      </w:r>
      <w:proofErr w:type="spellEnd"/>
      <w:r w:rsidRPr="00AC4ECF">
        <w:rPr>
          <w:sz w:val="22"/>
          <w:szCs w:val="22"/>
        </w:rPr>
        <w:t xml:space="preserve"> indukovanej </w:t>
      </w:r>
      <w:proofErr w:type="spellStart"/>
      <w:r w:rsidRPr="00AC4ECF">
        <w:rPr>
          <w:sz w:val="22"/>
          <w:szCs w:val="22"/>
        </w:rPr>
        <w:t>intrakraniálnej</w:t>
      </w:r>
      <w:proofErr w:type="spellEnd"/>
      <w:r w:rsidRPr="00AC4ECF">
        <w:rPr>
          <w:sz w:val="22"/>
          <w:szCs w:val="22"/>
        </w:rPr>
        <w:t xml:space="preserve"> hypotenzie.</w:t>
      </w:r>
    </w:p>
    <w:p w:rsidR="00BB7B2E" w:rsidRDefault="00BB7B2E" w:rsidP="00BB7B2E">
      <w:pPr>
        <w:jc w:val="both"/>
        <w:rPr>
          <w:sz w:val="22"/>
          <w:szCs w:val="22"/>
        </w:rPr>
      </w:pPr>
    </w:p>
    <w:p w:rsidR="00AC4ECF" w:rsidRPr="00A816DE" w:rsidRDefault="00AC4ECF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numPr>
          <w:ilvl w:val="0"/>
          <w:numId w:val="2"/>
        </w:numPr>
        <w:tabs>
          <w:tab w:val="left" w:pos="720"/>
        </w:tabs>
        <w:ind w:hanging="72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FARMACEUTICKÉ INFORMÁCIE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6.1</w:t>
      </w:r>
      <w:r w:rsidRPr="00A816DE">
        <w:rPr>
          <w:b/>
          <w:sz w:val="22"/>
          <w:szCs w:val="22"/>
        </w:rPr>
        <w:tab/>
        <w:t>Zoznam pomocných látok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AC4ECF" w:rsidRPr="00A816DE" w:rsidRDefault="00AC4ECF" w:rsidP="00AC4EC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A816DE">
        <w:rPr>
          <w:sz w:val="22"/>
          <w:szCs w:val="22"/>
        </w:rPr>
        <w:t xml:space="preserve">ydroxid sodný </w:t>
      </w:r>
      <w:r>
        <w:rPr>
          <w:sz w:val="22"/>
          <w:szCs w:val="22"/>
        </w:rPr>
        <w:t>(na úpravu pH)</w:t>
      </w:r>
    </w:p>
    <w:p w:rsidR="00BB7B2E" w:rsidRPr="00A816DE" w:rsidRDefault="00DC6AF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B7B2E" w:rsidRPr="00A816DE">
        <w:rPr>
          <w:sz w:val="22"/>
          <w:szCs w:val="22"/>
        </w:rPr>
        <w:t>hlorid sodný</w:t>
      </w:r>
    </w:p>
    <w:p w:rsidR="00BB7B2E" w:rsidRPr="00A816DE" w:rsidRDefault="00AC4ECF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kyselina chlorovodíková, koncentrovaná (na úpravu pH)</w:t>
      </w:r>
    </w:p>
    <w:p w:rsidR="00BB7B2E" w:rsidRPr="00A816DE" w:rsidRDefault="00DC6AF9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B7B2E" w:rsidRPr="00A816DE">
        <w:rPr>
          <w:sz w:val="22"/>
          <w:szCs w:val="22"/>
        </w:rPr>
        <w:t>oda na injekci</w:t>
      </w:r>
      <w:r w:rsidR="002520D6">
        <w:rPr>
          <w:sz w:val="22"/>
          <w:szCs w:val="22"/>
        </w:rPr>
        <w:t>u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6.2</w:t>
      </w:r>
      <w:r w:rsidRPr="00A816DE">
        <w:rPr>
          <w:b/>
          <w:sz w:val="22"/>
          <w:szCs w:val="22"/>
        </w:rPr>
        <w:tab/>
        <w:t>Inkompatibility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proofErr w:type="spellStart"/>
      <w:r w:rsidRPr="00A816DE">
        <w:rPr>
          <w:sz w:val="22"/>
          <w:szCs w:val="22"/>
        </w:rPr>
        <w:t>Furosemid</w:t>
      </w:r>
      <w:proofErr w:type="spellEnd"/>
      <w:r w:rsidRPr="00A816DE">
        <w:rPr>
          <w:sz w:val="22"/>
          <w:szCs w:val="22"/>
        </w:rPr>
        <w:t xml:space="preserve"> sa nesmie miešať s roztokmi silných kyslín (pH nižšie ako 5,5), ako sú roztoky obsahujúce kyselinu askorbovú, noradrenalín a adrenalín </w:t>
      </w:r>
      <w:r w:rsidR="00AC4ECF">
        <w:rPr>
          <w:sz w:val="22"/>
          <w:szCs w:val="22"/>
        </w:rPr>
        <w:t>pre</w:t>
      </w:r>
      <w:r w:rsidRPr="00A816DE">
        <w:rPr>
          <w:sz w:val="22"/>
          <w:szCs w:val="22"/>
        </w:rPr>
        <w:t xml:space="preserve"> rizik</w:t>
      </w:r>
      <w:r w:rsidR="00AC4ECF">
        <w:rPr>
          <w:sz w:val="22"/>
          <w:szCs w:val="22"/>
        </w:rPr>
        <w:t>o</w:t>
      </w:r>
      <w:r w:rsidRPr="00A816DE">
        <w:rPr>
          <w:sz w:val="22"/>
          <w:szCs w:val="22"/>
        </w:rPr>
        <w:t xml:space="preserve"> precipitácie.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>Tento liek sa nesmie miešať s inými liekmi okrem tých, ktoré sú uvedené v časti 6.6.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6.3</w:t>
      </w:r>
      <w:r w:rsidRPr="00A816DE">
        <w:rPr>
          <w:b/>
          <w:sz w:val="22"/>
          <w:szCs w:val="22"/>
        </w:rPr>
        <w:tab/>
        <w:t>Čas použiteľnosti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BB7B2E" w:rsidRPr="00A816DE" w:rsidRDefault="00AC4ECF" w:rsidP="00BB7B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Čas použiteľnosti hotového lieku: 2 roky.</w:t>
      </w:r>
    </w:p>
    <w:p w:rsidR="00BB7B2E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 xml:space="preserve">Po prvom otvorení: </w:t>
      </w:r>
      <w:r>
        <w:rPr>
          <w:sz w:val="22"/>
          <w:szCs w:val="22"/>
        </w:rPr>
        <w:t>Po otvorení sa</w:t>
      </w:r>
      <w:r w:rsidRPr="001D50F2">
        <w:rPr>
          <w:sz w:val="22"/>
          <w:szCs w:val="22"/>
        </w:rPr>
        <w:t xml:space="preserve"> liek </w:t>
      </w:r>
      <w:r w:rsidR="00AC4ECF">
        <w:rPr>
          <w:sz w:val="22"/>
          <w:szCs w:val="22"/>
        </w:rPr>
        <w:t>má</w:t>
      </w:r>
      <w:r w:rsidRPr="001D50F2">
        <w:rPr>
          <w:sz w:val="22"/>
          <w:szCs w:val="22"/>
        </w:rPr>
        <w:t xml:space="preserve"> ihneď použiť.</w:t>
      </w:r>
    </w:p>
    <w:p w:rsidR="00F32C03" w:rsidRPr="001D50F2" w:rsidRDefault="00F32C03" w:rsidP="00BB7B2E">
      <w:pPr>
        <w:jc w:val="both"/>
        <w:rPr>
          <w:sz w:val="22"/>
          <w:szCs w:val="22"/>
        </w:rPr>
      </w:pPr>
    </w:p>
    <w:p w:rsidR="00F32C03" w:rsidRDefault="00BB7B2E" w:rsidP="00BB7B2E">
      <w:pPr>
        <w:jc w:val="both"/>
        <w:rPr>
          <w:sz w:val="22"/>
          <w:szCs w:val="22"/>
        </w:rPr>
      </w:pPr>
      <w:r w:rsidRPr="009C4AF1">
        <w:rPr>
          <w:sz w:val="22"/>
          <w:szCs w:val="22"/>
        </w:rPr>
        <w:t xml:space="preserve">Po zriedení: Chemická a fyzikálna stabilita bola dokázaná na </w:t>
      </w:r>
      <w:r w:rsidR="00F32C03">
        <w:rPr>
          <w:sz w:val="22"/>
          <w:szCs w:val="22"/>
        </w:rPr>
        <w:t>48</w:t>
      </w:r>
      <w:r w:rsidRPr="009C4AF1">
        <w:rPr>
          <w:sz w:val="22"/>
          <w:szCs w:val="22"/>
        </w:rPr>
        <w:t xml:space="preserve"> hodín pri 25</w:t>
      </w:r>
      <w:r w:rsidR="00F32C03">
        <w:rPr>
          <w:sz w:val="22"/>
          <w:szCs w:val="22"/>
        </w:rPr>
        <w:t> </w:t>
      </w:r>
      <w:r w:rsidRPr="009C4AF1">
        <w:rPr>
          <w:sz w:val="22"/>
          <w:szCs w:val="22"/>
        </w:rPr>
        <w:t xml:space="preserve">ºC </w:t>
      </w:r>
      <w:r w:rsidR="00F32C03">
        <w:rPr>
          <w:sz w:val="22"/>
          <w:szCs w:val="22"/>
        </w:rPr>
        <w:t>a pri 2 až 8 </w:t>
      </w:r>
      <w:r w:rsidR="00F32C03" w:rsidRPr="009C4AF1">
        <w:rPr>
          <w:sz w:val="22"/>
          <w:szCs w:val="22"/>
        </w:rPr>
        <w:t xml:space="preserve">ºC </w:t>
      </w:r>
      <w:r w:rsidR="00F32C03">
        <w:rPr>
          <w:sz w:val="22"/>
          <w:szCs w:val="22"/>
        </w:rPr>
        <w:t>za</w:t>
      </w:r>
      <w:r w:rsidRPr="009C4AF1">
        <w:rPr>
          <w:sz w:val="22"/>
          <w:szCs w:val="22"/>
        </w:rPr>
        <w:t xml:space="preserve"> ochran</w:t>
      </w:r>
      <w:r w:rsidR="00F32C03">
        <w:rPr>
          <w:sz w:val="22"/>
          <w:szCs w:val="22"/>
        </w:rPr>
        <w:t>y</w:t>
      </w:r>
      <w:r w:rsidRPr="009C4AF1">
        <w:rPr>
          <w:sz w:val="22"/>
          <w:szCs w:val="22"/>
        </w:rPr>
        <w:t xml:space="preserve"> pred svetlom.</w:t>
      </w:r>
      <w:r w:rsidRPr="004D5892">
        <w:rPr>
          <w:sz w:val="22"/>
          <w:szCs w:val="22"/>
        </w:rPr>
        <w:t xml:space="preserve"> </w:t>
      </w:r>
    </w:p>
    <w:p w:rsidR="00F32C03" w:rsidRDefault="00F32C03" w:rsidP="00BB7B2E">
      <w:pPr>
        <w:jc w:val="both"/>
        <w:rPr>
          <w:sz w:val="22"/>
          <w:szCs w:val="22"/>
        </w:rPr>
      </w:pPr>
    </w:p>
    <w:p w:rsidR="00BB7B2E" w:rsidRPr="009C4AF1" w:rsidRDefault="00BB7B2E" w:rsidP="00BB7B2E">
      <w:pPr>
        <w:jc w:val="both"/>
        <w:rPr>
          <w:sz w:val="22"/>
          <w:szCs w:val="22"/>
        </w:rPr>
      </w:pPr>
      <w:r w:rsidRPr="004D5892">
        <w:rPr>
          <w:sz w:val="22"/>
          <w:szCs w:val="22"/>
        </w:rPr>
        <w:t>Z mikrobiologického hľadiska</w:t>
      </w:r>
      <w:r w:rsidRPr="00AF1232">
        <w:rPr>
          <w:sz w:val="22"/>
          <w:szCs w:val="22"/>
        </w:rPr>
        <w:t xml:space="preserve"> sa </w:t>
      </w:r>
      <w:r w:rsidR="00F32C03">
        <w:rPr>
          <w:sz w:val="22"/>
          <w:szCs w:val="22"/>
        </w:rPr>
        <w:t>má</w:t>
      </w:r>
      <w:r w:rsidRPr="00AF1232">
        <w:rPr>
          <w:sz w:val="22"/>
          <w:szCs w:val="22"/>
        </w:rPr>
        <w:t xml:space="preserve"> </w:t>
      </w:r>
      <w:r w:rsidRPr="003F5FC9">
        <w:rPr>
          <w:sz w:val="22"/>
          <w:szCs w:val="22"/>
        </w:rPr>
        <w:t xml:space="preserve">liek </w:t>
      </w:r>
      <w:r w:rsidR="00F32C03">
        <w:rPr>
          <w:sz w:val="22"/>
          <w:szCs w:val="22"/>
        </w:rPr>
        <w:t>ihneď</w:t>
      </w:r>
      <w:r w:rsidRPr="003F5FC9">
        <w:rPr>
          <w:sz w:val="22"/>
          <w:szCs w:val="22"/>
        </w:rPr>
        <w:t xml:space="preserve"> použiť. Ak sa </w:t>
      </w:r>
      <w:r w:rsidR="00F32C03">
        <w:rPr>
          <w:sz w:val="22"/>
          <w:szCs w:val="22"/>
        </w:rPr>
        <w:t>ihneď</w:t>
      </w:r>
      <w:r w:rsidRPr="003F5FC9">
        <w:rPr>
          <w:sz w:val="22"/>
          <w:szCs w:val="22"/>
        </w:rPr>
        <w:t xml:space="preserve"> nepoužije, potom čas a podmienky </w:t>
      </w:r>
      <w:r w:rsidR="007D19DC">
        <w:rPr>
          <w:sz w:val="22"/>
          <w:szCs w:val="22"/>
        </w:rPr>
        <w:t>uchovávania</w:t>
      </w:r>
      <w:r w:rsidRPr="003F5FC9">
        <w:rPr>
          <w:sz w:val="22"/>
          <w:szCs w:val="22"/>
        </w:rPr>
        <w:t xml:space="preserve"> pred použitím sú </w:t>
      </w:r>
      <w:r w:rsidRPr="00A816DE">
        <w:rPr>
          <w:sz w:val="22"/>
          <w:szCs w:val="22"/>
        </w:rPr>
        <w:t>na zodpovednosti používateľa a obyčajne nemajú byť dlhšie ako 24 hodín pri 2 až 8</w:t>
      </w:r>
      <w:r w:rsidR="00F32C03">
        <w:rPr>
          <w:sz w:val="22"/>
          <w:szCs w:val="22"/>
        </w:rPr>
        <w:t> </w:t>
      </w:r>
      <w:r w:rsidRPr="00A816DE">
        <w:rPr>
          <w:sz w:val="22"/>
          <w:szCs w:val="22"/>
        </w:rPr>
        <w:t xml:space="preserve">ºC, pokiaľ sa zriedenie </w:t>
      </w:r>
      <w:r>
        <w:rPr>
          <w:sz w:val="22"/>
          <w:szCs w:val="22"/>
        </w:rPr>
        <w:t>ne</w:t>
      </w:r>
      <w:r w:rsidRPr="001D50F2">
        <w:rPr>
          <w:sz w:val="22"/>
          <w:szCs w:val="22"/>
        </w:rPr>
        <w:t xml:space="preserve">uskutočnilo </w:t>
      </w:r>
      <w:r w:rsidR="00F32C03">
        <w:rPr>
          <w:sz w:val="22"/>
          <w:szCs w:val="22"/>
        </w:rPr>
        <w:t xml:space="preserve">za </w:t>
      </w:r>
      <w:r w:rsidRPr="009C4AF1">
        <w:rPr>
          <w:sz w:val="22"/>
          <w:szCs w:val="22"/>
        </w:rPr>
        <w:t>kontrolovaných a validovaných aseptických podmien</w:t>
      </w:r>
      <w:r w:rsidR="00F32C03">
        <w:rPr>
          <w:sz w:val="22"/>
          <w:szCs w:val="22"/>
        </w:rPr>
        <w:t>o</w:t>
      </w:r>
      <w:r w:rsidRPr="009C4AF1">
        <w:rPr>
          <w:sz w:val="22"/>
          <w:szCs w:val="22"/>
        </w:rPr>
        <w:t>k.</w:t>
      </w:r>
    </w:p>
    <w:p w:rsidR="00BB7B2E" w:rsidRPr="004D5892" w:rsidRDefault="00BB7B2E" w:rsidP="00BB7B2E">
      <w:pPr>
        <w:jc w:val="both"/>
        <w:rPr>
          <w:b/>
          <w:sz w:val="22"/>
          <w:szCs w:val="22"/>
        </w:rPr>
      </w:pPr>
    </w:p>
    <w:p w:rsidR="00BB7B2E" w:rsidRPr="003F5FC9" w:rsidRDefault="00BB7B2E" w:rsidP="00BB7B2E">
      <w:pPr>
        <w:jc w:val="both"/>
        <w:rPr>
          <w:b/>
          <w:sz w:val="22"/>
          <w:szCs w:val="22"/>
        </w:rPr>
      </w:pPr>
      <w:r w:rsidRPr="00AF1232">
        <w:rPr>
          <w:b/>
          <w:sz w:val="22"/>
          <w:szCs w:val="22"/>
        </w:rPr>
        <w:t>6.4</w:t>
      </w:r>
      <w:r w:rsidRPr="003F5FC9">
        <w:rPr>
          <w:b/>
          <w:sz w:val="22"/>
          <w:szCs w:val="22"/>
        </w:rPr>
        <w:tab/>
        <w:t>Špeciálne upozornenia na uchovávanie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F32C03" w:rsidRDefault="00F32C03" w:rsidP="00BB7B2E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Tento liek nevyžaduje žiadne špeciálne </w:t>
      </w:r>
      <w:r w:rsidRPr="00A662CF">
        <w:rPr>
          <w:noProof/>
          <w:sz w:val="22"/>
          <w:szCs w:val="22"/>
        </w:rPr>
        <w:t>teplotné</w:t>
      </w:r>
      <w:r>
        <w:rPr>
          <w:noProof/>
          <w:sz w:val="22"/>
          <w:szCs w:val="22"/>
        </w:rPr>
        <w:t xml:space="preserve"> podmienky na uchovávanie.</w:t>
      </w:r>
    </w:p>
    <w:p w:rsidR="00F32C03" w:rsidRPr="001D50F2" w:rsidRDefault="00F32C03" w:rsidP="00F32C03">
      <w:pPr>
        <w:jc w:val="both"/>
        <w:rPr>
          <w:sz w:val="22"/>
          <w:szCs w:val="22"/>
        </w:rPr>
      </w:pPr>
      <w:r w:rsidRPr="00852161">
        <w:rPr>
          <w:sz w:val="22"/>
          <w:szCs w:val="22"/>
        </w:rPr>
        <w:t>Uchovávajte a</w:t>
      </w:r>
      <w:r w:rsidRPr="001D2A46">
        <w:rPr>
          <w:sz w:val="22"/>
          <w:szCs w:val="22"/>
        </w:rPr>
        <w:t>mpulky</w:t>
      </w:r>
      <w:r w:rsidRPr="00EB5BCD">
        <w:rPr>
          <w:sz w:val="22"/>
          <w:szCs w:val="22"/>
        </w:rPr>
        <w:t xml:space="preserve"> </w:t>
      </w:r>
      <w:r w:rsidRPr="00CD66B0">
        <w:rPr>
          <w:sz w:val="22"/>
          <w:szCs w:val="22"/>
        </w:rPr>
        <w:t>vo vonkajšom obale</w:t>
      </w:r>
      <w:r w:rsidRPr="001D50F2">
        <w:rPr>
          <w:sz w:val="22"/>
          <w:szCs w:val="22"/>
        </w:rPr>
        <w:t xml:space="preserve"> na ochranu pred svetlom.</w:t>
      </w:r>
      <w:r>
        <w:rPr>
          <w:sz w:val="22"/>
          <w:szCs w:val="22"/>
        </w:rPr>
        <w:t xml:space="preserve"> </w:t>
      </w:r>
      <w:r w:rsidRPr="00483856">
        <w:rPr>
          <w:noProof/>
          <w:sz w:val="22"/>
          <w:szCs w:val="22"/>
        </w:rPr>
        <w:t>Neuchovávajte v mrazničke.</w:t>
      </w:r>
    </w:p>
    <w:p w:rsidR="00BB7B2E" w:rsidRPr="009C4AF1" w:rsidRDefault="00BB7B2E" w:rsidP="00BB7B2E">
      <w:pPr>
        <w:jc w:val="both"/>
        <w:rPr>
          <w:sz w:val="22"/>
          <w:szCs w:val="22"/>
        </w:rPr>
      </w:pPr>
      <w:r w:rsidRPr="009C4AF1">
        <w:rPr>
          <w:sz w:val="22"/>
          <w:szCs w:val="22"/>
        </w:rPr>
        <w:t>Podmienky uchovávania zriedeného lieku, pozri časť 6.3.</w:t>
      </w:r>
    </w:p>
    <w:p w:rsidR="00BB7B2E" w:rsidRPr="004D5892" w:rsidRDefault="00BB7B2E" w:rsidP="00BB7B2E">
      <w:pPr>
        <w:jc w:val="both"/>
        <w:rPr>
          <w:sz w:val="22"/>
          <w:szCs w:val="22"/>
        </w:rPr>
      </w:pPr>
    </w:p>
    <w:p w:rsidR="00BB7B2E" w:rsidRPr="003F5FC9" w:rsidRDefault="00BB7B2E" w:rsidP="00BB7B2E">
      <w:pPr>
        <w:jc w:val="both"/>
        <w:rPr>
          <w:sz w:val="22"/>
          <w:szCs w:val="22"/>
        </w:rPr>
      </w:pPr>
      <w:r w:rsidRPr="00AF1232">
        <w:rPr>
          <w:b/>
          <w:sz w:val="22"/>
          <w:szCs w:val="22"/>
        </w:rPr>
        <w:t>6.5</w:t>
      </w:r>
      <w:r w:rsidRPr="003F5FC9">
        <w:rPr>
          <w:b/>
          <w:sz w:val="22"/>
          <w:szCs w:val="22"/>
        </w:rPr>
        <w:tab/>
        <w:t>Druh obalu a obsah balenia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F32C03" w:rsidRPr="00F32C03" w:rsidRDefault="00083A4E" w:rsidP="00065809">
      <w:pPr>
        <w:shd w:val="clear" w:color="auto" w:fill="FFFFFF"/>
        <w:suppressAutoHyphens w:val="0"/>
        <w:spacing w:line="233" w:lineRule="atLeast"/>
        <w:rPr>
          <w:sz w:val="22"/>
          <w:szCs w:val="22"/>
        </w:rPr>
      </w:pPr>
      <w:r>
        <w:rPr>
          <w:sz w:val="22"/>
          <w:szCs w:val="22"/>
        </w:rPr>
        <w:t>Žltohnedé</w:t>
      </w:r>
      <w:r w:rsidR="00F32C03" w:rsidRPr="00F32C03">
        <w:rPr>
          <w:sz w:val="22"/>
          <w:szCs w:val="22"/>
        </w:rPr>
        <w:t xml:space="preserve"> sklenené </w:t>
      </w:r>
      <w:r w:rsidR="00065809">
        <w:rPr>
          <w:sz w:val="22"/>
          <w:szCs w:val="22"/>
        </w:rPr>
        <w:t xml:space="preserve">(typ I) </w:t>
      </w:r>
      <w:r w:rsidR="00F32C03" w:rsidRPr="00F32C03">
        <w:rPr>
          <w:sz w:val="22"/>
          <w:szCs w:val="22"/>
        </w:rPr>
        <w:t>ampulky</w:t>
      </w:r>
      <w:r w:rsidR="00065809">
        <w:rPr>
          <w:sz w:val="22"/>
          <w:szCs w:val="22"/>
        </w:rPr>
        <w:t xml:space="preserve"> obsahujúce 2 ml alebo 5 ml roztoku.</w:t>
      </w:r>
    </w:p>
    <w:p w:rsidR="00F32C03" w:rsidRDefault="00F32C03" w:rsidP="00065809">
      <w:pPr>
        <w:suppressAutoHyphens w:val="0"/>
        <w:rPr>
          <w:lang w:eastAsia="sk-SK"/>
        </w:rPr>
      </w:pPr>
    </w:p>
    <w:p w:rsidR="00065809" w:rsidRPr="00A662CF" w:rsidRDefault="00065809" w:rsidP="00065809">
      <w:pPr>
        <w:suppressAutoHyphens w:val="0"/>
        <w:rPr>
          <w:sz w:val="22"/>
          <w:szCs w:val="22"/>
          <w:lang w:eastAsia="sk-SK"/>
        </w:rPr>
      </w:pPr>
      <w:r w:rsidRPr="00A662CF">
        <w:rPr>
          <w:sz w:val="22"/>
          <w:szCs w:val="22"/>
          <w:lang w:eastAsia="sk-SK"/>
        </w:rPr>
        <w:t>Veľkosti balenia:</w:t>
      </w:r>
    </w:p>
    <w:p w:rsidR="00065809" w:rsidRPr="00A662CF" w:rsidRDefault="00065809" w:rsidP="00065809">
      <w:pPr>
        <w:suppressAutoHyphens w:val="0"/>
        <w:rPr>
          <w:sz w:val="22"/>
          <w:szCs w:val="22"/>
          <w:lang w:eastAsia="sk-SK"/>
        </w:rPr>
      </w:pPr>
      <w:r w:rsidRPr="00A662CF">
        <w:rPr>
          <w:sz w:val="22"/>
          <w:szCs w:val="22"/>
          <w:lang w:eastAsia="sk-SK"/>
        </w:rPr>
        <w:t>2 ml ampulka. Každé balenie obsahuje 10 alebo 25 ampuliek.</w:t>
      </w:r>
    </w:p>
    <w:p w:rsidR="00065809" w:rsidRPr="00A662CF" w:rsidRDefault="00065809" w:rsidP="00065809">
      <w:pPr>
        <w:suppressAutoHyphens w:val="0"/>
        <w:rPr>
          <w:sz w:val="22"/>
          <w:szCs w:val="22"/>
          <w:lang w:eastAsia="sk-SK"/>
        </w:rPr>
      </w:pPr>
      <w:r w:rsidRPr="00A662CF">
        <w:rPr>
          <w:sz w:val="22"/>
          <w:szCs w:val="22"/>
          <w:lang w:eastAsia="sk-SK"/>
        </w:rPr>
        <w:t>5 ml ampulka. Každé balenie obsahuje 10 alebo 25 ampuliek.</w:t>
      </w:r>
    </w:p>
    <w:p w:rsidR="00F32C03" w:rsidRDefault="00F32C03" w:rsidP="00F32C03">
      <w:pPr>
        <w:suppressAutoHyphens w:val="0"/>
        <w:rPr>
          <w:lang w:eastAsia="sk-SK"/>
        </w:rPr>
      </w:pPr>
    </w:p>
    <w:p w:rsidR="00065809" w:rsidRPr="00A662CF" w:rsidRDefault="00065809" w:rsidP="00F32C03">
      <w:pPr>
        <w:suppressAutoHyphens w:val="0"/>
        <w:rPr>
          <w:sz w:val="22"/>
          <w:szCs w:val="22"/>
          <w:lang w:eastAsia="sk-SK"/>
        </w:rPr>
      </w:pPr>
      <w:r w:rsidRPr="00A662CF">
        <w:rPr>
          <w:sz w:val="22"/>
          <w:szCs w:val="22"/>
          <w:lang w:eastAsia="sk-SK"/>
        </w:rPr>
        <w:t>Na trh nemusia byť uvedené všetky veľkosti balenia.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6.6</w:t>
      </w:r>
      <w:r w:rsidRPr="00A816DE">
        <w:rPr>
          <w:b/>
          <w:sz w:val="22"/>
          <w:szCs w:val="22"/>
        </w:rPr>
        <w:tab/>
        <w:t>Špeciálne opatrenia na likvidáciu a iné zaobchádzanie s liekom</w:t>
      </w:r>
    </w:p>
    <w:p w:rsidR="00BB7B2E" w:rsidRPr="00A816DE" w:rsidRDefault="00BB7B2E" w:rsidP="00BB7B2E">
      <w:pPr>
        <w:jc w:val="both"/>
        <w:rPr>
          <w:b/>
          <w:sz w:val="22"/>
          <w:szCs w:val="22"/>
        </w:rPr>
      </w:pPr>
    </w:p>
    <w:p w:rsidR="00BB7B2E" w:rsidRPr="00A816DE" w:rsidRDefault="00BB7B2E" w:rsidP="00BB7B2E">
      <w:pPr>
        <w:jc w:val="both"/>
        <w:rPr>
          <w:sz w:val="22"/>
          <w:szCs w:val="22"/>
        </w:rPr>
      </w:pPr>
      <w:proofErr w:type="spellStart"/>
      <w:r w:rsidRPr="00A816DE">
        <w:rPr>
          <w:sz w:val="22"/>
          <w:szCs w:val="22"/>
        </w:rPr>
        <w:t>Furosemid</w:t>
      </w:r>
      <w:proofErr w:type="spellEnd"/>
      <w:r w:rsidRPr="00A816DE">
        <w:rPr>
          <w:sz w:val="22"/>
          <w:szCs w:val="22"/>
        </w:rPr>
        <w:t xml:space="preserve"> </w:t>
      </w:r>
      <w:r w:rsidR="00065809">
        <w:rPr>
          <w:sz w:val="22"/>
          <w:szCs w:val="22"/>
        </w:rPr>
        <w:t>10 mg/ml injekčný/</w:t>
      </w:r>
      <w:proofErr w:type="spellStart"/>
      <w:r w:rsidR="00065809">
        <w:rPr>
          <w:sz w:val="22"/>
          <w:szCs w:val="22"/>
        </w:rPr>
        <w:t>infúzny</w:t>
      </w:r>
      <w:proofErr w:type="spellEnd"/>
      <w:r w:rsidR="00065809">
        <w:rPr>
          <w:sz w:val="22"/>
          <w:szCs w:val="22"/>
        </w:rPr>
        <w:t xml:space="preserve"> roztok </w:t>
      </w:r>
      <w:r w:rsidRPr="00A816DE">
        <w:rPr>
          <w:sz w:val="22"/>
          <w:szCs w:val="22"/>
        </w:rPr>
        <w:t>sa môže miešať s neutrálnym a slabo zásaditým roztokom s pH medzi 7 a 10, ako je 0,9</w:t>
      </w:r>
      <w:r w:rsidR="00065809">
        <w:rPr>
          <w:sz w:val="22"/>
          <w:szCs w:val="22"/>
        </w:rPr>
        <w:t> </w:t>
      </w:r>
      <w:r w:rsidRPr="00A816DE">
        <w:rPr>
          <w:sz w:val="22"/>
          <w:szCs w:val="22"/>
        </w:rPr>
        <w:t>% roztok chloridu sodného a</w:t>
      </w:r>
      <w:r w:rsidR="00065809">
        <w:rPr>
          <w:sz w:val="22"/>
          <w:szCs w:val="22"/>
        </w:rPr>
        <w:t> </w:t>
      </w:r>
      <w:proofErr w:type="spellStart"/>
      <w:r w:rsidRPr="00A816DE">
        <w:rPr>
          <w:sz w:val="22"/>
          <w:szCs w:val="22"/>
        </w:rPr>
        <w:t>Ringerov</w:t>
      </w:r>
      <w:proofErr w:type="spellEnd"/>
      <w:r w:rsidRPr="00A816DE">
        <w:rPr>
          <w:sz w:val="22"/>
          <w:szCs w:val="22"/>
        </w:rPr>
        <w:t xml:space="preserve"> roztok</w:t>
      </w:r>
      <w:r w:rsidR="004D0FEE">
        <w:rPr>
          <w:sz w:val="22"/>
          <w:szCs w:val="22"/>
        </w:rPr>
        <w:t xml:space="preserve"> s </w:t>
      </w:r>
      <w:proofErr w:type="spellStart"/>
      <w:r w:rsidR="004D0FEE">
        <w:rPr>
          <w:sz w:val="22"/>
          <w:szCs w:val="22"/>
        </w:rPr>
        <w:t>mliečnanom</w:t>
      </w:r>
      <w:proofErr w:type="spellEnd"/>
      <w:r w:rsidR="00065809">
        <w:rPr>
          <w:sz w:val="22"/>
          <w:szCs w:val="22"/>
        </w:rPr>
        <w:t xml:space="preserve"> vo vakoch, ktoré nie sú z PVC.</w:t>
      </w:r>
    </w:p>
    <w:p w:rsidR="00065809" w:rsidRDefault="00065809" w:rsidP="00065809">
      <w:pPr>
        <w:jc w:val="both"/>
        <w:rPr>
          <w:noProof/>
          <w:sz w:val="22"/>
          <w:szCs w:val="22"/>
        </w:rPr>
      </w:pPr>
      <w:r w:rsidRPr="004D5892">
        <w:rPr>
          <w:sz w:val="22"/>
          <w:szCs w:val="22"/>
        </w:rPr>
        <w:t>Všetok nepoužitý liek alebo odpad vzniknutý z lieku sa má zlikvidovať v súlade s národnými požiadavkami</w:t>
      </w:r>
      <w:r>
        <w:rPr>
          <w:sz w:val="22"/>
          <w:szCs w:val="22"/>
        </w:rPr>
        <w:t>.</w:t>
      </w:r>
    </w:p>
    <w:p w:rsidR="00BB7B2E" w:rsidRPr="00A816DE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 xml:space="preserve">Liek obsahujúci viditeľné častice sa nesmie používať. </w:t>
      </w:r>
    </w:p>
    <w:p w:rsidR="00BB7B2E" w:rsidRPr="00D5510D" w:rsidRDefault="00BB7B2E" w:rsidP="00BB7B2E">
      <w:pPr>
        <w:jc w:val="both"/>
        <w:rPr>
          <w:sz w:val="22"/>
          <w:szCs w:val="22"/>
        </w:rPr>
      </w:pPr>
      <w:r w:rsidRPr="00A816DE">
        <w:rPr>
          <w:sz w:val="22"/>
          <w:szCs w:val="22"/>
        </w:rPr>
        <w:t>Len na jednorazové použitie, akýkoľvek zvyš</w:t>
      </w:r>
      <w:r>
        <w:rPr>
          <w:sz w:val="22"/>
          <w:szCs w:val="22"/>
        </w:rPr>
        <w:t>ný</w:t>
      </w:r>
      <w:r w:rsidRPr="00D5510D">
        <w:rPr>
          <w:sz w:val="22"/>
          <w:szCs w:val="22"/>
        </w:rPr>
        <w:t xml:space="preserve"> roztok sa po použití musí zlikvidovať.</w:t>
      </w:r>
    </w:p>
    <w:p w:rsidR="00BB7B2E" w:rsidRDefault="00065809" w:rsidP="00BB7B2E">
      <w:pPr>
        <w:jc w:val="both"/>
        <w:rPr>
          <w:sz w:val="22"/>
          <w:szCs w:val="22"/>
        </w:rPr>
      </w:pPr>
      <w:proofErr w:type="spellStart"/>
      <w:r w:rsidRPr="00A816DE">
        <w:rPr>
          <w:sz w:val="22"/>
          <w:szCs w:val="22"/>
        </w:rPr>
        <w:t>Furosemid</w:t>
      </w:r>
      <w:proofErr w:type="spellEnd"/>
      <w:r w:rsidRPr="00A816DE">
        <w:rPr>
          <w:sz w:val="22"/>
          <w:szCs w:val="22"/>
        </w:rPr>
        <w:t xml:space="preserve"> </w:t>
      </w:r>
      <w:r>
        <w:rPr>
          <w:sz w:val="22"/>
          <w:szCs w:val="22"/>
        </w:rPr>
        <w:t>10 mg/ml injekčný/</w:t>
      </w:r>
      <w:proofErr w:type="spellStart"/>
      <w:r>
        <w:rPr>
          <w:sz w:val="22"/>
          <w:szCs w:val="22"/>
        </w:rPr>
        <w:t>infúzny</w:t>
      </w:r>
      <w:proofErr w:type="spellEnd"/>
      <w:r>
        <w:rPr>
          <w:sz w:val="22"/>
          <w:szCs w:val="22"/>
        </w:rPr>
        <w:t xml:space="preserve"> roztok </w:t>
      </w:r>
      <w:r w:rsidRPr="00A816DE">
        <w:rPr>
          <w:sz w:val="22"/>
          <w:szCs w:val="22"/>
        </w:rPr>
        <w:t xml:space="preserve">sa </w:t>
      </w:r>
      <w:r>
        <w:rPr>
          <w:sz w:val="22"/>
          <w:szCs w:val="22"/>
        </w:rPr>
        <w:t>nesmie</w:t>
      </w:r>
      <w:r w:rsidRPr="00A816DE">
        <w:rPr>
          <w:sz w:val="22"/>
          <w:szCs w:val="22"/>
        </w:rPr>
        <w:t xml:space="preserve"> miešať</w:t>
      </w:r>
      <w:r>
        <w:rPr>
          <w:sz w:val="22"/>
          <w:szCs w:val="22"/>
        </w:rPr>
        <w:t xml:space="preserve"> s inými liekmi.</w:t>
      </w:r>
    </w:p>
    <w:p w:rsidR="00065809" w:rsidRDefault="00065809" w:rsidP="00BB7B2E">
      <w:pPr>
        <w:jc w:val="both"/>
        <w:rPr>
          <w:noProof/>
          <w:sz w:val="22"/>
          <w:szCs w:val="22"/>
        </w:rPr>
      </w:pPr>
    </w:p>
    <w:p w:rsidR="00BB7B2E" w:rsidRPr="00483856" w:rsidRDefault="00BB7B2E" w:rsidP="00BB7B2E">
      <w:pPr>
        <w:jc w:val="both"/>
        <w:rPr>
          <w:b/>
          <w:sz w:val="22"/>
          <w:szCs w:val="22"/>
        </w:rPr>
      </w:pPr>
    </w:p>
    <w:p w:rsidR="00BB7B2E" w:rsidRPr="00A608A6" w:rsidRDefault="00BB7B2E" w:rsidP="00BB7B2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A608A6">
        <w:rPr>
          <w:b/>
          <w:sz w:val="22"/>
          <w:szCs w:val="22"/>
        </w:rPr>
        <w:t>DRŽITEĽ ROZHODNUTIA O REGISTRÁCII</w:t>
      </w:r>
    </w:p>
    <w:p w:rsidR="00BB7B2E" w:rsidRPr="00852161" w:rsidRDefault="00BB7B2E" w:rsidP="00BB7B2E">
      <w:pPr>
        <w:jc w:val="both"/>
        <w:rPr>
          <w:b/>
          <w:sz w:val="22"/>
          <w:szCs w:val="22"/>
        </w:rPr>
      </w:pPr>
    </w:p>
    <w:p w:rsidR="00052F32" w:rsidRPr="00052F32" w:rsidRDefault="00052F32" w:rsidP="00052F32">
      <w:pPr>
        <w:jc w:val="both"/>
        <w:rPr>
          <w:sz w:val="22"/>
          <w:szCs w:val="22"/>
        </w:rPr>
      </w:pPr>
      <w:r w:rsidRPr="00052F32">
        <w:rPr>
          <w:sz w:val="22"/>
          <w:szCs w:val="22"/>
        </w:rPr>
        <w:t xml:space="preserve">UAB </w:t>
      </w:r>
      <w:proofErr w:type="spellStart"/>
      <w:r w:rsidRPr="00052F32">
        <w:rPr>
          <w:sz w:val="22"/>
          <w:szCs w:val="22"/>
        </w:rPr>
        <w:t>Norameda</w:t>
      </w:r>
      <w:proofErr w:type="spellEnd"/>
    </w:p>
    <w:p w:rsidR="00052F32" w:rsidRPr="00052F32" w:rsidRDefault="00052F32" w:rsidP="00052F32">
      <w:pPr>
        <w:jc w:val="both"/>
        <w:rPr>
          <w:sz w:val="22"/>
          <w:szCs w:val="22"/>
          <w:lang w:val="lt-LT"/>
        </w:rPr>
      </w:pPr>
      <w:proofErr w:type="spellStart"/>
      <w:r w:rsidRPr="00052F32">
        <w:rPr>
          <w:sz w:val="22"/>
          <w:szCs w:val="22"/>
        </w:rPr>
        <w:t>Meistr</w:t>
      </w:r>
      <w:proofErr w:type="spellEnd"/>
      <w:r w:rsidRPr="00052F32">
        <w:rPr>
          <w:sz w:val="22"/>
          <w:szCs w:val="22"/>
          <w:lang w:val="lt-LT"/>
        </w:rPr>
        <w:t>ų 8a</w:t>
      </w:r>
    </w:p>
    <w:p w:rsidR="00052F32" w:rsidRPr="00052F32" w:rsidRDefault="00052F32" w:rsidP="00052F32">
      <w:pPr>
        <w:jc w:val="both"/>
        <w:rPr>
          <w:sz w:val="22"/>
          <w:szCs w:val="22"/>
        </w:rPr>
      </w:pPr>
      <w:r w:rsidRPr="00052F32">
        <w:rPr>
          <w:sz w:val="22"/>
          <w:szCs w:val="22"/>
        </w:rPr>
        <w:t>Vilnius, LT-02189</w:t>
      </w:r>
    </w:p>
    <w:p w:rsidR="00BB7B2E" w:rsidRPr="00052F32" w:rsidRDefault="00052F32" w:rsidP="00052F32">
      <w:pPr>
        <w:jc w:val="both"/>
        <w:rPr>
          <w:b/>
          <w:sz w:val="22"/>
          <w:szCs w:val="22"/>
        </w:rPr>
      </w:pPr>
      <w:r w:rsidRPr="00052F32">
        <w:rPr>
          <w:sz w:val="22"/>
          <w:szCs w:val="22"/>
        </w:rPr>
        <w:t>Lit</w:t>
      </w:r>
      <w:r>
        <w:rPr>
          <w:sz w:val="22"/>
          <w:szCs w:val="22"/>
        </w:rPr>
        <w:t>va</w:t>
      </w:r>
    </w:p>
    <w:p w:rsidR="00BB7B2E" w:rsidRDefault="00BB7B2E" w:rsidP="00BB7B2E">
      <w:pPr>
        <w:jc w:val="both"/>
        <w:rPr>
          <w:b/>
          <w:sz w:val="22"/>
          <w:szCs w:val="22"/>
        </w:rPr>
      </w:pPr>
    </w:p>
    <w:p w:rsidR="004769CF" w:rsidRPr="00052F32" w:rsidRDefault="004769CF" w:rsidP="00BB7B2E">
      <w:pPr>
        <w:jc w:val="both"/>
        <w:rPr>
          <w:b/>
          <w:sz w:val="22"/>
          <w:szCs w:val="22"/>
        </w:rPr>
      </w:pPr>
    </w:p>
    <w:p w:rsidR="00BB7B2E" w:rsidRPr="001D2A46" w:rsidRDefault="00BB7B2E" w:rsidP="00BB7B2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852161">
        <w:rPr>
          <w:b/>
          <w:sz w:val="22"/>
          <w:szCs w:val="22"/>
        </w:rPr>
        <w:t>REGISTRAČNÉ ČÍSLO</w:t>
      </w:r>
    </w:p>
    <w:p w:rsidR="00BB7B2E" w:rsidRDefault="00BB7B2E" w:rsidP="00BB7B2E">
      <w:pPr>
        <w:jc w:val="both"/>
        <w:rPr>
          <w:sz w:val="22"/>
          <w:szCs w:val="22"/>
        </w:rPr>
      </w:pPr>
    </w:p>
    <w:p w:rsidR="004D0FEE" w:rsidRDefault="00B82AF3" w:rsidP="00BB7B2E">
      <w:pPr>
        <w:jc w:val="both"/>
        <w:rPr>
          <w:sz w:val="22"/>
          <w:szCs w:val="22"/>
        </w:rPr>
      </w:pPr>
      <w:r w:rsidRPr="00B82AF3">
        <w:rPr>
          <w:sz w:val="22"/>
          <w:szCs w:val="22"/>
        </w:rPr>
        <w:t>50/0143/18-S</w:t>
      </w:r>
    </w:p>
    <w:p w:rsidR="00B82AF3" w:rsidRDefault="00B82AF3" w:rsidP="00BB7B2E">
      <w:pPr>
        <w:jc w:val="both"/>
        <w:rPr>
          <w:sz w:val="22"/>
          <w:szCs w:val="22"/>
        </w:rPr>
      </w:pPr>
      <w:bookmarkStart w:id="0" w:name="_GoBack"/>
      <w:bookmarkEnd w:id="0"/>
    </w:p>
    <w:p w:rsidR="00BB7B2E" w:rsidRPr="009C4AF1" w:rsidRDefault="00BB7B2E" w:rsidP="00BB7B2E">
      <w:pPr>
        <w:jc w:val="both"/>
        <w:rPr>
          <w:sz w:val="22"/>
          <w:szCs w:val="22"/>
        </w:rPr>
      </w:pPr>
    </w:p>
    <w:p w:rsidR="00BB7B2E" w:rsidRPr="00D27A29" w:rsidRDefault="00BB7B2E" w:rsidP="00BB7B2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DÁTUM PRVEJ REGISTRÁCIE</w:t>
      </w:r>
    </w:p>
    <w:p w:rsidR="004769CF" w:rsidRDefault="004769CF" w:rsidP="00BB7B2E">
      <w:pPr>
        <w:jc w:val="both"/>
        <w:rPr>
          <w:b/>
          <w:sz w:val="22"/>
          <w:szCs w:val="22"/>
        </w:rPr>
      </w:pPr>
    </w:p>
    <w:p w:rsidR="004D0FEE" w:rsidRPr="00483856" w:rsidRDefault="004D0FEE" w:rsidP="00BB7B2E">
      <w:pPr>
        <w:jc w:val="both"/>
        <w:rPr>
          <w:b/>
          <w:sz w:val="22"/>
          <w:szCs w:val="22"/>
        </w:rPr>
      </w:pPr>
    </w:p>
    <w:p w:rsidR="00BB7B2E" w:rsidRPr="00A608A6" w:rsidRDefault="00BB7B2E" w:rsidP="00BB7B2E">
      <w:pPr>
        <w:jc w:val="both"/>
        <w:rPr>
          <w:b/>
          <w:sz w:val="22"/>
          <w:szCs w:val="22"/>
        </w:rPr>
      </w:pPr>
    </w:p>
    <w:p w:rsidR="00BB7B2E" w:rsidRPr="00D27A29" w:rsidRDefault="00BB7B2E" w:rsidP="00BB7B2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A816DE">
        <w:rPr>
          <w:b/>
          <w:sz w:val="22"/>
          <w:szCs w:val="22"/>
        </w:rPr>
        <w:t>DÁTUM REVÍZIE TEXTU</w:t>
      </w:r>
    </w:p>
    <w:p w:rsidR="00BB7B2E" w:rsidRPr="00483856" w:rsidRDefault="00BB7B2E" w:rsidP="00BB7B2E">
      <w:pPr>
        <w:jc w:val="both"/>
        <w:rPr>
          <w:sz w:val="22"/>
          <w:szCs w:val="22"/>
        </w:rPr>
      </w:pPr>
    </w:p>
    <w:p w:rsidR="00340AB5" w:rsidRDefault="004D0FEE">
      <w:r>
        <w:t>04/2018</w:t>
      </w:r>
    </w:p>
    <w:sectPr w:rsidR="00340AB5" w:rsidSect="000216CB">
      <w:headerReference w:type="default" r:id="rId10"/>
      <w:footerReference w:type="default" r:id="rId11"/>
      <w:footnotePr>
        <w:pos w:val="beneathText"/>
      </w:footnotePr>
      <w:pgSz w:w="11905" w:h="16837"/>
      <w:pgMar w:top="1417" w:right="146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AC" w:rsidRDefault="00B62FAC">
      <w:r>
        <w:separator/>
      </w:r>
    </w:p>
  </w:endnote>
  <w:endnote w:type="continuationSeparator" w:id="0">
    <w:p w:rsidR="00B62FAC" w:rsidRDefault="00B6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14" w:rsidRPr="004D4DFC" w:rsidRDefault="007620D3">
    <w:pPr>
      <w:pStyle w:val="Pta"/>
      <w:jc w:val="center"/>
      <w:rPr>
        <w:sz w:val="22"/>
        <w:szCs w:val="22"/>
      </w:rPr>
    </w:pPr>
    <w:r w:rsidRPr="004D4DFC">
      <w:rPr>
        <w:sz w:val="22"/>
        <w:szCs w:val="22"/>
      </w:rPr>
      <w:fldChar w:fldCharType="begin"/>
    </w:r>
    <w:r w:rsidR="00497D14" w:rsidRPr="004D4DFC">
      <w:rPr>
        <w:sz w:val="22"/>
        <w:szCs w:val="22"/>
      </w:rPr>
      <w:instrText>PAGE   \* MERGEFORMAT</w:instrText>
    </w:r>
    <w:r w:rsidRPr="004D4DFC">
      <w:rPr>
        <w:sz w:val="22"/>
        <w:szCs w:val="22"/>
      </w:rPr>
      <w:fldChar w:fldCharType="separate"/>
    </w:r>
    <w:r w:rsidR="00BF78DC">
      <w:rPr>
        <w:noProof/>
        <w:sz w:val="22"/>
        <w:szCs w:val="22"/>
      </w:rPr>
      <w:t>13</w:t>
    </w:r>
    <w:r w:rsidRPr="004D4DFC">
      <w:rPr>
        <w:sz w:val="22"/>
        <w:szCs w:val="22"/>
      </w:rPr>
      <w:fldChar w:fldCharType="end"/>
    </w:r>
  </w:p>
  <w:p w:rsidR="00497D14" w:rsidRDefault="00497D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AC" w:rsidRDefault="00B62FAC">
      <w:r>
        <w:separator/>
      </w:r>
    </w:p>
  </w:footnote>
  <w:footnote w:type="continuationSeparator" w:id="0">
    <w:p w:rsidR="00B62FAC" w:rsidRDefault="00B62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14" w:rsidRPr="00BF78DC" w:rsidRDefault="00497D14">
    <w:pPr>
      <w:pStyle w:val="Hlavika"/>
      <w:rPr>
        <w:sz w:val="18"/>
        <w:szCs w:val="18"/>
      </w:rPr>
    </w:pPr>
    <w:r w:rsidRPr="00BF78DC">
      <w:rPr>
        <w:sz w:val="18"/>
        <w:szCs w:val="18"/>
      </w:rPr>
      <w:t>Schválený text k rozhodnutiu o registrácii, ev. č.:</w:t>
    </w:r>
    <w:r w:rsidR="00775D4A" w:rsidRPr="00BF78DC">
      <w:rPr>
        <w:sz w:val="18"/>
        <w:szCs w:val="18"/>
      </w:rPr>
      <w:t xml:space="preserve"> 2016/02910-REG</w:t>
    </w:r>
  </w:p>
  <w:p w:rsidR="00497D14" w:rsidRDefault="00497D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1">
    <w:nsid w:val="00000002"/>
    <w:multiLevelType w:val="multilevel"/>
    <w:tmpl w:val="00000002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23C42B4"/>
    <w:multiLevelType w:val="multilevel"/>
    <w:tmpl w:val="0460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6666A4F"/>
    <w:multiLevelType w:val="hybridMultilevel"/>
    <w:tmpl w:val="04C8B216"/>
    <w:lvl w:ilvl="0" w:tplc="F906E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1E05"/>
    <w:multiLevelType w:val="hybridMultilevel"/>
    <w:tmpl w:val="E44A9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70DCD"/>
    <w:multiLevelType w:val="hybridMultilevel"/>
    <w:tmpl w:val="DA629F92"/>
    <w:lvl w:ilvl="0" w:tplc="EDEC1B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E"/>
    <w:rsid w:val="000209FD"/>
    <w:rsid w:val="000216CB"/>
    <w:rsid w:val="00021B1A"/>
    <w:rsid w:val="000222E1"/>
    <w:rsid w:val="0003161E"/>
    <w:rsid w:val="00033198"/>
    <w:rsid w:val="00052F32"/>
    <w:rsid w:val="00065809"/>
    <w:rsid w:val="00066F15"/>
    <w:rsid w:val="00083A4E"/>
    <w:rsid w:val="00084007"/>
    <w:rsid w:val="00090F95"/>
    <w:rsid w:val="00092783"/>
    <w:rsid w:val="00097227"/>
    <w:rsid w:val="000B11D9"/>
    <w:rsid w:val="000B6D19"/>
    <w:rsid w:val="000C2F2E"/>
    <w:rsid w:val="000C4925"/>
    <w:rsid w:val="000D0171"/>
    <w:rsid w:val="00110EC5"/>
    <w:rsid w:val="00116781"/>
    <w:rsid w:val="001229C6"/>
    <w:rsid w:val="0013110F"/>
    <w:rsid w:val="001313B2"/>
    <w:rsid w:val="0014793B"/>
    <w:rsid w:val="0015202D"/>
    <w:rsid w:val="0018431A"/>
    <w:rsid w:val="00192348"/>
    <w:rsid w:val="001A3410"/>
    <w:rsid w:val="001B5086"/>
    <w:rsid w:val="002026B6"/>
    <w:rsid w:val="002520D6"/>
    <w:rsid w:val="0026663E"/>
    <w:rsid w:val="002700B6"/>
    <w:rsid w:val="00277F53"/>
    <w:rsid w:val="002A6454"/>
    <w:rsid w:val="002B5AC2"/>
    <w:rsid w:val="002F299F"/>
    <w:rsid w:val="00303F34"/>
    <w:rsid w:val="003153C5"/>
    <w:rsid w:val="00330261"/>
    <w:rsid w:val="00340AB5"/>
    <w:rsid w:val="003531D6"/>
    <w:rsid w:val="0035434A"/>
    <w:rsid w:val="00361360"/>
    <w:rsid w:val="00367041"/>
    <w:rsid w:val="003753D4"/>
    <w:rsid w:val="00391835"/>
    <w:rsid w:val="003922E2"/>
    <w:rsid w:val="00392E05"/>
    <w:rsid w:val="003B7B4A"/>
    <w:rsid w:val="003E72FC"/>
    <w:rsid w:val="00421BC8"/>
    <w:rsid w:val="004302A6"/>
    <w:rsid w:val="00444191"/>
    <w:rsid w:val="00473F31"/>
    <w:rsid w:val="004759E3"/>
    <w:rsid w:val="004769CF"/>
    <w:rsid w:val="00497D14"/>
    <w:rsid w:val="004A1B0A"/>
    <w:rsid w:val="004B52FE"/>
    <w:rsid w:val="004C2B1F"/>
    <w:rsid w:val="004D0FEE"/>
    <w:rsid w:val="00543B8A"/>
    <w:rsid w:val="00557EF1"/>
    <w:rsid w:val="005716B0"/>
    <w:rsid w:val="005814B6"/>
    <w:rsid w:val="00592D4F"/>
    <w:rsid w:val="005B3B79"/>
    <w:rsid w:val="005C5626"/>
    <w:rsid w:val="005D0678"/>
    <w:rsid w:val="005E3755"/>
    <w:rsid w:val="005E59D2"/>
    <w:rsid w:val="005F2691"/>
    <w:rsid w:val="005F67DA"/>
    <w:rsid w:val="00601772"/>
    <w:rsid w:val="0060651D"/>
    <w:rsid w:val="006241D3"/>
    <w:rsid w:val="00627EF8"/>
    <w:rsid w:val="00645647"/>
    <w:rsid w:val="00651B69"/>
    <w:rsid w:val="00663AEA"/>
    <w:rsid w:val="00665A19"/>
    <w:rsid w:val="006A22A9"/>
    <w:rsid w:val="006C1927"/>
    <w:rsid w:val="006C785E"/>
    <w:rsid w:val="007003EB"/>
    <w:rsid w:val="00731B6C"/>
    <w:rsid w:val="00741D3B"/>
    <w:rsid w:val="00753467"/>
    <w:rsid w:val="00756A0E"/>
    <w:rsid w:val="007620D3"/>
    <w:rsid w:val="00763DC2"/>
    <w:rsid w:val="00764C15"/>
    <w:rsid w:val="007670B0"/>
    <w:rsid w:val="00772C57"/>
    <w:rsid w:val="00775D4A"/>
    <w:rsid w:val="007854F5"/>
    <w:rsid w:val="007D19DC"/>
    <w:rsid w:val="007D7B17"/>
    <w:rsid w:val="007E59BE"/>
    <w:rsid w:val="00811564"/>
    <w:rsid w:val="00811CDD"/>
    <w:rsid w:val="00825CD9"/>
    <w:rsid w:val="008412C1"/>
    <w:rsid w:val="00856BFA"/>
    <w:rsid w:val="00864B76"/>
    <w:rsid w:val="00867DD5"/>
    <w:rsid w:val="0088381A"/>
    <w:rsid w:val="008C65EA"/>
    <w:rsid w:val="008F03BA"/>
    <w:rsid w:val="008F2364"/>
    <w:rsid w:val="008F620F"/>
    <w:rsid w:val="00912062"/>
    <w:rsid w:val="00927809"/>
    <w:rsid w:val="00932D89"/>
    <w:rsid w:val="00934471"/>
    <w:rsid w:val="00940550"/>
    <w:rsid w:val="009451F6"/>
    <w:rsid w:val="00947CE1"/>
    <w:rsid w:val="00954789"/>
    <w:rsid w:val="009674B2"/>
    <w:rsid w:val="009B1F37"/>
    <w:rsid w:val="009B22F3"/>
    <w:rsid w:val="009D7E37"/>
    <w:rsid w:val="00A16004"/>
    <w:rsid w:val="00A32EA4"/>
    <w:rsid w:val="00A662CF"/>
    <w:rsid w:val="00A73071"/>
    <w:rsid w:val="00A87E05"/>
    <w:rsid w:val="00AB2E8F"/>
    <w:rsid w:val="00AC3879"/>
    <w:rsid w:val="00AC4ECF"/>
    <w:rsid w:val="00AE7E1C"/>
    <w:rsid w:val="00AF1120"/>
    <w:rsid w:val="00B070F8"/>
    <w:rsid w:val="00B20569"/>
    <w:rsid w:val="00B53BF4"/>
    <w:rsid w:val="00B62FAC"/>
    <w:rsid w:val="00B82AF3"/>
    <w:rsid w:val="00B85B84"/>
    <w:rsid w:val="00BA1738"/>
    <w:rsid w:val="00BA31C8"/>
    <w:rsid w:val="00BB523A"/>
    <w:rsid w:val="00BB7B2E"/>
    <w:rsid w:val="00BC075C"/>
    <w:rsid w:val="00BC5498"/>
    <w:rsid w:val="00BD2853"/>
    <w:rsid w:val="00BD2D61"/>
    <w:rsid w:val="00BE2C6E"/>
    <w:rsid w:val="00BE6BE3"/>
    <w:rsid w:val="00BF78DC"/>
    <w:rsid w:val="00C035E0"/>
    <w:rsid w:val="00C32DFC"/>
    <w:rsid w:val="00C3308F"/>
    <w:rsid w:val="00C33A4A"/>
    <w:rsid w:val="00C80178"/>
    <w:rsid w:val="00C806EB"/>
    <w:rsid w:val="00C94040"/>
    <w:rsid w:val="00C966A3"/>
    <w:rsid w:val="00CA2EDE"/>
    <w:rsid w:val="00CA5210"/>
    <w:rsid w:val="00CB18E9"/>
    <w:rsid w:val="00CB57A2"/>
    <w:rsid w:val="00CC428C"/>
    <w:rsid w:val="00CD3653"/>
    <w:rsid w:val="00CD6A90"/>
    <w:rsid w:val="00CD6E32"/>
    <w:rsid w:val="00CD6F82"/>
    <w:rsid w:val="00D049BC"/>
    <w:rsid w:val="00D2051E"/>
    <w:rsid w:val="00D23FCD"/>
    <w:rsid w:val="00D5440F"/>
    <w:rsid w:val="00D816CB"/>
    <w:rsid w:val="00DC6AF9"/>
    <w:rsid w:val="00DD5B68"/>
    <w:rsid w:val="00DE283D"/>
    <w:rsid w:val="00DE3EA5"/>
    <w:rsid w:val="00E044EE"/>
    <w:rsid w:val="00E10ACF"/>
    <w:rsid w:val="00E2792D"/>
    <w:rsid w:val="00E27E3C"/>
    <w:rsid w:val="00E33473"/>
    <w:rsid w:val="00E515CC"/>
    <w:rsid w:val="00E53429"/>
    <w:rsid w:val="00E544BC"/>
    <w:rsid w:val="00E64967"/>
    <w:rsid w:val="00E8079A"/>
    <w:rsid w:val="00E94BAA"/>
    <w:rsid w:val="00EA6EFB"/>
    <w:rsid w:val="00EE14BA"/>
    <w:rsid w:val="00EE383F"/>
    <w:rsid w:val="00EE59EB"/>
    <w:rsid w:val="00F107DB"/>
    <w:rsid w:val="00F22CBE"/>
    <w:rsid w:val="00F24457"/>
    <w:rsid w:val="00F32C03"/>
    <w:rsid w:val="00F50BC4"/>
    <w:rsid w:val="00FA59CE"/>
    <w:rsid w:val="00FB4A6F"/>
    <w:rsid w:val="00FC60D3"/>
    <w:rsid w:val="00FD0DD2"/>
    <w:rsid w:val="00FD7D27"/>
    <w:rsid w:val="00FE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B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BB7B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7B2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rsid w:val="00BB7B2E"/>
    <w:rPr>
      <w:rFonts w:ascii="Arial" w:eastAsia="Times New Roman" w:hAnsi="Arial" w:cs="Arial"/>
    </w:rPr>
  </w:style>
  <w:style w:type="character" w:customStyle="1" w:styleId="WW8Num1z1">
    <w:name w:val="WW8Num1z1"/>
    <w:rsid w:val="00BB7B2E"/>
    <w:rPr>
      <w:rFonts w:ascii="Courier New" w:hAnsi="Courier New" w:cs="Courier New"/>
    </w:rPr>
  </w:style>
  <w:style w:type="character" w:customStyle="1" w:styleId="WW8Num1z2">
    <w:name w:val="WW8Num1z2"/>
    <w:rsid w:val="00BB7B2E"/>
    <w:rPr>
      <w:rFonts w:ascii="Wingdings" w:hAnsi="Wingdings"/>
    </w:rPr>
  </w:style>
  <w:style w:type="character" w:customStyle="1" w:styleId="WW8Num1z3">
    <w:name w:val="WW8Num1z3"/>
    <w:rsid w:val="00BB7B2E"/>
    <w:rPr>
      <w:rFonts w:ascii="Symbol" w:hAnsi="Symbol"/>
    </w:rPr>
  </w:style>
  <w:style w:type="character" w:customStyle="1" w:styleId="WW8Num2z0">
    <w:name w:val="WW8Num2z0"/>
    <w:rsid w:val="00BB7B2E"/>
    <w:rPr>
      <w:i/>
    </w:rPr>
  </w:style>
  <w:style w:type="character" w:customStyle="1" w:styleId="WW8Num3z0">
    <w:name w:val="WW8Num3z0"/>
    <w:rsid w:val="00BB7B2E"/>
    <w:rPr>
      <w:rFonts w:ascii="Arial" w:eastAsia="Times New Roman" w:hAnsi="Arial" w:cs="Arial"/>
    </w:rPr>
  </w:style>
  <w:style w:type="character" w:customStyle="1" w:styleId="WW8Num3z1">
    <w:name w:val="WW8Num3z1"/>
    <w:rsid w:val="00BB7B2E"/>
    <w:rPr>
      <w:rFonts w:ascii="Courier New" w:hAnsi="Courier New" w:cs="Courier New"/>
    </w:rPr>
  </w:style>
  <w:style w:type="character" w:customStyle="1" w:styleId="WW8Num3z2">
    <w:name w:val="WW8Num3z2"/>
    <w:rsid w:val="00BB7B2E"/>
    <w:rPr>
      <w:rFonts w:ascii="Wingdings" w:hAnsi="Wingdings"/>
    </w:rPr>
  </w:style>
  <w:style w:type="character" w:customStyle="1" w:styleId="WW8Num3z3">
    <w:name w:val="WW8Num3z3"/>
    <w:rsid w:val="00BB7B2E"/>
    <w:rPr>
      <w:rFonts w:ascii="Symbol" w:hAnsi="Symbol"/>
    </w:rPr>
  </w:style>
  <w:style w:type="character" w:customStyle="1" w:styleId="WW8Num4z0">
    <w:name w:val="WW8Num4z0"/>
    <w:rsid w:val="00BB7B2E"/>
    <w:rPr>
      <w:rFonts w:ascii="Arial" w:eastAsia="Times New Roman" w:hAnsi="Arial" w:cs="Arial"/>
    </w:rPr>
  </w:style>
  <w:style w:type="character" w:customStyle="1" w:styleId="WW8Num4z1">
    <w:name w:val="WW8Num4z1"/>
    <w:rsid w:val="00BB7B2E"/>
    <w:rPr>
      <w:rFonts w:ascii="Courier New" w:hAnsi="Courier New" w:cs="Courier New"/>
    </w:rPr>
  </w:style>
  <w:style w:type="character" w:customStyle="1" w:styleId="WW8Num4z2">
    <w:name w:val="WW8Num4z2"/>
    <w:rsid w:val="00BB7B2E"/>
    <w:rPr>
      <w:rFonts w:ascii="Wingdings" w:hAnsi="Wingdings"/>
    </w:rPr>
  </w:style>
  <w:style w:type="character" w:customStyle="1" w:styleId="WW8Num4z3">
    <w:name w:val="WW8Num4z3"/>
    <w:rsid w:val="00BB7B2E"/>
    <w:rPr>
      <w:rFonts w:ascii="Symbol" w:hAnsi="Symbol"/>
    </w:rPr>
  </w:style>
  <w:style w:type="character" w:customStyle="1" w:styleId="WW8Num5z0">
    <w:name w:val="WW8Num5z0"/>
    <w:rsid w:val="00BB7B2E"/>
    <w:rPr>
      <w:rFonts w:ascii="Arial" w:eastAsia="Times New Roman" w:hAnsi="Arial" w:cs="Arial"/>
    </w:rPr>
  </w:style>
  <w:style w:type="character" w:customStyle="1" w:styleId="WW8Num5z1">
    <w:name w:val="WW8Num5z1"/>
    <w:rsid w:val="00BB7B2E"/>
    <w:rPr>
      <w:rFonts w:ascii="Courier New" w:hAnsi="Courier New" w:cs="Courier New"/>
    </w:rPr>
  </w:style>
  <w:style w:type="character" w:customStyle="1" w:styleId="WW8Num5z2">
    <w:name w:val="WW8Num5z2"/>
    <w:rsid w:val="00BB7B2E"/>
    <w:rPr>
      <w:rFonts w:ascii="Wingdings" w:hAnsi="Wingdings"/>
    </w:rPr>
  </w:style>
  <w:style w:type="character" w:customStyle="1" w:styleId="WW8Num5z3">
    <w:name w:val="WW8Num5z3"/>
    <w:rsid w:val="00BB7B2E"/>
    <w:rPr>
      <w:rFonts w:ascii="Symbol" w:hAnsi="Symbol"/>
    </w:rPr>
  </w:style>
  <w:style w:type="character" w:customStyle="1" w:styleId="WW8Num6z0">
    <w:name w:val="WW8Num6z0"/>
    <w:rsid w:val="00BB7B2E"/>
    <w:rPr>
      <w:rFonts w:ascii="Arial" w:eastAsia="Times New Roman" w:hAnsi="Arial" w:cs="Arial"/>
    </w:rPr>
  </w:style>
  <w:style w:type="character" w:customStyle="1" w:styleId="WW8Num6z1">
    <w:name w:val="WW8Num6z1"/>
    <w:rsid w:val="00BB7B2E"/>
    <w:rPr>
      <w:rFonts w:ascii="Courier New" w:hAnsi="Courier New" w:cs="Courier New"/>
    </w:rPr>
  </w:style>
  <w:style w:type="character" w:customStyle="1" w:styleId="WW8Num6z2">
    <w:name w:val="WW8Num6z2"/>
    <w:rsid w:val="00BB7B2E"/>
    <w:rPr>
      <w:rFonts w:ascii="Wingdings" w:hAnsi="Wingdings"/>
    </w:rPr>
  </w:style>
  <w:style w:type="character" w:customStyle="1" w:styleId="WW8Num6z3">
    <w:name w:val="WW8Num6z3"/>
    <w:rsid w:val="00BB7B2E"/>
    <w:rPr>
      <w:rFonts w:ascii="Symbol" w:hAnsi="Symbol"/>
    </w:rPr>
  </w:style>
  <w:style w:type="character" w:customStyle="1" w:styleId="WW8Num7z0">
    <w:name w:val="WW8Num7z0"/>
    <w:rsid w:val="00BB7B2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BB7B2E"/>
    <w:rPr>
      <w:rFonts w:ascii="Courier New" w:hAnsi="Courier New" w:cs="Courier New"/>
    </w:rPr>
  </w:style>
  <w:style w:type="character" w:customStyle="1" w:styleId="WW8Num7z2">
    <w:name w:val="WW8Num7z2"/>
    <w:rsid w:val="00BB7B2E"/>
    <w:rPr>
      <w:rFonts w:ascii="Wingdings" w:hAnsi="Wingdings"/>
    </w:rPr>
  </w:style>
  <w:style w:type="character" w:customStyle="1" w:styleId="WW8Num7z3">
    <w:name w:val="WW8Num7z3"/>
    <w:rsid w:val="00BB7B2E"/>
    <w:rPr>
      <w:rFonts w:ascii="Symbol" w:hAnsi="Symbol"/>
    </w:rPr>
  </w:style>
  <w:style w:type="character" w:customStyle="1" w:styleId="WW8Num9z0">
    <w:name w:val="WW8Num9z0"/>
    <w:rsid w:val="00BB7B2E"/>
    <w:rPr>
      <w:rFonts w:ascii="Arial" w:eastAsia="Times New Roman" w:hAnsi="Arial" w:cs="Arial"/>
    </w:rPr>
  </w:style>
  <w:style w:type="character" w:customStyle="1" w:styleId="WW8Num9z1">
    <w:name w:val="WW8Num9z1"/>
    <w:rsid w:val="00BB7B2E"/>
    <w:rPr>
      <w:rFonts w:ascii="Courier New" w:hAnsi="Courier New" w:cs="Courier New"/>
    </w:rPr>
  </w:style>
  <w:style w:type="character" w:customStyle="1" w:styleId="WW8Num9z2">
    <w:name w:val="WW8Num9z2"/>
    <w:rsid w:val="00BB7B2E"/>
    <w:rPr>
      <w:rFonts w:ascii="Wingdings" w:hAnsi="Wingdings"/>
    </w:rPr>
  </w:style>
  <w:style w:type="character" w:customStyle="1" w:styleId="WW8Num9z3">
    <w:name w:val="WW8Num9z3"/>
    <w:rsid w:val="00BB7B2E"/>
    <w:rPr>
      <w:rFonts w:ascii="Symbol" w:hAnsi="Symbol"/>
    </w:rPr>
  </w:style>
  <w:style w:type="character" w:customStyle="1" w:styleId="WW8Num10z0">
    <w:name w:val="WW8Num10z0"/>
    <w:rsid w:val="00BB7B2E"/>
    <w:rPr>
      <w:rFonts w:ascii="Arial" w:eastAsia="Times New Roman" w:hAnsi="Arial" w:cs="Arial"/>
    </w:rPr>
  </w:style>
  <w:style w:type="character" w:customStyle="1" w:styleId="WW8Num10z1">
    <w:name w:val="WW8Num10z1"/>
    <w:rsid w:val="00BB7B2E"/>
    <w:rPr>
      <w:rFonts w:ascii="Courier New" w:hAnsi="Courier New" w:cs="Courier New"/>
    </w:rPr>
  </w:style>
  <w:style w:type="character" w:customStyle="1" w:styleId="WW8Num10z2">
    <w:name w:val="WW8Num10z2"/>
    <w:rsid w:val="00BB7B2E"/>
    <w:rPr>
      <w:rFonts w:ascii="Wingdings" w:hAnsi="Wingdings"/>
    </w:rPr>
  </w:style>
  <w:style w:type="character" w:customStyle="1" w:styleId="WW8Num10z3">
    <w:name w:val="WW8Num10z3"/>
    <w:rsid w:val="00BB7B2E"/>
    <w:rPr>
      <w:rFonts w:ascii="Symbol" w:hAnsi="Symbol"/>
    </w:rPr>
  </w:style>
  <w:style w:type="character" w:customStyle="1" w:styleId="WW8Num13z0">
    <w:name w:val="WW8Num13z0"/>
    <w:rsid w:val="00BB7B2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B7B2E"/>
    <w:rPr>
      <w:rFonts w:ascii="Courier New" w:hAnsi="Courier New" w:cs="Courier New"/>
    </w:rPr>
  </w:style>
  <w:style w:type="character" w:customStyle="1" w:styleId="WW8Num13z2">
    <w:name w:val="WW8Num13z2"/>
    <w:rsid w:val="00BB7B2E"/>
    <w:rPr>
      <w:rFonts w:ascii="Wingdings" w:hAnsi="Wingdings"/>
    </w:rPr>
  </w:style>
  <w:style w:type="character" w:customStyle="1" w:styleId="WW8Num13z3">
    <w:name w:val="WW8Num13z3"/>
    <w:rsid w:val="00BB7B2E"/>
    <w:rPr>
      <w:rFonts w:ascii="Symbol" w:hAnsi="Symbol"/>
    </w:rPr>
  </w:style>
  <w:style w:type="character" w:customStyle="1" w:styleId="Predvolenpsmoodseku1">
    <w:name w:val="Predvolené písmo odseku1"/>
    <w:rsid w:val="00BB7B2E"/>
  </w:style>
  <w:style w:type="paragraph" w:customStyle="1" w:styleId="Nadpis">
    <w:name w:val="Nadpis"/>
    <w:basedOn w:val="Normlny"/>
    <w:next w:val="Zkladntext"/>
    <w:rsid w:val="00BB7B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BB7B2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oznam">
    <w:name w:val="List"/>
    <w:basedOn w:val="Zkladntext"/>
    <w:rsid w:val="00BB7B2E"/>
    <w:rPr>
      <w:rFonts w:cs="Tahoma"/>
    </w:rPr>
  </w:style>
  <w:style w:type="paragraph" w:customStyle="1" w:styleId="Popisok">
    <w:name w:val="Popisok"/>
    <w:basedOn w:val="Normlny"/>
    <w:rsid w:val="00BB7B2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BB7B2E"/>
    <w:pPr>
      <w:suppressLineNumbers/>
    </w:pPr>
    <w:rPr>
      <w:rFonts w:cs="Tahoma"/>
    </w:rPr>
  </w:style>
  <w:style w:type="paragraph" w:styleId="Zarkazkladnhotextu">
    <w:name w:val="Body Text Indent"/>
    <w:basedOn w:val="Normlny"/>
    <w:link w:val="ZarkazkladnhotextuChar"/>
    <w:rsid w:val="00BB7B2E"/>
    <w:pPr>
      <w:spacing w:after="120"/>
      <w:ind w:left="283" w:hanging="567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BB7B2E"/>
    <w:rPr>
      <w:rFonts w:ascii="Times New Roman" w:eastAsia="Times New Roman" w:hAnsi="Times New Roman" w:cs="Times New Roman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rsid w:val="00BB7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B7B2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rsid w:val="00BB7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BB7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Predvolenpsmoodseku"/>
    <w:rsid w:val="00BB7B2E"/>
  </w:style>
  <w:style w:type="character" w:styleId="Zvraznenie">
    <w:name w:val="Emphasis"/>
    <w:uiPriority w:val="20"/>
    <w:qFormat/>
    <w:rsid w:val="00BB7B2E"/>
    <w:rPr>
      <w:i/>
      <w:iCs/>
    </w:rPr>
  </w:style>
  <w:style w:type="character" w:styleId="Hypertextovprepojenie">
    <w:name w:val="Hyperlink"/>
    <w:rsid w:val="00BB7B2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C387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9451F6"/>
  </w:style>
  <w:style w:type="paragraph" w:styleId="Normlnywebov">
    <w:name w:val="Normal (Web)"/>
    <w:basedOn w:val="Normlny"/>
    <w:uiPriority w:val="99"/>
    <w:semiHidden/>
    <w:unhideWhenUsed/>
    <w:rsid w:val="00F32C03"/>
    <w:pPr>
      <w:suppressAutoHyphens w:val="0"/>
      <w:spacing w:before="100" w:beforeAutospacing="1" w:after="100" w:afterAutospacing="1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B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BB7B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7B2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rsid w:val="00BB7B2E"/>
    <w:rPr>
      <w:rFonts w:ascii="Arial" w:eastAsia="Times New Roman" w:hAnsi="Arial" w:cs="Arial"/>
    </w:rPr>
  </w:style>
  <w:style w:type="character" w:customStyle="1" w:styleId="WW8Num1z1">
    <w:name w:val="WW8Num1z1"/>
    <w:rsid w:val="00BB7B2E"/>
    <w:rPr>
      <w:rFonts w:ascii="Courier New" w:hAnsi="Courier New" w:cs="Courier New"/>
    </w:rPr>
  </w:style>
  <w:style w:type="character" w:customStyle="1" w:styleId="WW8Num1z2">
    <w:name w:val="WW8Num1z2"/>
    <w:rsid w:val="00BB7B2E"/>
    <w:rPr>
      <w:rFonts w:ascii="Wingdings" w:hAnsi="Wingdings"/>
    </w:rPr>
  </w:style>
  <w:style w:type="character" w:customStyle="1" w:styleId="WW8Num1z3">
    <w:name w:val="WW8Num1z3"/>
    <w:rsid w:val="00BB7B2E"/>
    <w:rPr>
      <w:rFonts w:ascii="Symbol" w:hAnsi="Symbol"/>
    </w:rPr>
  </w:style>
  <w:style w:type="character" w:customStyle="1" w:styleId="WW8Num2z0">
    <w:name w:val="WW8Num2z0"/>
    <w:rsid w:val="00BB7B2E"/>
    <w:rPr>
      <w:i/>
    </w:rPr>
  </w:style>
  <w:style w:type="character" w:customStyle="1" w:styleId="WW8Num3z0">
    <w:name w:val="WW8Num3z0"/>
    <w:rsid w:val="00BB7B2E"/>
    <w:rPr>
      <w:rFonts w:ascii="Arial" w:eastAsia="Times New Roman" w:hAnsi="Arial" w:cs="Arial"/>
    </w:rPr>
  </w:style>
  <w:style w:type="character" w:customStyle="1" w:styleId="WW8Num3z1">
    <w:name w:val="WW8Num3z1"/>
    <w:rsid w:val="00BB7B2E"/>
    <w:rPr>
      <w:rFonts w:ascii="Courier New" w:hAnsi="Courier New" w:cs="Courier New"/>
    </w:rPr>
  </w:style>
  <w:style w:type="character" w:customStyle="1" w:styleId="WW8Num3z2">
    <w:name w:val="WW8Num3z2"/>
    <w:rsid w:val="00BB7B2E"/>
    <w:rPr>
      <w:rFonts w:ascii="Wingdings" w:hAnsi="Wingdings"/>
    </w:rPr>
  </w:style>
  <w:style w:type="character" w:customStyle="1" w:styleId="WW8Num3z3">
    <w:name w:val="WW8Num3z3"/>
    <w:rsid w:val="00BB7B2E"/>
    <w:rPr>
      <w:rFonts w:ascii="Symbol" w:hAnsi="Symbol"/>
    </w:rPr>
  </w:style>
  <w:style w:type="character" w:customStyle="1" w:styleId="WW8Num4z0">
    <w:name w:val="WW8Num4z0"/>
    <w:rsid w:val="00BB7B2E"/>
    <w:rPr>
      <w:rFonts w:ascii="Arial" w:eastAsia="Times New Roman" w:hAnsi="Arial" w:cs="Arial"/>
    </w:rPr>
  </w:style>
  <w:style w:type="character" w:customStyle="1" w:styleId="WW8Num4z1">
    <w:name w:val="WW8Num4z1"/>
    <w:rsid w:val="00BB7B2E"/>
    <w:rPr>
      <w:rFonts w:ascii="Courier New" w:hAnsi="Courier New" w:cs="Courier New"/>
    </w:rPr>
  </w:style>
  <w:style w:type="character" w:customStyle="1" w:styleId="WW8Num4z2">
    <w:name w:val="WW8Num4z2"/>
    <w:rsid w:val="00BB7B2E"/>
    <w:rPr>
      <w:rFonts w:ascii="Wingdings" w:hAnsi="Wingdings"/>
    </w:rPr>
  </w:style>
  <w:style w:type="character" w:customStyle="1" w:styleId="WW8Num4z3">
    <w:name w:val="WW8Num4z3"/>
    <w:rsid w:val="00BB7B2E"/>
    <w:rPr>
      <w:rFonts w:ascii="Symbol" w:hAnsi="Symbol"/>
    </w:rPr>
  </w:style>
  <w:style w:type="character" w:customStyle="1" w:styleId="WW8Num5z0">
    <w:name w:val="WW8Num5z0"/>
    <w:rsid w:val="00BB7B2E"/>
    <w:rPr>
      <w:rFonts w:ascii="Arial" w:eastAsia="Times New Roman" w:hAnsi="Arial" w:cs="Arial"/>
    </w:rPr>
  </w:style>
  <w:style w:type="character" w:customStyle="1" w:styleId="WW8Num5z1">
    <w:name w:val="WW8Num5z1"/>
    <w:rsid w:val="00BB7B2E"/>
    <w:rPr>
      <w:rFonts w:ascii="Courier New" w:hAnsi="Courier New" w:cs="Courier New"/>
    </w:rPr>
  </w:style>
  <w:style w:type="character" w:customStyle="1" w:styleId="WW8Num5z2">
    <w:name w:val="WW8Num5z2"/>
    <w:rsid w:val="00BB7B2E"/>
    <w:rPr>
      <w:rFonts w:ascii="Wingdings" w:hAnsi="Wingdings"/>
    </w:rPr>
  </w:style>
  <w:style w:type="character" w:customStyle="1" w:styleId="WW8Num5z3">
    <w:name w:val="WW8Num5z3"/>
    <w:rsid w:val="00BB7B2E"/>
    <w:rPr>
      <w:rFonts w:ascii="Symbol" w:hAnsi="Symbol"/>
    </w:rPr>
  </w:style>
  <w:style w:type="character" w:customStyle="1" w:styleId="WW8Num6z0">
    <w:name w:val="WW8Num6z0"/>
    <w:rsid w:val="00BB7B2E"/>
    <w:rPr>
      <w:rFonts w:ascii="Arial" w:eastAsia="Times New Roman" w:hAnsi="Arial" w:cs="Arial"/>
    </w:rPr>
  </w:style>
  <w:style w:type="character" w:customStyle="1" w:styleId="WW8Num6z1">
    <w:name w:val="WW8Num6z1"/>
    <w:rsid w:val="00BB7B2E"/>
    <w:rPr>
      <w:rFonts w:ascii="Courier New" w:hAnsi="Courier New" w:cs="Courier New"/>
    </w:rPr>
  </w:style>
  <w:style w:type="character" w:customStyle="1" w:styleId="WW8Num6z2">
    <w:name w:val="WW8Num6z2"/>
    <w:rsid w:val="00BB7B2E"/>
    <w:rPr>
      <w:rFonts w:ascii="Wingdings" w:hAnsi="Wingdings"/>
    </w:rPr>
  </w:style>
  <w:style w:type="character" w:customStyle="1" w:styleId="WW8Num6z3">
    <w:name w:val="WW8Num6z3"/>
    <w:rsid w:val="00BB7B2E"/>
    <w:rPr>
      <w:rFonts w:ascii="Symbol" w:hAnsi="Symbol"/>
    </w:rPr>
  </w:style>
  <w:style w:type="character" w:customStyle="1" w:styleId="WW8Num7z0">
    <w:name w:val="WW8Num7z0"/>
    <w:rsid w:val="00BB7B2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BB7B2E"/>
    <w:rPr>
      <w:rFonts w:ascii="Courier New" w:hAnsi="Courier New" w:cs="Courier New"/>
    </w:rPr>
  </w:style>
  <w:style w:type="character" w:customStyle="1" w:styleId="WW8Num7z2">
    <w:name w:val="WW8Num7z2"/>
    <w:rsid w:val="00BB7B2E"/>
    <w:rPr>
      <w:rFonts w:ascii="Wingdings" w:hAnsi="Wingdings"/>
    </w:rPr>
  </w:style>
  <w:style w:type="character" w:customStyle="1" w:styleId="WW8Num7z3">
    <w:name w:val="WW8Num7z3"/>
    <w:rsid w:val="00BB7B2E"/>
    <w:rPr>
      <w:rFonts w:ascii="Symbol" w:hAnsi="Symbol"/>
    </w:rPr>
  </w:style>
  <w:style w:type="character" w:customStyle="1" w:styleId="WW8Num9z0">
    <w:name w:val="WW8Num9z0"/>
    <w:rsid w:val="00BB7B2E"/>
    <w:rPr>
      <w:rFonts w:ascii="Arial" w:eastAsia="Times New Roman" w:hAnsi="Arial" w:cs="Arial"/>
    </w:rPr>
  </w:style>
  <w:style w:type="character" w:customStyle="1" w:styleId="WW8Num9z1">
    <w:name w:val="WW8Num9z1"/>
    <w:rsid w:val="00BB7B2E"/>
    <w:rPr>
      <w:rFonts w:ascii="Courier New" w:hAnsi="Courier New" w:cs="Courier New"/>
    </w:rPr>
  </w:style>
  <w:style w:type="character" w:customStyle="1" w:styleId="WW8Num9z2">
    <w:name w:val="WW8Num9z2"/>
    <w:rsid w:val="00BB7B2E"/>
    <w:rPr>
      <w:rFonts w:ascii="Wingdings" w:hAnsi="Wingdings"/>
    </w:rPr>
  </w:style>
  <w:style w:type="character" w:customStyle="1" w:styleId="WW8Num9z3">
    <w:name w:val="WW8Num9z3"/>
    <w:rsid w:val="00BB7B2E"/>
    <w:rPr>
      <w:rFonts w:ascii="Symbol" w:hAnsi="Symbol"/>
    </w:rPr>
  </w:style>
  <w:style w:type="character" w:customStyle="1" w:styleId="WW8Num10z0">
    <w:name w:val="WW8Num10z0"/>
    <w:rsid w:val="00BB7B2E"/>
    <w:rPr>
      <w:rFonts w:ascii="Arial" w:eastAsia="Times New Roman" w:hAnsi="Arial" w:cs="Arial"/>
    </w:rPr>
  </w:style>
  <w:style w:type="character" w:customStyle="1" w:styleId="WW8Num10z1">
    <w:name w:val="WW8Num10z1"/>
    <w:rsid w:val="00BB7B2E"/>
    <w:rPr>
      <w:rFonts w:ascii="Courier New" w:hAnsi="Courier New" w:cs="Courier New"/>
    </w:rPr>
  </w:style>
  <w:style w:type="character" w:customStyle="1" w:styleId="WW8Num10z2">
    <w:name w:val="WW8Num10z2"/>
    <w:rsid w:val="00BB7B2E"/>
    <w:rPr>
      <w:rFonts w:ascii="Wingdings" w:hAnsi="Wingdings"/>
    </w:rPr>
  </w:style>
  <w:style w:type="character" w:customStyle="1" w:styleId="WW8Num10z3">
    <w:name w:val="WW8Num10z3"/>
    <w:rsid w:val="00BB7B2E"/>
    <w:rPr>
      <w:rFonts w:ascii="Symbol" w:hAnsi="Symbol"/>
    </w:rPr>
  </w:style>
  <w:style w:type="character" w:customStyle="1" w:styleId="WW8Num13z0">
    <w:name w:val="WW8Num13z0"/>
    <w:rsid w:val="00BB7B2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B7B2E"/>
    <w:rPr>
      <w:rFonts w:ascii="Courier New" w:hAnsi="Courier New" w:cs="Courier New"/>
    </w:rPr>
  </w:style>
  <w:style w:type="character" w:customStyle="1" w:styleId="WW8Num13z2">
    <w:name w:val="WW8Num13z2"/>
    <w:rsid w:val="00BB7B2E"/>
    <w:rPr>
      <w:rFonts w:ascii="Wingdings" w:hAnsi="Wingdings"/>
    </w:rPr>
  </w:style>
  <w:style w:type="character" w:customStyle="1" w:styleId="WW8Num13z3">
    <w:name w:val="WW8Num13z3"/>
    <w:rsid w:val="00BB7B2E"/>
    <w:rPr>
      <w:rFonts w:ascii="Symbol" w:hAnsi="Symbol"/>
    </w:rPr>
  </w:style>
  <w:style w:type="character" w:customStyle="1" w:styleId="Predvolenpsmoodseku1">
    <w:name w:val="Predvolené písmo odseku1"/>
    <w:rsid w:val="00BB7B2E"/>
  </w:style>
  <w:style w:type="paragraph" w:customStyle="1" w:styleId="Nadpis">
    <w:name w:val="Nadpis"/>
    <w:basedOn w:val="Normlny"/>
    <w:next w:val="Zkladntext"/>
    <w:rsid w:val="00BB7B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BB7B2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oznam">
    <w:name w:val="List"/>
    <w:basedOn w:val="Zkladntext"/>
    <w:rsid w:val="00BB7B2E"/>
    <w:rPr>
      <w:rFonts w:cs="Tahoma"/>
    </w:rPr>
  </w:style>
  <w:style w:type="paragraph" w:customStyle="1" w:styleId="Popisok">
    <w:name w:val="Popisok"/>
    <w:basedOn w:val="Normlny"/>
    <w:rsid w:val="00BB7B2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BB7B2E"/>
    <w:pPr>
      <w:suppressLineNumbers/>
    </w:pPr>
    <w:rPr>
      <w:rFonts w:cs="Tahoma"/>
    </w:rPr>
  </w:style>
  <w:style w:type="paragraph" w:styleId="Zarkazkladnhotextu">
    <w:name w:val="Body Text Indent"/>
    <w:basedOn w:val="Normlny"/>
    <w:link w:val="ZarkazkladnhotextuChar"/>
    <w:rsid w:val="00BB7B2E"/>
    <w:pPr>
      <w:spacing w:after="120"/>
      <w:ind w:left="283" w:hanging="567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BB7B2E"/>
    <w:rPr>
      <w:rFonts w:ascii="Times New Roman" w:eastAsia="Times New Roman" w:hAnsi="Times New Roman" w:cs="Times New Roman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rsid w:val="00BB7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B7B2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rsid w:val="00BB7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BB7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7B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Predvolenpsmoodseku"/>
    <w:rsid w:val="00BB7B2E"/>
  </w:style>
  <w:style w:type="character" w:styleId="Zvraznenie">
    <w:name w:val="Emphasis"/>
    <w:uiPriority w:val="20"/>
    <w:qFormat/>
    <w:rsid w:val="00BB7B2E"/>
    <w:rPr>
      <w:i/>
      <w:iCs/>
    </w:rPr>
  </w:style>
  <w:style w:type="character" w:styleId="Hypertextovprepojenie">
    <w:name w:val="Hyperlink"/>
    <w:rsid w:val="00BB7B2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C387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9451F6"/>
  </w:style>
  <w:style w:type="paragraph" w:styleId="Normlnywebov">
    <w:name w:val="Normal (Web)"/>
    <w:basedOn w:val="Normlny"/>
    <w:uiPriority w:val="99"/>
    <w:semiHidden/>
    <w:unhideWhenUsed/>
    <w:rsid w:val="00F32C03"/>
    <w:pPr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2901-1869-42C1-A4BB-337C1683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5152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Hebortova</dc:creator>
  <cp:lastModifiedBy>Hudecová, Martina</cp:lastModifiedBy>
  <cp:revision>2</cp:revision>
  <dcterms:created xsi:type="dcterms:W3CDTF">2018-04-24T08:55:00Z</dcterms:created>
  <dcterms:modified xsi:type="dcterms:W3CDTF">2018-04-24T08:55:00Z</dcterms:modified>
</cp:coreProperties>
</file>