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3F2D1" w14:textId="77777777" w:rsidR="00A72EBA" w:rsidRPr="007F287E" w:rsidRDefault="00A72EBA" w:rsidP="00A72EBA">
      <w:pPr>
        <w:pStyle w:val="SPCaPILhlavika"/>
        <w:rPr>
          <w:lang w:val="sk-SK"/>
        </w:rPr>
      </w:pPr>
      <w:r w:rsidRPr="007F287E">
        <w:rPr>
          <w:lang w:val="sk-SK"/>
        </w:rPr>
        <w:t>SÚHRN CHARAKTERISTICKÝCH VLASTNOSTÍ LIEKU</w:t>
      </w:r>
    </w:p>
    <w:p w14:paraId="30572C2B" w14:textId="77777777" w:rsidR="00A72EBA" w:rsidRPr="00D6277D" w:rsidRDefault="00A72EBA" w:rsidP="008562D2">
      <w:pPr>
        <w:pStyle w:val="Styl1"/>
      </w:pPr>
      <w:r w:rsidRPr="00D6277D">
        <w:t>NÁZOV LIEKU</w:t>
      </w:r>
    </w:p>
    <w:p w14:paraId="1B464B5C" w14:textId="0B2F8C7D" w:rsidR="00055FD4" w:rsidRPr="007F287E" w:rsidRDefault="00FF5CBD" w:rsidP="00F226E0">
      <w:pPr>
        <w:pStyle w:val="Normlndobloku"/>
        <w:jc w:val="left"/>
      </w:pPr>
      <w:r>
        <w:t xml:space="preserve">JIMANDIN </w:t>
      </w:r>
      <w:r w:rsidR="002470FE" w:rsidRPr="007F287E">
        <w:t>50 </w:t>
      </w:r>
      <w:r w:rsidR="00DE7636" w:rsidRPr="007F287E">
        <w:t xml:space="preserve">mg </w:t>
      </w:r>
      <w:r w:rsidR="002470FE" w:rsidRPr="007F287E">
        <w:t xml:space="preserve">filmom obalené </w:t>
      </w:r>
      <w:r w:rsidR="00DE7636" w:rsidRPr="007F287E">
        <w:t>tablety</w:t>
      </w:r>
    </w:p>
    <w:p w14:paraId="2CD2162B" w14:textId="28CBCC08" w:rsidR="002470FE" w:rsidRPr="007F287E" w:rsidRDefault="00575595" w:rsidP="00F226E0">
      <w:pPr>
        <w:pStyle w:val="Normlndobloku"/>
        <w:jc w:val="left"/>
      </w:pPr>
      <w:r>
        <w:t>JIMANDIN</w:t>
      </w:r>
      <w:r w:rsidR="001A6A7D">
        <w:t xml:space="preserve"> </w:t>
      </w:r>
      <w:r w:rsidR="002470FE" w:rsidRPr="007F287E">
        <w:t>100 mg filmom obalené tablety</w:t>
      </w:r>
    </w:p>
    <w:p w14:paraId="281C48D7" w14:textId="77777777" w:rsidR="00A72EBA" w:rsidRPr="00D6277D" w:rsidRDefault="00A72EBA" w:rsidP="008562D2">
      <w:pPr>
        <w:pStyle w:val="Styl1"/>
      </w:pPr>
      <w:r w:rsidRPr="00D6277D">
        <w:t>KVALITATÍVNE A KVANTITATÍVNE ZLOŽENIE</w:t>
      </w:r>
    </w:p>
    <w:p w14:paraId="60231B86" w14:textId="31FF2EDC" w:rsidR="00707D18" w:rsidRPr="007F287E" w:rsidRDefault="00851EB3" w:rsidP="00F226E0">
      <w:pPr>
        <w:pStyle w:val="Normlndobloku"/>
        <w:jc w:val="left"/>
      </w:pPr>
      <w:r>
        <w:t>Jedna</w:t>
      </w:r>
      <w:r w:rsidR="00895EA7" w:rsidRPr="007F287E">
        <w:t xml:space="preserve"> </w:t>
      </w:r>
      <w:r w:rsidR="00DE7636" w:rsidRPr="007F287E">
        <w:t xml:space="preserve">tableta </w:t>
      </w:r>
      <w:r w:rsidR="002470FE" w:rsidRPr="007F287E">
        <w:t xml:space="preserve">lieku JIMANDIN 50 mg filmom obalené tablety obsahuje </w:t>
      </w:r>
      <w:r w:rsidR="0064475E" w:rsidRPr="007F287E">
        <w:t>monohydrát sitagliptíniumfosfátu zodpovedajúci 50 mg sitagliptínu.</w:t>
      </w:r>
    </w:p>
    <w:p w14:paraId="77ECA287" w14:textId="3E48EAFB" w:rsidR="0064475E" w:rsidRPr="007F287E" w:rsidRDefault="00851EB3" w:rsidP="00F226E0">
      <w:pPr>
        <w:pStyle w:val="Normlndobloku"/>
        <w:jc w:val="left"/>
      </w:pPr>
      <w:r>
        <w:t>Jedna</w:t>
      </w:r>
      <w:r w:rsidR="00895EA7" w:rsidRPr="007F287E">
        <w:t xml:space="preserve"> </w:t>
      </w:r>
      <w:r w:rsidR="0064475E" w:rsidRPr="007F287E">
        <w:t>tableta lieku JIMANDIN 100 mg filmom obalené tablety obsahuje monohydrát sitagliptíniumfosfátu zodpovedajúci 100 mg sitagliptínu.</w:t>
      </w:r>
    </w:p>
    <w:p w14:paraId="2D916B75" w14:textId="77777777" w:rsidR="00A72EBA" w:rsidRPr="007F287E" w:rsidRDefault="00A72EBA" w:rsidP="00F226E0">
      <w:pPr>
        <w:pStyle w:val="Normlndobloku"/>
        <w:jc w:val="left"/>
      </w:pPr>
      <w:r w:rsidRPr="007F287E">
        <w:t>Úplný zoznam pomocných látok, pozri časť 6.1.</w:t>
      </w:r>
    </w:p>
    <w:p w14:paraId="3ED43607" w14:textId="77777777" w:rsidR="00A72EBA" w:rsidRPr="00D6277D" w:rsidRDefault="00A72EBA" w:rsidP="008562D2">
      <w:pPr>
        <w:pStyle w:val="Styl1"/>
      </w:pPr>
      <w:r w:rsidRPr="00D6277D">
        <w:t>LIEKOVÁ FORMA</w:t>
      </w:r>
    </w:p>
    <w:p w14:paraId="6E29922B" w14:textId="496D2DDD" w:rsidR="00A72EBA" w:rsidRPr="007F287E" w:rsidRDefault="0064475E" w:rsidP="00F226E0">
      <w:pPr>
        <w:pStyle w:val="Normlndobloku"/>
        <w:jc w:val="left"/>
      </w:pPr>
      <w:r w:rsidRPr="007F287E">
        <w:t>Filmom obalená t</w:t>
      </w:r>
      <w:r w:rsidR="00F87BAE" w:rsidRPr="007F287E">
        <w:t>ableta</w:t>
      </w:r>
    </w:p>
    <w:p w14:paraId="02374434" w14:textId="5C1B1E42" w:rsidR="0020621C" w:rsidRPr="007F287E" w:rsidRDefault="0020621C" w:rsidP="00F226E0">
      <w:pPr>
        <w:pStyle w:val="Normlndobloku"/>
        <w:jc w:val="left"/>
      </w:pPr>
      <w:r w:rsidRPr="007F287E">
        <w:t>JIMANDIN 50 mg: Svetločervená, okrúhla, bikonvexná filmom obalená tableta, s priemerom približne 8 mm.</w:t>
      </w:r>
    </w:p>
    <w:p w14:paraId="1D40373D" w14:textId="1764C323" w:rsidR="0020621C" w:rsidRPr="007F287E" w:rsidRDefault="0020621C" w:rsidP="00F226E0">
      <w:pPr>
        <w:pStyle w:val="Normlndobloku"/>
        <w:jc w:val="left"/>
      </w:pPr>
      <w:r w:rsidRPr="007F287E">
        <w:t>JIMANDIN 100 mg: Svetlohnedá, okrúhla, bikonvexná filmom obalená tableta s priemerom približne 10,3 mm.</w:t>
      </w:r>
    </w:p>
    <w:p w14:paraId="6CE3F3D9" w14:textId="77777777" w:rsidR="00A72EBA" w:rsidRPr="00D6277D" w:rsidRDefault="00A72EBA" w:rsidP="008562D2">
      <w:pPr>
        <w:pStyle w:val="Styl1"/>
      </w:pPr>
      <w:r w:rsidRPr="00D6277D">
        <w:t>KLINICKÉ ÚDAJE</w:t>
      </w:r>
    </w:p>
    <w:p w14:paraId="666D1341" w14:textId="108641D6" w:rsidR="0020621C" w:rsidRPr="007F287E" w:rsidRDefault="00A72EBA">
      <w:pPr>
        <w:pStyle w:val="Styl2"/>
        <w:numPr>
          <w:ilvl w:val="1"/>
          <w:numId w:val="10"/>
        </w:numPr>
        <w:ind w:left="680" w:hanging="680"/>
      </w:pPr>
      <w:r w:rsidRPr="007F287E">
        <w:t>Terapeutické indikácie</w:t>
      </w:r>
    </w:p>
    <w:p w14:paraId="427201DF" w14:textId="04D22733" w:rsidR="0020621C" w:rsidRPr="007F287E" w:rsidRDefault="0020621C" w:rsidP="00F226E0">
      <w:pPr>
        <w:pStyle w:val="Normlndobloku"/>
        <w:jc w:val="left"/>
      </w:pPr>
      <w:r w:rsidRPr="007F287E">
        <w:t xml:space="preserve">Dospelým pacientom s diabetes </w:t>
      </w:r>
      <w:r w:rsidR="00790195" w:rsidRPr="007F287E">
        <w:t>mellitus 2. typu je liek JIMANDIN</w:t>
      </w:r>
      <w:r w:rsidRPr="007F287E">
        <w:t xml:space="preserve"> indikovaný na zlepšenie kontroly glykémie:</w:t>
      </w:r>
    </w:p>
    <w:p w14:paraId="2ABEAA18" w14:textId="3C703508" w:rsidR="0020621C" w:rsidRPr="007F287E" w:rsidRDefault="00790195" w:rsidP="008562D2">
      <w:pPr>
        <w:pStyle w:val="Styl2-2"/>
      </w:pPr>
      <w:r w:rsidRPr="007F287E">
        <w:t>a</w:t>
      </w:r>
      <w:r w:rsidR="0020621C" w:rsidRPr="007F287E">
        <w:t>ko monoterapia</w:t>
      </w:r>
    </w:p>
    <w:p w14:paraId="6F902BA4" w14:textId="142AA8D6" w:rsidR="0020621C" w:rsidRPr="00D6277D" w:rsidRDefault="00790195">
      <w:pPr>
        <w:pStyle w:val="Normlndoblokusodrkami"/>
      </w:pPr>
      <w:r w:rsidRPr="00D6277D">
        <w:t>u </w:t>
      </w:r>
      <w:r w:rsidR="0020621C" w:rsidRPr="00D6277D">
        <w:t>pacientov nedostatočne k</w:t>
      </w:r>
      <w:r w:rsidRPr="00D6277D">
        <w:t>ontrolovaných samotnou diétou a </w:t>
      </w:r>
      <w:r w:rsidR="0020621C" w:rsidRPr="00D6277D">
        <w:t>cvičením, pre kt</w:t>
      </w:r>
      <w:r w:rsidRPr="00D6277D">
        <w:t>orých nie je vhodný metformín z </w:t>
      </w:r>
      <w:r w:rsidR="0020621C" w:rsidRPr="00D6277D">
        <w:t>dôvodu kontraindikácií alebo intolerancie.</w:t>
      </w:r>
    </w:p>
    <w:p w14:paraId="08E71304" w14:textId="4B6FBECE" w:rsidR="0020621C" w:rsidRPr="007F287E" w:rsidRDefault="00790195">
      <w:pPr>
        <w:pStyle w:val="Styl2-2"/>
      </w:pPr>
      <w:r w:rsidRPr="007F287E">
        <w:t>ako duálna perorálna liečba v </w:t>
      </w:r>
      <w:r w:rsidR="0020621C" w:rsidRPr="007F287E">
        <w:t>kombinácii</w:t>
      </w:r>
    </w:p>
    <w:p w14:paraId="23D12B3D" w14:textId="73F06514" w:rsidR="0020621C" w:rsidRPr="00D6277D" w:rsidRDefault="00790195">
      <w:pPr>
        <w:pStyle w:val="Normlndoblokusodrkami"/>
      </w:pPr>
      <w:r w:rsidRPr="00D6277D">
        <w:t>s metformínom, ak diéta a </w:t>
      </w:r>
      <w:r w:rsidR="0020621C" w:rsidRPr="00D6277D">
        <w:t>cvičenie plus samotný metformín nezabezpečia dostatočnú kontrolu glykémie.</w:t>
      </w:r>
    </w:p>
    <w:p w14:paraId="2A749223" w14:textId="4B0638C0" w:rsidR="0020621C" w:rsidRPr="00D6277D" w:rsidRDefault="00790195">
      <w:pPr>
        <w:pStyle w:val="Normlndoblokusodrkami"/>
      </w:pPr>
      <w:r w:rsidRPr="00D6277D">
        <w:t xml:space="preserve">so </w:t>
      </w:r>
      <w:r w:rsidR="00895EA7" w:rsidRPr="00D6277D">
        <w:t>sulfonylmočovinou</w:t>
      </w:r>
      <w:r w:rsidRPr="00D6277D">
        <w:t>, ak diéta a </w:t>
      </w:r>
      <w:r w:rsidR="0020621C" w:rsidRPr="00D6277D">
        <w:t>cvičenie plus maximálna tolerovaná dávka samotnej sulfonyl</w:t>
      </w:r>
      <w:r w:rsidR="00A26F4E">
        <w:t>močoviny</w:t>
      </w:r>
      <w:r w:rsidR="0020621C" w:rsidRPr="00D6277D">
        <w:t xml:space="preserve"> nezabezpečia</w:t>
      </w:r>
      <w:r w:rsidRPr="00D6277D">
        <w:t xml:space="preserve"> dostatočnú kontrolu glykémie a ak z </w:t>
      </w:r>
      <w:r w:rsidR="0020621C" w:rsidRPr="00D6277D">
        <w:t>dôvodu kontraindikácií alebo intolerancie nie je vhodný metformín.</w:t>
      </w:r>
    </w:p>
    <w:p w14:paraId="55170D6C" w14:textId="1EFDAB71" w:rsidR="0020621C" w:rsidRPr="00D6277D" w:rsidRDefault="00790195">
      <w:pPr>
        <w:pStyle w:val="Normlndoblokusodrkami"/>
      </w:pPr>
      <w:r w:rsidRPr="00D6277D">
        <w:t>s </w:t>
      </w:r>
      <w:r w:rsidR="0020621C" w:rsidRPr="00D6277D">
        <w:t>agonistom gama receptora aktivovaného prolifer</w:t>
      </w:r>
      <w:r w:rsidRPr="00D6277D">
        <w:t>átorom peroxizómu (PPAR</w:t>
      </w:r>
      <w:r w:rsidR="00293EEB" w:rsidRPr="00D6277D">
        <w:t>γ</w:t>
      </w:r>
      <w:r w:rsidRPr="00D6277D">
        <w:t>) (t.j. </w:t>
      </w:r>
      <w:r w:rsidR="0020621C" w:rsidRPr="00D6277D">
        <w:t>tiazolidíndiónom), ak je vhodné použiť PPAR</w:t>
      </w:r>
      <w:r w:rsidR="00293EEB" w:rsidRPr="00D6277D">
        <w:t>γ</w:t>
      </w:r>
      <w:r w:rsidRPr="00D6277D">
        <w:t xml:space="preserve"> agonistu a ak diéta a </w:t>
      </w:r>
      <w:r w:rsidR="0020621C" w:rsidRPr="00D6277D">
        <w:t>cvičenie plus samotný PPAR</w:t>
      </w:r>
      <w:r w:rsidR="00293EEB" w:rsidRPr="00D6277D">
        <w:t>γ</w:t>
      </w:r>
      <w:r w:rsidR="0020621C" w:rsidRPr="00D6277D">
        <w:t xml:space="preserve"> agonista nezabezpečia dostatočnú kontrolu glykémie.</w:t>
      </w:r>
    </w:p>
    <w:p w14:paraId="706AD7BA" w14:textId="057F0502" w:rsidR="0020621C" w:rsidRPr="007F287E" w:rsidRDefault="00790195">
      <w:pPr>
        <w:pStyle w:val="Styl2-2"/>
      </w:pPr>
      <w:r w:rsidRPr="007F287E">
        <w:t>ako trojitá perorálna liečba v </w:t>
      </w:r>
      <w:r w:rsidR="0020621C" w:rsidRPr="007F287E">
        <w:t>kombinácii</w:t>
      </w:r>
    </w:p>
    <w:p w14:paraId="4DE2DF33" w14:textId="48BBF2A5" w:rsidR="0020621C" w:rsidRPr="00D6277D" w:rsidRDefault="00790195">
      <w:pPr>
        <w:pStyle w:val="Normlndoblokusodrkami"/>
      </w:pPr>
      <w:r w:rsidRPr="00D6277D">
        <w:t xml:space="preserve">so </w:t>
      </w:r>
      <w:r w:rsidR="003541A9">
        <w:t>s</w:t>
      </w:r>
      <w:r w:rsidR="00575595" w:rsidRPr="00D6277D">
        <w:t>ulfonylmočovinou</w:t>
      </w:r>
      <w:r w:rsidRPr="00D6277D">
        <w:t xml:space="preserve"> a metformínom, ak diéta a </w:t>
      </w:r>
      <w:r w:rsidR="0020621C" w:rsidRPr="00D6277D">
        <w:t>cvičenie plus duálna liečba týmito liekmi nezabezpečia dostatočnú kontrolu glykémie.</w:t>
      </w:r>
      <w:bookmarkStart w:id="0" w:name="_GoBack"/>
      <w:bookmarkEnd w:id="0"/>
    </w:p>
    <w:p w14:paraId="13997F45" w14:textId="0DDC5863" w:rsidR="0020621C" w:rsidRPr="00D6277D" w:rsidRDefault="00790195">
      <w:pPr>
        <w:pStyle w:val="Normlndoblokusodrkami"/>
      </w:pPr>
      <w:r w:rsidRPr="00D6277D">
        <w:lastRenderedPageBreak/>
        <w:t>s PPAR</w:t>
      </w:r>
      <w:r w:rsidR="00293EEB" w:rsidRPr="00D6277D">
        <w:t>γ</w:t>
      </w:r>
      <w:r w:rsidRPr="00D6277D">
        <w:t xml:space="preserve"> agonistom a </w:t>
      </w:r>
      <w:r w:rsidR="0020621C" w:rsidRPr="00D6277D">
        <w:t>metformínom, ak je p</w:t>
      </w:r>
      <w:r w:rsidRPr="00D6277D">
        <w:t>oužitie PPAR</w:t>
      </w:r>
      <w:r w:rsidR="00293EEB" w:rsidRPr="00D6277D">
        <w:t>γ</w:t>
      </w:r>
      <w:r w:rsidRPr="00D6277D">
        <w:t xml:space="preserve"> agonistu vhodné a ak diéta a </w:t>
      </w:r>
      <w:r w:rsidR="0020621C" w:rsidRPr="00D6277D">
        <w:t>cvičenie plus duálna liečba týmito liekmi nezabezpečia dostatočnú kontrolu glykémie.</w:t>
      </w:r>
    </w:p>
    <w:p w14:paraId="346D1685" w14:textId="062F4CA4" w:rsidR="0020621C" w:rsidRPr="007F287E" w:rsidRDefault="00790195" w:rsidP="00F226E0">
      <w:pPr>
        <w:pStyle w:val="Normlndobloku"/>
        <w:jc w:val="left"/>
      </w:pPr>
      <w:r w:rsidRPr="007F287E">
        <w:t>JIMANDIN</w:t>
      </w:r>
      <w:r w:rsidR="0020621C" w:rsidRPr="007F287E">
        <w:t xml:space="preserve"> je tiež i</w:t>
      </w:r>
      <w:r w:rsidRPr="007F287E">
        <w:t>ndikovaný ako prídavná liečba k inzulínu (s </w:t>
      </w:r>
      <w:r w:rsidR="0020621C" w:rsidRPr="007F287E">
        <w:t>metformínom al</w:t>
      </w:r>
      <w:r w:rsidRPr="007F287E">
        <w:t>ebo bez metformínu), ak diéta a </w:t>
      </w:r>
      <w:r w:rsidR="0020621C" w:rsidRPr="007F287E">
        <w:t>cvičenie plus stabilná dávka inzulínu nezabezpečia dostatočnú kontrolu glykémie.</w:t>
      </w:r>
    </w:p>
    <w:p w14:paraId="43BDF2AA" w14:textId="77777777" w:rsidR="00A72EBA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Dávkovanie a spôsob podávania</w:t>
      </w:r>
    </w:p>
    <w:p w14:paraId="69134264" w14:textId="77777777" w:rsidR="00A72EBA" w:rsidRPr="007F287E" w:rsidRDefault="00A72EBA">
      <w:pPr>
        <w:pStyle w:val="Styl2-2"/>
      </w:pPr>
      <w:r w:rsidRPr="007F287E">
        <w:rPr>
          <w:lang w:eastAsia="en-US"/>
        </w:rPr>
        <w:t>Dávkovanie</w:t>
      </w:r>
    </w:p>
    <w:p w14:paraId="469B8BB2" w14:textId="44D77668" w:rsidR="00790195" w:rsidRPr="007F287E" w:rsidRDefault="00790195" w:rsidP="00F226E0">
      <w:pPr>
        <w:pStyle w:val="Normlndobloku"/>
        <w:jc w:val="left"/>
      </w:pPr>
      <w:r w:rsidRPr="007F287E">
        <w:t>Dávka je 100 mg sitagliptínu jedenkrát denne. Pri použití v kombinácii s metformínom a/alebo PPAR</w:t>
      </w:r>
      <w:r w:rsidR="00293EEB" w:rsidRPr="007F287E">
        <w:t>γ</w:t>
      </w:r>
      <w:r w:rsidRPr="007F287E">
        <w:t> agonistom, dávka metformínu a/alebo PPAR</w:t>
      </w:r>
      <w:r w:rsidR="00293EEB" w:rsidRPr="007F287E">
        <w:t>γ</w:t>
      </w:r>
      <w:r w:rsidRPr="007F287E">
        <w:t xml:space="preserve"> agonistu sa má zachovať a JIMANDIN podávať súbežne.</w:t>
      </w:r>
    </w:p>
    <w:p w14:paraId="584AF8EA" w14:textId="75B620A5" w:rsidR="00790195" w:rsidRPr="007F287E" w:rsidRDefault="00790195" w:rsidP="00F226E0">
      <w:pPr>
        <w:pStyle w:val="Normlndobloku"/>
        <w:jc w:val="left"/>
      </w:pPr>
      <w:r w:rsidRPr="007F287E">
        <w:t xml:space="preserve">Keď sa JIMANDIN podáva v kombinácii so </w:t>
      </w:r>
      <w:r w:rsidR="00575595">
        <w:t>s</w:t>
      </w:r>
      <w:r w:rsidR="00575595" w:rsidRPr="00A8055B">
        <w:t>ulfonyl</w:t>
      </w:r>
      <w:r w:rsidR="00575595">
        <w:t>močovinou</w:t>
      </w:r>
      <w:r w:rsidRPr="007F287E">
        <w:t xml:space="preserve"> alebo s inzulínom, môže sa zvážiť nižšia dávka </w:t>
      </w:r>
      <w:r w:rsidR="00575595">
        <w:t>s</w:t>
      </w:r>
      <w:r w:rsidR="00575595" w:rsidRPr="00A8055B">
        <w:t>ulfonyl</w:t>
      </w:r>
      <w:r w:rsidR="00575595">
        <w:t>močoviny</w:t>
      </w:r>
      <w:r w:rsidRPr="007F287E">
        <w:t xml:space="preserve"> alebo inzulínu, aby sa znížilo riziko hypoglykémie (pozri časť 4.4).</w:t>
      </w:r>
    </w:p>
    <w:p w14:paraId="4F3C0D43" w14:textId="4E0AAB68" w:rsidR="00790195" w:rsidRPr="007F287E" w:rsidRDefault="00790195" w:rsidP="00F226E0">
      <w:pPr>
        <w:pStyle w:val="Normlndobloku"/>
        <w:jc w:val="left"/>
      </w:pPr>
      <w:r w:rsidRPr="007F287E">
        <w:t>Ak sa vynechá dávka lieku JIMANDIN, má sa užiť hneď, ako si na to pacient spomenie. V ten istý deň sa nesmie užiť dvojnásobná dávka.</w:t>
      </w:r>
    </w:p>
    <w:p w14:paraId="4DD59E87" w14:textId="77777777" w:rsidR="00790195" w:rsidRPr="00D6277D" w:rsidRDefault="00790195" w:rsidP="008562D2">
      <w:pPr>
        <w:pStyle w:val="Styl3"/>
      </w:pPr>
      <w:r w:rsidRPr="00D6277D">
        <w:t>Osobitné skupiny pacientov</w:t>
      </w:r>
    </w:p>
    <w:p w14:paraId="172F7D0F" w14:textId="77777777" w:rsidR="00790195" w:rsidRPr="007F287E" w:rsidRDefault="00790195">
      <w:pPr>
        <w:pStyle w:val="Styl4"/>
      </w:pPr>
      <w:r w:rsidRPr="007F287E">
        <w:t>Porucha funkcie obličiek</w:t>
      </w:r>
    </w:p>
    <w:p w14:paraId="13DD5E07" w14:textId="4A38C05B" w:rsidR="00790195" w:rsidRPr="007F287E" w:rsidRDefault="00790195" w:rsidP="00F226E0">
      <w:pPr>
        <w:pStyle w:val="Normlndobloku"/>
        <w:jc w:val="left"/>
      </w:pPr>
      <w:r w:rsidRPr="007F287E">
        <w:t>Pri zvažovaní použitia sitagliptínu v kombinácii s ďalším antidiabetickým liekom sa majú overiť jeho podmienky použitia u pacientov s poruchou funkcie obličiek.</w:t>
      </w:r>
    </w:p>
    <w:p w14:paraId="2E6CE126" w14:textId="18E65A5C" w:rsidR="00790195" w:rsidRPr="007F287E" w:rsidRDefault="00790195" w:rsidP="00F226E0">
      <w:pPr>
        <w:pStyle w:val="Normlndobloku"/>
        <w:jc w:val="left"/>
      </w:pPr>
      <w:r w:rsidRPr="007F287E">
        <w:t xml:space="preserve">U pacientov s miernou poruchou funkcie obličiek (klírens kreatinínu [CrCl] </w:t>
      </w:r>
      <w:r w:rsidR="008F25CA" w:rsidRPr="007F287E">
        <w:t>≥</w:t>
      </w:r>
      <w:r w:rsidRPr="007F287E">
        <w:t xml:space="preserve"> 50 ml/min) nie je potrebná úprava dávky.</w:t>
      </w:r>
    </w:p>
    <w:p w14:paraId="220647E6" w14:textId="48AF5FB2" w:rsidR="00790195" w:rsidRPr="007F287E" w:rsidRDefault="00790195" w:rsidP="00F226E0">
      <w:pPr>
        <w:pStyle w:val="Normlndobloku"/>
        <w:jc w:val="left"/>
      </w:pPr>
      <w:r w:rsidRPr="007F287E">
        <w:t>U pacientov so stredne ťažkou poruchou funkcie obličiek (CrCl ≥ 30 až &lt; 50 ml/min) je dávka lieku JIMANDIN 50 mg raz denne.</w:t>
      </w:r>
    </w:p>
    <w:p w14:paraId="6600F4E8" w14:textId="53528B91" w:rsidR="00790195" w:rsidRPr="007F287E" w:rsidRDefault="00790195" w:rsidP="00F226E0">
      <w:pPr>
        <w:pStyle w:val="Normlndobloku"/>
        <w:jc w:val="left"/>
      </w:pPr>
      <w:r w:rsidRPr="007F287E">
        <w:t xml:space="preserve">U pacientov s ťažkou poruchou funkcie obličiek (CrCl &lt; 30 ml/min) alebo </w:t>
      </w:r>
      <w:r w:rsidR="00895EA7">
        <w:t>v</w:t>
      </w:r>
      <w:r w:rsidR="00895EA7" w:rsidRPr="007F287E">
        <w:t> </w:t>
      </w:r>
      <w:r w:rsidRPr="007F287E">
        <w:t>terminálnym štádiom ochorenia obličiek (</w:t>
      </w:r>
      <w:r w:rsidR="00895EA7">
        <w:t xml:space="preserve">z angl end-stage renal disease - </w:t>
      </w:r>
      <w:r w:rsidRPr="007F287E">
        <w:t xml:space="preserve">ESRD) vyžadujúcim hemodialýzu alebo peritoneálnu dialýzu je dávka </w:t>
      </w:r>
      <w:r w:rsidR="00902D75">
        <w:t>sitagliptínu</w:t>
      </w:r>
      <w:r w:rsidRPr="007F287E">
        <w:t xml:space="preserve"> 25 mg raz denne. Liečba sa môže podávať bez ohľadu na načasovanie dialýzy.</w:t>
      </w:r>
    </w:p>
    <w:p w14:paraId="64116CCB" w14:textId="489D82CE" w:rsidR="00790195" w:rsidRPr="007F287E" w:rsidRDefault="00790195" w:rsidP="00F226E0">
      <w:pPr>
        <w:pStyle w:val="Normlndobloku"/>
        <w:jc w:val="left"/>
      </w:pPr>
      <w:r w:rsidRPr="007F287E">
        <w:t>Vzhľadom na úpravu dávkovania na základe činnosti obličiek sa pred začiatkom podávania lieku JIMANDIN a pravidelne potom odporúča hodnotenie činnosti obličiek.</w:t>
      </w:r>
    </w:p>
    <w:p w14:paraId="0B8796B8" w14:textId="77777777" w:rsidR="00790195" w:rsidRPr="007F287E" w:rsidRDefault="00790195" w:rsidP="008562D2">
      <w:pPr>
        <w:pStyle w:val="Styl4"/>
      </w:pPr>
      <w:r w:rsidRPr="007F287E">
        <w:t>Porucha funkcie pečene</w:t>
      </w:r>
    </w:p>
    <w:p w14:paraId="6BADC4B1" w14:textId="077048D6" w:rsidR="00790195" w:rsidRPr="007F287E" w:rsidRDefault="00790195" w:rsidP="00F226E0">
      <w:pPr>
        <w:pStyle w:val="Normlndobloku"/>
        <w:jc w:val="left"/>
      </w:pPr>
      <w:r w:rsidRPr="007F287E">
        <w:t>U pacientov s miernou až stredne ťažkou poruchou funkcie pečene nie je potrebná úprava dávky. Sitagliptín sa neskúmal u pacientov s ťažkou poruchou funkcie pečene a je u nich potrebná opatrnosť (pozri časť 5.2).</w:t>
      </w:r>
    </w:p>
    <w:p w14:paraId="045FAED1" w14:textId="77777777" w:rsidR="00790195" w:rsidRPr="007F287E" w:rsidRDefault="00790195" w:rsidP="00F226E0">
      <w:pPr>
        <w:pStyle w:val="Normlndobloku"/>
        <w:jc w:val="left"/>
      </w:pPr>
      <w:r w:rsidRPr="007F287E">
        <w:t>Vzhľadom na to, že sa sitagliptín vylučuje primárne obličkami, nepredpokladá sa, že ťažká porucha funkcie pečene bude mať vplyv na farmakokinetiku sitagliptínu.</w:t>
      </w:r>
    </w:p>
    <w:p w14:paraId="65C24CC8" w14:textId="2B0515E4" w:rsidR="00790195" w:rsidRPr="007F287E" w:rsidRDefault="00790195" w:rsidP="008562D2">
      <w:pPr>
        <w:pStyle w:val="Styl4"/>
      </w:pPr>
      <w:r w:rsidRPr="007F287E">
        <w:t>Starš</w:t>
      </w:r>
      <w:r w:rsidR="00772E9F">
        <w:t>ie osoby</w:t>
      </w:r>
    </w:p>
    <w:p w14:paraId="6A089215" w14:textId="2C0FCCF0" w:rsidR="00790195" w:rsidRPr="007F287E" w:rsidRDefault="00790195" w:rsidP="00F226E0">
      <w:pPr>
        <w:pStyle w:val="Normlndobloku"/>
        <w:jc w:val="left"/>
      </w:pPr>
      <w:r w:rsidRPr="007F287E">
        <w:t>Nie je potrebná úprava dávky v závislosti od veku.</w:t>
      </w:r>
    </w:p>
    <w:p w14:paraId="65D93260" w14:textId="77777777" w:rsidR="00790195" w:rsidRPr="007F287E" w:rsidRDefault="00790195" w:rsidP="008562D2">
      <w:pPr>
        <w:pStyle w:val="Styl4"/>
      </w:pPr>
      <w:r w:rsidRPr="007F287E">
        <w:t>Pediatrická populácia</w:t>
      </w:r>
    </w:p>
    <w:p w14:paraId="428B800E" w14:textId="37FEC3A2" w:rsidR="00790195" w:rsidRPr="007F287E" w:rsidRDefault="00790195" w:rsidP="00F226E0">
      <w:pPr>
        <w:pStyle w:val="Normlndobloku"/>
        <w:jc w:val="left"/>
      </w:pPr>
      <w:r w:rsidRPr="007F287E">
        <w:t>Bezpečnosť a účinnosť sitagliptínu u detí a dospievajúcich mladších ako 18 rokov neboli doteraz stanovené. K dispozícii nie sú žiadne údaje.</w:t>
      </w:r>
    </w:p>
    <w:p w14:paraId="2D1880CA" w14:textId="77777777" w:rsidR="00384677" w:rsidRPr="007F287E" w:rsidRDefault="00384677" w:rsidP="008562D2">
      <w:pPr>
        <w:pStyle w:val="Styl2-2"/>
        <w:rPr>
          <w:szCs w:val="20"/>
          <w:lang w:eastAsia="en-US"/>
        </w:rPr>
      </w:pPr>
      <w:r w:rsidRPr="007F287E">
        <w:rPr>
          <w:szCs w:val="20"/>
          <w:lang w:eastAsia="en-US"/>
        </w:rPr>
        <w:t>Spôsob podávania</w:t>
      </w:r>
    </w:p>
    <w:p w14:paraId="5BD1A503" w14:textId="2CE07CDC" w:rsidR="00384677" w:rsidRPr="007F287E" w:rsidRDefault="00790195" w:rsidP="00F226E0">
      <w:pPr>
        <w:pStyle w:val="Normlndobloku"/>
        <w:jc w:val="left"/>
      </w:pPr>
      <w:r w:rsidRPr="007F287E">
        <w:t>JIMANDIN sa môže</w:t>
      </w:r>
      <w:r w:rsidR="004C3264" w:rsidRPr="007F287E">
        <w:t xml:space="preserve"> užívať </w:t>
      </w:r>
      <w:r w:rsidRPr="007F287E">
        <w:t>s jedlom alebo bez jedla.</w:t>
      </w:r>
    </w:p>
    <w:p w14:paraId="14B44773" w14:textId="77777777" w:rsidR="00303C65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lastRenderedPageBreak/>
        <w:t>Kontraindikácie</w:t>
      </w:r>
    </w:p>
    <w:p w14:paraId="6325B4B5" w14:textId="6F6A545E" w:rsidR="00303C65" w:rsidRPr="00E745ED" w:rsidRDefault="00303C65" w:rsidP="00F226E0">
      <w:pPr>
        <w:pStyle w:val="Normlndobloku"/>
        <w:jc w:val="left"/>
      </w:pPr>
      <w:r w:rsidRPr="007F287E">
        <w:t>Precitlivenosť na lieči</w:t>
      </w:r>
      <w:r w:rsidR="00532D60" w:rsidRPr="007F287E">
        <w:t>vo</w:t>
      </w:r>
      <w:r w:rsidRPr="007F287E">
        <w:t xml:space="preserve"> alebo na ktorúkoľvek z pomocných látok uvedených v časti 6.1</w:t>
      </w:r>
      <w:r w:rsidR="008F25CA" w:rsidRPr="007F287E">
        <w:t xml:space="preserve"> (pozri body 4.4 a 4.8)</w:t>
      </w:r>
      <w:r w:rsidRPr="00E745ED">
        <w:t>.</w:t>
      </w:r>
    </w:p>
    <w:p w14:paraId="56334375" w14:textId="77777777" w:rsidR="00667631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Osobitné upozornenia a opatrenia pri používaní</w:t>
      </w:r>
    </w:p>
    <w:p w14:paraId="5086B010" w14:textId="77777777" w:rsidR="00D64908" w:rsidRPr="00D6277D" w:rsidRDefault="00D64908">
      <w:pPr>
        <w:pStyle w:val="Styl3"/>
      </w:pPr>
      <w:r w:rsidRPr="00D6277D">
        <w:t>Všeobecné</w:t>
      </w:r>
    </w:p>
    <w:p w14:paraId="0F128BF0" w14:textId="68106165" w:rsidR="001810FA" w:rsidRPr="007F287E" w:rsidRDefault="001810FA" w:rsidP="00F226E0">
      <w:pPr>
        <w:pStyle w:val="Normlndobloku"/>
        <w:jc w:val="left"/>
      </w:pPr>
      <w:r w:rsidRPr="007F287E">
        <w:t>JIMANDIN sa nesmie používať u pacientov s diabetom 1. typu alebo na liečbu diabetickej ketoacidózy.</w:t>
      </w:r>
    </w:p>
    <w:p w14:paraId="558F3FEA" w14:textId="77777777" w:rsidR="001810FA" w:rsidRPr="00D6277D" w:rsidRDefault="001810FA" w:rsidP="008562D2">
      <w:pPr>
        <w:pStyle w:val="Styl3"/>
      </w:pPr>
      <w:r w:rsidRPr="00D6277D">
        <w:t>Akútna pankreatitída</w:t>
      </w:r>
    </w:p>
    <w:p w14:paraId="7393EA04" w14:textId="11157DF3" w:rsidR="001810FA" w:rsidRPr="007F287E" w:rsidRDefault="001810FA" w:rsidP="00F226E0">
      <w:pPr>
        <w:pStyle w:val="Normlndobloku"/>
        <w:jc w:val="left"/>
      </w:pPr>
      <w:r w:rsidRPr="007F287E">
        <w:t>Použitie inhibítorov DPP-4 bolo spojené s rizikom vzniku akútnej pankreatitídy. Pacienti majú byť informovaní o typickom príznaku akútnej pankreatitídy: pretrvávajúca silná bolesť brucha. Po vysadení sitagliptínu (s podpornou liečbou alebo bez nej) sa pozoroval ústup pankreatitídy, boli však hlásené veľmi zriedkavé prípady nekrotizujúcej alebo hemoragickej pankreatitídy a/alebo úmrtie. Ak existuje podozrenie na pankreatitídu, JIMANDIN a ostatné potenciálne podozrivé lieky sa majú vysadiť; ak je akútna pankreatitída potvrdená, JIMANDIN sa nemá začať znova podávať. U pacientov s pankreatitídou v anamnéze je potrebná opatrnosť.</w:t>
      </w:r>
    </w:p>
    <w:p w14:paraId="0C859EE1" w14:textId="5BEEF7B2" w:rsidR="001810FA" w:rsidRPr="00D6277D" w:rsidRDefault="001810FA" w:rsidP="008562D2">
      <w:pPr>
        <w:pStyle w:val="Styl3"/>
      </w:pPr>
      <w:r w:rsidRPr="00D6277D">
        <w:t>Hypoglykémia pri použití v kombinácii s inými antihyperglykemickými liekmi</w:t>
      </w:r>
    </w:p>
    <w:p w14:paraId="7D2CE823" w14:textId="28BBBE02" w:rsidR="001810FA" w:rsidRPr="007F287E" w:rsidRDefault="001810FA" w:rsidP="00F226E0">
      <w:pPr>
        <w:pStyle w:val="Normlndobloku"/>
        <w:jc w:val="left"/>
      </w:pPr>
      <w:r w:rsidRPr="007F287E">
        <w:t>V klinických skúškach so sitagliptínom ako monoterapiou a ako súčasťou kombinovanej liečby liekmi, o ktorých nie je známe, že spôsobujú hypoglykémiu (t.j. metformín a/alebo PPAR</w:t>
      </w:r>
      <w:r w:rsidR="00293EEB" w:rsidRPr="007F287E">
        <w:t>γ</w:t>
      </w:r>
      <w:r w:rsidRPr="007F287E">
        <w:t xml:space="preserve"> agonista), bol výskyt hypoglykémie hlásenej pri sitagliptíne podobný výskytu u pacientov užívajúcich placebo. Hypoglykémia bola pozorovaná, keď bol sitagliptín použitý v kombinácii s inzulínom alebo </w:t>
      </w:r>
      <w:r w:rsidR="00575595">
        <w:t>s</w:t>
      </w:r>
      <w:r w:rsidR="00575595" w:rsidRPr="00A8055B">
        <w:t>ulfonyl</w:t>
      </w:r>
      <w:r w:rsidR="00575595">
        <w:t>močovinou</w:t>
      </w:r>
      <w:r w:rsidRPr="007F287E">
        <w:t xml:space="preserve">. Preto sa z dôvodu zníženia rizika hypoglykémie môže zvážiť nižšia dávka </w:t>
      </w:r>
      <w:r w:rsidR="00575595">
        <w:t>s</w:t>
      </w:r>
      <w:r w:rsidR="00575595" w:rsidRPr="00A8055B">
        <w:t>ulfonyl</w:t>
      </w:r>
      <w:r w:rsidR="00575595">
        <w:t>močoviny</w:t>
      </w:r>
      <w:r w:rsidRPr="007F287E">
        <w:t xml:space="preserve"> alebo inzulínu (pozri časť 4.2).</w:t>
      </w:r>
    </w:p>
    <w:p w14:paraId="3ED29514" w14:textId="77777777" w:rsidR="001810FA" w:rsidRPr="00D6277D" w:rsidRDefault="001810FA" w:rsidP="008562D2">
      <w:pPr>
        <w:pStyle w:val="Styl3"/>
      </w:pPr>
      <w:r w:rsidRPr="00D6277D">
        <w:t>Porucha funkcie obličiek</w:t>
      </w:r>
    </w:p>
    <w:p w14:paraId="2FADFE9A" w14:textId="45752D2A" w:rsidR="001810FA" w:rsidRPr="007F287E" w:rsidRDefault="001810FA" w:rsidP="00F226E0">
      <w:pPr>
        <w:pStyle w:val="Normlndobloku"/>
        <w:jc w:val="left"/>
      </w:pPr>
      <w:r w:rsidRPr="007F287E">
        <w:t xml:space="preserve">Sitagliptín sa vylučuje obličkami. Na dosiahnutie plazmatických koncentrácií sitagliptínu, ktoré sú podobné plazmatickým koncentráciám u pacientov s normálnou funkciou obličiek, sa u pacientov so stredne ťažkou a ťažkou poruchou funkcie obličiek, ako aj u pacientov s ESRD </w:t>
      </w:r>
      <w:r w:rsidR="00895EA7" w:rsidRPr="007F287E">
        <w:t>vyžadujúci</w:t>
      </w:r>
      <w:r w:rsidR="00895EA7">
        <w:t>ch</w:t>
      </w:r>
      <w:r w:rsidR="00895EA7" w:rsidRPr="007F287E">
        <w:t xml:space="preserve"> </w:t>
      </w:r>
      <w:r w:rsidRPr="007F287E">
        <w:t>hemodialýzu alebo peritoneálnu dialýzu, odporúčajú nižšie dávky (pozri časti 4.2 a 5.2).</w:t>
      </w:r>
    </w:p>
    <w:p w14:paraId="410D27B9" w14:textId="09DE0D98" w:rsidR="001810FA" w:rsidRPr="007F287E" w:rsidRDefault="001810FA" w:rsidP="00F226E0">
      <w:pPr>
        <w:pStyle w:val="Normlndobloku"/>
        <w:jc w:val="left"/>
      </w:pPr>
      <w:r w:rsidRPr="007F287E">
        <w:t>Pri zvažovaní použitia sitagliptínu v kombinácii s ďalším antidiabetickým liekom sa majú overiť jeho podmienky použitia u pacientov s poruchou funkcie obličiek.</w:t>
      </w:r>
    </w:p>
    <w:p w14:paraId="30B9AC84" w14:textId="77777777" w:rsidR="001810FA" w:rsidRPr="00D6277D" w:rsidRDefault="001810FA" w:rsidP="008562D2">
      <w:pPr>
        <w:pStyle w:val="Styl3"/>
      </w:pPr>
      <w:r w:rsidRPr="00D6277D">
        <w:t>Reakcie z precitlivenosti</w:t>
      </w:r>
    </w:p>
    <w:p w14:paraId="0C87ABB5" w14:textId="2A9F726C" w:rsidR="001810FA" w:rsidRPr="007F287E" w:rsidRDefault="001810FA" w:rsidP="00F226E0">
      <w:pPr>
        <w:pStyle w:val="Normlndobloku"/>
        <w:jc w:val="left"/>
      </w:pPr>
      <w:r w:rsidRPr="007F287E">
        <w:t>U pacientov liečených sitagliptínom boli po uvedení lieku na trh hlásené správy o závažných reakciách z precitlivenosti. Tieto reakcie zahŕňajú anafylaxiu, angioedém a exfoliatívne kožné choroby vrátane Stevensovho-Johnsonovho syndrómu. Nástup týchto reakcií sa objavil v priebehu prvých 3 mesiacov po nasadení liečby, pričom niektoré hlásenia sa vyskytli po prvej dávke. Ak je podozrenie na reakciu z precitlivenosti, liečba liekom JIMANDIN sa má prerušiť. Majú sa vyhodnotiť iné možné príčiny udalosti a má sa začať alternatívna liečba diabetu.</w:t>
      </w:r>
    </w:p>
    <w:p w14:paraId="1063B588" w14:textId="60ED6A07" w:rsidR="00B550C3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Liekové a iné interakcie</w:t>
      </w:r>
    </w:p>
    <w:p w14:paraId="1AA2410B" w14:textId="255C89CE" w:rsidR="005A52AC" w:rsidRPr="00D6277D" w:rsidRDefault="005A52AC">
      <w:pPr>
        <w:pStyle w:val="Styl3"/>
      </w:pPr>
      <w:r w:rsidRPr="00D6277D">
        <w:t>Účinky iných liekov na sitagliptín</w:t>
      </w:r>
    </w:p>
    <w:p w14:paraId="5DA5F26D" w14:textId="77777777" w:rsidR="005A52AC" w:rsidRPr="007F287E" w:rsidRDefault="005A52AC" w:rsidP="00F226E0">
      <w:pPr>
        <w:pStyle w:val="Normlndobloku"/>
        <w:jc w:val="left"/>
      </w:pPr>
      <w:r w:rsidRPr="007F287E">
        <w:t>Klinické údaje uvedené nižšie poukazujú na to, že riziko klinicky významných interakcií pri súbežnom podaní iných liekov je nízke.</w:t>
      </w:r>
    </w:p>
    <w:p w14:paraId="729BA903" w14:textId="0673E603" w:rsidR="005A52AC" w:rsidRPr="007F287E" w:rsidRDefault="005A52AC" w:rsidP="00F226E0">
      <w:pPr>
        <w:pStyle w:val="Normlndobloku"/>
        <w:jc w:val="left"/>
      </w:pPr>
      <w:r w:rsidRPr="007F287E">
        <w:t xml:space="preserve">Štúdie </w:t>
      </w:r>
      <w:r w:rsidRPr="00E745ED">
        <w:rPr>
          <w:rStyle w:val="Bacil"/>
        </w:rPr>
        <w:t>in vitro</w:t>
      </w:r>
      <w:r w:rsidRPr="007F287E">
        <w:t xml:space="preserve"> ukázali, že primárnym enzýmom zodpovedným za limitovaný metabolizmus sitagliptínu je CYP3A4 s prispením CYP2C8. U pacientov s normálnou funkciou obličiek hrá metabolizmus vrátane cesty cez CYP3A4 iba malú úlohu v klírense sitagliptínu. Metabolizmus môže zohrať významnejšiu úlohu v eliminácii sitagliptínu v podmienkach ťažkej poruchy funkcie obličiek alebo terminálneho štádia ochorenia obličiek (ESRD). Z tohto dôvodu je možné, že silné inhibítory CYP3A4 (napr. ketokonazol, itrakonazol, ritonavir, klaritromycín) môžu meniť farmakokinetiku sitagliptínu u pacientov s ťažkou </w:t>
      </w:r>
      <w:r w:rsidRPr="007F287E">
        <w:lastRenderedPageBreak/>
        <w:t>poruchou funkcie obličiek alebo ESRD. Účinky silných inhibítorov CYP3A4 sa v podmienkach poruchy funkcie obličiek nehodnotili v klinickej štúdii.</w:t>
      </w:r>
    </w:p>
    <w:p w14:paraId="6AADE226" w14:textId="29593321" w:rsidR="005A52AC" w:rsidRPr="007F287E" w:rsidRDefault="005A52AC" w:rsidP="00F226E0">
      <w:pPr>
        <w:pStyle w:val="Normlndobloku"/>
        <w:jc w:val="left"/>
      </w:pPr>
      <w:r w:rsidRPr="007F287E">
        <w:t xml:space="preserve">Transportné štúdie </w:t>
      </w:r>
      <w:r w:rsidRPr="00E745ED">
        <w:rPr>
          <w:rStyle w:val="Bacil"/>
        </w:rPr>
        <w:t>in vitro</w:t>
      </w:r>
      <w:r w:rsidRPr="007F287E">
        <w:t xml:space="preserve"> preukázali, že sitagliptín je substrátom pre p-glykoproteín a organický aniónový transportér-3 (OAT3). Transport sitaglip</w:t>
      </w:r>
      <w:r w:rsidR="007F287E" w:rsidRPr="007F287E">
        <w:t>t</w:t>
      </w:r>
      <w:r w:rsidRPr="007F287E">
        <w:t xml:space="preserve">ínu sprostredkovaný OAT3 bol </w:t>
      </w:r>
      <w:r w:rsidRPr="00E745ED">
        <w:rPr>
          <w:rStyle w:val="Bacil"/>
        </w:rPr>
        <w:t>in vitro</w:t>
      </w:r>
      <w:r w:rsidRPr="007F287E">
        <w:t xml:space="preserve"> inhibovaný probenecidom, hoci riziko klinicky významných interakcií sa považuje za nízke. Súbežné podanie inhibítorov OAT3 sa </w:t>
      </w:r>
      <w:r w:rsidRPr="00E745ED">
        <w:rPr>
          <w:rStyle w:val="Bacil"/>
        </w:rPr>
        <w:t>in vivo</w:t>
      </w:r>
      <w:r w:rsidRPr="007F287E">
        <w:t xml:space="preserve"> nehodnotilo.</w:t>
      </w:r>
    </w:p>
    <w:p w14:paraId="7614AC5F" w14:textId="3F181C53" w:rsidR="005A52AC" w:rsidRPr="007F287E" w:rsidRDefault="005A52AC" w:rsidP="00F226E0">
      <w:pPr>
        <w:pStyle w:val="Normlndobloku"/>
        <w:jc w:val="left"/>
      </w:pPr>
      <w:r w:rsidRPr="007F287E">
        <w:rPr>
          <w:b/>
        </w:rPr>
        <w:t>Metformín:</w:t>
      </w:r>
      <w:r w:rsidRPr="007F287E">
        <w:t xml:space="preserve"> Súbežné podanie opakovaných dávok 1 000 mg metformínu dvakrát denne a 50 mg sitagliptínu významne nezmenilo farmakokinetiku sitagliptínu u pacientov s diabetom 2. typu.</w:t>
      </w:r>
    </w:p>
    <w:p w14:paraId="7E7CA7AD" w14:textId="77777777" w:rsidR="005A52AC" w:rsidRPr="007F287E" w:rsidRDefault="005A52AC" w:rsidP="00F226E0">
      <w:pPr>
        <w:pStyle w:val="Normlndobloku"/>
        <w:jc w:val="left"/>
      </w:pPr>
      <w:r w:rsidRPr="007F287E">
        <w:rPr>
          <w:b/>
        </w:rPr>
        <w:t>Cyklosporín:</w:t>
      </w:r>
      <w:r w:rsidRPr="007F287E">
        <w:t xml:space="preserve"> Uskutočnila sa štúdia na zhodnotenie účinku cyklosporínu, silného inhibítora p-glykoproteínu, na farmakokinetiku sitagliptínu. Súbežné podanie jednej 100 mg perorálnej dávky sitagliptínu a jednej 600 mg perorálnej dávky cyklosporínu zvýšilo AUC sitagliptínu približne o 29 % a Cmax sitagliptínu o 68 %. Tieto zmeny vo farmakokinetike sitagliptínu neboli považované za klinicky významné. Renálny klírens sitagliptínu sa významne nezmenil.</w:t>
      </w:r>
    </w:p>
    <w:p w14:paraId="4BB63B74" w14:textId="307C719B" w:rsidR="005A52AC" w:rsidRPr="007F287E" w:rsidRDefault="005A52AC" w:rsidP="00F226E0">
      <w:pPr>
        <w:pStyle w:val="Normlndobloku"/>
        <w:jc w:val="left"/>
      </w:pPr>
      <w:r w:rsidRPr="007F287E">
        <w:t>Preto nie je predpoklad, že by došlo k významným interakciám s inými inhibítormi p-glykoproteínu.</w:t>
      </w:r>
    </w:p>
    <w:p w14:paraId="74D4F6DC" w14:textId="7CD3F236" w:rsidR="005A52AC" w:rsidRPr="00D6277D" w:rsidRDefault="005A52AC" w:rsidP="008562D2">
      <w:pPr>
        <w:pStyle w:val="Styl3"/>
      </w:pPr>
      <w:r w:rsidRPr="00D6277D">
        <w:t>Účinky sitagliptínu na iné lieky</w:t>
      </w:r>
    </w:p>
    <w:p w14:paraId="48EFA342" w14:textId="037CD4C7" w:rsidR="005A52AC" w:rsidRPr="007F287E" w:rsidRDefault="005A52AC" w:rsidP="00F226E0">
      <w:pPr>
        <w:pStyle w:val="Normlndobloku"/>
        <w:jc w:val="left"/>
      </w:pPr>
      <w:r w:rsidRPr="007F287E">
        <w:rPr>
          <w:b/>
        </w:rPr>
        <w:t>Digoxín:</w:t>
      </w:r>
      <w:r w:rsidRPr="007F287E">
        <w:t xml:space="preserve"> Sitagliptín mal malý účinok na plazmatické koncentr</w:t>
      </w:r>
      <w:r w:rsidR="00FF1B44" w:rsidRPr="007F287E">
        <w:t>ácie digoxínu. Po podávaní 0,25 mg digoxínu súbežne so 100 </w:t>
      </w:r>
      <w:r w:rsidRPr="007F287E">
        <w:t>mg sitagliptínu denne po dobu 10 dní sa plazmatická A</w:t>
      </w:r>
      <w:r w:rsidR="00FF1B44" w:rsidRPr="007F287E">
        <w:t>UC digoxínu zvýšila priemerne o 11 % a plazmatická Cmax priemerne o 18 </w:t>
      </w:r>
      <w:r w:rsidRPr="007F287E">
        <w:t>%. Neodporúča sa žiadna úp</w:t>
      </w:r>
      <w:r w:rsidR="00FF1B44" w:rsidRPr="007F287E">
        <w:t>rava dávky digoxínu. Pacienti s </w:t>
      </w:r>
      <w:r w:rsidRPr="007F287E">
        <w:t>rizikom digoxínovej toxicity však majú byť na ňu</w:t>
      </w:r>
      <w:r w:rsidR="00FF1B44" w:rsidRPr="007F287E">
        <w:t xml:space="preserve"> sledovaní, ak sa sitagliptín a </w:t>
      </w:r>
      <w:r w:rsidRPr="007F287E">
        <w:t>digoxín podávajú súbežne.</w:t>
      </w:r>
    </w:p>
    <w:p w14:paraId="2FEDF6A3" w14:textId="278B166F" w:rsidR="005A52AC" w:rsidRPr="00E745ED" w:rsidRDefault="005A52AC" w:rsidP="00F226E0">
      <w:pPr>
        <w:pStyle w:val="Normlndobloku"/>
        <w:jc w:val="left"/>
        <w:rPr>
          <w:rStyle w:val="Bacil"/>
        </w:rPr>
      </w:pPr>
      <w:r w:rsidRPr="007F287E">
        <w:t xml:space="preserve">Údaje </w:t>
      </w:r>
      <w:r w:rsidRPr="00E745ED">
        <w:rPr>
          <w:rStyle w:val="Bacil"/>
        </w:rPr>
        <w:t>in vitro</w:t>
      </w:r>
      <w:r w:rsidRPr="007F287E">
        <w:t xml:space="preserve"> naznačujú, že sitagliptín neinhibuje ani</w:t>
      </w:r>
      <w:r w:rsidR="00FF1B44" w:rsidRPr="007F287E">
        <w:t xml:space="preserve"> neindukuje izoenzýmy CYP450. V </w:t>
      </w:r>
      <w:r w:rsidRPr="007F287E">
        <w:t>klinických štúdiách sitagliptín významne nezmenil farmakokinetiku metformínu, glyburidu, simvastatínu, rosiglitazónu, warfarínu a</w:t>
      </w:r>
      <w:r w:rsidR="00FF1B44" w:rsidRPr="007F287E">
        <w:t xml:space="preserve">lebo perorálnych kontraceptív a poskytol </w:t>
      </w:r>
      <w:r w:rsidR="00FF1B44" w:rsidRPr="00E745ED">
        <w:rPr>
          <w:rStyle w:val="Bacil"/>
        </w:rPr>
        <w:t>in vivo</w:t>
      </w:r>
      <w:r w:rsidR="00FF1B44" w:rsidRPr="007F287E">
        <w:t xml:space="preserve"> dôkaz o slabej tendencii k </w:t>
      </w:r>
      <w:r w:rsidRPr="007F287E">
        <w:t>spôsobeniu interakcií so subs</w:t>
      </w:r>
      <w:r w:rsidR="00FF1B44" w:rsidRPr="007F287E">
        <w:t>trátmi CYP3A4, CYP2C8, CYP2C9 a </w:t>
      </w:r>
      <w:r w:rsidRPr="007F287E">
        <w:t xml:space="preserve">organického katiónového transportéra (OCT). Sitagliptín môže byť miernym inhibítorom p-glykoproteínu </w:t>
      </w:r>
      <w:r w:rsidRPr="00E745ED">
        <w:rPr>
          <w:rStyle w:val="Bacil"/>
        </w:rPr>
        <w:t>in vivo.</w:t>
      </w:r>
    </w:p>
    <w:p w14:paraId="6584D4A6" w14:textId="0B9FF10E" w:rsidR="008F2638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Fertilita, gravidita a laktácia</w:t>
      </w:r>
    </w:p>
    <w:p w14:paraId="7A8E0C33" w14:textId="77777777" w:rsidR="008F2638" w:rsidRPr="00D6277D" w:rsidRDefault="008F2638">
      <w:pPr>
        <w:pStyle w:val="Styl3"/>
      </w:pPr>
      <w:r w:rsidRPr="00D6277D">
        <w:t>Gravidita</w:t>
      </w:r>
    </w:p>
    <w:p w14:paraId="144C10A8" w14:textId="20542890" w:rsidR="001E7366" w:rsidRPr="007F287E" w:rsidRDefault="001E7366" w:rsidP="00F226E0">
      <w:pPr>
        <w:pStyle w:val="Normlndobloku"/>
        <w:jc w:val="left"/>
      </w:pPr>
      <w:r w:rsidRPr="007F287E">
        <w:t>Nie sú k dispozícii dostatočné údaje o použití sitagliptínu u gravidných žien. Štúdie na zvieratách preukázali reprodukčnú toxicitu pri vysokých dávkach (pozri časť 5.3). Potenciálne riziko u ľudí nie je známe. Vzhľadom na nedostatok údajov u ľudí sa JIMANDIN nemá užívať počas gravidity.</w:t>
      </w:r>
    </w:p>
    <w:p w14:paraId="3C28E389" w14:textId="77777777" w:rsidR="008F2638" w:rsidRPr="00D6277D" w:rsidRDefault="008F2638" w:rsidP="008562D2">
      <w:pPr>
        <w:pStyle w:val="Styl3"/>
      </w:pPr>
      <w:r w:rsidRPr="00D6277D">
        <w:t>Dojčenie</w:t>
      </w:r>
    </w:p>
    <w:p w14:paraId="57A4E79D" w14:textId="3B528750" w:rsidR="001E7366" w:rsidRPr="007F287E" w:rsidRDefault="001E7366" w:rsidP="00F226E0">
      <w:pPr>
        <w:pStyle w:val="Normlndobloku"/>
        <w:jc w:val="left"/>
      </w:pPr>
      <w:r w:rsidRPr="007F287E">
        <w:t xml:space="preserve">Nie je známe, či sa sitagliptín vylučuje do ľudského mlieka. V štúdiách na zvieratách sa zistilo vylučovanie sitagliptínu do materského mlieka. JIMANDIN sa nesmie užívať počas </w:t>
      </w:r>
      <w:r w:rsidR="00902D75">
        <w:t>dojčenia</w:t>
      </w:r>
      <w:r w:rsidRPr="007F287E">
        <w:t>.</w:t>
      </w:r>
    </w:p>
    <w:p w14:paraId="19DC2B05" w14:textId="77777777" w:rsidR="008F2638" w:rsidRPr="00D6277D" w:rsidRDefault="008F2638" w:rsidP="008562D2">
      <w:pPr>
        <w:pStyle w:val="Styl3"/>
      </w:pPr>
      <w:r w:rsidRPr="00D6277D">
        <w:t>Fertilita</w:t>
      </w:r>
    </w:p>
    <w:p w14:paraId="12A3F371" w14:textId="07CEDA83" w:rsidR="001E7366" w:rsidRPr="007F287E" w:rsidRDefault="001E7366" w:rsidP="00F226E0">
      <w:pPr>
        <w:pStyle w:val="Normlndobloku"/>
        <w:jc w:val="left"/>
      </w:pPr>
      <w:r w:rsidRPr="007F287E">
        <w:t>Údaje u zvierat nenaznačujú účinok liečby sitagliptínom na fertilitu mužov a žien. Údaje u ľudí chýbajú.</w:t>
      </w:r>
    </w:p>
    <w:p w14:paraId="3BD9506B" w14:textId="40616E01" w:rsidR="008F2638" w:rsidRPr="00E745ED" w:rsidRDefault="00A72EBA" w:rsidP="008562D2">
      <w:pPr>
        <w:pStyle w:val="Styl2"/>
        <w:numPr>
          <w:ilvl w:val="1"/>
          <w:numId w:val="10"/>
        </w:numPr>
        <w:ind w:left="680" w:hanging="680"/>
        <w:rPr>
          <w:rFonts w:eastAsia="Calibri"/>
        </w:rPr>
      </w:pPr>
      <w:r w:rsidRPr="007F287E">
        <w:t>Ovplyvnenie schopnosti viesť vozidlá a obsluhovať stroje</w:t>
      </w:r>
    </w:p>
    <w:p w14:paraId="7FED85A1" w14:textId="5B808ABE" w:rsidR="001E7366" w:rsidRPr="007F287E" w:rsidRDefault="001E7366" w:rsidP="00F226E0">
      <w:pPr>
        <w:pStyle w:val="Normlndobloku"/>
        <w:jc w:val="left"/>
      </w:pPr>
      <w:r w:rsidRPr="007F287E">
        <w:t>JIMANDIN nemá žiadny alebo má zanedbateľný vplyv na schopnosť viesť vozidlá a obsluhovať stroje. Pri vedení vozidla alebo obsluhovaní strojov však treba zobrať do úvahy, že boli hlásené závrat a somnolencia.</w:t>
      </w:r>
    </w:p>
    <w:p w14:paraId="25A179E1" w14:textId="5E2DE40E" w:rsidR="001E7366" w:rsidRPr="007F287E" w:rsidRDefault="001E7366" w:rsidP="00F226E0">
      <w:pPr>
        <w:pStyle w:val="Normlndobloku"/>
        <w:jc w:val="left"/>
      </w:pPr>
      <w:r w:rsidRPr="007F287E">
        <w:t xml:space="preserve">Okrem toho majú byť pacienti upozornení na riziko hypoglykémie v prípade, že sa JIMANDIN používa v kombinácii so </w:t>
      </w:r>
      <w:r w:rsidR="00575595">
        <w:t>s</w:t>
      </w:r>
      <w:r w:rsidR="00575595" w:rsidRPr="00A8055B">
        <w:t>ulfonyl</w:t>
      </w:r>
      <w:r w:rsidR="00575595">
        <w:t>močovinou</w:t>
      </w:r>
      <w:r w:rsidRPr="007F287E">
        <w:t xml:space="preserve"> alebo s inzulínom.</w:t>
      </w:r>
    </w:p>
    <w:p w14:paraId="64080B7D" w14:textId="4C04B90E" w:rsidR="008F2638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Nežiaduce účinky</w:t>
      </w:r>
    </w:p>
    <w:p w14:paraId="49EF255C" w14:textId="2192C308" w:rsidR="00FC71ED" w:rsidRPr="00D6277D" w:rsidRDefault="008F2638">
      <w:pPr>
        <w:pStyle w:val="Styl3"/>
      </w:pPr>
      <w:r w:rsidRPr="00D6277D">
        <w:t xml:space="preserve">Súhrn </w:t>
      </w:r>
      <w:r w:rsidR="005A4F93" w:rsidRPr="00D6277D">
        <w:t xml:space="preserve">bezpečnostného </w:t>
      </w:r>
      <w:r w:rsidRPr="00D6277D">
        <w:t>profilu</w:t>
      </w:r>
    </w:p>
    <w:p w14:paraId="767926C4" w14:textId="1650CA7F" w:rsidR="00FC71ED" w:rsidRPr="007F287E" w:rsidRDefault="00FC71ED" w:rsidP="00F226E0">
      <w:pPr>
        <w:pStyle w:val="Normlndobloku"/>
        <w:jc w:val="left"/>
      </w:pPr>
      <w:r w:rsidRPr="007F287E">
        <w:t xml:space="preserve">Boli hlásené závažné nežiaduce reakcie zahŕňajúce pankreatitídu a reakcie z precitlivenosti. Pri kombinácii so </w:t>
      </w:r>
      <w:r w:rsidR="00575595">
        <w:t>s</w:t>
      </w:r>
      <w:r w:rsidR="00575595" w:rsidRPr="00A8055B">
        <w:t>ulfonyl</w:t>
      </w:r>
      <w:r w:rsidR="00575595">
        <w:t>močovinou</w:t>
      </w:r>
      <w:r w:rsidRPr="007F287E">
        <w:t xml:space="preserve"> (4,7 % - 13,8 %) a inzulínom (9,6 %) sa hlásila hypoglykémia (pozri časť 4.4).</w:t>
      </w:r>
    </w:p>
    <w:p w14:paraId="20D12012" w14:textId="77777777" w:rsidR="00FC71ED" w:rsidRPr="00D6277D" w:rsidRDefault="00FC71ED" w:rsidP="008562D2">
      <w:pPr>
        <w:pStyle w:val="Styl3"/>
      </w:pPr>
      <w:r w:rsidRPr="00D6277D">
        <w:t>Tabuľkový zoznam nežiaducich reakcií</w:t>
      </w:r>
    </w:p>
    <w:p w14:paraId="11C8178D" w14:textId="0BB47F77" w:rsidR="00FC71ED" w:rsidRPr="007F287E" w:rsidRDefault="00FC71ED" w:rsidP="00F226E0">
      <w:pPr>
        <w:pStyle w:val="Normlndobloku"/>
        <w:jc w:val="left"/>
      </w:pPr>
      <w:r w:rsidRPr="007F287E">
        <w:t>Nežiaduce reakcie sú vymenované nižšie (tabuľka 1) podľa tried orgánových systémov a frekvencie. Frekvencie sú definované ako: veľmi časté (≥ 1/10); časté (≥ 1/100 až &lt; 1/10); menej časté (≥ 1/1 000 až &lt; 1/100); zriedkavé (≥ 1/10000 až &lt; 1/1 000); veľmi zriedkavé (&lt; 1/10 000) a neznáme (z dostupných údajov).</w:t>
      </w:r>
    </w:p>
    <w:p w14:paraId="5AB4BFCC" w14:textId="74BC370D" w:rsidR="00FC71ED" w:rsidRPr="007F287E" w:rsidRDefault="00FC71ED" w:rsidP="00F226E0">
      <w:pPr>
        <w:pStyle w:val="Normlndobloku"/>
        <w:jc w:val="left"/>
      </w:pPr>
      <w:r w:rsidRPr="007F287E">
        <w:t>Tabuľka 1. Frekvencia nežiaducich reakcií zistených v placebom kontrolovaných klinických štúdiách sitagliptínu v monoterapii a pri používaní po uvedení lieku na trh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6614"/>
        <w:gridCol w:w="2774"/>
      </w:tblGrid>
      <w:tr w:rsidR="00FC71ED" w:rsidRPr="007F287E" w14:paraId="17B3BE13" w14:textId="77777777" w:rsidTr="00E745ED">
        <w:trPr>
          <w:trHeight w:val="397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57BB" w14:textId="6C392776" w:rsidR="00FC71ED" w:rsidRPr="00E745ED" w:rsidRDefault="00FC71ED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Nežiaduca reakcia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49779" w14:textId="77777777" w:rsidR="00FC71ED" w:rsidRPr="00E745ED" w:rsidRDefault="00FC71ED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Frekvencia nežiaducej reakcie</w:t>
            </w:r>
          </w:p>
        </w:tc>
      </w:tr>
      <w:tr w:rsidR="00FC71ED" w:rsidRPr="007F287E" w14:paraId="1A250F33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D1F7A" w14:textId="77777777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imunitného systému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D60BD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0EE5C167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D785" w14:textId="154E6A31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reakcie z precitlivenosti vrátane anafylaktických odpovedí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CC171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54509A2E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A0537" w14:textId="1DEDD7ED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metabolizmu a výživy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6D184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15EF3C63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7BFC3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hypoglykémia†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468A3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časté</w:t>
            </w:r>
          </w:p>
        </w:tc>
      </w:tr>
      <w:tr w:rsidR="00FC71ED" w:rsidRPr="007F287E" w14:paraId="66B6FE0F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B355F" w14:textId="77777777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nervového systému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4B5D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21553A23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D6609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bolesť hlavy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1FEA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časté</w:t>
            </w:r>
          </w:p>
        </w:tc>
      </w:tr>
      <w:tr w:rsidR="00FC71ED" w:rsidRPr="007F287E" w14:paraId="09AD73FD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41A5E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závrat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47730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menej časté</w:t>
            </w:r>
          </w:p>
        </w:tc>
      </w:tr>
      <w:tr w:rsidR="00FC71ED" w:rsidRPr="007F287E" w14:paraId="7BDD0010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EBF08" w14:textId="00339443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dýchacej sústavy, hrudníka a mediastína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34CFA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2BE4E74A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85F92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intersticiálne ochorenie pľúc*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4453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32F4C740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F442" w14:textId="77777777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gastrointestinálneho traktu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C7081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190025A7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B98A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zápcha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D46C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menej časté</w:t>
            </w:r>
          </w:p>
        </w:tc>
      </w:tr>
      <w:tr w:rsidR="00FC71ED" w:rsidRPr="007F287E" w14:paraId="301A815F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393B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vracanie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D63CC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7F959E8E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1E186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akútna pankreatitída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*,†,‡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7426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565A2397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BC1A" w14:textId="0835C186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hemoragická a nekrotizujúca pankreatitída s fatálnym koncom alebo bez neho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CF75B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6F93F3D9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7E79" w14:textId="0191EC52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kože a podkožného tkaniva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C94A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7D139B03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EAF1D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pruritus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0B8EF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menej časté</w:t>
            </w:r>
          </w:p>
        </w:tc>
      </w:tr>
      <w:tr w:rsidR="00FC71ED" w:rsidRPr="007F287E" w14:paraId="5FA64AC3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BB65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angioedém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814E4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627C049E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162D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vyrážka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26F13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19371546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9FDA3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urtikária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420B2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3C18B58F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D247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kožná vaskulitída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E24F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2D2B4786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0605" w14:textId="5E0B3A2D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exfoliatívne kožné ochorenia vrátane Stevensovho-Johnsonovho syndrómu</w:t>
            </w:r>
            <w:r w:rsidRPr="007F287E">
              <w:rPr>
                <w:szCs w:val="22"/>
                <w:vertAlign w:val="superscript"/>
                <w:lang w:val="sk-SK" w:eastAsia="sk-SK"/>
              </w:rPr>
              <w:t>*,†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5A3D8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41CEC479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A00A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bulózny pemfigoid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A0F6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002675D0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01B9" w14:textId="1B0D6FEF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kostrovej a svalovej sústavy a spojivového tkaniva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C676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0F464117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250FA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artralgia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96B4D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0C53D501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DA36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myalgia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0EB4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272B4B02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3107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bolesť chrbta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8CB8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6D49154D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4F3D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artropatia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A3E4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72CB7CDC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1560" w14:textId="15F8B3A8" w:rsidR="00FC71ED" w:rsidRPr="00E745ED" w:rsidRDefault="00FC71ED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Poruchy obličiek a močových ciest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DF636" w14:textId="77777777" w:rsidR="00FC71ED" w:rsidRPr="007F287E" w:rsidRDefault="00FC71ED">
            <w:pPr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 </w:t>
            </w:r>
          </w:p>
        </w:tc>
      </w:tr>
      <w:tr w:rsidR="00FC71ED" w:rsidRPr="007F287E" w14:paraId="20975586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1FEE2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porucha funkcie obličiek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DA6D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  <w:tr w:rsidR="00FC71ED" w:rsidRPr="007F287E" w14:paraId="402BD28C" w14:textId="77777777" w:rsidTr="00E745ED">
        <w:trPr>
          <w:trHeight w:val="3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CBEC" w14:textId="77777777" w:rsidR="00FC71ED" w:rsidRPr="007F287E" w:rsidRDefault="00FC71ED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akútne zlyhanie obličiek</w:t>
            </w:r>
            <w:r w:rsidRPr="007F287E">
              <w:rPr>
                <w:szCs w:val="22"/>
                <w:vertAlign w:val="superscript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3F933" w14:textId="77777777" w:rsidR="00FC71ED" w:rsidRPr="007F287E" w:rsidRDefault="00FC71ED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frekvencia neznáma</w:t>
            </w:r>
          </w:p>
        </w:tc>
      </w:tr>
    </w:tbl>
    <w:p w14:paraId="191A8BFB" w14:textId="09D7746E" w:rsidR="00FC71ED" w:rsidRPr="00D6277D" w:rsidRDefault="00FC71ED">
      <w:pPr>
        <w:pStyle w:val="Normlndoblokusodrkami"/>
      </w:pPr>
      <w:r w:rsidRPr="00D6277D">
        <w:t>Nežiaduce reakcie boli identifikované počas dohľadu po uvedení lieku na trh.</w:t>
      </w:r>
    </w:p>
    <w:p w14:paraId="2A78CBC1" w14:textId="77777777" w:rsidR="00FC71ED" w:rsidRPr="007F287E" w:rsidRDefault="00FC71ED" w:rsidP="00F226E0">
      <w:pPr>
        <w:pStyle w:val="Normlndobloku"/>
        <w:jc w:val="left"/>
      </w:pPr>
      <w:r w:rsidRPr="007F287E">
        <w:t>†</w:t>
      </w:r>
      <w:r w:rsidRPr="007F287E">
        <w:rPr>
          <w:vertAlign w:val="superscript"/>
        </w:rPr>
        <w:t xml:space="preserve"> </w:t>
      </w:r>
      <w:r w:rsidRPr="007F287E">
        <w:t>Pozri časť 4.4.</w:t>
      </w:r>
    </w:p>
    <w:p w14:paraId="772D82D0" w14:textId="6F349FB7" w:rsidR="00FC71ED" w:rsidRPr="007F287E" w:rsidRDefault="00FC71ED" w:rsidP="00F226E0">
      <w:pPr>
        <w:pStyle w:val="Normlndobloku"/>
        <w:jc w:val="left"/>
      </w:pPr>
      <w:r w:rsidRPr="007F287E">
        <w:t>‡ Pozri nižšie Štúdiu kardiovaskulárnej bezpečnosti TECOS.</w:t>
      </w:r>
    </w:p>
    <w:p w14:paraId="28006A00" w14:textId="77777777" w:rsidR="00FC71ED" w:rsidRPr="00D6277D" w:rsidRDefault="00FC71ED" w:rsidP="008562D2">
      <w:pPr>
        <w:pStyle w:val="Styl3"/>
      </w:pPr>
      <w:r w:rsidRPr="00D6277D">
        <w:t>Popis vybraných nežiaducich reakcií</w:t>
      </w:r>
    </w:p>
    <w:p w14:paraId="32EF4A9B" w14:textId="2E7E0ADE" w:rsidR="00FC71ED" w:rsidRPr="007F287E" w:rsidRDefault="00FC71ED" w:rsidP="00F226E0">
      <w:pPr>
        <w:pStyle w:val="Normlndobloku"/>
        <w:jc w:val="left"/>
      </w:pPr>
      <w:r w:rsidRPr="007F287E">
        <w:t>Okrem vyššie popísaných nežiaducich účinkov súvisiacich s liekom, nežiaduce účinky, hlásené bez ohľadu na kauzálnu súvislosť s liečbou a vyskytujúce sa najmenej v 5 % a častejšie u pacientov liečených sitagliptínom, zahŕňali infekciu horných dýchacích ciest a nazofaryngitídu. Ďalšie nežiaduce účinky, hlásené bez ohľadu na kauzálnu súvislosť s liečbou, ktoré sa vyskytli častejšie u pacientov liečených sitagliptínom (nedosahujúce hodnotu 5 %, ale vyskytujúce sa s incidenciou &gt; 0,5 % vyššou v skupine so sitagliptínom ako v kontrolnej skupine), zahŕňali osteoartrózu a bolesť v končatine.</w:t>
      </w:r>
    </w:p>
    <w:p w14:paraId="210DF686" w14:textId="4AA651FF" w:rsidR="00FC71ED" w:rsidRPr="007F287E" w:rsidRDefault="00FC71ED" w:rsidP="00F226E0">
      <w:pPr>
        <w:pStyle w:val="Normlndobloku"/>
        <w:jc w:val="left"/>
      </w:pPr>
      <w:r w:rsidRPr="007F287E">
        <w:t xml:space="preserve">Niektoré nežiaduce reakcie boli pozorované častejšie v štúdiách kombinovaného používania sitagliptínu s inými antidiabetickými liekmi, v porovnaní so štúdiami sitagliptínu v monoterapii. Tieto reakcie zahŕňali hypoglykémiu (frekvencia veľmi časté v kombinácii so </w:t>
      </w:r>
      <w:r w:rsidR="00575595">
        <w:t>s</w:t>
      </w:r>
      <w:r w:rsidR="00575595" w:rsidRPr="00A8055B">
        <w:t>ulfonyl</w:t>
      </w:r>
      <w:r w:rsidR="00575595">
        <w:t>močovinou</w:t>
      </w:r>
      <w:r w:rsidRPr="007F287E">
        <w:t xml:space="preserve"> a metformínom), chrípku (časté s inzulínom (s metformínom alebo bez neho)), nauzeu a vracanie (časté s metformínom), plynatosť (časté s metformínom alebo pioglitazónom), zápchu (časté v kombinácii so</w:t>
      </w:r>
      <w:r w:rsidR="00B607B3">
        <w:t xml:space="preserve"> </w:t>
      </w:r>
      <w:r w:rsidR="00575595">
        <w:t>s</w:t>
      </w:r>
      <w:r w:rsidR="00575595" w:rsidRPr="00A8055B">
        <w:t>ulfonyl</w:t>
      </w:r>
      <w:r w:rsidR="00575595">
        <w:t>močovinou</w:t>
      </w:r>
      <w:r w:rsidRPr="007F287E">
        <w:t xml:space="preserve"> a metformínom), periférny edém (časté s pioglitazónom alebo v kombinácii s pioglitazónom a metformínom), somnolenciu a hnačku (menej časté s metformínom) a sucho v ústach (menej časté s inzulínom (s metformínom alebo bez neho)).</w:t>
      </w:r>
    </w:p>
    <w:p w14:paraId="2FB740D5" w14:textId="77777777" w:rsidR="00FC71ED" w:rsidRPr="00D6277D" w:rsidRDefault="00FC71ED" w:rsidP="008562D2">
      <w:pPr>
        <w:pStyle w:val="Styl3"/>
      </w:pPr>
      <w:r w:rsidRPr="00D6277D">
        <w:t>Štúdia kardiovaskulárnej bezpečnosti TECOS</w:t>
      </w:r>
    </w:p>
    <w:p w14:paraId="243EF02A" w14:textId="719F18F7" w:rsidR="00FC71ED" w:rsidRPr="007F287E" w:rsidRDefault="00FC71ED" w:rsidP="00F226E0">
      <w:pPr>
        <w:pStyle w:val="Normlndobloku"/>
        <w:jc w:val="left"/>
      </w:pPr>
      <w:r w:rsidRPr="007F287E">
        <w:t>Skúšanie hodnotiace kardiovaskulárne výsledky pri sitagliptíne (</w:t>
      </w:r>
      <w:r w:rsidRPr="00E745ED">
        <w:rPr>
          <w:rStyle w:val="Bacil"/>
        </w:rPr>
        <w:t xml:space="preserve">The Trial Evaluating Cardiovascular Outcomes with Sitagliptin, </w:t>
      </w:r>
      <w:r w:rsidR="00394DE9" w:rsidRPr="007F287E">
        <w:t>TECOS) zahŕňalo 7 </w:t>
      </w:r>
      <w:r w:rsidRPr="007F287E">
        <w:t>332 pacient</w:t>
      </w:r>
      <w:r w:rsidR="00394DE9" w:rsidRPr="007F287E">
        <w:t>ov liečených sitagliptínom, 100 mg denne (alebo 50 </w:t>
      </w:r>
      <w:r w:rsidRPr="007F287E">
        <w:t>mg denne a</w:t>
      </w:r>
      <w:r w:rsidR="00394DE9" w:rsidRPr="007F287E">
        <w:t>k východisková eGFR bola ≥ 30 a &lt; 50 ml/min/1,73 m2) a 7 </w:t>
      </w:r>
      <w:r w:rsidRPr="007F287E">
        <w:t>339 pac</w:t>
      </w:r>
      <w:r w:rsidR="00394DE9" w:rsidRPr="007F287E">
        <w:t>ientov, ktorí užívali placebo v </w:t>
      </w:r>
      <w:r w:rsidRPr="007F287E">
        <w:t>populácii podľa liečebného zámeru (intention-to-treat). Obidve liečby sa pridali k bežnej starostlivosti zameranej na r</w:t>
      </w:r>
      <w:r w:rsidR="00394DE9" w:rsidRPr="007F287E">
        <w:t>egionálne štandardy pre HbA1c a </w:t>
      </w:r>
      <w:r w:rsidRPr="007F287E">
        <w:t>KV rizikové faktory. Celkový výskyt z</w:t>
      </w:r>
      <w:r w:rsidR="00394DE9" w:rsidRPr="007F287E">
        <w:t>ávažných nežiaducich udalostí u </w:t>
      </w:r>
      <w:r w:rsidRPr="007F287E">
        <w:t>pacientov užívajúcich sitagliptín bol podobný ako</w:t>
      </w:r>
      <w:r w:rsidR="00394DE9" w:rsidRPr="007F287E">
        <w:t xml:space="preserve"> u </w:t>
      </w:r>
      <w:r w:rsidRPr="007F287E">
        <w:t>pacientov užívajúcich placebo.</w:t>
      </w:r>
    </w:p>
    <w:p w14:paraId="11A07B6D" w14:textId="12AE81D9" w:rsidR="00E76763" w:rsidRPr="007F287E" w:rsidRDefault="00394DE9" w:rsidP="00F226E0">
      <w:pPr>
        <w:pStyle w:val="Normlndobloku"/>
        <w:jc w:val="left"/>
      </w:pPr>
      <w:r w:rsidRPr="007F287E">
        <w:t>V </w:t>
      </w:r>
      <w:r w:rsidR="00FC71ED" w:rsidRPr="007F287E">
        <w:t xml:space="preserve">populácii podľa liečebného zámeru (intention-to-treat) bol medzi pacientmi, ktorí na začiatku používali inzulín a/alebo </w:t>
      </w:r>
      <w:r w:rsidR="00575595">
        <w:t>s</w:t>
      </w:r>
      <w:r w:rsidR="00575595" w:rsidRPr="00A8055B">
        <w:t>ulfonyl</w:t>
      </w:r>
      <w:r w:rsidR="00575595">
        <w:t>močovinu</w:t>
      </w:r>
      <w:r w:rsidRPr="007F287E">
        <w:t>, výskyt ťažkej hypoglykémie u </w:t>
      </w:r>
      <w:r w:rsidR="00FC71ED" w:rsidRPr="007F287E">
        <w:t>pa</w:t>
      </w:r>
      <w:r w:rsidRPr="007F287E">
        <w:t>cientov užívajúcich sitagliptín 2,7 % a u </w:t>
      </w:r>
      <w:r w:rsidR="00FC71ED" w:rsidRPr="007F287E">
        <w:t>pacient</w:t>
      </w:r>
      <w:r w:rsidRPr="007F287E">
        <w:t>ov užívajúcich placebo 2,5 </w:t>
      </w:r>
      <w:r w:rsidR="00FC71ED" w:rsidRPr="007F287E">
        <w:t xml:space="preserve">%; medzi pacientmi, ktorí na začiatku nepoužívali inzulín a/alebo </w:t>
      </w:r>
      <w:r w:rsidR="00575595">
        <w:t>s</w:t>
      </w:r>
      <w:r w:rsidR="00575595" w:rsidRPr="00A8055B">
        <w:t>ulfonyl</w:t>
      </w:r>
      <w:r w:rsidR="00575595">
        <w:t>močovinu</w:t>
      </w:r>
      <w:r w:rsidR="00FC71ED" w:rsidRPr="007F287E">
        <w:t xml:space="preserve"> b</w:t>
      </w:r>
      <w:r w:rsidRPr="007F287E">
        <w:t>ol výskyt ťažkej hypoglykémie u </w:t>
      </w:r>
      <w:r w:rsidR="00FC71ED" w:rsidRPr="007F287E">
        <w:t>pacien</w:t>
      </w:r>
      <w:r w:rsidRPr="007F287E">
        <w:t>tov užívajúcich sitagliptín 1,0 % a u </w:t>
      </w:r>
      <w:r w:rsidR="00FC71ED" w:rsidRPr="007F287E">
        <w:t>pa</w:t>
      </w:r>
      <w:r w:rsidRPr="007F287E">
        <w:t>cientov užívajúcich placebo 0,7 </w:t>
      </w:r>
      <w:r w:rsidR="00FC71ED" w:rsidRPr="007F287E">
        <w:t>%. Výskyt potvrdených udalostí pankreat</w:t>
      </w:r>
      <w:r w:rsidRPr="007F287E">
        <w:t>itídy bol u </w:t>
      </w:r>
      <w:r w:rsidR="00FC71ED" w:rsidRPr="007F287E">
        <w:t>pacien</w:t>
      </w:r>
      <w:r w:rsidRPr="007F287E">
        <w:t>tov užívajúcich sitagliptín 0,3 % a u </w:t>
      </w:r>
      <w:r w:rsidR="00FC71ED" w:rsidRPr="007F287E">
        <w:t>pa</w:t>
      </w:r>
      <w:r w:rsidRPr="007F287E">
        <w:t>cientov užívajúcich placebo 0,2 </w:t>
      </w:r>
      <w:r w:rsidR="005A452B" w:rsidRPr="007F287E">
        <w:t>.</w:t>
      </w:r>
    </w:p>
    <w:p w14:paraId="4957D9AF" w14:textId="77777777" w:rsidR="00A72EBA" w:rsidRPr="00D6277D" w:rsidRDefault="00A72EBA" w:rsidP="008562D2">
      <w:pPr>
        <w:pStyle w:val="Styl3"/>
      </w:pPr>
      <w:r w:rsidRPr="00D6277D">
        <w:t>Hlásenie podozrení na nežiaduce reakcie</w:t>
      </w:r>
    </w:p>
    <w:p w14:paraId="4A46DBC0" w14:textId="77777777" w:rsidR="00A72EBA" w:rsidRPr="007F287E" w:rsidRDefault="00A72EBA" w:rsidP="00F226E0">
      <w:pPr>
        <w:pStyle w:val="Normlndobloku"/>
        <w:jc w:val="left"/>
      </w:pPr>
      <w:r w:rsidRPr="007F287E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7F287E">
        <w:rPr>
          <w:highlight w:val="lightGray"/>
        </w:rPr>
        <w:t>na národné centrum hlásenia uvedené v </w:t>
      </w:r>
      <w:hyperlink r:id="rId8" w:history="1">
        <w:r w:rsidRPr="007F287E">
          <w:rPr>
            <w:rStyle w:val="Hypertextovprepojenie"/>
            <w:highlight w:val="lightGray"/>
          </w:rPr>
          <w:t>Prílohe V</w:t>
        </w:r>
      </w:hyperlink>
      <w:r w:rsidRPr="007F287E">
        <w:rPr>
          <w:highlight w:val="lightGray"/>
        </w:rPr>
        <w:t>.</w:t>
      </w:r>
    </w:p>
    <w:p w14:paraId="1B69320A" w14:textId="77777777" w:rsidR="00591A89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Predávkovanie</w:t>
      </w:r>
    </w:p>
    <w:p w14:paraId="2DB16294" w14:textId="74EAAE8D" w:rsidR="00591A89" w:rsidRPr="00D6277D" w:rsidRDefault="00C073ED">
      <w:pPr>
        <w:pStyle w:val="Styl3"/>
      </w:pPr>
      <w:r w:rsidRPr="00D6277D">
        <w:t>Symptómy</w:t>
      </w:r>
    </w:p>
    <w:p w14:paraId="75D02C46" w14:textId="54E1327D" w:rsidR="005A452B" w:rsidRPr="007F287E" w:rsidRDefault="005A452B" w:rsidP="00F226E0">
      <w:pPr>
        <w:pStyle w:val="Normlndobloku"/>
        <w:jc w:val="left"/>
      </w:pPr>
      <w:r w:rsidRPr="007F287E">
        <w:t>Počas kontrolovaných klinických skúšaní u zdravých osôb sa podávali jednorazové dávky sitagliptínu až do 800 mg. V jednej štúdii pri dávke 800 mg sitagliptínu sa pozorovalo minimálne predĺženie QTc, ktoré sa nepovažovalo za klinicky významné. V klinických štúdiách nie sú žiadne skúsenosti s dávkami vyššími ako 800 mg. V štúdiách I. fázy s viacerými dávkami sa pri sitagliptíne v dávkach do 600 mg denne počas období trvajúcich do 10 dní, ani 400 mg denne počas období do 28 dní nepozorovali žiadne s dávkou súvisiace klinické nežiaduce reakcie.</w:t>
      </w:r>
    </w:p>
    <w:p w14:paraId="1DCC85E1" w14:textId="7E8E00C0" w:rsidR="00591A89" w:rsidRPr="00D6277D" w:rsidRDefault="00A25C39" w:rsidP="008562D2">
      <w:pPr>
        <w:pStyle w:val="Styl3"/>
      </w:pPr>
      <w:r w:rsidRPr="00D6277D">
        <w:t>Liečba</w:t>
      </w:r>
    </w:p>
    <w:p w14:paraId="00A913C6" w14:textId="2C0F082E" w:rsidR="005A452B" w:rsidRPr="007F287E" w:rsidRDefault="005A452B" w:rsidP="00F226E0">
      <w:pPr>
        <w:pStyle w:val="Normlndobloku"/>
        <w:jc w:val="left"/>
      </w:pPr>
      <w:r w:rsidRPr="007F287E">
        <w:t>V prípade predávkovania sa odporúča vykonať zvyčajné podporné opatrenia, napr. odstrániť neabsorbovaný liek z gastrointestinálneho traktu, zaviesť klinické monitorovanie (vrátane EKG) a ak je to potrebné, nasadiť podpornú liečbu.</w:t>
      </w:r>
    </w:p>
    <w:p w14:paraId="5BA6DD91" w14:textId="34F6F74C" w:rsidR="005A452B" w:rsidRPr="007F287E" w:rsidRDefault="005A452B" w:rsidP="00F226E0">
      <w:pPr>
        <w:pStyle w:val="Normlndobloku"/>
        <w:jc w:val="left"/>
      </w:pPr>
      <w:r w:rsidRPr="007F287E">
        <w:t>Sitagliptín je mierne dialyzovateľný. V klinických štúdiách bolo približne 13,5 % dávky odstránenej po 3- až 4-hodinovej hemodialýze. Ak je to klinicky vhodné, môže sa zvážiť predĺženie hemodialýzy. Nie je známe, či je sitagliptín dialyzovateľný peritoneálnou dialýzou.</w:t>
      </w:r>
    </w:p>
    <w:p w14:paraId="7FF5007E" w14:textId="77777777" w:rsidR="00A72EBA" w:rsidRPr="00D6277D" w:rsidRDefault="00A72EBA" w:rsidP="008562D2">
      <w:pPr>
        <w:pStyle w:val="Styl1"/>
      </w:pPr>
      <w:r w:rsidRPr="00D6277D">
        <w:t>FARMAKOLOGICKÉ VLASTNOSTI</w:t>
      </w:r>
    </w:p>
    <w:p w14:paraId="7520CC18" w14:textId="77777777" w:rsidR="00A72EBA" w:rsidRPr="007F287E" w:rsidRDefault="00A72EBA">
      <w:pPr>
        <w:pStyle w:val="Styl2"/>
        <w:numPr>
          <w:ilvl w:val="1"/>
          <w:numId w:val="10"/>
        </w:numPr>
        <w:ind w:left="680" w:hanging="680"/>
      </w:pPr>
      <w:r w:rsidRPr="007F287E">
        <w:t>Farmakodynamické vlastnosti</w:t>
      </w:r>
    </w:p>
    <w:p w14:paraId="0642AB56" w14:textId="73EE33A3" w:rsidR="00DC16E3" w:rsidRPr="007F287E" w:rsidRDefault="00A72EBA" w:rsidP="00F226E0">
      <w:pPr>
        <w:pStyle w:val="Normlndobloku"/>
        <w:jc w:val="left"/>
      </w:pPr>
      <w:r w:rsidRPr="007F287E">
        <w:t>Farmakoterapeutická sk</w:t>
      </w:r>
      <w:r w:rsidR="00DC16E3" w:rsidRPr="007F287E">
        <w:t>upina: A</w:t>
      </w:r>
      <w:r w:rsidR="00690B86" w:rsidRPr="007F287E">
        <w:t>ntidiabetiká, inhibítory dipeptidylpep</w:t>
      </w:r>
      <w:r w:rsidR="000E1212" w:rsidRPr="007F287E">
        <w:t>tidázy 4 (DPP), ATC kód: A10BH01</w:t>
      </w:r>
    </w:p>
    <w:p w14:paraId="0B71549B" w14:textId="77777777" w:rsidR="006C1740" w:rsidRPr="00D6277D" w:rsidRDefault="006C1740" w:rsidP="008562D2">
      <w:pPr>
        <w:pStyle w:val="Styl3"/>
      </w:pPr>
      <w:r w:rsidRPr="00D6277D">
        <w:t>Mechanizmus účinku</w:t>
      </w:r>
    </w:p>
    <w:p w14:paraId="4708FDE9" w14:textId="77777777" w:rsidR="000E1212" w:rsidRPr="007F287E" w:rsidRDefault="000E1212" w:rsidP="00F226E0">
      <w:pPr>
        <w:pStyle w:val="Normlndobloku"/>
        <w:jc w:val="left"/>
      </w:pPr>
      <w:r w:rsidRPr="007F287E">
        <w:t>JIMANDIN je člen skupiny perorálnych antihyperglykemických látok nazývaných inhibítory dipeptidyl peptidázy 4 (DPP-4). Zlepšenie glykemickej kontroly pozorované pri tomto lieku môže byť sprostredkované zvýšením hladín aktívnych inkretínových hormónov. Inkretínové hormóny vrátane glukagónu podobného peptidu-1 (GLP-1) a glukózo-dependentného inzulínotropného polypeptidu (GIP) sa uvoľňujú črevom počas dňa a hladiny sa zvyšujú v odpovedi na jedlo. Inkretíny sú súčasťou endogénneho systému zapojeného do fyziologickej regulácie homeostázy glukózy. Keď sú koncentrácie glukózy v krvi normálne alebo zvýšené, GLP-1 a GIP zvyšujú syntézu a uvoľňovanie inzulínu z pankreatických beta buniek intracelulárnymi signálnymi dráhami zahŕňajúcimi cyklický AMP.</w:t>
      </w:r>
    </w:p>
    <w:p w14:paraId="6192633A" w14:textId="4BB829FD" w:rsidR="000E1212" w:rsidRPr="007F287E" w:rsidRDefault="000E1212" w:rsidP="00F226E0">
      <w:pPr>
        <w:pStyle w:val="Normlndobloku"/>
        <w:jc w:val="left"/>
      </w:pPr>
      <w:r w:rsidRPr="007F287E">
        <w:t xml:space="preserve">Liečba s GLP-1 alebo s inhibítormi DPP-4 na zvieracích modeloch diabetu 2. typu preukázala zlepšenie odpovede beta buniek na glukózu a stimuláciu biosyntézy a uvoľňovania inzulínu. Pri vyšších hladinách inzulínu sa zvyšuje vychytávanie glukózy tkanivami. GLP-1 navyše znižuje sekréciu glukagónu z pankreatických alfa buniek. Znížené koncentrácie glukagónu spolu s vyššími hladinami inzulínu vedú k zníženiu tvorby hepatálnej glukózy, čo vedie k zníženiu hladín glukózy v krvi. Účinky GLP-1 a GIP sú závislé od glukózy, teda keď je koncentrácia glukózy v krvi nízka, stimulácia uvoľňovania inzulínu a potláčanie sekrécie glukagónu prostredníctvom GLP-1 sa nepozoruje. Pri GLP-1 aj GIP je stimulácia sekrécie inzulínu zvýšená, keď glukóza stúpne nad normálne koncentrácie. Ďalej, GLP-1 neoslabuje normálnu glukagónovú odpoveď na hypoglykémiu. Aktivita GLP-1 a GIP je obmedzená enzýmom DPP-4, ktorý rýchlo hydrolyzuje inkretínové hormóny na inaktívne látky. Sitagliptín zabraňuje hydrolýze inkretínových hormónov enzýmom DPP-4, dôsledkom čoho zvyšuje plazmatické koncentrácie aktívnych foriem GLP-1 a GIP. Zvyšovaním hladiny aktívnych inkretínov sitagliptín zvyšuje uvoľňovanie inzulínu a znižuje hladiny glukagónu v závislosti od glukózy. U pacientov s diabetom 2. typu s hyperglykémiou viedli tieto zmeny v hladinách inzulínu a glukagónu k zníženiu hemoglobínu A1c (HbA1c) a zníženiu koncentrácií glukózy nalačno a po jedle. Od glukózy závislý mechanizmus sitagliptínu sa líši od mechanizmu </w:t>
      </w:r>
      <w:r w:rsidR="00575595">
        <w:t>s</w:t>
      </w:r>
      <w:r w:rsidR="00575595" w:rsidRPr="00A8055B">
        <w:t>ulfonyl</w:t>
      </w:r>
      <w:r w:rsidR="00575595">
        <w:t>močovín</w:t>
      </w:r>
      <w:r w:rsidRPr="007F287E">
        <w:t>, ktoré zvyšujú sekréciu inzulínu, aj keď sú hladiny glukózy nízke, a môžu u pacientov s diabetes mellitus 2. typu a u zdravých jedincov viesť k hypoglykémii. Sitagliptín je silný a vysoko selektívny inhibítor enzýmu DPP-4 a pri terapeutických koncentráciách neinhibuje blízko príbuzné enzýmy DPP-8 alebo DPP-9.</w:t>
      </w:r>
    </w:p>
    <w:p w14:paraId="47F586DB" w14:textId="77708088" w:rsidR="000E1212" w:rsidRPr="007F287E" w:rsidRDefault="000E1212" w:rsidP="00F226E0">
      <w:pPr>
        <w:pStyle w:val="Normlndobloku"/>
        <w:jc w:val="left"/>
      </w:pPr>
      <w:r w:rsidRPr="007F287E">
        <w:t>V dvojdňovej štúdii u zdravých jedincov zvýšil samotný sitagliptín koncentrácie aktívneho GLP-1, kým samotný metformín zvýšil koncentrácie aktívneho a celkového GLP-1 v podobnom rozsahu. Súbežné podanie sitagliptínu a metformínu malo aditívny účinok na koncentrácie aktívneho GLP-1. Sitagliptín, ale nie metformín, zvýšil koncentrácie aktívneho GIP.</w:t>
      </w:r>
    </w:p>
    <w:p w14:paraId="314350C8" w14:textId="77777777" w:rsidR="000E1212" w:rsidRPr="00D6277D" w:rsidRDefault="000E1212" w:rsidP="008562D2">
      <w:pPr>
        <w:pStyle w:val="Styl3"/>
      </w:pPr>
      <w:r w:rsidRPr="00D6277D">
        <w:t>Klinická účinnosť a bezpečnosť</w:t>
      </w:r>
    </w:p>
    <w:p w14:paraId="7E7EDE98" w14:textId="3B8AA7C5" w:rsidR="000E1212" w:rsidRPr="007F287E" w:rsidRDefault="000E1212" w:rsidP="00F226E0">
      <w:pPr>
        <w:pStyle w:val="Normlndobloku"/>
        <w:jc w:val="left"/>
      </w:pPr>
      <w:r w:rsidRPr="007F287E">
        <w:t xml:space="preserve">Sitagliptín celkovo zlepšil kontrolu glykémie, keď sa </w:t>
      </w:r>
      <w:r w:rsidR="001330AF" w:rsidRPr="007F287E">
        <w:t>podával ako monoterapia alebo v kombinovanej liečbe (pozri T</w:t>
      </w:r>
      <w:r w:rsidRPr="007F287E">
        <w:t>abuľku 2).</w:t>
      </w:r>
    </w:p>
    <w:p w14:paraId="642E7A88" w14:textId="7FBD4384" w:rsidR="000E1212" w:rsidRPr="007F287E" w:rsidRDefault="000E1212" w:rsidP="00F226E0">
      <w:pPr>
        <w:pStyle w:val="Normlndobloku"/>
        <w:jc w:val="left"/>
      </w:pPr>
      <w:r w:rsidRPr="007F287E">
        <w:t>Uskutočnili sa dve št</w:t>
      </w:r>
      <w:r w:rsidR="001330AF" w:rsidRPr="007F287E">
        <w:t>údie na zhodnotenie účinnosti a bezpečnosti sitagliptínu v </w:t>
      </w:r>
      <w:r w:rsidRPr="007F287E">
        <w:t>mono</w:t>
      </w:r>
      <w:r w:rsidR="001330AF" w:rsidRPr="007F287E">
        <w:t>terapii. Liečba sitagliptínom v dávke 100 </w:t>
      </w:r>
      <w:r w:rsidR="00026DB6" w:rsidRPr="007F287E">
        <w:t>mg raz denne v </w:t>
      </w:r>
      <w:r w:rsidRPr="007F287E">
        <w:t>m</w:t>
      </w:r>
      <w:r w:rsidR="001330AF" w:rsidRPr="007F287E">
        <w:t>onoterapii zaistila v </w:t>
      </w:r>
      <w:r w:rsidRPr="007F287E">
        <w:t>dvoch</w:t>
      </w:r>
      <w:r w:rsidR="00026DB6" w:rsidRPr="007F287E">
        <w:t xml:space="preserve"> štúdiách, jednej v </w:t>
      </w:r>
      <w:r w:rsidR="001330AF" w:rsidRPr="007F287E">
        <w:t>trvaní 18 a </w:t>
      </w:r>
      <w:r w:rsidRPr="007F287E">
        <w:t>druhej 24 týždňov, oproti placebu významné zlepšenia HbA1c, plazm</w:t>
      </w:r>
      <w:r w:rsidR="001330AF" w:rsidRPr="007F287E">
        <w:t>atickej glukózy nalačno (FPG) a </w:t>
      </w:r>
      <w:r w:rsidRPr="007F287E">
        <w:t>glukózy po jedle po 2 hodinách (2-hodinová PPG). Pozorovalo sa zlepšenie zástupných markerov funkcie beta buniek zahŕňajúcich HOMA-β (Homeostasis Model A</w:t>
      </w:r>
      <w:r w:rsidR="001330AF" w:rsidRPr="007F287E">
        <w:t>ssessment-β), pomer proinzulínu k inzulínu a mieru odpovede beta buniek z </w:t>
      </w:r>
      <w:r w:rsidRPr="007F287E">
        <w:t>tolerančného testu častých vzoriek jedla. V</w:t>
      </w:r>
      <w:r w:rsidR="001330AF" w:rsidRPr="007F287E">
        <w:t>ýskyt hypoglykémie pozorovaný u </w:t>
      </w:r>
      <w:r w:rsidRPr="007F287E">
        <w:t xml:space="preserve">pacientov liečených </w:t>
      </w:r>
      <w:r w:rsidR="001330AF" w:rsidRPr="007F287E">
        <w:t>sitagliptínom bol podobný ako u </w:t>
      </w:r>
      <w:r w:rsidRPr="007F287E">
        <w:t>pacientov, ktorým bolo podávané placebo. Telesná hmotnosť sa oproti východiskovému stavu pri terapi</w:t>
      </w:r>
      <w:r w:rsidR="001330AF" w:rsidRPr="007F287E">
        <w:t>i sitagliptínom nezvýšila ani v jednej štúdii, v porovnaní s malým úbytkom hmotnosti u </w:t>
      </w:r>
      <w:r w:rsidRPr="007F287E">
        <w:t>pacientov, ktorým bolo podávané placebo.</w:t>
      </w:r>
    </w:p>
    <w:p w14:paraId="661FA346" w14:textId="5C77A73E" w:rsidR="000E1212" w:rsidRPr="007F287E" w:rsidRDefault="001330AF" w:rsidP="00F226E0">
      <w:pPr>
        <w:pStyle w:val="Normlndobloku"/>
        <w:jc w:val="left"/>
      </w:pPr>
      <w:r w:rsidRPr="007F287E">
        <w:t>V </w:t>
      </w:r>
      <w:r w:rsidR="000E1212" w:rsidRPr="007F287E">
        <w:t>dvoch 24-týždňových štúdiách sitag</w:t>
      </w:r>
      <w:r w:rsidRPr="007F287E">
        <w:t>liptínu ako prídavnej liečby, v jednej v kombinácii s metformínom a v druhej v kombinácii s </w:t>
      </w:r>
      <w:r w:rsidR="000E1212" w:rsidRPr="007F287E">
        <w:t>pioglit</w:t>
      </w:r>
      <w:r w:rsidRPr="007F287E">
        <w:t>azónom, zaistil sitagliptín 100 mg raz denne v porovnaní s </w:t>
      </w:r>
      <w:r w:rsidR="000E1212" w:rsidRPr="007F287E">
        <w:t>placebom signifikantné zlepšenia glykemických parametrov. Zmena telesnej hmotnosti oproti výc</w:t>
      </w:r>
      <w:r w:rsidRPr="007F287E">
        <w:t>hodiskovej hodnote bola u </w:t>
      </w:r>
      <w:r w:rsidR="000E1212" w:rsidRPr="007F287E">
        <w:t>pacientov liečených s</w:t>
      </w:r>
      <w:r w:rsidRPr="007F287E">
        <w:t>itagliptínom podobná placebu. V </w:t>
      </w:r>
      <w:r w:rsidR="000E1212" w:rsidRPr="007F287E">
        <w:t>týchto štúdiách bola inc</w:t>
      </w:r>
      <w:r w:rsidRPr="007F287E">
        <w:t>idencia hypoglykémie hlásenej u </w:t>
      </w:r>
      <w:r w:rsidR="000E1212" w:rsidRPr="007F287E">
        <w:t>pacientov liečených sitagliptínom alebo placebom podobná.</w:t>
      </w:r>
    </w:p>
    <w:p w14:paraId="66C79589" w14:textId="261BEF49" w:rsidR="000E1212" w:rsidRPr="007F287E" w:rsidRDefault="000E1212" w:rsidP="00F226E0">
      <w:pPr>
        <w:pStyle w:val="Normlndobloku"/>
        <w:jc w:val="left"/>
      </w:pPr>
      <w:r w:rsidRPr="007F287E">
        <w:t>24-týždňová placebom kontrolovaná štúdia bola navrhnutá tak, ab</w:t>
      </w:r>
      <w:r w:rsidR="001330AF" w:rsidRPr="007F287E">
        <w:t>y vyhodnotila účinnosť a bezpečnosť sitagliptínu (100 mg raz denne) pridaného k samotnému glimepiridu alebo ku glimepiridu v kombinácii s </w:t>
      </w:r>
      <w:r w:rsidRPr="007F287E">
        <w:t>metfo</w:t>
      </w:r>
      <w:r w:rsidR="001330AF" w:rsidRPr="007F287E">
        <w:t>rmínom. Pridanie sitagliptínu k </w:t>
      </w:r>
      <w:r w:rsidRPr="007F287E">
        <w:t>samotnému gli</w:t>
      </w:r>
      <w:r w:rsidR="001330AF" w:rsidRPr="007F287E">
        <w:t>mepiridu alebo ku glimepiridu a </w:t>
      </w:r>
      <w:r w:rsidRPr="007F287E">
        <w:t>metformínu zabezpečilo signifikantné zlepšenia glykemických parametrov.</w:t>
      </w:r>
    </w:p>
    <w:p w14:paraId="11C09232" w14:textId="094AF2F3" w:rsidR="000E1212" w:rsidRPr="007F287E" w:rsidRDefault="001330AF" w:rsidP="00F226E0">
      <w:pPr>
        <w:pStyle w:val="Normlndobloku"/>
        <w:jc w:val="left"/>
      </w:pPr>
      <w:r w:rsidRPr="007F287E">
        <w:t>U </w:t>
      </w:r>
      <w:r w:rsidR="000E1212" w:rsidRPr="007F287E">
        <w:t xml:space="preserve">pacientov </w:t>
      </w:r>
      <w:r w:rsidRPr="007F287E">
        <w:t>liečených sitagliptínom došlo v porovnaní s </w:t>
      </w:r>
      <w:r w:rsidR="000E1212" w:rsidRPr="007F287E">
        <w:t>pacien</w:t>
      </w:r>
      <w:r w:rsidRPr="007F287E">
        <w:t>tmi, ktorí dostávali placebo, k </w:t>
      </w:r>
      <w:r w:rsidR="000E1212" w:rsidRPr="007F287E">
        <w:t>miernemu nárastu telesnej hmotnosti.</w:t>
      </w:r>
    </w:p>
    <w:p w14:paraId="23B55172" w14:textId="72F6B90E" w:rsidR="000E1212" w:rsidRPr="007F287E" w:rsidRDefault="000E1212" w:rsidP="00F226E0">
      <w:pPr>
        <w:pStyle w:val="Normlndobloku"/>
        <w:jc w:val="left"/>
      </w:pPr>
      <w:r w:rsidRPr="007F287E">
        <w:t>26-týždňová placebom kontrolovaná štúdia bola navrhnut</w:t>
      </w:r>
      <w:r w:rsidR="001330AF" w:rsidRPr="007F287E">
        <w:t>á tak, aby vyhodnotila účinnosť a </w:t>
      </w:r>
      <w:r w:rsidRPr="007F287E">
        <w:t>b</w:t>
      </w:r>
      <w:r w:rsidR="001330AF" w:rsidRPr="007F287E">
        <w:t>ezpečnosť sitagliptínu (100 </w:t>
      </w:r>
      <w:r w:rsidRPr="007F287E">
        <w:t>mg raz denne) pridané</w:t>
      </w:r>
      <w:r w:rsidR="001330AF" w:rsidRPr="007F287E">
        <w:t>ho ku kombinácii pioglitazónu a </w:t>
      </w:r>
      <w:r w:rsidRPr="007F287E">
        <w:t>metf</w:t>
      </w:r>
      <w:r w:rsidR="001330AF" w:rsidRPr="007F287E">
        <w:t>ormínu. Pridanie sitagliptínu k pioglitazónu a </w:t>
      </w:r>
      <w:r w:rsidRPr="007F287E">
        <w:t>metformínu zabezpečilo signifikantné zlepšenia glykemických parametrov. Zmena telesnej hmotnosti oproti východiskovej hodnot</w:t>
      </w:r>
      <w:r w:rsidR="001330AF" w:rsidRPr="007F287E">
        <w:t>e bola u </w:t>
      </w:r>
      <w:r w:rsidRPr="007F287E">
        <w:t>pacientov liečených sitagliptínom podobná ako pri placeb</w:t>
      </w:r>
      <w:r w:rsidR="001330AF" w:rsidRPr="007F287E">
        <w:t>e. Aj výskyt hypoglykémie bol u </w:t>
      </w:r>
      <w:r w:rsidRPr="007F287E">
        <w:t>pacientov liečených sitagliptínom podobný ako pri placebe.</w:t>
      </w:r>
    </w:p>
    <w:p w14:paraId="7E024E9D" w14:textId="0F54847C" w:rsidR="000E1212" w:rsidRPr="007F287E" w:rsidRDefault="000E1212" w:rsidP="00F226E0">
      <w:pPr>
        <w:pStyle w:val="Normlndobloku"/>
        <w:jc w:val="left"/>
      </w:pPr>
      <w:r w:rsidRPr="007F287E">
        <w:t>24-týždňová placebom kontrolovaná štúdia bola navrhnut</w:t>
      </w:r>
      <w:r w:rsidR="001330AF" w:rsidRPr="007F287E">
        <w:t>á tak, aby vyhodnotila účinnosť a </w:t>
      </w:r>
      <w:r w:rsidRPr="007F287E">
        <w:t>bezpečnosť s</w:t>
      </w:r>
      <w:r w:rsidR="001330AF" w:rsidRPr="007F287E">
        <w:t>itagliptínu (100 mg raz denne) pridaného k </w:t>
      </w:r>
      <w:r w:rsidRPr="007F287E">
        <w:t xml:space="preserve">inzulínu </w:t>
      </w:r>
      <w:r w:rsidR="001330AF" w:rsidRPr="007F287E">
        <w:t>(stabilná dávka počas minimálne 10 týždňov) s metformínom (minimálne 1 500 mg) alebo bez metformínu. U </w:t>
      </w:r>
      <w:r w:rsidRPr="007F287E">
        <w:t xml:space="preserve">pacientov užívajúcich premixovaný inzulín </w:t>
      </w:r>
      <w:r w:rsidR="001330AF" w:rsidRPr="007F287E">
        <w:t>bola priemerná denná dávka 70,9 U/deň. U </w:t>
      </w:r>
      <w:r w:rsidRPr="007F287E">
        <w:t xml:space="preserve">pacientov užívajúcich nepremixovaný (intermediárny/dlhodobý) inzulín </w:t>
      </w:r>
      <w:r w:rsidR="001330AF" w:rsidRPr="007F287E">
        <w:t>bola priemerná denná dávka 44,3 U/deň. Pridanie sitagliptínu k </w:t>
      </w:r>
      <w:r w:rsidRPr="007F287E">
        <w:t>inzulínu zaistilo významné zlepš</w:t>
      </w:r>
      <w:r w:rsidR="001330AF" w:rsidRPr="007F287E">
        <w:t>enia glykemických parametrov. V žiadnej zo skupín nedošlo k </w:t>
      </w:r>
      <w:r w:rsidRPr="007F287E">
        <w:t>významnej zmene telesnej hmotnosti oproti východiskovým hodnotám.</w:t>
      </w:r>
    </w:p>
    <w:p w14:paraId="398ED2D3" w14:textId="6C240E05" w:rsidR="000E1212" w:rsidRPr="007F287E" w:rsidRDefault="001330AF" w:rsidP="00F226E0">
      <w:pPr>
        <w:pStyle w:val="Normlndobloku"/>
        <w:jc w:val="left"/>
      </w:pPr>
      <w:r w:rsidRPr="007F287E">
        <w:t>V </w:t>
      </w:r>
      <w:r w:rsidR="000E1212" w:rsidRPr="007F287E">
        <w:t>24-týždňovej placebom kontrolovanej faktoriálovej štúdii počiato</w:t>
      </w:r>
      <w:r w:rsidRPr="007F287E">
        <w:t>čnej liečby zaistil sitagliptín 50 mg dvakrát denne v kombinácii s metformínom (500 mg alebo 1 000 mg dvakrát denne) v porovnaní s monoterapiou každým z </w:t>
      </w:r>
      <w:r w:rsidR="000E1212" w:rsidRPr="007F287E">
        <w:t>liečiv signifikantné zlepšenia glykemických parametrov. Pokles telesnej hmotnosti bo</w:t>
      </w:r>
      <w:r w:rsidRPr="007F287E">
        <w:t>l pri kombinácii sitagliptínu a </w:t>
      </w:r>
      <w:r w:rsidR="000E1212" w:rsidRPr="007F287E">
        <w:t xml:space="preserve">metformínu podobný ako pokles pozorovaný pri samotnom </w:t>
      </w:r>
      <w:r w:rsidRPr="007F287E">
        <w:t>metformíne alebo placebe; u </w:t>
      </w:r>
      <w:r w:rsidR="000E1212" w:rsidRPr="007F287E">
        <w:t>pacientov liečených samotným sitag</w:t>
      </w:r>
      <w:r w:rsidR="007F287E">
        <w:t>l</w:t>
      </w:r>
      <w:r w:rsidR="000E1212" w:rsidRPr="007F287E">
        <w:t>iptínom nedošlo oproti východiskovej hodnote k zmene.</w:t>
      </w:r>
      <w:r w:rsidRPr="007F287E">
        <w:t xml:space="preserve"> Incidencia hypoglykémie bola v </w:t>
      </w:r>
      <w:r w:rsidR="000E1212" w:rsidRPr="007F287E">
        <w:t>liečebných skupinách podobná.</w:t>
      </w:r>
    </w:p>
    <w:p w14:paraId="143FE908" w14:textId="39BC282D" w:rsidR="000E1212" w:rsidRPr="007F287E" w:rsidRDefault="001330AF" w:rsidP="00F226E0">
      <w:pPr>
        <w:pStyle w:val="Normlndobloku"/>
        <w:jc w:val="left"/>
      </w:pPr>
      <w:r w:rsidRPr="007F287E">
        <w:t>Tabuľka 2: Výsledky HbA1c v placebom kontrolovaných štúdiách monoterapie a kombinovanej terapie</w:t>
      </w:r>
      <w:r w:rsidRPr="007F287E">
        <w:rPr>
          <w:vertAlign w:val="superscript"/>
        </w:rPr>
        <w:t>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399"/>
        <w:gridCol w:w="1766"/>
        <w:gridCol w:w="1963"/>
        <w:gridCol w:w="2260"/>
      </w:tblGrid>
      <w:tr w:rsidR="001330AF" w:rsidRPr="007F287E" w14:paraId="27CDF692" w14:textId="77777777" w:rsidTr="00E745E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96BA" w14:textId="77777777" w:rsidR="001330AF" w:rsidRPr="00E745ED" w:rsidRDefault="001330AF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Štúdia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C24E7" w14:textId="77777777" w:rsidR="001330AF" w:rsidRPr="00E745ED" w:rsidRDefault="001330AF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Priemerná východisková hodnota HbA1c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088C3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E745ED">
              <w:rPr>
                <w:rStyle w:val="tlTun"/>
              </w:rPr>
              <w:t>Priemerná zmena HbA1c oproti východiskovej hodnote (%)</w:t>
            </w:r>
            <w:r w:rsidRPr="007F287E">
              <w:rPr>
                <w:szCs w:val="22"/>
                <w:lang w:val="sk-SK" w:eastAsia="sk-SK"/>
              </w:rPr>
              <w:t>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6853" w14:textId="49627BD8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E745ED">
              <w:rPr>
                <w:rStyle w:val="tlTun"/>
              </w:rPr>
              <w:t>Placebom korigovaná priemerná zmena HbA1c oproti východiskovej hodnote (%)</w:t>
            </w:r>
            <w:r w:rsidRPr="007F287E">
              <w:rPr>
                <w:szCs w:val="22"/>
                <w:lang w:val="sk-SK" w:eastAsia="sk-SK"/>
              </w:rPr>
              <w:t>† </w:t>
            </w:r>
            <w:r w:rsidRPr="00E745ED">
              <w:rPr>
                <w:rStyle w:val="tlTun"/>
              </w:rPr>
              <w:t>(95 % IS)</w:t>
            </w:r>
          </w:p>
        </w:tc>
      </w:tr>
      <w:tr w:rsidR="001330AF" w:rsidRPr="007F287E" w14:paraId="73BFE652" w14:textId="77777777" w:rsidTr="00E745ED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8FE48" w14:textId="77777777" w:rsidR="001330AF" w:rsidRPr="00E745ED" w:rsidRDefault="001330AF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Štúdie monoterapie</w:t>
            </w:r>
          </w:p>
        </w:tc>
      </w:tr>
      <w:tr w:rsidR="001330AF" w:rsidRPr="007F287E" w14:paraId="52CA39FF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D3A6" w14:textId="41441B27" w:rsidR="001330AF" w:rsidRPr="007F287E" w:rsidRDefault="001330AF" w:rsidP="007D7EB2">
            <w:pPr>
              <w:spacing w:before="100" w:beforeAutospacing="1" w:after="100" w:afterAutospacing="1"/>
              <w:rPr>
                <w:szCs w:val="22"/>
                <w:vertAlign w:val="superscript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Sitagliptín 100 mg raz denne</w:t>
            </w:r>
            <w:r w:rsidRPr="007F287E">
              <w:rPr>
                <w:szCs w:val="22"/>
                <w:vertAlign w:val="superscript"/>
                <w:lang w:val="sk-SK" w:eastAsia="sk-SK"/>
              </w:rPr>
              <w:t>§</w:t>
            </w:r>
          </w:p>
          <w:p w14:paraId="5C0B4485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(N=193)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8B84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21B1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5BDD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vertAlign w:val="superscript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-0,6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24D321F3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(-0,8, -0,4)</w:t>
            </w:r>
          </w:p>
        </w:tc>
      </w:tr>
      <w:tr w:rsidR="001330AF" w:rsidRPr="007F287E" w14:paraId="10CE9B2D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D9DB" w14:textId="3A7A8C1E" w:rsidR="001330AF" w:rsidRPr="007F287E" w:rsidRDefault="001330AF" w:rsidP="007D7EB2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Sitagliptín 100 mg raz denne</w:t>
            </w:r>
            <w:r w:rsidRPr="007F287E">
              <w:rPr>
                <w:szCs w:val="22"/>
                <w:vertAlign w:val="superscript"/>
                <w:lang w:val="sk-SK" w:eastAsia="sk-SK"/>
              </w:rPr>
              <w:t>II</w:t>
            </w:r>
          </w:p>
          <w:p w14:paraId="67F587D0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(N=229)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82DEC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69E23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D71AB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-0,8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265E7581" w14:textId="77777777" w:rsidR="001330AF" w:rsidRPr="007F287E" w:rsidRDefault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(-1,0, -0,6)</w:t>
            </w:r>
          </w:p>
        </w:tc>
      </w:tr>
      <w:tr w:rsidR="001330AF" w:rsidRPr="007F287E" w14:paraId="33C30F29" w14:textId="77777777" w:rsidTr="00E745ED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C17F" w14:textId="77777777" w:rsidR="001330AF" w:rsidRPr="00E745ED" w:rsidRDefault="001330AF" w:rsidP="007D7EB2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Štúdie kombinovanej terapie</w:t>
            </w:r>
          </w:p>
        </w:tc>
      </w:tr>
      <w:tr w:rsidR="001330AF" w:rsidRPr="007F287E" w14:paraId="21D8254E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9728E" w14:textId="60C494C4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Sitagliptín 100 mg raz denne pridaný k prebiehajúcej liečbe metformínom</w:t>
            </w:r>
            <w:r w:rsidRPr="007F287E">
              <w:rPr>
                <w:szCs w:val="22"/>
                <w:vertAlign w:val="superscript"/>
                <w:lang w:val="sk-SK" w:eastAsia="sk-SK"/>
              </w:rPr>
              <w:t>II</w:t>
            </w:r>
          </w:p>
          <w:p w14:paraId="1A1CA98C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(N=453)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3248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C681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0E3D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-0,7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326D3006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(-0,8, -0,5)</w:t>
            </w:r>
          </w:p>
        </w:tc>
      </w:tr>
      <w:tr w:rsidR="001330AF" w:rsidRPr="007F287E" w14:paraId="393C10D0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BF3FA" w14:textId="2CAEA856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Sitagliptín 100 mg raz denne pridaný k prebiehajúcej liečbe pioglitazónom</w:t>
            </w:r>
            <w:r w:rsidRPr="007F287E">
              <w:rPr>
                <w:szCs w:val="22"/>
                <w:vertAlign w:val="superscript"/>
                <w:lang w:val="sk-SK" w:eastAsia="sk-SK"/>
              </w:rPr>
              <w:t>II</w:t>
            </w:r>
          </w:p>
          <w:p w14:paraId="576BCB6F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(N=163)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46B3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D3804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AB603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-0,7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4EF572A5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(-0,9, -0,5)</w:t>
            </w:r>
          </w:p>
        </w:tc>
      </w:tr>
      <w:tr w:rsidR="001330AF" w:rsidRPr="007F287E" w14:paraId="74BA4947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D27B" w14:textId="7DA9AB50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Sitagliptín 100 mg raz denne pridaný k prebiehajúcej liečbe glimepiridom</w:t>
            </w:r>
            <w:r w:rsidRPr="007F287E">
              <w:rPr>
                <w:szCs w:val="22"/>
                <w:vertAlign w:val="superscript"/>
                <w:lang w:val="sk-SK" w:eastAsia="sk-SK"/>
              </w:rPr>
              <w:t>II</w:t>
            </w:r>
          </w:p>
          <w:p w14:paraId="3A608722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(N=102)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D0403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A6B4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B2967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vertAlign w:val="superscript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-0,6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585FF802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(-0,8, -0,3)</w:t>
            </w:r>
          </w:p>
        </w:tc>
      </w:tr>
      <w:tr w:rsidR="001330AF" w:rsidRPr="007F287E" w14:paraId="1E2DE94A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1FDB" w14:textId="36BA0816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Sitagliptín 100 mg raz denne pridaný k prebiehajúcej liečbe glimepiridom + metformínom</w:t>
            </w:r>
            <w:r w:rsidRPr="007F287E">
              <w:rPr>
                <w:szCs w:val="22"/>
                <w:vertAlign w:val="superscript"/>
                <w:lang w:val="sk-SK" w:eastAsia="sk-SK"/>
              </w:rPr>
              <w:t>II</w:t>
            </w:r>
          </w:p>
          <w:p w14:paraId="18C4E02A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(N=115)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8694C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C71BC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40D10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vertAlign w:val="superscript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-0,9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396621DD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(-1,1, -0,7)</w:t>
            </w:r>
          </w:p>
        </w:tc>
      </w:tr>
      <w:tr w:rsidR="001330AF" w:rsidRPr="007F287E" w14:paraId="5EAD6F2E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72BB" w14:textId="6B852083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vertAlign w:val="superscript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Sitagliptín 100 mg raz denne pridaný k prebiehajúcej liečbe pioglitazónom+metformínom</w:t>
            </w:r>
            <w:r w:rsidRPr="007F287E">
              <w:rPr>
                <w:szCs w:val="22"/>
                <w:vertAlign w:val="superscript"/>
                <w:lang w:val="sk-SK" w:eastAsia="sk-SK"/>
              </w:rPr>
              <w:t>#</w:t>
            </w:r>
          </w:p>
          <w:p w14:paraId="694D4846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(N=152)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8530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6185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186A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-0,7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584B5FF7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(-1,0, -0,5)</w:t>
            </w:r>
          </w:p>
        </w:tc>
      </w:tr>
      <w:tr w:rsidR="001330AF" w:rsidRPr="007F287E" w14:paraId="76E6DF62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F197E" w14:textId="15E1827B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Počiatočná liečba (dvakrát denne)</w:t>
            </w:r>
            <w:r w:rsidR="003C5EE3" w:rsidRPr="007F287E">
              <w:rPr>
                <w:szCs w:val="22"/>
                <w:vertAlign w:val="superscript"/>
                <w:lang w:val="sk-SK" w:eastAsia="sk-SK"/>
              </w:rPr>
              <w:t>II</w:t>
            </w:r>
            <w:r w:rsidR="003C5EE3" w:rsidRPr="007F287E">
              <w:rPr>
                <w:szCs w:val="22"/>
                <w:lang w:val="sk-SK" w:eastAsia="sk-SK"/>
              </w:rPr>
              <w:t>: sitagliptín 50 </w:t>
            </w:r>
            <w:r w:rsidRPr="007F287E">
              <w:rPr>
                <w:szCs w:val="22"/>
                <w:lang w:val="sk-SK" w:eastAsia="sk-SK"/>
              </w:rPr>
              <w:t>mg</w:t>
            </w:r>
            <w:r w:rsidR="003C5EE3" w:rsidRPr="007F287E">
              <w:rPr>
                <w:szCs w:val="22"/>
                <w:lang w:val="sk-SK" w:eastAsia="sk-SK"/>
              </w:rPr>
              <w:t xml:space="preserve"> </w:t>
            </w:r>
            <w:r w:rsidRPr="007F287E">
              <w:rPr>
                <w:szCs w:val="22"/>
                <w:lang w:val="sk-SK" w:eastAsia="sk-SK"/>
              </w:rPr>
              <w:t>+</w:t>
            </w:r>
            <w:r w:rsidR="003C5EE3" w:rsidRPr="007F287E">
              <w:rPr>
                <w:szCs w:val="22"/>
                <w:lang w:val="sk-SK" w:eastAsia="sk-SK"/>
              </w:rPr>
              <w:t xml:space="preserve"> metformín 500 </w:t>
            </w:r>
            <w:r w:rsidRPr="007F287E">
              <w:rPr>
                <w:szCs w:val="22"/>
                <w:lang w:val="sk-SK" w:eastAsia="sk-SK"/>
              </w:rPr>
              <w:t>mg</w:t>
            </w:r>
          </w:p>
          <w:p w14:paraId="12D1D230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(N=183)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945FE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F0D9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A8AED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-1,6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0DE074A0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(-1,8, -1,3)</w:t>
            </w:r>
          </w:p>
        </w:tc>
      </w:tr>
      <w:tr w:rsidR="001330AF" w:rsidRPr="007F287E" w14:paraId="3FD22EE4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4BAD3" w14:textId="5EB536FE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Počiatočná liečba (dvakrát denne)</w:t>
            </w:r>
            <w:r w:rsidR="003C5EE3" w:rsidRPr="007F287E">
              <w:rPr>
                <w:szCs w:val="22"/>
                <w:vertAlign w:val="superscript"/>
                <w:lang w:val="sk-SK" w:eastAsia="sk-SK"/>
              </w:rPr>
              <w:t>II</w:t>
            </w:r>
            <w:r w:rsidRPr="007F287E">
              <w:rPr>
                <w:szCs w:val="22"/>
                <w:lang w:val="sk-SK" w:eastAsia="sk-SK"/>
              </w:rPr>
              <w:t>: sitaglip</w:t>
            </w:r>
            <w:r w:rsidR="003C5EE3" w:rsidRPr="007F287E">
              <w:rPr>
                <w:szCs w:val="22"/>
                <w:lang w:val="sk-SK" w:eastAsia="sk-SK"/>
              </w:rPr>
              <w:t>tín 50 </w:t>
            </w:r>
            <w:r w:rsidRPr="007F287E">
              <w:rPr>
                <w:szCs w:val="22"/>
                <w:lang w:val="sk-SK" w:eastAsia="sk-SK"/>
              </w:rPr>
              <w:t>mg</w:t>
            </w:r>
            <w:r w:rsidR="003C5EE3" w:rsidRPr="007F287E">
              <w:rPr>
                <w:szCs w:val="22"/>
                <w:lang w:val="sk-SK" w:eastAsia="sk-SK"/>
              </w:rPr>
              <w:t xml:space="preserve"> </w:t>
            </w:r>
            <w:r w:rsidRPr="007F287E">
              <w:rPr>
                <w:szCs w:val="22"/>
                <w:lang w:val="sk-SK" w:eastAsia="sk-SK"/>
              </w:rPr>
              <w:t>+</w:t>
            </w:r>
            <w:r w:rsidR="003C5EE3" w:rsidRPr="007F287E">
              <w:rPr>
                <w:szCs w:val="22"/>
                <w:lang w:val="sk-SK" w:eastAsia="sk-SK"/>
              </w:rPr>
              <w:t xml:space="preserve"> metformín 1 000 </w:t>
            </w:r>
            <w:r w:rsidRPr="007F287E">
              <w:rPr>
                <w:szCs w:val="22"/>
                <w:lang w:val="sk-SK" w:eastAsia="sk-SK"/>
              </w:rPr>
              <w:t>mg</w:t>
            </w:r>
          </w:p>
          <w:p w14:paraId="404FECAC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(N=178)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748EA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2F52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52F5D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-2,1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6696BCB4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(-2,3, -1,8)</w:t>
            </w:r>
          </w:p>
        </w:tc>
      </w:tr>
      <w:tr w:rsidR="001330AF" w:rsidRPr="007F287E" w14:paraId="461C1F2D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B113" w14:textId="2D03A64E" w:rsidR="001330AF" w:rsidRPr="007F287E" w:rsidRDefault="003C5EE3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 xml:space="preserve">Sitagliptín 100 mg raz denne pridaný k prebiehajúcej terapii inzulínom </w:t>
            </w:r>
            <w:r w:rsidR="001330AF" w:rsidRPr="007F287E">
              <w:rPr>
                <w:szCs w:val="22"/>
                <w:lang w:val="sk-SK" w:eastAsia="sk-SK"/>
              </w:rPr>
              <w:t>(+/- metformín</w:t>
            </w:r>
            <w:r w:rsidRPr="007F287E">
              <w:rPr>
                <w:szCs w:val="22"/>
                <w:vertAlign w:val="superscript"/>
                <w:lang w:val="sk-SK" w:eastAsia="sk-SK"/>
              </w:rPr>
              <w:t>II</w:t>
            </w:r>
          </w:p>
          <w:p w14:paraId="0E5F145A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(N=305)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6A21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5EFD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-0,6¶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8D213" w14:textId="04AF2FCC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-0,6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  <w:p w14:paraId="5A4FE54A" w14:textId="77777777" w:rsidR="001330AF" w:rsidRPr="007F287E" w:rsidRDefault="001330AF" w:rsidP="001330AF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(-0,7, -0,4)</w:t>
            </w:r>
          </w:p>
        </w:tc>
      </w:tr>
    </w:tbl>
    <w:p w14:paraId="6B2AADCC" w14:textId="77777777" w:rsidR="003C5EE3" w:rsidRPr="007F287E" w:rsidRDefault="003C5EE3" w:rsidP="00F226E0">
      <w:pPr>
        <w:pStyle w:val="Normlndobloku"/>
        <w:jc w:val="left"/>
      </w:pPr>
      <w:r w:rsidRPr="007F287E">
        <w:t>* Populácia všetkých liečených pacientov (analýza podľa liečebného zámeru).</w:t>
      </w:r>
    </w:p>
    <w:p w14:paraId="5F5A4F49" w14:textId="0E699AD8" w:rsidR="003C5EE3" w:rsidRPr="007F287E" w:rsidRDefault="003C5EE3" w:rsidP="00F226E0">
      <w:pPr>
        <w:pStyle w:val="Normlndobloku"/>
        <w:jc w:val="left"/>
      </w:pPr>
      <w:r w:rsidRPr="007F287E">
        <w:t>† Priemery najmenších štvorcov upravené na stav predchádzajúcej antihyperglykemickej liečby a východiskovú hodnotu.</w:t>
      </w:r>
    </w:p>
    <w:p w14:paraId="26A09E2E" w14:textId="603447E9" w:rsidR="003C5EE3" w:rsidRPr="007F287E" w:rsidRDefault="003C5EE3" w:rsidP="00F226E0">
      <w:pPr>
        <w:pStyle w:val="Normlndobloku"/>
        <w:jc w:val="left"/>
      </w:pPr>
      <w:r w:rsidRPr="007F287E">
        <w:t>‡ p&lt;0,001 v porovnaní s placebom alebo placebom + kombinovanou liečbou.</w:t>
      </w:r>
    </w:p>
    <w:p w14:paraId="7AE10B72" w14:textId="5D505F6E" w:rsidR="003C5EE3" w:rsidRPr="007F287E" w:rsidRDefault="003C5EE3" w:rsidP="00F226E0">
      <w:pPr>
        <w:pStyle w:val="Normlndobloku"/>
        <w:jc w:val="left"/>
      </w:pPr>
      <w:r w:rsidRPr="007F287E">
        <w:t>§ HbA1c (%) v 18. týždni.</w:t>
      </w:r>
    </w:p>
    <w:p w14:paraId="26811238" w14:textId="253888CC" w:rsidR="003C5EE3" w:rsidRPr="007F287E" w:rsidRDefault="003C5EE3" w:rsidP="00F226E0">
      <w:pPr>
        <w:pStyle w:val="Normlndobloku"/>
        <w:jc w:val="left"/>
      </w:pPr>
      <w:r w:rsidRPr="007F287E">
        <w:sym w:font="Symbol" w:char="F025"/>
      </w:r>
      <w:r w:rsidRPr="007F287E">
        <w:t xml:space="preserve"> HbA1c (%) v 24. týždni.</w:t>
      </w:r>
    </w:p>
    <w:p w14:paraId="40A4C749" w14:textId="7198C9E5" w:rsidR="003C5EE3" w:rsidRPr="007F287E" w:rsidRDefault="003C5EE3" w:rsidP="00F226E0">
      <w:pPr>
        <w:pStyle w:val="Normlndobloku"/>
        <w:jc w:val="left"/>
      </w:pPr>
      <w:r w:rsidRPr="007F287E">
        <w:t># HbA1c (%) v 26. týždni.</w:t>
      </w:r>
    </w:p>
    <w:p w14:paraId="0C7E064D" w14:textId="4B35C524" w:rsidR="003C5EE3" w:rsidRPr="007F287E" w:rsidRDefault="003C5EE3" w:rsidP="00F226E0">
      <w:pPr>
        <w:pStyle w:val="Normlndobloku"/>
        <w:jc w:val="left"/>
      </w:pPr>
      <w:r w:rsidRPr="007F287E">
        <w:t>¶ Priemer najmenších štvorcov upravený na použitie metformínu pri kontrole 1 (áno/nie), na použitie inzulínu pri kontrole 1 (premixovaný vs nepremixovaný inzulín [intermediárny alebo dlhodobý]) a na východiskovú hodnotu. Interakcie pri liečbe podľa tried (použitie metformínu a inzulínu) neboli významné (p &gt;0,10).</w:t>
      </w:r>
    </w:p>
    <w:p w14:paraId="59C47616" w14:textId="330B621F" w:rsidR="003C5EE3" w:rsidRPr="007F287E" w:rsidRDefault="003C5EE3" w:rsidP="00F226E0">
      <w:pPr>
        <w:pStyle w:val="Normlndobloku"/>
        <w:jc w:val="left"/>
      </w:pPr>
      <w:r w:rsidRPr="007F287E">
        <w:t>24-týždňová, aktívnym komparátorom (metformín) kontrolovaná štúdia bola navrhnutá tak, aby vyhodnotila účinnosť a bezpečnosť dávky 100 mg sitagliptínu raz denne (N=528) oproti metformínu (N=522) u pacientov s nedostatočnou kontrolou glykémie, ktorí mali diétu a cvičili a neužívali antihyperglykemickú terapiu (obdobie bez terapie minimálne 4 mesiace). Priemerná dávka metformínu bola približne 1 900 mg denne. Z priemerných východiskových hodnôt HbA1c 7,2 % sa pri sitagliptíne dosiahlo zníženie -0,43 % a pri metformíne -0,57 % (per-protokolová analýza). Celkový výskyt gastrointestinálnych nežiaducich reakcií považovaných za súvisiace s liekom bol u pacientov liečených sitagliptínom 2,7 % v porovnaní s 12,6 % u pacientov liečených metformínom. Výskyt hypoglykémie sa medzi liečebnými skupinami signifikantne nelíšil (sitagliptín 1,3 %, metformín 1,9 %). V oboch skupinách došlo oproti východiskovej hodnote k poklesu telesnej hmotnosti (sitagliptín -0,6 kg, metformín -1,9 kg).</w:t>
      </w:r>
    </w:p>
    <w:p w14:paraId="60F31A15" w14:textId="732FA5AD" w:rsidR="003C5EE3" w:rsidRPr="007F287E" w:rsidRDefault="00F17510" w:rsidP="00F226E0">
      <w:pPr>
        <w:pStyle w:val="Normlndobloku"/>
        <w:jc w:val="left"/>
      </w:pPr>
      <w:r w:rsidRPr="007F287E">
        <w:t>V </w:t>
      </w:r>
      <w:r w:rsidR="003C5EE3" w:rsidRPr="007F287E">
        <w:t>š</w:t>
      </w:r>
      <w:r w:rsidRPr="007F287E">
        <w:t>túdii porovnávajúcej účinnosť a </w:t>
      </w:r>
      <w:r w:rsidR="003C5EE3" w:rsidRPr="007F287E">
        <w:t>bezpe</w:t>
      </w:r>
      <w:r w:rsidRPr="007F287E">
        <w:t>čnosť pridania sitagliptínu 100 </w:t>
      </w:r>
      <w:r w:rsidR="003C5EE3" w:rsidRPr="007F287E">
        <w:t>mg raz denne a</w:t>
      </w:r>
      <w:r w:rsidRPr="007F287E">
        <w:t>lebo glipizidu (</w:t>
      </w:r>
      <w:r w:rsidR="00575595">
        <w:t>s</w:t>
      </w:r>
      <w:r w:rsidR="00575595" w:rsidRPr="00A8055B">
        <w:t>ulfonyl</w:t>
      </w:r>
      <w:r w:rsidR="00575595">
        <w:t>močovina</w:t>
      </w:r>
      <w:r w:rsidRPr="007F287E">
        <w:t>) u pacientov s </w:t>
      </w:r>
      <w:r w:rsidR="003C5EE3" w:rsidRPr="007F287E">
        <w:t>nedostatočnou kontrolou glykémie pri monoterapi</w:t>
      </w:r>
      <w:r w:rsidRPr="007F287E">
        <w:t>i metformínom bol sitagliptín v </w:t>
      </w:r>
      <w:r w:rsidR="003C5EE3" w:rsidRPr="007F287E">
        <w:t>redukovaní HbA1c podobný glipizidu. Prie</w:t>
      </w:r>
      <w:r w:rsidRPr="007F287E">
        <w:t>merná dávka glipizidu použitá v porovnávacej skupine bola 10 mg denne s približne 40 </w:t>
      </w:r>
      <w:r w:rsidR="003C5EE3" w:rsidRPr="007F287E">
        <w:t>% pacientov v</w:t>
      </w:r>
      <w:r w:rsidRPr="007F287E">
        <w:t>yžadujúcich glipizid v dávke ≤5 mg/deň počas štúdie. V </w:t>
      </w:r>
      <w:r w:rsidR="003C5EE3" w:rsidRPr="007F287E">
        <w:t>skupine so sitagliptínom však vi</w:t>
      </w:r>
      <w:r w:rsidRPr="007F287E">
        <w:t>ac pacientov prerušilo liečbu z </w:t>
      </w:r>
      <w:r w:rsidR="003C5EE3" w:rsidRPr="007F287E">
        <w:t>dôvodu nedostatočne</w:t>
      </w:r>
      <w:r w:rsidRPr="007F287E">
        <w:t>j účinnosti ako v skupine s </w:t>
      </w:r>
      <w:r w:rsidR="003C5EE3" w:rsidRPr="007F287E">
        <w:t>glipizidom. Pacienti liečení sitagliptínom mali signifikantný priemerný úbytok telesnej hmotnosti</w:t>
      </w:r>
      <w:r w:rsidRPr="007F287E">
        <w:t xml:space="preserve"> oproti východiskovej hodnote v </w:t>
      </w:r>
      <w:r w:rsidR="003C5EE3" w:rsidRPr="007F287E">
        <w:t>porovnaní so sign</w:t>
      </w:r>
      <w:r w:rsidRPr="007F287E">
        <w:t>ifikantným nárastom hmotnosti u </w:t>
      </w:r>
      <w:r w:rsidR="003C5EE3" w:rsidRPr="007F287E">
        <w:t>pacientov, ktorým bol podávaný glipizid (-1,5 opro</w:t>
      </w:r>
      <w:r w:rsidRPr="007F287E">
        <w:t>ti +1,1 kg). V </w:t>
      </w:r>
      <w:r w:rsidR="003C5EE3" w:rsidRPr="007F287E">
        <w:t>tejto</w:t>
      </w:r>
      <w:r w:rsidRPr="007F287E">
        <w:t xml:space="preserve"> štúdii bol pomer proinzulínu k </w:t>
      </w:r>
      <w:r w:rsidR="003C5EE3" w:rsidRPr="007F287E">
        <w:t>inzulí</w:t>
      </w:r>
      <w:r w:rsidRPr="007F287E">
        <w:t>nu, marker efektivity syntézy a </w:t>
      </w:r>
      <w:r w:rsidR="003C5EE3" w:rsidRPr="007F287E">
        <w:t>uvoľňovania inzulínu, zlep</w:t>
      </w:r>
      <w:r w:rsidRPr="007F287E">
        <w:t>šený pri liečbe sitagliptínom a </w:t>
      </w:r>
      <w:r w:rsidR="003C5EE3" w:rsidRPr="007F287E">
        <w:t>zhoršený pri liečbe gl</w:t>
      </w:r>
      <w:r w:rsidRPr="007F287E">
        <w:t>ipizidom. Výskyt hypoglykémie v skupine so sitagliptínom (4,9 </w:t>
      </w:r>
      <w:r w:rsidR="003C5EE3" w:rsidRPr="007F287E">
        <w:t>%) bol signifikantne niž</w:t>
      </w:r>
      <w:r w:rsidRPr="007F287E">
        <w:t>ší ako v skupine s glipizidom (32,0 </w:t>
      </w:r>
      <w:r w:rsidR="003C5EE3" w:rsidRPr="007F287E">
        <w:t>%).</w:t>
      </w:r>
    </w:p>
    <w:p w14:paraId="693C8DA4" w14:textId="7AB25040" w:rsidR="003C5EE3" w:rsidRPr="007F287E" w:rsidRDefault="003C5EE3" w:rsidP="00F226E0">
      <w:pPr>
        <w:pStyle w:val="Normlndobloku"/>
        <w:jc w:val="left"/>
      </w:pPr>
      <w:r w:rsidRPr="007F287E">
        <w:t>24-týždňová placebom kontrolovaná štúdia zahŕňajúca 660 pacientov bola navrhnutá tak, aby vyhodnot</w:t>
      </w:r>
      <w:r w:rsidR="00F17510" w:rsidRPr="007F287E">
        <w:t>ila inzulín šetriacu účinnosť a bezpečnosť sitagliptínu (100 mg raz denne) pridaného k inzulín glargínu s </w:t>
      </w:r>
      <w:r w:rsidRPr="007F287E">
        <w:t xml:space="preserve">metformínom </w:t>
      </w:r>
      <w:r w:rsidR="00F17510" w:rsidRPr="007F287E">
        <w:t>(najmenej 1 500 </w:t>
      </w:r>
      <w:r w:rsidRPr="007F287E">
        <w:t>mg) alebo bez metformínu počas intenzifikácie liečby inzulínom.</w:t>
      </w:r>
      <w:r w:rsidR="007F287E">
        <w:t xml:space="preserve"> </w:t>
      </w:r>
      <w:r w:rsidRPr="007F287E">
        <w:t>Výcho</w:t>
      </w:r>
      <w:r w:rsidR="00F17510" w:rsidRPr="007F287E">
        <w:t>disková hodnota HbA1c bola 8,74 % a </w:t>
      </w:r>
      <w:r w:rsidRPr="007F287E">
        <w:t>v</w:t>
      </w:r>
      <w:r w:rsidR="00F17510" w:rsidRPr="007F287E">
        <w:t>ýchodisková dávka inzulínu bola 37 </w:t>
      </w:r>
      <w:r w:rsidRPr="007F287E">
        <w:t>IU/deň. Pacienti boli poučení, aby titrovali dávku inzulín gla</w:t>
      </w:r>
      <w:r w:rsidR="00F17510" w:rsidRPr="007F287E">
        <w:t xml:space="preserve">rgínu na základe hodnôt glukózy </w:t>
      </w:r>
      <w:r w:rsidRPr="007F287E">
        <w:t>namera</w:t>
      </w:r>
      <w:r w:rsidR="00F17510" w:rsidRPr="007F287E">
        <w:t>ných nalačno z kvapky krvi z prsta. V 24. týždni bolo u </w:t>
      </w:r>
      <w:r w:rsidRPr="007F287E">
        <w:t>pacientov liečených sitagliptínom zv</w:t>
      </w:r>
      <w:r w:rsidR="00F17510" w:rsidRPr="007F287E">
        <w:t>ýšenie dennej dávky inzulínu 19 IU/deň a u pacientov liečených placebom 24 IU/deň. Zníženie HbA1c u </w:t>
      </w:r>
      <w:r w:rsidRPr="007F287E">
        <w:t>pacientov liečený</w:t>
      </w:r>
      <w:r w:rsidR="00F17510" w:rsidRPr="007F287E">
        <w:t>ch sitagliptínom a inzulínom (s </w:t>
      </w:r>
      <w:r w:rsidRPr="007F287E">
        <w:t>metformínom ale</w:t>
      </w:r>
      <w:r w:rsidR="00F17510" w:rsidRPr="007F287E">
        <w:t>bo bez metformínu) bolo -1,31 % v porovnaní s -0,87 </w:t>
      </w:r>
      <w:r w:rsidRPr="007F287E">
        <w:t>% u</w:t>
      </w:r>
      <w:r w:rsidR="00F17510" w:rsidRPr="007F287E">
        <w:t> pacientov liečených placebom a inzulínom (s metformínom alebo bez metformínu), s rozdielom -0,45 % [95 % IS: -0,60; -0,29]. U </w:t>
      </w:r>
      <w:r w:rsidRPr="007F287E">
        <w:t>pa</w:t>
      </w:r>
      <w:r w:rsidR="00F17510" w:rsidRPr="007F287E">
        <w:t>cientov liečených sitagliptínom a inzulínom (s </w:t>
      </w:r>
      <w:r w:rsidRPr="007F287E">
        <w:t>metformínom alebo bez metformín</w:t>
      </w:r>
      <w:r w:rsidR="00F17510" w:rsidRPr="007F287E">
        <w:t>u) bol výskyt hypoglykémie 25,2 % a u pacientov liečených placebom a inzulínom (s </w:t>
      </w:r>
      <w:r w:rsidRPr="007F287E">
        <w:t>metform</w:t>
      </w:r>
      <w:r w:rsidR="00F17510" w:rsidRPr="007F287E">
        <w:t>ínom alebo bez metformínu) 36,8 </w:t>
      </w:r>
      <w:r w:rsidRPr="007F287E">
        <w:t>%. Rozdiel bol spôsobený predovšetk</w:t>
      </w:r>
      <w:r w:rsidR="00F17510" w:rsidRPr="007F287E">
        <w:t>ým vyšším percentom pacientov v </w:t>
      </w:r>
      <w:r w:rsidRPr="007F287E">
        <w:t>skupine užívajúcej placebo, ktorí zažili 3 alebo viac epizód h</w:t>
      </w:r>
      <w:r w:rsidR="00F17510" w:rsidRPr="007F287E">
        <w:t>ypoglykémie (9,4 oproti 19,1 </w:t>
      </w:r>
      <w:r w:rsidRPr="007F287E">
        <w:t>%). Nebol zistený žiadny rozdiel vo výskyte ťažkej hypoglykémie.</w:t>
      </w:r>
    </w:p>
    <w:p w14:paraId="5312A9A3" w14:textId="3718F25F" w:rsidR="003C5EE3" w:rsidRPr="007F287E" w:rsidRDefault="00F17510" w:rsidP="00F226E0">
      <w:pPr>
        <w:pStyle w:val="Normlndobloku"/>
        <w:jc w:val="left"/>
      </w:pPr>
      <w:r w:rsidRPr="007F287E">
        <w:t>U </w:t>
      </w:r>
      <w:r w:rsidR="003C5EE3" w:rsidRPr="007F287E">
        <w:t>pacientov so stredne ťažkou až ťažkou poruchou funkcie obličiek sa vykonala štúdia porovn</w:t>
      </w:r>
      <w:r w:rsidRPr="007F287E">
        <w:t>ávajúca sitagliptín 25 alebo 50 mg raz denne s glipizidom 2,5 až 20 </w:t>
      </w:r>
      <w:r w:rsidR="003C5EE3" w:rsidRPr="007F287E">
        <w:t xml:space="preserve">mg/deň. Táto </w:t>
      </w:r>
      <w:r w:rsidRPr="007F287E">
        <w:t>štúdia zahŕňala 423 pacientov s </w:t>
      </w:r>
      <w:r w:rsidR="003C5EE3" w:rsidRPr="007F287E">
        <w:t>chronickou poruchou funkcie obličiek (odhadovaná rýchlosť glomerulárnej filtrácie &lt; 50</w:t>
      </w:r>
      <w:r w:rsidRPr="007F287E">
        <w:t> </w:t>
      </w:r>
      <w:r w:rsidR="003C5EE3" w:rsidRPr="007F287E">
        <w:t>ml/min). Priemerné zníženie HbA1c oproti východiskovým</w:t>
      </w:r>
      <w:r w:rsidRPr="007F287E">
        <w:t xml:space="preserve"> hodnotám bolo po 54 týždňoch -0,76 % so sitagliptínom a -0,64 </w:t>
      </w:r>
      <w:r w:rsidR="003C5EE3" w:rsidRPr="007F287E">
        <w:t>% s glipizid</w:t>
      </w:r>
      <w:r w:rsidRPr="007F287E">
        <w:t>om (per-protokolová analýza). V tejto štúdii boli účinnosť a </w:t>
      </w:r>
      <w:r w:rsidR="003C5EE3" w:rsidRPr="007F287E">
        <w:t xml:space="preserve">bezpečnostný </w:t>
      </w:r>
      <w:r w:rsidRPr="007F287E">
        <w:t>profil sitagliptínu 25 alebo 50 </w:t>
      </w:r>
      <w:r w:rsidR="003C5EE3" w:rsidRPr="007F287E">
        <w:t>mg raz denne vo</w:t>
      </w:r>
      <w:r w:rsidRPr="007F287E">
        <w:t xml:space="preserve"> všeobecnosti podobné účinnosti a </w:t>
      </w:r>
      <w:r w:rsidR="003C5EE3" w:rsidRPr="007F287E">
        <w:t>bezpečnostnému</w:t>
      </w:r>
      <w:r w:rsidRPr="007F287E">
        <w:t xml:space="preserve"> profilu, ktoré sa pozorovali v iných štúdiách monoterapie u pacientov s </w:t>
      </w:r>
      <w:r w:rsidR="003C5EE3" w:rsidRPr="007F287E">
        <w:t>normálnou funkciou obli</w:t>
      </w:r>
      <w:r w:rsidRPr="007F287E">
        <w:t>čiek. Výskyt hypoglykémie bol v skupine so sitagliptínom (6,2 %) signifikantne nižší ako v skupine s glipizidom (17,0 </w:t>
      </w:r>
      <w:r w:rsidR="003C5EE3" w:rsidRPr="007F287E">
        <w:t>%). Medzi skupinami bol tiež signifikantný rozdiel týkajúci sa zmeny telesnej hmotnosti oproti východiskovej hodnote (sitaglipt</w:t>
      </w:r>
      <w:r w:rsidRPr="007F287E">
        <w:t>ín -0,6 kg; glipizid +1,2 </w:t>
      </w:r>
      <w:r w:rsidR="003C5EE3" w:rsidRPr="007F287E">
        <w:t>kg).</w:t>
      </w:r>
    </w:p>
    <w:p w14:paraId="0E02C2FC" w14:textId="436C78AB" w:rsidR="003C5EE3" w:rsidRPr="007F287E" w:rsidRDefault="003C5EE3" w:rsidP="00F226E0">
      <w:pPr>
        <w:pStyle w:val="Normlndobloku"/>
        <w:jc w:val="left"/>
      </w:pPr>
      <w:r w:rsidRPr="007F287E">
        <w:t>Iná štúdi</w:t>
      </w:r>
      <w:r w:rsidR="00F17510" w:rsidRPr="007F287E">
        <w:t>a, porovnávajúca sitagliptín 25 mg raz denne s glipizidom 2,5 až 20 mg/deň sa vykonala u </w:t>
      </w:r>
      <w:r w:rsidR="005D7008" w:rsidRPr="007F287E">
        <w:t>129 pacientov s </w:t>
      </w:r>
      <w:r w:rsidRPr="007F287E">
        <w:t>ESRD, ktorí podstupovali dialýzu. Priemerné zníženie HbA1c oproti východiskovým hodnotám bolo po 54 týždňoch -0</w:t>
      </w:r>
      <w:r w:rsidR="005D7008" w:rsidRPr="007F287E">
        <w:t>,72 % so sitagliptínom a -0,87 % s glipizidom. V tejto štúdii boli účinnosť a </w:t>
      </w:r>
      <w:r w:rsidRPr="007F287E">
        <w:t>bezp</w:t>
      </w:r>
      <w:r w:rsidR="005D7008" w:rsidRPr="007F287E">
        <w:t>ečnostný profil sitagliptínu 25 </w:t>
      </w:r>
      <w:r w:rsidRPr="007F287E">
        <w:t>mg raz denne vo</w:t>
      </w:r>
      <w:r w:rsidR="005D7008" w:rsidRPr="007F287E">
        <w:t xml:space="preserve"> všeobecnosti podobné účinnosti a </w:t>
      </w:r>
      <w:r w:rsidRPr="007F287E">
        <w:t>bezpečnostnému</w:t>
      </w:r>
      <w:r w:rsidR="005D7008" w:rsidRPr="007F287E">
        <w:t xml:space="preserve"> profilu, ktoré sa pozorovali v iných štúdiách monoterapie u </w:t>
      </w:r>
      <w:r w:rsidRPr="007F287E">
        <w:t>pacientov s normálnou funkciou obličiek. Výskyt hypoglykémie nebol medzi liečebnými skupinami signifi</w:t>
      </w:r>
      <w:r w:rsidR="005D7008" w:rsidRPr="007F287E">
        <w:t>kantne odlišný (sitagliptín 6,3 %; glipizid 10,8 </w:t>
      </w:r>
      <w:r w:rsidRPr="007F287E">
        <w:t>%).</w:t>
      </w:r>
    </w:p>
    <w:p w14:paraId="1AFEFF30" w14:textId="2CD864D9" w:rsidR="003C5EE3" w:rsidRPr="007F287E" w:rsidRDefault="005D7008" w:rsidP="00F226E0">
      <w:pPr>
        <w:pStyle w:val="Normlndobloku"/>
        <w:jc w:val="left"/>
      </w:pPr>
      <w:r w:rsidRPr="007F287E">
        <w:t>V </w:t>
      </w:r>
      <w:r w:rsidR="003C5EE3" w:rsidRPr="007F287E">
        <w:t>inej štú</w:t>
      </w:r>
      <w:r w:rsidRPr="007F287E">
        <w:t>dii, zahŕňajúcej 91 pacientov s diabetes mellitus 2. typu a s </w:t>
      </w:r>
      <w:r w:rsidR="003C5EE3" w:rsidRPr="007F287E">
        <w:t>chronickou poruchou funkcie obličiek (klírens kr</w:t>
      </w:r>
      <w:r w:rsidRPr="007F287E">
        <w:t>eatinínu &lt; 50 ml/min) boli bezpečnosť a </w:t>
      </w:r>
      <w:r w:rsidR="003C5EE3" w:rsidRPr="007F287E">
        <w:t>zn</w:t>
      </w:r>
      <w:r w:rsidRPr="007F287E">
        <w:t>ášanlivosť liečby sitagliptínom 25 a 50 </w:t>
      </w:r>
      <w:r w:rsidR="003C5EE3" w:rsidRPr="007F287E">
        <w:t xml:space="preserve">mg raz denne vo všeobecnosti podobné placebu. Navyše, priemerné zníženia </w:t>
      </w:r>
      <w:r w:rsidRPr="007F287E">
        <w:t>hodnôt HbA1c (sitagliptín -0,59 %; placebo -0,18 %) a FPG (sitagliptín -25,5 mg/dl; placebo -3,0 </w:t>
      </w:r>
      <w:r w:rsidR="003C5EE3" w:rsidRPr="007F287E">
        <w:t>mg/dl) boli vo všeobecnosti podobné z</w:t>
      </w:r>
      <w:r w:rsidRPr="007F287E">
        <w:t>níženiam, ktoré sa pozorovali v iných štúdiách monoterapie u pacientov s </w:t>
      </w:r>
      <w:r w:rsidR="003C5EE3" w:rsidRPr="007F287E">
        <w:t>normálnou funkciou obličiek (pozri časť 5.2).</w:t>
      </w:r>
    </w:p>
    <w:p w14:paraId="43908C69" w14:textId="7052D6CB" w:rsidR="003C5EE3" w:rsidRPr="007F287E" w:rsidRDefault="003C5EE3" w:rsidP="00F226E0">
      <w:pPr>
        <w:pStyle w:val="Normlndobloku"/>
        <w:jc w:val="left"/>
      </w:pPr>
      <w:r w:rsidRPr="007F287E">
        <w:t>TE</w:t>
      </w:r>
      <w:r w:rsidR="005D7008" w:rsidRPr="007F287E">
        <w:t>COS bola randomizovaná štúdia u 14 671 pacientov v </w:t>
      </w:r>
      <w:r w:rsidRPr="007F287E">
        <w:t>populácii podľa liečebného zámeru (intention-to-tre</w:t>
      </w:r>
      <w:r w:rsidR="005D7008" w:rsidRPr="007F287E">
        <w:t>at) s HbA1c ≥ 6,5 až 8,0 </w:t>
      </w:r>
      <w:r w:rsidRPr="007F287E">
        <w:t>% so stanoveným KV ochorením,</w:t>
      </w:r>
      <w:r w:rsidR="005D7008" w:rsidRPr="007F287E">
        <w:t xml:space="preserve"> ktorí dostávali sitagliptín (7 332) 100 mg denne (alebo 50 </w:t>
      </w:r>
      <w:r w:rsidRPr="007F287E">
        <w:t>mg denne a</w:t>
      </w:r>
      <w:r w:rsidR="005D7008" w:rsidRPr="007F287E">
        <w:t>k východisková eGFR bola ≥ 30 a &lt; 50 ml/min/1,73 m2) alebo placebo (7 339) pridané k </w:t>
      </w:r>
      <w:r w:rsidRPr="007F287E">
        <w:t>bežnej starostlivosti zameranej na regionálne š</w:t>
      </w:r>
      <w:r w:rsidR="005D7008" w:rsidRPr="007F287E">
        <w:t>tandardy pre HbA1c a </w:t>
      </w:r>
      <w:r w:rsidRPr="007F287E">
        <w:t>KV rizikové faktory. Do št</w:t>
      </w:r>
      <w:r w:rsidR="005D7008" w:rsidRPr="007F287E">
        <w:t>údie neboli zaradení pacienti s eGFR &lt; 30 ml/min/1,73 m2. Populácia štúdie zahŕňala 2 004 pacientov vo veku ≥ 75 rokov a 3 324 pacientov s </w:t>
      </w:r>
      <w:r w:rsidRPr="007F287E">
        <w:t>poruc</w:t>
      </w:r>
      <w:r w:rsidR="005D7008" w:rsidRPr="007F287E">
        <w:t>hou funkcie obličiek (eGFR &lt; 60 ml/min/1,73 </w:t>
      </w:r>
      <w:r w:rsidRPr="007F287E">
        <w:t>m2).</w:t>
      </w:r>
    </w:p>
    <w:p w14:paraId="1B6765EC" w14:textId="512F2F64" w:rsidR="003C5EE3" w:rsidRPr="007F287E" w:rsidRDefault="003C5EE3" w:rsidP="00F226E0">
      <w:pPr>
        <w:pStyle w:val="Normlndobloku"/>
        <w:jc w:val="left"/>
      </w:pPr>
      <w:r w:rsidRPr="007F287E">
        <w:t>Počas trvania štúdie bol celkový odha</w:t>
      </w:r>
      <w:r w:rsidR="005D7008" w:rsidRPr="007F287E">
        <w:t>dovaný priemerný (SD) rozdiel v </w:t>
      </w:r>
      <w:r w:rsidRPr="007F287E">
        <w:t>HbA1c medzi sk</w:t>
      </w:r>
      <w:r w:rsidR="005D7008" w:rsidRPr="007F287E">
        <w:t>upinou užívajúcou sitagliptín a </w:t>
      </w:r>
      <w:r w:rsidRPr="007F287E">
        <w:t>s</w:t>
      </w:r>
      <w:r w:rsidR="005D7008" w:rsidRPr="007F287E">
        <w:t>kupinou užívajúcou placebo 0,29 % (0,01), 95 </w:t>
      </w:r>
      <w:r w:rsidRPr="007F287E">
        <w:t>% IS (−0,32; −0,27); p &lt; 0,001.</w:t>
      </w:r>
    </w:p>
    <w:p w14:paraId="68BDD70A" w14:textId="32D74232" w:rsidR="003C5EE3" w:rsidRPr="007F287E" w:rsidRDefault="003C5EE3" w:rsidP="00F226E0">
      <w:pPr>
        <w:pStyle w:val="Normlndobloku"/>
        <w:jc w:val="left"/>
      </w:pPr>
      <w:r w:rsidRPr="007F287E">
        <w:t>Primárny kardiovaskulárny c</w:t>
      </w:r>
      <w:r w:rsidR="005D7008" w:rsidRPr="007F287E">
        <w:t>ieľový ukazovateľ bol zložený z </w:t>
      </w:r>
      <w:r w:rsidRPr="007F287E">
        <w:t>prvého výskytu kardiovaskulárneho úmrtia, nefatálneho infarktu myokardu, nefatálnej cievnej mozgov</w:t>
      </w:r>
      <w:r w:rsidR="005D7008" w:rsidRPr="007F287E">
        <w:t>ej príhody alebo hospitalizácie z </w:t>
      </w:r>
      <w:r w:rsidRPr="007F287E">
        <w:t>dôvodu nestabilnej angíny pectoris. Sekundárne kardiovaskulárne cieľové ukazovatele zahŕňali prvý výskyt kardiovaskulárneho úmrtia, nefatálneho infarktu myokardu alebo nefatálnej cievnej mozgovej príhody; prvý výskyt jednotlivých zložiek p</w:t>
      </w:r>
      <w:r w:rsidR="005D7008" w:rsidRPr="007F287E">
        <w:t>rimárnej kombinácie; úmrtnosť z akejkoľvek príčiny; a hospitalizáciu z </w:t>
      </w:r>
      <w:r w:rsidRPr="007F287E">
        <w:t>dôvodu kongestívneho zlyhania srdca.</w:t>
      </w:r>
    </w:p>
    <w:p w14:paraId="55EF7F56" w14:textId="10290958" w:rsidR="003C5EE3" w:rsidRPr="007F287E" w:rsidRDefault="003C5EE3" w:rsidP="00F226E0">
      <w:pPr>
        <w:pStyle w:val="Normlndobloku"/>
        <w:jc w:val="left"/>
      </w:pPr>
      <w:r w:rsidRPr="007F287E">
        <w:t>Po mediáne sledovania 3 roky, sitagli</w:t>
      </w:r>
      <w:r w:rsidR="005D7008" w:rsidRPr="007F287E">
        <w:t>ptín pridaný k </w:t>
      </w:r>
      <w:r w:rsidRPr="007F287E">
        <w:t>bežnej starostlivosti, nezvýšil riziko hlavných kardiovaskulárnych nežiaducich udalost</w:t>
      </w:r>
      <w:r w:rsidR="005D7008" w:rsidRPr="007F287E">
        <w:t>í alebo riziko hospitalizácie z dôvodu zlyhania srdca v porovnaní s </w:t>
      </w:r>
      <w:r w:rsidRPr="007F287E">
        <w:t>bežnou sta</w:t>
      </w:r>
      <w:r w:rsidR="005D7008" w:rsidRPr="007F287E">
        <w:t>rostlivosťou bez sitagliptínu u pacientov s </w:t>
      </w:r>
      <w:r w:rsidRPr="007F287E">
        <w:t>diabetom 2. typu (tabuľka 3).</w:t>
      </w:r>
    </w:p>
    <w:p w14:paraId="72DB9246" w14:textId="42CE3E6F" w:rsidR="000E1212" w:rsidRPr="007F287E" w:rsidRDefault="005D7008" w:rsidP="00F226E0">
      <w:pPr>
        <w:pStyle w:val="Normlndobloku"/>
        <w:tabs>
          <w:tab w:val="right" w:pos="9404"/>
        </w:tabs>
        <w:jc w:val="left"/>
      </w:pPr>
      <w:r w:rsidRPr="007F287E">
        <w:t>Tabuľka 3. Hodnoty zložených kardiovaskulárnych výsledkov a kľúčových sekundárnych výsledkov</w:t>
      </w:r>
      <w:r w:rsidR="008562D2"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903"/>
        <w:gridCol w:w="762"/>
        <w:gridCol w:w="1233"/>
        <w:gridCol w:w="762"/>
        <w:gridCol w:w="1233"/>
        <w:gridCol w:w="1453"/>
        <w:gridCol w:w="1042"/>
      </w:tblGrid>
      <w:tr w:rsidR="005D7008" w:rsidRPr="007F287E" w14:paraId="5072C7E7" w14:textId="77777777" w:rsidTr="00E745ED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E1473" w14:textId="77777777" w:rsidR="005D7008" w:rsidRPr="007F287E" w:rsidRDefault="005D7008" w:rsidP="005D7008">
            <w:pPr>
              <w:rPr>
                <w:szCs w:val="22"/>
                <w:lang w:val="sk-SK"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337C0" w14:textId="503876DF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Sitagliptín 100 mg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8E87" w14:textId="77777777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Placebo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E995A" w14:textId="06704CB1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Pomer rizika (95 % IS)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DD008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E745ED">
              <w:rPr>
                <w:rStyle w:val="tlTun"/>
              </w:rPr>
              <w:t>Hodnota p</w:t>
            </w:r>
            <w:r w:rsidRPr="007F287E">
              <w:rPr>
                <w:szCs w:val="22"/>
                <w:lang w:val="sk-SK" w:eastAsia="sk-SK"/>
              </w:rPr>
              <w:t>†</w:t>
            </w:r>
          </w:p>
        </w:tc>
      </w:tr>
      <w:tr w:rsidR="005D7008" w:rsidRPr="007F287E" w14:paraId="75DC3904" w14:textId="77777777" w:rsidTr="00E745E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D2A4" w14:textId="77777777" w:rsidR="005D7008" w:rsidRPr="007F287E" w:rsidRDefault="005D7008" w:rsidP="005D7008">
            <w:pPr>
              <w:rPr>
                <w:szCs w:val="22"/>
                <w:lang w:val="sk-SK"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CC2BB" w14:textId="77777777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N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76203" w14:textId="174CD63E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E745ED">
              <w:rPr>
                <w:rStyle w:val="tlTun"/>
              </w:rPr>
              <w:t>Výskyt na 100 paciento- rokov</w:t>
            </w:r>
            <w:r w:rsidRPr="007F287E">
              <w:rPr>
                <w:szCs w:val="22"/>
                <w:lang w:val="sk-SK" w:eastAsia="sk-SK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0460" w14:textId="77777777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N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B74E" w14:textId="755BB6D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E745ED">
              <w:rPr>
                <w:rStyle w:val="tlTun"/>
              </w:rPr>
              <w:t>Výskyt na 100 paciento- rokov</w:t>
            </w:r>
            <w:r w:rsidRPr="007F287E">
              <w:rPr>
                <w:szCs w:val="22"/>
                <w:lang w:val="sk-SK" w:eastAsia="sk-SK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22C7" w14:textId="77777777" w:rsidR="005D7008" w:rsidRPr="007F287E" w:rsidRDefault="005D7008" w:rsidP="005D7008">
            <w:pPr>
              <w:rPr>
                <w:szCs w:val="22"/>
                <w:lang w:val="sk-SK" w:eastAsia="sk-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FCDF0" w14:textId="77777777" w:rsidR="005D7008" w:rsidRPr="007F287E" w:rsidRDefault="005D7008" w:rsidP="005D7008">
            <w:pPr>
              <w:rPr>
                <w:szCs w:val="22"/>
                <w:lang w:val="sk-SK" w:eastAsia="sk-SK"/>
              </w:rPr>
            </w:pPr>
          </w:p>
        </w:tc>
      </w:tr>
      <w:tr w:rsidR="005D7008" w:rsidRPr="007F287E" w14:paraId="19F42E4E" w14:textId="77777777" w:rsidTr="00E745E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4913" w14:textId="4E3BD810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Analýza v populácii podľa liečebného zámeru (intention-to-treat)</w:t>
            </w:r>
          </w:p>
        </w:tc>
      </w:tr>
      <w:tr w:rsidR="005D7008" w:rsidRPr="00457E29" w14:paraId="6B764656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115FD" w14:textId="77777777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Počet pacientov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78D5" w14:textId="02AB3189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7 332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48C3" w14:textId="6EE2EAC3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7 339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94252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0,98 (0,89–1,08)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229B1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&lt; 0,001</w:t>
            </w:r>
          </w:p>
        </w:tc>
      </w:tr>
      <w:tr w:rsidR="005D7008" w:rsidRPr="007F287E" w14:paraId="75343EDC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45AF" w14:textId="77777777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Primárny zložený cieľový ukazovateľ</w:t>
            </w:r>
          </w:p>
          <w:p w14:paraId="34FF0864" w14:textId="2F23EC1F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(Kardiovaskulárne úmrtie, nefatálny infarkt myokardu, nefatálna cievna mozgová príhoda alebo hospitalizácia z dôvodu nestabilnej angíny pectoris)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1B88C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839 (11,4)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1B2FD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95D6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851 (11,6)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0B3C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C421" w14:textId="77777777" w:rsidR="005D7008" w:rsidRPr="007F287E" w:rsidRDefault="005D7008" w:rsidP="005D7008">
            <w:pPr>
              <w:rPr>
                <w:szCs w:val="22"/>
                <w:lang w:val="sk-SK" w:eastAsia="sk-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4FCD5" w14:textId="77777777" w:rsidR="005D7008" w:rsidRPr="007F287E" w:rsidRDefault="005D7008" w:rsidP="005D7008">
            <w:pPr>
              <w:rPr>
                <w:szCs w:val="22"/>
                <w:lang w:val="sk-SK" w:eastAsia="sk-SK"/>
              </w:rPr>
            </w:pPr>
          </w:p>
        </w:tc>
      </w:tr>
      <w:tr w:rsidR="005D7008" w:rsidRPr="007F287E" w14:paraId="506149D3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C62B3" w14:textId="77777777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Sekundárny zložený cieľový ukazovateľ</w:t>
            </w:r>
          </w:p>
          <w:p w14:paraId="234352B5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(Kardiovaskulárne úmrtie, nefatálny infarkt myokardu, nefatálna cievna mozgová príhoda)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AFF6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745 (10,2)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351C5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4F7DD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746 (10,2)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5B885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9AFD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0,99 (0,89–1,10)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A9921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&lt; 0,001</w:t>
            </w:r>
          </w:p>
        </w:tc>
      </w:tr>
      <w:tr w:rsidR="005D7008" w:rsidRPr="007F287E" w14:paraId="7A811AE4" w14:textId="77777777" w:rsidTr="00E745ED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FE64" w14:textId="77777777" w:rsidR="005D7008" w:rsidRPr="00E745ED" w:rsidRDefault="005D7008" w:rsidP="005D7008">
            <w:pPr>
              <w:spacing w:before="100" w:beforeAutospacing="1" w:after="100" w:afterAutospacing="1"/>
              <w:rPr>
                <w:rStyle w:val="tlTun"/>
              </w:rPr>
            </w:pPr>
            <w:r w:rsidRPr="00E745ED">
              <w:rPr>
                <w:rStyle w:val="tlTun"/>
              </w:rPr>
              <w:t>Sekundárny výsledok</w:t>
            </w:r>
          </w:p>
        </w:tc>
      </w:tr>
      <w:tr w:rsidR="005D7008" w:rsidRPr="007F287E" w14:paraId="45DE410F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917E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Kardiovaskulárne úmrtie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76191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380 (5,2)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6ECDE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B76C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366 (5,0)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E7B9B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CD30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1,03 (0,89-1,19)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8927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0,711</w:t>
            </w:r>
          </w:p>
        </w:tc>
      </w:tr>
      <w:tr w:rsidR="005D7008" w:rsidRPr="007F287E" w14:paraId="45AB6DBD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2B683" w14:textId="0C6B3F33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Infarkt myokardu (fatálny a nefatálny)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BD2C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300 (4,1)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604F1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88816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316 (4,3)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99B78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E1E83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0,95 (0,81–1,11)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57236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0,487</w:t>
            </w:r>
          </w:p>
        </w:tc>
      </w:tr>
      <w:tr w:rsidR="005D7008" w:rsidRPr="007F287E" w14:paraId="033207AE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DC99E" w14:textId="5163B9CB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Cievna mozgová príhoda (fatálna a nefatálna)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CAA0F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178 (2,4)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DE5D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5240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183 (2,5)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7517F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2C5C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0,97 (0,79–1,19)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9A3D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0,760</w:t>
            </w:r>
          </w:p>
        </w:tc>
      </w:tr>
      <w:tr w:rsidR="005D7008" w:rsidRPr="007F287E" w14:paraId="335045BD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D58E2" w14:textId="17570A92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Hospitalizácia z dôvodu nestabilnej angíny pectoris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9232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116 (1,6)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06C92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DFCE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129 (1,8)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8F3E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B1A35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0,90 (0,70–1,16)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578C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0,419</w:t>
            </w:r>
          </w:p>
        </w:tc>
      </w:tr>
      <w:tr w:rsidR="005D7008" w:rsidRPr="007F287E" w14:paraId="3A79F741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4020" w14:textId="059F42E5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Úmrtie z akejkoľvek príčiny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8C4A6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547 (7,5)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D08B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96632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537 (7,3)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2762F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EA2C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1,01 (0,90–1,14)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98FD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0,875</w:t>
            </w:r>
          </w:p>
        </w:tc>
      </w:tr>
      <w:tr w:rsidR="005D7008" w:rsidRPr="007F287E" w14:paraId="61A1C87B" w14:textId="77777777" w:rsidTr="00E745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F4E2E" w14:textId="58066734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Hospitalizácia z dôvodu zlyhania srdca</w:t>
            </w:r>
            <w:r w:rsidRPr="007F287E">
              <w:rPr>
                <w:szCs w:val="22"/>
                <w:vertAlign w:val="superscript"/>
                <w:lang w:val="sk-SK" w:eastAsia="sk-SK"/>
              </w:rPr>
              <w:t>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72530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228 (3,1)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A5A43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57C2E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229 (3,1)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142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F064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1,00 (0,83–1,20)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E305A" w14:textId="77777777" w:rsidR="005D7008" w:rsidRPr="007F287E" w:rsidRDefault="005D7008" w:rsidP="005D7008">
            <w:pPr>
              <w:spacing w:before="100" w:beforeAutospacing="1" w:after="100" w:afterAutospacing="1"/>
              <w:rPr>
                <w:szCs w:val="22"/>
                <w:lang w:val="sk-SK" w:eastAsia="sk-SK"/>
              </w:rPr>
            </w:pPr>
            <w:r w:rsidRPr="007F287E">
              <w:rPr>
                <w:szCs w:val="22"/>
                <w:lang w:val="sk-SK" w:eastAsia="sk-SK"/>
              </w:rPr>
              <w:t>0,983</w:t>
            </w:r>
          </w:p>
        </w:tc>
      </w:tr>
    </w:tbl>
    <w:p w14:paraId="456C3086" w14:textId="131A50EC" w:rsidR="005D7008" w:rsidRPr="007F287E" w:rsidRDefault="005D7008" w:rsidP="00F226E0">
      <w:pPr>
        <w:pStyle w:val="Normlndobloku"/>
        <w:jc w:val="left"/>
      </w:pPr>
      <w:r w:rsidRPr="007F287E">
        <w:t>* Výskyt na 100 pacientorokov je vypočítaný ako 100 x (celkový počet pacientov s ≥ 1 udalosťou počas hodnoteného obdobia expozície na celkový počet pacientorokov počas obdobia sledovania).</w:t>
      </w:r>
    </w:p>
    <w:p w14:paraId="628E5ED1" w14:textId="2DC0296C" w:rsidR="005D7008" w:rsidRPr="007F287E" w:rsidRDefault="005D7008" w:rsidP="00F226E0">
      <w:pPr>
        <w:pStyle w:val="Normlndobloku"/>
        <w:jc w:val="left"/>
      </w:pPr>
      <w:r w:rsidRPr="007F287E">
        <w:t>† Na základe Coxovho modelu stratifikovaného podľa regiónu. Pre zložené cieľové ukazovatele hodnoty p zodpovedajú testu neinferiority so snahou dokázať, že pomer rizika je menší ako 1,3. Pre všetky ostatné cieľové ukazovatele hodnoty p zodpovedajú testu rozdielov v pomere rizika.</w:t>
      </w:r>
    </w:p>
    <w:p w14:paraId="0AD86579" w14:textId="16E9FAF8" w:rsidR="005D7008" w:rsidRPr="007F287E" w:rsidRDefault="005D7008" w:rsidP="00F226E0">
      <w:pPr>
        <w:pStyle w:val="Normlndobloku"/>
        <w:jc w:val="left"/>
      </w:pPr>
      <w:r w:rsidRPr="007F287E">
        <w:t>‡ Analýza hospitalizácie z dôvodu zlyhania srdca bola upravená na základe východiskovej anamnézy zlyhania srdca.</w:t>
      </w:r>
    </w:p>
    <w:p w14:paraId="2AB99BDD" w14:textId="77777777" w:rsidR="005D7008" w:rsidRPr="00D6277D" w:rsidRDefault="005D7008" w:rsidP="008562D2">
      <w:pPr>
        <w:pStyle w:val="Styl3"/>
      </w:pPr>
      <w:r w:rsidRPr="00D6277D">
        <w:t>Pediatrická populácia</w:t>
      </w:r>
    </w:p>
    <w:p w14:paraId="6EBC7087" w14:textId="3FBB772B" w:rsidR="002014C0" w:rsidRPr="007F287E" w:rsidRDefault="005D7008">
      <w:pPr>
        <w:rPr>
          <w:lang w:val="sk-SK"/>
        </w:rPr>
      </w:pPr>
      <w:r w:rsidRPr="007F287E">
        <w:rPr>
          <w:rFonts w:eastAsia="Calibri"/>
          <w:lang w:val="sk-SK"/>
        </w:rPr>
        <w:t>Európska agen</w:t>
      </w:r>
      <w:r w:rsidRPr="007F287E">
        <w:rPr>
          <w:lang w:val="sk-SK"/>
        </w:rPr>
        <w:t>túra pre lieky udelila odklad z </w:t>
      </w:r>
      <w:r w:rsidRPr="007F287E">
        <w:rPr>
          <w:rFonts w:eastAsia="Calibri"/>
          <w:lang w:val="sk-SK"/>
        </w:rPr>
        <w:t xml:space="preserve">povinnosti predložiť </w:t>
      </w:r>
      <w:r w:rsidRPr="007F287E">
        <w:rPr>
          <w:lang w:val="sk-SK"/>
        </w:rPr>
        <w:t>výsledky štúdií pre sitagliptín v </w:t>
      </w:r>
      <w:r w:rsidRPr="007F287E">
        <w:rPr>
          <w:rFonts w:eastAsia="Calibri"/>
          <w:lang w:val="sk-SK"/>
        </w:rPr>
        <w:t>jednej alebo vo viacerých podskupinách pediatrickej populácie na diabetes</w:t>
      </w:r>
      <w:r w:rsidRPr="007F287E">
        <w:rPr>
          <w:lang w:val="sk-SK"/>
        </w:rPr>
        <w:t xml:space="preserve"> mellitus 2. typu (informácie o použití v </w:t>
      </w:r>
      <w:r w:rsidRPr="007F287E">
        <w:rPr>
          <w:rFonts w:eastAsia="Calibri"/>
          <w:lang w:val="sk-SK"/>
        </w:rPr>
        <w:t>pediatrickej populácii, pozri časť 4.2).</w:t>
      </w:r>
    </w:p>
    <w:p w14:paraId="1FE2F1F9" w14:textId="0C281E44" w:rsidR="00457489" w:rsidRPr="007F287E" w:rsidRDefault="00A72EBA">
      <w:pPr>
        <w:pStyle w:val="Styl2"/>
        <w:numPr>
          <w:ilvl w:val="1"/>
          <w:numId w:val="10"/>
        </w:numPr>
        <w:ind w:left="680" w:hanging="680"/>
      </w:pPr>
      <w:r w:rsidRPr="007F287E">
        <w:t>Farmakokinetické vlastnosti</w:t>
      </w:r>
    </w:p>
    <w:p w14:paraId="4DA51C14" w14:textId="77777777" w:rsidR="00457489" w:rsidRPr="00D6277D" w:rsidRDefault="00457489">
      <w:pPr>
        <w:pStyle w:val="Styl3"/>
      </w:pPr>
      <w:r w:rsidRPr="00D6277D">
        <w:t>Absorpcia</w:t>
      </w:r>
    </w:p>
    <w:p w14:paraId="4A0225DA" w14:textId="05F3C4BA" w:rsidR="004F42E7" w:rsidRPr="007F287E" w:rsidRDefault="004F42E7" w:rsidP="00F226E0">
      <w:pPr>
        <w:pStyle w:val="Normlndobloku"/>
        <w:jc w:val="left"/>
      </w:pPr>
      <w:r w:rsidRPr="007F287E">
        <w:t>Po perorálnom podaní 100 mg dávky zdravým jedincom sa sitagliptín rýchlo absorboval, pričom k maximálnym plazmatickým koncentráciám (medián Tmax) došlo 1 až 4 hodiny po podaní dávky, priemerná plazmatická AUC sitagliptínu bola 8,52 </w:t>
      </w:r>
      <w:r w:rsidR="005A4F93" w:rsidRPr="001E41F3">
        <w:t>μM</w:t>
      </w:r>
      <w:bookmarkStart w:id="1" w:name="_Hlk485047001"/>
      <w:r w:rsidR="005A4F93" w:rsidRPr="001E41F3">
        <w:t>•</w:t>
      </w:r>
      <w:bookmarkEnd w:id="1"/>
      <w:r w:rsidR="005A4F93" w:rsidRPr="001E41F3">
        <w:t>hr</w:t>
      </w:r>
      <w:r w:rsidRPr="007F287E">
        <w:t>, Cmax bola 950 nM. Absolútna biologická dostupnosť sitagliptínu je približne 87 %. Vzhľadom na to, že súbežné podanie sitagliptínu s jedlom obsahujúcim vysoké množstvo tukov nemalo žiadny vplyv na farmakokinetiku, sitagliptín sa môže podávať s jedlom alebo bez jedla.</w:t>
      </w:r>
    </w:p>
    <w:p w14:paraId="4F7303AC" w14:textId="4E03CBE8" w:rsidR="004F42E7" w:rsidRPr="007F287E" w:rsidRDefault="004F42E7" w:rsidP="00F226E0">
      <w:pPr>
        <w:pStyle w:val="Normlndobloku"/>
        <w:jc w:val="left"/>
      </w:pPr>
      <w:r w:rsidRPr="007F287E">
        <w:t>Plazmatická AUC sitagliptínu stúpala úmerne dávke. Dávková proporcionalita sa nestanovila pre Cmax a C24h (Cmax sa zvýšila mierne viac než úmerne dávke a C24h sa zvýšila o niečo menej než úmerne dávke).</w:t>
      </w:r>
    </w:p>
    <w:p w14:paraId="0A60B168" w14:textId="77777777" w:rsidR="004F42E7" w:rsidRPr="00D6277D" w:rsidRDefault="004F42E7" w:rsidP="008562D2">
      <w:pPr>
        <w:pStyle w:val="Styl3"/>
      </w:pPr>
      <w:r w:rsidRPr="00D6277D">
        <w:t>Distribúcia</w:t>
      </w:r>
    </w:p>
    <w:p w14:paraId="3A82A70B" w14:textId="55A61959" w:rsidR="004F42E7" w:rsidRPr="007F287E" w:rsidRDefault="004F42E7" w:rsidP="00F226E0">
      <w:pPr>
        <w:pStyle w:val="Normlndobloku"/>
        <w:jc w:val="left"/>
      </w:pPr>
      <w:r w:rsidRPr="007F287E">
        <w:t>Priemerný distribučný objem v rovnovážnom stave po podaní jednorazovej 100 mg intravenóznej dávky sitagliptínu zdravým osobám je približne 198 litrov. Frakcia sitagliptínu reverzibilne viazaná na plazmatické bielkoviny je nízka (38 %).</w:t>
      </w:r>
    </w:p>
    <w:p w14:paraId="414F16AE" w14:textId="77777777" w:rsidR="004F42E7" w:rsidRPr="00D6277D" w:rsidRDefault="004F42E7" w:rsidP="008562D2">
      <w:pPr>
        <w:pStyle w:val="Styl3"/>
      </w:pPr>
      <w:r w:rsidRPr="00D6277D">
        <w:t>Biotransformácia</w:t>
      </w:r>
    </w:p>
    <w:p w14:paraId="1225E835" w14:textId="698CDE7F" w:rsidR="004F42E7" w:rsidRPr="007F287E" w:rsidRDefault="004F42E7" w:rsidP="00F226E0">
      <w:pPr>
        <w:pStyle w:val="Normlndobloku"/>
        <w:jc w:val="left"/>
      </w:pPr>
      <w:r w:rsidRPr="007F287E">
        <w:t>Sitagliptín sa primárne eliminuje nezmenený v moči a metabolizmus je menej dôležitá cesta. Približne 79 % sitagliptínu sa vylúči nezmenených v moči.</w:t>
      </w:r>
    </w:p>
    <w:p w14:paraId="5349E84F" w14:textId="4529A9D1" w:rsidR="004F42E7" w:rsidRPr="007F287E" w:rsidRDefault="004F42E7" w:rsidP="00F226E0">
      <w:pPr>
        <w:pStyle w:val="Normlndobloku"/>
        <w:jc w:val="left"/>
      </w:pPr>
      <w:r w:rsidRPr="007F287E">
        <w:t xml:space="preserve">Po perorálnej dávke [14C] sitagliptínu sa približne 16 % rádioaktivity vylúčilo vo forme metabolitov sitagliptínu. Šesť metabolitov bolo zistených v stopových hladinách a nepredpokladá sa, že by prispievali k plazmatickej DPP-4 inhibičnej aktivite sitagliptínu. Štúdie </w:t>
      </w:r>
      <w:r w:rsidRPr="00E745ED">
        <w:rPr>
          <w:rStyle w:val="Bacil"/>
        </w:rPr>
        <w:t xml:space="preserve">in vitro </w:t>
      </w:r>
      <w:r w:rsidRPr="007F287E">
        <w:t>ukazujú, že hlavný enzým zodpovedný za limitovaný metabolizmus sitagliptínu bol CYP3A4, s prispením CYP2C8.</w:t>
      </w:r>
    </w:p>
    <w:p w14:paraId="5561FB3C" w14:textId="0F8F55F1" w:rsidR="004F42E7" w:rsidRPr="007F287E" w:rsidRDefault="004F42E7" w:rsidP="00F226E0">
      <w:pPr>
        <w:pStyle w:val="Normlndobloku"/>
        <w:jc w:val="left"/>
      </w:pPr>
      <w:r w:rsidRPr="007F287E">
        <w:t xml:space="preserve">Údaje </w:t>
      </w:r>
      <w:r w:rsidRPr="00E745ED">
        <w:rPr>
          <w:rStyle w:val="Bacil"/>
        </w:rPr>
        <w:t xml:space="preserve">in vitro </w:t>
      </w:r>
      <w:r w:rsidRPr="007F287E">
        <w:t>preukázali, že sitagliptín nie je inhibítorom CYP izoenzýmov CYP3A4, 2C8, 2C9, 2D6, 1A2, 2C19 alebo 2B6 a nie je induktorom CYP3A4 a CYP1A2.</w:t>
      </w:r>
    </w:p>
    <w:p w14:paraId="2AF01327" w14:textId="77777777" w:rsidR="004F42E7" w:rsidRPr="00D6277D" w:rsidRDefault="004F42E7" w:rsidP="008562D2">
      <w:pPr>
        <w:pStyle w:val="Styl3"/>
      </w:pPr>
      <w:r w:rsidRPr="00D6277D">
        <w:t>Eliminácia</w:t>
      </w:r>
    </w:p>
    <w:p w14:paraId="571B774A" w14:textId="49C549E9" w:rsidR="004F42E7" w:rsidRPr="007F287E" w:rsidRDefault="004F42E7" w:rsidP="00F226E0">
      <w:pPr>
        <w:pStyle w:val="Normlndobloku"/>
        <w:jc w:val="left"/>
      </w:pPr>
      <w:r w:rsidRPr="007F287E">
        <w:t>Po podaní perorálnej dávky [14C] sitagliptínu zdravým jedincom sa približne 100 % podanej rádioaktivity eliminovalo v stolici (13 %) alebo v moči (87 %) počas jedného týždňa po podaní dávky.</w:t>
      </w:r>
    </w:p>
    <w:p w14:paraId="53BC2D98" w14:textId="038DD9F7" w:rsidR="004F42E7" w:rsidRPr="007F287E" w:rsidRDefault="004F42E7" w:rsidP="00F226E0">
      <w:pPr>
        <w:pStyle w:val="Normlndobloku"/>
        <w:jc w:val="left"/>
      </w:pPr>
      <w:r w:rsidRPr="007F287E">
        <w:t>Zjavný terminálny t1/2 po podaní 100 mg perorálnej dávky sitagliptínu bol približne 12,4 hodiny. Sitagliptín sa iba minimálne kumuluje pri viacnásobných dávkach. Renálny klírens bol približne 350 ml/min.</w:t>
      </w:r>
    </w:p>
    <w:p w14:paraId="752E06A5" w14:textId="7E516D53" w:rsidR="004F42E7" w:rsidRPr="007F287E" w:rsidRDefault="004F42E7" w:rsidP="00F226E0">
      <w:pPr>
        <w:pStyle w:val="Normlndobloku"/>
        <w:jc w:val="left"/>
      </w:pPr>
      <w:r w:rsidRPr="007F287E">
        <w:t xml:space="preserve">Eliminácia sitagliptínu sa uskutočňuje primárne prostredníctvom renálneho vylučovania a zahŕňa aktívnu tubulárnu sekréciu. Sitagliptín je substrátom pre ľudský organický aniónový transportér-3 (hOAT-3), ktorý sa môže zúčastňovať na renálnej eliminácii sitagliptínu. Klinický význam hOAT-3 pri transporte sitagliptínu nebol stanovený. Sitagliptín je tiež substrátom p-glykoproteínu, ktorý sa tiež môže zúčastňovať na sprostredkovaní renálnej eliminácie sitagliptínu. Cyklosporín, inhibítor p-glykoproteínu, však neznižuje renálny klírens sitagliptínu. Sitagliptín nie je substrátom transportérov OCT2, OAT1 alebo PEPT1/2. </w:t>
      </w:r>
      <w:r w:rsidRPr="00E745ED">
        <w:rPr>
          <w:rStyle w:val="Bacil"/>
        </w:rPr>
        <w:t xml:space="preserve">In vitro </w:t>
      </w:r>
      <w:r w:rsidR="00314D29" w:rsidRPr="007F287E">
        <w:t>sitagliptín v </w:t>
      </w:r>
      <w:r w:rsidRPr="007F287E">
        <w:t>terapeuticky relevantných plazmatických koncentráciách neinhiboval transport</w:t>
      </w:r>
      <w:r w:rsidR="00314D29" w:rsidRPr="007F287E">
        <w:t xml:space="preserve"> sprostredkovaný OAT3 (IC50=160 </w:t>
      </w:r>
      <w:r w:rsidRPr="007F287E">
        <w:t>μM) al</w:t>
      </w:r>
      <w:r w:rsidR="00314D29" w:rsidRPr="007F287E">
        <w:t>ebo p-glykoproteínom (až do 250 </w:t>
      </w:r>
      <w:r w:rsidRPr="007F287E">
        <w:t>μM</w:t>
      </w:r>
      <w:r w:rsidR="00314D29" w:rsidRPr="007F287E">
        <w:t>). V </w:t>
      </w:r>
      <w:r w:rsidRPr="007F287E">
        <w:t>klinickej štúdii mal sitagli</w:t>
      </w:r>
      <w:r w:rsidR="00314D29" w:rsidRPr="007F287E">
        <w:t xml:space="preserve">ptín malý účinok na plazmatické </w:t>
      </w:r>
      <w:r w:rsidRPr="007F287E">
        <w:t>koncentrácie digoxínu, čo naznačuje, že sitagliptín môže byť miernym inhibítorom p-glykoproteínu.</w:t>
      </w:r>
    </w:p>
    <w:p w14:paraId="01C1CD66" w14:textId="24DC1335" w:rsidR="004F42E7" w:rsidRPr="00D6277D" w:rsidRDefault="00314D29" w:rsidP="008562D2">
      <w:pPr>
        <w:pStyle w:val="Styl3"/>
      </w:pPr>
      <w:r w:rsidRPr="00D6277D">
        <w:t>Charakteristika u </w:t>
      </w:r>
      <w:r w:rsidR="004F42E7" w:rsidRPr="00D6277D">
        <w:t>pacientov</w:t>
      </w:r>
    </w:p>
    <w:p w14:paraId="02F17349" w14:textId="28FB3C0E" w:rsidR="004F42E7" w:rsidRPr="007F287E" w:rsidRDefault="004F42E7" w:rsidP="00F226E0">
      <w:pPr>
        <w:pStyle w:val="Normlndobloku"/>
        <w:jc w:val="left"/>
      </w:pPr>
      <w:r w:rsidRPr="007F287E">
        <w:t>Farmakokinetika sitagliptínu</w:t>
      </w:r>
      <w:r w:rsidR="00314D29" w:rsidRPr="007F287E">
        <w:t xml:space="preserve"> bola vo všeobecnosti podobná u </w:t>
      </w:r>
      <w:r w:rsidRPr="007F287E">
        <w:t>zdrav</w:t>
      </w:r>
      <w:r w:rsidR="00314D29" w:rsidRPr="007F287E">
        <w:t>ých jedincov a u pacientov s </w:t>
      </w:r>
      <w:r w:rsidRPr="007F287E">
        <w:t>diabetom 2. typu.</w:t>
      </w:r>
    </w:p>
    <w:p w14:paraId="03E077F7" w14:textId="77777777" w:rsidR="004F42E7" w:rsidRPr="00A8055B" w:rsidRDefault="004F42E7" w:rsidP="008562D2">
      <w:pPr>
        <w:pStyle w:val="Styl4"/>
      </w:pPr>
      <w:r w:rsidRPr="00A8055B">
        <w:t>Porucha funkcie obličiek</w:t>
      </w:r>
    </w:p>
    <w:p w14:paraId="5566EAEF" w14:textId="73CED62E" w:rsidR="004F42E7" w:rsidRPr="007F287E" w:rsidRDefault="004F42E7" w:rsidP="00F226E0">
      <w:pPr>
        <w:pStyle w:val="Normlndobloku"/>
        <w:jc w:val="left"/>
      </w:pPr>
      <w:r w:rsidRPr="007F287E">
        <w:t>U</w:t>
      </w:r>
      <w:r w:rsidR="00314D29" w:rsidRPr="007F287E">
        <w:t>skutočnila sa otvorená štúdia s </w:t>
      </w:r>
      <w:r w:rsidRPr="007F287E">
        <w:t xml:space="preserve">jednorazovými dávkami na zhodnotenie farmakokinetiky </w:t>
      </w:r>
      <w:r w:rsidR="00314D29" w:rsidRPr="007F287E">
        <w:t>zníženej dávky sitagliptínu (50 mg) u pacientov s </w:t>
      </w:r>
      <w:r w:rsidRPr="007F287E">
        <w:t>rôznymi stupňami chronickej poruchy funkcie obli</w:t>
      </w:r>
      <w:r w:rsidR="00314D29" w:rsidRPr="007F287E">
        <w:t>čiek v porovnaní s </w:t>
      </w:r>
      <w:r w:rsidRPr="007F287E">
        <w:t xml:space="preserve">bežnými zdravými kontrolnými jedincami. Do </w:t>
      </w:r>
      <w:r w:rsidR="00314D29" w:rsidRPr="007F287E">
        <w:t>štúdie boli zaradení pacienti s </w:t>
      </w:r>
      <w:r w:rsidRPr="007F287E">
        <w:t>poruchou funkcie obličiek klasifikovanou na základe klírensu kr</w:t>
      </w:r>
      <w:r w:rsidR="00314D29" w:rsidRPr="007F287E">
        <w:t>eatinínu ako mierna (50 až &lt; 80 </w:t>
      </w:r>
      <w:r w:rsidRPr="007F287E">
        <w:t>ml/</w:t>
      </w:r>
      <w:r w:rsidR="00314D29" w:rsidRPr="007F287E">
        <w:t>min), stredne ťažká (30 až &lt;</w:t>
      </w:r>
      <w:r w:rsidR="00334AF3">
        <w:t> </w:t>
      </w:r>
      <w:r w:rsidR="00314D29" w:rsidRPr="007F287E">
        <w:t>50 ml/min) a ťažká (&lt; 30 </w:t>
      </w:r>
      <w:r w:rsidRPr="007F287E">
        <w:t>ml/min), a</w:t>
      </w:r>
      <w:r w:rsidR="00314D29" w:rsidRPr="007F287E">
        <w:t>ko aj pacienti s </w:t>
      </w:r>
      <w:r w:rsidRPr="007F287E">
        <w:t>terminálnym štádiom ochorenia obličiek (ESRD) na hemodialýze.</w:t>
      </w:r>
    </w:p>
    <w:p w14:paraId="684FAB7A" w14:textId="7DCF689E" w:rsidR="004F42E7" w:rsidRPr="007F287E" w:rsidRDefault="00314D29" w:rsidP="00F226E0">
      <w:pPr>
        <w:pStyle w:val="Normlndobloku"/>
        <w:jc w:val="left"/>
      </w:pPr>
      <w:r w:rsidRPr="00014FD3">
        <w:t>Pacienti s </w:t>
      </w:r>
      <w:r w:rsidR="004F42E7" w:rsidRPr="00014FD3">
        <w:t>miernou poruchou funkcie obličiek nemali klinicky významné zvýšenie plazmatic</w:t>
      </w:r>
      <w:r w:rsidRPr="00014FD3">
        <w:t>kej koncentrácie sitagliptínu v </w:t>
      </w:r>
      <w:r w:rsidR="004F42E7" w:rsidRPr="00014FD3">
        <w:t>porovnaní so zd</w:t>
      </w:r>
      <w:r w:rsidRPr="00014FD3">
        <w:t>ravými kontrolnými jedincami. V </w:t>
      </w:r>
      <w:r w:rsidR="004F42E7" w:rsidRPr="00014FD3">
        <w:t xml:space="preserve">porovnaní </w:t>
      </w:r>
      <w:r w:rsidRPr="00014FD3">
        <w:t>s </w:t>
      </w:r>
      <w:r w:rsidR="004F42E7" w:rsidRPr="00014FD3">
        <w:t xml:space="preserve">normálnymi zdravými kontrolnými jedincami bolo pozorované približne 2-násobné zvýšenie </w:t>
      </w:r>
      <w:r w:rsidRPr="00014FD3">
        <w:t>plazmatickej AUC sitagliptínu u </w:t>
      </w:r>
      <w:r w:rsidR="004F42E7" w:rsidRPr="00014FD3">
        <w:t>pacientov so stredne ťaž</w:t>
      </w:r>
      <w:r w:rsidRPr="00014FD3">
        <w:t>kou poruchou funkcie obličiek a </w:t>
      </w:r>
      <w:r w:rsidR="004F42E7" w:rsidRPr="00014FD3">
        <w:t>približne 4-nás</w:t>
      </w:r>
      <w:r w:rsidRPr="00014FD3">
        <w:t>obné zvýšenie bolo pozorované u pacientov s </w:t>
      </w:r>
      <w:r w:rsidR="004F42E7" w:rsidRPr="00014FD3">
        <w:t>ťažkou poruchou funk</w:t>
      </w:r>
      <w:r w:rsidRPr="00014FD3">
        <w:t>cie obličiek a u </w:t>
      </w:r>
      <w:r w:rsidR="004F42E7" w:rsidRPr="00014FD3">
        <w:t>pacientov</w:t>
      </w:r>
      <w:r w:rsidRPr="00014FD3">
        <w:t xml:space="preserve"> s </w:t>
      </w:r>
      <w:r w:rsidR="004F42E7" w:rsidRPr="00014FD3">
        <w:t>ESRD na hemodialýze. Sitagliptín bol miern</w:t>
      </w:r>
      <w:r w:rsidRPr="00014FD3">
        <w:t>e odstránený hemodialýzou (13,5 </w:t>
      </w:r>
      <w:r w:rsidR="004F42E7" w:rsidRPr="00014FD3">
        <w:t>% počas 3- až 4-hodinovej hemodialýzy so začiatkom 4 hodiny po podaní dávky). Na dosiahnutie plazmatických koncentrácií sitagliptínu, ktoré sú podobné plazmatic</w:t>
      </w:r>
      <w:r w:rsidRPr="00014FD3">
        <w:t>kým koncentráciám u pacientov s </w:t>
      </w:r>
      <w:r w:rsidR="004F42E7" w:rsidRPr="00014FD3">
        <w:t xml:space="preserve">normálnou funkciou obličiek, sa </w:t>
      </w:r>
      <w:r w:rsidRPr="00014FD3">
        <w:t>u pacientov so stredne ťažkou a </w:t>
      </w:r>
      <w:r w:rsidR="004F42E7" w:rsidRPr="00014FD3">
        <w:t>ťažkou poru</w:t>
      </w:r>
      <w:r w:rsidRPr="00014FD3">
        <w:t>chou funkcie obličiek, ako aj u pacientov s </w:t>
      </w:r>
      <w:r w:rsidR="004F42E7" w:rsidRPr="00014FD3">
        <w:t>ESRD vyžadujúcim dialýzu, odporúčajú nižšie dávky (pozri časť 4.2).</w:t>
      </w:r>
    </w:p>
    <w:p w14:paraId="53725371" w14:textId="77777777" w:rsidR="004F42E7" w:rsidRPr="00A8055B" w:rsidRDefault="004F42E7" w:rsidP="008562D2">
      <w:pPr>
        <w:pStyle w:val="Styl4"/>
      </w:pPr>
      <w:r w:rsidRPr="00A8055B">
        <w:t>Porucha funkcie pečene</w:t>
      </w:r>
    </w:p>
    <w:p w14:paraId="63F7F402" w14:textId="30B4FEBE" w:rsidR="004F42E7" w:rsidRPr="007F287E" w:rsidRDefault="00314D29" w:rsidP="00F226E0">
      <w:pPr>
        <w:pStyle w:val="Normlndobloku"/>
        <w:jc w:val="left"/>
      </w:pPr>
      <w:r w:rsidRPr="007F287E">
        <w:t>U </w:t>
      </w:r>
      <w:r w:rsidR="004F42E7" w:rsidRPr="007F287E">
        <w:t xml:space="preserve">pacientov s miernou alebo stredne ťažkou poruchou funkcie pečene (Childovo-Pughovo skóre ≤ 9) </w:t>
      </w:r>
      <w:r w:rsidRPr="007F287E">
        <w:t>nie je potrebná úprava dávky. U pacientov s </w:t>
      </w:r>
      <w:r w:rsidR="004F42E7" w:rsidRPr="007F287E">
        <w:t>ťažkou poruchou funkcie pečene (Childovo-Pughovo skóre &gt; 9) nie je žiadna klinická skúsenosť. Vzhľadom na to, že sa sitagliptín vylučuje primárne obličkami, nepredpokladá sa, že by ťažká porucha funkcie pečene mala vplyv na farmakokinetiku sitagliptínu.</w:t>
      </w:r>
    </w:p>
    <w:p w14:paraId="3A58E863" w14:textId="2DA63F36" w:rsidR="004F42E7" w:rsidRPr="00A8055B" w:rsidRDefault="004F42E7" w:rsidP="008562D2">
      <w:pPr>
        <w:pStyle w:val="Styl4"/>
      </w:pPr>
      <w:r w:rsidRPr="00A8055B">
        <w:t>Starš</w:t>
      </w:r>
      <w:r w:rsidR="00772E9F">
        <w:t>ie osoby</w:t>
      </w:r>
    </w:p>
    <w:p w14:paraId="7FD7FADF" w14:textId="1D64C5C8" w:rsidR="004F42E7" w:rsidRPr="007F287E" w:rsidRDefault="00314D29" w:rsidP="00F226E0">
      <w:pPr>
        <w:pStyle w:val="Normlndobloku"/>
        <w:jc w:val="left"/>
      </w:pPr>
      <w:r w:rsidRPr="007F287E">
        <w:t>Nie je potrebná úprava dávky v </w:t>
      </w:r>
      <w:r w:rsidR="004F42E7" w:rsidRPr="007F287E">
        <w:t>zá</w:t>
      </w:r>
      <w:r w:rsidRPr="007F287E">
        <w:t>vislosti od veku. Vychádzajúc z </w:t>
      </w:r>
      <w:r w:rsidR="004F42E7" w:rsidRPr="007F287E">
        <w:t>farmakokinetickej analýzy údajov populácie I</w:t>
      </w:r>
      <w:r w:rsidRPr="007F287E">
        <w:t>. a </w:t>
      </w:r>
      <w:r w:rsidR="004F42E7" w:rsidRPr="007F287E">
        <w:t>II. fázy vek nemal klinicky významný vplyv na farmakokinetiku sitagliptínu. Starší jedinci (6</w:t>
      </w:r>
      <w:r w:rsidRPr="007F287E">
        <w:t>5 až 80 rokov) mali približne o 19 </w:t>
      </w:r>
      <w:r w:rsidR="004F42E7" w:rsidRPr="007F287E">
        <w:t>% vyššie plazma</w:t>
      </w:r>
      <w:r w:rsidRPr="007F287E">
        <w:t>tické koncentrácie sitagliptínu v porovnaní s </w:t>
      </w:r>
      <w:r w:rsidR="004F42E7" w:rsidRPr="007F287E">
        <w:t>mladšími osobami.</w:t>
      </w:r>
    </w:p>
    <w:p w14:paraId="1BC04635" w14:textId="77777777" w:rsidR="004F42E7" w:rsidRPr="00A8055B" w:rsidRDefault="004F42E7" w:rsidP="008562D2">
      <w:pPr>
        <w:pStyle w:val="Styl4"/>
      </w:pPr>
      <w:r w:rsidRPr="00A8055B">
        <w:t>Pediatrická populácia</w:t>
      </w:r>
    </w:p>
    <w:p w14:paraId="3A522935" w14:textId="1E2E5220" w:rsidR="004F42E7" w:rsidRPr="007F287E" w:rsidRDefault="004F42E7" w:rsidP="00F226E0">
      <w:pPr>
        <w:pStyle w:val="Normlndobloku"/>
        <w:jc w:val="left"/>
      </w:pPr>
      <w:r w:rsidRPr="007F287E">
        <w:t>Neuskutočnili sa žiadne</w:t>
      </w:r>
      <w:r w:rsidR="00314D29" w:rsidRPr="007F287E">
        <w:t xml:space="preserve"> štúdie so sitagliptínom u detských a </w:t>
      </w:r>
      <w:r w:rsidRPr="007F287E">
        <w:t>dospievajúcich pacientov.</w:t>
      </w:r>
    </w:p>
    <w:p w14:paraId="7D03BACE" w14:textId="77777777" w:rsidR="004F42E7" w:rsidRPr="00A8055B" w:rsidRDefault="004F42E7" w:rsidP="008562D2">
      <w:pPr>
        <w:pStyle w:val="Styl4"/>
      </w:pPr>
      <w:r w:rsidRPr="00A8055B">
        <w:t>Charakteristika iných pacientov</w:t>
      </w:r>
    </w:p>
    <w:p w14:paraId="041CD1A1" w14:textId="5EA36FEB" w:rsidR="004F42E7" w:rsidRPr="007F287E" w:rsidRDefault="00314D29" w:rsidP="00F226E0">
      <w:pPr>
        <w:pStyle w:val="Normlndobloku"/>
        <w:jc w:val="left"/>
      </w:pPr>
      <w:r w:rsidRPr="007F287E">
        <w:t>Nie je potrebná úprava dávky v </w:t>
      </w:r>
      <w:r w:rsidR="004F42E7" w:rsidRPr="007F287E">
        <w:t>závislosti od pohlavia, rasy alebo indexu telesnej hmotnosti (body mass index, BMI). Tieto charakteristiky nemali klinicky významný vplyv na farmakokine</w:t>
      </w:r>
      <w:r w:rsidRPr="007F287E">
        <w:t>tiku sitagliptínu vychádzajúc z </w:t>
      </w:r>
      <w:r w:rsidR="004F42E7" w:rsidRPr="007F287E">
        <w:t>kompozitnej analýzy farm</w:t>
      </w:r>
      <w:r w:rsidRPr="007F287E">
        <w:t>akokinetických údajov I. fázy a z </w:t>
      </w:r>
      <w:r w:rsidR="004F42E7" w:rsidRPr="007F287E">
        <w:t>analýzy farmakoki</w:t>
      </w:r>
      <w:r w:rsidRPr="007F287E">
        <w:t>netických údajov populácie I. a </w:t>
      </w:r>
      <w:r w:rsidR="004F42E7" w:rsidRPr="007F287E">
        <w:t>II. fázy.</w:t>
      </w:r>
    </w:p>
    <w:p w14:paraId="3F096C74" w14:textId="7AC87D70" w:rsidR="00314D29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Predklinické údaje o bezpečnosti</w:t>
      </w:r>
    </w:p>
    <w:p w14:paraId="1FE54C74" w14:textId="62023CCF" w:rsidR="00314D29" w:rsidRPr="007F287E" w:rsidRDefault="00314D29" w:rsidP="00F226E0">
      <w:pPr>
        <w:pStyle w:val="Normlndobloku"/>
        <w:jc w:val="left"/>
      </w:pPr>
      <w:r w:rsidRPr="007F287E">
        <w:t>U hlodavcov sa pozorovala renálna a hepatálna toxicita pri systémových expozičných hodnotách 58-krát vyšších, ako je expozičná hladina u ľudí, pričom najvyššia neúčinná hladina bola zistená pri 19-násobku expozičnej hladiny u ľudí. Pri expozíciách 67-krát vyšších ako sú klinické expozičné hladiny, sa u potkanov pozorovali abnormality rezákov, pričom najvyššia neúčinná hladina pre tento nález bola 58-krát vyššia vychádzajúc zo 14-dňovej štúdie u potkanov. Význam týchto zistení pre ľudí nie je známy. Prechodné fyzické príznaky súvisiace s liečbou, z ktorých niektoré poukazovali na nervovú toxicitu, napr. dýchanie s otvorenými ústami, slinenie, vracanie bielej peny, ataxia, triaška, znížená aktivita a/alebo zhrbený postoj, sa pozorovali u psov pri expozičných hladinách približne 23-násobne vyšších, ako je klinická expozícia. Okrem toho sa histologicky zistila veľmi mierna až mierna degenerácia kostrových svalov pri dávkach vedúcich k systémovým expozíciám približne 23-násobne vyšším, ako je expozičná hladina u ľudí. Zistilo sa, že najvyššia neúčinná hladina pre tieto nálezy je 6-násobok klinickej expozičnej hladiny.</w:t>
      </w:r>
    </w:p>
    <w:p w14:paraId="3AB2B237" w14:textId="59A21F40" w:rsidR="00314D29" w:rsidRPr="007F287E" w:rsidRDefault="00314D29" w:rsidP="00F226E0">
      <w:pPr>
        <w:pStyle w:val="Normlndobloku"/>
        <w:jc w:val="left"/>
      </w:pPr>
      <w:r w:rsidRPr="007F287E">
        <w:t>V predklinických štúdiách sa nepreukázala genotoxicita sitagliptínu. Sitagliptín nebol karcinogénny u myší. U potkanov došlo k zvýšenej incidencii hepatálnych adenómov a karcinómov pri systémových expozičných hladinách 58-násobne vyšších, ako je expozičná hladina u ľudí. Keďže sa zistilo, že hepatotoxicita koreluje s indukciou hepatálnej neoplázie u potkanov, táto zvýšená incidencia hepatálnych tumorov u potkanov bola pravdepodobne následkom chronickej hepatálnej toxicity pri tejto vysokej dávke. Vzhľadom na vysoké bezpečnostné rozpätie (19-násobok pri najvyššej neúčinnej hladine) sa tieto neoplastické zmeny nepovažujú za významné v prípade ľudí.</w:t>
      </w:r>
    </w:p>
    <w:p w14:paraId="746BCB08" w14:textId="5F46C1D3" w:rsidR="00314D29" w:rsidRPr="007F287E" w:rsidRDefault="00314D29" w:rsidP="00F226E0">
      <w:pPr>
        <w:pStyle w:val="Normlndobloku"/>
        <w:jc w:val="left"/>
      </w:pPr>
      <w:r w:rsidRPr="007F287E">
        <w:t>Nepozorovali sa žiadne nežiaduce účinky na fertilitu samcov a samíc potkanov, ktorým bol sitagliptín podaný pred a počas párenia.</w:t>
      </w:r>
    </w:p>
    <w:p w14:paraId="6658F70D" w14:textId="4B7D25F0" w:rsidR="00314D29" w:rsidRPr="007F287E" w:rsidRDefault="00314D29" w:rsidP="00F226E0">
      <w:pPr>
        <w:pStyle w:val="Normlndobloku"/>
        <w:jc w:val="left"/>
      </w:pPr>
      <w:r w:rsidRPr="007F287E">
        <w:t>V pre-/postnatálnej vývojovej štúdii uskutočnenej na potkanoch sa nezistili žiadne nežiaduce účinky sitagliptínu.</w:t>
      </w:r>
    </w:p>
    <w:p w14:paraId="72F2D6F5" w14:textId="33E52DFA" w:rsidR="00314D29" w:rsidRPr="007F287E" w:rsidRDefault="00314D29" w:rsidP="00F226E0">
      <w:pPr>
        <w:pStyle w:val="Normlndobloku"/>
        <w:jc w:val="left"/>
      </w:pPr>
      <w:r w:rsidRPr="007F287E">
        <w:t>Štúdie reprodukčnej toxicity preukázali v súvislosti s liečbou mierne zvýšenie výskytu fetálnych malformácií rebier (chýbajúce, hypoplastické a zvlnené rebrá) u potomkov potkanov vystavených systémovým expozičným hladinám vyšším, ako je 29-násobok expozičných hladín u ľudí. Tehotenská toxicita sa pozorovala u králikov pri viac ako 29-násobku expozičných hladín u ľudí. Vzhľadom na vysoké bezpečnostné rozpätie tieto zistenia nepoukazujú na významné riziko pre ľudskú reprodukciu. Sitagliptín sa do značnej miery vylučuje do mlieka dojčiacich potkanov (pomer mlieko/plazma: 4:1).</w:t>
      </w:r>
    </w:p>
    <w:p w14:paraId="1A94EE8D" w14:textId="77777777" w:rsidR="00A72EBA" w:rsidRPr="00D6277D" w:rsidRDefault="00A72EBA" w:rsidP="00D6277D">
      <w:pPr>
        <w:pStyle w:val="Styl1"/>
      </w:pPr>
      <w:r w:rsidRPr="00D6277D">
        <w:t>FARMACEUTICKÉ INFORMÁCIE</w:t>
      </w:r>
    </w:p>
    <w:p w14:paraId="7A219E91" w14:textId="148B4A77" w:rsidR="00314D29" w:rsidRPr="007F287E" w:rsidRDefault="00A72EBA">
      <w:pPr>
        <w:pStyle w:val="Styl2"/>
        <w:numPr>
          <w:ilvl w:val="1"/>
          <w:numId w:val="10"/>
        </w:numPr>
        <w:ind w:left="680" w:hanging="680"/>
      </w:pPr>
      <w:r w:rsidRPr="007F287E">
        <w:t>Zoznam pomocných látok</w:t>
      </w:r>
    </w:p>
    <w:p w14:paraId="19174BEA" w14:textId="6FC3AB3C" w:rsidR="00314D29" w:rsidRPr="00D6277D" w:rsidRDefault="00314D29" w:rsidP="008562D2">
      <w:pPr>
        <w:pStyle w:val="Styl3"/>
      </w:pPr>
      <w:r w:rsidRPr="00D6277D">
        <w:t>Jadro tablety</w:t>
      </w:r>
    </w:p>
    <w:p w14:paraId="2DC81AB6" w14:textId="5DD3C7CB" w:rsidR="00314D29" w:rsidRPr="007F287E" w:rsidRDefault="008251CB" w:rsidP="00F226E0">
      <w:pPr>
        <w:pStyle w:val="Normlndobloku"/>
        <w:jc w:val="left"/>
      </w:pPr>
      <w:r>
        <w:t>m</w:t>
      </w:r>
      <w:r w:rsidRPr="007F287E">
        <w:t xml:space="preserve">ikrokryštalická </w:t>
      </w:r>
      <w:r w:rsidR="00314D29" w:rsidRPr="007F287E">
        <w:t>celulóza (E 460)</w:t>
      </w:r>
    </w:p>
    <w:p w14:paraId="70B595A0" w14:textId="20A49409" w:rsidR="00314D29" w:rsidRPr="007F287E" w:rsidRDefault="00314D29" w:rsidP="00F226E0">
      <w:pPr>
        <w:pStyle w:val="Normlndobloku"/>
        <w:jc w:val="left"/>
      </w:pPr>
      <w:r w:rsidRPr="007F287E">
        <w:t>hydrogenfosforečnan vápenatý</w:t>
      </w:r>
      <w:r w:rsidR="008251CB">
        <w:t>, bezvodý</w:t>
      </w:r>
    </w:p>
    <w:p w14:paraId="013A0F58" w14:textId="64CFD637" w:rsidR="00314D29" w:rsidRPr="007F287E" w:rsidRDefault="008251CB" w:rsidP="00F226E0">
      <w:pPr>
        <w:pStyle w:val="Normlndobloku"/>
        <w:jc w:val="left"/>
      </w:pPr>
      <w:r>
        <w:t>kroskaramelóza, sodná soľ</w:t>
      </w:r>
    </w:p>
    <w:p w14:paraId="2B6B4BF5" w14:textId="1459D79F" w:rsidR="00314D29" w:rsidRPr="007F287E" w:rsidRDefault="005A4F93" w:rsidP="00F226E0">
      <w:pPr>
        <w:pStyle w:val="Normlndobloku"/>
        <w:jc w:val="left"/>
      </w:pPr>
      <w:r>
        <w:t>stearan horečnatý</w:t>
      </w:r>
    </w:p>
    <w:p w14:paraId="4E4DB731" w14:textId="1B816623" w:rsidR="00314D29" w:rsidRPr="007F287E" w:rsidRDefault="005A4F93" w:rsidP="00F226E0">
      <w:pPr>
        <w:pStyle w:val="Normlndobloku"/>
        <w:jc w:val="left"/>
      </w:pPr>
      <w:r>
        <w:t>stearylfumaran</w:t>
      </w:r>
      <w:r w:rsidR="008251CB">
        <w:t xml:space="preserve"> sodný</w:t>
      </w:r>
    </w:p>
    <w:p w14:paraId="1679B931" w14:textId="5357570D" w:rsidR="00314D29" w:rsidRPr="00D6277D" w:rsidRDefault="00314D29" w:rsidP="008562D2">
      <w:pPr>
        <w:pStyle w:val="Styl3"/>
      </w:pPr>
      <w:r w:rsidRPr="00D6277D">
        <w:t>Filmový obal</w:t>
      </w:r>
    </w:p>
    <w:p w14:paraId="56C25BA0" w14:textId="6C21F364" w:rsidR="00314D29" w:rsidRPr="007F287E" w:rsidRDefault="00314D29" w:rsidP="00F226E0">
      <w:pPr>
        <w:pStyle w:val="Normlndobloku"/>
        <w:jc w:val="left"/>
      </w:pPr>
      <w:r w:rsidRPr="007F287E">
        <w:t>Polyvinylalkohol (E 1203)</w:t>
      </w:r>
    </w:p>
    <w:p w14:paraId="38DCDDF0" w14:textId="40326E5B" w:rsidR="00314D29" w:rsidRPr="007F287E" w:rsidRDefault="00314D29" w:rsidP="00F226E0">
      <w:pPr>
        <w:pStyle w:val="Normlndobloku"/>
        <w:jc w:val="left"/>
      </w:pPr>
      <w:r w:rsidRPr="007F287E">
        <w:t>Oxid titaničitý (E 171)</w:t>
      </w:r>
    </w:p>
    <w:p w14:paraId="7941E642" w14:textId="4FD103F0" w:rsidR="00314D29" w:rsidRPr="007F287E" w:rsidRDefault="00314D29" w:rsidP="00F226E0">
      <w:pPr>
        <w:pStyle w:val="Normlndobloku"/>
        <w:jc w:val="left"/>
      </w:pPr>
      <w:r w:rsidRPr="007F287E">
        <w:t>Makrogol (E 1521)</w:t>
      </w:r>
    </w:p>
    <w:p w14:paraId="745031C3" w14:textId="43920392" w:rsidR="00314D29" w:rsidRPr="007F287E" w:rsidRDefault="00314D29" w:rsidP="00F226E0">
      <w:pPr>
        <w:pStyle w:val="Normlndobloku"/>
        <w:jc w:val="left"/>
      </w:pPr>
      <w:r w:rsidRPr="007F287E">
        <w:t>Mastenec (E 553b)</w:t>
      </w:r>
    </w:p>
    <w:p w14:paraId="2147670B" w14:textId="4D70A5BA" w:rsidR="00314D29" w:rsidRPr="007F287E" w:rsidRDefault="00E655F1" w:rsidP="00F226E0">
      <w:pPr>
        <w:pStyle w:val="Normlndobloku"/>
        <w:jc w:val="left"/>
      </w:pPr>
      <w:r w:rsidRPr="007F287E">
        <w:t xml:space="preserve">50 mg: </w:t>
      </w:r>
      <w:r w:rsidR="00314D29" w:rsidRPr="007F287E">
        <w:t>Žltý oxid železitý (E 172)</w:t>
      </w:r>
    </w:p>
    <w:p w14:paraId="7423DE32" w14:textId="58B36C22" w:rsidR="00314D29" w:rsidRPr="007F287E" w:rsidRDefault="007F287E" w:rsidP="00F226E0">
      <w:pPr>
        <w:pStyle w:val="Normlndobloku"/>
        <w:jc w:val="left"/>
      </w:pPr>
      <w:r w:rsidRPr="007F287E">
        <w:t>100 mg: Žltý oxid železitý (E 172) a č</w:t>
      </w:r>
      <w:r w:rsidR="00314D29" w:rsidRPr="007F287E">
        <w:t>ervený oxid železitý (E 172)</w:t>
      </w:r>
    </w:p>
    <w:p w14:paraId="74529F41" w14:textId="77777777" w:rsidR="00A72EBA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Inkompatibility</w:t>
      </w:r>
    </w:p>
    <w:p w14:paraId="20B46D69" w14:textId="77777777" w:rsidR="00A72EBA" w:rsidRPr="007F287E" w:rsidRDefault="00A72EBA" w:rsidP="00F226E0">
      <w:pPr>
        <w:pStyle w:val="Normlndobloku"/>
        <w:jc w:val="left"/>
      </w:pPr>
      <w:r w:rsidRPr="007F287E">
        <w:t>Neaplikovateľné.</w:t>
      </w:r>
    </w:p>
    <w:p w14:paraId="44D62518" w14:textId="77777777" w:rsidR="00A72EBA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Čas použiteľnosti</w:t>
      </w:r>
    </w:p>
    <w:p w14:paraId="6659DC4A" w14:textId="1DE7948B" w:rsidR="00A72EBA" w:rsidRPr="007F287E" w:rsidRDefault="001C3946" w:rsidP="00F226E0">
      <w:pPr>
        <w:pStyle w:val="Normlndobloku"/>
        <w:jc w:val="left"/>
      </w:pPr>
      <w:r w:rsidRPr="007F287E">
        <w:t>3 roky</w:t>
      </w:r>
    </w:p>
    <w:p w14:paraId="2064E32B" w14:textId="77777777" w:rsidR="00A72EBA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Špeciálne upozornenia na uchovávanie</w:t>
      </w:r>
    </w:p>
    <w:p w14:paraId="596BABC1" w14:textId="77777777" w:rsidR="0019382D" w:rsidRPr="007F287E" w:rsidRDefault="000C069D" w:rsidP="00F226E0">
      <w:pPr>
        <w:pStyle w:val="Normlndobloku"/>
        <w:jc w:val="left"/>
        <w:rPr>
          <w:lang w:eastAsia="en-GB"/>
        </w:rPr>
      </w:pPr>
      <w:r w:rsidRPr="007F287E">
        <w:t>Tento liek nevyžaduje žiadne zvláštne podmienky na uchovávanie.</w:t>
      </w:r>
    </w:p>
    <w:p w14:paraId="12A901BA" w14:textId="77777777" w:rsidR="0019382D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Druh obalu a obsah balenia</w:t>
      </w:r>
    </w:p>
    <w:p w14:paraId="78B404A6" w14:textId="7C6710E4" w:rsidR="007E68BB" w:rsidRPr="007F287E" w:rsidRDefault="00026DB6" w:rsidP="00F226E0">
      <w:pPr>
        <w:pStyle w:val="Normlndobloku"/>
        <w:jc w:val="left"/>
      </w:pPr>
      <w:r w:rsidRPr="007F287E">
        <w:t>PA/Al/PVC/Al blister v škatuľkách po 14, 28, 30, 56, 84, 90 a 98 filmom obalených tabletách.</w:t>
      </w:r>
    </w:p>
    <w:p w14:paraId="455DE0DC" w14:textId="77777777" w:rsidR="00A72EBA" w:rsidRPr="007F287E" w:rsidRDefault="00A72EBA" w:rsidP="00F226E0">
      <w:pPr>
        <w:pStyle w:val="Normlndobloku"/>
        <w:jc w:val="left"/>
      </w:pPr>
      <w:r w:rsidRPr="007F287E">
        <w:t>Na trh nemusia byť uvedené všetky veľkosti balenia.</w:t>
      </w:r>
    </w:p>
    <w:p w14:paraId="3D882F97" w14:textId="77777777" w:rsidR="007D0986" w:rsidRPr="007F287E" w:rsidRDefault="00A72EBA" w:rsidP="008562D2">
      <w:pPr>
        <w:pStyle w:val="Styl2"/>
        <w:numPr>
          <w:ilvl w:val="1"/>
          <w:numId w:val="10"/>
        </w:numPr>
        <w:ind w:left="680" w:hanging="680"/>
      </w:pPr>
      <w:r w:rsidRPr="007F287E">
        <w:t>Špeciálne opatrenia na likvidáciu</w:t>
      </w:r>
    </w:p>
    <w:p w14:paraId="2C967B43" w14:textId="65E0B998" w:rsidR="000C069D" w:rsidRPr="007F287E" w:rsidRDefault="00026DB6" w:rsidP="00F226E0">
      <w:pPr>
        <w:pStyle w:val="Normlndobloku"/>
        <w:jc w:val="left"/>
      </w:pPr>
      <w:r w:rsidRPr="007F287E">
        <w:t>Všetok nepoužitý liek alebo odpad vzniknutý z lieku sa má zlikvidovať v súlade s národnými požiadavkami.</w:t>
      </w:r>
    </w:p>
    <w:p w14:paraId="38CA7687" w14:textId="77777777" w:rsidR="00A72EBA" w:rsidRPr="00D6277D" w:rsidRDefault="005D4C05" w:rsidP="00D6277D">
      <w:pPr>
        <w:pStyle w:val="Styl1"/>
      </w:pPr>
      <w:r w:rsidRPr="00D6277D">
        <w:t>DRŽITEĽ ROZHODNUTIA O </w:t>
      </w:r>
      <w:r w:rsidR="00A72EBA" w:rsidRPr="00D6277D">
        <w:t>REGISTRÁCII</w:t>
      </w:r>
    </w:p>
    <w:p w14:paraId="4A31FE32" w14:textId="7EEA7EB0" w:rsidR="00A72EBA" w:rsidRPr="007F287E" w:rsidRDefault="00F2480A" w:rsidP="00F226E0">
      <w:pPr>
        <w:pStyle w:val="Normlndobloku"/>
        <w:jc w:val="left"/>
      </w:pPr>
      <w:r w:rsidRPr="007F287E">
        <w:t>MEDOCHEMIE Ltd., 1-10 Constantinoupoleos Street, 3011 Limassol, Cyprus</w:t>
      </w:r>
    </w:p>
    <w:p w14:paraId="7AF1A63E" w14:textId="77777777" w:rsidR="005D4C05" w:rsidRPr="00D6277D" w:rsidRDefault="00A72EBA" w:rsidP="008562D2">
      <w:pPr>
        <w:pStyle w:val="Styl1"/>
      </w:pPr>
      <w:r w:rsidRPr="00D6277D">
        <w:t>R</w:t>
      </w:r>
      <w:r w:rsidR="005D4C05" w:rsidRPr="00D6277D">
        <w:t>EGISTRAČNÉ ČÍSLO</w:t>
      </w:r>
    </w:p>
    <w:p w14:paraId="23838FD0" w14:textId="362DFB30" w:rsidR="00F55A63" w:rsidRPr="007F287E" w:rsidRDefault="00026DB6" w:rsidP="00F226E0">
      <w:pPr>
        <w:pStyle w:val="Normlndobloku"/>
        <w:jc w:val="left"/>
      </w:pPr>
      <w:r w:rsidRPr="007F287E">
        <w:t>JIMANDIN 50 mg filmom obalené tablety:</w:t>
      </w:r>
      <w:r w:rsidR="004B75E0">
        <w:tab/>
        <w:t>18/0133/18-S</w:t>
      </w:r>
    </w:p>
    <w:p w14:paraId="793CE231" w14:textId="2AE678ED" w:rsidR="00026DB6" w:rsidRPr="007F287E" w:rsidRDefault="00026DB6" w:rsidP="00F226E0">
      <w:pPr>
        <w:pStyle w:val="Normlndobloku"/>
        <w:jc w:val="left"/>
      </w:pPr>
      <w:r w:rsidRPr="007F287E">
        <w:t>JIMANDIN 100 mg filmom obalené tablety:</w:t>
      </w:r>
      <w:r w:rsidR="004B75E0">
        <w:tab/>
        <w:t>18/0134/18-S</w:t>
      </w:r>
    </w:p>
    <w:p w14:paraId="0930D8A3" w14:textId="77777777" w:rsidR="00A72EBA" w:rsidRPr="00D6277D" w:rsidRDefault="00A72EBA" w:rsidP="008562D2">
      <w:pPr>
        <w:pStyle w:val="Styl1"/>
      </w:pPr>
      <w:r w:rsidRPr="00D6277D">
        <w:t>DÁTUM PRVEJ REGISTRÁCIE/PREDĹŽENIA REGISTRÁCIE</w:t>
      </w:r>
    </w:p>
    <w:p w14:paraId="31F38FED" w14:textId="77777777" w:rsidR="00A72EBA" w:rsidRPr="007F287E" w:rsidRDefault="00A72EBA" w:rsidP="00F226E0">
      <w:pPr>
        <w:pStyle w:val="Normlndobloku"/>
        <w:jc w:val="left"/>
      </w:pPr>
      <w:r w:rsidRPr="007F287E">
        <w:t>Dátum prvej registrácie:</w:t>
      </w:r>
    </w:p>
    <w:p w14:paraId="67E53F1A" w14:textId="77777777" w:rsidR="00A72EBA" w:rsidRPr="007F287E" w:rsidRDefault="00A72EBA" w:rsidP="00F226E0">
      <w:pPr>
        <w:pStyle w:val="Normlndobloku"/>
        <w:jc w:val="left"/>
      </w:pPr>
      <w:r w:rsidRPr="007F287E">
        <w:t>Dátum posledného predĺženia registrácie:</w:t>
      </w:r>
    </w:p>
    <w:p w14:paraId="60B2B7A3" w14:textId="77777777" w:rsidR="00A72EBA" w:rsidRPr="00D6277D" w:rsidRDefault="00A72EBA" w:rsidP="008562D2">
      <w:pPr>
        <w:pStyle w:val="Styl1"/>
      </w:pPr>
      <w:r w:rsidRPr="00D6277D">
        <w:t>DÁTUM REVÍZIE TEXTU</w:t>
      </w:r>
    </w:p>
    <w:p w14:paraId="433BD755" w14:textId="66B9E261" w:rsidR="004277C7" w:rsidRPr="007F287E" w:rsidRDefault="004B75E0">
      <w:pPr>
        <w:rPr>
          <w:lang w:val="sk-SK"/>
        </w:rPr>
      </w:pPr>
      <w:r>
        <w:rPr>
          <w:lang w:val="sk-SK"/>
        </w:rPr>
        <w:t>04/2018</w:t>
      </w:r>
    </w:p>
    <w:sectPr w:rsidR="004277C7" w:rsidRPr="007F287E" w:rsidSect="00F226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737" w:footer="737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8F78DF" w16cid:durableId="1E770C9E"/>
  <w16cid:commentId w16cid:paraId="5E3146E1" w16cid:durableId="1E770FA5"/>
  <w16cid:commentId w16cid:paraId="481BF842" w16cid:durableId="1E770C9F"/>
  <w16cid:commentId w16cid:paraId="08EB1033" w16cid:durableId="1E770CA0"/>
  <w16cid:commentId w16cid:paraId="08EBA0E6" w16cid:durableId="1E770C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68EA2" w14:textId="77777777" w:rsidR="008562D2" w:rsidRDefault="008562D2">
      <w:r>
        <w:separator/>
      </w:r>
    </w:p>
  </w:endnote>
  <w:endnote w:type="continuationSeparator" w:id="0">
    <w:p w14:paraId="42384B7F" w14:textId="77777777" w:rsidR="008562D2" w:rsidRDefault="0085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9C23" w14:textId="77777777" w:rsidR="008562D2" w:rsidRDefault="008562D2" w:rsidP="00C821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E85AADA" w14:textId="77777777" w:rsidR="008562D2" w:rsidRDefault="008562D2" w:rsidP="00C821C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451678"/>
      <w:docPartObj>
        <w:docPartGallery w:val="Page Numbers (Bottom of Page)"/>
        <w:docPartUnique/>
      </w:docPartObj>
    </w:sdtPr>
    <w:sdtContent>
      <w:p w14:paraId="6F6D8BBF" w14:textId="382FBC05" w:rsidR="00F226E0" w:rsidRDefault="00F226E0">
        <w:pPr>
          <w:pStyle w:val="Pta"/>
          <w:jc w:val="center"/>
        </w:pPr>
        <w:r w:rsidRPr="00F226E0">
          <w:rPr>
            <w:sz w:val="18"/>
            <w:szCs w:val="18"/>
          </w:rPr>
          <w:fldChar w:fldCharType="begin"/>
        </w:r>
        <w:r w:rsidRPr="00F226E0">
          <w:rPr>
            <w:sz w:val="18"/>
            <w:szCs w:val="18"/>
          </w:rPr>
          <w:instrText>PAGE   \* MERGEFORMAT</w:instrText>
        </w:r>
        <w:r w:rsidRPr="00F226E0">
          <w:rPr>
            <w:sz w:val="18"/>
            <w:szCs w:val="18"/>
          </w:rPr>
          <w:fldChar w:fldCharType="separate"/>
        </w:r>
        <w:r w:rsidRPr="00F226E0">
          <w:rPr>
            <w:noProof/>
            <w:sz w:val="18"/>
            <w:szCs w:val="18"/>
            <w:lang w:val="sk-SK"/>
          </w:rPr>
          <w:t>17</w:t>
        </w:r>
        <w:r w:rsidRPr="00F226E0">
          <w:rPr>
            <w:sz w:val="18"/>
            <w:szCs w:val="18"/>
          </w:rPr>
          <w:fldChar w:fldCharType="end"/>
        </w:r>
      </w:p>
    </w:sdtContent>
  </w:sdt>
  <w:p w14:paraId="7A92D5DE" w14:textId="66589589" w:rsidR="008562D2" w:rsidRPr="00897975" w:rsidRDefault="008562D2" w:rsidP="00CD35F2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86EE5" w14:textId="5678FB79" w:rsidR="008562D2" w:rsidRPr="00BA12C4" w:rsidRDefault="008562D2" w:rsidP="00C821C7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>
      <w:rPr>
        <w:noProof/>
        <w:szCs w:val="22"/>
      </w:rPr>
      <w:t>15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9F024" w14:textId="77777777" w:rsidR="008562D2" w:rsidRDefault="008562D2">
      <w:r>
        <w:separator/>
      </w:r>
    </w:p>
  </w:footnote>
  <w:footnote w:type="continuationSeparator" w:id="0">
    <w:p w14:paraId="18AC15B2" w14:textId="77777777" w:rsidR="008562D2" w:rsidRDefault="0085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5700" w14:textId="77777777" w:rsidR="008562D2" w:rsidRPr="0017401B" w:rsidRDefault="008562D2" w:rsidP="000468E7">
    <w:pPr>
      <w:outlineLvl w:val="0"/>
      <w:rPr>
        <w:noProof/>
        <w:sz w:val="18"/>
        <w:szCs w:val="18"/>
        <w:lang w:val="sk-SK" w:eastAsia="en-GB"/>
      </w:rPr>
    </w:pPr>
    <w:r w:rsidRPr="00601450">
      <w:rPr>
        <w:noProof/>
        <w:sz w:val="18"/>
        <w:szCs w:val="18"/>
        <w:lang w:val="sk-SK" w:eastAsia="en-GB"/>
      </w:rPr>
      <w:t>Schválený text</w:t>
    </w:r>
    <w:r w:rsidRPr="00601450">
      <w:rPr>
        <w:sz w:val="18"/>
        <w:szCs w:val="18"/>
        <w:lang w:val="sk-SK"/>
      </w:rPr>
      <w:t xml:space="preserve"> k</w:t>
    </w:r>
    <w:r>
      <w:rPr>
        <w:noProof/>
        <w:sz w:val="18"/>
        <w:szCs w:val="18"/>
        <w:lang w:val="sk-SK" w:eastAsia="en-GB"/>
      </w:rPr>
      <w:t> </w:t>
    </w:r>
    <w:r w:rsidRPr="00601450">
      <w:rPr>
        <w:noProof/>
        <w:sz w:val="18"/>
        <w:szCs w:val="18"/>
        <w:lang w:val="sk-SK" w:eastAsia="en-GB"/>
      </w:rPr>
      <w:t>r</w:t>
    </w:r>
    <w:r w:rsidRPr="00601450">
      <w:rPr>
        <w:sz w:val="18"/>
        <w:szCs w:val="18"/>
        <w:lang w:val="sk-SK"/>
      </w:rPr>
      <w:t>ozhodnutiu o </w:t>
    </w:r>
    <w:r w:rsidRPr="0017401B">
      <w:rPr>
        <w:noProof/>
        <w:sz w:val="18"/>
        <w:szCs w:val="18"/>
        <w:lang w:val="sk-SK" w:eastAsia="en-GB"/>
      </w:rPr>
      <w:t>registrácii</w:t>
    </w:r>
    <w:r>
      <w:rPr>
        <w:sz w:val="18"/>
        <w:szCs w:val="18"/>
        <w:lang w:val="sk-SK"/>
      </w:rPr>
      <w:t>, ev</w:t>
    </w:r>
    <w:r w:rsidRPr="00601450">
      <w:rPr>
        <w:sz w:val="18"/>
        <w:szCs w:val="18"/>
        <w:lang w:val="sk-SK"/>
      </w:rPr>
      <w:t>.</w:t>
    </w:r>
    <w:r>
      <w:rPr>
        <w:sz w:val="18"/>
        <w:szCs w:val="18"/>
        <w:lang w:val="sk-SK"/>
      </w:rPr>
      <w:t xml:space="preserve"> </w:t>
    </w:r>
    <w:r w:rsidRPr="00601450">
      <w:rPr>
        <w:sz w:val="18"/>
        <w:szCs w:val="18"/>
        <w:lang w:val="sk-SK"/>
      </w:rPr>
      <w:t>č.:</w:t>
    </w:r>
    <w:r w:rsidRPr="00301BD2">
      <w:t xml:space="preserve"> </w:t>
    </w:r>
    <w:r>
      <w:rPr>
        <w:sz w:val="18"/>
        <w:szCs w:val="18"/>
        <w:lang w:val="sk-SK"/>
      </w:rPr>
      <w:t>2015/04623-REG, 2015/04622-REG</w:t>
    </w:r>
  </w:p>
  <w:p w14:paraId="597F2B0D" w14:textId="77777777" w:rsidR="008562D2" w:rsidRDefault="008562D2" w:rsidP="008562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5923" w14:textId="4E37FD91" w:rsidR="008562D2" w:rsidRPr="0017401B" w:rsidRDefault="008562D2" w:rsidP="00C821C7">
    <w:pPr>
      <w:outlineLvl w:val="0"/>
      <w:rPr>
        <w:noProof/>
        <w:sz w:val="18"/>
        <w:szCs w:val="18"/>
        <w:lang w:val="sk-SK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C46E22A0"/>
    <w:lvl w:ilvl="0" w:tplc="CC70776E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880BA3"/>
    <w:multiLevelType w:val="hybridMultilevel"/>
    <w:tmpl w:val="94843926"/>
    <w:lvl w:ilvl="0" w:tplc="663A4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7145"/>
    <w:multiLevelType w:val="singleLevel"/>
    <w:tmpl w:val="BFCC93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42766939"/>
    <w:multiLevelType w:val="multilevel"/>
    <w:tmpl w:val="0A862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D21F7"/>
    <w:multiLevelType w:val="hybridMultilevel"/>
    <w:tmpl w:val="47FCDAB4"/>
    <w:lvl w:ilvl="0" w:tplc="29E6D126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D4AA7"/>
    <w:multiLevelType w:val="multilevel"/>
    <w:tmpl w:val="799CCB6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2"/>
  </w:num>
  <w:num w:numId="10">
    <w:abstractNumId w:val="11"/>
  </w:num>
  <w:num w:numId="11">
    <w:abstractNumId w:val="11"/>
  </w:num>
  <w:num w:numId="12">
    <w:abstractNumId w:val="2"/>
  </w:num>
  <w:num w:numId="13">
    <w:abstractNumId w:val="6"/>
  </w:num>
  <w:num w:numId="14">
    <w:abstractNumId w:val="11"/>
  </w:num>
  <w:num w:numId="15">
    <w:abstractNumId w:val="11"/>
  </w:num>
  <w:num w:numId="16">
    <w:abstractNumId w:val="6"/>
  </w:num>
  <w:num w:numId="17">
    <w:abstractNumId w:val="11"/>
  </w:num>
  <w:num w:numId="18">
    <w:abstractNumId w:val="11"/>
  </w:num>
  <w:num w:numId="19">
    <w:abstractNumId w:val="6"/>
  </w:num>
  <w:num w:numId="20">
    <w:abstractNumId w:val="6"/>
  </w:num>
  <w:num w:numId="21">
    <w:abstractNumId w:val="2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2"/>
  </w:num>
  <w:num w:numId="27">
    <w:abstractNumId w:val="11"/>
  </w:num>
  <w:num w:numId="28">
    <w:abstractNumId w:val="7"/>
  </w:num>
  <w:num w:numId="29">
    <w:abstractNumId w:val="7"/>
  </w:num>
  <w:num w:numId="30">
    <w:abstractNumId w:val="10"/>
  </w:num>
  <w:num w:numId="31">
    <w:abstractNumId w:val="5"/>
  </w:num>
  <w:num w:numId="32">
    <w:abstractNumId w:val="1"/>
  </w:num>
  <w:num w:numId="33">
    <w:abstractNumId w:val="4"/>
  </w:num>
  <w:num w:numId="34">
    <w:abstractNumId w:val="0"/>
  </w:num>
  <w:num w:numId="35">
    <w:abstractNumId w:val="9"/>
  </w:num>
  <w:num w:numId="36">
    <w:abstractNumId w:val="3"/>
  </w:num>
  <w:num w:numId="37">
    <w:abstractNumId w:val="7"/>
  </w:num>
  <w:num w:numId="38">
    <w:abstractNumId w:val="2"/>
  </w:num>
  <w:num w:numId="39">
    <w:abstractNumId w:val="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BA"/>
    <w:rsid w:val="0001058A"/>
    <w:rsid w:val="00013459"/>
    <w:rsid w:val="00014FD3"/>
    <w:rsid w:val="00026DB6"/>
    <w:rsid w:val="00027FC2"/>
    <w:rsid w:val="000426C4"/>
    <w:rsid w:val="000464B9"/>
    <w:rsid w:val="000468E7"/>
    <w:rsid w:val="00055FD4"/>
    <w:rsid w:val="000A6AC1"/>
    <w:rsid w:val="000B5722"/>
    <w:rsid w:val="000C069D"/>
    <w:rsid w:val="000E1212"/>
    <w:rsid w:val="000F70BD"/>
    <w:rsid w:val="00111E43"/>
    <w:rsid w:val="00126B28"/>
    <w:rsid w:val="001330AF"/>
    <w:rsid w:val="0015577D"/>
    <w:rsid w:val="00164810"/>
    <w:rsid w:val="001810FA"/>
    <w:rsid w:val="00182313"/>
    <w:rsid w:val="0019382D"/>
    <w:rsid w:val="001A6A7D"/>
    <w:rsid w:val="001C3946"/>
    <w:rsid w:val="001E7366"/>
    <w:rsid w:val="002014C0"/>
    <w:rsid w:val="0020621C"/>
    <w:rsid w:val="0021252D"/>
    <w:rsid w:val="002470FE"/>
    <w:rsid w:val="00293EEB"/>
    <w:rsid w:val="002A0E3F"/>
    <w:rsid w:val="002A34F5"/>
    <w:rsid w:val="002A6E0D"/>
    <w:rsid w:val="002E1519"/>
    <w:rsid w:val="002F2CBA"/>
    <w:rsid w:val="002F53B1"/>
    <w:rsid w:val="00303C65"/>
    <w:rsid w:val="00314D29"/>
    <w:rsid w:val="00321926"/>
    <w:rsid w:val="00334AF3"/>
    <w:rsid w:val="00334B52"/>
    <w:rsid w:val="003541A9"/>
    <w:rsid w:val="00366821"/>
    <w:rsid w:val="00371594"/>
    <w:rsid w:val="00384677"/>
    <w:rsid w:val="00394DE9"/>
    <w:rsid w:val="003953FE"/>
    <w:rsid w:val="003A0F28"/>
    <w:rsid w:val="003A39CE"/>
    <w:rsid w:val="003A7C3F"/>
    <w:rsid w:val="003C5C53"/>
    <w:rsid w:val="003C5EE3"/>
    <w:rsid w:val="003F1ECF"/>
    <w:rsid w:val="003F2452"/>
    <w:rsid w:val="00412DEB"/>
    <w:rsid w:val="004277C7"/>
    <w:rsid w:val="0043125D"/>
    <w:rsid w:val="00443CA5"/>
    <w:rsid w:val="00454726"/>
    <w:rsid w:val="00457489"/>
    <w:rsid w:val="00457E29"/>
    <w:rsid w:val="00465EB9"/>
    <w:rsid w:val="00475517"/>
    <w:rsid w:val="004759D9"/>
    <w:rsid w:val="00482F28"/>
    <w:rsid w:val="00483F81"/>
    <w:rsid w:val="00497C7E"/>
    <w:rsid w:val="004A05F0"/>
    <w:rsid w:val="004B75E0"/>
    <w:rsid w:val="004C0C4A"/>
    <w:rsid w:val="004C3264"/>
    <w:rsid w:val="004C7A4F"/>
    <w:rsid w:val="004F2A6C"/>
    <w:rsid w:val="004F42E7"/>
    <w:rsid w:val="004F7F50"/>
    <w:rsid w:val="00505BAF"/>
    <w:rsid w:val="00513943"/>
    <w:rsid w:val="00517550"/>
    <w:rsid w:val="0052209C"/>
    <w:rsid w:val="00532D60"/>
    <w:rsid w:val="005334DD"/>
    <w:rsid w:val="00543E91"/>
    <w:rsid w:val="00565395"/>
    <w:rsid w:val="00575595"/>
    <w:rsid w:val="005808F5"/>
    <w:rsid w:val="0058092D"/>
    <w:rsid w:val="00591A89"/>
    <w:rsid w:val="005A452B"/>
    <w:rsid w:val="005A4F93"/>
    <w:rsid w:val="005A52AC"/>
    <w:rsid w:val="005D4C05"/>
    <w:rsid w:val="005D7008"/>
    <w:rsid w:val="006241FB"/>
    <w:rsid w:val="0064475E"/>
    <w:rsid w:val="00666717"/>
    <w:rsid w:val="00667631"/>
    <w:rsid w:val="0068359E"/>
    <w:rsid w:val="00690B86"/>
    <w:rsid w:val="006923A1"/>
    <w:rsid w:val="00696371"/>
    <w:rsid w:val="006C1740"/>
    <w:rsid w:val="0070042A"/>
    <w:rsid w:val="00707D18"/>
    <w:rsid w:val="00742562"/>
    <w:rsid w:val="007455FA"/>
    <w:rsid w:val="00755B95"/>
    <w:rsid w:val="007569F1"/>
    <w:rsid w:val="007712DB"/>
    <w:rsid w:val="00772E9F"/>
    <w:rsid w:val="007801EC"/>
    <w:rsid w:val="00790195"/>
    <w:rsid w:val="007A681B"/>
    <w:rsid w:val="007B7846"/>
    <w:rsid w:val="007C563A"/>
    <w:rsid w:val="007D0986"/>
    <w:rsid w:val="007D7EB2"/>
    <w:rsid w:val="007E68BB"/>
    <w:rsid w:val="007F287E"/>
    <w:rsid w:val="00807AC4"/>
    <w:rsid w:val="00812BE4"/>
    <w:rsid w:val="008251CB"/>
    <w:rsid w:val="00851EB3"/>
    <w:rsid w:val="008562D2"/>
    <w:rsid w:val="00864740"/>
    <w:rsid w:val="00864D38"/>
    <w:rsid w:val="00895EA7"/>
    <w:rsid w:val="00897975"/>
    <w:rsid w:val="008B4438"/>
    <w:rsid w:val="008B5D9E"/>
    <w:rsid w:val="008F25CA"/>
    <w:rsid w:val="008F2638"/>
    <w:rsid w:val="00902D75"/>
    <w:rsid w:val="0092089A"/>
    <w:rsid w:val="00942ECA"/>
    <w:rsid w:val="00953E71"/>
    <w:rsid w:val="00957F78"/>
    <w:rsid w:val="009A19DE"/>
    <w:rsid w:val="009B0990"/>
    <w:rsid w:val="00A17518"/>
    <w:rsid w:val="00A25C39"/>
    <w:rsid w:val="00A26F4E"/>
    <w:rsid w:val="00A3632D"/>
    <w:rsid w:val="00A72EBA"/>
    <w:rsid w:val="00A77A27"/>
    <w:rsid w:val="00A8055B"/>
    <w:rsid w:val="00A90283"/>
    <w:rsid w:val="00A932C3"/>
    <w:rsid w:val="00AA1F42"/>
    <w:rsid w:val="00AB3998"/>
    <w:rsid w:val="00AD23C8"/>
    <w:rsid w:val="00AD7C5A"/>
    <w:rsid w:val="00AF0A95"/>
    <w:rsid w:val="00B13E47"/>
    <w:rsid w:val="00B519CE"/>
    <w:rsid w:val="00B550C3"/>
    <w:rsid w:val="00B607B3"/>
    <w:rsid w:val="00B87397"/>
    <w:rsid w:val="00BA11EC"/>
    <w:rsid w:val="00BC2C94"/>
    <w:rsid w:val="00BC6E54"/>
    <w:rsid w:val="00BF2119"/>
    <w:rsid w:val="00C00372"/>
    <w:rsid w:val="00C073ED"/>
    <w:rsid w:val="00C40B5E"/>
    <w:rsid w:val="00C64D6C"/>
    <w:rsid w:val="00C702B5"/>
    <w:rsid w:val="00C821C7"/>
    <w:rsid w:val="00C94C24"/>
    <w:rsid w:val="00C95C54"/>
    <w:rsid w:val="00CB4E08"/>
    <w:rsid w:val="00CC3BA3"/>
    <w:rsid w:val="00CD35F2"/>
    <w:rsid w:val="00CE381A"/>
    <w:rsid w:val="00D31A08"/>
    <w:rsid w:val="00D6277D"/>
    <w:rsid w:val="00D64908"/>
    <w:rsid w:val="00D66B9A"/>
    <w:rsid w:val="00D967F0"/>
    <w:rsid w:val="00DA03AB"/>
    <w:rsid w:val="00DA4254"/>
    <w:rsid w:val="00DB236E"/>
    <w:rsid w:val="00DC16E3"/>
    <w:rsid w:val="00DC44D5"/>
    <w:rsid w:val="00DC569C"/>
    <w:rsid w:val="00DD14E0"/>
    <w:rsid w:val="00DD3AF3"/>
    <w:rsid w:val="00DE7636"/>
    <w:rsid w:val="00DF5B61"/>
    <w:rsid w:val="00E645CF"/>
    <w:rsid w:val="00E655F1"/>
    <w:rsid w:val="00E745ED"/>
    <w:rsid w:val="00E76763"/>
    <w:rsid w:val="00F0117B"/>
    <w:rsid w:val="00F10D57"/>
    <w:rsid w:val="00F152F6"/>
    <w:rsid w:val="00F17510"/>
    <w:rsid w:val="00F2256E"/>
    <w:rsid w:val="00F226E0"/>
    <w:rsid w:val="00F2480A"/>
    <w:rsid w:val="00F300EA"/>
    <w:rsid w:val="00F55A63"/>
    <w:rsid w:val="00F744EB"/>
    <w:rsid w:val="00F81A23"/>
    <w:rsid w:val="00F87BAE"/>
    <w:rsid w:val="00FB71EB"/>
    <w:rsid w:val="00FC71ED"/>
    <w:rsid w:val="00FC7DE0"/>
    <w:rsid w:val="00FD3E3A"/>
    <w:rsid w:val="00FE5BC3"/>
    <w:rsid w:val="00FF0C26"/>
    <w:rsid w:val="00FF111E"/>
    <w:rsid w:val="00FF1B44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88C3A5"/>
  <w15:docId w15:val="{C4FD97FB-6B23-4642-B648-040514A1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7E29"/>
    <w:rPr>
      <w:sz w:val="22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05BAF"/>
    <w:pPr>
      <w:keepNext/>
      <w:outlineLvl w:val="0"/>
    </w:pPr>
    <w:rPr>
      <w:rFonts w:cs="Arial"/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505BAF"/>
    <w:pPr>
      <w:keepNext/>
      <w:outlineLvl w:val="1"/>
    </w:pPr>
    <w:rPr>
      <w:rFonts w:eastAsiaTheme="majorEastAsia" w:cstheme="majorBidi"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505BAF"/>
    <w:pPr>
      <w:keepNext/>
      <w:jc w:val="right"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qFormat/>
    <w:rsid w:val="00505BAF"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505BAF"/>
    <w:pPr>
      <w:keepNext/>
      <w:outlineLvl w:val="4"/>
    </w:pPr>
    <w:rPr>
      <w:rFonts w:eastAsiaTheme="minorEastAsia" w:cstheme="minorBidi"/>
      <w:i/>
    </w:rPr>
  </w:style>
  <w:style w:type="paragraph" w:styleId="Nadpis6">
    <w:name w:val="heading 6"/>
    <w:basedOn w:val="Normlny"/>
    <w:next w:val="Normlny"/>
    <w:link w:val="Nadpis6Char"/>
    <w:uiPriority w:val="9"/>
    <w:qFormat/>
    <w:rsid w:val="00505BAF"/>
    <w:pPr>
      <w:keepNext/>
      <w:jc w:val="both"/>
      <w:outlineLvl w:val="5"/>
    </w:pPr>
    <w:rPr>
      <w:rFonts w:eastAsiaTheme="minorEastAsia" w:cstheme="minorBidi"/>
      <w:sz w:val="24"/>
    </w:rPr>
  </w:style>
  <w:style w:type="paragraph" w:styleId="Nadpis7">
    <w:name w:val="heading 7"/>
    <w:basedOn w:val="Normlny"/>
    <w:next w:val="Normlny"/>
    <w:link w:val="Nadpis7Char"/>
    <w:qFormat/>
    <w:rsid w:val="00505BAF"/>
    <w:pPr>
      <w:keepNext/>
      <w:outlineLvl w:val="6"/>
    </w:pPr>
    <w:rPr>
      <w:rFonts w:ascii="Arial" w:hAnsi="Arial"/>
      <w:i/>
    </w:rPr>
  </w:style>
  <w:style w:type="paragraph" w:styleId="Nadpis8">
    <w:name w:val="heading 8"/>
    <w:basedOn w:val="Normlny"/>
    <w:next w:val="Normlny"/>
    <w:link w:val="Nadpis8Char"/>
    <w:qFormat/>
    <w:rsid w:val="00505BAF"/>
    <w:pPr>
      <w:keepNext/>
      <w:spacing w:before="120"/>
      <w:outlineLvl w:val="7"/>
    </w:pPr>
    <w:rPr>
      <w:rFonts w:eastAsiaTheme="minorEastAsia" w:cstheme="minorBidi"/>
      <w:b/>
      <w:bCs/>
      <w:sz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505BAF"/>
    <w:pPr>
      <w:keepNext/>
      <w:outlineLvl w:val="8"/>
    </w:pPr>
    <w:rPr>
      <w:rFonts w:eastAsiaTheme="majorEastAsia" w:cstheme="majorBidi"/>
      <w:b/>
      <w:bCs/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4">
    <w:name w:val="Styl4"/>
    <w:basedOn w:val="Normlndobloku"/>
    <w:autoRedefine/>
    <w:qFormat/>
    <w:rsid w:val="00565395"/>
    <w:pPr>
      <w:keepNext/>
      <w:jc w:val="left"/>
    </w:pPr>
    <w:rPr>
      <w:rFonts w:ascii="Times" w:hAnsi="Times"/>
      <w:i/>
    </w:rPr>
  </w:style>
  <w:style w:type="paragraph" w:customStyle="1" w:styleId="Normlndobloku">
    <w:name w:val="Normální do bloku"/>
    <w:basedOn w:val="Normlny"/>
    <w:link w:val="NormlndoblokuChar"/>
    <w:autoRedefine/>
    <w:rsid w:val="00A90283"/>
    <w:pPr>
      <w:suppressAutoHyphens/>
      <w:spacing w:after="120"/>
      <w:jc w:val="both"/>
    </w:pPr>
    <w:rPr>
      <w:rFonts w:eastAsia="Calibri"/>
      <w:szCs w:val="22"/>
      <w:lang w:val="sk-SK"/>
    </w:rPr>
  </w:style>
  <w:style w:type="character" w:customStyle="1" w:styleId="Nadpis1Char">
    <w:name w:val="Nadpis 1 Char"/>
    <w:basedOn w:val="Predvolenpsmoodseku"/>
    <w:link w:val="Nadpis1"/>
    <w:rsid w:val="002E1519"/>
    <w:rPr>
      <w:rFonts w:cs="Arial"/>
      <w:b/>
      <w:sz w:val="24"/>
      <w:lang w:val="en-US" w:eastAsia="sk-SK"/>
    </w:rPr>
  </w:style>
  <w:style w:type="character" w:customStyle="1" w:styleId="NormlndoblokuChar">
    <w:name w:val="Normální do bloku Char"/>
    <w:link w:val="Normlndobloku"/>
    <w:rsid w:val="00A90283"/>
    <w:rPr>
      <w:rFonts w:eastAsia="Calibri"/>
      <w:sz w:val="22"/>
      <w:szCs w:val="22"/>
      <w:lang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C44D5"/>
    <w:pPr>
      <w:numPr>
        <w:numId w:val="26"/>
      </w:numPr>
      <w:jc w:val="left"/>
    </w:pPr>
    <w:rPr>
      <w:noProof/>
    </w:rPr>
  </w:style>
  <w:style w:type="paragraph" w:customStyle="1" w:styleId="Styl1">
    <w:name w:val="Styl1"/>
    <w:basedOn w:val="Normlny"/>
    <w:link w:val="Styl1Char"/>
    <w:autoRedefine/>
    <w:rsid w:val="00D6277D"/>
    <w:pPr>
      <w:keepNext/>
      <w:numPr>
        <w:numId w:val="10"/>
      </w:numPr>
      <w:spacing w:before="480" w:after="120"/>
      <w:ind w:left="357" w:hanging="357"/>
    </w:pPr>
    <w:rPr>
      <w:b/>
      <w:bCs/>
      <w:lang w:val="sk-SK"/>
    </w:rPr>
  </w:style>
  <w:style w:type="paragraph" w:customStyle="1" w:styleId="Styl2">
    <w:name w:val="Styl2"/>
    <w:basedOn w:val="Normlny"/>
    <w:autoRedefine/>
    <w:rsid w:val="002F53B1"/>
    <w:pPr>
      <w:keepNext/>
      <w:numPr>
        <w:ilvl w:val="1"/>
        <w:numId w:val="29"/>
      </w:numPr>
      <w:spacing w:before="120" w:after="120"/>
    </w:pPr>
    <w:rPr>
      <w:b/>
      <w:bCs/>
      <w:lang w:val="sk-SK"/>
    </w:rPr>
  </w:style>
  <w:style w:type="paragraph" w:customStyle="1" w:styleId="Styl2-2">
    <w:name w:val="Styl2-2"/>
    <w:basedOn w:val="Styl2"/>
    <w:next w:val="Normlny"/>
    <w:autoRedefine/>
    <w:qFormat/>
    <w:rsid w:val="002F53B1"/>
    <w:pPr>
      <w:numPr>
        <w:ilvl w:val="0"/>
        <w:numId w:val="0"/>
      </w:numPr>
      <w:tabs>
        <w:tab w:val="left" w:pos="567"/>
      </w:tabs>
    </w:pPr>
  </w:style>
  <w:style w:type="paragraph" w:customStyle="1" w:styleId="Styl3">
    <w:name w:val="Styl3"/>
    <w:basedOn w:val="Normlny"/>
    <w:link w:val="Styl3Char"/>
    <w:autoRedefine/>
    <w:rsid w:val="00AB3998"/>
    <w:pPr>
      <w:keepNext/>
      <w:tabs>
        <w:tab w:val="left" w:pos="6946"/>
      </w:tabs>
      <w:spacing w:after="120"/>
    </w:pPr>
    <w:rPr>
      <w:rFonts w:eastAsia="Calibri"/>
      <w:u w:val="single"/>
      <w:lang w:val="sk-SK"/>
    </w:rPr>
  </w:style>
  <w:style w:type="character" w:customStyle="1" w:styleId="Nadpis2Char">
    <w:name w:val="Nadpis 2 Char"/>
    <w:link w:val="Nadpis2"/>
    <w:rsid w:val="002E1519"/>
    <w:rPr>
      <w:rFonts w:eastAsiaTheme="majorEastAsia" w:cstheme="majorBidi"/>
      <w:i/>
      <w:sz w:val="24"/>
      <w:lang w:val="en-US" w:eastAsia="sk-SK"/>
    </w:rPr>
  </w:style>
  <w:style w:type="character" w:customStyle="1" w:styleId="Nadpis3Char">
    <w:name w:val="Nadpis 3 Char"/>
    <w:link w:val="Nadpis3"/>
    <w:rsid w:val="002E1519"/>
    <w:rPr>
      <w:i/>
      <w:sz w:val="24"/>
      <w:lang w:val="en-US" w:eastAsia="sk-SK"/>
    </w:rPr>
  </w:style>
  <w:style w:type="character" w:customStyle="1" w:styleId="Nadpis4Char">
    <w:name w:val="Nadpis 4 Char"/>
    <w:link w:val="Nadpis4"/>
    <w:rsid w:val="002E1519"/>
    <w:rPr>
      <w:sz w:val="24"/>
      <w:lang w:val="en-US" w:eastAsia="sk-SK"/>
    </w:rPr>
  </w:style>
  <w:style w:type="character" w:customStyle="1" w:styleId="Nadpis5Char">
    <w:name w:val="Nadpis 5 Char"/>
    <w:link w:val="Nadpis5"/>
    <w:uiPriority w:val="9"/>
    <w:rsid w:val="002E1519"/>
    <w:rPr>
      <w:rFonts w:eastAsiaTheme="minorEastAsia" w:cstheme="minorBidi"/>
      <w:i/>
      <w:sz w:val="22"/>
      <w:lang w:val="en-US" w:eastAsia="sk-SK"/>
    </w:rPr>
  </w:style>
  <w:style w:type="character" w:customStyle="1" w:styleId="Nadpis6Char">
    <w:name w:val="Nadpis 6 Char"/>
    <w:link w:val="Nadpis6"/>
    <w:uiPriority w:val="9"/>
    <w:rsid w:val="002E1519"/>
    <w:rPr>
      <w:rFonts w:eastAsiaTheme="minorEastAsia" w:cstheme="minorBidi"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E1519"/>
    <w:rPr>
      <w:rFonts w:ascii="Arial" w:hAnsi="Arial"/>
      <w:i/>
      <w:sz w:val="22"/>
      <w:lang w:val="en-US" w:eastAsia="sk-SK"/>
    </w:rPr>
  </w:style>
  <w:style w:type="character" w:customStyle="1" w:styleId="Nadpis8Char">
    <w:name w:val="Nadpis 8 Char"/>
    <w:link w:val="Nadpis8"/>
    <w:rsid w:val="002E1519"/>
    <w:rPr>
      <w:rFonts w:eastAsiaTheme="minorEastAsia" w:cstheme="minorBidi"/>
      <w:b/>
      <w:bCs/>
      <w:sz w:val="24"/>
      <w:szCs w:val="24"/>
      <w:u w:val="single"/>
      <w:lang w:val="en-US"/>
    </w:rPr>
  </w:style>
  <w:style w:type="character" w:customStyle="1" w:styleId="Nadpis9Char">
    <w:name w:val="Nadpis 9 Char"/>
    <w:link w:val="Nadpis9"/>
    <w:rsid w:val="002E1519"/>
    <w:rPr>
      <w:rFonts w:eastAsiaTheme="majorEastAsia" w:cstheme="majorBidi"/>
      <w:b/>
      <w:bCs/>
      <w:i/>
      <w:iCs/>
      <w:sz w:val="24"/>
      <w:szCs w:val="24"/>
      <w:lang w:val="en-US"/>
    </w:rPr>
  </w:style>
  <w:style w:type="character" w:customStyle="1" w:styleId="Styl3Char">
    <w:name w:val="Styl3 Char"/>
    <w:link w:val="Styl3"/>
    <w:rsid w:val="00AB3998"/>
    <w:rPr>
      <w:rFonts w:eastAsia="Calibri"/>
      <w:sz w:val="22"/>
      <w:szCs w:val="24"/>
      <w:u w:val="single"/>
      <w:lang w:eastAsia="el-GR"/>
    </w:rPr>
  </w:style>
  <w:style w:type="character" w:styleId="slostrany">
    <w:name w:val="page number"/>
    <w:basedOn w:val="Predvolenpsmoodseku"/>
    <w:rsid w:val="00942ECA"/>
  </w:style>
  <w:style w:type="paragraph" w:customStyle="1" w:styleId="Hlavika1">
    <w:name w:val="Hlavička1"/>
    <w:basedOn w:val="Normlny"/>
    <w:autoRedefine/>
    <w:rsid w:val="00164810"/>
    <w:rPr>
      <w:bCs/>
      <w:sz w:val="18"/>
    </w:rPr>
  </w:style>
  <w:style w:type="character" w:styleId="Hypertextovprepojenie">
    <w:name w:val="Hyperlink"/>
    <w:rsid w:val="00942EC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42EC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942ECA"/>
    <w:rPr>
      <w:rFonts w:ascii="Times New Roman" w:hAnsi="Times New Roman"/>
      <w:sz w:val="22"/>
      <w:szCs w:val="24"/>
      <w:lang w:eastAsia="sk-SK"/>
    </w:rPr>
  </w:style>
  <w:style w:type="paragraph" w:customStyle="1" w:styleId="SPCaPILhlavika">
    <w:name w:val="SPC a PIL hlavička"/>
    <w:basedOn w:val="Normlny"/>
    <w:autoRedefine/>
    <w:qFormat/>
    <w:rsid w:val="00755B95"/>
    <w:pPr>
      <w:spacing w:before="240" w:after="120"/>
      <w:jc w:val="center"/>
    </w:pPr>
    <w:rPr>
      <w:b/>
      <w:szCs w:val="22"/>
    </w:rPr>
  </w:style>
  <w:style w:type="character" w:customStyle="1" w:styleId="Bacil">
    <w:name w:val="Bacil"/>
    <w:qFormat/>
    <w:rsid w:val="002F53B1"/>
    <w:rPr>
      <w:i/>
      <w:lang w:val="sk-SK"/>
    </w:rPr>
  </w:style>
  <w:style w:type="paragraph" w:customStyle="1" w:styleId="Odrky2">
    <w:name w:val="Odrážky 2"/>
    <w:basedOn w:val="Normlndoblokusodrkami"/>
    <w:autoRedefine/>
    <w:qFormat/>
    <w:rsid w:val="00A72EBA"/>
    <w:pPr>
      <w:numPr>
        <w:numId w:val="30"/>
      </w:numPr>
    </w:pPr>
  </w:style>
  <w:style w:type="character" w:customStyle="1" w:styleId="tlTun">
    <w:name w:val="Štýl Tučné"/>
    <w:basedOn w:val="Predvolenpsmoodseku"/>
    <w:rsid w:val="002F53B1"/>
    <w:rPr>
      <w:b/>
      <w:bCs/>
      <w:lang w:val="sk-SK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A72EBA"/>
    <w:pPr>
      <w:jc w:val="left"/>
    </w:pPr>
    <w:rPr>
      <w:rFonts w:ascii="TimesNewRoman" w:hAnsi="TimesNewRoman"/>
    </w:rPr>
  </w:style>
  <w:style w:type="paragraph" w:customStyle="1" w:styleId="Nadpisuvnittabulky">
    <w:name w:val="Nadpis uvnitř tabulky"/>
    <w:basedOn w:val="Tabulkynormlndoblokuzarovnndoleva"/>
    <w:autoRedefine/>
    <w:qFormat/>
    <w:rsid w:val="00A72EBA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A72E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A72EBA"/>
    <w:rPr>
      <w:rFonts w:ascii="Arial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unhideWhenUsed/>
    <w:rsid w:val="00A72E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2EB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2EBA"/>
    <w:rPr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72EBA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72EBA"/>
    <w:rPr>
      <w:rFonts w:ascii="Calibri" w:hAnsi="Calibri"/>
      <w:b/>
      <w:bCs/>
      <w:lang w:val="en-GB" w:eastAsia="el-GR"/>
    </w:rPr>
  </w:style>
  <w:style w:type="paragraph" w:customStyle="1" w:styleId="SPCnadpis">
    <w:name w:val="SPC nadpis"/>
    <w:basedOn w:val="Nadpis1"/>
    <w:rsid w:val="00A72EBA"/>
    <w:pPr>
      <w:keepNext w:val="0"/>
      <w:keepLines/>
      <w:spacing w:before="480" w:after="120"/>
      <w:ind w:left="357" w:hanging="357"/>
    </w:pPr>
    <w:rPr>
      <w:rFonts w:cs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A72EBA"/>
    <w:pPr>
      <w:keepNext/>
      <w:spacing w:before="240" w:after="120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E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EBA"/>
    <w:rPr>
      <w:rFonts w:ascii="Tahoma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A72E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2EBA"/>
    <w:rPr>
      <w:sz w:val="22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A72EBA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A72EBA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A72EBA"/>
    <w:rPr>
      <w:i/>
      <w:iCs/>
      <w:sz w:val="22"/>
      <w:szCs w:val="24"/>
      <w:lang w:val="el-GR" w:eastAsia="el-GR"/>
    </w:rPr>
  </w:style>
  <w:style w:type="character" w:customStyle="1" w:styleId="Styl1Char">
    <w:name w:val="Styl1 Char"/>
    <w:link w:val="Styl1"/>
    <w:rsid w:val="00D6277D"/>
    <w:rPr>
      <w:b/>
      <w:bCs/>
      <w:sz w:val="22"/>
      <w:szCs w:val="24"/>
      <w:lang w:eastAsia="el-GR"/>
    </w:rPr>
  </w:style>
  <w:style w:type="table" w:styleId="Mriekatabuky">
    <w:name w:val="Table Grid"/>
    <w:basedOn w:val="Normlnatabuka"/>
    <w:uiPriority w:val="59"/>
    <w:rsid w:val="00A72EBA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72EBA"/>
    <w:rPr>
      <w:sz w:val="22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A72EBA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A72EBA"/>
    <w:rPr>
      <w:b/>
      <w:sz w:val="22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72EB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72EBA"/>
    <w:rPr>
      <w:sz w:val="22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2E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2EBA"/>
    <w:rPr>
      <w:sz w:val="22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72E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72EBA"/>
    <w:rPr>
      <w:sz w:val="22"/>
      <w:szCs w:val="24"/>
      <w:lang w:val="el-GR" w:eastAsia="el-GR"/>
    </w:rPr>
  </w:style>
  <w:style w:type="paragraph" w:styleId="Oznaitext">
    <w:name w:val="Block Text"/>
    <w:basedOn w:val="Normlny"/>
    <w:rsid w:val="00A72EBA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A72E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72EBA"/>
    <w:rPr>
      <w:sz w:val="16"/>
      <w:szCs w:val="16"/>
      <w:lang w:val="el-GR" w:eastAsia="el-GR"/>
    </w:rPr>
  </w:style>
  <w:style w:type="character" w:customStyle="1" w:styleId="st1">
    <w:name w:val="st1"/>
    <w:basedOn w:val="Predvolenpsmoodseku"/>
    <w:rsid w:val="00A72EBA"/>
  </w:style>
  <w:style w:type="character" w:styleId="Zvraznenie">
    <w:name w:val="Emphasis"/>
    <w:basedOn w:val="Predvolenpsmoodseku"/>
    <w:uiPriority w:val="20"/>
    <w:qFormat/>
    <w:rsid w:val="00A72EBA"/>
    <w:rPr>
      <w:b/>
      <w:bCs/>
      <w:i w:val="0"/>
      <w:iCs w:val="0"/>
    </w:rPr>
  </w:style>
  <w:style w:type="paragraph" w:customStyle="1" w:styleId="Styl5">
    <w:name w:val="Styl5"/>
    <w:basedOn w:val="Styl3"/>
    <w:link w:val="Styl5Char"/>
    <w:qFormat/>
    <w:rsid w:val="00A72EBA"/>
    <w:rPr>
      <w:i/>
    </w:rPr>
  </w:style>
  <w:style w:type="character" w:customStyle="1" w:styleId="Styl5Char">
    <w:name w:val="Styl5 Char"/>
    <w:basedOn w:val="Styl3Char"/>
    <w:link w:val="Styl5"/>
    <w:rsid w:val="00A72EBA"/>
    <w:rPr>
      <w:rFonts w:eastAsia="Calibri"/>
      <w:i/>
      <w:sz w:val="22"/>
      <w:szCs w:val="24"/>
      <w:u w:val="single"/>
      <w:lang w:val="cs-CZ" w:eastAsia="el-GR"/>
    </w:rPr>
  </w:style>
  <w:style w:type="paragraph" w:styleId="Odsekzoznamu">
    <w:name w:val="List Paragraph"/>
    <w:basedOn w:val="Normlny"/>
    <w:uiPriority w:val="34"/>
    <w:qFormat/>
    <w:rsid w:val="00707D1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F2638"/>
    <w:pPr>
      <w:spacing w:before="100" w:beforeAutospacing="1" w:after="100" w:afterAutospacing="1"/>
    </w:pPr>
    <w:rPr>
      <w:sz w:val="24"/>
      <w:lang w:val="sk-SK" w:eastAsia="sk-SK"/>
    </w:rPr>
  </w:style>
  <w:style w:type="character" w:styleId="Siln">
    <w:name w:val="Strong"/>
    <w:basedOn w:val="Predvolenpsmoodseku"/>
    <w:uiPriority w:val="22"/>
    <w:qFormat/>
    <w:rsid w:val="00C07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CD43-09AF-438F-BC61-B959229C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17</Pages>
  <Words>6731</Words>
  <Characters>38373</Characters>
  <Application>Microsoft Office Word</Application>
  <DocSecurity>0</DocSecurity>
  <Lines>319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45014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Šeböková</dc:creator>
  <cp:lastModifiedBy>Kristína Ráczová</cp:lastModifiedBy>
  <cp:revision>32</cp:revision>
  <dcterms:created xsi:type="dcterms:W3CDTF">2018-04-10T09:29:00Z</dcterms:created>
  <dcterms:modified xsi:type="dcterms:W3CDTF">2018-04-24T11:16:00Z</dcterms:modified>
</cp:coreProperties>
</file>