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E4" w:rsidRPr="00823A06" w:rsidRDefault="002A62E4" w:rsidP="00E35CDB">
      <w:pPr>
        <w:pStyle w:val="MGGHeading1"/>
        <w:keepNext w:val="0"/>
        <w:keepLines w:val="0"/>
        <w:widowControl w:val="0"/>
        <w:jc w:val="left"/>
        <w:rPr>
          <w:b w:val="0"/>
          <w:sz w:val="18"/>
          <w:szCs w:val="18"/>
        </w:rPr>
      </w:pPr>
    </w:p>
    <w:p w:rsidR="002A62E4" w:rsidRPr="00385289" w:rsidRDefault="002A62E4" w:rsidP="00E35CDB">
      <w:pPr>
        <w:pStyle w:val="MGGHeading1"/>
        <w:keepNext w:val="0"/>
        <w:keepLines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1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SÚHRN CHARAKTERISTICKÝCH VLASTNOSTÍ LIEKU</w:t>
      </w:r>
    </w:p>
    <w:p w:rsidR="002A62E4" w:rsidRPr="00385289" w:rsidRDefault="002A62E4" w:rsidP="00E35CDB">
      <w:pPr>
        <w:pStyle w:val="MGGHeading1"/>
        <w:keepNext w:val="0"/>
        <w:keepLines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1"/>
        <w:keepNext w:val="0"/>
        <w:keepLines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2"/>
        <w:keepNext w:val="0"/>
        <w:keepLines w:val="0"/>
        <w:widowControl w:val="0"/>
        <w:numPr>
          <w:ilvl w:val="0"/>
          <w:numId w:val="5"/>
        </w:numPr>
        <w:tabs>
          <w:tab w:val="clear" w:pos="930"/>
          <w:tab w:val="num" w:pos="540"/>
        </w:tabs>
        <w:ind w:hanging="930"/>
        <w:rPr>
          <w:rFonts w:ascii="Times New Roman" w:hAnsi="Times New Roman"/>
          <w:szCs w:val="22"/>
        </w:rPr>
      </w:pPr>
      <w:r w:rsidRPr="00385289">
        <w:rPr>
          <w:rFonts w:ascii="Times New Roman" w:hAnsi="Times New Roman"/>
          <w:szCs w:val="22"/>
        </w:rPr>
        <w:t>NÁZOV LIEKU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t>Zigilex</w:t>
      </w:r>
      <w:proofErr w:type="spellEnd"/>
      <w:r w:rsidRPr="00385289">
        <w:rPr>
          <w:szCs w:val="22"/>
        </w:rPr>
        <w:t xml:space="preserve"> 500 mg filmom obalené tablety</w:t>
      </w:r>
    </w:p>
    <w:p w:rsidR="002A62E4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2"/>
        <w:keepNext w:val="0"/>
        <w:keepLines w:val="0"/>
        <w:widowControl w:val="0"/>
        <w:rPr>
          <w:rFonts w:ascii="Times New Roman" w:hAnsi="Times New Roman"/>
          <w:szCs w:val="22"/>
        </w:rPr>
      </w:pPr>
      <w:r w:rsidRPr="00385289">
        <w:rPr>
          <w:rFonts w:ascii="Times New Roman" w:hAnsi="Times New Roman"/>
          <w:szCs w:val="22"/>
        </w:rPr>
        <w:t>2.</w:t>
      </w:r>
      <w:r w:rsidRPr="00385289">
        <w:rPr>
          <w:rFonts w:ascii="Times New Roman" w:hAnsi="Times New Roman"/>
          <w:szCs w:val="22"/>
        </w:rPr>
        <w:tab/>
        <w:t xml:space="preserve">kvalitatívne a kvantitatívne zloženie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>
        <w:rPr>
          <w:szCs w:val="22"/>
        </w:rPr>
        <w:t>Každá filmom obalená</w:t>
      </w:r>
      <w:r w:rsidRPr="00385289">
        <w:rPr>
          <w:szCs w:val="22"/>
        </w:rPr>
        <w:t xml:space="preserve"> tableta obsahuje </w:t>
      </w:r>
      <w:proofErr w:type="spellStart"/>
      <w:r w:rsidRPr="00385289">
        <w:rPr>
          <w:szCs w:val="22"/>
        </w:rPr>
        <w:t>dihydrát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azitromycínu</w:t>
      </w:r>
      <w:proofErr w:type="spellEnd"/>
      <w:r>
        <w:rPr>
          <w:szCs w:val="22"/>
        </w:rPr>
        <w:t xml:space="preserve"> zodpovedajúci</w:t>
      </w:r>
      <w:r w:rsidRPr="00385289">
        <w:rPr>
          <w:szCs w:val="22"/>
        </w:rPr>
        <w:t xml:space="preserve"> 500 mg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>.</w:t>
      </w:r>
    </w:p>
    <w:p w:rsidR="002A62E4" w:rsidRDefault="002A62E4" w:rsidP="00E35CDB">
      <w:pPr>
        <w:pStyle w:val="MGGTextLeft"/>
        <w:keepNext w:val="0"/>
        <w:widowControl w:val="0"/>
        <w:rPr>
          <w:szCs w:val="22"/>
          <w:u w:val="single"/>
        </w:rPr>
      </w:pPr>
    </w:p>
    <w:p w:rsidR="002A62E4" w:rsidRDefault="002A62E4" w:rsidP="00E35CDB">
      <w:pPr>
        <w:pStyle w:val="MGGTextLeft"/>
        <w:keepNext w:val="0"/>
        <w:widowControl w:val="0"/>
        <w:rPr>
          <w:szCs w:val="22"/>
        </w:rPr>
      </w:pPr>
      <w:r w:rsidRPr="00596E40">
        <w:rPr>
          <w:szCs w:val="22"/>
          <w:u w:val="single"/>
        </w:rPr>
        <w:t>Pomocná látka so známym účinkom:</w:t>
      </w:r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monohydrát</w:t>
      </w:r>
      <w:proofErr w:type="spellEnd"/>
      <w:r w:rsidRPr="00385289">
        <w:rPr>
          <w:szCs w:val="22"/>
        </w:rPr>
        <w:t xml:space="preserve"> laktózy.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>
        <w:rPr>
          <w:szCs w:val="22"/>
        </w:rPr>
        <w:t>Každá filmom obalená</w:t>
      </w:r>
      <w:r w:rsidRPr="00385289">
        <w:rPr>
          <w:szCs w:val="22"/>
        </w:rPr>
        <w:t> tableta</w:t>
      </w:r>
      <w:r w:rsidRPr="00385289" w:rsidDel="0099545C">
        <w:rPr>
          <w:szCs w:val="22"/>
        </w:rPr>
        <w:t xml:space="preserve"> </w:t>
      </w:r>
      <w:r w:rsidRPr="00385289">
        <w:rPr>
          <w:szCs w:val="22"/>
        </w:rPr>
        <w:t xml:space="preserve">obsahuje 10,80 mg </w:t>
      </w:r>
      <w:proofErr w:type="spellStart"/>
      <w:r w:rsidRPr="00385289">
        <w:rPr>
          <w:szCs w:val="22"/>
        </w:rPr>
        <w:t>monohydrátu</w:t>
      </w:r>
      <w:proofErr w:type="spellEnd"/>
      <w:r w:rsidRPr="00385289">
        <w:rPr>
          <w:szCs w:val="22"/>
        </w:rPr>
        <w:t xml:space="preserve"> laktózy.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>Úplný zoznam pomocných látok, pozri časť 6.1.</w:t>
      </w:r>
    </w:p>
    <w:p w:rsidR="002A62E4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2"/>
        <w:keepNext w:val="0"/>
        <w:keepLines w:val="0"/>
        <w:widowControl w:val="0"/>
        <w:rPr>
          <w:rFonts w:ascii="Times New Roman" w:hAnsi="Times New Roman"/>
          <w:szCs w:val="22"/>
        </w:rPr>
      </w:pPr>
      <w:r w:rsidRPr="00385289">
        <w:rPr>
          <w:rFonts w:ascii="Times New Roman" w:hAnsi="Times New Roman"/>
          <w:szCs w:val="22"/>
        </w:rPr>
        <w:t>3.</w:t>
      </w:r>
      <w:r w:rsidRPr="00385289">
        <w:rPr>
          <w:rFonts w:ascii="Times New Roman" w:hAnsi="Times New Roman"/>
          <w:szCs w:val="22"/>
        </w:rPr>
        <w:tab/>
        <w:t>lieková forma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>Filmom obalená tableta.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Biele až takmer biele podlhovasté filmom obalené tablety s dĺžkou približne 17,7</w:t>
      </w:r>
      <w:r>
        <w:rPr>
          <w:szCs w:val="22"/>
        </w:rPr>
        <w:t xml:space="preserve"> </w:t>
      </w:r>
      <w:r w:rsidRPr="00385289">
        <w:rPr>
          <w:szCs w:val="22"/>
        </w:rPr>
        <w:t xml:space="preserve">mm, šírkou </w:t>
      </w:r>
      <w:smartTag w:uri="urn:schemas-microsoft-com:office:smarttags" w:element="metricconverter">
        <w:smartTagPr>
          <w:attr w:name="ProductID" w:val="9,2 mm"/>
        </w:smartTagPr>
        <w:r w:rsidRPr="00385289">
          <w:rPr>
            <w:szCs w:val="22"/>
          </w:rPr>
          <w:t>9,2 mm</w:t>
        </w:r>
      </w:smartTag>
      <w:r w:rsidRPr="00385289">
        <w:rPr>
          <w:szCs w:val="22"/>
        </w:rPr>
        <w:t xml:space="preserve"> a hrúbkou </w:t>
      </w:r>
      <w:smartTag w:uri="urn:schemas-microsoft-com:office:smarttags" w:element="metricconverter">
        <w:smartTagPr>
          <w:attr w:name="ProductID" w:val="7,1 mm"/>
        </w:smartTagPr>
        <w:r w:rsidRPr="00385289">
          <w:rPr>
            <w:szCs w:val="22"/>
          </w:rPr>
          <w:t>7,1 mm</w:t>
        </w:r>
      </w:smartTag>
      <w:r w:rsidRPr="00385289">
        <w:rPr>
          <w:szCs w:val="22"/>
        </w:rPr>
        <w:t xml:space="preserve"> s vyrazeným ‘AZ’ a ‘500’ na každej strane deliacej ryhy na jednej strane, a hladké na druhej strane.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Tableta sa môže rozdeliť na rovnaké polovice.</w:t>
      </w:r>
    </w:p>
    <w:p w:rsidR="002A62E4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2"/>
        <w:keepNext w:val="0"/>
        <w:keepLines w:val="0"/>
        <w:widowControl w:val="0"/>
        <w:ind w:left="0" w:firstLine="0"/>
        <w:rPr>
          <w:rFonts w:ascii="Times New Roman" w:hAnsi="Times New Roman"/>
          <w:szCs w:val="22"/>
        </w:rPr>
      </w:pPr>
      <w:r w:rsidRPr="00385289">
        <w:rPr>
          <w:rFonts w:ascii="Times New Roman" w:hAnsi="Times New Roman"/>
          <w:szCs w:val="22"/>
        </w:rPr>
        <w:t>4.</w:t>
      </w:r>
      <w:r w:rsidRPr="00385289">
        <w:rPr>
          <w:rFonts w:ascii="Times New Roman" w:hAnsi="Times New Roman"/>
          <w:szCs w:val="22"/>
        </w:rPr>
        <w:tab/>
        <w:t>klinické údaje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4.1</w:t>
      </w:r>
      <w:r w:rsidRPr="00385289">
        <w:rPr>
          <w:szCs w:val="22"/>
        </w:rPr>
        <w:tab/>
        <w:t>Terapeutické indikácie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Liečba nasledovných bakteriálnych infekcií vyvolaných mikroorganizmami citlivými na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(pozri časti </w:t>
      </w:r>
      <w:smartTag w:uri="urn:schemas-microsoft-com:office:smarttags" w:element="metricconverter">
        <w:smartTagPr>
          <w:attr w:name="ProductID" w:val="4.4 a"/>
        </w:smartTagPr>
        <w:r w:rsidRPr="00385289">
          <w:rPr>
            <w:szCs w:val="22"/>
          </w:rPr>
          <w:t>4.4 a</w:t>
        </w:r>
      </w:smartTag>
      <w:r w:rsidRPr="00385289">
        <w:rPr>
          <w:szCs w:val="22"/>
        </w:rPr>
        <w:t xml:space="preserve"> 5.1):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FD73F8">
      <w:pPr>
        <w:pStyle w:val="MGGTextLeft"/>
        <w:keepNext w:val="0"/>
        <w:widowControl w:val="0"/>
        <w:numPr>
          <w:ilvl w:val="0"/>
          <w:numId w:val="13"/>
        </w:numPr>
        <w:tabs>
          <w:tab w:val="clear" w:pos="0"/>
          <w:tab w:val="num" w:pos="567"/>
        </w:tabs>
        <w:ind w:left="567" w:hanging="567"/>
        <w:rPr>
          <w:szCs w:val="22"/>
        </w:rPr>
      </w:pPr>
      <w:r w:rsidRPr="00385289">
        <w:rPr>
          <w:szCs w:val="22"/>
        </w:rPr>
        <w:t xml:space="preserve">Infekcie dolných dýchacích ciest: akútna </w:t>
      </w:r>
      <w:proofErr w:type="spellStart"/>
      <w:r w:rsidRPr="00385289">
        <w:rPr>
          <w:szCs w:val="22"/>
        </w:rPr>
        <w:t>exacerbácia</w:t>
      </w:r>
      <w:proofErr w:type="spellEnd"/>
      <w:r w:rsidRPr="00385289">
        <w:rPr>
          <w:szCs w:val="22"/>
        </w:rPr>
        <w:t xml:space="preserve"> chronickej bronchitídy (adekvátne diagnostikovaná) a mierna až stredne závažná pneumónia získaná v komunite</w:t>
      </w:r>
    </w:p>
    <w:p w:rsidR="002A62E4" w:rsidRPr="00385289" w:rsidRDefault="002A62E4" w:rsidP="00FD73F8">
      <w:pPr>
        <w:pStyle w:val="MGGTextLeft"/>
        <w:keepNext w:val="0"/>
        <w:widowControl w:val="0"/>
        <w:numPr>
          <w:ilvl w:val="0"/>
          <w:numId w:val="13"/>
        </w:numPr>
        <w:tabs>
          <w:tab w:val="clear" w:pos="0"/>
          <w:tab w:val="num" w:pos="567"/>
        </w:tabs>
        <w:ind w:left="567" w:hanging="567"/>
        <w:rPr>
          <w:szCs w:val="22"/>
        </w:rPr>
      </w:pPr>
      <w:r w:rsidRPr="00385289">
        <w:rPr>
          <w:szCs w:val="22"/>
        </w:rPr>
        <w:t xml:space="preserve">Infekcie horných dýchacích ciest: </w:t>
      </w:r>
      <w:proofErr w:type="spellStart"/>
      <w:r w:rsidRPr="00385289">
        <w:rPr>
          <w:szCs w:val="22"/>
        </w:rPr>
        <w:t>sínusitída</w:t>
      </w:r>
      <w:proofErr w:type="spellEnd"/>
      <w:r w:rsidRPr="00385289">
        <w:rPr>
          <w:szCs w:val="22"/>
        </w:rPr>
        <w:t xml:space="preserve"> a </w:t>
      </w:r>
      <w:proofErr w:type="spellStart"/>
      <w:r w:rsidRPr="00385289">
        <w:rPr>
          <w:szCs w:val="22"/>
        </w:rPr>
        <w:t>faryngitída</w:t>
      </w:r>
      <w:proofErr w:type="spellEnd"/>
      <w:r w:rsidRPr="00385289">
        <w:rPr>
          <w:szCs w:val="22"/>
        </w:rPr>
        <w:t>/</w:t>
      </w:r>
      <w:proofErr w:type="spellStart"/>
      <w:r w:rsidRPr="00385289">
        <w:rPr>
          <w:szCs w:val="22"/>
        </w:rPr>
        <w:t>tonzilitída</w:t>
      </w:r>
      <w:proofErr w:type="spellEnd"/>
    </w:p>
    <w:p w:rsidR="002A62E4" w:rsidRPr="00385289" w:rsidRDefault="002A62E4" w:rsidP="00FD73F8">
      <w:pPr>
        <w:pStyle w:val="MGGTextLeft"/>
        <w:keepNext w:val="0"/>
        <w:widowControl w:val="0"/>
        <w:numPr>
          <w:ilvl w:val="0"/>
          <w:numId w:val="13"/>
        </w:numPr>
        <w:tabs>
          <w:tab w:val="clear" w:pos="0"/>
          <w:tab w:val="num" w:pos="567"/>
        </w:tabs>
        <w:ind w:left="567" w:hanging="567"/>
        <w:rPr>
          <w:szCs w:val="22"/>
        </w:rPr>
      </w:pPr>
      <w:r>
        <w:rPr>
          <w:szCs w:val="22"/>
        </w:rPr>
        <w:t xml:space="preserve">Akútny </w:t>
      </w:r>
      <w:proofErr w:type="spellStart"/>
      <w:r>
        <w:rPr>
          <w:szCs w:val="22"/>
        </w:rPr>
        <w:t>o</w:t>
      </w:r>
      <w:r w:rsidRPr="00385289">
        <w:rPr>
          <w:szCs w:val="22"/>
        </w:rPr>
        <w:t>titis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media</w:t>
      </w:r>
      <w:proofErr w:type="spellEnd"/>
      <w:r w:rsidRPr="00385289">
        <w:rPr>
          <w:szCs w:val="22"/>
        </w:rPr>
        <w:t xml:space="preserve"> (akútny zápal stredného ucha)</w:t>
      </w:r>
    </w:p>
    <w:p w:rsidR="002A62E4" w:rsidRPr="00385289" w:rsidRDefault="002A62E4" w:rsidP="00FD73F8">
      <w:pPr>
        <w:pStyle w:val="MGGTextLeft"/>
        <w:keepNext w:val="0"/>
        <w:widowControl w:val="0"/>
        <w:numPr>
          <w:ilvl w:val="0"/>
          <w:numId w:val="13"/>
        </w:numPr>
        <w:tabs>
          <w:tab w:val="clear" w:pos="0"/>
          <w:tab w:val="num" w:pos="567"/>
        </w:tabs>
        <w:ind w:left="567" w:hanging="567"/>
        <w:rPr>
          <w:szCs w:val="22"/>
        </w:rPr>
      </w:pPr>
      <w:r w:rsidRPr="00385289">
        <w:rPr>
          <w:szCs w:val="22"/>
        </w:rPr>
        <w:t xml:space="preserve">Mierne až stredne závažné infekcie kože a mäkkých tkanív, napr. </w:t>
      </w:r>
      <w:proofErr w:type="spellStart"/>
      <w:r w:rsidRPr="00385289">
        <w:rPr>
          <w:szCs w:val="22"/>
        </w:rPr>
        <w:t>folikulitída</w:t>
      </w:r>
      <w:proofErr w:type="spellEnd"/>
      <w:r w:rsidRPr="00385289">
        <w:rPr>
          <w:szCs w:val="22"/>
        </w:rPr>
        <w:t xml:space="preserve">, celulitída, </w:t>
      </w:r>
      <w:proofErr w:type="spellStart"/>
      <w:r w:rsidRPr="00385289">
        <w:rPr>
          <w:szCs w:val="22"/>
        </w:rPr>
        <w:t>eryzipel</w:t>
      </w:r>
      <w:proofErr w:type="spellEnd"/>
    </w:p>
    <w:p w:rsidR="002A62E4" w:rsidRPr="00385289" w:rsidRDefault="002A62E4" w:rsidP="00FD73F8">
      <w:pPr>
        <w:pStyle w:val="MGGTextLeft"/>
        <w:keepNext w:val="0"/>
        <w:widowControl w:val="0"/>
        <w:numPr>
          <w:ilvl w:val="0"/>
          <w:numId w:val="13"/>
        </w:numPr>
        <w:tabs>
          <w:tab w:val="clear" w:pos="0"/>
          <w:tab w:val="num" w:pos="567"/>
        </w:tabs>
        <w:ind w:left="567" w:hanging="567"/>
        <w:rPr>
          <w:szCs w:val="22"/>
        </w:rPr>
      </w:pPr>
      <w:r w:rsidRPr="00385289">
        <w:rPr>
          <w:szCs w:val="22"/>
        </w:rPr>
        <w:t xml:space="preserve">Nekomplikovaná </w:t>
      </w:r>
      <w:proofErr w:type="spellStart"/>
      <w:r w:rsidRPr="00385289">
        <w:rPr>
          <w:szCs w:val="22"/>
        </w:rPr>
        <w:t>uretritída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cervicitída</w:t>
      </w:r>
      <w:proofErr w:type="spellEnd"/>
      <w:r w:rsidRPr="00385289">
        <w:rPr>
          <w:szCs w:val="22"/>
        </w:rPr>
        <w:t xml:space="preserve"> vyvolaná mikroorganizmom </w:t>
      </w:r>
      <w:proofErr w:type="spellStart"/>
      <w:r w:rsidRPr="00385289">
        <w:rPr>
          <w:i/>
          <w:szCs w:val="22"/>
        </w:rPr>
        <w:t>Chlamydia</w:t>
      </w:r>
      <w:proofErr w:type="spellEnd"/>
      <w:r w:rsidRPr="00385289">
        <w:rPr>
          <w:i/>
          <w:szCs w:val="22"/>
        </w:rPr>
        <w:t xml:space="preserve"> </w:t>
      </w:r>
      <w:proofErr w:type="spellStart"/>
      <w:r w:rsidRPr="00385289">
        <w:rPr>
          <w:i/>
          <w:szCs w:val="22"/>
        </w:rPr>
        <w:t>trachomatis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Je potrebné vziať do úvahy oficiálne </w:t>
      </w:r>
      <w:r>
        <w:rPr>
          <w:szCs w:val="22"/>
        </w:rPr>
        <w:t>usmernenia</w:t>
      </w:r>
      <w:r w:rsidRPr="00385289">
        <w:rPr>
          <w:szCs w:val="22"/>
        </w:rPr>
        <w:t xml:space="preserve"> o vhodnom používaní antibakteriálnych látok.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4.2</w:t>
      </w:r>
      <w:r w:rsidRPr="00385289">
        <w:rPr>
          <w:szCs w:val="22"/>
        </w:rPr>
        <w:tab/>
        <w:t>Dávkovanie a spôsob podávania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rPr>
          <w:szCs w:val="22"/>
          <w:u w:val="single"/>
        </w:rPr>
      </w:pPr>
      <w:r w:rsidRPr="00596E40">
        <w:rPr>
          <w:szCs w:val="22"/>
          <w:u w:val="single"/>
        </w:rPr>
        <w:t>Dávkovanie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i/>
          <w:szCs w:val="22"/>
        </w:rPr>
      </w:pPr>
      <w:r w:rsidRPr="00385289">
        <w:rPr>
          <w:i/>
          <w:szCs w:val="22"/>
        </w:rPr>
        <w:t xml:space="preserve">Deti a dospievajúci s telesnou hmotnosťou vyššou ako </w:t>
      </w:r>
      <w:smartTag w:uri="urn:schemas-microsoft-com:office:smarttags" w:element="metricconverter">
        <w:smartTagPr>
          <w:attr w:name="ProductID" w:val="45 kg"/>
        </w:smartTagPr>
        <w:r w:rsidRPr="00385289">
          <w:rPr>
            <w:i/>
            <w:szCs w:val="22"/>
          </w:rPr>
          <w:t>45 kg</w:t>
        </w:r>
      </w:smartTag>
      <w:r w:rsidRPr="00385289">
        <w:rPr>
          <w:i/>
          <w:szCs w:val="22"/>
        </w:rPr>
        <w:t>, dospelí a starší pacienti: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Celková dávka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</w:t>
      </w:r>
      <w:r>
        <w:rPr>
          <w:szCs w:val="22"/>
        </w:rPr>
        <w:t>je</w:t>
      </w:r>
      <w:r w:rsidRPr="00385289">
        <w:rPr>
          <w:szCs w:val="22"/>
        </w:rPr>
        <w:t xml:space="preserve"> 1 500 mg a je rozložená na tri dni (500 mg jedenkrát denne).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Alternatívne môže byť dávka rozložená na päť dní (500 mg ako jednorazová dávka prvý deň a následne 250 mg raz denne).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lastRenderedPageBreak/>
        <w:t xml:space="preserve">V prípade nekomplikovanej </w:t>
      </w:r>
      <w:proofErr w:type="spellStart"/>
      <w:r w:rsidRPr="00385289">
        <w:rPr>
          <w:szCs w:val="22"/>
        </w:rPr>
        <w:t>uretritídy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cervicitídy</w:t>
      </w:r>
      <w:proofErr w:type="spellEnd"/>
      <w:r w:rsidRPr="00385289">
        <w:rPr>
          <w:szCs w:val="22"/>
        </w:rPr>
        <w:t xml:space="preserve"> vyvolanej mikroorganizmom </w:t>
      </w:r>
      <w:proofErr w:type="spellStart"/>
      <w:r w:rsidRPr="00385289">
        <w:rPr>
          <w:i/>
          <w:iCs/>
          <w:szCs w:val="22"/>
        </w:rPr>
        <w:t>Chlamydia</w:t>
      </w:r>
      <w:proofErr w:type="spellEnd"/>
      <w:r w:rsidRPr="00385289">
        <w:rPr>
          <w:i/>
          <w:iCs/>
          <w:szCs w:val="22"/>
        </w:rPr>
        <w:t xml:space="preserve"> </w:t>
      </w:r>
      <w:proofErr w:type="spellStart"/>
      <w:r w:rsidRPr="00385289">
        <w:rPr>
          <w:i/>
          <w:iCs/>
          <w:szCs w:val="22"/>
        </w:rPr>
        <w:t>trachomatis</w:t>
      </w:r>
      <w:proofErr w:type="spellEnd"/>
      <w:r w:rsidRPr="00385289">
        <w:rPr>
          <w:szCs w:val="22"/>
        </w:rPr>
        <w:t xml:space="preserve"> sa podáva jednorazová perorálna dávka 1 000 mg.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i/>
          <w:szCs w:val="22"/>
        </w:rPr>
      </w:pPr>
      <w:r w:rsidRPr="00385289">
        <w:rPr>
          <w:i/>
          <w:szCs w:val="22"/>
        </w:rPr>
        <w:t xml:space="preserve">Deti a dospievajúci s telesnou hmotnosťou nižšou ako </w:t>
      </w:r>
      <w:smartTag w:uri="urn:schemas-microsoft-com:office:smarttags" w:element="metricconverter">
        <w:smartTagPr>
          <w:attr w:name="ProductID" w:val="45 kg"/>
        </w:smartTagPr>
        <w:r w:rsidRPr="00385289">
          <w:rPr>
            <w:i/>
            <w:szCs w:val="22"/>
          </w:rPr>
          <w:t>45 kg</w:t>
        </w:r>
      </w:smartTag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Podávanie tabliet nie je indikované u týchto pacientov. Môžu sa použiť iné liekové formy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>, napr. suspenzi</w:t>
      </w:r>
      <w:r>
        <w:rPr>
          <w:szCs w:val="22"/>
        </w:rPr>
        <w:t>a</w:t>
      </w:r>
      <w:r w:rsidRPr="00385289">
        <w:rPr>
          <w:szCs w:val="22"/>
        </w:rPr>
        <w:t>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i/>
          <w:iCs/>
          <w:szCs w:val="22"/>
        </w:rPr>
      </w:pPr>
      <w:r w:rsidRPr="00385289">
        <w:rPr>
          <w:i/>
          <w:szCs w:val="22"/>
        </w:rPr>
        <w:t>Starší pacienti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Rovnaké dávkovanie ako u dospelých pacientov sa používa u starších pacientov. Keďže starší pacienti môžu </w:t>
      </w:r>
      <w:r>
        <w:rPr>
          <w:szCs w:val="22"/>
        </w:rPr>
        <w:t>mať</w:t>
      </w:r>
      <w:r w:rsidRPr="00385289">
        <w:rPr>
          <w:szCs w:val="22"/>
        </w:rPr>
        <w:t xml:space="preserve"> </w:t>
      </w:r>
      <w:r>
        <w:rPr>
          <w:szCs w:val="22"/>
        </w:rPr>
        <w:t xml:space="preserve">trvalý sklon k </w:t>
      </w:r>
      <w:proofErr w:type="spellStart"/>
      <w:r>
        <w:rPr>
          <w:szCs w:val="22"/>
        </w:rPr>
        <w:t>arytmiám</w:t>
      </w:r>
      <w:proofErr w:type="spellEnd"/>
      <w:r w:rsidRPr="00385289">
        <w:rPr>
          <w:szCs w:val="22"/>
        </w:rPr>
        <w:t xml:space="preserve">, vzhľadom na riziko vzniku srdcovej </w:t>
      </w:r>
      <w:proofErr w:type="spellStart"/>
      <w:r w:rsidRPr="00385289">
        <w:rPr>
          <w:szCs w:val="22"/>
        </w:rPr>
        <w:t>arytmie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torsades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de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pointes</w:t>
      </w:r>
      <w:proofErr w:type="spellEnd"/>
      <w:r w:rsidRPr="00385289">
        <w:rPr>
          <w:szCs w:val="22"/>
        </w:rPr>
        <w:t xml:space="preserve"> (pozri časť 4.4) sa odporúča osobitná obozretnosť.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iCs/>
          <w:szCs w:val="22"/>
        </w:rPr>
      </w:pPr>
      <w:r w:rsidRPr="00385289">
        <w:rPr>
          <w:i/>
          <w:szCs w:val="22"/>
        </w:rPr>
        <w:t>Pacienti s poruchou funkcie obličiek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U pacientov s miernou až stredne závažnou poruchou funkcie obličiek (GFR 10</w:t>
      </w:r>
      <w:r>
        <w:rPr>
          <w:szCs w:val="22"/>
        </w:rPr>
        <w:t> </w:t>
      </w:r>
      <w:r w:rsidRPr="00385289">
        <w:rPr>
          <w:szCs w:val="22"/>
        </w:rPr>
        <w:t>-</w:t>
      </w:r>
      <w:r>
        <w:rPr>
          <w:szCs w:val="22"/>
        </w:rPr>
        <w:t> </w:t>
      </w:r>
      <w:r w:rsidRPr="00385289">
        <w:rPr>
          <w:szCs w:val="22"/>
        </w:rPr>
        <w:t>80</w:t>
      </w:r>
      <w:r>
        <w:rPr>
          <w:szCs w:val="22"/>
        </w:rPr>
        <w:t> </w:t>
      </w:r>
      <w:r w:rsidRPr="00385289">
        <w:rPr>
          <w:szCs w:val="22"/>
        </w:rPr>
        <w:t>ml/min) nie je potrebná úprava dávky (pozri časť 4.4).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iCs/>
          <w:szCs w:val="22"/>
        </w:rPr>
      </w:pPr>
      <w:r w:rsidRPr="00385289">
        <w:rPr>
          <w:i/>
          <w:szCs w:val="22"/>
        </w:rPr>
        <w:t>Pacienti s poruchou funkcie pečene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U pacientov s miernou až stredne závažnou poruchou funkcie pečene nie je potrebná úprava dávky (pozri časť 4.4).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rPr>
          <w:szCs w:val="22"/>
          <w:u w:val="single"/>
        </w:rPr>
      </w:pPr>
      <w:r w:rsidRPr="00596E40">
        <w:rPr>
          <w:szCs w:val="22"/>
          <w:u w:val="single"/>
        </w:rPr>
        <w:t>Spôsob podávania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Tento liek sa má podávať v jednorazovej dennej dávke. Tablety sa prehĺtajú celé a môžu sa užívať s jedlom alebo bez jedla. Dĺžka trvania liečby jednotlivých infekčných ochorení sa uvádza nižšie.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4.3</w:t>
      </w:r>
      <w:r w:rsidRPr="00385289">
        <w:rPr>
          <w:szCs w:val="22"/>
        </w:rPr>
        <w:tab/>
        <w:t>Kontraindikácie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Použitie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je kontraindikované u pacientov s precitlivenosťou na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, </w:t>
      </w:r>
      <w:proofErr w:type="spellStart"/>
      <w:r w:rsidRPr="00385289">
        <w:rPr>
          <w:szCs w:val="22"/>
        </w:rPr>
        <w:t>erytromycín</w:t>
      </w:r>
      <w:proofErr w:type="spellEnd"/>
      <w:r w:rsidRPr="00385289">
        <w:rPr>
          <w:szCs w:val="22"/>
        </w:rPr>
        <w:t xml:space="preserve">, všetky </w:t>
      </w:r>
      <w:proofErr w:type="spellStart"/>
      <w:r w:rsidRPr="00385289">
        <w:rPr>
          <w:szCs w:val="22"/>
        </w:rPr>
        <w:t>makrolidové</w:t>
      </w:r>
      <w:proofErr w:type="spellEnd"/>
      <w:r w:rsidRPr="00385289">
        <w:rPr>
          <w:szCs w:val="22"/>
        </w:rPr>
        <w:t xml:space="preserve"> alebo </w:t>
      </w:r>
      <w:proofErr w:type="spellStart"/>
      <w:r w:rsidRPr="00385289">
        <w:rPr>
          <w:szCs w:val="22"/>
        </w:rPr>
        <w:t>ketolid</w:t>
      </w:r>
      <w:r>
        <w:rPr>
          <w:szCs w:val="22"/>
        </w:rPr>
        <w:t>ové</w:t>
      </w:r>
      <w:proofErr w:type="spellEnd"/>
      <w:r>
        <w:rPr>
          <w:szCs w:val="22"/>
        </w:rPr>
        <w:t xml:space="preserve"> </w:t>
      </w:r>
      <w:r w:rsidRPr="00385289">
        <w:rPr>
          <w:szCs w:val="22"/>
        </w:rPr>
        <w:t>antibiotiká alebo na ktorúkoľvek z pomocných látok uvedených v časti 6.1.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4.4</w:t>
      </w:r>
      <w:r w:rsidRPr="00385289">
        <w:rPr>
          <w:szCs w:val="22"/>
        </w:rPr>
        <w:tab/>
        <w:t>Osobitné upozornenia a opatrenia pri používaní</w:t>
      </w: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b w:val="0"/>
          <w:szCs w:val="22"/>
        </w:rPr>
      </w:pPr>
      <w:r w:rsidRPr="00385289">
        <w:rPr>
          <w:b w:val="0"/>
          <w:szCs w:val="22"/>
        </w:rPr>
        <w:t xml:space="preserve">Pri výbere </w:t>
      </w:r>
      <w:proofErr w:type="spellStart"/>
      <w:r w:rsidRPr="00385289">
        <w:rPr>
          <w:b w:val="0"/>
          <w:szCs w:val="22"/>
        </w:rPr>
        <w:t>azitromycínu</w:t>
      </w:r>
      <w:proofErr w:type="spellEnd"/>
      <w:r w:rsidRPr="00385289">
        <w:rPr>
          <w:b w:val="0"/>
          <w:szCs w:val="22"/>
        </w:rPr>
        <w:t xml:space="preserve"> na liečbu jednotlivých pacientov je potrebné vziať do úvahy vhodnosť </w:t>
      </w: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b w:val="0"/>
          <w:szCs w:val="22"/>
        </w:rPr>
      </w:pPr>
      <w:r w:rsidRPr="00385289">
        <w:rPr>
          <w:b w:val="0"/>
          <w:szCs w:val="22"/>
        </w:rPr>
        <w:t xml:space="preserve">použitia </w:t>
      </w:r>
      <w:proofErr w:type="spellStart"/>
      <w:r w:rsidRPr="00385289">
        <w:rPr>
          <w:b w:val="0"/>
          <w:szCs w:val="22"/>
        </w:rPr>
        <w:t>makrolidovových</w:t>
      </w:r>
      <w:proofErr w:type="spellEnd"/>
      <w:r w:rsidRPr="00385289">
        <w:rPr>
          <w:b w:val="0"/>
          <w:szCs w:val="22"/>
        </w:rPr>
        <w:t xml:space="preserve"> antibiotík</w:t>
      </w:r>
      <w:r>
        <w:rPr>
          <w:b w:val="0"/>
          <w:szCs w:val="22"/>
        </w:rPr>
        <w:t>,</w:t>
      </w:r>
      <w:r w:rsidRPr="00385289">
        <w:rPr>
          <w:b w:val="0"/>
          <w:szCs w:val="22"/>
        </w:rPr>
        <w:t xml:space="preserve"> na základe vhodnej diagnostiky zistiť bakteriálnu etiológiu </w:t>
      </w: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b w:val="0"/>
          <w:szCs w:val="22"/>
        </w:rPr>
      </w:pPr>
      <w:r w:rsidRPr="00385289">
        <w:rPr>
          <w:b w:val="0"/>
          <w:szCs w:val="22"/>
        </w:rPr>
        <w:t xml:space="preserve">infekcie v schválených indikáciách a </w:t>
      </w:r>
      <w:proofErr w:type="spellStart"/>
      <w:r w:rsidRPr="00385289">
        <w:rPr>
          <w:b w:val="0"/>
          <w:szCs w:val="22"/>
        </w:rPr>
        <w:t>prevalenciu</w:t>
      </w:r>
      <w:proofErr w:type="spellEnd"/>
      <w:r w:rsidRPr="00385289">
        <w:rPr>
          <w:b w:val="0"/>
          <w:szCs w:val="22"/>
        </w:rPr>
        <w:t xml:space="preserve"> rezistencie na </w:t>
      </w:r>
      <w:proofErr w:type="spellStart"/>
      <w:r w:rsidRPr="00385289">
        <w:rPr>
          <w:b w:val="0"/>
          <w:szCs w:val="22"/>
        </w:rPr>
        <w:t>azitromycín</w:t>
      </w:r>
      <w:proofErr w:type="spellEnd"/>
      <w:r w:rsidRPr="00385289">
        <w:rPr>
          <w:b w:val="0"/>
          <w:szCs w:val="22"/>
        </w:rPr>
        <w:t xml:space="preserve"> alebo iné </w:t>
      </w:r>
      <w:proofErr w:type="spellStart"/>
      <w:r w:rsidRPr="00385289">
        <w:rPr>
          <w:b w:val="0"/>
          <w:szCs w:val="22"/>
        </w:rPr>
        <w:t>makrolidy</w:t>
      </w:r>
      <w:proofErr w:type="spellEnd"/>
      <w:r w:rsidRPr="00385289">
        <w:rPr>
          <w:b w:val="0"/>
          <w:szCs w:val="22"/>
        </w:rPr>
        <w:t>.</w:t>
      </w: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b w:val="0"/>
          <w:szCs w:val="22"/>
        </w:rPr>
      </w:pPr>
      <w:r w:rsidRPr="00385289">
        <w:rPr>
          <w:b w:val="0"/>
          <w:szCs w:val="22"/>
        </w:rPr>
        <w:t xml:space="preserve">V oblastiach s vysokým výskytom rezistencie na </w:t>
      </w:r>
      <w:proofErr w:type="spellStart"/>
      <w:r w:rsidRPr="00385289">
        <w:rPr>
          <w:b w:val="0"/>
          <w:szCs w:val="22"/>
        </w:rPr>
        <w:t>erytromycín</w:t>
      </w:r>
      <w:proofErr w:type="spellEnd"/>
      <w:r w:rsidRPr="00385289">
        <w:rPr>
          <w:b w:val="0"/>
          <w:szCs w:val="22"/>
        </w:rPr>
        <w:t xml:space="preserve"> A je zvlášť dôležité </w:t>
      </w:r>
      <w:r>
        <w:rPr>
          <w:b w:val="0"/>
          <w:szCs w:val="22"/>
        </w:rPr>
        <w:t>vziať</w:t>
      </w:r>
      <w:r w:rsidRPr="00385289">
        <w:rPr>
          <w:b w:val="0"/>
          <w:szCs w:val="22"/>
        </w:rPr>
        <w:t xml:space="preserve"> do úvahy</w:t>
      </w: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b w:val="0"/>
          <w:szCs w:val="22"/>
        </w:rPr>
      </w:pPr>
      <w:r w:rsidRPr="00385289">
        <w:rPr>
          <w:b w:val="0"/>
          <w:szCs w:val="22"/>
        </w:rPr>
        <w:t xml:space="preserve">vývoj charakteru citlivosti na </w:t>
      </w:r>
      <w:proofErr w:type="spellStart"/>
      <w:r w:rsidRPr="00385289">
        <w:rPr>
          <w:b w:val="0"/>
          <w:szCs w:val="22"/>
        </w:rPr>
        <w:t>azitromycín</w:t>
      </w:r>
      <w:proofErr w:type="spellEnd"/>
      <w:r w:rsidRPr="00385289">
        <w:rPr>
          <w:b w:val="0"/>
          <w:szCs w:val="22"/>
        </w:rPr>
        <w:t xml:space="preserve"> a iné antibiotiká.</w:t>
      </w: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b w:val="0"/>
          <w:szCs w:val="22"/>
        </w:rPr>
      </w:pPr>
      <w:r w:rsidRPr="00385289">
        <w:rPr>
          <w:b w:val="0"/>
          <w:szCs w:val="22"/>
        </w:rPr>
        <w:t xml:space="preserve">Tak ako u iných </w:t>
      </w:r>
      <w:proofErr w:type="spellStart"/>
      <w:r w:rsidRPr="00385289">
        <w:rPr>
          <w:b w:val="0"/>
          <w:szCs w:val="22"/>
        </w:rPr>
        <w:t>makrolidov</w:t>
      </w:r>
      <w:proofErr w:type="spellEnd"/>
      <w:r w:rsidRPr="00385289">
        <w:rPr>
          <w:b w:val="0"/>
          <w:szCs w:val="22"/>
        </w:rPr>
        <w:t xml:space="preserve">, v niektorých európskych krajinách bol hlásený vysoký stupeň rezistencie </w:t>
      </w:r>
    </w:p>
    <w:p w:rsidR="002A62E4" w:rsidRPr="00385289" w:rsidRDefault="002A62E4" w:rsidP="00AD31B7">
      <w:pPr>
        <w:pStyle w:val="MGGHeading3"/>
        <w:keepNext w:val="0"/>
        <w:keepLines w:val="0"/>
        <w:widowControl w:val="0"/>
        <w:tabs>
          <w:tab w:val="clear" w:pos="567"/>
          <w:tab w:val="left" w:pos="0"/>
        </w:tabs>
        <w:ind w:left="0" w:firstLine="0"/>
        <w:rPr>
          <w:b w:val="0"/>
          <w:szCs w:val="22"/>
        </w:rPr>
      </w:pPr>
      <w:proofErr w:type="spellStart"/>
      <w:r w:rsidRPr="00385289">
        <w:rPr>
          <w:b w:val="0"/>
          <w:szCs w:val="22"/>
        </w:rPr>
        <w:t>Streptococcus</w:t>
      </w:r>
      <w:proofErr w:type="spellEnd"/>
      <w:r w:rsidRPr="00385289">
        <w:rPr>
          <w:b w:val="0"/>
          <w:szCs w:val="22"/>
        </w:rPr>
        <w:t xml:space="preserve"> </w:t>
      </w:r>
      <w:proofErr w:type="spellStart"/>
      <w:r w:rsidRPr="00385289">
        <w:rPr>
          <w:b w:val="0"/>
          <w:szCs w:val="22"/>
        </w:rPr>
        <w:t>pneumoniae</w:t>
      </w:r>
      <w:proofErr w:type="spellEnd"/>
      <w:r w:rsidRPr="00385289">
        <w:rPr>
          <w:b w:val="0"/>
          <w:szCs w:val="22"/>
        </w:rPr>
        <w:t xml:space="preserve"> voči </w:t>
      </w:r>
      <w:proofErr w:type="spellStart"/>
      <w:r w:rsidRPr="00385289">
        <w:rPr>
          <w:b w:val="0"/>
          <w:szCs w:val="22"/>
        </w:rPr>
        <w:t>azitromycínu</w:t>
      </w:r>
      <w:proofErr w:type="spellEnd"/>
      <w:r w:rsidRPr="00385289">
        <w:rPr>
          <w:b w:val="0"/>
          <w:szCs w:val="22"/>
        </w:rPr>
        <w:t xml:space="preserve"> (pozri časť 5.1). Toto je potrebné vziať do úvahy pri liečbe infekcií spôsobených </w:t>
      </w:r>
      <w:proofErr w:type="spellStart"/>
      <w:r w:rsidRPr="00385289">
        <w:rPr>
          <w:b w:val="0"/>
          <w:szCs w:val="22"/>
        </w:rPr>
        <w:t>Streptococcus</w:t>
      </w:r>
      <w:proofErr w:type="spellEnd"/>
      <w:r w:rsidRPr="00385289">
        <w:rPr>
          <w:b w:val="0"/>
          <w:szCs w:val="22"/>
        </w:rPr>
        <w:t xml:space="preserve"> </w:t>
      </w:r>
      <w:proofErr w:type="spellStart"/>
      <w:r w:rsidRPr="00385289">
        <w:rPr>
          <w:b w:val="0"/>
          <w:szCs w:val="22"/>
        </w:rPr>
        <w:t>pneumoniae</w:t>
      </w:r>
      <w:proofErr w:type="spellEnd"/>
      <w:r w:rsidRPr="00385289">
        <w:rPr>
          <w:b w:val="0"/>
          <w:szCs w:val="22"/>
        </w:rPr>
        <w:t>.</w:t>
      </w: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b w:val="0"/>
          <w:szCs w:val="22"/>
        </w:rPr>
      </w:pPr>
      <w:r w:rsidRPr="00385289">
        <w:rPr>
          <w:b w:val="0"/>
          <w:szCs w:val="22"/>
        </w:rPr>
        <w:t xml:space="preserve">Pri bakteriálnom zápale hltana sa použitie </w:t>
      </w:r>
      <w:proofErr w:type="spellStart"/>
      <w:r w:rsidRPr="00385289">
        <w:rPr>
          <w:b w:val="0"/>
          <w:szCs w:val="22"/>
        </w:rPr>
        <w:t>azitromicínu</w:t>
      </w:r>
      <w:proofErr w:type="spellEnd"/>
      <w:r w:rsidRPr="00385289">
        <w:rPr>
          <w:b w:val="0"/>
          <w:szCs w:val="22"/>
        </w:rPr>
        <w:t xml:space="preserve"> odporúča len v prípadoch, ak nie je</w:t>
      </w:r>
      <w:r>
        <w:rPr>
          <w:b w:val="0"/>
          <w:szCs w:val="22"/>
        </w:rPr>
        <w:t xml:space="preserve"> </w:t>
      </w:r>
      <w:r w:rsidRPr="00385289">
        <w:rPr>
          <w:b w:val="0"/>
          <w:szCs w:val="22"/>
        </w:rPr>
        <w:t xml:space="preserve">možná </w:t>
      </w: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b w:val="0"/>
          <w:szCs w:val="22"/>
        </w:rPr>
      </w:pPr>
      <w:r w:rsidRPr="00385289">
        <w:rPr>
          <w:b w:val="0"/>
          <w:szCs w:val="22"/>
        </w:rPr>
        <w:t>liečba prvej voľby s </w:t>
      </w:r>
      <w:proofErr w:type="spellStart"/>
      <w:r w:rsidRPr="00385289">
        <w:rPr>
          <w:b w:val="0"/>
          <w:szCs w:val="22"/>
        </w:rPr>
        <w:t>betalaktámovými</w:t>
      </w:r>
      <w:proofErr w:type="spellEnd"/>
      <w:r w:rsidRPr="00385289">
        <w:rPr>
          <w:b w:val="0"/>
          <w:szCs w:val="22"/>
        </w:rPr>
        <w:t xml:space="preserve"> antibiotikami.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9B1CBB" w:rsidRDefault="002A62E4" w:rsidP="009B1CBB">
      <w:pPr>
        <w:pStyle w:val="MGGTextLeft"/>
        <w:widowControl w:val="0"/>
        <w:rPr>
          <w:i/>
          <w:szCs w:val="22"/>
        </w:rPr>
      </w:pPr>
      <w:r w:rsidRPr="009B1CBB">
        <w:rPr>
          <w:i/>
          <w:szCs w:val="22"/>
        </w:rPr>
        <w:t>Precitlivenosť</w:t>
      </w:r>
    </w:p>
    <w:p w:rsidR="002A62E4" w:rsidRDefault="00FB7B03" w:rsidP="009B1CBB">
      <w:pPr>
        <w:pStyle w:val="MGGTextLeft"/>
        <w:widowControl w:val="0"/>
        <w:ind w:left="0" w:firstLine="0"/>
        <w:rPr>
          <w:szCs w:val="22"/>
        </w:rPr>
      </w:pPr>
      <w:r w:rsidRPr="00FB7B03">
        <w:rPr>
          <w:szCs w:val="22"/>
        </w:rPr>
        <w:t xml:space="preserve">Podobne ako v prípade </w:t>
      </w:r>
      <w:proofErr w:type="spellStart"/>
      <w:r w:rsidRPr="00FB7B03">
        <w:rPr>
          <w:szCs w:val="22"/>
        </w:rPr>
        <w:t>erytromycínu</w:t>
      </w:r>
      <w:proofErr w:type="spellEnd"/>
      <w:r w:rsidRPr="00FB7B03">
        <w:rPr>
          <w:szCs w:val="22"/>
        </w:rPr>
        <w:t xml:space="preserve"> a ostatných </w:t>
      </w:r>
      <w:proofErr w:type="spellStart"/>
      <w:r w:rsidRPr="00FB7B03">
        <w:rPr>
          <w:szCs w:val="22"/>
        </w:rPr>
        <w:t>makrolidov</w:t>
      </w:r>
      <w:proofErr w:type="spellEnd"/>
      <w:r w:rsidRPr="00FB7B03">
        <w:rPr>
          <w:szCs w:val="22"/>
        </w:rPr>
        <w:t xml:space="preserve"> boli hlásené zriedkavé závažné alergické reakcie vrátane </w:t>
      </w:r>
      <w:proofErr w:type="spellStart"/>
      <w:r w:rsidRPr="00FB7B03">
        <w:rPr>
          <w:szCs w:val="22"/>
        </w:rPr>
        <w:t>angioneurotického</w:t>
      </w:r>
      <w:proofErr w:type="spellEnd"/>
      <w:r w:rsidRPr="00FB7B03">
        <w:rPr>
          <w:szCs w:val="22"/>
        </w:rPr>
        <w:t xml:space="preserve"> edému a </w:t>
      </w:r>
      <w:proofErr w:type="spellStart"/>
      <w:r w:rsidRPr="00FB7B03">
        <w:rPr>
          <w:szCs w:val="22"/>
        </w:rPr>
        <w:t>anafylaxie</w:t>
      </w:r>
      <w:proofErr w:type="spellEnd"/>
      <w:r w:rsidRPr="00FB7B03">
        <w:rPr>
          <w:szCs w:val="22"/>
        </w:rPr>
        <w:t xml:space="preserve"> (zriedkavo smrteľné), dermatologických reakcií vrátane akútnej generalizovanej </w:t>
      </w:r>
      <w:proofErr w:type="spellStart"/>
      <w:r w:rsidRPr="00FB7B03">
        <w:rPr>
          <w:szCs w:val="22"/>
        </w:rPr>
        <w:t>exantémovej</w:t>
      </w:r>
      <w:proofErr w:type="spellEnd"/>
      <w:r w:rsidRPr="00FB7B03">
        <w:rPr>
          <w:szCs w:val="22"/>
        </w:rPr>
        <w:t xml:space="preserve"> </w:t>
      </w:r>
      <w:proofErr w:type="spellStart"/>
      <w:r w:rsidRPr="00FB7B03">
        <w:rPr>
          <w:szCs w:val="22"/>
        </w:rPr>
        <w:t>pustulózy</w:t>
      </w:r>
      <w:proofErr w:type="spellEnd"/>
      <w:r w:rsidRPr="00FB7B03">
        <w:rPr>
          <w:szCs w:val="22"/>
        </w:rPr>
        <w:t xml:space="preserve"> (AGEP), </w:t>
      </w:r>
      <w:proofErr w:type="spellStart"/>
      <w:r w:rsidRPr="00FB7B03">
        <w:rPr>
          <w:szCs w:val="22"/>
        </w:rPr>
        <w:t>Stevensovho-Johnsonovho</w:t>
      </w:r>
      <w:proofErr w:type="spellEnd"/>
      <w:r w:rsidRPr="00FB7B03">
        <w:rPr>
          <w:szCs w:val="22"/>
        </w:rPr>
        <w:t xml:space="preserve"> syndrómu (SJS), toxickej </w:t>
      </w:r>
      <w:proofErr w:type="spellStart"/>
      <w:r w:rsidRPr="00FB7B03">
        <w:rPr>
          <w:szCs w:val="22"/>
        </w:rPr>
        <w:t>epidermálnej</w:t>
      </w:r>
      <w:proofErr w:type="spellEnd"/>
      <w:r w:rsidRPr="00FB7B03">
        <w:rPr>
          <w:szCs w:val="22"/>
        </w:rPr>
        <w:t xml:space="preserve"> </w:t>
      </w:r>
      <w:proofErr w:type="spellStart"/>
      <w:r w:rsidRPr="00FB7B03">
        <w:rPr>
          <w:szCs w:val="22"/>
        </w:rPr>
        <w:t>nekrolýzy</w:t>
      </w:r>
      <w:proofErr w:type="spellEnd"/>
      <w:r w:rsidRPr="00FB7B03">
        <w:rPr>
          <w:szCs w:val="22"/>
        </w:rPr>
        <w:t xml:space="preserve"> (TEN)</w:t>
      </w:r>
      <w:r w:rsidR="006934AF">
        <w:rPr>
          <w:szCs w:val="22"/>
        </w:rPr>
        <w:t xml:space="preserve"> (zriedkavo smrteľné)</w:t>
      </w:r>
      <w:r w:rsidRPr="00FB7B03">
        <w:rPr>
          <w:szCs w:val="22"/>
        </w:rPr>
        <w:t xml:space="preserve"> a liekovej reakcie s </w:t>
      </w:r>
      <w:proofErr w:type="spellStart"/>
      <w:r w:rsidRPr="00FB7B03">
        <w:rPr>
          <w:szCs w:val="22"/>
        </w:rPr>
        <w:t>eozinofíliou</w:t>
      </w:r>
      <w:proofErr w:type="spellEnd"/>
      <w:r w:rsidRPr="00FB7B03">
        <w:rPr>
          <w:szCs w:val="22"/>
        </w:rPr>
        <w:t xml:space="preserve"> a so systémovými príznakmi (DRESS, </w:t>
      </w:r>
      <w:proofErr w:type="spellStart"/>
      <w:r w:rsidRPr="00FB7B03">
        <w:rPr>
          <w:szCs w:val="22"/>
        </w:rPr>
        <w:t>drug</w:t>
      </w:r>
      <w:proofErr w:type="spellEnd"/>
      <w:r w:rsidRPr="00FB7B03">
        <w:rPr>
          <w:szCs w:val="22"/>
        </w:rPr>
        <w:t xml:space="preserve"> </w:t>
      </w:r>
      <w:proofErr w:type="spellStart"/>
      <w:r w:rsidRPr="00FB7B03">
        <w:rPr>
          <w:szCs w:val="22"/>
        </w:rPr>
        <w:t>reaction</w:t>
      </w:r>
      <w:proofErr w:type="spellEnd"/>
      <w:r w:rsidRPr="00FB7B03">
        <w:rPr>
          <w:szCs w:val="22"/>
        </w:rPr>
        <w:t xml:space="preserve"> </w:t>
      </w:r>
      <w:proofErr w:type="spellStart"/>
      <w:r w:rsidRPr="00FB7B03">
        <w:rPr>
          <w:szCs w:val="22"/>
        </w:rPr>
        <w:t>with</w:t>
      </w:r>
      <w:proofErr w:type="spellEnd"/>
      <w:r w:rsidRPr="00FB7B03">
        <w:rPr>
          <w:szCs w:val="22"/>
        </w:rPr>
        <w:t xml:space="preserve"> </w:t>
      </w:r>
      <w:proofErr w:type="spellStart"/>
      <w:r w:rsidRPr="00FB7B03">
        <w:rPr>
          <w:szCs w:val="22"/>
        </w:rPr>
        <w:t>eosinophilia</w:t>
      </w:r>
      <w:proofErr w:type="spellEnd"/>
      <w:r w:rsidRPr="00FB7B03">
        <w:rPr>
          <w:szCs w:val="22"/>
        </w:rPr>
        <w:t xml:space="preserve"> and </w:t>
      </w:r>
      <w:proofErr w:type="spellStart"/>
      <w:r w:rsidRPr="00FB7B03">
        <w:rPr>
          <w:szCs w:val="22"/>
        </w:rPr>
        <w:t>systemic</w:t>
      </w:r>
      <w:proofErr w:type="spellEnd"/>
      <w:r w:rsidRPr="00FB7B03">
        <w:rPr>
          <w:szCs w:val="22"/>
        </w:rPr>
        <w:t xml:space="preserve"> </w:t>
      </w:r>
      <w:proofErr w:type="spellStart"/>
      <w:r w:rsidRPr="00FB7B03">
        <w:rPr>
          <w:szCs w:val="22"/>
        </w:rPr>
        <w:t>symptoms</w:t>
      </w:r>
      <w:proofErr w:type="spellEnd"/>
      <w:r w:rsidRPr="00FB7B03">
        <w:rPr>
          <w:szCs w:val="22"/>
        </w:rPr>
        <w:t xml:space="preserve">). Niektoré z týchto reakcií na </w:t>
      </w:r>
      <w:proofErr w:type="spellStart"/>
      <w:r w:rsidR="00D35995">
        <w:rPr>
          <w:szCs w:val="22"/>
        </w:rPr>
        <w:t>Zigilex</w:t>
      </w:r>
      <w:proofErr w:type="spellEnd"/>
      <w:r w:rsidR="00030F21">
        <w:rPr>
          <w:szCs w:val="22"/>
        </w:rPr>
        <w:t xml:space="preserve"> </w:t>
      </w:r>
      <w:r w:rsidR="00030F21" w:rsidRPr="00385289">
        <w:rPr>
          <w:szCs w:val="22"/>
        </w:rPr>
        <w:t>500 mg filmom obalené tablety</w:t>
      </w:r>
      <w:r w:rsidR="00030F21">
        <w:rPr>
          <w:szCs w:val="22"/>
        </w:rPr>
        <w:t xml:space="preserve"> </w:t>
      </w:r>
      <w:r w:rsidRPr="00FB7B03">
        <w:rPr>
          <w:szCs w:val="22"/>
        </w:rPr>
        <w:t>viedli k opakujúcim sa príznakom a vyžadovali si dlhšie pozorovanie a liečbu.</w:t>
      </w:r>
    </w:p>
    <w:p w:rsidR="002A62E4" w:rsidRPr="002A62E4" w:rsidRDefault="002A62E4" w:rsidP="009B1CBB">
      <w:pPr>
        <w:pStyle w:val="MGGTextLeft"/>
        <w:widowControl w:val="0"/>
        <w:ind w:left="0" w:firstLine="0"/>
        <w:rPr>
          <w:szCs w:val="22"/>
        </w:rPr>
      </w:pPr>
    </w:p>
    <w:p w:rsidR="002A62E4" w:rsidRDefault="00FB7B03" w:rsidP="009B1CBB">
      <w:pPr>
        <w:pStyle w:val="MGGTextLeft"/>
        <w:keepNext w:val="0"/>
        <w:widowControl w:val="0"/>
        <w:ind w:left="0" w:firstLine="0"/>
        <w:rPr>
          <w:szCs w:val="22"/>
        </w:rPr>
      </w:pPr>
      <w:r w:rsidRPr="00FB7B03">
        <w:rPr>
          <w:szCs w:val="22"/>
        </w:rPr>
        <w:t>Ak sa vyskytne alergická reakcia, liek sa má vysadiť a má sa začať s náležitou liečbou. Lekári si majú byť vedomí, že pri prerušení symptomatickej liečby sa môžu opätovne vyskytnúť alergické symptómy.</w:t>
      </w:r>
    </w:p>
    <w:p w:rsidR="002A62E4" w:rsidRPr="009B1CBB" w:rsidRDefault="002A62E4" w:rsidP="009B1CB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i/>
          <w:szCs w:val="22"/>
        </w:rPr>
        <w:t>Zlyhanie obličiek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lastRenderedPageBreak/>
        <w:t>U pacientov s miernou až stredne závažnou poruchou funkcie obličiek (GFR 10</w:t>
      </w:r>
      <w:r>
        <w:rPr>
          <w:szCs w:val="22"/>
        </w:rPr>
        <w:t xml:space="preserve"> </w:t>
      </w:r>
      <w:r w:rsidRPr="00385289">
        <w:rPr>
          <w:szCs w:val="22"/>
        </w:rPr>
        <w:t>-</w:t>
      </w:r>
      <w:r>
        <w:rPr>
          <w:szCs w:val="22"/>
        </w:rPr>
        <w:t xml:space="preserve"> </w:t>
      </w:r>
      <w:r w:rsidRPr="00385289">
        <w:rPr>
          <w:szCs w:val="22"/>
        </w:rPr>
        <w:t xml:space="preserve">80 ml/min) nie je potrebná žiadna úprava dávky. U pacientov s ťažkou poruchou funkcie obličiek (GFR &lt; 10 ml/min) sa pozorovalo 33% zvýšenie systémovej expozície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(pozri časť 5.2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Farmakokinetické</w:t>
      </w:r>
      <w:proofErr w:type="spellEnd"/>
      <w:r>
        <w:rPr>
          <w:szCs w:val="22"/>
        </w:rPr>
        <w:t xml:space="preserve"> vlastnosti</w:t>
      </w:r>
      <w:r w:rsidRPr="00385289">
        <w:rPr>
          <w:szCs w:val="22"/>
        </w:rPr>
        <w:t>).</w:t>
      </w:r>
    </w:p>
    <w:p w:rsidR="002A62E4" w:rsidRPr="00385289" w:rsidRDefault="002A62E4" w:rsidP="00E35CDB">
      <w:pPr>
        <w:pStyle w:val="MGGTextLeft"/>
        <w:keepNext w:val="0"/>
        <w:widowControl w:val="0"/>
        <w:rPr>
          <w:i/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i/>
          <w:iCs/>
          <w:szCs w:val="22"/>
        </w:rPr>
      </w:pPr>
      <w:r w:rsidRPr="00385289">
        <w:rPr>
          <w:i/>
          <w:szCs w:val="22"/>
        </w:rPr>
        <w:t>Zlyhanie pečene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Keďže pečeň je hlavnou cestou eliminácie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, pri použití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u pacientov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s významným poškodením pečene je potrebná opatrnosť. U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boli hlásené prípady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fulminantnej hepatitídy potenciálne vedúce k život ohrozujúcemu zlyhaniu pečene (pozri časť 4.8).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Niektorí pacienti </w:t>
      </w:r>
      <w:r>
        <w:rPr>
          <w:szCs w:val="22"/>
        </w:rPr>
        <w:t>mohli</w:t>
      </w:r>
      <w:r w:rsidRPr="00385289">
        <w:rPr>
          <w:szCs w:val="22"/>
        </w:rPr>
        <w:t xml:space="preserve"> mať </w:t>
      </w:r>
      <w:r>
        <w:rPr>
          <w:szCs w:val="22"/>
        </w:rPr>
        <w:t xml:space="preserve">už </w:t>
      </w:r>
      <w:r w:rsidRPr="00385289">
        <w:rPr>
          <w:szCs w:val="22"/>
        </w:rPr>
        <w:t xml:space="preserve">existujúce ochorenie pečene alebo </w:t>
      </w:r>
      <w:r>
        <w:rPr>
          <w:szCs w:val="22"/>
        </w:rPr>
        <w:t>mohli</w:t>
      </w:r>
      <w:r w:rsidRPr="00385289">
        <w:rPr>
          <w:szCs w:val="22"/>
        </w:rPr>
        <w:t xml:space="preserve"> užívať iné </w:t>
      </w:r>
      <w:proofErr w:type="spellStart"/>
      <w:r w:rsidRPr="00385289">
        <w:rPr>
          <w:szCs w:val="22"/>
        </w:rPr>
        <w:t>hepatotoxické</w:t>
      </w:r>
      <w:proofErr w:type="spellEnd"/>
      <w:r w:rsidRPr="00385289">
        <w:rPr>
          <w:szCs w:val="22"/>
        </w:rPr>
        <w:t xml:space="preserve">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>lieky.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Keď sa objavia </w:t>
      </w:r>
      <w:r>
        <w:rPr>
          <w:szCs w:val="22"/>
        </w:rPr>
        <w:t>prejavy</w:t>
      </w:r>
      <w:r w:rsidRPr="00385289">
        <w:rPr>
          <w:szCs w:val="22"/>
        </w:rPr>
        <w:t xml:space="preserve"> a príznaky </w:t>
      </w:r>
      <w:r>
        <w:rPr>
          <w:szCs w:val="22"/>
        </w:rPr>
        <w:t>poruchy funkcie pečene</w:t>
      </w:r>
      <w:r w:rsidRPr="00385289">
        <w:rPr>
          <w:szCs w:val="22"/>
        </w:rPr>
        <w:t>, ako je rýchl</w:t>
      </w:r>
      <w:r>
        <w:rPr>
          <w:szCs w:val="22"/>
        </w:rPr>
        <w:t>o</w:t>
      </w:r>
      <w:r w:rsidRPr="00385289">
        <w:rPr>
          <w:szCs w:val="22"/>
        </w:rPr>
        <w:t xml:space="preserve"> rozvíjajúca sa asténia spojená so žltačkou, tmavý moč, sklon ku krvácaniu alebo pečeňová </w:t>
      </w:r>
      <w:proofErr w:type="spellStart"/>
      <w:r w:rsidRPr="00385289">
        <w:rPr>
          <w:szCs w:val="22"/>
        </w:rPr>
        <w:t>encefalopatia</w:t>
      </w:r>
      <w:proofErr w:type="spellEnd"/>
      <w:r>
        <w:rPr>
          <w:szCs w:val="22"/>
        </w:rPr>
        <w:t>, je</w:t>
      </w:r>
      <w:r w:rsidRPr="00385289">
        <w:rPr>
          <w:szCs w:val="22"/>
        </w:rPr>
        <w:t xml:space="preserve"> potrebné </w:t>
      </w:r>
      <w:r>
        <w:rPr>
          <w:szCs w:val="22"/>
        </w:rPr>
        <w:t xml:space="preserve">ihneď </w:t>
      </w:r>
      <w:r w:rsidRPr="00385289">
        <w:rPr>
          <w:szCs w:val="22"/>
        </w:rPr>
        <w:t>vykonať testy/vyšetrenia</w:t>
      </w:r>
      <w:r>
        <w:rPr>
          <w:szCs w:val="22"/>
        </w:rPr>
        <w:t xml:space="preserve"> funkcie pečene</w:t>
      </w:r>
      <w:r w:rsidRPr="00385289">
        <w:rPr>
          <w:szCs w:val="22"/>
        </w:rPr>
        <w:t xml:space="preserve">. Keď sa vyskytne porucha funkcie pečene, liečba </w:t>
      </w:r>
      <w:proofErr w:type="spellStart"/>
      <w:r w:rsidRPr="00385289">
        <w:rPr>
          <w:szCs w:val="22"/>
        </w:rPr>
        <w:t>azitromycínom</w:t>
      </w:r>
      <w:proofErr w:type="spellEnd"/>
      <w:r w:rsidRPr="00385289">
        <w:rPr>
          <w:szCs w:val="22"/>
        </w:rPr>
        <w:t xml:space="preserve"> sa má ukončiť.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  <w:proofErr w:type="spellStart"/>
      <w:r w:rsidRPr="00385289">
        <w:rPr>
          <w:i/>
          <w:iCs/>
          <w:szCs w:val="22"/>
        </w:rPr>
        <w:t>Námeľové</w:t>
      </w:r>
      <w:proofErr w:type="spellEnd"/>
      <w:r w:rsidRPr="00385289">
        <w:rPr>
          <w:i/>
          <w:iCs/>
          <w:szCs w:val="22"/>
        </w:rPr>
        <w:t xml:space="preserve"> alkaloidy a </w:t>
      </w:r>
      <w:proofErr w:type="spellStart"/>
      <w:r w:rsidRPr="00385289">
        <w:rPr>
          <w:i/>
          <w:iCs/>
          <w:szCs w:val="22"/>
        </w:rPr>
        <w:t>azitromycín</w:t>
      </w:r>
      <w:proofErr w:type="spellEnd"/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Súbežné podávanie niektorých </w:t>
      </w:r>
      <w:proofErr w:type="spellStart"/>
      <w:r w:rsidRPr="00385289">
        <w:rPr>
          <w:szCs w:val="22"/>
        </w:rPr>
        <w:t>makrolidov</w:t>
      </w:r>
      <w:proofErr w:type="spellEnd"/>
      <w:r w:rsidRPr="00385289">
        <w:rPr>
          <w:szCs w:val="22"/>
        </w:rPr>
        <w:t xml:space="preserve"> u pacientov užívajúcich deriváty </w:t>
      </w:r>
      <w:proofErr w:type="spellStart"/>
      <w:r w:rsidRPr="00385289">
        <w:rPr>
          <w:szCs w:val="22"/>
        </w:rPr>
        <w:t>ergotamínu</w:t>
      </w:r>
      <w:proofErr w:type="spellEnd"/>
      <w:r w:rsidRPr="00385289">
        <w:rPr>
          <w:szCs w:val="22"/>
        </w:rPr>
        <w:t xml:space="preserve"> urýchľuje rozvoj </w:t>
      </w:r>
      <w:proofErr w:type="spellStart"/>
      <w:r w:rsidRPr="00385289">
        <w:rPr>
          <w:szCs w:val="22"/>
        </w:rPr>
        <w:t>ergotizmu</w:t>
      </w:r>
      <w:proofErr w:type="spellEnd"/>
      <w:r w:rsidRPr="00385289">
        <w:rPr>
          <w:szCs w:val="22"/>
        </w:rPr>
        <w:t xml:space="preserve">. </w:t>
      </w:r>
      <w:r>
        <w:rPr>
          <w:szCs w:val="22"/>
        </w:rPr>
        <w:t>Ú</w:t>
      </w:r>
      <w:r w:rsidRPr="00385289">
        <w:rPr>
          <w:szCs w:val="22"/>
        </w:rPr>
        <w:t xml:space="preserve">daje týkajúce sa možnej </w:t>
      </w:r>
      <w:proofErr w:type="spellStart"/>
      <w:r w:rsidRPr="00385289">
        <w:rPr>
          <w:szCs w:val="22"/>
        </w:rPr>
        <w:t>interkacie</w:t>
      </w:r>
      <w:proofErr w:type="spellEnd"/>
      <w:r w:rsidRPr="00385289">
        <w:rPr>
          <w:szCs w:val="22"/>
        </w:rPr>
        <w:t xml:space="preserve"> medzi </w:t>
      </w:r>
      <w:proofErr w:type="spellStart"/>
      <w:r w:rsidRPr="00385289">
        <w:rPr>
          <w:szCs w:val="22"/>
        </w:rPr>
        <w:t>námeľovými</w:t>
      </w:r>
      <w:proofErr w:type="spellEnd"/>
      <w:r w:rsidRPr="00385289">
        <w:rPr>
          <w:szCs w:val="22"/>
        </w:rPr>
        <w:t xml:space="preserve"> alkaloidmi a</w:t>
      </w:r>
      <w:r>
        <w:rPr>
          <w:szCs w:val="22"/>
        </w:rPr>
        <w:t> </w:t>
      </w:r>
      <w:proofErr w:type="spellStart"/>
      <w:r w:rsidRPr="00385289">
        <w:rPr>
          <w:szCs w:val="22"/>
        </w:rPr>
        <w:t>azitromycínom</w:t>
      </w:r>
      <w:proofErr w:type="spellEnd"/>
      <w:r>
        <w:rPr>
          <w:szCs w:val="22"/>
        </w:rPr>
        <w:t xml:space="preserve"> n</w:t>
      </w:r>
      <w:r w:rsidRPr="00385289">
        <w:rPr>
          <w:szCs w:val="22"/>
        </w:rPr>
        <w:t xml:space="preserve">ie sú k dispozícii. Avšak z dôvodu teoretickej možnosti vzniku </w:t>
      </w:r>
      <w:proofErr w:type="spellStart"/>
      <w:r w:rsidRPr="00385289">
        <w:rPr>
          <w:szCs w:val="22"/>
        </w:rPr>
        <w:t>ergotizmu</w:t>
      </w:r>
      <w:proofErr w:type="spellEnd"/>
      <w:r w:rsidRPr="00385289">
        <w:rPr>
          <w:szCs w:val="22"/>
        </w:rPr>
        <w:t xml:space="preserve"> sa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a deriváty </w:t>
      </w:r>
      <w:proofErr w:type="spellStart"/>
      <w:r w:rsidRPr="00385289">
        <w:rPr>
          <w:szCs w:val="22"/>
        </w:rPr>
        <w:t>erogtamínu</w:t>
      </w:r>
      <w:proofErr w:type="spellEnd"/>
      <w:r w:rsidRPr="00385289">
        <w:rPr>
          <w:szCs w:val="22"/>
        </w:rPr>
        <w:t xml:space="preserve"> nemajú súbežne podávať (pozri časť 4.5).</w:t>
      </w:r>
    </w:p>
    <w:p w:rsidR="002A62E4" w:rsidRPr="00385289" w:rsidRDefault="002A62E4" w:rsidP="00596E40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rPr>
          <w:i/>
          <w:iCs/>
          <w:szCs w:val="22"/>
          <w:u w:val="single"/>
        </w:rPr>
      </w:pPr>
      <w:r w:rsidRPr="00385289">
        <w:rPr>
          <w:i/>
          <w:iCs/>
          <w:szCs w:val="22"/>
          <w:u w:val="single"/>
        </w:rPr>
        <w:t>Predĺženie QT intervalu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Pri liečbe inými </w:t>
      </w:r>
      <w:proofErr w:type="spellStart"/>
      <w:r w:rsidRPr="00385289">
        <w:rPr>
          <w:szCs w:val="22"/>
        </w:rPr>
        <w:t>makrolidmi</w:t>
      </w:r>
      <w:proofErr w:type="spellEnd"/>
      <w:r w:rsidRPr="00385289">
        <w:rPr>
          <w:szCs w:val="22"/>
        </w:rPr>
        <w:t xml:space="preserve"> vrátane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sa pozorovalo predĺženie </w:t>
      </w:r>
      <w:proofErr w:type="spellStart"/>
      <w:r w:rsidRPr="00385289">
        <w:rPr>
          <w:szCs w:val="22"/>
        </w:rPr>
        <w:t>repolarizácie</w:t>
      </w:r>
      <w:proofErr w:type="spellEnd"/>
      <w:r w:rsidRPr="00385289">
        <w:rPr>
          <w:szCs w:val="22"/>
        </w:rPr>
        <w:t xml:space="preserve"> srdca a QT intervalu, vedúce k riziku vzniku srdcovej </w:t>
      </w:r>
      <w:proofErr w:type="spellStart"/>
      <w:r w:rsidRPr="00385289">
        <w:rPr>
          <w:szCs w:val="22"/>
        </w:rPr>
        <w:t>arytmie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torsades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de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pointes</w:t>
      </w:r>
      <w:proofErr w:type="spellEnd"/>
      <w:r w:rsidRPr="00385289">
        <w:rPr>
          <w:szCs w:val="22"/>
        </w:rPr>
        <w:t xml:space="preserve"> (pozri časť 4.8</w:t>
      </w:r>
      <w:r>
        <w:rPr>
          <w:szCs w:val="22"/>
        </w:rPr>
        <w:t xml:space="preserve"> Nežiaduce účinky</w:t>
      </w:r>
      <w:r w:rsidRPr="00385289">
        <w:rPr>
          <w:szCs w:val="22"/>
        </w:rPr>
        <w:t xml:space="preserve">). Keďže nasledujúce situácie môžu viesť k zvýšenému riziku </w:t>
      </w:r>
      <w:proofErr w:type="spellStart"/>
      <w:r w:rsidRPr="00385289">
        <w:rPr>
          <w:szCs w:val="22"/>
        </w:rPr>
        <w:t>ventrikulárnych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arytmií</w:t>
      </w:r>
      <w:proofErr w:type="spellEnd"/>
      <w:r w:rsidRPr="00385289">
        <w:rPr>
          <w:szCs w:val="22"/>
        </w:rPr>
        <w:t xml:space="preserve"> (vrátane </w:t>
      </w:r>
      <w:proofErr w:type="spellStart"/>
      <w:r w:rsidRPr="00385289">
        <w:rPr>
          <w:szCs w:val="22"/>
        </w:rPr>
        <w:t>torsades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de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pointes</w:t>
      </w:r>
      <w:proofErr w:type="spellEnd"/>
      <w:r w:rsidRPr="00385289">
        <w:rPr>
          <w:szCs w:val="22"/>
        </w:rPr>
        <w:t xml:space="preserve">), čo môže spôsobiť zástavu srdca,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sa má používať opatrne u pacientov s</w:t>
      </w:r>
      <w:r>
        <w:rPr>
          <w:szCs w:val="22"/>
        </w:rPr>
        <w:t xml:space="preserve"> trvalým sklonom k </w:t>
      </w:r>
      <w:proofErr w:type="spellStart"/>
      <w:r>
        <w:rPr>
          <w:szCs w:val="22"/>
        </w:rPr>
        <w:t>arytmiám</w:t>
      </w:r>
      <w:proofErr w:type="spellEnd"/>
      <w:r w:rsidRPr="00385289">
        <w:rPr>
          <w:szCs w:val="22"/>
        </w:rPr>
        <w:t xml:space="preserve"> (najmä u žien a starších pacientov), t. j. u pacientov:</w:t>
      </w:r>
    </w:p>
    <w:p w:rsidR="002A62E4" w:rsidRPr="00385289" w:rsidRDefault="002A62E4" w:rsidP="00596E40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numPr>
          <w:ilvl w:val="0"/>
          <w:numId w:val="17"/>
        </w:numPr>
        <w:tabs>
          <w:tab w:val="clear" w:pos="0"/>
          <w:tab w:val="num" w:pos="567"/>
        </w:tabs>
        <w:ind w:left="567" w:hanging="567"/>
        <w:rPr>
          <w:szCs w:val="22"/>
        </w:rPr>
      </w:pPr>
      <w:r w:rsidRPr="00385289">
        <w:rPr>
          <w:szCs w:val="22"/>
        </w:rPr>
        <w:t xml:space="preserve">s </w:t>
      </w:r>
      <w:proofErr w:type="spellStart"/>
      <w:r w:rsidRPr="00385289">
        <w:rPr>
          <w:szCs w:val="22"/>
        </w:rPr>
        <w:t>kongenitálnym</w:t>
      </w:r>
      <w:proofErr w:type="spellEnd"/>
      <w:r w:rsidRPr="00385289">
        <w:rPr>
          <w:szCs w:val="22"/>
        </w:rPr>
        <w:t xml:space="preserve"> alebo zdokumentovaným predĺžením QT intervalu,</w:t>
      </w:r>
    </w:p>
    <w:p w:rsidR="002A62E4" w:rsidRPr="00385289" w:rsidRDefault="002A62E4" w:rsidP="00596E40">
      <w:pPr>
        <w:pStyle w:val="MGGTextLeft"/>
        <w:keepNext w:val="0"/>
        <w:widowControl w:val="0"/>
        <w:numPr>
          <w:ilvl w:val="0"/>
          <w:numId w:val="17"/>
        </w:numPr>
        <w:tabs>
          <w:tab w:val="clear" w:pos="0"/>
          <w:tab w:val="num" w:pos="567"/>
        </w:tabs>
        <w:ind w:left="567" w:hanging="567"/>
        <w:rPr>
          <w:szCs w:val="22"/>
        </w:rPr>
      </w:pPr>
      <w:r w:rsidRPr="00385289">
        <w:rPr>
          <w:szCs w:val="22"/>
        </w:rPr>
        <w:t xml:space="preserve">súbežne liečených inými liečivami, ktoré predlžujú QT interval, ako sú </w:t>
      </w:r>
      <w:proofErr w:type="spellStart"/>
      <w:r w:rsidRPr="00385289">
        <w:rPr>
          <w:szCs w:val="22"/>
        </w:rPr>
        <w:t>antiarytmiká</w:t>
      </w:r>
      <w:proofErr w:type="spellEnd"/>
      <w:r w:rsidRPr="00385289">
        <w:rPr>
          <w:szCs w:val="22"/>
        </w:rPr>
        <w:t xml:space="preserve"> triedy IA (</w:t>
      </w:r>
      <w:proofErr w:type="spellStart"/>
      <w:r w:rsidRPr="00385289">
        <w:rPr>
          <w:szCs w:val="22"/>
        </w:rPr>
        <w:t>chinidín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prokaínamid</w:t>
      </w:r>
      <w:proofErr w:type="spellEnd"/>
      <w:r w:rsidRPr="00385289">
        <w:rPr>
          <w:szCs w:val="22"/>
        </w:rPr>
        <w:t>) a III (</w:t>
      </w:r>
      <w:proofErr w:type="spellStart"/>
      <w:r w:rsidRPr="00385289">
        <w:rPr>
          <w:szCs w:val="22"/>
        </w:rPr>
        <w:t>dofetilid</w:t>
      </w:r>
      <w:proofErr w:type="spellEnd"/>
      <w:r w:rsidRPr="00385289">
        <w:rPr>
          <w:szCs w:val="22"/>
        </w:rPr>
        <w:t xml:space="preserve">, </w:t>
      </w:r>
      <w:proofErr w:type="spellStart"/>
      <w:r w:rsidRPr="00385289">
        <w:rPr>
          <w:szCs w:val="22"/>
        </w:rPr>
        <w:t>amiodarón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sotalol</w:t>
      </w:r>
      <w:proofErr w:type="spellEnd"/>
      <w:r w:rsidRPr="00385289">
        <w:rPr>
          <w:szCs w:val="22"/>
        </w:rPr>
        <w:t xml:space="preserve">), </w:t>
      </w:r>
      <w:proofErr w:type="spellStart"/>
      <w:r w:rsidRPr="00385289">
        <w:rPr>
          <w:szCs w:val="22"/>
        </w:rPr>
        <w:t>cisaprid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terfenadín</w:t>
      </w:r>
      <w:proofErr w:type="spellEnd"/>
      <w:r w:rsidRPr="00385289">
        <w:rPr>
          <w:szCs w:val="22"/>
        </w:rPr>
        <w:t xml:space="preserve">, </w:t>
      </w:r>
      <w:proofErr w:type="spellStart"/>
      <w:r w:rsidRPr="00385289">
        <w:rPr>
          <w:szCs w:val="22"/>
        </w:rPr>
        <w:t>antipsychotiká</w:t>
      </w:r>
      <w:proofErr w:type="spellEnd"/>
      <w:r w:rsidRPr="00385289">
        <w:rPr>
          <w:szCs w:val="22"/>
        </w:rPr>
        <w:t xml:space="preserve"> ako </w:t>
      </w:r>
      <w:proofErr w:type="spellStart"/>
      <w:r w:rsidRPr="00385289">
        <w:rPr>
          <w:szCs w:val="22"/>
        </w:rPr>
        <w:t>pimozid</w:t>
      </w:r>
      <w:proofErr w:type="spellEnd"/>
      <w:r w:rsidRPr="00385289">
        <w:rPr>
          <w:szCs w:val="22"/>
        </w:rPr>
        <w:t xml:space="preserve">, </w:t>
      </w:r>
      <w:proofErr w:type="spellStart"/>
      <w:r w:rsidRPr="00385289">
        <w:rPr>
          <w:szCs w:val="22"/>
        </w:rPr>
        <w:t>antidepresíva</w:t>
      </w:r>
      <w:proofErr w:type="spellEnd"/>
      <w:r w:rsidRPr="00385289">
        <w:rPr>
          <w:szCs w:val="22"/>
        </w:rPr>
        <w:t xml:space="preserve"> ako </w:t>
      </w:r>
      <w:proofErr w:type="spellStart"/>
      <w:r w:rsidRPr="00385289">
        <w:rPr>
          <w:szCs w:val="22"/>
        </w:rPr>
        <w:t>citalopram</w:t>
      </w:r>
      <w:proofErr w:type="spellEnd"/>
      <w:r w:rsidRPr="00385289">
        <w:rPr>
          <w:szCs w:val="22"/>
        </w:rPr>
        <w:t xml:space="preserve">, a </w:t>
      </w:r>
      <w:proofErr w:type="spellStart"/>
      <w:r w:rsidRPr="00385289">
        <w:rPr>
          <w:szCs w:val="22"/>
        </w:rPr>
        <w:t>fluorochinolóny</w:t>
      </w:r>
      <w:proofErr w:type="spellEnd"/>
      <w:r w:rsidRPr="00385289">
        <w:rPr>
          <w:szCs w:val="22"/>
        </w:rPr>
        <w:t xml:space="preserve">, ako sú </w:t>
      </w:r>
      <w:proofErr w:type="spellStart"/>
      <w:r w:rsidRPr="00385289">
        <w:rPr>
          <w:szCs w:val="22"/>
        </w:rPr>
        <w:t>moxifloxacín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levofloxacín</w:t>
      </w:r>
      <w:proofErr w:type="spellEnd"/>
      <w:r w:rsidRPr="00385289">
        <w:rPr>
          <w:szCs w:val="22"/>
        </w:rPr>
        <w:t>,</w:t>
      </w:r>
    </w:p>
    <w:p w:rsidR="002A62E4" w:rsidRPr="00385289" w:rsidRDefault="002A62E4" w:rsidP="00596E40">
      <w:pPr>
        <w:pStyle w:val="MGGTextLeft"/>
        <w:keepNext w:val="0"/>
        <w:widowControl w:val="0"/>
        <w:numPr>
          <w:ilvl w:val="0"/>
          <w:numId w:val="17"/>
        </w:numPr>
        <w:tabs>
          <w:tab w:val="clear" w:pos="0"/>
          <w:tab w:val="num" w:pos="567"/>
        </w:tabs>
        <w:ind w:left="567" w:hanging="567"/>
        <w:rPr>
          <w:szCs w:val="22"/>
        </w:rPr>
      </w:pPr>
      <w:r w:rsidRPr="00385289">
        <w:rPr>
          <w:szCs w:val="22"/>
        </w:rPr>
        <w:t xml:space="preserve">s poruchami rovnováhy elektrolytov, hlavne v prípadoch </w:t>
      </w:r>
      <w:proofErr w:type="spellStart"/>
      <w:r w:rsidRPr="00385289">
        <w:rPr>
          <w:szCs w:val="22"/>
        </w:rPr>
        <w:t>hypokaliémie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hypomagneziémie</w:t>
      </w:r>
      <w:proofErr w:type="spellEnd"/>
      <w:r w:rsidRPr="00385289">
        <w:rPr>
          <w:szCs w:val="22"/>
        </w:rPr>
        <w:t>,</w:t>
      </w:r>
    </w:p>
    <w:p w:rsidR="002A62E4" w:rsidRPr="00385289" w:rsidRDefault="002A62E4" w:rsidP="00596E40">
      <w:pPr>
        <w:pStyle w:val="MGGTextLeft"/>
        <w:keepNext w:val="0"/>
        <w:widowControl w:val="0"/>
        <w:numPr>
          <w:ilvl w:val="0"/>
          <w:numId w:val="17"/>
        </w:numPr>
        <w:tabs>
          <w:tab w:val="clear" w:pos="0"/>
          <w:tab w:val="num" w:pos="567"/>
        </w:tabs>
        <w:ind w:left="567" w:hanging="567"/>
        <w:rPr>
          <w:szCs w:val="22"/>
        </w:rPr>
      </w:pPr>
      <w:r w:rsidRPr="00385289">
        <w:rPr>
          <w:szCs w:val="22"/>
        </w:rPr>
        <w:t xml:space="preserve">s klinicky významnou bradykardiou, srdcovou </w:t>
      </w:r>
      <w:proofErr w:type="spellStart"/>
      <w:r w:rsidRPr="00385289">
        <w:rPr>
          <w:szCs w:val="22"/>
        </w:rPr>
        <w:t>arytmiou</w:t>
      </w:r>
      <w:proofErr w:type="spellEnd"/>
      <w:r w:rsidRPr="00385289">
        <w:rPr>
          <w:szCs w:val="22"/>
        </w:rPr>
        <w:t xml:space="preserve"> alebo závažnou srdcovou nedostatočnosťou.</w:t>
      </w:r>
    </w:p>
    <w:p w:rsidR="002A62E4" w:rsidRPr="00385289" w:rsidRDefault="002A62E4" w:rsidP="00596E40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rPr>
          <w:i/>
          <w:szCs w:val="22"/>
        </w:rPr>
      </w:pPr>
      <w:proofErr w:type="spellStart"/>
      <w:r w:rsidRPr="00385289">
        <w:rPr>
          <w:i/>
          <w:szCs w:val="22"/>
        </w:rPr>
        <w:t>Pneumokok</w:t>
      </w:r>
      <w:r>
        <w:rPr>
          <w:i/>
          <w:szCs w:val="22"/>
        </w:rPr>
        <w:t>o</w:t>
      </w:r>
      <w:r w:rsidRPr="00385289">
        <w:rPr>
          <w:i/>
          <w:szCs w:val="22"/>
        </w:rPr>
        <w:t>vé</w:t>
      </w:r>
      <w:proofErr w:type="spellEnd"/>
      <w:r w:rsidRPr="00385289">
        <w:rPr>
          <w:i/>
          <w:szCs w:val="22"/>
        </w:rPr>
        <w:t xml:space="preserve"> infekcie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Podobne ako pri iných </w:t>
      </w:r>
      <w:proofErr w:type="spellStart"/>
      <w:r w:rsidRPr="00385289">
        <w:rPr>
          <w:szCs w:val="22"/>
        </w:rPr>
        <w:t>makrolidoch</w:t>
      </w:r>
      <w:proofErr w:type="spellEnd"/>
      <w:r w:rsidRPr="00385289">
        <w:rPr>
          <w:szCs w:val="22"/>
        </w:rPr>
        <w:t xml:space="preserve">, v niektorých európskych krajinách bol hlásený vysoký výskyt rezistencie </w:t>
      </w:r>
      <w:proofErr w:type="spellStart"/>
      <w:r w:rsidRPr="00385289">
        <w:rPr>
          <w:szCs w:val="22"/>
        </w:rPr>
        <w:t>Streptococcus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pneumoniae</w:t>
      </w:r>
      <w:proofErr w:type="spellEnd"/>
      <w:r w:rsidRPr="00385289">
        <w:rPr>
          <w:szCs w:val="22"/>
        </w:rPr>
        <w:t xml:space="preserve"> (&gt; 30 %) voči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(pozri časť 5.1). Toto je potrebné vziať do úvahy pri liečbe infekcií spôsobených </w:t>
      </w:r>
      <w:proofErr w:type="spellStart"/>
      <w:r w:rsidRPr="00385289">
        <w:rPr>
          <w:szCs w:val="22"/>
        </w:rPr>
        <w:t>Streptococcus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pneumoniae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596E40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Vzhľadom na skríženú rezistenciu medzi </w:t>
      </w:r>
      <w:proofErr w:type="spellStart"/>
      <w:r w:rsidRPr="00385289">
        <w:rPr>
          <w:szCs w:val="22"/>
        </w:rPr>
        <w:t>makrolidmi</w:t>
      </w:r>
      <w:proofErr w:type="spellEnd"/>
      <w:r>
        <w:rPr>
          <w:szCs w:val="22"/>
        </w:rPr>
        <w:t>,</w:t>
      </w:r>
      <w:r w:rsidRPr="00385289">
        <w:rPr>
          <w:szCs w:val="22"/>
        </w:rPr>
        <w:t xml:space="preserve"> je zvlášť dôležité vziať do úvahy vývoj charakteru citlivosti na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a iné antibiotiká</w:t>
      </w:r>
      <w:r w:rsidRPr="00AD31B7">
        <w:rPr>
          <w:szCs w:val="22"/>
        </w:rPr>
        <w:t xml:space="preserve"> </w:t>
      </w:r>
      <w:r w:rsidRPr="00385289">
        <w:rPr>
          <w:szCs w:val="22"/>
        </w:rPr>
        <w:t xml:space="preserve">v oblastiach s vysokým výskytom rezistencie voči </w:t>
      </w:r>
      <w:proofErr w:type="spellStart"/>
      <w:r w:rsidRPr="00385289">
        <w:rPr>
          <w:szCs w:val="22"/>
        </w:rPr>
        <w:t>erytromycínu</w:t>
      </w:r>
      <w:proofErr w:type="spellEnd"/>
      <w:r w:rsidRPr="00385289">
        <w:rPr>
          <w:szCs w:val="22"/>
        </w:rPr>
        <w:t xml:space="preserve"> (pozri časť 5.1).</w:t>
      </w:r>
    </w:p>
    <w:p w:rsidR="002A62E4" w:rsidRPr="00385289" w:rsidRDefault="002A62E4" w:rsidP="00596E40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rPr>
          <w:i/>
          <w:iCs/>
          <w:szCs w:val="22"/>
        </w:rPr>
      </w:pPr>
      <w:proofErr w:type="spellStart"/>
      <w:r w:rsidRPr="00385289">
        <w:rPr>
          <w:i/>
          <w:iCs/>
          <w:szCs w:val="22"/>
        </w:rPr>
        <w:t>Superinfekcie</w:t>
      </w:r>
      <w:proofErr w:type="spellEnd"/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>
        <w:rPr>
          <w:szCs w:val="22"/>
        </w:rPr>
        <w:t>Je potrebné venovať pozornosť</w:t>
      </w:r>
      <w:r w:rsidRPr="00385289">
        <w:rPr>
          <w:szCs w:val="22"/>
        </w:rPr>
        <w:t xml:space="preserve"> možný</w:t>
      </w:r>
      <w:r>
        <w:rPr>
          <w:szCs w:val="22"/>
        </w:rPr>
        <w:t>m</w:t>
      </w:r>
      <w:r w:rsidRPr="00385289">
        <w:rPr>
          <w:szCs w:val="22"/>
        </w:rPr>
        <w:t xml:space="preserve"> príznako</w:t>
      </w:r>
      <w:r>
        <w:rPr>
          <w:szCs w:val="22"/>
        </w:rPr>
        <w:t>m</w:t>
      </w:r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superinfekcie</w:t>
      </w:r>
      <w:proofErr w:type="spellEnd"/>
      <w:r w:rsidRPr="00385289">
        <w:rPr>
          <w:szCs w:val="22"/>
        </w:rPr>
        <w:t xml:space="preserve"> spôsobenej necitlivými pôvodcami ochorenia, ako sú huby. V prípade </w:t>
      </w:r>
      <w:proofErr w:type="spellStart"/>
      <w:r w:rsidRPr="00385289">
        <w:rPr>
          <w:szCs w:val="22"/>
        </w:rPr>
        <w:t>superinfekcie</w:t>
      </w:r>
      <w:proofErr w:type="spellEnd"/>
      <w:r w:rsidRPr="00385289">
        <w:rPr>
          <w:szCs w:val="22"/>
        </w:rPr>
        <w:t xml:space="preserve"> môže byť potrebné prerušiť liečbu </w:t>
      </w:r>
      <w:proofErr w:type="spellStart"/>
      <w:r w:rsidRPr="00385289">
        <w:rPr>
          <w:szCs w:val="22"/>
        </w:rPr>
        <w:t>azitromycínom</w:t>
      </w:r>
      <w:proofErr w:type="spellEnd"/>
      <w:r w:rsidRPr="00385289">
        <w:rPr>
          <w:szCs w:val="22"/>
        </w:rPr>
        <w:t xml:space="preserve"> a</w:t>
      </w:r>
      <w:r>
        <w:rPr>
          <w:szCs w:val="22"/>
        </w:rPr>
        <w:t> začať príslušnú liečbu</w:t>
      </w:r>
      <w:r w:rsidRPr="00385289">
        <w:rPr>
          <w:szCs w:val="22"/>
        </w:rPr>
        <w:t>.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  <w:r w:rsidRPr="00385289">
        <w:rPr>
          <w:i/>
          <w:iCs/>
          <w:szCs w:val="22"/>
        </w:rPr>
        <w:t>Neurologické alebo psychické ochorenia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sa má podávať s opatrnosťou pacientom trpiaci</w:t>
      </w:r>
      <w:r>
        <w:rPr>
          <w:szCs w:val="22"/>
        </w:rPr>
        <w:t>m</w:t>
      </w:r>
      <w:r w:rsidRPr="00385289">
        <w:rPr>
          <w:szCs w:val="22"/>
        </w:rPr>
        <w:t xml:space="preserve"> neurologickými alebo psychickými ochoreniami.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i/>
          <w:iCs/>
          <w:szCs w:val="22"/>
        </w:rPr>
      </w:pPr>
      <w:proofErr w:type="spellStart"/>
      <w:r w:rsidRPr="00385289">
        <w:rPr>
          <w:i/>
          <w:iCs/>
          <w:szCs w:val="22"/>
        </w:rPr>
        <w:lastRenderedPageBreak/>
        <w:t>Pseudomembranózna</w:t>
      </w:r>
      <w:proofErr w:type="spellEnd"/>
      <w:r w:rsidRPr="00385289">
        <w:rPr>
          <w:i/>
          <w:iCs/>
          <w:szCs w:val="22"/>
        </w:rPr>
        <w:t xml:space="preserve"> </w:t>
      </w:r>
      <w:proofErr w:type="spellStart"/>
      <w:r w:rsidRPr="00385289">
        <w:rPr>
          <w:i/>
          <w:iCs/>
          <w:szCs w:val="22"/>
        </w:rPr>
        <w:t>kolitída</w:t>
      </w:r>
      <w:proofErr w:type="spellEnd"/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Po </w:t>
      </w:r>
      <w:r>
        <w:rPr>
          <w:szCs w:val="22"/>
        </w:rPr>
        <w:t xml:space="preserve">skončení </w:t>
      </w:r>
      <w:r w:rsidRPr="00385289">
        <w:rPr>
          <w:szCs w:val="22"/>
        </w:rPr>
        <w:t>užívan</w:t>
      </w:r>
      <w:r>
        <w:rPr>
          <w:szCs w:val="22"/>
        </w:rPr>
        <w:t>ia</w:t>
      </w:r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makrolidových</w:t>
      </w:r>
      <w:proofErr w:type="spellEnd"/>
      <w:r w:rsidRPr="00385289">
        <w:rPr>
          <w:szCs w:val="22"/>
        </w:rPr>
        <w:t xml:space="preserve"> antibiotík bola hlásená </w:t>
      </w:r>
      <w:proofErr w:type="spellStart"/>
      <w:r w:rsidRPr="00385289">
        <w:rPr>
          <w:szCs w:val="22"/>
        </w:rPr>
        <w:t>pseudomembranózna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kolitída</w:t>
      </w:r>
      <w:proofErr w:type="spellEnd"/>
      <w:r w:rsidRPr="00385289">
        <w:rPr>
          <w:szCs w:val="22"/>
        </w:rPr>
        <w:t xml:space="preserve">. Túto diagnózu je potrebné zvážiť u pacientov, u ktorých sa po začatí liečby </w:t>
      </w:r>
      <w:proofErr w:type="spellStart"/>
      <w:r w:rsidRPr="00385289">
        <w:rPr>
          <w:szCs w:val="22"/>
        </w:rPr>
        <w:t>azitromycínom</w:t>
      </w:r>
      <w:proofErr w:type="spellEnd"/>
      <w:r w:rsidRPr="00385289">
        <w:rPr>
          <w:szCs w:val="22"/>
        </w:rPr>
        <w:t xml:space="preserve"> vyskytne hnačka. Ak je </w:t>
      </w:r>
      <w:proofErr w:type="spellStart"/>
      <w:r w:rsidRPr="00385289">
        <w:rPr>
          <w:szCs w:val="22"/>
        </w:rPr>
        <w:t>pseudomembranózna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kolitída</w:t>
      </w:r>
      <w:proofErr w:type="spellEnd"/>
      <w:r w:rsidRPr="00385289">
        <w:rPr>
          <w:szCs w:val="22"/>
        </w:rPr>
        <w:t xml:space="preserve"> vyvolaná </w:t>
      </w:r>
      <w:proofErr w:type="spellStart"/>
      <w:r w:rsidRPr="00385289">
        <w:rPr>
          <w:szCs w:val="22"/>
        </w:rPr>
        <w:t>azitromycínom</w:t>
      </w:r>
      <w:proofErr w:type="spellEnd"/>
      <w:r w:rsidRPr="00385289">
        <w:rPr>
          <w:szCs w:val="22"/>
        </w:rPr>
        <w:t xml:space="preserve">, užívanie </w:t>
      </w:r>
      <w:proofErr w:type="spellStart"/>
      <w:r w:rsidRPr="00385289">
        <w:rPr>
          <w:szCs w:val="22"/>
        </w:rPr>
        <w:t>antiperistaltík</w:t>
      </w:r>
      <w:proofErr w:type="spellEnd"/>
      <w:r>
        <w:rPr>
          <w:szCs w:val="22"/>
        </w:rPr>
        <w:t xml:space="preserve"> je</w:t>
      </w:r>
      <w:r w:rsidRPr="00385289">
        <w:rPr>
          <w:szCs w:val="22"/>
        </w:rPr>
        <w:t xml:space="preserve"> kontraindikované.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szCs w:val="22"/>
        </w:rPr>
      </w:pPr>
      <w:r w:rsidRPr="00385289">
        <w:rPr>
          <w:i/>
          <w:szCs w:val="22"/>
        </w:rPr>
        <w:t xml:space="preserve">Hnačka vyvolaná </w:t>
      </w:r>
      <w:proofErr w:type="spellStart"/>
      <w:r w:rsidRPr="00385289">
        <w:rPr>
          <w:i/>
          <w:szCs w:val="22"/>
        </w:rPr>
        <w:t>Clostridium</w:t>
      </w:r>
      <w:proofErr w:type="spellEnd"/>
      <w:r w:rsidRPr="00385289">
        <w:rPr>
          <w:i/>
          <w:szCs w:val="22"/>
        </w:rPr>
        <w:t xml:space="preserve"> </w:t>
      </w:r>
      <w:proofErr w:type="spellStart"/>
      <w:r w:rsidRPr="00385289">
        <w:rPr>
          <w:i/>
          <w:szCs w:val="22"/>
        </w:rPr>
        <w:t>difficile</w:t>
      </w:r>
      <w:proofErr w:type="spellEnd"/>
      <w:r w:rsidRPr="00385289">
        <w:rPr>
          <w:i/>
          <w:szCs w:val="22"/>
        </w:rPr>
        <w:t>: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Hnačka vyvolaná</w:t>
      </w:r>
      <w:r w:rsidRPr="00385289">
        <w:rPr>
          <w:i/>
          <w:szCs w:val="22"/>
        </w:rPr>
        <w:t xml:space="preserve"> </w:t>
      </w:r>
      <w:proofErr w:type="spellStart"/>
      <w:r w:rsidRPr="00385289">
        <w:rPr>
          <w:i/>
          <w:szCs w:val="22"/>
        </w:rPr>
        <w:t>Clostridium</w:t>
      </w:r>
      <w:proofErr w:type="spellEnd"/>
      <w:r w:rsidRPr="00385289">
        <w:rPr>
          <w:i/>
          <w:szCs w:val="22"/>
        </w:rPr>
        <w:t xml:space="preserve"> </w:t>
      </w:r>
      <w:proofErr w:type="spellStart"/>
      <w:r w:rsidRPr="00385289">
        <w:rPr>
          <w:i/>
          <w:szCs w:val="22"/>
        </w:rPr>
        <w:t>difficile</w:t>
      </w:r>
      <w:proofErr w:type="spellEnd"/>
      <w:r w:rsidRPr="00385289">
        <w:rPr>
          <w:szCs w:val="22"/>
        </w:rPr>
        <w:t xml:space="preserve"> (CDAD</w:t>
      </w:r>
      <w:r>
        <w:rPr>
          <w:szCs w:val="22"/>
        </w:rPr>
        <w:t xml:space="preserve">, </w:t>
      </w:r>
      <w:proofErr w:type="spellStart"/>
      <w:r w:rsidRPr="00596E40">
        <w:rPr>
          <w:bCs/>
          <w:iCs/>
          <w:szCs w:val="22"/>
        </w:rPr>
        <w:t>Clostridium</w:t>
      </w:r>
      <w:proofErr w:type="spellEnd"/>
      <w:r w:rsidRPr="00596E40">
        <w:rPr>
          <w:bCs/>
          <w:iCs/>
          <w:szCs w:val="22"/>
        </w:rPr>
        <w:t xml:space="preserve"> </w:t>
      </w:r>
      <w:proofErr w:type="spellStart"/>
      <w:r w:rsidRPr="00596E40">
        <w:rPr>
          <w:bCs/>
          <w:iCs/>
          <w:szCs w:val="22"/>
        </w:rPr>
        <w:t>difficile</w:t>
      </w:r>
      <w:proofErr w:type="spellEnd"/>
      <w:r w:rsidRPr="00596E40">
        <w:rPr>
          <w:bCs/>
          <w:iCs/>
          <w:szCs w:val="22"/>
        </w:rPr>
        <w:t xml:space="preserve"> </w:t>
      </w:r>
      <w:proofErr w:type="spellStart"/>
      <w:r w:rsidRPr="00596E40">
        <w:rPr>
          <w:bCs/>
          <w:iCs/>
          <w:szCs w:val="22"/>
        </w:rPr>
        <w:t>associated</w:t>
      </w:r>
      <w:proofErr w:type="spellEnd"/>
      <w:r w:rsidRPr="00596E40">
        <w:rPr>
          <w:bCs/>
          <w:iCs/>
          <w:szCs w:val="22"/>
        </w:rPr>
        <w:t xml:space="preserve"> </w:t>
      </w:r>
      <w:proofErr w:type="spellStart"/>
      <w:r w:rsidRPr="00596E40">
        <w:rPr>
          <w:bCs/>
          <w:iCs/>
          <w:szCs w:val="22"/>
        </w:rPr>
        <w:t>diarrhea</w:t>
      </w:r>
      <w:proofErr w:type="spellEnd"/>
      <w:r w:rsidRPr="00385289">
        <w:rPr>
          <w:szCs w:val="22"/>
        </w:rPr>
        <w:t xml:space="preserve">) bola hlásená s užívaním takmer všetkých antibakteriálnych </w:t>
      </w:r>
      <w:r>
        <w:rPr>
          <w:szCs w:val="22"/>
        </w:rPr>
        <w:t>látok</w:t>
      </w:r>
      <w:r w:rsidRPr="00385289">
        <w:rPr>
          <w:szCs w:val="22"/>
        </w:rPr>
        <w:t xml:space="preserve"> vrátane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a môže pohybovať v rozsahu od miernej hnačky až </w:t>
      </w:r>
      <w:r>
        <w:rPr>
          <w:szCs w:val="22"/>
        </w:rPr>
        <w:t>po</w:t>
      </w:r>
      <w:r w:rsidRPr="00385289">
        <w:rPr>
          <w:szCs w:val="22"/>
        </w:rPr>
        <w:t xml:space="preserve"> fatáln</w:t>
      </w:r>
      <w:r>
        <w:rPr>
          <w:szCs w:val="22"/>
        </w:rPr>
        <w:t>u</w:t>
      </w:r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kolitíd</w:t>
      </w:r>
      <w:r>
        <w:rPr>
          <w:szCs w:val="22"/>
        </w:rPr>
        <w:t>u</w:t>
      </w:r>
      <w:proofErr w:type="spellEnd"/>
      <w:r w:rsidRPr="00385289">
        <w:rPr>
          <w:szCs w:val="22"/>
        </w:rPr>
        <w:t>. Liečba antibiotikami mení normálnu flóru hrubého čreva, čo vedie k</w:t>
      </w:r>
      <w:r>
        <w:rPr>
          <w:szCs w:val="22"/>
        </w:rPr>
        <w:t> premnoženiu</w:t>
      </w:r>
      <w:r w:rsidRPr="00385289">
        <w:rPr>
          <w:szCs w:val="22"/>
        </w:rPr>
        <w:t xml:space="preserve"> </w:t>
      </w:r>
      <w:r w:rsidRPr="00596E40">
        <w:rPr>
          <w:i/>
          <w:szCs w:val="22"/>
        </w:rPr>
        <w:t xml:space="preserve">C. </w:t>
      </w:r>
      <w:proofErr w:type="spellStart"/>
      <w:r w:rsidRPr="00596E40">
        <w:rPr>
          <w:i/>
          <w:szCs w:val="22"/>
        </w:rPr>
        <w:t>difficile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AD31B7">
      <w:pPr>
        <w:pStyle w:val="Default"/>
        <w:widowControl w:val="0"/>
        <w:rPr>
          <w:bCs/>
          <w:i/>
          <w:iCs/>
          <w:sz w:val="22"/>
          <w:szCs w:val="22"/>
          <w:highlight w:val="yellow"/>
          <w:lang w:val="sk-SK"/>
        </w:rPr>
      </w:pP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bCs/>
          <w:iCs/>
          <w:szCs w:val="22"/>
        </w:rPr>
      </w:pPr>
      <w:r w:rsidRPr="00385289">
        <w:rPr>
          <w:bCs/>
          <w:i/>
          <w:iCs/>
          <w:szCs w:val="22"/>
        </w:rPr>
        <w:t xml:space="preserve">C. </w:t>
      </w:r>
      <w:proofErr w:type="spellStart"/>
      <w:r w:rsidRPr="00385289">
        <w:rPr>
          <w:bCs/>
          <w:i/>
          <w:iCs/>
          <w:szCs w:val="22"/>
        </w:rPr>
        <w:t>difficile</w:t>
      </w:r>
      <w:proofErr w:type="spellEnd"/>
      <w:r w:rsidRPr="00385289">
        <w:rPr>
          <w:bCs/>
          <w:i/>
          <w:iCs/>
          <w:szCs w:val="22"/>
        </w:rPr>
        <w:t xml:space="preserve"> </w:t>
      </w:r>
      <w:r w:rsidRPr="00385289">
        <w:rPr>
          <w:bCs/>
          <w:iCs/>
          <w:szCs w:val="22"/>
        </w:rPr>
        <w:t xml:space="preserve">produkuje toxíny A </w:t>
      </w:r>
      <w:proofErr w:type="spellStart"/>
      <w:r w:rsidRPr="00385289">
        <w:rPr>
          <w:bCs/>
          <w:iCs/>
          <w:szCs w:val="22"/>
        </w:rPr>
        <w:t>a</w:t>
      </w:r>
      <w:proofErr w:type="spellEnd"/>
      <w:r w:rsidRPr="00385289">
        <w:rPr>
          <w:bCs/>
          <w:iCs/>
          <w:szCs w:val="22"/>
        </w:rPr>
        <w:t xml:space="preserve"> B, ktoré prispievajú k rozvoju CDAD. Kmene </w:t>
      </w:r>
      <w:r w:rsidRPr="00385289">
        <w:rPr>
          <w:bCs/>
          <w:i/>
          <w:iCs/>
          <w:szCs w:val="22"/>
        </w:rPr>
        <w:t xml:space="preserve">C. </w:t>
      </w:r>
      <w:proofErr w:type="spellStart"/>
      <w:r w:rsidRPr="00385289">
        <w:rPr>
          <w:bCs/>
          <w:i/>
          <w:iCs/>
          <w:szCs w:val="22"/>
        </w:rPr>
        <w:t>difficile</w:t>
      </w:r>
      <w:proofErr w:type="spellEnd"/>
      <w:r w:rsidRPr="00385289">
        <w:rPr>
          <w:bCs/>
          <w:iCs/>
          <w:szCs w:val="22"/>
        </w:rPr>
        <w:t xml:space="preserve"> produkujúce </w:t>
      </w:r>
      <w:proofErr w:type="spellStart"/>
      <w:r w:rsidRPr="00385289">
        <w:rPr>
          <w:bCs/>
          <w:iCs/>
          <w:szCs w:val="22"/>
        </w:rPr>
        <w:t>hypertoxín</w:t>
      </w:r>
      <w:proofErr w:type="spellEnd"/>
      <w:r w:rsidRPr="00385289">
        <w:rPr>
          <w:bCs/>
          <w:iCs/>
          <w:szCs w:val="22"/>
        </w:rPr>
        <w:t xml:space="preserve"> sú príčinou zvýšenej chorobnosti a úmrtnosti, pretože tieto infekcie môžu </w:t>
      </w:r>
      <w:proofErr w:type="spellStart"/>
      <w:r w:rsidRPr="00385289">
        <w:rPr>
          <w:bCs/>
          <w:iCs/>
          <w:szCs w:val="22"/>
        </w:rPr>
        <w:t>byť</w:t>
      </w:r>
      <w:r>
        <w:rPr>
          <w:bCs/>
          <w:iCs/>
          <w:szCs w:val="22"/>
        </w:rPr>
        <w:t>odolné</w:t>
      </w:r>
      <w:proofErr w:type="spellEnd"/>
      <w:r>
        <w:rPr>
          <w:bCs/>
          <w:iCs/>
          <w:szCs w:val="22"/>
        </w:rPr>
        <w:t xml:space="preserve"> voči</w:t>
      </w:r>
      <w:r w:rsidRPr="00385289">
        <w:rPr>
          <w:bCs/>
          <w:iCs/>
          <w:szCs w:val="22"/>
        </w:rPr>
        <w:t xml:space="preserve"> </w:t>
      </w:r>
      <w:proofErr w:type="spellStart"/>
      <w:r w:rsidRPr="00385289">
        <w:rPr>
          <w:bCs/>
          <w:iCs/>
          <w:szCs w:val="22"/>
        </w:rPr>
        <w:t>antimikrobiáln</w:t>
      </w:r>
      <w:r>
        <w:rPr>
          <w:bCs/>
          <w:iCs/>
          <w:szCs w:val="22"/>
        </w:rPr>
        <w:t>ej</w:t>
      </w:r>
      <w:proofErr w:type="spellEnd"/>
      <w:r w:rsidRPr="00385289">
        <w:rPr>
          <w:bCs/>
          <w:iCs/>
          <w:szCs w:val="22"/>
        </w:rPr>
        <w:t xml:space="preserve"> </w:t>
      </w:r>
      <w:r>
        <w:rPr>
          <w:bCs/>
          <w:iCs/>
          <w:szCs w:val="22"/>
        </w:rPr>
        <w:t>liečbe</w:t>
      </w:r>
      <w:r w:rsidRPr="00385289">
        <w:rPr>
          <w:bCs/>
          <w:iCs/>
          <w:szCs w:val="22"/>
        </w:rPr>
        <w:t xml:space="preserve"> a môžu si vyžadovať </w:t>
      </w:r>
      <w:proofErr w:type="spellStart"/>
      <w:r w:rsidRPr="00385289">
        <w:rPr>
          <w:bCs/>
          <w:iCs/>
          <w:szCs w:val="22"/>
        </w:rPr>
        <w:t>kolektómiu</w:t>
      </w:r>
      <w:proofErr w:type="spellEnd"/>
      <w:r w:rsidRPr="00385289">
        <w:rPr>
          <w:bCs/>
          <w:iCs/>
          <w:szCs w:val="22"/>
        </w:rPr>
        <w:t xml:space="preserve">. CDAD je potrebné vziať do úvahy u všetkých pacientov, </w:t>
      </w:r>
      <w:r>
        <w:rPr>
          <w:bCs/>
          <w:iCs/>
          <w:szCs w:val="22"/>
        </w:rPr>
        <w:t xml:space="preserve">u </w:t>
      </w:r>
      <w:r w:rsidRPr="00385289">
        <w:rPr>
          <w:bCs/>
          <w:iCs/>
          <w:szCs w:val="22"/>
        </w:rPr>
        <w:t>ktor</w:t>
      </w:r>
      <w:r>
        <w:rPr>
          <w:bCs/>
          <w:iCs/>
          <w:szCs w:val="22"/>
        </w:rPr>
        <w:t>ých sa</w:t>
      </w:r>
      <w:r w:rsidRPr="00385289">
        <w:rPr>
          <w:bCs/>
          <w:iCs/>
          <w:szCs w:val="22"/>
        </w:rPr>
        <w:t xml:space="preserve"> po užívaní antibiotík </w:t>
      </w:r>
      <w:r>
        <w:rPr>
          <w:bCs/>
          <w:iCs/>
          <w:szCs w:val="22"/>
        </w:rPr>
        <w:t>vyskytli</w:t>
      </w:r>
      <w:r w:rsidRPr="00385289">
        <w:rPr>
          <w:bCs/>
          <w:iCs/>
          <w:szCs w:val="22"/>
        </w:rPr>
        <w:t xml:space="preserve"> hnačky. Nevyhnutná je starostlivá anamnéza, pretože výskyt CDAD bol hlásený po viac ako dvoch mesiacoch po podaní antibiotík.</w:t>
      </w:r>
    </w:p>
    <w:p w:rsidR="002A62E4" w:rsidRPr="00385289" w:rsidRDefault="002A62E4" w:rsidP="00AD31B7">
      <w:pPr>
        <w:pStyle w:val="MGGTextLeft"/>
        <w:keepNext w:val="0"/>
        <w:widowControl w:val="0"/>
        <w:rPr>
          <w:bCs/>
          <w:iCs/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  <w:r w:rsidRPr="00385289">
        <w:rPr>
          <w:i/>
          <w:iCs/>
          <w:szCs w:val="22"/>
        </w:rPr>
        <w:t>Dlhodobé užívanie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Neexistujú žiadne skúsenosti týkajúce sa bezpečnosti a účinnosti dlhodobého používania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v uvedených indikáciách. V prípade rýchlych </w:t>
      </w:r>
      <w:proofErr w:type="spellStart"/>
      <w:r w:rsidRPr="00385289">
        <w:rPr>
          <w:szCs w:val="22"/>
        </w:rPr>
        <w:t>rekurentných</w:t>
      </w:r>
      <w:proofErr w:type="spellEnd"/>
      <w:r w:rsidRPr="00385289">
        <w:rPr>
          <w:szCs w:val="22"/>
        </w:rPr>
        <w:t xml:space="preserve"> infekcií sa má zvážiť liečba iným antibiotikom.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nie je indikovaný na liečbu infikovaných popálenín.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 prípade pohlavne prenosných chorôb sa má vylúčiť sprievodná infekcia </w:t>
      </w:r>
      <w:r w:rsidRPr="00385289">
        <w:rPr>
          <w:i/>
          <w:szCs w:val="22"/>
        </w:rPr>
        <w:t xml:space="preserve">T. </w:t>
      </w:r>
      <w:proofErr w:type="spellStart"/>
      <w:r w:rsidRPr="00385289">
        <w:rPr>
          <w:i/>
          <w:szCs w:val="22"/>
        </w:rPr>
        <w:t>pallidum</w:t>
      </w:r>
      <w:proofErr w:type="spellEnd"/>
      <w:r w:rsidRPr="00385289">
        <w:rPr>
          <w:szCs w:val="22"/>
        </w:rPr>
        <w:t xml:space="preserve">. 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Zhoršenie príznakov </w:t>
      </w:r>
      <w:proofErr w:type="spellStart"/>
      <w:r w:rsidRPr="00385289">
        <w:rPr>
          <w:szCs w:val="22"/>
        </w:rPr>
        <w:t>myast</w:t>
      </w:r>
      <w:r>
        <w:rPr>
          <w:szCs w:val="22"/>
        </w:rPr>
        <w:t>h</w:t>
      </w:r>
      <w:r w:rsidRPr="00385289">
        <w:rPr>
          <w:szCs w:val="22"/>
        </w:rPr>
        <w:t>enia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gravis</w:t>
      </w:r>
      <w:proofErr w:type="spellEnd"/>
      <w:r w:rsidRPr="00385289">
        <w:rPr>
          <w:szCs w:val="22"/>
        </w:rPr>
        <w:t xml:space="preserve"> a nový nástup syndrómu </w:t>
      </w:r>
      <w:proofErr w:type="spellStart"/>
      <w:r w:rsidRPr="00385289">
        <w:rPr>
          <w:szCs w:val="22"/>
        </w:rPr>
        <w:t>myast</w:t>
      </w:r>
      <w:r>
        <w:rPr>
          <w:szCs w:val="22"/>
        </w:rPr>
        <w:t>é</w:t>
      </w:r>
      <w:r w:rsidRPr="00385289">
        <w:rPr>
          <w:szCs w:val="22"/>
        </w:rPr>
        <w:t>nie</w:t>
      </w:r>
      <w:proofErr w:type="spellEnd"/>
      <w:r w:rsidRPr="00385289">
        <w:rPr>
          <w:szCs w:val="22"/>
        </w:rPr>
        <w:t xml:space="preserve"> boli hlásené u pacientov užívajúcich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(pozri časť 4.8).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Tento liek nie je vhodný na liečbu </w:t>
      </w:r>
      <w:r>
        <w:rPr>
          <w:szCs w:val="22"/>
        </w:rPr>
        <w:t>závažn</w:t>
      </w:r>
      <w:r w:rsidRPr="00385289">
        <w:rPr>
          <w:szCs w:val="22"/>
        </w:rPr>
        <w:t>ých infekcií, k</w:t>
      </w:r>
      <w:r>
        <w:rPr>
          <w:szCs w:val="22"/>
        </w:rPr>
        <w:t>edy</w:t>
      </w:r>
      <w:r w:rsidRPr="00385289">
        <w:rPr>
          <w:szCs w:val="22"/>
        </w:rPr>
        <w:t xml:space="preserve"> je potrebn</w:t>
      </w:r>
      <w:r>
        <w:rPr>
          <w:szCs w:val="22"/>
        </w:rPr>
        <w:t>é rýchlo dosiahnuť</w:t>
      </w:r>
      <w:r w:rsidRPr="00385289">
        <w:rPr>
          <w:szCs w:val="22"/>
        </w:rPr>
        <w:t xml:space="preserve"> vysok</w:t>
      </w:r>
      <w:r>
        <w:rPr>
          <w:szCs w:val="22"/>
        </w:rPr>
        <w:t>ú</w:t>
      </w:r>
      <w:r w:rsidRPr="00385289">
        <w:rPr>
          <w:szCs w:val="22"/>
        </w:rPr>
        <w:t xml:space="preserve"> koncentráci</w:t>
      </w:r>
      <w:r>
        <w:rPr>
          <w:szCs w:val="22"/>
        </w:rPr>
        <w:t>u</w:t>
      </w:r>
      <w:r w:rsidRPr="00385289">
        <w:rPr>
          <w:szCs w:val="22"/>
        </w:rPr>
        <w:t xml:space="preserve"> antibiot</w:t>
      </w:r>
      <w:r>
        <w:rPr>
          <w:szCs w:val="22"/>
        </w:rPr>
        <w:t>ika</w:t>
      </w:r>
      <w:r w:rsidRPr="00385289">
        <w:rPr>
          <w:szCs w:val="22"/>
        </w:rPr>
        <w:t xml:space="preserve"> v krvi.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Bezpečnosť a účinnosť </w:t>
      </w:r>
      <w:proofErr w:type="spellStart"/>
      <w:r>
        <w:rPr>
          <w:szCs w:val="22"/>
        </w:rPr>
        <w:t>azitromycínu</w:t>
      </w:r>
      <w:proofErr w:type="spellEnd"/>
      <w:r>
        <w:rPr>
          <w:szCs w:val="22"/>
        </w:rPr>
        <w:t xml:space="preserve"> </w:t>
      </w:r>
      <w:r w:rsidRPr="00385289">
        <w:rPr>
          <w:szCs w:val="22"/>
        </w:rPr>
        <w:t xml:space="preserve">na prevenciu alebo liečbu MAC </w:t>
      </w:r>
      <w:r w:rsidRPr="00385289">
        <w:rPr>
          <w:szCs w:val="22"/>
          <w:lang w:eastAsia="en-GB"/>
        </w:rPr>
        <w:t>(</w:t>
      </w:r>
      <w:proofErr w:type="spellStart"/>
      <w:r w:rsidRPr="00385289">
        <w:rPr>
          <w:szCs w:val="22"/>
          <w:lang w:eastAsia="en-GB"/>
        </w:rPr>
        <w:t>Mycobacterium</w:t>
      </w:r>
      <w:proofErr w:type="spellEnd"/>
      <w:r w:rsidRPr="00385289">
        <w:rPr>
          <w:szCs w:val="22"/>
          <w:lang w:eastAsia="en-GB"/>
        </w:rPr>
        <w:t xml:space="preserve"> </w:t>
      </w:r>
      <w:proofErr w:type="spellStart"/>
      <w:r w:rsidRPr="00385289">
        <w:rPr>
          <w:szCs w:val="22"/>
          <w:lang w:eastAsia="en-GB"/>
        </w:rPr>
        <w:t>Avium</w:t>
      </w:r>
      <w:proofErr w:type="spellEnd"/>
      <w:r w:rsidRPr="00385289">
        <w:rPr>
          <w:szCs w:val="22"/>
          <w:lang w:eastAsia="en-GB"/>
        </w:rPr>
        <w:t xml:space="preserve"> </w:t>
      </w:r>
      <w:proofErr w:type="spellStart"/>
      <w:r w:rsidRPr="00385289">
        <w:rPr>
          <w:szCs w:val="22"/>
          <w:lang w:eastAsia="en-GB"/>
        </w:rPr>
        <w:t>Complex</w:t>
      </w:r>
      <w:proofErr w:type="spellEnd"/>
      <w:r w:rsidRPr="00385289">
        <w:rPr>
          <w:szCs w:val="22"/>
          <w:lang w:eastAsia="en-GB"/>
        </w:rPr>
        <w:t xml:space="preserve">) </w:t>
      </w:r>
      <w:r w:rsidRPr="00385289">
        <w:rPr>
          <w:szCs w:val="22"/>
        </w:rPr>
        <w:t>u detí nebola stanovená.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jc w:val="both"/>
        <w:rPr>
          <w:szCs w:val="22"/>
        </w:rPr>
      </w:pPr>
      <w:proofErr w:type="spellStart"/>
      <w:r w:rsidRPr="00385289">
        <w:rPr>
          <w:szCs w:val="22"/>
        </w:rPr>
        <w:t>Zigilex</w:t>
      </w:r>
      <w:proofErr w:type="spellEnd"/>
      <w:r w:rsidRPr="00385289">
        <w:rPr>
          <w:szCs w:val="22"/>
        </w:rPr>
        <w:t xml:space="preserve"> obsahuje laktózu. Pacienti so zriedkavými dedičnými problémami </w:t>
      </w:r>
      <w:proofErr w:type="spellStart"/>
      <w:r w:rsidRPr="00385289">
        <w:rPr>
          <w:szCs w:val="22"/>
        </w:rPr>
        <w:t>galaktózovej</w:t>
      </w:r>
      <w:proofErr w:type="spellEnd"/>
      <w:r w:rsidRPr="00385289">
        <w:rPr>
          <w:szCs w:val="22"/>
        </w:rPr>
        <w:t xml:space="preserve"> intolerancie, </w:t>
      </w:r>
      <w:r>
        <w:rPr>
          <w:szCs w:val="22"/>
        </w:rPr>
        <w:t xml:space="preserve">vrodeným nedostatkom </w:t>
      </w:r>
      <w:proofErr w:type="spellStart"/>
      <w:r w:rsidRPr="00385289">
        <w:rPr>
          <w:szCs w:val="22"/>
        </w:rPr>
        <w:t>laktázy</w:t>
      </w:r>
      <w:proofErr w:type="spellEnd"/>
      <w:r w:rsidRPr="00385289">
        <w:rPr>
          <w:szCs w:val="22"/>
        </w:rPr>
        <w:t xml:space="preserve"> alebo </w:t>
      </w:r>
      <w:proofErr w:type="spellStart"/>
      <w:r w:rsidRPr="00385289">
        <w:rPr>
          <w:szCs w:val="22"/>
        </w:rPr>
        <w:t>glukózo</w:t>
      </w:r>
      <w:r>
        <w:rPr>
          <w:szCs w:val="22"/>
        </w:rPr>
        <w:t>-</w:t>
      </w:r>
      <w:r w:rsidRPr="00385289">
        <w:rPr>
          <w:szCs w:val="22"/>
        </w:rPr>
        <w:t>galaktózovej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malasorpcie</w:t>
      </w:r>
      <w:proofErr w:type="spellEnd"/>
      <w:r w:rsidRPr="00385289">
        <w:rPr>
          <w:szCs w:val="22"/>
        </w:rPr>
        <w:t xml:space="preserve"> nesmú užívať tento liek.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99545C">
      <w:pPr>
        <w:pStyle w:val="MGGTextLeft"/>
        <w:keepNext w:val="0"/>
        <w:widowControl w:val="0"/>
        <w:rPr>
          <w:b/>
          <w:bCs/>
          <w:szCs w:val="22"/>
        </w:rPr>
      </w:pPr>
      <w:r w:rsidRPr="00385289">
        <w:rPr>
          <w:b/>
          <w:bCs/>
          <w:szCs w:val="22"/>
        </w:rPr>
        <w:t>4.5</w:t>
      </w:r>
      <w:r>
        <w:rPr>
          <w:b/>
          <w:bCs/>
          <w:szCs w:val="22"/>
        </w:rPr>
        <w:tab/>
      </w:r>
      <w:r w:rsidRPr="00385289">
        <w:rPr>
          <w:b/>
          <w:bCs/>
          <w:szCs w:val="22"/>
        </w:rPr>
        <w:t>Liekové a iné interakcie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i/>
          <w:iCs/>
          <w:szCs w:val="22"/>
        </w:rPr>
        <w:t>Antacidá</w:t>
      </w:r>
      <w:proofErr w:type="spellEnd"/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Vo </w:t>
      </w:r>
      <w:proofErr w:type="spellStart"/>
      <w:r w:rsidRPr="00385289">
        <w:rPr>
          <w:szCs w:val="22"/>
        </w:rPr>
        <w:t>farmakokinetickej</w:t>
      </w:r>
      <w:proofErr w:type="spellEnd"/>
      <w:r w:rsidRPr="00385289">
        <w:rPr>
          <w:szCs w:val="22"/>
        </w:rPr>
        <w:t xml:space="preserve"> štúdii skúmajúcej účinky súbežného podávania </w:t>
      </w:r>
      <w:proofErr w:type="spellStart"/>
      <w:r w:rsidRPr="00385289">
        <w:rPr>
          <w:szCs w:val="22"/>
        </w:rPr>
        <w:t>antacíd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sa nepozoroval žiaden vplyv na celkovú biologickú dostupnosť, aj keď maximálne plazmatické koncentrácie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boli znížené o 25 %. Pacienti užívajúci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a </w:t>
      </w:r>
      <w:proofErr w:type="spellStart"/>
      <w:r w:rsidRPr="00385289">
        <w:rPr>
          <w:szCs w:val="22"/>
        </w:rPr>
        <w:t>antacidá</w:t>
      </w:r>
      <w:proofErr w:type="spellEnd"/>
      <w:r w:rsidRPr="00385289">
        <w:rPr>
          <w:szCs w:val="22"/>
        </w:rPr>
        <w:t xml:space="preserve"> nesmú tieto lieky </w:t>
      </w:r>
      <w:proofErr w:type="spellStart"/>
      <w:r w:rsidRPr="00385289">
        <w:rPr>
          <w:szCs w:val="22"/>
        </w:rPr>
        <w:t>úžívať</w:t>
      </w:r>
      <w:proofErr w:type="spellEnd"/>
      <w:r w:rsidRPr="00385289">
        <w:rPr>
          <w:szCs w:val="22"/>
        </w:rPr>
        <w:t xml:space="preserve"> súčasne. </w:t>
      </w:r>
    </w:p>
    <w:p w:rsidR="002A62E4" w:rsidRPr="00385289" w:rsidRDefault="002A62E4" w:rsidP="00596E40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szCs w:val="22"/>
        </w:rPr>
      </w:pPr>
      <w:proofErr w:type="spellStart"/>
      <w:r w:rsidRPr="00385289">
        <w:rPr>
          <w:i/>
          <w:szCs w:val="22"/>
        </w:rPr>
        <w:t>Cetirizín</w:t>
      </w:r>
      <w:proofErr w:type="spellEnd"/>
      <w:r w:rsidRPr="00385289">
        <w:rPr>
          <w:i/>
          <w:szCs w:val="22"/>
        </w:rPr>
        <w:t xml:space="preserve"> </w:t>
      </w:r>
    </w:p>
    <w:p w:rsidR="002A62E4" w:rsidRPr="00385289" w:rsidRDefault="002A62E4" w:rsidP="00455AF2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U zdravých dobrovoľníkov pri</w:t>
      </w:r>
      <w:r>
        <w:rPr>
          <w:szCs w:val="22"/>
        </w:rPr>
        <w:t xml:space="preserve"> súbežnom</w:t>
      </w:r>
      <w:r w:rsidRPr="00385289">
        <w:rPr>
          <w:szCs w:val="22"/>
        </w:rPr>
        <w:t xml:space="preserve"> podávaní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s 20 mg </w:t>
      </w:r>
      <w:proofErr w:type="spellStart"/>
      <w:r w:rsidRPr="00385289">
        <w:rPr>
          <w:szCs w:val="22"/>
        </w:rPr>
        <w:t>cetirizínom</w:t>
      </w:r>
      <w:proofErr w:type="spellEnd"/>
      <w:r w:rsidRPr="00385289">
        <w:rPr>
          <w:szCs w:val="22"/>
        </w:rPr>
        <w:t xml:space="preserve"> počas 5 dní neboli zistené žiadne </w:t>
      </w:r>
      <w:proofErr w:type="spellStart"/>
      <w:r w:rsidRPr="00385289">
        <w:rPr>
          <w:szCs w:val="22"/>
        </w:rPr>
        <w:t>farmakokinetické</w:t>
      </w:r>
      <w:proofErr w:type="spellEnd"/>
      <w:r w:rsidRPr="00385289">
        <w:rPr>
          <w:szCs w:val="22"/>
        </w:rPr>
        <w:t xml:space="preserve"> interakcie a žiadne významné zmeny v intervale QT v rovnovážnom stave.</w:t>
      </w:r>
    </w:p>
    <w:p w:rsidR="002A62E4" w:rsidRPr="00385289" w:rsidRDefault="002A62E4" w:rsidP="00AD31B7">
      <w:pPr>
        <w:pStyle w:val="MGGTextLeft"/>
        <w:keepNext w:val="0"/>
        <w:widowControl w:val="0"/>
        <w:rPr>
          <w:i/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szCs w:val="22"/>
        </w:rPr>
      </w:pPr>
      <w:proofErr w:type="spellStart"/>
      <w:r w:rsidRPr="00385289">
        <w:rPr>
          <w:i/>
          <w:szCs w:val="22"/>
        </w:rPr>
        <w:t>Didanosín</w:t>
      </w:r>
      <w:proofErr w:type="spellEnd"/>
      <w:r w:rsidRPr="00385289">
        <w:rPr>
          <w:i/>
          <w:szCs w:val="22"/>
        </w:rPr>
        <w:t xml:space="preserve"> (</w:t>
      </w:r>
      <w:proofErr w:type="spellStart"/>
      <w:r w:rsidRPr="00385289">
        <w:rPr>
          <w:i/>
          <w:szCs w:val="22"/>
        </w:rPr>
        <w:t>Dideoxyinosín</w:t>
      </w:r>
      <w:proofErr w:type="spellEnd"/>
      <w:r w:rsidRPr="00385289">
        <w:rPr>
          <w:i/>
          <w:szCs w:val="22"/>
        </w:rPr>
        <w:t xml:space="preserve">) 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Pri súbežnom podávaní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1 200 mg/deň a </w:t>
      </w:r>
      <w:proofErr w:type="spellStart"/>
      <w:r w:rsidRPr="00385289">
        <w:rPr>
          <w:szCs w:val="22"/>
        </w:rPr>
        <w:t>didanosínu</w:t>
      </w:r>
      <w:proofErr w:type="spellEnd"/>
      <w:r w:rsidRPr="00385289">
        <w:rPr>
          <w:szCs w:val="22"/>
        </w:rPr>
        <w:t xml:space="preserve"> 400 mg/deň u 6 </w:t>
      </w:r>
      <w:proofErr w:type="spellStart"/>
      <w:r w:rsidRPr="00385289">
        <w:rPr>
          <w:szCs w:val="22"/>
        </w:rPr>
        <w:t>HIV-pozitívnych</w:t>
      </w:r>
      <w:proofErr w:type="spellEnd"/>
      <w:r w:rsidRPr="00385289">
        <w:rPr>
          <w:szCs w:val="22"/>
        </w:rPr>
        <w:t xml:space="preserve"> pacientov sa nepreukázal vplyv na </w:t>
      </w:r>
      <w:proofErr w:type="spellStart"/>
      <w:r w:rsidRPr="00385289">
        <w:rPr>
          <w:szCs w:val="22"/>
        </w:rPr>
        <w:t>farmakokinetiku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didanosínu</w:t>
      </w:r>
      <w:proofErr w:type="spellEnd"/>
      <w:r w:rsidRPr="00385289">
        <w:rPr>
          <w:szCs w:val="22"/>
        </w:rPr>
        <w:t xml:space="preserve"> v rovnovážnom stave v porovnaní s </w:t>
      </w:r>
      <w:proofErr w:type="spellStart"/>
      <w:r w:rsidRPr="00385289">
        <w:rPr>
          <w:szCs w:val="22"/>
        </w:rPr>
        <w:t>placebom</w:t>
      </w:r>
      <w:proofErr w:type="spellEnd"/>
      <w:r w:rsidRPr="00385289">
        <w:rPr>
          <w:szCs w:val="22"/>
        </w:rPr>
        <w:t xml:space="preserve">. </w:t>
      </w: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  <w:proofErr w:type="spellStart"/>
      <w:r w:rsidRPr="00385289">
        <w:rPr>
          <w:i/>
          <w:iCs/>
          <w:szCs w:val="22"/>
        </w:rPr>
        <w:lastRenderedPageBreak/>
        <w:t>Digoxín</w:t>
      </w:r>
      <w:proofErr w:type="spellEnd"/>
      <w:r w:rsidRPr="00385289">
        <w:rPr>
          <w:i/>
          <w:iCs/>
          <w:szCs w:val="22"/>
        </w:rPr>
        <w:t xml:space="preserve"> </w:t>
      </w:r>
      <w:r w:rsidRPr="00385289">
        <w:rPr>
          <w:i/>
          <w:szCs w:val="22"/>
        </w:rPr>
        <w:t xml:space="preserve">(substráty </w:t>
      </w:r>
      <w:proofErr w:type="spellStart"/>
      <w:r w:rsidRPr="00385289">
        <w:rPr>
          <w:i/>
          <w:szCs w:val="22"/>
        </w:rPr>
        <w:t>P-gp</w:t>
      </w:r>
      <w:proofErr w:type="spellEnd"/>
      <w:r w:rsidRPr="00385289">
        <w:rPr>
          <w:i/>
          <w:szCs w:val="22"/>
        </w:rPr>
        <w:t xml:space="preserve">) 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Bolo nahlásené, že súbežné podávanie </w:t>
      </w:r>
      <w:proofErr w:type="spellStart"/>
      <w:r w:rsidRPr="00385289">
        <w:rPr>
          <w:szCs w:val="22"/>
        </w:rPr>
        <w:t>makrolidových</w:t>
      </w:r>
      <w:proofErr w:type="spellEnd"/>
      <w:r w:rsidRPr="00385289">
        <w:rPr>
          <w:szCs w:val="22"/>
        </w:rPr>
        <w:t xml:space="preserve"> antibiotík vrátane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so substrátmi </w:t>
      </w:r>
      <w:proofErr w:type="spellStart"/>
      <w:r w:rsidRPr="00385289">
        <w:rPr>
          <w:szCs w:val="22"/>
        </w:rPr>
        <w:t>P-glykoproteínu</w:t>
      </w:r>
      <w:proofErr w:type="spellEnd"/>
      <w:r w:rsidRPr="00385289">
        <w:rPr>
          <w:szCs w:val="22"/>
        </w:rPr>
        <w:t xml:space="preserve">, napr. </w:t>
      </w:r>
      <w:proofErr w:type="spellStart"/>
      <w:r w:rsidRPr="00385289">
        <w:rPr>
          <w:szCs w:val="22"/>
        </w:rPr>
        <w:t>digoxínom</w:t>
      </w:r>
      <w:proofErr w:type="spellEnd"/>
      <w:r w:rsidRPr="00385289">
        <w:rPr>
          <w:szCs w:val="22"/>
        </w:rPr>
        <w:t xml:space="preserve">, viedlo k zvýšeným hladinám substrátu </w:t>
      </w:r>
      <w:proofErr w:type="spellStart"/>
      <w:r w:rsidRPr="00385289">
        <w:rPr>
          <w:szCs w:val="22"/>
        </w:rPr>
        <w:t>P-glykoproteínu</w:t>
      </w:r>
      <w:proofErr w:type="spellEnd"/>
      <w:r w:rsidRPr="00385289">
        <w:rPr>
          <w:szCs w:val="22"/>
        </w:rPr>
        <w:t xml:space="preserve"> v sére. Z toho dôvodu</w:t>
      </w:r>
      <w:r>
        <w:rPr>
          <w:szCs w:val="22"/>
        </w:rPr>
        <w:t>,</w:t>
      </w:r>
      <w:r w:rsidRPr="00385289">
        <w:rPr>
          <w:szCs w:val="22"/>
        </w:rPr>
        <w:t xml:space="preserve"> pri súbežnom podávaní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so substrátmi </w:t>
      </w:r>
      <w:proofErr w:type="spellStart"/>
      <w:r w:rsidRPr="00385289">
        <w:rPr>
          <w:szCs w:val="22"/>
        </w:rPr>
        <w:t>P-glykoproteínu</w:t>
      </w:r>
      <w:proofErr w:type="spellEnd"/>
      <w:r>
        <w:rPr>
          <w:szCs w:val="22"/>
        </w:rPr>
        <w:t>,</w:t>
      </w:r>
      <w:r w:rsidRPr="00385289">
        <w:rPr>
          <w:szCs w:val="22"/>
        </w:rPr>
        <w:t xml:space="preserve"> treba zvážiť možnosť zvýšených hladín substrátu v sére.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  <w:proofErr w:type="spellStart"/>
      <w:r w:rsidRPr="00385289">
        <w:rPr>
          <w:i/>
          <w:iCs/>
          <w:szCs w:val="22"/>
        </w:rPr>
        <w:t>Zidovudín</w:t>
      </w:r>
      <w:proofErr w:type="spellEnd"/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Jednorazové dávky 1</w:t>
      </w:r>
      <w:r>
        <w:rPr>
          <w:szCs w:val="22"/>
        </w:rPr>
        <w:t> </w:t>
      </w:r>
      <w:r w:rsidRPr="00385289">
        <w:rPr>
          <w:szCs w:val="22"/>
        </w:rPr>
        <w:t xml:space="preserve">000 mg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a opakované dávky 1</w:t>
      </w:r>
      <w:r>
        <w:rPr>
          <w:szCs w:val="22"/>
        </w:rPr>
        <w:t> </w:t>
      </w:r>
      <w:r w:rsidRPr="00385289">
        <w:rPr>
          <w:szCs w:val="22"/>
        </w:rPr>
        <w:t xml:space="preserve">200 mg alebo 600 mg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mali len nepatrný vplyv na </w:t>
      </w:r>
      <w:proofErr w:type="spellStart"/>
      <w:r w:rsidRPr="00385289">
        <w:rPr>
          <w:szCs w:val="22"/>
        </w:rPr>
        <w:t>farmakokinetiku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zidovudínu</w:t>
      </w:r>
      <w:proofErr w:type="spellEnd"/>
      <w:r w:rsidRPr="00385289">
        <w:rPr>
          <w:szCs w:val="22"/>
        </w:rPr>
        <w:t xml:space="preserve"> alebo jeho </w:t>
      </w:r>
      <w:proofErr w:type="spellStart"/>
      <w:r w:rsidRPr="00385289">
        <w:rPr>
          <w:szCs w:val="22"/>
        </w:rPr>
        <w:t>glukuronidového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metabolitu</w:t>
      </w:r>
      <w:proofErr w:type="spellEnd"/>
      <w:r w:rsidRPr="00385289">
        <w:rPr>
          <w:szCs w:val="22"/>
        </w:rPr>
        <w:t xml:space="preserve"> v plazme alebo na</w:t>
      </w:r>
      <w:r>
        <w:rPr>
          <w:szCs w:val="22"/>
        </w:rPr>
        <w:t xml:space="preserve"> ich</w:t>
      </w:r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renálne</w:t>
      </w:r>
      <w:proofErr w:type="spellEnd"/>
      <w:r w:rsidRPr="00385289">
        <w:rPr>
          <w:szCs w:val="22"/>
        </w:rPr>
        <w:t xml:space="preserve"> vylučovanie. Avšak po podaní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sa zvýšila koncentrácia </w:t>
      </w:r>
      <w:proofErr w:type="spellStart"/>
      <w:r w:rsidRPr="00385289">
        <w:rPr>
          <w:szCs w:val="22"/>
        </w:rPr>
        <w:t>fosforylovaného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zidovudínu</w:t>
      </w:r>
      <w:proofErr w:type="spellEnd"/>
      <w:r w:rsidRPr="00385289">
        <w:rPr>
          <w:szCs w:val="22"/>
        </w:rPr>
        <w:t xml:space="preserve">, klinicky aktívneho </w:t>
      </w:r>
      <w:proofErr w:type="spellStart"/>
      <w:r w:rsidRPr="00385289">
        <w:rPr>
          <w:szCs w:val="22"/>
        </w:rPr>
        <w:t>metabolitu</w:t>
      </w:r>
      <w:proofErr w:type="spellEnd"/>
      <w:r w:rsidRPr="00385289">
        <w:rPr>
          <w:szCs w:val="22"/>
        </w:rPr>
        <w:t xml:space="preserve"> v </w:t>
      </w:r>
      <w:proofErr w:type="spellStart"/>
      <w:r w:rsidRPr="00385289">
        <w:rPr>
          <w:szCs w:val="22"/>
        </w:rPr>
        <w:t>mononukleárnych</w:t>
      </w:r>
      <w:proofErr w:type="spellEnd"/>
      <w:r w:rsidRPr="00385289">
        <w:rPr>
          <w:szCs w:val="22"/>
        </w:rPr>
        <w:t xml:space="preserve"> bunkách v periférnom obehu. Klinický význam tohto zistenia nie je jasný, ale môže </w:t>
      </w:r>
      <w:r>
        <w:rPr>
          <w:szCs w:val="22"/>
        </w:rPr>
        <w:t>by</w:t>
      </w:r>
      <w:r w:rsidRPr="00385289">
        <w:rPr>
          <w:szCs w:val="22"/>
        </w:rPr>
        <w:t>ť prínos</w:t>
      </w:r>
      <w:r>
        <w:rPr>
          <w:szCs w:val="22"/>
        </w:rPr>
        <w:t>om</w:t>
      </w:r>
      <w:r w:rsidRPr="00385289">
        <w:rPr>
          <w:szCs w:val="22"/>
        </w:rPr>
        <w:t xml:space="preserve"> pre pacientov.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významne neovplyvňuje pečeňový systém </w:t>
      </w:r>
      <w:proofErr w:type="spellStart"/>
      <w:r w:rsidRPr="00385289">
        <w:rPr>
          <w:szCs w:val="22"/>
        </w:rPr>
        <w:t>cytochrómu</w:t>
      </w:r>
      <w:proofErr w:type="spellEnd"/>
      <w:r w:rsidRPr="00385289">
        <w:rPr>
          <w:szCs w:val="22"/>
        </w:rPr>
        <w:t xml:space="preserve"> P450. Nepredpokladá sa, že dochádza k </w:t>
      </w:r>
      <w:proofErr w:type="spellStart"/>
      <w:r w:rsidRPr="00385289">
        <w:rPr>
          <w:szCs w:val="22"/>
        </w:rPr>
        <w:t>farmakokinetickým</w:t>
      </w:r>
      <w:proofErr w:type="spellEnd"/>
      <w:r w:rsidRPr="00385289">
        <w:rPr>
          <w:szCs w:val="22"/>
        </w:rPr>
        <w:t xml:space="preserve"> liekovým interakciám, ako je to </w:t>
      </w:r>
      <w:r>
        <w:rPr>
          <w:szCs w:val="22"/>
        </w:rPr>
        <w:t>u</w:t>
      </w:r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erytromycín</w:t>
      </w:r>
      <w:r>
        <w:rPr>
          <w:szCs w:val="22"/>
        </w:rPr>
        <w:t>u</w:t>
      </w:r>
      <w:proofErr w:type="spellEnd"/>
      <w:r w:rsidRPr="00385289">
        <w:rPr>
          <w:szCs w:val="22"/>
        </w:rPr>
        <w:t xml:space="preserve"> a iný</w:t>
      </w:r>
      <w:r>
        <w:rPr>
          <w:szCs w:val="22"/>
        </w:rPr>
        <w:t>ch</w:t>
      </w:r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makrolid</w:t>
      </w:r>
      <w:r>
        <w:rPr>
          <w:szCs w:val="22"/>
        </w:rPr>
        <w:t>och</w:t>
      </w:r>
      <w:proofErr w:type="spellEnd"/>
      <w:r w:rsidRPr="00385289">
        <w:rPr>
          <w:szCs w:val="22"/>
        </w:rPr>
        <w:t>. U 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nedochádza k indukcii pečeňového </w:t>
      </w:r>
      <w:proofErr w:type="spellStart"/>
      <w:r w:rsidRPr="00385289">
        <w:rPr>
          <w:szCs w:val="22"/>
        </w:rPr>
        <w:t>cytochrómu</w:t>
      </w:r>
      <w:proofErr w:type="spellEnd"/>
      <w:r w:rsidRPr="00385289">
        <w:rPr>
          <w:szCs w:val="22"/>
        </w:rPr>
        <w:t xml:space="preserve"> P450 alebo k </w:t>
      </w:r>
      <w:proofErr w:type="spellStart"/>
      <w:r w:rsidRPr="00385289">
        <w:rPr>
          <w:szCs w:val="22"/>
        </w:rPr>
        <w:t>inaktivácii</w:t>
      </w:r>
      <w:proofErr w:type="spellEnd"/>
      <w:r w:rsidRPr="00385289">
        <w:rPr>
          <w:szCs w:val="22"/>
        </w:rPr>
        <w:t xml:space="preserve"> komplexu </w:t>
      </w:r>
      <w:proofErr w:type="spellStart"/>
      <w:r w:rsidRPr="00385289">
        <w:rPr>
          <w:szCs w:val="22"/>
        </w:rPr>
        <w:t>cytochróm-metabolit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AD31B7">
      <w:pPr>
        <w:pStyle w:val="MGGTextLeft"/>
        <w:keepNext w:val="0"/>
        <w:widowControl w:val="0"/>
        <w:rPr>
          <w:i/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szCs w:val="22"/>
        </w:rPr>
      </w:pPr>
      <w:proofErr w:type="spellStart"/>
      <w:r w:rsidRPr="00385289">
        <w:rPr>
          <w:i/>
          <w:szCs w:val="22"/>
        </w:rPr>
        <w:t>Ergotamín</w:t>
      </w:r>
      <w:proofErr w:type="spellEnd"/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Súbežné podávanie </w:t>
      </w:r>
      <w:proofErr w:type="spellStart"/>
      <w:r w:rsidRPr="00385289">
        <w:rPr>
          <w:szCs w:val="22"/>
        </w:rPr>
        <w:t>ergotamínu</w:t>
      </w:r>
      <w:proofErr w:type="spellEnd"/>
      <w:r w:rsidRPr="00385289">
        <w:rPr>
          <w:szCs w:val="22"/>
        </w:rPr>
        <w:t xml:space="preserve"> a </w:t>
      </w:r>
      <w:proofErr w:type="spellStart"/>
      <w:r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môže teoreticky vyvolať </w:t>
      </w:r>
      <w:proofErr w:type="spellStart"/>
      <w:r w:rsidRPr="00385289">
        <w:rPr>
          <w:szCs w:val="22"/>
        </w:rPr>
        <w:t>ergotizmus</w:t>
      </w:r>
      <w:proofErr w:type="spellEnd"/>
      <w:r w:rsidRPr="00385289">
        <w:rPr>
          <w:szCs w:val="22"/>
        </w:rPr>
        <w:t>, a preto sa ich použitie v kombinácii neodporúča (pozri tiež časť 4.4</w:t>
      </w:r>
      <w:r>
        <w:rPr>
          <w:szCs w:val="22"/>
        </w:rPr>
        <w:t xml:space="preserve"> Osobitné upozornenia a opatrenia pri používaní</w:t>
      </w:r>
      <w:r w:rsidRPr="00385289">
        <w:rPr>
          <w:szCs w:val="22"/>
        </w:rPr>
        <w:t>).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Boli vykonané </w:t>
      </w:r>
      <w:proofErr w:type="spellStart"/>
      <w:r w:rsidRPr="00385289">
        <w:rPr>
          <w:szCs w:val="22"/>
        </w:rPr>
        <w:t>farmakokinetické</w:t>
      </w:r>
      <w:proofErr w:type="spellEnd"/>
      <w:r w:rsidRPr="00385289">
        <w:rPr>
          <w:szCs w:val="22"/>
        </w:rPr>
        <w:t xml:space="preserve"> štúdie s </w:t>
      </w:r>
      <w:proofErr w:type="spellStart"/>
      <w:r w:rsidRPr="00385289">
        <w:rPr>
          <w:szCs w:val="22"/>
        </w:rPr>
        <w:t>azitromycínom</w:t>
      </w:r>
      <w:proofErr w:type="spellEnd"/>
      <w:r w:rsidRPr="00385289">
        <w:rPr>
          <w:szCs w:val="22"/>
        </w:rPr>
        <w:t xml:space="preserve"> a nasledovnými liekmi, o ktorých je známe, že sa </w:t>
      </w:r>
      <w:r>
        <w:rPr>
          <w:szCs w:val="22"/>
        </w:rPr>
        <w:t xml:space="preserve">vo </w:t>
      </w:r>
      <w:r w:rsidRPr="00385289">
        <w:rPr>
          <w:szCs w:val="22"/>
        </w:rPr>
        <w:t>významne</w:t>
      </w:r>
      <w:r>
        <w:rPr>
          <w:szCs w:val="22"/>
        </w:rPr>
        <w:t>j miere</w:t>
      </w:r>
      <w:r w:rsidRPr="00385289">
        <w:rPr>
          <w:szCs w:val="22"/>
        </w:rPr>
        <w:t xml:space="preserve"> metabolizujú </w:t>
      </w:r>
      <w:proofErr w:type="spellStart"/>
      <w:r w:rsidRPr="00385289">
        <w:rPr>
          <w:szCs w:val="22"/>
        </w:rPr>
        <w:t>cytochrómom</w:t>
      </w:r>
      <w:proofErr w:type="spellEnd"/>
      <w:r w:rsidRPr="00385289">
        <w:rPr>
          <w:szCs w:val="22"/>
        </w:rPr>
        <w:t xml:space="preserve"> P450.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385289">
        <w:rPr>
          <w:i/>
          <w:szCs w:val="22"/>
        </w:rPr>
        <w:t>Atorvastatín</w:t>
      </w:r>
      <w:proofErr w:type="spellEnd"/>
      <w:r w:rsidRPr="00385289">
        <w:rPr>
          <w:szCs w:val="22"/>
        </w:rPr>
        <w:t xml:space="preserve"> 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Súbežné užívanie </w:t>
      </w:r>
      <w:proofErr w:type="spellStart"/>
      <w:r w:rsidRPr="00385289">
        <w:rPr>
          <w:szCs w:val="22"/>
        </w:rPr>
        <w:t>atorvastatínu</w:t>
      </w:r>
      <w:proofErr w:type="spellEnd"/>
      <w:r w:rsidRPr="00385289">
        <w:rPr>
          <w:szCs w:val="22"/>
        </w:rPr>
        <w:t xml:space="preserve"> (10 mg denne) a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(500 mg denne) nemalo vplyv na plazmatickú koncentráciu </w:t>
      </w:r>
      <w:proofErr w:type="spellStart"/>
      <w:r w:rsidRPr="00385289">
        <w:rPr>
          <w:szCs w:val="22"/>
        </w:rPr>
        <w:t>atorvastatínu</w:t>
      </w:r>
      <w:proofErr w:type="spellEnd"/>
      <w:r w:rsidRPr="00385289">
        <w:rPr>
          <w:szCs w:val="22"/>
        </w:rPr>
        <w:t xml:space="preserve"> (na základe testu inhibície HMG </w:t>
      </w:r>
      <w:proofErr w:type="spellStart"/>
      <w:r w:rsidRPr="00385289">
        <w:rPr>
          <w:szCs w:val="22"/>
        </w:rPr>
        <w:t>CoA-reduktázy</w:t>
      </w:r>
      <w:proofErr w:type="spellEnd"/>
      <w:r w:rsidRPr="00385289">
        <w:rPr>
          <w:szCs w:val="22"/>
        </w:rPr>
        <w:t>).</w:t>
      </w:r>
      <w:r>
        <w:rPr>
          <w:szCs w:val="22"/>
        </w:rPr>
        <w:t xml:space="preserve"> </w:t>
      </w:r>
      <w:r w:rsidRPr="00385289">
        <w:rPr>
          <w:szCs w:val="22"/>
        </w:rPr>
        <w:t xml:space="preserve">Po uvedení lieku na trh však boli nahlásené prípady </w:t>
      </w:r>
      <w:proofErr w:type="spellStart"/>
      <w:r w:rsidRPr="00385289">
        <w:rPr>
          <w:szCs w:val="22"/>
        </w:rPr>
        <w:t>rhabdomyolýzy</w:t>
      </w:r>
      <w:proofErr w:type="spellEnd"/>
      <w:r w:rsidRPr="00385289">
        <w:rPr>
          <w:szCs w:val="22"/>
        </w:rPr>
        <w:t xml:space="preserve"> u pacientov, ktorí dostávali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so </w:t>
      </w:r>
      <w:proofErr w:type="spellStart"/>
      <w:r w:rsidRPr="00385289">
        <w:rPr>
          <w:szCs w:val="22"/>
        </w:rPr>
        <w:t>statínmi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i/>
          <w:szCs w:val="22"/>
        </w:rPr>
      </w:pPr>
      <w:proofErr w:type="spellStart"/>
      <w:r w:rsidRPr="00385289">
        <w:rPr>
          <w:i/>
          <w:szCs w:val="22"/>
        </w:rPr>
        <w:t>Karbamazepín</w:t>
      </w:r>
      <w:proofErr w:type="spellEnd"/>
      <w:r w:rsidRPr="00385289">
        <w:rPr>
          <w:i/>
          <w:szCs w:val="22"/>
        </w:rPr>
        <w:t xml:space="preserve"> 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Vo </w:t>
      </w:r>
      <w:proofErr w:type="spellStart"/>
      <w:r w:rsidRPr="00385289">
        <w:rPr>
          <w:szCs w:val="22"/>
        </w:rPr>
        <w:t>farmakokinetickej</w:t>
      </w:r>
      <w:proofErr w:type="spellEnd"/>
      <w:r w:rsidRPr="00385289">
        <w:rPr>
          <w:szCs w:val="22"/>
        </w:rPr>
        <w:t xml:space="preserve"> interakčnej štúdii u zdravých dobrovoľníkov nebol pozorovaný žiadny významný vplyv na plazmatické hladiny </w:t>
      </w:r>
      <w:proofErr w:type="spellStart"/>
      <w:r w:rsidRPr="00385289">
        <w:rPr>
          <w:szCs w:val="22"/>
        </w:rPr>
        <w:t>karbamazepínu</w:t>
      </w:r>
      <w:proofErr w:type="spellEnd"/>
      <w:r w:rsidRPr="00385289">
        <w:rPr>
          <w:szCs w:val="22"/>
        </w:rPr>
        <w:t xml:space="preserve"> alebo jeho aktívneho </w:t>
      </w:r>
      <w:proofErr w:type="spellStart"/>
      <w:r w:rsidRPr="00385289">
        <w:rPr>
          <w:szCs w:val="22"/>
        </w:rPr>
        <w:t>metabolitu</w:t>
      </w:r>
      <w:proofErr w:type="spellEnd"/>
      <w:r w:rsidRPr="00385289">
        <w:rPr>
          <w:szCs w:val="22"/>
        </w:rPr>
        <w:t xml:space="preserve"> u pacientov užívajúcich súbežne </w:t>
      </w:r>
      <w:proofErr w:type="spellStart"/>
      <w:r w:rsidRPr="00385289">
        <w:rPr>
          <w:szCs w:val="22"/>
        </w:rPr>
        <w:t>azitromycín</w:t>
      </w:r>
      <w:proofErr w:type="spellEnd"/>
      <w:r>
        <w:rPr>
          <w:szCs w:val="22"/>
        </w:rPr>
        <w:t>.</w:t>
      </w:r>
      <w:r w:rsidRPr="00385289">
        <w:rPr>
          <w:szCs w:val="22"/>
        </w:rPr>
        <w:t xml:space="preserve"> 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385289">
        <w:rPr>
          <w:i/>
          <w:szCs w:val="22"/>
        </w:rPr>
        <w:t>Cimetidín</w:t>
      </w:r>
      <w:proofErr w:type="spellEnd"/>
      <w:r w:rsidRPr="00385289">
        <w:rPr>
          <w:szCs w:val="22"/>
        </w:rPr>
        <w:t xml:space="preserve"> 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Vo </w:t>
      </w:r>
      <w:proofErr w:type="spellStart"/>
      <w:r w:rsidRPr="00385289">
        <w:rPr>
          <w:szCs w:val="22"/>
        </w:rPr>
        <w:t>farmakokinetickej</w:t>
      </w:r>
      <w:proofErr w:type="spellEnd"/>
      <w:r w:rsidRPr="00385289">
        <w:rPr>
          <w:szCs w:val="22"/>
        </w:rPr>
        <w:t xml:space="preserve"> štúdii skúmajúcej vplyv jednorazovej dávky </w:t>
      </w:r>
      <w:proofErr w:type="spellStart"/>
      <w:r w:rsidRPr="00385289">
        <w:rPr>
          <w:szCs w:val="22"/>
        </w:rPr>
        <w:t>cimetidínu</w:t>
      </w:r>
      <w:proofErr w:type="spellEnd"/>
      <w:r w:rsidRPr="00385289">
        <w:rPr>
          <w:szCs w:val="22"/>
        </w:rPr>
        <w:t xml:space="preserve"> podanej 2 hodiny pred podaním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na </w:t>
      </w:r>
      <w:proofErr w:type="spellStart"/>
      <w:r w:rsidRPr="00385289">
        <w:rPr>
          <w:szCs w:val="22"/>
        </w:rPr>
        <w:t>farmakokinetiku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, neboli pozorované žiadne zmeny vo </w:t>
      </w:r>
      <w:proofErr w:type="spellStart"/>
      <w:r w:rsidRPr="00385289">
        <w:rPr>
          <w:szCs w:val="22"/>
        </w:rPr>
        <w:t>farmakokinetike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szCs w:val="22"/>
        </w:rPr>
      </w:pPr>
      <w:r w:rsidRPr="00385289">
        <w:rPr>
          <w:i/>
          <w:szCs w:val="22"/>
        </w:rPr>
        <w:t xml:space="preserve">Perorálne </w:t>
      </w:r>
      <w:proofErr w:type="spellStart"/>
      <w:r w:rsidRPr="00385289">
        <w:rPr>
          <w:i/>
          <w:szCs w:val="22"/>
        </w:rPr>
        <w:t>antikoagulanciá</w:t>
      </w:r>
      <w:proofErr w:type="spellEnd"/>
      <w:r w:rsidRPr="00385289">
        <w:rPr>
          <w:i/>
          <w:szCs w:val="22"/>
        </w:rPr>
        <w:t xml:space="preserve"> </w:t>
      </w:r>
      <w:proofErr w:type="spellStart"/>
      <w:r w:rsidRPr="00385289">
        <w:rPr>
          <w:i/>
          <w:szCs w:val="22"/>
        </w:rPr>
        <w:t>kumarínového</w:t>
      </w:r>
      <w:proofErr w:type="spellEnd"/>
      <w:r w:rsidRPr="00385289">
        <w:rPr>
          <w:i/>
          <w:szCs w:val="22"/>
        </w:rPr>
        <w:t xml:space="preserve"> typu 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Vo </w:t>
      </w:r>
      <w:proofErr w:type="spellStart"/>
      <w:r w:rsidRPr="00385289">
        <w:rPr>
          <w:szCs w:val="22"/>
        </w:rPr>
        <w:t>farmakokinetickej</w:t>
      </w:r>
      <w:proofErr w:type="spellEnd"/>
      <w:r w:rsidRPr="00385289">
        <w:rPr>
          <w:szCs w:val="22"/>
        </w:rPr>
        <w:t xml:space="preserve"> interakčnej štúdii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neovplyvnil </w:t>
      </w:r>
      <w:proofErr w:type="spellStart"/>
      <w:r w:rsidRPr="00385289">
        <w:rPr>
          <w:szCs w:val="22"/>
        </w:rPr>
        <w:t>antikoagulačný</w:t>
      </w:r>
      <w:proofErr w:type="spellEnd"/>
      <w:r w:rsidRPr="00385289">
        <w:rPr>
          <w:szCs w:val="22"/>
        </w:rPr>
        <w:t xml:space="preserve"> účinok jednorazovej 15</w:t>
      </w:r>
      <w:r>
        <w:rPr>
          <w:szCs w:val="22"/>
        </w:rPr>
        <w:t xml:space="preserve"> </w:t>
      </w:r>
      <w:r w:rsidRPr="00385289">
        <w:rPr>
          <w:szCs w:val="22"/>
        </w:rPr>
        <w:t xml:space="preserve">mg dávky </w:t>
      </w:r>
      <w:proofErr w:type="spellStart"/>
      <w:r w:rsidRPr="00385289">
        <w:rPr>
          <w:szCs w:val="22"/>
        </w:rPr>
        <w:t>warfarínu</w:t>
      </w:r>
      <w:proofErr w:type="spellEnd"/>
      <w:r w:rsidRPr="00385289">
        <w:rPr>
          <w:szCs w:val="22"/>
        </w:rPr>
        <w:t xml:space="preserve"> podanej zdravým dobrovoľníkom. Údaje získané z obdobia </w:t>
      </w:r>
      <w:r>
        <w:rPr>
          <w:szCs w:val="22"/>
        </w:rPr>
        <w:t xml:space="preserve">po uvedení lieku na trh </w:t>
      </w:r>
      <w:r w:rsidRPr="00385289">
        <w:rPr>
          <w:szCs w:val="22"/>
        </w:rPr>
        <w:t xml:space="preserve">poukazujú na zvýšenú krvácavosť po súbežnom podávaní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a perorálnych </w:t>
      </w:r>
      <w:proofErr w:type="spellStart"/>
      <w:r w:rsidRPr="00385289">
        <w:rPr>
          <w:szCs w:val="22"/>
        </w:rPr>
        <w:t>antikoagulancií</w:t>
      </w:r>
      <w:proofErr w:type="spellEnd"/>
      <w:r w:rsidRPr="00792F0A">
        <w:rPr>
          <w:szCs w:val="22"/>
        </w:rPr>
        <w:t xml:space="preserve"> </w:t>
      </w:r>
      <w:proofErr w:type="spellStart"/>
      <w:r w:rsidRPr="00385289">
        <w:rPr>
          <w:szCs w:val="22"/>
        </w:rPr>
        <w:t>kumarínov</w:t>
      </w:r>
      <w:r>
        <w:rPr>
          <w:szCs w:val="22"/>
        </w:rPr>
        <w:t>ého</w:t>
      </w:r>
      <w:proofErr w:type="spellEnd"/>
      <w:r>
        <w:rPr>
          <w:szCs w:val="22"/>
        </w:rPr>
        <w:t xml:space="preserve"> typu</w:t>
      </w:r>
      <w:r w:rsidRPr="00385289">
        <w:rPr>
          <w:szCs w:val="22"/>
        </w:rPr>
        <w:t xml:space="preserve">. Aj keď príčinná súvislosť nebola preukázaná, je potrebné </w:t>
      </w:r>
      <w:r>
        <w:rPr>
          <w:szCs w:val="22"/>
        </w:rPr>
        <w:t>zvážiť</w:t>
      </w:r>
      <w:r w:rsidRPr="00385289">
        <w:rPr>
          <w:szCs w:val="22"/>
        </w:rPr>
        <w:t xml:space="preserve"> frekvenci</w:t>
      </w:r>
      <w:r>
        <w:rPr>
          <w:szCs w:val="22"/>
        </w:rPr>
        <w:t>u</w:t>
      </w:r>
      <w:r w:rsidRPr="00385289">
        <w:rPr>
          <w:szCs w:val="22"/>
        </w:rPr>
        <w:t xml:space="preserve"> merania </w:t>
      </w:r>
      <w:proofErr w:type="spellStart"/>
      <w:r w:rsidRPr="00385289">
        <w:rPr>
          <w:szCs w:val="22"/>
        </w:rPr>
        <w:t>protrombínového</w:t>
      </w:r>
      <w:proofErr w:type="spellEnd"/>
      <w:r w:rsidRPr="00385289">
        <w:rPr>
          <w:szCs w:val="22"/>
        </w:rPr>
        <w:t xml:space="preserve"> času, keď sa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používa u pacientov, ktorí dostávajú perorálne </w:t>
      </w:r>
      <w:proofErr w:type="spellStart"/>
      <w:r w:rsidRPr="00385289">
        <w:rPr>
          <w:szCs w:val="22"/>
        </w:rPr>
        <w:t>antikoagulanciá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kumarínového</w:t>
      </w:r>
      <w:proofErr w:type="spellEnd"/>
      <w:r w:rsidRPr="00385289">
        <w:rPr>
          <w:szCs w:val="22"/>
        </w:rPr>
        <w:t xml:space="preserve"> typu.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i/>
          <w:szCs w:val="22"/>
        </w:rPr>
        <w:t>Cy</w:t>
      </w:r>
      <w:r>
        <w:rPr>
          <w:i/>
          <w:szCs w:val="22"/>
        </w:rPr>
        <w:t>k</w:t>
      </w:r>
      <w:r w:rsidRPr="00385289">
        <w:rPr>
          <w:i/>
          <w:szCs w:val="22"/>
        </w:rPr>
        <w:t>losporín</w:t>
      </w:r>
      <w:proofErr w:type="spellEnd"/>
      <w:r w:rsidRPr="00385289">
        <w:rPr>
          <w:szCs w:val="22"/>
        </w:rPr>
        <w:t xml:space="preserve"> 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Vo </w:t>
      </w:r>
      <w:proofErr w:type="spellStart"/>
      <w:r w:rsidRPr="00385289">
        <w:rPr>
          <w:szCs w:val="22"/>
        </w:rPr>
        <w:t>farmakokinetickej</w:t>
      </w:r>
      <w:proofErr w:type="spellEnd"/>
      <w:r w:rsidRPr="00385289">
        <w:rPr>
          <w:szCs w:val="22"/>
        </w:rPr>
        <w:t xml:space="preserve"> štúdii so zdravými dobrovoľníkmi, ktorým bola podávaná perorálna dávka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500 mg</w:t>
      </w:r>
      <w:r>
        <w:rPr>
          <w:szCs w:val="22"/>
        </w:rPr>
        <w:t xml:space="preserve"> denne</w:t>
      </w:r>
      <w:r w:rsidRPr="00385289">
        <w:rPr>
          <w:szCs w:val="22"/>
        </w:rPr>
        <w:t xml:space="preserve"> počas 3 dní a následne jednorazová perorálna dávka </w:t>
      </w:r>
      <w:proofErr w:type="spellStart"/>
      <w:r w:rsidRPr="00385289">
        <w:rPr>
          <w:szCs w:val="22"/>
        </w:rPr>
        <w:t>cyklosporínu</w:t>
      </w:r>
      <w:proofErr w:type="spellEnd"/>
      <w:r w:rsidRPr="00385289">
        <w:rPr>
          <w:szCs w:val="22"/>
        </w:rPr>
        <w:t xml:space="preserve"> 10 mg/kg, došlo k významnému zvýšeniu </w:t>
      </w:r>
      <w:proofErr w:type="spellStart"/>
      <w:r w:rsidRPr="00385289">
        <w:rPr>
          <w:szCs w:val="22"/>
        </w:rPr>
        <w:t>C</w:t>
      </w:r>
      <w:r w:rsidRPr="00385289">
        <w:rPr>
          <w:szCs w:val="22"/>
          <w:vertAlign w:val="subscript"/>
        </w:rPr>
        <w:t>max</w:t>
      </w:r>
      <w:proofErr w:type="spellEnd"/>
      <w:r w:rsidRPr="00385289">
        <w:rPr>
          <w:szCs w:val="22"/>
        </w:rPr>
        <w:t xml:space="preserve"> a AUC</w:t>
      </w:r>
      <w:r w:rsidRPr="00385289">
        <w:rPr>
          <w:szCs w:val="22"/>
          <w:vertAlign w:val="subscript"/>
        </w:rPr>
        <w:t xml:space="preserve">0-5 </w:t>
      </w:r>
      <w:proofErr w:type="spellStart"/>
      <w:r w:rsidRPr="00385289">
        <w:rPr>
          <w:szCs w:val="22"/>
        </w:rPr>
        <w:t>cyklosporínu</w:t>
      </w:r>
      <w:proofErr w:type="spellEnd"/>
      <w:r w:rsidRPr="00385289">
        <w:rPr>
          <w:szCs w:val="22"/>
        </w:rPr>
        <w:t xml:space="preserve">. Pri zvažovaní súbežného podávania týchto liekov je potrebná opatrnosť. Ak súbežné podávanie týchto liekov je nevyhnutné, hladiny </w:t>
      </w:r>
      <w:proofErr w:type="spellStart"/>
      <w:r w:rsidRPr="00385289">
        <w:rPr>
          <w:szCs w:val="22"/>
        </w:rPr>
        <w:t>cyklosporínu</w:t>
      </w:r>
      <w:proofErr w:type="spellEnd"/>
      <w:r w:rsidRPr="00385289">
        <w:rPr>
          <w:szCs w:val="22"/>
        </w:rPr>
        <w:t xml:space="preserve"> sa majú monitorovať a dávka sa má podľa potreby upraviť.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szCs w:val="22"/>
        </w:rPr>
      </w:pPr>
      <w:proofErr w:type="spellStart"/>
      <w:r w:rsidRPr="00385289">
        <w:rPr>
          <w:i/>
          <w:szCs w:val="22"/>
        </w:rPr>
        <w:lastRenderedPageBreak/>
        <w:t>Efavirenz</w:t>
      </w:r>
      <w:proofErr w:type="spellEnd"/>
      <w:r w:rsidRPr="00385289">
        <w:rPr>
          <w:i/>
          <w:szCs w:val="22"/>
        </w:rPr>
        <w:t xml:space="preserve"> </w:t>
      </w:r>
    </w:p>
    <w:p w:rsidR="002A62E4" w:rsidRPr="00385289" w:rsidRDefault="002A62E4" w:rsidP="00596E40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Súbežné podanie jednorazovej dávky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600 mg a 400 mg </w:t>
      </w:r>
      <w:proofErr w:type="spellStart"/>
      <w:r w:rsidRPr="00385289">
        <w:rPr>
          <w:szCs w:val="22"/>
        </w:rPr>
        <w:t>efavirenzu</w:t>
      </w:r>
      <w:proofErr w:type="spellEnd"/>
      <w:r w:rsidRPr="00385289">
        <w:rPr>
          <w:szCs w:val="22"/>
        </w:rPr>
        <w:t xml:space="preserve"> denne počas 7</w:t>
      </w:r>
    </w:p>
    <w:p w:rsidR="002A62E4" w:rsidRPr="00385289" w:rsidRDefault="002A62E4" w:rsidP="00596E40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dní neviedlo k žiadnym klinicky významným </w:t>
      </w:r>
      <w:proofErr w:type="spellStart"/>
      <w:r w:rsidRPr="00385289">
        <w:rPr>
          <w:szCs w:val="22"/>
        </w:rPr>
        <w:t>farmakokinetickým</w:t>
      </w:r>
      <w:proofErr w:type="spellEnd"/>
      <w:r w:rsidRPr="00385289">
        <w:rPr>
          <w:szCs w:val="22"/>
        </w:rPr>
        <w:t xml:space="preserve"> interakciám.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i/>
          <w:szCs w:val="22"/>
        </w:rPr>
        <w:t>Flukonazol</w:t>
      </w:r>
      <w:proofErr w:type="spellEnd"/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Súbežné podanie jednorazovej dávky 1</w:t>
      </w:r>
      <w:r>
        <w:rPr>
          <w:szCs w:val="22"/>
        </w:rPr>
        <w:t> </w:t>
      </w:r>
      <w:r w:rsidRPr="00385289">
        <w:rPr>
          <w:szCs w:val="22"/>
        </w:rPr>
        <w:t xml:space="preserve">200 mg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nezmenilo </w:t>
      </w:r>
      <w:proofErr w:type="spellStart"/>
      <w:r w:rsidRPr="00385289">
        <w:rPr>
          <w:szCs w:val="22"/>
        </w:rPr>
        <w:t>farmakokinetiku</w:t>
      </w:r>
      <w:proofErr w:type="spellEnd"/>
      <w:r w:rsidRPr="00385289">
        <w:rPr>
          <w:szCs w:val="22"/>
        </w:rPr>
        <w:t xml:space="preserve"> jednorazovej dávky 800 mg </w:t>
      </w:r>
      <w:proofErr w:type="spellStart"/>
      <w:r w:rsidRPr="00385289">
        <w:rPr>
          <w:szCs w:val="22"/>
        </w:rPr>
        <w:t>flukonazolu</w:t>
      </w:r>
      <w:proofErr w:type="spellEnd"/>
      <w:r w:rsidRPr="00385289">
        <w:rPr>
          <w:szCs w:val="22"/>
        </w:rPr>
        <w:t xml:space="preserve">. Celková expozícia a polčas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boli nezmenené pri súbežnom podávaní </w:t>
      </w:r>
      <w:proofErr w:type="spellStart"/>
      <w:r w:rsidRPr="00385289">
        <w:rPr>
          <w:szCs w:val="22"/>
        </w:rPr>
        <w:t>flukonazolu</w:t>
      </w:r>
      <w:proofErr w:type="spellEnd"/>
      <w:r w:rsidRPr="00385289">
        <w:rPr>
          <w:szCs w:val="22"/>
        </w:rPr>
        <w:t xml:space="preserve">, avšak pozorovalo sa klinicky nevýznamné zníženie </w:t>
      </w:r>
      <w:proofErr w:type="spellStart"/>
      <w:r w:rsidRPr="00385289">
        <w:rPr>
          <w:szCs w:val="22"/>
        </w:rPr>
        <w:t>C</w:t>
      </w:r>
      <w:r w:rsidRPr="00385289">
        <w:rPr>
          <w:szCs w:val="22"/>
          <w:vertAlign w:val="subscript"/>
        </w:rPr>
        <w:t>max</w:t>
      </w:r>
      <w:proofErr w:type="spellEnd"/>
      <w:r w:rsidRPr="00385289">
        <w:rPr>
          <w:szCs w:val="22"/>
        </w:rPr>
        <w:t xml:space="preserve">(18%)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. 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rPr>
          <w:i/>
          <w:szCs w:val="22"/>
        </w:rPr>
      </w:pPr>
      <w:proofErr w:type="spellStart"/>
      <w:r w:rsidRPr="00385289">
        <w:rPr>
          <w:i/>
          <w:szCs w:val="22"/>
        </w:rPr>
        <w:t>Indinavir</w:t>
      </w:r>
      <w:proofErr w:type="spellEnd"/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Súbežné podanie jednorazovej dávky 1</w:t>
      </w:r>
      <w:r>
        <w:rPr>
          <w:szCs w:val="22"/>
        </w:rPr>
        <w:t> </w:t>
      </w:r>
      <w:r w:rsidRPr="00385289">
        <w:rPr>
          <w:szCs w:val="22"/>
        </w:rPr>
        <w:t xml:space="preserve">200 mg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nemalo štatisticky významný vplyv na </w:t>
      </w:r>
      <w:proofErr w:type="spellStart"/>
      <w:r w:rsidRPr="00385289">
        <w:rPr>
          <w:szCs w:val="22"/>
        </w:rPr>
        <w:t>farmakokinetiku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indinaviru</w:t>
      </w:r>
      <w:proofErr w:type="spellEnd"/>
      <w:r w:rsidRPr="00385289">
        <w:rPr>
          <w:szCs w:val="22"/>
        </w:rPr>
        <w:t xml:space="preserve"> podávaného v dávke 800 mg trikrát denne počas piatich dní.</w:t>
      </w:r>
    </w:p>
    <w:p w:rsidR="002A62E4" w:rsidRPr="00385289" w:rsidRDefault="002A62E4" w:rsidP="00AD31B7">
      <w:pPr>
        <w:pStyle w:val="MGGTextLeft"/>
        <w:keepNext w:val="0"/>
        <w:widowControl w:val="0"/>
        <w:rPr>
          <w:i/>
          <w:szCs w:val="22"/>
          <w:highlight w:val="yellow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szCs w:val="22"/>
        </w:rPr>
      </w:pPr>
      <w:proofErr w:type="spellStart"/>
      <w:r w:rsidRPr="00385289">
        <w:rPr>
          <w:i/>
          <w:szCs w:val="22"/>
        </w:rPr>
        <w:t>Metylprednizolón</w:t>
      </w:r>
      <w:proofErr w:type="spellEnd"/>
      <w:r w:rsidRPr="00385289">
        <w:rPr>
          <w:i/>
          <w:szCs w:val="22"/>
        </w:rPr>
        <w:t xml:space="preserve"> 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Vo </w:t>
      </w:r>
      <w:proofErr w:type="spellStart"/>
      <w:r w:rsidRPr="00385289">
        <w:rPr>
          <w:szCs w:val="22"/>
        </w:rPr>
        <w:t>farmakokinetickej</w:t>
      </w:r>
      <w:proofErr w:type="spellEnd"/>
      <w:r w:rsidRPr="00385289">
        <w:rPr>
          <w:szCs w:val="22"/>
        </w:rPr>
        <w:t xml:space="preserve"> interakčnej štúdii u zdravých dobrovoľníkov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nemal významný vplyv na </w:t>
      </w:r>
      <w:proofErr w:type="spellStart"/>
      <w:r w:rsidRPr="00385289">
        <w:rPr>
          <w:szCs w:val="22"/>
        </w:rPr>
        <w:t>farmakokinetiku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metylprednizolónu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i/>
          <w:szCs w:val="22"/>
        </w:rPr>
        <w:t>Midazolam</w:t>
      </w:r>
      <w:proofErr w:type="spellEnd"/>
      <w:r w:rsidRPr="00385289">
        <w:rPr>
          <w:szCs w:val="22"/>
        </w:rPr>
        <w:t xml:space="preserve"> 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U zdravých dobrovoľníkov súbežné podávanie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500 mg</w:t>
      </w:r>
      <w:r>
        <w:rPr>
          <w:szCs w:val="22"/>
        </w:rPr>
        <w:t xml:space="preserve"> denne</w:t>
      </w:r>
      <w:r w:rsidRPr="00385289">
        <w:rPr>
          <w:szCs w:val="22"/>
        </w:rPr>
        <w:t xml:space="preserve"> po</w:t>
      </w:r>
      <w:r>
        <w:rPr>
          <w:szCs w:val="22"/>
        </w:rPr>
        <w:t>čas</w:t>
      </w:r>
      <w:r w:rsidRPr="00385289">
        <w:rPr>
          <w:szCs w:val="22"/>
        </w:rPr>
        <w:t xml:space="preserve"> 3 dní nespôsobilo 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klinicky významné zmeny vo </w:t>
      </w:r>
      <w:proofErr w:type="spellStart"/>
      <w:r w:rsidRPr="00385289">
        <w:rPr>
          <w:szCs w:val="22"/>
        </w:rPr>
        <w:t>farmakokinetike</w:t>
      </w:r>
      <w:proofErr w:type="spellEnd"/>
      <w:r w:rsidRPr="00385289">
        <w:rPr>
          <w:szCs w:val="22"/>
        </w:rPr>
        <w:t xml:space="preserve"> a </w:t>
      </w:r>
      <w:proofErr w:type="spellStart"/>
      <w:r w:rsidRPr="00385289">
        <w:rPr>
          <w:szCs w:val="22"/>
        </w:rPr>
        <w:t>farmakodynamike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juednorazovej</w:t>
      </w:r>
      <w:proofErr w:type="spellEnd"/>
      <w:r w:rsidRPr="00385289">
        <w:rPr>
          <w:szCs w:val="22"/>
        </w:rPr>
        <w:t xml:space="preserve"> dávky 15 mg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t>midazolamu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szCs w:val="22"/>
        </w:rPr>
      </w:pPr>
      <w:proofErr w:type="spellStart"/>
      <w:r w:rsidRPr="00385289">
        <w:rPr>
          <w:i/>
          <w:szCs w:val="22"/>
        </w:rPr>
        <w:t>Nelfinavir</w:t>
      </w:r>
      <w:proofErr w:type="spellEnd"/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Súbežné podávanie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v dávke 1</w:t>
      </w:r>
      <w:r>
        <w:rPr>
          <w:szCs w:val="22"/>
        </w:rPr>
        <w:t> </w:t>
      </w:r>
      <w:r w:rsidRPr="00385289">
        <w:rPr>
          <w:szCs w:val="22"/>
        </w:rPr>
        <w:t xml:space="preserve">200 mg a </w:t>
      </w:r>
      <w:proofErr w:type="spellStart"/>
      <w:r w:rsidRPr="00385289">
        <w:rPr>
          <w:szCs w:val="22"/>
        </w:rPr>
        <w:t>nelfinaviru</w:t>
      </w:r>
      <w:proofErr w:type="spellEnd"/>
      <w:r w:rsidRPr="00385289">
        <w:rPr>
          <w:szCs w:val="22"/>
        </w:rPr>
        <w:t xml:space="preserve"> (750 mg 3-krát denne) v rovnovážnom stave viedlo k zvýšeniu koncentrácie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>. Nepozorovali sa žiadne klinicky významné nežiaduce účinky a nie je potrebná úprava dávkovania.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  <w:proofErr w:type="spellStart"/>
      <w:r w:rsidRPr="00385289">
        <w:rPr>
          <w:i/>
          <w:iCs/>
          <w:szCs w:val="22"/>
        </w:rPr>
        <w:t>Rifabutín</w:t>
      </w:r>
      <w:proofErr w:type="spellEnd"/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Súbežné podávanie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rifabutínu</w:t>
      </w:r>
      <w:proofErr w:type="spellEnd"/>
      <w:r w:rsidRPr="00385289">
        <w:rPr>
          <w:szCs w:val="22"/>
        </w:rPr>
        <w:t xml:space="preserve"> neovplyvnilo sérovú koncentráciu ani jedného z liečiv. 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U pacientov liečených sú</w:t>
      </w:r>
      <w:r>
        <w:rPr>
          <w:szCs w:val="22"/>
        </w:rPr>
        <w:t>bež</w:t>
      </w:r>
      <w:r w:rsidRPr="00385289">
        <w:rPr>
          <w:szCs w:val="22"/>
        </w:rPr>
        <w:t xml:space="preserve">ne </w:t>
      </w:r>
      <w:proofErr w:type="spellStart"/>
      <w:r w:rsidRPr="00385289">
        <w:rPr>
          <w:szCs w:val="22"/>
        </w:rPr>
        <w:t>azitromycínom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rifabutínom</w:t>
      </w:r>
      <w:proofErr w:type="spellEnd"/>
      <w:r w:rsidRPr="00385289">
        <w:rPr>
          <w:szCs w:val="22"/>
        </w:rPr>
        <w:t xml:space="preserve"> sa pozorovala </w:t>
      </w:r>
      <w:proofErr w:type="spellStart"/>
      <w:r w:rsidRPr="00385289">
        <w:rPr>
          <w:szCs w:val="22"/>
        </w:rPr>
        <w:t>neutropénia</w:t>
      </w:r>
      <w:proofErr w:type="spellEnd"/>
      <w:r w:rsidRPr="00385289">
        <w:rPr>
          <w:szCs w:val="22"/>
        </w:rPr>
        <w:t xml:space="preserve">. Aj keď </w:t>
      </w:r>
      <w:proofErr w:type="spellStart"/>
      <w:r w:rsidRPr="00385289">
        <w:rPr>
          <w:szCs w:val="22"/>
        </w:rPr>
        <w:t>neutropénia</w:t>
      </w:r>
      <w:proofErr w:type="spellEnd"/>
      <w:r w:rsidRPr="00385289">
        <w:rPr>
          <w:szCs w:val="22"/>
        </w:rPr>
        <w:t xml:space="preserve"> bola spojená s použitím </w:t>
      </w:r>
      <w:proofErr w:type="spellStart"/>
      <w:r w:rsidRPr="00385289">
        <w:rPr>
          <w:szCs w:val="22"/>
        </w:rPr>
        <w:t>rifabutínu</w:t>
      </w:r>
      <w:proofErr w:type="spellEnd"/>
      <w:r w:rsidRPr="00385289">
        <w:rPr>
          <w:szCs w:val="22"/>
        </w:rPr>
        <w:t xml:space="preserve">, </w:t>
      </w:r>
      <w:r>
        <w:rPr>
          <w:szCs w:val="22"/>
        </w:rPr>
        <w:t>príčinný</w:t>
      </w:r>
      <w:r w:rsidRPr="00385289">
        <w:rPr>
          <w:szCs w:val="22"/>
        </w:rPr>
        <w:t xml:space="preserve"> vzťah medzi kombináciou s </w:t>
      </w:r>
      <w:proofErr w:type="spellStart"/>
      <w:r w:rsidRPr="00385289">
        <w:rPr>
          <w:szCs w:val="22"/>
        </w:rPr>
        <w:t>azitromycínom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neutropéniou</w:t>
      </w:r>
      <w:proofErr w:type="spellEnd"/>
      <w:r w:rsidRPr="00385289">
        <w:rPr>
          <w:szCs w:val="22"/>
        </w:rPr>
        <w:t xml:space="preserve"> nebol preukázaný (pozri časť 4.8</w:t>
      </w:r>
      <w:r>
        <w:rPr>
          <w:szCs w:val="22"/>
        </w:rPr>
        <w:t xml:space="preserve"> Nežiaduce účinky</w:t>
      </w:r>
      <w:r w:rsidRPr="00385289">
        <w:rPr>
          <w:szCs w:val="22"/>
        </w:rPr>
        <w:t>).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596E40" w:rsidRDefault="002A62E4" w:rsidP="00AD31B7">
      <w:pPr>
        <w:pStyle w:val="MGGTextLeft"/>
        <w:keepNext w:val="0"/>
        <w:widowControl w:val="0"/>
        <w:ind w:left="0" w:firstLine="0"/>
        <w:rPr>
          <w:i/>
          <w:szCs w:val="22"/>
        </w:rPr>
      </w:pPr>
      <w:proofErr w:type="spellStart"/>
      <w:r w:rsidRPr="00596E40">
        <w:rPr>
          <w:i/>
          <w:szCs w:val="22"/>
        </w:rPr>
        <w:t>Sildenafil</w:t>
      </w:r>
      <w:proofErr w:type="spellEnd"/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U zdravých dobrovoľníkov muž</w:t>
      </w:r>
      <w:r>
        <w:rPr>
          <w:szCs w:val="22"/>
        </w:rPr>
        <w:t>ského pohlavia</w:t>
      </w:r>
      <w:r w:rsidRPr="00385289">
        <w:rPr>
          <w:szCs w:val="22"/>
        </w:rPr>
        <w:t xml:space="preserve"> nebol dokázaný účinok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(500 mg denne po</w:t>
      </w:r>
      <w:r>
        <w:rPr>
          <w:szCs w:val="22"/>
        </w:rPr>
        <w:t>čas</w:t>
      </w:r>
      <w:r w:rsidRPr="00385289">
        <w:rPr>
          <w:szCs w:val="22"/>
        </w:rPr>
        <w:t xml:space="preserve"> 3 dní) na AUC a </w:t>
      </w:r>
      <w:proofErr w:type="spellStart"/>
      <w:r w:rsidRPr="00385289">
        <w:rPr>
          <w:szCs w:val="22"/>
        </w:rPr>
        <w:t>C</w:t>
      </w:r>
      <w:r w:rsidRPr="00385289">
        <w:rPr>
          <w:szCs w:val="22"/>
          <w:vertAlign w:val="subscript"/>
        </w:rPr>
        <w:t>max</w:t>
      </w:r>
      <w:proofErr w:type="spellEnd"/>
      <w:r w:rsidRPr="00385289">
        <w:rPr>
          <w:szCs w:val="22"/>
        </w:rPr>
        <w:t xml:space="preserve">, </w:t>
      </w:r>
      <w:proofErr w:type="spellStart"/>
      <w:r w:rsidRPr="00385289">
        <w:rPr>
          <w:szCs w:val="22"/>
        </w:rPr>
        <w:t>sildenafilu</w:t>
      </w:r>
      <w:proofErr w:type="spellEnd"/>
      <w:r w:rsidRPr="00385289">
        <w:rPr>
          <w:szCs w:val="22"/>
        </w:rPr>
        <w:t xml:space="preserve"> alebo jeho hlavných cirkulujúcich </w:t>
      </w:r>
      <w:proofErr w:type="spellStart"/>
      <w:r w:rsidRPr="00385289">
        <w:rPr>
          <w:szCs w:val="22"/>
        </w:rPr>
        <w:t>metabolitov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  <w:proofErr w:type="spellStart"/>
      <w:r w:rsidRPr="00385289">
        <w:rPr>
          <w:i/>
          <w:iCs/>
          <w:szCs w:val="22"/>
        </w:rPr>
        <w:t>Terfenadín</w:t>
      </w:r>
      <w:proofErr w:type="spellEnd"/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bCs/>
          <w:szCs w:val="22"/>
        </w:rPr>
      </w:pPr>
      <w:proofErr w:type="spellStart"/>
      <w:r w:rsidRPr="00385289">
        <w:rPr>
          <w:szCs w:val="22"/>
        </w:rPr>
        <w:t>Farmakokinetické</w:t>
      </w:r>
      <w:proofErr w:type="spellEnd"/>
      <w:r w:rsidRPr="00385289">
        <w:rPr>
          <w:szCs w:val="22"/>
        </w:rPr>
        <w:t xml:space="preserve"> štúdie nezaznamenali žiadne hlásenia interakcií medzi </w:t>
      </w:r>
      <w:proofErr w:type="spellStart"/>
      <w:r w:rsidRPr="00385289">
        <w:rPr>
          <w:szCs w:val="22"/>
        </w:rPr>
        <w:t>azitromycínom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terfenadínom</w:t>
      </w:r>
      <w:proofErr w:type="spellEnd"/>
      <w:r w:rsidRPr="00385289">
        <w:rPr>
          <w:szCs w:val="22"/>
        </w:rPr>
        <w:t xml:space="preserve">. </w:t>
      </w:r>
      <w:r w:rsidRPr="00385289">
        <w:rPr>
          <w:bCs/>
          <w:szCs w:val="22"/>
        </w:rPr>
        <w:t>Vyskytlo sa len niekoľko zriedkavých prípadov, v ktorých sa možnosť uvedenej interakcie nedá úplne vylúčiť; neexistujú však konkrétne dôkazy o skutočnom výskyte takejto interakcie.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bCs/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bCs/>
          <w:i/>
          <w:szCs w:val="22"/>
        </w:rPr>
      </w:pPr>
      <w:proofErr w:type="spellStart"/>
      <w:r w:rsidRPr="00385289">
        <w:rPr>
          <w:bCs/>
          <w:i/>
          <w:szCs w:val="22"/>
        </w:rPr>
        <w:t>Teofylín</w:t>
      </w:r>
      <w:proofErr w:type="spellEnd"/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Neexistujú žiadne dôkazy o klinicky významných </w:t>
      </w:r>
      <w:proofErr w:type="spellStart"/>
      <w:r w:rsidRPr="00385289">
        <w:rPr>
          <w:szCs w:val="22"/>
        </w:rPr>
        <w:t>farmakokinetických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interakciach</w:t>
      </w:r>
      <w:proofErr w:type="spellEnd"/>
      <w:r w:rsidRPr="00385289">
        <w:rPr>
          <w:szCs w:val="22"/>
        </w:rPr>
        <w:t xml:space="preserve">, keď sa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teofylín</w:t>
      </w:r>
      <w:proofErr w:type="spellEnd"/>
      <w:r w:rsidRPr="00385289">
        <w:rPr>
          <w:szCs w:val="22"/>
        </w:rPr>
        <w:t xml:space="preserve"> podáva</w:t>
      </w:r>
      <w:r>
        <w:rPr>
          <w:szCs w:val="22"/>
        </w:rPr>
        <w:t>jú</w:t>
      </w:r>
      <w:r w:rsidRPr="00385289">
        <w:rPr>
          <w:szCs w:val="22"/>
        </w:rPr>
        <w:t xml:space="preserve"> súbežne zdravým dobrovoľníkom.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596E40" w:rsidRDefault="002A62E4" w:rsidP="00AD31B7">
      <w:pPr>
        <w:pStyle w:val="MGGTextLeft"/>
        <w:keepNext w:val="0"/>
        <w:widowControl w:val="0"/>
        <w:ind w:left="0" w:firstLine="0"/>
        <w:rPr>
          <w:i/>
          <w:szCs w:val="22"/>
        </w:rPr>
      </w:pPr>
      <w:proofErr w:type="spellStart"/>
      <w:r w:rsidRPr="00596E40">
        <w:rPr>
          <w:i/>
          <w:szCs w:val="22"/>
        </w:rPr>
        <w:t>Triazolam</w:t>
      </w:r>
      <w:proofErr w:type="spellEnd"/>
      <w:r w:rsidRPr="00596E40">
        <w:rPr>
          <w:i/>
          <w:szCs w:val="22"/>
        </w:rPr>
        <w:t xml:space="preserve"> 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U 14 zdravých dobrovoľníkov, súbežné podávanie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v dávke 500 mg </w:t>
      </w:r>
      <w:r>
        <w:rPr>
          <w:szCs w:val="22"/>
        </w:rPr>
        <w:t xml:space="preserve">v </w:t>
      </w:r>
      <w:r w:rsidRPr="00385289">
        <w:rPr>
          <w:szCs w:val="22"/>
        </w:rPr>
        <w:t>1. deň a 250 mg na 2</w:t>
      </w:r>
      <w:r>
        <w:rPr>
          <w:szCs w:val="22"/>
        </w:rPr>
        <w:t>.</w:t>
      </w:r>
      <w:r w:rsidRPr="00385289">
        <w:rPr>
          <w:szCs w:val="22"/>
        </w:rPr>
        <w:t xml:space="preserve"> deň s</w:t>
      </w:r>
      <w:r>
        <w:rPr>
          <w:szCs w:val="22"/>
        </w:rPr>
        <w:t>úbežne s</w:t>
      </w:r>
      <w:r w:rsidRPr="00385289">
        <w:rPr>
          <w:szCs w:val="22"/>
        </w:rPr>
        <w:t xml:space="preserve"> 0,125 mg </w:t>
      </w:r>
      <w:proofErr w:type="spellStart"/>
      <w:r w:rsidRPr="00385289">
        <w:rPr>
          <w:szCs w:val="22"/>
        </w:rPr>
        <w:t>triazolamu</w:t>
      </w:r>
      <w:proofErr w:type="spellEnd"/>
      <w:r w:rsidRPr="00385289">
        <w:rPr>
          <w:szCs w:val="22"/>
        </w:rPr>
        <w:t xml:space="preserve"> na 2. deň nemalo významný </w:t>
      </w:r>
      <w:r>
        <w:rPr>
          <w:szCs w:val="22"/>
        </w:rPr>
        <w:t>vplyv</w:t>
      </w:r>
      <w:r w:rsidRPr="00385289">
        <w:rPr>
          <w:szCs w:val="22"/>
        </w:rPr>
        <w:t xml:space="preserve"> na </w:t>
      </w:r>
      <w:proofErr w:type="spellStart"/>
      <w:r w:rsidRPr="00385289">
        <w:rPr>
          <w:szCs w:val="22"/>
        </w:rPr>
        <w:t>farmakokineti</w:t>
      </w:r>
      <w:r>
        <w:rPr>
          <w:szCs w:val="22"/>
        </w:rPr>
        <w:t>cké</w:t>
      </w:r>
      <w:proofErr w:type="spellEnd"/>
      <w:r>
        <w:rPr>
          <w:szCs w:val="22"/>
        </w:rPr>
        <w:t xml:space="preserve"> ukazovatele</w:t>
      </w:r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triazolamu</w:t>
      </w:r>
      <w:proofErr w:type="spellEnd"/>
      <w:r w:rsidRPr="00385289">
        <w:rPr>
          <w:szCs w:val="22"/>
        </w:rPr>
        <w:t xml:space="preserve"> v porovnaní s </w:t>
      </w:r>
      <w:proofErr w:type="spellStart"/>
      <w:r w:rsidRPr="00385289">
        <w:rPr>
          <w:szCs w:val="22"/>
        </w:rPr>
        <w:t>triazolamom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placebom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i/>
          <w:szCs w:val="22"/>
        </w:rPr>
        <w:t>Trimetoprim</w:t>
      </w:r>
      <w:proofErr w:type="spellEnd"/>
      <w:r w:rsidRPr="00385289">
        <w:rPr>
          <w:i/>
          <w:szCs w:val="22"/>
        </w:rPr>
        <w:t>/</w:t>
      </w:r>
      <w:proofErr w:type="spellStart"/>
      <w:r w:rsidRPr="00385289">
        <w:rPr>
          <w:i/>
          <w:szCs w:val="22"/>
        </w:rPr>
        <w:t>sulfametoxazol</w:t>
      </w:r>
      <w:proofErr w:type="spellEnd"/>
      <w:r w:rsidRPr="00385289">
        <w:rPr>
          <w:szCs w:val="22"/>
        </w:rPr>
        <w:t xml:space="preserve"> 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Súbežné podávanie </w:t>
      </w:r>
      <w:proofErr w:type="spellStart"/>
      <w:r w:rsidRPr="00385289">
        <w:rPr>
          <w:szCs w:val="22"/>
        </w:rPr>
        <w:t>trimetoprimu</w:t>
      </w:r>
      <w:proofErr w:type="spellEnd"/>
      <w:r w:rsidRPr="00385289">
        <w:rPr>
          <w:szCs w:val="22"/>
        </w:rPr>
        <w:t>/</w:t>
      </w:r>
      <w:proofErr w:type="spellStart"/>
      <w:r w:rsidRPr="00385289">
        <w:rPr>
          <w:szCs w:val="22"/>
        </w:rPr>
        <w:t>sulfametoxazolu</w:t>
      </w:r>
      <w:proofErr w:type="spellEnd"/>
      <w:r w:rsidRPr="00385289">
        <w:rPr>
          <w:szCs w:val="22"/>
        </w:rPr>
        <w:t xml:space="preserve"> DS (160 mg/800 mg) po</w:t>
      </w:r>
      <w:r>
        <w:rPr>
          <w:szCs w:val="22"/>
        </w:rPr>
        <w:t xml:space="preserve">čas </w:t>
      </w:r>
      <w:r w:rsidRPr="00385289">
        <w:rPr>
          <w:szCs w:val="22"/>
        </w:rPr>
        <w:t>7 dní s</w:t>
      </w:r>
      <w:r>
        <w:rPr>
          <w:szCs w:val="22"/>
        </w:rPr>
        <w:t>úbežne s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t>azitromycínom</w:t>
      </w:r>
      <w:proofErr w:type="spellEnd"/>
      <w:r w:rsidRPr="00385289">
        <w:rPr>
          <w:szCs w:val="22"/>
        </w:rPr>
        <w:t xml:space="preserve"> 1</w:t>
      </w:r>
      <w:r>
        <w:rPr>
          <w:szCs w:val="22"/>
        </w:rPr>
        <w:t> </w:t>
      </w:r>
      <w:r w:rsidRPr="00385289">
        <w:rPr>
          <w:szCs w:val="22"/>
        </w:rPr>
        <w:t xml:space="preserve">200 mg na 7. deň nemalo významný </w:t>
      </w:r>
      <w:r>
        <w:rPr>
          <w:szCs w:val="22"/>
        </w:rPr>
        <w:t>vplyv</w:t>
      </w:r>
      <w:r w:rsidRPr="00385289">
        <w:rPr>
          <w:szCs w:val="22"/>
        </w:rPr>
        <w:t xml:space="preserve"> na maximálnu koncentráciu, celkovú 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expozíciu alebo vylučovanie obličkami </w:t>
      </w:r>
      <w:proofErr w:type="spellStart"/>
      <w:r w:rsidRPr="00385289">
        <w:rPr>
          <w:szCs w:val="22"/>
        </w:rPr>
        <w:t>trimetoprimu</w:t>
      </w:r>
      <w:proofErr w:type="spellEnd"/>
      <w:r w:rsidRPr="00385289">
        <w:rPr>
          <w:szCs w:val="22"/>
        </w:rPr>
        <w:t xml:space="preserve"> </w:t>
      </w:r>
      <w:r>
        <w:rPr>
          <w:szCs w:val="22"/>
        </w:rPr>
        <w:t>ani</w:t>
      </w:r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sulfametoxazolu</w:t>
      </w:r>
      <w:proofErr w:type="spellEnd"/>
      <w:r w:rsidRPr="00385289">
        <w:rPr>
          <w:szCs w:val="22"/>
        </w:rPr>
        <w:t xml:space="preserve">. Koncentrácia 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lastRenderedPageBreak/>
        <w:t>azitromycínu</w:t>
      </w:r>
      <w:proofErr w:type="spellEnd"/>
      <w:r w:rsidRPr="00385289">
        <w:rPr>
          <w:szCs w:val="22"/>
        </w:rPr>
        <w:t xml:space="preserve"> v sére bola podobná ako iných štúdiách.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  <w:r w:rsidRPr="00385289">
        <w:rPr>
          <w:i/>
          <w:iCs/>
          <w:szCs w:val="22"/>
        </w:rPr>
        <w:t>Substráty CYP3A4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iCs/>
          <w:szCs w:val="22"/>
        </w:rPr>
      </w:pPr>
      <w:r w:rsidRPr="00385289">
        <w:rPr>
          <w:iCs/>
          <w:szCs w:val="22"/>
        </w:rPr>
        <w:t xml:space="preserve">Hoci sa zdá, že </w:t>
      </w:r>
      <w:proofErr w:type="spellStart"/>
      <w:r w:rsidRPr="00385289">
        <w:rPr>
          <w:iCs/>
          <w:szCs w:val="22"/>
        </w:rPr>
        <w:t>azitromycín</w:t>
      </w:r>
      <w:proofErr w:type="spellEnd"/>
      <w:r w:rsidRPr="00385289">
        <w:rPr>
          <w:iCs/>
          <w:szCs w:val="22"/>
        </w:rPr>
        <w:t xml:space="preserve"> nepôsobí inhibične na enzým CYP3A4, odporúča sa opatrnosť pri kombinovaní lieku s </w:t>
      </w:r>
      <w:proofErr w:type="spellStart"/>
      <w:r w:rsidRPr="00385289">
        <w:rPr>
          <w:iCs/>
          <w:szCs w:val="22"/>
        </w:rPr>
        <w:t>chinidínom</w:t>
      </w:r>
      <w:proofErr w:type="spellEnd"/>
      <w:r w:rsidRPr="00385289">
        <w:rPr>
          <w:iCs/>
          <w:szCs w:val="22"/>
        </w:rPr>
        <w:t xml:space="preserve">, </w:t>
      </w:r>
      <w:proofErr w:type="spellStart"/>
      <w:r w:rsidRPr="00385289">
        <w:rPr>
          <w:iCs/>
          <w:szCs w:val="22"/>
        </w:rPr>
        <w:t>cyklosporínom</w:t>
      </w:r>
      <w:proofErr w:type="spellEnd"/>
      <w:r w:rsidRPr="00385289">
        <w:rPr>
          <w:iCs/>
          <w:szCs w:val="22"/>
        </w:rPr>
        <w:t xml:space="preserve">, </w:t>
      </w:r>
      <w:proofErr w:type="spellStart"/>
      <w:r w:rsidRPr="00385289">
        <w:rPr>
          <w:iCs/>
          <w:szCs w:val="22"/>
        </w:rPr>
        <w:t>cisapridom</w:t>
      </w:r>
      <w:proofErr w:type="spellEnd"/>
      <w:r w:rsidRPr="00385289">
        <w:rPr>
          <w:iCs/>
          <w:szCs w:val="22"/>
        </w:rPr>
        <w:t xml:space="preserve">, </w:t>
      </w:r>
      <w:proofErr w:type="spellStart"/>
      <w:r w:rsidRPr="00385289">
        <w:rPr>
          <w:iCs/>
          <w:szCs w:val="22"/>
        </w:rPr>
        <w:t>astemizolom</w:t>
      </w:r>
      <w:proofErr w:type="spellEnd"/>
      <w:r w:rsidRPr="00385289">
        <w:rPr>
          <w:iCs/>
          <w:szCs w:val="22"/>
        </w:rPr>
        <w:t xml:space="preserve">, </w:t>
      </w:r>
      <w:proofErr w:type="spellStart"/>
      <w:r w:rsidRPr="00385289">
        <w:rPr>
          <w:iCs/>
          <w:szCs w:val="22"/>
        </w:rPr>
        <w:t>terfenadínom</w:t>
      </w:r>
      <w:proofErr w:type="spellEnd"/>
      <w:r w:rsidRPr="00385289">
        <w:rPr>
          <w:iCs/>
          <w:szCs w:val="22"/>
        </w:rPr>
        <w:t xml:space="preserve">, </w:t>
      </w:r>
      <w:proofErr w:type="spellStart"/>
      <w:r w:rsidRPr="00385289">
        <w:rPr>
          <w:iCs/>
          <w:szCs w:val="22"/>
        </w:rPr>
        <w:t>námeľovými</w:t>
      </w:r>
      <w:proofErr w:type="spellEnd"/>
      <w:r w:rsidRPr="00385289">
        <w:rPr>
          <w:iCs/>
          <w:szCs w:val="22"/>
        </w:rPr>
        <w:t xml:space="preserve"> alkaloidmi,</w:t>
      </w:r>
      <w:r>
        <w:rPr>
          <w:iCs/>
          <w:szCs w:val="22"/>
        </w:rPr>
        <w:t xml:space="preserve"> </w:t>
      </w:r>
      <w:proofErr w:type="spellStart"/>
      <w:r w:rsidRPr="00385289">
        <w:rPr>
          <w:iCs/>
          <w:szCs w:val="22"/>
        </w:rPr>
        <w:t>pimozidom</w:t>
      </w:r>
      <w:proofErr w:type="spellEnd"/>
      <w:r w:rsidRPr="00385289">
        <w:rPr>
          <w:iCs/>
          <w:szCs w:val="22"/>
        </w:rPr>
        <w:t xml:space="preserve"> alebo s inými liekmi s úzkym terapeutickým indexom, ktoré sú metabolizované predovšetkým enzýmom CYP3A4.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  <w:proofErr w:type="spellStart"/>
      <w:r w:rsidRPr="00385289">
        <w:rPr>
          <w:i/>
          <w:iCs/>
          <w:szCs w:val="22"/>
        </w:rPr>
        <w:t>Cisaprid</w:t>
      </w:r>
      <w:proofErr w:type="spellEnd"/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385289">
        <w:rPr>
          <w:szCs w:val="22"/>
        </w:rPr>
        <w:t>Cisaprid</w:t>
      </w:r>
      <w:proofErr w:type="spellEnd"/>
      <w:r w:rsidRPr="00385289">
        <w:rPr>
          <w:szCs w:val="22"/>
        </w:rPr>
        <w:t xml:space="preserve"> sa metabolizuje v pečeni prostredníctvom enzýmu CYP 3A4. Keďže </w:t>
      </w:r>
      <w:proofErr w:type="spellStart"/>
      <w:r w:rsidRPr="00385289">
        <w:rPr>
          <w:szCs w:val="22"/>
        </w:rPr>
        <w:t>makrolidy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inhibujú</w:t>
      </w:r>
      <w:proofErr w:type="spellEnd"/>
      <w:r w:rsidRPr="00385289">
        <w:rPr>
          <w:szCs w:val="22"/>
        </w:rPr>
        <w:t xml:space="preserve"> tento enzým, súbežné podávanie </w:t>
      </w:r>
      <w:proofErr w:type="spellStart"/>
      <w:r w:rsidRPr="00385289">
        <w:rPr>
          <w:szCs w:val="22"/>
        </w:rPr>
        <w:t>cisapridu</w:t>
      </w:r>
      <w:proofErr w:type="spellEnd"/>
      <w:r w:rsidRPr="00385289">
        <w:rPr>
          <w:szCs w:val="22"/>
        </w:rPr>
        <w:t xml:space="preserve"> môže spôsobiť predĺženie QT intervalu, </w:t>
      </w:r>
      <w:proofErr w:type="spellStart"/>
      <w:r w:rsidRPr="00385289">
        <w:rPr>
          <w:szCs w:val="22"/>
        </w:rPr>
        <w:t>ventrikulárne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arytmie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torsades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de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pointes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  <w:proofErr w:type="spellStart"/>
      <w:r w:rsidRPr="00385289">
        <w:rPr>
          <w:i/>
          <w:iCs/>
          <w:szCs w:val="22"/>
        </w:rPr>
        <w:t>Astemizol</w:t>
      </w:r>
      <w:proofErr w:type="spellEnd"/>
      <w:r w:rsidRPr="00385289">
        <w:rPr>
          <w:i/>
          <w:iCs/>
          <w:szCs w:val="22"/>
        </w:rPr>
        <w:t xml:space="preserve"> a </w:t>
      </w:r>
      <w:proofErr w:type="spellStart"/>
      <w:r w:rsidRPr="00385289">
        <w:rPr>
          <w:i/>
          <w:iCs/>
          <w:szCs w:val="22"/>
        </w:rPr>
        <w:t>alfentanil</w:t>
      </w:r>
      <w:proofErr w:type="spellEnd"/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Nie sú dostupné žiadne údaje týkajúce sa interakcií s </w:t>
      </w:r>
      <w:proofErr w:type="spellStart"/>
      <w:r w:rsidRPr="00385289">
        <w:rPr>
          <w:szCs w:val="22"/>
        </w:rPr>
        <w:t>astemizolom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alfentanilom</w:t>
      </w:r>
      <w:proofErr w:type="spellEnd"/>
      <w:r w:rsidRPr="00385289">
        <w:rPr>
          <w:szCs w:val="22"/>
        </w:rPr>
        <w:t xml:space="preserve">. Pri súbežnom podávaní týchto liekov s </w:t>
      </w:r>
      <w:proofErr w:type="spellStart"/>
      <w:r w:rsidRPr="00385289">
        <w:rPr>
          <w:szCs w:val="22"/>
        </w:rPr>
        <w:t>azitromycínom</w:t>
      </w:r>
      <w:proofErr w:type="spellEnd"/>
      <w:r w:rsidRPr="00385289">
        <w:rPr>
          <w:szCs w:val="22"/>
        </w:rPr>
        <w:t xml:space="preserve"> sa odporúča opatrnosť vzhľadom na popísané zosilnenie jeho účinku počas súbežného užívania s </w:t>
      </w:r>
      <w:proofErr w:type="spellStart"/>
      <w:r w:rsidRPr="00385289">
        <w:rPr>
          <w:szCs w:val="22"/>
        </w:rPr>
        <w:t>makrolidovým</w:t>
      </w:r>
      <w:proofErr w:type="spellEnd"/>
      <w:r w:rsidRPr="00385289">
        <w:rPr>
          <w:szCs w:val="22"/>
        </w:rPr>
        <w:t xml:space="preserve"> antibiotikom </w:t>
      </w:r>
      <w:proofErr w:type="spellStart"/>
      <w:r w:rsidRPr="00385289">
        <w:rPr>
          <w:szCs w:val="22"/>
        </w:rPr>
        <w:t>erytromycínom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AD31B7">
      <w:pPr>
        <w:pStyle w:val="MGGHeading3"/>
        <w:keepNext w:val="0"/>
        <w:keepLines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4.6</w:t>
      </w:r>
      <w:r w:rsidRPr="00385289">
        <w:rPr>
          <w:szCs w:val="22"/>
        </w:rPr>
        <w:tab/>
      </w:r>
      <w:proofErr w:type="spellStart"/>
      <w:r w:rsidRPr="00385289">
        <w:rPr>
          <w:szCs w:val="22"/>
        </w:rPr>
        <w:t>Fertilita</w:t>
      </w:r>
      <w:proofErr w:type="spellEnd"/>
      <w:r w:rsidRPr="00385289">
        <w:rPr>
          <w:szCs w:val="22"/>
        </w:rPr>
        <w:t>, gravidita a laktácia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596E40" w:rsidRDefault="002A62E4" w:rsidP="00AD31B7">
      <w:pPr>
        <w:pStyle w:val="MGGTextLeft"/>
        <w:keepNext w:val="0"/>
        <w:widowControl w:val="0"/>
        <w:rPr>
          <w:iCs/>
          <w:szCs w:val="22"/>
        </w:rPr>
      </w:pPr>
      <w:r w:rsidRPr="00596E40">
        <w:rPr>
          <w:iCs/>
          <w:szCs w:val="22"/>
          <w:u w:val="single"/>
        </w:rPr>
        <w:t>Gravidita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Neexistujú žiadne </w:t>
      </w:r>
      <w:r>
        <w:rPr>
          <w:szCs w:val="22"/>
        </w:rPr>
        <w:t>primerané</w:t>
      </w:r>
      <w:r w:rsidRPr="00385289">
        <w:rPr>
          <w:szCs w:val="22"/>
        </w:rPr>
        <w:t xml:space="preserve"> a dobre kontrolované štúdie o použití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u gravidných žien. 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Obmedzené údaje u ľudí nenaznačujú zvýšené riziko vrodených chýb. 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 štúdiách reprodukčnej toxicity u zvierat sa </w:t>
      </w:r>
      <w:r>
        <w:rPr>
          <w:szCs w:val="22"/>
        </w:rPr>
        <w:t>do</w:t>
      </w:r>
      <w:r w:rsidRPr="00385289">
        <w:rPr>
          <w:szCs w:val="22"/>
        </w:rPr>
        <w:t xml:space="preserve">kázalo, že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prechádza placentou, no nepozorovali sa žiadne </w:t>
      </w:r>
      <w:proofErr w:type="spellStart"/>
      <w:r w:rsidRPr="00385289">
        <w:rPr>
          <w:szCs w:val="22"/>
        </w:rPr>
        <w:t>teratogénne</w:t>
      </w:r>
      <w:proofErr w:type="spellEnd"/>
      <w:r w:rsidRPr="00385289">
        <w:rPr>
          <w:szCs w:val="22"/>
        </w:rPr>
        <w:t xml:space="preserve"> účinky (pozri časť 5.3).</w:t>
      </w:r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Bezpečnosť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sa vzhľadom na použitie liečiva počas gravidity nepotvrdila. Z tohto dôvodu sa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má používať počas gravidity len vtedy, ak prínos </w:t>
      </w:r>
      <w:r>
        <w:rPr>
          <w:szCs w:val="22"/>
        </w:rPr>
        <w:t xml:space="preserve">preváži </w:t>
      </w:r>
      <w:r w:rsidRPr="00385289">
        <w:rPr>
          <w:szCs w:val="22"/>
        </w:rPr>
        <w:t>riziko.</w:t>
      </w:r>
    </w:p>
    <w:p w:rsidR="002A62E4" w:rsidRPr="00385289" w:rsidRDefault="002A62E4" w:rsidP="00AD31B7">
      <w:pPr>
        <w:pStyle w:val="MGGTextLeft"/>
        <w:keepNext w:val="0"/>
        <w:widowControl w:val="0"/>
        <w:rPr>
          <w:i/>
          <w:iCs/>
          <w:szCs w:val="22"/>
        </w:rPr>
      </w:pPr>
    </w:p>
    <w:p w:rsidR="002A62E4" w:rsidRPr="00596E40" w:rsidRDefault="002A62E4" w:rsidP="00AD31B7">
      <w:pPr>
        <w:pStyle w:val="MGGTextLeft"/>
        <w:keepNext w:val="0"/>
        <w:widowControl w:val="0"/>
        <w:rPr>
          <w:iCs/>
          <w:szCs w:val="22"/>
        </w:rPr>
      </w:pPr>
      <w:r w:rsidRPr="00596E40">
        <w:rPr>
          <w:iCs/>
          <w:szCs w:val="22"/>
          <w:u w:val="single"/>
        </w:rPr>
        <w:t>Laktácia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Nahlásilo sa, že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prechádza do ľudského materského mlieka, no neexistujú žiadne primerané a dobre kontrolované klinické štúdie u dojčiacich žien, ktoré by charakterizovali </w:t>
      </w:r>
      <w:proofErr w:type="spellStart"/>
      <w:r w:rsidRPr="00385289">
        <w:rPr>
          <w:szCs w:val="22"/>
        </w:rPr>
        <w:t>farmakokinetiku</w:t>
      </w:r>
      <w:proofErr w:type="spellEnd"/>
      <w:r w:rsidRPr="00385289">
        <w:rPr>
          <w:szCs w:val="22"/>
        </w:rPr>
        <w:t xml:space="preserve"> vylučovania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do ľudského materského mlieka.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Riziko pre dojčené dieťa nemožno vylúčiť. </w:t>
      </w:r>
      <w:proofErr w:type="spellStart"/>
      <w:r w:rsidRPr="00385289">
        <w:rPr>
          <w:szCs w:val="22"/>
        </w:rPr>
        <w:t>Zigilex</w:t>
      </w:r>
      <w:proofErr w:type="spellEnd"/>
      <w:r w:rsidRPr="00385289">
        <w:rPr>
          <w:szCs w:val="22"/>
        </w:rPr>
        <w:t xml:space="preserve"> sa nemá používať na liečbu dojčiacich žien, </w:t>
      </w:r>
      <w:r>
        <w:rPr>
          <w:szCs w:val="22"/>
        </w:rPr>
        <w:t>len</w:t>
      </w:r>
      <w:r w:rsidRPr="00385289">
        <w:rPr>
          <w:szCs w:val="22"/>
        </w:rPr>
        <w:t xml:space="preserve"> ak možné prínosy prevážia </w:t>
      </w:r>
      <w:r>
        <w:rPr>
          <w:szCs w:val="22"/>
        </w:rPr>
        <w:t>možné</w:t>
      </w:r>
      <w:r w:rsidRPr="00385289">
        <w:rPr>
          <w:szCs w:val="22"/>
        </w:rPr>
        <w:t xml:space="preserve"> riziká pre dojča.</w:t>
      </w:r>
    </w:p>
    <w:p w:rsidR="002A62E4" w:rsidRPr="00385289" w:rsidRDefault="002A62E4" w:rsidP="00596E40">
      <w:pPr>
        <w:pStyle w:val="MGGTextLeft"/>
        <w:keepNext w:val="0"/>
        <w:widowControl w:val="0"/>
        <w:rPr>
          <w:szCs w:val="22"/>
        </w:rPr>
      </w:pPr>
    </w:p>
    <w:p w:rsidR="002A62E4" w:rsidRPr="00596E40" w:rsidRDefault="002A62E4" w:rsidP="00AD31B7">
      <w:pPr>
        <w:pStyle w:val="MGGTextLeft"/>
        <w:keepNext w:val="0"/>
        <w:widowControl w:val="0"/>
        <w:rPr>
          <w:szCs w:val="22"/>
          <w:u w:val="single"/>
        </w:rPr>
      </w:pPr>
      <w:proofErr w:type="spellStart"/>
      <w:r w:rsidRPr="00596E40">
        <w:rPr>
          <w:szCs w:val="22"/>
          <w:u w:val="single"/>
        </w:rPr>
        <w:t>Fertilita</w:t>
      </w:r>
      <w:proofErr w:type="spellEnd"/>
    </w:p>
    <w:p w:rsidR="002A62E4" w:rsidRPr="00385289" w:rsidRDefault="002A62E4" w:rsidP="00AD31B7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 štúdiách </w:t>
      </w:r>
      <w:proofErr w:type="spellStart"/>
      <w:r w:rsidRPr="00385289">
        <w:rPr>
          <w:szCs w:val="22"/>
        </w:rPr>
        <w:t>fertility</w:t>
      </w:r>
      <w:proofErr w:type="spellEnd"/>
      <w:r w:rsidRPr="00385289">
        <w:rPr>
          <w:szCs w:val="22"/>
        </w:rPr>
        <w:t xml:space="preserve"> vykonávaných u potkanov sa po podávaní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pozoroval</w:t>
      </w:r>
      <w:r>
        <w:rPr>
          <w:szCs w:val="22"/>
        </w:rPr>
        <w:t>a</w:t>
      </w:r>
      <w:r w:rsidRPr="00385289">
        <w:rPr>
          <w:szCs w:val="22"/>
        </w:rPr>
        <w:t xml:space="preserve"> znížen</w:t>
      </w:r>
      <w:r>
        <w:rPr>
          <w:szCs w:val="22"/>
        </w:rPr>
        <w:t>á</w:t>
      </w:r>
      <w:r w:rsidRPr="00385289">
        <w:rPr>
          <w:szCs w:val="22"/>
        </w:rPr>
        <w:t xml:space="preserve"> mier</w:t>
      </w:r>
      <w:r>
        <w:rPr>
          <w:szCs w:val="22"/>
        </w:rPr>
        <w:t>a</w:t>
      </w:r>
      <w:r w:rsidRPr="00385289">
        <w:rPr>
          <w:szCs w:val="22"/>
        </w:rPr>
        <w:t xml:space="preserve"> gravidít. Význam tohto zistenia pre ľudí nie je známy.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AD31B7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4.7</w:t>
      </w:r>
      <w:r w:rsidRPr="00385289">
        <w:rPr>
          <w:szCs w:val="22"/>
        </w:rPr>
        <w:tab/>
        <w:t xml:space="preserve">Ovplyvnenie schopnosti viesť vozidlá a obsluhovať stroje </w:t>
      </w:r>
    </w:p>
    <w:p w:rsidR="002A62E4" w:rsidRPr="00385289" w:rsidRDefault="002A62E4" w:rsidP="00AD31B7">
      <w:pPr>
        <w:pStyle w:val="MGGHeading3"/>
        <w:keepNext w:val="0"/>
        <w:keepLines w:val="0"/>
        <w:widowControl w:val="0"/>
        <w:rPr>
          <w:szCs w:val="22"/>
        </w:rPr>
      </w:pPr>
    </w:p>
    <w:p w:rsidR="002A62E4" w:rsidRPr="00385289" w:rsidRDefault="002A62E4" w:rsidP="00AD31B7">
      <w:pPr>
        <w:pStyle w:val="MGGHeading3"/>
        <w:keepNext w:val="0"/>
        <w:keepLines w:val="0"/>
        <w:widowControl w:val="0"/>
        <w:tabs>
          <w:tab w:val="clear" w:pos="567"/>
          <w:tab w:val="left" w:pos="0"/>
        </w:tabs>
        <w:ind w:left="0" w:firstLine="0"/>
        <w:rPr>
          <w:szCs w:val="22"/>
        </w:rPr>
      </w:pPr>
      <w:r w:rsidRPr="00385289">
        <w:rPr>
          <w:rStyle w:val="MGGFootnoteReference"/>
          <w:b w:val="0"/>
          <w:sz w:val="22"/>
          <w:szCs w:val="22"/>
          <w:vertAlign w:val="baseline"/>
        </w:rPr>
        <w:t xml:space="preserve">Neexistujú žiadne štúdie, ktoré </w:t>
      </w:r>
      <w:r>
        <w:rPr>
          <w:rStyle w:val="MGGFootnoteReference"/>
          <w:b w:val="0"/>
          <w:sz w:val="22"/>
          <w:szCs w:val="22"/>
          <w:vertAlign w:val="baseline"/>
        </w:rPr>
        <w:t xml:space="preserve">by </w:t>
      </w:r>
      <w:r w:rsidRPr="00385289">
        <w:rPr>
          <w:rStyle w:val="MGGFootnoteReference"/>
          <w:b w:val="0"/>
          <w:sz w:val="22"/>
          <w:szCs w:val="22"/>
          <w:vertAlign w:val="baseline"/>
        </w:rPr>
        <w:t>naznač</w:t>
      </w:r>
      <w:r>
        <w:rPr>
          <w:rStyle w:val="MGGFootnoteReference"/>
          <w:b w:val="0"/>
          <w:sz w:val="22"/>
          <w:szCs w:val="22"/>
          <w:vertAlign w:val="baseline"/>
        </w:rPr>
        <w:t>ovali</w:t>
      </w:r>
      <w:r w:rsidRPr="00385289">
        <w:rPr>
          <w:rStyle w:val="MGGFootnoteReference"/>
          <w:b w:val="0"/>
          <w:sz w:val="22"/>
          <w:szCs w:val="22"/>
          <w:vertAlign w:val="baseline"/>
        </w:rPr>
        <w:t xml:space="preserve">, že </w:t>
      </w:r>
      <w:proofErr w:type="spellStart"/>
      <w:r w:rsidRPr="00385289">
        <w:rPr>
          <w:rStyle w:val="MGGFootnoteReference"/>
          <w:b w:val="0"/>
          <w:sz w:val="22"/>
          <w:szCs w:val="22"/>
          <w:vertAlign w:val="baseline"/>
        </w:rPr>
        <w:t>azitromycín</w:t>
      </w:r>
      <w:proofErr w:type="spellEnd"/>
      <w:r w:rsidRPr="00385289">
        <w:rPr>
          <w:rStyle w:val="MGGFootnoteReference"/>
          <w:b w:val="0"/>
          <w:sz w:val="22"/>
          <w:szCs w:val="22"/>
          <w:vertAlign w:val="baseline"/>
        </w:rPr>
        <w:t xml:space="preserve"> môže mať u pacienta vplyv na schopnosť viesť vozidlá a obsluhovať stroje.</w:t>
      </w:r>
    </w:p>
    <w:p w:rsidR="002A62E4" w:rsidRPr="00385289" w:rsidRDefault="002A62E4" w:rsidP="00AD31B7">
      <w:pPr>
        <w:pStyle w:val="MGGHeading3"/>
        <w:keepNext w:val="0"/>
        <w:keepLines w:val="0"/>
        <w:widowControl w:val="0"/>
        <w:rPr>
          <w:szCs w:val="22"/>
        </w:rPr>
      </w:pPr>
    </w:p>
    <w:p w:rsidR="002A62E4" w:rsidRPr="00385289" w:rsidRDefault="002A62E4" w:rsidP="00AD31B7">
      <w:pPr>
        <w:pStyle w:val="MGGHeading3"/>
        <w:keepNext w:val="0"/>
        <w:keepLines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4.8</w:t>
      </w:r>
      <w:r w:rsidRPr="00385289">
        <w:rPr>
          <w:szCs w:val="22"/>
        </w:rPr>
        <w:tab/>
        <w:t>Nežiaduce účinky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Nižšie uvedená tabuľka uvádza nežiaduce účinky zistené z klinických štúdií a</w:t>
      </w:r>
      <w:r>
        <w:rPr>
          <w:szCs w:val="22"/>
        </w:rPr>
        <w:t> zo sledovania po uvedení lieku na trh</w:t>
      </w:r>
      <w:r w:rsidRPr="00385289">
        <w:rPr>
          <w:szCs w:val="22"/>
        </w:rPr>
        <w:t xml:space="preserve"> podľa tried orgánových systémov a frekvencie. Nežiaduce účinky zistené </w:t>
      </w:r>
      <w:r>
        <w:rPr>
          <w:szCs w:val="22"/>
        </w:rPr>
        <w:t>po uvedení lieku na trh</w:t>
      </w:r>
      <w:r w:rsidRPr="00385289" w:rsidDel="0061315A">
        <w:rPr>
          <w:szCs w:val="22"/>
        </w:rPr>
        <w:t xml:space="preserve"> </w:t>
      </w:r>
      <w:r w:rsidRPr="00385289">
        <w:rPr>
          <w:szCs w:val="22"/>
        </w:rPr>
        <w:t>sú uvedené kurzívou. Frekvencia výskytu je definovaná podľa nasledujúcej konvencie: Veľmi časté (≥</w:t>
      </w:r>
      <w:r>
        <w:rPr>
          <w:szCs w:val="22"/>
        </w:rPr>
        <w:t> </w:t>
      </w:r>
      <w:r w:rsidRPr="00385289">
        <w:rPr>
          <w:szCs w:val="22"/>
        </w:rPr>
        <w:t>1/10); časté (≥</w:t>
      </w:r>
      <w:r>
        <w:rPr>
          <w:szCs w:val="22"/>
        </w:rPr>
        <w:t> </w:t>
      </w:r>
      <w:r w:rsidRPr="00385289">
        <w:rPr>
          <w:szCs w:val="22"/>
        </w:rPr>
        <w:t>1/100 až &lt;</w:t>
      </w:r>
      <w:r>
        <w:rPr>
          <w:szCs w:val="22"/>
        </w:rPr>
        <w:t> </w:t>
      </w:r>
      <w:r w:rsidRPr="00385289">
        <w:rPr>
          <w:szCs w:val="22"/>
        </w:rPr>
        <w:t>1/10); menej časté (≥</w:t>
      </w:r>
      <w:r>
        <w:rPr>
          <w:szCs w:val="22"/>
        </w:rPr>
        <w:t> </w:t>
      </w:r>
      <w:r w:rsidRPr="00385289">
        <w:rPr>
          <w:szCs w:val="22"/>
        </w:rPr>
        <w:t>1/1 000 až &lt;</w:t>
      </w:r>
      <w:r>
        <w:rPr>
          <w:szCs w:val="22"/>
        </w:rPr>
        <w:t> </w:t>
      </w:r>
      <w:r w:rsidRPr="00385289">
        <w:rPr>
          <w:szCs w:val="22"/>
        </w:rPr>
        <w:t>1/100); zriedkavé (≥</w:t>
      </w:r>
      <w:r>
        <w:rPr>
          <w:szCs w:val="22"/>
        </w:rPr>
        <w:t> </w:t>
      </w:r>
      <w:r w:rsidRPr="00385289">
        <w:rPr>
          <w:szCs w:val="22"/>
        </w:rPr>
        <w:t>1/10 000 až &lt;</w:t>
      </w:r>
      <w:r>
        <w:rPr>
          <w:szCs w:val="22"/>
        </w:rPr>
        <w:t> </w:t>
      </w:r>
      <w:r w:rsidRPr="00385289">
        <w:rPr>
          <w:szCs w:val="22"/>
        </w:rPr>
        <w:t>1/1 000); veľmi zriedkavé (&lt;</w:t>
      </w:r>
      <w:r>
        <w:rPr>
          <w:szCs w:val="22"/>
        </w:rPr>
        <w:t> </w:t>
      </w:r>
      <w:r w:rsidRPr="00385289">
        <w:rPr>
          <w:szCs w:val="22"/>
        </w:rPr>
        <w:t>1/10 000); neznáme (</w:t>
      </w:r>
      <w:r>
        <w:rPr>
          <w:szCs w:val="22"/>
        </w:rPr>
        <w:t xml:space="preserve">frekvencia sa </w:t>
      </w:r>
      <w:r w:rsidRPr="00385289">
        <w:rPr>
          <w:szCs w:val="22"/>
        </w:rPr>
        <w:t>ned</w:t>
      </w:r>
      <w:r>
        <w:rPr>
          <w:szCs w:val="22"/>
        </w:rPr>
        <w:t>á</w:t>
      </w:r>
      <w:r w:rsidRPr="00385289">
        <w:rPr>
          <w:szCs w:val="22"/>
        </w:rPr>
        <w:t xml:space="preserve"> odhadnúť z dostupných údajov). V rámci každej skupiny frekvencie sú nežiaduce účinky uvedené podľa klesajúcej závažnosti.</w:t>
      </w:r>
    </w:p>
    <w:p w:rsidR="002A62E4" w:rsidRPr="00385289" w:rsidRDefault="002A62E4" w:rsidP="00AD31B7">
      <w:pPr>
        <w:pStyle w:val="MGGTextLeft"/>
        <w:keepNext w:val="0"/>
        <w:widowControl w:val="0"/>
        <w:rPr>
          <w:szCs w:val="22"/>
          <w:highlight w:val="yellow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b/>
          <w:szCs w:val="22"/>
        </w:rPr>
      </w:pPr>
      <w:r w:rsidRPr="00385289">
        <w:rPr>
          <w:b/>
          <w:szCs w:val="22"/>
        </w:rPr>
        <w:t>Nežiaduce účinky možno alebo pravdepodobne súvisiace s </w:t>
      </w:r>
      <w:proofErr w:type="spellStart"/>
      <w:r w:rsidRPr="00385289">
        <w:rPr>
          <w:b/>
          <w:szCs w:val="22"/>
        </w:rPr>
        <w:t>azitromycínom</w:t>
      </w:r>
      <w:proofErr w:type="spellEnd"/>
      <w:r w:rsidRPr="00385289">
        <w:rPr>
          <w:b/>
          <w:szCs w:val="22"/>
        </w:rPr>
        <w:t xml:space="preserve"> na základe skúseností </w:t>
      </w:r>
    </w:p>
    <w:p w:rsidR="002A62E4" w:rsidRPr="00385289" w:rsidRDefault="002A62E4" w:rsidP="00E35CDB">
      <w:pPr>
        <w:pStyle w:val="MGGTextLeft"/>
        <w:keepNext w:val="0"/>
        <w:widowControl w:val="0"/>
        <w:rPr>
          <w:b/>
          <w:szCs w:val="22"/>
        </w:rPr>
      </w:pPr>
      <w:r w:rsidRPr="00385289">
        <w:rPr>
          <w:b/>
          <w:szCs w:val="22"/>
        </w:rPr>
        <w:t>z klinických štúdií a </w:t>
      </w:r>
      <w:proofErr w:type="spellStart"/>
      <w:r w:rsidRPr="00385289">
        <w:rPr>
          <w:b/>
          <w:szCs w:val="22"/>
        </w:rPr>
        <w:t>postmarketingových</w:t>
      </w:r>
      <w:proofErr w:type="spellEnd"/>
      <w:r w:rsidRPr="00385289">
        <w:rPr>
          <w:b/>
          <w:szCs w:val="22"/>
        </w:rPr>
        <w:t xml:space="preserve"> sledovaní:</w:t>
      </w:r>
    </w:p>
    <w:tbl>
      <w:tblPr>
        <w:tblW w:w="95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7"/>
        <w:gridCol w:w="15"/>
        <w:gridCol w:w="1386"/>
        <w:gridCol w:w="1754"/>
        <w:gridCol w:w="45"/>
        <w:gridCol w:w="1532"/>
        <w:gridCol w:w="60"/>
        <w:gridCol w:w="1428"/>
        <w:gridCol w:w="89"/>
        <w:gridCol w:w="1578"/>
        <w:gridCol w:w="90"/>
      </w:tblGrid>
      <w:tr w:rsidR="002A62E4" w:rsidRPr="00E35CDB" w:rsidTr="004017CF">
        <w:trPr>
          <w:trHeight w:val="1106"/>
        </w:trPr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/>
                <w:sz w:val="20"/>
                <w:szCs w:val="20"/>
              </w:rPr>
            </w:pPr>
            <w:r w:rsidRPr="00E35CDB">
              <w:rPr>
                <w:b/>
                <w:sz w:val="20"/>
                <w:szCs w:val="20"/>
              </w:rPr>
              <w:lastRenderedPageBreak/>
              <w:t>veľmi časté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 </w:t>
            </w:r>
            <w:r w:rsidRPr="00E35CDB">
              <w:rPr>
                <w:sz w:val="20"/>
                <w:szCs w:val="20"/>
              </w:rPr>
              <w:t>1/10</w:t>
            </w: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E35CDB">
              <w:rPr>
                <w:b/>
                <w:sz w:val="20"/>
                <w:szCs w:val="20"/>
              </w:rPr>
              <w:t>časté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 </w:t>
            </w:r>
            <w:r w:rsidRPr="00E35CDB">
              <w:rPr>
                <w:sz w:val="20"/>
                <w:szCs w:val="20"/>
              </w:rPr>
              <w:t xml:space="preserve">1/100 až 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 </w:t>
            </w:r>
            <w:r w:rsidRPr="00E35CDB">
              <w:rPr>
                <w:sz w:val="20"/>
                <w:szCs w:val="20"/>
              </w:rPr>
              <w:t>1/10</w:t>
            </w: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E35CDB">
              <w:rPr>
                <w:b/>
                <w:sz w:val="20"/>
                <w:szCs w:val="20"/>
              </w:rPr>
              <w:t>menej časté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 </w:t>
            </w:r>
            <w:r w:rsidRPr="00E35CDB">
              <w:rPr>
                <w:sz w:val="20"/>
                <w:szCs w:val="20"/>
              </w:rPr>
              <w:t xml:space="preserve">1/1 000 až 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 </w:t>
            </w:r>
            <w:r w:rsidRPr="00E35CDB">
              <w:rPr>
                <w:sz w:val="20"/>
                <w:szCs w:val="20"/>
              </w:rPr>
              <w:t>1/100</w:t>
            </w:r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E35CDB">
              <w:rPr>
                <w:b/>
                <w:sz w:val="20"/>
                <w:szCs w:val="20"/>
              </w:rPr>
              <w:t>zriedkavé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 </w:t>
            </w:r>
            <w:r w:rsidRPr="00E35CDB">
              <w:rPr>
                <w:sz w:val="20"/>
                <w:szCs w:val="20"/>
              </w:rPr>
              <w:t>1/10 000 až &lt;</w:t>
            </w:r>
            <w:r>
              <w:rPr>
                <w:sz w:val="20"/>
                <w:szCs w:val="20"/>
              </w:rPr>
              <w:t> </w:t>
            </w:r>
            <w:r w:rsidRPr="00E35CDB">
              <w:rPr>
                <w:sz w:val="20"/>
                <w:szCs w:val="20"/>
              </w:rPr>
              <w:t>1/1 000</w:t>
            </w: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/>
                <w:sz w:val="20"/>
                <w:szCs w:val="20"/>
              </w:rPr>
            </w:pPr>
            <w:r w:rsidRPr="00E35CDB">
              <w:rPr>
                <w:b/>
                <w:sz w:val="20"/>
                <w:szCs w:val="20"/>
              </w:rPr>
              <w:t>veľmi zriedkavé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 </w:t>
            </w:r>
            <w:r w:rsidRPr="00E35CDB">
              <w:rPr>
                <w:sz w:val="20"/>
                <w:szCs w:val="20"/>
              </w:rPr>
              <w:t>1/10 000</w:t>
            </w: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E35CDB">
              <w:rPr>
                <w:b/>
                <w:sz w:val="20"/>
                <w:szCs w:val="20"/>
              </w:rPr>
              <w:t>neznáme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frekvencia sa </w:t>
            </w:r>
            <w:r w:rsidRPr="00E35CDB">
              <w:rPr>
                <w:bCs/>
                <w:iCs/>
                <w:sz w:val="20"/>
                <w:szCs w:val="20"/>
              </w:rPr>
              <w:t>ned</w:t>
            </w:r>
            <w:r>
              <w:rPr>
                <w:bCs/>
                <w:iCs/>
                <w:sz w:val="20"/>
                <w:szCs w:val="20"/>
              </w:rPr>
              <w:t>á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Cs/>
                <w:iCs/>
                <w:sz w:val="20"/>
                <w:szCs w:val="20"/>
              </w:rPr>
            </w:pPr>
            <w:r w:rsidRPr="00E35CDB">
              <w:rPr>
                <w:bCs/>
                <w:iCs/>
                <w:sz w:val="20"/>
                <w:szCs w:val="20"/>
              </w:rPr>
              <w:t xml:space="preserve">odhadnúť z 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12" w:hanging="12"/>
              <w:rPr>
                <w:b/>
                <w:sz w:val="20"/>
                <w:szCs w:val="20"/>
              </w:rPr>
            </w:pPr>
            <w:r w:rsidRPr="00E35CDB">
              <w:rPr>
                <w:bCs/>
                <w:iCs/>
                <w:sz w:val="20"/>
                <w:szCs w:val="20"/>
              </w:rPr>
              <w:t>dostupných údajov</w:t>
            </w:r>
          </w:p>
        </w:tc>
      </w:tr>
      <w:tr w:rsidR="002A62E4" w:rsidRPr="00E35CDB" w:rsidTr="004017CF">
        <w:trPr>
          <w:trHeight w:val="261"/>
        </w:trPr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bCs/>
                <w:iCs/>
                <w:sz w:val="20"/>
                <w:szCs w:val="20"/>
              </w:rPr>
              <w:t>Infekcie a nákazy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Kandidóza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 xml:space="preserve">Orálna </w:t>
            </w:r>
            <w:proofErr w:type="spellStart"/>
            <w:r w:rsidRPr="00E35CDB">
              <w:rPr>
                <w:sz w:val="20"/>
                <w:szCs w:val="20"/>
              </w:rPr>
              <w:t>kandidóza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Vaginálne infekcie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Pneumónia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Plesňová</w:t>
            </w:r>
            <w:r w:rsidRPr="00E35CDB">
              <w:rPr>
                <w:sz w:val="20"/>
                <w:szCs w:val="20"/>
              </w:rPr>
              <w:t xml:space="preserve"> infekcia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Bakteriálna infekcia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Faryngitída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Gastroenteritída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Cs/>
                <w:sz w:val="20"/>
                <w:szCs w:val="20"/>
              </w:rPr>
            </w:pPr>
            <w:r w:rsidRPr="00E35CDB">
              <w:rPr>
                <w:bCs/>
                <w:iCs/>
                <w:sz w:val="20"/>
                <w:szCs w:val="20"/>
              </w:rPr>
              <w:t>Ochorenie dýchacích ciest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Cs/>
                <w:sz w:val="20"/>
                <w:szCs w:val="20"/>
              </w:rPr>
              <w:t>Rinitída</w:t>
            </w:r>
            <w:proofErr w:type="spellEnd"/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E35CDB">
              <w:rPr>
                <w:i/>
                <w:sz w:val="20"/>
                <w:szCs w:val="20"/>
              </w:rPr>
              <w:t>Pseudomembranózna</w:t>
            </w:r>
            <w:proofErr w:type="spellEnd"/>
            <w:r w:rsidRPr="00E35CD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35CDB">
              <w:rPr>
                <w:i/>
                <w:sz w:val="20"/>
                <w:szCs w:val="20"/>
              </w:rPr>
              <w:t>kolitída</w:t>
            </w:r>
            <w:proofErr w:type="spellEnd"/>
            <w:r w:rsidRPr="00E35CDB">
              <w:rPr>
                <w:sz w:val="20"/>
                <w:szCs w:val="20"/>
              </w:rPr>
              <w:t xml:space="preserve"> (pozri časť 4.4)</w:t>
            </w:r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iCs/>
                <w:sz w:val="20"/>
                <w:szCs w:val="20"/>
              </w:rPr>
              <w:t>Poruchy krvi a lymfatického systému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Leukopénia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Neutropénia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Eozinofília</w:t>
            </w:r>
            <w:proofErr w:type="spellEnd"/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12" w:hanging="12"/>
              <w:rPr>
                <w:i/>
                <w:sz w:val="20"/>
                <w:szCs w:val="20"/>
              </w:rPr>
            </w:pPr>
            <w:proofErr w:type="spellStart"/>
            <w:r w:rsidRPr="00E35CDB">
              <w:rPr>
                <w:i/>
                <w:sz w:val="20"/>
                <w:szCs w:val="20"/>
              </w:rPr>
              <w:t>Trombocytopéni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12" w:hanging="12"/>
              <w:rPr>
                <w:i/>
                <w:sz w:val="20"/>
                <w:szCs w:val="20"/>
              </w:rPr>
            </w:pPr>
            <w:proofErr w:type="spellStart"/>
            <w:r w:rsidRPr="00E35CDB">
              <w:rPr>
                <w:i/>
                <w:sz w:val="20"/>
                <w:szCs w:val="20"/>
              </w:rPr>
              <w:t>Hemolytická</w:t>
            </w:r>
            <w:proofErr w:type="spellEnd"/>
            <w:r w:rsidRPr="00E35CDB">
              <w:rPr>
                <w:i/>
                <w:sz w:val="20"/>
                <w:szCs w:val="20"/>
              </w:rPr>
              <w:t xml:space="preserve"> anémia </w:t>
            </w:r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iCs/>
                <w:noProof/>
                <w:sz w:val="20"/>
                <w:szCs w:val="20"/>
              </w:rPr>
              <w:t>Poruchy imunitného systému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Angioedém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Precitlivenosť</w:t>
            </w:r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61315A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E35CDB">
              <w:rPr>
                <w:i/>
                <w:sz w:val="20"/>
                <w:szCs w:val="20"/>
              </w:rPr>
              <w:t>Anafylaktick</w:t>
            </w:r>
            <w:r>
              <w:rPr>
                <w:i/>
                <w:sz w:val="20"/>
                <w:szCs w:val="20"/>
              </w:rPr>
              <w:t>á</w:t>
            </w:r>
            <w:proofErr w:type="spellEnd"/>
            <w:r w:rsidRPr="00E35CDB">
              <w:rPr>
                <w:i/>
                <w:sz w:val="20"/>
                <w:szCs w:val="20"/>
              </w:rPr>
              <w:t xml:space="preserve"> reakci</w:t>
            </w:r>
            <w:r>
              <w:rPr>
                <w:i/>
                <w:sz w:val="20"/>
                <w:szCs w:val="20"/>
              </w:rPr>
              <w:t>a</w:t>
            </w:r>
            <w:r w:rsidRPr="00E35CDB">
              <w:rPr>
                <w:i/>
                <w:sz w:val="20"/>
                <w:szCs w:val="20"/>
              </w:rPr>
              <w:t xml:space="preserve"> </w:t>
            </w:r>
            <w:r w:rsidRPr="00E35CDB">
              <w:rPr>
                <w:sz w:val="20"/>
                <w:szCs w:val="20"/>
              </w:rPr>
              <w:t>(pozri časť 4.4)</w:t>
            </w:r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bCs/>
                <w:iCs/>
                <w:sz w:val="20"/>
                <w:szCs w:val="20"/>
              </w:rPr>
              <w:t>Poruchy metabolizmu a výživy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bCs/>
                <w:iCs/>
                <w:sz w:val="20"/>
                <w:szCs w:val="20"/>
              </w:rPr>
              <w:t>Anorexia</w:t>
            </w:r>
            <w:proofErr w:type="spellEnd"/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bCs/>
                <w:sz w:val="20"/>
                <w:szCs w:val="20"/>
                <w:lang w:val="pl-PL"/>
              </w:rPr>
              <w:t>Psychické</w:t>
            </w:r>
            <w:r w:rsidRPr="00E35CDB">
              <w:rPr>
                <w:b/>
                <w:iCs/>
                <w:sz w:val="20"/>
                <w:szCs w:val="20"/>
              </w:rPr>
              <w:t xml:space="preserve"> poruchy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Nervozita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Nespavosť</w:t>
            </w:r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Agitácia</w:t>
            </w: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E35CDB">
              <w:rPr>
                <w:i/>
                <w:sz w:val="20"/>
                <w:szCs w:val="20"/>
              </w:rPr>
              <w:t>Agresivita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E35CDB">
              <w:rPr>
                <w:i/>
                <w:sz w:val="20"/>
                <w:szCs w:val="20"/>
              </w:rPr>
              <w:t>Úzkosť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E35CDB">
              <w:rPr>
                <w:i/>
                <w:sz w:val="20"/>
                <w:szCs w:val="20"/>
              </w:rPr>
              <w:t>Delírium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E35CDB">
              <w:rPr>
                <w:i/>
                <w:sz w:val="20"/>
                <w:szCs w:val="20"/>
              </w:rPr>
              <w:t>Halucinácie</w:t>
            </w:r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iCs/>
                <w:sz w:val="20"/>
                <w:szCs w:val="20"/>
              </w:rPr>
              <w:t>Poruchy nervového systému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 xml:space="preserve">Bolesť 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hlavy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Závrat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Somnolencia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Parestézia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Dysgeúzia</w:t>
            </w:r>
            <w:proofErr w:type="spellEnd"/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Cs/>
                <w:i/>
                <w:iCs/>
                <w:sz w:val="20"/>
                <w:szCs w:val="20"/>
              </w:rPr>
            </w:pPr>
            <w:r w:rsidRPr="00E35CDB">
              <w:rPr>
                <w:bCs/>
                <w:i/>
                <w:iCs/>
                <w:sz w:val="20"/>
                <w:szCs w:val="20"/>
              </w:rPr>
              <w:t>Synkopa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Cs/>
                <w:i/>
                <w:iCs/>
                <w:sz w:val="20"/>
                <w:szCs w:val="20"/>
              </w:rPr>
            </w:pPr>
            <w:r w:rsidRPr="00E35CDB">
              <w:rPr>
                <w:bCs/>
                <w:i/>
                <w:iCs/>
                <w:sz w:val="20"/>
                <w:szCs w:val="20"/>
              </w:rPr>
              <w:t>Kŕče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  <w:proofErr w:type="spellStart"/>
            <w:r w:rsidRPr="00E35CDB">
              <w:rPr>
                <w:i/>
                <w:sz w:val="20"/>
                <w:szCs w:val="20"/>
              </w:rPr>
              <w:t>Hypoestézia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12" w:hanging="12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Psychomotorická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hyperaktivita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Anosmia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Ageúzia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Parosmia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hanging="18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Exacerbáci</w:t>
            </w:r>
            <w:r>
              <w:rPr>
                <w:bCs/>
                <w:i/>
                <w:iCs/>
                <w:sz w:val="20"/>
                <w:szCs w:val="20"/>
              </w:rPr>
              <w:t>a</w:t>
            </w:r>
            <w:proofErr w:type="spellEnd"/>
            <w:r w:rsidRPr="00E35CDB">
              <w:rPr>
                <w:bCs/>
                <w:i/>
                <w:iCs/>
                <w:sz w:val="20"/>
                <w:szCs w:val="20"/>
              </w:rPr>
              <w:t xml:space="preserve"> alebo 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Cs/>
                <w:i/>
                <w:iCs/>
                <w:sz w:val="20"/>
                <w:szCs w:val="20"/>
              </w:rPr>
            </w:pPr>
            <w:r w:rsidRPr="00E35CDB">
              <w:rPr>
                <w:bCs/>
                <w:i/>
                <w:iCs/>
                <w:sz w:val="20"/>
                <w:szCs w:val="20"/>
              </w:rPr>
              <w:t xml:space="preserve">zhoršenie 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myasthenia</w:t>
            </w:r>
            <w:proofErr w:type="spellEnd"/>
            <w:r w:rsidRPr="00E35CDB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gravis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bCs/>
                <w:iCs/>
                <w:sz w:val="20"/>
                <w:szCs w:val="20"/>
              </w:rPr>
              <w:t>(pozri</w:t>
            </w:r>
            <w:r w:rsidRPr="00E35CDB">
              <w:rPr>
                <w:sz w:val="20"/>
                <w:szCs w:val="20"/>
              </w:rPr>
              <w:t xml:space="preserve"> časť</w:t>
            </w:r>
            <w:r w:rsidRPr="00E35CDB">
              <w:rPr>
                <w:bCs/>
                <w:iCs/>
                <w:sz w:val="20"/>
                <w:szCs w:val="20"/>
              </w:rPr>
              <w:t xml:space="preserve"> 4.4)</w:t>
            </w:r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sz w:val="20"/>
                <w:szCs w:val="20"/>
              </w:rPr>
              <w:t>Poruchy oka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Poruchy zraku</w:t>
            </w:r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iCs/>
                <w:sz w:val="20"/>
                <w:szCs w:val="20"/>
              </w:rPr>
              <w:t>Poruchy ucha a labyrintu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Závrat</w:t>
            </w:r>
          </w:p>
          <w:p w:rsidR="002A62E4" w:rsidRPr="00E35CDB" w:rsidRDefault="002A62E4" w:rsidP="0061315A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iCs/>
                <w:sz w:val="20"/>
                <w:szCs w:val="20"/>
              </w:rPr>
              <w:t>Poruch</w:t>
            </w:r>
            <w:r>
              <w:rPr>
                <w:iCs/>
                <w:sz w:val="20"/>
                <w:szCs w:val="20"/>
              </w:rPr>
              <w:t>y</w:t>
            </w:r>
            <w:r w:rsidRPr="00E35CDB">
              <w:rPr>
                <w:iCs/>
                <w:sz w:val="20"/>
                <w:szCs w:val="20"/>
              </w:rPr>
              <w:t xml:space="preserve"> ucha</w:t>
            </w:r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Porucha sluchu</w:t>
            </w:r>
            <w:r w:rsidRPr="00E35CDB">
              <w:rPr>
                <w:i/>
                <w:sz w:val="20"/>
                <w:szCs w:val="20"/>
              </w:rPr>
              <w:t xml:space="preserve"> vrátane hluchoty alebo/a 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  <w:proofErr w:type="spellStart"/>
            <w:r w:rsidRPr="00E35CDB">
              <w:rPr>
                <w:i/>
                <w:sz w:val="20"/>
                <w:szCs w:val="20"/>
              </w:rPr>
              <w:t>tinnitu</w:t>
            </w:r>
            <w:proofErr w:type="spellEnd"/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iCs/>
                <w:sz w:val="20"/>
                <w:szCs w:val="20"/>
              </w:rPr>
              <w:t>Poruchy srdca</w:t>
            </w:r>
            <w:r w:rsidRPr="00596E40">
              <w:rPr>
                <w:b/>
                <w:bCs/>
                <w:sz w:val="20"/>
                <w:szCs w:val="20"/>
              </w:rPr>
              <w:t xml:space="preserve"> a srdcovej činnosti 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Búšenie srdca</w:t>
            </w:r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61315A">
            <w:pPr>
              <w:widowControl w:val="0"/>
              <w:tabs>
                <w:tab w:val="left" w:pos="1701"/>
              </w:tabs>
              <w:ind w:left="34" w:firstLine="0"/>
              <w:rPr>
                <w:i/>
                <w:sz w:val="20"/>
                <w:szCs w:val="20"/>
              </w:rPr>
            </w:pPr>
            <w:proofErr w:type="spellStart"/>
            <w:r w:rsidRPr="00E35CDB">
              <w:rPr>
                <w:i/>
                <w:sz w:val="20"/>
                <w:szCs w:val="20"/>
              </w:rPr>
              <w:t>Torsades</w:t>
            </w:r>
            <w:proofErr w:type="spellEnd"/>
            <w:r w:rsidRPr="00E35CD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35CDB">
              <w:rPr>
                <w:i/>
                <w:sz w:val="20"/>
                <w:szCs w:val="20"/>
              </w:rPr>
              <w:t>de</w:t>
            </w:r>
            <w:proofErr w:type="spellEnd"/>
            <w:r w:rsidRPr="00E35CD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35CDB">
              <w:rPr>
                <w:i/>
                <w:sz w:val="20"/>
                <w:szCs w:val="20"/>
              </w:rPr>
              <w:t>pointes</w:t>
            </w:r>
            <w:proofErr w:type="spellEnd"/>
            <w:r w:rsidRPr="00E35CDB">
              <w:rPr>
                <w:i/>
                <w:sz w:val="20"/>
                <w:szCs w:val="20"/>
              </w:rPr>
              <w:t xml:space="preserve"> </w:t>
            </w:r>
            <w:r w:rsidRPr="00E35CDB">
              <w:rPr>
                <w:sz w:val="20"/>
                <w:szCs w:val="20"/>
              </w:rPr>
              <w:t>(pozri časť 4.4)</w:t>
            </w:r>
          </w:p>
          <w:p w:rsidR="002A62E4" w:rsidRPr="00E35CDB" w:rsidRDefault="002A62E4" w:rsidP="0061315A">
            <w:pPr>
              <w:widowControl w:val="0"/>
              <w:tabs>
                <w:tab w:val="left" w:pos="1701"/>
              </w:tabs>
              <w:ind w:left="34" w:firstLine="0"/>
              <w:rPr>
                <w:sz w:val="20"/>
                <w:szCs w:val="20"/>
              </w:rPr>
            </w:pPr>
            <w:proofErr w:type="spellStart"/>
            <w:r w:rsidRPr="00E35CDB">
              <w:rPr>
                <w:i/>
                <w:sz w:val="20"/>
                <w:szCs w:val="20"/>
              </w:rPr>
              <w:t>Arytmie</w:t>
            </w:r>
            <w:proofErr w:type="spellEnd"/>
            <w:r w:rsidRPr="00E35CDB">
              <w:rPr>
                <w:i/>
                <w:sz w:val="20"/>
                <w:szCs w:val="20"/>
              </w:rPr>
              <w:t xml:space="preserve"> </w:t>
            </w:r>
            <w:r w:rsidRPr="00E35CDB">
              <w:rPr>
                <w:sz w:val="20"/>
                <w:szCs w:val="20"/>
              </w:rPr>
              <w:t>(pozri časť 4.4)</w:t>
            </w:r>
          </w:p>
          <w:p w:rsidR="002A62E4" w:rsidRPr="00E35CDB" w:rsidRDefault="002A62E4" w:rsidP="0061315A">
            <w:pPr>
              <w:widowControl w:val="0"/>
              <w:tabs>
                <w:tab w:val="left" w:pos="1701"/>
              </w:tabs>
              <w:ind w:left="34" w:firstLine="0"/>
              <w:rPr>
                <w:i/>
                <w:sz w:val="20"/>
                <w:szCs w:val="20"/>
              </w:rPr>
            </w:pPr>
            <w:r w:rsidRPr="00E35CDB">
              <w:rPr>
                <w:i/>
                <w:sz w:val="20"/>
                <w:szCs w:val="20"/>
              </w:rPr>
              <w:t xml:space="preserve"> vrátane komorovej </w:t>
            </w:r>
            <w:proofErr w:type="spellStart"/>
            <w:r w:rsidRPr="00E35CDB">
              <w:rPr>
                <w:i/>
                <w:sz w:val="20"/>
                <w:szCs w:val="20"/>
              </w:rPr>
              <w:t>tachykardie</w:t>
            </w:r>
            <w:proofErr w:type="spellEnd"/>
            <w:r w:rsidRPr="00E35CDB">
              <w:rPr>
                <w:i/>
                <w:sz w:val="20"/>
                <w:szCs w:val="20"/>
              </w:rPr>
              <w:t xml:space="preserve"> </w:t>
            </w:r>
          </w:p>
          <w:p w:rsidR="002A62E4" w:rsidRPr="00E35CDB" w:rsidRDefault="002A62E4" w:rsidP="0061315A">
            <w:pPr>
              <w:widowControl w:val="0"/>
              <w:tabs>
                <w:tab w:val="left" w:pos="1701"/>
              </w:tabs>
              <w:ind w:left="34" w:firstLine="0"/>
              <w:rPr>
                <w:sz w:val="20"/>
                <w:szCs w:val="20"/>
              </w:rPr>
            </w:pPr>
            <w:r w:rsidRPr="00E35CDB">
              <w:rPr>
                <w:i/>
                <w:sz w:val="20"/>
                <w:szCs w:val="20"/>
              </w:rPr>
              <w:lastRenderedPageBreak/>
              <w:t xml:space="preserve">Predĺžený interval QT na EKG </w:t>
            </w:r>
            <w:r w:rsidRPr="00E35CDB">
              <w:rPr>
                <w:sz w:val="20"/>
                <w:szCs w:val="20"/>
              </w:rPr>
              <w:t>(pozri časť 4.4)</w:t>
            </w:r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bCs/>
                <w:sz w:val="20"/>
                <w:szCs w:val="20"/>
                <w:lang w:val="pl-PL"/>
              </w:rPr>
              <w:lastRenderedPageBreak/>
              <w:t xml:space="preserve">Poruchy ciev 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Návaly tepla</w:t>
            </w:r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E35CDB">
              <w:rPr>
                <w:bCs/>
                <w:i/>
                <w:iCs/>
                <w:sz w:val="20"/>
                <w:szCs w:val="20"/>
              </w:rPr>
              <w:t>Hypotenzia</w:t>
            </w:r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35CDB">
              <w:rPr>
                <w:b/>
                <w:bCs/>
                <w:iCs/>
                <w:sz w:val="20"/>
                <w:szCs w:val="20"/>
              </w:rPr>
              <w:t xml:space="preserve">Poruchy </w:t>
            </w:r>
            <w:r w:rsidRPr="00E35CDB">
              <w:rPr>
                <w:rStyle w:val="st"/>
                <w:b/>
                <w:sz w:val="20"/>
                <w:szCs w:val="20"/>
              </w:rPr>
              <w:t>dýchacej sústavy,</w:t>
            </w:r>
            <w:r w:rsidRPr="00E35CDB">
              <w:rPr>
                <w:rStyle w:val="st"/>
                <w:sz w:val="20"/>
                <w:szCs w:val="20"/>
              </w:rPr>
              <w:t xml:space="preserve"> </w:t>
            </w:r>
            <w:r w:rsidRPr="00E35CDB">
              <w:rPr>
                <w:b/>
                <w:bCs/>
                <w:iCs/>
                <w:sz w:val="20"/>
                <w:szCs w:val="20"/>
              </w:rPr>
              <w:t xml:space="preserve">hrudníka a </w:t>
            </w:r>
            <w:proofErr w:type="spellStart"/>
            <w:r w:rsidRPr="00E35CDB">
              <w:rPr>
                <w:b/>
                <w:bCs/>
                <w:iCs/>
                <w:sz w:val="20"/>
                <w:szCs w:val="20"/>
              </w:rPr>
              <w:t>mediastína</w:t>
            </w:r>
            <w:proofErr w:type="spellEnd"/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Dyspnoe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Epistaxis</w:t>
            </w:r>
            <w:proofErr w:type="spellEnd"/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bCs/>
                <w:sz w:val="20"/>
                <w:szCs w:val="20"/>
                <w:lang w:val="it-IT"/>
              </w:rPr>
              <w:t xml:space="preserve">Poruchy gastrointestinálneho traktu 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61315A" w:rsidRDefault="002A62E4" w:rsidP="00E35CDB">
            <w:pPr>
              <w:widowControl w:val="0"/>
              <w:textAlignment w:val="top"/>
              <w:rPr>
                <w:sz w:val="20"/>
                <w:szCs w:val="20"/>
              </w:rPr>
            </w:pPr>
            <w:r w:rsidRPr="0061315A">
              <w:rPr>
                <w:sz w:val="20"/>
                <w:szCs w:val="20"/>
              </w:rPr>
              <w:t>Hnačka</w:t>
            </w:r>
          </w:p>
        </w:tc>
        <w:tc>
          <w:tcPr>
            <w:tcW w:w="1386" w:type="dxa"/>
          </w:tcPr>
          <w:p w:rsidR="002A62E4" w:rsidRPr="0061315A" w:rsidRDefault="002A62E4" w:rsidP="00E35CDB">
            <w:pPr>
              <w:widowControl w:val="0"/>
              <w:textAlignment w:val="top"/>
              <w:rPr>
                <w:sz w:val="20"/>
                <w:szCs w:val="20"/>
              </w:rPr>
            </w:pPr>
            <w:r w:rsidRPr="0061315A">
              <w:rPr>
                <w:sz w:val="20"/>
                <w:szCs w:val="20"/>
              </w:rPr>
              <w:t>Vracanie</w:t>
            </w:r>
          </w:p>
          <w:p w:rsidR="002A62E4" w:rsidRPr="0061315A" w:rsidRDefault="002A62E4" w:rsidP="00E35CDB">
            <w:pPr>
              <w:widowControl w:val="0"/>
              <w:textAlignment w:val="top"/>
              <w:rPr>
                <w:sz w:val="20"/>
                <w:szCs w:val="20"/>
              </w:rPr>
            </w:pPr>
            <w:r w:rsidRPr="0061315A">
              <w:rPr>
                <w:sz w:val="20"/>
                <w:szCs w:val="20"/>
              </w:rPr>
              <w:t xml:space="preserve">Bolesti </w:t>
            </w:r>
          </w:p>
          <w:p w:rsidR="002A62E4" w:rsidRPr="0061315A" w:rsidRDefault="002A62E4" w:rsidP="00E35CDB">
            <w:pPr>
              <w:widowControl w:val="0"/>
              <w:textAlignment w:val="top"/>
              <w:rPr>
                <w:sz w:val="20"/>
                <w:szCs w:val="20"/>
              </w:rPr>
            </w:pPr>
            <w:r w:rsidRPr="0061315A">
              <w:rPr>
                <w:sz w:val="20"/>
                <w:szCs w:val="20"/>
              </w:rPr>
              <w:t>brucha</w:t>
            </w:r>
          </w:p>
          <w:p w:rsidR="002A62E4" w:rsidRPr="0061315A" w:rsidRDefault="002A62E4" w:rsidP="00E35CDB">
            <w:pPr>
              <w:widowControl w:val="0"/>
              <w:textAlignment w:val="top"/>
              <w:rPr>
                <w:sz w:val="20"/>
                <w:szCs w:val="20"/>
              </w:rPr>
            </w:pPr>
            <w:r w:rsidRPr="0061315A">
              <w:rPr>
                <w:sz w:val="20"/>
                <w:szCs w:val="20"/>
              </w:rPr>
              <w:t>Nevoľnosť</w:t>
            </w:r>
          </w:p>
          <w:p w:rsidR="002A62E4" w:rsidRPr="0061315A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Zápcha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Nadúvanie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Dyspepsia</w:t>
            </w:r>
            <w:proofErr w:type="spellEnd"/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Gastritída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Dysfágia</w:t>
            </w:r>
            <w:proofErr w:type="spellEnd"/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Distenzia</w:t>
            </w:r>
            <w:proofErr w:type="spellEnd"/>
            <w:r w:rsidRPr="00E35CDB">
              <w:rPr>
                <w:sz w:val="20"/>
                <w:szCs w:val="20"/>
              </w:rPr>
              <w:t xml:space="preserve"> brucha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Suchosť v ústach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Grganie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Vredovitosť</w:t>
            </w:r>
            <w:proofErr w:type="spellEnd"/>
            <w:r w:rsidRPr="00E35CDB">
              <w:rPr>
                <w:sz w:val="20"/>
                <w:szCs w:val="20"/>
              </w:rPr>
              <w:t xml:space="preserve"> úst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Hypersekrécia</w:t>
            </w:r>
            <w:proofErr w:type="spellEnd"/>
            <w:r w:rsidRPr="00E35CDB">
              <w:rPr>
                <w:sz w:val="20"/>
                <w:szCs w:val="20"/>
              </w:rPr>
              <w:t xml:space="preserve"> slín</w:t>
            </w:r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Pankreatitída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E35CDB">
              <w:rPr>
                <w:bCs/>
                <w:i/>
                <w:iCs/>
                <w:sz w:val="20"/>
                <w:szCs w:val="20"/>
              </w:rPr>
              <w:t>Zmena sfarbenia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E35CDB">
              <w:rPr>
                <w:bCs/>
                <w:i/>
                <w:iCs/>
                <w:sz w:val="20"/>
                <w:szCs w:val="20"/>
              </w:rPr>
              <w:t>jazyka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A62E4" w:rsidRPr="00E35CDB" w:rsidTr="004017CF">
        <w:tc>
          <w:tcPr>
            <w:tcW w:w="9554" w:type="dxa"/>
            <w:gridSpan w:val="11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iCs/>
                <w:sz w:val="20"/>
                <w:szCs w:val="20"/>
              </w:rPr>
              <w:t>Poruchy pečene a žlčových ciest</w:t>
            </w:r>
          </w:p>
        </w:tc>
      </w:tr>
      <w:tr w:rsidR="002A62E4" w:rsidRPr="00E35CDB" w:rsidTr="004017CF"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A62E4" w:rsidRPr="00E35CDB" w:rsidRDefault="002A62E4" w:rsidP="00E35CDB">
            <w:pPr>
              <w:widowControl w:val="0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Hepatitída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Abnormálna funkcia pečene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Cholestatická</w:t>
            </w:r>
            <w:proofErr w:type="spellEnd"/>
            <w:r w:rsidRPr="00E35CDB">
              <w:rPr>
                <w:sz w:val="20"/>
                <w:szCs w:val="20"/>
              </w:rPr>
              <w:t xml:space="preserve"> žltačka</w:t>
            </w:r>
          </w:p>
        </w:tc>
        <w:tc>
          <w:tcPr>
            <w:tcW w:w="142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i/>
                <w:sz w:val="20"/>
                <w:szCs w:val="20"/>
              </w:rPr>
            </w:pPr>
            <w:r w:rsidRPr="00E35CDB">
              <w:rPr>
                <w:i/>
                <w:sz w:val="20"/>
                <w:szCs w:val="20"/>
              </w:rPr>
              <w:t>Zlyhanie pečene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i/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(pozri časť 4.4),</w:t>
            </w:r>
            <w:r w:rsidRPr="00E35CDB">
              <w:rPr>
                <w:i/>
                <w:sz w:val="20"/>
                <w:szCs w:val="20"/>
              </w:rPr>
              <w:t xml:space="preserve"> ktorá zriedkavo vyústila do úmrtia</w:t>
            </w:r>
            <w:r w:rsidRPr="00E35CDB">
              <w:rPr>
                <w:i/>
                <w:sz w:val="20"/>
                <w:szCs w:val="20"/>
              </w:rPr>
              <w:br/>
              <w:t xml:space="preserve">Fulminantná 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i/>
                <w:sz w:val="20"/>
                <w:szCs w:val="20"/>
              </w:rPr>
            </w:pPr>
            <w:r w:rsidRPr="00E35CDB">
              <w:rPr>
                <w:i/>
                <w:sz w:val="20"/>
                <w:szCs w:val="20"/>
              </w:rPr>
              <w:t>hepatitída</w:t>
            </w:r>
            <w:r w:rsidRPr="00E35CDB">
              <w:rPr>
                <w:i/>
                <w:sz w:val="20"/>
                <w:szCs w:val="20"/>
              </w:rPr>
              <w:br/>
            </w:r>
            <w:proofErr w:type="spellStart"/>
            <w:r w:rsidRPr="00E35CDB">
              <w:rPr>
                <w:i/>
                <w:sz w:val="20"/>
                <w:szCs w:val="20"/>
              </w:rPr>
              <w:t>Nekróza</w:t>
            </w:r>
            <w:proofErr w:type="spellEnd"/>
            <w:r w:rsidRPr="00E35CDB">
              <w:rPr>
                <w:i/>
                <w:sz w:val="20"/>
                <w:szCs w:val="20"/>
              </w:rPr>
              <w:t xml:space="preserve"> pečene</w:t>
            </w: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9464" w:type="dxa"/>
            <w:gridSpan w:val="10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iCs/>
                <w:sz w:val="20"/>
                <w:szCs w:val="20"/>
              </w:rPr>
              <w:t>Poruchy kože a podkožného tkaniva</w:t>
            </w: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1577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4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Vyrážka</w:t>
            </w:r>
            <w:r w:rsidRPr="00E35CDB">
              <w:rPr>
                <w:sz w:val="20"/>
                <w:szCs w:val="20"/>
              </w:rPr>
              <w:br/>
              <w:t>Svrbenie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Žihľavka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Dermatitída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Suchosť kože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Hyperhidróza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Fotosenzitívne</w:t>
            </w:r>
            <w:proofErr w:type="spellEnd"/>
            <w:r w:rsidRPr="00E35CDB">
              <w:rPr>
                <w:sz w:val="20"/>
                <w:szCs w:val="20"/>
              </w:rPr>
              <w:t xml:space="preserve"> reakcie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 w:rsidRPr="002855E9">
              <w:rPr>
                <w:sz w:val="20"/>
                <w:szCs w:val="20"/>
              </w:rPr>
              <w:t xml:space="preserve">akútna generalizovaná </w:t>
            </w:r>
            <w:proofErr w:type="spellStart"/>
            <w:r w:rsidRPr="002855E9">
              <w:rPr>
                <w:sz w:val="20"/>
                <w:szCs w:val="20"/>
              </w:rPr>
              <w:t>exantémová</w:t>
            </w:r>
            <w:proofErr w:type="spellEnd"/>
            <w:r w:rsidRPr="002855E9">
              <w:rPr>
                <w:sz w:val="20"/>
                <w:szCs w:val="20"/>
              </w:rPr>
              <w:t xml:space="preserve"> </w:t>
            </w:r>
            <w:proofErr w:type="spellStart"/>
            <w:r w:rsidRPr="002855E9">
              <w:rPr>
                <w:sz w:val="20"/>
                <w:szCs w:val="20"/>
              </w:rPr>
              <w:t>pustulóza</w:t>
            </w:r>
            <w:proofErr w:type="spellEnd"/>
            <w:r w:rsidRPr="002855E9">
              <w:rPr>
                <w:sz w:val="20"/>
                <w:szCs w:val="20"/>
              </w:rPr>
              <w:t xml:space="preserve"> (AGEP, </w:t>
            </w:r>
            <w:proofErr w:type="spellStart"/>
            <w:r w:rsidRPr="002855E9">
              <w:rPr>
                <w:sz w:val="20"/>
                <w:szCs w:val="20"/>
              </w:rPr>
              <w:t>acute</w:t>
            </w:r>
            <w:proofErr w:type="spellEnd"/>
            <w:r w:rsidRPr="002855E9">
              <w:rPr>
                <w:sz w:val="20"/>
                <w:szCs w:val="20"/>
              </w:rPr>
              <w:t xml:space="preserve"> </w:t>
            </w:r>
            <w:proofErr w:type="spellStart"/>
            <w:r w:rsidRPr="002855E9">
              <w:rPr>
                <w:sz w:val="20"/>
                <w:szCs w:val="20"/>
              </w:rPr>
              <w:t>generalised</w:t>
            </w:r>
            <w:proofErr w:type="spellEnd"/>
            <w:r w:rsidRPr="002855E9">
              <w:rPr>
                <w:sz w:val="20"/>
                <w:szCs w:val="20"/>
              </w:rPr>
              <w:t xml:space="preserve"> </w:t>
            </w:r>
            <w:proofErr w:type="spellStart"/>
            <w:r w:rsidRPr="002855E9">
              <w:rPr>
                <w:sz w:val="20"/>
                <w:szCs w:val="20"/>
              </w:rPr>
              <w:t>exanthematous</w:t>
            </w:r>
            <w:proofErr w:type="spellEnd"/>
            <w:r w:rsidRPr="002855E9">
              <w:rPr>
                <w:sz w:val="20"/>
                <w:szCs w:val="20"/>
              </w:rPr>
              <w:t xml:space="preserve"> </w:t>
            </w:r>
            <w:proofErr w:type="spellStart"/>
            <w:r w:rsidRPr="002855E9">
              <w:rPr>
                <w:sz w:val="20"/>
                <w:szCs w:val="20"/>
              </w:rPr>
              <w:t>pustulosis</w:t>
            </w:r>
            <w:proofErr w:type="spellEnd"/>
            <w:r w:rsidRPr="002855E9">
              <w:rPr>
                <w:sz w:val="20"/>
                <w:szCs w:val="20"/>
              </w:rPr>
              <w:t>)</w:t>
            </w:r>
          </w:p>
        </w:tc>
        <w:tc>
          <w:tcPr>
            <w:tcW w:w="157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Stevens</w:t>
            </w:r>
            <w:r>
              <w:rPr>
                <w:bCs/>
                <w:i/>
                <w:iCs/>
                <w:sz w:val="20"/>
                <w:szCs w:val="20"/>
              </w:rPr>
              <w:t>ov</w:t>
            </w:r>
            <w:r w:rsidRPr="00E35CDB">
              <w:rPr>
                <w:bCs/>
                <w:i/>
                <w:iCs/>
                <w:sz w:val="20"/>
                <w:szCs w:val="20"/>
              </w:rPr>
              <w:t>-Johnsonov</w:t>
            </w:r>
            <w:proofErr w:type="spellEnd"/>
            <w:r w:rsidRPr="00E35CDB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E35CDB">
              <w:rPr>
                <w:bCs/>
                <w:i/>
                <w:iCs/>
                <w:sz w:val="20"/>
                <w:szCs w:val="20"/>
              </w:rPr>
              <w:t>syndróm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E35CDB">
              <w:rPr>
                <w:bCs/>
                <w:i/>
                <w:iCs/>
                <w:sz w:val="20"/>
                <w:szCs w:val="20"/>
              </w:rPr>
              <w:t>Toxická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epidermálna</w:t>
            </w:r>
            <w:proofErr w:type="spellEnd"/>
            <w:r w:rsidRPr="00E35CDB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nekrolýza</w:t>
            </w:r>
            <w:proofErr w:type="spellEnd"/>
            <w:r w:rsidRPr="00E35CDB">
              <w:rPr>
                <w:bCs/>
                <w:i/>
                <w:iCs/>
                <w:sz w:val="20"/>
                <w:szCs w:val="20"/>
              </w:rPr>
              <w:br/>
            </w: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Multiformný</w:t>
            </w:r>
            <w:proofErr w:type="spellEnd"/>
            <w:r w:rsidRPr="00E35CDB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35CDB">
              <w:rPr>
                <w:bCs/>
                <w:i/>
                <w:iCs/>
                <w:sz w:val="20"/>
                <w:szCs w:val="20"/>
              </w:rPr>
              <w:t>erytém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9464" w:type="dxa"/>
            <w:gridSpan w:val="10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iCs/>
                <w:sz w:val="20"/>
                <w:szCs w:val="20"/>
              </w:rPr>
              <w:t>Poruchy kostrovej a svalovej sústavy a spojivového tkaniva</w:t>
            </w: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1577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4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Osteoartritída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Myalgia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Bolesť chrbta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Bolesť krku</w:t>
            </w:r>
          </w:p>
        </w:tc>
        <w:tc>
          <w:tcPr>
            <w:tcW w:w="1577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  <w:proofErr w:type="spellStart"/>
            <w:r w:rsidRPr="00E35CDB">
              <w:rPr>
                <w:i/>
                <w:sz w:val="20"/>
                <w:szCs w:val="20"/>
              </w:rPr>
              <w:t>Artralgia</w:t>
            </w:r>
            <w:proofErr w:type="spellEnd"/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9464" w:type="dxa"/>
            <w:gridSpan w:val="10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iCs/>
                <w:sz w:val="20"/>
                <w:szCs w:val="20"/>
              </w:rPr>
              <w:t>Poruchy obličiek a močových ciest</w:t>
            </w: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1577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4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Dyzúria</w:t>
            </w:r>
            <w:proofErr w:type="spellEnd"/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Bolesť obličiek</w:t>
            </w:r>
          </w:p>
        </w:tc>
        <w:tc>
          <w:tcPr>
            <w:tcW w:w="1577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i/>
                <w:sz w:val="20"/>
                <w:szCs w:val="20"/>
              </w:rPr>
            </w:pPr>
            <w:r w:rsidRPr="00E35CDB">
              <w:rPr>
                <w:i/>
                <w:sz w:val="20"/>
                <w:szCs w:val="20"/>
              </w:rPr>
              <w:t>Akútne zlyhanie obličiek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  <w:proofErr w:type="spellStart"/>
            <w:r w:rsidRPr="00E35CDB">
              <w:rPr>
                <w:i/>
                <w:sz w:val="20"/>
                <w:szCs w:val="20"/>
              </w:rPr>
              <w:t>Intersticiálna</w:t>
            </w:r>
            <w:proofErr w:type="spellEnd"/>
            <w:r w:rsidRPr="00E35CDB">
              <w:rPr>
                <w:i/>
                <w:sz w:val="20"/>
                <w:szCs w:val="20"/>
              </w:rPr>
              <w:t xml:space="preserve"> 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  <w:proofErr w:type="spellStart"/>
            <w:r w:rsidRPr="00E35CDB">
              <w:rPr>
                <w:i/>
                <w:sz w:val="20"/>
                <w:szCs w:val="20"/>
              </w:rPr>
              <w:t>nefritída</w:t>
            </w:r>
            <w:proofErr w:type="spellEnd"/>
            <w:r w:rsidRPr="00E35CDB">
              <w:rPr>
                <w:i/>
                <w:sz w:val="20"/>
                <w:szCs w:val="20"/>
              </w:rPr>
              <w:t xml:space="preserve"> 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9464" w:type="dxa"/>
            <w:gridSpan w:val="10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i/>
                <w:sz w:val="20"/>
                <w:szCs w:val="20"/>
              </w:rPr>
            </w:pPr>
            <w:r w:rsidRPr="00E35CDB">
              <w:rPr>
                <w:b/>
                <w:bCs/>
                <w:sz w:val="20"/>
                <w:szCs w:val="20"/>
              </w:rPr>
              <w:t>Poruchy reprodukčného systému a prsníkov</w:t>
            </w: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1577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4" w:type="dxa"/>
          </w:tcPr>
          <w:p w:rsidR="002A62E4" w:rsidRPr="00E35CDB" w:rsidRDefault="002A62E4" w:rsidP="00E35CDB">
            <w:pPr>
              <w:widowControl w:val="0"/>
              <w:ind w:left="40" w:hanging="40"/>
              <w:textAlignment w:val="top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Metrorágia</w:t>
            </w:r>
            <w:proofErr w:type="spellEnd"/>
          </w:p>
          <w:p w:rsidR="002A62E4" w:rsidRPr="00E35CDB" w:rsidRDefault="002A62E4" w:rsidP="00596E40">
            <w:pPr>
              <w:widowControl w:val="0"/>
              <w:tabs>
                <w:tab w:val="left" w:pos="1701"/>
              </w:tabs>
              <w:ind w:left="33" w:firstLine="0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Porucha</w:t>
            </w:r>
            <w:r>
              <w:rPr>
                <w:sz w:val="20"/>
                <w:szCs w:val="20"/>
              </w:rPr>
              <w:t xml:space="preserve"> </w:t>
            </w:r>
            <w:r w:rsidRPr="00E35CDB">
              <w:rPr>
                <w:sz w:val="20"/>
                <w:szCs w:val="20"/>
              </w:rPr>
              <w:t>semenníkov</w:t>
            </w:r>
          </w:p>
        </w:tc>
        <w:tc>
          <w:tcPr>
            <w:tcW w:w="1577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9464" w:type="dxa"/>
            <w:gridSpan w:val="10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iCs/>
                <w:sz w:val="20"/>
                <w:szCs w:val="20"/>
              </w:rPr>
              <w:t>Celkové poruchy a reakcie v mieste podania</w:t>
            </w: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1577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754" w:type="dxa"/>
          </w:tcPr>
          <w:p w:rsidR="002A62E4" w:rsidRPr="00E35CDB" w:rsidRDefault="002A62E4" w:rsidP="00E35CDB">
            <w:pPr>
              <w:widowControl w:val="0"/>
              <w:ind w:left="24" w:hanging="24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Edém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Asténia</w:t>
            </w:r>
            <w:r w:rsidRPr="00E35CDB">
              <w:rPr>
                <w:sz w:val="20"/>
                <w:szCs w:val="20"/>
              </w:rPr>
              <w:br/>
              <w:t>Malátnosť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Únava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Opuch tváre</w:t>
            </w:r>
            <w:r w:rsidRPr="00E35CDB">
              <w:rPr>
                <w:sz w:val="20"/>
                <w:szCs w:val="20"/>
              </w:rPr>
              <w:br/>
              <w:t>Bolesť na hrudníku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proofErr w:type="spellStart"/>
            <w:r w:rsidRPr="00E35CDB">
              <w:rPr>
                <w:sz w:val="20"/>
                <w:szCs w:val="20"/>
              </w:rPr>
              <w:t>Pyrexia</w:t>
            </w:r>
            <w:proofErr w:type="spellEnd"/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lastRenderedPageBreak/>
              <w:t>Bolesť</w:t>
            </w:r>
          </w:p>
          <w:p w:rsidR="002A62E4" w:rsidRPr="00E35CDB" w:rsidRDefault="002A62E4" w:rsidP="00E35CDB">
            <w:pPr>
              <w:widowControl w:val="0"/>
              <w:ind w:left="0" w:firstLine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Periférny o</w:t>
            </w:r>
            <w:r w:rsidRPr="00E35CDB">
              <w:rPr>
                <w:sz w:val="20"/>
                <w:szCs w:val="20"/>
              </w:rPr>
              <w:t>puch</w:t>
            </w:r>
          </w:p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  <w:r w:rsidRPr="00E35CDB">
              <w:rPr>
                <w:bCs/>
                <w:i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7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9464" w:type="dxa"/>
            <w:gridSpan w:val="10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E35CDB">
              <w:rPr>
                <w:b/>
                <w:sz w:val="20"/>
                <w:szCs w:val="20"/>
              </w:rPr>
              <w:lastRenderedPageBreak/>
              <w:t>Laboratórne a funkčné vyšetrenia</w:t>
            </w: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1577" w:type="dxa"/>
          </w:tcPr>
          <w:p w:rsidR="002A62E4" w:rsidRPr="00E35CDB" w:rsidRDefault="002A62E4" w:rsidP="0035766C">
            <w:pPr>
              <w:widowControl w:val="0"/>
              <w:ind w:left="34" w:firstLine="0"/>
              <w:textAlignment w:val="top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</w:tcPr>
          <w:p w:rsidR="002A62E4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Znížený </w:t>
            </w:r>
          </w:p>
          <w:p w:rsidR="002A62E4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počet </w:t>
            </w:r>
            <w:proofErr w:type="spellStart"/>
            <w:r>
              <w:rPr>
                <w:bCs/>
                <w:iCs/>
                <w:sz w:val="20"/>
                <w:szCs w:val="20"/>
              </w:rPr>
              <w:t>lymfocytov</w:t>
            </w:r>
            <w:proofErr w:type="spellEnd"/>
          </w:p>
          <w:p w:rsidR="002A62E4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Zvýšený</w:t>
            </w:r>
          </w:p>
          <w:p w:rsidR="002A62E4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počet</w:t>
            </w:r>
          </w:p>
          <w:p w:rsidR="002A62E4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eozinofilov</w:t>
            </w:r>
            <w:proofErr w:type="spellEnd"/>
          </w:p>
          <w:p w:rsidR="002A62E4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Zníženie</w:t>
            </w:r>
          </w:p>
          <w:p w:rsidR="002A62E4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hladiny</w:t>
            </w:r>
          </w:p>
          <w:p w:rsidR="002A62E4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bikarbonátu</w:t>
            </w:r>
          </w:p>
          <w:p w:rsidR="002A62E4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v krvi</w:t>
            </w:r>
          </w:p>
          <w:p w:rsidR="002A62E4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Zvýšený počet </w:t>
            </w:r>
            <w:proofErr w:type="spellStart"/>
            <w:r>
              <w:rPr>
                <w:bCs/>
                <w:iCs/>
                <w:sz w:val="20"/>
                <w:szCs w:val="20"/>
              </w:rPr>
              <w:t>bazofilov</w:t>
            </w:r>
            <w:proofErr w:type="spellEnd"/>
          </w:p>
          <w:p w:rsidR="002A62E4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Zvýšený počet </w:t>
            </w:r>
            <w:proofErr w:type="spellStart"/>
            <w:r>
              <w:rPr>
                <w:bCs/>
                <w:iCs/>
                <w:sz w:val="20"/>
                <w:szCs w:val="20"/>
              </w:rPr>
              <w:t>monocytov</w:t>
            </w:r>
            <w:proofErr w:type="spellEnd"/>
          </w:p>
          <w:p w:rsidR="002A62E4" w:rsidRPr="00596E40" w:rsidRDefault="002A62E4" w:rsidP="0035766C">
            <w:pPr>
              <w:widowControl w:val="0"/>
              <w:ind w:left="34" w:firstLine="0"/>
              <w:textAlignment w:val="top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Zvýšený počet </w:t>
            </w:r>
            <w:proofErr w:type="spellStart"/>
            <w:r>
              <w:rPr>
                <w:bCs/>
                <w:iCs/>
                <w:sz w:val="20"/>
                <w:szCs w:val="20"/>
              </w:rPr>
              <w:t>neutrofilov</w:t>
            </w:r>
            <w:proofErr w:type="spellEnd"/>
          </w:p>
        </w:tc>
        <w:tc>
          <w:tcPr>
            <w:tcW w:w="1754" w:type="dxa"/>
          </w:tcPr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 xml:space="preserve">Zvýšenie 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hladiny </w:t>
            </w:r>
            <w:proofErr w:type="spellStart"/>
            <w:r w:rsidRPr="00E35CDB">
              <w:rPr>
                <w:sz w:val="20"/>
                <w:szCs w:val="20"/>
              </w:rPr>
              <w:t>aspartátaminotransferázy</w:t>
            </w:r>
            <w:proofErr w:type="spellEnd"/>
            <w:r w:rsidRPr="00E35CDB">
              <w:rPr>
                <w:sz w:val="20"/>
                <w:szCs w:val="20"/>
              </w:rPr>
              <w:t xml:space="preserve"> 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 xml:space="preserve">Zvýšenie </w:t>
            </w:r>
            <w:r>
              <w:rPr>
                <w:sz w:val="20"/>
                <w:szCs w:val="20"/>
              </w:rPr>
              <w:t xml:space="preserve">hladiny </w:t>
            </w:r>
            <w:proofErr w:type="spellStart"/>
            <w:r w:rsidRPr="00E35CDB">
              <w:rPr>
                <w:sz w:val="20"/>
                <w:szCs w:val="20"/>
              </w:rPr>
              <w:t>alanínaminotransferázy</w:t>
            </w:r>
            <w:proofErr w:type="spellEnd"/>
            <w:r w:rsidRPr="00E35CDB">
              <w:rPr>
                <w:sz w:val="20"/>
                <w:szCs w:val="20"/>
              </w:rPr>
              <w:t xml:space="preserve"> 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Zvýšenie</w:t>
            </w:r>
            <w:r>
              <w:rPr>
                <w:sz w:val="20"/>
                <w:szCs w:val="20"/>
              </w:rPr>
              <w:t xml:space="preserve"> hladiny</w:t>
            </w:r>
            <w:r w:rsidRPr="00E35CDB">
              <w:rPr>
                <w:sz w:val="20"/>
                <w:szCs w:val="20"/>
              </w:rPr>
              <w:t xml:space="preserve"> </w:t>
            </w:r>
            <w:proofErr w:type="spellStart"/>
            <w:r w:rsidRPr="00E35CDB">
              <w:rPr>
                <w:sz w:val="20"/>
                <w:szCs w:val="20"/>
              </w:rPr>
              <w:t>bilirubínu</w:t>
            </w:r>
            <w:proofErr w:type="spellEnd"/>
            <w:r w:rsidRPr="00E35CDB">
              <w:rPr>
                <w:sz w:val="20"/>
                <w:szCs w:val="20"/>
              </w:rPr>
              <w:t xml:space="preserve"> v krvi 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Zvýšenie</w:t>
            </w:r>
            <w:r>
              <w:rPr>
                <w:sz w:val="20"/>
                <w:szCs w:val="20"/>
              </w:rPr>
              <w:t xml:space="preserve"> hladiny</w:t>
            </w:r>
            <w:r w:rsidRPr="00E35CDB">
              <w:rPr>
                <w:sz w:val="20"/>
                <w:szCs w:val="20"/>
              </w:rPr>
              <w:t xml:space="preserve"> močoviny v 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krvi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 xml:space="preserve">Zvýšenie </w:t>
            </w:r>
            <w:r>
              <w:rPr>
                <w:sz w:val="20"/>
                <w:szCs w:val="20"/>
              </w:rPr>
              <w:t xml:space="preserve">hladiny </w:t>
            </w:r>
            <w:proofErr w:type="spellStart"/>
            <w:r w:rsidRPr="00E35CDB">
              <w:rPr>
                <w:sz w:val="20"/>
                <w:szCs w:val="20"/>
              </w:rPr>
              <w:t>kreatinínu</w:t>
            </w:r>
            <w:proofErr w:type="spellEnd"/>
            <w:r w:rsidRPr="00E35CDB">
              <w:rPr>
                <w:sz w:val="20"/>
                <w:szCs w:val="20"/>
              </w:rPr>
              <w:t xml:space="preserve"> 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v krvi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 xml:space="preserve">Abnormálna 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hladina draslíka v krvi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 xml:space="preserve">Zvýšená hladina alkalickej </w:t>
            </w:r>
            <w:proofErr w:type="spellStart"/>
            <w:r w:rsidRPr="00E35CDB">
              <w:rPr>
                <w:sz w:val="20"/>
                <w:szCs w:val="20"/>
              </w:rPr>
              <w:t>fosfatázy</w:t>
            </w:r>
            <w:proofErr w:type="spellEnd"/>
            <w:r w:rsidRPr="00E35CDB">
              <w:rPr>
                <w:sz w:val="20"/>
                <w:szCs w:val="20"/>
              </w:rPr>
              <w:t xml:space="preserve"> v krvi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Zvýšená hladina chloridu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 xml:space="preserve">Zvýšená hladina glukózy 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Zvýšená hladina krvných doštičiek</w:t>
            </w:r>
          </w:p>
          <w:p w:rsidR="002A62E4" w:rsidRPr="00E35CDB" w:rsidRDefault="002A62E4" w:rsidP="0061315A">
            <w:pPr>
              <w:widowControl w:val="0"/>
              <w:ind w:left="24" w:firstLine="9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 xml:space="preserve">Znížený </w:t>
            </w:r>
            <w:proofErr w:type="spellStart"/>
            <w:r w:rsidRPr="00E35CDB">
              <w:rPr>
                <w:sz w:val="20"/>
                <w:szCs w:val="20"/>
              </w:rPr>
              <w:t>hematokrit</w:t>
            </w:r>
            <w:proofErr w:type="spellEnd"/>
            <w:r w:rsidRPr="00E35CDB">
              <w:rPr>
                <w:sz w:val="20"/>
                <w:szCs w:val="20"/>
              </w:rPr>
              <w:t xml:space="preserve"> </w:t>
            </w:r>
          </w:p>
          <w:p w:rsidR="002A62E4" w:rsidRPr="00E35CDB" w:rsidRDefault="002A62E4" w:rsidP="0061315A">
            <w:pPr>
              <w:widowControl w:val="0"/>
              <w:tabs>
                <w:tab w:val="left" w:pos="1701"/>
              </w:tabs>
              <w:ind w:left="24" w:firstLine="9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Zvýšená hladina bikarbonátu Abnormálna hladina sodíka</w:t>
            </w:r>
          </w:p>
        </w:tc>
        <w:tc>
          <w:tcPr>
            <w:tcW w:w="1577" w:type="dxa"/>
            <w:gridSpan w:val="2"/>
          </w:tcPr>
          <w:p w:rsidR="002A62E4" w:rsidRPr="00E35CDB" w:rsidDel="00932507" w:rsidRDefault="002A62E4" w:rsidP="00E35CDB">
            <w:pPr>
              <w:widowControl w:val="0"/>
              <w:tabs>
                <w:tab w:val="left" w:pos="1701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7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 w:val="20"/>
                <w:szCs w:val="20"/>
              </w:rPr>
            </w:pP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9464" w:type="dxa"/>
            <w:gridSpan w:val="10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i/>
                <w:sz w:val="20"/>
                <w:szCs w:val="20"/>
              </w:rPr>
            </w:pPr>
            <w:r w:rsidRPr="00E35CDB">
              <w:rPr>
                <w:b/>
                <w:bCs/>
                <w:sz w:val="20"/>
                <w:szCs w:val="20"/>
                <w:lang w:val="pl-PL"/>
              </w:rPr>
              <w:t>Úrazy, otravy a komplikácie liečebného postupu</w:t>
            </w:r>
          </w:p>
        </w:tc>
      </w:tr>
      <w:tr w:rsidR="002A62E4" w:rsidRPr="00E35CDB" w:rsidTr="004017CF">
        <w:trPr>
          <w:gridAfter w:val="1"/>
          <w:wAfter w:w="90" w:type="dxa"/>
        </w:trPr>
        <w:tc>
          <w:tcPr>
            <w:tcW w:w="1577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</w:tcPr>
          <w:p w:rsidR="002A62E4" w:rsidRPr="00E35CDB" w:rsidRDefault="002A62E4" w:rsidP="00E35CDB">
            <w:pPr>
              <w:widowControl w:val="0"/>
              <w:ind w:left="34" w:firstLine="0"/>
              <w:textAlignment w:val="top"/>
              <w:rPr>
                <w:sz w:val="20"/>
                <w:szCs w:val="20"/>
                <w:shd w:val="clear" w:color="auto" w:fill="E6ECF9"/>
              </w:rPr>
            </w:pPr>
          </w:p>
        </w:tc>
        <w:tc>
          <w:tcPr>
            <w:tcW w:w="1754" w:type="dxa"/>
          </w:tcPr>
          <w:p w:rsidR="002A62E4" w:rsidRPr="00E35CDB" w:rsidRDefault="002A62E4" w:rsidP="00E35CDB">
            <w:pPr>
              <w:widowControl w:val="0"/>
              <w:ind w:left="24" w:hanging="24"/>
              <w:textAlignment w:val="top"/>
              <w:rPr>
                <w:sz w:val="20"/>
                <w:szCs w:val="20"/>
              </w:rPr>
            </w:pPr>
            <w:r w:rsidRPr="00E35CDB">
              <w:rPr>
                <w:sz w:val="20"/>
                <w:szCs w:val="20"/>
              </w:rPr>
              <w:t>Komplikácie liečebného postupu</w:t>
            </w:r>
          </w:p>
        </w:tc>
        <w:tc>
          <w:tcPr>
            <w:tcW w:w="1577" w:type="dxa"/>
            <w:gridSpan w:val="2"/>
          </w:tcPr>
          <w:p w:rsidR="002A62E4" w:rsidRPr="00E35CDB" w:rsidDel="00932507" w:rsidRDefault="002A62E4" w:rsidP="00E35CDB">
            <w:pPr>
              <w:widowControl w:val="0"/>
              <w:tabs>
                <w:tab w:val="left" w:pos="1701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77" w:type="dxa"/>
            <w:gridSpan w:val="3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2A62E4" w:rsidRPr="00E35CDB" w:rsidRDefault="002A62E4" w:rsidP="00E35CDB">
            <w:pPr>
              <w:widowControl w:val="0"/>
              <w:tabs>
                <w:tab w:val="left" w:pos="1701"/>
              </w:tabs>
              <w:rPr>
                <w:i/>
                <w:sz w:val="20"/>
                <w:szCs w:val="20"/>
              </w:rPr>
            </w:pPr>
          </w:p>
        </w:tc>
      </w:tr>
    </w:tbl>
    <w:p w:rsidR="002A62E4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b/>
          <w:szCs w:val="22"/>
        </w:rPr>
      </w:pPr>
      <w:r w:rsidRPr="00385289">
        <w:rPr>
          <w:b/>
          <w:szCs w:val="22"/>
        </w:rPr>
        <w:t xml:space="preserve">Nežiaduce reakcie možno alebo pravdepodobne súvisiace s prevenciou alebo liečbou </w:t>
      </w:r>
      <w:proofErr w:type="spellStart"/>
      <w:r w:rsidRPr="00385289">
        <w:rPr>
          <w:b/>
          <w:szCs w:val="22"/>
        </w:rPr>
        <w:t>Mycobacterium</w:t>
      </w:r>
      <w:proofErr w:type="spellEnd"/>
      <w:r w:rsidRPr="00385289">
        <w:rPr>
          <w:b/>
          <w:szCs w:val="22"/>
        </w:rPr>
        <w:t xml:space="preserve"> </w:t>
      </w:r>
      <w:proofErr w:type="spellStart"/>
      <w:r w:rsidRPr="00385289">
        <w:rPr>
          <w:b/>
          <w:szCs w:val="22"/>
        </w:rPr>
        <w:t>Avium</w:t>
      </w:r>
      <w:proofErr w:type="spellEnd"/>
      <w:r w:rsidRPr="00385289">
        <w:rPr>
          <w:b/>
          <w:szCs w:val="22"/>
        </w:rPr>
        <w:t xml:space="preserve"> </w:t>
      </w:r>
      <w:proofErr w:type="spellStart"/>
      <w:r w:rsidRPr="00385289">
        <w:rPr>
          <w:b/>
          <w:szCs w:val="22"/>
        </w:rPr>
        <w:t>Complex</w:t>
      </w:r>
      <w:proofErr w:type="spellEnd"/>
      <w:r w:rsidRPr="00385289">
        <w:rPr>
          <w:b/>
          <w:szCs w:val="22"/>
        </w:rPr>
        <w:t xml:space="preserve"> na základe skúseností z klinických skúšaní a</w:t>
      </w:r>
      <w:r>
        <w:rPr>
          <w:b/>
          <w:szCs w:val="22"/>
        </w:rPr>
        <w:t> </w:t>
      </w:r>
      <w:r w:rsidRPr="00385289">
        <w:rPr>
          <w:b/>
          <w:szCs w:val="22"/>
        </w:rPr>
        <w:t>z</w:t>
      </w:r>
      <w:r>
        <w:rPr>
          <w:b/>
          <w:szCs w:val="22"/>
        </w:rPr>
        <w:t>o sledovania</w:t>
      </w:r>
      <w:r w:rsidRPr="00385289">
        <w:rPr>
          <w:b/>
          <w:szCs w:val="22"/>
        </w:rPr>
        <w:t xml:space="preserve"> po uvedení lieku na trh. Tieto nežiaduce reakcie sa líšia od reakcií hlásených pri liekových formách s okamžitým uvoľňovaním alebo predĺženým uvoľňovaním buď druhom, alebo frekvenciou: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tbl>
      <w:tblPr>
        <w:tblW w:w="92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4"/>
        <w:gridCol w:w="51"/>
        <w:gridCol w:w="2777"/>
        <w:gridCol w:w="52"/>
        <w:gridCol w:w="3060"/>
      </w:tblGrid>
      <w:tr w:rsidR="002A62E4" w:rsidRPr="00823A06" w:rsidTr="00E35CDB">
        <w:tc>
          <w:tcPr>
            <w:tcW w:w="3395" w:type="dxa"/>
            <w:gridSpan w:val="2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b/>
                <w:szCs w:val="22"/>
              </w:rPr>
            </w:pPr>
            <w:r w:rsidRPr="00823A06">
              <w:rPr>
                <w:b/>
                <w:szCs w:val="22"/>
              </w:rPr>
              <w:t>veľmi časté</w:t>
            </w:r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 w:rsidRPr="00823A06">
              <w:rPr>
                <w:szCs w:val="22"/>
              </w:rPr>
              <w:t>≥</w:t>
            </w:r>
            <w:r>
              <w:rPr>
                <w:szCs w:val="22"/>
              </w:rPr>
              <w:t> </w:t>
            </w:r>
            <w:r w:rsidRPr="00823A06">
              <w:rPr>
                <w:szCs w:val="22"/>
              </w:rPr>
              <w:t>1/10</w:t>
            </w:r>
          </w:p>
        </w:tc>
        <w:tc>
          <w:tcPr>
            <w:tcW w:w="2777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b/>
                <w:szCs w:val="22"/>
              </w:rPr>
            </w:pPr>
            <w:r w:rsidRPr="00823A06">
              <w:rPr>
                <w:b/>
                <w:szCs w:val="22"/>
              </w:rPr>
              <w:t>časté</w:t>
            </w:r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 w:rsidRPr="00823A06">
              <w:rPr>
                <w:szCs w:val="22"/>
              </w:rPr>
              <w:t>≥</w:t>
            </w:r>
            <w:r>
              <w:rPr>
                <w:szCs w:val="22"/>
              </w:rPr>
              <w:t> </w:t>
            </w:r>
            <w:r w:rsidRPr="00823A06">
              <w:rPr>
                <w:szCs w:val="22"/>
              </w:rPr>
              <w:t xml:space="preserve">1/100 až </w:t>
            </w:r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 w:rsidRPr="00823A0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823A06">
              <w:rPr>
                <w:szCs w:val="22"/>
              </w:rPr>
              <w:t>1/10</w:t>
            </w:r>
          </w:p>
        </w:tc>
        <w:tc>
          <w:tcPr>
            <w:tcW w:w="3112" w:type="dxa"/>
            <w:gridSpan w:val="2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b/>
                <w:szCs w:val="22"/>
              </w:rPr>
            </w:pPr>
            <w:r w:rsidRPr="00823A06">
              <w:rPr>
                <w:b/>
                <w:szCs w:val="22"/>
              </w:rPr>
              <w:t>menej časté</w:t>
            </w:r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 w:rsidRPr="00823A06">
              <w:rPr>
                <w:szCs w:val="22"/>
              </w:rPr>
              <w:t>≥</w:t>
            </w:r>
            <w:r>
              <w:rPr>
                <w:szCs w:val="22"/>
              </w:rPr>
              <w:t> </w:t>
            </w:r>
            <w:r w:rsidRPr="00823A06">
              <w:rPr>
                <w:szCs w:val="22"/>
              </w:rPr>
              <w:t>1/1</w:t>
            </w:r>
            <w:r>
              <w:rPr>
                <w:szCs w:val="22"/>
              </w:rPr>
              <w:t xml:space="preserve"> </w:t>
            </w:r>
            <w:r w:rsidRPr="00823A06">
              <w:rPr>
                <w:szCs w:val="22"/>
              </w:rPr>
              <w:t xml:space="preserve">000 až </w:t>
            </w:r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 w:rsidRPr="00823A0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823A06">
              <w:rPr>
                <w:szCs w:val="22"/>
              </w:rPr>
              <w:t>1/100</w:t>
            </w:r>
          </w:p>
        </w:tc>
      </w:tr>
      <w:tr w:rsidR="002A62E4" w:rsidRPr="00823A06" w:rsidTr="00E35CDB">
        <w:tc>
          <w:tcPr>
            <w:tcW w:w="9284" w:type="dxa"/>
            <w:gridSpan w:val="5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Cs w:val="22"/>
              </w:rPr>
            </w:pPr>
            <w:r w:rsidRPr="00823A06">
              <w:rPr>
                <w:b/>
                <w:bCs/>
                <w:iCs/>
                <w:szCs w:val="22"/>
              </w:rPr>
              <w:t>Poruchy metabolizmu a výživy</w:t>
            </w:r>
          </w:p>
        </w:tc>
      </w:tr>
      <w:tr w:rsidR="002A62E4" w:rsidRPr="00823A06" w:rsidTr="00E35CDB">
        <w:tc>
          <w:tcPr>
            <w:tcW w:w="3344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2880" w:type="dxa"/>
            <w:gridSpan w:val="3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proofErr w:type="spellStart"/>
            <w:r>
              <w:rPr>
                <w:bCs/>
                <w:iCs/>
                <w:szCs w:val="22"/>
              </w:rPr>
              <w:t>A</w:t>
            </w:r>
            <w:r w:rsidRPr="00823A06">
              <w:rPr>
                <w:bCs/>
                <w:iCs/>
                <w:szCs w:val="22"/>
              </w:rPr>
              <w:t>norexia</w:t>
            </w:r>
            <w:proofErr w:type="spellEnd"/>
          </w:p>
        </w:tc>
        <w:tc>
          <w:tcPr>
            <w:tcW w:w="3060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</w:tr>
      <w:tr w:rsidR="002A62E4" w:rsidRPr="00823A06" w:rsidTr="00E35CDB">
        <w:tc>
          <w:tcPr>
            <w:tcW w:w="9284" w:type="dxa"/>
            <w:gridSpan w:val="5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Cs w:val="22"/>
              </w:rPr>
            </w:pPr>
            <w:r w:rsidRPr="00823A06">
              <w:rPr>
                <w:b/>
                <w:iCs/>
                <w:szCs w:val="22"/>
              </w:rPr>
              <w:t>Poruchy nervového systému</w:t>
            </w:r>
          </w:p>
        </w:tc>
      </w:tr>
      <w:tr w:rsidR="002A62E4" w:rsidRPr="00823A06" w:rsidTr="00E35CDB">
        <w:tc>
          <w:tcPr>
            <w:tcW w:w="3344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2880" w:type="dxa"/>
            <w:gridSpan w:val="3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 w:rsidRPr="00823A06">
              <w:rPr>
                <w:szCs w:val="22"/>
              </w:rPr>
              <w:t>Závrat</w:t>
            </w:r>
          </w:p>
          <w:p w:rsidR="002A62E4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 w:rsidRPr="00823A06">
              <w:rPr>
                <w:szCs w:val="22"/>
              </w:rPr>
              <w:t>Bolesť hlavy</w:t>
            </w:r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proofErr w:type="spellStart"/>
            <w:r w:rsidRPr="00823A06">
              <w:rPr>
                <w:szCs w:val="22"/>
              </w:rPr>
              <w:t>Parestézia</w:t>
            </w:r>
            <w:proofErr w:type="spellEnd"/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proofErr w:type="spellStart"/>
            <w:r w:rsidRPr="00823A06">
              <w:rPr>
                <w:szCs w:val="22"/>
              </w:rPr>
              <w:t>Dysgeúzia</w:t>
            </w:r>
            <w:proofErr w:type="spellEnd"/>
          </w:p>
        </w:tc>
        <w:tc>
          <w:tcPr>
            <w:tcW w:w="3060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proofErr w:type="spellStart"/>
            <w:r w:rsidRPr="00823A06">
              <w:rPr>
                <w:szCs w:val="22"/>
              </w:rPr>
              <w:t>Hypoestézia</w:t>
            </w:r>
            <w:proofErr w:type="spellEnd"/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</w:tr>
      <w:tr w:rsidR="002A62E4" w:rsidRPr="00823A06" w:rsidTr="00E35CDB">
        <w:tc>
          <w:tcPr>
            <w:tcW w:w="9284" w:type="dxa"/>
            <w:gridSpan w:val="5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Cs w:val="22"/>
              </w:rPr>
            </w:pPr>
            <w:r w:rsidRPr="00823A06">
              <w:rPr>
                <w:b/>
                <w:szCs w:val="22"/>
              </w:rPr>
              <w:t>Poruchy oka</w:t>
            </w:r>
          </w:p>
        </w:tc>
      </w:tr>
      <w:tr w:rsidR="002A62E4" w:rsidRPr="00823A06" w:rsidTr="00E35CDB">
        <w:tc>
          <w:tcPr>
            <w:tcW w:w="3344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2880" w:type="dxa"/>
            <w:gridSpan w:val="3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 w:rsidRPr="00823A06">
              <w:rPr>
                <w:szCs w:val="22"/>
              </w:rPr>
              <w:t>Zrakové postihnutie</w:t>
            </w:r>
          </w:p>
        </w:tc>
        <w:tc>
          <w:tcPr>
            <w:tcW w:w="3060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</w:tr>
      <w:tr w:rsidR="002A62E4" w:rsidRPr="00823A06" w:rsidTr="00E35CDB">
        <w:tc>
          <w:tcPr>
            <w:tcW w:w="9284" w:type="dxa"/>
            <w:gridSpan w:val="5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Cs w:val="22"/>
              </w:rPr>
            </w:pPr>
            <w:r w:rsidRPr="00823A06">
              <w:rPr>
                <w:b/>
                <w:iCs/>
                <w:szCs w:val="22"/>
              </w:rPr>
              <w:t>Poruchy ucha a labyrintu</w:t>
            </w:r>
          </w:p>
        </w:tc>
      </w:tr>
      <w:tr w:rsidR="002A62E4" w:rsidRPr="00823A06" w:rsidTr="00E35CDB">
        <w:tc>
          <w:tcPr>
            <w:tcW w:w="3344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2880" w:type="dxa"/>
            <w:gridSpan w:val="3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>
              <w:rPr>
                <w:bCs/>
                <w:iCs/>
                <w:szCs w:val="22"/>
              </w:rPr>
              <w:t>Hluchot</w:t>
            </w:r>
            <w:r w:rsidRPr="00823A06">
              <w:rPr>
                <w:bCs/>
                <w:iCs/>
                <w:szCs w:val="22"/>
              </w:rPr>
              <w:t>a</w:t>
            </w:r>
          </w:p>
        </w:tc>
        <w:tc>
          <w:tcPr>
            <w:tcW w:w="3060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ind w:left="0" w:firstLine="0"/>
              <w:rPr>
                <w:szCs w:val="22"/>
              </w:rPr>
            </w:pPr>
            <w:r w:rsidRPr="00823A06">
              <w:rPr>
                <w:szCs w:val="22"/>
              </w:rPr>
              <w:t>Sluchové postihnutie</w:t>
            </w:r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proofErr w:type="spellStart"/>
            <w:r>
              <w:rPr>
                <w:szCs w:val="22"/>
              </w:rPr>
              <w:t>T</w:t>
            </w:r>
            <w:r w:rsidRPr="00823A06">
              <w:rPr>
                <w:szCs w:val="22"/>
              </w:rPr>
              <w:t>innitu</w:t>
            </w:r>
            <w:r>
              <w:rPr>
                <w:szCs w:val="22"/>
              </w:rPr>
              <w:t>s</w:t>
            </w:r>
            <w:proofErr w:type="spellEnd"/>
          </w:p>
        </w:tc>
      </w:tr>
      <w:tr w:rsidR="002A62E4" w:rsidRPr="00823A06" w:rsidTr="00E35CDB">
        <w:tc>
          <w:tcPr>
            <w:tcW w:w="9284" w:type="dxa"/>
            <w:gridSpan w:val="5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Cs w:val="22"/>
              </w:rPr>
            </w:pPr>
            <w:r w:rsidRPr="00E35CDB">
              <w:rPr>
                <w:b/>
                <w:bCs/>
              </w:rPr>
              <w:t xml:space="preserve">Poruchy srdca a srdcovej činnosti </w:t>
            </w:r>
          </w:p>
        </w:tc>
      </w:tr>
      <w:tr w:rsidR="002A62E4" w:rsidRPr="00823A06" w:rsidTr="00E35CDB">
        <w:tc>
          <w:tcPr>
            <w:tcW w:w="3344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2880" w:type="dxa"/>
            <w:gridSpan w:val="3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3060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B</w:t>
            </w:r>
            <w:r w:rsidRPr="00823A06">
              <w:rPr>
                <w:szCs w:val="22"/>
              </w:rPr>
              <w:t>úšenie srdca</w:t>
            </w:r>
          </w:p>
        </w:tc>
      </w:tr>
      <w:tr w:rsidR="002A62E4" w:rsidRPr="00823A06" w:rsidTr="00E35CDB">
        <w:tc>
          <w:tcPr>
            <w:tcW w:w="9284" w:type="dxa"/>
            <w:gridSpan w:val="5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Cs w:val="22"/>
              </w:rPr>
            </w:pPr>
            <w:r>
              <w:rPr>
                <w:b/>
                <w:bCs/>
                <w:lang w:val="it-IT"/>
              </w:rPr>
              <w:t xml:space="preserve">Poruchy gastrointestinálneho traktu </w:t>
            </w:r>
          </w:p>
        </w:tc>
      </w:tr>
      <w:tr w:rsidR="002A62E4" w:rsidRPr="00823A06" w:rsidTr="00E35CDB">
        <w:tc>
          <w:tcPr>
            <w:tcW w:w="3344" w:type="dxa"/>
          </w:tcPr>
          <w:p w:rsidR="002A62E4" w:rsidRPr="00823A06" w:rsidRDefault="002A62E4" w:rsidP="00E35CDB">
            <w:pPr>
              <w:widowControl w:val="0"/>
              <w:textAlignment w:val="top"/>
              <w:rPr>
                <w:szCs w:val="22"/>
              </w:rPr>
            </w:pPr>
            <w:r w:rsidRPr="00823A06">
              <w:rPr>
                <w:szCs w:val="22"/>
              </w:rPr>
              <w:t>Hnačka</w:t>
            </w:r>
          </w:p>
          <w:p w:rsidR="002A62E4" w:rsidRPr="00823A06" w:rsidRDefault="002A62E4" w:rsidP="00E35CDB">
            <w:pPr>
              <w:widowControl w:val="0"/>
              <w:textAlignment w:val="top"/>
              <w:rPr>
                <w:szCs w:val="22"/>
              </w:rPr>
            </w:pPr>
            <w:r w:rsidRPr="00823A06">
              <w:rPr>
                <w:szCs w:val="22"/>
              </w:rPr>
              <w:t xml:space="preserve">Bolesti </w:t>
            </w:r>
            <w:r>
              <w:rPr>
                <w:szCs w:val="22"/>
              </w:rPr>
              <w:t>brucha</w:t>
            </w:r>
          </w:p>
          <w:p w:rsidR="002A62E4" w:rsidRDefault="002A62E4" w:rsidP="00E35CDB">
            <w:pPr>
              <w:widowControl w:val="0"/>
              <w:textAlignment w:val="top"/>
              <w:rPr>
                <w:szCs w:val="22"/>
              </w:rPr>
            </w:pPr>
            <w:r w:rsidRPr="00823A06">
              <w:rPr>
                <w:szCs w:val="22"/>
              </w:rPr>
              <w:t>Nevoľnosť</w:t>
            </w:r>
          </w:p>
          <w:p w:rsidR="002A62E4" w:rsidRDefault="002A62E4" w:rsidP="00E35CDB">
            <w:pPr>
              <w:widowControl w:val="0"/>
              <w:textAlignment w:val="top"/>
              <w:rPr>
                <w:szCs w:val="22"/>
              </w:rPr>
            </w:pPr>
            <w:r>
              <w:rPr>
                <w:szCs w:val="22"/>
              </w:rPr>
              <w:t>Nadúvanie</w:t>
            </w:r>
          </w:p>
          <w:p w:rsidR="002A62E4" w:rsidRDefault="002A62E4" w:rsidP="00E35CDB">
            <w:pPr>
              <w:widowControl w:val="0"/>
              <w:textAlignment w:val="top"/>
              <w:rPr>
                <w:szCs w:val="22"/>
              </w:rPr>
            </w:pPr>
            <w:proofErr w:type="spellStart"/>
            <w:r>
              <w:rPr>
                <w:szCs w:val="22"/>
              </w:rPr>
              <w:t>Dyskomfort</w:t>
            </w:r>
            <w:proofErr w:type="spellEnd"/>
            <w:r>
              <w:rPr>
                <w:szCs w:val="22"/>
              </w:rPr>
              <w:t xml:space="preserve"> brucha</w:t>
            </w:r>
          </w:p>
          <w:p w:rsidR="002A62E4" w:rsidRPr="00823A06" w:rsidRDefault="002A62E4" w:rsidP="00E35CDB">
            <w:pPr>
              <w:widowControl w:val="0"/>
              <w:textAlignment w:val="top"/>
              <w:rPr>
                <w:szCs w:val="22"/>
              </w:rPr>
            </w:pPr>
            <w:r>
              <w:rPr>
                <w:szCs w:val="22"/>
              </w:rPr>
              <w:t>Riedka stolica</w:t>
            </w:r>
          </w:p>
        </w:tc>
        <w:tc>
          <w:tcPr>
            <w:tcW w:w="2880" w:type="dxa"/>
            <w:gridSpan w:val="3"/>
          </w:tcPr>
          <w:p w:rsidR="002A62E4" w:rsidRPr="00823A06" w:rsidRDefault="002A62E4" w:rsidP="00E35CDB">
            <w:pPr>
              <w:widowControl w:val="0"/>
              <w:textAlignment w:val="top"/>
              <w:rPr>
                <w:szCs w:val="22"/>
              </w:rPr>
            </w:pPr>
          </w:p>
          <w:p w:rsidR="002A62E4" w:rsidRPr="00823A06" w:rsidRDefault="002A62E4" w:rsidP="00E35CDB">
            <w:pPr>
              <w:widowControl w:val="0"/>
              <w:textAlignment w:val="top"/>
              <w:rPr>
                <w:szCs w:val="22"/>
              </w:rPr>
            </w:pPr>
          </w:p>
          <w:p w:rsidR="002A62E4" w:rsidRPr="00823A06" w:rsidRDefault="002A62E4" w:rsidP="00E35CDB">
            <w:pPr>
              <w:widowControl w:val="0"/>
              <w:textAlignment w:val="top"/>
              <w:rPr>
                <w:szCs w:val="22"/>
              </w:rPr>
            </w:pPr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3060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</w:tr>
      <w:tr w:rsidR="002A62E4" w:rsidRPr="00823A06" w:rsidTr="00E35CDB">
        <w:tc>
          <w:tcPr>
            <w:tcW w:w="9284" w:type="dxa"/>
            <w:gridSpan w:val="5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Cs w:val="22"/>
              </w:rPr>
            </w:pPr>
            <w:r w:rsidRPr="00823A06">
              <w:rPr>
                <w:b/>
                <w:iCs/>
                <w:szCs w:val="22"/>
              </w:rPr>
              <w:t>Poruchy pečene a žlčových ciest</w:t>
            </w:r>
          </w:p>
        </w:tc>
      </w:tr>
      <w:tr w:rsidR="002A62E4" w:rsidRPr="00823A06" w:rsidTr="00E35CDB">
        <w:tc>
          <w:tcPr>
            <w:tcW w:w="3344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2880" w:type="dxa"/>
            <w:gridSpan w:val="3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3060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Hepatitída</w:t>
            </w:r>
          </w:p>
        </w:tc>
      </w:tr>
      <w:tr w:rsidR="002A62E4" w:rsidRPr="00823A06" w:rsidTr="00E35CDB">
        <w:tc>
          <w:tcPr>
            <w:tcW w:w="9284" w:type="dxa"/>
            <w:gridSpan w:val="5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Cs w:val="22"/>
              </w:rPr>
            </w:pPr>
            <w:r w:rsidRPr="00823A06">
              <w:rPr>
                <w:b/>
                <w:iCs/>
                <w:szCs w:val="22"/>
              </w:rPr>
              <w:t>Poruchy kože a podkožného tkaniva</w:t>
            </w:r>
          </w:p>
        </w:tc>
      </w:tr>
      <w:tr w:rsidR="002A62E4" w:rsidRPr="00823A06" w:rsidTr="00E35CDB">
        <w:tc>
          <w:tcPr>
            <w:tcW w:w="3344" w:type="dxa"/>
          </w:tcPr>
          <w:p w:rsidR="002A62E4" w:rsidRDefault="002A62E4" w:rsidP="00E35CDB">
            <w:pPr>
              <w:widowControl w:val="0"/>
              <w:ind w:left="34" w:hanging="34"/>
              <w:textAlignment w:val="top"/>
              <w:rPr>
                <w:szCs w:val="22"/>
              </w:rPr>
            </w:pPr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2880" w:type="dxa"/>
            <w:gridSpan w:val="3"/>
          </w:tcPr>
          <w:p w:rsidR="002A62E4" w:rsidRPr="00823A06" w:rsidRDefault="002A62E4" w:rsidP="00E35CDB">
            <w:pPr>
              <w:widowControl w:val="0"/>
              <w:ind w:left="40" w:hanging="40"/>
              <w:textAlignment w:val="top"/>
              <w:rPr>
                <w:szCs w:val="22"/>
              </w:rPr>
            </w:pPr>
            <w:r w:rsidRPr="00823A06">
              <w:rPr>
                <w:szCs w:val="22"/>
              </w:rPr>
              <w:t>Vyrážka</w:t>
            </w:r>
            <w:r w:rsidRPr="00823A06">
              <w:rPr>
                <w:szCs w:val="22"/>
              </w:rPr>
              <w:br/>
              <w:t>Svrbenie</w:t>
            </w:r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3060" w:type="dxa"/>
          </w:tcPr>
          <w:p w:rsidR="002A62E4" w:rsidRDefault="002A62E4" w:rsidP="00E35CDB">
            <w:pPr>
              <w:widowControl w:val="0"/>
              <w:textAlignment w:val="top"/>
              <w:rPr>
                <w:szCs w:val="22"/>
              </w:rPr>
            </w:pPr>
            <w:proofErr w:type="spellStart"/>
            <w:r w:rsidRPr="00823A06">
              <w:rPr>
                <w:szCs w:val="22"/>
              </w:rPr>
              <w:t>Stevens</w:t>
            </w:r>
            <w:r>
              <w:rPr>
                <w:szCs w:val="22"/>
              </w:rPr>
              <w:t>ov</w:t>
            </w:r>
            <w:r w:rsidRPr="00823A06">
              <w:rPr>
                <w:szCs w:val="22"/>
              </w:rPr>
              <w:t>-Johnsonov</w:t>
            </w:r>
            <w:proofErr w:type="spellEnd"/>
            <w:r w:rsidRPr="00823A06">
              <w:rPr>
                <w:szCs w:val="22"/>
              </w:rPr>
              <w:t xml:space="preserve"> syndróm</w:t>
            </w:r>
          </w:p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proofErr w:type="spellStart"/>
            <w:r w:rsidRPr="00823A06">
              <w:rPr>
                <w:szCs w:val="22"/>
              </w:rPr>
              <w:t>Fotosenzitívne</w:t>
            </w:r>
            <w:proofErr w:type="spellEnd"/>
            <w:r w:rsidRPr="00823A06">
              <w:rPr>
                <w:szCs w:val="22"/>
              </w:rPr>
              <w:t xml:space="preserve"> reakcie</w:t>
            </w:r>
          </w:p>
        </w:tc>
      </w:tr>
      <w:tr w:rsidR="002A62E4" w:rsidRPr="00823A06" w:rsidTr="00E35CDB">
        <w:tc>
          <w:tcPr>
            <w:tcW w:w="9284" w:type="dxa"/>
            <w:gridSpan w:val="5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Cs w:val="22"/>
              </w:rPr>
            </w:pPr>
            <w:r w:rsidRPr="00823A06">
              <w:rPr>
                <w:b/>
                <w:iCs/>
                <w:szCs w:val="22"/>
              </w:rPr>
              <w:t>Poruchy kostrovej a svalovej sústavy a spojivového tkaniva</w:t>
            </w:r>
          </w:p>
        </w:tc>
      </w:tr>
      <w:tr w:rsidR="002A62E4" w:rsidRPr="00823A06" w:rsidTr="00E35CDB">
        <w:tc>
          <w:tcPr>
            <w:tcW w:w="3344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2880" w:type="dxa"/>
            <w:gridSpan w:val="3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proofErr w:type="spellStart"/>
            <w:r>
              <w:rPr>
                <w:bCs/>
                <w:iCs/>
                <w:szCs w:val="22"/>
              </w:rPr>
              <w:t>Artralg</w:t>
            </w:r>
            <w:r w:rsidRPr="00823A06">
              <w:rPr>
                <w:bCs/>
                <w:iCs/>
                <w:szCs w:val="22"/>
              </w:rPr>
              <w:t>ia</w:t>
            </w:r>
            <w:proofErr w:type="spellEnd"/>
          </w:p>
        </w:tc>
        <w:tc>
          <w:tcPr>
            <w:tcW w:w="3060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</w:tr>
      <w:tr w:rsidR="002A62E4" w:rsidRPr="00823A06" w:rsidTr="00E35CDB">
        <w:tc>
          <w:tcPr>
            <w:tcW w:w="9284" w:type="dxa"/>
            <w:gridSpan w:val="5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jc w:val="center"/>
              <w:rPr>
                <w:b/>
                <w:szCs w:val="22"/>
              </w:rPr>
            </w:pPr>
            <w:r w:rsidRPr="00823A06">
              <w:rPr>
                <w:b/>
                <w:iCs/>
                <w:szCs w:val="22"/>
              </w:rPr>
              <w:t>Celkové poruchy a reakcie v mieste podania</w:t>
            </w:r>
          </w:p>
        </w:tc>
      </w:tr>
      <w:tr w:rsidR="002A62E4" w:rsidRPr="00823A06" w:rsidTr="00E35CDB">
        <w:tc>
          <w:tcPr>
            <w:tcW w:w="3344" w:type="dxa"/>
          </w:tcPr>
          <w:p w:rsidR="002A62E4" w:rsidRPr="00823A06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</w:p>
        </w:tc>
        <w:tc>
          <w:tcPr>
            <w:tcW w:w="2880" w:type="dxa"/>
            <w:gridSpan w:val="3"/>
          </w:tcPr>
          <w:p w:rsidR="002A62E4" w:rsidRPr="00596E40" w:rsidRDefault="002A62E4" w:rsidP="00E35CDB">
            <w:pPr>
              <w:widowControl w:val="0"/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Únava</w:t>
            </w:r>
          </w:p>
        </w:tc>
        <w:tc>
          <w:tcPr>
            <w:tcW w:w="3060" w:type="dxa"/>
          </w:tcPr>
          <w:p w:rsidR="002A62E4" w:rsidRPr="00CF26DB" w:rsidRDefault="002A62E4" w:rsidP="00E35CDB">
            <w:pPr>
              <w:widowControl w:val="0"/>
              <w:ind w:left="0" w:firstLine="0"/>
              <w:textAlignment w:val="top"/>
              <w:rPr>
                <w:szCs w:val="22"/>
              </w:rPr>
            </w:pPr>
            <w:r w:rsidRPr="00CF26DB">
              <w:rPr>
                <w:szCs w:val="22"/>
              </w:rPr>
              <w:t>Asténia</w:t>
            </w:r>
            <w:r w:rsidRPr="00CF26DB">
              <w:rPr>
                <w:szCs w:val="22"/>
              </w:rPr>
              <w:br/>
              <w:t>Malátnosť</w:t>
            </w:r>
          </w:p>
        </w:tc>
      </w:tr>
    </w:tbl>
    <w:p w:rsidR="002A62E4" w:rsidRDefault="002A62E4" w:rsidP="0061315A">
      <w:pPr>
        <w:suppressLineNumbers/>
        <w:autoSpaceDE w:val="0"/>
        <w:autoSpaceDN w:val="0"/>
        <w:adjustRightInd w:val="0"/>
        <w:rPr>
          <w:noProof/>
          <w:szCs w:val="22"/>
          <w:u w:val="single"/>
        </w:rPr>
      </w:pPr>
    </w:p>
    <w:p w:rsidR="002A62E4" w:rsidRPr="003021DE" w:rsidRDefault="002A62E4" w:rsidP="0061315A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:rsidR="002A62E4" w:rsidRDefault="002A62E4" w:rsidP="006131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E717C">
        <w:rPr>
          <w:noProof/>
          <w:szCs w:val="22"/>
          <w:highlight w:val="lightGray"/>
        </w:rPr>
        <w:t>národné centrum hlásenia uvedené v </w:t>
      </w:r>
      <w:hyperlink r:id="rId7" w:history="1">
        <w:r w:rsidRPr="00BE717C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b/>
          <w:bCs/>
          <w:szCs w:val="22"/>
        </w:rPr>
      </w:pPr>
      <w:r w:rsidRPr="00385289">
        <w:rPr>
          <w:b/>
          <w:bCs/>
          <w:szCs w:val="22"/>
        </w:rPr>
        <w:t>4.9</w:t>
      </w:r>
      <w:r w:rsidRPr="00385289">
        <w:rPr>
          <w:b/>
          <w:bCs/>
          <w:szCs w:val="22"/>
        </w:rPr>
        <w:tab/>
        <w:t>Predávkovanie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Nežiaduce účinky, ktoré sa vyskytli pri vyšších než odporúčaných dávkach, boli podobné ako nežiaduce účinky pri </w:t>
      </w:r>
      <w:r>
        <w:rPr>
          <w:szCs w:val="22"/>
        </w:rPr>
        <w:t>odporúčanom</w:t>
      </w:r>
      <w:r w:rsidRPr="00385289">
        <w:rPr>
          <w:szCs w:val="22"/>
        </w:rPr>
        <w:t xml:space="preserve"> dávkovaní. V prípade predávkovania sú indikované všeobecné symptomatické a podporné opatrenia.</w:t>
      </w:r>
    </w:p>
    <w:p w:rsidR="002A62E4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b/>
          <w:bCs/>
          <w:szCs w:val="22"/>
        </w:rPr>
      </w:pPr>
      <w:r w:rsidRPr="00385289">
        <w:rPr>
          <w:b/>
          <w:bCs/>
          <w:szCs w:val="22"/>
        </w:rPr>
        <w:t>5.</w:t>
      </w:r>
      <w:r w:rsidRPr="00385289">
        <w:rPr>
          <w:b/>
          <w:bCs/>
          <w:szCs w:val="22"/>
        </w:rPr>
        <w:tab/>
        <w:t>FARMAKOLOGICKÉ VLASTNOSTI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b/>
          <w:bCs/>
          <w:szCs w:val="22"/>
        </w:rPr>
      </w:pPr>
      <w:r w:rsidRPr="00385289">
        <w:rPr>
          <w:b/>
          <w:bCs/>
          <w:szCs w:val="22"/>
        </w:rPr>
        <w:t xml:space="preserve">5.1 </w:t>
      </w:r>
      <w:r w:rsidRPr="00385289">
        <w:rPr>
          <w:b/>
          <w:bCs/>
          <w:szCs w:val="22"/>
        </w:rPr>
        <w:tab/>
      </w:r>
      <w:proofErr w:type="spellStart"/>
      <w:r w:rsidRPr="00385289">
        <w:rPr>
          <w:b/>
          <w:bCs/>
          <w:szCs w:val="22"/>
        </w:rPr>
        <w:t>Farmakodynamické</w:t>
      </w:r>
      <w:proofErr w:type="spellEnd"/>
      <w:r w:rsidRPr="00385289">
        <w:rPr>
          <w:b/>
          <w:bCs/>
          <w:szCs w:val="22"/>
        </w:rPr>
        <w:t xml:space="preserve"> vlastnosti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385289">
        <w:rPr>
          <w:szCs w:val="22"/>
        </w:rPr>
        <w:t>Farmakoterapeutická</w:t>
      </w:r>
      <w:proofErr w:type="spellEnd"/>
      <w:r w:rsidRPr="00385289">
        <w:rPr>
          <w:szCs w:val="22"/>
        </w:rPr>
        <w:t xml:space="preserve"> skupina</w:t>
      </w:r>
      <w:r w:rsidRPr="00385289">
        <w:rPr>
          <w:b/>
          <w:szCs w:val="22"/>
        </w:rPr>
        <w:t>:</w:t>
      </w:r>
      <w:r w:rsidRPr="00385289">
        <w:rPr>
          <w:szCs w:val="22"/>
        </w:rPr>
        <w:t xml:space="preserve"> </w:t>
      </w:r>
      <w:r>
        <w:rPr>
          <w:szCs w:val="22"/>
        </w:rPr>
        <w:t>antibiotiká</w:t>
      </w:r>
      <w:r w:rsidRPr="00385289">
        <w:rPr>
          <w:szCs w:val="22"/>
        </w:rPr>
        <w:t xml:space="preserve"> na systémové použitie</w:t>
      </w:r>
      <w:r>
        <w:rPr>
          <w:szCs w:val="22"/>
        </w:rPr>
        <w:t>,</w:t>
      </w:r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makrolidy</w:t>
      </w:r>
      <w:proofErr w:type="spellEnd"/>
      <w:r>
        <w:rPr>
          <w:szCs w:val="22"/>
        </w:rPr>
        <w:t>,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ATC kód</w:t>
      </w:r>
      <w:r w:rsidRPr="00385289">
        <w:rPr>
          <w:b/>
          <w:szCs w:val="22"/>
        </w:rPr>
        <w:t>:</w:t>
      </w:r>
      <w:r w:rsidRPr="00385289">
        <w:rPr>
          <w:szCs w:val="22"/>
        </w:rPr>
        <w:t xml:space="preserve"> J01FA10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je </w:t>
      </w:r>
      <w:proofErr w:type="spellStart"/>
      <w:r w:rsidRPr="00385289">
        <w:rPr>
          <w:szCs w:val="22"/>
        </w:rPr>
        <w:t>makrolidové</w:t>
      </w:r>
      <w:proofErr w:type="spellEnd"/>
      <w:r w:rsidRPr="00385289">
        <w:rPr>
          <w:szCs w:val="22"/>
        </w:rPr>
        <w:t xml:space="preserve"> antibiotikum</w:t>
      </w:r>
      <w:r>
        <w:rPr>
          <w:szCs w:val="22"/>
        </w:rPr>
        <w:t>, ktoré patrí</w:t>
      </w:r>
      <w:r w:rsidRPr="00385289">
        <w:rPr>
          <w:szCs w:val="22"/>
        </w:rPr>
        <w:t xml:space="preserve"> do skupiny </w:t>
      </w:r>
      <w:proofErr w:type="spellStart"/>
      <w:r w:rsidRPr="00385289">
        <w:rPr>
          <w:szCs w:val="22"/>
        </w:rPr>
        <w:t>azalidov</w:t>
      </w:r>
      <w:proofErr w:type="spellEnd"/>
      <w:r w:rsidRPr="00385289">
        <w:rPr>
          <w:szCs w:val="22"/>
        </w:rPr>
        <w:t xml:space="preserve">. Molekula vzniká pridaním atómu dusíka do </w:t>
      </w:r>
      <w:proofErr w:type="spellStart"/>
      <w:r w:rsidRPr="00385289">
        <w:rPr>
          <w:szCs w:val="22"/>
        </w:rPr>
        <w:t>laktónového</w:t>
      </w:r>
      <w:proofErr w:type="spellEnd"/>
      <w:r w:rsidRPr="00385289">
        <w:rPr>
          <w:szCs w:val="22"/>
        </w:rPr>
        <w:t xml:space="preserve"> kruhu </w:t>
      </w:r>
      <w:proofErr w:type="spellStart"/>
      <w:r w:rsidRPr="00385289">
        <w:rPr>
          <w:szCs w:val="22"/>
        </w:rPr>
        <w:t>erytromycínu</w:t>
      </w:r>
      <w:proofErr w:type="spellEnd"/>
      <w:r w:rsidRPr="00385289">
        <w:rPr>
          <w:szCs w:val="22"/>
        </w:rPr>
        <w:t xml:space="preserve"> A.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rPr>
          <w:iCs/>
          <w:szCs w:val="22"/>
          <w:u w:val="single"/>
        </w:rPr>
      </w:pPr>
      <w:r w:rsidRPr="00596E40">
        <w:rPr>
          <w:iCs/>
          <w:szCs w:val="22"/>
          <w:u w:val="single"/>
        </w:rPr>
        <w:t>Mechanizmus účinku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Mechanizmus účinku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spočíva v </w:t>
      </w:r>
      <w:r>
        <w:rPr>
          <w:szCs w:val="22"/>
        </w:rPr>
        <w:t>inhibícii</w:t>
      </w:r>
      <w:r w:rsidRPr="00385289">
        <w:rPr>
          <w:szCs w:val="22"/>
        </w:rPr>
        <w:t xml:space="preserve"> syntézy bakteriálnych proteínov jeho väzbou na 50S </w:t>
      </w:r>
      <w:proofErr w:type="spellStart"/>
      <w:r w:rsidRPr="00385289">
        <w:rPr>
          <w:szCs w:val="22"/>
        </w:rPr>
        <w:t>ribozómovú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podjednotku</w:t>
      </w:r>
      <w:proofErr w:type="spellEnd"/>
      <w:r w:rsidRPr="00385289">
        <w:rPr>
          <w:szCs w:val="22"/>
        </w:rPr>
        <w:t xml:space="preserve">, čím dochádza k inhibícii </w:t>
      </w:r>
      <w:proofErr w:type="spellStart"/>
      <w:r w:rsidRPr="00385289">
        <w:rPr>
          <w:szCs w:val="22"/>
        </w:rPr>
        <w:t>translokácie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peptidov</w:t>
      </w:r>
      <w:proofErr w:type="spellEnd"/>
      <w:r w:rsidRPr="00385289">
        <w:rPr>
          <w:szCs w:val="22"/>
        </w:rPr>
        <w:t xml:space="preserve">. 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ind w:left="0" w:firstLine="0"/>
        <w:rPr>
          <w:szCs w:val="22"/>
          <w:u w:val="single"/>
        </w:rPr>
      </w:pPr>
      <w:r w:rsidRPr="00596E40">
        <w:rPr>
          <w:szCs w:val="22"/>
          <w:u w:val="single"/>
        </w:rPr>
        <w:t xml:space="preserve">Vzťah PK/PD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Pre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je AUC/MIC hlavný PK/PD parameter, najlepšie </w:t>
      </w:r>
      <w:proofErr w:type="spellStart"/>
      <w:r w:rsidRPr="00385289">
        <w:rPr>
          <w:szCs w:val="22"/>
        </w:rPr>
        <w:t>koreluje</w:t>
      </w:r>
      <w:proofErr w:type="spellEnd"/>
      <w:r w:rsidRPr="00385289">
        <w:rPr>
          <w:szCs w:val="22"/>
        </w:rPr>
        <w:t xml:space="preserve"> s účinnosťou</w:t>
      </w:r>
      <w:r>
        <w:rPr>
          <w:szCs w:val="22"/>
        </w:rPr>
        <w:t xml:space="preserve">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rPr>
          <w:iCs/>
          <w:szCs w:val="22"/>
          <w:u w:val="single"/>
        </w:rPr>
      </w:pPr>
      <w:r w:rsidRPr="00596E40">
        <w:rPr>
          <w:iCs/>
          <w:szCs w:val="22"/>
          <w:u w:val="single"/>
        </w:rPr>
        <w:t>Mechanizmus vzniku rezistencie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Celkovo boli zaznamenané tri základné mechanizmy vzniku rezistencie voči </w:t>
      </w:r>
      <w:proofErr w:type="spellStart"/>
      <w:r w:rsidRPr="00385289">
        <w:rPr>
          <w:szCs w:val="22"/>
        </w:rPr>
        <w:t>makrolidom</w:t>
      </w:r>
      <w:proofErr w:type="spellEnd"/>
      <w:r w:rsidRPr="00385289">
        <w:rPr>
          <w:szCs w:val="22"/>
        </w:rPr>
        <w:t xml:space="preserve"> u rôznych druhov baktérií, ktoré sú spojené so zmenou cieľového miesta, modifikáciou antibiotika a ovplyvnením transportu antibiotika (</w:t>
      </w:r>
      <w:proofErr w:type="spellStart"/>
      <w:r w:rsidRPr="00385289">
        <w:rPr>
          <w:szCs w:val="22"/>
        </w:rPr>
        <w:t>efluxu</w:t>
      </w:r>
      <w:proofErr w:type="spellEnd"/>
      <w:r w:rsidRPr="00385289">
        <w:rPr>
          <w:szCs w:val="22"/>
        </w:rPr>
        <w:t xml:space="preserve">). </w:t>
      </w:r>
      <w:proofErr w:type="spellStart"/>
      <w:r w:rsidRPr="00385289">
        <w:rPr>
          <w:szCs w:val="22"/>
        </w:rPr>
        <w:t>Eflux</w:t>
      </w:r>
      <w:proofErr w:type="spellEnd"/>
      <w:r w:rsidRPr="00385289">
        <w:rPr>
          <w:szCs w:val="22"/>
        </w:rPr>
        <w:t xml:space="preserve"> u streptokokov je vyvolaný </w:t>
      </w:r>
      <w:proofErr w:type="spellStart"/>
      <w:r w:rsidRPr="00385289">
        <w:rPr>
          <w:i/>
          <w:iCs/>
          <w:szCs w:val="22"/>
        </w:rPr>
        <w:t>mef</w:t>
      </w:r>
      <w:proofErr w:type="spellEnd"/>
      <w:r w:rsidRPr="00385289">
        <w:rPr>
          <w:i/>
          <w:iCs/>
          <w:szCs w:val="22"/>
        </w:rPr>
        <w:t xml:space="preserve"> </w:t>
      </w:r>
      <w:r w:rsidRPr="00385289">
        <w:rPr>
          <w:szCs w:val="22"/>
        </w:rPr>
        <w:t xml:space="preserve">génmi a spôsobuje </w:t>
      </w:r>
      <w:r w:rsidRPr="00385289">
        <w:rPr>
          <w:szCs w:val="22"/>
        </w:rPr>
        <w:lastRenderedPageBreak/>
        <w:t xml:space="preserve">rezistenciu výlučne voči </w:t>
      </w:r>
      <w:proofErr w:type="spellStart"/>
      <w:r w:rsidRPr="00385289">
        <w:rPr>
          <w:szCs w:val="22"/>
        </w:rPr>
        <w:t>makrolidom</w:t>
      </w:r>
      <w:proofErr w:type="spellEnd"/>
      <w:r w:rsidRPr="00385289">
        <w:rPr>
          <w:szCs w:val="22"/>
        </w:rPr>
        <w:t xml:space="preserve"> (</w:t>
      </w:r>
      <w:proofErr w:type="spellStart"/>
      <w:r w:rsidRPr="00385289">
        <w:rPr>
          <w:szCs w:val="22"/>
        </w:rPr>
        <w:t>M-fenotyp</w:t>
      </w:r>
      <w:proofErr w:type="spellEnd"/>
      <w:r w:rsidRPr="00385289">
        <w:rPr>
          <w:szCs w:val="22"/>
        </w:rPr>
        <w:t xml:space="preserve">). Zmenu cieľového miesta riadia </w:t>
      </w:r>
      <w:proofErr w:type="spellStart"/>
      <w:r w:rsidRPr="00385289">
        <w:rPr>
          <w:szCs w:val="22"/>
        </w:rPr>
        <w:t>metylázy</w:t>
      </w:r>
      <w:proofErr w:type="spellEnd"/>
      <w:r w:rsidRPr="00385289">
        <w:rPr>
          <w:szCs w:val="22"/>
        </w:rPr>
        <w:t xml:space="preserve"> kódované v </w:t>
      </w:r>
      <w:proofErr w:type="spellStart"/>
      <w:r w:rsidRPr="00385289">
        <w:rPr>
          <w:i/>
          <w:iCs/>
          <w:szCs w:val="22"/>
        </w:rPr>
        <w:t>erm</w:t>
      </w:r>
      <w:proofErr w:type="spellEnd"/>
      <w:r w:rsidRPr="00385289">
        <w:rPr>
          <w:szCs w:val="22"/>
        </w:rPr>
        <w:t xml:space="preserve"> génoch.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Medzi </w:t>
      </w:r>
      <w:proofErr w:type="spellStart"/>
      <w:r w:rsidRPr="00385289">
        <w:rPr>
          <w:szCs w:val="22"/>
        </w:rPr>
        <w:t>erytromycínom</w:t>
      </w:r>
      <w:proofErr w:type="spellEnd"/>
      <w:r w:rsidRPr="00385289">
        <w:rPr>
          <w:szCs w:val="22"/>
        </w:rPr>
        <w:t xml:space="preserve">, </w:t>
      </w:r>
      <w:proofErr w:type="spellStart"/>
      <w:r w:rsidRPr="00385289">
        <w:rPr>
          <w:szCs w:val="22"/>
        </w:rPr>
        <w:t>azitromycínom</w:t>
      </w:r>
      <w:proofErr w:type="spellEnd"/>
      <w:r w:rsidRPr="00385289">
        <w:rPr>
          <w:szCs w:val="22"/>
        </w:rPr>
        <w:t xml:space="preserve">, inými </w:t>
      </w:r>
      <w:proofErr w:type="spellStart"/>
      <w:r w:rsidRPr="00385289">
        <w:rPr>
          <w:szCs w:val="22"/>
        </w:rPr>
        <w:t>makrolidmi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linkozamidmi</w:t>
      </w:r>
      <w:proofErr w:type="spellEnd"/>
      <w:r w:rsidRPr="00385289">
        <w:rPr>
          <w:szCs w:val="22"/>
        </w:rPr>
        <w:t xml:space="preserve"> existuje úplná skrížená rezistencia pre </w:t>
      </w:r>
      <w:proofErr w:type="spellStart"/>
      <w:r w:rsidRPr="00385289">
        <w:rPr>
          <w:i/>
          <w:szCs w:val="22"/>
        </w:rPr>
        <w:t>Streptococcus</w:t>
      </w:r>
      <w:proofErr w:type="spellEnd"/>
      <w:r w:rsidRPr="00385289">
        <w:rPr>
          <w:i/>
          <w:szCs w:val="22"/>
        </w:rPr>
        <w:t xml:space="preserve"> </w:t>
      </w:r>
      <w:proofErr w:type="spellStart"/>
      <w:r w:rsidRPr="00385289">
        <w:rPr>
          <w:i/>
          <w:szCs w:val="22"/>
        </w:rPr>
        <w:t>pneumoniae</w:t>
      </w:r>
      <w:proofErr w:type="spellEnd"/>
      <w:r w:rsidRPr="00385289">
        <w:rPr>
          <w:szCs w:val="22"/>
        </w:rPr>
        <w:t xml:space="preserve">, </w:t>
      </w:r>
      <w:proofErr w:type="spellStart"/>
      <w:r w:rsidRPr="00385289">
        <w:rPr>
          <w:szCs w:val="22"/>
        </w:rPr>
        <w:t>betahemolytické</w:t>
      </w:r>
      <w:proofErr w:type="spellEnd"/>
      <w:r w:rsidRPr="00385289">
        <w:rPr>
          <w:szCs w:val="22"/>
        </w:rPr>
        <w:t xml:space="preserve"> streptokoky skupiny A, </w:t>
      </w:r>
      <w:proofErr w:type="spellStart"/>
      <w:r w:rsidRPr="00385289">
        <w:rPr>
          <w:i/>
          <w:szCs w:val="22"/>
        </w:rPr>
        <w:t>Enterococcus</w:t>
      </w:r>
      <w:proofErr w:type="spellEnd"/>
      <w:r w:rsidRPr="00385289">
        <w:rPr>
          <w:i/>
          <w:szCs w:val="22"/>
        </w:rPr>
        <w:t xml:space="preserve"> </w:t>
      </w:r>
      <w:proofErr w:type="spellStart"/>
      <w:r w:rsidRPr="00385289">
        <w:rPr>
          <w:i/>
          <w:szCs w:val="22"/>
        </w:rPr>
        <w:t>spp</w:t>
      </w:r>
      <w:proofErr w:type="spellEnd"/>
      <w:r w:rsidRPr="00385289">
        <w:rPr>
          <w:i/>
          <w:szCs w:val="22"/>
        </w:rPr>
        <w:t xml:space="preserve">. </w:t>
      </w:r>
      <w:r w:rsidRPr="00385289">
        <w:rPr>
          <w:szCs w:val="22"/>
        </w:rPr>
        <w:t xml:space="preserve">a </w:t>
      </w:r>
      <w:proofErr w:type="spellStart"/>
      <w:r w:rsidRPr="00385289">
        <w:rPr>
          <w:i/>
          <w:szCs w:val="22"/>
        </w:rPr>
        <w:t>Staphylococcus</w:t>
      </w:r>
      <w:proofErr w:type="spellEnd"/>
      <w:r w:rsidRPr="00385289">
        <w:rPr>
          <w:i/>
          <w:szCs w:val="22"/>
        </w:rPr>
        <w:t xml:space="preserve"> </w:t>
      </w:r>
      <w:proofErr w:type="spellStart"/>
      <w:r w:rsidRPr="00385289">
        <w:rPr>
          <w:i/>
          <w:szCs w:val="22"/>
        </w:rPr>
        <w:t>aureus</w:t>
      </w:r>
      <w:proofErr w:type="spellEnd"/>
      <w:r w:rsidRPr="00385289">
        <w:rPr>
          <w:szCs w:val="22"/>
        </w:rPr>
        <w:t xml:space="preserve">, vrátane </w:t>
      </w:r>
      <w:r w:rsidRPr="00385289">
        <w:rPr>
          <w:i/>
          <w:szCs w:val="22"/>
        </w:rPr>
        <w:t xml:space="preserve">S. </w:t>
      </w:r>
      <w:proofErr w:type="spellStart"/>
      <w:r w:rsidRPr="00385289">
        <w:rPr>
          <w:i/>
          <w:szCs w:val="22"/>
        </w:rPr>
        <w:t>aureus</w:t>
      </w:r>
      <w:proofErr w:type="spellEnd"/>
      <w:r w:rsidRPr="00385289">
        <w:rPr>
          <w:szCs w:val="22"/>
        </w:rPr>
        <w:t xml:space="preserve"> rezistentného na </w:t>
      </w:r>
      <w:proofErr w:type="spellStart"/>
      <w:r w:rsidRPr="00385289">
        <w:rPr>
          <w:szCs w:val="22"/>
        </w:rPr>
        <w:t>meticilín</w:t>
      </w:r>
      <w:proofErr w:type="spellEnd"/>
      <w:r w:rsidRPr="00385289">
        <w:rPr>
          <w:szCs w:val="22"/>
        </w:rPr>
        <w:t xml:space="preserve"> (MRSA).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Kmene </w:t>
      </w:r>
      <w:r w:rsidRPr="00385289">
        <w:rPr>
          <w:i/>
          <w:iCs/>
          <w:szCs w:val="22"/>
        </w:rPr>
        <w:t>S.</w:t>
      </w:r>
      <w:r w:rsidRPr="00385289">
        <w:rPr>
          <w:szCs w:val="22"/>
        </w:rPr>
        <w:t xml:space="preserve"> </w:t>
      </w:r>
      <w:proofErr w:type="spellStart"/>
      <w:r w:rsidRPr="00385289">
        <w:rPr>
          <w:i/>
          <w:iCs/>
          <w:szCs w:val="22"/>
        </w:rPr>
        <w:t>pneumoniae</w:t>
      </w:r>
      <w:proofErr w:type="spellEnd"/>
      <w:r w:rsidRPr="00385289">
        <w:rPr>
          <w:szCs w:val="22"/>
        </w:rPr>
        <w:t xml:space="preserve"> citlivé voči penicilínu budú s väčšou pravdepodobnosťou citlivé voči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než kmene </w:t>
      </w:r>
      <w:r w:rsidRPr="00385289">
        <w:rPr>
          <w:i/>
          <w:iCs/>
          <w:szCs w:val="22"/>
        </w:rPr>
        <w:t>S.</w:t>
      </w:r>
      <w:r w:rsidRPr="00385289">
        <w:rPr>
          <w:szCs w:val="22"/>
        </w:rPr>
        <w:t xml:space="preserve"> </w:t>
      </w:r>
      <w:proofErr w:type="spellStart"/>
      <w:r w:rsidRPr="00385289">
        <w:rPr>
          <w:i/>
          <w:iCs/>
          <w:szCs w:val="22"/>
        </w:rPr>
        <w:t>pneumoniae</w:t>
      </w:r>
      <w:proofErr w:type="spellEnd"/>
      <w:r w:rsidRPr="00385289">
        <w:rPr>
          <w:szCs w:val="22"/>
        </w:rPr>
        <w:t xml:space="preserve"> rezistentné voči penicilínu. U </w:t>
      </w:r>
      <w:r w:rsidRPr="00385289">
        <w:rPr>
          <w:i/>
          <w:iCs/>
          <w:szCs w:val="22"/>
        </w:rPr>
        <w:t xml:space="preserve">S. </w:t>
      </w:r>
      <w:proofErr w:type="spellStart"/>
      <w:r w:rsidRPr="00385289">
        <w:rPr>
          <w:i/>
          <w:iCs/>
          <w:szCs w:val="22"/>
        </w:rPr>
        <w:t>aureus</w:t>
      </w:r>
      <w:proofErr w:type="spellEnd"/>
      <w:r w:rsidRPr="00385289">
        <w:rPr>
          <w:szCs w:val="22"/>
        </w:rPr>
        <w:t xml:space="preserve"> rezistentného voči </w:t>
      </w:r>
      <w:proofErr w:type="spellStart"/>
      <w:r w:rsidRPr="00385289">
        <w:rPr>
          <w:szCs w:val="22"/>
        </w:rPr>
        <w:t>meticilínu</w:t>
      </w:r>
      <w:proofErr w:type="spellEnd"/>
      <w:r w:rsidRPr="00385289">
        <w:rPr>
          <w:szCs w:val="22"/>
        </w:rPr>
        <w:t xml:space="preserve"> (MRSA) je nižšia pravdepodobnosť citlivosti voči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než u </w:t>
      </w:r>
      <w:r w:rsidRPr="00385289">
        <w:rPr>
          <w:i/>
          <w:iCs/>
          <w:szCs w:val="22"/>
        </w:rPr>
        <w:t xml:space="preserve">S. </w:t>
      </w:r>
      <w:proofErr w:type="spellStart"/>
      <w:r w:rsidRPr="00385289">
        <w:rPr>
          <w:i/>
          <w:iCs/>
          <w:szCs w:val="22"/>
        </w:rPr>
        <w:t>aureus</w:t>
      </w:r>
      <w:proofErr w:type="spellEnd"/>
      <w:r w:rsidRPr="00385289">
        <w:rPr>
          <w:szCs w:val="22"/>
        </w:rPr>
        <w:t xml:space="preserve"> citlivého voči </w:t>
      </w:r>
      <w:proofErr w:type="spellStart"/>
      <w:r w:rsidRPr="00385289">
        <w:rPr>
          <w:szCs w:val="22"/>
        </w:rPr>
        <w:t>meticilínu</w:t>
      </w:r>
      <w:proofErr w:type="spellEnd"/>
      <w:r w:rsidRPr="00385289">
        <w:rPr>
          <w:szCs w:val="22"/>
        </w:rPr>
        <w:t xml:space="preserve"> (MSSA).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Indukcia významnej rezistencie ako </w:t>
      </w:r>
      <w:r w:rsidRPr="00385289">
        <w:rPr>
          <w:i/>
          <w:iCs/>
          <w:szCs w:val="22"/>
        </w:rPr>
        <w:t xml:space="preserve">in </w:t>
      </w:r>
      <w:proofErr w:type="spellStart"/>
      <w:r w:rsidRPr="00385289">
        <w:rPr>
          <w:i/>
          <w:iCs/>
          <w:szCs w:val="22"/>
        </w:rPr>
        <w:t>vitro</w:t>
      </w:r>
      <w:proofErr w:type="spellEnd"/>
      <w:r w:rsidRPr="00385289">
        <w:rPr>
          <w:szCs w:val="22"/>
        </w:rPr>
        <w:t xml:space="preserve"> </w:t>
      </w:r>
      <w:r>
        <w:rPr>
          <w:szCs w:val="22"/>
        </w:rPr>
        <w:t>aj</w:t>
      </w:r>
      <w:r w:rsidRPr="00385289">
        <w:rPr>
          <w:szCs w:val="22"/>
        </w:rPr>
        <w:t xml:space="preserve"> v </w:t>
      </w:r>
      <w:r w:rsidRPr="00385289">
        <w:rPr>
          <w:i/>
          <w:iCs/>
          <w:szCs w:val="22"/>
        </w:rPr>
        <w:t xml:space="preserve">in </w:t>
      </w:r>
      <w:proofErr w:type="spellStart"/>
      <w:r w:rsidRPr="00385289">
        <w:rPr>
          <w:i/>
          <w:iCs/>
          <w:szCs w:val="22"/>
        </w:rPr>
        <w:t>vivo</w:t>
      </w:r>
      <w:proofErr w:type="spellEnd"/>
      <w:r w:rsidRPr="00385289">
        <w:rPr>
          <w:szCs w:val="22"/>
        </w:rPr>
        <w:t xml:space="preserve"> modeloch je </w:t>
      </w:r>
      <w:r w:rsidRPr="000818F9">
        <w:rPr>
          <w:szCs w:val="22"/>
        </w:rPr>
        <w:t xml:space="preserve">o </w:t>
      </w:r>
      <w:r w:rsidRPr="00596E40">
        <w:rPr>
          <w:szCs w:val="22"/>
        </w:rPr>
        <w:t>&lt; </w:t>
      </w:r>
      <w:r w:rsidRPr="00385289">
        <w:rPr>
          <w:szCs w:val="22"/>
        </w:rPr>
        <w:t xml:space="preserve">1 MIC riedenie vyššia u mikroorganizmov </w:t>
      </w:r>
      <w:r w:rsidRPr="00385289">
        <w:rPr>
          <w:i/>
          <w:iCs/>
          <w:szCs w:val="22"/>
        </w:rPr>
        <w:t xml:space="preserve">S. </w:t>
      </w:r>
      <w:proofErr w:type="spellStart"/>
      <w:r w:rsidRPr="00385289">
        <w:rPr>
          <w:i/>
          <w:iCs/>
          <w:szCs w:val="22"/>
        </w:rPr>
        <w:t>pyogenes</w:t>
      </w:r>
      <w:proofErr w:type="spellEnd"/>
      <w:r w:rsidRPr="00385289">
        <w:rPr>
          <w:szCs w:val="22"/>
        </w:rPr>
        <w:t xml:space="preserve">, </w:t>
      </w:r>
      <w:r w:rsidRPr="00385289">
        <w:rPr>
          <w:i/>
          <w:iCs/>
          <w:szCs w:val="22"/>
        </w:rPr>
        <w:t xml:space="preserve">H. </w:t>
      </w:r>
      <w:proofErr w:type="spellStart"/>
      <w:r w:rsidRPr="00385289">
        <w:rPr>
          <w:i/>
          <w:iCs/>
          <w:szCs w:val="22"/>
        </w:rPr>
        <w:t>influenzae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i/>
          <w:iCs/>
          <w:szCs w:val="22"/>
        </w:rPr>
        <w:t>Enterobacteriacae</w:t>
      </w:r>
      <w:proofErr w:type="spellEnd"/>
      <w:r w:rsidRPr="00385289">
        <w:rPr>
          <w:szCs w:val="22"/>
        </w:rPr>
        <w:t xml:space="preserve"> po deviatich </w:t>
      </w:r>
      <w:proofErr w:type="spellStart"/>
      <w:r w:rsidRPr="00385289">
        <w:rPr>
          <w:szCs w:val="22"/>
        </w:rPr>
        <w:t>subletálnych</w:t>
      </w:r>
      <w:proofErr w:type="spellEnd"/>
      <w:r w:rsidRPr="00385289">
        <w:rPr>
          <w:szCs w:val="22"/>
        </w:rPr>
        <w:t xml:space="preserve"> pasážach účinnej látky a o 3 riedenia vyššia u </w:t>
      </w:r>
      <w:r w:rsidRPr="00385289">
        <w:rPr>
          <w:i/>
          <w:iCs/>
          <w:szCs w:val="22"/>
        </w:rPr>
        <w:t xml:space="preserve">S. </w:t>
      </w:r>
      <w:proofErr w:type="spellStart"/>
      <w:r w:rsidRPr="00385289">
        <w:rPr>
          <w:i/>
          <w:iCs/>
          <w:szCs w:val="22"/>
        </w:rPr>
        <w:t>aureus</w:t>
      </w:r>
      <w:proofErr w:type="spellEnd"/>
      <w:r w:rsidRPr="00385289">
        <w:rPr>
          <w:szCs w:val="22"/>
        </w:rPr>
        <w:t xml:space="preserve">. Rozvinutie </w:t>
      </w:r>
      <w:r w:rsidRPr="00385289">
        <w:rPr>
          <w:i/>
          <w:iCs/>
          <w:szCs w:val="22"/>
        </w:rPr>
        <w:t xml:space="preserve">in </w:t>
      </w:r>
      <w:proofErr w:type="spellStart"/>
      <w:r w:rsidRPr="00385289">
        <w:rPr>
          <w:i/>
          <w:iCs/>
          <w:szCs w:val="22"/>
        </w:rPr>
        <w:t>vitro</w:t>
      </w:r>
      <w:proofErr w:type="spellEnd"/>
      <w:r w:rsidRPr="00385289">
        <w:rPr>
          <w:szCs w:val="22"/>
        </w:rPr>
        <w:t xml:space="preserve"> rezistencie kvôli mutáciám je zriedkavé.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rPr>
          <w:szCs w:val="22"/>
          <w:u w:val="single"/>
        </w:rPr>
      </w:pPr>
      <w:r w:rsidRPr="00596E40">
        <w:rPr>
          <w:szCs w:val="22"/>
          <w:u w:val="single"/>
        </w:rPr>
        <w:t>Hraničné hodnoty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Hraničné hodnoty citlivosti typických bakteriálnych patogénov voči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>: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>EUCAST:</w:t>
      </w:r>
    </w:p>
    <w:p w:rsidR="002A62E4" w:rsidRPr="00385289" w:rsidRDefault="002A62E4" w:rsidP="000818F9">
      <w:pPr>
        <w:pStyle w:val="MGGTextLeft"/>
        <w:keepNext w:val="0"/>
        <w:widowControl w:val="0"/>
        <w:numPr>
          <w:ilvl w:val="0"/>
          <w:numId w:val="18"/>
        </w:numPr>
        <w:tabs>
          <w:tab w:val="clear" w:pos="0"/>
          <w:tab w:val="num" w:pos="567"/>
        </w:tabs>
        <w:ind w:left="567" w:hanging="567"/>
        <w:rPr>
          <w:szCs w:val="22"/>
        </w:rPr>
      </w:pPr>
      <w:proofErr w:type="spellStart"/>
      <w:r w:rsidRPr="00385289">
        <w:rPr>
          <w:i/>
          <w:szCs w:val="22"/>
        </w:rPr>
        <w:t>Staphylococcus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spp</w:t>
      </w:r>
      <w:proofErr w:type="spellEnd"/>
      <w:r w:rsidRPr="00385289">
        <w:rPr>
          <w:szCs w:val="22"/>
        </w:rPr>
        <w:t>.: citlivý ≤ 1 mg/l, rezistentný &gt;</w:t>
      </w:r>
      <w:r>
        <w:rPr>
          <w:szCs w:val="22"/>
        </w:rPr>
        <w:t> </w:t>
      </w:r>
      <w:r w:rsidRPr="00385289">
        <w:rPr>
          <w:szCs w:val="22"/>
        </w:rPr>
        <w:t>2 mg/l;</w:t>
      </w:r>
    </w:p>
    <w:p w:rsidR="002A62E4" w:rsidRPr="00385289" w:rsidRDefault="002A62E4" w:rsidP="000818F9">
      <w:pPr>
        <w:pStyle w:val="MGGTextLeft"/>
        <w:keepNext w:val="0"/>
        <w:widowControl w:val="0"/>
        <w:numPr>
          <w:ilvl w:val="0"/>
          <w:numId w:val="18"/>
        </w:numPr>
        <w:tabs>
          <w:tab w:val="clear" w:pos="0"/>
          <w:tab w:val="num" w:pos="567"/>
        </w:tabs>
        <w:ind w:left="567" w:hanging="567"/>
        <w:rPr>
          <w:szCs w:val="22"/>
        </w:rPr>
      </w:pPr>
      <w:proofErr w:type="spellStart"/>
      <w:r w:rsidRPr="00385289">
        <w:rPr>
          <w:i/>
          <w:szCs w:val="22"/>
        </w:rPr>
        <w:t>Haemophilus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spp</w:t>
      </w:r>
      <w:proofErr w:type="spellEnd"/>
      <w:r w:rsidRPr="00385289">
        <w:rPr>
          <w:szCs w:val="22"/>
        </w:rPr>
        <w:t>.: citlivý ≤ 0,12 mg/l, rezistentný &gt; 4 mg/l;</w:t>
      </w:r>
    </w:p>
    <w:p w:rsidR="002A62E4" w:rsidRPr="00385289" w:rsidRDefault="002A62E4" w:rsidP="000818F9">
      <w:pPr>
        <w:pStyle w:val="MGGTextLeft"/>
        <w:keepNext w:val="0"/>
        <w:widowControl w:val="0"/>
        <w:numPr>
          <w:ilvl w:val="0"/>
          <w:numId w:val="18"/>
        </w:numPr>
        <w:tabs>
          <w:tab w:val="clear" w:pos="0"/>
          <w:tab w:val="num" w:pos="567"/>
        </w:tabs>
        <w:ind w:left="567" w:hanging="567"/>
        <w:rPr>
          <w:szCs w:val="22"/>
        </w:rPr>
      </w:pPr>
      <w:proofErr w:type="spellStart"/>
      <w:r w:rsidRPr="00385289">
        <w:rPr>
          <w:i/>
          <w:szCs w:val="22"/>
        </w:rPr>
        <w:t>Streptococcus</w:t>
      </w:r>
      <w:proofErr w:type="spellEnd"/>
      <w:r w:rsidRPr="00385289">
        <w:rPr>
          <w:i/>
          <w:szCs w:val="22"/>
        </w:rPr>
        <w:t xml:space="preserve"> </w:t>
      </w:r>
      <w:proofErr w:type="spellStart"/>
      <w:r w:rsidRPr="00385289">
        <w:rPr>
          <w:i/>
          <w:szCs w:val="22"/>
        </w:rPr>
        <w:t>pneumoniae</w:t>
      </w:r>
      <w:proofErr w:type="spellEnd"/>
      <w:r w:rsidRPr="00385289">
        <w:rPr>
          <w:i/>
          <w:szCs w:val="22"/>
        </w:rPr>
        <w:t xml:space="preserve"> a </w:t>
      </w:r>
      <w:proofErr w:type="spellStart"/>
      <w:r w:rsidRPr="00385289">
        <w:rPr>
          <w:i/>
          <w:szCs w:val="22"/>
        </w:rPr>
        <w:t>Streptococcus</w:t>
      </w:r>
      <w:proofErr w:type="spellEnd"/>
      <w:r w:rsidRPr="00385289">
        <w:rPr>
          <w:szCs w:val="22"/>
        </w:rPr>
        <w:t xml:space="preserve"> A, B, C, G: citlivý ≤ 0,25 mg/l, rezistentný ≥ 0,5 mg/l.</w:t>
      </w:r>
    </w:p>
    <w:p w:rsidR="002A62E4" w:rsidRPr="00385289" w:rsidRDefault="002A62E4" w:rsidP="000818F9">
      <w:pPr>
        <w:pStyle w:val="MGGTextLeft"/>
        <w:keepNext w:val="0"/>
        <w:widowControl w:val="0"/>
        <w:numPr>
          <w:ilvl w:val="0"/>
          <w:numId w:val="18"/>
        </w:numPr>
        <w:tabs>
          <w:tab w:val="clear" w:pos="0"/>
          <w:tab w:val="num" w:pos="567"/>
        </w:tabs>
        <w:ind w:left="567" w:hanging="567"/>
        <w:rPr>
          <w:szCs w:val="22"/>
        </w:rPr>
      </w:pPr>
      <w:proofErr w:type="spellStart"/>
      <w:r w:rsidRPr="00385289">
        <w:rPr>
          <w:i/>
          <w:szCs w:val="22"/>
        </w:rPr>
        <w:t>Moraxella</w:t>
      </w:r>
      <w:proofErr w:type="spellEnd"/>
      <w:r w:rsidRPr="00385289">
        <w:rPr>
          <w:i/>
          <w:szCs w:val="22"/>
        </w:rPr>
        <w:t xml:space="preserve"> </w:t>
      </w:r>
      <w:proofErr w:type="spellStart"/>
      <w:r w:rsidRPr="00385289">
        <w:rPr>
          <w:i/>
          <w:szCs w:val="22"/>
        </w:rPr>
        <w:t>catarrhalis</w:t>
      </w:r>
      <w:proofErr w:type="spellEnd"/>
      <w:r w:rsidRPr="00385289">
        <w:rPr>
          <w:szCs w:val="22"/>
        </w:rPr>
        <w:t>: citlivý ≤ 0,5 mg/l, rezistentný &gt; </w:t>
      </w:r>
      <w:r>
        <w:rPr>
          <w:szCs w:val="22"/>
        </w:rPr>
        <w:t>0,</w:t>
      </w:r>
      <w:r w:rsidRPr="00385289">
        <w:rPr>
          <w:szCs w:val="22"/>
        </w:rPr>
        <w:t>5 mg/l;</w:t>
      </w:r>
    </w:p>
    <w:p w:rsidR="002A62E4" w:rsidRPr="00385289" w:rsidRDefault="002A62E4" w:rsidP="000818F9">
      <w:pPr>
        <w:pStyle w:val="MGGTextLeft"/>
        <w:keepNext w:val="0"/>
        <w:widowControl w:val="0"/>
        <w:numPr>
          <w:ilvl w:val="0"/>
          <w:numId w:val="18"/>
        </w:numPr>
        <w:tabs>
          <w:tab w:val="clear" w:pos="0"/>
          <w:tab w:val="num" w:pos="567"/>
        </w:tabs>
        <w:ind w:left="567" w:hanging="567"/>
        <w:rPr>
          <w:szCs w:val="22"/>
        </w:rPr>
      </w:pPr>
      <w:proofErr w:type="spellStart"/>
      <w:r w:rsidRPr="00385289">
        <w:rPr>
          <w:bCs/>
          <w:i/>
          <w:iCs/>
          <w:szCs w:val="22"/>
        </w:rPr>
        <w:t>Neisseria</w:t>
      </w:r>
      <w:proofErr w:type="spellEnd"/>
      <w:r w:rsidRPr="00385289">
        <w:rPr>
          <w:bCs/>
          <w:i/>
          <w:iCs/>
          <w:szCs w:val="22"/>
        </w:rPr>
        <w:t xml:space="preserve"> </w:t>
      </w:r>
      <w:proofErr w:type="spellStart"/>
      <w:r w:rsidRPr="00385289">
        <w:rPr>
          <w:bCs/>
          <w:i/>
          <w:iCs/>
          <w:szCs w:val="22"/>
        </w:rPr>
        <w:t>gonorrhoeae</w:t>
      </w:r>
      <w:proofErr w:type="spellEnd"/>
      <w:r w:rsidRPr="00385289">
        <w:rPr>
          <w:bCs/>
          <w:iCs/>
          <w:szCs w:val="22"/>
        </w:rPr>
        <w:t>:</w:t>
      </w:r>
      <w:r w:rsidRPr="00385289">
        <w:rPr>
          <w:iCs/>
          <w:szCs w:val="22"/>
        </w:rPr>
        <w:t xml:space="preserve"> </w:t>
      </w:r>
      <w:r w:rsidRPr="00385289">
        <w:rPr>
          <w:bCs/>
          <w:iCs/>
          <w:szCs w:val="22"/>
        </w:rPr>
        <w:t xml:space="preserve">≤ 0.25 mg/l; </w:t>
      </w:r>
      <w:r w:rsidRPr="00385289">
        <w:rPr>
          <w:szCs w:val="22"/>
        </w:rPr>
        <w:t>rezistentný</w:t>
      </w:r>
      <w:r w:rsidRPr="00385289">
        <w:rPr>
          <w:bCs/>
          <w:iCs/>
          <w:szCs w:val="22"/>
        </w:rPr>
        <w:t xml:space="preserve"> &gt; 0.5 mg/l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596E40">
        <w:rPr>
          <w:iCs/>
          <w:szCs w:val="22"/>
        </w:rPr>
        <w:t>Prevalencia</w:t>
      </w:r>
      <w:proofErr w:type="spellEnd"/>
      <w:r w:rsidRPr="00596E40">
        <w:rPr>
          <w:iCs/>
          <w:szCs w:val="22"/>
        </w:rPr>
        <w:t xml:space="preserve"> rezistencie pre vybrané druhy </w:t>
      </w:r>
      <w:r w:rsidRPr="00596E40">
        <w:t>môže kolísať v závislosti od geografickej polohy a času</w:t>
      </w:r>
      <w:r w:rsidRPr="00596E40" w:rsidDel="00965994">
        <w:rPr>
          <w:iCs/>
          <w:szCs w:val="22"/>
        </w:rPr>
        <w:t xml:space="preserve"> </w:t>
      </w:r>
      <w:r w:rsidRPr="00596E40">
        <w:rPr>
          <w:iCs/>
          <w:szCs w:val="22"/>
        </w:rPr>
        <w:t>a </w:t>
      </w:r>
      <w:r w:rsidRPr="00596E40">
        <w:t>miestne informácie o rezistencii sú potrebné predovšetkým pri liečbe závažných infekcií.</w:t>
      </w:r>
      <w:r w:rsidRPr="000818F9">
        <w:t xml:space="preserve"> </w:t>
      </w:r>
      <w:r w:rsidRPr="000818F9">
        <w:rPr>
          <w:szCs w:val="22"/>
        </w:rPr>
        <w:t xml:space="preserve">Uvedené informácie sú len približným usmernením o </w:t>
      </w:r>
      <w:proofErr w:type="spellStart"/>
      <w:r w:rsidRPr="000818F9">
        <w:rPr>
          <w:szCs w:val="22"/>
        </w:rPr>
        <w:t>pravdepodobnosi</w:t>
      </w:r>
      <w:proofErr w:type="spellEnd"/>
      <w:r w:rsidRPr="000818F9">
        <w:rPr>
          <w:szCs w:val="22"/>
        </w:rPr>
        <w:t xml:space="preserve"> organizmu citlivého na </w:t>
      </w:r>
      <w:proofErr w:type="spellStart"/>
      <w:r w:rsidRPr="000818F9">
        <w:rPr>
          <w:szCs w:val="22"/>
        </w:rPr>
        <w:t>azitromycín</w:t>
      </w:r>
      <w:proofErr w:type="spellEnd"/>
      <w:r w:rsidRPr="000818F9">
        <w:rPr>
          <w:szCs w:val="22"/>
        </w:rPr>
        <w:t>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Tabuľka č. 1: Antibakteriálne spektrum </w:t>
      </w:r>
      <w:proofErr w:type="spellStart"/>
      <w:r w:rsidRPr="00385289">
        <w:rPr>
          <w:szCs w:val="22"/>
        </w:rPr>
        <w:t>azitromycínu</w:t>
      </w:r>
      <w:proofErr w:type="spellEnd"/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789"/>
      </w:tblGrid>
      <w:tr w:rsidR="002A62E4" w:rsidRPr="00385289">
        <w:trPr>
          <w:trHeight w:val="320"/>
        </w:trPr>
        <w:tc>
          <w:tcPr>
            <w:tcW w:w="8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spacing w:before="60" w:after="60"/>
              <w:rPr>
                <w:sz w:val="22"/>
                <w:szCs w:val="22"/>
                <w:lang w:val="sk-SK"/>
              </w:rPr>
            </w:pPr>
            <w:r w:rsidRPr="00385289">
              <w:rPr>
                <w:b/>
                <w:bCs/>
                <w:sz w:val="22"/>
                <w:szCs w:val="22"/>
                <w:lang w:val="sk-SK"/>
              </w:rPr>
              <w:t>Bežne citlivé druhy</w:t>
            </w:r>
          </w:p>
        </w:tc>
      </w:tr>
      <w:tr w:rsidR="002A62E4" w:rsidRPr="00385289">
        <w:trPr>
          <w:trHeight w:val="84"/>
        </w:trPr>
        <w:tc>
          <w:tcPr>
            <w:tcW w:w="87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2A62E4" w:rsidRPr="00385289">
        <w:trPr>
          <w:trHeight w:val="60"/>
        </w:trPr>
        <w:tc>
          <w:tcPr>
            <w:tcW w:w="87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spacing w:before="60" w:after="60"/>
              <w:rPr>
                <w:sz w:val="22"/>
                <w:szCs w:val="22"/>
                <w:lang w:val="sk-SK"/>
              </w:rPr>
            </w:pPr>
            <w:r w:rsidRPr="00385289">
              <w:rPr>
                <w:b/>
                <w:bCs/>
                <w:sz w:val="22"/>
                <w:szCs w:val="22"/>
                <w:lang w:val="sk-SK"/>
              </w:rPr>
              <w:t xml:space="preserve">Aeróbne </w:t>
            </w:r>
            <w:proofErr w:type="spellStart"/>
            <w:r w:rsidRPr="00385289">
              <w:rPr>
                <w:b/>
                <w:bCs/>
                <w:sz w:val="22"/>
                <w:szCs w:val="22"/>
                <w:lang w:val="sk-SK"/>
              </w:rPr>
              <w:t>gramnegatívne</w:t>
            </w:r>
            <w:proofErr w:type="spellEnd"/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Haemophilus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influenzae</w:t>
            </w:r>
            <w:proofErr w:type="spellEnd"/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Moraxella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catarrhalis</w:t>
            </w:r>
            <w:proofErr w:type="spellEnd"/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Neisseria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gonorrhoeae</w:t>
            </w:r>
            <w:proofErr w:type="spellEnd"/>
          </w:p>
        </w:tc>
      </w:tr>
      <w:tr w:rsidR="002A62E4" w:rsidRPr="00385289">
        <w:trPr>
          <w:trHeight w:val="60"/>
        </w:trPr>
        <w:tc>
          <w:tcPr>
            <w:tcW w:w="87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spacing w:before="60" w:after="60"/>
              <w:rPr>
                <w:sz w:val="22"/>
                <w:szCs w:val="22"/>
                <w:lang w:val="sk-SK"/>
              </w:rPr>
            </w:pPr>
            <w:r w:rsidRPr="00385289">
              <w:rPr>
                <w:b/>
                <w:bCs/>
                <w:sz w:val="22"/>
                <w:szCs w:val="22"/>
                <w:lang w:val="sk-SK"/>
              </w:rPr>
              <w:t>Ďalšie mikroorganizmy</w:t>
            </w:r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Chlamydophila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Chlamydia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trachomatis</w:t>
            </w:r>
            <w:proofErr w:type="spellEnd"/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62E4" w:rsidRPr="00385289" w:rsidRDefault="002A62E4" w:rsidP="00E35CDB">
            <w:pPr>
              <w:pStyle w:val="Default"/>
              <w:widowControl w:val="0"/>
              <w:rPr>
                <w:i/>
                <w:iCs/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bCs/>
                <w:i/>
                <w:iCs/>
                <w:sz w:val="22"/>
                <w:szCs w:val="22"/>
                <w:lang w:val="sk-SK"/>
              </w:rPr>
              <w:t>Legionella</w:t>
            </w:r>
            <w:proofErr w:type="spellEnd"/>
            <w:r w:rsidRPr="00385289">
              <w:rPr>
                <w:bCs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bCs/>
                <w:i/>
                <w:iCs/>
                <w:sz w:val="22"/>
                <w:szCs w:val="22"/>
                <w:lang w:val="sk-SK"/>
              </w:rPr>
              <w:t>spp</w:t>
            </w:r>
            <w:proofErr w:type="spellEnd"/>
            <w:r w:rsidRPr="00385289">
              <w:rPr>
                <w:bCs/>
                <w:i/>
                <w:iCs/>
                <w:sz w:val="22"/>
                <w:szCs w:val="22"/>
                <w:lang w:val="sk-SK"/>
              </w:rPr>
              <w:t>.</w:t>
            </w:r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62E4" w:rsidRPr="00385289" w:rsidRDefault="002A62E4" w:rsidP="00E35CDB">
            <w:pPr>
              <w:pStyle w:val="Default"/>
              <w:widowControl w:val="0"/>
              <w:rPr>
                <w:i/>
                <w:iCs/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Mycobacterium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avium</w:t>
            </w:r>
            <w:proofErr w:type="spellEnd"/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Mycoplasma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>°</w:t>
            </w:r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2A62E4" w:rsidRPr="00385289">
        <w:trPr>
          <w:trHeight w:val="320"/>
        </w:trPr>
        <w:tc>
          <w:tcPr>
            <w:tcW w:w="878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spacing w:before="60" w:after="60"/>
              <w:rPr>
                <w:sz w:val="22"/>
                <w:szCs w:val="22"/>
                <w:lang w:val="sk-SK"/>
              </w:rPr>
            </w:pPr>
            <w:r w:rsidRPr="00385289">
              <w:rPr>
                <w:b/>
                <w:bCs/>
                <w:sz w:val="22"/>
                <w:szCs w:val="22"/>
                <w:lang w:val="sk-SK"/>
              </w:rPr>
              <w:t xml:space="preserve">Druhy, pri ktorých môže byť problémom získaná rezistencia </w:t>
            </w:r>
          </w:p>
        </w:tc>
      </w:tr>
      <w:tr w:rsidR="002A62E4" w:rsidRPr="00385289">
        <w:trPr>
          <w:trHeight w:val="20"/>
        </w:trPr>
        <w:tc>
          <w:tcPr>
            <w:tcW w:w="8789" w:type="dxa"/>
            <w:tcBorders>
              <w:top w:val="doub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2A62E4" w:rsidRPr="00385289">
        <w:trPr>
          <w:trHeight w:val="2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E4" w:rsidRPr="00C94A47" w:rsidRDefault="002A62E4" w:rsidP="000818F9">
            <w:pPr>
              <w:pStyle w:val="MGGTableContents"/>
              <w:keepNext w:val="0"/>
              <w:keepLines w:val="0"/>
              <w:widowControl w:val="0"/>
              <w:rPr>
                <w:b/>
                <w:bCs/>
                <w:sz w:val="22"/>
                <w:szCs w:val="22"/>
                <w:lang w:val="sk-SK" w:eastAsia="sk-SK"/>
              </w:rPr>
            </w:pPr>
            <w:r w:rsidRPr="00C94A47">
              <w:rPr>
                <w:b/>
                <w:bCs/>
                <w:sz w:val="22"/>
                <w:szCs w:val="22"/>
                <w:lang w:val="sk-SK" w:eastAsia="sk-SK"/>
              </w:rPr>
              <w:t xml:space="preserve">Aeróbne </w:t>
            </w:r>
            <w:proofErr w:type="spellStart"/>
            <w:r w:rsidRPr="00C94A47">
              <w:rPr>
                <w:b/>
                <w:bCs/>
                <w:sz w:val="22"/>
                <w:szCs w:val="22"/>
                <w:lang w:val="sk-SK" w:eastAsia="sk-SK"/>
              </w:rPr>
              <w:t>grampozitívne</w:t>
            </w:r>
            <w:proofErr w:type="spellEnd"/>
            <w:r w:rsidRPr="00C94A47">
              <w:rPr>
                <w:b/>
                <w:bCs/>
                <w:sz w:val="22"/>
                <w:szCs w:val="22"/>
                <w:lang w:val="sk-SK" w:eastAsia="sk-SK"/>
              </w:rPr>
              <w:t xml:space="preserve"> mikroorganizmy</w:t>
            </w:r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2E4" w:rsidRPr="00385289" w:rsidRDefault="002A62E4" w:rsidP="000818F9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Staphylococcus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aureus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385289">
              <w:rPr>
                <w:sz w:val="22"/>
                <w:szCs w:val="22"/>
                <w:lang w:val="sk-SK"/>
              </w:rPr>
              <w:t>(citlivý</w:t>
            </w:r>
            <w:r>
              <w:rPr>
                <w:sz w:val="22"/>
                <w:szCs w:val="22"/>
                <w:lang w:val="sk-SK"/>
              </w:rPr>
              <w:t xml:space="preserve"> na </w:t>
            </w:r>
            <w:proofErr w:type="spellStart"/>
            <w:r>
              <w:rPr>
                <w:sz w:val="22"/>
                <w:szCs w:val="22"/>
                <w:lang w:val="sk-SK"/>
              </w:rPr>
              <w:t>meticilín</w:t>
            </w:r>
            <w:proofErr w:type="spellEnd"/>
            <w:r w:rsidRPr="00385289">
              <w:rPr>
                <w:sz w:val="22"/>
                <w:szCs w:val="22"/>
                <w:lang w:val="sk-SK"/>
              </w:rPr>
              <w:t>)</w:t>
            </w:r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</w:p>
        </w:tc>
      </w:tr>
      <w:tr w:rsidR="002A62E4" w:rsidRPr="00385289">
        <w:trPr>
          <w:cantSplit/>
          <w:trHeight w:val="8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2E4" w:rsidRPr="00385289" w:rsidRDefault="002A62E4" w:rsidP="000818F9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pyogenes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385289">
              <w:rPr>
                <w:sz w:val="22"/>
                <w:szCs w:val="22"/>
                <w:lang w:val="sk-SK"/>
              </w:rPr>
              <w:t>(stredne citlivý</w:t>
            </w:r>
            <w:r>
              <w:rPr>
                <w:sz w:val="22"/>
                <w:szCs w:val="22"/>
                <w:lang w:val="sk-SK"/>
              </w:rPr>
              <w:t xml:space="preserve"> na </w:t>
            </w:r>
            <w:proofErr w:type="spellStart"/>
            <w:r w:rsidRPr="00385289">
              <w:rPr>
                <w:sz w:val="22"/>
                <w:szCs w:val="22"/>
                <w:lang w:val="sk-SK"/>
              </w:rPr>
              <w:t>erytromycín</w:t>
            </w:r>
            <w:proofErr w:type="spellEnd"/>
            <w:r w:rsidRPr="00385289">
              <w:rPr>
                <w:sz w:val="22"/>
                <w:szCs w:val="22"/>
                <w:lang w:val="sk-SK"/>
              </w:rPr>
              <w:t>)</w:t>
            </w:r>
          </w:p>
        </w:tc>
      </w:tr>
      <w:tr w:rsidR="002A62E4" w:rsidRPr="00385289">
        <w:trPr>
          <w:cantSplit/>
          <w:trHeight w:val="8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i/>
                <w:iCs/>
                <w:sz w:val="22"/>
                <w:szCs w:val="22"/>
                <w:lang w:val="sk-SK"/>
              </w:rPr>
            </w:pPr>
            <w:r w:rsidRPr="00385289">
              <w:rPr>
                <w:b/>
                <w:bCs/>
                <w:sz w:val="22"/>
                <w:szCs w:val="22"/>
                <w:lang w:val="sk-SK"/>
              </w:rPr>
              <w:t>Ďalšie mikroorganizmy</w:t>
            </w:r>
          </w:p>
        </w:tc>
      </w:tr>
      <w:tr w:rsidR="002A62E4" w:rsidRPr="00385289">
        <w:trPr>
          <w:cantSplit/>
          <w:trHeight w:val="8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Ureaplasma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urealyticum</w:t>
            </w:r>
            <w:proofErr w:type="spellEnd"/>
          </w:p>
        </w:tc>
      </w:tr>
      <w:tr w:rsidR="002A62E4" w:rsidRPr="00385289">
        <w:trPr>
          <w:trHeight w:val="320"/>
        </w:trPr>
        <w:tc>
          <w:tcPr>
            <w:tcW w:w="878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spacing w:before="60" w:after="60"/>
              <w:rPr>
                <w:sz w:val="22"/>
                <w:szCs w:val="22"/>
                <w:lang w:val="sk-SK"/>
              </w:rPr>
            </w:pPr>
            <w:r w:rsidRPr="00385289">
              <w:rPr>
                <w:b/>
                <w:bCs/>
                <w:sz w:val="22"/>
                <w:szCs w:val="22"/>
                <w:lang w:val="sk-SK"/>
              </w:rPr>
              <w:lastRenderedPageBreak/>
              <w:t>Inherentne rezistentné mikroorganizmy</w:t>
            </w:r>
          </w:p>
        </w:tc>
      </w:tr>
      <w:tr w:rsidR="002A62E4" w:rsidRPr="00385289">
        <w:trPr>
          <w:trHeight w:val="40"/>
        </w:trPr>
        <w:tc>
          <w:tcPr>
            <w:tcW w:w="8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2A62E4" w:rsidRPr="00385289">
        <w:trPr>
          <w:trHeight w:val="40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2E4" w:rsidRPr="00385289" w:rsidRDefault="002A62E4" w:rsidP="00DE3989">
            <w:pPr>
              <w:pStyle w:val="Default"/>
              <w:widowControl w:val="0"/>
              <w:spacing w:before="60" w:after="60"/>
              <w:rPr>
                <w:b/>
                <w:bCs/>
                <w:sz w:val="22"/>
                <w:szCs w:val="22"/>
                <w:lang w:val="sk-SK"/>
              </w:rPr>
            </w:pPr>
            <w:r w:rsidRPr="00385289">
              <w:rPr>
                <w:b/>
                <w:bCs/>
                <w:sz w:val="22"/>
                <w:szCs w:val="22"/>
                <w:lang w:val="sk-SK"/>
              </w:rPr>
              <w:t xml:space="preserve">Aeróbne </w:t>
            </w:r>
            <w:proofErr w:type="spellStart"/>
            <w:r w:rsidRPr="00385289">
              <w:rPr>
                <w:b/>
                <w:bCs/>
                <w:sz w:val="22"/>
                <w:szCs w:val="22"/>
                <w:lang w:val="sk-SK"/>
              </w:rPr>
              <w:t>grampozitívne</w:t>
            </w:r>
            <w:proofErr w:type="spellEnd"/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Staphylococci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MRSA, MRSE</w:t>
            </w:r>
          </w:p>
        </w:tc>
      </w:tr>
      <w:tr w:rsidR="002A62E4" w:rsidRPr="00385289">
        <w:trPr>
          <w:trHeight w:val="60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spacing w:before="60" w:after="60"/>
              <w:rPr>
                <w:sz w:val="22"/>
                <w:szCs w:val="22"/>
                <w:lang w:val="sk-SK"/>
              </w:rPr>
            </w:pPr>
            <w:r w:rsidRPr="00385289">
              <w:rPr>
                <w:b/>
                <w:bCs/>
                <w:sz w:val="22"/>
                <w:szCs w:val="22"/>
                <w:lang w:val="sk-SK"/>
              </w:rPr>
              <w:t xml:space="preserve">Aeróbne </w:t>
            </w:r>
            <w:proofErr w:type="spellStart"/>
            <w:r w:rsidRPr="00385289">
              <w:rPr>
                <w:b/>
                <w:bCs/>
                <w:sz w:val="22"/>
                <w:szCs w:val="22"/>
                <w:lang w:val="sk-SK"/>
              </w:rPr>
              <w:t>gramnegatívne</w:t>
            </w:r>
            <w:proofErr w:type="spellEnd"/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i/>
                <w:iCs/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Escherichia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coli</w:t>
            </w:r>
            <w:proofErr w:type="spellEnd"/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i/>
                <w:iCs/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Klebsiella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spp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>.</w:t>
            </w:r>
          </w:p>
        </w:tc>
      </w:tr>
      <w:tr w:rsidR="002A62E4" w:rsidRPr="00385289">
        <w:trPr>
          <w:cantSplit/>
          <w:trHeight w:val="60"/>
        </w:trPr>
        <w:tc>
          <w:tcPr>
            <w:tcW w:w="878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Pseudomonas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aeruginosa</w:t>
            </w:r>
            <w:proofErr w:type="spellEnd"/>
          </w:p>
        </w:tc>
      </w:tr>
      <w:tr w:rsidR="002A62E4" w:rsidRPr="00385289">
        <w:trPr>
          <w:trHeight w:val="60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A62E4" w:rsidRPr="00385289" w:rsidRDefault="002A62E4" w:rsidP="00E35CDB">
            <w:pPr>
              <w:pStyle w:val="Default"/>
              <w:widowControl w:val="0"/>
              <w:spacing w:before="60" w:after="60"/>
              <w:rPr>
                <w:sz w:val="22"/>
                <w:szCs w:val="22"/>
                <w:lang w:val="sk-SK"/>
              </w:rPr>
            </w:pPr>
            <w:r w:rsidRPr="00385289">
              <w:rPr>
                <w:sz w:val="22"/>
                <w:szCs w:val="22"/>
                <w:lang w:val="sk-SK"/>
              </w:rPr>
              <w:br w:type="page"/>
            </w:r>
            <w:r w:rsidRPr="00385289">
              <w:rPr>
                <w:b/>
                <w:bCs/>
                <w:sz w:val="22"/>
                <w:szCs w:val="22"/>
                <w:lang w:val="sk-SK"/>
              </w:rPr>
              <w:t>Anaeróbne</w:t>
            </w:r>
          </w:p>
        </w:tc>
      </w:tr>
      <w:tr w:rsidR="002A62E4" w:rsidRPr="00385289">
        <w:trPr>
          <w:cantSplit/>
          <w:trHeight w:val="77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2E4" w:rsidRPr="00385289" w:rsidRDefault="002A62E4" w:rsidP="000A60A5">
            <w:pPr>
              <w:pStyle w:val="Default"/>
              <w:widowControl w:val="0"/>
              <w:rPr>
                <w:strike/>
                <w:sz w:val="22"/>
                <w:szCs w:val="22"/>
                <w:lang w:val="sk-SK"/>
              </w:rPr>
            </w:pP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Bacteroides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85289">
              <w:rPr>
                <w:i/>
                <w:iCs/>
                <w:sz w:val="22"/>
                <w:szCs w:val="22"/>
                <w:lang w:val="sk-SK"/>
              </w:rPr>
              <w:t>fragilis</w:t>
            </w:r>
            <w:proofErr w:type="spellEnd"/>
            <w:r w:rsidRPr="0038528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FB3EC8">
              <w:rPr>
                <w:iCs/>
                <w:sz w:val="22"/>
                <w:szCs w:val="22"/>
                <w:lang w:val="sk-SK"/>
              </w:rPr>
              <w:t>skupina</w:t>
            </w:r>
          </w:p>
        </w:tc>
      </w:tr>
    </w:tbl>
    <w:p w:rsidR="002A62E4" w:rsidRPr="00385289" w:rsidRDefault="002A62E4" w:rsidP="00E35CDB">
      <w:pPr>
        <w:pStyle w:val="Default"/>
        <w:widowControl w:val="0"/>
        <w:ind w:left="177" w:hanging="177"/>
        <w:rPr>
          <w:sz w:val="22"/>
          <w:szCs w:val="22"/>
          <w:lang w:val="sk-SK"/>
        </w:rPr>
      </w:pPr>
      <w:r w:rsidRPr="00385289">
        <w:rPr>
          <w:bCs/>
          <w:iCs/>
          <w:sz w:val="22"/>
          <w:szCs w:val="22"/>
          <w:lang w:val="sk-SK"/>
        </w:rPr>
        <w:t>°</w:t>
      </w:r>
      <w:r>
        <w:rPr>
          <w:bCs/>
          <w:iCs/>
          <w:sz w:val="22"/>
          <w:szCs w:val="22"/>
          <w:lang w:val="sk-SK"/>
        </w:rPr>
        <w:t xml:space="preserve"> </w:t>
      </w:r>
      <w:r w:rsidRPr="00385289">
        <w:rPr>
          <w:bCs/>
          <w:iCs/>
          <w:sz w:val="22"/>
          <w:szCs w:val="22"/>
          <w:lang w:val="sk-SK"/>
        </w:rPr>
        <w:t xml:space="preserve">V čase zverejnenia nie sú </w:t>
      </w:r>
      <w:r>
        <w:rPr>
          <w:bCs/>
          <w:iCs/>
          <w:sz w:val="22"/>
          <w:szCs w:val="22"/>
          <w:lang w:val="sk-SK"/>
        </w:rPr>
        <w:t xml:space="preserve">dostupné </w:t>
      </w:r>
      <w:r w:rsidRPr="00385289">
        <w:rPr>
          <w:bCs/>
          <w:iCs/>
          <w:sz w:val="22"/>
          <w:szCs w:val="22"/>
          <w:lang w:val="sk-SK"/>
        </w:rPr>
        <w:t xml:space="preserve">aktuálne údaje. </w:t>
      </w:r>
      <w:r>
        <w:rPr>
          <w:bCs/>
          <w:iCs/>
          <w:sz w:val="22"/>
          <w:szCs w:val="22"/>
          <w:lang w:val="sk-SK"/>
        </w:rPr>
        <w:t>V z</w:t>
      </w:r>
      <w:r w:rsidRPr="00385289">
        <w:rPr>
          <w:bCs/>
          <w:iCs/>
          <w:sz w:val="22"/>
          <w:szCs w:val="22"/>
          <w:lang w:val="sk-SK"/>
        </w:rPr>
        <w:t>ákladn</w:t>
      </w:r>
      <w:r>
        <w:rPr>
          <w:bCs/>
          <w:iCs/>
          <w:sz w:val="22"/>
          <w:szCs w:val="22"/>
          <w:lang w:val="sk-SK"/>
        </w:rPr>
        <w:t>ej</w:t>
      </w:r>
      <w:r w:rsidRPr="00385289">
        <w:rPr>
          <w:bCs/>
          <w:iCs/>
          <w:sz w:val="22"/>
          <w:szCs w:val="22"/>
          <w:lang w:val="sk-SK"/>
        </w:rPr>
        <w:t xml:space="preserve"> literat</w:t>
      </w:r>
      <w:r>
        <w:rPr>
          <w:bCs/>
          <w:iCs/>
          <w:sz w:val="22"/>
          <w:szCs w:val="22"/>
          <w:lang w:val="sk-SK"/>
        </w:rPr>
        <w:t>ú</w:t>
      </w:r>
      <w:r w:rsidRPr="00385289">
        <w:rPr>
          <w:bCs/>
          <w:iCs/>
          <w:sz w:val="22"/>
          <w:szCs w:val="22"/>
          <w:lang w:val="sk-SK"/>
        </w:rPr>
        <w:t>re</w:t>
      </w:r>
      <w:r>
        <w:rPr>
          <w:bCs/>
          <w:iCs/>
          <w:sz w:val="22"/>
          <w:szCs w:val="22"/>
          <w:lang w:val="sk-SK"/>
        </w:rPr>
        <w:t xml:space="preserve"> sa</w:t>
      </w:r>
      <w:r w:rsidRPr="00385289">
        <w:rPr>
          <w:bCs/>
          <w:iCs/>
          <w:sz w:val="22"/>
          <w:szCs w:val="22"/>
          <w:lang w:val="sk-SK"/>
        </w:rPr>
        <w:t xml:space="preserve"> predpoklad</w:t>
      </w:r>
      <w:r>
        <w:rPr>
          <w:bCs/>
          <w:iCs/>
          <w:sz w:val="22"/>
          <w:szCs w:val="22"/>
          <w:lang w:val="sk-SK"/>
        </w:rPr>
        <w:t>ajú</w:t>
      </w:r>
      <w:r w:rsidRPr="00385289">
        <w:rPr>
          <w:bCs/>
          <w:iCs/>
          <w:sz w:val="22"/>
          <w:szCs w:val="22"/>
          <w:lang w:val="sk-SK"/>
        </w:rPr>
        <w:t xml:space="preserve"> štandardné pracovné a liečebné usmernenia </w:t>
      </w:r>
      <w:r>
        <w:rPr>
          <w:bCs/>
          <w:iCs/>
          <w:sz w:val="22"/>
          <w:szCs w:val="22"/>
          <w:lang w:val="sk-SK"/>
        </w:rPr>
        <w:t>o</w:t>
      </w:r>
      <w:r w:rsidRPr="00385289">
        <w:rPr>
          <w:bCs/>
          <w:iCs/>
          <w:sz w:val="22"/>
          <w:szCs w:val="22"/>
          <w:lang w:val="sk-SK"/>
        </w:rPr>
        <w:t xml:space="preserve"> citlivos</w:t>
      </w:r>
      <w:r>
        <w:rPr>
          <w:bCs/>
          <w:iCs/>
          <w:sz w:val="22"/>
          <w:szCs w:val="22"/>
          <w:lang w:val="sk-SK"/>
        </w:rPr>
        <w:t>ti</w:t>
      </w:r>
      <w:r w:rsidRPr="00385289">
        <w:rPr>
          <w:bCs/>
          <w:iCs/>
          <w:sz w:val="22"/>
          <w:szCs w:val="22"/>
          <w:lang w:val="sk-SK"/>
        </w:rPr>
        <w:t>.</w:t>
      </w:r>
    </w:p>
    <w:p w:rsidR="002A62E4" w:rsidRPr="00385289" w:rsidRDefault="002A62E4" w:rsidP="00E35CDB">
      <w:pPr>
        <w:pStyle w:val="MGGHeading3"/>
        <w:keepNext w:val="0"/>
        <w:keepLines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5.2</w:t>
      </w:r>
      <w:r w:rsidRPr="00385289">
        <w:rPr>
          <w:szCs w:val="22"/>
        </w:rPr>
        <w:tab/>
      </w:r>
      <w:proofErr w:type="spellStart"/>
      <w:r w:rsidRPr="00385289">
        <w:rPr>
          <w:szCs w:val="22"/>
        </w:rPr>
        <w:t>Farmakokinetické</w:t>
      </w:r>
      <w:proofErr w:type="spellEnd"/>
      <w:r w:rsidRPr="00385289">
        <w:rPr>
          <w:szCs w:val="22"/>
        </w:rPr>
        <w:t xml:space="preserve"> vlastnosti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rPr>
          <w:szCs w:val="22"/>
          <w:u w:val="single"/>
        </w:rPr>
      </w:pPr>
      <w:r w:rsidRPr="00596E40">
        <w:rPr>
          <w:iCs/>
          <w:szCs w:val="22"/>
          <w:u w:val="single"/>
        </w:rPr>
        <w:t>Absorpcia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Po perorálnom podaní je biologická dostupnosť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približne 37 %. Maximálne plazmatické hladiny sa dosahujú po 2</w:t>
      </w:r>
      <w:r>
        <w:rPr>
          <w:szCs w:val="22"/>
        </w:rPr>
        <w:t xml:space="preserve"> </w:t>
      </w:r>
      <w:r w:rsidRPr="00385289">
        <w:rPr>
          <w:szCs w:val="22"/>
        </w:rPr>
        <w:t>-</w:t>
      </w:r>
      <w:r>
        <w:rPr>
          <w:szCs w:val="22"/>
        </w:rPr>
        <w:t xml:space="preserve"> </w:t>
      </w:r>
      <w:r w:rsidRPr="00385289">
        <w:rPr>
          <w:szCs w:val="22"/>
        </w:rPr>
        <w:t>3 hodinách. Priemerná maximálna koncentrácia</w:t>
      </w:r>
      <w:r>
        <w:rPr>
          <w:szCs w:val="22"/>
        </w:rPr>
        <w:t xml:space="preserve"> </w:t>
      </w:r>
      <w:r w:rsidRPr="002216A8">
        <w:rPr>
          <w:szCs w:val="22"/>
        </w:rPr>
        <w:t>(</w:t>
      </w:r>
      <w:proofErr w:type="spellStart"/>
      <w:r w:rsidRPr="002216A8">
        <w:rPr>
          <w:szCs w:val="22"/>
        </w:rPr>
        <w:t>C</w:t>
      </w:r>
      <w:r w:rsidRPr="002216A8">
        <w:rPr>
          <w:szCs w:val="22"/>
          <w:vertAlign w:val="subscript"/>
        </w:rPr>
        <w:t>max</w:t>
      </w:r>
      <w:proofErr w:type="spellEnd"/>
      <w:r w:rsidRPr="002216A8">
        <w:rPr>
          <w:szCs w:val="22"/>
        </w:rPr>
        <w:t xml:space="preserve">) </w:t>
      </w:r>
      <w:r w:rsidRPr="00385289">
        <w:rPr>
          <w:szCs w:val="22"/>
        </w:rPr>
        <w:t xml:space="preserve">pozorovaná po jednorazovej dávke 500 mg je približne 0,4 </w:t>
      </w:r>
      <w:r w:rsidRPr="002216A8">
        <w:rPr>
          <w:szCs w:val="22"/>
          <w:lang w:val="nl-NL"/>
        </w:rPr>
        <w:t>μ</w:t>
      </w:r>
      <w:r w:rsidRPr="00385289">
        <w:rPr>
          <w:szCs w:val="22"/>
        </w:rPr>
        <w:t xml:space="preserve">g/ml.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rPr>
          <w:szCs w:val="22"/>
          <w:u w:val="single"/>
        </w:rPr>
      </w:pPr>
      <w:r w:rsidRPr="00596E40">
        <w:rPr>
          <w:iCs/>
          <w:szCs w:val="22"/>
          <w:u w:val="single"/>
        </w:rPr>
        <w:t>Distribúcia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Po perorálnom podaní sa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distribuuje do celého tela.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385289">
        <w:rPr>
          <w:szCs w:val="22"/>
        </w:rPr>
        <w:t>Farmakokinetické</w:t>
      </w:r>
      <w:proofErr w:type="spellEnd"/>
      <w:r w:rsidRPr="00385289">
        <w:rPr>
          <w:szCs w:val="22"/>
        </w:rPr>
        <w:t xml:space="preserve"> štúdie preukázali zreteľne vyššie hladiny koncentrácie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v tkanivách (až do 50-násobku maximálnej koncentrácie pozorovanej v plazme). To naznačuje, že liečivo je v značnom rozsahu viazané v tkanivách (distribučný objem v rovnovážnom stave predstavuje približne 31 l/kg).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Pri podávaní odporúčaných dávok nedochádza ku kumulácii liečiva v sére/plazme. Ku kumulácii dochádza v tkanivách, kde sú hladiny liečiva omnoho vyššie než hladiny v sére/plazme. Po podaní jednorazovej dávky 500 mg prekračujú koncentrácie v cieľových tkanivách, ako sú pľúca, mandle a prostata, hodnotu MIC</w:t>
      </w:r>
      <w:r w:rsidRPr="00385289">
        <w:rPr>
          <w:szCs w:val="22"/>
          <w:vertAlign w:val="subscript"/>
        </w:rPr>
        <w:t>90</w:t>
      </w:r>
      <w:r w:rsidRPr="00385289">
        <w:rPr>
          <w:szCs w:val="22"/>
        </w:rPr>
        <w:t xml:space="preserve"> pre najčastejšie sa vyskytujúce patogény.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 experimentálnych </w:t>
      </w:r>
      <w:r w:rsidRPr="00385289">
        <w:rPr>
          <w:i/>
          <w:iCs/>
          <w:szCs w:val="22"/>
        </w:rPr>
        <w:t xml:space="preserve">in </w:t>
      </w:r>
      <w:proofErr w:type="spellStart"/>
      <w:r w:rsidRPr="00385289">
        <w:rPr>
          <w:i/>
          <w:iCs/>
          <w:szCs w:val="22"/>
        </w:rPr>
        <w:t>vitro</w:t>
      </w:r>
      <w:proofErr w:type="spellEnd"/>
      <w:r w:rsidRPr="00385289">
        <w:rPr>
          <w:szCs w:val="22"/>
        </w:rPr>
        <w:t xml:space="preserve"> a </w:t>
      </w:r>
      <w:r w:rsidRPr="00385289">
        <w:rPr>
          <w:i/>
          <w:iCs/>
          <w:szCs w:val="22"/>
        </w:rPr>
        <w:t xml:space="preserve">in </w:t>
      </w:r>
      <w:proofErr w:type="spellStart"/>
      <w:r w:rsidRPr="00385289">
        <w:rPr>
          <w:i/>
          <w:iCs/>
          <w:szCs w:val="22"/>
        </w:rPr>
        <w:t>vivo</w:t>
      </w:r>
      <w:proofErr w:type="spellEnd"/>
      <w:r w:rsidRPr="00385289">
        <w:rPr>
          <w:szCs w:val="22"/>
        </w:rPr>
        <w:t xml:space="preserve"> štúdiách sa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kumuluje vo </w:t>
      </w:r>
      <w:proofErr w:type="spellStart"/>
      <w:r w:rsidRPr="00385289">
        <w:rPr>
          <w:szCs w:val="22"/>
        </w:rPr>
        <w:t>fagocytoch</w:t>
      </w:r>
      <w:proofErr w:type="spellEnd"/>
      <w:r w:rsidRPr="00385289">
        <w:rPr>
          <w:szCs w:val="22"/>
        </w:rPr>
        <w:t xml:space="preserve">; uvoľňovanie liečiva je podporované aktívnou </w:t>
      </w:r>
      <w:proofErr w:type="spellStart"/>
      <w:r w:rsidRPr="00385289">
        <w:rPr>
          <w:szCs w:val="22"/>
        </w:rPr>
        <w:t>fygocytózou</w:t>
      </w:r>
      <w:proofErr w:type="spellEnd"/>
      <w:r w:rsidRPr="00385289">
        <w:rPr>
          <w:szCs w:val="22"/>
        </w:rPr>
        <w:t xml:space="preserve">. Na zvieracích modeloch sa ukázalo, že tento proces zrejme prispieva ku kumulácii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v tkanive. Väzba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na plazmatické proteíny je variabilná a pohybuje sa v rozmedzí od 52 % pri 0,05 </w:t>
      </w:r>
      <w:proofErr w:type="spellStart"/>
      <w:r w:rsidRPr="00385289">
        <w:rPr>
          <w:szCs w:val="22"/>
        </w:rPr>
        <w:t>μg</w:t>
      </w:r>
      <w:proofErr w:type="spellEnd"/>
      <w:r w:rsidRPr="00385289">
        <w:rPr>
          <w:szCs w:val="22"/>
        </w:rPr>
        <w:t xml:space="preserve">/ml do 18 % pri 0,5 </w:t>
      </w:r>
      <w:proofErr w:type="spellStart"/>
      <w:r w:rsidRPr="00385289">
        <w:rPr>
          <w:szCs w:val="22"/>
        </w:rPr>
        <w:t>μg</w:t>
      </w:r>
      <w:proofErr w:type="spellEnd"/>
      <w:r w:rsidRPr="00385289">
        <w:rPr>
          <w:szCs w:val="22"/>
        </w:rPr>
        <w:t>/ml v závislosti od koncentrácie v sére.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rPr>
          <w:szCs w:val="22"/>
          <w:u w:val="single"/>
        </w:rPr>
      </w:pPr>
      <w:r w:rsidRPr="00596E40">
        <w:rPr>
          <w:iCs/>
          <w:szCs w:val="22"/>
          <w:u w:val="single"/>
        </w:rPr>
        <w:t xml:space="preserve">Metabolizmus a </w:t>
      </w:r>
      <w:r>
        <w:rPr>
          <w:iCs/>
          <w:szCs w:val="22"/>
          <w:u w:val="single"/>
        </w:rPr>
        <w:t>eliminácia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Terminálny plazmatický polčas eliminácie zodpovedá polčasu </w:t>
      </w:r>
      <w:proofErr w:type="spellStart"/>
      <w:r w:rsidRPr="00385289">
        <w:rPr>
          <w:szCs w:val="22"/>
        </w:rPr>
        <w:t>deplécie</w:t>
      </w:r>
      <w:proofErr w:type="spellEnd"/>
      <w:r w:rsidRPr="00385289">
        <w:rPr>
          <w:szCs w:val="22"/>
        </w:rPr>
        <w:t xml:space="preserve"> z tkanív,</w:t>
      </w:r>
      <w:r w:rsidRPr="00385289" w:rsidDel="00281937">
        <w:rPr>
          <w:szCs w:val="22"/>
        </w:rPr>
        <w:t xml:space="preserve"> </w:t>
      </w:r>
      <w:r w:rsidRPr="00385289">
        <w:rPr>
          <w:szCs w:val="22"/>
        </w:rPr>
        <w:t>ktorý je v rozmedzí od 2 do 4 dní.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Približne 12 % intravenózne podanej dávky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sa vylúči v nezmenenej forme močom v priebehu 3 dní; najväčšia časť sa vylúči v priebehu prvých 24 hodín. Koncentrácia až 237 </w:t>
      </w:r>
      <w:proofErr w:type="spellStart"/>
      <w:r w:rsidRPr="00385289">
        <w:rPr>
          <w:szCs w:val="22"/>
        </w:rPr>
        <w:t>μg</w:t>
      </w:r>
      <w:proofErr w:type="spellEnd"/>
      <w:r w:rsidRPr="00385289">
        <w:rPr>
          <w:szCs w:val="22"/>
        </w:rPr>
        <w:t xml:space="preserve">/ml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sa zaznamenala v</w:t>
      </w:r>
      <w:r>
        <w:rPr>
          <w:szCs w:val="22"/>
        </w:rPr>
        <w:t xml:space="preserve"> ľudskej </w:t>
      </w:r>
      <w:r w:rsidRPr="00385289">
        <w:rPr>
          <w:szCs w:val="22"/>
        </w:rPr>
        <w:t xml:space="preserve">žlči 2 dni po uplynutí 5-dňovej liečby, spolu s 10 </w:t>
      </w:r>
      <w:proofErr w:type="spellStart"/>
      <w:r w:rsidRPr="00385289">
        <w:rPr>
          <w:szCs w:val="22"/>
        </w:rPr>
        <w:t>metabolitmi</w:t>
      </w:r>
      <w:proofErr w:type="spellEnd"/>
      <w:r w:rsidRPr="00385289">
        <w:rPr>
          <w:szCs w:val="22"/>
        </w:rPr>
        <w:t xml:space="preserve"> (vytvorený</w:t>
      </w:r>
      <w:r>
        <w:rPr>
          <w:szCs w:val="22"/>
        </w:rPr>
        <w:t>mi</w:t>
      </w:r>
      <w:r w:rsidRPr="00385289">
        <w:rPr>
          <w:szCs w:val="22"/>
        </w:rPr>
        <w:t xml:space="preserve"> N- a </w:t>
      </w:r>
      <w:proofErr w:type="spellStart"/>
      <w:r w:rsidRPr="00385289">
        <w:rPr>
          <w:szCs w:val="22"/>
        </w:rPr>
        <w:t>O-demetyláciou</w:t>
      </w:r>
      <w:proofErr w:type="spellEnd"/>
      <w:r w:rsidRPr="00385289">
        <w:rPr>
          <w:szCs w:val="22"/>
        </w:rPr>
        <w:t xml:space="preserve">, </w:t>
      </w:r>
      <w:proofErr w:type="spellStart"/>
      <w:r w:rsidRPr="00385289">
        <w:rPr>
          <w:szCs w:val="22"/>
        </w:rPr>
        <w:t>hydroxyláciou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dezozamínového</w:t>
      </w:r>
      <w:proofErr w:type="spellEnd"/>
      <w:r w:rsidRPr="00385289">
        <w:rPr>
          <w:szCs w:val="22"/>
        </w:rPr>
        <w:t xml:space="preserve"> a </w:t>
      </w:r>
      <w:proofErr w:type="spellStart"/>
      <w:r w:rsidRPr="00385289">
        <w:rPr>
          <w:szCs w:val="22"/>
        </w:rPr>
        <w:t>aglykónového</w:t>
      </w:r>
      <w:proofErr w:type="spellEnd"/>
      <w:r w:rsidRPr="00385289">
        <w:rPr>
          <w:szCs w:val="22"/>
        </w:rPr>
        <w:t xml:space="preserve"> kruhu a štiepením </w:t>
      </w:r>
      <w:proofErr w:type="spellStart"/>
      <w:r w:rsidRPr="00385289">
        <w:rPr>
          <w:szCs w:val="22"/>
        </w:rPr>
        <w:t>kladinózového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konjugátu</w:t>
      </w:r>
      <w:proofErr w:type="spellEnd"/>
      <w:r w:rsidRPr="00385289">
        <w:rPr>
          <w:szCs w:val="22"/>
        </w:rPr>
        <w:t xml:space="preserve">). Výskumy naznačujú, že </w:t>
      </w:r>
      <w:proofErr w:type="spellStart"/>
      <w:r w:rsidRPr="00385289">
        <w:rPr>
          <w:szCs w:val="22"/>
        </w:rPr>
        <w:t>metabolity</w:t>
      </w:r>
      <w:proofErr w:type="spellEnd"/>
      <w:r w:rsidRPr="00385289">
        <w:rPr>
          <w:szCs w:val="22"/>
        </w:rPr>
        <w:t xml:space="preserve"> </w:t>
      </w:r>
      <w:r>
        <w:rPr>
          <w:szCs w:val="22"/>
        </w:rPr>
        <w:t>nemajú podiel na</w:t>
      </w:r>
      <w:r w:rsidRPr="00385289">
        <w:rPr>
          <w:szCs w:val="22"/>
        </w:rPr>
        <w:t xml:space="preserve"> mikrobiologickej aktivite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.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iCs/>
          <w:szCs w:val="22"/>
          <w:u w:val="single"/>
        </w:rPr>
      </w:pPr>
      <w:proofErr w:type="spellStart"/>
      <w:r w:rsidRPr="00385289">
        <w:rPr>
          <w:iCs/>
          <w:szCs w:val="22"/>
          <w:u w:val="single"/>
        </w:rPr>
        <w:t>Farmakokinetika</w:t>
      </w:r>
      <w:proofErr w:type="spellEnd"/>
      <w:r w:rsidRPr="00385289">
        <w:rPr>
          <w:iCs/>
          <w:szCs w:val="22"/>
          <w:u w:val="single"/>
        </w:rPr>
        <w:t xml:space="preserve"> u osobitných skupín pacientov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i/>
          <w:iCs/>
          <w:szCs w:val="22"/>
        </w:rPr>
      </w:pPr>
      <w:proofErr w:type="spellStart"/>
      <w:r w:rsidRPr="00385289">
        <w:rPr>
          <w:i/>
          <w:iCs/>
          <w:szCs w:val="22"/>
        </w:rPr>
        <w:t>Renálna</w:t>
      </w:r>
      <w:proofErr w:type="spellEnd"/>
      <w:r w:rsidRPr="00385289">
        <w:rPr>
          <w:i/>
          <w:iCs/>
          <w:szCs w:val="22"/>
        </w:rPr>
        <w:t xml:space="preserve"> </w:t>
      </w:r>
      <w:proofErr w:type="spellStart"/>
      <w:r w:rsidRPr="00385289">
        <w:rPr>
          <w:i/>
          <w:iCs/>
          <w:szCs w:val="22"/>
        </w:rPr>
        <w:t>insuficiencia</w:t>
      </w:r>
      <w:proofErr w:type="spellEnd"/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U osôb s miernou až stredne závažnou poruchou funkcie obličiek (rýchlosť </w:t>
      </w:r>
      <w:proofErr w:type="spellStart"/>
      <w:r w:rsidRPr="00385289">
        <w:rPr>
          <w:szCs w:val="22"/>
        </w:rPr>
        <w:t>glomerulárnej</w:t>
      </w:r>
      <w:proofErr w:type="spellEnd"/>
      <w:r w:rsidRPr="00385289">
        <w:rPr>
          <w:szCs w:val="22"/>
        </w:rPr>
        <w:t xml:space="preserve"> filtrácie 10</w:t>
      </w:r>
      <w:r>
        <w:rPr>
          <w:szCs w:val="22"/>
        </w:rPr>
        <w:t> </w:t>
      </w:r>
      <w:r w:rsidRPr="00385289">
        <w:rPr>
          <w:szCs w:val="22"/>
        </w:rPr>
        <w:t>-</w:t>
      </w:r>
      <w:r w:rsidRPr="00385289">
        <w:rPr>
          <w:szCs w:val="22"/>
        </w:rPr>
        <w:lastRenderedPageBreak/>
        <w:t xml:space="preserve">80 ml/min) sa po podaní jednorazovej perorálnej dávky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1ﾠg"/>
        </w:smartTagPr>
        <w:r w:rsidRPr="00385289">
          <w:rPr>
            <w:szCs w:val="22"/>
          </w:rPr>
          <w:t>1 g</w:t>
        </w:r>
      </w:smartTag>
      <w:r w:rsidRPr="00385289">
        <w:rPr>
          <w:szCs w:val="22"/>
        </w:rPr>
        <w:t xml:space="preserve"> zvýšila priemerná </w:t>
      </w:r>
      <w:proofErr w:type="spellStart"/>
      <w:r w:rsidRPr="00385289">
        <w:rPr>
          <w:szCs w:val="22"/>
        </w:rPr>
        <w:t>C</w:t>
      </w:r>
      <w:r w:rsidRPr="00385289">
        <w:rPr>
          <w:szCs w:val="22"/>
          <w:vertAlign w:val="subscript"/>
        </w:rPr>
        <w:t>max</w:t>
      </w:r>
      <w:proofErr w:type="spellEnd"/>
      <w:r w:rsidRPr="00385289">
        <w:rPr>
          <w:szCs w:val="22"/>
        </w:rPr>
        <w:t xml:space="preserve"> o 5,1 % a AUC</w:t>
      </w:r>
      <w:r w:rsidRPr="00385289">
        <w:rPr>
          <w:szCs w:val="22"/>
          <w:vertAlign w:val="subscript"/>
        </w:rPr>
        <w:t>0-120</w:t>
      </w:r>
      <w:r w:rsidRPr="00385289">
        <w:rPr>
          <w:szCs w:val="22"/>
        </w:rPr>
        <w:t xml:space="preserve"> o 4,2 % v porovnaní s normálnou funkciou obličiek (GFR &gt; 80 ml/min). U jedincov so závažnou poruchou funkcie obličiek sa priemerná </w:t>
      </w:r>
      <w:proofErr w:type="spellStart"/>
      <w:r w:rsidRPr="00385289">
        <w:rPr>
          <w:szCs w:val="22"/>
        </w:rPr>
        <w:t>C</w:t>
      </w:r>
      <w:r w:rsidRPr="00385289">
        <w:rPr>
          <w:szCs w:val="22"/>
          <w:vertAlign w:val="subscript"/>
        </w:rPr>
        <w:t>max</w:t>
      </w:r>
      <w:proofErr w:type="spellEnd"/>
      <w:r w:rsidRPr="00385289">
        <w:rPr>
          <w:szCs w:val="22"/>
        </w:rPr>
        <w:t xml:space="preserve"> zvýšila o 61 % a AUC</w:t>
      </w:r>
      <w:r w:rsidRPr="00385289">
        <w:rPr>
          <w:szCs w:val="22"/>
          <w:vertAlign w:val="subscript"/>
        </w:rPr>
        <w:t>0</w:t>
      </w:r>
      <w:r w:rsidRPr="00385289">
        <w:rPr>
          <w:szCs w:val="22"/>
          <w:vertAlign w:val="subscript"/>
        </w:rPr>
        <w:noBreakHyphen/>
        <w:t>120</w:t>
      </w:r>
      <w:r w:rsidRPr="00385289">
        <w:rPr>
          <w:szCs w:val="22"/>
        </w:rPr>
        <w:t xml:space="preserve"> o 35 % v porovnaní s normálnou funkciou obličiek.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i/>
          <w:iCs/>
          <w:szCs w:val="22"/>
        </w:rPr>
      </w:pPr>
      <w:proofErr w:type="spellStart"/>
      <w:r w:rsidRPr="00385289">
        <w:rPr>
          <w:i/>
          <w:iCs/>
          <w:szCs w:val="22"/>
        </w:rPr>
        <w:t>Insuficiencia</w:t>
      </w:r>
      <w:proofErr w:type="spellEnd"/>
      <w:r w:rsidRPr="00385289">
        <w:rPr>
          <w:i/>
          <w:iCs/>
          <w:szCs w:val="22"/>
        </w:rPr>
        <w:t xml:space="preserve"> pečene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U pacientov s miernou až stredne závažnou poruchou funkcie pečene neexistuje dôkaz o výraznej zmene sérovej </w:t>
      </w:r>
      <w:proofErr w:type="spellStart"/>
      <w:r w:rsidRPr="00385289">
        <w:rPr>
          <w:szCs w:val="22"/>
        </w:rPr>
        <w:t>farmakokinetiky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v porovnaní s normálnou funkciou pečene.</w:t>
      </w:r>
      <w:r>
        <w:rPr>
          <w:szCs w:val="22"/>
        </w:rPr>
        <w:t xml:space="preserve"> Zdá sa, že</w:t>
      </w:r>
      <w:r w:rsidRPr="00385289">
        <w:rPr>
          <w:szCs w:val="22"/>
        </w:rPr>
        <w:t xml:space="preserve"> </w:t>
      </w:r>
      <w:r>
        <w:rPr>
          <w:szCs w:val="22"/>
        </w:rPr>
        <w:t>u</w:t>
      </w:r>
      <w:r w:rsidRPr="00385289">
        <w:rPr>
          <w:szCs w:val="22"/>
        </w:rPr>
        <w:t xml:space="preserve"> týchto pacientov sa </w:t>
      </w:r>
      <w:r>
        <w:rPr>
          <w:szCs w:val="22"/>
        </w:rPr>
        <w:t>vylučovanie</w:t>
      </w:r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</w:t>
      </w:r>
      <w:r>
        <w:rPr>
          <w:szCs w:val="22"/>
        </w:rPr>
        <w:t>zvyšuje</w:t>
      </w:r>
      <w:r w:rsidRPr="00385289">
        <w:rPr>
          <w:szCs w:val="22"/>
        </w:rPr>
        <w:t xml:space="preserve">, </w:t>
      </w:r>
      <w:r>
        <w:rPr>
          <w:szCs w:val="22"/>
        </w:rPr>
        <w:t>aby sa kompenzoval</w:t>
      </w:r>
      <w:r w:rsidRPr="00385289">
        <w:rPr>
          <w:szCs w:val="22"/>
        </w:rPr>
        <w:t xml:space="preserve"> znížený </w:t>
      </w:r>
      <w:proofErr w:type="spellStart"/>
      <w:r w:rsidRPr="00385289">
        <w:rPr>
          <w:szCs w:val="22"/>
        </w:rPr>
        <w:t>hepatálny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klírens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i/>
          <w:iCs/>
          <w:szCs w:val="22"/>
        </w:rPr>
      </w:pPr>
      <w:r w:rsidRPr="00385289">
        <w:rPr>
          <w:i/>
          <w:iCs/>
          <w:szCs w:val="22"/>
        </w:rPr>
        <w:t>Starší pacienti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385289">
        <w:rPr>
          <w:szCs w:val="22"/>
        </w:rPr>
        <w:t>Farmakokinetika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u starších mužov bola podobná ako u mladých dospelých</w:t>
      </w:r>
      <w:r>
        <w:rPr>
          <w:szCs w:val="22"/>
        </w:rPr>
        <w:t>.</w:t>
      </w:r>
      <w:r w:rsidRPr="00385289">
        <w:rPr>
          <w:szCs w:val="22"/>
        </w:rPr>
        <w:t xml:space="preserve"> </w:t>
      </w:r>
      <w:r>
        <w:rPr>
          <w:szCs w:val="22"/>
        </w:rPr>
        <w:t>A</w:t>
      </w:r>
      <w:r w:rsidRPr="00385289">
        <w:rPr>
          <w:szCs w:val="22"/>
        </w:rPr>
        <w:t>j napriek tomu, že u starších žien boli pozorované vyššie maximálne koncentrácie (zvýšené o</w:t>
      </w:r>
      <w:r>
        <w:rPr>
          <w:szCs w:val="22"/>
        </w:rPr>
        <w:t> </w:t>
      </w:r>
      <w:r w:rsidRPr="00385289">
        <w:rPr>
          <w:szCs w:val="22"/>
        </w:rPr>
        <w:t>30</w:t>
      </w:r>
      <w:r>
        <w:rPr>
          <w:szCs w:val="22"/>
        </w:rPr>
        <w:t> </w:t>
      </w:r>
      <w:r w:rsidRPr="00385289">
        <w:rPr>
          <w:szCs w:val="22"/>
        </w:rPr>
        <w:t>-</w:t>
      </w:r>
      <w:r>
        <w:rPr>
          <w:szCs w:val="22"/>
        </w:rPr>
        <w:t> </w:t>
      </w:r>
      <w:r w:rsidRPr="00385289">
        <w:rPr>
          <w:szCs w:val="22"/>
        </w:rPr>
        <w:t>50 %), nevyskytla sa žiadna významná kumulácia.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U starších dobrovoľníkov (&gt; 65 rokov) boli pozorované vždy vyššie hodnoty AUC (29 %) po 5 dňovej liečbe než u mladších </w:t>
      </w:r>
      <w:proofErr w:type="spellStart"/>
      <w:r w:rsidRPr="00385289">
        <w:rPr>
          <w:szCs w:val="22"/>
        </w:rPr>
        <w:t>dobrovolníkov</w:t>
      </w:r>
      <w:proofErr w:type="spellEnd"/>
      <w:r w:rsidRPr="00385289">
        <w:rPr>
          <w:szCs w:val="22"/>
        </w:rPr>
        <w:t xml:space="preserve"> (&lt; 45 rokov). Avšak tieto rozdiely nie sú považované za klinicky významné</w:t>
      </w:r>
      <w:r>
        <w:rPr>
          <w:szCs w:val="22"/>
        </w:rPr>
        <w:t>,</w:t>
      </w:r>
      <w:r w:rsidRPr="00385289">
        <w:rPr>
          <w:szCs w:val="22"/>
        </w:rPr>
        <w:t xml:space="preserve"> úprava dávky</w:t>
      </w:r>
      <w:r>
        <w:rPr>
          <w:szCs w:val="22"/>
        </w:rPr>
        <w:t xml:space="preserve"> sa preto neodporúča</w:t>
      </w:r>
      <w:r w:rsidRPr="00385289">
        <w:rPr>
          <w:szCs w:val="22"/>
        </w:rPr>
        <w:t>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i/>
          <w:iCs/>
          <w:szCs w:val="22"/>
        </w:rPr>
      </w:pPr>
      <w:r w:rsidRPr="00385289">
        <w:rPr>
          <w:i/>
          <w:iCs/>
          <w:szCs w:val="22"/>
        </w:rPr>
        <w:t>Dojčatá, batoľatá, deti a dospievajúci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proofErr w:type="spellStart"/>
      <w:r w:rsidRPr="00385289">
        <w:rPr>
          <w:szCs w:val="22"/>
        </w:rPr>
        <w:t>Farmakokinetika</w:t>
      </w:r>
      <w:proofErr w:type="spellEnd"/>
      <w:r w:rsidRPr="00385289">
        <w:rPr>
          <w:szCs w:val="22"/>
        </w:rPr>
        <w:t xml:space="preserve"> sa sledovala u detí vo veku od 4 mesiacov do 15 rokov, ktoré užívali kapsuly, </w:t>
      </w:r>
      <w:proofErr w:type="spellStart"/>
      <w:r w:rsidRPr="00385289">
        <w:rPr>
          <w:szCs w:val="22"/>
        </w:rPr>
        <w:t>granulát</w:t>
      </w:r>
      <w:proofErr w:type="spellEnd"/>
      <w:r w:rsidRPr="00385289">
        <w:rPr>
          <w:szCs w:val="22"/>
        </w:rPr>
        <w:t xml:space="preserve"> alebo suspenziu. Pri dávkovaní </w:t>
      </w:r>
      <w:proofErr w:type="spellStart"/>
      <w:r w:rsidRPr="00385289">
        <w:rPr>
          <w:szCs w:val="22"/>
        </w:rPr>
        <w:t>azitromycínu</w:t>
      </w:r>
      <w:proofErr w:type="spellEnd"/>
      <w:r w:rsidRPr="00385289">
        <w:rPr>
          <w:szCs w:val="22"/>
        </w:rPr>
        <w:t xml:space="preserve"> 10 mg/kg prvý deň, následne 5 mg/kg druhý až piaty deň, </w:t>
      </w:r>
      <w:r>
        <w:rPr>
          <w:szCs w:val="22"/>
        </w:rPr>
        <w:t xml:space="preserve">bola </w:t>
      </w:r>
      <w:r w:rsidRPr="00385289">
        <w:rPr>
          <w:szCs w:val="22"/>
        </w:rPr>
        <w:t xml:space="preserve">dosiahnutá hodnota </w:t>
      </w:r>
      <w:proofErr w:type="spellStart"/>
      <w:r w:rsidRPr="00385289">
        <w:rPr>
          <w:szCs w:val="22"/>
        </w:rPr>
        <w:t>C</w:t>
      </w:r>
      <w:r w:rsidRPr="00385289">
        <w:rPr>
          <w:szCs w:val="22"/>
          <w:vertAlign w:val="subscript"/>
        </w:rPr>
        <w:t>max</w:t>
      </w:r>
      <w:proofErr w:type="spellEnd"/>
      <w:r w:rsidRPr="00385289">
        <w:rPr>
          <w:szCs w:val="22"/>
        </w:rPr>
        <w:t xml:space="preserve"> mierne nižšia ako u dospelých, a to 224 µg/l u detí vo veku 0,6</w:t>
      </w:r>
      <w:r>
        <w:rPr>
          <w:szCs w:val="22"/>
        </w:rPr>
        <w:t xml:space="preserve"> </w:t>
      </w:r>
      <w:r w:rsidRPr="00385289">
        <w:rPr>
          <w:szCs w:val="22"/>
        </w:rPr>
        <w:noBreakHyphen/>
      </w:r>
      <w:r>
        <w:rPr>
          <w:szCs w:val="22"/>
        </w:rPr>
        <w:t xml:space="preserve"> </w:t>
      </w:r>
      <w:r w:rsidRPr="00385289">
        <w:rPr>
          <w:szCs w:val="22"/>
        </w:rPr>
        <w:t xml:space="preserve">5 rokov a po 3 dňoch </w:t>
      </w:r>
      <w:r>
        <w:rPr>
          <w:szCs w:val="22"/>
        </w:rPr>
        <w:t>podávania</w:t>
      </w:r>
      <w:r w:rsidRPr="00385289">
        <w:rPr>
          <w:szCs w:val="22"/>
        </w:rPr>
        <w:t xml:space="preserve"> a 383 µg/l u detí vo veku 6</w:t>
      </w:r>
      <w:r>
        <w:rPr>
          <w:szCs w:val="22"/>
        </w:rPr>
        <w:t xml:space="preserve"> </w:t>
      </w:r>
      <w:r w:rsidRPr="00385289">
        <w:rPr>
          <w:szCs w:val="22"/>
        </w:rPr>
        <w:t>-</w:t>
      </w:r>
      <w:r>
        <w:rPr>
          <w:szCs w:val="22"/>
        </w:rPr>
        <w:t xml:space="preserve"> </w:t>
      </w:r>
      <w:r w:rsidRPr="00385289">
        <w:rPr>
          <w:szCs w:val="22"/>
        </w:rPr>
        <w:t>15 rokov. Polčas 36 hodín u starších detí bol v rámci rozmedzia predpokladaného u dospelých.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5.3</w:t>
      </w:r>
      <w:r w:rsidRPr="00385289">
        <w:rPr>
          <w:szCs w:val="22"/>
        </w:rPr>
        <w:tab/>
        <w:t>Predklinické údaje o bezpečnosti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 štúdiách na zvieratách, pri ktorých boli použité dávky dosahujúce až 40-násobok klinických terapeutických dávok, sa zistilo, že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spôsoboval reverzibilnú </w:t>
      </w:r>
      <w:proofErr w:type="spellStart"/>
      <w:r w:rsidRPr="00385289">
        <w:rPr>
          <w:szCs w:val="22"/>
        </w:rPr>
        <w:t>fosfolipidózu</w:t>
      </w:r>
      <w:proofErr w:type="spellEnd"/>
      <w:r w:rsidRPr="00385289">
        <w:rPr>
          <w:szCs w:val="22"/>
        </w:rPr>
        <w:t xml:space="preserve">, spravidla sa však nepozorovali žiadne súvisiace toxikologické dôsledky. Význam tohto zistenia pre ľudí užívajúcich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v súlade s odporúčaniami nie je známy.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t>Elektrofyziologické</w:t>
      </w:r>
      <w:proofErr w:type="spellEnd"/>
      <w:r w:rsidRPr="00385289">
        <w:rPr>
          <w:szCs w:val="22"/>
        </w:rPr>
        <w:t xml:space="preserve"> vyšetrenia preukázali, že </w:t>
      </w:r>
      <w:proofErr w:type="spellStart"/>
      <w:r w:rsidRPr="00385289">
        <w:rPr>
          <w:szCs w:val="22"/>
        </w:rPr>
        <w:t>azitromycín</w:t>
      </w:r>
      <w:proofErr w:type="spellEnd"/>
      <w:r w:rsidRPr="00385289">
        <w:rPr>
          <w:szCs w:val="22"/>
        </w:rPr>
        <w:t xml:space="preserve"> predlžuje QT interval.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rPr>
          <w:szCs w:val="22"/>
          <w:u w:val="single"/>
        </w:rPr>
      </w:pPr>
      <w:r w:rsidRPr="00596E40">
        <w:rPr>
          <w:szCs w:val="22"/>
          <w:u w:val="single"/>
        </w:rPr>
        <w:t>Karcinogénny potenciál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Neuskutočnili sa dlhodobé štúdie na zvieratách, ktoré by hodnotili karcinogénny potenciál.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rPr>
          <w:szCs w:val="22"/>
          <w:u w:val="single"/>
        </w:rPr>
      </w:pPr>
      <w:r w:rsidRPr="00596E40">
        <w:rPr>
          <w:szCs w:val="22"/>
          <w:u w:val="single"/>
        </w:rPr>
        <w:t>Mutagénny potenciál</w:t>
      </w: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V </w:t>
      </w:r>
      <w:r w:rsidRPr="00385289">
        <w:rPr>
          <w:i/>
          <w:szCs w:val="22"/>
        </w:rPr>
        <w:t xml:space="preserve">in </w:t>
      </w:r>
      <w:proofErr w:type="spellStart"/>
      <w:r w:rsidRPr="00385289">
        <w:rPr>
          <w:i/>
          <w:szCs w:val="22"/>
        </w:rPr>
        <w:t>vivo</w:t>
      </w:r>
      <w:proofErr w:type="spellEnd"/>
      <w:r w:rsidRPr="00385289">
        <w:rPr>
          <w:szCs w:val="22"/>
        </w:rPr>
        <w:t xml:space="preserve"> a </w:t>
      </w:r>
      <w:r w:rsidRPr="00385289">
        <w:rPr>
          <w:i/>
          <w:szCs w:val="22"/>
        </w:rPr>
        <w:t xml:space="preserve">in </w:t>
      </w:r>
      <w:proofErr w:type="spellStart"/>
      <w:r w:rsidRPr="00385289">
        <w:rPr>
          <w:i/>
          <w:szCs w:val="22"/>
        </w:rPr>
        <w:t>vitro</w:t>
      </w:r>
      <w:proofErr w:type="spellEnd"/>
      <w:r w:rsidRPr="00385289">
        <w:rPr>
          <w:szCs w:val="22"/>
        </w:rPr>
        <w:t xml:space="preserve"> testovacích modeloch sa nedokázali možné genetické ani chromozómové mutácie.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596E40" w:rsidRDefault="002A62E4" w:rsidP="00E35CDB">
      <w:pPr>
        <w:pStyle w:val="MGGTextLeft"/>
        <w:keepNext w:val="0"/>
        <w:widowControl w:val="0"/>
        <w:rPr>
          <w:szCs w:val="22"/>
          <w:u w:val="single"/>
        </w:rPr>
      </w:pPr>
      <w:r w:rsidRPr="00596E40">
        <w:rPr>
          <w:szCs w:val="22"/>
          <w:u w:val="single"/>
        </w:rPr>
        <w:t>Reprodukčná toxicita</w:t>
      </w:r>
    </w:p>
    <w:p w:rsidR="002A62E4" w:rsidRPr="00385289" w:rsidRDefault="002A62E4" w:rsidP="00596E40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 xml:space="preserve">Nepozorovali sa žiadne </w:t>
      </w:r>
      <w:proofErr w:type="spellStart"/>
      <w:r w:rsidRPr="00385289">
        <w:rPr>
          <w:szCs w:val="22"/>
        </w:rPr>
        <w:t>teratogénne</w:t>
      </w:r>
      <w:proofErr w:type="spellEnd"/>
      <w:r w:rsidRPr="00385289">
        <w:rPr>
          <w:szCs w:val="22"/>
        </w:rPr>
        <w:t xml:space="preserve"> účinky v štúdiách reprodukčnej toxicity u potkanov. Pri malých dávkach toxických pre matku sa pozorovalo oneskorenie osifikácie plodu. V </w:t>
      </w:r>
      <w:proofErr w:type="spellStart"/>
      <w:r w:rsidRPr="00385289">
        <w:rPr>
          <w:szCs w:val="22"/>
        </w:rPr>
        <w:t>peri</w:t>
      </w:r>
      <w:r>
        <w:rPr>
          <w:szCs w:val="22"/>
        </w:rPr>
        <w:t>natálnych</w:t>
      </w:r>
      <w:proofErr w:type="spellEnd"/>
      <w:r w:rsidRPr="00385289">
        <w:rPr>
          <w:szCs w:val="22"/>
        </w:rPr>
        <w:t xml:space="preserve"> a </w:t>
      </w:r>
      <w:proofErr w:type="spellStart"/>
      <w:r w:rsidRPr="00385289">
        <w:rPr>
          <w:szCs w:val="22"/>
        </w:rPr>
        <w:t>postnatálnych</w:t>
      </w:r>
      <w:proofErr w:type="spellEnd"/>
      <w:r w:rsidRPr="00385289">
        <w:rPr>
          <w:szCs w:val="22"/>
        </w:rPr>
        <w:t xml:space="preserve"> štúdiách na potkanoch sa pozorovalo mierna oneskorenie fyzického </w:t>
      </w:r>
      <w:r>
        <w:rPr>
          <w:szCs w:val="22"/>
        </w:rPr>
        <w:t>vý</w:t>
      </w:r>
      <w:r w:rsidRPr="00385289">
        <w:rPr>
          <w:szCs w:val="22"/>
        </w:rPr>
        <w:t>voja a</w:t>
      </w:r>
      <w:r>
        <w:rPr>
          <w:szCs w:val="22"/>
        </w:rPr>
        <w:t xml:space="preserve"> vývoja </w:t>
      </w:r>
      <w:r w:rsidRPr="00385289">
        <w:rPr>
          <w:szCs w:val="22"/>
        </w:rPr>
        <w:t>reflexného správania.</w:t>
      </w:r>
    </w:p>
    <w:p w:rsidR="002A62E4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2"/>
        <w:keepNext w:val="0"/>
        <w:keepLines w:val="0"/>
        <w:widowControl w:val="0"/>
        <w:rPr>
          <w:rFonts w:ascii="Times New Roman" w:hAnsi="Times New Roman"/>
          <w:szCs w:val="22"/>
        </w:rPr>
      </w:pPr>
      <w:r w:rsidRPr="00385289">
        <w:rPr>
          <w:rFonts w:ascii="Times New Roman" w:hAnsi="Times New Roman"/>
          <w:szCs w:val="22"/>
        </w:rPr>
        <w:t>6.</w:t>
      </w:r>
      <w:r w:rsidRPr="00385289">
        <w:rPr>
          <w:rFonts w:ascii="Times New Roman" w:hAnsi="Times New Roman"/>
          <w:szCs w:val="22"/>
        </w:rPr>
        <w:tab/>
        <w:t>farmaceutické informácie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numPr>
          <w:ilvl w:val="1"/>
          <w:numId w:val="12"/>
        </w:numPr>
        <w:rPr>
          <w:szCs w:val="22"/>
        </w:rPr>
      </w:pPr>
      <w:r w:rsidRPr="00385289">
        <w:rPr>
          <w:szCs w:val="22"/>
        </w:rPr>
        <w:t>Zoznam pomocných látok</w:t>
      </w: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i/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i/>
          <w:szCs w:val="22"/>
        </w:rPr>
        <w:t>Jadro tablety</w:t>
      </w:r>
      <w:r w:rsidRPr="00385289">
        <w:rPr>
          <w:szCs w:val="22"/>
        </w:rPr>
        <w:t>: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t>Hydrog</w:t>
      </w:r>
      <w:r>
        <w:rPr>
          <w:szCs w:val="22"/>
        </w:rPr>
        <w:t>e</w:t>
      </w:r>
      <w:r w:rsidRPr="00385289">
        <w:rPr>
          <w:szCs w:val="22"/>
        </w:rPr>
        <w:t>nfosforečnan</w:t>
      </w:r>
      <w:proofErr w:type="spellEnd"/>
      <w:r w:rsidRPr="00385289">
        <w:rPr>
          <w:szCs w:val="22"/>
        </w:rPr>
        <w:t xml:space="preserve"> vápenatý, bezvodý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t>Hy</w:t>
      </w:r>
      <w:r>
        <w:rPr>
          <w:szCs w:val="22"/>
        </w:rPr>
        <w:t>droxy</w:t>
      </w:r>
      <w:r w:rsidRPr="00385289">
        <w:rPr>
          <w:szCs w:val="22"/>
        </w:rPr>
        <w:t>pro</w:t>
      </w:r>
      <w:r>
        <w:rPr>
          <w:szCs w:val="22"/>
        </w:rPr>
        <w:t>pyl</w:t>
      </w:r>
      <w:r w:rsidRPr="00385289">
        <w:rPr>
          <w:szCs w:val="22"/>
        </w:rPr>
        <w:t>me</w:t>
      </w:r>
      <w:r>
        <w:rPr>
          <w:szCs w:val="22"/>
        </w:rPr>
        <w:t>tylcelu</w:t>
      </w:r>
      <w:r w:rsidRPr="00385289">
        <w:rPr>
          <w:szCs w:val="22"/>
        </w:rPr>
        <w:t>lóza</w:t>
      </w:r>
      <w:proofErr w:type="spellEnd"/>
      <w:r w:rsidRPr="00385289">
        <w:rPr>
          <w:szCs w:val="22"/>
        </w:rPr>
        <w:t xml:space="preserve"> (E464)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Sodná soľ </w:t>
      </w:r>
      <w:proofErr w:type="spellStart"/>
      <w:r w:rsidRPr="00385289">
        <w:rPr>
          <w:szCs w:val="22"/>
        </w:rPr>
        <w:t>kroskarmelózy</w:t>
      </w:r>
      <w:proofErr w:type="spellEnd"/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t>Magnéziumstearát</w:t>
      </w:r>
      <w:proofErr w:type="spellEnd"/>
      <w:r w:rsidRPr="00385289">
        <w:rPr>
          <w:szCs w:val="22"/>
        </w:rPr>
        <w:t xml:space="preserve"> (E470b)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lastRenderedPageBreak/>
        <w:t>Predželatínovaný</w:t>
      </w:r>
      <w:proofErr w:type="spellEnd"/>
      <w:r w:rsidRPr="00385289">
        <w:rPr>
          <w:szCs w:val="22"/>
        </w:rPr>
        <w:t xml:space="preserve"> škrob (kukuričný)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proofErr w:type="spellStart"/>
      <w:r>
        <w:rPr>
          <w:szCs w:val="22"/>
        </w:rPr>
        <w:t>Nátriuml</w:t>
      </w:r>
      <w:r w:rsidRPr="00385289">
        <w:rPr>
          <w:szCs w:val="22"/>
        </w:rPr>
        <w:t>auryls</w:t>
      </w:r>
      <w:r>
        <w:rPr>
          <w:szCs w:val="22"/>
        </w:rPr>
        <w:t>ulfát</w:t>
      </w:r>
      <w:proofErr w:type="spellEnd"/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i/>
          <w:szCs w:val="22"/>
        </w:rPr>
        <w:t>Filmový obal tablety</w:t>
      </w:r>
      <w:r w:rsidRPr="00385289">
        <w:rPr>
          <w:szCs w:val="22"/>
        </w:rPr>
        <w:t xml:space="preserve">: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t>Hy</w:t>
      </w:r>
      <w:r>
        <w:rPr>
          <w:szCs w:val="22"/>
        </w:rPr>
        <w:t>droxy</w:t>
      </w:r>
      <w:r w:rsidRPr="00385289">
        <w:rPr>
          <w:szCs w:val="22"/>
        </w:rPr>
        <w:t>pro</w:t>
      </w:r>
      <w:r>
        <w:rPr>
          <w:szCs w:val="22"/>
        </w:rPr>
        <w:t>pyl</w:t>
      </w:r>
      <w:r w:rsidRPr="00385289">
        <w:rPr>
          <w:szCs w:val="22"/>
        </w:rPr>
        <w:t>me</w:t>
      </w:r>
      <w:r>
        <w:rPr>
          <w:szCs w:val="22"/>
        </w:rPr>
        <w:t>tylcelu</w:t>
      </w:r>
      <w:r w:rsidRPr="00385289">
        <w:rPr>
          <w:szCs w:val="22"/>
        </w:rPr>
        <w:t>lóza</w:t>
      </w:r>
      <w:proofErr w:type="spellEnd"/>
      <w:r w:rsidRPr="00385289">
        <w:rPr>
          <w:szCs w:val="22"/>
        </w:rPr>
        <w:t xml:space="preserve"> (E464)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t>Monohydrát</w:t>
      </w:r>
      <w:proofErr w:type="spellEnd"/>
      <w:r w:rsidRPr="00385289">
        <w:rPr>
          <w:szCs w:val="22"/>
        </w:rPr>
        <w:t xml:space="preserve"> laktózy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 xml:space="preserve">Oxid </w:t>
      </w:r>
      <w:proofErr w:type="spellStart"/>
      <w:r w:rsidRPr="00385289">
        <w:rPr>
          <w:szCs w:val="22"/>
        </w:rPr>
        <w:t>titaničitý</w:t>
      </w:r>
      <w:proofErr w:type="spellEnd"/>
      <w:r w:rsidRPr="00385289">
        <w:rPr>
          <w:szCs w:val="22"/>
        </w:rPr>
        <w:t xml:space="preserve"> (E171)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proofErr w:type="spellStart"/>
      <w:r w:rsidRPr="00385289">
        <w:rPr>
          <w:szCs w:val="22"/>
        </w:rPr>
        <w:t>Triacetín</w:t>
      </w:r>
      <w:proofErr w:type="spellEnd"/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6.2</w:t>
      </w:r>
      <w:r w:rsidRPr="00385289">
        <w:rPr>
          <w:szCs w:val="22"/>
        </w:rPr>
        <w:tab/>
        <w:t>Inkompatibility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>Neaplikovateľné.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6.3</w:t>
      </w:r>
      <w:r w:rsidRPr="00385289">
        <w:rPr>
          <w:szCs w:val="22"/>
        </w:rPr>
        <w:tab/>
        <w:t>Čas použiteľnosti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>3 roky.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6.4</w:t>
      </w:r>
      <w:r w:rsidRPr="00385289">
        <w:rPr>
          <w:szCs w:val="22"/>
        </w:rPr>
        <w:tab/>
        <w:t>Špeciálne upozornenia na uchovávanie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>Tento liek si nevyžaduje žiadne zvláštne podmienky na uchovávanie.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6.5</w:t>
      </w:r>
      <w:r w:rsidRPr="00385289">
        <w:rPr>
          <w:szCs w:val="22"/>
        </w:rPr>
        <w:tab/>
        <w:t>Druh obalu a obsah balenia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>Biely, nepriehľadný PVC/PVDC/</w:t>
      </w:r>
      <w:proofErr w:type="spellStart"/>
      <w:r w:rsidRPr="00385289">
        <w:rPr>
          <w:szCs w:val="22"/>
        </w:rPr>
        <w:t>Al</w:t>
      </w:r>
      <w:proofErr w:type="spellEnd"/>
      <w:r w:rsidRPr="00385289">
        <w:rPr>
          <w:szCs w:val="22"/>
        </w:rPr>
        <w:t xml:space="preserve"> </w:t>
      </w:r>
      <w:proofErr w:type="spellStart"/>
      <w:r w:rsidRPr="00385289">
        <w:rPr>
          <w:szCs w:val="22"/>
        </w:rPr>
        <w:t>blister</w:t>
      </w:r>
      <w:proofErr w:type="spellEnd"/>
      <w:r w:rsidRPr="00385289">
        <w:rPr>
          <w:szCs w:val="22"/>
        </w:rPr>
        <w:t>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ind w:left="0" w:firstLine="0"/>
        <w:rPr>
          <w:szCs w:val="22"/>
        </w:rPr>
      </w:pPr>
      <w:r w:rsidRPr="00385289">
        <w:rPr>
          <w:szCs w:val="22"/>
        </w:rPr>
        <w:t>Veľkosť balenia: 2,3,6 alebo 30 tabliet.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>
        <w:rPr>
          <w:snapToGrid w:val="0"/>
        </w:rPr>
        <w:t>Na trh nemusia byť uvedené</w:t>
      </w:r>
      <w:r>
        <w:rPr>
          <w:noProof/>
          <w:snapToGrid w:val="0"/>
          <w:szCs w:val="22"/>
        </w:rPr>
        <w:t xml:space="preserve"> všetky veľkosti balenia.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3"/>
        <w:keepNext w:val="0"/>
        <w:keepLines w:val="0"/>
        <w:widowControl w:val="0"/>
        <w:rPr>
          <w:szCs w:val="22"/>
        </w:rPr>
      </w:pPr>
      <w:r w:rsidRPr="00385289">
        <w:rPr>
          <w:szCs w:val="22"/>
        </w:rPr>
        <w:t>6.6</w:t>
      </w:r>
      <w:r w:rsidRPr="00385289">
        <w:rPr>
          <w:szCs w:val="22"/>
        </w:rPr>
        <w:tab/>
        <w:t>Špeciálne opatrenia na likvidáciu a iné zaobchádzanie s liekom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>
        <w:rPr>
          <w:noProof/>
          <w:snapToGrid w:val="0"/>
          <w:szCs w:val="22"/>
        </w:rPr>
        <w:t>Nepoužitý liek alebo odpad vzniknutý z lieku treba vrátiť do lekárne.</w:t>
      </w:r>
    </w:p>
    <w:p w:rsidR="002A62E4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2"/>
        <w:keepNext w:val="0"/>
        <w:keepLines w:val="0"/>
        <w:widowControl w:val="0"/>
        <w:rPr>
          <w:rFonts w:ascii="Times New Roman" w:hAnsi="Times New Roman"/>
          <w:szCs w:val="22"/>
        </w:rPr>
      </w:pPr>
      <w:r w:rsidRPr="00385289">
        <w:rPr>
          <w:rFonts w:ascii="Times New Roman" w:hAnsi="Times New Roman"/>
          <w:szCs w:val="22"/>
        </w:rPr>
        <w:t>7.</w:t>
      </w:r>
      <w:r w:rsidRPr="00385289">
        <w:rPr>
          <w:rFonts w:ascii="Times New Roman" w:hAnsi="Times New Roman"/>
          <w:szCs w:val="22"/>
        </w:rPr>
        <w:tab/>
        <w:t>držiteľ rozhodnutia o registrácii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6E254C" w:rsidRDefault="002A62E4" w:rsidP="00CF26DB">
      <w:pPr>
        <w:rPr>
          <w:szCs w:val="22"/>
        </w:rPr>
      </w:pPr>
      <w:proofErr w:type="spellStart"/>
      <w:r w:rsidRPr="006E254C">
        <w:rPr>
          <w:szCs w:val="22"/>
        </w:rPr>
        <w:t>PharmaSwiss</w:t>
      </w:r>
      <w:proofErr w:type="spellEnd"/>
      <w:r w:rsidRPr="006E254C">
        <w:rPr>
          <w:szCs w:val="22"/>
        </w:rPr>
        <w:t xml:space="preserve"> Česká republika s.r.o.</w:t>
      </w:r>
    </w:p>
    <w:p w:rsidR="002A62E4" w:rsidRPr="006E254C" w:rsidRDefault="002A62E4" w:rsidP="00CF26DB">
      <w:pPr>
        <w:rPr>
          <w:szCs w:val="22"/>
        </w:rPr>
      </w:pPr>
      <w:proofErr w:type="spellStart"/>
      <w:r w:rsidRPr="006E254C">
        <w:rPr>
          <w:szCs w:val="22"/>
        </w:rPr>
        <w:t>Jankovcova</w:t>
      </w:r>
      <w:proofErr w:type="spellEnd"/>
      <w:r w:rsidRPr="006E254C">
        <w:rPr>
          <w:szCs w:val="22"/>
        </w:rPr>
        <w:t xml:space="preserve"> 1569/2c</w:t>
      </w:r>
    </w:p>
    <w:p w:rsidR="002A62E4" w:rsidRPr="006E254C" w:rsidRDefault="002A62E4" w:rsidP="00CF26DB">
      <w:pPr>
        <w:rPr>
          <w:szCs w:val="22"/>
        </w:rPr>
      </w:pPr>
      <w:r w:rsidRPr="006E254C">
        <w:rPr>
          <w:szCs w:val="22"/>
        </w:rPr>
        <w:t>170 00 Praha 7</w:t>
      </w:r>
    </w:p>
    <w:p w:rsidR="002A62E4" w:rsidRPr="006E254C" w:rsidRDefault="002A62E4" w:rsidP="00CF26DB">
      <w:pPr>
        <w:rPr>
          <w:szCs w:val="22"/>
        </w:rPr>
      </w:pPr>
      <w:r w:rsidRPr="006E254C">
        <w:rPr>
          <w:szCs w:val="22"/>
        </w:rPr>
        <w:t>Česká republika</w:t>
      </w:r>
    </w:p>
    <w:p w:rsidR="002A62E4" w:rsidRDefault="002A62E4" w:rsidP="00E35CDB">
      <w:pPr>
        <w:pStyle w:val="MGGTextLeft"/>
        <w:keepNext w:val="0"/>
        <w:widowControl w:val="0"/>
        <w:rPr>
          <w:bCs/>
          <w:szCs w:val="22"/>
          <w:lang w:eastAsia="en-US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2"/>
        <w:keepNext w:val="0"/>
        <w:keepLines w:val="0"/>
        <w:widowControl w:val="0"/>
        <w:rPr>
          <w:rFonts w:ascii="Times New Roman" w:hAnsi="Times New Roman"/>
          <w:szCs w:val="22"/>
        </w:rPr>
      </w:pPr>
      <w:r w:rsidRPr="00385289">
        <w:rPr>
          <w:rFonts w:ascii="Times New Roman" w:hAnsi="Times New Roman"/>
          <w:szCs w:val="22"/>
        </w:rPr>
        <w:t>8.</w:t>
      </w:r>
      <w:r w:rsidRPr="00385289">
        <w:rPr>
          <w:rFonts w:ascii="Times New Roman" w:hAnsi="Times New Roman"/>
          <w:szCs w:val="22"/>
        </w:rPr>
        <w:tab/>
        <w:t xml:space="preserve">registračné číslO 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  <w:r w:rsidRPr="00385289">
        <w:rPr>
          <w:szCs w:val="22"/>
        </w:rPr>
        <w:t>15/0393/11-S</w:t>
      </w:r>
    </w:p>
    <w:p w:rsidR="002A62E4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2"/>
        <w:keepNext w:val="0"/>
        <w:keepLines w:val="0"/>
        <w:widowControl w:val="0"/>
        <w:rPr>
          <w:rFonts w:ascii="Times New Roman" w:hAnsi="Times New Roman"/>
          <w:szCs w:val="22"/>
        </w:rPr>
      </w:pPr>
      <w:r w:rsidRPr="00385289">
        <w:rPr>
          <w:rFonts w:ascii="Times New Roman" w:hAnsi="Times New Roman"/>
          <w:szCs w:val="22"/>
        </w:rPr>
        <w:t>9.</w:t>
      </w:r>
      <w:r w:rsidRPr="00385289">
        <w:rPr>
          <w:rFonts w:ascii="Times New Roman" w:hAnsi="Times New Roman"/>
          <w:szCs w:val="22"/>
        </w:rPr>
        <w:tab/>
        <w:t xml:space="preserve">dátum prvej registrácie / predĺženia registrácie </w:t>
      </w:r>
    </w:p>
    <w:p w:rsidR="002A62E4" w:rsidRDefault="002A62E4" w:rsidP="0099545C">
      <w:pPr>
        <w:rPr>
          <w:noProof/>
          <w:szCs w:val="22"/>
        </w:rPr>
      </w:pPr>
    </w:p>
    <w:p w:rsidR="002A62E4" w:rsidRDefault="002A62E4" w:rsidP="0099545C">
      <w:pPr>
        <w:rPr>
          <w:noProof/>
          <w:szCs w:val="22"/>
        </w:rPr>
      </w:pPr>
      <w:r>
        <w:rPr>
          <w:noProof/>
          <w:szCs w:val="22"/>
        </w:rPr>
        <w:t>Dátum prvej registrácie:</w:t>
      </w:r>
      <w:r>
        <w:t xml:space="preserve"> </w:t>
      </w:r>
      <w:r>
        <w:rPr>
          <w:noProof/>
          <w:szCs w:val="22"/>
        </w:rPr>
        <w:t>17. júna 2011</w:t>
      </w:r>
    </w:p>
    <w:p w:rsidR="002A62E4" w:rsidRDefault="002A62E4" w:rsidP="0099545C">
      <w:pPr>
        <w:rPr>
          <w:i/>
        </w:rPr>
      </w:pPr>
      <w:r>
        <w:rPr>
          <w:noProof/>
          <w:szCs w:val="22"/>
        </w:rPr>
        <w:t>Dátum posledného predĺženia registrácie: 18. decembra 2014</w:t>
      </w: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TextLeft"/>
        <w:keepNext w:val="0"/>
        <w:widowControl w:val="0"/>
        <w:rPr>
          <w:szCs w:val="22"/>
        </w:rPr>
      </w:pPr>
    </w:p>
    <w:p w:rsidR="002A62E4" w:rsidRPr="00385289" w:rsidRDefault="002A62E4" w:rsidP="00E35CDB">
      <w:pPr>
        <w:pStyle w:val="MGGHeading2"/>
        <w:keepNext w:val="0"/>
        <w:keepLines w:val="0"/>
        <w:widowControl w:val="0"/>
        <w:rPr>
          <w:rFonts w:ascii="Times New Roman" w:hAnsi="Times New Roman"/>
          <w:szCs w:val="22"/>
        </w:rPr>
      </w:pPr>
      <w:r w:rsidRPr="00385289">
        <w:rPr>
          <w:rFonts w:ascii="Times New Roman" w:hAnsi="Times New Roman"/>
          <w:szCs w:val="22"/>
        </w:rPr>
        <w:t>10.</w:t>
      </w:r>
      <w:r w:rsidRPr="00385289">
        <w:rPr>
          <w:rFonts w:ascii="Times New Roman" w:hAnsi="Times New Roman"/>
          <w:szCs w:val="22"/>
        </w:rPr>
        <w:tab/>
        <w:t>dátum revízie textu</w:t>
      </w:r>
    </w:p>
    <w:p w:rsidR="002A62E4" w:rsidRPr="00385289" w:rsidRDefault="002A62E4" w:rsidP="00E35CDB">
      <w:pPr>
        <w:pStyle w:val="MGGHeading2"/>
        <w:keepNext w:val="0"/>
        <w:keepLines w:val="0"/>
        <w:widowControl w:val="0"/>
        <w:rPr>
          <w:rFonts w:ascii="Times New Roman" w:hAnsi="Times New Roman"/>
          <w:b w:val="0"/>
          <w:szCs w:val="22"/>
        </w:rPr>
      </w:pPr>
    </w:p>
    <w:p w:rsidR="002A62E4" w:rsidRPr="00385289" w:rsidRDefault="00030F21" w:rsidP="00E35CDB">
      <w:pPr>
        <w:pStyle w:val="MGGHeading2"/>
        <w:keepNext w:val="0"/>
        <w:keepLines w:val="0"/>
        <w:widowControl w:val="0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05/2018</w:t>
      </w:r>
      <w:bookmarkStart w:id="0" w:name="_GoBack"/>
      <w:bookmarkEnd w:id="0"/>
    </w:p>
    <w:sectPr w:rsidR="002A62E4" w:rsidRPr="00385289" w:rsidSect="000C4B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0" w:bottom="1134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A47" w:rsidRDefault="00C94A47">
      <w:r>
        <w:separator/>
      </w:r>
    </w:p>
  </w:endnote>
  <w:endnote w:type="continuationSeparator" w:id="0">
    <w:p w:rsidR="00C94A47" w:rsidRDefault="00C9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E4" w:rsidRDefault="00FB7B0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A62E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A62E4" w:rsidRDefault="002A62E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E4" w:rsidRPr="00596E40" w:rsidRDefault="00FB7B03">
    <w:pPr>
      <w:pStyle w:val="Pta"/>
      <w:jc w:val="center"/>
      <w:rPr>
        <w:sz w:val="18"/>
        <w:szCs w:val="18"/>
      </w:rPr>
    </w:pPr>
    <w:r w:rsidRPr="00596E40">
      <w:rPr>
        <w:sz w:val="18"/>
        <w:szCs w:val="18"/>
      </w:rPr>
      <w:fldChar w:fldCharType="begin"/>
    </w:r>
    <w:r w:rsidR="002A62E4" w:rsidRPr="00596E40">
      <w:rPr>
        <w:sz w:val="18"/>
        <w:szCs w:val="18"/>
      </w:rPr>
      <w:instrText>PAGE   \* MERGEFORMAT</w:instrText>
    </w:r>
    <w:r w:rsidRPr="00596E40">
      <w:rPr>
        <w:sz w:val="18"/>
        <w:szCs w:val="18"/>
      </w:rPr>
      <w:fldChar w:fldCharType="separate"/>
    </w:r>
    <w:r w:rsidR="00B678F8">
      <w:rPr>
        <w:noProof/>
        <w:sz w:val="18"/>
        <w:szCs w:val="18"/>
      </w:rPr>
      <w:t>1</w:t>
    </w:r>
    <w:r w:rsidRPr="00596E40">
      <w:rPr>
        <w:sz w:val="18"/>
        <w:szCs w:val="18"/>
      </w:rPr>
      <w:fldChar w:fldCharType="end"/>
    </w:r>
  </w:p>
  <w:p w:rsidR="002A62E4" w:rsidRDefault="002A62E4">
    <w:pPr>
      <w:pStyle w:val="MGGDossierFooter"/>
      <w:tabs>
        <w:tab w:val="clear" w:pos="4153"/>
        <w:tab w:val="clear" w:pos="8306"/>
        <w:tab w:val="center" w:pos="4111"/>
        <w:tab w:val="right" w:pos="9072"/>
      </w:tabs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E4" w:rsidRPr="00D40B40" w:rsidRDefault="00FB7B03">
    <w:pPr>
      <w:pStyle w:val="Pta"/>
      <w:jc w:val="center"/>
      <w:rPr>
        <w:sz w:val="18"/>
      </w:rPr>
    </w:pPr>
    <w:r w:rsidRPr="00D40B40">
      <w:rPr>
        <w:sz w:val="18"/>
      </w:rPr>
      <w:fldChar w:fldCharType="begin"/>
    </w:r>
    <w:r w:rsidR="002A62E4" w:rsidRPr="00D40B40">
      <w:rPr>
        <w:sz w:val="18"/>
      </w:rPr>
      <w:instrText>PAGE   \* MERGEFORMAT</w:instrText>
    </w:r>
    <w:r w:rsidRPr="00D40B40">
      <w:rPr>
        <w:sz w:val="18"/>
      </w:rPr>
      <w:fldChar w:fldCharType="separate"/>
    </w:r>
    <w:r w:rsidR="000C4B88">
      <w:rPr>
        <w:noProof/>
        <w:sz w:val="18"/>
      </w:rPr>
      <w:t>1</w:t>
    </w:r>
    <w:r w:rsidRPr="00D40B40">
      <w:rPr>
        <w:sz w:val="18"/>
      </w:rPr>
      <w:fldChar w:fldCharType="end"/>
    </w:r>
  </w:p>
  <w:p w:rsidR="002A62E4" w:rsidRDefault="002A62E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A47" w:rsidRDefault="00C94A47">
      <w:r>
        <w:separator/>
      </w:r>
    </w:p>
  </w:footnote>
  <w:footnote w:type="continuationSeparator" w:id="0">
    <w:p w:rsidR="00C94A47" w:rsidRDefault="00C9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E6E" w:rsidRDefault="000C4B88">
    <w:pPr>
      <w:pStyle w:val="Hlavika"/>
    </w:pPr>
    <w:r>
      <w:rPr>
        <w:sz w:val="18"/>
        <w:szCs w:val="18"/>
      </w:rPr>
      <w:t xml:space="preserve">Príloha č.1 k 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2017/06616-Z1A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E4" w:rsidRDefault="006F1E6E" w:rsidP="00CF26DB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č.1 k 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2017/06616-Z1A</w:t>
    </w:r>
  </w:p>
  <w:p w:rsidR="002A62E4" w:rsidRDefault="002A62E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104E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4E4ACA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BE0CE6"/>
    <w:multiLevelType w:val="singleLevel"/>
    <w:tmpl w:val="A2620D1A"/>
    <w:lvl w:ilvl="0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">
    <w:nsid w:val="0F864A8A"/>
    <w:multiLevelType w:val="hybridMultilevel"/>
    <w:tmpl w:val="C6C4EA2E"/>
    <w:lvl w:ilvl="0" w:tplc="B5A404B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C38A7"/>
    <w:multiLevelType w:val="singleLevel"/>
    <w:tmpl w:val="4FDE51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9766873"/>
    <w:multiLevelType w:val="hybridMultilevel"/>
    <w:tmpl w:val="A86236D6"/>
    <w:lvl w:ilvl="0" w:tplc="61EC1CF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F0E48"/>
    <w:multiLevelType w:val="hybridMultilevel"/>
    <w:tmpl w:val="31C6D6F4"/>
    <w:lvl w:ilvl="0" w:tplc="086093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BF2919"/>
    <w:multiLevelType w:val="hybridMultilevel"/>
    <w:tmpl w:val="B15CC4EA"/>
    <w:lvl w:ilvl="0" w:tplc="61EC1CF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7250C5"/>
    <w:multiLevelType w:val="multilevel"/>
    <w:tmpl w:val="A27299C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45633AC3"/>
    <w:multiLevelType w:val="hybridMultilevel"/>
    <w:tmpl w:val="FBD6F35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867686"/>
    <w:multiLevelType w:val="hybridMultilevel"/>
    <w:tmpl w:val="677C789C"/>
    <w:lvl w:ilvl="0" w:tplc="61EC1CF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3C3EE0"/>
    <w:multiLevelType w:val="hybridMultilevel"/>
    <w:tmpl w:val="AD2E57F0"/>
    <w:lvl w:ilvl="0" w:tplc="086093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306A5D"/>
    <w:multiLevelType w:val="hybridMultilevel"/>
    <w:tmpl w:val="F2F8CA96"/>
    <w:lvl w:ilvl="0" w:tplc="086093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6010853"/>
    <w:multiLevelType w:val="hybridMultilevel"/>
    <w:tmpl w:val="36942ACC"/>
    <w:lvl w:ilvl="0" w:tplc="086093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6419D"/>
    <w:multiLevelType w:val="hybridMultilevel"/>
    <w:tmpl w:val="BD5C01BE"/>
    <w:lvl w:ilvl="0" w:tplc="61EC1CF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037983"/>
    <w:multiLevelType w:val="hybridMultilevel"/>
    <w:tmpl w:val="F6A832BA"/>
    <w:lvl w:ilvl="0" w:tplc="DE1C59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866F0D"/>
    <w:multiLevelType w:val="hybridMultilevel"/>
    <w:tmpl w:val="437EB4BC"/>
    <w:lvl w:ilvl="0" w:tplc="086093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15"/>
  </w:num>
  <w:num w:numId="6">
    <w:abstractNumId w:val="12"/>
  </w:num>
  <w:num w:numId="7">
    <w:abstractNumId w:val="9"/>
  </w:num>
  <w:num w:numId="8">
    <w:abstractNumId w:val="11"/>
  </w:num>
  <w:num w:numId="9">
    <w:abstractNumId w:val="16"/>
  </w:num>
  <w:num w:numId="10">
    <w:abstractNumId w:val="13"/>
  </w:num>
  <w:num w:numId="11">
    <w:abstractNumId w:val="6"/>
  </w:num>
  <w:num w:numId="12">
    <w:abstractNumId w:val="8"/>
  </w:num>
  <w:num w:numId="13">
    <w:abstractNumId w:val="10"/>
  </w:num>
  <w:num w:numId="14">
    <w:abstractNumId w:val="3"/>
  </w:num>
  <w:num w:numId="15">
    <w:abstractNumId w:val="4"/>
  </w:num>
  <w:num w:numId="16">
    <w:abstractNumId w:val="7"/>
  </w:num>
  <w:num w:numId="17">
    <w:abstractNumId w:val="14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20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spaceForUL/>
    <w:doNotExpandShiftReturn/>
    <w:printColBlack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D12"/>
    <w:rsid w:val="00013904"/>
    <w:rsid w:val="00017F71"/>
    <w:rsid w:val="00021301"/>
    <w:rsid w:val="00021B86"/>
    <w:rsid w:val="00024C5C"/>
    <w:rsid w:val="0002707E"/>
    <w:rsid w:val="00030F21"/>
    <w:rsid w:val="000424FB"/>
    <w:rsid w:val="00044D31"/>
    <w:rsid w:val="00047B67"/>
    <w:rsid w:val="00060FF9"/>
    <w:rsid w:val="00062969"/>
    <w:rsid w:val="0006495E"/>
    <w:rsid w:val="00064C75"/>
    <w:rsid w:val="00066362"/>
    <w:rsid w:val="000765B2"/>
    <w:rsid w:val="000818F9"/>
    <w:rsid w:val="00084D39"/>
    <w:rsid w:val="0009495E"/>
    <w:rsid w:val="000A30D4"/>
    <w:rsid w:val="000A60A5"/>
    <w:rsid w:val="000B5CC5"/>
    <w:rsid w:val="000B7563"/>
    <w:rsid w:val="000B7622"/>
    <w:rsid w:val="000C3FB5"/>
    <w:rsid w:val="000C4B88"/>
    <w:rsid w:val="000C602E"/>
    <w:rsid w:val="000C6407"/>
    <w:rsid w:val="000C7BDB"/>
    <w:rsid w:val="000D27E1"/>
    <w:rsid w:val="000D4B51"/>
    <w:rsid w:val="000D5B08"/>
    <w:rsid w:val="000E0C5A"/>
    <w:rsid w:val="000E1E71"/>
    <w:rsid w:val="000E27D6"/>
    <w:rsid w:val="000E46F6"/>
    <w:rsid w:val="000E7389"/>
    <w:rsid w:val="000F1236"/>
    <w:rsid w:val="001102AC"/>
    <w:rsid w:val="00110CF2"/>
    <w:rsid w:val="0011127F"/>
    <w:rsid w:val="0011377E"/>
    <w:rsid w:val="00121D12"/>
    <w:rsid w:val="001263E7"/>
    <w:rsid w:val="0012770B"/>
    <w:rsid w:val="00130612"/>
    <w:rsid w:val="00136B52"/>
    <w:rsid w:val="00141132"/>
    <w:rsid w:val="0014296C"/>
    <w:rsid w:val="00147D8E"/>
    <w:rsid w:val="00151217"/>
    <w:rsid w:val="00162AA5"/>
    <w:rsid w:val="00172776"/>
    <w:rsid w:val="00172817"/>
    <w:rsid w:val="0017520D"/>
    <w:rsid w:val="00175352"/>
    <w:rsid w:val="00180810"/>
    <w:rsid w:val="00180933"/>
    <w:rsid w:val="00181444"/>
    <w:rsid w:val="00182DC1"/>
    <w:rsid w:val="001872EE"/>
    <w:rsid w:val="001907A8"/>
    <w:rsid w:val="0019643B"/>
    <w:rsid w:val="001A0F77"/>
    <w:rsid w:val="001A142C"/>
    <w:rsid w:val="001B307C"/>
    <w:rsid w:val="001C22BE"/>
    <w:rsid w:val="001C311C"/>
    <w:rsid w:val="001E1814"/>
    <w:rsid w:val="001E29F5"/>
    <w:rsid w:val="001E4040"/>
    <w:rsid w:val="001E5D39"/>
    <w:rsid w:val="001E70B0"/>
    <w:rsid w:val="001F3C0B"/>
    <w:rsid w:val="001F4CD8"/>
    <w:rsid w:val="001F4CE0"/>
    <w:rsid w:val="001F52A7"/>
    <w:rsid w:val="001F5A8E"/>
    <w:rsid w:val="00207B0E"/>
    <w:rsid w:val="00211374"/>
    <w:rsid w:val="00213DFE"/>
    <w:rsid w:val="002216A8"/>
    <w:rsid w:val="00222AAA"/>
    <w:rsid w:val="00224A18"/>
    <w:rsid w:val="002251CE"/>
    <w:rsid w:val="0023746E"/>
    <w:rsid w:val="002401C4"/>
    <w:rsid w:val="00240FD2"/>
    <w:rsid w:val="00241247"/>
    <w:rsid w:val="002508FB"/>
    <w:rsid w:val="002536CD"/>
    <w:rsid w:val="00257C3D"/>
    <w:rsid w:val="00261DE6"/>
    <w:rsid w:val="00263FB4"/>
    <w:rsid w:val="002646CF"/>
    <w:rsid w:val="00264C92"/>
    <w:rsid w:val="00266405"/>
    <w:rsid w:val="002665A4"/>
    <w:rsid w:val="00266859"/>
    <w:rsid w:val="00267CD2"/>
    <w:rsid w:val="002703F5"/>
    <w:rsid w:val="00270F94"/>
    <w:rsid w:val="002717A4"/>
    <w:rsid w:val="002739AE"/>
    <w:rsid w:val="002763BF"/>
    <w:rsid w:val="00281937"/>
    <w:rsid w:val="002855E9"/>
    <w:rsid w:val="002A2CDD"/>
    <w:rsid w:val="002A3448"/>
    <w:rsid w:val="002A62E4"/>
    <w:rsid w:val="002B4DB9"/>
    <w:rsid w:val="002C2DDE"/>
    <w:rsid w:val="002D0C0A"/>
    <w:rsid w:val="002F4603"/>
    <w:rsid w:val="002F6030"/>
    <w:rsid w:val="002F64E0"/>
    <w:rsid w:val="003021DE"/>
    <w:rsid w:val="00302ABC"/>
    <w:rsid w:val="00313DBC"/>
    <w:rsid w:val="00314474"/>
    <w:rsid w:val="00314553"/>
    <w:rsid w:val="003172B9"/>
    <w:rsid w:val="00317320"/>
    <w:rsid w:val="0032797F"/>
    <w:rsid w:val="00332303"/>
    <w:rsid w:val="00332DBC"/>
    <w:rsid w:val="00346684"/>
    <w:rsid w:val="00351615"/>
    <w:rsid w:val="0035304B"/>
    <w:rsid w:val="003559B2"/>
    <w:rsid w:val="0035766C"/>
    <w:rsid w:val="003611FE"/>
    <w:rsid w:val="0036222B"/>
    <w:rsid w:val="003700E4"/>
    <w:rsid w:val="00380356"/>
    <w:rsid w:val="00385289"/>
    <w:rsid w:val="00386E10"/>
    <w:rsid w:val="00387537"/>
    <w:rsid w:val="003902AC"/>
    <w:rsid w:val="0039377B"/>
    <w:rsid w:val="00396D28"/>
    <w:rsid w:val="003A2B2A"/>
    <w:rsid w:val="003A5C3E"/>
    <w:rsid w:val="003B051F"/>
    <w:rsid w:val="003B7744"/>
    <w:rsid w:val="003C44AF"/>
    <w:rsid w:val="003C4707"/>
    <w:rsid w:val="003D1FE6"/>
    <w:rsid w:val="003E0834"/>
    <w:rsid w:val="003E443C"/>
    <w:rsid w:val="003F3AE7"/>
    <w:rsid w:val="004006D6"/>
    <w:rsid w:val="004017CF"/>
    <w:rsid w:val="004038EE"/>
    <w:rsid w:val="00407970"/>
    <w:rsid w:val="00412D24"/>
    <w:rsid w:val="00420F78"/>
    <w:rsid w:val="0042204B"/>
    <w:rsid w:val="004263FB"/>
    <w:rsid w:val="004278D6"/>
    <w:rsid w:val="004372AD"/>
    <w:rsid w:val="00443D9D"/>
    <w:rsid w:val="0045367A"/>
    <w:rsid w:val="00454A82"/>
    <w:rsid w:val="00455AF2"/>
    <w:rsid w:val="0045679A"/>
    <w:rsid w:val="00471DC2"/>
    <w:rsid w:val="0047571A"/>
    <w:rsid w:val="0048661A"/>
    <w:rsid w:val="00492693"/>
    <w:rsid w:val="004939D6"/>
    <w:rsid w:val="00495997"/>
    <w:rsid w:val="004A0B5E"/>
    <w:rsid w:val="004C4A55"/>
    <w:rsid w:val="004D1AED"/>
    <w:rsid w:val="004D5994"/>
    <w:rsid w:val="004F3A60"/>
    <w:rsid w:val="004F5B79"/>
    <w:rsid w:val="00503DD5"/>
    <w:rsid w:val="00510A8E"/>
    <w:rsid w:val="00515052"/>
    <w:rsid w:val="00520732"/>
    <w:rsid w:val="005207D5"/>
    <w:rsid w:val="00522A19"/>
    <w:rsid w:val="0053299D"/>
    <w:rsid w:val="00534604"/>
    <w:rsid w:val="00542D48"/>
    <w:rsid w:val="00543B88"/>
    <w:rsid w:val="00543C46"/>
    <w:rsid w:val="00551307"/>
    <w:rsid w:val="005538D8"/>
    <w:rsid w:val="005546D7"/>
    <w:rsid w:val="0055561F"/>
    <w:rsid w:val="00561B99"/>
    <w:rsid w:val="00562489"/>
    <w:rsid w:val="00562E5D"/>
    <w:rsid w:val="0056356D"/>
    <w:rsid w:val="00563E5C"/>
    <w:rsid w:val="00566F2C"/>
    <w:rsid w:val="00572155"/>
    <w:rsid w:val="00575883"/>
    <w:rsid w:val="0057686D"/>
    <w:rsid w:val="00580995"/>
    <w:rsid w:val="00585240"/>
    <w:rsid w:val="00585A93"/>
    <w:rsid w:val="0058649F"/>
    <w:rsid w:val="0058697F"/>
    <w:rsid w:val="00590273"/>
    <w:rsid w:val="00590F49"/>
    <w:rsid w:val="00596E40"/>
    <w:rsid w:val="005A3907"/>
    <w:rsid w:val="005A6B2A"/>
    <w:rsid w:val="005A7A61"/>
    <w:rsid w:val="005B1347"/>
    <w:rsid w:val="005B2BB5"/>
    <w:rsid w:val="005B5825"/>
    <w:rsid w:val="005C5165"/>
    <w:rsid w:val="005C5D31"/>
    <w:rsid w:val="005D5B4E"/>
    <w:rsid w:val="005E042F"/>
    <w:rsid w:val="005E1C52"/>
    <w:rsid w:val="005E2998"/>
    <w:rsid w:val="005E4C41"/>
    <w:rsid w:val="005E616B"/>
    <w:rsid w:val="005F1515"/>
    <w:rsid w:val="005F2C2D"/>
    <w:rsid w:val="005F5168"/>
    <w:rsid w:val="005F5C63"/>
    <w:rsid w:val="005F5D6B"/>
    <w:rsid w:val="00600C0D"/>
    <w:rsid w:val="00605138"/>
    <w:rsid w:val="00612A44"/>
    <w:rsid w:val="0061315A"/>
    <w:rsid w:val="00621846"/>
    <w:rsid w:val="00623F38"/>
    <w:rsid w:val="0063031D"/>
    <w:rsid w:val="00631237"/>
    <w:rsid w:val="0063440B"/>
    <w:rsid w:val="006346F9"/>
    <w:rsid w:val="00650942"/>
    <w:rsid w:val="006520E1"/>
    <w:rsid w:val="0065311C"/>
    <w:rsid w:val="00654771"/>
    <w:rsid w:val="00656995"/>
    <w:rsid w:val="00657ECB"/>
    <w:rsid w:val="00665C41"/>
    <w:rsid w:val="00670EDD"/>
    <w:rsid w:val="00672673"/>
    <w:rsid w:val="00681474"/>
    <w:rsid w:val="00684839"/>
    <w:rsid w:val="0069263E"/>
    <w:rsid w:val="006934AF"/>
    <w:rsid w:val="006974F1"/>
    <w:rsid w:val="006B2A7F"/>
    <w:rsid w:val="006B3A9E"/>
    <w:rsid w:val="006C1A06"/>
    <w:rsid w:val="006D21DA"/>
    <w:rsid w:val="006E254C"/>
    <w:rsid w:val="006E4784"/>
    <w:rsid w:val="006E48A6"/>
    <w:rsid w:val="006E7B8A"/>
    <w:rsid w:val="006F1E6E"/>
    <w:rsid w:val="006F2148"/>
    <w:rsid w:val="006F38A9"/>
    <w:rsid w:val="006F7BD0"/>
    <w:rsid w:val="00705B98"/>
    <w:rsid w:val="00721988"/>
    <w:rsid w:val="00723F82"/>
    <w:rsid w:val="00736EA2"/>
    <w:rsid w:val="00737671"/>
    <w:rsid w:val="00752407"/>
    <w:rsid w:val="00754BA4"/>
    <w:rsid w:val="007628BE"/>
    <w:rsid w:val="00764EEB"/>
    <w:rsid w:val="00766346"/>
    <w:rsid w:val="00766499"/>
    <w:rsid w:val="00771B89"/>
    <w:rsid w:val="00781662"/>
    <w:rsid w:val="0078717C"/>
    <w:rsid w:val="00792E1B"/>
    <w:rsid w:val="00792F0A"/>
    <w:rsid w:val="0079444C"/>
    <w:rsid w:val="0079587F"/>
    <w:rsid w:val="007A0BCF"/>
    <w:rsid w:val="007A0EBF"/>
    <w:rsid w:val="007A3BEF"/>
    <w:rsid w:val="007B49B8"/>
    <w:rsid w:val="007B4EDA"/>
    <w:rsid w:val="007C2F39"/>
    <w:rsid w:val="007C4F4B"/>
    <w:rsid w:val="007D60FA"/>
    <w:rsid w:val="007D661E"/>
    <w:rsid w:val="007E3600"/>
    <w:rsid w:val="007E391E"/>
    <w:rsid w:val="007F0ACE"/>
    <w:rsid w:val="007F35A0"/>
    <w:rsid w:val="007F4B61"/>
    <w:rsid w:val="007F5406"/>
    <w:rsid w:val="007F61EB"/>
    <w:rsid w:val="008003FF"/>
    <w:rsid w:val="00801704"/>
    <w:rsid w:val="00810AB4"/>
    <w:rsid w:val="00814C49"/>
    <w:rsid w:val="00820361"/>
    <w:rsid w:val="00820846"/>
    <w:rsid w:val="008224A8"/>
    <w:rsid w:val="00823A06"/>
    <w:rsid w:val="0083549E"/>
    <w:rsid w:val="00841CDD"/>
    <w:rsid w:val="00845F73"/>
    <w:rsid w:val="00847A18"/>
    <w:rsid w:val="00850413"/>
    <w:rsid w:val="008529D1"/>
    <w:rsid w:val="00854AE8"/>
    <w:rsid w:val="00855A00"/>
    <w:rsid w:val="00855D74"/>
    <w:rsid w:val="00874D86"/>
    <w:rsid w:val="00877C0C"/>
    <w:rsid w:val="008806A6"/>
    <w:rsid w:val="008837CD"/>
    <w:rsid w:val="008839C8"/>
    <w:rsid w:val="008866B6"/>
    <w:rsid w:val="00891104"/>
    <w:rsid w:val="00895137"/>
    <w:rsid w:val="008A4A8E"/>
    <w:rsid w:val="008B0FFB"/>
    <w:rsid w:val="008B1232"/>
    <w:rsid w:val="008C4D7B"/>
    <w:rsid w:val="008E7044"/>
    <w:rsid w:val="00905F45"/>
    <w:rsid w:val="00912830"/>
    <w:rsid w:val="00912C65"/>
    <w:rsid w:val="0092163A"/>
    <w:rsid w:val="00921F39"/>
    <w:rsid w:val="00932285"/>
    <w:rsid w:val="00932507"/>
    <w:rsid w:val="00933593"/>
    <w:rsid w:val="00933657"/>
    <w:rsid w:val="00936C31"/>
    <w:rsid w:val="0094135C"/>
    <w:rsid w:val="0094204F"/>
    <w:rsid w:val="00952272"/>
    <w:rsid w:val="00952B43"/>
    <w:rsid w:val="00965994"/>
    <w:rsid w:val="0097284B"/>
    <w:rsid w:val="00976BCE"/>
    <w:rsid w:val="00987092"/>
    <w:rsid w:val="00987BDE"/>
    <w:rsid w:val="00990E80"/>
    <w:rsid w:val="00991013"/>
    <w:rsid w:val="0099545C"/>
    <w:rsid w:val="00997363"/>
    <w:rsid w:val="009A16BE"/>
    <w:rsid w:val="009A5338"/>
    <w:rsid w:val="009B1CBB"/>
    <w:rsid w:val="009B3B58"/>
    <w:rsid w:val="009C063B"/>
    <w:rsid w:val="009D4C13"/>
    <w:rsid w:val="009D51D9"/>
    <w:rsid w:val="009D7D97"/>
    <w:rsid w:val="009F1DFA"/>
    <w:rsid w:val="009F668D"/>
    <w:rsid w:val="00A01D32"/>
    <w:rsid w:val="00A05CF7"/>
    <w:rsid w:val="00A120C4"/>
    <w:rsid w:val="00A14C44"/>
    <w:rsid w:val="00A31516"/>
    <w:rsid w:val="00A329F0"/>
    <w:rsid w:val="00A37E7E"/>
    <w:rsid w:val="00A4197F"/>
    <w:rsid w:val="00A423A4"/>
    <w:rsid w:val="00A46AB9"/>
    <w:rsid w:val="00A477A8"/>
    <w:rsid w:val="00A50FDC"/>
    <w:rsid w:val="00A554F1"/>
    <w:rsid w:val="00A57C3F"/>
    <w:rsid w:val="00A735B6"/>
    <w:rsid w:val="00A73CC9"/>
    <w:rsid w:val="00A813A5"/>
    <w:rsid w:val="00A85CDF"/>
    <w:rsid w:val="00A86E97"/>
    <w:rsid w:val="00A87F92"/>
    <w:rsid w:val="00A93C8A"/>
    <w:rsid w:val="00A95BE5"/>
    <w:rsid w:val="00AA019A"/>
    <w:rsid w:val="00AA1423"/>
    <w:rsid w:val="00AA4D31"/>
    <w:rsid w:val="00AB26FC"/>
    <w:rsid w:val="00AB39A3"/>
    <w:rsid w:val="00AC1235"/>
    <w:rsid w:val="00AC1749"/>
    <w:rsid w:val="00AC294F"/>
    <w:rsid w:val="00AD2870"/>
    <w:rsid w:val="00AD31B7"/>
    <w:rsid w:val="00AD3A7A"/>
    <w:rsid w:val="00AD6087"/>
    <w:rsid w:val="00AD7D61"/>
    <w:rsid w:val="00AE05F7"/>
    <w:rsid w:val="00AE24BE"/>
    <w:rsid w:val="00AE64E5"/>
    <w:rsid w:val="00AE7B2B"/>
    <w:rsid w:val="00AF1671"/>
    <w:rsid w:val="00AF4FE6"/>
    <w:rsid w:val="00B00668"/>
    <w:rsid w:val="00B13F68"/>
    <w:rsid w:val="00B15DF8"/>
    <w:rsid w:val="00B2021F"/>
    <w:rsid w:val="00B20FEA"/>
    <w:rsid w:val="00B33837"/>
    <w:rsid w:val="00B34F51"/>
    <w:rsid w:val="00B350B7"/>
    <w:rsid w:val="00B50BA0"/>
    <w:rsid w:val="00B5268C"/>
    <w:rsid w:val="00B54E32"/>
    <w:rsid w:val="00B61142"/>
    <w:rsid w:val="00B650E0"/>
    <w:rsid w:val="00B66FF8"/>
    <w:rsid w:val="00B678F8"/>
    <w:rsid w:val="00B717AF"/>
    <w:rsid w:val="00B73A20"/>
    <w:rsid w:val="00B828AA"/>
    <w:rsid w:val="00B846FE"/>
    <w:rsid w:val="00B934F0"/>
    <w:rsid w:val="00B94213"/>
    <w:rsid w:val="00BA7959"/>
    <w:rsid w:val="00BB312B"/>
    <w:rsid w:val="00BB49F9"/>
    <w:rsid w:val="00BB70C3"/>
    <w:rsid w:val="00BD08E1"/>
    <w:rsid w:val="00BD3108"/>
    <w:rsid w:val="00BE2E84"/>
    <w:rsid w:val="00BE717C"/>
    <w:rsid w:val="00BF11E2"/>
    <w:rsid w:val="00BF4030"/>
    <w:rsid w:val="00BF50D8"/>
    <w:rsid w:val="00C00246"/>
    <w:rsid w:val="00C04EC1"/>
    <w:rsid w:val="00C070C0"/>
    <w:rsid w:val="00C15851"/>
    <w:rsid w:val="00C165E1"/>
    <w:rsid w:val="00C21184"/>
    <w:rsid w:val="00C35ED0"/>
    <w:rsid w:val="00C36A67"/>
    <w:rsid w:val="00C37265"/>
    <w:rsid w:val="00C46BD3"/>
    <w:rsid w:val="00C547E7"/>
    <w:rsid w:val="00C563CB"/>
    <w:rsid w:val="00C56FAF"/>
    <w:rsid w:val="00C5795F"/>
    <w:rsid w:val="00C7632D"/>
    <w:rsid w:val="00C7641C"/>
    <w:rsid w:val="00C819AD"/>
    <w:rsid w:val="00C87431"/>
    <w:rsid w:val="00C90059"/>
    <w:rsid w:val="00C90429"/>
    <w:rsid w:val="00C93D44"/>
    <w:rsid w:val="00C94A47"/>
    <w:rsid w:val="00CA42EF"/>
    <w:rsid w:val="00CB14B5"/>
    <w:rsid w:val="00CB5DC6"/>
    <w:rsid w:val="00CC092F"/>
    <w:rsid w:val="00CC0FD7"/>
    <w:rsid w:val="00CC2D27"/>
    <w:rsid w:val="00CC4B8F"/>
    <w:rsid w:val="00CD1C51"/>
    <w:rsid w:val="00CD2994"/>
    <w:rsid w:val="00CD30D6"/>
    <w:rsid w:val="00CD3763"/>
    <w:rsid w:val="00CE03D0"/>
    <w:rsid w:val="00CE7958"/>
    <w:rsid w:val="00CF26DB"/>
    <w:rsid w:val="00D0335D"/>
    <w:rsid w:val="00D034C6"/>
    <w:rsid w:val="00D11C10"/>
    <w:rsid w:val="00D133CB"/>
    <w:rsid w:val="00D25767"/>
    <w:rsid w:val="00D25F45"/>
    <w:rsid w:val="00D3084F"/>
    <w:rsid w:val="00D32047"/>
    <w:rsid w:val="00D35995"/>
    <w:rsid w:val="00D40B40"/>
    <w:rsid w:val="00D47E2B"/>
    <w:rsid w:val="00D50D15"/>
    <w:rsid w:val="00D50E09"/>
    <w:rsid w:val="00D52B0E"/>
    <w:rsid w:val="00D5596F"/>
    <w:rsid w:val="00D746FA"/>
    <w:rsid w:val="00D8765B"/>
    <w:rsid w:val="00D90C8D"/>
    <w:rsid w:val="00D979D7"/>
    <w:rsid w:val="00DA0302"/>
    <w:rsid w:val="00DA29B5"/>
    <w:rsid w:val="00DA5736"/>
    <w:rsid w:val="00DA58D0"/>
    <w:rsid w:val="00DA5D27"/>
    <w:rsid w:val="00DA7E05"/>
    <w:rsid w:val="00DB0012"/>
    <w:rsid w:val="00DB783E"/>
    <w:rsid w:val="00DC0F5B"/>
    <w:rsid w:val="00DD2E4C"/>
    <w:rsid w:val="00DD2EA8"/>
    <w:rsid w:val="00DD39D2"/>
    <w:rsid w:val="00DD59B7"/>
    <w:rsid w:val="00DE3989"/>
    <w:rsid w:val="00DF0118"/>
    <w:rsid w:val="00DF4C31"/>
    <w:rsid w:val="00E141F5"/>
    <w:rsid w:val="00E21618"/>
    <w:rsid w:val="00E26917"/>
    <w:rsid w:val="00E34234"/>
    <w:rsid w:val="00E35CDB"/>
    <w:rsid w:val="00E36466"/>
    <w:rsid w:val="00E36E5D"/>
    <w:rsid w:val="00E37BA4"/>
    <w:rsid w:val="00E4006B"/>
    <w:rsid w:val="00E41365"/>
    <w:rsid w:val="00E46D02"/>
    <w:rsid w:val="00E50E76"/>
    <w:rsid w:val="00E7648F"/>
    <w:rsid w:val="00E80EDD"/>
    <w:rsid w:val="00E80F23"/>
    <w:rsid w:val="00E8267F"/>
    <w:rsid w:val="00E841B7"/>
    <w:rsid w:val="00E944B0"/>
    <w:rsid w:val="00E949AB"/>
    <w:rsid w:val="00EB6A6C"/>
    <w:rsid w:val="00EB6CF5"/>
    <w:rsid w:val="00ED1F64"/>
    <w:rsid w:val="00ED4627"/>
    <w:rsid w:val="00ED54AA"/>
    <w:rsid w:val="00ED5E37"/>
    <w:rsid w:val="00EE5D28"/>
    <w:rsid w:val="00EE74CD"/>
    <w:rsid w:val="00EF0C83"/>
    <w:rsid w:val="00EF1239"/>
    <w:rsid w:val="00EF6A66"/>
    <w:rsid w:val="00EF7143"/>
    <w:rsid w:val="00F00389"/>
    <w:rsid w:val="00F100D8"/>
    <w:rsid w:val="00F15BDF"/>
    <w:rsid w:val="00F21276"/>
    <w:rsid w:val="00F43FC2"/>
    <w:rsid w:val="00F45910"/>
    <w:rsid w:val="00F46EFB"/>
    <w:rsid w:val="00F5178D"/>
    <w:rsid w:val="00F51B22"/>
    <w:rsid w:val="00F54FF6"/>
    <w:rsid w:val="00F60B26"/>
    <w:rsid w:val="00F622A7"/>
    <w:rsid w:val="00F62BC9"/>
    <w:rsid w:val="00F6328B"/>
    <w:rsid w:val="00F6401B"/>
    <w:rsid w:val="00F667B6"/>
    <w:rsid w:val="00F71193"/>
    <w:rsid w:val="00F7132B"/>
    <w:rsid w:val="00F713AB"/>
    <w:rsid w:val="00F84C2E"/>
    <w:rsid w:val="00FB3EC8"/>
    <w:rsid w:val="00FB7B03"/>
    <w:rsid w:val="00FD092E"/>
    <w:rsid w:val="00FD1EAF"/>
    <w:rsid w:val="00FD47E4"/>
    <w:rsid w:val="00FD73F8"/>
    <w:rsid w:val="00FD76C0"/>
    <w:rsid w:val="00FF1920"/>
    <w:rsid w:val="00FF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aliases w:val="(DO NOT USE)"/>
    <w:qFormat/>
    <w:rsid w:val="00AC1749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649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dpis2">
    <w:name w:val="heading 2"/>
    <w:basedOn w:val="Normlny"/>
    <w:next w:val="Normlny"/>
    <w:link w:val="Nadpis2Char"/>
    <w:uiPriority w:val="9"/>
    <w:qFormat/>
    <w:rsid w:val="000649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dpis3">
    <w:name w:val="heading 3"/>
    <w:basedOn w:val="Normlny"/>
    <w:next w:val="Normlny"/>
    <w:link w:val="Nadpis3Char"/>
    <w:uiPriority w:val="9"/>
    <w:qFormat/>
    <w:rsid w:val="000649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Nadpis4">
    <w:name w:val="heading 4"/>
    <w:basedOn w:val="Normlny"/>
    <w:next w:val="Normlny"/>
    <w:link w:val="Nadpis4Char"/>
    <w:uiPriority w:val="9"/>
    <w:qFormat/>
    <w:rsid w:val="000649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C4F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C4F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7C4F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7C4F04"/>
    <w:rPr>
      <w:rFonts w:ascii="Calibri" w:eastAsia="Times New Roman" w:hAnsi="Calibri" w:cs="Times New Roman"/>
      <w:b/>
      <w:bCs/>
      <w:sz w:val="28"/>
      <w:szCs w:val="28"/>
    </w:rPr>
  </w:style>
  <w:style w:type="character" w:styleId="slostrany">
    <w:name w:val="page number"/>
    <w:uiPriority w:val="99"/>
    <w:rsid w:val="0006495E"/>
    <w:rPr>
      <w:b/>
    </w:rPr>
  </w:style>
  <w:style w:type="paragraph" w:customStyle="1" w:styleId="MGGTextLeft">
    <w:name w:val="MGG Text Left"/>
    <w:basedOn w:val="Zkladntext"/>
    <w:rsid w:val="0006495E"/>
    <w:pPr>
      <w:keepNext/>
      <w:spacing w:after="0"/>
    </w:pPr>
  </w:style>
  <w:style w:type="paragraph" w:styleId="Zkladntext">
    <w:name w:val="Body Text"/>
    <w:basedOn w:val="Normlny"/>
    <w:link w:val="ZkladntextChar"/>
    <w:uiPriority w:val="99"/>
    <w:rsid w:val="0006495E"/>
    <w:pPr>
      <w:spacing w:after="120"/>
    </w:pPr>
    <w:rPr>
      <w:lang/>
    </w:rPr>
  </w:style>
  <w:style w:type="character" w:customStyle="1" w:styleId="ZkladntextChar">
    <w:name w:val="Základný text Char"/>
    <w:link w:val="Zkladntext"/>
    <w:uiPriority w:val="99"/>
    <w:semiHidden/>
    <w:rsid w:val="007C4F04"/>
    <w:rPr>
      <w:sz w:val="22"/>
      <w:szCs w:val="24"/>
    </w:rPr>
  </w:style>
  <w:style w:type="paragraph" w:customStyle="1" w:styleId="MGGTextRight">
    <w:name w:val="MGG Text Right"/>
    <w:basedOn w:val="MGGTextLeft"/>
    <w:rsid w:val="0006495E"/>
    <w:pPr>
      <w:jc w:val="right"/>
    </w:pPr>
  </w:style>
  <w:style w:type="paragraph" w:customStyle="1" w:styleId="MGGTextCentred">
    <w:name w:val="MGG Text Centred"/>
    <w:basedOn w:val="Normlny"/>
    <w:rsid w:val="0006495E"/>
    <w:pPr>
      <w:jc w:val="center"/>
    </w:pPr>
  </w:style>
  <w:style w:type="paragraph" w:customStyle="1" w:styleId="MGGCaption">
    <w:name w:val="MGG Caption"/>
    <w:basedOn w:val="MGGTextLeft"/>
    <w:rsid w:val="0006495E"/>
    <w:pPr>
      <w:spacing w:before="120" w:after="120"/>
    </w:pPr>
    <w:rPr>
      <w:rFonts w:ascii="Times New Roman Bold" w:hAnsi="Times New Roman Bold"/>
      <w:b/>
    </w:rPr>
  </w:style>
  <w:style w:type="paragraph" w:customStyle="1" w:styleId="MGGDossierFooter">
    <w:name w:val="MGG Dossier Footer"/>
    <w:basedOn w:val="Pta"/>
    <w:rsid w:val="0006495E"/>
    <w:rPr>
      <w:b/>
      <w:sz w:val="20"/>
    </w:rPr>
  </w:style>
  <w:style w:type="paragraph" w:styleId="Pta">
    <w:name w:val="footer"/>
    <w:basedOn w:val="Normlny"/>
    <w:link w:val="PtaChar"/>
    <w:uiPriority w:val="99"/>
    <w:rsid w:val="0006495E"/>
    <w:pPr>
      <w:tabs>
        <w:tab w:val="center" w:pos="4153"/>
        <w:tab w:val="right" w:pos="8306"/>
      </w:tabs>
    </w:pPr>
    <w:rPr>
      <w:sz w:val="24"/>
      <w:szCs w:val="20"/>
      <w:lang/>
    </w:rPr>
  </w:style>
  <w:style w:type="character" w:customStyle="1" w:styleId="PtaChar">
    <w:name w:val="Päta Char"/>
    <w:link w:val="Pta"/>
    <w:uiPriority w:val="99"/>
    <w:locked/>
    <w:rsid w:val="00CF26DB"/>
    <w:rPr>
      <w:sz w:val="24"/>
    </w:rPr>
  </w:style>
  <w:style w:type="paragraph" w:customStyle="1" w:styleId="MGGDossierHeader">
    <w:name w:val="MGG Dossier Header"/>
    <w:basedOn w:val="Hlavika"/>
    <w:rsid w:val="0006495E"/>
    <w:rPr>
      <w:b/>
      <w:sz w:val="20"/>
    </w:rPr>
  </w:style>
  <w:style w:type="paragraph" w:styleId="Hlavika">
    <w:name w:val="header"/>
    <w:basedOn w:val="Normlny"/>
    <w:link w:val="HlavikaChar"/>
    <w:uiPriority w:val="99"/>
    <w:rsid w:val="0006495E"/>
    <w:pPr>
      <w:tabs>
        <w:tab w:val="center" w:pos="4153"/>
        <w:tab w:val="right" w:pos="8306"/>
      </w:tabs>
    </w:pPr>
    <w:rPr>
      <w:sz w:val="24"/>
      <w:szCs w:val="20"/>
      <w:lang/>
    </w:rPr>
  </w:style>
  <w:style w:type="character" w:customStyle="1" w:styleId="HlavikaChar">
    <w:name w:val="Hlavička Char"/>
    <w:link w:val="Hlavika"/>
    <w:uiPriority w:val="99"/>
    <w:locked/>
    <w:rsid w:val="00CF26DB"/>
    <w:rPr>
      <w:sz w:val="24"/>
    </w:rPr>
  </w:style>
  <w:style w:type="character" w:customStyle="1" w:styleId="MGGFootnoteReference">
    <w:name w:val="MGG Footnote Reference"/>
    <w:rsid w:val="0006495E"/>
    <w:rPr>
      <w:rFonts w:ascii="Times New Roman" w:hAnsi="Times New Roman"/>
      <w:sz w:val="20"/>
      <w:vertAlign w:val="superscript"/>
    </w:rPr>
  </w:style>
  <w:style w:type="character" w:styleId="Odkaznapoznmkupodiarou">
    <w:name w:val="footnote reference"/>
    <w:uiPriority w:val="99"/>
    <w:semiHidden/>
    <w:rsid w:val="0006495E"/>
    <w:rPr>
      <w:vertAlign w:val="superscript"/>
    </w:rPr>
  </w:style>
  <w:style w:type="paragraph" w:customStyle="1" w:styleId="MGGFootnoteText">
    <w:name w:val="MGG Footnote Text"/>
    <w:basedOn w:val="Textpoznmkypodiarou"/>
    <w:rsid w:val="0006495E"/>
  </w:style>
  <w:style w:type="paragraph" w:styleId="Textpoznmkypodiarou">
    <w:name w:val="footnote text"/>
    <w:basedOn w:val="Normlny"/>
    <w:link w:val="TextpoznmkypodiarouChar"/>
    <w:uiPriority w:val="99"/>
    <w:semiHidden/>
    <w:rsid w:val="0006495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C4F04"/>
  </w:style>
  <w:style w:type="paragraph" w:customStyle="1" w:styleId="MGGHeading1">
    <w:name w:val="MGG Heading 1"/>
    <w:basedOn w:val="Nadpis1"/>
    <w:rsid w:val="0006495E"/>
    <w:pPr>
      <w:keepLines/>
      <w:spacing w:before="0" w:after="0"/>
      <w:jc w:val="center"/>
    </w:pPr>
    <w:rPr>
      <w:rFonts w:ascii="Times New Roman" w:hAnsi="Times New Roman"/>
      <w:sz w:val="22"/>
    </w:rPr>
  </w:style>
  <w:style w:type="paragraph" w:customStyle="1" w:styleId="MGGHeading2">
    <w:name w:val="MGG Heading 2"/>
    <w:basedOn w:val="Nadpis2"/>
    <w:rsid w:val="0006495E"/>
    <w:pPr>
      <w:keepLines/>
      <w:tabs>
        <w:tab w:val="left" w:pos="567"/>
      </w:tabs>
      <w:spacing w:before="0" w:after="0"/>
    </w:pPr>
    <w:rPr>
      <w:rFonts w:ascii="Times New Roman Bold" w:hAnsi="Times New Roman Bold"/>
      <w:i w:val="0"/>
      <w:caps/>
      <w:sz w:val="22"/>
    </w:rPr>
  </w:style>
  <w:style w:type="paragraph" w:customStyle="1" w:styleId="MGGHeading3">
    <w:name w:val="MGG Heading 3"/>
    <w:basedOn w:val="Nadpis3"/>
    <w:rsid w:val="0006495E"/>
    <w:pPr>
      <w:keepLines/>
      <w:tabs>
        <w:tab w:val="left" w:pos="567"/>
      </w:tabs>
      <w:spacing w:before="0" w:after="0"/>
    </w:pPr>
    <w:rPr>
      <w:rFonts w:ascii="Times New Roman" w:hAnsi="Times New Roman"/>
      <w:sz w:val="22"/>
    </w:rPr>
  </w:style>
  <w:style w:type="paragraph" w:customStyle="1" w:styleId="MGGHeading4">
    <w:name w:val="MGG Heading 4"/>
    <w:basedOn w:val="Nadpis4"/>
    <w:rsid w:val="0006495E"/>
    <w:pPr>
      <w:keepLines/>
      <w:spacing w:before="0" w:after="240"/>
    </w:pPr>
    <w:rPr>
      <w:sz w:val="24"/>
    </w:rPr>
  </w:style>
  <w:style w:type="paragraph" w:customStyle="1" w:styleId="MGGListNumber">
    <w:name w:val="MGG List Number"/>
    <w:basedOn w:val="slovanzoznam"/>
    <w:rsid w:val="0006495E"/>
  </w:style>
  <w:style w:type="paragraph" w:styleId="slovanzoznam">
    <w:name w:val="List Number"/>
    <w:basedOn w:val="Normlny"/>
    <w:uiPriority w:val="99"/>
    <w:rsid w:val="0006495E"/>
    <w:pPr>
      <w:tabs>
        <w:tab w:val="num" w:pos="360"/>
      </w:tabs>
      <w:ind w:left="360" w:hanging="360"/>
    </w:pPr>
  </w:style>
  <w:style w:type="paragraph" w:styleId="Zoznamsodrkami">
    <w:name w:val="List Bullet"/>
    <w:basedOn w:val="Normlny"/>
    <w:autoRedefine/>
    <w:uiPriority w:val="99"/>
    <w:rsid w:val="0006495E"/>
    <w:pPr>
      <w:numPr>
        <w:numId w:val="3"/>
      </w:numPr>
    </w:pPr>
  </w:style>
  <w:style w:type="paragraph" w:customStyle="1" w:styleId="MGGTableContents">
    <w:name w:val="MGG Table Contents"/>
    <w:basedOn w:val="MGGTextLeft"/>
    <w:rsid w:val="0006495E"/>
    <w:pPr>
      <w:keepLines/>
    </w:pPr>
    <w:rPr>
      <w:sz w:val="20"/>
    </w:rPr>
  </w:style>
  <w:style w:type="paragraph" w:customStyle="1" w:styleId="MGGTableHeading">
    <w:name w:val="MGG Table Heading"/>
    <w:basedOn w:val="MGGTableContents"/>
    <w:rsid w:val="0006495E"/>
    <w:rPr>
      <w:b/>
    </w:rPr>
  </w:style>
  <w:style w:type="paragraph" w:customStyle="1" w:styleId="MGGPageBreak">
    <w:name w:val="MGG Page Break"/>
    <w:basedOn w:val="MGGTextLeft"/>
    <w:rsid w:val="0006495E"/>
    <w:pPr>
      <w:pageBreakBefore/>
      <w:tabs>
        <w:tab w:val="center" w:pos="3969"/>
      </w:tabs>
    </w:pPr>
    <w:rPr>
      <w:sz w:val="8"/>
    </w:rPr>
  </w:style>
  <w:style w:type="character" w:styleId="Hypertextovprepojenie">
    <w:name w:val="Hyperlink"/>
    <w:uiPriority w:val="99"/>
    <w:rsid w:val="0006495E"/>
    <w:rPr>
      <w:color w:val="0000FF"/>
      <w:u w:val="single"/>
    </w:rPr>
  </w:style>
  <w:style w:type="character" w:styleId="Odkaznakoncovpoznmku">
    <w:name w:val="endnote reference"/>
    <w:uiPriority w:val="99"/>
    <w:semiHidden/>
    <w:rsid w:val="0006495E"/>
    <w:rPr>
      <w:vertAlign w:val="superscript"/>
    </w:rPr>
  </w:style>
  <w:style w:type="paragraph" w:customStyle="1" w:styleId="OmniPage264">
    <w:name w:val="OmniPage #264"/>
    <w:basedOn w:val="Normlny"/>
    <w:rsid w:val="0006495E"/>
    <w:pPr>
      <w:tabs>
        <w:tab w:val="right" w:pos="8567"/>
      </w:tabs>
      <w:ind w:left="2137" w:right="533"/>
    </w:pPr>
    <w:rPr>
      <w:rFonts w:ascii="Arial" w:hAnsi="Arial"/>
      <w:noProof/>
      <w:sz w:val="20"/>
      <w:szCs w:val="20"/>
      <w:lang w:val="en-US" w:eastAsia="nl-NL"/>
    </w:rPr>
  </w:style>
  <w:style w:type="paragraph" w:customStyle="1" w:styleId="OmniPage770">
    <w:name w:val="OmniPage #770"/>
    <w:basedOn w:val="Normlny"/>
    <w:rsid w:val="0006495E"/>
    <w:pPr>
      <w:ind w:left="2148" w:right="311"/>
    </w:pPr>
    <w:rPr>
      <w:rFonts w:ascii="Arial" w:hAnsi="Arial"/>
      <w:noProof/>
      <w:sz w:val="20"/>
      <w:szCs w:val="20"/>
      <w:lang w:val="en-US" w:eastAsia="nl-NL"/>
    </w:rPr>
  </w:style>
  <w:style w:type="paragraph" w:customStyle="1" w:styleId="OmniPage1028">
    <w:name w:val="OmniPage #1028"/>
    <w:basedOn w:val="Normlny"/>
    <w:rsid w:val="0006495E"/>
    <w:pPr>
      <w:tabs>
        <w:tab w:val="left" w:pos="802"/>
        <w:tab w:val="right" w:pos="8868"/>
      </w:tabs>
      <w:ind w:left="1743" w:right="233"/>
    </w:pPr>
    <w:rPr>
      <w:rFonts w:ascii="Arial" w:hAnsi="Arial"/>
      <w:noProof/>
      <w:sz w:val="20"/>
      <w:szCs w:val="20"/>
      <w:lang w:val="en-US" w:eastAsia="nl-NL"/>
    </w:rPr>
  </w:style>
  <w:style w:type="paragraph" w:customStyle="1" w:styleId="OmniPage1282">
    <w:name w:val="OmniPage #1282"/>
    <w:basedOn w:val="Normlny"/>
    <w:rsid w:val="0006495E"/>
    <w:pPr>
      <w:tabs>
        <w:tab w:val="right" w:pos="9005"/>
      </w:tabs>
      <w:ind w:left="2144" w:right="100"/>
    </w:pPr>
    <w:rPr>
      <w:rFonts w:ascii="Arial" w:hAnsi="Arial"/>
      <w:noProof/>
      <w:sz w:val="20"/>
      <w:szCs w:val="20"/>
      <w:lang w:val="en-US" w:eastAsia="nl-NL"/>
    </w:rPr>
  </w:style>
  <w:style w:type="paragraph" w:styleId="Oznaitext">
    <w:name w:val="Block Text"/>
    <w:basedOn w:val="Normlny"/>
    <w:uiPriority w:val="99"/>
    <w:rsid w:val="0006495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  <w:sz w:val="20"/>
      <w:szCs w:val="20"/>
      <w:lang w:val="de-DE" w:eastAsia="fr-FR"/>
    </w:rPr>
  </w:style>
  <w:style w:type="paragraph" w:customStyle="1" w:styleId="p4">
    <w:name w:val="p4"/>
    <w:basedOn w:val="Normlny"/>
    <w:rsid w:val="0006495E"/>
    <w:pPr>
      <w:widowControl w:val="0"/>
      <w:tabs>
        <w:tab w:val="left" w:pos="833"/>
      </w:tabs>
      <w:spacing w:line="240" w:lineRule="atLeast"/>
      <w:ind w:left="607" w:hanging="833"/>
    </w:pPr>
    <w:rPr>
      <w:lang w:eastAsia="fr-FR"/>
    </w:rPr>
  </w:style>
  <w:style w:type="paragraph" w:customStyle="1" w:styleId="Preformatted">
    <w:name w:val="Preformatted"/>
    <w:basedOn w:val="Normlny"/>
    <w:rsid w:val="000649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MusterTitel">
    <w:name w:val="Muster_Titel"/>
    <w:basedOn w:val="Nzov"/>
    <w:rsid w:val="0006495E"/>
    <w:pPr>
      <w:spacing w:before="480" w:after="480"/>
      <w:outlineLvl w:val="9"/>
    </w:pPr>
    <w:rPr>
      <w:b w:val="0"/>
      <w:bCs w:val="0"/>
      <w:kern w:val="1"/>
      <w:sz w:val="28"/>
      <w:szCs w:val="28"/>
      <w:lang w:val="de-DE" w:eastAsia="ar-SA"/>
    </w:rPr>
  </w:style>
  <w:style w:type="paragraph" w:styleId="Nzov">
    <w:name w:val="Title"/>
    <w:basedOn w:val="Normlny"/>
    <w:link w:val="NzovChar"/>
    <w:uiPriority w:val="10"/>
    <w:qFormat/>
    <w:rsid w:val="000649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NzovChar">
    <w:name w:val="Názov Char"/>
    <w:link w:val="Nzov"/>
    <w:uiPriority w:val="10"/>
    <w:rsid w:val="007C4F0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rsid w:val="00121D12"/>
    <w:rPr>
      <w:sz w:val="0"/>
      <w:szCs w:val="0"/>
      <w:lang/>
    </w:rPr>
  </w:style>
  <w:style w:type="character" w:customStyle="1" w:styleId="TextbublinyChar">
    <w:name w:val="Text bubliny Char"/>
    <w:link w:val="Textbubliny"/>
    <w:uiPriority w:val="99"/>
    <w:semiHidden/>
    <w:rsid w:val="007C4F04"/>
    <w:rPr>
      <w:sz w:val="0"/>
      <w:szCs w:val="0"/>
    </w:rPr>
  </w:style>
  <w:style w:type="paragraph" w:customStyle="1" w:styleId="Default">
    <w:name w:val="Default"/>
    <w:rsid w:val="00AA019A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uiPriority w:val="59"/>
    <w:rsid w:val="000D5B0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0D5B08"/>
    <w:rPr>
      <w:rFonts w:cs="Times New Roman"/>
    </w:rPr>
  </w:style>
  <w:style w:type="character" w:customStyle="1" w:styleId="st">
    <w:name w:val="st"/>
    <w:rsid w:val="00657ECB"/>
    <w:rPr>
      <w:rFonts w:cs="Times New Roman"/>
    </w:rPr>
  </w:style>
  <w:style w:type="character" w:styleId="Odkaznakomentr">
    <w:name w:val="annotation reference"/>
    <w:uiPriority w:val="99"/>
    <w:rsid w:val="008A4A8E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8A4A8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8A4A8E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A4A8E"/>
    <w:rPr>
      <w:b/>
    </w:rPr>
  </w:style>
  <w:style w:type="character" w:customStyle="1" w:styleId="PredmetkomentraChar">
    <w:name w:val="Predmet komentára Char"/>
    <w:link w:val="Predmetkomentra"/>
    <w:uiPriority w:val="99"/>
    <w:locked/>
    <w:rsid w:val="008A4A8E"/>
    <w:rPr>
      <w:b/>
      <w:lang w:val="sk-SK" w:eastAsia="sk-SK"/>
    </w:rPr>
  </w:style>
  <w:style w:type="paragraph" w:styleId="Revzia">
    <w:name w:val="Revision"/>
    <w:hidden/>
    <w:uiPriority w:val="99"/>
    <w:semiHidden/>
    <w:rsid w:val="005538D8"/>
    <w:rPr>
      <w:sz w:val="22"/>
      <w:szCs w:val="24"/>
    </w:rPr>
  </w:style>
  <w:style w:type="paragraph" w:customStyle="1" w:styleId="Normlny0">
    <w:name w:val="Normlny"/>
    <w:rsid w:val="000818F9"/>
    <w:pPr>
      <w:suppressAutoHyphens/>
      <w:autoSpaceDE w:val="0"/>
    </w:pPr>
    <w:rPr>
      <w:rFonts w:ascii="Arial" w:hAnsi="Arial"/>
      <w:sz w:val="24"/>
      <w:lang w:val="en-US"/>
    </w:rPr>
  </w:style>
  <w:style w:type="character" w:styleId="PouitHypertextovPrepojenie">
    <w:name w:val="FollowedHyperlink"/>
    <w:uiPriority w:val="99"/>
    <w:rsid w:val="000A60A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3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3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83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3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8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3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83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5254</Words>
  <Characters>29949</Characters>
  <Application>Microsoft Office Word</Application>
  <DocSecurity>0</DocSecurity>
  <Lines>249</Lines>
  <Paragraphs>70</Paragraphs>
  <ScaleCrop>false</ScaleCrop>
  <Company>MYLAN</Company>
  <LinksUpToDate>false</LinksUpToDate>
  <CharactersWithSpaces>35133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Azitromycin Mylan 500mg</dc:subject>
  <dc:creator>Zuzana Petrová</dc:creator>
  <cp:keywords/>
  <dc:description/>
  <cp:lastModifiedBy> Jana Repiščáková</cp:lastModifiedBy>
  <cp:revision>11</cp:revision>
  <cp:lastPrinted>2014-02-21T07:34:00Z</cp:lastPrinted>
  <dcterms:created xsi:type="dcterms:W3CDTF">2017-12-08T17:43:00Z</dcterms:created>
  <dcterms:modified xsi:type="dcterms:W3CDTF">2018-04-27T09:00:00Z</dcterms:modified>
</cp:coreProperties>
</file>