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06B0" w:rsidRPr="00513C80" w:rsidRDefault="005406B0">
      <w:pPr>
        <w:jc w:val="both"/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jc w:val="center"/>
        <w:rPr>
          <w:b/>
          <w:sz w:val="22"/>
          <w:szCs w:val="22"/>
        </w:rPr>
      </w:pPr>
      <w:r w:rsidRPr="00513C80">
        <w:rPr>
          <w:b/>
          <w:sz w:val="22"/>
          <w:szCs w:val="22"/>
        </w:rPr>
        <w:t>SÚHRN CHARAKTERISTICKÝCH VLASTNOSTÍ LIEKU</w:t>
      </w:r>
    </w:p>
    <w:p w:rsidR="005406B0" w:rsidRPr="00513C80" w:rsidRDefault="005406B0">
      <w:pPr>
        <w:rPr>
          <w:b/>
          <w:sz w:val="22"/>
          <w:szCs w:val="22"/>
        </w:rPr>
      </w:pPr>
    </w:p>
    <w:p w:rsidR="005406B0" w:rsidRPr="00513C80" w:rsidRDefault="005406B0">
      <w:pPr>
        <w:rPr>
          <w:b/>
          <w:sz w:val="22"/>
          <w:szCs w:val="22"/>
        </w:rPr>
      </w:pPr>
    </w:p>
    <w:p w:rsidR="005406B0" w:rsidRPr="00513C80" w:rsidRDefault="005406B0">
      <w:pPr>
        <w:numPr>
          <w:ilvl w:val="0"/>
          <w:numId w:val="3"/>
        </w:numPr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NÁZOV LIEKU</w:t>
      </w:r>
    </w:p>
    <w:p w:rsidR="005406B0" w:rsidRPr="00513C80" w:rsidRDefault="005406B0">
      <w:pPr>
        <w:rPr>
          <w:sz w:val="22"/>
          <w:szCs w:val="22"/>
        </w:rPr>
      </w:pPr>
    </w:p>
    <w:p w:rsidR="006B3B62" w:rsidRDefault="005406B0">
      <w:pPr>
        <w:rPr>
          <w:sz w:val="22"/>
          <w:szCs w:val="22"/>
        </w:rPr>
      </w:pPr>
      <w:proofErr w:type="spellStart"/>
      <w:r w:rsidRPr="00AC4C75">
        <w:rPr>
          <w:sz w:val="22"/>
          <w:szCs w:val="22"/>
        </w:rPr>
        <w:t>Zigilex</w:t>
      </w:r>
      <w:proofErr w:type="spellEnd"/>
      <w:r w:rsidRPr="00AC4C75">
        <w:rPr>
          <w:sz w:val="22"/>
          <w:szCs w:val="22"/>
        </w:rPr>
        <w:t xml:space="preserve"> OROTAB 20 mg</w:t>
      </w:r>
    </w:p>
    <w:p w:rsidR="005406B0" w:rsidRPr="00513C80" w:rsidRDefault="001C02D8">
      <w:pPr>
        <w:rPr>
          <w:sz w:val="22"/>
          <w:szCs w:val="22"/>
        </w:rPr>
      </w:pPr>
      <w:proofErr w:type="spellStart"/>
      <w:r w:rsidRPr="006B3B62">
        <w:rPr>
          <w:sz w:val="22"/>
          <w:szCs w:val="22"/>
          <w:highlight w:val="lightGray"/>
        </w:rPr>
        <w:t>Zigilex</w:t>
      </w:r>
      <w:proofErr w:type="spellEnd"/>
      <w:r w:rsidRPr="006B3B62">
        <w:rPr>
          <w:sz w:val="22"/>
          <w:szCs w:val="22"/>
          <w:highlight w:val="lightGray"/>
        </w:rPr>
        <w:t xml:space="preserve"> OROTAB 100 mg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Orodispergovateľné</w:t>
      </w:r>
      <w:proofErr w:type="spellEnd"/>
      <w:r w:rsidRPr="00513C80">
        <w:rPr>
          <w:sz w:val="22"/>
          <w:szCs w:val="22"/>
        </w:rPr>
        <w:t xml:space="preserve"> tablety</w:t>
      </w:r>
    </w:p>
    <w:p w:rsidR="005406B0" w:rsidRDefault="005406B0">
      <w:pPr>
        <w:rPr>
          <w:sz w:val="22"/>
          <w:szCs w:val="22"/>
        </w:rPr>
      </w:pPr>
    </w:p>
    <w:p w:rsidR="00FC0FD1" w:rsidRPr="00513C80" w:rsidRDefault="00FC0FD1">
      <w:pPr>
        <w:rPr>
          <w:sz w:val="22"/>
          <w:szCs w:val="22"/>
        </w:rPr>
      </w:pPr>
    </w:p>
    <w:p w:rsidR="005406B0" w:rsidRPr="00510345" w:rsidRDefault="005406B0">
      <w:pPr>
        <w:numPr>
          <w:ilvl w:val="0"/>
          <w:numId w:val="3"/>
        </w:numPr>
        <w:rPr>
          <w:sz w:val="22"/>
          <w:szCs w:val="22"/>
          <w:u w:val="single"/>
        </w:rPr>
      </w:pPr>
      <w:r w:rsidRPr="00513C80">
        <w:rPr>
          <w:b/>
          <w:bCs/>
          <w:sz w:val="22"/>
          <w:szCs w:val="22"/>
        </w:rPr>
        <w:t>KVALITATÍVNE A KVANTITATÍVNE ZLOŽENIE</w:t>
      </w:r>
    </w:p>
    <w:p w:rsidR="00510345" w:rsidRPr="00513C80" w:rsidRDefault="00510345" w:rsidP="00510345">
      <w:pPr>
        <w:ind w:left="567"/>
        <w:rPr>
          <w:sz w:val="22"/>
          <w:szCs w:val="22"/>
          <w:u w:val="single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Zigilex</w:t>
      </w:r>
      <w:proofErr w:type="spellEnd"/>
      <w:r w:rsidRPr="00513C80">
        <w:rPr>
          <w:sz w:val="22"/>
          <w:szCs w:val="22"/>
        </w:rPr>
        <w:t xml:space="preserve"> OROTAB 20 mg: každá </w:t>
      </w:r>
      <w:proofErr w:type="spellStart"/>
      <w:r w:rsidRPr="00513C80">
        <w:rPr>
          <w:sz w:val="22"/>
          <w:szCs w:val="22"/>
        </w:rPr>
        <w:t>orodispergovateľná</w:t>
      </w:r>
      <w:proofErr w:type="spellEnd"/>
      <w:r w:rsidRPr="00513C80">
        <w:rPr>
          <w:sz w:val="22"/>
          <w:szCs w:val="22"/>
        </w:rPr>
        <w:t xml:space="preserve"> tableta obsahuje 20 mg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(</w:t>
      </w:r>
      <w:proofErr w:type="spellStart"/>
      <w:r w:rsidRPr="00513C80">
        <w:rPr>
          <w:i/>
          <w:sz w:val="22"/>
          <w:szCs w:val="22"/>
        </w:rPr>
        <w:t>Azithromycinum</w:t>
      </w:r>
      <w:proofErr w:type="spellEnd"/>
      <w:r w:rsidRPr="00513C80">
        <w:rPr>
          <w:sz w:val="22"/>
          <w:szCs w:val="22"/>
        </w:rPr>
        <w:t xml:space="preserve">) vo forme </w:t>
      </w:r>
      <w:proofErr w:type="spellStart"/>
      <w:r w:rsidRPr="00513C80">
        <w:rPr>
          <w:sz w:val="22"/>
          <w:szCs w:val="22"/>
        </w:rPr>
        <w:t>dihydrátu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. </w:t>
      </w:r>
    </w:p>
    <w:p w:rsidR="005406B0" w:rsidRPr="00513C80" w:rsidRDefault="001C02D8">
      <w:pPr>
        <w:rPr>
          <w:sz w:val="22"/>
          <w:szCs w:val="22"/>
        </w:rPr>
      </w:pPr>
      <w:proofErr w:type="spellStart"/>
      <w:r w:rsidRPr="006B3B62">
        <w:rPr>
          <w:sz w:val="22"/>
          <w:szCs w:val="22"/>
          <w:highlight w:val="lightGray"/>
        </w:rPr>
        <w:t>Zigilex</w:t>
      </w:r>
      <w:proofErr w:type="spellEnd"/>
      <w:r w:rsidRPr="006B3B62">
        <w:rPr>
          <w:sz w:val="22"/>
          <w:szCs w:val="22"/>
          <w:highlight w:val="lightGray"/>
        </w:rPr>
        <w:t xml:space="preserve"> OROTAB 100 mg: každá </w:t>
      </w:r>
      <w:proofErr w:type="spellStart"/>
      <w:r w:rsidRPr="006B3B62">
        <w:rPr>
          <w:sz w:val="22"/>
          <w:szCs w:val="22"/>
          <w:highlight w:val="lightGray"/>
        </w:rPr>
        <w:t>orodispergovateľná</w:t>
      </w:r>
      <w:proofErr w:type="spellEnd"/>
      <w:r w:rsidRPr="006B3B62">
        <w:rPr>
          <w:sz w:val="22"/>
          <w:szCs w:val="22"/>
          <w:highlight w:val="lightGray"/>
        </w:rPr>
        <w:t xml:space="preserve"> tableta obsahuje 100 mg </w:t>
      </w:r>
      <w:proofErr w:type="spellStart"/>
      <w:r w:rsidRPr="006B3B62">
        <w:rPr>
          <w:sz w:val="22"/>
          <w:szCs w:val="22"/>
          <w:highlight w:val="lightGray"/>
        </w:rPr>
        <w:t>azitromycínu</w:t>
      </w:r>
      <w:proofErr w:type="spellEnd"/>
      <w:r w:rsidRPr="006B3B62">
        <w:rPr>
          <w:sz w:val="22"/>
          <w:szCs w:val="22"/>
          <w:highlight w:val="lightGray"/>
        </w:rPr>
        <w:t xml:space="preserve"> (</w:t>
      </w:r>
      <w:proofErr w:type="spellStart"/>
      <w:r w:rsidRPr="006B3B62">
        <w:rPr>
          <w:i/>
          <w:sz w:val="22"/>
          <w:szCs w:val="22"/>
          <w:highlight w:val="lightGray"/>
        </w:rPr>
        <w:t>Azithromycinum</w:t>
      </w:r>
      <w:proofErr w:type="spellEnd"/>
      <w:r w:rsidRPr="006B3B62">
        <w:rPr>
          <w:sz w:val="22"/>
          <w:szCs w:val="22"/>
          <w:highlight w:val="lightGray"/>
        </w:rPr>
        <w:t xml:space="preserve">) vo forme </w:t>
      </w:r>
      <w:proofErr w:type="spellStart"/>
      <w:r w:rsidRPr="006B3B62">
        <w:rPr>
          <w:sz w:val="22"/>
          <w:szCs w:val="22"/>
          <w:highlight w:val="lightGray"/>
        </w:rPr>
        <w:t>dihydrátu</w:t>
      </w:r>
      <w:proofErr w:type="spellEnd"/>
      <w:r w:rsidRPr="006B3B62">
        <w:rPr>
          <w:sz w:val="22"/>
          <w:szCs w:val="22"/>
          <w:highlight w:val="lightGray"/>
        </w:rPr>
        <w:t xml:space="preserve"> </w:t>
      </w:r>
      <w:proofErr w:type="spellStart"/>
      <w:r w:rsidRPr="006B3B62">
        <w:rPr>
          <w:sz w:val="22"/>
          <w:szCs w:val="22"/>
          <w:highlight w:val="lightGray"/>
        </w:rPr>
        <w:t>azitromycínu</w:t>
      </w:r>
      <w:proofErr w:type="spellEnd"/>
      <w:r w:rsidRPr="006B3B62">
        <w:rPr>
          <w:sz w:val="22"/>
          <w:szCs w:val="22"/>
          <w:highlight w:val="lightGray"/>
        </w:rPr>
        <w:t>.</w:t>
      </w:r>
      <w:r w:rsidR="005406B0" w:rsidRPr="00513C80">
        <w:rPr>
          <w:sz w:val="22"/>
          <w:szCs w:val="22"/>
        </w:rPr>
        <w:t xml:space="preserve"> 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Úplný zoznam pomocných látok, pozri časť 6.1.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numPr>
          <w:ilvl w:val="0"/>
          <w:numId w:val="3"/>
        </w:numPr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LIEKOVÁ FORMA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Orodispergovateľná</w:t>
      </w:r>
      <w:proofErr w:type="spellEnd"/>
      <w:r w:rsidRPr="00513C80">
        <w:rPr>
          <w:sz w:val="22"/>
          <w:szCs w:val="22"/>
        </w:rPr>
        <w:t xml:space="preserve"> tableta.</w:t>
      </w: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Zigilex</w:t>
      </w:r>
      <w:proofErr w:type="spellEnd"/>
      <w:r w:rsidRPr="00513C80">
        <w:rPr>
          <w:sz w:val="22"/>
          <w:szCs w:val="22"/>
        </w:rPr>
        <w:t xml:space="preserve"> OROTAB 20 mg: biela alebo takmer biela až krémová tableta s jemne mramorovaným povrchom, okrúhla, s priemerom 8 mm, na jednej strane vypuklá, na druhej strane konkávna, s konkávnou ryhou na rozdelenie na konkávnej strane. 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Tableta sa môže rozdeliť na rovnaké dávky.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1C02D8">
      <w:pPr>
        <w:rPr>
          <w:sz w:val="22"/>
          <w:szCs w:val="22"/>
        </w:rPr>
      </w:pPr>
      <w:proofErr w:type="spellStart"/>
      <w:r w:rsidRPr="001C02D8">
        <w:rPr>
          <w:sz w:val="22"/>
          <w:szCs w:val="22"/>
        </w:rPr>
        <w:t>Zigilex</w:t>
      </w:r>
      <w:proofErr w:type="spellEnd"/>
      <w:r w:rsidRPr="001C02D8">
        <w:rPr>
          <w:sz w:val="22"/>
          <w:szCs w:val="22"/>
        </w:rPr>
        <w:t xml:space="preserve"> OROTAB 100 mg: biela alebo takmer biela až krémová tableta s jemne mramorovaným povrchom, podlhovastá, s dĺžkou 18,9 mm, bikonvexná.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tabs>
          <w:tab w:val="left" w:pos="567"/>
        </w:tabs>
        <w:jc w:val="both"/>
        <w:rPr>
          <w:sz w:val="22"/>
          <w:szCs w:val="22"/>
        </w:rPr>
      </w:pPr>
    </w:p>
    <w:p w:rsidR="005406B0" w:rsidRPr="00513C80" w:rsidRDefault="005406B0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513C80">
        <w:rPr>
          <w:b/>
          <w:bCs/>
          <w:sz w:val="22"/>
          <w:szCs w:val="22"/>
        </w:rPr>
        <w:t>4.</w:t>
      </w:r>
      <w:r w:rsidRPr="00513C80">
        <w:rPr>
          <w:b/>
          <w:bCs/>
          <w:sz w:val="22"/>
          <w:szCs w:val="22"/>
        </w:rPr>
        <w:tab/>
        <w:t>KLINICKÉ ÚDAJE</w:t>
      </w:r>
    </w:p>
    <w:p w:rsidR="005406B0" w:rsidRPr="00513C80" w:rsidRDefault="005406B0">
      <w:pPr>
        <w:tabs>
          <w:tab w:val="left" w:pos="567"/>
        </w:tabs>
        <w:jc w:val="both"/>
        <w:rPr>
          <w:b/>
          <w:bCs/>
          <w:sz w:val="22"/>
          <w:szCs w:val="22"/>
        </w:rPr>
      </w:pPr>
    </w:p>
    <w:p w:rsidR="005406B0" w:rsidRPr="00513C80" w:rsidRDefault="005406B0">
      <w:pPr>
        <w:tabs>
          <w:tab w:val="left" w:pos="567"/>
        </w:tabs>
        <w:jc w:val="both"/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4.1</w:t>
      </w:r>
      <w:r w:rsidRPr="00513C80">
        <w:rPr>
          <w:b/>
          <w:bCs/>
          <w:sz w:val="22"/>
          <w:szCs w:val="22"/>
        </w:rPr>
        <w:tab/>
        <w:t>Terapeutické indikácie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je indikovaný na nasledujúce infekcie vyvolané citlivými baktériami: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- </w:t>
      </w:r>
      <w:r w:rsidRPr="00513C80">
        <w:rPr>
          <w:sz w:val="22"/>
          <w:szCs w:val="22"/>
        </w:rPr>
        <w:tab/>
        <w:t xml:space="preserve">Infekcie horných dýchacích ciest: </w:t>
      </w:r>
      <w:proofErr w:type="spellStart"/>
      <w:r w:rsidRPr="00513C80">
        <w:rPr>
          <w:sz w:val="22"/>
          <w:szCs w:val="22"/>
        </w:rPr>
        <w:t>sinusitída</w:t>
      </w:r>
      <w:proofErr w:type="spellEnd"/>
      <w:r w:rsidRPr="00513C80">
        <w:rPr>
          <w:sz w:val="22"/>
          <w:szCs w:val="22"/>
        </w:rPr>
        <w:t>, zápal hltana, zápal mandlí (pozri časť 4.4)</w:t>
      </w:r>
    </w:p>
    <w:p w:rsidR="005406B0" w:rsidRPr="00513C80" w:rsidRDefault="005406B0">
      <w:pPr>
        <w:ind w:left="709" w:hanging="709"/>
        <w:rPr>
          <w:sz w:val="22"/>
          <w:szCs w:val="22"/>
        </w:rPr>
      </w:pPr>
      <w:r w:rsidRPr="00513C80">
        <w:rPr>
          <w:sz w:val="22"/>
          <w:szCs w:val="22"/>
        </w:rPr>
        <w:t xml:space="preserve">- </w:t>
      </w:r>
      <w:r w:rsidRPr="00513C80">
        <w:rPr>
          <w:sz w:val="22"/>
          <w:szCs w:val="22"/>
        </w:rPr>
        <w:tab/>
        <w:t xml:space="preserve">Infekcie dolných dýchacích ciest: zápal priedušiek, mierne až stredne závažná </w:t>
      </w:r>
      <w:proofErr w:type="spellStart"/>
      <w:r w:rsidRPr="00513C80">
        <w:rPr>
          <w:sz w:val="22"/>
          <w:szCs w:val="22"/>
        </w:rPr>
        <w:t>komunitne</w:t>
      </w:r>
      <w:proofErr w:type="spellEnd"/>
      <w:r w:rsidRPr="00513C80">
        <w:rPr>
          <w:sz w:val="22"/>
          <w:szCs w:val="22"/>
        </w:rPr>
        <w:t xml:space="preserve"> nadobudnutá pneumónia</w:t>
      </w:r>
    </w:p>
    <w:p w:rsidR="005406B0" w:rsidRPr="00513C80" w:rsidRDefault="005406B0">
      <w:pPr>
        <w:ind w:left="709" w:hanging="709"/>
        <w:rPr>
          <w:sz w:val="22"/>
          <w:szCs w:val="22"/>
        </w:rPr>
      </w:pPr>
      <w:r w:rsidRPr="00513C80">
        <w:rPr>
          <w:sz w:val="22"/>
          <w:szCs w:val="22"/>
        </w:rPr>
        <w:t xml:space="preserve">- </w:t>
      </w:r>
      <w:r w:rsidRPr="00513C80">
        <w:rPr>
          <w:sz w:val="22"/>
          <w:szCs w:val="22"/>
        </w:rPr>
        <w:tab/>
        <w:t>Akútny zápal stredného ucha</w:t>
      </w:r>
    </w:p>
    <w:p w:rsidR="005406B0" w:rsidRPr="00513C80" w:rsidRDefault="005406B0">
      <w:pPr>
        <w:ind w:left="709" w:hanging="709"/>
        <w:rPr>
          <w:sz w:val="22"/>
          <w:szCs w:val="22"/>
        </w:rPr>
      </w:pPr>
      <w:r w:rsidRPr="00513C80">
        <w:rPr>
          <w:sz w:val="22"/>
          <w:szCs w:val="22"/>
        </w:rPr>
        <w:t xml:space="preserve">- </w:t>
      </w:r>
      <w:r w:rsidRPr="00513C80">
        <w:rPr>
          <w:sz w:val="22"/>
          <w:szCs w:val="22"/>
        </w:rPr>
        <w:tab/>
        <w:t xml:space="preserve">Mierne až stredne závažné infekcie kože a mäkkých tkanív, napr. </w:t>
      </w:r>
      <w:proofErr w:type="spellStart"/>
      <w:r w:rsidRPr="00513C80">
        <w:rPr>
          <w:sz w:val="22"/>
          <w:szCs w:val="22"/>
        </w:rPr>
        <w:t>folikulitída</w:t>
      </w:r>
      <w:proofErr w:type="spellEnd"/>
      <w:r w:rsidRPr="00513C80">
        <w:rPr>
          <w:sz w:val="22"/>
          <w:szCs w:val="22"/>
        </w:rPr>
        <w:t xml:space="preserve">, </w:t>
      </w:r>
      <w:r w:rsidR="00F8332E">
        <w:rPr>
          <w:sz w:val="22"/>
          <w:szCs w:val="22"/>
        </w:rPr>
        <w:t xml:space="preserve">celulitída, </w:t>
      </w:r>
      <w:proofErr w:type="spellStart"/>
      <w:r w:rsidRPr="00513C80">
        <w:rPr>
          <w:sz w:val="22"/>
          <w:szCs w:val="22"/>
        </w:rPr>
        <w:t>erysipel</w:t>
      </w:r>
      <w:proofErr w:type="spellEnd"/>
    </w:p>
    <w:p w:rsidR="005406B0" w:rsidRPr="00513C80" w:rsidRDefault="005406B0">
      <w:pPr>
        <w:rPr>
          <w:i/>
          <w:sz w:val="22"/>
          <w:szCs w:val="22"/>
        </w:rPr>
      </w:pPr>
      <w:r w:rsidRPr="00513C80">
        <w:rPr>
          <w:sz w:val="22"/>
          <w:szCs w:val="22"/>
        </w:rPr>
        <w:t xml:space="preserve">- </w:t>
      </w:r>
      <w:r w:rsidRPr="00513C80">
        <w:rPr>
          <w:sz w:val="22"/>
          <w:szCs w:val="22"/>
        </w:rPr>
        <w:tab/>
        <w:t xml:space="preserve">Nekomplikovaný zápal močovej trubice a krčka maternice spôsobený </w:t>
      </w:r>
      <w:proofErr w:type="spellStart"/>
      <w:r w:rsidRPr="00513C80">
        <w:rPr>
          <w:i/>
          <w:sz w:val="22"/>
          <w:szCs w:val="22"/>
        </w:rPr>
        <w:t>Chlamydia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trachomatis</w:t>
      </w:r>
      <w:proofErr w:type="spellEnd"/>
    </w:p>
    <w:p w:rsidR="005406B0" w:rsidRPr="00513C80" w:rsidRDefault="005406B0">
      <w:pPr>
        <w:rPr>
          <w:i/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Je potrebné vziať do úvahy oficiálne usmernenie týkajúce sa vhodného používania antibakteriálnych látok.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nie je alternatívnym liekom pre empirickú liečbu v oblastiach, kde </w:t>
      </w:r>
      <w:proofErr w:type="spellStart"/>
      <w:r w:rsidRPr="00513C80">
        <w:rPr>
          <w:sz w:val="22"/>
          <w:szCs w:val="22"/>
        </w:rPr>
        <w:t>prevalencia</w:t>
      </w:r>
      <w:proofErr w:type="spellEnd"/>
      <w:r w:rsidRPr="00513C80">
        <w:rPr>
          <w:sz w:val="22"/>
          <w:szCs w:val="22"/>
        </w:rPr>
        <w:t xml:space="preserve"> rezistentných kmeňov je 10% alebo vyššia (pozri časť 5.1).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keepNext/>
        <w:tabs>
          <w:tab w:val="left" w:pos="567"/>
        </w:tabs>
        <w:jc w:val="both"/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4.2</w:t>
      </w:r>
      <w:r w:rsidRPr="00513C80">
        <w:rPr>
          <w:b/>
          <w:bCs/>
          <w:sz w:val="22"/>
          <w:szCs w:val="22"/>
        </w:rPr>
        <w:tab/>
        <w:t>Dávkovanie a spôsob podávania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  <w:u w:val="single"/>
        </w:rPr>
        <w:t>Dávkovanie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b/>
          <w:i/>
          <w:sz w:val="22"/>
          <w:szCs w:val="22"/>
        </w:rPr>
        <w:t>Dospelí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i/>
          <w:sz w:val="22"/>
          <w:szCs w:val="22"/>
        </w:rPr>
      </w:pPr>
      <w:r w:rsidRPr="00513C80">
        <w:rPr>
          <w:sz w:val="22"/>
          <w:szCs w:val="22"/>
        </w:rPr>
        <w:t xml:space="preserve">Pri nekomplikovanom zápale močovej trubice a krčka maternice spôsobených </w:t>
      </w:r>
      <w:proofErr w:type="spellStart"/>
      <w:r w:rsidRPr="00513C80">
        <w:rPr>
          <w:i/>
          <w:sz w:val="22"/>
          <w:szCs w:val="22"/>
        </w:rPr>
        <w:t>Chlamydia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trachomatis</w:t>
      </w:r>
      <w:proofErr w:type="spellEnd"/>
      <w:r w:rsidRPr="00513C80">
        <w:rPr>
          <w:i/>
          <w:sz w:val="22"/>
          <w:szCs w:val="22"/>
        </w:rPr>
        <w:t xml:space="preserve"> </w:t>
      </w:r>
      <w:r w:rsidRPr="00513C80">
        <w:rPr>
          <w:sz w:val="22"/>
          <w:szCs w:val="22"/>
        </w:rPr>
        <w:t>je dávka 1000 mg v jednej perorálnej dávke.</w:t>
      </w:r>
    </w:p>
    <w:p w:rsidR="005406B0" w:rsidRPr="00513C80" w:rsidRDefault="005406B0">
      <w:pPr>
        <w:rPr>
          <w:i/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Pre všetky ostatné indikácie je dávka 1500 mg; ktorá má byť podaná ako 500 mg denná dávka po dobu troch po sebe nasledujúcich dní. Alternatívne rovnaká celková dávka (1500 mg) môže byť tiež podávaná počas 5 dní s 500 mg v pr</w:t>
      </w:r>
      <w:r w:rsidR="00FC0FD1">
        <w:rPr>
          <w:sz w:val="22"/>
          <w:szCs w:val="22"/>
        </w:rPr>
        <w:t xml:space="preserve">vý deň a potom 250 mg v dňoch 2 až </w:t>
      </w:r>
      <w:r w:rsidRPr="00513C80">
        <w:rPr>
          <w:sz w:val="22"/>
          <w:szCs w:val="22"/>
        </w:rPr>
        <w:t>5.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rStyle w:val="hps"/>
          <w:sz w:val="22"/>
          <w:szCs w:val="22"/>
        </w:rPr>
      </w:pPr>
      <w:r w:rsidRPr="00513C80">
        <w:rPr>
          <w:b/>
          <w:i/>
          <w:sz w:val="22"/>
          <w:szCs w:val="22"/>
        </w:rPr>
        <w:t>Pediatrická populácia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rStyle w:val="hps"/>
          <w:sz w:val="22"/>
          <w:szCs w:val="22"/>
        </w:rPr>
        <w:t>Pri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infekciách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dolných dýchacích ciest</w:t>
      </w:r>
      <w:r w:rsidRPr="00513C80">
        <w:rPr>
          <w:sz w:val="22"/>
          <w:szCs w:val="22"/>
        </w:rPr>
        <w:t xml:space="preserve">, zápale </w:t>
      </w:r>
      <w:r w:rsidRPr="00513C80">
        <w:rPr>
          <w:rStyle w:val="hps"/>
          <w:sz w:val="22"/>
          <w:szCs w:val="22"/>
        </w:rPr>
        <w:t>stredného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ucha</w:t>
      </w:r>
      <w:r w:rsidRPr="00513C80">
        <w:rPr>
          <w:sz w:val="22"/>
          <w:szCs w:val="22"/>
        </w:rPr>
        <w:t xml:space="preserve">, infekciách </w:t>
      </w:r>
      <w:r w:rsidRPr="00513C80">
        <w:rPr>
          <w:rStyle w:val="hps"/>
          <w:sz w:val="22"/>
          <w:szCs w:val="22"/>
        </w:rPr>
        <w:t>kože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a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mäkkých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tkanív</w:t>
      </w:r>
      <w:r w:rsidRPr="00513C80">
        <w:rPr>
          <w:sz w:val="22"/>
          <w:szCs w:val="22"/>
        </w:rPr>
        <w:t xml:space="preserve"> je </w:t>
      </w:r>
      <w:r w:rsidRPr="00513C80">
        <w:rPr>
          <w:rStyle w:val="hps"/>
          <w:sz w:val="22"/>
          <w:szCs w:val="22"/>
        </w:rPr>
        <w:t>celková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dávka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30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mg/kg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telesnej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hmotnosti,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napr.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10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mg/kg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telesnej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hmotnosti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raz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denne po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dobu 3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dní</w:t>
      </w:r>
      <w:r w:rsidRPr="00513C80">
        <w:rPr>
          <w:sz w:val="22"/>
          <w:szCs w:val="22"/>
        </w:rPr>
        <w:t>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rStyle w:val="hps"/>
          <w:sz w:val="22"/>
          <w:szCs w:val="22"/>
        </w:rPr>
        <w:t>Dávkovanie u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detí je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závislé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od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telesnej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hmotnosti,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príklad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je uvedený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v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nasledujúcej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tabuľke</w:t>
      </w:r>
      <w:r w:rsidRPr="00513C80">
        <w:rPr>
          <w:sz w:val="22"/>
          <w:szCs w:val="22"/>
        </w:rPr>
        <w:t>:</w:t>
      </w:r>
    </w:p>
    <w:p w:rsidR="005406B0" w:rsidRPr="00513C80" w:rsidRDefault="005406B0">
      <w:pPr>
        <w:pStyle w:val="Zkladntext2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4150"/>
      </w:tblGrid>
      <w:tr w:rsidR="005406B0" w:rsidRPr="00513C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3C80">
              <w:rPr>
                <w:rFonts w:ascii="Times New Roman" w:hAnsi="Times New Roman" w:cs="Times New Roman"/>
                <w:b/>
                <w:sz w:val="22"/>
                <w:szCs w:val="22"/>
              </w:rPr>
              <w:t>Hmotnosť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</w:pPr>
            <w:r w:rsidRPr="00513C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Denná dávka </w:t>
            </w:r>
            <w:proofErr w:type="spellStart"/>
            <w:r w:rsidRPr="00513C80">
              <w:rPr>
                <w:rFonts w:ascii="Times New Roman" w:hAnsi="Times New Roman" w:cs="Times New Roman"/>
                <w:b/>
                <w:sz w:val="22"/>
                <w:szCs w:val="22"/>
              </w:rPr>
              <w:t>azitromycínu</w:t>
            </w:r>
            <w:proofErr w:type="spellEnd"/>
          </w:p>
        </w:tc>
      </w:tr>
      <w:tr w:rsidR="005406B0" w:rsidRPr="00513C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  <w:rPr>
                <w:rFonts w:ascii="Times New Roman" w:hAnsi="Times New Roman" w:cs="Times New Roman"/>
                <w:sz w:val="22"/>
                <w:szCs w:val="22"/>
              </w:rPr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5 kg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50 mg (2,5 tablety á 20 mg)</w:t>
            </w:r>
          </w:p>
        </w:tc>
      </w:tr>
      <w:tr w:rsidR="005406B0" w:rsidRPr="00513C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  <w:rPr>
                <w:rFonts w:ascii="Times New Roman" w:hAnsi="Times New Roman" w:cs="Times New Roman"/>
                <w:sz w:val="22"/>
                <w:szCs w:val="22"/>
              </w:rPr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6 kg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60 mg (3 tablety á 20 mg)</w:t>
            </w:r>
          </w:p>
        </w:tc>
      </w:tr>
      <w:tr w:rsidR="005406B0" w:rsidRPr="00513C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  <w:rPr>
                <w:rFonts w:ascii="Times New Roman" w:hAnsi="Times New Roman" w:cs="Times New Roman"/>
                <w:sz w:val="22"/>
                <w:szCs w:val="22"/>
              </w:rPr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7 kg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70 mg (3,5 tablety á 20 mg)</w:t>
            </w:r>
          </w:p>
        </w:tc>
      </w:tr>
      <w:tr w:rsidR="005406B0" w:rsidRPr="00513C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  <w:rPr>
                <w:rFonts w:ascii="Times New Roman" w:hAnsi="Times New Roman" w:cs="Times New Roman"/>
                <w:sz w:val="22"/>
                <w:szCs w:val="22"/>
              </w:rPr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8 kg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80 mg (4 tablety á 20 mg)</w:t>
            </w:r>
          </w:p>
        </w:tc>
      </w:tr>
      <w:tr w:rsidR="005406B0" w:rsidRPr="00513C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  <w:rPr>
                <w:rFonts w:ascii="Times New Roman" w:hAnsi="Times New Roman" w:cs="Times New Roman"/>
                <w:sz w:val="22"/>
                <w:szCs w:val="22"/>
              </w:rPr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9 kg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90 mg (4,5 tablety á 20 mg)</w:t>
            </w:r>
          </w:p>
        </w:tc>
      </w:tr>
      <w:tr w:rsidR="005406B0" w:rsidRPr="00513C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  <w:rPr>
                <w:rFonts w:ascii="Times New Roman" w:hAnsi="Times New Roman" w:cs="Times New Roman"/>
                <w:sz w:val="22"/>
                <w:szCs w:val="22"/>
              </w:rPr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10-14 kg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100 mg (1 tableta á 100 mg)</w:t>
            </w:r>
          </w:p>
        </w:tc>
      </w:tr>
      <w:tr w:rsidR="005406B0" w:rsidRPr="00513C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  <w:rPr>
                <w:rFonts w:ascii="Times New Roman" w:hAnsi="Times New Roman" w:cs="Times New Roman"/>
                <w:sz w:val="22"/>
                <w:szCs w:val="22"/>
              </w:rPr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15-24 kg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200 mg (2 tablety á 100 mg)</w:t>
            </w:r>
          </w:p>
        </w:tc>
      </w:tr>
      <w:tr w:rsidR="005406B0" w:rsidRPr="00513C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  <w:rPr>
                <w:rFonts w:ascii="Times New Roman" w:hAnsi="Times New Roman" w:cs="Times New Roman"/>
                <w:sz w:val="22"/>
                <w:szCs w:val="22"/>
              </w:rPr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25-34 kg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300 mg (3 tablety á 100mg)</w:t>
            </w:r>
          </w:p>
        </w:tc>
      </w:tr>
      <w:tr w:rsidR="005406B0" w:rsidRPr="00513C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  <w:rPr>
                <w:rFonts w:ascii="Times New Roman" w:hAnsi="Times New Roman" w:cs="Times New Roman"/>
                <w:sz w:val="22"/>
                <w:szCs w:val="22"/>
              </w:rPr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35-44 kg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400 mg (4 tablety á 100 mg)</w:t>
            </w:r>
          </w:p>
        </w:tc>
      </w:tr>
      <w:tr w:rsidR="005406B0" w:rsidRPr="00513C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  <w:rPr>
                <w:rFonts w:ascii="Times New Roman" w:hAnsi="Times New Roman" w:cs="Times New Roman"/>
                <w:sz w:val="22"/>
                <w:szCs w:val="22"/>
              </w:rPr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≥45 kg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pStyle w:val="Zkladntext21"/>
            </w:pPr>
            <w:r w:rsidRPr="00513C80">
              <w:rPr>
                <w:rFonts w:ascii="Times New Roman" w:hAnsi="Times New Roman" w:cs="Times New Roman"/>
                <w:sz w:val="22"/>
                <w:szCs w:val="22"/>
              </w:rPr>
              <w:t>500 mg (5 tabliet á 100 mg)</w:t>
            </w:r>
          </w:p>
        </w:tc>
      </w:tr>
    </w:tbl>
    <w:p w:rsidR="005406B0" w:rsidRPr="00513C80" w:rsidRDefault="005406B0">
      <w:pPr>
        <w:pStyle w:val="Zkladntext21"/>
        <w:rPr>
          <w:rFonts w:ascii="Times New Roman" w:hAnsi="Times New Roman" w:cs="Times New Roman"/>
          <w:b/>
          <w:i/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b/>
          <w:i/>
          <w:sz w:val="22"/>
          <w:szCs w:val="22"/>
        </w:rPr>
        <w:t>Starší pacienti</w:t>
      </w:r>
    </w:p>
    <w:p w:rsidR="005406B0" w:rsidRPr="00513C80" w:rsidRDefault="005406B0">
      <w:pPr>
        <w:pStyle w:val="Zkladntext21"/>
        <w:spacing w:before="0"/>
        <w:jc w:val="left"/>
        <w:rPr>
          <w:rFonts w:ascii="Times New Roman" w:hAnsi="Times New Roman" w:cs="Times New Roman"/>
          <w:sz w:val="22"/>
          <w:szCs w:val="22"/>
        </w:rPr>
      </w:pPr>
      <w:r w:rsidRPr="00513C80">
        <w:rPr>
          <w:rFonts w:ascii="Times New Roman" w:hAnsi="Times New Roman" w:cs="Times New Roman"/>
          <w:sz w:val="22"/>
          <w:szCs w:val="22"/>
        </w:rPr>
        <w:t>U starších pacientov sa používa rovnaké dávkovanie ako u dospelých. Keďže starší pacienti môžu byť pacientmi s</w:t>
      </w:r>
      <w:r w:rsidR="00871331">
        <w:rPr>
          <w:rFonts w:ascii="Times New Roman" w:hAnsi="Times New Roman" w:cs="Times New Roman"/>
          <w:sz w:val="22"/>
          <w:szCs w:val="22"/>
        </w:rPr>
        <w:t xml:space="preserve"> ochoreniami, ktoré zvyšujú riziko </w:t>
      </w:r>
      <w:proofErr w:type="spellStart"/>
      <w:r w:rsidR="00871331">
        <w:rPr>
          <w:rFonts w:ascii="Times New Roman" w:hAnsi="Times New Roman" w:cs="Times New Roman"/>
          <w:sz w:val="22"/>
          <w:szCs w:val="22"/>
        </w:rPr>
        <w:t>arytmií</w:t>
      </w:r>
      <w:proofErr w:type="spellEnd"/>
      <w:r w:rsidR="00871331">
        <w:rPr>
          <w:rFonts w:ascii="Times New Roman" w:hAnsi="Times New Roman" w:cs="Times New Roman"/>
          <w:sz w:val="22"/>
          <w:szCs w:val="22"/>
        </w:rPr>
        <w:t>,</w:t>
      </w:r>
      <w:r w:rsidRPr="00513C80">
        <w:rPr>
          <w:rFonts w:ascii="Times New Roman" w:hAnsi="Times New Roman" w:cs="Times New Roman"/>
          <w:sz w:val="22"/>
          <w:szCs w:val="22"/>
        </w:rPr>
        <w:t xml:space="preserve"> odporúča sa opatrnosť vzhľadom na riziko vzniku srdcovej </w:t>
      </w:r>
      <w:proofErr w:type="spellStart"/>
      <w:r w:rsidRPr="00513C80">
        <w:rPr>
          <w:rFonts w:ascii="Times New Roman" w:hAnsi="Times New Roman" w:cs="Times New Roman"/>
          <w:sz w:val="22"/>
          <w:szCs w:val="22"/>
        </w:rPr>
        <w:t>arytmie</w:t>
      </w:r>
      <w:proofErr w:type="spellEnd"/>
      <w:r w:rsidRPr="00513C80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513C80">
        <w:rPr>
          <w:rFonts w:ascii="Times New Roman" w:hAnsi="Times New Roman" w:cs="Times New Roman"/>
          <w:i/>
          <w:sz w:val="22"/>
          <w:szCs w:val="22"/>
        </w:rPr>
        <w:t>torsades</w:t>
      </w:r>
      <w:proofErr w:type="spellEnd"/>
      <w:r w:rsidRPr="00513C8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13C80">
        <w:rPr>
          <w:rFonts w:ascii="Times New Roman" w:hAnsi="Times New Roman" w:cs="Times New Roman"/>
          <w:i/>
          <w:sz w:val="22"/>
          <w:szCs w:val="22"/>
        </w:rPr>
        <w:t>de</w:t>
      </w:r>
      <w:proofErr w:type="spellEnd"/>
      <w:r w:rsidRPr="00513C8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13C80">
        <w:rPr>
          <w:rFonts w:ascii="Times New Roman" w:hAnsi="Times New Roman" w:cs="Times New Roman"/>
          <w:i/>
          <w:sz w:val="22"/>
          <w:szCs w:val="22"/>
        </w:rPr>
        <w:t>pointes</w:t>
      </w:r>
      <w:proofErr w:type="spellEnd"/>
      <w:r w:rsidRPr="00513C80">
        <w:rPr>
          <w:rFonts w:ascii="Times New Roman" w:hAnsi="Times New Roman" w:cs="Times New Roman"/>
          <w:sz w:val="22"/>
          <w:szCs w:val="22"/>
        </w:rPr>
        <w:t xml:space="preserve"> (pozri časť 4.4).</w:t>
      </w:r>
    </w:p>
    <w:p w:rsidR="005406B0" w:rsidRPr="00513C80" w:rsidRDefault="005406B0">
      <w:pPr>
        <w:pStyle w:val="Zkladntext21"/>
        <w:spacing w:before="0"/>
        <w:jc w:val="left"/>
        <w:rPr>
          <w:rFonts w:ascii="Times New Roman" w:hAnsi="Times New Roman" w:cs="Times New Roman"/>
          <w:sz w:val="22"/>
          <w:szCs w:val="22"/>
        </w:rPr>
      </w:pPr>
    </w:p>
    <w:p w:rsidR="005406B0" w:rsidRPr="00513C80" w:rsidRDefault="005406B0">
      <w:pPr>
        <w:pStyle w:val="Zkladntext21"/>
        <w:spacing w:before="0"/>
        <w:jc w:val="left"/>
        <w:rPr>
          <w:sz w:val="22"/>
          <w:szCs w:val="22"/>
        </w:rPr>
      </w:pPr>
      <w:r w:rsidRPr="00513C80">
        <w:rPr>
          <w:rFonts w:ascii="Times New Roman" w:hAnsi="Times New Roman" w:cs="Times New Roman"/>
          <w:b/>
          <w:i/>
          <w:sz w:val="22"/>
          <w:szCs w:val="22"/>
        </w:rPr>
        <w:t>Pacienti s poruchou funkcie obličiek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U pacientov s</w:t>
      </w:r>
      <w:r w:rsidR="00FC0FD1">
        <w:rPr>
          <w:sz w:val="22"/>
          <w:szCs w:val="22"/>
        </w:rPr>
        <w:t> </w:t>
      </w:r>
      <w:r w:rsidRPr="00513C80">
        <w:rPr>
          <w:sz w:val="22"/>
          <w:szCs w:val="22"/>
        </w:rPr>
        <w:t>miern</w:t>
      </w:r>
      <w:r w:rsidR="00FC0FD1">
        <w:rPr>
          <w:sz w:val="22"/>
          <w:szCs w:val="22"/>
        </w:rPr>
        <w:t xml:space="preserve">ou až stredne závažnou poruchou </w:t>
      </w:r>
      <w:r w:rsidRPr="00513C80">
        <w:rPr>
          <w:sz w:val="22"/>
          <w:szCs w:val="22"/>
        </w:rPr>
        <w:t xml:space="preserve"> funkci</w:t>
      </w:r>
      <w:r w:rsidR="00FC0FD1">
        <w:rPr>
          <w:sz w:val="22"/>
          <w:szCs w:val="22"/>
        </w:rPr>
        <w:t>e</w:t>
      </w:r>
      <w:r w:rsidRPr="00513C80">
        <w:rPr>
          <w:sz w:val="22"/>
          <w:szCs w:val="22"/>
        </w:rPr>
        <w:t xml:space="preserve"> obličiek (</w:t>
      </w:r>
      <w:proofErr w:type="spellStart"/>
      <w:r w:rsidRPr="00513C80">
        <w:rPr>
          <w:sz w:val="22"/>
          <w:szCs w:val="22"/>
        </w:rPr>
        <w:t>klírens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kreatinínu</w:t>
      </w:r>
      <w:proofErr w:type="spellEnd"/>
      <w:r w:rsidRPr="00513C80">
        <w:rPr>
          <w:sz w:val="22"/>
          <w:szCs w:val="22"/>
        </w:rPr>
        <w:t xml:space="preserve"> &gt; 40 ml/min) nie je potrebná úprava dávky. </w:t>
      </w:r>
      <w:r w:rsidR="00FC0FD1" w:rsidRPr="00FC0FD1">
        <w:rPr>
          <w:sz w:val="22"/>
          <w:szCs w:val="22"/>
        </w:rPr>
        <w:t xml:space="preserve">K dispozícii </w:t>
      </w:r>
      <w:r w:rsidR="00FC0FD1">
        <w:rPr>
          <w:sz w:val="22"/>
          <w:szCs w:val="22"/>
        </w:rPr>
        <w:t xml:space="preserve">nie sú </w:t>
      </w:r>
      <w:r w:rsidR="00FC0FD1" w:rsidRPr="00FC0FD1">
        <w:rPr>
          <w:sz w:val="22"/>
          <w:szCs w:val="22"/>
        </w:rPr>
        <w:t xml:space="preserve">žiadne údaje o užívaní </w:t>
      </w:r>
      <w:proofErr w:type="spellStart"/>
      <w:r w:rsidR="00FC0FD1" w:rsidRPr="00FC0FD1">
        <w:rPr>
          <w:sz w:val="22"/>
          <w:szCs w:val="22"/>
        </w:rPr>
        <w:t>azitromycínu</w:t>
      </w:r>
      <w:proofErr w:type="spellEnd"/>
      <w:r w:rsidR="00FC0FD1" w:rsidRPr="00FC0FD1">
        <w:rPr>
          <w:sz w:val="22"/>
          <w:szCs w:val="22"/>
        </w:rPr>
        <w:t xml:space="preserve"> u pacientov </w:t>
      </w:r>
      <w:r w:rsidRPr="00513C80">
        <w:rPr>
          <w:sz w:val="22"/>
          <w:szCs w:val="22"/>
        </w:rPr>
        <w:t>s </w:t>
      </w:r>
      <w:proofErr w:type="spellStart"/>
      <w:r w:rsidRPr="00513C80">
        <w:rPr>
          <w:sz w:val="22"/>
          <w:szCs w:val="22"/>
        </w:rPr>
        <w:t>klírensom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kreatinínu</w:t>
      </w:r>
      <w:proofErr w:type="spellEnd"/>
      <w:r w:rsidRPr="00513C80">
        <w:rPr>
          <w:sz w:val="22"/>
          <w:szCs w:val="22"/>
        </w:rPr>
        <w:t xml:space="preserve"> &lt; 40 ml/min. Preto je pri </w:t>
      </w:r>
      <w:r w:rsidR="000E05A3">
        <w:rPr>
          <w:sz w:val="22"/>
          <w:szCs w:val="22"/>
        </w:rPr>
        <w:t>liečení týchto</w:t>
      </w:r>
      <w:r w:rsidRPr="00513C80">
        <w:rPr>
          <w:sz w:val="22"/>
          <w:szCs w:val="22"/>
        </w:rPr>
        <w:t xml:space="preserve"> paciento</w:t>
      </w:r>
      <w:r w:rsidR="000E05A3">
        <w:rPr>
          <w:sz w:val="22"/>
          <w:szCs w:val="22"/>
        </w:rPr>
        <w:t>v</w:t>
      </w:r>
      <w:r w:rsidR="000E05A3" w:rsidRPr="000E05A3">
        <w:rPr>
          <w:sz w:val="22"/>
          <w:szCs w:val="22"/>
        </w:rPr>
        <w:t xml:space="preserve"> </w:t>
      </w:r>
      <w:r w:rsidR="000E05A3" w:rsidRPr="00513C80">
        <w:rPr>
          <w:sz w:val="22"/>
          <w:szCs w:val="22"/>
        </w:rPr>
        <w:t>potrebná opatrnosť</w:t>
      </w:r>
      <w:r w:rsidRPr="00513C80">
        <w:rPr>
          <w:sz w:val="22"/>
          <w:szCs w:val="22"/>
        </w:rPr>
        <w:t xml:space="preserve">. </w:t>
      </w:r>
    </w:p>
    <w:p w:rsidR="005406B0" w:rsidRPr="00513C80" w:rsidRDefault="005406B0">
      <w:pPr>
        <w:pStyle w:val="Zkladntext21"/>
        <w:spacing w:before="0"/>
        <w:jc w:val="left"/>
        <w:rPr>
          <w:rFonts w:ascii="Times New Roman" w:hAnsi="Times New Roman" w:cs="Times New Roman"/>
          <w:sz w:val="22"/>
          <w:szCs w:val="22"/>
        </w:rPr>
      </w:pPr>
    </w:p>
    <w:p w:rsidR="005406B0" w:rsidRPr="00513C80" w:rsidRDefault="005406B0">
      <w:pPr>
        <w:pStyle w:val="Zkladntext21"/>
        <w:spacing w:before="0"/>
        <w:jc w:val="left"/>
        <w:rPr>
          <w:sz w:val="22"/>
          <w:szCs w:val="22"/>
        </w:rPr>
      </w:pPr>
      <w:r w:rsidRPr="00513C80">
        <w:rPr>
          <w:rFonts w:ascii="Times New Roman" w:hAnsi="Times New Roman" w:cs="Times New Roman"/>
          <w:b/>
          <w:i/>
          <w:sz w:val="22"/>
          <w:szCs w:val="22"/>
        </w:rPr>
        <w:t>Pacienti s poruchou funkcie pečene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Úprava dávky nie je potrebná u pacientov s </w:t>
      </w:r>
      <w:r w:rsidR="00E878E9" w:rsidRPr="00513C80">
        <w:rPr>
          <w:sz w:val="22"/>
          <w:szCs w:val="22"/>
        </w:rPr>
        <w:t>miern</w:t>
      </w:r>
      <w:r w:rsidR="00E878E9">
        <w:rPr>
          <w:sz w:val="22"/>
          <w:szCs w:val="22"/>
        </w:rPr>
        <w:t>ou</w:t>
      </w:r>
      <w:r w:rsidR="00E878E9" w:rsidRPr="00513C80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 xml:space="preserve">až stredne </w:t>
      </w:r>
      <w:r w:rsidR="008155DC" w:rsidRPr="00513C80">
        <w:rPr>
          <w:sz w:val="22"/>
          <w:szCs w:val="22"/>
        </w:rPr>
        <w:t>závažn</w:t>
      </w:r>
      <w:r w:rsidR="008155DC">
        <w:rPr>
          <w:sz w:val="22"/>
          <w:szCs w:val="22"/>
        </w:rPr>
        <w:t>ou</w:t>
      </w:r>
      <w:r w:rsidR="008155DC" w:rsidRPr="00513C80">
        <w:rPr>
          <w:sz w:val="22"/>
          <w:szCs w:val="22"/>
        </w:rPr>
        <w:t xml:space="preserve"> po</w:t>
      </w:r>
      <w:r w:rsidR="008155DC">
        <w:rPr>
          <w:sz w:val="22"/>
          <w:szCs w:val="22"/>
        </w:rPr>
        <w:t>ruchou</w:t>
      </w:r>
      <w:r w:rsidR="008155DC" w:rsidRPr="00513C80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 xml:space="preserve">funkcie pečene Pretože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je metabolizovaný v pečeni a vylučuje sa žlčou, liek sa nemá podávať pacientom so závažným </w:t>
      </w:r>
      <w:r w:rsidR="00E878E9">
        <w:rPr>
          <w:sz w:val="22"/>
          <w:szCs w:val="22"/>
        </w:rPr>
        <w:t>zlyhávaním</w:t>
      </w:r>
      <w:r w:rsidR="00E878E9" w:rsidRPr="00513C80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 xml:space="preserve">pečene. Neboli vykonané štúdie týkajúce sa liečby týchto pacientov </w:t>
      </w:r>
      <w:proofErr w:type="spellStart"/>
      <w:r w:rsidRPr="00513C80">
        <w:rPr>
          <w:sz w:val="22"/>
          <w:szCs w:val="22"/>
        </w:rPr>
        <w:t>azitromycínom</w:t>
      </w:r>
      <w:proofErr w:type="spellEnd"/>
      <w:r w:rsidRPr="00513C80">
        <w:rPr>
          <w:sz w:val="22"/>
          <w:szCs w:val="22"/>
        </w:rPr>
        <w:t>.</w:t>
      </w:r>
    </w:p>
    <w:p w:rsidR="005406B0" w:rsidRPr="00513C80" w:rsidRDefault="005406B0">
      <w:pPr>
        <w:pStyle w:val="Zkladntext21"/>
        <w:spacing w:before="0"/>
        <w:jc w:val="left"/>
        <w:rPr>
          <w:rFonts w:ascii="Times New Roman" w:hAnsi="Times New Roman" w:cs="Times New Roman"/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  <w:u w:val="single"/>
        </w:rPr>
        <w:t>Spôsob podávania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Orodispergovateľná</w:t>
      </w:r>
      <w:proofErr w:type="spellEnd"/>
      <w:r w:rsidRPr="00513C80">
        <w:rPr>
          <w:sz w:val="22"/>
          <w:szCs w:val="22"/>
        </w:rPr>
        <w:t xml:space="preserve"> tableta sa môže užívať s jedlom alebo bez jedla.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Orodispergovateľná</w:t>
      </w:r>
      <w:proofErr w:type="spellEnd"/>
      <w:r w:rsidRPr="00513C80">
        <w:rPr>
          <w:sz w:val="22"/>
          <w:szCs w:val="22"/>
        </w:rPr>
        <w:t xml:space="preserve"> tableta sa má vložiť do úst na jazyk, kde sa rýchlo rozpustí v slinách. Alternatívne sa </w:t>
      </w:r>
      <w:proofErr w:type="spellStart"/>
      <w:r w:rsidRPr="00513C80">
        <w:rPr>
          <w:sz w:val="22"/>
          <w:szCs w:val="22"/>
        </w:rPr>
        <w:t>orodispergovateľná</w:t>
      </w:r>
      <w:proofErr w:type="spellEnd"/>
      <w:r w:rsidRPr="00513C80">
        <w:rPr>
          <w:sz w:val="22"/>
          <w:szCs w:val="22"/>
        </w:rPr>
        <w:t xml:space="preserve"> tableta môže </w:t>
      </w:r>
      <w:proofErr w:type="spellStart"/>
      <w:r w:rsidRPr="00513C80">
        <w:rPr>
          <w:sz w:val="22"/>
          <w:szCs w:val="22"/>
        </w:rPr>
        <w:t>dispergovať</w:t>
      </w:r>
      <w:proofErr w:type="spellEnd"/>
      <w:r w:rsidRPr="00513C80">
        <w:rPr>
          <w:sz w:val="22"/>
          <w:szCs w:val="22"/>
        </w:rPr>
        <w:t xml:space="preserve"> v lyžici vody. V oboch prípadoch má byť prehltnutá okamžite s pohárom vody. Keďže je </w:t>
      </w:r>
      <w:proofErr w:type="spellStart"/>
      <w:r w:rsidRPr="00513C80">
        <w:rPr>
          <w:sz w:val="22"/>
          <w:szCs w:val="22"/>
        </w:rPr>
        <w:t>orodispergovateľná</w:t>
      </w:r>
      <w:proofErr w:type="spellEnd"/>
      <w:r w:rsidRPr="00513C80">
        <w:rPr>
          <w:sz w:val="22"/>
          <w:szCs w:val="22"/>
        </w:rPr>
        <w:t xml:space="preserve"> tableta krehká, musí sa užiť bezprostredne po otvorení </w:t>
      </w:r>
      <w:proofErr w:type="spellStart"/>
      <w:r w:rsidRPr="00513C80">
        <w:rPr>
          <w:sz w:val="22"/>
          <w:szCs w:val="22"/>
        </w:rPr>
        <w:t>blistra</w:t>
      </w:r>
      <w:proofErr w:type="spellEnd"/>
      <w:r w:rsidRPr="00513C80">
        <w:rPr>
          <w:sz w:val="22"/>
          <w:szCs w:val="22"/>
        </w:rPr>
        <w:t>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jc w:val="both"/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4.3</w:t>
      </w:r>
      <w:r w:rsidRPr="00513C80">
        <w:rPr>
          <w:b/>
          <w:bCs/>
          <w:sz w:val="22"/>
          <w:szCs w:val="22"/>
        </w:rPr>
        <w:tab/>
        <w:t>Kontraindikácie</w:t>
      </w:r>
    </w:p>
    <w:p w:rsidR="005406B0" w:rsidRPr="00513C80" w:rsidRDefault="005406B0">
      <w:pPr>
        <w:jc w:val="both"/>
        <w:rPr>
          <w:sz w:val="22"/>
          <w:szCs w:val="22"/>
        </w:rPr>
      </w:pPr>
    </w:p>
    <w:p w:rsidR="005406B0" w:rsidRPr="00513C80" w:rsidRDefault="005406B0">
      <w:pPr>
        <w:pStyle w:val="Zkladntext"/>
        <w:jc w:val="left"/>
        <w:rPr>
          <w:sz w:val="22"/>
          <w:szCs w:val="22"/>
        </w:rPr>
      </w:pPr>
      <w:r w:rsidRPr="00513C80">
        <w:rPr>
          <w:sz w:val="22"/>
          <w:szCs w:val="22"/>
        </w:rPr>
        <w:t xml:space="preserve">Požitie tohto lieku je kontraindikované u pacientov s precitlivenosťou na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, </w:t>
      </w:r>
      <w:proofErr w:type="spellStart"/>
      <w:r w:rsidRPr="00513C80">
        <w:rPr>
          <w:sz w:val="22"/>
          <w:szCs w:val="22"/>
        </w:rPr>
        <w:t>erytromycín</w:t>
      </w:r>
      <w:proofErr w:type="spellEnd"/>
      <w:r w:rsidRPr="00513C80">
        <w:rPr>
          <w:sz w:val="22"/>
          <w:szCs w:val="22"/>
        </w:rPr>
        <w:t xml:space="preserve">, </w:t>
      </w:r>
      <w:r w:rsidR="000E05A3">
        <w:rPr>
          <w:sz w:val="22"/>
          <w:szCs w:val="22"/>
        </w:rPr>
        <w:t xml:space="preserve">akékoľvek </w:t>
      </w:r>
      <w:r w:rsidRPr="00513C80">
        <w:rPr>
          <w:sz w:val="22"/>
          <w:szCs w:val="22"/>
        </w:rPr>
        <w:t xml:space="preserve">iné </w:t>
      </w:r>
      <w:proofErr w:type="spellStart"/>
      <w:r w:rsidRPr="00513C80">
        <w:rPr>
          <w:sz w:val="22"/>
          <w:szCs w:val="22"/>
        </w:rPr>
        <w:t>makrolidové</w:t>
      </w:r>
      <w:proofErr w:type="spellEnd"/>
      <w:r w:rsidRPr="00513C80">
        <w:rPr>
          <w:sz w:val="22"/>
          <w:szCs w:val="22"/>
        </w:rPr>
        <w:t xml:space="preserve"> alebo </w:t>
      </w:r>
      <w:proofErr w:type="spellStart"/>
      <w:r w:rsidRPr="00513C80">
        <w:rPr>
          <w:sz w:val="22"/>
          <w:szCs w:val="22"/>
        </w:rPr>
        <w:t>ketolidové</w:t>
      </w:r>
      <w:proofErr w:type="spellEnd"/>
      <w:r w:rsidRPr="00513C80">
        <w:rPr>
          <w:sz w:val="22"/>
          <w:szCs w:val="22"/>
        </w:rPr>
        <w:t xml:space="preserve"> antibiotiká alebo na ktorúkoľvek z pomocných látok uvedených v časti 6.1.</w:t>
      </w:r>
    </w:p>
    <w:p w:rsidR="005406B0" w:rsidRPr="00513C80" w:rsidRDefault="005406B0">
      <w:pPr>
        <w:pStyle w:val="Zkladntext"/>
        <w:jc w:val="left"/>
        <w:rPr>
          <w:sz w:val="22"/>
          <w:szCs w:val="22"/>
        </w:rPr>
      </w:pPr>
    </w:p>
    <w:p w:rsidR="005406B0" w:rsidRPr="00513C80" w:rsidRDefault="005406B0">
      <w:pPr>
        <w:jc w:val="both"/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4.4</w:t>
      </w:r>
      <w:r w:rsidRPr="00513C80">
        <w:rPr>
          <w:b/>
          <w:bCs/>
          <w:sz w:val="22"/>
          <w:szCs w:val="22"/>
        </w:rPr>
        <w:tab/>
        <w:t>Osobitné upozornenia a opatrenia pri používaní</w:t>
      </w:r>
    </w:p>
    <w:p w:rsidR="005406B0" w:rsidRPr="00513C80" w:rsidRDefault="005406B0">
      <w:pPr>
        <w:jc w:val="both"/>
        <w:rPr>
          <w:sz w:val="22"/>
          <w:szCs w:val="22"/>
        </w:rPr>
      </w:pPr>
    </w:p>
    <w:p w:rsidR="00AC4C75" w:rsidRPr="00AC4C75" w:rsidRDefault="00AC4C75" w:rsidP="00AC4C75">
      <w:pPr>
        <w:jc w:val="both"/>
        <w:rPr>
          <w:i/>
          <w:sz w:val="22"/>
          <w:szCs w:val="22"/>
        </w:rPr>
      </w:pPr>
      <w:r w:rsidRPr="00AC4C75">
        <w:rPr>
          <w:i/>
          <w:sz w:val="22"/>
          <w:szCs w:val="22"/>
        </w:rPr>
        <w:t>Precitlivenosť</w:t>
      </w:r>
    </w:p>
    <w:p w:rsidR="00AC4C75" w:rsidRPr="00AC4C75" w:rsidRDefault="001C02D8" w:rsidP="00AC4C75">
      <w:pPr>
        <w:jc w:val="both"/>
        <w:rPr>
          <w:sz w:val="22"/>
          <w:szCs w:val="22"/>
        </w:rPr>
      </w:pPr>
      <w:r w:rsidRPr="001C02D8">
        <w:rPr>
          <w:sz w:val="22"/>
          <w:szCs w:val="22"/>
        </w:rPr>
        <w:t xml:space="preserve">Podobne ako v prípade </w:t>
      </w:r>
      <w:proofErr w:type="spellStart"/>
      <w:r w:rsidRPr="001C02D8">
        <w:rPr>
          <w:sz w:val="22"/>
          <w:szCs w:val="22"/>
        </w:rPr>
        <w:t>erytromycínu</w:t>
      </w:r>
      <w:proofErr w:type="spellEnd"/>
      <w:r w:rsidRPr="001C02D8">
        <w:rPr>
          <w:sz w:val="22"/>
          <w:szCs w:val="22"/>
        </w:rPr>
        <w:t xml:space="preserve"> a ostatných </w:t>
      </w:r>
      <w:proofErr w:type="spellStart"/>
      <w:r w:rsidRPr="001C02D8">
        <w:rPr>
          <w:sz w:val="22"/>
          <w:szCs w:val="22"/>
        </w:rPr>
        <w:t>makrolidov</w:t>
      </w:r>
      <w:proofErr w:type="spellEnd"/>
      <w:r w:rsidRPr="001C02D8">
        <w:rPr>
          <w:sz w:val="22"/>
          <w:szCs w:val="22"/>
        </w:rPr>
        <w:t xml:space="preserve"> boli hlásené zriedkavé závažné alergické reakcie vrátane </w:t>
      </w:r>
      <w:proofErr w:type="spellStart"/>
      <w:r w:rsidRPr="001C02D8">
        <w:rPr>
          <w:sz w:val="22"/>
          <w:szCs w:val="22"/>
        </w:rPr>
        <w:t>angioneurotického</w:t>
      </w:r>
      <w:proofErr w:type="spellEnd"/>
      <w:r w:rsidRPr="001C02D8">
        <w:rPr>
          <w:sz w:val="22"/>
          <w:szCs w:val="22"/>
        </w:rPr>
        <w:t xml:space="preserve"> edému a </w:t>
      </w:r>
      <w:proofErr w:type="spellStart"/>
      <w:r w:rsidRPr="001C02D8">
        <w:rPr>
          <w:sz w:val="22"/>
          <w:szCs w:val="22"/>
        </w:rPr>
        <w:t>anafylaxie</w:t>
      </w:r>
      <w:proofErr w:type="spellEnd"/>
      <w:r w:rsidRPr="001C02D8">
        <w:rPr>
          <w:sz w:val="22"/>
          <w:szCs w:val="22"/>
        </w:rPr>
        <w:t xml:space="preserve"> (zriedkavo smrteľné), dermatologick</w:t>
      </w:r>
      <w:r w:rsidR="00E31073">
        <w:rPr>
          <w:sz w:val="22"/>
          <w:szCs w:val="22"/>
        </w:rPr>
        <w:t>é</w:t>
      </w:r>
      <w:r w:rsidRPr="001C02D8">
        <w:rPr>
          <w:sz w:val="22"/>
          <w:szCs w:val="22"/>
        </w:rPr>
        <w:t xml:space="preserve"> reakci</w:t>
      </w:r>
      <w:r w:rsidR="00E31073">
        <w:rPr>
          <w:sz w:val="22"/>
          <w:szCs w:val="22"/>
        </w:rPr>
        <w:t>e</w:t>
      </w:r>
      <w:r w:rsidRPr="001C02D8">
        <w:rPr>
          <w:sz w:val="22"/>
          <w:szCs w:val="22"/>
        </w:rPr>
        <w:t xml:space="preserve"> vrátane akútnej generalizovanej </w:t>
      </w:r>
      <w:proofErr w:type="spellStart"/>
      <w:r w:rsidRPr="001C02D8">
        <w:rPr>
          <w:sz w:val="22"/>
          <w:szCs w:val="22"/>
        </w:rPr>
        <w:t>exantémovej</w:t>
      </w:r>
      <w:proofErr w:type="spellEnd"/>
      <w:r w:rsidRPr="001C02D8">
        <w:rPr>
          <w:sz w:val="22"/>
          <w:szCs w:val="22"/>
        </w:rPr>
        <w:t xml:space="preserve"> </w:t>
      </w:r>
      <w:proofErr w:type="spellStart"/>
      <w:r w:rsidRPr="001C02D8">
        <w:rPr>
          <w:sz w:val="22"/>
          <w:szCs w:val="22"/>
        </w:rPr>
        <w:t>pustulózy</w:t>
      </w:r>
      <w:proofErr w:type="spellEnd"/>
      <w:r w:rsidRPr="001C02D8">
        <w:rPr>
          <w:sz w:val="22"/>
          <w:szCs w:val="22"/>
        </w:rPr>
        <w:t xml:space="preserve"> (AGEP), </w:t>
      </w:r>
      <w:proofErr w:type="spellStart"/>
      <w:r w:rsidRPr="001C02D8">
        <w:rPr>
          <w:sz w:val="22"/>
          <w:szCs w:val="22"/>
        </w:rPr>
        <w:t>Stevensovho-Johnsonovho</w:t>
      </w:r>
      <w:proofErr w:type="spellEnd"/>
      <w:r w:rsidRPr="001C02D8">
        <w:rPr>
          <w:sz w:val="22"/>
          <w:szCs w:val="22"/>
        </w:rPr>
        <w:t xml:space="preserve"> syndrómu (SJS), toxickej </w:t>
      </w:r>
      <w:proofErr w:type="spellStart"/>
      <w:r w:rsidRPr="001C02D8">
        <w:rPr>
          <w:sz w:val="22"/>
          <w:szCs w:val="22"/>
        </w:rPr>
        <w:t>epidermálnej</w:t>
      </w:r>
      <w:proofErr w:type="spellEnd"/>
      <w:r w:rsidRPr="001C02D8">
        <w:rPr>
          <w:sz w:val="22"/>
          <w:szCs w:val="22"/>
        </w:rPr>
        <w:t xml:space="preserve"> </w:t>
      </w:r>
      <w:proofErr w:type="spellStart"/>
      <w:r w:rsidRPr="001C02D8">
        <w:rPr>
          <w:sz w:val="22"/>
          <w:szCs w:val="22"/>
        </w:rPr>
        <w:t>nekrolýzy</w:t>
      </w:r>
      <w:proofErr w:type="spellEnd"/>
      <w:r w:rsidRPr="001C02D8">
        <w:rPr>
          <w:sz w:val="22"/>
          <w:szCs w:val="22"/>
        </w:rPr>
        <w:t xml:space="preserve"> (TEN)</w:t>
      </w:r>
      <w:r w:rsidR="00C96159" w:rsidRPr="001A06A4">
        <w:rPr>
          <w:sz w:val="22"/>
          <w:szCs w:val="22"/>
        </w:rPr>
        <w:t xml:space="preserve">(zriedkavo </w:t>
      </w:r>
      <w:r w:rsidR="00482B61" w:rsidRPr="00482B61">
        <w:rPr>
          <w:sz w:val="22"/>
          <w:szCs w:val="22"/>
        </w:rPr>
        <w:t>smrteľná</w:t>
      </w:r>
      <w:r w:rsidR="00C96159" w:rsidRPr="001A06A4">
        <w:rPr>
          <w:sz w:val="22"/>
          <w:szCs w:val="22"/>
        </w:rPr>
        <w:t>)</w:t>
      </w:r>
      <w:r w:rsidRPr="001C02D8">
        <w:rPr>
          <w:sz w:val="22"/>
          <w:szCs w:val="22"/>
        </w:rPr>
        <w:t xml:space="preserve"> a liekovej reakcie s </w:t>
      </w:r>
      <w:proofErr w:type="spellStart"/>
      <w:r w:rsidRPr="001C02D8">
        <w:rPr>
          <w:sz w:val="22"/>
          <w:szCs w:val="22"/>
        </w:rPr>
        <w:t>eozinofíliou</w:t>
      </w:r>
      <w:proofErr w:type="spellEnd"/>
      <w:r w:rsidRPr="001C02D8">
        <w:rPr>
          <w:sz w:val="22"/>
          <w:szCs w:val="22"/>
        </w:rPr>
        <w:t xml:space="preserve"> a so systémovými príznakmi (DRESS, </w:t>
      </w:r>
      <w:proofErr w:type="spellStart"/>
      <w:r w:rsidRPr="001C02D8">
        <w:rPr>
          <w:sz w:val="22"/>
          <w:szCs w:val="22"/>
        </w:rPr>
        <w:t>drug</w:t>
      </w:r>
      <w:proofErr w:type="spellEnd"/>
      <w:r w:rsidRPr="001C02D8">
        <w:rPr>
          <w:sz w:val="22"/>
          <w:szCs w:val="22"/>
        </w:rPr>
        <w:t xml:space="preserve"> </w:t>
      </w:r>
      <w:proofErr w:type="spellStart"/>
      <w:r w:rsidRPr="001C02D8">
        <w:rPr>
          <w:sz w:val="22"/>
          <w:szCs w:val="22"/>
        </w:rPr>
        <w:t>reaction</w:t>
      </w:r>
      <w:proofErr w:type="spellEnd"/>
      <w:r w:rsidRPr="001C02D8">
        <w:rPr>
          <w:sz w:val="22"/>
          <w:szCs w:val="22"/>
        </w:rPr>
        <w:t xml:space="preserve"> </w:t>
      </w:r>
      <w:proofErr w:type="spellStart"/>
      <w:r w:rsidRPr="001C02D8">
        <w:rPr>
          <w:sz w:val="22"/>
          <w:szCs w:val="22"/>
        </w:rPr>
        <w:t>with</w:t>
      </w:r>
      <w:proofErr w:type="spellEnd"/>
      <w:r w:rsidRPr="001C02D8">
        <w:rPr>
          <w:sz w:val="22"/>
          <w:szCs w:val="22"/>
        </w:rPr>
        <w:t xml:space="preserve"> </w:t>
      </w:r>
      <w:proofErr w:type="spellStart"/>
      <w:r w:rsidRPr="001C02D8">
        <w:rPr>
          <w:sz w:val="22"/>
          <w:szCs w:val="22"/>
        </w:rPr>
        <w:t>eosinophilia</w:t>
      </w:r>
      <w:proofErr w:type="spellEnd"/>
      <w:r w:rsidRPr="001C02D8">
        <w:rPr>
          <w:sz w:val="22"/>
          <w:szCs w:val="22"/>
        </w:rPr>
        <w:t xml:space="preserve"> and </w:t>
      </w:r>
      <w:proofErr w:type="spellStart"/>
      <w:r w:rsidRPr="001C02D8">
        <w:rPr>
          <w:sz w:val="22"/>
          <w:szCs w:val="22"/>
        </w:rPr>
        <w:t>systemic</w:t>
      </w:r>
      <w:proofErr w:type="spellEnd"/>
      <w:r w:rsidRPr="001C02D8">
        <w:rPr>
          <w:sz w:val="22"/>
          <w:szCs w:val="22"/>
        </w:rPr>
        <w:t xml:space="preserve"> </w:t>
      </w:r>
      <w:proofErr w:type="spellStart"/>
      <w:r w:rsidRPr="001C02D8">
        <w:rPr>
          <w:sz w:val="22"/>
          <w:szCs w:val="22"/>
        </w:rPr>
        <w:t>symptoms</w:t>
      </w:r>
      <w:proofErr w:type="spellEnd"/>
      <w:r w:rsidRPr="001C02D8">
        <w:rPr>
          <w:sz w:val="22"/>
          <w:szCs w:val="22"/>
        </w:rPr>
        <w:t xml:space="preserve">). Niektoré z týchto reakcií na </w:t>
      </w:r>
      <w:proofErr w:type="spellStart"/>
      <w:r w:rsidR="00D03B60" w:rsidRPr="00317922">
        <w:rPr>
          <w:sz w:val="22"/>
          <w:szCs w:val="22"/>
        </w:rPr>
        <w:t>Zigilex</w:t>
      </w:r>
      <w:proofErr w:type="spellEnd"/>
      <w:r w:rsidR="00D03B60" w:rsidRPr="00317922">
        <w:rPr>
          <w:sz w:val="22"/>
          <w:szCs w:val="22"/>
        </w:rPr>
        <w:t xml:space="preserve"> OROTAB</w:t>
      </w:r>
      <w:r w:rsidRPr="001C02D8">
        <w:rPr>
          <w:sz w:val="22"/>
          <w:szCs w:val="22"/>
        </w:rPr>
        <w:t xml:space="preserve"> viedli k opakujúcim sa príznakom a vyžadovali si dlhšie pozorovanie a liečbu.</w:t>
      </w:r>
    </w:p>
    <w:p w:rsidR="00AC4C75" w:rsidRDefault="00AC4C75">
      <w:pPr>
        <w:rPr>
          <w:sz w:val="22"/>
          <w:szCs w:val="22"/>
        </w:rPr>
      </w:pPr>
    </w:p>
    <w:p w:rsidR="00AC4C75" w:rsidRPr="00AC4C75" w:rsidRDefault="001C02D8">
      <w:pPr>
        <w:rPr>
          <w:sz w:val="22"/>
          <w:szCs w:val="22"/>
        </w:rPr>
      </w:pPr>
      <w:r w:rsidRPr="001C02D8">
        <w:rPr>
          <w:sz w:val="22"/>
          <w:szCs w:val="22"/>
        </w:rPr>
        <w:t>Ak sa vyskytne alergická reakcia, liek sa má vysadiť a má sa začať s náležitou liečbou. Lekári si majú byť vedomí, že pri prerušení symptomatickej liečby sa môžu opätovne vyskytnúť alergické symptómy.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i/>
          <w:sz w:val="22"/>
          <w:szCs w:val="22"/>
        </w:rPr>
        <w:t>Pacienti s poruchou funkcie obličiek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U pacientov so závažnou poruchou funkcie obličiek (GF</w:t>
      </w:r>
      <w:r w:rsidR="00E71F86">
        <w:rPr>
          <w:sz w:val="22"/>
          <w:szCs w:val="22"/>
        </w:rPr>
        <w:t>R</w:t>
      </w:r>
      <w:r w:rsidRPr="00513C80">
        <w:rPr>
          <w:sz w:val="22"/>
          <w:szCs w:val="22"/>
        </w:rPr>
        <w:t xml:space="preserve"> &lt;10 ml / min) bolo pozorované 33% zvýšenie systémovej expozície </w:t>
      </w:r>
      <w:proofErr w:type="spellStart"/>
      <w:r w:rsidR="00E878E9" w:rsidRPr="00513C80">
        <w:rPr>
          <w:sz w:val="22"/>
          <w:szCs w:val="22"/>
        </w:rPr>
        <w:t>azitromycín</w:t>
      </w:r>
      <w:r w:rsidR="00E878E9">
        <w:rPr>
          <w:sz w:val="22"/>
          <w:szCs w:val="22"/>
        </w:rPr>
        <w:t>u</w:t>
      </w:r>
      <w:proofErr w:type="spellEnd"/>
      <w:r w:rsidR="00E878E9" w:rsidRPr="00513C80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>(pozri časť 5.2).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pStyle w:val="Zkladntext21"/>
        <w:spacing w:before="0"/>
        <w:jc w:val="left"/>
        <w:rPr>
          <w:sz w:val="22"/>
          <w:szCs w:val="22"/>
        </w:rPr>
      </w:pPr>
      <w:r w:rsidRPr="00513C80">
        <w:rPr>
          <w:rFonts w:ascii="Times New Roman" w:hAnsi="Times New Roman" w:cs="Times New Roman"/>
          <w:i/>
          <w:sz w:val="22"/>
          <w:szCs w:val="22"/>
        </w:rPr>
        <w:t>Pacienti s poruchou funkcie pečene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Vzhľadom na to, že hlavnou cestou vylučovania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je pečeň, pacientom so závažným ochorením pečene sa musí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podávať s opatrnosťou. Pri užívaní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boli hlásené prípady fulminantnej hepatitídy potenciálne vedúcej k život ohrozujúcemu zlyhaniu pečene (pozri časť 4.8). Niektorí z týchto pacientov mohli mať v minulosti ochorenie pečene alebo mohli užívať iné lieky s </w:t>
      </w:r>
      <w:proofErr w:type="spellStart"/>
      <w:r w:rsidRPr="00513C80">
        <w:rPr>
          <w:sz w:val="22"/>
          <w:szCs w:val="22"/>
        </w:rPr>
        <w:t>hepatotoxickým</w:t>
      </w:r>
      <w:proofErr w:type="spellEnd"/>
      <w:r w:rsidRPr="00513C80">
        <w:rPr>
          <w:sz w:val="22"/>
          <w:szCs w:val="22"/>
        </w:rPr>
        <w:t xml:space="preserve"> účinkom. 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V prípade prejavov a príznakov poruchy funk</w:t>
      </w:r>
      <w:r w:rsidR="000E05A3">
        <w:rPr>
          <w:sz w:val="22"/>
          <w:szCs w:val="22"/>
        </w:rPr>
        <w:t xml:space="preserve">cie pečene, akými môže byť </w:t>
      </w:r>
      <w:r w:rsidR="00E878E9">
        <w:rPr>
          <w:sz w:val="22"/>
          <w:szCs w:val="22"/>
        </w:rPr>
        <w:t>rýchlo sa rozvíjajúca</w:t>
      </w:r>
      <w:r w:rsidR="00E878E9" w:rsidRPr="00513C80">
        <w:rPr>
          <w:sz w:val="22"/>
          <w:szCs w:val="22"/>
        </w:rPr>
        <w:t xml:space="preserve"> </w:t>
      </w:r>
      <w:r w:rsidR="000E05A3">
        <w:rPr>
          <w:sz w:val="22"/>
          <w:szCs w:val="22"/>
        </w:rPr>
        <w:t xml:space="preserve">asténia </w:t>
      </w:r>
      <w:r w:rsidRPr="00513C80">
        <w:rPr>
          <w:sz w:val="22"/>
          <w:szCs w:val="22"/>
        </w:rPr>
        <w:t>spojen</w:t>
      </w:r>
      <w:r w:rsidR="000E05A3">
        <w:rPr>
          <w:sz w:val="22"/>
          <w:szCs w:val="22"/>
        </w:rPr>
        <w:t>á</w:t>
      </w:r>
      <w:r w:rsidRPr="00513C80">
        <w:rPr>
          <w:sz w:val="22"/>
          <w:szCs w:val="22"/>
        </w:rPr>
        <w:t xml:space="preserve"> so žltačkou, tmavým močom, sklonom ku krvácaniu alebo </w:t>
      </w:r>
      <w:proofErr w:type="spellStart"/>
      <w:r w:rsidR="008F551B" w:rsidRPr="00513C80">
        <w:rPr>
          <w:sz w:val="22"/>
          <w:szCs w:val="22"/>
        </w:rPr>
        <w:t>hepatáln</w:t>
      </w:r>
      <w:r w:rsidR="008F551B">
        <w:rPr>
          <w:sz w:val="22"/>
          <w:szCs w:val="22"/>
        </w:rPr>
        <w:t>ou</w:t>
      </w:r>
      <w:proofErr w:type="spellEnd"/>
      <w:r w:rsidR="008F551B" w:rsidRPr="00513C80">
        <w:rPr>
          <w:sz w:val="22"/>
          <w:szCs w:val="22"/>
        </w:rPr>
        <w:t xml:space="preserve"> </w:t>
      </w:r>
      <w:proofErr w:type="spellStart"/>
      <w:r w:rsidR="008F551B" w:rsidRPr="00513C80">
        <w:rPr>
          <w:sz w:val="22"/>
          <w:szCs w:val="22"/>
        </w:rPr>
        <w:t>encefalopati</w:t>
      </w:r>
      <w:r w:rsidR="008F551B">
        <w:rPr>
          <w:sz w:val="22"/>
          <w:szCs w:val="22"/>
        </w:rPr>
        <w:t>ou</w:t>
      </w:r>
      <w:proofErr w:type="spellEnd"/>
      <w:r w:rsidRPr="00513C80">
        <w:rPr>
          <w:sz w:val="22"/>
          <w:szCs w:val="22"/>
        </w:rPr>
        <w:t>, sa musia okamžite urobiť testy</w:t>
      </w:r>
      <w:r w:rsidR="000E05A3">
        <w:rPr>
          <w:sz w:val="22"/>
          <w:szCs w:val="22"/>
        </w:rPr>
        <w:t>/vyšetrenie</w:t>
      </w:r>
      <w:r w:rsidRPr="00513C80">
        <w:rPr>
          <w:sz w:val="22"/>
          <w:szCs w:val="22"/>
        </w:rPr>
        <w:t xml:space="preserve"> funkcie pečene. Ak sa preukáže porucha funkcie pečene,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sa musí prestať užívať. 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pStyle w:val="Zkladntext"/>
        <w:jc w:val="left"/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Námeľové</w:t>
      </w:r>
      <w:proofErr w:type="spellEnd"/>
      <w:r w:rsidRPr="00513C80">
        <w:rPr>
          <w:i/>
          <w:sz w:val="22"/>
          <w:szCs w:val="22"/>
        </w:rPr>
        <w:t xml:space="preserve"> deriváty a </w:t>
      </w:r>
      <w:proofErr w:type="spellStart"/>
      <w:r w:rsidRPr="00513C80">
        <w:rPr>
          <w:i/>
          <w:sz w:val="22"/>
          <w:szCs w:val="22"/>
        </w:rPr>
        <w:t>azitromycín</w:t>
      </w:r>
      <w:proofErr w:type="spellEnd"/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U pacientov, ktorí užívali deriváty </w:t>
      </w:r>
      <w:proofErr w:type="spellStart"/>
      <w:r w:rsidRPr="00513C80">
        <w:rPr>
          <w:sz w:val="22"/>
          <w:szCs w:val="22"/>
        </w:rPr>
        <w:t>námeľových</w:t>
      </w:r>
      <w:proofErr w:type="spellEnd"/>
      <w:r w:rsidRPr="00513C80">
        <w:rPr>
          <w:sz w:val="22"/>
          <w:szCs w:val="22"/>
        </w:rPr>
        <w:t xml:space="preserve"> alkaloidov súbežne s niektorými </w:t>
      </w:r>
      <w:proofErr w:type="spellStart"/>
      <w:r w:rsidRPr="00513C80">
        <w:rPr>
          <w:sz w:val="22"/>
          <w:szCs w:val="22"/>
        </w:rPr>
        <w:t>makrolidovými</w:t>
      </w:r>
      <w:proofErr w:type="spellEnd"/>
      <w:r w:rsidRPr="00513C80">
        <w:rPr>
          <w:sz w:val="22"/>
          <w:szCs w:val="22"/>
        </w:rPr>
        <w:t xml:space="preserve"> antibiotikami, boli zaznamenané prípady </w:t>
      </w:r>
      <w:proofErr w:type="spellStart"/>
      <w:r w:rsidRPr="00513C80">
        <w:rPr>
          <w:sz w:val="22"/>
          <w:szCs w:val="22"/>
        </w:rPr>
        <w:t>ergotizmu</w:t>
      </w:r>
      <w:proofErr w:type="spellEnd"/>
      <w:r w:rsidRPr="00513C80">
        <w:rPr>
          <w:sz w:val="22"/>
          <w:szCs w:val="22"/>
        </w:rPr>
        <w:t xml:space="preserve">. K dispozícii nie sú údaje o možnej interakcii medzi </w:t>
      </w:r>
      <w:proofErr w:type="spellStart"/>
      <w:r w:rsidR="00476BA4" w:rsidRPr="00513C80">
        <w:rPr>
          <w:sz w:val="22"/>
          <w:szCs w:val="22"/>
        </w:rPr>
        <w:t>námeľo</w:t>
      </w:r>
      <w:r w:rsidR="00476BA4">
        <w:rPr>
          <w:sz w:val="22"/>
          <w:szCs w:val="22"/>
        </w:rPr>
        <w:t>vými</w:t>
      </w:r>
      <w:proofErr w:type="spellEnd"/>
      <w:r w:rsidR="00476BA4">
        <w:rPr>
          <w:sz w:val="22"/>
          <w:szCs w:val="22"/>
        </w:rPr>
        <w:t xml:space="preserve"> derivátmi</w:t>
      </w:r>
      <w:r w:rsidR="00476BA4" w:rsidRPr="00513C80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>a </w:t>
      </w:r>
      <w:proofErr w:type="spellStart"/>
      <w:r w:rsidRPr="00513C80">
        <w:rPr>
          <w:sz w:val="22"/>
          <w:szCs w:val="22"/>
        </w:rPr>
        <w:t>azitromycínom</w:t>
      </w:r>
      <w:proofErr w:type="spellEnd"/>
      <w:r w:rsidRPr="00513C80">
        <w:rPr>
          <w:sz w:val="22"/>
          <w:szCs w:val="22"/>
        </w:rPr>
        <w:t xml:space="preserve">. Z dôvodu teoretickej možnosti </w:t>
      </w:r>
      <w:proofErr w:type="spellStart"/>
      <w:r w:rsidRPr="00513C80">
        <w:rPr>
          <w:sz w:val="22"/>
          <w:szCs w:val="22"/>
        </w:rPr>
        <w:t>ergotizmu</w:t>
      </w:r>
      <w:proofErr w:type="spellEnd"/>
      <w:r w:rsidRPr="00513C80">
        <w:rPr>
          <w:sz w:val="22"/>
          <w:szCs w:val="22"/>
        </w:rPr>
        <w:t xml:space="preserve"> sa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nemá podávať súbežne s derivátmi </w:t>
      </w:r>
      <w:proofErr w:type="spellStart"/>
      <w:r w:rsidRPr="00513C80">
        <w:rPr>
          <w:sz w:val="22"/>
          <w:szCs w:val="22"/>
        </w:rPr>
        <w:t>ergotamínu</w:t>
      </w:r>
      <w:proofErr w:type="spellEnd"/>
      <w:r w:rsidRPr="00513C80">
        <w:rPr>
          <w:sz w:val="22"/>
          <w:szCs w:val="22"/>
        </w:rPr>
        <w:t xml:space="preserve"> (pozri časť 4.5).</w:t>
      </w:r>
    </w:p>
    <w:p w:rsidR="005406B0" w:rsidRPr="00513C80" w:rsidRDefault="005406B0">
      <w:pPr>
        <w:pStyle w:val="Zkladntext"/>
        <w:jc w:val="left"/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Superinfekcie</w:t>
      </w:r>
      <w:proofErr w:type="spellEnd"/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Tak ako u iných antibiotík, odporúča sa sledovať výskyt prejavov </w:t>
      </w:r>
      <w:proofErr w:type="spellStart"/>
      <w:r w:rsidRPr="00513C80">
        <w:rPr>
          <w:sz w:val="22"/>
          <w:szCs w:val="22"/>
        </w:rPr>
        <w:t>superinfekcie</w:t>
      </w:r>
      <w:proofErr w:type="spellEnd"/>
      <w:r w:rsidRPr="00513C80">
        <w:rPr>
          <w:sz w:val="22"/>
          <w:szCs w:val="22"/>
        </w:rPr>
        <w:t xml:space="preserve"> organizmami, </w:t>
      </w:r>
      <w:r w:rsidR="000E05A3" w:rsidRPr="00513C80">
        <w:rPr>
          <w:sz w:val="22"/>
          <w:szCs w:val="22"/>
        </w:rPr>
        <w:t xml:space="preserve">vrátane </w:t>
      </w:r>
      <w:r w:rsidR="000E05A3">
        <w:rPr>
          <w:sz w:val="22"/>
          <w:szCs w:val="22"/>
        </w:rPr>
        <w:t xml:space="preserve">hubovitých, </w:t>
      </w:r>
      <w:r w:rsidRPr="00513C80">
        <w:rPr>
          <w:sz w:val="22"/>
          <w:szCs w:val="22"/>
        </w:rPr>
        <w:t>ktoré nie sú citlivé na liečbu.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Pri užívaní takmer všetkých antibiotík, vrátane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, boli hlásené hnačky vyvolané baktériou </w:t>
      </w:r>
      <w:proofErr w:type="spellStart"/>
      <w:r w:rsidRPr="00513C80">
        <w:rPr>
          <w:i/>
          <w:sz w:val="22"/>
          <w:szCs w:val="22"/>
        </w:rPr>
        <w:t>Clostridium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difficile</w:t>
      </w:r>
      <w:proofErr w:type="spellEnd"/>
      <w:r w:rsidRPr="00513C80">
        <w:rPr>
          <w:sz w:val="22"/>
          <w:szCs w:val="22"/>
        </w:rPr>
        <w:t xml:space="preserve"> (CDAD). Stupeň závažnosti môže byť od miernych hnačiek až po smrteľnú </w:t>
      </w:r>
      <w:proofErr w:type="spellStart"/>
      <w:r w:rsidRPr="00513C80">
        <w:rPr>
          <w:sz w:val="22"/>
          <w:szCs w:val="22"/>
        </w:rPr>
        <w:t>kolitídu</w:t>
      </w:r>
      <w:proofErr w:type="spellEnd"/>
      <w:r w:rsidRPr="00513C80">
        <w:rPr>
          <w:sz w:val="22"/>
          <w:szCs w:val="22"/>
        </w:rPr>
        <w:t xml:space="preserve">. Liečba antibiotikami mení normálnu črevnú flóru a má za následok nadmerný rast </w:t>
      </w:r>
      <w:r w:rsidRPr="00513C80">
        <w:rPr>
          <w:i/>
          <w:sz w:val="22"/>
          <w:szCs w:val="22"/>
        </w:rPr>
        <w:t xml:space="preserve">C. </w:t>
      </w:r>
      <w:proofErr w:type="spellStart"/>
      <w:r w:rsidRPr="00513C80">
        <w:rPr>
          <w:i/>
          <w:sz w:val="22"/>
          <w:szCs w:val="22"/>
        </w:rPr>
        <w:t>difficile</w:t>
      </w:r>
      <w:proofErr w:type="spellEnd"/>
      <w:r w:rsidRPr="00513C80">
        <w:rPr>
          <w:i/>
          <w:sz w:val="22"/>
          <w:szCs w:val="22"/>
        </w:rPr>
        <w:t>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i/>
          <w:sz w:val="22"/>
          <w:szCs w:val="22"/>
        </w:rPr>
        <w:t xml:space="preserve">C. </w:t>
      </w:r>
      <w:proofErr w:type="spellStart"/>
      <w:r w:rsidRPr="00513C80">
        <w:rPr>
          <w:i/>
          <w:sz w:val="22"/>
          <w:szCs w:val="22"/>
        </w:rPr>
        <w:t>difficile</w:t>
      </w:r>
      <w:proofErr w:type="spellEnd"/>
      <w:r w:rsidRPr="00513C80">
        <w:rPr>
          <w:sz w:val="22"/>
          <w:szCs w:val="22"/>
        </w:rPr>
        <w:t xml:space="preserve"> tvorí toxíny A </w:t>
      </w:r>
      <w:proofErr w:type="spellStart"/>
      <w:r w:rsidRPr="00513C80">
        <w:rPr>
          <w:sz w:val="22"/>
          <w:szCs w:val="22"/>
        </w:rPr>
        <w:t>a</w:t>
      </w:r>
      <w:proofErr w:type="spellEnd"/>
      <w:r w:rsidRPr="00513C80">
        <w:rPr>
          <w:sz w:val="22"/>
          <w:szCs w:val="22"/>
        </w:rPr>
        <w:t xml:space="preserve"> B, ktoré napomáhajú rozvoju CDAD. </w:t>
      </w:r>
      <w:proofErr w:type="spellStart"/>
      <w:r w:rsidRPr="00513C80">
        <w:rPr>
          <w:sz w:val="22"/>
          <w:szCs w:val="22"/>
        </w:rPr>
        <w:t>Hyper</w:t>
      </w:r>
      <w:r w:rsidR="000E05A3">
        <w:rPr>
          <w:sz w:val="22"/>
          <w:szCs w:val="22"/>
        </w:rPr>
        <w:t>produkcia</w:t>
      </w:r>
      <w:proofErr w:type="spellEnd"/>
      <w:r w:rsidR="000E05A3">
        <w:rPr>
          <w:sz w:val="22"/>
          <w:szCs w:val="22"/>
        </w:rPr>
        <w:t xml:space="preserve"> toxínov </w:t>
      </w:r>
      <w:r w:rsidR="006D24F9">
        <w:rPr>
          <w:sz w:val="22"/>
          <w:szCs w:val="22"/>
        </w:rPr>
        <w:t>produkovaná niektorými</w:t>
      </w:r>
      <w:r w:rsidRPr="00513C80">
        <w:rPr>
          <w:sz w:val="22"/>
          <w:szCs w:val="22"/>
        </w:rPr>
        <w:t xml:space="preserve"> kmeňmi </w:t>
      </w:r>
      <w:r w:rsidRPr="00513C80">
        <w:rPr>
          <w:i/>
          <w:sz w:val="22"/>
          <w:szCs w:val="22"/>
        </w:rPr>
        <w:t xml:space="preserve">C. </w:t>
      </w:r>
      <w:proofErr w:type="spellStart"/>
      <w:r w:rsidRPr="00513C80">
        <w:rPr>
          <w:i/>
          <w:sz w:val="22"/>
          <w:szCs w:val="22"/>
        </w:rPr>
        <w:t>difficile</w:t>
      </w:r>
      <w:proofErr w:type="spellEnd"/>
      <w:r w:rsidRPr="00513C80">
        <w:rPr>
          <w:sz w:val="22"/>
          <w:szCs w:val="22"/>
        </w:rPr>
        <w:t xml:space="preserve"> zvyšuje morbiditu a mortalitu vzhľadom na to, že tieto infekcie môžu byť odolné na liečbu antibiotikami a môžu vyžadovať </w:t>
      </w:r>
      <w:proofErr w:type="spellStart"/>
      <w:r w:rsidRPr="00513C80">
        <w:rPr>
          <w:sz w:val="22"/>
          <w:szCs w:val="22"/>
        </w:rPr>
        <w:t>kolektómiu</w:t>
      </w:r>
      <w:proofErr w:type="spellEnd"/>
      <w:r w:rsidRPr="00513C80">
        <w:rPr>
          <w:sz w:val="22"/>
          <w:szCs w:val="22"/>
        </w:rPr>
        <w:t>. U všetkých pacientov, u ktorých sa po užívaní antibiotík objaví hnačka, je treba myslieť na CDAD. Dôležitá je najmä podrobná anamnéza, keďže výskyt CDAD sa hlásil viac ako 2 mesiace po skončení užívania antibiotík.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i/>
          <w:sz w:val="22"/>
          <w:szCs w:val="22"/>
        </w:rPr>
        <w:t>Predĺženie QT intervalu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Pri liečbe inými </w:t>
      </w:r>
      <w:proofErr w:type="spellStart"/>
      <w:r w:rsidRPr="00513C80">
        <w:rPr>
          <w:sz w:val="22"/>
          <w:szCs w:val="22"/>
        </w:rPr>
        <w:t>makrolidmi</w:t>
      </w:r>
      <w:proofErr w:type="spellEnd"/>
      <w:r w:rsidRPr="00513C80">
        <w:rPr>
          <w:sz w:val="22"/>
          <w:szCs w:val="22"/>
        </w:rPr>
        <w:t xml:space="preserve"> vrátane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sa pozorovalo predĺženie kardiálnej </w:t>
      </w:r>
      <w:proofErr w:type="spellStart"/>
      <w:r w:rsidRPr="00513C80">
        <w:rPr>
          <w:sz w:val="22"/>
          <w:szCs w:val="22"/>
        </w:rPr>
        <w:t>repolarizácie</w:t>
      </w:r>
      <w:proofErr w:type="spellEnd"/>
      <w:r w:rsidRPr="00513C80">
        <w:rPr>
          <w:sz w:val="22"/>
          <w:szCs w:val="22"/>
        </w:rPr>
        <w:t xml:space="preserve"> a QT intervalu, čo sa dáva do súvisu s rizikom vzniku srdcových </w:t>
      </w:r>
      <w:proofErr w:type="spellStart"/>
      <w:r w:rsidRPr="00513C80">
        <w:rPr>
          <w:sz w:val="22"/>
          <w:szCs w:val="22"/>
        </w:rPr>
        <w:t>arytmií</w:t>
      </w:r>
      <w:proofErr w:type="spellEnd"/>
      <w:r w:rsidRPr="00513C80">
        <w:rPr>
          <w:sz w:val="22"/>
          <w:szCs w:val="22"/>
        </w:rPr>
        <w:t xml:space="preserve"> a </w:t>
      </w:r>
      <w:proofErr w:type="spellStart"/>
      <w:r w:rsidR="006D24F9" w:rsidRPr="006D24F9">
        <w:rPr>
          <w:i/>
          <w:sz w:val="22"/>
          <w:szCs w:val="22"/>
        </w:rPr>
        <w:t>t</w:t>
      </w:r>
      <w:r w:rsidRPr="006D24F9">
        <w:rPr>
          <w:i/>
          <w:sz w:val="22"/>
          <w:szCs w:val="22"/>
        </w:rPr>
        <w:t>orsades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de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pointes</w:t>
      </w:r>
      <w:proofErr w:type="spellEnd"/>
      <w:r w:rsidRPr="00513C80">
        <w:rPr>
          <w:i/>
          <w:sz w:val="22"/>
          <w:szCs w:val="22"/>
        </w:rPr>
        <w:t xml:space="preserve"> </w:t>
      </w:r>
      <w:r w:rsidR="00476BA4" w:rsidRPr="00871331">
        <w:rPr>
          <w:sz w:val="22"/>
          <w:szCs w:val="22"/>
        </w:rPr>
        <w:t>(</w:t>
      </w:r>
      <w:r w:rsidRPr="00513C80">
        <w:rPr>
          <w:sz w:val="22"/>
          <w:szCs w:val="22"/>
        </w:rPr>
        <w:t xml:space="preserve">pozri časť 4.8). Keďže nasledujúce situácie môžu viesť k zvýšenému riziku </w:t>
      </w:r>
      <w:proofErr w:type="spellStart"/>
      <w:r w:rsidRPr="00513C80">
        <w:rPr>
          <w:sz w:val="22"/>
          <w:szCs w:val="22"/>
        </w:rPr>
        <w:t>ventrikulárnych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arytmií</w:t>
      </w:r>
      <w:proofErr w:type="spellEnd"/>
      <w:r w:rsidRPr="00513C80">
        <w:rPr>
          <w:sz w:val="22"/>
          <w:szCs w:val="22"/>
        </w:rPr>
        <w:t xml:space="preserve"> (vrátane </w:t>
      </w:r>
      <w:proofErr w:type="spellStart"/>
      <w:r w:rsidRPr="00513C80">
        <w:rPr>
          <w:i/>
          <w:sz w:val="22"/>
          <w:szCs w:val="22"/>
        </w:rPr>
        <w:t>torsades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de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pointes</w:t>
      </w:r>
      <w:proofErr w:type="spellEnd"/>
      <w:r w:rsidRPr="00513C80">
        <w:rPr>
          <w:sz w:val="22"/>
          <w:szCs w:val="22"/>
        </w:rPr>
        <w:t xml:space="preserve">), ktoré môžu spôsobiť zástavu srdca,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sa má používať s opatrnosťou u pacientov s trvalými </w:t>
      </w:r>
      <w:proofErr w:type="spellStart"/>
      <w:r w:rsidRPr="00513C80">
        <w:rPr>
          <w:sz w:val="22"/>
          <w:szCs w:val="22"/>
        </w:rPr>
        <w:t>proarytmogénnymi</w:t>
      </w:r>
      <w:proofErr w:type="spellEnd"/>
      <w:r w:rsidRPr="00513C80">
        <w:rPr>
          <w:sz w:val="22"/>
          <w:szCs w:val="22"/>
        </w:rPr>
        <w:t xml:space="preserve"> sklonmi (najmä </w:t>
      </w:r>
      <w:r w:rsidR="006D24F9">
        <w:rPr>
          <w:sz w:val="22"/>
          <w:szCs w:val="22"/>
        </w:rPr>
        <w:t>u žien</w:t>
      </w:r>
      <w:r w:rsidRPr="00513C80">
        <w:rPr>
          <w:sz w:val="22"/>
          <w:szCs w:val="22"/>
        </w:rPr>
        <w:t xml:space="preserve"> a starší</w:t>
      </w:r>
      <w:r w:rsidR="006D24F9">
        <w:rPr>
          <w:sz w:val="22"/>
          <w:szCs w:val="22"/>
        </w:rPr>
        <w:t>ch</w:t>
      </w:r>
      <w:r w:rsidRPr="00513C80">
        <w:rPr>
          <w:sz w:val="22"/>
          <w:szCs w:val="22"/>
        </w:rPr>
        <w:t xml:space="preserve"> pacient</w:t>
      </w:r>
      <w:r w:rsidR="006D24F9">
        <w:rPr>
          <w:sz w:val="22"/>
          <w:szCs w:val="22"/>
        </w:rPr>
        <w:t>ov</w:t>
      </w:r>
      <w:r w:rsidRPr="00513C80">
        <w:rPr>
          <w:sz w:val="22"/>
          <w:szCs w:val="22"/>
        </w:rPr>
        <w:t>), ako sú napr. pacienti:</w:t>
      </w:r>
    </w:p>
    <w:p w:rsidR="005406B0" w:rsidRPr="00513C80" w:rsidRDefault="005406B0">
      <w:pPr>
        <w:numPr>
          <w:ilvl w:val="0"/>
          <w:numId w:val="4"/>
        </w:numPr>
        <w:rPr>
          <w:sz w:val="22"/>
          <w:szCs w:val="22"/>
        </w:rPr>
      </w:pPr>
      <w:r w:rsidRPr="00513C80">
        <w:rPr>
          <w:sz w:val="22"/>
          <w:szCs w:val="22"/>
        </w:rPr>
        <w:t xml:space="preserve">s </w:t>
      </w:r>
      <w:proofErr w:type="spellStart"/>
      <w:r w:rsidRPr="00513C80">
        <w:rPr>
          <w:sz w:val="22"/>
          <w:szCs w:val="22"/>
        </w:rPr>
        <w:t>kongenitálnym</w:t>
      </w:r>
      <w:proofErr w:type="spellEnd"/>
      <w:r w:rsidRPr="00513C80">
        <w:rPr>
          <w:sz w:val="22"/>
          <w:szCs w:val="22"/>
        </w:rPr>
        <w:t xml:space="preserve"> alebo zdokumentovaným predĺž</w:t>
      </w:r>
      <w:r w:rsidR="006D24F9">
        <w:rPr>
          <w:sz w:val="22"/>
          <w:szCs w:val="22"/>
        </w:rPr>
        <w:t>ením QT intervalu,</w:t>
      </w:r>
    </w:p>
    <w:p w:rsidR="005406B0" w:rsidRPr="00513C80" w:rsidRDefault="005406B0">
      <w:pPr>
        <w:numPr>
          <w:ilvl w:val="0"/>
          <w:numId w:val="4"/>
        </w:numPr>
        <w:rPr>
          <w:sz w:val="22"/>
          <w:szCs w:val="22"/>
        </w:rPr>
      </w:pPr>
      <w:r w:rsidRPr="00513C80">
        <w:rPr>
          <w:sz w:val="22"/>
          <w:szCs w:val="22"/>
        </w:rPr>
        <w:t xml:space="preserve">v súčasnosti </w:t>
      </w:r>
      <w:r w:rsidR="006328F4">
        <w:rPr>
          <w:sz w:val="22"/>
          <w:szCs w:val="22"/>
        </w:rPr>
        <w:t>liečení</w:t>
      </w:r>
      <w:r w:rsidRPr="00513C80">
        <w:rPr>
          <w:sz w:val="22"/>
          <w:szCs w:val="22"/>
        </w:rPr>
        <w:t xml:space="preserve"> inými liečivami, o ktorých je známe, že predlžujú QT interval, ako sú </w:t>
      </w:r>
      <w:proofErr w:type="spellStart"/>
      <w:r w:rsidRPr="00513C80">
        <w:rPr>
          <w:sz w:val="22"/>
          <w:szCs w:val="22"/>
        </w:rPr>
        <w:t>antiarytmiká</w:t>
      </w:r>
      <w:proofErr w:type="spellEnd"/>
      <w:r w:rsidRPr="00513C80">
        <w:rPr>
          <w:sz w:val="22"/>
          <w:szCs w:val="22"/>
        </w:rPr>
        <w:t xml:space="preserve"> triedy IA (</w:t>
      </w:r>
      <w:proofErr w:type="spellStart"/>
      <w:r w:rsidRPr="00513C80">
        <w:rPr>
          <w:sz w:val="22"/>
          <w:szCs w:val="22"/>
        </w:rPr>
        <w:t>chinidín</w:t>
      </w:r>
      <w:proofErr w:type="spellEnd"/>
      <w:r w:rsidRPr="00513C80">
        <w:rPr>
          <w:sz w:val="22"/>
          <w:szCs w:val="22"/>
        </w:rPr>
        <w:t xml:space="preserve"> a </w:t>
      </w:r>
      <w:proofErr w:type="spellStart"/>
      <w:r w:rsidRPr="00513C80">
        <w:rPr>
          <w:sz w:val="22"/>
          <w:szCs w:val="22"/>
        </w:rPr>
        <w:t>prokaínamid</w:t>
      </w:r>
      <w:proofErr w:type="spellEnd"/>
      <w:r w:rsidRPr="00513C80">
        <w:rPr>
          <w:sz w:val="22"/>
          <w:szCs w:val="22"/>
        </w:rPr>
        <w:t>) a triedy III (</w:t>
      </w:r>
      <w:proofErr w:type="spellStart"/>
      <w:r w:rsidRPr="00513C80">
        <w:rPr>
          <w:sz w:val="22"/>
          <w:szCs w:val="22"/>
        </w:rPr>
        <w:t>dofetilid</w:t>
      </w:r>
      <w:proofErr w:type="spellEnd"/>
      <w:r w:rsidRPr="00513C80">
        <w:rPr>
          <w:sz w:val="22"/>
          <w:szCs w:val="22"/>
        </w:rPr>
        <w:t xml:space="preserve">, </w:t>
      </w:r>
      <w:proofErr w:type="spellStart"/>
      <w:r w:rsidRPr="00513C80">
        <w:rPr>
          <w:sz w:val="22"/>
          <w:szCs w:val="22"/>
        </w:rPr>
        <w:t>amiodarón</w:t>
      </w:r>
      <w:proofErr w:type="spellEnd"/>
      <w:r w:rsidRPr="00513C80">
        <w:rPr>
          <w:sz w:val="22"/>
          <w:szCs w:val="22"/>
        </w:rPr>
        <w:t xml:space="preserve"> a </w:t>
      </w:r>
      <w:proofErr w:type="spellStart"/>
      <w:r w:rsidRPr="00513C80">
        <w:rPr>
          <w:sz w:val="22"/>
          <w:szCs w:val="22"/>
        </w:rPr>
        <w:t>sotalol</w:t>
      </w:r>
      <w:proofErr w:type="spellEnd"/>
      <w:r w:rsidRPr="00513C80">
        <w:rPr>
          <w:sz w:val="22"/>
          <w:szCs w:val="22"/>
        </w:rPr>
        <w:t xml:space="preserve">), </w:t>
      </w:r>
      <w:proofErr w:type="spellStart"/>
      <w:r w:rsidRPr="00513C80">
        <w:rPr>
          <w:sz w:val="22"/>
          <w:szCs w:val="22"/>
        </w:rPr>
        <w:t>cisaprid</w:t>
      </w:r>
      <w:proofErr w:type="spellEnd"/>
      <w:r w:rsidRPr="00513C80">
        <w:rPr>
          <w:sz w:val="22"/>
          <w:szCs w:val="22"/>
        </w:rPr>
        <w:t xml:space="preserve"> a </w:t>
      </w:r>
      <w:proofErr w:type="spellStart"/>
      <w:r w:rsidRPr="00513C80">
        <w:rPr>
          <w:sz w:val="22"/>
          <w:szCs w:val="22"/>
        </w:rPr>
        <w:t>terfenadín</w:t>
      </w:r>
      <w:proofErr w:type="spellEnd"/>
      <w:r w:rsidRPr="00513C80">
        <w:rPr>
          <w:sz w:val="22"/>
          <w:szCs w:val="22"/>
        </w:rPr>
        <w:t xml:space="preserve">; </w:t>
      </w:r>
      <w:proofErr w:type="spellStart"/>
      <w:r w:rsidRPr="00513C80">
        <w:rPr>
          <w:sz w:val="22"/>
          <w:szCs w:val="22"/>
        </w:rPr>
        <w:t>antipsychotiká</w:t>
      </w:r>
      <w:proofErr w:type="spellEnd"/>
      <w:r w:rsidRPr="00513C80">
        <w:rPr>
          <w:sz w:val="22"/>
          <w:szCs w:val="22"/>
        </w:rPr>
        <w:t xml:space="preserve"> ako </w:t>
      </w:r>
      <w:proofErr w:type="spellStart"/>
      <w:r w:rsidRPr="00513C80">
        <w:rPr>
          <w:sz w:val="22"/>
          <w:szCs w:val="22"/>
        </w:rPr>
        <w:t>pimozid</w:t>
      </w:r>
      <w:proofErr w:type="spellEnd"/>
      <w:r w:rsidRPr="00513C80">
        <w:rPr>
          <w:sz w:val="22"/>
          <w:szCs w:val="22"/>
        </w:rPr>
        <w:t xml:space="preserve">; </w:t>
      </w:r>
      <w:proofErr w:type="spellStart"/>
      <w:r w:rsidRPr="00513C80">
        <w:rPr>
          <w:sz w:val="22"/>
          <w:szCs w:val="22"/>
        </w:rPr>
        <w:t>antidepresíva</w:t>
      </w:r>
      <w:proofErr w:type="spellEnd"/>
      <w:r w:rsidRPr="00513C80">
        <w:rPr>
          <w:sz w:val="22"/>
          <w:szCs w:val="22"/>
        </w:rPr>
        <w:t xml:space="preserve"> ako </w:t>
      </w:r>
      <w:proofErr w:type="spellStart"/>
      <w:r w:rsidRPr="00513C80">
        <w:rPr>
          <w:sz w:val="22"/>
          <w:szCs w:val="22"/>
        </w:rPr>
        <w:t>citalopram</w:t>
      </w:r>
      <w:proofErr w:type="spellEnd"/>
      <w:r w:rsidRPr="00513C80">
        <w:rPr>
          <w:sz w:val="22"/>
          <w:szCs w:val="22"/>
        </w:rPr>
        <w:t>; a </w:t>
      </w:r>
      <w:proofErr w:type="spellStart"/>
      <w:r w:rsidRPr="00513C80">
        <w:rPr>
          <w:sz w:val="22"/>
          <w:szCs w:val="22"/>
        </w:rPr>
        <w:t>fluórchinolóny</w:t>
      </w:r>
      <w:proofErr w:type="spellEnd"/>
      <w:r w:rsidRPr="00513C80">
        <w:rPr>
          <w:sz w:val="22"/>
          <w:szCs w:val="22"/>
        </w:rPr>
        <w:t xml:space="preserve"> </w:t>
      </w:r>
      <w:r w:rsidR="006D24F9">
        <w:rPr>
          <w:sz w:val="22"/>
          <w:szCs w:val="22"/>
        </w:rPr>
        <w:t xml:space="preserve">ako </w:t>
      </w:r>
      <w:proofErr w:type="spellStart"/>
      <w:r w:rsidR="006D24F9">
        <w:rPr>
          <w:sz w:val="22"/>
          <w:szCs w:val="22"/>
        </w:rPr>
        <w:t>moxifloxacín</w:t>
      </w:r>
      <w:proofErr w:type="spellEnd"/>
      <w:r w:rsidR="006D24F9">
        <w:rPr>
          <w:sz w:val="22"/>
          <w:szCs w:val="22"/>
        </w:rPr>
        <w:t xml:space="preserve"> a </w:t>
      </w:r>
      <w:proofErr w:type="spellStart"/>
      <w:r w:rsidR="006D24F9">
        <w:rPr>
          <w:sz w:val="22"/>
          <w:szCs w:val="22"/>
        </w:rPr>
        <w:t>levofloxacín</w:t>
      </w:r>
      <w:proofErr w:type="spellEnd"/>
      <w:r w:rsidR="006D24F9">
        <w:rPr>
          <w:sz w:val="22"/>
          <w:szCs w:val="22"/>
        </w:rPr>
        <w:t>,</w:t>
      </w:r>
    </w:p>
    <w:p w:rsidR="005406B0" w:rsidRPr="00513C80" w:rsidRDefault="005406B0">
      <w:pPr>
        <w:numPr>
          <w:ilvl w:val="0"/>
          <w:numId w:val="4"/>
        </w:numPr>
        <w:rPr>
          <w:sz w:val="22"/>
          <w:szCs w:val="22"/>
        </w:rPr>
      </w:pPr>
      <w:r w:rsidRPr="00513C80">
        <w:rPr>
          <w:sz w:val="22"/>
          <w:szCs w:val="22"/>
        </w:rPr>
        <w:t xml:space="preserve">s poruchou </w:t>
      </w:r>
      <w:proofErr w:type="spellStart"/>
      <w:r w:rsidRPr="00513C80">
        <w:rPr>
          <w:sz w:val="22"/>
          <w:szCs w:val="22"/>
        </w:rPr>
        <w:t>elektrolytovej</w:t>
      </w:r>
      <w:proofErr w:type="spellEnd"/>
      <w:r w:rsidRPr="00513C80">
        <w:rPr>
          <w:sz w:val="22"/>
          <w:szCs w:val="22"/>
        </w:rPr>
        <w:t xml:space="preserve"> rovnováhy, zvlášť v prípadoch</w:t>
      </w:r>
      <w:r w:rsidR="006D24F9">
        <w:rPr>
          <w:sz w:val="22"/>
          <w:szCs w:val="22"/>
        </w:rPr>
        <w:t xml:space="preserve"> </w:t>
      </w:r>
      <w:proofErr w:type="spellStart"/>
      <w:r w:rsidR="006D24F9">
        <w:rPr>
          <w:sz w:val="22"/>
          <w:szCs w:val="22"/>
        </w:rPr>
        <w:t>hypokaliémie</w:t>
      </w:r>
      <w:proofErr w:type="spellEnd"/>
      <w:r w:rsidR="006D24F9">
        <w:rPr>
          <w:sz w:val="22"/>
          <w:szCs w:val="22"/>
        </w:rPr>
        <w:t xml:space="preserve"> a </w:t>
      </w:r>
      <w:proofErr w:type="spellStart"/>
      <w:r w:rsidR="006D24F9">
        <w:rPr>
          <w:sz w:val="22"/>
          <w:szCs w:val="22"/>
        </w:rPr>
        <w:t>hypomagneziémie</w:t>
      </w:r>
      <w:proofErr w:type="spellEnd"/>
      <w:r w:rsidR="006D24F9">
        <w:rPr>
          <w:sz w:val="22"/>
          <w:szCs w:val="22"/>
        </w:rPr>
        <w:t>,</w:t>
      </w:r>
    </w:p>
    <w:p w:rsidR="005406B0" w:rsidRPr="00513C80" w:rsidRDefault="005406B0">
      <w:pPr>
        <w:numPr>
          <w:ilvl w:val="0"/>
          <w:numId w:val="4"/>
        </w:numPr>
        <w:rPr>
          <w:sz w:val="22"/>
          <w:szCs w:val="22"/>
        </w:rPr>
      </w:pPr>
      <w:r w:rsidRPr="00513C80">
        <w:rPr>
          <w:sz w:val="22"/>
          <w:szCs w:val="22"/>
        </w:rPr>
        <w:t xml:space="preserve">s klinicky relevantnou bradykardiou, srdcovou </w:t>
      </w:r>
      <w:proofErr w:type="spellStart"/>
      <w:r w:rsidRPr="00513C80">
        <w:rPr>
          <w:sz w:val="22"/>
          <w:szCs w:val="22"/>
        </w:rPr>
        <w:t>arytmiou</w:t>
      </w:r>
      <w:proofErr w:type="spellEnd"/>
      <w:r w:rsidRPr="00513C80">
        <w:rPr>
          <w:sz w:val="22"/>
          <w:szCs w:val="22"/>
        </w:rPr>
        <w:t xml:space="preserve"> a závažnou srdcovou nedostatočnosťou.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Myasthenia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gravis</w:t>
      </w:r>
      <w:proofErr w:type="spellEnd"/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U pacientov liečených </w:t>
      </w:r>
      <w:proofErr w:type="spellStart"/>
      <w:r w:rsidRPr="00513C80">
        <w:rPr>
          <w:sz w:val="22"/>
          <w:szCs w:val="22"/>
        </w:rPr>
        <w:t>azitromycínom</w:t>
      </w:r>
      <w:proofErr w:type="spellEnd"/>
      <w:r w:rsidRPr="00513C80">
        <w:rPr>
          <w:sz w:val="22"/>
          <w:szCs w:val="22"/>
        </w:rPr>
        <w:t xml:space="preserve"> bolo hlásené zhoršenie príznakov </w:t>
      </w:r>
      <w:proofErr w:type="spellStart"/>
      <w:r w:rsidRPr="00513C80">
        <w:rPr>
          <w:sz w:val="22"/>
          <w:szCs w:val="22"/>
        </w:rPr>
        <w:t>myasténie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gravis</w:t>
      </w:r>
      <w:proofErr w:type="spellEnd"/>
      <w:r w:rsidRPr="00513C80">
        <w:rPr>
          <w:sz w:val="22"/>
          <w:szCs w:val="22"/>
        </w:rPr>
        <w:t xml:space="preserve"> a novovzniknutý </w:t>
      </w:r>
      <w:proofErr w:type="spellStart"/>
      <w:r w:rsidRPr="00513C80">
        <w:rPr>
          <w:sz w:val="22"/>
          <w:szCs w:val="22"/>
        </w:rPr>
        <w:t>myastenický</w:t>
      </w:r>
      <w:proofErr w:type="spellEnd"/>
      <w:r w:rsidRPr="00513C80">
        <w:rPr>
          <w:sz w:val="22"/>
          <w:szCs w:val="22"/>
        </w:rPr>
        <w:t xml:space="preserve"> syndróm (pozri časť 4.8).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Mycobacterium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Avium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Complex</w:t>
      </w:r>
      <w:proofErr w:type="spellEnd"/>
      <w:r w:rsidRPr="00513C80">
        <w:rPr>
          <w:i/>
          <w:sz w:val="22"/>
          <w:szCs w:val="22"/>
        </w:rPr>
        <w:t xml:space="preserve"> (MAC) u detí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Bezpečnosť a účinnosť pri prevencii alebo liečbe infekcií vyvolaných baktériou </w:t>
      </w:r>
      <w:proofErr w:type="spellStart"/>
      <w:r w:rsidRPr="00513C80">
        <w:rPr>
          <w:i/>
          <w:sz w:val="22"/>
          <w:szCs w:val="22"/>
        </w:rPr>
        <w:t>Mycobacterium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avium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i/>
          <w:iCs/>
          <w:sz w:val="22"/>
          <w:szCs w:val="22"/>
        </w:rPr>
        <w:t>complex</w:t>
      </w:r>
      <w:proofErr w:type="spellEnd"/>
      <w:r w:rsidRPr="00513C80">
        <w:rPr>
          <w:sz w:val="22"/>
          <w:szCs w:val="22"/>
        </w:rPr>
        <w:t xml:space="preserve"> (MAC) u detí neboli stanovené.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i/>
          <w:iCs/>
          <w:sz w:val="22"/>
          <w:szCs w:val="22"/>
        </w:rPr>
        <w:t>Závažné infekcie</w:t>
      </w:r>
    </w:p>
    <w:p w:rsidR="006D24F9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nie je indikovaný na liečbu závažných infekcií, kde je dôležité, aby sa vysoké koncentrácie v krvi dosiahli rýchlo.</w:t>
      </w:r>
    </w:p>
    <w:p w:rsidR="006D24F9" w:rsidRDefault="006D24F9">
      <w:pPr>
        <w:rPr>
          <w:sz w:val="22"/>
          <w:szCs w:val="22"/>
        </w:rPr>
      </w:pPr>
    </w:p>
    <w:p w:rsidR="006D24F9" w:rsidRDefault="005406B0">
      <w:pPr>
        <w:rPr>
          <w:i/>
          <w:iCs/>
          <w:sz w:val="22"/>
          <w:szCs w:val="22"/>
        </w:rPr>
      </w:pPr>
      <w:r w:rsidRPr="00513C80">
        <w:rPr>
          <w:i/>
          <w:iCs/>
          <w:sz w:val="22"/>
          <w:szCs w:val="22"/>
        </w:rPr>
        <w:t xml:space="preserve">Oblasti s vysokým výskytom rezistencie na </w:t>
      </w:r>
      <w:proofErr w:type="spellStart"/>
      <w:r w:rsidRPr="00513C80">
        <w:rPr>
          <w:i/>
          <w:iCs/>
          <w:sz w:val="22"/>
          <w:szCs w:val="22"/>
        </w:rPr>
        <w:t>erytromycín</w:t>
      </w:r>
      <w:proofErr w:type="spellEnd"/>
    </w:p>
    <w:p w:rsidR="006D24F9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V oblastiach s vysokou </w:t>
      </w:r>
      <w:proofErr w:type="spellStart"/>
      <w:r w:rsidRPr="00513C80">
        <w:rPr>
          <w:sz w:val="22"/>
          <w:szCs w:val="22"/>
        </w:rPr>
        <w:t>prevalenciou</w:t>
      </w:r>
      <w:proofErr w:type="spellEnd"/>
      <w:r w:rsidRPr="00513C80">
        <w:rPr>
          <w:sz w:val="22"/>
          <w:szCs w:val="22"/>
        </w:rPr>
        <w:t xml:space="preserve"> rezistencie na </w:t>
      </w:r>
      <w:proofErr w:type="spellStart"/>
      <w:r w:rsidRPr="00513C80">
        <w:rPr>
          <w:sz w:val="22"/>
          <w:szCs w:val="22"/>
        </w:rPr>
        <w:t>erytromycín</w:t>
      </w:r>
      <w:proofErr w:type="spellEnd"/>
      <w:r w:rsidRPr="00513C80">
        <w:rPr>
          <w:sz w:val="22"/>
          <w:szCs w:val="22"/>
        </w:rPr>
        <w:t xml:space="preserve"> je taktiež obzvlášť dôležité vziať do úvahy odolnosť proti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>.</w:t>
      </w:r>
    </w:p>
    <w:p w:rsidR="006D24F9" w:rsidRDefault="006D24F9">
      <w:pPr>
        <w:rPr>
          <w:sz w:val="22"/>
          <w:szCs w:val="22"/>
        </w:rPr>
      </w:pPr>
    </w:p>
    <w:p w:rsidR="006D24F9" w:rsidRDefault="005406B0">
      <w:pPr>
        <w:rPr>
          <w:i/>
          <w:iCs/>
          <w:sz w:val="22"/>
          <w:szCs w:val="22"/>
        </w:rPr>
      </w:pPr>
      <w:r w:rsidRPr="00513C80">
        <w:rPr>
          <w:sz w:val="22"/>
          <w:szCs w:val="22"/>
        </w:rPr>
        <w:t xml:space="preserve">Rezistencia na </w:t>
      </w:r>
      <w:proofErr w:type="spellStart"/>
      <w:r w:rsidRPr="00513C80">
        <w:rPr>
          <w:i/>
          <w:iCs/>
          <w:sz w:val="22"/>
          <w:szCs w:val="22"/>
        </w:rPr>
        <w:t>Streptococcus</w:t>
      </w:r>
      <w:proofErr w:type="spellEnd"/>
      <w:r w:rsidRPr="00513C80">
        <w:rPr>
          <w:i/>
          <w:iCs/>
          <w:sz w:val="22"/>
          <w:szCs w:val="22"/>
        </w:rPr>
        <w:t xml:space="preserve"> </w:t>
      </w:r>
      <w:proofErr w:type="spellStart"/>
      <w:r w:rsidRPr="00513C80">
        <w:rPr>
          <w:i/>
          <w:iCs/>
          <w:sz w:val="22"/>
          <w:szCs w:val="22"/>
        </w:rPr>
        <w:t>pneumoniae</w:t>
      </w:r>
      <w:proofErr w:type="spellEnd"/>
    </w:p>
    <w:p w:rsidR="005406B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Rovnako ako u iných </w:t>
      </w:r>
      <w:proofErr w:type="spellStart"/>
      <w:r w:rsidRPr="00513C80">
        <w:rPr>
          <w:sz w:val="22"/>
          <w:szCs w:val="22"/>
        </w:rPr>
        <w:t>makrolidov</w:t>
      </w:r>
      <w:proofErr w:type="spellEnd"/>
      <w:r w:rsidRPr="00513C80">
        <w:rPr>
          <w:sz w:val="22"/>
          <w:szCs w:val="22"/>
        </w:rPr>
        <w:t xml:space="preserve"> bola hlásená v niektorých európskych krajinách vysoká miera rezistencie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(&gt; 30%) na</w:t>
      </w:r>
      <w:r w:rsidRPr="00513C80">
        <w:rPr>
          <w:i/>
          <w:iCs/>
          <w:sz w:val="22"/>
          <w:szCs w:val="22"/>
        </w:rPr>
        <w:t xml:space="preserve"> </w:t>
      </w:r>
      <w:proofErr w:type="spellStart"/>
      <w:r w:rsidRPr="00513C80">
        <w:rPr>
          <w:i/>
          <w:iCs/>
          <w:sz w:val="22"/>
          <w:szCs w:val="22"/>
        </w:rPr>
        <w:t>Streptococcus</w:t>
      </w:r>
      <w:proofErr w:type="spellEnd"/>
      <w:r w:rsidRPr="00513C80">
        <w:rPr>
          <w:i/>
          <w:iCs/>
          <w:sz w:val="22"/>
          <w:szCs w:val="22"/>
        </w:rPr>
        <w:t xml:space="preserve"> </w:t>
      </w:r>
      <w:proofErr w:type="spellStart"/>
      <w:r w:rsidRPr="00513C80">
        <w:rPr>
          <w:i/>
          <w:iCs/>
          <w:sz w:val="22"/>
          <w:szCs w:val="22"/>
        </w:rPr>
        <w:t>pneumoniae</w:t>
      </w:r>
      <w:proofErr w:type="spellEnd"/>
      <w:r w:rsidRPr="00513C80">
        <w:rPr>
          <w:sz w:val="22"/>
          <w:szCs w:val="22"/>
        </w:rPr>
        <w:t xml:space="preserve"> (pozri časť 5.1). Je to potrebné vziať do úvahy pri liečbe infekcií vyvolaných </w:t>
      </w:r>
      <w:r w:rsidRPr="00513C80">
        <w:rPr>
          <w:i/>
          <w:iCs/>
          <w:sz w:val="22"/>
          <w:szCs w:val="22"/>
        </w:rPr>
        <w:t xml:space="preserve">S. </w:t>
      </w:r>
      <w:proofErr w:type="spellStart"/>
      <w:r w:rsidRPr="00513C80">
        <w:rPr>
          <w:i/>
          <w:iCs/>
          <w:sz w:val="22"/>
          <w:szCs w:val="22"/>
        </w:rPr>
        <w:t>pneumoniae</w:t>
      </w:r>
      <w:proofErr w:type="spellEnd"/>
      <w:r w:rsidRPr="00513C80">
        <w:rPr>
          <w:sz w:val="22"/>
          <w:szCs w:val="22"/>
        </w:rPr>
        <w:t xml:space="preserve">. </w:t>
      </w:r>
    </w:p>
    <w:p w:rsidR="006328F4" w:rsidRDefault="006328F4">
      <w:pPr>
        <w:rPr>
          <w:sz w:val="22"/>
          <w:szCs w:val="22"/>
        </w:rPr>
      </w:pPr>
    </w:p>
    <w:p w:rsidR="0074109C" w:rsidRDefault="0074109C" w:rsidP="0074109C">
      <w:pPr>
        <w:rPr>
          <w:i/>
          <w:iCs/>
          <w:sz w:val="22"/>
          <w:szCs w:val="22"/>
          <w:lang w:val="fr-FR" w:eastAsia="en-US"/>
        </w:rPr>
      </w:pPr>
      <w:r w:rsidRPr="00513C80">
        <w:rPr>
          <w:sz w:val="22"/>
          <w:szCs w:val="22"/>
        </w:rPr>
        <w:t xml:space="preserve">Rezistencia na </w:t>
      </w:r>
      <w:r w:rsidRPr="0074109C">
        <w:rPr>
          <w:i/>
          <w:iCs/>
          <w:sz w:val="22"/>
          <w:szCs w:val="22"/>
          <w:lang w:val="fr-FR" w:eastAsia="en-US"/>
        </w:rPr>
        <w:t>Staphylococcus aureus</w:t>
      </w:r>
    </w:p>
    <w:p w:rsidR="0074109C" w:rsidRPr="0074109C" w:rsidRDefault="0074109C" w:rsidP="0074109C">
      <w:pPr>
        <w:rPr>
          <w:iCs/>
          <w:sz w:val="24"/>
          <w:szCs w:val="22"/>
        </w:rPr>
      </w:pPr>
      <w:r w:rsidRPr="0074109C">
        <w:rPr>
          <w:color w:val="222222"/>
          <w:sz w:val="22"/>
        </w:rPr>
        <w:t>Hlavn</w:t>
      </w:r>
      <w:r>
        <w:rPr>
          <w:color w:val="222222"/>
          <w:sz w:val="22"/>
        </w:rPr>
        <w:t>ý</w:t>
      </w:r>
      <w:r w:rsidRPr="0074109C">
        <w:rPr>
          <w:color w:val="222222"/>
          <w:sz w:val="22"/>
        </w:rPr>
        <w:t xml:space="preserve"> bakteriáln</w:t>
      </w:r>
      <w:r>
        <w:rPr>
          <w:color w:val="222222"/>
          <w:sz w:val="22"/>
        </w:rPr>
        <w:t>y</w:t>
      </w:r>
      <w:r w:rsidRPr="0074109C">
        <w:rPr>
          <w:color w:val="222222"/>
          <w:sz w:val="22"/>
        </w:rPr>
        <w:t xml:space="preserve"> patogén infekcie mäkkých tkanív, </w:t>
      </w:r>
      <w:proofErr w:type="spellStart"/>
      <w:r w:rsidRPr="0074109C">
        <w:rPr>
          <w:i/>
          <w:color w:val="222222"/>
          <w:sz w:val="22"/>
        </w:rPr>
        <w:t>Staphylococcus</w:t>
      </w:r>
      <w:proofErr w:type="spellEnd"/>
      <w:r w:rsidRPr="0074109C">
        <w:rPr>
          <w:i/>
          <w:color w:val="222222"/>
          <w:sz w:val="22"/>
        </w:rPr>
        <w:t xml:space="preserve"> </w:t>
      </w:r>
      <w:proofErr w:type="spellStart"/>
      <w:r w:rsidRPr="0074109C">
        <w:rPr>
          <w:i/>
          <w:color w:val="222222"/>
          <w:sz w:val="22"/>
        </w:rPr>
        <w:t>aureus</w:t>
      </w:r>
      <w:proofErr w:type="spellEnd"/>
      <w:r w:rsidRPr="0074109C">
        <w:rPr>
          <w:color w:val="222222"/>
          <w:sz w:val="22"/>
        </w:rPr>
        <w:t xml:space="preserve">, </w:t>
      </w:r>
      <w:r>
        <w:rPr>
          <w:color w:val="222222"/>
          <w:sz w:val="22"/>
        </w:rPr>
        <w:t>je</w:t>
      </w:r>
      <w:r w:rsidRPr="0074109C">
        <w:rPr>
          <w:color w:val="222222"/>
          <w:sz w:val="22"/>
        </w:rPr>
        <w:t xml:space="preserve"> často rezistentn</w:t>
      </w:r>
      <w:r>
        <w:rPr>
          <w:color w:val="222222"/>
          <w:sz w:val="22"/>
        </w:rPr>
        <w:t>ý</w:t>
      </w:r>
      <w:r w:rsidRPr="0074109C">
        <w:rPr>
          <w:color w:val="222222"/>
          <w:sz w:val="22"/>
        </w:rPr>
        <w:t xml:space="preserve"> na </w:t>
      </w:r>
      <w:proofErr w:type="spellStart"/>
      <w:r w:rsidRPr="0074109C">
        <w:rPr>
          <w:color w:val="222222"/>
          <w:sz w:val="22"/>
        </w:rPr>
        <w:t>azitromycín</w:t>
      </w:r>
      <w:proofErr w:type="spellEnd"/>
      <w:r w:rsidRPr="0074109C">
        <w:rPr>
          <w:color w:val="222222"/>
          <w:sz w:val="22"/>
        </w:rPr>
        <w:t>. Z tohto dôvodu sa považuje za nevyhnutnú podmienku liečen</w:t>
      </w:r>
      <w:r>
        <w:rPr>
          <w:color w:val="222222"/>
          <w:sz w:val="22"/>
        </w:rPr>
        <w:t>ia</w:t>
      </w:r>
      <w:r w:rsidRPr="0074109C">
        <w:rPr>
          <w:color w:val="222222"/>
          <w:sz w:val="22"/>
        </w:rPr>
        <w:t xml:space="preserve"> týchto infekcií </w:t>
      </w:r>
      <w:proofErr w:type="spellStart"/>
      <w:r w:rsidRPr="0074109C">
        <w:rPr>
          <w:color w:val="222222"/>
          <w:sz w:val="22"/>
        </w:rPr>
        <w:t>azitromycín</w:t>
      </w:r>
      <w:r>
        <w:rPr>
          <w:color w:val="222222"/>
          <w:sz w:val="22"/>
        </w:rPr>
        <w:t>om</w:t>
      </w:r>
      <w:proofErr w:type="spellEnd"/>
      <w:r>
        <w:rPr>
          <w:color w:val="222222"/>
          <w:sz w:val="22"/>
        </w:rPr>
        <w:t xml:space="preserve"> </w:t>
      </w:r>
      <w:r w:rsidRPr="0074109C">
        <w:rPr>
          <w:color w:val="222222"/>
          <w:sz w:val="22"/>
        </w:rPr>
        <w:t>testovani</w:t>
      </w:r>
      <w:r>
        <w:rPr>
          <w:color w:val="222222"/>
          <w:sz w:val="22"/>
        </w:rPr>
        <w:t>e</w:t>
      </w:r>
      <w:r w:rsidRPr="0074109C">
        <w:rPr>
          <w:color w:val="222222"/>
          <w:sz w:val="22"/>
        </w:rPr>
        <w:t xml:space="preserve"> citlivosti.</w:t>
      </w:r>
    </w:p>
    <w:p w:rsidR="005406B0" w:rsidRDefault="005406B0">
      <w:pPr>
        <w:rPr>
          <w:sz w:val="22"/>
          <w:szCs w:val="22"/>
        </w:rPr>
      </w:pPr>
    </w:p>
    <w:p w:rsidR="00C56A5A" w:rsidRPr="00513C80" w:rsidRDefault="00C56A5A">
      <w:pPr>
        <w:rPr>
          <w:sz w:val="22"/>
          <w:szCs w:val="22"/>
        </w:rPr>
      </w:pPr>
    </w:p>
    <w:p w:rsidR="006D24F9" w:rsidRDefault="005406B0">
      <w:pPr>
        <w:rPr>
          <w:i/>
          <w:sz w:val="22"/>
          <w:szCs w:val="22"/>
        </w:rPr>
      </w:pPr>
      <w:bookmarkStart w:id="0" w:name="result_box"/>
      <w:bookmarkEnd w:id="0"/>
      <w:proofErr w:type="spellStart"/>
      <w:r w:rsidRPr="00513C80">
        <w:rPr>
          <w:i/>
          <w:sz w:val="22"/>
          <w:szCs w:val="22"/>
        </w:rPr>
        <w:lastRenderedPageBreak/>
        <w:t>Faryngitída</w:t>
      </w:r>
      <w:proofErr w:type="spellEnd"/>
      <w:r w:rsidRPr="00513C80">
        <w:rPr>
          <w:i/>
          <w:sz w:val="22"/>
          <w:szCs w:val="22"/>
        </w:rPr>
        <w:t xml:space="preserve"> /angína</w:t>
      </w:r>
    </w:p>
    <w:p w:rsidR="006D24F9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nie je alternatívnym liekom pre liečbu </w:t>
      </w:r>
      <w:proofErr w:type="spellStart"/>
      <w:r w:rsidRPr="00513C80">
        <w:rPr>
          <w:sz w:val="22"/>
          <w:szCs w:val="22"/>
        </w:rPr>
        <w:t>faryngitídy</w:t>
      </w:r>
      <w:proofErr w:type="spellEnd"/>
      <w:r w:rsidRPr="00513C80">
        <w:rPr>
          <w:sz w:val="22"/>
          <w:szCs w:val="22"/>
        </w:rPr>
        <w:t xml:space="preserve">/angíny spôsobenej </w:t>
      </w:r>
      <w:proofErr w:type="spellStart"/>
      <w:r w:rsidRPr="00513C80">
        <w:rPr>
          <w:i/>
          <w:iCs/>
          <w:sz w:val="22"/>
          <w:szCs w:val="22"/>
        </w:rPr>
        <w:t>Streptococcus</w:t>
      </w:r>
      <w:proofErr w:type="spellEnd"/>
      <w:r w:rsidRPr="00513C80">
        <w:rPr>
          <w:i/>
          <w:iCs/>
          <w:sz w:val="22"/>
          <w:szCs w:val="22"/>
        </w:rPr>
        <w:t xml:space="preserve"> </w:t>
      </w:r>
      <w:proofErr w:type="spellStart"/>
      <w:r w:rsidRPr="00513C80">
        <w:rPr>
          <w:i/>
          <w:iCs/>
          <w:sz w:val="22"/>
          <w:szCs w:val="22"/>
        </w:rPr>
        <w:t>pyogenes</w:t>
      </w:r>
      <w:proofErr w:type="spellEnd"/>
      <w:r w:rsidRPr="00513C80">
        <w:rPr>
          <w:sz w:val="22"/>
          <w:szCs w:val="22"/>
        </w:rPr>
        <w:t>. V takýchto prípadoch a pri profylaxii reumatickej horúčky je alternatívnym liekom penicilín.</w:t>
      </w:r>
    </w:p>
    <w:p w:rsidR="006D24F9" w:rsidRDefault="006D24F9">
      <w:pPr>
        <w:rPr>
          <w:sz w:val="22"/>
          <w:szCs w:val="22"/>
        </w:rPr>
      </w:pPr>
    </w:p>
    <w:p w:rsidR="006D24F9" w:rsidRDefault="005406B0">
      <w:pPr>
        <w:rPr>
          <w:i/>
          <w:iCs/>
          <w:sz w:val="22"/>
          <w:szCs w:val="22"/>
        </w:rPr>
      </w:pPr>
      <w:proofErr w:type="spellStart"/>
      <w:r w:rsidRPr="00513C80">
        <w:rPr>
          <w:i/>
          <w:iCs/>
          <w:sz w:val="22"/>
          <w:szCs w:val="22"/>
        </w:rPr>
        <w:t>Sinusitída</w:t>
      </w:r>
      <w:proofErr w:type="spellEnd"/>
    </w:p>
    <w:p w:rsidR="006D24F9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Všeobecne platí, že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nie je alternatívnym liekom na liečbu </w:t>
      </w:r>
      <w:proofErr w:type="spellStart"/>
      <w:r w:rsidRPr="00513C80">
        <w:rPr>
          <w:sz w:val="22"/>
          <w:szCs w:val="22"/>
        </w:rPr>
        <w:t>sinusitídy</w:t>
      </w:r>
      <w:proofErr w:type="spellEnd"/>
      <w:r w:rsidRPr="00513C80">
        <w:rPr>
          <w:sz w:val="22"/>
          <w:szCs w:val="22"/>
        </w:rPr>
        <w:t>.</w:t>
      </w:r>
    </w:p>
    <w:p w:rsidR="006D24F9" w:rsidRDefault="006D24F9">
      <w:pPr>
        <w:rPr>
          <w:i/>
          <w:sz w:val="22"/>
          <w:szCs w:val="22"/>
        </w:rPr>
      </w:pPr>
    </w:p>
    <w:p w:rsidR="006D24F9" w:rsidRDefault="005406B0">
      <w:pPr>
        <w:rPr>
          <w:i/>
          <w:sz w:val="22"/>
          <w:szCs w:val="22"/>
        </w:rPr>
      </w:pPr>
      <w:r w:rsidRPr="00513C80">
        <w:rPr>
          <w:i/>
          <w:sz w:val="22"/>
          <w:szCs w:val="22"/>
        </w:rPr>
        <w:t>Akútny zápal stredného ucha</w:t>
      </w:r>
    </w:p>
    <w:p w:rsidR="006D24F9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Všeobecne platí, že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nie je alternatívnym liekom na liečbu akútneho zápalu stredného ucha.</w:t>
      </w:r>
    </w:p>
    <w:p w:rsidR="006D24F9" w:rsidRDefault="006D24F9">
      <w:pPr>
        <w:rPr>
          <w:i/>
          <w:sz w:val="22"/>
          <w:szCs w:val="22"/>
        </w:rPr>
      </w:pPr>
    </w:p>
    <w:p w:rsidR="006D24F9" w:rsidRDefault="005406B0">
      <w:pPr>
        <w:rPr>
          <w:i/>
          <w:sz w:val="22"/>
          <w:szCs w:val="22"/>
        </w:rPr>
      </w:pPr>
      <w:r w:rsidRPr="00513C80">
        <w:rPr>
          <w:i/>
          <w:sz w:val="22"/>
          <w:szCs w:val="22"/>
        </w:rPr>
        <w:t>Infikované popáleniny</w:t>
      </w:r>
    </w:p>
    <w:p w:rsidR="006D24F9" w:rsidRDefault="005406B0">
      <w:pPr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A</w:t>
      </w:r>
      <w:r w:rsidRPr="00513C80">
        <w:rPr>
          <w:sz w:val="22"/>
          <w:szCs w:val="22"/>
        </w:rPr>
        <w:t>zitromycín</w:t>
      </w:r>
      <w:proofErr w:type="spellEnd"/>
      <w:r w:rsidRPr="00513C80">
        <w:rPr>
          <w:sz w:val="22"/>
          <w:szCs w:val="22"/>
        </w:rPr>
        <w:t xml:space="preserve"> nie je indikovaný na liečbu infikovaných popálenín.</w:t>
      </w:r>
    </w:p>
    <w:p w:rsidR="006D24F9" w:rsidRDefault="006D24F9">
      <w:pPr>
        <w:rPr>
          <w:i/>
          <w:sz w:val="22"/>
          <w:szCs w:val="22"/>
        </w:rPr>
      </w:pPr>
    </w:p>
    <w:p w:rsidR="006D24F9" w:rsidRDefault="005406B0">
      <w:pPr>
        <w:rPr>
          <w:i/>
          <w:sz w:val="22"/>
          <w:szCs w:val="22"/>
        </w:rPr>
      </w:pPr>
      <w:r w:rsidRPr="00513C80">
        <w:rPr>
          <w:i/>
          <w:sz w:val="22"/>
          <w:szCs w:val="22"/>
        </w:rPr>
        <w:t>Sexuálne prenosné infekcie</w:t>
      </w:r>
    </w:p>
    <w:p w:rsidR="006D24F9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Pri liečení pohlavne prenosných infekcií sa majú vylúčiť </w:t>
      </w:r>
      <w:proofErr w:type="spellStart"/>
      <w:r w:rsidRPr="00513C80">
        <w:rPr>
          <w:sz w:val="22"/>
          <w:szCs w:val="22"/>
        </w:rPr>
        <w:t>koinfekcie</w:t>
      </w:r>
      <w:proofErr w:type="spellEnd"/>
      <w:r w:rsidRPr="00513C80">
        <w:rPr>
          <w:sz w:val="22"/>
          <w:szCs w:val="22"/>
        </w:rPr>
        <w:t xml:space="preserve"> spôsobené </w:t>
      </w:r>
      <w:proofErr w:type="spellStart"/>
      <w:r w:rsidRPr="00513C80">
        <w:rPr>
          <w:i/>
          <w:iCs/>
          <w:sz w:val="22"/>
          <w:szCs w:val="22"/>
        </w:rPr>
        <w:t>Treponema</w:t>
      </w:r>
      <w:proofErr w:type="spellEnd"/>
      <w:r w:rsidRPr="00513C80">
        <w:rPr>
          <w:i/>
          <w:iCs/>
          <w:sz w:val="22"/>
          <w:szCs w:val="22"/>
        </w:rPr>
        <w:t xml:space="preserve"> </w:t>
      </w:r>
      <w:proofErr w:type="spellStart"/>
      <w:r w:rsidRPr="00513C80">
        <w:rPr>
          <w:i/>
          <w:iCs/>
          <w:sz w:val="22"/>
          <w:szCs w:val="22"/>
        </w:rPr>
        <w:t>pallidum</w:t>
      </w:r>
      <w:proofErr w:type="spellEnd"/>
      <w:r w:rsidRPr="00513C80">
        <w:rPr>
          <w:sz w:val="22"/>
          <w:szCs w:val="22"/>
        </w:rPr>
        <w:t>.</w:t>
      </w:r>
    </w:p>
    <w:p w:rsidR="006D24F9" w:rsidRDefault="006D24F9">
      <w:pPr>
        <w:rPr>
          <w:sz w:val="22"/>
          <w:szCs w:val="22"/>
        </w:rPr>
      </w:pPr>
    </w:p>
    <w:p w:rsidR="006D24F9" w:rsidRDefault="005406B0">
      <w:pPr>
        <w:rPr>
          <w:i/>
          <w:sz w:val="22"/>
          <w:szCs w:val="22"/>
        </w:rPr>
      </w:pPr>
      <w:r w:rsidRPr="00513C80">
        <w:rPr>
          <w:i/>
          <w:sz w:val="22"/>
          <w:szCs w:val="22"/>
        </w:rPr>
        <w:t>Neurologické a psychiatrické poruchy</w:t>
      </w:r>
    </w:p>
    <w:p w:rsidR="005406B0" w:rsidRPr="00513C80" w:rsidRDefault="005406B0"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sa má podávať s opatrnosťou pacientom, ktorí trpia neurologickými alebo psychiatrickými poruchami. </w:t>
      </w:r>
    </w:p>
    <w:p w:rsidR="005406B0" w:rsidRPr="00513C80" w:rsidRDefault="005406B0"/>
    <w:p w:rsidR="005406B0" w:rsidRPr="00513C80" w:rsidRDefault="005406B0">
      <w:pPr>
        <w:jc w:val="both"/>
      </w:pPr>
      <w:r w:rsidRPr="00513C80">
        <w:rPr>
          <w:b/>
          <w:bCs/>
          <w:sz w:val="22"/>
          <w:szCs w:val="22"/>
        </w:rPr>
        <w:t>4.5</w:t>
      </w:r>
      <w:r w:rsidRPr="00513C80">
        <w:rPr>
          <w:b/>
          <w:bCs/>
          <w:sz w:val="22"/>
          <w:szCs w:val="22"/>
        </w:rPr>
        <w:tab/>
        <w:t>Liekové a iné interakcie</w:t>
      </w:r>
    </w:p>
    <w:p w:rsidR="005406B0" w:rsidRPr="00513C80" w:rsidRDefault="005406B0">
      <w:pPr>
        <w:jc w:val="both"/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Antacidá</w:t>
      </w:r>
      <w:proofErr w:type="spellEnd"/>
    </w:p>
    <w:p w:rsidR="005406B0" w:rsidRPr="00513C80" w:rsidRDefault="005406B0">
      <w:pPr>
        <w:rPr>
          <w:i/>
          <w:sz w:val="22"/>
          <w:szCs w:val="22"/>
        </w:rPr>
      </w:pPr>
      <w:r w:rsidRPr="00513C80">
        <w:rPr>
          <w:sz w:val="22"/>
          <w:szCs w:val="22"/>
        </w:rPr>
        <w:t xml:space="preserve">Vo </w:t>
      </w:r>
      <w:proofErr w:type="spellStart"/>
      <w:r w:rsidRPr="00513C80">
        <w:rPr>
          <w:sz w:val="22"/>
          <w:szCs w:val="22"/>
        </w:rPr>
        <w:t>farmakokinetických</w:t>
      </w:r>
      <w:proofErr w:type="spellEnd"/>
      <w:r w:rsidRPr="00513C80">
        <w:rPr>
          <w:sz w:val="22"/>
          <w:szCs w:val="22"/>
        </w:rPr>
        <w:t xml:space="preserve"> štúdiách skúmajúcich účinok súbežne podávaných </w:t>
      </w:r>
      <w:proofErr w:type="spellStart"/>
      <w:r w:rsidRPr="00513C80">
        <w:rPr>
          <w:sz w:val="22"/>
          <w:szCs w:val="22"/>
        </w:rPr>
        <w:t>antacíd</w:t>
      </w:r>
      <w:proofErr w:type="spellEnd"/>
      <w:r w:rsidRPr="00513C80">
        <w:rPr>
          <w:sz w:val="22"/>
          <w:szCs w:val="22"/>
        </w:rPr>
        <w:t xml:space="preserve"> s </w:t>
      </w:r>
      <w:proofErr w:type="spellStart"/>
      <w:r w:rsidRPr="00513C80">
        <w:rPr>
          <w:sz w:val="22"/>
          <w:szCs w:val="22"/>
        </w:rPr>
        <w:t>azitromycínom</w:t>
      </w:r>
      <w:proofErr w:type="spellEnd"/>
      <w:r w:rsidRPr="00513C80">
        <w:rPr>
          <w:sz w:val="22"/>
          <w:szCs w:val="22"/>
        </w:rPr>
        <w:t xml:space="preserve"> neboli celkovo pozorované zmeny v biologickej dostupnosti, i keď vrcholové koncentrácie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v plazme klesli približne o 25 %. U pacientov, ktorí súbežne dostávajú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a </w:t>
      </w:r>
      <w:proofErr w:type="spellStart"/>
      <w:r w:rsidRPr="00513C80">
        <w:rPr>
          <w:sz w:val="22"/>
          <w:szCs w:val="22"/>
        </w:rPr>
        <w:t>antacidá</w:t>
      </w:r>
      <w:proofErr w:type="spellEnd"/>
      <w:r w:rsidRPr="00513C80">
        <w:rPr>
          <w:sz w:val="22"/>
          <w:szCs w:val="22"/>
        </w:rPr>
        <w:t xml:space="preserve">, sa lieky nemajú užívať súbežne.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sa má užiť najmenej 1 hodinu pred alebo 2 hodiny po podaní </w:t>
      </w:r>
      <w:proofErr w:type="spellStart"/>
      <w:r w:rsidRPr="00513C80">
        <w:rPr>
          <w:sz w:val="22"/>
          <w:szCs w:val="22"/>
        </w:rPr>
        <w:t>antacida</w:t>
      </w:r>
      <w:proofErr w:type="spellEnd"/>
      <w:r w:rsidRPr="00513C80">
        <w:rPr>
          <w:sz w:val="22"/>
          <w:szCs w:val="22"/>
        </w:rPr>
        <w:t xml:space="preserve">. </w:t>
      </w:r>
    </w:p>
    <w:p w:rsidR="005406B0" w:rsidRPr="00513C80" w:rsidRDefault="005406B0">
      <w:pPr>
        <w:rPr>
          <w:i/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Cetirizín</w:t>
      </w:r>
      <w:proofErr w:type="spellEnd"/>
    </w:p>
    <w:p w:rsidR="005406B0" w:rsidRPr="00513C80" w:rsidRDefault="005406B0">
      <w:pPr>
        <w:rPr>
          <w:i/>
          <w:sz w:val="22"/>
          <w:szCs w:val="22"/>
        </w:rPr>
      </w:pPr>
      <w:r w:rsidRPr="00513C80">
        <w:rPr>
          <w:sz w:val="22"/>
          <w:szCs w:val="22"/>
        </w:rPr>
        <w:t xml:space="preserve">U zdravých dobrovoľníkov neviedlo súbežné podávanie 5-dňového režimu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s 20 mg </w:t>
      </w:r>
      <w:proofErr w:type="spellStart"/>
      <w:r w:rsidRPr="00513C80">
        <w:rPr>
          <w:sz w:val="22"/>
          <w:szCs w:val="22"/>
        </w:rPr>
        <w:t>cetirizínu</w:t>
      </w:r>
      <w:proofErr w:type="spellEnd"/>
      <w:r w:rsidRPr="00513C80">
        <w:rPr>
          <w:sz w:val="22"/>
          <w:szCs w:val="22"/>
        </w:rPr>
        <w:t xml:space="preserve"> pri ustálenej hladine ku </w:t>
      </w:r>
      <w:proofErr w:type="spellStart"/>
      <w:r w:rsidRPr="00513C80">
        <w:rPr>
          <w:sz w:val="22"/>
          <w:szCs w:val="22"/>
        </w:rPr>
        <w:t>farmakokinetickej</w:t>
      </w:r>
      <w:proofErr w:type="spellEnd"/>
      <w:r w:rsidRPr="00513C80">
        <w:rPr>
          <w:sz w:val="22"/>
          <w:szCs w:val="22"/>
        </w:rPr>
        <w:t xml:space="preserve"> interakcii, ani k významným zmenám QT intervalu.</w:t>
      </w:r>
    </w:p>
    <w:p w:rsidR="005406B0" w:rsidRPr="00513C80" w:rsidRDefault="005406B0">
      <w:pPr>
        <w:rPr>
          <w:i/>
          <w:sz w:val="22"/>
          <w:szCs w:val="22"/>
        </w:rPr>
      </w:pPr>
    </w:p>
    <w:p w:rsidR="005406B0" w:rsidRPr="00513C80" w:rsidRDefault="005406B0">
      <w:pPr>
        <w:rPr>
          <w:bCs/>
          <w:sz w:val="22"/>
          <w:szCs w:val="22"/>
        </w:rPr>
      </w:pPr>
      <w:proofErr w:type="spellStart"/>
      <w:r w:rsidRPr="00513C80">
        <w:rPr>
          <w:bCs/>
          <w:i/>
          <w:sz w:val="22"/>
          <w:szCs w:val="22"/>
        </w:rPr>
        <w:t>Didanozín</w:t>
      </w:r>
      <w:proofErr w:type="spellEnd"/>
      <w:r w:rsidRPr="00513C80">
        <w:rPr>
          <w:bCs/>
          <w:i/>
          <w:sz w:val="22"/>
          <w:szCs w:val="22"/>
        </w:rPr>
        <w:t xml:space="preserve"> (</w:t>
      </w:r>
      <w:proofErr w:type="spellStart"/>
      <w:r w:rsidRPr="00513C80">
        <w:rPr>
          <w:bCs/>
          <w:i/>
          <w:sz w:val="22"/>
          <w:szCs w:val="22"/>
        </w:rPr>
        <w:t>dideoxynozín</w:t>
      </w:r>
      <w:proofErr w:type="spellEnd"/>
      <w:r w:rsidRPr="00513C80">
        <w:rPr>
          <w:bCs/>
          <w:i/>
          <w:sz w:val="22"/>
          <w:szCs w:val="22"/>
        </w:rPr>
        <w:t>)</w:t>
      </w:r>
    </w:p>
    <w:p w:rsidR="005406B0" w:rsidRPr="00513C80" w:rsidRDefault="005406B0">
      <w:pPr>
        <w:rPr>
          <w:i/>
          <w:sz w:val="22"/>
          <w:szCs w:val="22"/>
        </w:rPr>
      </w:pPr>
      <w:r w:rsidRPr="00513C80">
        <w:rPr>
          <w:bCs/>
          <w:sz w:val="22"/>
          <w:szCs w:val="22"/>
        </w:rPr>
        <w:t xml:space="preserve">Súbežné podávanie 1200 mg 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 xml:space="preserve">/deň so 400 mg </w:t>
      </w:r>
      <w:proofErr w:type="spellStart"/>
      <w:r w:rsidRPr="00513C80">
        <w:rPr>
          <w:bCs/>
          <w:sz w:val="22"/>
          <w:szCs w:val="22"/>
        </w:rPr>
        <w:t>didanozínu</w:t>
      </w:r>
      <w:proofErr w:type="spellEnd"/>
      <w:r w:rsidRPr="00513C80">
        <w:rPr>
          <w:bCs/>
          <w:sz w:val="22"/>
          <w:szCs w:val="22"/>
        </w:rPr>
        <w:t xml:space="preserve">/deň u 6 </w:t>
      </w:r>
      <w:proofErr w:type="spellStart"/>
      <w:r w:rsidRPr="00513C80">
        <w:rPr>
          <w:bCs/>
          <w:sz w:val="22"/>
          <w:szCs w:val="22"/>
        </w:rPr>
        <w:t>HIV-pozitívnych</w:t>
      </w:r>
      <w:proofErr w:type="spellEnd"/>
      <w:r w:rsidRPr="00513C80">
        <w:rPr>
          <w:bCs/>
          <w:sz w:val="22"/>
          <w:szCs w:val="22"/>
        </w:rPr>
        <w:t xml:space="preserve"> </w:t>
      </w:r>
      <w:r w:rsidR="006D24F9">
        <w:rPr>
          <w:bCs/>
          <w:sz w:val="22"/>
          <w:szCs w:val="22"/>
        </w:rPr>
        <w:t>pacientov</w:t>
      </w:r>
      <w:r w:rsidRPr="00513C80">
        <w:rPr>
          <w:bCs/>
          <w:sz w:val="22"/>
          <w:szCs w:val="22"/>
        </w:rPr>
        <w:t xml:space="preserve"> neovplyvnilo </w:t>
      </w:r>
      <w:proofErr w:type="spellStart"/>
      <w:r w:rsidRPr="00513C80">
        <w:rPr>
          <w:bCs/>
          <w:sz w:val="22"/>
          <w:szCs w:val="22"/>
        </w:rPr>
        <w:t>farmakokinetiku</w:t>
      </w:r>
      <w:proofErr w:type="spellEnd"/>
      <w:r w:rsidRPr="00513C80">
        <w:rPr>
          <w:bCs/>
          <w:sz w:val="22"/>
          <w:szCs w:val="22"/>
        </w:rPr>
        <w:t xml:space="preserve"> ustálenej hladiny </w:t>
      </w:r>
      <w:proofErr w:type="spellStart"/>
      <w:r w:rsidRPr="00513C80">
        <w:rPr>
          <w:bCs/>
          <w:sz w:val="22"/>
          <w:szCs w:val="22"/>
        </w:rPr>
        <w:t>didanozínu</w:t>
      </w:r>
      <w:proofErr w:type="spellEnd"/>
      <w:r w:rsidRPr="00513C80">
        <w:rPr>
          <w:bCs/>
          <w:sz w:val="22"/>
          <w:szCs w:val="22"/>
        </w:rPr>
        <w:t xml:space="preserve"> v porovnaní s </w:t>
      </w:r>
      <w:proofErr w:type="spellStart"/>
      <w:r w:rsidRPr="00513C80">
        <w:rPr>
          <w:bCs/>
          <w:sz w:val="22"/>
          <w:szCs w:val="22"/>
        </w:rPr>
        <w:t>placebom</w:t>
      </w:r>
      <w:proofErr w:type="spellEnd"/>
      <w:r w:rsidRPr="00513C80">
        <w:rPr>
          <w:bCs/>
          <w:sz w:val="22"/>
          <w:szCs w:val="22"/>
        </w:rPr>
        <w:t>.</w:t>
      </w:r>
    </w:p>
    <w:p w:rsidR="005406B0" w:rsidRPr="00513C80" w:rsidRDefault="005406B0">
      <w:pPr>
        <w:rPr>
          <w:i/>
          <w:sz w:val="22"/>
          <w:szCs w:val="22"/>
        </w:rPr>
      </w:pPr>
    </w:p>
    <w:p w:rsidR="005406B0" w:rsidRPr="00513C80" w:rsidRDefault="005406B0">
      <w:pPr>
        <w:rPr>
          <w:bCs/>
          <w:sz w:val="22"/>
          <w:szCs w:val="22"/>
        </w:rPr>
      </w:pPr>
      <w:proofErr w:type="spellStart"/>
      <w:r w:rsidRPr="00513C80">
        <w:rPr>
          <w:bCs/>
          <w:i/>
          <w:sz w:val="22"/>
          <w:szCs w:val="22"/>
        </w:rPr>
        <w:t>Digoxín</w:t>
      </w:r>
      <w:proofErr w:type="spellEnd"/>
      <w:r w:rsidRPr="00513C80">
        <w:rPr>
          <w:bCs/>
          <w:i/>
          <w:sz w:val="22"/>
          <w:szCs w:val="22"/>
        </w:rPr>
        <w:t xml:space="preserve"> (substráty </w:t>
      </w:r>
      <w:proofErr w:type="spellStart"/>
      <w:r w:rsidRPr="00513C80">
        <w:rPr>
          <w:bCs/>
          <w:i/>
          <w:sz w:val="22"/>
          <w:szCs w:val="22"/>
        </w:rPr>
        <w:t>P-gp</w:t>
      </w:r>
      <w:proofErr w:type="spellEnd"/>
      <w:r w:rsidRPr="00513C80">
        <w:rPr>
          <w:bCs/>
          <w:i/>
          <w:sz w:val="22"/>
          <w:szCs w:val="22"/>
        </w:rPr>
        <w:t>)</w:t>
      </w:r>
    </w:p>
    <w:p w:rsidR="005406B0" w:rsidRPr="00513C80" w:rsidRDefault="005406B0">
      <w:pPr>
        <w:rPr>
          <w:i/>
          <w:sz w:val="22"/>
          <w:szCs w:val="22"/>
        </w:rPr>
      </w:pPr>
      <w:r w:rsidRPr="00513C80">
        <w:rPr>
          <w:bCs/>
          <w:sz w:val="22"/>
          <w:szCs w:val="22"/>
        </w:rPr>
        <w:t xml:space="preserve">Pri súbežnom podaní </w:t>
      </w:r>
      <w:proofErr w:type="spellStart"/>
      <w:r w:rsidRPr="00513C80">
        <w:rPr>
          <w:bCs/>
          <w:sz w:val="22"/>
          <w:szCs w:val="22"/>
        </w:rPr>
        <w:t>makrolidových</w:t>
      </w:r>
      <w:proofErr w:type="spellEnd"/>
      <w:r w:rsidRPr="00513C80">
        <w:rPr>
          <w:bCs/>
          <w:sz w:val="22"/>
          <w:szCs w:val="22"/>
        </w:rPr>
        <w:t xml:space="preserve"> antibiotík, vrátane 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 xml:space="preserve">, so substrátmi </w:t>
      </w:r>
      <w:proofErr w:type="spellStart"/>
      <w:r w:rsidRPr="00513C80">
        <w:rPr>
          <w:bCs/>
          <w:sz w:val="22"/>
          <w:szCs w:val="22"/>
        </w:rPr>
        <w:t>P-glykoproteínu</w:t>
      </w:r>
      <w:proofErr w:type="spellEnd"/>
      <w:r w:rsidRPr="00513C80">
        <w:rPr>
          <w:bCs/>
          <w:sz w:val="22"/>
          <w:szCs w:val="22"/>
        </w:rPr>
        <w:t xml:space="preserve"> ako </w:t>
      </w:r>
      <w:proofErr w:type="spellStart"/>
      <w:r w:rsidRPr="00513C80">
        <w:rPr>
          <w:bCs/>
          <w:sz w:val="22"/>
          <w:szCs w:val="22"/>
        </w:rPr>
        <w:t>digoxín</w:t>
      </w:r>
      <w:proofErr w:type="spellEnd"/>
      <w:r w:rsidRPr="00513C80">
        <w:rPr>
          <w:bCs/>
          <w:sz w:val="22"/>
          <w:szCs w:val="22"/>
        </w:rPr>
        <w:t xml:space="preserve">, sa hlásilo zvýšenie sérových hladín substrátu </w:t>
      </w:r>
      <w:proofErr w:type="spellStart"/>
      <w:r w:rsidRPr="00513C80">
        <w:rPr>
          <w:bCs/>
          <w:sz w:val="22"/>
          <w:szCs w:val="22"/>
        </w:rPr>
        <w:t>P-glykoproteínu</w:t>
      </w:r>
      <w:proofErr w:type="spellEnd"/>
      <w:r w:rsidRPr="00513C80">
        <w:rPr>
          <w:bCs/>
          <w:sz w:val="22"/>
          <w:szCs w:val="22"/>
        </w:rPr>
        <w:t xml:space="preserve">. Preto ak sa </w:t>
      </w:r>
      <w:proofErr w:type="spellStart"/>
      <w:r w:rsidRPr="00513C80">
        <w:rPr>
          <w:bCs/>
          <w:sz w:val="22"/>
          <w:szCs w:val="22"/>
        </w:rPr>
        <w:t>azitromycín</w:t>
      </w:r>
      <w:proofErr w:type="spellEnd"/>
      <w:r w:rsidRPr="00513C80">
        <w:rPr>
          <w:bCs/>
          <w:sz w:val="22"/>
          <w:szCs w:val="22"/>
        </w:rPr>
        <w:t xml:space="preserve"> a substráty </w:t>
      </w:r>
      <w:proofErr w:type="spellStart"/>
      <w:r w:rsidRPr="00513C80">
        <w:rPr>
          <w:bCs/>
          <w:sz w:val="22"/>
          <w:szCs w:val="22"/>
        </w:rPr>
        <w:t>P-gp</w:t>
      </w:r>
      <w:proofErr w:type="spellEnd"/>
      <w:r w:rsidRPr="00513C80">
        <w:rPr>
          <w:bCs/>
          <w:sz w:val="22"/>
          <w:szCs w:val="22"/>
        </w:rPr>
        <w:t xml:space="preserve"> ako </w:t>
      </w:r>
      <w:proofErr w:type="spellStart"/>
      <w:r w:rsidRPr="00513C80">
        <w:rPr>
          <w:bCs/>
          <w:sz w:val="22"/>
          <w:szCs w:val="22"/>
        </w:rPr>
        <w:t>digoxín</w:t>
      </w:r>
      <w:proofErr w:type="spellEnd"/>
      <w:r w:rsidRPr="00513C80">
        <w:rPr>
          <w:bCs/>
          <w:sz w:val="22"/>
          <w:szCs w:val="22"/>
        </w:rPr>
        <w:t xml:space="preserve"> užívajú súbežne, má sa zvážiť možnosť zvýšených sérových koncentrácií </w:t>
      </w:r>
      <w:r w:rsidR="00513C80" w:rsidRPr="00513C80">
        <w:rPr>
          <w:bCs/>
          <w:sz w:val="22"/>
          <w:szCs w:val="22"/>
        </w:rPr>
        <w:t>substrátu</w:t>
      </w:r>
      <w:r w:rsidRPr="00513C80">
        <w:rPr>
          <w:bCs/>
          <w:sz w:val="22"/>
          <w:szCs w:val="22"/>
        </w:rPr>
        <w:t>.</w:t>
      </w:r>
    </w:p>
    <w:p w:rsidR="005406B0" w:rsidRPr="00513C80" w:rsidRDefault="005406B0">
      <w:pPr>
        <w:rPr>
          <w:i/>
          <w:sz w:val="22"/>
          <w:szCs w:val="22"/>
        </w:rPr>
      </w:pPr>
    </w:p>
    <w:p w:rsidR="005406B0" w:rsidRPr="00513C80" w:rsidRDefault="005406B0">
      <w:pPr>
        <w:rPr>
          <w:bCs/>
          <w:sz w:val="22"/>
          <w:szCs w:val="22"/>
        </w:rPr>
      </w:pPr>
      <w:proofErr w:type="spellStart"/>
      <w:r w:rsidRPr="00513C80">
        <w:rPr>
          <w:bCs/>
          <w:i/>
          <w:sz w:val="22"/>
          <w:szCs w:val="22"/>
        </w:rPr>
        <w:t>Zidovudín</w:t>
      </w:r>
      <w:proofErr w:type="spellEnd"/>
    </w:p>
    <w:p w:rsidR="005406B0" w:rsidRPr="00513C80" w:rsidRDefault="005406B0">
      <w:pPr>
        <w:rPr>
          <w:i/>
          <w:sz w:val="22"/>
          <w:szCs w:val="22"/>
        </w:rPr>
      </w:pPr>
      <w:r w:rsidRPr="00513C80">
        <w:rPr>
          <w:bCs/>
          <w:sz w:val="22"/>
          <w:szCs w:val="22"/>
        </w:rPr>
        <w:t xml:space="preserve">Jednorazové dávky 1000 mg 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 xml:space="preserve"> a viacnásobné dávky 600 mg alebo 1200 mg 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 xml:space="preserve"> mali malý vplyv na plazmatickú </w:t>
      </w:r>
      <w:proofErr w:type="spellStart"/>
      <w:r w:rsidRPr="00513C80">
        <w:rPr>
          <w:bCs/>
          <w:sz w:val="22"/>
          <w:szCs w:val="22"/>
        </w:rPr>
        <w:t>farmakokinetiku</w:t>
      </w:r>
      <w:proofErr w:type="spellEnd"/>
      <w:r w:rsidRPr="00513C80">
        <w:rPr>
          <w:bCs/>
          <w:sz w:val="22"/>
          <w:szCs w:val="22"/>
        </w:rPr>
        <w:t xml:space="preserve"> alebo vylučovanie </w:t>
      </w:r>
      <w:proofErr w:type="spellStart"/>
      <w:r w:rsidRPr="00513C80">
        <w:rPr>
          <w:bCs/>
          <w:sz w:val="22"/>
          <w:szCs w:val="22"/>
        </w:rPr>
        <w:t>zidovudínu</w:t>
      </w:r>
      <w:proofErr w:type="spellEnd"/>
      <w:r w:rsidRPr="00513C80">
        <w:rPr>
          <w:bCs/>
          <w:sz w:val="22"/>
          <w:szCs w:val="22"/>
        </w:rPr>
        <w:t xml:space="preserve"> alebo jeho </w:t>
      </w:r>
      <w:proofErr w:type="spellStart"/>
      <w:r w:rsidRPr="00513C80">
        <w:rPr>
          <w:bCs/>
          <w:sz w:val="22"/>
          <w:szCs w:val="22"/>
        </w:rPr>
        <w:t>glukuronidových</w:t>
      </w:r>
      <w:proofErr w:type="spellEnd"/>
      <w:r w:rsidRPr="00513C80">
        <w:rPr>
          <w:bCs/>
          <w:sz w:val="22"/>
          <w:szCs w:val="22"/>
        </w:rPr>
        <w:t xml:space="preserve"> </w:t>
      </w:r>
      <w:proofErr w:type="spellStart"/>
      <w:r w:rsidRPr="00513C80">
        <w:rPr>
          <w:bCs/>
          <w:sz w:val="22"/>
          <w:szCs w:val="22"/>
        </w:rPr>
        <w:t>metabolitov</w:t>
      </w:r>
      <w:proofErr w:type="spellEnd"/>
      <w:r w:rsidRPr="00513C80">
        <w:rPr>
          <w:bCs/>
          <w:sz w:val="22"/>
          <w:szCs w:val="22"/>
        </w:rPr>
        <w:t xml:space="preserve"> močom. Podávanie 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 xml:space="preserve"> ale zvyšovalo koncentrácie </w:t>
      </w:r>
      <w:proofErr w:type="spellStart"/>
      <w:r w:rsidRPr="00513C80">
        <w:rPr>
          <w:bCs/>
          <w:sz w:val="22"/>
          <w:szCs w:val="22"/>
        </w:rPr>
        <w:t>fosforylovaného</w:t>
      </w:r>
      <w:proofErr w:type="spellEnd"/>
      <w:r w:rsidRPr="00513C80">
        <w:rPr>
          <w:bCs/>
          <w:sz w:val="22"/>
          <w:szCs w:val="22"/>
        </w:rPr>
        <w:t xml:space="preserve"> </w:t>
      </w:r>
      <w:proofErr w:type="spellStart"/>
      <w:r w:rsidRPr="00513C80">
        <w:rPr>
          <w:bCs/>
          <w:sz w:val="22"/>
          <w:szCs w:val="22"/>
        </w:rPr>
        <w:t>zidovudínu</w:t>
      </w:r>
      <w:proofErr w:type="spellEnd"/>
      <w:r w:rsidRPr="00513C80">
        <w:rPr>
          <w:bCs/>
          <w:sz w:val="22"/>
          <w:szCs w:val="22"/>
        </w:rPr>
        <w:t xml:space="preserve">, klinicky aktívneho </w:t>
      </w:r>
      <w:proofErr w:type="spellStart"/>
      <w:r w:rsidRPr="00513C80">
        <w:rPr>
          <w:bCs/>
          <w:sz w:val="22"/>
          <w:szCs w:val="22"/>
        </w:rPr>
        <w:t>metabolitu</w:t>
      </w:r>
      <w:proofErr w:type="spellEnd"/>
      <w:r w:rsidRPr="00513C80">
        <w:rPr>
          <w:bCs/>
          <w:sz w:val="22"/>
          <w:szCs w:val="22"/>
        </w:rPr>
        <w:t>, v </w:t>
      </w:r>
      <w:proofErr w:type="spellStart"/>
      <w:r w:rsidRPr="00513C80">
        <w:rPr>
          <w:bCs/>
          <w:sz w:val="22"/>
          <w:szCs w:val="22"/>
        </w:rPr>
        <w:t>mononukleárnych</w:t>
      </w:r>
      <w:proofErr w:type="spellEnd"/>
      <w:r w:rsidRPr="00513C80">
        <w:rPr>
          <w:bCs/>
          <w:sz w:val="22"/>
          <w:szCs w:val="22"/>
        </w:rPr>
        <w:t xml:space="preserve"> bunkách v periférnej cirkulácii. Klinická významnosť týchto nálezov nie je jasná, ale môže byť prínosom pre pacientov.</w:t>
      </w:r>
    </w:p>
    <w:p w:rsidR="005406B0" w:rsidRPr="00513C80" w:rsidRDefault="005406B0">
      <w:pPr>
        <w:rPr>
          <w:i/>
          <w:sz w:val="22"/>
          <w:szCs w:val="22"/>
        </w:rPr>
      </w:pPr>
    </w:p>
    <w:p w:rsidR="005406B0" w:rsidRPr="00513C80" w:rsidRDefault="005406B0">
      <w:pPr>
        <w:rPr>
          <w:i/>
          <w:sz w:val="22"/>
          <w:szCs w:val="22"/>
        </w:rPr>
      </w:pPr>
      <w:proofErr w:type="spellStart"/>
      <w:r w:rsidRPr="00513C80">
        <w:rPr>
          <w:bCs/>
          <w:sz w:val="22"/>
          <w:szCs w:val="22"/>
        </w:rPr>
        <w:t>Azitromycín</w:t>
      </w:r>
      <w:proofErr w:type="spellEnd"/>
      <w:r w:rsidRPr="00513C80">
        <w:rPr>
          <w:bCs/>
          <w:sz w:val="22"/>
          <w:szCs w:val="22"/>
        </w:rPr>
        <w:t xml:space="preserve"> výrazne </w:t>
      </w:r>
      <w:proofErr w:type="spellStart"/>
      <w:r w:rsidRPr="00513C80">
        <w:rPr>
          <w:bCs/>
          <w:sz w:val="22"/>
          <w:szCs w:val="22"/>
        </w:rPr>
        <w:t>neinteraguje</w:t>
      </w:r>
      <w:proofErr w:type="spellEnd"/>
      <w:r w:rsidRPr="00513C80">
        <w:rPr>
          <w:bCs/>
          <w:sz w:val="22"/>
          <w:szCs w:val="22"/>
        </w:rPr>
        <w:t xml:space="preserve"> so systémom </w:t>
      </w:r>
      <w:proofErr w:type="spellStart"/>
      <w:r w:rsidRPr="00513C80">
        <w:rPr>
          <w:bCs/>
          <w:sz w:val="22"/>
          <w:szCs w:val="22"/>
        </w:rPr>
        <w:t>cytochrómu</w:t>
      </w:r>
      <w:proofErr w:type="spellEnd"/>
      <w:r w:rsidRPr="00513C80">
        <w:rPr>
          <w:bCs/>
          <w:sz w:val="22"/>
          <w:szCs w:val="22"/>
        </w:rPr>
        <w:t xml:space="preserve"> P450 v pečeni. Nepredpokladá sa, že by dochádzalo k liekovým interakciám na úrovni </w:t>
      </w:r>
      <w:proofErr w:type="spellStart"/>
      <w:r w:rsidRPr="00513C80">
        <w:rPr>
          <w:bCs/>
          <w:sz w:val="22"/>
          <w:szCs w:val="22"/>
        </w:rPr>
        <w:t>farmakokinetiky</w:t>
      </w:r>
      <w:proofErr w:type="spellEnd"/>
      <w:r w:rsidRPr="00513C80">
        <w:rPr>
          <w:bCs/>
          <w:sz w:val="22"/>
          <w:szCs w:val="22"/>
        </w:rPr>
        <w:t xml:space="preserve">, ako sa to pozorovalo pri </w:t>
      </w:r>
      <w:proofErr w:type="spellStart"/>
      <w:r w:rsidRPr="00513C80">
        <w:rPr>
          <w:bCs/>
          <w:sz w:val="22"/>
          <w:szCs w:val="22"/>
        </w:rPr>
        <w:t>erytromycíne</w:t>
      </w:r>
      <w:proofErr w:type="spellEnd"/>
      <w:r w:rsidRPr="00513C80">
        <w:rPr>
          <w:bCs/>
          <w:sz w:val="22"/>
          <w:szCs w:val="22"/>
        </w:rPr>
        <w:t xml:space="preserve"> </w:t>
      </w:r>
      <w:r w:rsidRPr="00513C80">
        <w:rPr>
          <w:bCs/>
          <w:sz w:val="22"/>
          <w:szCs w:val="22"/>
        </w:rPr>
        <w:lastRenderedPageBreak/>
        <w:t xml:space="preserve">a iných </w:t>
      </w:r>
      <w:proofErr w:type="spellStart"/>
      <w:r w:rsidRPr="00513C80">
        <w:rPr>
          <w:bCs/>
          <w:sz w:val="22"/>
          <w:szCs w:val="22"/>
        </w:rPr>
        <w:t>makrolidoch</w:t>
      </w:r>
      <w:proofErr w:type="spellEnd"/>
      <w:r w:rsidRPr="00513C80">
        <w:rPr>
          <w:bCs/>
          <w:sz w:val="22"/>
          <w:szCs w:val="22"/>
        </w:rPr>
        <w:t xml:space="preserve">. Indukcia </w:t>
      </w:r>
      <w:proofErr w:type="spellStart"/>
      <w:r w:rsidRPr="00513C80">
        <w:rPr>
          <w:bCs/>
          <w:sz w:val="22"/>
          <w:szCs w:val="22"/>
        </w:rPr>
        <w:t>cytochrómom</w:t>
      </w:r>
      <w:proofErr w:type="spellEnd"/>
      <w:r w:rsidRPr="00513C80">
        <w:rPr>
          <w:bCs/>
          <w:sz w:val="22"/>
          <w:szCs w:val="22"/>
        </w:rPr>
        <w:t xml:space="preserve"> P450 v pečeni alebo </w:t>
      </w:r>
      <w:proofErr w:type="spellStart"/>
      <w:r w:rsidRPr="00513C80">
        <w:rPr>
          <w:bCs/>
          <w:sz w:val="22"/>
          <w:szCs w:val="22"/>
        </w:rPr>
        <w:t>inaktivácia</w:t>
      </w:r>
      <w:proofErr w:type="spellEnd"/>
      <w:r w:rsidRPr="00513C80">
        <w:rPr>
          <w:bCs/>
          <w:sz w:val="22"/>
          <w:szCs w:val="22"/>
        </w:rPr>
        <w:t xml:space="preserve"> prostredníctvom komplexu </w:t>
      </w:r>
      <w:proofErr w:type="spellStart"/>
      <w:r w:rsidRPr="00513C80">
        <w:rPr>
          <w:bCs/>
          <w:sz w:val="22"/>
          <w:szCs w:val="22"/>
        </w:rPr>
        <w:t>cytochróm-metabolit</w:t>
      </w:r>
      <w:proofErr w:type="spellEnd"/>
      <w:r w:rsidRPr="00513C80">
        <w:rPr>
          <w:bCs/>
          <w:sz w:val="22"/>
          <w:szCs w:val="22"/>
        </w:rPr>
        <w:t xml:space="preserve"> sa pri </w:t>
      </w:r>
      <w:proofErr w:type="spellStart"/>
      <w:r w:rsidRPr="00513C80">
        <w:rPr>
          <w:bCs/>
          <w:sz w:val="22"/>
          <w:szCs w:val="22"/>
        </w:rPr>
        <w:t>azitromycíne</w:t>
      </w:r>
      <w:proofErr w:type="spellEnd"/>
      <w:r w:rsidRPr="00513C80">
        <w:rPr>
          <w:bCs/>
          <w:sz w:val="22"/>
          <w:szCs w:val="22"/>
        </w:rPr>
        <w:t xml:space="preserve"> nevyskytuje.</w:t>
      </w:r>
    </w:p>
    <w:p w:rsidR="005406B0" w:rsidRPr="00513C80" w:rsidRDefault="005406B0">
      <w:pPr>
        <w:rPr>
          <w:i/>
          <w:sz w:val="22"/>
          <w:szCs w:val="22"/>
        </w:rPr>
      </w:pPr>
    </w:p>
    <w:p w:rsidR="005406B0" w:rsidRPr="00513C80" w:rsidRDefault="005406B0">
      <w:pPr>
        <w:rPr>
          <w:bCs/>
          <w:sz w:val="22"/>
          <w:szCs w:val="22"/>
        </w:rPr>
      </w:pPr>
      <w:r w:rsidRPr="00513C80">
        <w:rPr>
          <w:bCs/>
          <w:i/>
          <w:sz w:val="22"/>
          <w:szCs w:val="22"/>
        </w:rPr>
        <w:t xml:space="preserve">Deriváty </w:t>
      </w:r>
      <w:proofErr w:type="spellStart"/>
      <w:r w:rsidRPr="00513C80">
        <w:rPr>
          <w:bCs/>
          <w:i/>
          <w:sz w:val="22"/>
          <w:szCs w:val="22"/>
        </w:rPr>
        <w:t>ergotamínu</w:t>
      </w:r>
      <w:proofErr w:type="spellEnd"/>
    </w:p>
    <w:p w:rsidR="005406B0" w:rsidRPr="00513C80" w:rsidRDefault="005406B0">
      <w:pPr>
        <w:rPr>
          <w:i/>
          <w:sz w:val="22"/>
          <w:szCs w:val="22"/>
        </w:rPr>
      </w:pPr>
      <w:r w:rsidRPr="00513C80">
        <w:rPr>
          <w:bCs/>
          <w:sz w:val="22"/>
          <w:szCs w:val="22"/>
        </w:rPr>
        <w:t xml:space="preserve">Kombinované podávanie </w:t>
      </w:r>
      <w:proofErr w:type="spellStart"/>
      <w:r w:rsidRPr="00513C80">
        <w:rPr>
          <w:bCs/>
          <w:sz w:val="22"/>
          <w:szCs w:val="22"/>
        </w:rPr>
        <w:t>ergotamínu</w:t>
      </w:r>
      <w:proofErr w:type="spellEnd"/>
      <w:r w:rsidRPr="00513C80">
        <w:rPr>
          <w:bCs/>
          <w:sz w:val="22"/>
          <w:szCs w:val="22"/>
        </w:rPr>
        <w:t xml:space="preserve"> a 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 xml:space="preserve"> môže teoreticky viesť k </w:t>
      </w:r>
      <w:proofErr w:type="spellStart"/>
      <w:r w:rsidRPr="00513C80">
        <w:rPr>
          <w:bCs/>
          <w:sz w:val="22"/>
          <w:szCs w:val="22"/>
        </w:rPr>
        <w:t>ergotizmu</w:t>
      </w:r>
      <w:proofErr w:type="spellEnd"/>
      <w:r w:rsidRPr="00513C80">
        <w:rPr>
          <w:bCs/>
          <w:sz w:val="22"/>
          <w:szCs w:val="22"/>
        </w:rPr>
        <w:t>, a preto sa ich súbežné užívanie neodporúča (pozri časť 4.4).</w:t>
      </w:r>
    </w:p>
    <w:p w:rsidR="005406B0" w:rsidRPr="00513C80" w:rsidRDefault="005406B0">
      <w:pPr>
        <w:rPr>
          <w:i/>
          <w:sz w:val="22"/>
          <w:szCs w:val="22"/>
        </w:rPr>
      </w:pPr>
    </w:p>
    <w:p w:rsidR="005406B0" w:rsidRPr="00513C80" w:rsidRDefault="005406B0">
      <w:pPr>
        <w:rPr>
          <w:i/>
          <w:sz w:val="22"/>
          <w:szCs w:val="22"/>
        </w:rPr>
      </w:pPr>
      <w:r w:rsidRPr="00513C80">
        <w:rPr>
          <w:bCs/>
          <w:sz w:val="22"/>
          <w:szCs w:val="22"/>
        </w:rPr>
        <w:t xml:space="preserve">Vykonali sa </w:t>
      </w:r>
      <w:proofErr w:type="spellStart"/>
      <w:r w:rsidRPr="00513C80">
        <w:rPr>
          <w:bCs/>
          <w:sz w:val="22"/>
          <w:szCs w:val="22"/>
        </w:rPr>
        <w:t>farmakokinetické</w:t>
      </w:r>
      <w:proofErr w:type="spellEnd"/>
      <w:r w:rsidRPr="00513C80">
        <w:rPr>
          <w:bCs/>
          <w:sz w:val="22"/>
          <w:szCs w:val="22"/>
        </w:rPr>
        <w:t xml:space="preserve"> štúdie medzi </w:t>
      </w:r>
      <w:proofErr w:type="spellStart"/>
      <w:r w:rsidRPr="00513C80">
        <w:rPr>
          <w:bCs/>
          <w:sz w:val="22"/>
          <w:szCs w:val="22"/>
        </w:rPr>
        <w:t>azitromycínom</w:t>
      </w:r>
      <w:proofErr w:type="spellEnd"/>
      <w:r w:rsidRPr="00513C80">
        <w:rPr>
          <w:bCs/>
          <w:sz w:val="22"/>
          <w:szCs w:val="22"/>
        </w:rPr>
        <w:t xml:space="preserve"> a nasledujúcimi liekmi, o ktorých je známe, že sú značne metabolizované prostredníctvom </w:t>
      </w:r>
      <w:proofErr w:type="spellStart"/>
      <w:r w:rsidRPr="00513C80">
        <w:rPr>
          <w:bCs/>
          <w:sz w:val="22"/>
          <w:szCs w:val="22"/>
        </w:rPr>
        <w:t>cytochrómu</w:t>
      </w:r>
      <w:proofErr w:type="spellEnd"/>
      <w:r w:rsidRPr="00513C80">
        <w:rPr>
          <w:bCs/>
          <w:sz w:val="22"/>
          <w:szCs w:val="22"/>
        </w:rPr>
        <w:t xml:space="preserve"> P450.</w:t>
      </w:r>
    </w:p>
    <w:p w:rsidR="005406B0" w:rsidRPr="00513C80" w:rsidRDefault="005406B0">
      <w:pPr>
        <w:rPr>
          <w:i/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Atorvastatín</w:t>
      </w:r>
      <w:proofErr w:type="spellEnd"/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Súbežné podanie </w:t>
      </w:r>
      <w:proofErr w:type="spellStart"/>
      <w:r w:rsidRPr="00513C80">
        <w:rPr>
          <w:sz w:val="22"/>
          <w:szCs w:val="22"/>
        </w:rPr>
        <w:t>atorvastatínu</w:t>
      </w:r>
      <w:proofErr w:type="spellEnd"/>
      <w:r w:rsidRPr="00513C80">
        <w:rPr>
          <w:sz w:val="22"/>
          <w:szCs w:val="22"/>
        </w:rPr>
        <w:t xml:space="preserve"> (10 mg denne) a 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(500 mg denne) nezmenilo plazmatické koncentrácie </w:t>
      </w:r>
      <w:proofErr w:type="spellStart"/>
      <w:r w:rsidRPr="00513C80">
        <w:rPr>
          <w:sz w:val="22"/>
          <w:szCs w:val="22"/>
        </w:rPr>
        <w:t>atorvastatínu</w:t>
      </w:r>
      <w:proofErr w:type="spellEnd"/>
      <w:r w:rsidRPr="00513C80">
        <w:rPr>
          <w:sz w:val="22"/>
          <w:szCs w:val="22"/>
        </w:rPr>
        <w:t xml:space="preserve"> (na základe skúšky na inhibíciu </w:t>
      </w:r>
      <w:proofErr w:type="spellStart"/>
      <w:r w:rsidRPr="00513C80">
        <w:rPr>
          <w:sz w:val="22"/>
          <w:szCs w:val="22"/>
        </w:rPr>
        <w:t>HMG-CoA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reduktázy</w:t>
      </w:r>
      <w:proofErr w:type="spellEnd"/>
      <w:r w:rsidRPr="00513C80">
        <w:rPr>
          <w:sz w:val="22"/>
          <w:szCs w:val="22"/>
        </w:rPr>
        <w:t xml:space="preserve">). Po uvedení lieku na trh však boli hlásené prípady </w:t>
      </w:r>
      <w:proofErr w:type="spellStart"/>
      <w:r w:rsidRPr="00513C80">
        <w:rPr>
          <w:sz w:val="22"/>
          <w:szCs w:val="22"/>
        </w:rPr>
        <w:t>rabdomyolýzy</w:t>
      </w:r>
      <w:proofErr w:type="spellEnd"/>
      <w:r w:rsidRPr="00513C80">
        <w:rPr>
          <w:sz w:val="22"/>
          <w:szCs w:val="22"/>
        </w:rPr>
        <w:t xml:space="preserve"> u pacientov dostávajúcich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</w:t>
      </w:r>
      <w:r w:rsidR="008857B2">
        <w:rPr>
          <w:sz w:val="22"/>
          <w:szCs w:val="22"/>
        </w:rPr>
        <w:t xml:space="preserve">spolu </w:t>
      </w:r>
      <w:r w:rsidRPr="00513C80">
        <w:rPr>
          <w:sz w:val="22"/>
          <w:szCs w:val="22"/>
        </w:rPr>
        <w:t xml:space="preserve">so </w:t>
      </w:r>
      <w:proofErr w:type="spellStart"/>
      <w:r w:rsidRPr="00513C80">
        <w:rPr>
          <w:sz w:val="22"/>
          <w:szCs w:val="22"/>
        </w:rPr>
        <w:t>statínmi</w:t>
      </w:r>
      <w:proofErr w:type="spellEnd"/>
      <w:r w:rsidRPr="00513C80">
        <w:rPr>
          <w:sz w:val="22"/>
          <w:szCs w:val="22"/>
        </w:rPr>
        <w:t>.</w:t>
      </w:r>
    </w:p>
    <w:p w:rsidR="005406B0" w:rsidRPr="00513C80" w:rsidRDefault="005406B0">
      <w:pPr>
        <w:rPr>
          <w:sz w:val="22"/>
          <w:szCs w:val="22"/>
        </w:rPr>
      </w:pPr>
    </w:p>
    <w:p w:rsidR="00513C80" w:rsidRDefault="005406B0">
      <w:pPr>
        <w:rPr>
          <w:i/>
          <w:iCs/>
          <w:sz w:val="22"/>
          <w:szCs w:val="22"/>
        </w:rPr>
      </w:pPr>
      <w:proofErr w:type="spellStart"/>
      <w:r w:rsidRPr="00513C80">
        <w:rPr>
          <w:i/>
          <w:iCs/>
          <w:sz w:val="22"/>
          <w:szCs w:val="22"/>
        </w:rPr>
        <w:t>Lovastatín</w:t>
      </w:r>
      <w:proofErr w:type="spellEnd"/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Súčasnému podávaniu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a </w:t>
      </w:r>
      <w:proofErr w:type="spellStart"/>
      <w:r w:rsidRPr="00513C80">
        <w:rPr>
          <w:sz w:val="22"/>
          <w:szCs w:val="22"/>
        </w:rPr>
        <w:t>lovastatínu</w:t>
      </w:r>
      <w:proofErr w:type="spellEnd"/>
      <w:r w:rsidRPr="00513C80">
        <w:rPr>
          <w:sz w:val="22"/>
          <w:szCs w:val="22"/>
        </w:rPr>
        <w:t xml:space="preserve"> je potrebné sa vyhnúť, pretože môže dôjsť k zvýšeniu plazmatickej koncentrácie </w:t>
      </w:r>
      <w:proofErr w:type="spellStart"/>
      <w:r w:rsidRPr="00513C80">
        <w:rPr>
          <w:sz w:val="22"/>
          <w:szCs w:val="22"/>
        </w:rPr>
        <w:t>lovastatínu</w:t>
      </w:r>
      <w:proofErr w:type="spellEnd"/>
      <w:r w:rsidRPr="00513C80">
        <w:rPr>
          <w:sz w:val="22"/>
          <w:szCs w:val="22"/>
        </w:rPr>
        <w:t xml:space="preserve">, čo vedie k </w:t>
      </w:r>
      <w:proofErr w:type="spellStart"/>
      <w:r w:rsidRPr="00513C80">
        <w:rPr>
          <w:sz w:val="22"/>
          <w:szCs w:val="22"/>
        </w:rPr>
        <w:t>rabdomyolýze</w:t>
      </w:r>
      <w:proofErr w:type="spellEnd"/>
      <w:r w:rsidRPr="00513C80">
        <w:rPr>
          <w:sz w:val="22"/>
          <w:szCs w:val="22"/>
        </w:rPr>
        <w:t xml:space="preserve">. 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Karbamazepín</w:t>
      </w:r>
      <w:proofErr w:type="spellEnd"/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Vo </w:t>
      </w:r>
      <w:proofErr w:type="spellStart"/>
      <w:r w:rsidRPr="00513C80">
        <w:rPr>
          <w:sz w:val="22"/>
          <w:szCs w:val="22"/>
        </w:rPr>
        <w:t>farmakokinetickej</w:t>
      </w:r>
      <w:proofErr w:type="spellEnd"/>
      <w:r w:rsidRPr="00513C80">
        <w:rPr>
          <w:sz w:val="22"/>
          <w:szCs w:val="22"/>
        </w:rPr>
        <w:t xml:space="preserve"> interakčnej štúdii u zdravých dobrovoľníkov sa nepozoroval žiadny významný účinok na plazmatické koncentrácie </w:t>
      </w:r>
      <w:proofErr w:type="spellStart"/>
      <w:r w:rsidRPr="00513C80">
        <w:rPr>
          <w:sz w:val="22"/>
          <w:szCs w:val="22"/>
        </w:rPr>
        <w:t>karbamazepínu</w:t>
      </w:r>
      <w:proofErr w:type="spellEnd"/>
      <w:r w:rsidRPr="00513C80">
        <w:rPr>
          <w:sz w:val="22"/>
          <w:szCs w:val="22"/>
        </w:rPr>
        <w:t xml:space="preserve"> alebo jeho aktívnych </w:t>
      </w:r>
      <w:proofErr w:type="spellStart"/>
      <w:r w:rsidRPr="00513C80">
        <w:rPr>
          <w:sz w:val="22"/>
          <w:szCs w:val="22"/>
        </w:rPr>
        <w:t>metabolitov</w:t>
      </w:r>
      <w:proofErr w:type="spellEnd"/>
      <w:r w:rsidRPr="00513C80">
        <w:rPr>
          <w:sz w:val="22"/>
          <w:szCs w:val="22"/>
        </w:rPr>
        <w:t xml:space="preserve"> u pacientov užívajúcich súbežne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. 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Cimetidín</w:t>
      </w:r>
      <w:proofErr w:type="spellEnd"/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Vo </w:t>
      </w:r>
      <w:proofErr w:type="spellStart"/>
      <w:r w:rsidRPr="00513C80">
        <w:rPr>
          <w:sz w:val="22"/>
          <w:szCs w:val="22"/>
        </w:rPr>
        <w:t>farmakokinetickej</w:t>
      </w:r>
      <w:proofErr w:type="spellEnd"/>
      <w:r w:rsidRPr="00513C80">
        <w:rPr>
          <w:sz w:val="22"/>
          <w:szCs w:val="22"/>
        </w:rPr>
        <w:t xml:space="preserve"> štúdii skúmajúcej účinky jednotlivej dávky </w:t>
      </w:r>
      <w:proofErr w:type="spellStart"/>
      <w:r w:rsidRPr="00513C80">
        <w:rPr>
          <w:sz w:val="22"/>
          <w:szCs w:val="22"/>
        </w:rPr>
        <w:t>cimetidínu</w:t>
      </w:r>
      <w:proofErr w:type="spellEnd"/>
      <w:r w:rsidRPr="00513C80">
        <w:rPr>
          <w:sz w:val="22"/>
          <w:szCs w:val="22"/>
        </w:rPr>
        <w:t xml:space="preserve">, podanej 2 hodiny pred </w:t>
      </w:r>
      <w:proofErr w:type="spellStart"/>
      <w:r w:rsidRPr="00513C80">
        <w:rPr>
          <w:sz w:val="22"/>
          <w:szCs w:val="22"/>
        </w:rPr>
        <w:t>azitromycínom</w:t>
      </w:r>
      <w:proofErr w:type="spellEnd"/>
      <w:r w:rsidRPr="00513C80">
        <w:rPr>
          <w:sz w:val="22"/>
          <w:szCs w:val="22"/>
        </w:rPr>
        <w:t xml:space="preserve">, na </w:t>
      </w:r>
      <w:proofErr w:type="spellStart"/>
      <w:r w:rsidRPr="00513C80">
        <w:rPr>
          <w:sz w:val="22"/>
          <w:szCs w:val="22"/>
        </w:rPr>
        <w:t>farmakokinetiku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, sa nepozorovala žiadna zmena vo </w:t>
      </w:r>
      <w:proofErr w:type="spellStart"/>
      <w:r w:rsidRPr="00513C80">
        <w:rPr>
          <w:sz w:val="22"/>
          <w:szCs w:val="22"/>
        </w:rPr>
        <w:t>farmakokinetike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>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bCs/>
          <w:sz w:val="22"/>
          <w:szCs w:val="22"/>
        </w:rPr>
      </w:pPr>
      <w:r w:rsidRPr="00513C80">
        <w:rPr>
          <w:bCs/>
          <w:i/>
          <w:sz w:val="22"/>
          <w:szCs w:val="22"/>
        </w:rPr>
        <w:t xml:space="preserve">Perorálne </w:t>
      </w:r>
      <w:proofErr w:type="spellStart"/>
      <w:r w:rsidRPr="00513C80">
        <w:rPr>
          <w:bCs/>
          <w:i/>
          <w:sz w:val="22"/>
          <w:szCs w:val="22"/>
        </w:rPr>
        <w:t>antikoagulanciá</w:t>
      </w:r>
      <w:proofErr w:type="spellEnd"/>
      <w:r w:rsidRPr="00513C80">
        <w:rPr>
          <w:bCs/>
          <w:i/>
          <w:sz w:val="22"/>
          <w:szCs w:val="22"/>
        </w:rPr>
        <w:t xml:space="preserve"> </w:t>
      </w:r>
      <w:proofErr w:type="spellStart"/>
      <w:r w:rsidRPr="00513C80">
        <w:rPr>
          <w:bCs/>
          <w:i/>
          <w:sz w:val="22"/>
          <w:szCs w:val="22"/>
        </w:rPr>
        <w:t>kumarínového</w:t>
      </w:r>
      <w:proofErr w:type="spellEnd"/>
      <w:r w:rsidRPr="00513C80">
        <w:rPr>
          <w:bCs/>
          <w:i/>
          <w:sz w:val="22"/>
          <w:szCs w:val="22"/>
        </w:rPr>
        <w:t xml:space="preserve"> typu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bCs/>
          <w:sz w:val="22"/>
          <w:szCs w:val="22"/>
        </w:rPr>
        <w:t xml:space="preserve">Vo </w:t>
      </w:r>
      <w:proofErr w:type="spellStart"/>
      <w:r w:rsidRPr="00513C80">
        <w:rPr>
          <w:bCs/>
          <w:sz w:val="22"/>
          <w:szCs w:val="22"/>
        </w:rPr>
        <w:t>farmakokinetickej</w:t>
      </w:r>
      <w:proofErr w:type="spellEnd"/>
      <w:r w:rsidRPr="00513C80">
        <w:rPr>
          <w:bCs/>
          <w:sz w:val="22"/>
          <w:szCs w:val="22"/>
        </w:rPr>
        <w:t xml:space="preserve"> interakčnej štúdii </w:t>
      </w:r>
      <w:proofErr w:type="spellStart"/>
      <w:r w:rsidRPr="00513C80">
        <w:rPr>
          <w:bCs/>
          <w:sz w:val="22"/>
          <w:szCs w:val="22"/>
        </w:rPr>
        <w:t>azitromycín</w:t>
      </w:r>
      <w:proofErr w:type="spellEnd"/>
      <w:r w:rsidRPr="00513C80">
        <w:rPr>
          <w:bCs/>
          <w:sz w:val="22"/>
          <w:szCs w:val="22"/>
        </w:rPr>
        <w:t xml:space="preserve"> nemenil </w:t>
      </w:r>
      <w:proofErr w:type="spellStart"/>
      <w:r w:rsidRPr="00513C80">
        <w:rPr>
          <w:bCs/>
          <w:sz w:val="22"/>
          <w:szCs w:val="22"/>
        </w:rPr>
        <w:t>antikoagulačný</w:t>
      </w:r>
      <w:proofErr w:type="spellEnd"/>
      <w:r w:rsidRPr="00513C80">
        <w:rPr>
          <w:bCs/>
          <w:sz w:val="22"/>
          <w:szCs w:val="22"/>
        </w:rPr>
        <w:t xml:space="preserve"> účinok jednorazovej dávky 15 mg </w:t>
      </w:r>
      <w:proofErr w:type="spellStart"/>
      <w:r w:rsidRPr="00513C80">
        <w:rPr>
          <w:bCs/>
          <w:sz w:val="22"/>
          <w:szCs w:val="22"/>
        </w:rPr>
        <w:t>warfarínu</w:t>
      </w:r>
      <w:proofErr w:type="spellEnd"/>
      <w:r w:rsidRPr="00513C80">
        <w:rPr>
          <w:bCs/>
          <w:sz w:val="22"/>
          <w:szCs w:val="22"/>
        </w:rPr>
        <w:t xml:space="preserve"> podávanej zdravým dobrovoľníkom. Po uvedení lieku na trh sa po súbežnom užívaní 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 xml:space="preserve"> a perorálnych </w:t>
      </w:r>
      <w:proofErr w:type="spellStart"/>
      <w:r w:rsidRPr="00513C80">
        <w:rPr>
          <w:bCs/>
          <w:sz w:val="22"/>
          <w:szCs w:val="22"/>
        </w:rPr>
        <w:t>antikoagulancií</w:t>
      </w:r>
      <w:proofErr w:type="spellEnd"/>
      <w:r w:rsidRPr="00513C80">
        <w:rPr>
          <w:bCs/>
          <w:sz w:val="22"/>
          <w:szCs w:val="22"/>
        </w:rPr>
        <w:t xml:space="preserve"> </w:t>
      </w:r>
      <w:proofErr w:type="spellStart"/>
      <w:r w:rsidRPr="00513C80">
        <w:rPr>
          <w:bCs/>
          <w:sz w:val="22"/>
          <w:szCs w:val="22"/>
        </w:rPr>
        <w:t>kumarínového</w:t>
      </w:r>
      <w:proofErr w:type="spellEnd"/>
      <w:r w:rsidRPr="00513C80">
        <w:rPr>
          <w:bCs/>
          <w:sz w:val="22"/>
          <w:szCs w:val="22"/>
        </w:rPr>
        <w:t xml:space="preserve"> typu hlásilo zosilnenie </w:t>
      </w:r>
      <w:proofErr w:type="spellStart"/>
      <w:r w:rsidRPr="00513C80">
        <w:rPr>
          <w:bCs/>
          <w:sz w:val="22"/>
          <w:szCs w:val="22"/>
        </w:rPr>
        <w:t>antikoagulačného</w:t>
      </w:r>
      <w:proofErr w:type="spellEnd"/>
      <w:r w:rsidRPr="00513C80">
        <w:rPr>
          <w:bCs/>
          <w:sz w:val="22"/>
          <w:szCs w:val="22"/>
        </w:rPr>
        <w:t xml:space="preserve"> účinku. Hoci sa kauzálny vzťah nepreukázal, má sa zvážiť frekvencia sledovania </w:t>
      </w:r>
      <w:proofErr w:type="spellStart"/>
      <w:r w:rsidRPr="00513C80">
        <w:rPr>
          <w:bCs/>
          <w:sz w:val="22"/>
          <w:szCs w:val="22"/>
        </w:rPr>
        <w:t>protrombínového</w:t>
      </w:r>
      <w:proofErr w:type="spellEnd"/>
      <w:r w:rsidRPr="00513C80">
        <w:rPr>
          <w:bCs/>
          <w:sz w:val="22"/>
          <w:szCs w:val="22"/>
        </w:rPr>
        <w:t xml:space="preserve"> času v prípade, že sa </w:t>
      </w:r>
      <w:proofErr w:type="spellStart"/>
      <w:r w:rsidRPr="00513C80">
        <w:rPr>
          <w:bCs/>
          <w:sz w:val="22"/>
          <w:szCs w:val="22"/>
        </w:rPr>
        <w:t>azitromycín</w:t>
      </w:r>
      <w:proofErr w:type="spellEnd"/>
      <w:r w:rsidRPr="00513C80">
        <w:rPr>
          <w:bCs/>
          <w:sz w:val="22"/>
          <w:szCs w:val="22"/>
        </w:rPr>
        <w:t xml:space="preserve"> používa u pacientov, ktorí užívajú perorálne </w:t>
      </w:r>
      <w:proofErr w:type="spellStart"/>
      <w:r w:rsidRPr="00513C80">
        <w:rPr>
          <w:bCs/>
          <w:sz w:val="22"/>
          <w:szCs w:val="22"/>
        </w:rPr>
        <w:t>antikoagulanciá</w:t>
      </w:r>
      <w:proofErr w:type="spellEnd"/>
      <w:r w:rsidRPr="00513C80">
        <w:rPr>
          <w:bCs/>
          <w:sz w:val="22"/>
          <w:szCs w:val="22"/>
        </w:rPr>
        <w:t xml:space="preserve"> </w:t>
      </w:r>
      <w:proofErr w:type="spellStart"/>
      <w:r w:rsidRPr="00513C80">
        <w:rPr>
          <w:bCs/>
          <w:sz w:val="22"/>
          <w:szCs w:val="22"/>
        </w:rPr>
        <w:t>kumarínového</w:t>
      </w:r>
      <w:proofErr w:type="spellEnd"/>
      <w:r w:rsidRPr="00513C80">
        <w:rPr>
          <w:bCs/>
          <w:sz w:val="22"/>
          <w:szCs w:val="22"/>
        </w:rPr>
        <w:t xml:space="preserve"> typu.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bCs/>
          <w:sz w:val="22"/>
          <w:szCs w:val="22"/>
        </w:rPr>
      </w:pPr>
      <w:proofErr w:type="spellStart"/>
      <w:r w:rsidRPr="00513C80">
        <w:rPr>
          <w:bCs/>
          <w:i/>
          <w:sz w:val="22"/>
          <w:szCs w:val="22"/>
        </w:rPr>
        <w:t>Cyklosporín</w:t>
      </w:r>
      <w:proofErr w:type="spellEnd"/>
    </w:p>
    <w:p w:rsidR="005406B0" w:rsidRPr="00513C80" w:rsidRDefault="005406B0">
      <w:pPr>
        <w:rPr>
          <w:bCs/>
          <w:sz w:val="22"/>
          <w:szCs w:val="22"/>
        </w:rPr>
      </w:pPr>
      <w:r w:rsidRPr="00513C80">
        <w:rPr>
          <w:bCs/>
          <w:sz w:val="22"/>
          <w:szCs w:val="22"/>
        </w:rPr>
        <w:t xml:space="preserve">Vo </w:t>
      </w:r>
      <w:proofErr w:type="spellStart"/>
      <w:r w:rsidR="00513C80" w:rsidRPr="00513C80">
        <w:rPr>
          <w:bCs/>
          <w:sz w:val="22"/>
          <w:szCs w:val="22"/>
        </w:rPr>
        <w:t>farmakokinetickej</w:t>
      </w:r>
      <w:proofErr w:type="spellEnd"/>
      <w:r w:rsidRPr="00513C80">
        <w:rPr>
          <w:bCs/>
          <w:sz w:val="22"/>
          <w:szCs w:val="22"/>
        </w:rPr>
        <w:t xml:space="preserve"> interakčnej štúdii so zdravými dobrovoľníkmi, ktorí užívali perorálne denne 500 mg 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 xml:space="preserve"> počas 3 dní a následne perorálnu jednorazovú dávku 10 mg/kg </w:t>
      </w:r>
      <w:proofErr w:type="spellStart"/>
      <w:r w:rsidRPr="00513C80">
        <w:rPr>
          <w:bCs/>
          <w:sz w:val="22"/>
          <w:szCs w:val="22"/>
        </w:rPr>
        <w:t>cyklosporínu</w:t>
      </w:r>
      <w:proofErr w:type="spellEnd"/>
      <w:r w:rsidRPr="00513C80">
        <w:rPr>
          <w:bCs/>
          <w:sz w:val="22"/>
          <w:szCs w:val="22"/>
        </w:rPr>
        <w:t xml:space="preserve">, boli zaznamenané výrazne zvýšené hodnoty </w:t>
      </w:r>
      <w:proofErr w:type="spellStart"/>
      <w:r w:rsidR="001B2CBC">
        <w:rPr>
          <w:bCs/>
          <w:sz w:val="22"/>
          <w:szCs w:val="22"/>
        </w:rPr>
        <w:t>C</w:t>
      </w:r>
      <w:r w:rsidR="001B2CBC" w:rsidRPr="00513C80">
        <w:rPr>
          <w:bCs/>
          <w:sz w:val="22"/>
          <w:szCs w:val="22"/>
          <w:vertAlign w:val="subscript"/>
        </w:rPr>
        <w:t>max</w:t>
      </w:r>
      <w:proofErr w:type="spellEnd"/>
      <w:r w:rsidR="001B2CBC" w:rsidRPr="00513C80">
        <w:rPr>
          <w:bCs/>
          <w:sz w:val="22"/>
          <w:szCs w:val="22"/>
        </w:rPr>
        <w:t xml:space="preserve"> </w:t>
      </w:r>
      <w:r w:rsidRPr="00513C80">
        <w:rPr>
          <w:bCs/>
          <w:sz w:val="22"/>
          <w:szCs w:val="22"/>
        </w:rPr>
        <w:t>a AUC</w:t>
      </w:r>
      <w:r w:rsidRPr="00513C80">
        <w:rPr>
          <w:bCs/>
          <w:sz w:val="22"/>
          <w:szCs w:val="22"/>
          <w:vertAlign w:val="subscript"/>
        </w:rPr>
        <w:t>0-5</w:t>
      </w:r>
      <w:r w:rsidRPr="00513C80">
        <w:rPr>
          <w:bCs/>
          <w:sz w:val="22"/>
          <w:szCs w:val="22"/>
        </w:rPr>
        <w:t xml:space="preserve"> pre </w:t>
      </w:r>
      <w:proofErr w:type="spellStart"/>
      <w:r w:rsidRPr="00513C80">
        <w:rPr>
          <w:bCs/>
          <w:sz w:val="22"/>
          <w:szCs w:val="22"/>
        </w:rPr>
        <w:t>cyklosporín</w:t>
      </w:r>
      <w:proofErr w:type="spellEnd"/>
      <w:r w:rsidRPr="00513C80">
        <w:rPr>
          <w:bCs/>
          <w:sz w:val="22"/>
          <w:szCs w:val="22"/>
        </w:rPr>
        <w:t xml:space="preserve">. Z tohto dôvodu je potrebné dôkladne zvážiť súbežné podanie týchto liekov. Ak je kombinovaná liečba nevyhnutná, koncentrácie </w:t>
      </w:r>
      <w:proofErr w:type="spellStart"/>
      <w:r w:rsidRPr="00513C80">
        <w:rPr>
          <w:bCs/>
          <w:sz w:val="22"/>
          <w:szCs w:val="22"/>
        </w:rPr>
        <w:t>cyklosporínu</w:t>
      </w:r>
      <w:proofErr w:type="spellEnd"/>
      <w:r w:rsidRPr="00513C80">
        <w:rPr>
          <w:bCs/>
          <w:sz w:val="22"/>
          <w:szCs w:val="22"/>
        </w:rPr>
        <w:t xml:space="preserve"> majú byť starostlivo monitorované a podľa toho sa má upraviť dávka.</w:t>
      </w:r>
    </w:p>
    <w:p w:rsidR="005406B0" w:rsidRPr="00513C80" w:rsidRDefault="005406B0">
      <w:pPr>
        <w:rPr>
          <w:bCs/>
          <w:sz w:val="22"/>
          <w:szCs w:val="22"/>
        </w:rPr>
      </w:pPr>
    </w:p>
    <w:p w:rsidR="005406B0" w:rsidRPr="00513C80" w:rsidRDefault="005406B0">
      <w:pPr>
        <w:rPr>
          <w:bCs/>
          <w:sz w:val="22"/>
          <w:szCs w:val="22"/>
        </w:rPr>
      </w:pPr>
      <w:proofErr w:type="spellStart"/>
      <w:r w:rsidRPr="00513C80">
        <w:rPr>
          <w:bCs/>
          <w:i/>
          <w:sz w:val="22"/>
          <w:szCs w:val="22"/>
        </w:rPr>
        <w:t>Efavirenz</w:t>
      </w:r>
      <w:proofErr w:type="spellEnd"/>
    </w:p>
    <w:p w:rsidR="005406B0" w:rsidRPr="00513C80" w:rsidRDefault="005406B0">
      <w:pPr>
        <w:rPr>
          <w:bCs/>
          <w:sz w:val="22"/>
          <w:szCs w:val="22"/>
        </w:rPr>
      </w:pPr>
      <w:r w:rsidRPr="00513C80">
        <w:rPr>
          <w:bCs/>
          <w:sz w:val="22"/>
          <w:szCs w:val="22"/>
        </w:rPr>
        <w:t xml:space="preserve">Súbežné podanie jednorazovej dávky 600 mg 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 xml:space="preserve"> a 400 </w:t>
      </w:r>
      <w:r w:rsidRPr="00513C80">
        <w:rPr>
          <w:sz w:val="22"/>
          <w:szCs w:val="22"/>
        </w:rPr>
        <w:t xml:space="preserve">mg </w:t>
      </w:r>
      <w:proofErr w:type="spellStart"/>
      <w:r w:rsidRPr="00513C80">
        <w:rPr>
          <w:sz w:val="22"/>
          <w:szCs w:val="22"/>
        </w:rPr>
        <w:t>efavirenzu</w:t>
      </w:r>
      <w:proofErr w:type="spellEnd"/>
      <w:r w:rsidRPr="00513C80">
        <w:rPr>
          <w:sz w:val="22"/>
          <w:szCs w:val="22"/>
        </w:rPr>
        <w:t xml:space="preserve"> denne počas 7 dní neviedlo k žiadnym klinicky významným </w:t>
      </w:r>
      <w:proofErr w:type="spellStart"/>
      <w:r w:rsidRPr="00513C80">
        <w:rPr>
          <w:sz w:val="22"/>
          <w:szCs w:val="22"/>
        </w:rPr>
        <w:t>farmakokinetickým</w:t>
      </w:r>
      <w:proofErr w:type="spellEnd"/>
      <w:r w:rsidRPr="00513C80">
        <w:rPr>
          <w:sz w:val="22"/>
          <w:szCs w:val="22"/>
        </w:rPr>
        <w:t xml:space="preserve"> interakciám.</w:t>
      </w:r>
    </w:p>
    <w:p w:rsidR="005406B0" w:rsidRPr="00513C80" w:rsidRDefault="005406B0">
      <w:pPr>
        <w:rPr>
          <w:bCs/>
          <w:sz w:val="22"/>
          <w:szCs w:val="22"/>
        </w:rPr>
      </w:pPr>
    </w:p>
    <w:p w:rsidR="005406B0" w:rsidRPr="00513C80" w:rsidRDefault="005406B0">
      <w:pPr>
        <w:rPr>
          <w:bCs/>
          <w:sz w:val="22"/>
          <w:szCs w:val="22"/>
        </w:rPr>
      </w:pPr>
      <w:proofErr w:type="spellStart"/>
      <w:r w:rsidRPr="00513C80">
        <w:rPr>
          <w:bCs/>
          <w:i/>
          <w:sz w:val="22"/>
          <w:szCs w:val="22"/>
        </w:rPr>
        <w:t>Flukonazol</w:t>
      </w:r>
      <w:proofErr w:type="spellEnd"/>
    </w:p>
    <w:p w:rsidR="005406B0" w:rsidRPr="00513C80" w:rsidRDefault="005406B0">
      <w:pPr>
        <w:rPr>
          <w:bCs/>
          <w:sz w:val="22"/>
          <w:szCs w:val="22"/>
        </w:rPr>
      </w:pPr>
      <w:r w:rsidRPr="00513C80">
        <w:rPr>
          <w:bCs/>
          <w:sz w:val="22"/>
          <w:szCs w:val="22"/>
        </w:rPr>
        <w:t xml:space="preserve">Súbežné podanie jednorazovej dávky 1200 mg 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 xml:space="preserve"> nezmenilo </w:t>
      </w:r>
      <w:proofErr w:type="spellStart"/>
      <w:r w:rsidRPr="00513C80">
        <w:rPr>
          <w:bCs/>
          <w:sz w:val="22"/>
          <w:szCs w:val="22"/>
        </w:rPr>
        <w:t>farmakokinetiku</w:t>
      </w:r>
      <w:proofErr w:type="spellEnd"/>
      <w:r w:rsidRPr="00513C80">
        <w:rPr>
          <w:bCs/>
          <w:sz w:val="22"/>
          <w:szCs w:val="22"/>
        </w:rPr>
        <w:t xml:space="preserve"> jednorazovej dávky 800 mg </w:t>
      </w:r>
      <w:proofErr w:type="spellStart"/>
      <w:r w:rsidRPr="00513C80">
        <w:rPr>
          <w:bCs/>
          <w:sz w:val="22"/>
          <w:szCs w:val="22"/>
        </w:rPr>
        <w:t>flukonazolu</w:t>
      </w:r>
      <w:proofErr w:type="spellEnd"/>
      <w:r w:rsidRPr="00513C80">
        <w:rPr>
          <w:bCs/>
          <w:sz w:val="22"/>
          <w:szCs w:val="22"/>
        </w:rPr>
        <w:t xml:space="preserve">. Celková expozícia a polčas 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 xml:space="preserve"> sa nezmenili súbežným podaním </w:t>
      </w:r>
      <w:proofErr w:type="spellStart"/>
      <w:r w:rsidRPr="00513C80">
        <w:rPr>
          <w:bCs/>
          <w:sz w:val="22"/>
          <w:szCs w:val="22"/>
        </w:rPr>
        <w:t>flukonazolu</w:t>
      </w:r>
      <w:proofErr w:type="spellEnd"/>
      <w:r w:rsidRPr="00513C80">
        <w:rPr>
          <w:bCs/>
          <w:sz w:val="22"/>
          <w:szCs w:val="22"/>
        </w:rPr>
        <w:t xml:space="preserve">, avšak pozorovalo sa klinicky nevýznamné zníženie </w:t>
      </w:r>
      <w:proofErr w:type="spellStart"/>
      <w:r w:rsidR="001B2CBC">
        <w:rPr>
          <w:bCs/>
          <w:sz w:val="22"/>
          <w:szCs w:val="22"/>
        </w:rPr>
        <w:t>C</w:t>
      </w:r>
      <w:r w:rsidRPr="00513C80">
        <w:rPr>
          <w:bCs/>
          <w:sz w:val="22"/>
          <w:szCs w:val="22"/>
          <w:vertAlign w:val="subscript"/>
        </w:rPr>
        <w:t>max</w:t>
      </w:r>
      <w:proofErr w:type="spellEnd"/>
      <w:r w:rsidRPr="00513C80">
        <w:rPr>
          <w:bCs/>
          <w:sz w:val="22"/>
          <w:szCs w:val="22"/>
        </w:rPr>
        <w:t xml:space="preserve"> (18 %) 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>.</w:t>
      </w:r>
    </w:p>
    <w:p w:rsidR="005406B0" w:rsidRPr="00513C80" w:rsidRDefault="005406B0">
      <w:pPr>
        <w:rPr>
          <w:bCs/>
          <w:sz w:val="22"/>
          <w:szCs w:val="22"/>
        </w:rPr>
      </w:pPr>
    </w:p>
    <w:p w:rsidR="005406B0" w:rsidRPr="00513C80" w:rsidRDefault="005406B0">
      <w:pPr>
        <w:rPr>
          <w:bCs/>
          <w:sz w:val="22"/>
          <w:szCs w:val="22"/>
        </w:rPr>
      </w:pPr>
      <w:proofErr w:type="spellStart"/>
      <w:r w:rsidRPr="00513C80">
        <w:rPr>
          <w:bCs/>
          <w:i/>
          <w:sz w:val="22"/>
          <w:szCs w:val="22"/>
        </w:rPr>
        <w:t>Indinavir</w:t>
      </w:r>
      <w:proofErr w:type="spellEnd"/>
    </w:p>
    <w:p w:rsidR="005406B0" w:rsidRPr="00513C80" w:rsidRDefault="005406B0">
      <w:pPr>
        <w:rPr>
          <w:bCs/>
          <w:sz w:val="22"/>
          <w:szCs w:val="22"/>
        </w:rPr>
      </w:pPr>
      <w:r w:rsidRPr="00513C80">
        <w:rPr>
          <w:bCs/>
          <w:sz w:val="22"/>
          <w:szCs w:val="22"/>
        </w:rPr>
        <w:lastRenderedPageBreak/>
        <w:t xml:space="preserve">Súbežné podanie jednorazovej dávky 1200 mg 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 xml:space="preserve"> nemalo žiadny štatisticky významný účinok na </w:t>
      </w:r>
      <w:proofErr w:type="spellStart"/>
      <w:r w:rsidRPr="00513C80">
        <w:rPr>
          <w:bCs/>
          <w:sz w:val="22"/>
          <w:szCs w:val="22"/>
        </w:rPr>
        <w:t>farmakokinetiku</w:t>
      </w:r>
      <w:proofErr w:type="spellEnd"/>
      <w:r w:rsidRPr="00513C80">
        <w:rPr>
          <w:bCs/>
          <w:sz w:val="22"/>
          <w:szCs w:val="22"/>
        </w:rPr>
        <w:t xml:space="preserve"> </w:t>
      </w:r>
      <w:proofErr w:type="spellStart"/>
      <w:r w:rsidRPr="00513C80">
        <w:rPr>
          <w:bCs/>
          <w:sz w:val="22"/>
          <w:szCs w:val="22"/>
        </w:rPr>
        <w:t>indinaviru</w:t>
      </w:r>
      <w:proofErr w:type="spellEnd"/>
      <w:r w:rsidRPr="00513C80">
        <w:rPr>
          <w:bCs/>
          <w:sz w:val="22"/>
          <w:szCs w:val="22"/>
        </w:rPr>
        <w:t xml:space="preserve"> podaného v dávke 800 mg trikrát denne počas 5 dní.</w:t>
      </w:r>
    </w:p>
    <w:p w:rsidR="005406B0" w:rsidRPr="00513C80" w:rsidRDefault="005406B0">
      <w:pPr>
        <w:rPr>
          <w:bCs/>
          <w:sz w:val="22"/>
          <w:szCs w:val="22"/>
        </w:rPr>
      </w:pPr>
    </w:p>
    <w:p w:rsidR="005406B0" w:rsidRPr="00513C80" w:rsidRDefault="005406B0">
      <w:pPr>
        <w:rPr>
          <w:bCs/>
          <w:sz w:val="22"/>
          <w:szCs w:val="22"/>
        </w:rPr>
      </w:pPr>
      <w:proofErr w:type="spellStart"/>
      <w:r w:rsidRPr="00513C80">
        <w:rPr>
          <w:bCs/>
          <w:i/>
          <w:sz w:val="22"/>
          <w:szCs w:val="22"/>
        </w:rPr>
        <w:t>Metylprednizolón</w:t>
      </w:r>
      <w:proofErr w:type="spellEnd"/>
    </w:p>
    <w:p w:rsidR="005406B0" w:rsidRPr="00513C80" w:rsidRDefault="005406B0">
      <w:pPr>
        <w:rPr>
          <w:bCs/>
          <w:sz w:val="22"/>
          <w:szCs w:val="22"/>
        </w:rPr>
      </w:pPr>
      <w:r w:rsidRPr="00513C80">
        <w:rPr>
          <w:bCs/>
          <w:sz w:val="22"/>
          <w:szCs w:val="22"/>
        </w:rPr>
        <w:t xml:space="preserve">Vo </w:t>
      </w:r>
      <w:proofErr w:type="spellStart"/>
      <w:r w:rsidRPr="00513C80">
        <w:rPr>
          <w:bCs/>
          <w:sz w:val="22"/>
          <w:szCs w:val="22"/>
        </w:rPr>
        <w:t>farmakokinetickej</w:t>
      </w:r>
      <w:proofErr w:type="spellEnd"/>
      <w:r w:rsidRPr="00513C80">
        <w:rPr>
          <w:bCs/>
          <w:sz w:val="22"/>
          <w:szCs w:val="22"/>
        </w:rPr>
        <w:t xml:space="preserve"> interakčnej štúdii vykonanej u zdravých dobrovoľníkov nemal </w:t>
      </w:r>
      <w:proofErr w:type="spellStart"/>
      <w:r w:rsidRPr="00513C80">
        <w:rPr>
          <w:bCs/>
          <w:sz w:val="22"/>
          <w:szCs w:val="22"/>
        </w:rPr>
        <w:t>azitromycín</w:t>
      </w:r>
      <w:proofErr w:type="spellEnd"/>
      <w:r w:rsidRPr="00513C80">
        <w:rPr>
          <w:bCs/>
          <w:sz w:val="22"/>
          <w:szCs w:val="22"/>
        </w:rPr>
        <w:t xml:space="preserve"> žiadny významný účinok na </w:t>
      </w:r>
      <w:proofErr w:type="spellStart"/>
      <w:r w:rsidRPr="00513C80">
        <w:rPr>
          <w:bCs/>
          <w:sz w:val="22"/>
          <w:szCs w:val="22"/>
        </w:rPr>
        <w:t>farmakokinetiku</w:t>
      </w:r>
      <w:proofErr w:type="spellEnd"/>
      <w:r w:rsidRPr="00513C80">
        <w:rPr>
          <w:bCs/>
          <w:sz w:val="22"/>
          <w:szCs w:val="22"/>
        </w:rPr>
        <w:t xml:space="preserve"> </w:t>
      </w:r>
      <w:proofErr w:type="spellStart"/>
      <w:r w:rsidRPr="00513C80">
        <w:rPr>
          <w:bCs/>
          <w:sz w:val="22"/>
          <w:szCs w:val="22"/>
        </w:rPr>
        <w:t>metylprednizolónu</w:t>
      </w:r>
      <w:proofErr w:type="spellEnd"/>
      <w:r w:rsidRPr="00513C80">
        <w:rPr>
          <w:bCs/>
          <w:sz w:val="22"/>
          <w:szCs w:val="22"/>
        </w:rPr>
        <w:t>.</w:t>
      </w:r>
    </w:p>
    <w:p w:rsidR="005406B0" w:rsidRPr="00513C80" w:rsidRDefault="005406B0">
      <w:pPr>
        <w:rPr>
          <w:bCs/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Midazolam</w:t>
      </w:r>
      <w:proofErr w:type="spellEnd"/>
    </w:p>
    <w:p w:rsidR="005406B0" w:rsidRPr="00513C80" w:rsidRDefault="005406B0">
      <w:pPr>
        <w:rPr>
          <w:bCs/>
          <w:sz w:val="22"/>
          <w:szCs w:val="22"/>
        </w:rPr>
      </w:pPr>
      <w:r w:rsidRPr="00513C80">
        <w:rPr>
          <w:sz w:val="22"/>
          <w:szCs w:val="22"/>
        </w:rPr>
        <w:t xml:space="preserve">U zdravých dobrovoľníkov nespôsobilo súbežné podávanie 500 mg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/deň počas 3 dní klinicky významné zmeny vo </w:t>
      </w:r>
      <w:proofErr w:type="spellStart"/>
      <w:r w:rsidRPr="00513C80">
        <w:rPr>
          <w:sz w:val="22"/>
          <w:szCs w:val="22"/>
        </w:rPr>
        <w:t>farmakokinetike</w:t>
      </w:r>
      <w:proofErr w:type="spellEnd"/>
      <w:r w:rsidRPr="00513C80">
        <w:rPr>
          <w:sz w:val="22"/>
          <w:szCs w:val="22"/>
        </w:rPr>
        <w:t xml:space="preserve"> a </w:t>
      </w:r>
      <w:proofErr w:type="spellStart"/>
      <w:r w:rsidRPr="00513C80">
        <w:rPr>
          <w:sz w:val="22"/>
          <w:szCs w:val="22"/>
        </w:rPr>
        <w:t>farmakodynamike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midazolamu</w:t>
      </w:r>
      <w:proofErr w:type="spellEnd"/>
      <w:r w:rsidRPr="00513C80">
        <w:rPr>
          <w:sz w:val="22"/>
          <w:szCs w:val="22"/>
        </w:rPr>
        <w:t xml:space="preserve"> podaného v jednorazovej dávke 15 mg.</w:t>
      </w:r>
    </w:p>
    <w:p w:rsidR="005406B0" w:rsidRPr="00513C80" w:rsidRDefault="005406B0">
      <w:pPr>
        <w:rPr>
          <w:bCs/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Nelfinavir</w:t>
      </w:r>
      <w:proofErr w:type="spellEnd"/>
    </w:p>
    <w:p w:rsidR="005406B0" w:rsidRPr="00513C80" w:rsidRDefault="005406B0">
      <w:pPr>
        <w:rPr>
          <w:bCs/>
          <w:sz w:val="22"/>
          <w:szCs w:val="22"/>
        </w:rPr>
      </w:pPr>
      <w:r w:rsidRPr="00513C80">
        <w:rPr>
          <w:sz w:val="22"/>
          <w:szCs w:val="22"/>
        </w:rPr>
        <w:t xml:space="preserve">Súbežné užívanie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(1200 mg) a </w:t>
      </w:r>
      <w:proofErr w:type="spellStart"/>
      <w:r w:rsidRPr="00513C80">
        <w:rPr>
          <w:sz w:val="22"/>
          <w:szCs w:val="22"/>
        </w:rPr>
        <w:t>nelfinaviru</w:t>
      </w:r>
      <w:proofErr w:type="spellEnd"/>
      <w:r w:rsidRPr="00513C80">
        <w:rPr>
          <w:sz w:val="22"/>
          <w:szCs w:val="22"/>
        </w:rPr>
        <w:t xml:space="preserve"> pri rovnovážnej hladine (750 mg trikrát denne) viedlo k zvýšeným koncentráciám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>. Neboli pozorované žiadne klinicky významné nežiaduce účinky a nie je potrebná žiadna úprava dávky.</w:t>
      </w:r>
    </w:p>
    <w:p w:rsidR="005406B0" w:rsidRPr="00513C80" w:rsidRDefault="005406B0">
      <w:pPr>
        <w:rPr>
          <w:bCs/>
          <w:sz w:val="22"/>
          <w:szCs w:val="22"/>
        </w:rPr>
      </w:pPr>
    </w:p>
    <w:p w:rsidR="005406B0" w:rsidRPr="00513C80" w:rsidRDefault="005406B0">
      <w:pPr>
        <w:rPr>
          <w:bCs/>
          <w:sz w:val="22"/>
          <w:szCs w:val="22"/>
        </w:rPr>
      </w:pPr>
      <w:proofErr w:type="spellStart"/>
      <w:r w:rsidRPr="00513C80">
        <w:rPr>
          <w:bCs/>
          <w:i/>
          <w:sz w:val="22"/>
          <w:szCs w:val="22"/>
        </w:rPr>
        <w:t>Rifabutín</w:t>
      </w:r>
      <w:proofErr w:type="spellEnd"/>
    </w:p>
    <w:p w:rsidR="005406B0" w:rsidRPr="00513C80" w:rsidRDefault="005406B0">
      <w:pPr>
        <w:rPr>
          <w:sz w:val="22"/>
          <w:szCs w:val="22"/>
        </w:rPr>
      </w:pPr>
      <w:r w:rsidRPr="00513C80">
        <w:rPr>
          <w:bCs/>
          <w:sz w:val="22"/>
          <w:szCs w:val="22"/>
        </w:rPr>
        <w:t xml:space="preserve">Súbežné podávanie 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 xml:space="preserve"> s </w:t>
      </w:r>
      <w:proofErr w:type="spellStart"/>
      <w:r w:rsidRPr="00513C80">
        <w:rPr>
          <w:bCs/>
          <w:sz w:val="22"/>
          <w:szCs w:val="22"/>
        </w:rPr>
        <w:t>rifabutínom</w:t>
      </w:r>
      <w:proofErr w:type="spellEnd"/>
      <w:r w:rsidRPr="00513C80">
        <w:rPr>
          <w:bCs/>
          <w:sz w:val="22"/>
          <w:szCs w:val="22"/>
        </w:rPr>
        <w:t xml:space="preserve"> neovplyvnilo sérové koncentrácie niektorého z liekov.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bCs/>
          <w:sz w:val="22"/>
          <w:szCs w:val="22"/>
        </w:rPr>
      </w:pPr>
      <w:r w:rsidRPr="00513C80">
        <w:rPr>
          <w:bCs/>
          <w:sz w:val="22"/>
          <w:szCs w:val="22"/>
        </w:rPr>
        <w:t xml:space="preserve">U subjektov užívajúcich súbežne </w:t>
      </w:r>
      <w:proofErr w:type="spellStart"/>
      <w:r w:rsidRPr="00513C80">
        <w:rPr>
          <w:bCs/>
          <w:sz w:val="22"/>
          <w:szCs w:val="22"/>
        </w:rPr>
        <w:t>azitromycín</w:t>
      </w:r>
      <w:proofErr w:type="spellEnd"/>
      <w:r w:rsidRPr="00513C80">
        <w:rPr>
          <w:bCs/>
          <w:sz w:val="22"/>
          <w:szCs w:val="22"/>
        </w:rPr>
        <w:t xml:space="preserve"> a </w:t>
      </w:r>
      <w:proofErr w:type="spellStart"/>
      <w:r w:rsidRPr="00513C80">
        <w:rPr>
          <w:bCs/>
          <w:sz w:val="22"/>
          <w:szCs w:val="22"/>
        </w:rPr>
        <w:t>rifabutín</w:t>
      </w:r>
      <w:proofErr w:type="spellEnd"/>
      <w:r w:rsidRPr="00513C80">
        <w:rPr>
          <w:bCs/>
          <w:sz w:val="22"/>
          <w:szCs w:val="22"/>
        </w:rPr>
        <w:t xml:space="preserve"> bola pozorovaná </w:t>
      </w:r>
      <w:proofErr w:type="spellStart"/>
      <w:r w:rsidRPr="00513C80">
        <w:rPr>
          <w:bCs/>
          <w:sz w:val="22"/>
          <w:szCs w:val="22"/>
        </w:rPr>
        <w:t>neutropénia</w:t>
      </w:r>
      <w:proofErr w:type="spellEnd"/>
      <w:r w:rsidRPr="00513C80">
        <w:rPr>
          <w:bCs/>
          <w:sz w:val="22"/>
          <w:szCs w:val="22"/>
        </w:rPr>
        <w:t xml:space="preserve">. Aj keď bola </w:t>
      </w:r>
      <w:proofErr w:type="spellStart"/>
      <w:r w:rsidRPr="00513C80">
        <w:rPr>
          <w:bCs/>
          <w:sz w:val="22"/>
          <w:szCs w:val="22"/>
        </w:rPr>
        <w:t>neutropénia</w:t>
      </w:r>
      <w:proofErr w:type="spellEnd"/>
      <w:r w:rsidRPr="00513C80">
        <w:rPr>
          <w:bCs/>
          <w:sz w:val="22"/>
          <w:szCs w:val="22"/>
        </w:rPr>
        <w:t xml:space="preserve"> spájaná s užívaním </w:t>
      </w:r>
      <w:proofErr w:type="spellStart"/>
      <w:r w:rsidRPr="00513C80">
        <w:rPr>
          <w:bCs/>
          <w:sz w:val="22"/>
          <w:szCs w:val="22"/>
        </w:rPr>
        <w:t>rifabutínu</w:t>
      </w:r>
      <w:proofErr w:type="spellEnd"/>
      <w:r w:rsidRPr="00513C80">
        <w:rPr>
          <w:bCs/>
          <w:sz w:val="22"/>
          <w:szCs w:val="22"/>
        </w:rPr>
        <w:t>, priama súvislosť so súbežným podávaním s </w:t>
      </w:r>
      <w:proofErr w:type="spellStart"/>
      <w:r w:rsidRPr="00513C80">
        <w:rPr>
          <w:bCs/>
          <w:sz w:val="22"/>
          <w:szCs w:val="22"/>
        </w:rPr>
        <w:t>azitromycínom</w:t>
      </w:r>
      <w:proofErr w:type="spellEnd"/>
      <w:r w:rsidRPr="00513C80">
        <w:rPr>
          <w:bCs/>
          <w:sz w:val="22"/>
          <w:szCs w:val="22"/>
        </w:rPr>
        <w:t xml:space="preserve"> sa nepreukázala (pozri časť 4.8).</w:t>
      </w:r>
    </w:p>
    <w:p w:rsidR="005406B0" w:rsidRPr="00513C80" w:rsidRDefault="005406B0">
      <w:pPr>
        <w:rPr>
          <w:bCs/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Sildenafil</w:t>
      </w:r>
      <w:proofErr w:type="spellEnd"/>
    </w:p>
    <w:p w:rsidR="005406B0" w:rsidRPr="00513C80" w:rsidRDefault="005406B0">
      <w:pPr>
        <w:rPr>
          <w:bCs/>
          <w:sz w:val="22"/>
          <w:szCs w:val="22"/>
        </w:rPr>
      </w:pPr>
      <w:r w:rsidRPr="00513C80">
        <w:rPr>
          <w:sz w:val="22"/>
          <w:szCs w:val="22"/>
        </w:rPr>
        <w:t xml:space="preserve">U zdravých dobrovoľníkov mužského pohlavia neexistuje žiadny dôkaz o účinku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(500 mg denne počas 3 dní) na AUC a </w:t>
      </w:r>
      <w:proofErr w:type="spellStart"/>
      <w:r w:rsidR="001B2CBC">
        <w:rPr>
          <w:sz w:val="22"/>
          <w:szCs w:val="22"/>
        </w:rPr>
        <w:t>C</w:t>
      </w:r>
      <w:r w:rsidRPr="00513C80">
        <w:rPr>
          <w:sz w:val="22"/>
          <w:szCs w:val="22"/>
          <w:vertAlign w:val="subscript"/>
        </w:rPr>
        <w:t>max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sildenafilu</w:t>
      </w:r>
      <w:proofErr w:type="spellEnd"/>
      <w:r w:rsidRPr="00513C80">
        <w:rPr>
          <w:sz w:val="22"/>
          <w:szCs w:val="22"/>
        </w:rPr>
        <w:t xml:space="preserve"> alebo jeho hlavného cirkulujúceho </w:t>
      </w:r>
      <w:proofErr w:type="spellStart"/>
      <w:r w:rsidRPr="00513C80">
        <w:rPr>
          <w:sz w:val="22"/>
          <w:szCs w:val="22"/>
        </w:rPr>
        <w:t>metabolitu</w:t>
      </w:r>
      <w:proofErr w:type="spellEnd"/>
      <w:r w:rsidRPr="00513C80">
        <w:rPr>
          <w:sz w:val="22"/>
          <w:szCs w:val="22"/>
        </w:rPr>
        <w:t>.</w:t>
      </w:r>
    </w:p>
    <w:p w:rsidR="005406B0" w:rsidRPr="00513C80" w:rsidRDefault="005406B0">
      <w:pPr>
        <w:rPr>
          <w:bCs/>
          <w:sz w:val="22"/>
          <w:szCs w:val="22"/>
        </w:rPr>
      </w:pPr>
    </w:p>
    <w:p w:rsidR="005406B0" w:rsidRPr="00513C80" w:rsidRDefault="005406B0">
      <w:pPr>
        <w:rPr>
          <w:bCs/>
          <w:sz w:val="22"/>
          <w:szCs w:val="22"/>
        </w:rPr>
      </w:pPr>
      <w:proofErr w:type="spellStart"/>
      <w:r w:rsidRPr="00513C80">
        <w:rPr>
          <w:bCs/>
          <w:i/>
          <w:sz w:val="22"/>
          <w:szCs w:val="22"/>
        </w:rPr>
        <w:t>Terfenadín</w:t>
      </w:r>
      <w:proofErr w:type="spellEnd"/>
    </w:p>
    <w:p w:rsidR="005406B0" w:rsidRPr="00513C80" w:rsidRDefault="005406B0">
      <w:pPr>
        <w:rPr>
          <w:bCs/>
          <w:sz w:val="22"/>
          <w:szCs w:val="22"/>
        </w:rPr>
      </w:pPr>
      <w:r w:rsidRPr="00513C80">
        <w:rPr>
          <w:bCs/>
          <w:sz w:val="22"/>
          <w:szCs w:val="22"/>
        </w:rPr>
        <w:t xml:space="preserve">Vo </w:t>
      </w:r>
      <w:proofErr w:type="spellStart"/>
      <w:r w:rsidRPr="00513C80">
        <w:rPr>
          <w:bCs/>
          <w:sz w:val="22"/>
          <w:szCs w:val="22"/>
        </w:rPr>
        <w:t>farmakokinetických</w:t>
      </w:r>
      <w:proofErr w:type="spellEnd"/>
      <w:r w:rsidRPr="00513C80">
        <w:rPr>
          <w:bCs/>
          <w:sz w:val="22"/>
          <w:szCs w:val="22"/>
        </w:rPr>
        <w:t xml:space="preserve"> štúdiách neboli hlásené žiadne interakcie medzi </w:t>
      </w:r>
      <w:proofErr w:type="spellStart"/>
      <w:r w:rsidRPr="00513C80">
        <w:rPr>
          <w:bCs/>
          <w:sz w:val="22"/>
          <w:szCs w:val="22"/>
        </w:rPr>
        <w:t>azitromycínom</w:t>
      </w:r>
      <w:proofErr w:type="spellEnd"/>
      <w:r w:rsidRPr="00513C80">
        <w:rPr>
          <w:bCs/>
          <w:sz w:val="22"/>
          <w:szCs w:val="22"/>
        </w:rPr>
        <w:t xml:space="preserve"> a </w:t>
      </w:r>
      <w:proofErr w:type="spellStart"/>
      <w:r w:rsidRPr="00513C80">
        <w:rPr>
          <w:bCs/>
          <w:sz w:val="22"/>
          <w:szCs w:val="22"/>
        </w:rPr>
        <w:t>terfenadínom</w:t>
      </w:r>
      <w:proofErr w:type="spellEnd"/>
      <w:r w:rsidRPr="00513C80">
        <w:rPr>
          <w:bCs/>
          <w:sz w:val="22"/>
          <w:szCs w:val="22"/>
        </w:rPr>
        <w:t>.</w:t>
      </w:r>
      <w:r w:rsidR="001F3D9A">
        <w:rPr>
          <w:bCs/>
          <w:sz w:val="22"/>
          <w:szCs w:val="22"/>
        </w:rPr>
        <w:t xml:space="preserve"> Zriedkavo boli hlásené prípady kde</w:t>
      </w:r>
      <w:r w:rsidRPr="00513C80">
        <w:rPr>
          <w:bCs/>
          <w:sz w:val="22"/>
          <w:szCs w:val="22"/>
        </w:rPr>
        <w:t xml:space="preserve"> nebolo možné úplne vylúčiť možnosť takejto interakcie. Avšak nebol objavený žiadny špecifický dôkaz o výskyte takejto interakcie. </w:t>
      </w:r>
    </w:p>
    <w:p w:rsidR="005406B0" w:rsidRPr="00513C80" w:rsidRDefault="005406B0">
      <w:pPr>
        <w:rPr>
          <w:bCs/>
          <w:sz w:val="22"/>
          <w:szCs w:val="22"/>
        </w:rPr>
      </w:pPr>
    </w:p>
    <w:p w:rsidR="005406B0" w:rsidRPr="00513C80" w:rsidRDefault="005406B0">
      <w:pPr>
        <w:rPr>
          <w:bCs/>
          <w:sz w:val="22"/>
          <w:szCs w:val="22"/>
        </w:rPr>
      </w:pPr>
      <w:proofErr w:type="spellStart"/>
      <w:r w:rsidRPr="00513C80">
        <w:rPr>
          <w:bCs/>
          <w:i/>
          <w:sz w:val="22"/>
          <w:szCs w:val="22"/>
        </w:rPr>
        <w:t>Teofylín</w:t>
      </w:r>
      <w:proofErr w:type="spellEnd"/>
    </w:p>
    <w:p w:rsidR="005406B0" w:rsidRPr="00513C80" w:rsidRDefault="005406B0">
      <w:pPr>
        <w:rPr>
          <w:sz w:val="22"/>
          <w:szCs w:val="22"/>
        </w:rPr>
      </w:pPr>
      <w:bookmarkStart w:id="1" w:name="result_box1"/>
      <w:bookmarkEnd w:id="1"/>
      <w:r w:rsidRPr="00513C80">
        <w:rPr>
          <w:bCs/>
          <w:sz w:val="22"/>
          <w:szCs w:val="22"/>
        </w:rPr>
        <w:t xml:space="preserve">Neexistujú žiadne dôkazy o klinicky významnej </w:t>
      </w:r>
      <w:proofErr w:type="spellStart"/>
      <w:r w:rsidRPr="00513C80">
        <w:rPr>
          <w:bCs/>
          <w:sz w:val="22"/>
          <w:szCs w:val="22"/>
        </w:rPr>
        <w:t>farmakokinetickej</w:t>
      </w:r>
      <w:proofErr w:type="spellEnd"/>
      <w:r w:rsidRPr="00513C80">
        <w:rPr>
          <w:bCs/>
          <w:sz w:val="22"/>
          <w:szCs w:val="22"/>
        </w:rPr>
        <w:t xml:space="preserve"> interakcii pri súčasnom podávaní </w:t>
      </w:r>
      <w:proofErr w:type="spellStart"/>
      <w:r w:rsidRPr="00513C80">
        <w:rPr>
          <w:bCs/>
          <w:sz w:val="22"/>
          <w:szCs w:val="22"/>
        </w:rPr>
        <w:t>azitromycínu</w:t>
      </w:r>
      <w:proofErr w:type="spellEnd"/>
      <w:r w:rsidRPr="00513C80">
        <w:rPr>
          <w:bCs/>
          <w:sz w:val="22"/>
          <w:szCs w:val="22"/>
        </w:rPr>
        <w:t xml:space="preserve"> a </w:t>
      </w:r>
      <w:proofErr w:type="spellStart"/>
      <w:r w:rsidRPr="00513C80">
        <w:rPr>
          <w:bCs/>
          <w:sz w:val="22"/>
          <w:szCs w:val="22"/>
        </w:rPr>
        <w:t>teofylínu</w:t>
      </w:r>
      <w:proofErr w:type="spellEnd"/>
      <w:r w:rsidRPr="00513C80">
        <w:rPr>
          <w:bCs/>
          <w:sz w:val="22"/>
          <w:szCs w:val="22"/>
        </w:rPr>
        <w:t xml:space="preserve"> zdravým dobrovoľníkom. Boli hlásené interakcie iných </w:t>
      </w:r>
      <w:proofErr w:type="spellStart"/>
      <w:r w:rsidRPr="00513C80">
        <w:rPr>
          <w:bCs/>
          <w:sz w:val="22"/>
          <w:szCs w:val="22"/>
        </w:rPr>
        <w:t>makrolidov</w:t>
      </w:r>
      <w:proofErr w:type="spellEnd"/>
      <w:r w:rsidRPr="00513C80">
        <w:rPr>
          <w:bCs/>
          <w:sz w:val="22"/>
          <w:szCs w:val="22"/>
        </w:rPr>
        <w:t xml:space="preserve"> s </w:t>
      </w:r>
      <w:proofErr w:type="spellStart"/>
      <w:r w:rsidRPr="00513C80">
        <w:rPr>
          <w:bCs/>
          <w:sz w:val="22"/>
          <w:szCs w:val="22"/>
        </w:rPr>
        <w:t>teofylínom</w:t>
      </w:r>
      <w:proofErr w:type="spellEnd"/>
      <w:r w:rsidRPr="00513C80">
        <w:rPr>
          <w:bCs/>
          <w:sz w:val="22"/>
          <w:szCs w:val="22"/>
        </w:rPr>
        <w:t xml:space="preserve">, odporúča sa bdelosť </w:t>
      </w:r>
      <w:r w:rsidR="001F3D9A">
        <w:rPr>
          <w:bCs/>
          <w:sz w:val="22"/>
          <w:szCs w:val="22"/>
        </w:rPr>
        <w:t xml:space="preserve">pri </w:t>
      </w:r>
      <w:r w:rsidRPr="00513C80">
        <w:rPr>
          <w:bCs/>
          <w:sz w:val="22"/>
          <w:szCs w:val="22"/>
        </w:rPr>
        <w:t>prejav</w:t>
      </w:r>
      <w:r w:rsidR="001F3D9A">
        <w:rPr>
          <w:bCs/>
          <w:sz w:val="22"/>
          <w:szCs w:val="22"/>
        </w:rPr>
        <w:t>och</w:t>
      </w:r>
      <w:r w:rsidRPr="00513C80">
        <w:rPr>
          <w:bCs/>
          <w:sz w:val="22"/>
          <w:szCs w:val="22"/>
        </w:rPr>
        <w:t xml:space="preserve"> naznačujúc</w:t>
      </w:r>
      <w:r w:rsidR="001F3D9A">
        <w:rPr>
          <w:bCs/>
          <w:sz w:val="22"/>
          <w:szCs w:val="22"/>
        </w:rPr>
        <w:t>ich</w:t>
      </w:r>
      <w:r w:rsidRPr="00513C80">
        <w:rPr>
          <w:bCs/>
          <w:sz w:val="22"/>
          <w:szCs w:val="22"/>
        </w:rPr>
        <w:t xml:space="preserve"> vzostup hladín </w:t>
      </w:r>
      <w:proofErr w:type="spellStart"/>
      <w:r w:rsidRPr="00513C80">
        <w:rPr>
          <w:bCs/>
          <w:sz w:val="22"/>
          <w:szCs w:val="22"/>
        </w:rPr>
        <w:t>teofylínu</w:t>
      </w:r>
      <w:proofErr w:type="spellEnd"/>
      <w:r w:rsidRPr="00513C80">
        <w:rPr>
          <w:bCs/>
          <w:sz w:val="22"/>
          <w:szCs w:val="22"/>
        </w:rPr>
        <w:t xml:space="preserve">. 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Triazolam</w:t>
      </w:r>
      <w:proofErr w:type="spellEnd"/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U 14 zdravých dobrovoľníkov nemalo súbežné podávanie 500 mg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v prvý deň a 250 mg na druhý deň s 0,125 mg </w:t>
      </w:r>
      <w:proofErr w:type="spellStart"/>
      <w:r w:rsidRPr="00513C80">
        <w:rPr>
          <w:sz w:val="22"/>
          <w:szCs w:val="22"/>
        </w:rPr>
        <w:t>triazolamu</w:t>
      </w:r>
      <w:proofErr w:type="spellEnd"/>
      <w:r w:rsidRPr="00513C80">
        <w:rPr>
          <w:sz w:val="22"/>
          <w:szCs w:val="22"/>
        </w:rPr>
        <w:t xml:space="preserve"> na druhý deň žiadny výrazný účinok na akúkoľvek </w:t>
      </w:r>
      <w:proofErr w:type="spellStart"/>
      <w:r w:rsidRPr="00513C80">
        <w:rPr>
          <w:sz w:val="22"/>
          <w:szCs w:val="22"/>
        </w:rPr>
        <w:t>farmakokinetickú</w:t>
      </w:r>
      <w:proofErr w:type="spellEnd"/>
      <w:r w:rsidRPr="00513C80">
        <w:rPr>
          <w:sz w:val="22"/>
          <w:szCs w:val="22"/>
        </w:rPr>
        <w:t xml:space="preserve"> premennú </w:t>
      </w:r>
      <w:proofErr w:type="spellStart"/>
      <w:r w:rsidRPr="00513C80">
        <w:rPr>
          <w:sz w:val="22"/>
          <w:szCs w:val="22"/>
        </w:rPr>
        <w:t>triazolamu</w:t>
      </w:r>
      <w:proofErr w:type="spellEnd"/>
      <w:r w:rsidRPr="00513C80">
        <w:rPr>
          <w:sz w:val="22"/>
          <w:szCs w:val="22"/>
        </w:rPr>
        <w:t xml:space="preserve"> v porovnaní s </w:t>
      </w:r>
      <w:proofErr w:type="spellStart"/>
      <w:r w:rsidRPr="00513C80">
        <w:rPr>
          <w:sz w:val="22"/>
          <w:szCs w:val="22"/>
        </w:rPr>
        <w:t>triazolamom</w:t>
      </w:r>
      <w:proofErr w:type="spellEnd"/>
      <w:r w:rsidRPr="00513C80">
        <w:rPr>
          <w:sz w:val="22"/>
          <w:szCs w:val="22"/>
        </w:rPr>
        <w:t xml:space="preserve"> a </w:t>
      </w:r>
      <w:proofErr w:type="spellStart"/>
      <w:r w:rsidRPr="00513C80">
        <w:rPr>
          <w:sz w:val="22"/>
          <w:szCs w:val="22"/>
        </w:rPr>
        <w:t>placebom</w:t>
      </w:r>
      <w:proofErr w:type="spellEnd"/>
      <w:r w:rsidRPr="00513C80">
        <w:rPr>
          <w:sz w:val="22"/>
          <w:szCs w:val="22"/>
        </w:rPr>
        <w:t>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Trimetoprim</w:t>
      </w:r>
      <w:proofErr w:type="spellEnd"/>
      <w:r w:rsidRPr="00513C80">
        <w:rPr>
          <w:i/>
          <w:sz w:val="22"/>
          <w:szCs w:val="22"/>
        </w:rPr>
        <w:t>/</w:t>
      </w:r>
      <w:proofErr w:type="spellStart"/>
      <w:r w:rsidRPr="00513C80">
        <w:rPr>
          <w:i/>
          <w:sz w:val="22"/>
          <w:szCs w:val="22"/>
        </w:rPr>
        <w:t>sulfametoxazol</w:t>
      </w:r>
      <w:proofErr w:type="spellEnd"/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Súbežné podávanie </w:t>
      </w:r>
      <w:proofErr w:type="spellStart"/>
      <w:r w:rsidRPr="00513C80">
        <w:rPr>
          <w:sz w:val="22"/>
          <w:szCs w:val="22"/>
        </w:rPr>
        <w:t>trimetoprimu</w:t>
      </w:r>
      <w:proofErr w:type="spellEnd"/>
      <w:r w:rsidRPr="00513C80">
        <w:rPr>
          <w:sz w:val="22"/>
          <w:szCs w:val="22"/>
        </w:rPr>
        <w:t>/</w:t>
      </w:r>
      <w:proofErr w:type="spellStart"/>
      <w:r w:rsidRPr="00513C80">
        <w:rPr>
          <w:sz w:val="22"/>
          <w:szCs w:val="22"/>
        </w:rPr>
        <w:t>sulfametoxazolu</w:t>
      </w:r>
      <w:proofErr w:type="spellEnd"/>
      <w:r w:rsidRPr="00513C80">
        <w:rPr>
          <w:sz w:val="22"/>
          <w:szCs w:val="22"/>
        </w:rPr>
        <w:t xml:space="preserve"> DS (160 mg/800 mg) počas 7 dní s 1200 mg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na siedmy deň nemalo žiadny významný vplyv na maximálne koncentrácie, celkovú expozíciu alebo vylučovanie </w:t>
      </w:r>
      <w:proofErr w:type="spellStart"/>
      <w:r w:rsidRPr="00513C80">
        <w:rPr>
          <w:sz w:val="22"/>
          <w:szCs w:val="22"/>
        </w:rPr>
        <w:t>trimetoprimu</w:t>
      </w:r>
      <w:proofErr w:type="spellEnd"/>
      <w:r w:rsidRPr="00513C80">
        <w:rPr>
          <w:sz w:val="22"/>
          <w:szCs w:val="22"/>
        </w:rPr>
        <w:t xml:space="preserve"> alebo </w:t>
      </w:r>
      <w:proofErr w:type="spellStart"/>
      <w:r w:rsidRPr="00513C80">
        <w:rPr>
          <w:sz w:val="22"/>
          <w:szCs w:val="22"/>
        </w:rPr>
        <w:t>sulfametoxazolu</w:t>
      </w:r>
      <w:proofErr w:type="spellEnd"/>
      <w:r w:rsidRPr="00513C80">
        <w:rPr>
          <w:sz w:val="22"/>
          <w:szCs w:val="22"/>
        </w:rPr>
        <w:t xml:space="preserve"> močom. Sérové koncentrácie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boli podobné tým, ktoré sa zaznamenali v iných štúdiách.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jc w:val="both"/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4.6</w:t>
      </w:r>
      <w:r w:rsidRPr="00513C80">
        <w:rPr>
          <w:b/>
          <w:bCs/>
          <w:sz w:val="22"/>
          <w:szCs w:val="22"/>
        </w:rPr>
        <w:tab/>
      </w:r>
      <w:proofErr w:type="spellStart"/>
      <w:r w:rsidRPr="00513C80">
        <w:rPr>
          <w:b/>
          <w:bCs/>
          <w:sz w:val="22"/>
          <w:szCs w:val="22"/>
        </w:rPr>
        <w:t>Fertilita</w:t>
      </w:r>
      <w:proofErr w:type="spellEnd"/>
      <w:r w:rsidRPr="00513C80">
        <w:rPr>
          <w:b/>
          <w:bCs/>
          <w:sz w:val="22"/>
          <w:szCs w:val="22"/>
        </w:rPr>
        <w:t>, gravidita a laktácia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8857B2" w:rsidRDefault="005406B0">
      <w:pPr>
        <w:pStyle w:val="Zkladntext21"/>
        <w:spacing w:before="0"/>
        <w:jc w:val="left"/>
        <w:rPr>
          <w:rFonts w:ascii="Times New Roman" w:hAnsi="Times New Roman" w:cs="Times New Roman"/>
          <w:i/>
          <w:sz w:val="22"/>
          <w:szCs w:val="22"/>
        </w:rPr>
      </w:pPr>
      <w:r w:rsidRPr="008857B2">
        <w:rPr>
          <w:rFonts w:ascii="Times New Roman" w:hAnsi="Times New Roman" w:cs="Times New Roman"/>
          <w:i/>
          <w:sz w:val="22"/>
          <w:szCs w:val="22"/>
        </w:rPr>
        <w:t>Gravidita</w:t>
      </w:r>
    </w:p>
    <w:p w:rsidR="005406B0" w:rsidRPr="00513C80" w:rsidRDefault="005406B0">
      <w:pPr>
        <w:pStyle w:val="Zkladntext21"/>
        <w:spacing w:before="0"/>
        <w:jc w:val="left"/>
        <w:rPr>
          <w:rFonts w:ascii="Times New Roman" w:hAnsi="Times New Roman" w:cs="Times New Roman"/>
          <w:i/>
          <w:sz w:val="22"/>
          <w:szCs w:val="22"/>
        </w:rPr>
      </w:pPr>
      <w:r w:rsidRPr="00513C80">
        <w:rPr>
          <w:rFonts w:ascii="Times New Roman" w:hAnsi="Times New Roman" w:cs="Times New Roman"/>
          <w:sz w:val="22"/>
          <w:szCs w:val="22"/>
        </w:rPr>
        <w:t xml:space="preserve">Nie sú k dispozícii dostatočné údaje o použití </w:t>
      </w:r>
      <w:proofErr w:type="spellStart"/>
      <w:r w:rsidRPr="00513C80">
        <w:rPr>
          <w:rFonts w:ascii="Times New Roman" w:hAnsi="Times New Roman" w:cs="Times New Roman"/>
          <w:sz w:val="22"/>
          <w:szCs w:val="22"/>
        </w:rPr>
        <w:t>azitromycínu</w:t>
      </w:r>
      <w:proofErr w:type="spellEnd"/>
      <w:r w:rsidRPr="00513C80">
        <w:rPr>
          <w:rFonts w:ascii="Times New Roman" w:hAnsi="Times New Roman" w:cs="Times New Roman"/>
          <w:sz w:val="22"/>
          <w:szCs w:val="22"/>
        </w:rPr>
        <w:t xml:space="preserve"> u gravidných žien. V reprodukčných štúdiách toxicity na zvieratách sa preukázalo, že </w:t>
      </w:r>
      <w:proofErr w:type="spellStart"/>
      <w:r w:rsidRPr="00513C80">
        <w:rPr>
          <w:rFonts w:ascii="Times New Roman" w:hAnsi="Times New Roman" w:cs="Times New Roman"/>
          <w:sz w:val="22"/>
          <w:szCs w:val="22"/>
        </w:rPr>
        <w:t>azitromycín</w:t>
      </w:r>
      <w:proofErr w:type="spellEnd"/>
      <w:r w:rsidRPr="00513C80">
        <w:rPr>
          <w:rFonts w:ascii="Times New Roman" w:hAnsi="Times New Roman" w:cs="Times New Roman"/>
          <w:sz w:val="22"/>
          <w:szCs w:val="22"/>
        </w:rPr>
        <w:t xml:space="preserve"> prechádza placentou, ale nepozorovali sa žiadne </w:t>
      </w:r>
      <w:proofErr w:type="spellStart"/>
      <w:r w:rsidRPr="00513C80">
        <w:rPr>
          <w:rFonts w:ascii="Times New Roman" w:hAnsi="Times New Roman" w:cs="Times New Roman"/>
          <w:sz w:val="22"/>
          <w:szCs w:val="22"/>
        </w:rPr>
        <w:t>teratogénne</w:t>
      </w:r>
      <w:proofErr w:type="spellEnd"/>
      <w:r w:rsidRPr="00513C80">
        <w:rPr>
          <w:rFonts w:ascii="Times New Roman" w:hAnsi="Times New Roman" w:cs="Times New Roman"/>
          <w:sz w:val="22"/>
          <w:szCs w:val="22"/>
        </w:rPr>
        <w:t xml:space="preserve"> </w:t>
      </w:r>
      <w:r w:rsidRPr="00ED1C0B">
        <w:rPr>
          <w:rFonts w:ascii="Times New Roman" w:hAnsi="Times New Roman" w:cs="Times New Roman"/>
          <w:sz w:val="22"/>
          <w:szCs w:val="22"/>
        </w:rPr>
        <w:t>účinky</w:t>
      </w:r>
      <w:r w:rsidR="00ED1C0B" w:rsidRPr="00ED1C0B">
        <w:rPr>
          <w:rFonts w:ascii="Times New Roman" w:hAnsi="Times New Roman" w:cs="Times New Roman"/>
          <w:sz w:val="22"/>
          <w:szCs w:val="22"/>
        </w:rPr>
        <w:t xml:space="preserve"> (pozri časť 5.3)</w:t>
      </w:r>
      <w:r w:rsidRPr="00513C80">
        <w:rPr>
          <w:rFonts w:ascii="Times New Roman" w:hAnsi="Times New Roman" w:cs="Times New Roman"/>
          <w:sz w:val="22"/>
          <w:szCs w:val="22"/>
        </w:rPr>
        <w:t xml:space="preserve">. Bezpečnosť </w:t>
      </w:r>
      <w:proofErr w:type="spellStart"/>
      <w:r w:rsidRPr="00513C80">
        <w:rPr>
          <w:rFonts w:ascii="Times New Roman" w:hAnsi="Times New Roman" w:cs="Times New Roman"/>
          <w:sz w:val="22"/>
          <w:szCs w:val="22"/>
        </w:rPr>
        <w:t>azitromycínu</w:t>
      </w:r>
      <w:proofErr w:type="spellEnd"/>
      <w:r w:rsidRPr="00513C80">
        <w:rPr>
          <w:rFonts w:ascii="Times New Roman" w:hAnsi="Times New Roman" w:cs="Times New Roman"/>
          <w:sz w:val="22"/>
          <w:szCs w:val="22"/>
        </w:rPr>
        <w:t xml:space="preserve"> nebola potvrdená, pokiaľ ide </w:t>
      </w:r>
      <w:r w:rsidRPr="00513C80">
        <w:rPr>
          <w:rFonts w:ascii="Times New Roman" w:hAnsi="Times New Roman" w:cs="Times New Roman"/>
          <w:sz w:val="22"/>
          <w:szCs w:val="22"/>
        </w:rPr>
        <w:lastRenderedPageBreak/>
        <w:t xml:space="preserve">o použitie liečiva počas gravidity. </w:t>
      </w:r>
      <w:proofErr w:type="spellStart"/>
      <w:r w:rsidRPr="00513C80">
        <w:rPr>
          <w:rFonts w:ascii="Times New Roman" w:hAnsi="Times New Roman" w:cs="Times New Roman"/>
          <w:sz w:val="22"/>
          <w:szCs w:val="22"/>
        </w:rPr>
        <w:t>Azitromycín</w:t>
      </w:r>
      <w:proofErr w:type="spellEnd"/>
      <w:r w:rsidRPr="00513C80">
        <w:rPr>
          <w:rFonts w:ascii="Times New Roman" w:hAnsi="Times New Roman" w:cs="Times New Roman"/>
          <w:sz w:val="22"/>
          <w:szCs w:val="22"/>
        </w:rPr>
        <w:t xml:space="preserve"> sa má preto používať počas gravidity len v prípade, že prínos liečby preváži jej riziká.</w:t>
      </w:r>
    </w:p>
    <w:p w:rsidR="005406B0" w:rsidRPr="00513C80" w:rsidRDefault="005406B0">
      <w:pPr>
        <w:pStyle w:val="Zkladntext21"/>
        <w:spacing w:before="0"/>
        <w:jc w:val="left"/>
        <w:rPr>
          <w:rFonts w:ascii="Times New Roman" w:hAnsi="Times New Roman" w:cs="Times New Roman"/>
          <w:i/>
          <w:sz w:val="22"/>
          <w:szCs w:val="22"/>
        </w:rPr>
      </w:pPr>
    </w:p>
    <w:p w:rsidR="005406B0" w:rsidRPr="008857B2" w:rsidRDefault="004A487C">
      <w:pPr>
        <w:pStyle w:val="Zkladntext21"/>
        <w:spacing w:before="0"/>
        <w:jc w:val="lef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Dojčenie</w:t>
      </w:r>
    </w:p>
    <w:p w:rsidR="005406B0" w:rsidRPr="00513C80" w:rsidRDefault="005406B0">
      <w:pPr>
        <w:pStyle w:val="Zkladntext21"/>
        <w:spacing w:before="0"/>
        <w:jc w:val="left"/>
        <w:rPr>
          <w:rStyle w:val="hps"/>
          <w:rFonts w:ascii="Times New Roman" w:hAnsi="Times New Roman" w:cs="Times New Roman"/>
          <w:sz w:val="22"/>
          <w:szCs w:val="22"/>
        </w:rPr>
      </w:pPr>
      <w:r w:rsidRPr="00513C80">
        <w:rPr>
          <w:rFonts w:ascii="Times New Roman" w:hAnsi="Times New Roman" w:cs="Times New Roman"/>
          <w:sz w:val="22"/>
          <w:szCs w:val="22"/>
        </w:rPr>
        <w:t xml:space="preserve">Bolo hlásené, že </w:t>
      </w:r>
      <w:proofErr w:type="spellStart"/>
      <w:r w:rsidRPr="00513C80">
        <w:rPr>
          <w:rFonts w:ascii="Times New Roman" w:hAnsi="Times New Roman" w:cs="Times New Roman"/>
          <w:sz w:val="22"/>
          <w:szCs w:val="22"/>
        </w:rPr>
        <w:t>azitromycín</w:t>
      </w:r>
      <w:proofErr w:type="spellEnd"/>
      <w:r w:rsidRPr="00513C80">
        <w:rPr>
          <w:rFonts w:ascii="Times New Roman" w:hAnsi="Times New Roman" w:cs="Times New Roman"/>
          <w:sz w:val="22"/>
          <w:szCs w:val="22"/>
        </w:rPr>
        <w:t xml:space="preserve"> sa vylučuje do ľudského mlieka, ale neexistujú žiadne adekvátne a dobre kontrolované klinické štúdie u dojčiacich žien, ktoré by charakterizovali </w:t>
      </w:r>
      <w:proofErr w:type="spellStart"/>
      <w:r w:rsidRPr="00513C80">
        <w:rPr>
          <w:rFonts w:ascii="Times New Roman" w:hAnsi="Times New Roman" w:cs="Times New Roman"/>
          <w:sz w:val="22"/>
          <w:szCs w:val="22"/>
        </w:rPr>
        <w:t>farmakokinetiku</w:t>
      </w:r>
      <w:proofErr w:type="spellEnd"/>
      <w:r w:rsidRPr="00513C80">
        <w:rPr>
          <w:rFonts w:ascii="Times New Roman" w:hAnsi="Times New Roman" w:cs="Times New Roman"/>
          <w:sz w:val="22"/>
          <w:szCs w:val="22"/>
        </w:rPr>
        <w:t xml:space="preserve"> vylučovania </w:t>
      </w:r>
      <w:proofErr w:type="spellStart"/>
      <w:r w:rsidRPr="00513C80">
        <w:rPr>
          <w:rFonts w:ascii="Times New Roman" w:hAnsi="Times New Roman" w:cs="Times New Roman"/>
          <w:sz w:val="22"/>
          <w:szCs w:val="22"/>
        </w:rPr>
        <w:t>azitromycínu</w:t>
      </w:r>
      <w:proofErr w:type="spellEnd"/>
      <w:r w:rsidRPr="00513C80">
        <w:rPr>
          <w:rFonts w:ascii="Times New Roman" w:hAnsi="Times New Roman" w:cs="Times New Roman"/>
          <w:sz w:val="22"/>
          <w:szCs w:val="22"/>
        </w:rPr>
        <w:t xml:space="preserve"> do ľudského mlieka.</w:t>
      </w:r>
    </w:p>
    <w:p w:rsidR="005406B0" w:rsidRPr="00513C80" w:rsidRDefault="005406B0">
      <w:pPr>
        <w:pStyle w:val="Zkladntext21"/>
        <w:spacing w:befor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513C80">
        <w:rPr>
          <w:rStyle w:val="hps"/>
          <w:rFonts w:ascii="Times New Roman" w:hAnsi="Times New Roman" w:cs="Times New Roman"/>
          <w:sz w:val="22"/>
          <w:szCs w:val="22"/>
        </w:rPr>
        <w:t>Odporúča</w:t>
      </w:r>
      <w:r w:rsidRPr="00513C80">
        <w:rPr>
          <w:rFonts w:ascii="Times New Roman" w:hAnsi="Times New Roman" w:cs="Times New Roman"/>
          <w:sz w:val="22"/>
          <w:szCs w:val="22"/>
        </w:rPr>
        <w:t xml:space="preserve"> </w:t>
      </w:r>
      <w:r w:rsidRPr="00513C80">
        <w:rPr>
          <w:rStyle w:val="hps"/>
          <w:rFonts w:ascii="Times New Roman" w:hAnsi="Times New Roman" w:cs="Times New Roman"/>
          <w:sz w:val="22"/>
          <w:szCs w:val="22"/>
        </w:rPr>
        <w:t>sa</w:t>
      </w:r>
      <w:r w:rsidRPr="00513C80">
        <w:rPr>
          <w:rFonts w:ascii="Times New Roman" w:hAnsi="Times New Roman" w:cs="Times New Roman"/>
          <w:sz w:val="22"/>
          <w:szCs w:val="22"/>
        </w:rPr>
        <w:t xml:space="preserve"> </w:t>
      </w:r>
      <w:r w:rsidRPr="00513C80">
        <w:rPr>
          <w:rStyle w:val="hps"/>
          <w:rFonts w:ascii="Times New Roman" w:hAnsi="Times New Roman" w:cs="Times New Roman"/>
          <w:sz w:val="22"/>
          <w:szCs w:val="22"/>
        </w:rPr>
        <w:t>nedojčiť</w:t>
      </w:r>
      <w:r w:rsidRPr="00513C80">
        <w:rPr>
          <w:rFonts w:ascii="Times New Roman" w:hAnsi="Times New Roman" w:cs="Times New Roman"/>
          <w:sz w:val="22"/>
          <w:szCs w:val="22"/>
        </w:rPr>
        <w:t xml:space="preserve"> </w:t>
      </w:r>
      <w:r w:rsidRPr="00513C80">
        <w:rPr>
          <w:rStyle w:val="hps"/>
          <w:rFonts w:ascii="Times New Roman" w:hAnsi="Times New Roman" w:cs="Times New Roman"/>
          <w:sz w:val="22"/>
          <w:szCs w:val="22"/>
        </w:rPr>
        <w:t>počas liečby</w:t>
      </w:r>
      <w:r w:rsidRPr="00513C80">
        <w:rPr>
          <w:rFonts w:ascii="Times New Roman" w:hAnsi="Times New Roman" w:cs="Times New Roman"/>
          <w:sz w:val="22"/>
          <w:szCs w:val="22"/>
        </w:rPr>
        <w:t xml:space="preserve"> </w:t>
      </w:r>
      <w:r w:rsidRPr="00513C80">
        <w:rPr>
          <w:rStyle w:val="hps"/>
          <w:rFonts w:ascii="Times New Roman" w:hAnsi="Times New Roman" w:cs="Times New Roman"/>
          <w:sz w:val="22"/>
          <w:szCs w:val="22"/>
        </w:rPr>
        <w:t>a</w:t>
      </w:r>
      <w:r w:rsidRPr="00513C80">
        <w:rPr>
          <w:rFonts w:ascii="Times New Roman" w:hAnsi="Times New Roman" w:cs="Times New Roman"/>
          <w:sz w:val="22"/>
          <w:szCs w:val="22"/>
        </w:rPr>
        <w:t xml:space="preserve"> </w:t>
      </w:r>
      <w:r w:rsidRPr="00513C80">
        <w:rPr>
          <w:rStyle w:val="hps"/>
          <w:rFonts w:ascii="Times New Roman" w:hAnsi="Times New Roman" w:cs="Times New Roman"/>
          <w:sz w:val="22"/>
          <w:szCs w:val="22"/>
        </w:rPr>
        <w:t>až</w:t>
      </w:r>
      <w:r w:rsidRPr="00513C80">
        <w:rPr>
          <w:rFonts w:ascii="Times New Roman" w:hAnsi="Times New Roman" w:cs="Times New Roman"/>
          <w:sz w:val="22"/>
          <w:szCs w:val="22"/>
        </w:rPr>
        <w:t xml:space="preserve"> </w:t>
      </w:r>
      <w:r w:rsidRPr="00513C80">
        <w:rPr>
          <w:rStyle w:val="hps"/>
          <w:rFonts w:ascii="Times New Roman" w:hAnsi="Times New Roman" w:cs="Times New Roman"/>
          <w:sz w:val="22"/>
          <w:szCs w:val="22"/>
        </w:rPr>
        <w:t>do</w:t>
      </w:r>
      <w:r w:rsidRPr="00513C80">
        <w:rPr>
          <w:rFonts w:ascii="Times New Roman" w:hAnsi="Times New Roman" w:cs="Times New Roman"/>
          <w:sz w:val="22"/>
          <w:szCs w:val="22"/>
        </w:rPr>
        <w:t xml:space="preserve"> </w:t>
      </w:r>
      <w:r w:rsidRPr="00513C80">
        <w:rPr>
          <w:rStyle w:val="hps"/>
          <w:rFonts w:ascii="Times New Roman" w:hAnsi="Times New Roman" w:cs="Times New Roman"/>
          <w:sz w:val="22"/>
          <w:szCs w:val="22"/>
        </w:rPr>
        <w:t>2</w:t>
      </w:r>
      <w:r w:rsidRPr="00513C80">
        <w:rPr>
          <w:rFonts w:ascii="Times New Roman" w:hAnsi="Times New Roman" w:cs="Times New Roman"/>
          <w:sz w:val="22"/>
          <w:szCs w:val="22"/>
        </w:rPr>
        <w:t xml:space="preserve"> </w:t>
      </w:r>
      <w:r w:rsidRPr="00513C80">
        <w:rPr>
          <w:rStyle w:val="hps"/>
          <w:rFonts w:ascii="Times New Roman" w:hAnsi="Times New Roman" w:cs="Times New Roman"/>
          <w:sz w:val="22"/>
          <w:szCs w:val="22"/>
        </w:rPr>
        <w:t>dní</w:t>
      </w:r>
      <w:r w:rsidRPr="00513C80">
        <w:rPr>
          <w:rFonts w:ascii="Times New Roman" w:hAnsi="Times New Roman" w:cs="Times New Roman"/>
          <w:sz w:val="22"/>
          <w:szCs w:val="22"/>
        </w:rPr>
        <w:t xml:space="preserve"> </w:t>
      </w:r>
      <w:r w:rsidRPr="00513C80">
        <w:rPr>
          <w:rStyle w:val="hps"/>
          <w:rFonts w:ascii="Times New Roman" w:hAnsi="Times New Roman" w:cs="Times New Roman"/>
          <w:sz w:val="22"/>
          <w:szCs w:val="22"/>
        </w:rPr>
        <w:t>po ukončení liečby</w:t>
      </w:r>
      <w:r w:rsidRPr="00513C80">
        <w:rPr>
          <w:rFonts w:ascii="Times New Roman" w:hAnsi="Times New Roman" w:cs="Times New Roman"/>
          <w:sz w:val="22"/>
          <w:szCs w:val="22"/>
        </w:rPr>
        <w:t xml:space="preserve">. Potom môže byť dojčenie </w:t>
      </w:r>
      <w:r w:rsidRPr="00513C80">
        <w:rPr>
          <w:rStyle w:val="hps"/>
          <w:rFonts w:ascii="Times New Roman" w:hAnsi="Times New Roman" w:cs="Times New Roman"/>
          <w:sz w:val="22"/>
          <w:szCs w:val="22"/>
        </w:rPr>
        <w:t>obnovené.</w:t>
      </w:r>
    </w:p>
    <w:p w:rsidR="005406B0" w:rsidRPr="008857B2" w:rsidRDefault="005406B0">
      <w:pPr>
        <w:pStyle w:val="Zkladntext21"/>
        <w:jc w:val="left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8857B2">
        <w:rPr>
          <w:rFonts w:ascii="Times New Roman" w:hAnsi="Times New Roman" w:cs="Times New Roman"/>
          <w:i/>
          <w:sz w:val="22"/>
          <w:szCs w:val="22"/>
        </w:rPr>
        <w:t>Fertilita</w:t>
      </w:r>
      <w:proofErr w:type="spellEnd"/>
    </w:p>
    <w:p w:rsidR="005406B0" w:rsidRPr="00513C80" w:rsidRDefault="005406B0">
      <w:pPr>
        <w:pStyle w:val="Zkladntext21"/>
        <w:spacing w:before="0"/>
        <w:jc w:val="left"/>
        <w:rPr>
          <w:rFonts w:ascii="Times New Roman" w:hAnsi="Times New Roman" w:cs="Times New Roman"/>
          <w:sz w:val="22"/>
          <w:szCs w:val="22"/>
        </w:rPr>
      </w:pPr>
      <w:r w:rsidRPr="00513C80">
        <w:rPr>
          <w:rFonts w:ascii="Times New Roman" w:hAnsi="Times New Roman" w:cs="Times New Roman"/>
          <w:sz w:val="22"/>
          <w:szCs w:val="22"/>
        </w:rPr>
        <w:t xml:space="preserve">V štúdiách </w:t>
      </w:r>
      <w:proofErr w:type="spellStart"/>
      <w:r w:rsidRPr="00513C80">
        <w:rPr>
          <w:rFonts w:ascii="Times New Roman" w:hAnsi="Times New Roman" w:cs="Times New Roman"/>
          <w:sz w:val="22"/>
          <w:szCs w:val="22"/>
        </w:rPr>
        <w:t>fertility</w:t>
      </w:r>
      <w:proofErr w:type="spellEnd"/>
      <w:r w:rsidRPr="00513C80">
        <w:rPr>
          <w:rFonts w:ascii="Times New Roman" w:hAnsi="Times New Roman" w:cs="Times New Roman"/>
          <w:sz w:val="22"/>
          <w:szCs w:val="22"/>
        </w:rPr>
        <w:t xml:space="preserve"> vykonaných na potkanoch sa zaznamenala po podaní </w:t>
      </w:r>
      <w:proofErr w:type="spellStart"/>
      <w:r w:rsidRPr="00513C80">
        <w:rPr>
          <w:rFonts w:ascii="Times New Roman" w:hAnsi="Times New Roman" w:cs="Times New Roman"/>
          <w:sz w:val="22"/>
          <w:szCs w:val="22"/>
        </w:rPr>
        <w:t>azitromycínu</w:t>
      </w:r>
      <w:proofErr w:type="spellEnd"/>
      <w:r w:rsidRPr="00513C80">
        <w:rPr>
          <w:rFonts w:ascii="Times New Roman" w:hAnsi="Times New Roman" w:cs="Times New Roman"/>
          <w:sz w:val="22"/>
          <w:szCs w:val="22"/>
        </w:rPr>
        <w:t xml:space="preserve"> znížená miera gravidity. Význam tohto zistenia pre ľudí nie je známy.</w:t>
      </w:r>
    </w:p>
    <w:p w:rsidR="005406B0" w:rsidRPr="00513C80" w:rsidRDefault="005406B0">
      <w:pPr>
        <w:pStyle w:val="Zkladntext21"/>
        <w:spacing w:before="0"/>
        <w:jc w:val="left"/>
        <w:rPr>
          <w:rFonts w:ascii="Times New Roman" w:hAnsi="Times New Roman" w:cs="Times New Roman"/>
          <w:sz w:val="22"/>
          <w:szCs w:val="22"/>
        </w:rPr>
      </w:pPr>
    </w:p>
    <w:p w:rsidR="005406B0" w:rsidRPr="00513C80" w:rsidRDefault="005406B0">
      <w:pPr>
        <w:jc w:val="both"/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4.7</w:t>
      </w:r>
      <w:r w:rsidRPr="00513C80">
        <w:rPr>
          <w:b/>
          <w:bCs/>
          <w:sz w:val="22"/>
          <w:szCs w:val="22"/>
        </w:rPr>
        <w:tab/>
        <w:t>Ovplyvnenie schopnosti viesť vozidlá a obsluhovať stroje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Neexistuje žiadny dôkaz o tom, že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môže mať vplyv na schopnosť pacienta viesť vozidlá alebo obsluhovať stroje.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keepNext/>
        <w:jc w:val="both"/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4.8</w:t>
      </w:r>
      <w:r w:rsidRPr="00513C80">
        <w:rPr>
          <w:b/>
          <w:bCs/>
          <w:sz w:val="22"/>
          <w:szCs w:val="22"/>
        </w:rPr>
        <w:tab/>
        <w:t>Nežiaduce účinky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V tabuľke nižšie sú uvedené nežiaduce účinky identifikované počas klinického skúšania a po uvedení lieku na trh podľa tried orgánových systémov a frekvencie. Nežiaduce účinky identifikované po uvedení lieku na trh sú uvedené kurzívou. 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  <w:u w:val="single"/>
        </w:rPr>
      </w:pPr>
      <w:r w:rsidRPr="00513C80">
        <w:rPr>
          <w:sz w:val="22"/>
          <w:szCs w:val="22"/>
        </w:rPr>
        <w:t>Frekvencie v rámci skupín sú definované použitím nasledujúcej konvencie: veľmi časté (≥ 1/10), časté (≥ 1/100 až &lt; 1/10), menej časté (≥ 1/1000 až &lt; 1/100), zriedkavé (≥ 1/10 000 až &lt; 1/1000), veľmi zriedkavé (&lt; 1/10 000), neznáme (z dostupných údajov). V rámci jednotlivých skupín frekvencií sú nežiaduce účinky usporiadané v poradí klesajúcej závažnosti.</w:t>
      </w:r>
    </w:p>
    <w:p w:rsidR="005406B0" w:rsidRPr="00513C80" w:rsidRDefault="005406B0">
      <w:pPr>
        <w:rPr>
          <w:sz w:val="22"/>
          <w:szCs w:val="22"/>
          <w:u w:val="single"/>
        </w:rPr>
      </w:pPr>
    </w:p>
    <w:p w:rsidR="005406B0" w:rsidRPr="00513C80" w:rsidRDefault="005406B0">
      <w:pPr>
        <w:pStyle w:val="Nadpis1"/>
        <w:numPr>
          <w:ilvl w:val="0"/>
          <w:numId w:val="0"/>
        </w:numPr>
        <w:jc w:val="left"/>
        <w:rPr>
          <w:sz w:val="22"/>
          <w:szCs w:val="22"/>
        </w:rPr>
      </w:pPr>
      <w:r w:rsidRPr="00513C80">
        <w:rPr>
          <w:b/>
          <w:sz w:val="22"/>
          <w:szCs w:val="22"/>
        </w:rPr>
        <w:t xml:space="preserve">Nežiaduce účinky možno alebo pravdepodobne súviseli s </w:t>
      </w:r>
      <w:proofErr w:type="spellStart"/>
      <w:r w:rsidRPr="00513C80">
        <w:rPr>
          <w:b/>
          <w:sz w:val="22"/>
          <w:szCs w:val="22"/>
        </w:rPr>
        <w:t>azitromycínom</w:t>
      </w:r>
      <w:proofErr w:type="spellEnd"/>
      <w:r w:rsidRPr="00513C80">
        <w:rPr>
          <w:b/>
          <w:sz w:val="22"/>
          <w:szCs w:val="22"/>
        </w:rPr>
        <w:t xml:space="preserve"> na základe skúseností z klinických štúdií a </w:t>
      </w:r>
      <w:proofErr w:type="spellStart"/>
      <w:r w:rsidRPr="00513C80">
        <w:rPr>
          <w:b/>
          <w:sz w:val="22"/>
          <w:szCs w:val="22"/>
        </w:rPr>
        <w:t>post-marketingového</w:t>
      </w:r>
      <w:proofErr w:type="spellEnd"/>
      <w:r w:rsidRPr="00513C80">
        <w:rPr>
          <w:b/>
          <w:sz w:val="22"/>
          <w:szCs w:val="22"/>
        </w:rPr>
        <w:t xml:space="preserve"> sledovania:</w:t>
      </w:r>
    </w:p>
    <w:p w:rsidR="005406B0" w:rsidRPr="00513C80" w:rsidRDefault="005406B0">
      <w:pPr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1668"/>
        <w:gridCol w:w="1276"/>
        <w:gridCol w:w="1417"/>
        <w:gridCol w:w="1843"/>
        <w:gridCol w:w="1701"/>
        <w:gridCol w:w="2122"/>
      </w:tblGrid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Trieda orgánových systémov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Veľmi časté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(≥ 1/10)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Časté</w:t>
            </w:r>
          </w:p>
          <w:p w:rsidR="005406B0" w:rsidRPr="00513C80" w:rsidRDefault="005406B0" w:rsidP="008857B2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 xml:space="preserve">(≥ 1/100 </w:t>
            </w:r>
            <w:r w:rsidR="008857B2">
              <w:rPr>
                <w:sz w:val="22"/>
                <w:szCs w:val="22"/>
              </w:rPr>
              <w:t>až</w:t>
            </w:r>
            <w:r w:rsidRPr="00513C80">
              <w:rPr>
                <w:sz w:val="22"/>
                <w:szCs w:val="22"/>
              </w:rPr>
              <w:t xml:space="preserve"> &lt; 1/10)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Menej časté</w:t>
            </w:r>
          </w:p>
          <w:p w:rsidR="005406B0" w:rsidRPr="00513C80" w:rsidRDefault="005406B0" w:rsidP="008857B2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 xml:space="preserve"> (≥ 1/1000 </w:t>
            </w:r>
            <w:r w:rsidR="008857B2">
              <w:rPr>
                <w:sz w:val="22"/>
                <w:szCs w:val="22"/>
              </w:rPr>
              <w:t>až</w:t>
            </w:r>
            <w:r w:rsidRPr="00513C80">
              <w:rPr>
                <w:sz w:val="22"/>
                <w:szCs w:val="22"/>
              </w:rPr>
              <w:t xml:space="preserve"> &lt; 1/100)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 xml:space="preserve">Zriedkavé </w:t>
            </w:r>
          </w:p>
          <w:p w:rsidR="005406B0" w:rsidRPr="00513C80" w:rsidRDefault="005406B0" w:rsidP="008857B2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(≥ 1/10</w:t>
            </w:r>
            <w:r w:rsidR="008857B2">
              <w:rPr>
                <w:sz w:val="22"/>
                <w:szCs w:val="22"/>
              </w:rPr>
              <w:t xml:space="preserve"> </w:t>
            </w:r>
            <w:r w:rsidRPr="00513C80">
              <w:rPr>
                <w:sz w:val="22"/>
                <w:szCs w:val="22"/>
              </w:rPr>
              <w:t xml:space="preserve">000 </w:t>
            </w:r>
            <w:r w:rsidR="008857B2">
              <w:rPr>
                <w:sz w:val="22"/>
                <w:szCs w:val="22"/>
              </w:rPr>
              <w:t>až</w:t>
            </w:r>
            <w:r w:rsidRPr="00513C80">
              <w:rPr>
                <w:sz w:val="22"/>
                <w:szCs w:val="22"/>
              </w:rPr>
              <w:t xml:space="preserve"> &lt; 1/1000)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r w:rsidRPr="00513C80">
              <w:rPr>
                <w:sz w:val="22"/>
                <w:szCs w:val="22"/>
              </w:rPr>
              <w:t>Frekvencia neznáma</w:t>
            </w: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Infekcie a nákazy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proofErr w:type="spellStart"/>
            <w:r w:rsidRPr="00513C80">
              <w:rPr>
                <w:rStyle w:val="hps"/>
                <w:sz w:val="22"/>
                <w:szCs w:val="22"/>
              </w:rPr>
              <w:t>kandidóza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>, vaginálne infekcie, orálna</w:t>
            </w:r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kandidóza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proofErr w:type="spellStart"/>
            <w:r w:rsidRPr="00513C80">
              <w:rPr>
                <w:rStyle w:val="hps"/>
                <w:sz w:val="22"/>
                <w:szCs w:val="22"/>
              </w:rPr>
              <w:t>pseudomembranózna</w:t>
            </w:r>
            <w:proofErr w:type="spellEnd"/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kolitída</w:t>
            </w:r>
            <w:proofErr w:type="spellEnd"/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(</w:t>
            </w:r>
            <w:r w:rsidRPr="00513C80">
              <w:rPr>
                <w:rStyle w:val="shorttext"/>
                <w:sz w:val="22"/>
                <w:szCs w:val="22"/>
              </w:rPr>
              <w:t xml:space="preserve">pozri </w:t>
            </w:r>
            <w:r w:rsidRPr="00513C80">
              <w:rPr>
                <w:rStyle w:val="hps"/>
                <w:sz w:val="22"/>
                <w:szCs w:val="22"/>
              </w:rPr>
              <w:t>časť 4.4</w:t>
            </w:r>
            <w:r w:rsidRPr="00513C80">
              <w:rPr>
                <w:rStyle w:val="shorttext"/>
                <w:sz w:val="22"/>
                <w:szCs w:val="22"/>
              </w:rPr>
              <w:t>)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Poruchy krvi a lymfatického systému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proofErr w:type="spellStart"/>
            <w:r w:rsidRPr="00513C80">
              <w:rPr>
                <w:rStyle w:val="hps"/>
                <w:sz w:val="22"/>
                <w:szCs w:val="22"/>
              </w:rPr>
              <w:t>leukopénia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 xml:space="preserve">,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neutropénia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roofErr w:type="spellStart"/>
            <w:r w:rsidRPr="00513C80">
              <w:rPr>
                <w:rStyle w:val="hps"/>
                <w:sz w:val="22"/>
                <w:szCs w:val="22"/>
              </w:rPr>
              <w:t>trombocytopénia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hemolytická</w:t>
            </w:r>
            <w:proofErr w:type="spellEnd"/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anémia</w:t>
            </w: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Poruchy imunitného systému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proofErr w:type="spellStart"/>
            <w:r w:rsidRPr="00513C80">
              <w:rPr>
                <w:rStyle w:val="hps"/>
                <w:sz w:val="22"/>
                <w:szCs w:val="22"/>
              </w:rPr>
              <w:t>angioedém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>, precitlivenosť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roofErr w:type="spellStart"/>
            <w:r w:rsidRPr="00513C80">
              <w:rPr>
                <w:rStyle w:val="hps"/>
                <w:sz w:val="22"/>
                <w:szCs w:val="22"/>
              </w:rPr>
              <w:t>anafylaktické</w:t>
            </w:r>
            <w:proofErr w:type="spellEnd"/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reakcie</w:t>
            </w:r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(</w:t>
            </w:r>
            <w:r w:rsidRPr="00513C80">
              <w:rPr>
                <w:rStyle w:val="shorttext"/>
                <w:sz w:val="22"/>
                <w:szCs w:val="22"/>
              </w:rPr>
              <w:t xml:space="preserve">pozri </w:t>
            </w:r>
            <w:r w:rsidRPr="00513C80">
              <w:rPr>
                <w:rStyle w:val="hps"/>
                <w:sz w:val="22"/>
                <w:szCs w:val="22"/>
              </w:rPr>
              <w:t>časť 4.4</w:t>
            </w:r>
            <w:r w:rsidRPr="00513C80">
              <w:rPr>
                <w:rStyle w:val="shorttext"/>
                <w:sz w:val="22"/>
                <w:szCs w:val="22"/>
              </w:rPr>
              <w:t>)</w:t>
            </w: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Poruchy metabolizmu a výživy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proofErr w:type="spellStart"/>
            <w:r w:rsidRPr="00513C80">
              <w:rPr>
                <w:sz w:val="22"/>
                <w:szCs w:val="22"/>
              </w:rPr>
              <w:t>anorexia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 xml:space="preserve">Psychické poruchy 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rStyle w:val="hps"/>
                <w:sz w:val="22"/>
                <w:szCs w:val="22"/>
              </w:rPr>
              <w:t>nervozita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rStyle w:val="hps"/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agitácia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r w:rsidRPr="00513C80">
              <w:rPr>
                <w:rStyle w:val="hps"/>
                <w:sz w:val="22"/>
                <w:szCs w:val="22"/>
              </w:rPr>
              <w:t>agresivita, úzkosť</w:t>
            </w: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lastRenderedPageBreak/>
              <w:t>Poruchy nervového systému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rStyle w:val="hps"/>
                <w:sz w:val="22"/>
                <w:szCs w:val="22"/>
              </w:rPr>
            </w:pPr>
            <w:r w:rsidRPr="00513C80">
              <w:rPr>
                <w:rStyle w:val="hps"/>
                <w:sz w:val="22"/>
                <w:szCs w:val="22"/>
              </w:rPr>
              <w:t>závrat, bolesti</w:t>
            </w:r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 xml:space="preserve">hlavy,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parestézia</w:t>
            </w:r>
            <w:proofErr w:type="spellEnd"/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dysgeusia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proofErr w:type="spellStart"/>
            <w:r w:rsidRPr="00513C80">
              <w:rPr>
                <w:rStyle w:val="hps"/>
                <w:sz w:val="22"/>
                <w:szCs w:val="22"/>
              </w:rPr>
              <w:t>hypoestézia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>, spavosť, nespavosť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rStyle w:val="hps"/>
                <w:sz w:val="22"/>
                <w:szCs w:val="22"/>
              </w:rPr>
              <w:t xml:space="preserve">synkopa, kŕč,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psychomotorická</w:t>
            </w:r>
            <w:proofErr w:type="spellEnd"/>
            <w:r w:rsidRPr="00513C80">
              <w:rPr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hyperaktivita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>, strata</w:t>
            </w:r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 xml:space="preserve">čuchu,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ageúzia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 xml:space="preserve">,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parosmia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 xml:space="preserve">,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myasthenia</w:t>
            </w:r>
            <w:proofErr w:type="spellEnd"/>
            <w:r w:rsidRPr="00513C80">
              <w:rPr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gravis</w:t>
            </w:r>
            <w:proofErr w:type="spellEnd"/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(</w:t>
            </w:r>
            <w:r w:rsidRPr="00513C80">
              <w:rPr>
                <w:sz w:val="22"/>
                <w:szCs w:val="22"/>
              </w:rPr>
              <w:t xml:space="preserve">pozri </w:t>
            </w:r>
            <w:r w:rsidRPr="00513C80">
              <w:rPr>
                <w:rStyle w:val="hps"/>
                <w:sz w:val="22"/>
                <w:szCs w:val="22"/>
              </w:rPr>
              <w:t>časť 4.4</w:t>
            </w:r>
            <w:r w:rsidRPr="00513C80">
              <w:rPr>
                <w:sz w:val="22"/>
                <w:szCs w:val="22"/>
              </w:rPr>
              <w:t>)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Poruchy oka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zhoršenie zraku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Poruchy ucha a labyrintu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hluchota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 xml:space="preserve">poruchy sluchu, </w:t>
            </w:r>
            <w:proofErr w:type="spellStart"/>
            <w:r w:rsidRPr="00513C80">
              <w:rPr>
                <w:sz w:val="22"/>
                <w:szCs w:val="22"/>
              </w:rPr>
              <w:t>tinitus</w:t>
            </w:r>
            <w:proofErr w:type="spellEnd"/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proofErr w:type="spellStart"/>
            <w:r w:rsidRPr="00513C80">
              <w:rPr>
                <w:sz w:val="22"/>
                <w:szCs w:val="22"/>
              </w:rPr>
              <w:t>vertigo</w:t>
            </w:r>
            <w:proofErr w:type="spellEnd"/>
            <w:r w:rsidRPr="00513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Poruchy srdca a srdcovej činnosti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proofErr w:type="spellStart"/>
            <w:r w:rsidRPr="00513C80">
              <w:rPr>
                <w:sz w:val="22"/>
                <w:szCs w:val="22"/>
              </w:rPr>
              <w:t>palpitácie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proofErr w:type="spellStart"/>
            <w:r w:rsidRPr="008857B2">
              <w:rPr>
                <w:i/>
                <w:sz w:val="22"/>
                <w:szCs w:val="22"/>
              </w:rPr>
              <w:t>torsades</w:t>
            </w:r>
            <w:proofErr w:type="spellEnd"/>
            <w:r w:rsidRPr="008857B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857B2">
              <w:rPr>
                <w:i/>
                <w:sz w:val="22"/>
                <w:szCs w:val="22"/>
              </w:rPr>
              <w:t>de</w:t>
            </w:r>
            <w:proofErr w:type="spellEnd"/>
            <w:r w:rsidRPr="008857B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857B2">
              <w:rPr>
                <w:i/>
                <w:sz w:val="22"/>
                <w:szCs w:val="22"/>
              </w:rPr>
              <w:t>pointes</w:t>
            </w:r>
            <w:proofErr w:type="spellEnd"/>
            <w:r w:rsidRPr="00513C80">
              <w:rPr>
                <w:sz w:val="22"/>
                <w:szCs w:val="22"/>
              </w:rPr>
              <w:t xml:space="preserve"> (pozri časť 4.4) 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  <w:proofErr w:type="spellStart"/>
            <w:r w:rsidRPr="00513C80">
              <w:rPr>
                <w:sz w:val="22"/>
                <w:szCs w:val="22"/>
              </w:rPr>
              <w:t>arytmia</w:t>
            </w:r>
            <w:proofErr w:type="spellEnd"/>
            <w:r w:rsidRPr="00513C80">
              <w:rPr>
                <w:sz w:val="22"/>
                <w:szCs w:val="22"/>
              </w:rPr>
              <w:t xml:space="preserve"> (pozri časť 4.4) </w:t>
            </w:r>
            <w:r w:rsidRPr="00513C80">
              <w:rPr>
                <w:rStyle w:val="hps"/>
                <w:sz w:val="22"/>
                <w:szCs w:val="22"/>
              </w:rPr>
              <w:t>vrátane</w:t>
            </w:r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ventrikulárnej</w:t>
            </w:r>
            <w:proofErr w:type="spellEnd"/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tachykardie</w:t>
            </w:r>
            <w:proofErr w:type="spellEnd"/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Poruchy ciev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r w:rsidRPr="00513C80">
              <w:rPr>
                <w:sz w:val="22"/>
                <w:szCs w:val="22"/>
              </w:rPr>
              <w:t>hypotenzia</w:t>
            </w: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 xml:space="preserve">Poruchy </w:t>
            </w:r>
            <w:proofErr w:type="spellStart"/>
            <w:r w:rsidRPr="00513C80">
              <w:rPr>
                <w:sz w:val="22"/>
                <w:szCs w:val="22"/>
              </w:rPr>
              <w:t>gastrointestinálneho</w:t>
            </w:r>
            <w:proofErr w:type="spellEnd"/>
            <w:r w:rsidRPr="00513C80">
              <w:rPr>
                <w:sz w:val="22"/>
                <w:szCs w:val="22"/>
              </w:rPr>
              <w:t xml:space="preserve"> traktu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rStyle w:val="hps"/>
                <w:sz w:val="22"/>
                <w:szCs w:val="22"/>
              </w:rPr>
              <w:t>hnačka, bolesti</w:t>
            </w:r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brucha, nevoľnosť</w:t>
            </w:r>
            <w:r w:rsidRPr="00513C80">
              <w:rPr>
                <w:rStyle w:val="shorttext"/>
                <w:sz w:val="22"/>
                <w:szCs w:val="22"/>
              </w:rPr>
              <w:t>, n</w:t>
            </w:r>
            <w:r w:rsidRPr="00513C80">
              <w:rPr>
                <w:rStyle w:val="hps"/>
                <w:sz w:val="22"/>
                <w:szCs w:val="22"/>
              </w:rPr>
              <w:t>adúvanie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rStyle w:val="hps"/>
                <w:sz w:val="22"/>
                <w:szCs w:val="22"/>
              </w:rPr>
            </w:pPr>
            <w:r w:rsidRPr="00513C80">
              <w:rPr>
                <w:rStyle w:val="hps"/>
                <w:sz w:val="22"/>
                <w:szCs w:val="22"/>
              </w:rPr>
              <w:t xml:space="preserve">zvracanie,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dyspepsia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rStyle w:val="hps"/>
                <w:sz w:val="22"/>
                <w:szCs w:val="22"/>
              </w:rPr>
              <w:t>zápal</w:t>
            </w:r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žalúdka, zápcha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r w:rsidRPr="00513C80">
              <w:rPr>
                <w:rStyle w:val="hps"/>
                <w:sz w:val="22"/>
                <w:szCs w:val="22"/>
              </w:rPr>
              <w:t>zápal</w:t>
            </w:r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pankreasu, zmena</w:t>
            </w:r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sfarbenia jazyka</w:t>
            </w: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Poruchy pečene a žlčových ciest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rStyle w:val="hps"/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 xml:space="preserve">hepatitída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rStyle w:val="hps"/>
                <w:sz w:val="22"/>
                <w:szCs w:val="22"/>
              </w:rPr>
            </w:pPr>
            <w:r w:rsidRPr="00513C80">
              <w:rPr>
                <w:rStyle w:val="hps"/>
                <w:sz w:val="22"/>
                <w:szCs w:val="22"/>
              </w:rPr>
              <w:t>abnormálne funkcie pečene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Default="005406B0">
            <w:pPr>
              <w:rPr>
                <w:sz w:val="22"/>
                <w:szCs w:val="22"/>
              </w:rPr>
            </w:pPr>
            <w:r w:rsidRPr="00513C80">
              <w:rPr>
                <w:rStyle w:val="hps"/>
                <w:sz w:val="22"/>
                <w:szCs w:val="22"/>
              </w:rPr>
              <w:t>zlyhanie pečene</w:t>
            </w:r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(</w:t>
            </w:r>
            <w:r w:rsidRPr="00513C80">
              <w:rPr>
                <w:sz w:val="22"/>
                <w:szCs w:val="22"/>
              </w:rPr>
              <w:t xml:space="preserve">pozri </w:t>
            </w:r>
            <w:r w:rsidRPr="00513C80">
              <w:rPr>
                <w:rStyle w:val="hps"/>
                <w:sz w:val="22"/>
                <w:szCs w:val="22"/>
              </w:rPr>
              <w:t>časť 4.4</w:t>
            </w:r>
            <w:r w:rsidRPr="00513C80">
              <w:rPr>
                <w:sz w:val="22"/>
                <w:szCs w:val="22"/>
              </w:rPr>
              <w:t xml:space="preserve">), </w:t>
            </w:r>
            <w:r w:rsidRPr="00513C80">
              <w:rPr>
                <w:rStyle w:val="hps"/>
                <w:sz w:val="22"/>
                <w:szCs w:val="22"/>
              </w:rPr>
              <w:t>ktoré</w:t>
            </w:r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zriedkavo</w:t>
            </w:r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viedlo</w:t>
            </w:r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k</w:t>
            </w:r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úmrtiu</w:t>
            </w:r>
            <w:r w:rsidRPr="00513C80">
              <w:rPr>
                <w:sz w:val="22"/>
                <w:szCs w:val="22"/>
              </w:rPr>
              <w:t xml:space="preserve">), </w:t>
            </w:r>
            <w:r w:rsidRPr="00513C80">
              <w:rPr>
                <w:rStyle w:val="hps"/>
                <w:sz w:val="22"/>
                <w:szCs w:val="22"/>
              </w:rPr>
              <w:t xml:space="preserve">fulminantná hepatitída,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nekróza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 xml:space="preserve">, pečene,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cholestatická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 xml:space="preserve"> žltačka</w:t>
            </w:r>
            <w:r w:rsidRPr="00513C80">
              <w:rPr>
                <w:sz w:val="22"/>
                <w:szCs w:val="22"/>
              </w:rPr>
              <w:t xml:space="preserve"> </w:t>
            </w:r>
          </w:p>
          <w:p w:rsidR="008857B2" w:rsidRPr="00513C80" w:rsidRDefault="008857B2"/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Poruchy kože a podkožného tkaniva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proofErr w:type="spellStart"/>
            <w:r w:rsidRPr="00513C80">
              <w:rPr>
                <w:sz w:val="22"/>
                <w:szCs w:val="22"/>
              </w:rPr>
              <w:t>pruritus</w:t>
            </w:r>
            <w:proofErr w:type="spellEnd"/>
          </w:p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vyrážka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proofErr w:type="spellStart"/>
            <w:r w:rsidRPr="00513C80">
              <w:rPr>
                <w:sz w:val="22"/>
                <w:szCs w:val="22"/>
              </w:rPr>
              <w:t>Stevensov-Johnson</w:t>
            </w:r>
            <w:r w:rsidR="00513C80">
              <w:rPr>
                <w:sz w:val="22"/>
                <w:szCs w:val="22"/>
              </w:rPr>
              <w:t>ov</w:t>
            </w:r>
            <w:proofErr w:type="spellEnd"/>
            <w:r w:rsidRPr="00513C80">
              <w:rPr>
                <w:sz w:val="22"/>
                <w:szCs w:val="22"/>
              </w:rPr>
              <w:t xml:space="preserve"> syndróm, 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  <w:proofErr w:type="spellStart"/>
            <w:r w:rsidRPr="00513C80">
              <w:rPr>
                <w:sz w:val="22"/>
                <w:szCs w:val="22"/>
              </w:rPr>
              <w:t>fotosenzitívne</w:t>
            </w:r>
            <w:proofErr w:type="spellEnd"/>
            <w:r w:rsidRPr="00513C80">
              <w:rPr>
                <w:sz w:val="22"/>
                <w:szCs w:val="22"/>
              </w:rPr>
              <w:t xml:space="preserve"> reakcie, </w:t>
            </w:r>
            <w:proofErr w:type="spellStart"/>
            <w:r w:rsidRPr="00513C80">
              <w:rPr>
                <w:sz w:val="22"/>
                <w:szCs w:val="22"/>
              </w:rPr>
              <w:t>urtikária</w:t>
            </w:r>
            <w:proofErr w:type="spellEnd"/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AC4C75">
            <w:pPr>
              <w:snapToGrid w:val="0"/>
              <w:rPr>
                <w:sz w:val="22"/>
                <w:szCs w:val="22"/>
              </w:rPr>
            </w:pPr>
            <w:r w:rsidRPr="00AC4C75">
              <w:rPr>
                <w:sz w:val="22"/>
                <w:szCs w:val="22"/>
              </w:rPr>
              <w:t xml:space="preserve">akútna generalizovaná </w:t>
            </w:r>
            <w:proofErr w:type="spellStart"/>
            <w:r w:rsidRPr="00AC4C75">
              <w:rPr>
                <w:sz w:val="22"/>
                <w:szCs w:val="22"/>
              </w:rPr>
              <w:t>exantémová</w:t>
            </w:r>
            <w:proofErr w:type="spellEnd"/>
            <w:r w:rsidRPr="00AC4C75">
              <w:rPr>
                <w:sz w:val="22"/>
                <w:szCs w:val="22"/>
              </w:rPr>
              <w:t xml:space="preserve"> </w:t>
            </w:r>
            <w:proofErr w:type="spellStart"/>
            <w:r w:rsidRPr="00AC4C75">
              <w:rPr>
                <w:sz w:val="22"/>
                <w:szCs w:val="22"/>
              </w:rPr>
              <w:t>pustulóza</w:t>
            </w:r>
            <w:proofErr w:type="spellEnd"/>
            <w:r w:rsidRPr="00AC4C75">
              <w:rPr>
                <w:sz w:val="22"/>
                <w:szCs w:val="22"/>
              </w:rPr>
              <w:t xml:space="preserve"> (AGEP, </w:t>
            </w:r>
            <w:proofErr w:type="spellStart"/>
            <w:r w:rsidRPr="00AC4C75">
              <w:rPr>
                <w:sz w:val="22"/>
                <w:szCs w:val="22"/>
              </w:rPr>
              <w:t>acute</w:t>
            </w:r>
            <w:proofErr w:type="spellEnd"/>
            <w:r w:rsidRPr="00AC4C75">
              <w:rPr>
                <w:sz w:val="22"/>
                <w:szCs w:val="22"/>
              </w:rPr>
              <w:t xml:space="preserve"> </w:t>
            </w:r>
            <w:proofErr w:type="spellStart"/>
            <w:r w:rsidRPr="00AC4C75">
              <w:rPr>
                <w:sz w:val="22"/>
                <w:szCs w:val="22"/>
              </w:rPr>
              <w:t>generalised</w:t>
            </w:r>
            <w:proofErr w:type="spellEnd"/>
            <w:r w:rsidRPr="00AC4C75">
              <w:rPr>
                <w:sz w:val="22"/>
                <w:szCs w:val="22"/>
              </w:rPr>
              <w:t xml:space="preserve"> </w:t>
            </w:r>
            <w:proofErr w:type="spellStart"/>
            <w:r w:rsidRPr="00AC4C75">
              <w:rPr>
                <w:sz w:val="22"/>
                <w:szCs w:val="22"/>
              </w:rPr>
              <w:t>exanthematous</w:t>
            </w:r>
            <w:proofErr w:type="spellEnd"/>
            <w:r w:rsidRPr="00AC4C75">
              <w:rPr>
                <w:sz w:val="22"/>
                <w:szCs w:val="22"/>
              </w:rPr>
              <w:t xml:space="preserve"> </w:t>
            </w:r>
            <w:proofErr w:type="spellStart"/>
            <w:r w:rsidRPr="00AC4C75">
              <w:rPr>
                <w:sz w:val="22"/>
                <w:szCs w:val="22"/>
              </w:rPr>
              <w:t>pustulosis</w:t>
            </w:r>
            <w:proofErr w:type="spellEnd"/>
            <w:r w:rsidRPr="00AC4C75">
              <w:rPr>
                <w:sz w:val="22"/>
                <w:szCs w:val="22"/>
              </w:rPr>
              <w:t>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r w:rsidRPr="00513C80">
              <w:rPr>
                <w:rStyle w:val="hps"/>
                <w:sz w:val="22"/>
                <w:szCs w:val="22"/>
              </w:rPr>
              <w:t xml:space="preserve">toxická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epidermálna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nekrolýza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 xml:space="preserve">,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multiformný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erytém</w:t>
            </w:r>
            <w:proofErr w:type="spellEnd"/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Poruchy kostrovej a svalovej sústavy a spojivového tkaniva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proofErr w:type="spellStart"/>
            <w:r w:rsidRPr="00513C80">
              <w:rPr>
                <w:rStyle w:val="hps"/>
                <w:sz w:val="22"/>
                <w:szCs w:val="22"/>
              </w:rPr>
              <w:t>artralgia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lastRenderedPageBreak/>
              <w:t>Poruchy obličiek a močových ciest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r w:rsidRPr="00513C80">
              <w:rPr>
                <w:rStyle w:val="hps"/>
                <w:sz w:val="22"/>
                <w:szCs w:val="22"/>
              </w:rPr>
              <w:t>akútne</w:t>
            </w:r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zlyhanie</w:t>
            </w:r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 xml:space="preserve">obličiek,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intersticiálna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nefritída</w:t>
            </w:r>
            <w:proofErr w:type="spellEnd"/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Celkové poruchy a reakcie v mieste podania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rStyle w:val="hps"/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únava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rStyle w:val="hps"/>
                <w:sz w:val="22"/>
                <w:szCs w:val="22"/>
              </w:rPr>
              <w:t xml:space="preserve">bolesť na hrudi, opuch, </w:t>
            </w:r>
            <w:r w:rsidR="00343951">
              <w:rPr>
                <w:rStyle w:val="hps"/>
                <w:sz w:val="22"/>
                <w:szCs w:val="22"/>
              </w:rPr>
              <w:t>nevoľnosť</w:t>
            </w:r>
            <w:r w:rsidRPr="00513C80">
              <w:rPr>
                <w:rStyle w:val="hps"/>
                <w:sz w:val="22"/>
                <w:szCs w:val="22"/>
              </w:rPr>
              <w:t>, asténia</w:t>
            </w:r>
            <w:r w:rsidRPr="00513C80">
              <w:rPr>
                <w:rStyle w:val="WW8Num1z0"/>
                <w:sz w:val="22"/>
                <w:szCs w:val="22"/>
              </w:rPr>
              <w:t xml:space="preserve"> 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</w:tr>
      <w:tr w:rsidR="005406B0" w:rsidRPr="00513C8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sz w:val="22"/>
                <w:szCs w:val="22"/>
              </w:rPr>
              <w:t>Laboratórne a funkčné vyšetrenia</w:t>
            </w:r>
          </w:p>
          <w:p w:rsidR="005406B0" w:rsidRPr="00513C80" w:rsidRDefault="005406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rStyle w:val="hps"/>
                <w:sz w:val="22"/>
                <w:szCs w:val="22"/>
              </w:rPr>
            </w:pPr>
            <w:r w:rsidRPr="00513C80">
              <w:rPr>
                <w:rStyle w:val="hps"/>
                <w:sz w:val="22"/>
                <w:szCs w:val="22"/>
              </w:rPr>
              <w:t>pokles počtu</w:t>
            </w:r>
            <w:r w:rsidRPr="00513C80">
              <w:rPr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lymfocytov</w:t>
            </w:r>
            <w:proofErr w:type="spellEnd"/>
            <w:r w:rsidRPr="00513C80">
              <w:rPr>
                <w:sz w:val="22"/>
                <w:szCs w:val="22"/>
              </w:rPr>
              <w:t>, z</w:t>
            </w:r>
            <w:r w:rsidRPr="00513C80">
              <w:rPr>
                <w:rStyle w:val="hps"/>
                <w:sz w:val="22"/>
                <w:szCs w:val="22"/>
              </w:rPr>
              <w:t>výšený</w:t>
            </w:r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počet</w:t>
            </w:r>
            <w:r w:rsidRPr="00513C80">
              <w:rPr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eozinofilov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>, pokles bikarbonátu v krvi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rPr>
                <w:sz w:val="22"/>
                <w:szCs w:val="22"/>
              </w:rPr>
            </w:pPr>
            <w:r w:rsidRPr="00513C80">
              <w:rPr>
                <w:rStyle w:val="hps"/>
                <w:sz w:val="22"/>
                <w:szCs w:val="22"/>
              </w:rPr>
              <w:t>zvýšená</w:t>
            </w:r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hladina</w:t>
            </w:r>
            <w:r w:rsidRPr="00513C80">
              <w:rPr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aspartátamino-transferázy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>, zvýšená</w:t>
            </w:r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hladina</w:t>
            </w:r>
            <w:r w:rsidRPr="00513C80">
              <w:rPr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alanínamino-transferázy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>, zvýšená</w:t>
            </w:r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hladina</w:t>
            </w:r>
            <w:r w:rsidRPr="00513C80">
              <w:rPr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bilirubínu</w:t>
            </w:r>
            <w:proofErr w:type="spellEnd"/>
            <w:r w:rsidRPr="00513C80">
              <w:rPr>
                <w:rStyle w:val="hps"/>
                <w:sz w:val="22"/>
                <w:szCs w:val="22"/>
              </w:rPr>
              <w:t>, zvýšená</w:t>
            </w:r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hladina</w:t>
            </w:r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močoviny, zvýšenie</w:t>
            </w:r>
            <w:r w:rsidRPr="00513C80">
              <w:rPr>
                <w:sz w:val="22"/>
                <w:szCs w:val="22"/>
              </w:rPr>
              <w:t xml:space="preserve"> </w:t>
            </w:r>
            <w:proofErr w:type="spellStart"/>
            <w:r w:rsidRPr="00513C80">
              <w:rPr>
                <w:rStyle w:val="hps"/>
                <w:sz w:val="22"/>
                <w:szCs w:val="22"/>
              </w:rPr>
              <w:t>kreatinínu</w:t>
            </w:r>
            <w:proofErr w:type="spellEnd"/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v krvi, abnormálne hladiny</w:t>
            </w:r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draslíka</w:t>
            </w:r>
            <w:r w:rsidRPr="00513C80">
              <w:rPr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v krvi</w:t>
            </w:r>
            <w:r w:rsidRPr="00513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6B0" w:rsidRPr="00513C80" w:rsidRDefault="005406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6B0" w:rsidRPr="00513C80" w:rsidRDefault="005406B0">
            <w:r w:rsidRPr="00513C80">
              <w:rPr>
                <w:rStyle w:val="hps"/>
                <w:sz w:val="22"/>
                <w:szCs w:val="22"/>
              </w:rPr>
              <w:t>predĺženie</w:t>
            </w:r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QT</w:t>
            </w:r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na</w:t>
            </w:r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EKG</w:t>
            </w:r>
            <w:r w:rsidRPr="00513C80">
              <w:rPr>
                <w:rStyle w:val="shorttext"/>
                <w:sz w:val="22"/>
                <w:szCs w:val="22"/>
              </w:rPr>
              <w:t xml:space="preserve"> </w:t>
            </w:r>
            <w:r w:rsidRPr="00513C80">
              <w:rPr>
                <w:rStyle w:val="hps"/>
                <w:sz w:val="22"/>
                <w:szCs w:val="22"/>
              </w:rPr>
              <w:t>(</w:t>
            </w:r>
            <w:r w:rsidRPr="00513C80">
              <w:rPr>
                <w:rStyle w:val="shorttext"/>
                <w:sz w:val="22"/>
                <w:szCs w:val="22"/>
              </w:rPr>
              <w:t xml:space="preserve">pozri </w:t>
            </w:r>
            <w:r w:rsidRPr="00513C80">
              <w:rPr>
                <w:rStyle w:val="hps"/>
                <w:sz w:val="22"/>
                <w:szCs w:val="22"/>
              </w:rPr>
              <w:t>časť 4.4</w:t>
            </w:r>
            <w:r w:rsidRPr="00513C80">
              <w:rPr>
                <w:rStyle w:val="shorttext"/>
                <w:sz w:val="22"/>
                <w:szCs w:val="22"/>
              </w:rPr>
              <w:t>)</w:t>
            </w:r>
          </w:p>
        </w:tc>
      </w:tr>
    </w:tbl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suppressLineNumbers/>
        <w:autoSpaceDE w:val="0"/>
        <w:rPr>
          <w:sz w:val="22"/>
          <w:szCs w:val="22"/>
        </w:rPr>
      </w:pPr>
      <w:r w:rsidRPr="00513C80">
        <w:rPr>
          <w:sz w:val="22"/>
          <w:szCs w:val="22"/>
          <w:u w:val="single"/>
        </w:rPr>
        <w:t>Hlásenie podozrení na nežiaduce reakcie</w:t>
      </w:r>
    </w:p>
    <w:p w:rsidR="005406B0" w:rsidRPr="00513C80" w:rsidRDefault="005406B0">
      <w:pPr>
        <w:suppressLineNumbers/>
        <w:autoSpaceDE w:val="0"/>
        <w:rPr>
          <w:sz w:val="22"/>
          <w:szCs w:val="22"/>
        </w:rPr>
      </w:pPr>
      <w:r w:rsidRPr="00513C80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C4C75">
        <w:rPr>
          <w:sz w:val="22"/>
          <w:szCs w:val="22"/>
        </w:rPr>
        <w:t>na</w:t>
      </w:r>
      <w:r w:rsidR="00AC4C75" w:rsidRPr="00513C80">
        <w:rPr>
          <w:sz w:val="22"/>
          <w:szCs w:val="22"/>
        </w:rPr>
        <w:t xml:space="preserve"> </w:t>
      </w:r>
      <w:r w:rsidRPr="00513C80">
        <w:rPr>
          <w:sz w:val="22"/>
          <w:szCs w:val="22"/>
          <w:shd w:val="clear" w:color="auto" w:fill="C0C0C0"/>
        </w:rPr>
        <w:t>národné</w:t>
      </w:r>
      <w:r w:rsidR="00AC4C75">
        <w:rPr>
          <w:sz w:val="22"/>
          <w:szCs w:val="22"/>
          <w:shd w:val="clear" w:color="auto" w:fill="C0C0C0"/>
        </w:rPr>
        <w:t xml:space="preserve"> centrum</w:t>
      </w:r>
      <w:r w:rsidRPr="00513C80">
        <w:rPr>
          <w:sz w:val="22"/>
          <w:szCs w:val="22"/>
          <w:shd w:val="clear" w:color="auto" w:fill="C0C0C0"/>
        </w:rPr>
        <w:t xml:space="preserve"> hlásenia uvedené v </w:t>
      </w:r>
      <w:hyperlink r:id="rId8" w:history="1">
        <w:r w:rsidRPr="00513C80">
          <w:rPr>
            <w:rStyle w:val="Hypertextovprepojenie"/>
            <w:sz w:val="22"/>
            <w:szCs w:val="22"/>
            <w:shd w:val="clear" w:color="auto" w:fill="C0C0C0"/>
          </w:rPr>
          <w:t>Prílohe V</w:t>
        </w:r>
      </w:hyperlink>
      <w:r w:rsidRPr="00513C80">
        <w:rPr>
          <w:color w:val="008000"/>
          <w:sz w:val="22"/>
          <w:szCs w:val="22"/>
        </w:rPr>
        <w:t>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jc w:val="both"/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4.9</w:t>
      </w:r>
      <w:r w:rsidRPr="00513C80">
        <w:rPr>
          <w:b/>
          <w:bCs/>
          <w:sz w:val="22"/>
          <w:szCs w:val="22"/>
        </w:rPr>
        <w:tab/>
        <w:t>Predávkovanie</w:t>
      </w:r>
    </w:p>
    <w:p w:rsidR="005406B0" w:rsidRPr="00513C80" w:rsidRDefault="005406B0">
      <w:pPr>
        <w:jc w:val="both"/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Nežiaduce účinky, ktoré je možné pozorovať po podaní dávok presahujúcich odporúčané dávky, boli podobné tým, ktoré sa vyskytujú po podaní bežných dávok. V prípade predávkovania je indikovaná všeobecná symptomatická liečba a opatrenia na podporu životných funkcií. 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keepNext/>
        <w:jc w:val="both"/>
        <w:rPr>
          <w:b/>
          <w:bCs/>
          <w:sz w:val="22"/>
          <w:szCs w:val="22"/>
        </w:rPr>
      </w:pPr>
      <w:r w:rsidRPr="00513C80">
        <w:rPr>
          <w:b/>
          <w:bCs/>
          <w:sz w:val="22"/>
          <w:szCs w:val="22"/>
        </w:rPr>
        <w:t>5.</w:t>
      </w:r>
      <w:r w:rsidRPr="00513C80">
        <w:rPr>
          <w:b/>
          <w:bCs/>
          <w:sz w:val="22"/>
          <w:szCs w:val="22"/>
        </w:rPr>
        <w:tab/>
        <w:t>FARMAKOLOGICKÉ VLASTNOSTI</w:t>
      </w:r>
    </w:p>
    <w:p w:rsidR="005406B0" w:rsidRPr="00513C80" w:rsidRDefault="005406B0">
      <w:pPr>
        <w:keepNext/>
        <w:jc w:val="both"/>
        <w:rPr>
          <w:b/>
          <w:bCs/>
          <w:sz w:val="22"/>
          <w:szCs w:val="22"/>
        </w:rPr>
      </w:pPr>
    </w:p>
    <w:p w:rsidR="005406B0" w:rsidRPr="00513C80" w:rsidRDefault="005406B0">
      <w:pPr>
        <w:keepNext/>
        <w:jc w:val="both"/>
        <w:rPr>
          <w:bCs/>
          <w:iCs/>
          <w:sz w:val="22"/>
          <w:szCs w:val="22"/>
        </w:rPr>
      </w:pPr>
      <w:r w:rsidRPr="00513C80">
        <w:rPr>
          <w:b/>
          <w:bCs/>
          <w:sz w:val="22"/>
          <w:szCs w:val="22"/>
        </w:rPr>
        <w:t>5.1</w:t>
      </w:r>
      <w:r w:rsidRPr="00513C80">
        <w:rPr>
          <w:b/>
          <w:bCs/>
          <w:sz w:val="22"/>
          <w:szCs w:val="22"/>
        </w:rPr>
        <w:tab/>
      </w:r>
      <w:proofErr w:type="spellStart"/>
      <w:r w:rsidRPr="00513C80">
        <w:rPr>
          <w:b/>
          <w:bCs/>
          <w:sz w:val="22"/>
          <w:szCs w:val="22"/>
        </w:rPr>
        <w:t>Farmakodynamické</w:t>
      </w:r>
      <w:proofErr w:type="spellEnd"/>
      <w:r w:rsidRPr="00513C80">
        <w:rPr>
          <w:b/>
          <w:bCs/>
          <w:sz w:val="22"/>
          <w:szCs w:val="22"/>
        </w:rPr>
        <w:t xml:space="preserve"> vlastnosti</w:t>
      </w:r>
    </w:p>
    <w:p w:rsidR="005406B0" w:rsidRPr="00513C80" w:rsidRDefault="005406B0">
      <w:pPr>
        <w:jc w:val="both"/>
        <w:rPr>
          <w:bCs/>
          <w:iCs/>
          <w:sz w:val="22"/>
          <w:szCs w:val="22"/>
        </w:rPr>
      </w:pPr>
    </w:p>
    <w:p w:rsidR="005406B0" w:rsidRPr="00513C80" w:rsidRDefault="005406B0">
      <w:pPr>
        <w:spacing w:before="120"/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Farmakoterapeutická</w:t>
      </w:r>
      <w:proofErr w:type="spellEnd"/>
      <w:r w:rsidRPr="00513C80">
        <w:rPr>
          <w:sz w:val="22"/>
          <w:szCs w:val="22"/>
        </w:rPr>
        <w:t xml:space="preserve"> skupina: </w:t>
      </w:r>
      <w:r w:rsidR="00F27044" w:rsidRPr="00513C80">
        <w:rPr>
          <w:sz w:val="22"/>
          <w:szCs w:val="22"/>
        </w:rPr>
        <w:t>Antib</w:t>
      </w:r>
      <w:r w:rsidR="00F27044">
        <w:rPr>
          <w:sz w:val="22"/>
          <w:szCs w:val="22"/>
        </w:rPr>
        <w:t>iotiká</w:t>
      </w:r>
      <w:r w:rsidR="00F27044" w:rsidRPr="00513C80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 xml:space="preserve">na systémové použitie; </w:t>
      </w:r>
      <w:proofErr w:type="spellStart"/>
      <w:r w:rsidRPr="00513C80">
        <w:rPr>
          <w:sz w:val="22"/>
          <w:szCs w:val="22"/>
        </w:rPr>
        <w:t>makrolidy</w:t>
      </w:r>
      <w:proofErr w:type="spellEnd"/>
      <w:r w:rsidRPr="00513C80">
        <w:rPr>
          <w:sz w:val="22"/>
          <w:szCs w:val="22"/>
        </w:rPr>
        <w:t>, ATC kód: J01FA10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  <w:u w:val="single"/>
        </w:rPr>
        <w:t>Mechanizmus účinku</w:t>
      </w: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je </w:t>
      </w:r>
      <w:proofErr w:type="spellStart"/>
      <w:r w:rsidRPr="00513C80">
        <w:rPr>
          <w:sz w:val="22"/>
          <w:szCs w:val="22"/>
        </w:rPr>
        <w:t>makrolidové</w:t>
      </w:r>
      <w:proofErr w:type="spellEnd"/>
      <w:r w:rsidRPr="00513C80">
        <w:rPr>
          <w:sz w:val="22"/>
          <w:szCs w:val="22"/>
        </w:rPr>
        <w:t xml:space="preserve"> antibiotikum patriace do skupiny </w:t>
      </w:r>
      <w:proofErr w:type="spellStart"/>
      <w:r w:rsidRPr="00513C80">
        <w:rPr>
          <w:sz w:val="22"/>
          <w:szCs w:val="22"/>
        </w:rPr>
        <w:t>azalidov</w:t>
      </w:r>
      <w:proofErr w:type="spellEnd"/>
      <w:r w:rsidRPr="00513C80">
        <w:rPr>
          <w:sz w:val="22"/>
          <w:szCs w:val="22"/>
        </w:rPr>
        <w:t xml:space="preserve">. 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Potláča syntézu bielkovín väzbou na </w:t>
      </w:r>
      <w:proofErr w:type="spellStart"/>
      <w:r w:rsidRPr="00513C80">
        <w:rPr>
          <w:sz w:val="22"/>
          <w:szCs w:val="22"/>
        </w:rPr>
        <w:t>podjednotky</w:t>
      </w:r>
      <w:proofErr w:type="spellEnd"/>
      <w:r w:rsidRPr="00513C80">
        <w:rPr>
          <w:sz w:val="22"/>
          <w:szCs w:val="22"/>
        </w:rPr>
        <w:t xml:space="preserve"> 50 S a tým </w:t>
      </w:r>
      <w:proofErr w:type="spellStart"/>
      <w:r w:rsidRPr="00513C80">
        <w:rPr>
          <w:sz w:val="22"/>
          <w:szCs w:val="22"/>
        </w:rPr>
        <w:t>inhibuje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RNA-dependentnú</w:t>
      </w:r>
      <w:proofErr w:type="spellEnd"/>
      <w:r w:rsidRPr="00513C80">
        <w:rPr>
          <w:sz w:val="22"/>
          <w:szCs w:val="22"/>
        </w:rPr>
        <w:t xml:space="preserve"> proteínovú syntézu.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  <w:u w:val="single"/>
        </w:rPr>
        <w:t>Vzťah PK/PD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Pre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je AUC/MIC hlavným PK/PD parametrom najlepšie </w:t>
      </w:r>
      <w:proofErr w:type="spellStart"/>
      <w:r w:rsidRPr="00513C80">
        <w:rPr>
          <w:sz w:val="22"/>
          <w:szCs w:val="22"/>
        </w:rPr>
        <w:t>korelujúcim</w:t>
      </w:r>
      <w:proofErr w:type="spellEnd"/>
      <w:r w:rsidRPr="00513C80">
        <w:rPr>
          <w:sz w:val="22"/>
          <w:szCs w:val="22"/>
        </w:rPr>
        <w:t xml:space="preserve"> s účinnosťou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>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  <w:u w:val="single"/>
        </w:rPr>
        <w:lastRenderedPageBreak/>
        <w:t>Mechanizmus rezistencie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Rezistencia na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môže byť </w:t>
      </w:r>
      <w:r w:rsidR="00AD0F92">
        <w:rPr>
          <w:sz w:val="22"/>
          <w:szCs w:val="22"/>
        </w:rPr>
        <w:t>inherentná</w:t>
      </w:r>
      <w:r w:rsidRPr="00513C80">
        <w:rPr>
          <w:sz w:val="22"/>
          <w:szCs w:val="22"/>
        </w:rPr>
        <w:t xml:space="preserve"> alebo získaná. Existujú tri hlavné mechanizmy rezistencie baktérií: zmena cieľového miesta, zmena transportu antibiotika a modifikácia antibiotika. 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U kmeňa </w:t>
      </w:r>
      <w:proofErr w:type="spellStart"/>
      <w:r w:rsidRPr="00513C80">
        <w:rPr>
          <w:i/>
          <w:sz w:val="22"/>
          <w:szCs w:val="22"/>
        </w:rPr>
        <w:t>Streptococcus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pneumoniae</w:t>
      </w:r>
      <w:proofErr w:type="spellEnd"/>
      <w:r w:rsidRPr="00513C80">
        <w:rPr>
          <w:sz w:val="22"/>
          <w:szCs w:val="22"/>
        </w:rPr>
        <w:t xml:space="preserve">, </w:t>
      </w:r>
      <w:proofErr w:type="spellStart"/>
      <w:r w:rsidRPr="00513C80">
        <w:rPr>
          <w:sz w:val="22"/>
          <w:szCs w:val="22"/>
        </w:rPr>
        <w:t>beta-hemolytického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streptokoku</w:t>
      </w:r>
      <w:proofErr w:type="spellEnd"/>
      <w:r w:rsidRPr="00513C80">
        <w:rPr>
          <w:sz w:val="22"/>
          <w:szCs w:val="22"/>
        </w:rPr>
        <w:t xml:space="preserve"> skupiny A, </w:t>
      </w:r>
      <w:proofErr w:type="spellStart"/>
      <w:r w:rsidRPr="00513C80">
        <w:rPr>
          <w:i/>
          <w:sz w:val="22"/>
          <w:szCs w:val="22"/>
        </w:rPr>
        <w:t>Enterococcus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="003460C9">
        <w:rPr>
          <w:i/>
          <w:sz w:val="22"/>
          <w:szCs w:val="22"/>
        </w:rPr>
        <w:t>spp</w:t>
      </w:r>
      <w:proofErr w:type="spellEnd"/>
      <w:r w:rsidR="003460C9" w:rsidRPr="00513C80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>a </w:t>
      </w:r>
      <w:proofErr w:type="spellStart"/>
      <w:r w:rsidRPr="00513C80">
        <w:rPr>
          <w:i/>
          <w:sz w:val="22"/>
          <w:szCs w:val="22"/>
        </w:rPr>
        <w:t>Staphylococcus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aureus</w:t>
      </w:r>
      <w:proofErr w:type="spellEnd"/>
      <w:r w:rsidRPr="00513C80">
        <w:rPr>
          <w:sz w:val="22"/>
          <w:szCs w:val="22"/>
        </w:rPr>
        <w:t xml:space="preserve">, vrátane </w:t>
      </w:r>
      <w:proofErr w:type="spellStart"/>
      <w:r w:rsidRPr="00513C80">
        <w:rPr>
          <w:sz w:val="22"/>
          <w:szCs w:val="22"/>
        </w:rPr>
        <w:t>meticilín</w:t>
      </w:r>
      <w:proofErr w:type="spellEnd"/>
      <w:r w:rsidRPr="00513C80">
        <w:rPr>
          <w:sz w:val="22"/>
          <w:szCs w:val="22"/>
        </w:rPr>
        <w:t xml:space="preserve"> rezistentného </w:t>
      </w:r>
      <w:r w:rsidRPr="00513C80">
        <w:rPr>
          <w:i/>
          <w:sz w:val="22"/>
          <w:szCs w:val="22"/>
        </w:rPr>
        <w:t xml:space="preserve">S. </w:t>
      </w:r>
      <w:proofErr w:type="spellStart"/>
      <w:r w:rsidRPr="00513C80">
        <w:rPr>
          <w:i/>
          <w:sz w:val="22"/>
          <w:szCs w:val="22"/>
        </w:rPr>
        <w:t>aureus</w:t>
      </w:r>
      <w:proofErr w:type="spellEnd"/>
      <w:r w:rsidRPr="00513C80">
        <w:rPr>
          <w:sz w:val="22"/>
          <w:szCs w:val="22"/>
        </w:rPr>
        <w:t xml:space="preserve"> (MRSA) existuje úplná skrížená rezistencia na </w:t>
      </w:r>
      <w:proofErr w:type="spellStart"/>
      <w:r w:rsidRPr="00513C80">
        <w:rPr>
          <w:sz w:val="22"/>
          <w:szCs w:val="22"/>
        </w:rPr>
        <w:t>erytromycín</w:t>
      </w:r>
      <w:proofErr w:type="spellEnd"/>
      <w:r w:rsidRPr="00513C80">
        <w:rPr>
          <w:sz w:val="22"/>
          <w:szCs w:val="22"/>
        </w:rPr>
        <w:t xml:space="preserve">,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, iné </w:t>
      </w:r>
      <w:proofErr w:type="spellStart"/>
      <w:r w:rsidRPr="00513C80">
        <w:rPr>
          <w:sz w:val="22"/>
          <w:szCs w:val="22"/>
        </w:rPr>
        <w:t>makrolidy</w:t>
      </w:r>
      <w:proofErr w:type="spellEnd"/>
      <w:r w:rsidRPr="00513C80">
        <w:rPr>
          <w:sz w:val="22"/>
          <w:szCs w:val="22"/>
        </w:rPr>
        <w:t xml:space="preserve"> a </w:t>
      </w:r>
      <w:proofErr w:type="spellStart"/>
      <w:r w:rsidRPr="00513C80">
        <w:rPr>
          <w:sz w:val="22"/>
          <w:szCs w:val="22"/>
        </w:rPr>
        <w:t>linkozamidy</w:t>
      </w:r>
      <w:proofErr w:type="spellEnd"/>
      <w:r w:rsidRPr="00513C80">
        <w:rPr>
          <w:sz w:val="22"/>
          <w:szCs w:val="22"/>
        </w:rPr>
        <w:t xml:space="preserve">. 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  <w:u w:val="single"/>
        </w:rPr>
        <w:t>Hraničné hodnoty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Minimálne inhibičné koncentrácie (MIC) stanovené Európskou Komisiou pre testovanie </w:t>
      </w:r>
      <w:proofErr w:type="spellStart"/>
      <w:r w:rsidRPr="00513C80">
        <w:rPr>
          <w:sz w:val="22"/>
          <w:szCs w:val="22"/>
        </w:rPr>
        <w:t>antimikrobiálnej</w:t>
      </w:r>
      <w:proofErr w:type="spellEnd"/>
      <w:r w:rsidRPr="00513C80">
        <w:rPr>
          <w:sz w:val="22"/>
          <w:szCs w:val="22"/>
        </w:rPr>
        <w:t xml:space="preserve"> citlivosti (EUCAST) sú nasledovné: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 w:rsidP="00C56A5A">
      <w:pPr>
        <w:numPr>
          <w:ilvl w:val="0"/>
          <w:numId w:val="7"/>
        </w:numPr>
        <w:ind w:left="567" w:hanging="567"/>
        <w:jc w:val="both"/>
        <w:rPr>
          <w:i/>
          <w:iCs/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Staphylococcus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spp</w:t>
      </w:r>
      <w:proofErr w:type="spellEnd"/>
      <w:r w:rsidRPr="00513C80">
        <w:rPr>
          <w:i/>
          <w:sz w:val="22"/>
          <w:szCs w:val="22"/>
        </w:rPr>
        <w:t>:</w:t>
      </w:r>
      <w:r w:rsidRPr="00513C80">
        <w:rPr>
          <w:sz w:val="22"/>
          <w:szCs w:val="22"/>
        </w:rPr>
        <w:t xml:space="preserve"> citlivé</w:t>
      </w:r>
      <w:r w:rsidR="00E845A9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>≤1 mg/l; rezistentné &gt;2 mg/l</w:t>
      </w:r>
    </w:p>
    <w:p w:rsidR="005406B0" w:rsidRPr="00513C80" w:rsidRDefault="005406B0" w:rsidP="00C56A5A">
      <w:pPr>
        <w:numPr>
          <w:ilvl w:val="0"/>
          <w:numId w:val="7"/>
        </w:numPr>
        <w:tabs>
          <w:tab w:val="left" w:pos="426"/>
        </w:tabs>
        <w:suppressAutoHyphens w:val="0"/>
        <w:ind w:left="567" w:hanging="567"/>
        <w:jc w:val="both"/>
        <w:rPr>
          <w:i/>
          <w:iCs/>
          <w:sz w:val="22"/>
          <w:szCs w:val="22"/>
        </w:rPr>
      </w:pPr>
      <w:proofErr w:type="spellStart"/>
      <w:r w:rsidRPr="00513C80">
        <w:rPr>
          <w:i/>
          <w:iCs/>
          <w:sz w:val="22"/>
          <w:szCs w:val="22"/>
        </w:rPr>
        <w:t>Streptococcus</w:t>
      </w:r>
      <w:proofErr w:type="spellEnd"/>
      <w:r w:rsidRPr="00513C80">
        <w:rPr>
          <w:i/>
          <w:iCs/>
          <w:sz w:val="22"/>
          <w:szCs w:val="22"/>
        </w:rPr>
        <w:t xml:space="preserve"> </w:t>
      </w:r>
      <w:proofErr w:type="spellStart"/>
      <w:r w:rsidRPr="00513C80">
        <w:rPr>
          <w:i/>
          <w:iCs/>
          <w:sz w:val="22"/>
          <w:szCs w:val="22"/>
        </w:rPr>
        <w:t>pneumoniae</w:t>
      </w:r>
      <w:proofErr w:type="spellEnd"/>
      <w:r w:rsidRPr="00513C80">
        <w:rPr>
          <w:sz w:val="22"/>
          <w:szCs w:val="22"/>
        </w:rPr>
        <w:t>:</w:t>
      </w:r>
      <w:r w:rsidRPr="00513C80">
        <w:rPr>
          <w:i/>
          <w:iCs/>
          <w:sz w:val="22"/>
          <w:szCs w:val="22"/>
        </w:rPr>
        <w:t xml:space="preserve"> </w:t>
      </w:r>
      <w:r w:rsidRPr="00513C80">
        <w:rPr>
          <w:sz w:val="22"/>
          <w:szCs w:val="22"/>
        </w:rPr>
        <w:t>citlivé</w:t>
      </w:r>
      <w:r w:rsidR="00E845A9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>≤0,25 mg/l; rezistentné &gt;0,5 mg/l</w:t>
      </w:r>
    </w:p>
    <w:p w:rsidR="005406B0" w:rsidRPr="00513C80" w:rsidRDefault="005406B0" w:rsidP="00C56A5A">
      <w:pPr>
        <w:numPr>
          <w:ilvl w:val="0"/>
          <w:numId w:val="7"/>
        </w:numPr>
        <w:tabs>
          <w:tab w:val="left" w:pos="426"/>
        </w:tabs>
        <w:suppressAutoHyphens w:val="0"/>
        <w:ind w:left="567" w:hanging="567"/>
        <w:jc w:val="both"/>
        <w:rPr>
          <w:i/>
          <w:iCs/>
          <w:sz w:val="22"/>
          <w:szCs w:val="22"/>
        </w:rPr>
      </w:pPr>
      <w:proofErr w:type="spellStart"/>
      <w:r w:rsidRPr="00513C80">
        <w:rPr>
          <w:i/>
          <w:iCs/>
          <w:sz w:val="22"/>
          <w:szCs w:val="22"/>
        </w:rPr>
        <w:t>Streptococcus</w:t>
      </w:r>
      <w:proofErr w:type="spellEnd"/>
      <w:r w:rsidRPr="00513C80">
        <w:rPr>
          <w:i/>
          <w:iCs/>
          <w:sz w:val="22"/>
          <w:szCs w:val="22"/>
        </w:rPr>
        <w:t xml:space="preserve"> </w:t>
      </w:r>
      <w:r w:rsidRPr="00513C80">
        <w:rPr>
          <w:iCs/>
          <w:sz w:val="22"/>
          <w:szCs w:val="22"/>
        </w:rPr>
        <w:t xml:space="preserve">skupina A, B, C a G: </w:t>
      </w:r>
      <w:r w:rsidRPr="00513C80">
        <w:rPr>
          <w:sz w:val="22"/>
          <w:szCs w:val="22"/>
        </w:rPr>
        <w:t>citlivé</w:t>
      </w:r>
      <w:r w:rsidR="00E845A9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>≤0,25 mg/l; rezistentné &gt;0,5 mg/l</w:t>
      </w:r>
    </w:p>
    <w:p w:rsidR="005406B0" w:rsidRPr="00513C80" w:rsidRDefault="005406B0" w:rsidP="00C56A5A">
      <w:pPr>
        <w:numPr>
          <w:ilvl w:val="0"/>
          <w:numId w:val="7"/>
        </w:numPr>
        <w:tabs>
          <w:tab w:val="left" w:pos="426"/>
        </w:tabs>
        <w:suppressAutoHyphens w:val="0"/>
        <w:ind w:left="567" w:hanging="567"/>
        <w:jc w:val="both"/>
        <w:rPr>
          <w:i/>
          <w:sz w:val="22"/>
          <w:szCs w:val="22"/>
        </w:rPr>
      </w:pPr>
      <w:proofErr w:type="spellStart"/>
      <w:r w:rsidRPr="00513C80">
        <w:rPr>
          <w:i/>
          <w:iCs/>
          <w:sz w:val="22"/>
          <w:szCs w:val="22"/>
        </w:rPr>
        <w:t>Haemophilus</w:t>
      </w:r>
      <w:proofErr w:type="spellEnd"/>
      <w:r w:rsidRPr="00513C80">
        <w:rPr>
          <w:i/>
          <w:iCs/>
          <w:sz w:val="22"/>
          <w:szCs w:val="22"/>
        </w:rPr>
        <w:t xml:space="preserve"> </w:t>
      </w:r>
      <w:proofErr w:type="spellStart"/>
      <w:r w:rsidRPr="00513C80">
        <w:rPr>
          <w:i/>
          <w:iCs/>
          <w:sz w:val="22"/>
          <w:szCs w:val="22"/>
        </w:rPr>
        <w:t>influenzae</w:t>
      </w:r>
      <w:proofErr w:type="spellEnd"/>
      <w:r w:rsidRPr="00513C80">
        <w:rPr>
          <w:sz w:val="22"/>
          <w:szCs w:val="22"/>
        </w:rPr>
        <w:t>: citlivé</w:t>
      </w:r>
      <w:r w:rsidR="00E845A9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>≤0,12 mg/l; rezistentné &gt;4 mg/l</w:t>
      </w:r>
    </w:p>
    <w:p w:rsidR="005406B0" w:rsidRPr="00513C80" w:rsidRDefault="005406B0" w:rsidP="00C56A5A">
      <w:pPr>
        <w:numPr>
          <w:ilvl w:val="0"/>
          <w:numId w:val="7"/>
        </w:numPr>
        <w:tabs>
          <w:tab w:val="left" w:pos="709"/>
        </w:tabs>
        <w:suppressAutoHyphens w:val="0"/>
        <w:spacing w:line="260" w:lineRule="exact"/>
        <w:ind w:left="567" w:hanging="567"/>
        <w:rPr>
          <w:i/>
          <w:iCs/>
          <w:sz w:val="22"/>
          <w:szCs w:val="22"/>
        </w:rPr>
      </w:pPr>
      <w:proofErr w:type="spellStart"/>
      <w:r w:rsidRPr="00513C80">
        <w:rPr>
          <w:i/>
          <w:sz w:val="22"/>
          <w:szCs w:val="22"/>
        </w:rPr>
        <w:t>Moraxella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catarrhalis</w:t>
      </w:r>
      <w:proofErr w:type="spellEnd"/>
      <w:r w:rsidRPr="00513C80">
        <w:rPr>
          <w:sz w:val="22"/>
          <w:szCs w:val="22"/>
        </w:rPr>
        <w:t>: citlivé</w:t>
      </w:r>
      <w:r w:rsidR="00E845A9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>≤0,25 mg/l; rezistentné &gt;0,5 mg/l</w:t>
      </w:r>
    </w:p>
    <w:p w:rsidR="005406B0" w:rsidRPr="00513C80" w:rsidRDefault="005406B0" w:rsidP="00C56A5A">
      <w:pPr>
        <w:numPr>
          <w:ilvl w:val="0"/>
          <w:numId w:val="7"/>
        </w:numPr>
        <w:tabs>
          <w:tab w:val="left" w:pos="426"/>
        </w:tabs>
        <w:suppressAutoHyphens w:val="0"/>
        <w:ind w:left="567" w:hanging="567"/>
        <w:jc w:val="both"/>
        <w:rPr>
          <w:sz w:val="22"/>
          <w:szCs w:val="22"/>
        </w:rPr>
      </w:pPr>
      <w:proofErr w:type="spellStart"/>
      <w:r w:rsidRPr="00513C80">
        <w:rPr>
          <w:i/>
          <w:iCs/>
          <w:sz w:val="22"/>
          <w:szCs w:val="22"/>
        </w:rPr>
        <w:t>Neisseria</w:t>
      </w:r>
      <w:proofErr w:type="spellEnd"/>
      <w:r w:rsidRPr="00513C80">
        <w:rPr>
          <w:i/>
          <w:iCs/>
          <w:sz w:val="22"/>
          <w:szCs w:val="22"/>
        </w:rPr>
        <w:t xml:space="preserve"> </w:t>
      </w:r>
      <w:proofErr w:type="spellStart"/>
      <w:r w:rsidRPr="00513C80">
        <w:rPr>
          <w:i/>
          <w:iCs/>
          <w:sz w:val="22"/>
          <w:szCs w:val="22"/>
        </w:rPr>
        <w:t>gonorrhoeae</w:t>
      </w:r>
      <w:proofErr w:type="spellEnd"/>
      <w:r w:rsidRPr="00513C80">
        <w:rPr>
          <w:sz w:val="22"/>
          <w:szCs w:val="22"/>
        </w:rPr>
        <w:t>: citlivé</w:t>
      </w:r>
      <w:r w:rsidR="00E845A9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>≤0,25 mg/l; rezistentné &gt;0,5 mg/l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  <w:u w:val="single"/>
        </w:rPr>
        <w:t>Citlivosť</w:t>
      </w: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Prevalencia</w:t>
      </w:r>
      <w:proofErr w:type="spellEnd"/>
      <w:r w:rsidRPr="00513C80">
        <w:rPr>
          <w:sz w:val="22"/>
          <w:szCs w:val="22"/>
        </w:rPr>
        <w:t xml:space="preserve"> získanej rezistencie pre vybrané druhy sa môže líšiť geograficky a časom a je potrebná miestna informácia o rezistencii, predovšetkým pri liečbe závažných infekcií. Pokiaľ je </w:t>
      </w:r>
      <w:r w:rsidR="00AD0F92">
        <w:rPr>
          <w:sz w:val="22"/>
          <w:szCs w:val="22"/>
        </w:rPr>
        <w:t xml:space="preserve">to </w:t>
      </w:r>
      <w:r w:rsidRPr="00513C80">
        <w:rPr>
          <w:sz w:val="22"/>
          <w:szCs w:val="22"/>
        </w:rPr>
        <w:t xml:space="preserve">potrebné, má sa vyžiadať rada odborníka, či je lokálna </w:t>
      </w:r>
      <w:proofErr w:type="spellStart"/>
      <w:r w:rsidRPr="00513C80">
        <w:rPr>
          <w:sz w:val="22"/>
          <w:szCs w:val="22"/>
        </w:rPr>
        <w:t>prevalencia</w:t>
      </w:r>
      <w:proofErr w:type="spellEnd"/>
      <w:r w:rsidRPr="00513C80">
        <w:rPr>
          <w:sz w:val="22"/>
          <w:szCs w:val="22"/>
        </w:rPr>
        <w:t xml:space="preserve"> rezistencie taká, že prospešnosť liečby je najmenej pri niektorých typoch infekcií neistá.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  <w:u w:val="single"/>
        </w:rPr>
        <w:t>Bežne citlivé druhy:</w:t>
      </w:r>
    </w:p>
    <w:p w:rsidR="005406B0" w:rsidRPr="00513C80" w:rsidRDefault="005406B0" w:rsidP="00C56A5A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513C80">
        <w:rPr>
          <w:sz w:val="22"/>
          <w:szCs w:val="22"/>
        </w:rPr>
        <w:t xml:space="preserve">Aeróbne </w:t>
      </w:r>
      <w:proofErr w:type="spellStart"/>
      <w:r w:rsidRPr="00513C80">
        <w:rPr>
          <w:sz w:val="22"/>
          <w:szCs w:val="22"/>
        </w:rPr>
        <w:t>grampozitívne</w:t>
      </w:r>
      <w:proofErr w:type="spellEnd"/>
      <w:r w:rsidRPr="00513C80">
        <w:rPr>
          <w:sz w:val="22"/>
          <w:szCs w:val="22"/>
        </w:rPr>
        <w:t xml:space="preserve">: na </w:t>
      </w:r>
      <w:proofErr w:type="spellStart"/>
      <w:r w:rsidRPr="00513C80">
        <w:rPr>
          <w:sz w:val="22"/>
          <w:szCs w:val="22"/>
        </w:rPr>
        <w:t>meticilín</w:t>
      </w:r>
      <w:proofErr w:type="spellEnd"/>
      <w:r w:rsidRPr="00513C80">
        <w:rPr>
          <w:sz w:val="22"/>
          <w:szCs w:val="22"/>
        </w:rPr>
        <w:t xml:space="preserve"> citlivý </w:t>
      </w:r>
      <w:proofErr w:type="spellStart"/>
      <w:r w:rsidRPr="00513C80">
        <w:rPr>
          <w:i/>
          <w:sz w:val="22"/>
          <w:szCs w:val="22"/>
        </w:rPr>
        <w:t>Staphylococcus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aureus</w:t>
      </w:r>
      <w:proofErr w:type="spellEnd"/>
      <w:r w:rsidRPr="00513C80">
        <w:rPr>
          <w:sz w:val="22"/>
          <w:szCs w:val="22"/>
        </w:rPr>
        <w:t xml:space="preserve">, na penicilín citlivý </w:t>
      </w:r>
      <w:proofErr w:type="spellStart"/>
      <w:r w:rsidRPr="00513C80">
        <w:rPr>
          <w:i/>
          <w:sz w:val="22"/>
          <w:szCs w:val="22"/>
        </w:rPr>
        <w:t>Streptococcus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pneumoniae</w:t>
      </w:r>
      <w:proofErr w:type="spellEnd"/>
      <w:r w:rsidRPr="00513C80">
        <w:rPr>
          <w:sz w:val="22"/>
          <w:szCs w:val="22"/>
        </w:rPr>
        <w:t xml:space="preserve">, </w:t>
      </w:r>
      <w:proofErr w:type="spellStart"/>
      <w:r w:rsidRPr="00513C80">
        <w:rPr>
          <w:i/>
          <w:sz w:val="22"/>
          <w:szCs w:val="22"/>
        </w:rPr>
        <w:t>Streptococcus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pyogenes</w:t>
      </w:r>
      <w:proofErr w:type="spellEnd"/>
      <w:r w:rsidRPr="00513C80">
        <w:rPr>
          <w:sz w:val="22"/>
          <w:szCs w:val="22"/>
        </w:rPr>
        <w:t xml:space="preserve"> (beta </w:t>
      </w:r>
      <w:proofErr w:type="spellStart"/>
      <w:r w:rsidRPr="00513C80">
        <w:rPr>
          <w:sz w:val="22"/>
          <w:szCs w:val="22"/>
        </w:rPr>
        <w:t>hemolytické</w:t>
      </w:r>
      <w:proofErr w:type="spellEnd"/>
      <w:r w:rsidRPr="00513C80">
        <w:rPr>
          <w:sz w:val="22"/>
          <w:szCs w:val="22"/>
        </w:rPr>
        <w:t xml:space="preserve"> streptokoky skupiny A).</w:t>
      </w:r>
    </w:p>
    <w:p w:rsidR="005406B0" w:rsidRPr="00513C80" w:rsidRDefault="005406B0" w:rsidP="00C56A5A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513C80">
        <w:rPr>
          <w:sz w:val="22"/>
          <w:szCs w:val="22"/>
        </w:rPr>
        <w:t xml:space="preserve">Aeróbne </w:t>
      </w:r>
      <w:proofErr w:type="spellStart"/>
      <w:r w:rsidRPr="00513C80">
        <w:rPr>
          <w:sz w:val="22"/>
          <w:szCs w:val="22"/>
        </w:rPr>
        <w:t>gramnegatívne</w:t>
      </w:r>
      <w:proofErr w:type="spellEnd"/>
      <w:r w:rsidRPr="00513C80">
        <w:rPr>
          <w:sz w:val="22"/>
          <w:szCs w:val="22"/>
        </w:rPr>
        <w:t xml:space="preserve">: </w:t>
      </w:r>
      <w:proofErr w:type="spellStart"/>
      <w:r w:rsidRPr="00513C80">
        <w:rPr>
          <w:i/>
          <w:sz w:val="22"/>
          <w:szCs w:val="22"/>
        </w:rPr>
        <w:t>Haemophilus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influenzae</w:t>
      </w:r>
      <w:proofErr w:type="spellEnd"/>
      <w:r w:rsidRPr="00513C80">
        <w:rPr>
          <w:i/>
          <w:sz w:val="22"/>
          <w:szCs w:val="22"/>
        </w:rPr>
        <w:t xml:space="preserve">, </w:t>
      </w:r>
      <w:proofErr w:type="spellStart"/>
      <w:r w:rsidRPr="00513C80">
        <w:rPr>
          <w:i/>
          <w:sz w:val="22"/>
          <w:szCs w:val="22"/>
        </w:rPr>
        <w:t>Haemophilus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parainfluenzae</w:t>
      </w:r>
      <w:proofErr w:type="spellEnd"/>
      <w:r w:rsidRPr="00513C80">
        <w:rPr>
          <w:i/>
          <w:sz w:val="22"/>
          <w:szCs w:val="22"/>
        </w:rPr>
        <w:t xml:space="preserve">, </w:t>
      </w:r>
      <w:proofErr w:type="spellStart"/>
      <w:r w:rsidRPr="00513C80">
        <w:rPr>
          <w:i/>
          <w:sz w:val="22"/>
          <w:szCs w:val="22"/>
        </w:rPr>
        <w:t>Legionella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pneumophila</w:t>
      </w:r>
      <w:proofErr w:type="spellEnd"/>
      <w:r w:rsidRPr="00513C80">
        <w:rPr>
          <w:i/>
          <w:sz w:val="22"/>
          <w:szCs w:val="22"/>
        </w:rPr>
        <w:t xml:space="preserve">, </w:t>
      </w:r>
      <w:proofErr w:type="spellStart"/>
      <w:r w:rsidRPr="00513C80">
        <w:rPr>
          <w:i/>
          <w:sz w:val="22"/>
          <w:szCs w:val="22"/>
        </w:rPr>
        <w:t>Moraxella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catarrhalis</w:t>
      </w:r>
      <w:proofErr w:type="spellEnd"/>
      <w:r w:rsidRPr="00513C80">
        <w:rPr>
          <w:i/>
          <w:sz w:val="22"/>
          <w:szCs w:val="22"/>
        </w:rPr>
        <w:t xml:space="preserve">, </w:t>
      </w:r>
      <w:proofErr w:type="spellStart"/>
      <w:r w:rsidRPr="00513C80">
        <w:rPr>
          <w:i/>
          <w:sz w:val="22"/>
          <w:szCs w:val="22"/>
        </w:rPr>
        <w:t>Pasteurella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multocida</w:t>
      </w:r>
      <w:proofErr w:type="spellEnd"/>
    </w:p>
    <w:p w:rsidR="005406B0" w:rsidRPr="00513C80" w:rsidRDefault="005406B0" w:rsidP="00C56A5A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513C80">
        <w:rPr>
          <w:sz w:val="22"/>
          <w:szCs w:val="22"/>
        </w:rPr>
        <w:t>Anaeróbne :</w:t>
      </w:r>
      <w:r w:rsidR="00AD0F92">
        <w:rPr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Clostridium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perfringens</w:t>
      </w:r>
      <w:proofErr w:type="spellEnd"/>
      <w:r w:rsidRPr="00513C80">
        <w:rPr>
          <w:i/>
          <w:sz w:val="22"/>
          <w:szCs w:val="22"/>
        </w:rPr>
        <w:t xml:space="preserve">, </w:t>
      </w:r>
      <w:proofErr w:type="spellStart"/>
      <w:r w:rsidRPr="00513C80">
        <w:rPr>
          <w:i/>
          <w:sz w:val="22"/>
          <w:szCs w:val="22"/>
        </w:rPr>
        <w:t>Fusobacterium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spp</w:t>
      </w:r>
      <w:proofErr w:type="spellEnd"/>
      <w:r w:rsidRPr="00513C80">
        <w:rPr>
          <w:i/>
          <w:sz w:val="22"/>
          <w:szCs w:val="22"/>
        </w:rPr>
        <w:t xml:space="preserve">, </w:t>
      </w:r>
      <w:proofErr w:type="spellStart"/>
      <w:r w:rsidRPr="00513C80">
        <w:rPr>
          <w:i/>
          <w:sz w:val="22"/>
          <w:szCs w:val="22"/>
        </w:rPr>
        <w:t>Prevotella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spp</w:t>
      </w:r>
      <w:proofErr w:type="spellEnd"/>
      <w:r w:rsidRPr="00513C80">
        <w:rPr>
          <w:sz w:val="22"/>
          <w:szCs w:val="22"/>
        </w:rPr>
        <w:t xml:space="preserve">, </w:t>
      </w:r>
      <w:proofErr w:type="spellStart"/>
      <w:r w:rsidRPr="00513C80">
        <w:rPr>
          <w:i/>
          <w:sz w:val="22"/>
          <w:szCs w:val="22"/>
        </w:rPr>
        <w:t>Porphyromonas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spp</w:t>
      </w:r>
      <w:proofErr w:type="spellEnd"/>
      <w:r w:rsidRPr="00513C80">
        <w:rPr>
          <w:sz w:val="22"/>
          <w:szCs w:val="22"/>
        </w:rPr>
        <w:t>.</w:t>
      </w:r>
    </w:p>
    <w:p w:rsidR="005406B0" w:rsidRPr="00513C80" w:rsidRDefault="005406B0" w:rsidP="00C56A5A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513C80">
        <w:rPr>
          <w:sz w:val="22"/>
          <w:szCs w:val="22"/>
        </w:rPr>
        <w:t xml:space="preserve">Ostatné mikroorganizmy: </w:t>
      </w:r>
      <w:proofErr w:type="spellStart"/>
      <w:r w:rsidRPr="00513C80">
        <w:rPr>
          <w:i/>
          <w:sz w:val="22"/>
          <w:szCs w:val="22"/>
        </w:rPr>
        <w:t>Borrelia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burgdorferi</w:t>
      </w:r>
      <w:proofErr w:type="spellEnd"/>
      <w:r w:rsidRPr="00513C80">
        <w:rPr>
          <w:i/>
          <w:sz w:val="22"/>
          <w:szCs w:val="22"/>
        </w:rPr>
        <w:t xml:space="preserve">, </w:t>
      </w:r>
      <w:proofErr w:type="spellStart"/>
      <w:r w:rsidRPr="00513C80">
        <w:rPr>
          <w:i/>
          <w:sz w:val="22"/>
          <w:szCs w:val="22"/>
        </w:rPr>
        <w:t>Chlamydia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trachomatis</w:t>
      </w:r>
      <w:proofErr w:type="spellEnd"/>
      <w:r w:rsidRPr="00513C80">
        <w:rPr>
          <w:i/>
          <w:sz w:val="22"/>
          <w:szCs w:val="22"/>
        </w:rPr>
        <w:t xml:space="preserve">, </w:t>
      </w:r>
      <w:proofErr w:type="spellStart"/>
      <w:r w:rsidRPr="00513C80">
        <w:rPr>
          <w:i/>
          <w:sz w:val="22"/>
          <w:szCs w:val="22"/>
        </w:rPr>
        <w:t>Chlamydia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pneumoniae</w:t>
      </w:r>
      <w:proofErr w:type="spellEnd"/>
      <w:r w:rsidRPr="00513C80">
        <w:rPr>
          <w:i/>
          <w:sz w:val="22"/>
          <w:szCs w:val="22"/>
        </w:rPr>
        <w:t xml:space="preserve">, </w:t>
      </w:r>
      <w:proofErr w:type="spellStart"/>
      <w:r w:rsidRPr="00513C80">
        <w:rPr>
          <w:i/>
          <w:sz w:val="22"/>
          <w:szCs w:val="22"/>
        </w:rPr>
        <w:t>Mycoplasma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pneumoniae</w:t>
      </w:r>
      <w:proofErr w:type="spellEnd"/>
      <w:r w:rsidRPr="00513C80">
        <w:rPr>
          <w:sz w:val="22"/>
          <w:szCs w:val="22"/>
        </w:rPr>
        <w:t>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  <w:u w:val="single"/>
        </w:rPr>
        <w:t>Druhy, u ktorých môže dôjsť k získanej rezistencii:</w:t>
      </w:r>
    </w:p>
    <w:p w:rsidR="00000000" w:rsidRDefault="005406B0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513C80">
        <w:rPr>
          <w:sz w:val="22"/>
          <w:szCs w:val="22"/>
        </w:rPr>
        <w:t xml:space="preserve">Aeróbne </w:t>
      </w:r>
      <w:proofErr w:type="spellStart"/>
      <w:r w:rsidRPr="00513C80">
        <w:rPr>
          <w:sz w:val="22"/>
          <w:szCs w:val="22"/>
        </w:rPr>
        <w:t>grampozitívne</w:t>
      </w:r>
      <w:proofErr w:type="spellEnd"/>
      <w:r w:rsidRPr="00513C80">
        <w:rPr>
          <w:sz w:val="22"/>
          <w:szCs w:val="22"/>
        </w:rPr>
        <w:t xml:space="preserve">: penicilín </w:t>
      </w:r>
      <w:r w:rsidR="002D6C12">
        <w:rPr>
          <w:sz w:val="22"/>
          <w:szCs w:val="22"/>
        </w:rPr>
        <w:t>stredne citlivý</w:t>
      </w:r>
      <w:r w:rsidR="002D6C12" w:rsidRPr="00513C80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>a penicilín rezistentný</w:t>
      </w:r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Streptococcus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pneumoniae</w:t>
      </w:r>
      <w:proofErr w:type="spellEnd"/>
      <w:r w:rsidRPr="00513C80">
        <w:rPr>
          <w:i/>
          <w:sz w:val="22"/>
          <w:szCs w:val="22"/>
        </w:rPr>
        <w:t>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  <w:u w:val="single"/>
        </w:rPr>
        <w:t>Prirodzene rezistentné organizmy</w:t>
      </w:r>
      <w:r w:rsidRPr="00513C80">
        <w:rPr>
          <w:sz w:val="22"/>
          <w:szCs w:val="22"/>
        </w:rPr>
        <w:t>:</w:t>
      </w:r>
    </w:p>
    <w:p w:rsidR="005406B0" w:rsidRPr="00513C80" w:rsidRDefault="005406B0" w:rsidP="00C56A5A">
      <w:pPr>
        <w:numPr>
          <w:ilvl w:val="0"/>
          <w:numId w:val="8"/>
        </w:numPr>
        <w:ind w:left="567" w:hanging="567"/>
        <w:rPr>
          <w:sz w:val="22"/>
          <w:szCs w:val="22"/>
        </w:rPr>
      </w:pPr>
      <w:bookmarkStart w:id="2" w:name="_GoBack"/>
      <w:r w:rsidRPr="00513C80">
        <w:rPr>
          <w:sz w:val="22"/>
          <w:szCs w:val="22"/>
        </w:rPr>
        <w:t xml:space="preserve">Aeróbne </w:t>
      </w:r>
      <w:proofErr w:type="spellStart"/>
      <w:r w:rsidRPr="00513C80">
        <w:rPr>
          <w:sz w:val="22"/>
          <w:szCs w:val="22"/>
        </w:rPr>
        <w:t>grampozitívne</w:t>
      </w:r>
      <w:proofErr w:type="spellEnd"/>
      <w:r w:rsidRPr="00513C80">
        <w:rPr>
          <w:sz w:val="22"/>
          <w:szCs w:val="22"/>
        </w:rPr>
        <w:t xml:space="preserve">: </w:t>
      </w:r>
      <w:proofErr w:type="spellStart"/>
      <w:r w:rsidRPr="00513C80">
        <w:rPr>
          <w:i/>
          <w:sz w:val="22"/>
          <w:szCs w:val="22"/>
        </w:rPr>
        <w:t>Enterococcus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faecalis</w:t>
      </w:r>
      <w:proofErr w:type="spellEnd"/>
      <w:r w:rsidRPr="00513C80">
        <w:rPr>
          <w:i/>
          <w:sz w:val="22"/>
          <w:szCs w:val="22"/>
        </w:rPr>
        <w:t xml:space="preserve">, </w:t>
      </w:r>
      <w:proofErr w:type="spellStart"/>
      <w:r w:rsidRPr="00513C80">
        <w:rPr>
          <w:i/>
          <w:sz w:val="22"/>
          <w:szCs w:val="22"/>
        </w:rPr>
        <w:t>Staphylococcus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3A3D0A">
        <w:rPr>
          <w:i/>
          <w:sz w:val="22"/>
          <w:szCs w:val="22"/>
        </w:rPr>
        <w:t>spp</w:t>
      </w:r>
      <w:proofErr w:type="spellEnd"/>
      <w:r w:rsidRPr="003A3D0A">
        <w:rPr>
          <w:i/>
          <w:sz w:val="22"/>
          <w:szCs w:val="22"/>
        </w:rPr>
        <w:t>.</w:t>
      </w:r>
      <w:r w:rsidRPr="00513C80">
        <w:rPr>
          <w:sz w:val="22"/>
          <w:szCs w:val="22"/>
        </w:rPr>
        <w:t xml:space="preserve"> MRSA, MRSE (</w:t>
      </w:r>
      <w:proofErr w:type="spellStart"/>
      <w:r w:rsidRPr="00513C80">
        <w:rPr>
          <w:sz w:val="22"/>
          <w:szCs w:val="22"/>
        </w:rPr>
        <w:t>meticilín-rezistentné</w:t>
      </w:r>
      <w:proofErr w:type="spellEnd"/>
      <w:r w:rsidRPr="00513C80">
        <w:rPr>
          <w:sz w:val="22"/>
          <w:szCs w:val="22"/>
        </w:rPr>
        <w:t xml:space="preserve"> stafylokoky všeobecne vykazujú dedičnú odolnosť voči </w:t>
      </w:r>
      <w:proofErr w:type="spellStart"/>
      <w:r w:rsidRPr="00513C80">
        <w:rPr>
          <w:sz w:val="22"/>
          <w:szCs w:val="22"/>
        </w:rPr>
        <w:t>makrolidom</w:t>
      </w:r>
      <w:proofErr w:type="spellEnd"/>
      <w:r w:rsidRPr="00513C80">
        <w:rPr>
          <w:sz w:val="22"/>
          <w:szCs w:val="22"/>
        </w:rPr>
        <w:t xml:space="preserve">, avšak boli tu uvedené, pretože sú len zriedka citlivé na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>).</w:t>
      </w:r>
    </w:p>
    <w:p w:rsidR="00513C80" w:rsidRDefault="005406B0" w:rsidP="00C56A5A">
      <w:pPr>
        <w:numPr>
          <w:ilvl w:val="0"/>
          <w:numId w:val="8"/>
        </w:numPr>
        <w:ind w:left="567" w:hanging="567"/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Gram-negatívne</w:t>
      </w:r>
      <w:proofErr w:type="spellEnd"/>
      <w:r w:rsidRPr="00513C80">
        <w:rPr>
          <w:sz w:val="22"/>
          <w:szCs w:val="22"/>
        </w:rPr>
        <w:t xml:space="preserve">: </w:t>
      </w:r>
      <w:proofErr w:type="spellStart"/>
      <w:r w:rsidRPr="00513C80">
        <w:rPr>
          <w:i/>
          <w:sz w:val="22"/>
          <w:szCs w:val="22"/>
        </w:rPr>
        <w:t>Pseudomonas</w:t>
      </w:r>
      <w:proofErr w:type="spellEnd"/>
      <w:r w:rsidRPr="00513C80">
        <w:rPr>
          <w:i/>
          <w:sz w:val="22"/>
          <w:szCs w:val="22"/>
        </w:rPr>
        <w:t xml:space="preserve"> </w:t>
      </w:r>
      <w:proofErr w:type="spellStart"/>
      <w:r w:rsidRPr="00513C80">
        <w:rPr>
          <w:i/>
          <w:sz w:val="22"/>
          <w:szCs w:val="22"/>
        </w:rPr>
        <w:t>aeruginosa</w:t>
      </w:r>
      <w:proofErr w:type="spellEnd"/>
      <w:r w:rsidRPr="00513C80">
        <w:rPr>
          <w:i/>
          <w:sz w:val="22"/>
          <w:szCs w:val="22"/>
        </w:rPr>
        <w:t xml:space="preserve">, </w:t>
      </w:r>
      <w:proofErr w:type="spellStart"/>
      <w:r w:rsidRPr="00513C80">
        <w:rPr>
          <w:i/>
          <w:sz w:val="22"/>
          <w:szCs w:val="22"/>
        </w:rPr>
        <w:t>Klebsiella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spp</w:t>
      </w:r>
      <w:proofErr w:type="spellEnd"/>
      <w:r w:rsidRPr="00513C80">
        <w:rPr>
          <w:sz w:val="22"/>
          <w:szCs w:val="22"/>
        </w:rPr>
        <w:t>.</w:t>
      </w:r>
    </w:p>
    <w:p w:rsidR="005406B0" w:rsidRPr="00513C80" w:rsidRDefault="00513C80" w:rsidP="00C56A5A">
      <w:pPr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5406B0" w:rsidRPr="00513C80">
        <w:rPr>
          <w:sz w:val="22"/>
          <w:szCs w:val="22"/>
        </w:rPr>
        <w:t xml:space="preserve">naeróbne: skupina </w:t>
      </w:r>
      <w:proofErr w:type="spellStart"/>
      <w:r w:rsidR="005406B0" w:rsidRPr="00513C80">
        <w:rPr>
          <w:i/>
          <w:sz w:val="22"/>
          <w:szCs w:val="22"/>
        </w:rPr>
        <w:t>Bacteroides</w:t>
      </w:r>
      <w:proofErr w:type="spellEnd"/>
      <w:r w:rsidR="005406B0" w:rsidRPr="00513C80">
        <w:rPr>
          <w:i/>
          <w:sz w:val="22"/>
          <w:szCs w:val="22"/>
        </w:rPr>
        <w:t xml:space="preserve"> </w:t>
      </w:r>
      <w:proofErr w:type="spellStart"/>
      <w:r w:rsidR="005406B0" w:rsidRPr="00513C80">
        <w:rPr>
          <w:i/>
          <w:sz w:val="22"/>
          <w:szCs w:val="22"/>
        </w:rPr>
        <w:t>fragilis</w:t>
      </w:r>
      <w:proofErr w:type="spellEnd"/>
      <w:r w:rsidR="005406B0" w:rsidRPr="00513C80">
        <w:rPr>
          <w:sz w:val="22"/>
          <w:szCs w:val="22"/>
        </w:rPr>
        <w:t xml:space="preserve"> </w:t>
      </w:r>
    </w:p>
    <w:bookmarkEnd w:id="2"/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keepNext/>
        <w:jc w:val="both"/>
        <w:rPr>
          <w:bCs/>
          <w:sz w:val="22"/>
          <w:szCs w:val="22"/>
          <w:u w:val="single"/>
        </w:rPr>
      </w:pPr>
      <w:r w:rsidRPr="00513C80">
        <w:rPr>
          <w:b/>
          <w:bCs/>
          <w:sz w:val="22"/>
          <w:szCs w:val="22"/>
        </w:rPr>
        <w:t>5.2</w:t>
      </w:r>
      <w:r w:rsidRPr="00513C80">
        <w:rPr>
          <w:b/>
          <w:bCs/>
          <w:sz w:val="22"/>
          <w:szCs w:val="22"/>
        </w:rPr>
        <w:tab/>
      </w:r>
      <w:proofErr w:type="spellStart"/>
      <w:r w:rsidRPr="00513C80">
        <w:rPr>
          <w:b/>
          <w:bCs/>
          <w:sz w:val="22"/>
          <w:szCs w:val="22"/>
        </w:rPr>
        <w:t>Farmakokinetické</w:t>
      </w:r>
      <w:proofErr w:type="spellEnd"/>
      <w:r w:rsidRPr="00513C80">
        <w:rPr>
          <w:b/>
          <w:bCs/>
          <w:sz w:val="22"/>
          <w:szCs w:val="22"/>
        </w:rPr>
        <w:t xml:space="preserve"> vlastnosti</w:t>
      </w:r>
    </w:p>
    <w:p w:rsidR="005406B0" w:rsidRPr="00513C80" w:rsidRDefault="005406B0">
      <w:pPr>
        <w:rPr>
          <w:bCs/>
          <w:sz w:val="22"/>
          <w:szCs w:val="22"/>
          <w:u w:val="single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bCs/>
          <w:sz w:val="22"/>
          <w:szCs w:val="22"/>
          <w:u w:val="single"/>
        </w:rPr>
        <w:t>Absorpcia</w:t>
      </w:r>
    </w:p>
    <w:p w:rsidR="005406B0" w:rsidRPr="00513C80" w:rsidRDefault="005406B0">
      <w:pPr>
        <w:pStyle w:val="Nadpis7"/>
        <w:numPr>
          <w:ilvl w:val="0"/>
          <w:numId w:val="0"/>
        </w:numPr>
        <w:ind w:left="35"/>
        <w:jc w:val="left"/>
        <w:rPr>
          <w:rFonts w:ascii="Times New Roman" w:hAnsi="Times New Roman" w:cs="Times New Roman"/>
          <w:sz w:val="22"/>
          <w:szCs w:val="22"/>
        </w:rPr>
      </w:pPr>
      <w:r w:rsidRPr="00513C80">
        <w:rPr>
          <w:rFonts w:ascii="Times New Roman" w:hAnsi="Times New Roman" w:cs="Times New Roman"/>
          <w:sz w:val="22"/>
          <w:szCs w:val="22"/>
          <w:u w:val="none"/>
        </w:rPr>
        <w:t xml:space="preserve">Po perorálnom podaní sa </w:t>
      </w:r>
      <w:proofErr w:type="spellStart"/>
      <w:r w:rsidRPr="00513C80">
        <w:rPr>
          <w:rFonts w:ascii="Times New Roman" w:hAnsi="Times New Roman" w:cs="Times New Roman"/>
          <w:sz w:val="22"/>
          <w:szCs w:val="22"/>
          <w:u w:val="none"/>
        </w:rPr>
        <w:t>azitromycín</w:t>
      </w:r>
      <w:proofErr w:type="spellEnd"/>
      <w:r w:rsidRPr="00513C80">
        <w:rPr>
          <w:rFonts w:ascii="Times New Roman" w:hAnsi="Times New Roman" w:cs="Times New Roman"/>
          <w:sz w:val="22"/>
          <w:szCs w:val="22"/>
          <w:u w:val="none"/>
        </w:rPr>
        <w:t xml:space="preserve"> z </w:t>
      </w:r>
      <w:proofErr w:type="spellStart"/>
      <w:r w:rsidRPr="00513C80">
        <w:rPr>
          <w:rFonts w:ascii="Times New Roman" w:hAnsi="Times New Roman" w:cs="Times New Roman"/>
          <w:sz w:val="22"/>
          <w:szCs w:val="22"/>
          <w:u w:val="none"/>
        </w:rPr>
        <w:t>gastrointestinálneho</w:t>
      </w:r>
      <w:proofErr w:type="spellEnd"/>
      <w:r w:rsidRPr="00513C80">
        <w:rPr>
          <w:rFonts w:ascii="Times New Roman" w:hAnsi="Times New Roman" w:cs="Times New Roman"/>
          <w:sz w:val="22"/>
          <w:szCs w:val="22"/>
          <w:u w:val="none"/>
        </w:rPr>
        <w:t xml:space="preserve"> traktu rýchlo vstrebáva. Maximálna plazmatická koncentrácia sa dosiahne po 2-3 hodinách po perorálnom podaní (po perorálnom podaní jednorazovej dávky 500 mg </w:t>
      </w:r>
      <w:proofErr w:type="spellStart"/>
      <w:r w:rsidR="00043299">
        <w:rPr>
          <w:rFonts w:ascii="Times New Roman" w:hAnsi="Times New Roman" w:cs="Times New Roman"/>
          <w:sz w:val="22"/>
          <w:szCs w:val="22"/>
          <w:u w:val="none"/>
        </w:rPr>
        <w:t>C</w:t>
      </w:r>
      <w:r w:rsidR="00043299" w:rsidRPr="00513C80">
        <w:rPr>
          <w:rFonts w:ascii="Times New Roman" w:hAnsi="Times New Roman" w:cs="Times New Roman"/>
          <w:sz w:val="22"/>
          <w:szCs w:val="22"/>
          <w:u w:val="none"/>
          <w:vertAlign w:val="subscript"/>
        </w:rPr>
        <w:t>max</w:t>
      </w:r>
      <w:proofErr w:type="spellEnd"/>
      <w:r w:rsidR="00043299" w:rsidRPr="00513C80">
        <w:rPr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513C80">
        <w:rPr>
          <w:rFonts w:ascii="Times New Roman" w:hAnsi="Times New Roman" w:cs="Times New Roman"/>
          <w:sz w:val="22"/>
          <w:szCs w:val="22"/>
          <w:u w:val="none"/>
        </w:rPr>
        <w:t xml:space="preserve">bola cca 0,4 </w:t>
      </w:r>
      <w:proofErr w:type="spellStart"/>
      <w:r w:rsidRPr="00513C80">
        <w:rPr>
          <w:rFonts w:ascii="Times New Roman" w:hAnsi="Times New Roman" w:cs="Times New Roman"/>
          <w:sz w:val="22"/>
          <w:szCs w:val="22"/>
          <w:u w:val="none"/>
        </w:rPr>
        <w:t>μg</w:t>
      </w:r>
      <w:proofErr w:type="spellEnd"/>
      <w:r w:rsidRPr="00513C80">
        <w:rPr>
          <w:rFonts w:ascii="Times New Roman" w:hAnsi="Times New Roman" w:cs="Times New Roman"/>
          <w:sz w:val="22"/>
          <w:szCs w:val="22"/>
          <w:u w:val="none"/>
        </w:rPr>
        <w:t>/ml) a biologická dostupnosť po perorálnom podaní je 37%.</w:t>
      </w:r>
    </w:p>
    <w:p w:rsidR="005406B0" w:rsidRPr="00513C80" w:rsidRDefault="005406B0">
      <w:pPr>
        <w:ind w:left="35"/>
        <w:rPr>
          <w:sz w:val="22"/>
          <w:szCs w:val="22"/>
        </w:rPr>
      </w:pPr>
    </w:p>
    <w:p w:rsidR="005406B0" w:rsidRPr="00513C80" w:rsidRDefault="005406B0">
      <w:pPr>
        <w:pStyle w:val="Nadpis7"/>
        <w:ind w:left="35" w:firstLine="0"/>
        <w:jc w:val="left"/>
        <w:rPr>
          <w:rFonts w:ascii="Times New Roman" w:hAnsi="Times New Roman" w:cs="Times New Roman"/>
          <w:sz w:val="22"/>
          <w:szCs w:val="22"/>
        </w:rPr>
      </w:pPr>
      <w:r w:rsidRPr="00513C80">
        <w:rPr>
          <w:rFonts w:ascii="Times New Roman" w:hAnsi="Times New Roman" w:cs="Times New Roman"/>
          <w:sz w:val="22"/>
          <w:szCs w:val="22"/>
        </w:rPr>
        <w:lastRenderedPageBreak/>
        <w:t>Distribúcia</w:t>
      </w: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dosahuje podstatne vyššie (až 50-krát vyššie) koncentrácie v tkanivách ako v plazme.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Väzba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na plazmatické proteíny </w:t>
      </w:r>
      <w:r w:rsidR="002D6C12">
        <w:rPr>
          <w:sz w:val="22"/>
          <w:szCs w:val="22"/>
        </w:rPr>
        <w:t>je variabilná</w:t>
      </w:r>
      <w:r w:rsidRPr="00513C80">
        <w:rPr>
          <w:sz w:val="22"/>
          <w:szCs w:val="22"/>
        </w:rPr>
        <w:t xml:space="preserve"> a je v rozmedzí od 12 % pri 0,5 µg/ml až do 52 % pri 0,05 µg/ml v závislosti od koncentrácie v sére. Priemerný distribučný objem v rovnovážnom stave (</w:t>
      </w:r>
      <w:proofErr w:type="spellStart"/>
      <w:r w:rsidRPr="00513C80">
        <w:rPr>
          <w:sz w:val="22"/>
          <w:szCs w:val="22"/>
        </w:rPr>
        <w:t>VV</w:t>
      </w:r>
      <w:r w:rsidRPr="00513C80">
        <w:rPr>
          <w:sz w:val="22"/>
          <w:szCs w:val="22"/>
          <w:vertAlign w:val="subscript"/>
        </w:rPr>
        <w:t>ss</w:t>
      </w:r>
      <w:proofErr w:type="spellEnd"/>
      <w:r w:rsidRPr="00513C80">
        <w:rPr>
          <w:sz w:val="22"/>
          <w:szCs w:val="22"/>
        </w:rPr>
        <w:t xml:space="preserve">) je 31,1 l/kg. </w:t>
      </w:r>
    </w:p>
    <w:p w:rsidR="005406B0" w:rsidRPr="00513C80" w:rsidRDefault="005406B0">
      <w:pPr>
        <w:pStyle w:val="Nadpis7"/>
        <w:jc w:val="left"/>
        <w:rPr>
          <w:rFonts w:ascii="Times New Roman" w:hAnsi="Times New Roman" w:cs="Times New Roman"/>
          <w:sz w:val="22"/>
          <w:szCs w:val="22"/>
        </w:rPr>
      </w:pPr>
    </w:p>
    <w:p w:rsidR="005406B0" w:rsidRPr="00513C80" w:rsidRDefault="005406B0">
      <w:pPr>
        <w:pStyle w:val="Nadpis7"/>
        <w:tabs>
          <w:tab w:val="left" w:pos="0"/>
        </w:tabs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513C80">
        <w:rPr>
          <w:rFonts w:ascii="Times New Roman" w:hAnsi="Times New Roman" w:cs="Times New Roman"/>
          <w:sz w:val="22"/>
          <w:szCs w:val="22"/>
        </w:rPr>
        <w:t>Biotransformácia</w:t>
      </w:r>
      <w:proofErr w:type="spellEnd"/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sa metabolizuje v pečeni. Bolo identifikovaných celkovo 10 </w:t>
      </w:r>
      <w:proofErr w:type="spellStart"/>
      <w:r w:rsidRPr="00513C80">
        <w:rPr>
          <w:sz w:val="22"/>
          <w:szCs w:val="22"/>
        </w:rPr>
        <w:t>metabolitov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v žlči, tvorených N- a </w:t>
      </w:r>
      <w:proofErr w:type="spellStart"/>
      <w:r w:rsidRPr="00513C80">
        <w:rPr>
          <w:sz w:val="22"/>
          <w:szCs w:val="22"/>
        </w:rPr>
        <w:t>O-demetyláciou</w:t>
      </w:r>
      <w:proofErr w:type="spellEnd"/>
      <w:r w:rsidRPr="00513C80">
        <w:rPr>
          <w:sz w:val="22"/>
          <w:szCs w:val="22"/>
        </w:rPr>
        <w:t xml:space="preserve">, </w:t>
      </w:r>
      <w:proofErr w:type="spellStart"/>
      <w:r w:rsidRPr="00513C80">
        <w:rPr>
          <w:sz w:val="22"/>
          <w:szCs w:val="22"/>
        </w:rPr>
        <w:t>hydroxyláciou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desozamínového</w:t>
      </w:r>
      <w:proofErr w:type="spellEnd"/>
      <w:r w:rsidRPr="00513C80">
        <w:rPr>
          <w:sz w:val="22"/>
          <w:szCs w:val="22"/>
        </w:rPr>
        <w:t xml:space="preserve"> a </w:t>
      </w:r>
      <w:proofErr w:type="spellStart"/>
      <w:r w:rsidRPr="00513C80">
        <w:rPr>
          <w:sz w:val="22"/>
          <w:szCs w:val="22"/>
        </w:rPr>
        <w:t>aglykónového</w:t>
      </w:r>
      <w:proofErr w:type="spellEnd"/>
      <w:r w:rsidRPr="00513C80">
        <w:rPr>
          <w:sz w:val="22"/>
          <w:szCs w:val="22"/>
        </w:rPr>
        <w:t xml:space="preserve"> kruhu a štiepením </w:t>
      </w:r>
      <w:proofErr w:type="spellStart"/>
      <w:r w:rsidRPr="00513C80">
        <w:rPr>
          <w:sz w:val="22"/>
          <w:szCs w:val="22"/>
        </w:rPr>
        <w:t>kladinózového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konjugátu</w:t>
      </w:r>
      <w:proofErr w:type="spellEnd"/>
      <w:r w:rsidRPr="00513C80">
        <w:rPr>
          <w:sz w:val="22"/>
          <w:szCs w:val="22"/>
        </w:rPr>
        <w:t xml:space="preserve">. Porovnaním výsledkov kvapalinovej </w:t>
      </w:r>
      <w:proofErr w:type="spellStart"/>
      <w:r w:rsidRPr="00513C80">
        <w:rPr>
          <w:sz w:val="22"/>
          <w:szCs w:val="22"/>
        </w:rPr>
        <w:t>chromatografie</w:t>
      </w:r>
      <w:proofErr w:type="spellEnd"/>
      <w:r w:rsidRPr="00513C80">
        <w:rPr>
          <w:sz w:val="22"/>
          <w:szCs w:val="22"/>
        </w:rPr>
        <w:t xml:space="preserve"> a mikrobiologických analýz sa preukázalo, že </w:t>
      </w:r>
      <w:proofErr w:type="spellStart"/>
      <w:r w:rsidRPr="00513C80">
        <w:rPr>
          <w:sz w:val="22"/>
          <w:szCs w:val="22"/>
        </w:rPr>
        <w:t>metabolity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nie sú mikrobiologicky účinné. </w:t>
      </w:r>
    </w:p>
    <w:p w:rsidR="005406B0" w:rsidRPr="00513C80" w:rsidRDefault="005406B0">
      <w:pPr>
        <w:pStyle w:val="Nadpis7"/>
        <w:tabs>
          <w:tab w:val="left" w:pos="0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513C80">
        <w:rPr>
          <w:rFonts w:ascii="Times New Roman" w:hAnsi="Times New Roman" w:cs="Times New Roman"/>
          <w:sz w:val="22"/>
          <w:szCs w:val="22"/>
          <w:u w:val="none"/>
        </w:rPr>
        <w:t xml:space="preserve">Terminálny plazmatický eliminačný polčas nadväzuje polčasom </w:t>
      </w:r>
      <w:proofErr w:type="spellStart"/>
      <w:r w:rsidRPr="00513C80">
        <w:rPr>
          <w:rFonts w:ascii="Times New Roman" w:hAnsi="Times New Roman" w:cs="Times New Roman"/>
          <w:sz w:val="22"/>
          <w:szCs w:val="22"/>
          <w:u w:val="none"/>
        </w:rPr>
        <w:t>deplécie</w:t>
      </w:r>
      <w:proofErr w:type="spellEnd"/>
      <w:r w:rsidRPr="00513C80">
        <w:rPr>
          <w:rFonts w:ascii="Times New Roman" w:hAnsi="Times New Roman" w:cs="Times New Roman"/>
          <w:sz w:val="22"/>
          <w:szCs w:val="22"/>
          <w:u w:val="none"/>
        </w:rPr>
        <w:t xml:space="preserve"> tkaniva od 2 do 4 dní.</w:t>
      </w:r>
    </w:p>
    <w:p w:rsidR="005406B0" w:rsidRPr="00513C80" w:rsidRDefault="005406B0">
      <w:pPr>
        <w:pStyle w:val="Nadpis7"/>
        <w:jc w:val="left"/>
        <w:rPr>
          <w:rFonts w:ascii="Times New Roman" w:hAnsi="Times New Roman" w:cs="Times New Roman"/>
          <w:sz w:val="22"/>
          <w:szCs w:val="22"/>
        </w:rPr>
      </w:pPr>
    </w:p>
    <w:p w:rsidR="005406B0" w:rsidRPr="00513C80" w:rsidRDefault="005406B0">
      <w:pPr>
        <w:pStyle w:val="Nadpis7"/>
        <w:jc w:val="left"/>
        <w:rPr>
          <w:rFonts w:ascii="Times New Roman" w:hAnsi="Times New Roman" w:cs="Times New Roman"/>
          <w:sz w:val="22"/>
          <w:szCs w:val="22"/>
        </w:rPr>
      </w:pPr>
      <w:r w:rsidRPr="00513C80">
        <w:rPr>
          <w:rFonts w:ascii="Times New Roman" w:hAnsi="Times New Roman" w:cs="Times New Roman"/>
          <w:sz w:val="22"/>
          <w:szCs w:val="22"/>
        </w:rPr>
        <w:t>Eliminácia</w:t>
      </w: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sa vylučuje predovšetkým žlčou (v nezmenenej forme a vo forme </w:t>
      </w:r>
      <w:proofErr w:type="spellStart"/>
      <w:r w:rsidRPr="00513C80">
        <w:rPr>
          <w:sz w:val="22"/>
          <w:szCs w:val="22"/>
        </w:rPr>
        <w:t>metabolitov</w:t>
      </w:r>
      <w:proofErr w:type="spellEnd"/>
      <w:r w:rsidRPr="00513C80">
        <w:rPr>
          <w:sz w:val="22"/>
          <w:szCs w:val="22"/>
        </w:rPr>
        <w:t>).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Približne 12 % intravenózne podanej dávky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sa vylúči v nezmenenej forme močom v priebehu nasledujúcich troch dní. 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Štúdie na zvieratách ukázali, že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sa hromadí vo </w:t>
      </w:r>
      <w:proofErr w:type="spellStart"/>
      <w:r w:rsidRPr="00513C80">
        <w:rPr>
          <w:sz w:val="22"/>
          <w:szCs w:val="22"/>
        </w:rPr>
        <w:t>fagocytoch</w:t>
      </w:r>
      <w:proofErr w:type="spellEnd"/>
      <w:r w:rsidRPr="00513C80">
        <w:rPr>
          <w:sz w:val="22"/>
          <w:szCs w:val="22"/>
        </w:rPr>
        <w:t xml:space="preserve"> a je uvoľnený prostredníctvom aktívnej fagocytózy. V štúdiách na zvieratách dosiahol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vysokú koncentráciu v zápalových ložiskách.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  <w:u w:val="single"/>
        </w:rPr>
        <w:t>Farmakokinetika</w:t>
      </w:r>
      <w:proofErr w:type="spellEnd"/>
      <w:r w:rsidRPr="00513C80">
        <w:rPr>
          <w:sz w:val="22"/>
          <w:szCs w:val="22"/>
          <w:u w:val="single"/>
        </w:rPr>
        <w:t xml:space="preserve"> u osobitných skupín pacientov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AE3ABF">
      <w:pPr>
        <w:rPr>
          <w:sz w:val="22"/>
          <w:szCs w:val="22"/>
        </w:rPr>
      </w:pPr>
      <w:r w:rsidRPr="00513C80">
        <w:rPr>
          <w:i/>
          <w:sz w:val="22"/>
          <w:szCs w:val="22"/>
        </w:rPr>
        <w:t>Po</w:t>
      </w:r>
      <w:r>
        <w:rPr>
          <w:i/>
          <w:sz w:val="22"/>
          <w:szCs w:val="22"/>
        </w:rPr>
        <w:t>rucha</w:t>
      </w:r>
      <w:r w:rsidRPr="00513C80">
        <w:rPr>
          <w:i/>
          <w:sz w:val="22"/>
          <w:szCs w:val="22"/>
        </w:rPr>
        <w:t xml:space="preserve"> </w:t>
      </w:r>
      <w:r w:rsidR="005406B0" w:rsidRPr="00513C80">
        <w:rPr>
          <w:i/>
          <w:sz w:val="22"/>
          <w:szCs w:val="22"/>
        </w:rPr>
        <w:t>funkcie obličiek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Po jednorazovej perorálnej dávke 1 g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sa u pacientov s miernou až stredne závažnou poruchou funkcie obličiek (stupeň </w:t>
      </w:r>
      <w:proofErr w:type="spellStart"/>
      <w:r w:rsidRPr="00513C80">
        <w:rPr>
          <w:rStyle w:val="hps"/>
          <w:sz w:val="22"/>
          <w:szCs w:val="22"/>
        </w:rPr>
        <w:t>glomerulárnej</w:t>
      </w:r>
      <w:proofErr w:type="spellEnd"/>
      <w:r w:rsidRPr="00513C80">
        <w:rPr>
          <w:rStyle w:val="shorttext"/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filtrácie</w:t>
      </w:r>
      <w:r w:rsidRPr="00513C80">
        <w:rPr>
          <w:sz w:val="22"/>
          <w:szCs w:val="22"/>
        </w:rPr>
        <w:t xml:space="preserve"> 10-80 ml/min) v porovnaní s normálnou funkciou obličiek (stupeň </w:t>
      </w:r>
      <w:proofErr w:type="spellStart"/>
      <w:r w:rsidRPr="00513C80">
        <w:rPr>
          <w:rStyle w:val="hps"/>
          <w:sz w:val="22"/>
          <w:szCs w:val="22"/>
        </w:rPr>
        <w:t>glomerulárnej</w:t>
      </w:r>
      <w:proofErr w:type="spellEnd"/>
      <w:r w:rsidRPr="00513C80">
        <w:rPr>
          <w:rStyle w:val="shorttext"/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filtrácie</w:t>
      </w:r>
      <w:r w:rsidRPr="00513C80">
        <w:rPr>
          <w:sz w:val="22"/>
          <w:szCs w:val="22"/>
        </w:rPr>
        <w:t xml:space="preserve"> &gt; 80 ml/min) </w:t>
      </w:r>
      <w:proofErr w:type="spellStart"/>
      <w:r w:rsidR="00043299">
        <w:rPr>
          <w:sz w:val="22"/>
          <w:szCs w:val="22"/>
        </w:rPr>
        <w:t>C</w:t>
      </w:r>
      <w:r w:rsidR="00043299" w:rsidRPr="00513C80">
        <w:rPr>
          <w:sz w:val="22"/>
          <w:szCs w:val="22"/>
          <w:vertAlign w:val="subscript"/>
        </w:rPr>
        <w:t>max</w:t>
      </w:r>
      <w:proofErr w:type="spellEnd"/>
      <w:r w:rsidR="00043299" w:rsidRPr="00513C80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 xml:space="preserve">zvýšila o 5,1% a AUC 0-120 o 4,2%. U pacientov so závažnou poruchou funkcie obličiek stredná </w:t>
      </w:r>
      <w:proofErr w:type="spellStart"/>
      <w:r w:rsidR="00043299">
        <w:rPr>
          <w:sz w:val="22"/>
          <w:szCs w:val="22"/>
        </w:rPr>
        <w:t>C</w:t>
      </w:r>
      <w:r w:rsidR="00043299" w:rsidRPr="00513C80">
        <w:rPr>
          <w:sz w:val="22"/>
          <w:szCs w:val="22"/>
          <w:vertAlign w:val="subscript"/>
        </w:rPr>
        <w:t>max</w:t>
      </w:r>
      <w:proofErr w:type="spellEnd"/>
      <w:r w:rsidR="00043299" w:rsidRPr="00513C80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>vzrástla o 61% a AUC 0-120 o 33% v porovnaní s normálnom.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AE3ABF">
      <w:pPr>
        <w:rPr>
          <w:sz w:val="22"/>
          <w:szCs w:val="22"/>
        </w:rPr>
      </w:pPr>
      <w:r w:rsidRPr="00513C80">
        <w:rPr>
          <w:i/>
          <w:sz w:val="22"/>
          <w:szCs w:val="22"/>
        </w:rPr>
        <w:t>Po</w:t>
      </w:r>
      <w:r>
        <w:rPr>
          <w:i/>
          <w:sz w:val="22"/>
          <w:szCs w:val="22"/>
        </w:rPr>
        <w:t>rucha</w:t>
      </w:r>
      <w:r w:rsidRPr="00513C80">
        <w:rPr>
          <w:i/>
          <w:sz w:val="22"/>
          <w:szCs w:val="22"/>
        </w:rPr>
        <w:t xml:space="preserve"> </w:t>
      </w:r>
      <w:r w:rsidR="005406B0" w:rsidRPr="00513C80">
        <w:rPr>
          <w:i/>
          <w:sz w:val="22"/>
          <w:szCs w:val="22"/>
        </w:rPr>
        <w:t>funkcie pečene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U pacientov s </w:t>
      </w:r>
      <w:r w:rsidR="002D6C12" w:rsidRPr="00513C80">
        <w:rPr>
          <w:sz w:val="22"/>
          <w:szCs w:val="22"/>
        </w:rPr>
        <w:t>miern</w:t>
      </w:r>
      <w:r w:rsidR="002D6C12">
        <w:rPr>
          <w:sz w:val="22"/>
          <w:szCs w:val="22"/>
        </w:rPr>
        <w:t>ou</w:t>
      </w:r>
      <w:r w:rsidR="002D6C12" w:rsidRPr="00513C80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 xml:space="preserve">až stredne </w:t>
      </w:r>
      <w:r w:rsidR="00AE3ABF" w:rsidRPr="00513C80">
        <w:rPr>
          <w:sz w:val="22"/>
          <w:szCs w:val="22"/>
        </w:rPr>
        <w:t>závažn</w:t>
      </w:r>
      <w:r w:rsidR="00AE3ABF">
        <w:rPr>
          <w:sz w:val="22"/>
          <w:szCs w:val="22"/>
        </w:rPr>
        <w:t>ou</w:t>
      </w:r>
      <w:r w:rsidR="00AE3ABF" w:rsidRPr="00513C80">
        <w:rPr>
          <w:sz w:val="22"/>
          <w:szCs w:val="22"/>
        </w:rPr>
        <w:t xml:space="preserve"> po</w:t>
      </w:r>
      <w:r w:rsidR="00AE3ABF">
        <w:rPr>
          <w:sz w:val="22"/>
          <w:szCs w:val="22"/>
        </w:rPr>
        <w:t>ruchou</w:t>
      </w:r>
      <w:r w:rsidR="00AE3ABF" w:rsidRPr="00513C80">
        <w:rPr>
          <w:sz w:val="22"/>
          <w:szCs w:val="22"/>
        </w:rPr>
        <w:t xml:space="preserve"> </w:t>
      </w:r>
      <w:r w:rsidRPr="00513C80">
        <w:rPr>
          <w:sz w:val="22"/>
          <w:szCs w:val="22"/>
        </w:rPr>
        <w:t xml:space="preserve">funkcie pečene nie je žiadny dôkaz o výraznej zmene sérovej </w:t>
      </w:r>
      <w:proofErr w:type="spellStart"/>
      <w:r w:rsidRPr="00513C80">
        <w:rPr>
          <w:sz w:val="22"/>
          <w:szCs w:val="22"/>
        </w:rPr>
        <w:t>farmakokinetiky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v porovnaní s normálnou funkciou pečene. Zdá sa, že u týchto pacientov zvýšenie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v moči možno kompenzuje znížené vylučovanie pečeňou.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i/>
          <w:sz w:val="22"/>
          <w:szCs w:val="22"/>
        </w:rPr>
        <w:t>Starší pacienti</w:t>
      </w: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Farmakokinetika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u starších mužov bola podobná ako u mladých dospelých; avšak u starších žien, hoci boli pozorované vyššie maximálne koncentrácie (zvýšené o 30-50%), nedošlo k žiadnej významnej akumulácii.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i/>
          <w:sz w:val="22"/>
          <w:szCs w:val="22"/>
        </w:rPr>
        <w:t>Dojčatá, batoľatá, deti a dospievajúci</w:t>
      </w: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Farmakokinetika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azitromycínu</w:t>
      </w:r>
      <w:proofErr w:type="spellEnd"/>
      <w:r w:rsidRPr="00513C80">
        <w:rPr>
          <w:sz w:val="22"/>
          <w:szCs w:val="22"/>
        </w:rPr>
        <w:t xml:space="preserve"> bola študovaná u detí vo veku 4 mesiace až 15 rokov užívajúcich kapsule, granule alebo suspenzie v dávke 10 mg/kg telesnej hmotnosti na deň 1 a potom 5 mg/kg v dňoch 2 až 5. Maximálne koncentrácie vo výške 224 </w:t>
      </w:r>
      <w:r w:rsidR="004923B0" w:rsidRPr="004923B0">
        <w:rPr>
          <w:sz w:val="22"/>
          <w:szCs w:val="22"/>
          <w:lang w:val="en-GB"/>
        </w:rPr>
        <w:t>μ</w:t>
      </w:r>
      <w:r w:rsidRPr="00513C80">
        <w:rPr>
          <w:sz w:val="22"/>
          <w:szCs w:val="22"/>
        </w:rPr>
        <w:t xml:space="preserve">g/l u detí vo veku od 7,5 mesiacov do 5 rokov a 383 </w:t>
      </w:r>
      <w:r w:rsidR="004923B0" w:rsidRPr="004923B0">
        <w:rPr>
          <w:sz w:val="22"/>
          <w:szCs w:val="22"/>
          <w:lang w:val="en-GB"/>
        </w:rPr>
        <w:t>μ</w:t>
      </w:r>
      <w:r w:rsidRPr="00513C80">
        <w:rPr>
          <w:sz w:val="22"/>
          <w:szCs w:val="22"/>
        </w:rPr>
        <w:t>g/l u detí vo veku 6 až 15 rokov boli mierne nižšie ako koncentrácie u dospelých. T</w:t>
      </w:r>
      <w:r w:rsidRPr="00513C80">
        <w:rPr>
          <w:sz w:val="22"/>
          <w:szCs w:val="22"/>
          <w:vertAlign w:val="subscript"/>
        </w:rPr>
        <w:t>½</w:t>
      </w:r>
      <w:r w:rsidRPr="00513C80">
        <w:rPr>
          <w:sz w:val="22"/>
          <w:szCs w:val="22"/>
        </w:rPr>
        <w:t xml:space="preserve"> 36 hodín u starších detí bol v očakávanom rozsahu pre dospelých.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ind w:left="567" w:hanging="567"/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 xml:space="preserve">5.3. </w:t>
      </w:r>
      <w:r w:rsidRPr="00513C80">
        <w:rPr>
          <w:b/>
          <w:bCs/>
          <w:sz w:val="22"/>
          <w:szCs w:val="22"/>
        </w:rPr>
        <w:tab/>
        <w:t>Predklinické údaje o bezpečnosti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V štúdiách na zvieratách, v ktorých sa podávali dávky 40-krát vyššie ako klinická terapeutická dávka, vyvolal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reverzibilnú </w:t>
      </w:r>
      <w:proofErr w:type="spellStart"/>
      <w:r w:rsidRPr="00513C80">
        <w:rPr>
          <w:sz w:val="22"/>
          <w:szCs w:val="22"/>
        </w:rPr>
        <w:t>fosfolipidózu</w:t>
      </w:r>
      <w:proofErr w:type="spellEnd"/>
      <w:r w:rsidRPr="00513C80">
        <w:rPr>
          <w:sz w:val="22"/>
          <w:szCs w:val="22"/>
        </w:rPr>
        <w:t xml:space="preserve"> (všeobecne bez pridružených toxikologických následkov). Ak bol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podávaný v súlade s odporúčaniami, príznaky toxicity neboli pozorované.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  <w:u w:val="single"/>
        </w:rPr>
        <w:t>Karcinogénny potenciál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lastRenderedPageBreak/>
        <w:t xml:space="preserve">Pretože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je určený len na krátkodobú liečbu, neboli uskutočnené dlhodobé štúdie na zvieratách, ktoré by zhodnotili karcinogénny potenciál. Karcinogénna aktivita nebola zaznamenaná.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AD0F92" w:rsidRDefault="005406B0">
      <w:pPr>
        <w:rPr>
          <w:sz w:val="22"/>
          <w:szCs w:val="22"/>
          <w:u w:val="single"/>
        </w:rPr>
      </w:pPr>
      <w:r w:rsidRPr="00AD0F92">
        <w:rPr>
          <w:sz w:val="22"/>
          <w:szCs w:val="22"/>
          <w:u w:val="single"/>
        </w:rPr>
        <w:t>Mutagénny potenciál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Na </w:t>
      </w:r>
      <w:r w:rsidRPr="00513C80">
        <w:rPr>
          <w:i/>
          <w:sz w:val="22"/>
          <w:szCs w:val="22"/>
        </w:rPr>
        <w:t xml:space="preserve">in </w:t>
      </w:r>
      <w:proofErr w:type="spellStart"/>
      <w:r w:rsidRPr="00513C80">
        <w:rPr>
          <w:i/>
          <w:sz w:val="22"/>
          <w:szCs w:val="22"/>
        </w:rPr>
        <w:t>vivo</w:t>
      </w:r>
      <w:proofErr w:type="spellEnd"/>
      <w:r w:rsidRPr="00513C80">
        <w:rPr>
          <w:sz w:val="22"/>
          <w:szCs w:val="22"/>
        </w:rPr>
        <w:t xml:space="preserve"> a </w:t>
      </w:r>
      <w:r w:rsidRPr="00513C80">
        <w:rPr>
          <w:i/>
          <w:sz w:val="22"/>
          <w:szCs w:val="22"/>
        </w:rPr>
        <w:t xml:space="preserve">in </w:t>
      </w:r>
      <w:proofErr w:type="spellStart"/>
      <w:r w:rsidRPr="00513C80">
        <w:rPr>
          <w:i/>
          <w:sz w:val="22"/>
          <w:szCs w:val="22"/>
        </w:rPr>
        <w:t>vitro</w:t>
      </w:r>
      <w:proofErr w:type="spellEnd"/>
      <w:r w:rsidRPr="00513C80">
        <w:rPr>
          <w:sz w:val="22"/>
          <w:szCs w:val="22"/>
        </w:rPr>
        <w:t xml:space="preserve"> testovacích modeloch nebol dokázaný potenciál pre génové a chromozómové mutácie. 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AD0F92" w:rsidRDefault="005406B0">
      <w:pPr>
        <w:rPr>
          <w:sz w:val="22"/>
          <w:szCs w:val="22"/>
          <w:u w:val="single"/>
        </w:rPr>
      </w:pPr>
      <w:r w:rsidRPr="00AD0F92">
        <w:rPr>
          <w:sz w:val="22"/>
          <w:szCs w:val="22"/>
          <w:u w:val="single"/>
        </w:rPr>
        <w:t>Reprodukčná toxicita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V štúdiách na zvieratách, kde sa sledoval </w:t>
      </w:r>
      <w:proofErr w:type="spellStart"/>
      <w:r w:rsidRPr="00513C80">
        <w:rPr>
          <w:sz w:val="22"/>
          <w:szCs w:val="22"/>
        </w:rPr>
        <w:t>embryotoxický</w:t>
      </w:r>
      <w:proofErr w:type="spellEnd"/>
      <w:r w:rsidRPr="00513C80">
        <w:rPr>
          <w:sz w:val="22"/>
          <w:szCs w:val="22"/>
        </w:rPr>
        <w:t xml:space="preserve"> účinok látky, u myší a potkanov nebol pozorovaný </w:t>
      </w:r>
      <w:proofErr w:type="spellStart"/>
      <w:r w:rsidRPr="00513C80">
        <w:rPr>
          <w:sz w:val="22"/>
          <w:szCs w:val="22"/>
        </w:rPr>
        <w:t>teratogénny</w:t>
      </w:r>
      <w:proofErr w:type="spellEnd"/>
      <w:r w:rsidRPr="00513C80">
        <w:rPr>
          <w:sz w:val="22"/>
          <w:szCs w:val="22"/>
        </w:rPr>
        <w:t xml:space="preserve"> účinok. U potkanov, ktorým sa podával </w:t>
      </w:r>
      <w:proofErr w:type="spellStart"/>
      <w:r w:rsidRPr="00513C80">
        <w:rPr>
          <w:sz w:val="22"/>
          <w:szCs w:val="22"/>
        </w:rPr>
        <w:t>azitromycín</w:t>
      </w:r>
      <w:proofErr w:type="spellEnd"/>
      <w:r w:rsidRPr="00513C80">
        <w:rPr>
          <w:sz w:val="22"/>
          <w:szCs w:val="22"/>
        </w:rPr>
        <w:t xml:space="preserve"> v dávkach 100 a 200 mg/kg telesnej hmotnosti/deň, sa prejavila mierna retardácia </w:t>
      </w:r>
      <w:proofErr w:type="spellStart"/>
      <w:r w:rsidRPr="00513C80">
        <w:rPr>
          <w:sz w:val="22"/>
          <w:szCs w:val="22"/>
        </w:rPr>
        <w:t>fetálnej</w:t>
      </w:r>
      <w:proofErr w:type="spellEnd"/>
      <w:r w:rsidRPr="00513C80">
        <w:rPr>
          <w:sz w:val="22"/>
          <w:szCs w:val="22"/>
        </w:rPr>
        <w:t xml:space="preserve"> osifikácie a prírastku hmotnosti plodu. </w:t>
      </w:r>
      <w:r w:rsidRPr="00513C80">
        <w:rPr>
          <w:rStyle w:val="hps"/>
          <w:sz w:val="22"/>
          <w:szCs w:val="22"/>
        </w:rPr>
        <w:t>V</w:t>
      </w:r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rStyle w:val="hps"/>
          <w:sz w:val="22"/>
          <w:szCs w:val="22"/>
        </w:rPr>
        <w:t>peri</w:t>
      </w:r>
      <w:proofErr w:type="spellEnd"/>
      <w:r w:rsidRPr="00513C80">
        <w:rPr>
          <w:rStyle w:val="hps"/>
          <w:sz w:val="22"/>
          <w:szCs w:val="22"/>
        </w:rPr>
        <w:t>-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a</w:t>
      </w:r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rStyle w:val="hps"/>
          <w:sz w:val="22"/>
          <w:szCs w:val="22"/>
        </w:rPr>
        <w:t>postnatálnej</w:t>
      </w:r>
      <w:proofErr w:type="spellEnd"/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štúdii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na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potkanoch sa po liečbe</w:t>
      </w:r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rStyle w:val="hps"/>
          <w:sz w:val="22"/>
          <w:szCs w:val="22"/>
        </w:rPr>
        <w:t>azitromycínom</w:t>
      </w:r>
      <w:proofErr w:type="spellEnd"/>
      <w:r w:rsidRPr="00513C80">
        <w:rPr>
          <w:rStyle w:val="hps"/>
          <w:sz w:val="22"/>
          <w:szCs w:val="22"/>
        </w:rPr>
        <w:t xml:space="preserve"> 50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mg/kg/deň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pozorovala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mierna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retardácia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fyzického vývoja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a oneskorenie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vo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vývoji</w:t>
      </w:r>
      <w:r w:rsidRPr="00513C80">
        <w:rPr>
          <w:sz w:val="22"/>
          <w:szCs w:val="22"/>
        </w:rPr>
        <w:t xml:space="preserve"> </w:t>
      </w:r>
      <w:r w:rsidRPr="00513C80">
        <w:rPr>
          <w:rStyle w:val="hps"/>
          <w:sz w:val="22"/>
          <w:szCs w:val="22"/>
        </w:rPr>
        <w:t>reflexov</w:t>
      </w:r>
      <w:r w:rsidRPr="00513C80">
        <w:rPr>
          <w:sz w:val="22"/>
          <w:szCs w:val="22"/>
        </w:rPr>
        <w:t>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jc w:val="both"/>
        <w:rPr>
          <w:b/>
          <w:bCs/>
          <w:sz w:val="22"/>
          <w:szCs w:val="22"/>
        </w:rPr>
      </w:pPr>
      <w:r w:rsidRPr="00513C80">
        <w:rPr>
          <w:b/>
          <w:bCs/>
          <w:sz w:val="22"/>
          <w:szCs w:val="22"/>
        </w:rPr>
        <w:t>6.</w:t>
      </w:r>
      <w:r w:rsidRPr="00513C80">
        <w:rPr>
          <w:b/>
          <w:bCs/>
          <w:sz w:val="22"/>
          <w:szCs w:val="22"/>
        </w:rPr>
        <w:tab/>
        <w:t>FARMACEUTICKÉ INFORMÁCIE</w:t>
      </w:r>
    </w:p>
    <w:p w:rsidR="005406B0" w:rsidRPr="00513C80" w:rsidRDefault="005406B0">
      <w:pPr>
        <w:rPr>
          <w:b/>
          <w:bCs/>
          <w:sz w:val="22"/>
          <w:szCs w:val="22"/>
        </w:rPr>
      </w:pPr>
    </w:p>
    <w:p w:rsidR="005406B0" w:rsidRPr="00513C80" w:rsidRDefault="005406B0">
      <w:pPr>
        <w:numPr>
          <w:ilvl w:val="1"/>
          <w:numId w:val="2"/>
        </w:numPr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Zoznam pomocných látok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mikrokryštalická celulóza typu 101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koloidný bezvodý oxid kremičitý (E551)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základný </w:t>
      </w:r>
      <w:proofErr w:type="spellStart"/>
      <w:r w:rsidRPr="00513C80">
        <w:rPr>
          <w:sz w:val="22"/>
          <w:szCs w:val="22"/>
        </w:rPr>
        <w:t>butylmetakrylátovy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kopolymér</w:t>
      </w:r>
      <w:proofErr w:type="spellEnd"/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laurylsulfát</w:t>
      </w:r>
      <w:proofErr w:type="spellEnd"/>
      <w:r w:rsidRPr="00513C80">
        <w:rPr>
          <w:sz w:val="22"/>
          <w:szCs w:val="22"/>
        </w:rPr>
        <w:t xml:space="preserve"> sodný</w:t>
      </w: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dibutylsebakát</w:t>
      </w:r>
      <w:proofErr w:type="spellEnd"/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mastenec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oxid </w:t>
      </w:r>
      <w:proofErr w:type="spellStart"/>
      <w:r w:rsidRPr="00513C80">
        <w:rPr>
          <w:sz w:val="22"/>
          <w:szCs w:val="22"/>
        </w:rPr>
        <w:t>titaničitý</w:t>
      </w:r>
      <w:proofErr w:type="spellEnd"/>
      <w:r w:rsidRPr="00513C80">
        <w:rPr>
          <w:sz w:val="22"/>
          <w:szCs w:val="22"/>
        </w:rPr>
        <w:t xml:space="preserve"> (E171)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mikrokryštalická celulóza typu 200</w:t>
      </w: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nízkosubstituovaná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hydroxypropylcelulóza</w:t>
      </w:r>
      <w:proofErr w:type="spellEnd"/>
      <w:r w:rsidRPr="00513C80">
        <w:rPr>
          <w:sz w:val="22"/>
          <w:szCs w:val="22"/>
        </w:rPr>
        <w:t xml:space="preserve"> 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jablková aróma [obsahuje ako hlavné zložky </w:t>
      </w:r>
      <w:proofErr w:type="spellStart"/>
      <w:r w:rsidRPr="00513C80">
        <w:rPr>
          <w:sz w:val="22"/>
          <w:szCs w:val="22"/>
        </w:rPr>
        <w:t>maltodextrín</w:t>
      </w:r>
      <w:proofErr w:type="spellEnd"/>
      <w:r w:rsidRPr="00513C80">
        <w:rPr>
          <w:sz w:val="22"/>
          <w:szCs w:val="22"/>
        </w:rPr>
        <w:t xml:space="preserve">, arabskú gumu (E414), </w:t>
      </w:r>
      <w:proofErr w:type="spellStart"/>
      <w:r w:rsidRPr="00513C80">
        <w:rPr>
          <w:sz w:val="22"/>
          <w:szCs w:val="22"/>
        </w:rPr>
        <w:t>triacetín</w:t>
      </w:r>
      <w:proofErr w:type="spellEnd"/>
      <w:r w:rsidRPr="00513C80">
        <w:rPr>
          <w:sz w:val="22"/>
          <w:szCs w:val="22"/>
        </w:rPr>
        <w:t xml:space="preserve"> (E1518), prírodné </w:t>
      </w:r>
      <w:r w:rsidR="00DA102F">
        <w:rPr>
          <w:sz w:val="22"/>
          <w:szCs w:val="22"/>
        </w:rPr>
        <w:t>ochucovadlá</w:t>
      </w:r>
      <w:r w:rsidRPr="00513C80">
        <w:rPr>
          <w:sz w:val="22"/>
          <w:szCs w:val="22"/>
        </w:rPr>
        <w:t>]</w:t>
      </w: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sukralóza</w:t>
      </w:r>
      <w:proofErr w:type="spellEnd"/>
      <w:r w:rsidRPr="00513C80">
        <w:rPr>
          <w:sz w:val="22"/>
          <w:szCs w:val="22"/>
        </w:rPr>
        <w:t xml:space="preserve"> (E955)</w:t>
      </w: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magnéziumstearát</w:t>
      </w:r>
      <w:proofErr w:type="spellEnd"/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numPr>
          <w:ilvl w:val="1"/>
          <w:numId w:val="2"/>
        </w:numPr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Inkompatibility</w:t>
      </w:r>
    </w:p>
    <w:p w:rsidR="005406B0" w:rsidRPr="00513C80" w:rsidRDefault="005406B0">
      <w:pPr>
        <w:rPr>
          <w:sz w:val="22"/>
          <w:szCs w:val="22"/>
        </w:rPr>
      </w:pPr>
    </w:p>
    <w:p w:rsidR="005406B0" w:rsidRDefault="00575854">
      <w:pPr>
        <w:rPr>
          <w:sz w:val="22"/>
          <w:szCs w:val="22"/>
        </w:rPr>
      </w:pPr>
      <w:r w:rsidRPr="00575854">
        <w:rPr>
          <w:sz w:val="22"/>
          <w:szCs w:val="22"/>
        </w:rPr>
        <w:t>Neaplikovateľné</w:t>
      </w:r>
      <w:r>
        <w:rPr>
          <w:sz w:val="22"/>
          <w:szCs w:val="22"/>
        </w:rPr>
        <w:t>.</w:t>
      </w:r>
    </w:p>
    <w:p w:rsidR="00575854" w:rsidRPr="00513C80" w:rsidRDefault="00575854">
      <w:pPr>
        <w:rPr>
          <w:sz w:val="22"/>
          <w:szCs w:val="22"/>
        </w:rPr>
      </w:pPr>
    </w:p>
    <w:p w:rsidR="005406B0" w:rsidRPr="00513C80" w:rsidRDefault="005406B0">
      <w:pPr>
        <w:numPr>
          <w:ilvl w:val="1"/>
          <w:numId w:val="2"/>
        </w:numPr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Čas použiteľnosti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4 roky.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jc w:val="both"/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6.4</w:t>
      </w:r>
      <w:r w:rsidRPr="00513C80">
        <w:rPr>
          <w:b/>
          <w:bCs/>
          <w:sz w:val="22"/>
          <w:szCs w:val="22"/>
        </w:rPr>
        <w:tab/>
        <w:t>Špeciálne upozornenia na uchovávanie</w:t>
      </w:r>
    </w:p>
    <w:p w:rsidR="005406B0" w:rsidRPr="00513C80" w:rsidRDefault="005406B0">
      <w:pPr>
        <w:jc w:val="both"/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Tento liek nevyžaduje žiadne zvláštne teplotné podmienky na uchovávanie.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Uchovávajte v pôvodnom obalení na ochranu  pred vlhkosťou.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jc w:val="both"/>
        <w:rPr>
          <w:sz w:val="22"/>
          <w:szCs w:val="22"/>
          <w:u w:val="single"/>
        </w:rPr>
      </w:pPr>
      <w:r w:rsidRPr="00513C80">
        <w:rPr>
          <w:b/>
          <w:bCs/>
          <w:sz w:val="22"/>
          <w:szCs w:val="22"/>
        </w:rPr>
        <w:t>6.5</w:t>
      </w:r>
      <w:r w:rsidRPr="00513C80">
        <w:rPr>
          <w:b/>
          <w:bCs/>
          <w:sz w:val="22"/>
          <w:szCs w:val="22"/>
        </w:rPr>
        <w:tab/>
        <w:t>Druh obalu a obsah balenia</w:t>
      </w:r>
    </w:p>
    <w:p w:rsidR="005406B0" w:rsidRPr="00513C80" w:rsidRDefault="005406B0">
      <w:pPr>
        <w:tabs>
          <w:tab w:val="left" w:pos="851"/>
        </w:tabs>
        <w:rPr>
          <w:sz w:val="22"/>
          <w:szCs w:val="22"/>
          <w:u w:val="single"/>
        </w:rPr>
      </w:pPr>
    </w:p>
    <w:p w:rsidR="005406B0" w:rsidRPr="00513C80" w:rsidRDefault="005406B0">
      <w:pPr>
        <w:tabs>
          <w:tab w:val="left" w:pos="1843"/>
        </w:tabs>
        <w:rPr>
          <w:sz w:val="22"/>
          <w:szCs w:val="22"/>
        </w:rPr>
      </w:pPr>
      <w:r w:rsidRPr="00513C80">
        <w:rPr>
          <w:sz w:val="22"/>
          <w:szCs w:val="22"/>
        </w:rPr>
        <w:t>PVC/PE/PVDC/</w:t>
      </w:r>
      <w:proofErr w:type="spellStart"/>
      <w:r w:rsidRPr="00513C80">
        <w:rPr>
          <w:sz w:val="22"/>
          <w:szCs w:val="22"/>
        </w:rPr>
        <w:t>Al</w:t>
      </w:r>
      <w:proofErr w:type="spellEnd"/>
      <w:r w:rsidRPr="00513C80">
        <w:rPr>
          <w:sz w:val="22"/>
          <w:szCs w:val="22"/>
        </w:rPr>
        <w:t xml:space="preserve"> </w:t>
      </w:r>
      <w:proofErr w:type="spellStart"/>
      <w:r w:rsidRPr="00513C80">
        <w:rPr>
          <w:sz w:val="22"/>
          <w:szCs w:val="22"/>
        </w:rPr>
        <w:t>blister</w:t>
      </w:r>
      <w:proofErr w:type="spellEnd"/>
    </w:p>
    <w:p w:rsidR="005406B0" w:rsidRPr="00513C80" w:rsidRDefault="005406B0">
      <w:pPr>
        <w:tabs>
          <w:tab w:val="left" w:pos="1843"/>
        </w:tabs>
        <w:rPr>
          <w:sz w:val="22"/>
          <w:szCs w:val="22"/>
        </w:rPr>
      </w:pPr>
    </w:p>
    <w:p w:rsidR="005406B0" w:rsidRPr="00513C80" w:rsidRDefault="005406B0">
      <w:pPr>
        <w:tabs>
          <w:tab w:val="left" w:pos="1843"/>
        </w:tabs>
        <w:rPr>
          <w:sz w:val="22"/>
          <w:szCs w:val="22"/>
        </w:rPr>
      </w:pPr>
      <w:r w:rsidRPr="00513C80">
        <w:rPr>
          <w:sz w:val="22"/>
          <w:szCs w:val="22"/>
        </w:rPr>
        <w:t>Veľkosť balenia:</w:t>
      </w:r>
    </w:p>
    <w:p w:rsidR="005406B0" w:rsidRPr="00AC4C75" w:rsidRDefault="005406B0">
      <w:pPr>
        <w:tabs>
          <w:tab w:val="left" w:pos="1843"/>
        </w:tabs>
        <w:rPr>
          <w:sz w:val="22"/>
          <w:szCs w:val="22"/>
        </w:rPr>
      </w:pPr>
      <w:proofErr w:type="spellStart"/>
      <w:r w:rsidRPr="00AC4C75">
        <w:rPr>
          <w:sz w:val="22"/>
          <w:szCs w:val="22"/>
        </w:rPr>
        <w:t>Zigilex</w:t>
      </w:r>
      <w:proofErr w:type="spellEnd"/>
      <w:r w:rsidRPr="00AC4C75">
        <w:rPr>
          <w:sz w:val="22"/>
          <w:szCs w:val="22"/>
        </w:rPr>
        <w:t xml:space="preserve"> OROTAB 20 mg: 9, 12, 15 </w:t>
      </w:r>
      <w:proofErr w:type="spellStart"/>
      <w:r w:rsidRPr="00AC4C75">
        <w:rPr>
          <w:sz w:val="22"/>
          <w:szCs w:val="22"/>
        </w:rPr>
        <w:t>orodispergovateľných</w:t>
      </w:r>
      <w:proofErr w:type="spellEnd"/>
      <w:r w:rsidRPr="00AC4C75">
        <w:rPr>
          <w:sz w:val="22"/>
          <w:szCs w:val="22"/>
        </w:rPr>
        <w:t xml:space="preserve"> tabliet</w:t>
      </w:r>
    </w:p>
    <w:p w:rsidR="005406B0" w:rsidRPr="00513C80" w:rsidRDefault="001C02D8">
      <w:pPr>
        <w:tabs>
          <w:tab w:val="left" w:pos="1843"/>
        </w:tabs>
        <w:rPr>
          <w:sz w:val="22"/>
          <w:szCs w:val="22"/>
        </w:rPr>
      </w:pPr>
      <w:proofErr w:type="spellStart"/>
      <w:r w:rsidRPr="00B755B6">
        <w:rPr>
          <w:sz w:val="22"/>
          <w:szCs w:val="22"/>
          <w:highlight w:val="lightGray"/>
        </w:rPr>
        <w:t>Zigilex</w:t>
      </w:r>
      <w:proofErr w:type="spellEnd"/>
      <w:r w:rsidRPr="00B755B6">
        <w:rPr>
          <w:sz w:val="22"/>
          <w:szCs w:val="22"/>
          <w:highlight w:val="lightGray"/>
        </w:rPr>
        <w:t xml:space="preserve"> OROTAB 100 mg: 3, 6 </w:t>
      </w:r>
      <w:proofErr w:type="spellStart"/>
      <w:r w:rsidRPr="00B755B6">
        <w:rPr>
          <w:sz w:val="22"/>
          <w:szCs w:val="22"/>
          <w:highlight w:val="lightGray"/>
        </w:rPr>
        <w:t>orodispergovateľných</w:t>
      </w:r>
      <w:proofErr w:type="spellEnd"/>
      <w:r w:rsidRPr="00B755B6">
        <w:rPr>
          <w:sz w:val="22"/>
          <w:szCs w:val="22"/>
          <w:highlight w:val="lightGray"/>
        </w:rPr>
        <w:t xml:space="preserve"> tabliet</w:t>
      </w:r>
    </w:p>
    <w:p w:rsidR="005406B0" w:rsidRPr="00513C80" w:rsidRDefault="005406B0">
      <w:pPr>
        <w:tabs>
          <w:tab w:val="left" w:pos="1843"/>
        </w:tabs>
        <w:rPr>
          <w:sz w:val="22"/>
          <w:szCs w:val="22"/>
        </w:rPr>
      </w:pPr>
    </w:p>
    <w:p w:rsidR="005406B0" w:rsidRPr="00513C80" w:rsidRDefault="005406B0">
      <w:pPr>
        <w:tabs>
          <w:tab w:val="left" w:pos="1843"/>
        </w:tabs>
        <w:rPr>
          <w:sz w:val="22"/>
          <w:szCs w:val="22"/>
        </w:rPr>
      </w:pPr>
      <w:r w:rsidRPr="00513C80">
        <w:rPr>
          <w:sz w:val="22"/>
          <w:szCs w:val="22"/>
        </w:rPr>
        <w:t>Na trh nemusia byť uvedené všetky veľkosti balenia.</w:t>
      </w:r>
    </w:p>
    <w:p w:rsidR="005406B0" w:rsidRPr="00513C80" w:rsidRDefault="005406B0">
      <w:pPr>
        <w:tabs>
          <w:tab w:val="left" w:pos="1843"/>
        </w:tabs>
        <w:rPr>
          <w:sz w:val="22"/>
          <w:szCs w:val="22"/>
        </w:rPr>
      </w:pPr>
    </w:p>
    <w:p w:rsidR="005406B0" w:rsidRPr="00513C80" w:rsidRDefault="005406B0">
      <w:pPr>
        <w:tabs>
          <w:tab w:val="left" w:pos="829"/>
        </w:tabs>
        <w:jc w:val="both"/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6.6</w:t>
      </w:r>
      <w:r w:rsidRPr="00513C80">
        <w:rPr>
          <w:b/>
          <w:bCs/>
          <w:sz w:val="22"/>
          <w:szCs w:val="22"/>
        </w:rPr>
        <w:tab/>
        <w:t>Špeciálne opatrenia na likvidáciu a iné zaobchádzanie s liekom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Žiadne zvláštne požiadavky.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jc w:val="both"/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7.</w:t>
      </w:r>
      <w:r w:rsidRPr="00513C80">
        <w:rPr>
          <w:b/>
          <w:bCs/>
          <w:sz w:val="22"/>
          <w:szCs w:val="22"/>
        </w:rPr>
        <w:tab/>
        <w:t>DRŽITEĽ ROZHODNUTIA O REGISTRÁCII</w:t>
      </w:r>
    </w:p>
    <w:p w:rsidR="005406B0" w:rsidRPr="00513C80" w:rsidRDefault="005406B0">
      <w:pPr>
        <w:jc w:val="both"/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PharmaSwiss</w:t>
      </w:r>
      <w:proofErr w:type="spellEnd"/>
      <w:r w:rsidRPr="00513C80">
        <w:rPr>
          <w:sz w:val="22"/>
          <w:szCs w:val="22"/>
        </w:rPr>
        <w:t xml:space="preserve"> Česká republika s.r.o.</w:t>
      </w:r>
    </w:p>
    <w:p w:rsidR="005406B0" w:rsidRPr="00513C80" w:rsidRDefault="005406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Jankovcova</w:t>
      </w:r>
      <w:proofErr w:type="spellEnd"/>
      <w:r w:rsidRPr="00513C80">
        <w:rPr>
          <w:sz w:val="22"/>
          <w:szCs w:val="22"/>
        </w:rPr>
        <w:t xml:space="preserve"> 1569/2c</w:t>
      </w: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>170 00 Praha 7</w:t>
      </w:r>
    </w:p>
    <w:p w:rsidR="005406B0" w:rsidRPr="00513C80" w:rsidRDefault="005406B0">
      <w:pPr>
        <w:rPr>
          <w:b/>
          <w:bCs/>
          <w:sz w:val="22"/>
          <w:szCs w:val="22"/>
        </w:rPr>
      </w:pPr>
      <w:r w:rsidRPr="00513C80">
        <w:rPr>
          <w:sz w:val="22"/>
          <w:szCs w:val="22"/>
        </w:rPr>
        <w:t>Česká republika</w:t>
      </w:r>
    </w:p>
    <w:p w:rsidR="005406B0" w:rsidRPr="00513C80" w:rsidRDefault="005406B0">
      <w:pPr>
        <w:rPr>
          <w:b/>
          <w:bCs/>
          <w:sz w:val="22"/>
          <w:szCs w:val="22"/>
        </w:rPr>
      </w:pPr>
    </w:p>
    <w:p w:rsidR="005406B0" w:rsidRPr="00513C80" w:rsidRDefault="005406B0">
      <w:pPr>
        <w:rPr>
          <w:b/>
          <w:bCs/>
          <w:sz w:val="22"/>
          <w:szCs w:val="22"/>
        </w:rPr>
      </w:pPr>
    </w:p>
    <w:p w:rsidR="005406B0" w:rsidRDefault="005406B0">
      <w:pPr>
        <w:jc w:val="both"/>
        <w:rPr>
          <w:b/>
          <w:bCs/>
          <w:sz w:val="22"/>
          <w:szCs w:val="22"/>
        </w:rPr>
      </w:pPr>
      <w:r w:rsidRPr="00513C80">
        <w:rPr>
          <w:b/>
          <w:bCs/>
          <w:sz w:val="22"/>
          <w:szCs w:val="22"/>
        </w:rPr>
        <w:t>8.</w:t>
      </w:r>
      <w:r w:rsidRPr="00513C80">
        <w:rPr>
          <w:b/>
          <w:bCs/>
          <w:sz w:val="22"/>
          <w:szCs w:val="22"/>
        </w:rPr>
        <w:tab/>
        <w:t>REGISTRAČNÉ ČÍSL</w:t>
      </w:r>
      <w:r w:rsidR="007C34B0">
        <w:rPr>
          <w:b/>
          <w:bCs/>
          <w:sz w:val="22"/>
          <w:szCs w:val="22"/>
        </w:rPr>
        <w:t>A</w:t>
      </w:r>
    </w:p>
    <w:p w:rsidR="007C34B0" w:rsidRDefault="007C34B0">
      <w:pPr>
        <w:jc w:val="both"/>
        <w:rPr>
          <w:sz w:val="22"/>
          <w:szCs w:val="22"/>
        </w:rPr>
      </w:pPr>
    </w:p>
    <w:p w:rsidR="007C34B0" w:rsidRPr="00513C80" w:rsidRDefault="007C34B0" w:rsidP="007C34B0">
      <w:pPr>
        <w:rPr>
          <w:sz w:val="22"/>
          <w:szCs w:val="22"/>
        </w:rPr>
      </w:pPr>
      <w:proofErr w:type="spellStart"/>
      <w:r w:rsidRPr="00513C80">
        <w:rPr>
          <w:sz w:val="22"/>
          <w:szCs w:val="22"/>
        </w:rPr>
        <w:t>Zigilex</w:t>
      </w:r>
      <w:proofErr w:type="spellEnd"/>
      <w:r w:rsidRPr="00513C80">
        <w:rPr>
          <w:sz w:val="22"/>
          <w:szCs w:val="22"/>
        </w:rPr>
        <w:t xml:space="preserve"> OROTAB 20 mg</w:t>
      </w:r>
      <w:r>
        <w:rPr>
          <w:sz w:val="22"/>
          <w:szCs w:val="22"/>
        </w:rPr>
        <w:t>:</w:t>
      </w:r>
      <w:r w:rsidR="002D6C12" w:rsidRPr="002D6C12">
        <w:t xml:space="preserve"> </w:t>
      </w:r>
      <w:r w:rsidR="002D6C12" w:rsidRPr="002D6C12">
        <w:rPr>
          <w:sz w:val="22"/>
          <w:szCs w:val="22"/>
        </w:rPr>
        <w:t>15/019</w:t>
      </w:r>
      <w:r w:rsidR="002D6C12">
        <w:rPr>
          <w:sz w:val="22"/>
          <w:szCs w:val="22"/>
        </w:rPr>
        <w:t>5</w:t>
      </w:r>
      <w:r w:rsidR="002D6C12" w:rsidRPr="002D6C12">
        <w:rPr>
          <w:sz w:val="22"/>
          <w:szCs w:val="22"/>
        </w:rPr>
        <w:t>/16-S</w:t>
      </w:r>
    </w:p>
    <w:p w:rsidR="007C34B0" w:rsidRPr="00513C80" w:rsidRDefault="007C34B0" w:rsidP="007C34B0">
      <w:pPr>
        <w:rPr>
          <w:sz w:val="22"/>
          <w:szCs w:val="22"/>
        </w:rPr>
      </w:pPr>
      <w:proofErr w:type="spellStart"/>
      <w:r w:rsidRPr="00B755B6">
        <w:rPr>
          <w:sz w:val="22"/>
          <w:szCs w:val="22"/>
          <w:highlight w:val="lightGray"/>
        </w:rPr>
        <w:t>Zigilex</w:t>
      </w:r>
      <w:proofErr w:type="spellEnd"/>
      <w:r w:rsidRPr="00B755B6">
        <w:rPr>
          <w:sz w:val="22"/>
          <w:szCs w:val="22"/>
          <w:highlight w:val="lightGray"/>
        </w:rPr>
        <w:t xml:space="preserve"> OROTAB 100 mg:</w:t>
      </w:r>
      <w:r w:rsidR="002D6C12" w:rsidRPr="00B755B6">
        <w:rPr>
          <w:highlight w:val="lightGray"/>
        </w:rPr>
        <w:t xml:space="preserve"> </w:t>
      </w:r>
      <w:r w:rsidR="002D6C12" w:rsidRPr="00B755B6">
        <w:rPr>
          <w:sz w:val="22"/>
          <w:szCs w:val="22"/>
          <w:highlight w:val="lightGray"/>
        </w:rPr>
        <w:t>15/0196/16-S</w:t>
      </w:r>
    </w:p>
    <w:p w:rsidR="007C34B0" w:rsidRPr="00513C80" w:rsidRDefault="007C34B0">
      <w:pPr>
        <w:jc w:val="both"/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jc w:val="both"/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9.</w:t>
      </w:r>
      <w:r w:rsidRPr="00513C80">
        <w:rPr>
          <w:b/>
          <w:bCs/>
          <w:sz w:val="22"/>
          <w:szCs w:val="22"/>
        </w:rPr>
        <w:tab/>
        <w:t>DÁTUM PRVEJ REGISTRÁCIE / PREDĹŽENIA REGISTRÁCIE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  <w:r w:rsidRPr="00513C80">
        <w:rPr>
          <w:sz w:val="22"/>
          <w:szCs w:val="22"/>
        </w:rPr>
        <w:t xml:space="preserve">Dátum prvej registrácie: </w:t>
      </w:r>
      <w:r w:rsidR="00AC4C75">
        <w:rPr>
          <w:sz w:val="22"/>
          <w:szCs w:val="22"/>
        </w:rPr>
        <w:t>22. Júna 2016</w:t>
      </w: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rPr>
          <w:sz w:val="22"/>
          <w:szCs w:val="22"/>
        </w:rPr>
      </w:pPr>
    </w:p>
    <w:p w:rsidR="005406B0" w:rsidRPr="00513C80" w:rsidRDefault="005406B0">
      <w:pPr>
        <w:jc w:val="both"/>
        <w:rPr>
          <w:sz w:val="22"/>
          <w:szCs w:val="22"/>
        </w:rPr>
      </w:pPr>
      <w:r w:rsidRPr="00513C80">
        <w:rPr>
          <w:b/>
          <w:bCs/>
          <w:sz w:val="22"/>
          <w:szCs w:val="22"/>
        </w:rPr>
        <w:t>10.</w:t>
      </w:r>
      <w:r w:rsidRPr="00513C80">
        <w:rPr>
          <w:b/>
          <w:bCs/>
          <w:sz w:val="22"/>
          <w:szCs w:val="22"/>
        </w:rPr>
        <w:tab/>
        <w:t>DÁTUM REVÍZIE TEXTU</w:t>
      </w:r>
    </w:p>
    <w:p w:rsidR="005406B0" w:rsidRPr="00513C80" w:rsidRDefault="005406B0">
      <w:pPr>
        <w:jc w:val="both"/>
        <w:rPr>
          <w:sz w:val="22"/>
          <w:szCs w:val="22"/>
        </w:rPr>
      </w:pPr>
    </w:p>
    <w:p w:rsidR="005406B0" w:rsidRPr="004A7286" w:rsidRDefault="007D47F8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C02D8" w:rsidRPr="001C02D8">
        <w:rPr>
          <w:bCs/>
          <w:sz w:val="22"/>
          <w:szCs w:val="22"/>
        </w:rPr>
        <w:t>05/2018</w:t>
      </w:r>
    </w:p>
    <w:p w:rsidR="005406B0" w:rsidRPr="00513C80" w:rsidRDefault="005406B0"/>
    <w:sectPr w:rsidR="005406B0" w:rsidRPr="00513C80" w:rsidSect="00F833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FEC" w:rsidRDefault="00C21FEC">
      <w:r>
        <w:separator/>
      </w:r>
    </w:p>
  </w:endnote>
  <w:endnote w:type="continuationSeparator" w:id="0">
    <w:p w:rsidR="00C21FEC" w:rsidRDefault="00C21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246" w:rsidRDefault="009F024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6B0" w:rsidRDefault="00482B61">
    <w:pPr>
      <w:pStyle w:val="Pta"/>
      <w:jc w:val="center"/>
    </w:pPr>
    <w:r>
      <w:fldChar w:fldCharType="begin"/>
    </w:r>
    <w:r w:rsidR="0063796A">
      <w:instrText xml:space="preserve"> PAGE </w:instrText>
    </w:r>
    <w:r>
      <w:fldChar w:fldCharType="separate"/>
    </w:r>
    <w:r w:rsidR="00B067A3">
      <w:rPr>
        <w:noProof/>
      </w:rPr>
      <w:t>14</w:t>
    </w:r>
    <w:r>
      <w:rPr>
        <w:noProof/>
      </w:rPr>
      <w:fldChar w:fldCharType="end"/>
    </w:r>
  </w:p>
  <w:p w:rsidR="005406B0" w:rsidRDefault="005406B0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246" w:rsidRDefault="009F02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FEC" w:rsidRDefault="00C21FEC">
      <w:r>
        <w:separator/>
      </w:r>
    </w:p>
  </w:footnote>
  <w:footnote w:type="continuationSeparator" w:id="0">
    <w:p w:rsidR="00C21FEC" w:rsidRDefault="00C21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246" w:rsidRDefault="009F024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246" w:rsidRDefault="00EC3926">
    <w:pPr>
      <w:pStyle w:val="Hlavika"/>
    </w:pPr>
    <w:r>
      <w:rPr>
        <w:sz w:val="18"/>
        <w:szCs w:val="18"/>
      </w:rPr>
      <w:t>Príloha č. 1</w:t>
    </w:r>
    <w:r w:rsidRPr="007C30D2">
      <w:rPr>
        <w:sz w:val="18"/>
        <w:szCs w:val="18"/>
      </w:rPr>
      <w:t>,</w:t>
    </w:r>
    <w:r>
      <w:rPr>
        <w:sz w:val="18"/>
        <w:szCs w:val="18"/>
      </w:rPr>
      <w:t xml:space="preserve"> k notifikácii o zmene, </w:t>
    </w:r>
    <w:r w:rsidRPr="007C30D2">
      <w:rPr>
        <w:sz w:val="18"/>
        <w:szCs w:val="18"/>
      </w:rPr>
      <w:t xml:space="preserve">ev. č.: </w:t>
    </w:r>
    <w:r>
      <w:rPr>
        <w:sz w:val="18"/>
        <w:szCs w:val="18"/>
      </w:rPr>
      <w:t>2017/06589-Z1B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246" w:rsidRPr="007C30D2" w:rsidRDefault="009F0246" w:rsidP="009F0246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zmene, </w:t>
    </w:r>
    <w:r w:rsidRPr="007C30D2">
      <w:rPr>
        <w:sz w:val="18"/>
        <w:szCs w:val="18"/>
      </w:rPr>
      <w:t xml:space="preserve">ev. č.: </w:t>
    </w:r>
    <w:r>
      <w:rPr>
        <w:sz w:val="18"/>
        <w:szCs w:val="18"/>
      </w:rPr>
      <w:t>2017/06589-Z1B</w:t>
    </w:r>
  </w:p>
  <w:p w:rsidR="00051C40" w:rsidRPr="00ED1C0B" w:rsidRDefault="00051C40">
    <w:pPr>
      <w:pStyle w:val="Hlavika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."/>
      <w:lvlJc w:val="left"/>
      <w:pPr>
        <w:tabs>
          <w:tab w:val="num" w:pos="0"/>
        </w:tabs>
        <w:ind w:left="567" w:hanging="567"/>
      </w:pPr>
      <w:rPr>
        <w:rFonts w:hint="default"/>
        <w:b/>
      </w:rPr>
    </w:lvl>
    <w:lvl w:ilvl="1">
      <w:start w:val="1"/>
      <w:numFmt w:val="decimal"/>
      <w:pStyle w:val="Nadpis2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dpis3"/>
      <w:lvlText w:val="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Nadpis5"/>
      <w:lvlText w:val="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adpis6"/>
      <w:lvlText w:val="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.%3.%4.%5.%6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.%4.%5.%6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0000002"/>
    <w:multiLevelType w:val="multilevel"/>
    <w:tmpl w:val="C3AC2AFA"/>
    <w:name w:val="WW8Num2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left="510" w:hanging="51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b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 w:hint="default"/>
        <w:b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 w:hint="default"/>
        <w:b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  <w:b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  <w:b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  <w:b/>
        <w:bCs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Cs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/>
        <w:bCs/>
        <w:sz w:val="22"/>
        <w:szCs w:val="22"/>
        <w:shd w:val="clear" w:color="auto" w:fill="00CC0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/>
        <w:i w:val="0"/>
        <w:sz w:val="22"/>
        <w:szCs w:val="22"/>
      </w:rPr>
    </w:lvl>
  </w:abstractNum>
  <w:abstractNum w:abstractNumId="7">
    <w:nsid w:val="7C470322"/>
    <w:multiLevelType w:val="hybridMultilevel"/>
    <w:tmpl w:val="F5BA9F0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trackRevisions/>
  <w:defaultTabStop w:val="708"/>
  <w:hyphenationZone w:val="425"/>
  <w:defaultTableStyle w:val="Norm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C80"/>
    <w:rsid w:val="00043299"/>
    <w:rsid w:val="00051C40"/>
    <w:rsid w:val="000E05A3"/>
    <w:rsid w:val="00131600"/>
    <w:rsid w:val="00140DF4"/>
    <w:rsid w:val="001541E3"/>
    <w:rsid w:val="00175BD5"/>
    <w:rsid w:val="001A06A4"/>
    <w:rsid w:val="001B2CBC"/>
    <w:rsid w:val="001C02D8"/>
    <w:rsid w:val="001E4CBD"/>
    <w:rsid w:val="001F3D9A"/>
    <w:rsid w:val="00241286"/>
    <w:rsid w:val="00251B95"/>
    <w:rsid w:val="002A4B8C"/>
    <w:rsid w:val="002C0DE2"/>
    <w:rsid w:val="002D6C12"/>
    <w:rsid w:val="002F2BA4"/>
    <w:rsid w:val="00317922"/>
    <w:rsid w:val="0033131C"/>
    <w:rsid w:val="00343951"/>
    <w:rsid w:val="003460C9"/>
    <w:rsid w:val="00382553"/>
    <w:rsid w:val="003A3D0A"/>
    <w:rsid w:val="003D0D08"/>
    <w:rsid w:val="003F298B"/>
    <w:rsid w:val="00406085"/>
    <w:rsid w:val="00441F44"/>
    <w:rsid w:val="00476BA4"/>
    <w:rsid w:val="00482B61"/>
    <w:rsid w:val="004923B0"/>
    <w:rsid w:val="004A38CC"/>
    <w:rsid w:val="004A487C"/>
    <w:rsid w:val="004A7286"/>
    <w:rsid w:val="004E6758"/>
    <w:rsid w:val="004F6FA2"/>
    <w:rsid w:val="005065BD"/>
    <w:rsid w:val="00510345"/>
    <w:rsid w:val="00513C80"/>
    <w:rsid w:val="00514BBD"/>
    <w:rsid w:val="00517A11"/>
    <w:rsid w:val="00522F83"/>
    <w:rsid w:val="0052582B"/>
    <w:rsid w:val="00526536"/>
    <w:rsid w:val="005406B0"/>
    <w:rsid w:val="00565497"/>
    <w:rsid w:val="00575854"/>
    <w:rsid w:val="00581F15"/>
    <w:rsid w:val="005C19C7"/>
    <w:rsid w:val="005F2DA7"/>
    <w:rsid w:val="005F6F13"/>
    <w:rsid w:val="006328F4"/>
    <w:rsid w:val="0063796A"/>
    <w:rsid w:val="00645163"/>
    <w:rsid w:val="006B3B62"/>
    <w:rsid w:val="006B4717"/>
    <w:rsid w:val="006D24F9"/>
    <w:rsid w:val="006E32CC"/>
    <w:rsid w:val="00717EDF"/>
    <w:rsid w:val="0074109C"/>
    <w:rsid w:val="007C34B0"/>
    <w:rsid w:val="007D47F8"/>
    <w:rsid w:val="007D7C07"/>
    <w:rsid w:val="00811943"/>
    <w:rsid w:val="008155DC"/>
    <w:rsid w:val="00845914"/>
    <w:rsid w:val="00871331"/>
    <w:rsid w:val="008857B2"/>
    <w:rsid w:val="008A2685"/>
    <w:rsid w:val="008A26F0"/>
    <w:rsid w:val="008B72D3"/>
    <w:rsid w:val="008E10B0"/>
    <w:rsid w:val="008F551B"/>
    <w:rsid w:val="00927F32"/>
    <w:rsid w:val="009318EF"/>
    <w:rsid w:val="00981B9B"/>
    <w:rsid w:val="009F0246"/>
    <w:rsid w:val="00A26FD2"/>
    <w:rsid w:val="00AA1E6F"/>
    <w:rsid w:val="00AC4C75"/>
    <w:rsid w:val="00AD0F92"/>
    <w:rsid w:val="00AE3ABF"/>
    <w:rsid w:val="00B067A3"/>
    <w:rsid w:val="00B37980"/>
    <w:rsid w:val="00B4321A"/>
    <w:rsid w:val="00B641EC"/>
    <w:rsid w:val="00B741FF"/>
    <w:rsid w:val="00B755B6"/>
    <w:rsid w:val="00B76766"/>
    <w:rsid w:val="00B97570"/>
    <w:rsid w:val="00BC6803"/>
    <w:rsid w:val="00C16482"/>
    <w:rsid w:val="00C21FEC"/>
    <w:rsid w:val="00C4540E"/>
    <w:rsid w:val="00C56A5A"/>
    <w:rsid w:val="00C602DE"/>
    <w:rsid w:val="00C96159"/>
    <w:rsid w:val="00D03B60"/>
    <w:rsid w:val="00D16FC0"/>
    <w:rsid w:val="00D72934"/>
    <w:rsid w:val="00DA102F"/>
    <w:rsid w:val="00DB402C"/>
    <w:rsid w:val="00DE2763"/>
    <w:rsid w:val="00E2049D"/>
    <w:rsid w:val="00E276A8"/>
    <w:rsid w:val="00E31073"/>
    <w:rsid w:val="00E5055A"/>
    <w:rsid w:val="00E71F86"/>
    <w:rsid w:val="00E845A9"/>
    <w:rsid w:val="00E878E9"/>
    <w:rsid w:val="00E91500"/>
    <w:rsid w:val="00EC3926"/>
    <w:rsid w:val="00ED1C0B"/>
    <w:rsid w:val="00F27044"/>
    <w:rsid w:val="00F34ADE"/>
    <w:rsid w:val="00F43096"/>
    <w:rsid w:val="00F603F0"/>
    <w:rsid w:val="00F64D2B"/>
    <w:rsid w:val="00F76FD7"/>
    <w:rsid w:val="00F8332E"/>
    <w:rsid w:val="00FB3B4E"/>
    <w:rsid w:val="00FC0FD1"/>
    <w:rsid w:val="00FE4314"/>
    <w:rsid w:val="00FE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7922"/>
    <w:pPr>
      <w:suppressAutoHyphens/>
    </w:pPr>
    <w:rPr>
      <w:lang w:eastAsia="ar-SA"/>
    </w:rPr>
  </w:style>
  <w:style w:type="paragraph" w:styleId="Nadpis1">
    <w:name w:val="heading 1"/>
    <w:basedOn w:val="Normlny"/>
    <w:next w:val="Normlny"/>
    <w:qFormat/>
    <w:rsid w:val="00317922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317922"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rsid w:val="00317922"/>
    <w:pPr>
      <w:keepNext/>
      <w:numPr>
        <w:ilvl w:val="2"/>
        <w:numId w:val="1"/>
      </w:numPr>
      <w:jc w:val="both"/>
      <w:outlineLvl w:val="2"/>
    </w:pPr>
    <w:rPr>
      <w:i/>
      <w:sz w:val="24"/>
    </w:rPr>
  </w:style>
  <w:style w:type="paragraph" w:styleId="Nadpis4">
    <w:name w:val="heading 4"/>
    <w:basedOn w:val="Normlny"/>
    <w:next w:val="Normlny"/>
    <w:qFormat/>
    <w:rsid w:val="00317922"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317922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rsid w:val="00317922"/>
    <w:pPr>
      <w:keepNext/>
      <w:numPr>
        <w:ilvl w:val="5"/>
        <w:numId w:val="1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317922"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317922"/>
    <w:rPr>
      <w:rFonts w:hint="default"/>
      <w:b/>
    </w:rPr>
  </w:style>
  <w:style w:type="character" w:customStyle="1" w:styleId="WW8Num1z1">
    <w:name w:val="WW8Num1z1"/>
    <w:rsid w:val="00317922"/>
    <w:rPr>
      <w:rFonts w:hint="default"/>
    </w:rPr>
  </w:style>
  <w:style w:type="character" w:customStyle="1" w:styleId="WW8Num2z0">
    <w:name w:val="WW8Num2z0"/>
    <w:rsid w:val="00317922"/>
    <w:rPr>
      <w:rFonts w:hint="default"/>
    </w:rPr>
  </w:style>
  <w:style w:type="character" w:customStyle="1" w:styleId="WW8Num2z2">
    <w:name w:val="WW8Num2z2"/>
    <w:rsid w:val="00317922"/>
  </w:style>
  <w:style w:type="character" w:customStyle="1" w:styleId="WW8Num2z3">
    <w:name w:val="WW8Num2z3"/>
    <w:rsid w:val="00317922"/>
  </w:style>
  <w:style w:type="character" w:customStyle="1" w:styleId="WW8Num2z4">
    <w:name w:val="WW8Num2z4"/>
    <w:rsid w:val="00317922"/>
  </w:style>
  <w:style w:type="character" w:customStyle="1" w:styleId="WW8Num2z5">
    <w:name w:val="WW8Num2z5"/>
    <w:rsid w:val="00317922"/>
  </w:style>
  <w:style w:type="character" w:customStyle="1" w:styleId="WW8Num2z6">
    <w:name w:val="WW8Num2z6"/>
    <w:rsid w:val="00317922"/>
  </w:style>
  <w:style w:type="character" w:customStyle="1" w:styleId="WW8Num2z7">
    <w:name w:val="WW8Num2z7"/>
    <w:rsid w:val="00317922"/>
  </w:style>
  <w:style w:type="character" w:customStyle="1" w:styleId="WW8Num2z8">
    <w:name w:val="WW8Num2z8"/>
    <w:rsid w:val="00317922"/>
  </w:style>
  <w:style w:type="character" w:customStyle="1" w:styleId="WW8Num3z0">
    <w:name w:val="WW8Num3z0"/>
    <w:rsid w:val="00317922"/>
    <w:rPr>
      <w:rFonts w:ascii="Times New Roman" w:hAnsi="Times New Roman" w:cs="Times New Roman" w:hint="default"/>
      <w:b/>
      <w:bCs/>
      <w:i w:val="0"/>
      <w:sz w:val="22"/>
      <w:szCs w:val="22"/>
    </w:rPr>
  </w:style>
  <w:style w:type="character" w:customStyle="1" w:styleId="WW8Num3z1">
    <w:name w:val="WW8Num3z1"/>
    <w:rsid w:val="00317922"/>
    <w:rPr>
      <w:rFonts w:ascii="Courier New" w:hAnsi="Courier New" w:cs="Courier New" w:hint="default"/>
      <w:b/>
      <w:bCs/>
      <w:sz w:val="22"/>
      <w:szCs w:val="22"/>
    </w:rPr>
  </w:style>
  <w:style w:type="character" w:customStyle="1" w:styleId="WW8Num4z0">
    <w:name w:val="WW8Num4z0"/>
    <w:rsid w:val="00317922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sid w:val="00317922"/>
    <w:rPr>
      <w:rFonts w:ascii="Symbol" w:hAnsi="Symbol" w:cs="Symbol" w:hint="default"/>
      <w:iCs/>
      <w:sz w:val="22"/>
      <w:szCs w:val="22"/>
    </w:rPr>
  </w:style>
  <w:style w:type="character" w:customStyle="1" w:styleId="WW8Num6z0">
    <w:name w:val="WW8Num6z0"/>
    <w:rsid w:val="00317922"/>
    <w:rPr>
      <w:rFonts w:ascii="Times New Roman" w:hAnsi="Times New Roman" w:cs="Times New Roman" w:hint="default"/>
      <w:b/>
      <w:bCs/>
      <w:sz w:val="22"/>
      <w:szCs w:val="22"/>
      <w:shd w:val="clear" w:color="auto" w:fill="00CC00"/>
    </w:rPr>
  </w:style>
  <w:style w:type="character" w:customStyle="1" w:styleId="WW8Num7z0">
    <w:name w:val="WW8Num7z0"/>
    <w:rsid w:val="00317922"/>
    <w:rPr>
      <w:rFonts w:ascii="Times New Roman" w:hAnsi="Times New Roman" w:cs="Times New Roman" w:hint="default"/>
      <w:b/>
      <w:i w:val="0"/>
      <w:sz w:val="22"/>
      <w:szCs w:val="22"/>
    </w:rPr>
  </w:style>
  <w:style w:type="character" w:customStyle="1" w:styleId="WW8Num2z1">
    <w:name w:val="WW8Num2z1"/>
    <w:rsid w:val="00317922"/>
  </w:style>
  <w:style w:type="character" w:customStyle="1" w:styleId="WW8Num3z2">
    <w:name w:val="WW8Num3z2"/>
    <w:rsid w:val="00317922"/>
    <w:rPr>
      <w:rFonts w:ascii="Arial" w:hAnsi="Arial" w:cs="Arial" w:hint="default"/>
      <w:b/>
      <w:i w:val="0"/>
      <w:sz w:val="20"/>
      <w:szCs w:val="20"/>
    </w:rPr>
  </w:style>
  <w:style w:type="character" w:customStyle="1" w:styleId="WW8Num3z3">
    <w:name w:val="WW8Num3z3"/>
    <w:rsid w:val="00317922"/>
    <w:rPr>
      <w:rFonts w:hint="default"/>
    </w:rPr>
  </w:style>
  <w:style w:type="character" w:customStyle="1" w:styleId="WW8Num3z4">
    <w:name w:val="WW8Num3z4"/>
    <w:rsid w:val="00317922"/>
  </w:style>
  <w:style w:type="character" w:customStyle="1" w:styleId="WW8Num3z5">
    <w:name w:val="WW8Num3z5"/>
    <w:rsid w:val="00317922"/>
  </w:style>
  <w:style w:type="character" w:customStyle="1" w:styleId="WW8Num3z6">
    <w:name w:val="WW8Num3z6"/>
    <w:rsid w:val="00317922"/>
  </w:style>
  <w:style w:type="character" w:customStyle="1" w:styleId="WW8Num3z7">
    <w:name w:val="WW8Num3z7"/>
    <w:rsid w:val="00317922"/>
  </w:style>
  <w:style w:type="character" w:customStyle="1" w:styleId="WW8Num3z8">
    <w:name w:val="WW8Num3z8"/>
    <w:rsid w:val="00317922"/>
  </w:style>
  <w:style w:type="character" w:customStyle="1" w:styleId="WW8Num4z1">
    <w:name w:val="WW8Num4z1"/>
    <w:rsid w:val="00317922"/>
    <w:rPr>
      <w:rFonts w:ascii="Courier New" w:hAnsi="Courier New" w:cs="Courier New" w:hint="default"/>
      <w:b/>
      <w:bCs/>
      <w:sz w:val="22"/>
      <w:szCs w:val="22"/>
    </w:rPr>
  </w:style>
  <w:style w:type="character" w:customStyle="1" w:styleId="WW8Num5z2">
    <w:name w:val="WW8Num5z2"/>
    <w:rsid w:val="00317922"/>
    <w:rPr>
      <w:rFonts w:ascii="Wingdings" w:hAnsi="Wingdings" w:cs="Wingdings" w:hint="default"/>
    </w:rPr>
  </w:style>
  <w:style w:type="character" w:customStyle="1" w:styleId="WW8Num5z3">
    <w:name w:val="WW8Num5z3"/>
    <w:rsid w:val="00317922"/>
    <w:rPr>
      <w:rFonts w:hint="default"/>
    </w:rPr>
  </w:style>
  <w:style w:type="character" w:customStyle="1" w:styleId="WW8Num6z2">
    <w:name w:val="WW8Num6z2"/>
    <w:rsid w:val="00317922"/>
    <w:rPr>
      <w:rFonts w:ascii="Arial" w:hAnsi="Arial" w:cs="Arial" w:hint="default"/>
      <w:b/>
      <w:i w:val="0"/>
      <w:sz w:val="20"/>
      <w:szCs w:val="20"/>
    </w:rPr>
  </w:style>
  <w:style w:type="character" w:customStyle="1" w:styleId="WW8Num6z3">
    <w:name w:val="WW8Num6z3"/>
    <w:rsid w:val="00317922"/>
    <w:rPr>
      <w:rFonts w:hint="default"/>
    </w:rPr>
  </w:style>
  <w:style w:type="character" w:customStyle="1" w:styleId="WW8Num8z0">
    <w:name w:val="WW8Num8z0"/>
    <w:rsid w:val="00317922"/>
    <w:rPr>
      <w:rFonts w:hint="default"/>
      <w:b/>
      <w:sz w:val="22"/>
      <w:szCs w:val="22"/>
    </w:rPr>
  </w:style>
  <w:style w:type="character" w:customStyle="1" w:styleId="WW8Num9z0">
    <w:name w:val="WW8Num9z0"/>
    <w:rsid w:val="00317922"/>
    <w:rPr>
      <w:rFonts w:ascii="Times New Roman" w:hAnsi="Times New Roman" w:cs="Times New Roman" w:hint="default"/>
      <w:b/>
      <w:bCs/>
      <w:i w:val="0"/>
      <w:sz w:val="22"/>
      <w:szCs w:val="22"/>
    </w:rPr>
  </w:style>
  <w:style w:type="character" w:customStyle="1" w:styleId="WW8Num10z0">
    <w:name w:val="WW8Num10z0"/>
    <w:rsid w:val="00317922"/>
    <w:rPr>
      <w:rFonts w:ascii="Symbol" w:hAnsi="Symbol" w:cs="Symbol" w:hint="default"/>
      <w:sz w:val="22"/>
      <w:szCs w:val="22"/>
    </w:rPr>
  </w:style>
  <w:style w:type="character" w:customStyle="1" w:styleId="Predvolenpsmoodseku3">
    <w:name w:val="Predvolené písmo odseku3"/>
    <w:rsid w:val="00317922"/>
  </w:style>
  <w:style w:type="character" w:customStyle="1" w:styleId="WW8Num1z2">
    <w:name w:val="WW8Num1z2"/>
    <w:rsid w:val="00317922"/>
  </w:style>
  <w:style w:type="character" w:customStyle="1" w:styleId="WW8Num1z3">
    <w:name w:val="WW8Num1z3"/>
    <w:rsid w:val="00317922"/>
  </w:style>
  <w:style w:type="character" w:customStyle="1" w:styleId="WW8Num1z4">
    <w:name w:val="WW8Num1z4"/>
    <w:rsid w:val="00317922"/>
  </w:style>
  <w:style w:type="character" w:customStyle="1" w:styleId="WW8Num1z5">
    <w:name w:val="WW8Num1z5"/>
    <w:rsid w:val="00317922"/>
  </w:style>
  <w:style w:type="character" w:customStyle="1" w:styleId="WW8Num1z6">
    <w:name w:val="WW8Num1z6"/>
    <w:rsid w:val="00317922"/>
  </w:style>
  <w:style w:type="character" w:customStyle="1" w:styleId="WW8Num1z7">
    <w:name w:val="WW8Num1z7"/>
    <w:rsid w:val="00317922"/>
  </w:style>
  <w:style w:type="character" w:customStyle="1" w:styleId="WW8Num1z8">
    <w:name w:val="WW8Num1z8"/>
    <w:rsid w:val="00317922"/>
  </w:style>
  <w:style w:type="character" w:customStyle="1" w:styleId="WW8Num8z1">
    <w:name w:val="WW8Num8z1"/>
    <w:rsid w:val="00317922"/>
    <w:rPr>
      <w:rFonts w:hint="default"/>
    </w:rPr>
  </w:style>
  <w:style w:type="character" w:customStyle="1" w:styleId="WW8Num8z2">
    <w:name w:val="WW8Num8z2"/>
    <w:rsid w:val="00317922"/>
    <w:rPr>
      <w:rFonts w:ascii="Wingdings" w:hAnsi="Wingdings" w:cs="Wingdings" w:hint="default"/>
    </w:rPr>
  </w:style>
  <w:style w:type="character" w:customStyle="1" w:styleId="WW8Num9z1">
    <w:name w:val="WW8Num9z1"/>
    <w:rsid w:val="00317922"/>
    <w:rPr>
      <w:rFonts w:ascii="Courier New" w:hAnsi="Courier New" w:cs="Courier New" w:hint="default"/>
    </w:rPr>
  </w:style>
  <w:style w:type="character" w:customStyle="1" w:styleId="WW8Num9z2">
    <w:name w:val="WW8Num9z2"/>
    <w:rsid w:val="00317922"/>
    <w:rPr>
      <w:rFonts w:ascii="Arial" w:hAnsi="Arial" w:cs="Arial" w:hint="default"/>
      <w:b/>
      <w:i w:val="0"/>
      <w:sz w:val="20"/>
      <w:szCs w:val="20"/>
    </w:rPr>
  </w:style>
  <w:style w:type="character" w:customStyle="1" w:styleId="WW8Num10z1">
    <w:name w:val="WW8Num10z1"/>
    <w:rsid w:val="00317922"/>
    <w:rPr>
      <w:rFonts w:ascii="Courier New" w:hAnsi="Courier New" w:cs="Courier New" w:hint="default"/>
    </w:rPr>
  </w:style>
  <w:style w:type="character" w:customStyle="1" w:styleId="WW8Num10z2">
    <w:name w:val="WW8Num10z2"/>
    <w:rsid w:val="00317922"/>
    <w:rPr>
      <w:rFonts w:ascii="Wingdings" w:hAnsi="Wingdings" w:cs="Wingdings" w:hint="default"/>
    </w:rPr>
  </w:style>
  <w:style w:type="character" w:customStyle="1" w:styleId="WW8Num10z3">
    <w:name w:val="WW8Num10z3"/>
    <w:rsid w:val="00317922"/>
    <w:rPr>
      <w:rFonts w:ascii="Symbol" w:hAnsi="Symbol" w:cs="Symbol" w:hint="default"/>
    </w:rPr>
  </w:style>
  <w:style w:type="character" w:customStyle="1" w:styleId="WW8Num11z0">
    <w:name w:val="WW8Num11z0"/>
    <w:rsid w:val="00317922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1z1">
    <w:name w:val="WW8Num11z1"/>
    <w:rsid w:val="00317922"/>
    <w:rPr>
      <w:rFonts w:ascii="Courier New" w:hAnsi="Courier New" w:cs="Courier New" w:hint="default"/>
    </w:rPr>
  </w:style>
  <w:style w:type="character" w:customStyle="1" w:styleId="WW8Num11z2">
    <w:name w:val="WW8Num11z2"/>
    <w:rsid w:val="00317922"/>
    <w:rPr>
      <w:rFonts w:ascii="Wingdings" w:hAnsi="Wingdings" w:cs="Wingdings" w:hint="default"/>
    </w:rPr>
  </w:style>
  <w:style w:type="character" w:customStyle="1" w:styleId="WW8Num12z0">
    <w:name w:val="WW8Num12z0"/>
    <w:rsid w:val="00317922"/>
    <w:rPr>
      <w:rFonts w:ascii="Symbol" w:hAnsi="Symbol" w:cs="Symbol" w:hint="default"/>
      <w:sz w:val="22"/>
      <w:szCs w:val="22"/>
      <w:shd w:val="clear" w:color="auto" w:fill="00FF00"/>
    </w:rPr>
  </w:style>
  <w:style w:type="character" w:customStyle="1" w:styleId="WW8Num12z1">
    <w:name w:val="WW8Num12z1"/>
    <w:rsid w:val="00317922"/>
    <w:rPr>
      <w:rFonts w:ascii="Courier New" w:hAnsi="Courier New" w:cs="Courier New" w:hint="default"/>
    </w:rPr>
  </w:style>
  <w:style w:type="character" w:customStyle="1" w:styleId="WW8Num12z2">
    <w:name w:val="WW8Num12z2"/>
    <w:rsid w:val="00317922"/>
    <w:rPr>
      <w:rFonts w:ascii="Wingdings" w:hAnsi="Wingdings" w:cs="Wingdings" w:hint="default"/>
    </w:rPr>
  </w:style>
  <w:style w:type="character" w:customStyle="1" w:styleId="Predvolenpsmoodseku2">
    <w:name w:val="Predvolené písmo odseku2"/>
    <w:rsid w:val="00317922"/>
  </w:style>
  <w:style w:type="character" w:customStyle="1" w:styleId="WW8Num4z2">
    <w:name w:val="WW8Num4z2"/>
    <w:rsid w:val="00317922"/>
    <w:rPr>
      <w:rFonts w:ascii="Wingdings" w:hAnsi="Wingdings" w:cs="Wingdings" w:hint="default"/>
    </w:rPr>
  </w:style>
  <w:style w:type="character" w:customStyle="1" w:styleId="WW8Num4z3">
    <w:name w:val="WW8Num4z3"/>
    <w:rsid w:val="00317922"/>
    <w:rPr>
      <w:rFonts w:ascii="Symbol" w:hAnsi="Symbol" w:cs="Symbol" w:hint="default"/>
    </w:rPr>
  </w:style>
  <w:style w:type="character" w:customStyle="1" w:styleId="WW8Num5z1">
    <w:name w:val="WW8Num5z1"/>
    <w:rsid w:val="00317922"/>
    <w:rPr>
      <w:rFonts w:ascii="Courier New" w:hAnsi="Courier New" w:cs="Courier New" w:hint="default"/>
    </w:rPr>
  </w:style>
  <w:style w:type="character" w:customStyle="1" w:styleId="WW8Num6z1">
    <w:name w:val="WW8Num6z1"/>
    <w:rsid w:val="00317922"/>
    <w:rPr>
      <w:rFonts w:hint="default"/>
    </w:rPr>
  </w:style>
  <w:style w:type="character" w:customStyle="1" w:styleId="WW8Num7z2">
    <w:name w:val="WW8Num7z2"/>
    <w:rsid w:val="00317922"/>
    <w:rPr>
      <w:rFonts w:ascii="Arial" w:hAnsi="Arial" w:cs="Arial" w:hint="default"/>
      <w:b/>
      <w:i w:val="0"/>
      <w:sz w:val="20"/>
      <w:szCs w:val="20"/>
    </w:rPr>
  </w:style>
  <w:style w:type="character" w:customStyle="1" w:styleId="WW8Num7z3">
    <w:name w:val="WW8Num7z3"/>
    <w:rsid w:val="00317922"/>
    <w:rPr>
      <w:rFonts w:hint="default"/>
    </w:rPr>
  </w:style>
  <w:style w:type="character" w:customStyle="1" w:styleId="WW8Num9z3">
    <w:name w:val="WW8Num9z3"/>
    <w:rsid w:val="00317922"/>
    <w:rPr>
      <w:rFonts w:hint="default"/>
    </w:rPr>
  </w:style>
  <w:style w:type="character" w:customStyle="1" w:styleId="WW8Num11z3">
    <w:name w:val="WW8Num11z3"/>
    <w:rsid w:val="00317922"/>
    <w:rPr>
      <w:rFonts w:ascii="Symbol" w:hAnsi="Symbol" w:cs="Symbol" w:hint="default"/>
    </w:rPr>
  </w:style>
  <w:style w:type="character" w:customStyle="1" w:styleId="Predvolenpsmoodseku1">
    <w:name w:val="Predvolené písmo odseku1"/>
    <w:rsid w:val="00317922"/>
  </w:style>
  <w:style w:type="character" w:styleId="slostrany">
    <w:name w:val="page number"/>
    <w:basedOn w:val="Predvolenpsmoodseku1"/>
    <w:rsid w:val="00317922"/>
  </w:style>
  <w:style w:type="character" w:styleId="Hypertextovprepojenie">
    <w:name w:val="Hyperlink"/>
    <w:rsid w:val="00317922"/>
    <w:rPr>
      <w:color w:val="0000FF"/>
      <w:u w:val="single"/>
    </w:rPr>
  </w:style>
  <w:style w:type="character" w:customStyle="1" w:styleId="hps">
    <w:name w:val="hps"/>
    <w:basedOn w:val="Predvolenpsmoodseku1"/>
    <w:rsid w:val="00317922"/>
  </w:style>
  <w:style w:type="character" w:customStyle="1" w:styleId="shorttext">
    <w:name w:val="short_text"/>
    <w:basedOn w:val="Predvolenpsmoodseku2"/>
    <w:rsid w:val="00317922"/>
  </w:style>
  <w:style w:type="character" w:customStyle="1" w:styleId="PtaChar">
    <w:name w:val="Päta Char"/>
    <w:basedOn w:val="Predvolenpsmoodseku2"/>
    <w:rsid w:val="00317922"/>
  </w:style>
  <w:style w:type="character" w:customStyle="1" w:styleId="Symbolyproslovn">
    <w:name w:val="Symboly pro číslování"/>
    <w:rsid w:val="00317922"/>
  </w:style>
  <w:style w:type="character" w:customStyle="1" w:styleId="Odrky">
    <w:name w:val="Odrážky"/>
    <w:rsid w:val="00317922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rsid w:val="003179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rsid w:val="00317922"/>
    <w:pPr>
      <w:jc w:val="both"/>
    </w:pPr>
    <w:rPr>
      <w:sz w:val="24"/>
    </w:rPr>
  </w:style>
  <w:style w:type="paragraph" w:styleId="Zoznam">
    <w:name w:val="List"/>
    <w:basedOn w:val="Zkladntext"/>
    <w:rsid w:val="00317922"/>
    <w:rPr>
      <w:rFonts w:cs="Mangal"/>
    </w:rPr>
  </w:style>
  <w:style w:type="paragraph" w:customStyle="1" w:styleId="Popisek">
    <w:name w:val="Popisek"/>
    <w:basedOn w:val="Normlny"/>
    <w:rsid w:val="003179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rsid w:val="00317922"/>
    <w:pPr>
      <w:suppressLineNumbers/>
    </w:pPr>
    <w:rPr>
      <w:rFonts w:cs="Mangal"/>
    </w:rPr>
  </w:style>
  <w:style w:type="paragraph" w:styleId="Pta">
    <w:name w:val="footer"/>
    <w:basedOn w:val="Normlny"/>
    <w:rsid w:val="00317922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rsid w:val="00317922"/>
    <w:pPr>
      <w:spacing w:before="120"/>
      <w:jc w:val="both"/>
    </w:pPr>
    <w:rPr>
      <w:rFonts w:ascii="Arial" w:hAnsi="Arial" w:cs="Arial"/>
    </w:rPr>
  </w:style>
  <w:style w:type="paragraph" w:styleId="Textbubliny">
    <w:name w:val="Balloon Text"/>
    <w:basedOn w:val="Normlny"/>
    <w:rsid w:val="00317922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y"/>
    <w:rsid w:val="00317922"/>
    <w:pPr>
      <w:spacing w:before="120"/>
      <w:ind w:left="426"/>
      <w:jc w:val="both"/>
    </w:pPr>
    <w:rPr>
      <w:rFonts w:ascii="Arial" w:hAnsi="Arial" w:cs="Arial"/>
      <w:sz w:val="24"/>
      <w:lang w:val="cs-CZ"/>
    </w:rPr>
  </w:style>
  <w:style w:type="paragraph" w:customStyle="1" w:styleId="Text">
    <w:name w:val="Text"/>
    <w:basedOn w:val="Normlny"/>
    <w:next w:val="Odstavec"/>
    <w:rsid w:val="00317922"/>
    <w:pPr>
      <w:ind w:left="426"/>
      <w:jc w:val="both"/>
    </w:pPr>
    <w:rPr>
      <w:sz w:val="24"/>
      <w:lang w:val="cs-CZ"/>
    </w:rPr>
  </w:style>
  <w:style w:type="paragraph" w:customStyle="1" w:styleId="Obsahtabulky">
    <w:name w:val="Obsah tabulky"/>
    <w:basedOn w:val="Normlny"/>
    <w:rsid w:val="00317922"/>
    <w:pPr>
      <w:suppressLineNumbers/>
    </w:pPr>
  </w:style>
  <w:style w:type="paragraph" w:customStyle="1" w:styleId="Nadpistabulky">
    <w:name w:val="Nadpis tabulky"/>
    <w:basedOn w:val="Obsahtabulky"/>
    <w:rsid w:val="00317922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317922"/>
  </w:style>
  <w:style w:type="paragraph" w:styleId="Hlavika">
    <w:name w:val="header"/>
    <w:basedOn w:val="Normlny"/>
    <w:link w:val="HlavikaChar"/>
    <w:rsid w:val="00317922"/>
    <w:pPr>
      <w:suppressLineNumbers/>
      <w:tabs>
        <w:tab w:val="center" w:pos="4819"/>
        <w:tab w:val="right" w:pos="9638"/>
      </w:tabs>
    </w:pPr>
  </w:style>
  <w:style w:type="character" w:styleId="Odkaznakomentr">
    <w:name w:val="annotation reference"/>
    <w:uiPriority w:val="99"/>
    <w:semiHidden/>
    <w:unhideWhenUsed/>
    <w:rsid w:val="008155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55DC"/>
  </w:style>
  <w:style w:type="character" w:customStyle="1" w:styleId="TextkomentraChar">
    <w:name w:val="Text komentára Char"/>
    <w:link w:val="Textkomentra"/>
    <w:uiPriority w:val="99"/>
    <w:semiHidden/>
    <w:rsid w:val="008155DC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55D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155DC"/>
    <w:rPr>
      <w:b/>
      <w:bCs/>
      <w:lang w:eastAsia="ar-SA"/>
    </w:rPr>
  </w:style>
  <w:style w:type="character" w:customStyle="1" w:styleId="HlavikaChar">
    <w:name w:val="Hlavička Char"/>
    <w:basedOn w:val="Predvolenpsmoodseku"/>
    <w:link w:val="Hlavika"/>
    <w:rsid w:val="009F0246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b/>
      <w:bCs/>
      <w:i w:val="0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  <w:b/>
      <w:bCs/>
      <w:sz w:val="22"/>
      <w:szCs w:val="22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ascii="Symbol" w:hAnsi="Symbol" w:cs="Symbol" w:hint="default"/>
      <w:iCs/>
      <w:sz w:val="22"/>
      <w:szCs w:val="22"/>
    </w:rPr>
  </w:style>
  <w:style w:type="character" w:customStyle="1" w:styleId="WW8Num6z0">
    <w:name w:val="WW8Num6z0"/>
    <w:rPr>
      <w:rFonts w:ascii="Times New Roman" w:hAnsi="Times New Roman" w:cs="Times New Roman" w:hint="default"/>
      <w:b/>
      <w:bCs/>
      <w:sz w:val="22"/>
      <w:szCs w:val="22"/>
      <w:shd w:val="clear" w:color="auto" w:fill="00CC00"/>
    </w:rPr>
  </w:style>
  <w:style w:type="character" w:customStyle="1" w:styleId="WW8Num7z0">
    <w:name w:val="WW8Num7z0"/>
    <w:rPr>
      <w:rFonts w:ascii="Times New Roman" w:hAnsi="Times New Roman" w:cs="Times New Roman" w:hint="default"/>
      <w:b/>
      <w:i w:val="0"/>
      <w:sz w:val="22"/>
      <w:szCs w:val="22"/>
    </w:rPr>
  </w:style>
  <w:style w:type="character" w:customStyle="1" w:styleId="WW8Num2z1">
    <w:name w:val="WW8Num2z1"/>
  </w:style>
  <w:style w:type="character" w:customStyle="1" w:styleId="WW8Num3z2">
    <w:name w:val="WW8Num3z2"/>
    <w:rPr>
      <w:rFonts w:ascii="Arial" w:hAnsi="Arial" w:cs="Arial" w:hint="default"/>
      <w:b/>
      <w:i w:val="0"/>
      <w:sz w:val="20"/>
      <w:szCs w:val="20"/>
    </w:rPr>
  </w:style>
  <w:style w:type="character" w:customStyle="1" w:styleId="WW8Num3z3">
    <w:name w:val="WW8Num3z3"/>
    <w:rPr>
      <w:rFonts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  <w:b/>
      <w:bCs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hint="default"/>
    </w:rPr>
  </w:style>
  <w:style w:type="character" w:customStyle="1" w:styleId="WW8Num6z2">
    <w:name w:val="WW8Num6z2"/>
    <w:rPr>
      <w:rFonts w:ascii="Arial" w:hAnsi="Arial" w:cs="Arial" w:hint="default"/>
      <w:b/>
      <w:i w:val="0"/>
      <w:sz w:val="20"/>
      <w:szCs w:val="20"/>
    </w:rPr>
  </w:style>
  <w:style w:type="character" w:customStyle="1" w:styleId="WW8Num6z3">
    <w:name w:val="WW8Num6z3"/>
    <w:rPr>
      <w:rFonts w:hint="default"/>
    </w:rPr>
  </w:style>
  <w:style w:type="character" w:customStyle="1" w:styleId="WW8Num8z0">
    <w:name w:val="WW8Num8z0"/>
    <w:rPr>
      <w:rFonts w:hint="default"/>
      <w:b/>
      <w:sz w:val="22"/>
      <w:szCs w:val="22"/>
    </w:rPr>
  </w:style>
  <w:style w:type="character" w:customStyle="1" w:styleId="WW8Num9z0">
    <w:name w:val="WW8Num9z0"/>
    <w:rPr>
      <w:rFonts w:ascii="Times New Roman" w:hAnsi="Times New Roman" w:cs="Times New Roman" w:hint="default"/>
      <w:b/>
      <w:bCs/>
      <w:i w:val="0"/>
      <w:sz w:val="22"/>
      <w:szCs w:val="22"/>
    </w:rPr>
  </w:style>
  <w:style w:type="character" w:customStyle="1" w:styleId="WW8Num10z0">
    <w:name w:val="WW8Num10z0"/>
    <w:rPr>
      <w:rFonts w:ascii="Symbol" w:hAnsi="Symbol" w:cs="Symbol" w:hint="default"/>
      <w:sz w:val="22"/>
      <w:szCs w:val="22"/>
    </w:rPr>
  </w:style>
  <w:style w:type="character" w:customStyle="1" w:styleId="Predvolenpsmoodseku3">
    <w:name w:val="Predvolené písmo odseku3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Arial" w:hAnsi="Arial" w:cs="Arial" w:hint="default"/>
      <w:b/>
      <w:i w:val="0"/>
      <w:sz w:val="20"/>
      <w:szCs w:val="2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  <w:sz w:val="22"/>
      <w:szCs w:val="22"/>
      <w:shd w:val="clear" w:color="auto" w:fill="00FF0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Predvolenpsmoodseku2">
    <w:name w:val="Predvolené písmo odseku2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7z2">
    <w:name w:val="WW8Num7z2"/>
    <w:rPr>
      <w:rFonts w:ascii="Arial" w:hAnsi="Arial" w:cs="Arial" w:hint="default"/>
      <w:b/>
      <w:i w:val="0"/>
      <w:sz w:val="20"/>
      <w:szCs w:val="20"/>
    </w:rPr>
  </w:style>
  <w:style w:type="character" w:customStyle="1" w:styleId="WW8Num7z3">
    <w:name w:val="WW8Num7z3"/>
    <w:rPr>
      <w:rFonts w:hint="default"/>
    </w:rPr>
  </w:style>
  <w:style w:type="character" w:customStyle="1" w:styleId="WW8Num9z3">
    <w:name w:val="WW8Num9z3"/>
    <w:rPr>
      <w:rFonts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styleId="PageNumber">
    <w:name w:val="page number"/>
    <w:basedOn w:val="Predvolenpsmoodseku1"/>
  </w:style>
  <w:style w:type="character" w:styleId="Hyperlink">
    <w:name w:val="Hyperlink"/>
    <w:rPr>
      <w:color w:val="0000FF"/>
      <w:u w:val="single"/>
    </w:rPr>
  </w:style>
  <w:style w:type="character" w:customStyle="1" w:styleId="hps">
    <w:name w:val="hps"/>
    <w:basedOn w:val="Predvolenpsmoodseku1"/>
  </w:style>
  <w:style w:type="character" w:customStyle="1" w:styleId="shorttext">
    <w:name w:val="short_text"/>
    <w:basedOn w:val="Predvolenpsmoodseku2"/>
  </w:style>
  <w:style w:type="character" w:customStyle="1" w:styleId="PtaChar">
    <w:name w:val="Päta Char"/>
    <w:basedOn w:val="Predvolenpsmoodseku2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al"/>
    <w:pPr>
      <w:spacing w:before="120"/>
      <w:jc w:val="both"/>
    </w:pPr>
    <w:rPr>
      <w:rFonts w:ascii="Arial" w:hAnsi="Arial" w:cs="Ari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al"/>
    <w:pPr>
      <w:spacing w:before="120"/>
      <w:ind w:left="426"/>
      <w:jc w:val="both"/>
    </w:pPr>
    <w:rPr>
      <w:rFonts w:ascii="Arial" w:hAnsi="Arial" w:cs="Arial"/>
      <w:sz w:val="24"/>
      <w:lang w:val="cs-CZ"/>
    </w:rPr>
  </w:style>
  <w:style w:type="paragraph" w:customStyle="1" w:styleId="Text">
    <w:name w:val="Text"/>
    <w:basedOn w:val="Normal"/>
    <w:next w:val="Odstavec"/>
    <w:pPr>
      <w:ind w:left="426"/>
      <w:jc w:val="both"/>
    </w:pPr>
    <w:rPr>
      <w:sz w:val="24"/>
      <w:lang w:val="cs-CZ"/>
    </w:rPr>
  </w:style>
  <w:style w:type="paragraph" w:customStyle="1" w:styleId="Obsahtabulky">
    <w:name w:val="Obsah tabulky"/>
    <w:basedOn w:val="Normal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BodyText"/>
  </w:style>
  <w:style w:type="paragraph" w:styleId="Header">
    <w:name w:val="header"/>
    <w:basedOn w:val="Normal"/>
    <w:link w:val="HeaderChar"/>
    <w:pPr>
      <w:suppressLineNumbers/>
      <w:tabs>
        <w:tab w:val="center" w:pos="4819"/>
        <w:tab w:val="right" w:pos="9638"/>
      </w:tabs>
    </w:pPr>
  </w:style>
  <w:style w:type="character" w:styleId="CommentReference">
    <w:name w:val="annotation reference"/>
    <w:uiPriority w:val="99"/>
    <w:semiHidden/>
    <w:unhideWhenUsed/>
    <w:rsid w:val="00815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5DC"/>
  </w:style>
  <w:style w:type="character" w:customStyle="1" w:styleId="CommentTextChar">
    <w:name w:val="Comment Text Char"/>
    <w:link w:val="CommentText"/>
    <w:uiPriority w:val="99"/>
    <w:semiHidden/>
    <w:rsid w:val="008155D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5D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55DC"/>
    <w:rPr>
      <w:b/>
      <w:bCs/>
      <w:lang w:eastAsia="ar-SA"/>
    </w:rPr>
  </w:style>
  <w:style w:type="character" w:customStyle="1" w:styleId="HeaderChar">
    <w:name w:val="Header Char"/>
    <w:basedOn w:val="DefaultParagraphFont"/>
    <w:link w:val="Header"/>
    <w:rsid w:val="009F0246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AA8CA-1984-4920-BDD6-482C79F5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14</Pages>
  <Words>4738</Words>
  <Characters>27009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Príbalová informácia pre pacienta</vt:lpstr>
      <vt:lpstr>Príbalová informácia pre pacienta</vt:lpstr>
    </vt:vector>
  </TitlesOfParts>
  <Company>Valeant</Company>
  <LinksUpToDate>false</LinksUpToDate>
  <CharactersWithSpaces>31684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Príbalová informácia pre pacienta</dc:title>
  <cp:lastModifiedBy> Jana Repiščáková</cp:lastModifiedBy>
  <cp:revision>40</cp:revision>
  <cp:lastPrinted>2009-12-03T12:48:00Z</cp:lastPrinted>
  <dcterms:created xsi:type="dcterms:W3CDTF">2017-12-07T06:18:00Z</dcterms:created>
  <dcterms:modified xsi:type="dcterms:W3CDTF">2018-04-30T12:16:00Z</dcterms:modified>
</cp:coreProperties>
</file>