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2A3" w:rsidRPr="00A17653" w:rsidRDefault="00EC32A3" w:rsidP="00A17653">
      <w:pPr>
        <w:widowControl w:val="0"/>
        <w:spacing w:after="0" w:line="240" w:lineRule="auto"/>
        <w:jc w:val="center"/>
        <w:rPr>
          <w:rFonts w:ascii="Times New Roman" w:hAnsi="Times New Roman"/>
          <w:b/>
        </w:rPr>
      </w:pPr>
      <w:bookmarkStart w:id="0" w:name="_GoBack"/>
      <w:bookmarkEnd w:id="0"/>
      <w:r w:rsidRPr="00A17653">
        <w:rPr>
          <w:rFonts w:ascii="Times New Roman" w:hAnsi="Times New Roman"/>
          <w:b/>
        </w:rPr>
        <w:t>SÚHRN CHARAKTERISTICKÝCH VLASTNOSTÍ LIEKU</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tabs>
          <w:tab w:val="left" w:pos="6195"/>
        </w:tabs>
        <w:spacing w:after="0" w:line="240" w:lineRule="auto"/>
        <w:rPr>
          <w:rFonts w:ascii="Times New Roman" w:hAnsi="Times New Roman"/>
        </w:rPr>
      </w:pPr>
    </w:p>
    <w:p w:rsidR="00EC32A3" w:rsidRPr="00A17653" w:rsidRDefault="00EC32A3" w:rsidP="00A17653">
      <w:pPr>
        <w:pStyle w:val="Odsekzoznamu"/>
        <w:widowControl w:val="0"/>
        <w:numPr>
          <w:ilvl w:val="0"/>
          <w:numId w:val="3"/>
        </w:numPr>
        <w:spacing w:after="0" w:line="240" w:lineRule="auto"/>
        <w:ind w:left="567" w:hanging="567"/>
        <w:rPr>
          <w:rFonts w:ascii="Times New Roman" w:hAnsi="Times New Roman"/>
          <w:b/>
        </w:rPr>
      </w:pPr>
      <w:r w:rsidRPr="00A17653">
        <w:rPr>
          <w:rFonts w:ascii="Times New Roman" w:hAnsi="Times New Roman"/>
          <w:b/>
        </w:rPr>
        <w:t>NÁZOV LIEKU</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Imatinib Glenmark 100 mg filmom obalené tablety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pStyle w:val="Odsekzoznamu"/>
        <w:widowControl w:val="0"/>
        <w:numPr>
          <w:ilvl w:val="0"/>
          <w:numId w:val="3"/>
        </w:numPr>
        <w:spacing w:after="0" w:line="240" w:lineRule="auto"/>
        <w:ind w:left="567" w:hanging="567"/>
        <w:rPr>
          <w:rFonts w:ascii="Times New Roman" w:hAnsi="Times New Roman"/>
          <w:b/>
        </w:rPr>
      </w:pPr>
      <w:r w:rsidRPr="00A17653">
        <w:rPr>
          <w:rFonts w:ascii="Times New Roman" w:hAnsi="Times New Roman"/>
          <w:b/>
        </w:rPr>
        <w:t>KVALITATÍVNE A KVANTITATÍVNE ZLOŽENIE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Každá filmom obalená tableta obsahuje 100 mg imatinibu (ako mesilát</w:t>
      </w:r>
      <w:r w:rsidR="00593958" w:rsidRPr="00A17653">
        <w:rPr>
          <w:rFonts w:ascii="Times New Roman" w:hAnsi="Times New Roman"/>
        </w:rPr>
        <w:t>u</w:t>
      </w:r>
      <w:r w:rsidRPr="00A17653">
        <w:rPr>
          <w:rFonts w:ascii="Times New Roman" w:hAnsi="Times New Roman"/>
        </w:rPr>
        <w: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Úplný zoznam pomocných látok, pozri časť 6.1.</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pStyle w:val="Odsekzoznamu"/>
        <w:widowControl w:val="0"/>
        <w:numPr>
          <w:ilvl w:val="0"/>
          <w:numId w:val="3"/>
        </w:numPr>
        <w:spacing w:after="0" w:line="240" w:lineRule="auto"/>
        <w:ind w:left="567" w:hanging="567"/>
        <w:rPr>
          <w:rFonts w:ascii="Times New Roman" w:hAnsi="Times New Roman"/>
          <w:b/>
        </w:rPr>
      </w:pPr>
      <w:r w:rsidRPr="00A17653">
        <w:rPr>
          <w:rFonts w:ascii="Times New Roman" w:hAnsi="Times New Roman"/>
          <w:b/>
        </w:rPr>
        <w:t>LIEKOVÁ FORMA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Filmom obalená tableta.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Tmavožlté až hnedo-oranžové, okrúhle, filmom obalené tablety s priemerom 10,1 mm (± 5 %) s deliacou ryhou na jednej strane a „100“ na strane druhej. Tableta sa môže rozdeliť na rovnaké dávky.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pStyle w:val="Odsekzoznamu"/>
        <w:widowControl w:val="0"/>
        <w:numPr>
          <w:ilvl w:val="0"/>
          <w:numId w:val="3"/>
        </w:numPr>
        <w:spacing w:after="0" w:line="240" w:lineRule="auto"/>
        <w:ind w:left="567" w:hanging="567"/>
        <w:rPr>
          <w:rFonts w:ascii="Times New Roman" w:hAnsi="Times New Roman"/>
        </w:rPr>
      </w:pPr>
      <w:r w:rsidRPr="00A17653">
        <w:rPr>
          <w:rFonts w:ascii="Times New Roman" w:hAnsi="Times New Roman"/>
          <w:b/>
        </w:rPr>
        <w:t>KLINICKÉ ÚDAJE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4.1</w:t>
      </w:r>
      <w:r w:rsidRPr="00A17653">
        <w:rPr>
          <w:rFonts w:ascii="Times New Roman" w:hAnsi="Times New Roman"/>
          <w:b/>
        </w:rPr>
        <w:tab/>
        <w:t>Terapeutické indikácie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Imatinib Glenmark je indikovaný na liečbu</w:t>
      </w:r>
    </w:p>
    <w:p w:rsidR="00EC32A3" w:rsidRPr="00A17653" w:rsidRDefault="006E384D" w:rsidP="00A17653">
      <w:pPr>
        <w:pStyle w:val="Odsekzoznamu"/>
        <w:widowControl w:val="0"/>
        <w:numPr>
          <w:ilvl w:val="0"/>
          <w:numId w:val="4"/>
        </w:numPr>
        <w:spacing w:after="0" w:line="240" w:lineRule="auto"/>
        <w:ind w:left="567" w:hanging="567"/>
        <w:rPr>
          <w:rFonts w:ascii="Times New Roman" w:hAnsi="Times New Roman"/>
        </w:rPr>
      </w:pPr>
      <w:r w:rsidRPr="00A17653">
        <w:rPr>
          <w:rFonts w:ascii="Times New Roman" w:hAnsi="Times New Roman"/>
        </w:rPr>
        <w:t xml:space="preserve">dospelých a </w:t>
      </w:r>
      <w:r w:rsidR="00EC32A3" w:rsidRPr="00A17653">
        <w:rPr>
          <w:rFonts w:ascii="Times New Roman" w:hAnsi="Times New Roman"/>
        </w:rPr>
        <w:t>pediatrických pacientov s novodiagnostikovanou chronickou myelocytovou leukémiou (CML) s pozitívnym (Ph+) chromozómom Philadelphia (bcr-abl), u ktorých sa transplantácia kostnej drene nepovažuje za liečbu 1. línie,</w:t>
      </w:r>
    </w:p>
    <w:p w:rsidR="00EC32A3" w:rsidRPr="00A17653" w:rsidRDefault="006E384D" w:rsidP="00A17653">
      <w:pPr>
        <w:pStyle w:val="Odsekzoznamu"/>
        <w:widowControl w:val="0"/>
        <w:numPr>
          <w:ilvl w:val="0"/>
          <w:numId w:val="4"/>
        </w:numPr>
        <w:spacing w:after="0" w:line="240" w:lineRule="auto"/>
        <w:ind w:left="567" w:hanging="567"/>
        <w:rPr>
          <w:rFonts w:ascii="Times New Roman" w:hAnsi="Times New Roman"/>
        </w:rPr>
      </w:pPr>
      <w:r w:rsidRPr="00A17653">
        <w:rPr>
          <w:rFonts w:ascii="Times New Roman" w:hAnsi="Times New Roman"/>
        </w:rPr>
        <w:t xml:space="preserve">dospelých a </w:t>
      </w:r>
      <w:r w:rsidR="00EC32A3" w:rsidRPr="00A17653">
        <w:rPr>
          <w:rFonts w:ascii="Times New Roman" w:hAnsi="Times New Roman"/>
        </w:rPr>
        <w:t>pediatrických pacientov s Ph+ CML v chronickej fáze po zlyhaní liečby interferónom alfa alebo v akcelerovanej fáze alebo blastickej kríze,</w:t>
      </w:r>
    </w:p>
    <w:p w:rsidR="00EC32A3" w:rsidRPr="00A17653" w:rsidRDefault="00EC32A3" w:rsidP="00A17653">
      <w:pPr>
        <w:pStyle w:val="Odsekzoznamu"/>
        <w:widowControl w:val="0"/>
        <w:numPr>
          <w:ilvl w:val="0"/>
          <w:numId w:val="4"/>
        </w:numPr>
        <w:spacing w:after="0" w:line="240" w:lineRule="auto"/>
        <w:ind w:left="567" w:hanging="567"/>
        <w:rPr>
          <w:rFonts w:ascii="Times New Roman" w:hAnsi="Times New Roman"/>
        </w:rPr>
      </w:pPr>
      <w:r w:rsidRPr="00A17653">
        <w:rPr>
          <w:rFonts w:ascii="Times New Roman" w:hAnsi="Times New Roman"/>
        </w:rPr>
        <w:t>dospelých</w:t>
      </w:r>
      <w:r w:rsidR="005B6E9A" w:rsidRPr="00A17653">
        <w:rPr>
          <w:rFonts w:ascii="Times New Roman" w:hAnsi="Times New Roman"/>
        </w:rPr>
        <w:t xml:space="preserve"> a pediatrických</w:t>
      </w:r>
      <w:r w:rsidRPr="00A17653">
        <w:rPr>
          <w:rFonts w:ascii="Times New Roman" w:hAnsi="Times New Roman"/>
        </w:rPr>
        <w:t xml:space="preserve"> pacientov s novodiagnostikovanou akútnou lymfoblastickou leukémiou s pozitívnym chromozómom Philadelphia (Ph+ ALL) v spojení s chemoterapiou,</w:t>
      </w:r>
    </w:p>
    <w:p w:rsidR="00EC32A3" w:rsidRPr="00A17653" w:rsidRDefault="00EC32A3" w:rsidP="00A17653">
      <w:pPr>
        <w:pStyle w:val="Odsekzoznamu"/>
        <w:widowControl w:val="0"/>
        <w:numPr>
          <w:ilvl w:val="0"/>
          <w:numId w:val="4"/>
        </w:numPr>
        <w:spacing w:after="0" w:line="240" w:lineRule="auto"/>
        <w:ind w:left="567" w:hanging="567"/>
        <w:rPr>
          <w:rFonts w:ascii="Times New Roman" w:hAnsi="Times New Roman"/>
        </w:rPr>
      </w:pPr>
      <w:r w:rsidRPr="00A17653">
        <w:rPr>
          <w:rFonts w:ascii="Times New Roman" w:hAnsi="Times New Roman"/>
        </w:rPr>
        <w:t>dospelých pacientov pri relapse alebo refraktérnej Ph+ ALL ako monoterapia,</w:t>
      </w:r>
    </w:p>
    <w:p w:rsidR="00EC32A3" w:rsidRPr="00A17653" w:rsidRDefault="00EC32A3" w:rsidP="00A17653">
      <w:pPr>
        <w:pStyle w:val="Odsekzoznamu"/>
        <w:widowControl w:val="0"/>
        <w:numPr>
          <w:ilvl w:val="0"/>
          <w:numId w:val="4"/>
        </w:numPr>
        <w:spacing w:after="0" w:line="240" w:lineRule="auto"/>
        <w:ind w:left="567" w:hanging="567"/>
        <w:rPr>
          <w:rFonts w:ascii="Times New Roman" w:hAnsi="Times New Roman"/>
        </w:rPr>
      </w:pPr>
      <w:r w:rsidRPr="00A17653">
        <w:rPr>
          <w:rFonts w:ascii="Times New Roman" w:hAnsi="Times New Roman"/>
        </w:rPr>
        <w:t>dospelých pacientov s myelodysplastickými/myeloproliferatívnymi ochoreniami (MDS/MPD) spojenými s preskupeniami génu receptora doštičkového rastového faktora (PDGFR),</w:t>
      </w:r>
    </w:p>
    <w:p w:rsidR="00EC32A3" w:rsidRPr="00A17653" w:rsidRDefault="00EC32A3" w:rsidP="00A17653">
      <w:pPr>
        <w:pStyle w:val="Odsekzoznamu"/>
        <w:widowControl w:val="0"/>
        <w:numPr>
          <w:ilvl w:val="0"/>
          <w:numId w:val="4"/>
        </w:numPr>
        <w:spacing w:after="0" w:line="240" w:lineRule="auto"/>
        <w:ind w:left="567" w:hanging="567"/>
        <w:rPr>
          <w:rFonts w:ascii="Times New Roman" w:hAnsi="Times New Roman"/>
        </w:rPr>
      </w:pPr>
      <w:r w:rsidRPr="00A17653">
        <w:rPr>
          <w:rFonts w:ascii="Times New Roman" w:hAnsi="Times New Roman"/>
        </w:rPr>
        <w:t xml:space="preserve">dospelých pacientov s pokročilým hypereozinofilným syndrómom (HES) a/alebo chronickou </w:t>
      </w:r>
    </w:p>
    <w:p w:rsidR="00EC32A3" w:rsidRPr="00A17653" w:rsidRDefault="00EC32A3" w:rsidP="00A17653">
      <w:pPr>
        <w:pStyle w:val="Odsekzoznamu"/>
        <w:widowControl w:val="0"/>
        <w:spacing w:after="0" w:line="240" w:lineRule="auto"/>
        <w:ind w:left="567"/>
        <w:rPr>
          <w:rFonts w:ascii="Times New Roman" w:hAnsi="Times New Roman"/>
        </w:rPr>
      </w:pPr>
      <w:r w:rsidRPr="00A17653">
        <w:rPr>
          <w:rFonts w:ascii="Times New Roman" w:hAnsi="Times New Roman"/>
        </w:rPr>
        <w:t>eozinofilovou leukémiou (CEL) s preskupením FIP1L1-PDGFR.</w:t>
      </w:r>
    </w:p>
    <w:p w:rsidR="00D637B4" w:rsidRPr="00A17653" w:rsidRDefault="00D637B4"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Účinok imatinibu na výsledok transplantácie kostnej drene sa nestanovil.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Imatinib Glenmark je indikovaný na</w:t>
      </w:r>
    </w:p>
    <w:p w:rsidR="00EC32A3" w:rsidRPr="00A17653" w:rsidRDefault="00EC32A3" w:rsidP="00A17653">
      <w:pPr>
        <w:pStyle w:val="Odsekzoznamu"/>
        <w:widowControl w:val="0"/>
        <w:numPr>
          <w:ilvl w:val="0"/>
          <w:numId w:val="9"/>
        </w:numPr>
        <w:spacing w:after="0" w:line="240" w:lineRule="auto"/>
        <w:ind w:left="567" w:hanging="567"/>
        <w:rPr>
          <w:rFonts w:ascii="Times New Roman" w:hAnsi="Times New Roman"/>
        </w:rPr>
      </w:pPr>
      <w:r w:rsidRPr="00A17653">
        <w:rPr>
          <w:rFonts w:ascii="Times New Roman" w:hAnsi="Times New Roman"/>
        </w:rPr>
        <w:t xml:space="preserve">liečbu dospelých pacientov s neresekovateľným dermatofibrosarcoma protuberans (DFSP) </w:t>
      </w:r>
    </w:p>
    <w:p w:rsidR="00EC32A3" w:rsidRPr="00A17653" w:rsidRDefault="00EC32A3" w:rsidP="00A17653">
      <w:pPr>
        <w:widowControl w:val="0"/>
        <w:spacing w:after="0" w:line="240" w:lineRule="auto"/>
        <w:ind w:firstLine="567"/>
        <w:rPr>
          <w:rFonts w:ascii="Times New Roman" w:hAnsi="Times New Roman"/>
        </w:rPr>
      </w:pPr>
      <w:r w:rsidRPr="00A17653">
        <w:rPr>
          <w:rFonts w:ascii="Times New Roman" w:hAnsi="Times New Roman"/>
        </w:rPr>
        <w:t xml:space="preserve">a dospelých pacientov s rekurentným a/alebo metastazujúcim DFSP, u ktorých nie je možný </w:t>
      </w:r>
    </w:p>
    <w:p w:rsidR="00EC32A3" w:rsidRPr="00A17653" w:rsidRDefault="00EC32A3" w:rsidP="00A17653">
      <w:pPr>
        <w:widowControl w:val="0"/>
        <w:spacing w:after="0" w:line="240" w:lineRule="auto"/>
        <w:ind w:firstLine="567"/>
        <w:rPr>
          <w:rFonts w:ascii="Times New Roman" w:hAnsi="Times New Roman"/>
        </w:rPr>
      </w:pPr>
      <w:r w:rsidRPr="00A17653">
        <w:rPr>
          <w:rFonts w:ascii="Times New Roman" w:hAnsi="Times New Roman"/>
        </w:rPr>
        <w:t>chirurgický zákrok.</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dospelých a pediatrických pacientov sa účinnosť imatinibu zakladá na stupni celkovej hematologickej a cytogenetickej odpovede a prežívaní bez progresie pri CML, na stupni hematologickej a cytogenetickej odpovede pri Ph+ ALL, MDS/MPD, na stupni hematologickej odpovede pri HES/CEL a DFSP. Skúsenosti s imatinibom u pacientov s MDS/MPD spojenými s preskupeniami génu PDGFR sú veľmi obmedzené (pozri časť 5.1). Okrem pri novodiagnostikovanej chronickej fáze CML nie sú kontrolované klinické skúšania, ktoré by preukázali klinickú prospešnosť </w:t>
      </w:r>
      <w:r w:rsidRPr="00A17653">
        <w:rPr>
          <w:rFonts w:ascii="Times New Roman" w:hAnsi="Times New Roman"/>
        </w:rPr>
        <w:lastRenderedPageBreak/>
        <w:t>alebo predĺžené prežívanie pri týchto ochoreniach.</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4.2</w:t>
      </w:r>
      <w:r w:rsidRPr="00A17653">
        <w:rPr>
          <w:rFonts w:ascii="Times New Roman" w:hAnsi="Times New Roman"/>
          <w:b/>
        </w:rPr>
        <w:tab/>
        <w:t>Dávkovanie a spôsob podávania</w:t>
      </w:r>
    </w:p>
    <w:p w:rsidR="00EC32A3" w:rsidRPr="00A17653" w:rsidRDefault="00EC32A3" w:rsidP="00A17653">
      <w:pPr>
        <w:widowControl w:val="0"/>
        <w:spacing w:after="0" w:line="240" w:lineRule="auto"/>
        <w:rPr>
          <w:rFonts w:ascii="Times New Roman" w:hAnsi="Times New Roman"/>
        </w:rPr>
      </w:pPr>
    </w:p>
    <w:p w:rsidR="005D78C1" w:rsidRPr="00A17653" w:rsidRDefault="005D78C1" w:rsidP="00A17653">
      <w:pPr>
        <w:widowControl w:val="0"/>
        <w:spacing w:after="0" w:line="240" w:lineRule="auto"/>
        <w:rPr>
          <w:rFonts w:ascii="Times New Roman" w:hAnsi="Times New Roman"/>
          <w:u w:val="single"/>
        </w:rPr>
      </w:pPr>
      <w:r w:rsidRPr="00A17653">
        <w:rPr>
          <w:rFonts w:ascii="Times New Roman" w:hAnsi="Times New Roman"/>
          <w:u w:val="single"/>
        </w:rPr>
        <w:t>Dávkovanie</w:t>
      </w:r>
    </w:p>
    <w:p w:rsidR="005D78C1" w:rsidRPr="00A17653" w:rsidRDefault="005D78C1"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Liečbu má začať lekár, ktorý má skúsenosti s liečbou pacientov s hematologickými malignitami a malígnymi sarkómami.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Pre dávky 400 mg a vyššie (pozrite odporúčania pre dávkovanie uvedené nižšie) je dostupná 400 mg tableta.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Predpísaná dávka sa podáva perorálne s jedlom a veľkým pohárom vody, aby sa minimalizovalo riziko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podráždenia gastrointestinálneho traktu. Dávky 400 mg alebo 600 mg sa majú podávať jedenkrát denne, zatiaľ čo dávka 800 mg sa má podávať ako 400 mg dvakrát denne, ráno a večer.</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Pacientom, ktorí nie sú schopní prehltnúť filmom obalené tablety, možno tabletu rozpustiť v pohári </w:t>
      </w:r>
      <w:r w:rsidR="001149BD" w:rsidRPr="00A17653">
        <w:rPr>
          <w:rFonts w:ascii="Times New Roman" w:hAnsi="Times New Roman"/>
        </w:rPr>
        <w:t xml:space="preserve">obyčajnej </w:t>
      </w:r>
      <w:r w:rsidRPr="00A17653">
        <w:rPr>
          <w:rFonts w:ascii="Times New Roman" w:hAnsi="Times New Roman"/>
        </w:rPr>
        <w:t>vody alebo jablkovej šťavy. Požadované množstvo tabliet sa má rozpustiť v zodpovedajúcom množstve nápoja (približne 50 ml pre 100 mg tabletu, 200 ml pre 400 mg tabletu) a zamiešať lyžicou. Suspenzia sa má po úplnom rozpadnutí tablety (tabliet) ihneď podať.</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Dávkovanie pri CML u dospelých pacientov</w:t>
      </w:r>
    </w:p>
    <w:p w:rsidR="006E384D" w:rsidRPr="00A17653" w:rsidRDefault="006E384D"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 xml:space="preserve">U dospelých pacientov v chronickej fáze CML je odporúčaná dávka </w:t>
      </w:r>
      <w:r w:rsidRPr="00A17653">
        <w:rPr>
          <w:rFonts w:ascii="Times New Roman" w:eastAsia="TimesNewRoman" w:hAnsi="Times New Roman"/>
          <w:color w:val="231F20"/>
          <w:lang w:eastAsia="sk-SK"/>
        </w:rPr>
        <w:t xml:space="preserve">Imatinibu Glenmark </w:t>
      </w:r>
      <w:r w:rsidRPr="00A17653">
        <w:rPr>
          <w:rFonts w:ascii="Times New Roman" w:eastAsia="TimesNewRoman" w:hAnsi="Times New Roman"/>
          <w:color w:val="000000"/>
          <w:lang w:eastAsia="sk-SK"/>
        </w:rPr>
        <w:t>400 mg/deň.</w:t>
      </w:r>
    </w:p>
    <w:p w:rsidR="006E384D" w:rsidRPr="00A17653" w:rsidRDefault="006E384D"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Chronickú fázu CML definuje splnenie všetkých nasledujúcich kritérií: blasty v krvi a kostnej dreni</w:t>
      </w:r>
    </w:p>
    <w:p w:rsidR="006E384D" w:rsidRPr="00A17653" w:rsidRDefault="006E384D"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&lt; 15 %, bazofily v periférnej krvi &lt; 20 %, trombocyty &gt; 100 x 109/l.</w:t>
      </w:r>
    </w:p>
    <w:p w:rsidR="006E384D" w:rsidRPr="00A17653" w:rsidRDefault="006E384D" w:rsidP="00A17653">
      <w:pPr>
        <w:autoSpaceDE w:val="0"/>
        <w:autoSpaceDN w:val="0"/>
        <w:adjustRightInd w:val="0"/>
        <w:spacing w:after="0" w:line="240" w:lineRule="auto"/>
        <w:rPr>
          <w:rFonts w:ascii="Times New Roman" w:eastAsia="TimesNewRoman" w:hAnsi="Times New Roman"/>
          <w:color w:val="231F20"/>
          <w:lang w:eastAsia="sk-SK"/>
        </w:rPr>
      </w:pPr>
    </w:p>
    <w:p w:rsidR="006E384D" w:rsidRPr="00A17653" w:rsidRDefault="006E384D"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U dospelých pacientov v akcelerovanej fáze je odporúčaná dávka Imatinibu Glenmark 600 mg/deň.</w:t>
      </w:r>
    </w:p>
    <w:p w:rsidR="006E384D" w:rsidRPr="00A17653" w:rsidRDefault="006E384D"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Akcelerovanú fázu definuje splnenie ktoréhokoľvek z nasledujúcich kritérií: blasty v krvi alebo</w:t>
      </w:r>
    </w:p>
    <w:p w:rsidR="006E384D" w:rsidRPr="00A17653" w:rsidRDefault="006E384D"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 xml:space="preserve">kostnej drení </w:t>
      </w:r>
      <w:r w:rsidRPr="00A17653">
        <w:rPr>
          <w:rFonts w:ascii="Times New Roman" w:eastAsia="TimesNewRoman" w:hAnsi="Times New Roman"/>
          <w:color w:val="000000"/>
          <w:lang w:eastAsia="sk-SK"/>
        </w:rPr>
        <w:t xml:space="preserve">≥ </w:t>
      </w:r>
      <w:r w:rsidRPr="00A17653">
        <w:rPr>
          <w:rFonts w:ascii="Times New Roman" w:eastAsia="TimesNewRoman" w:hAnsi="Times New Roman"/>
          <w:color w:val="231F20"/>
          <w:lang w:eastAsia="sk-SK"/>
        </w:rPr>
        <w:t xml:space="preserve">15 %, ale &lt; 30 %, blasty + promyelocyty v krvi alebo kostnej dreni </w:t>
      </w:r>
      <w:r w:rsidRPr="00A17653">
        <w:rPr>
          <w:rFonts w:ascii="Times New Roman" w:eastAsia="TimesNewRoman" w:hAnsi="Times New Roman"/>
          <w:color w:val="000000"/>
          <w:lang w:eastAsia="sk-SK"/>
        </w:rPr>
        <w:t xml:space="preserve">≥ </w:t>
      </w:r>
      <w:r w:rsidRPr="00A17653">
        <w:rPr>
          <w:rFonts w:ascii="Times New Roman" w:eastAsia="TimesNewRoman" w:hAnsi="Times New Roman"/>
          <w:color w:val="231F20"/>
          <w:lang w:eastAsia="sk-SK"/>
        </w:rPr>
        <w:t>30 % (ak blasty</w:t>
      </w:r>
    </w:p>
    <w:p w:rsidR="006E384D" w:rsidRPr="00A17653" w:rsidRDefault="006E384D" w:rsidP="00A17653">
      <w:pPr>
        <w:widowControl w:val="0"/>
        <w:spacing w:after="0" w:line="240" w:lineRule="auto"/>
        <w:rPr>
          <w:rFonts w:ascii="Times New Roman" w:hAnsi="Times New Roman"/>
        </w:rPr>
      </w:pPr>
      <w:r w:rsidRPr="00A17653">
        <w:rPr>
          <w:rFonts w:ascii="Times New Roman" w:eastAsia="TimesNewRoman" w:hAnsi="Times New Roman"/>
          <w:color w:val="231F20"/>
          <w:lang w:eastAsia="sk-SK"/>
        </w:rPr>
        <w:t xml:space="preserve">&lt; 30 %), bazofily v periférnej krvi </w:t>
      </w:r>
      <w:r w:rsidRPr="00A17653">
        <w:rPr>
          <w:rFonts w:ascii="Times New Roman" w:eastAsia="TimesNewRoman" w:hAnsi="Times New Roman"/>
          <w:color w:val="000000"/>
          <w:lang w:eastAsia="sk-SK"/>
        </w:rPr>
        <w:t xml:space="preserve">≥ </w:t>
      </w:r>
      <w:r w:rsidRPr="00A17653">
        <w:rPr>
          <w:rFonts w:ascii="Times New Roman" w:eastAsia="TimesNewRoman" w:hAnsi="Times New Roman"/>
          <w:color w:val="231F20"/>
          <w:lang w:eastAsia="sk-SK"/>
        </w:rPr>
        <w:t>20 %, trombocyty &lt; 100 x 109/l bez súvislosti s liečbou.</w:t>
      </w:r>
    </w:p>
    <w:p w:rsidR="006E384D" w:rsidRPr="00A17653" w:rsidRDefault="006E384D"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 dospelých pacientov v blastickej kríze je odporúčaná dávka Imatinibu Glenmark 600 mg/deň. Blastickú krízu definujú blasty v krvi alebo kostnej dreni ≥ 30 % alebo extramedulárne postihnutie iné ako hepatosplenomegália.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Trvanie liečby: </w:t>
      </w:r>
      <w:r w:rsidR="00AC4101" w:rsidRPr="00A17653">
        <w:rPr>
          <w:rFonts w:ascii="Times New Roman" w:hAnsi="Times New Roman"/>
        </w:rPr>
        <w:t xml:space="preserve">V klinických skúšaniach sa v liečbe imatinibom pokračovalo až do progresie ochorenia. </w:t>
      </w:r>
      <w:r w:rsidRPr="00A17653">
        <w:rPr>
          <w:rFonts w:ascii="Times New Roman" w:hAnsi="Times New Roman"/>
        </w:rPr>
        <w:t>Účinok ukončenia liečby po dosiahnutí kompletnej cytogenetickej odpovede sa nesledoval.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 zvýšení dávky </w:t>
      </w:r>
      <w:r w:rsidR="00981197" w:rsidRPr="00A17653">
        <w:rPr>
          <w:rFonts w:ascii="Times New Roman" w:hAnsi="Times New Roman"/>
        </w:rPr>
        <w:t xml:space="preserve">zo 400 mg na 600 mg alebo 800 mg u pacientov v chronickej fáze ochorenia alebo </w:t>
      </w:r>
      <w:r w:rsidRPr="00A17653">
        <w:rPr>
          <w:rFonts w:ascii="Times New Roman" w:hAnsi="Times New Roman"/>
        </w:rPr>
        <w:t xml:space="preserve">zo 600 mg na maximum 800 mg (podávaných ako 400 mg dvakrát denne) u pacientov </w:t>
      </w:r>
      <w:r w:rsidR="00981197" w:rsidRPr="00A17653">
        <w:rPr>
          <w:rFonts w:ascii="Times New Roman" w:hAnsi="Times New Roman"/>
        </w:rPr>
        <w:t xml:space="preserve">v akcelerovanej fáze alebo </w:t>
      </w:r>
      <w:r w:rsidRPr="00A17653">
        <w:rPr>
          <w:rFonts w:ascii="Times New Roman" w:hAnsi="Times New Roman"/>
        </w:rPr>
        <w:t>v</w:t>
      </w:r>
      <w:r w:rsidR="00CD0C78" w:rsidRPr="00A17653">
        <w:rPr>
          <w:rFonts w:ascii="Times New Roman" w:hAnsi="Times New Roman"/>
        </w:rPr>
        <w:t xml:space="preserve"> </w:t>
      </w:r>
      <w:r w:rsidRPr="00A17653">
        <w:rPr>
          <w:rFonts w:ascii="Times New Roman" w:hAnsi="Times New Roman"/>
        </w:rPr>
        <w:t xml:space="preserve">blastickej kríze možno uvažovať, pokiaľ nevzniknú závažné nežiaduce reakcie na liek a nie je prítomná závažná neutropénia alebo trombocytopénia nesúvisiaca s leukémiou, za nasledujúcich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okolností: progresia ochorenia (kedykoľvek); nedosiahnutie uspokojivej hematologickej odpovede po najmenej 3 mesiacoch liečby; nedosiahnutie cytogenetickej odpovede po 12 mesiacoch liečby; alebo vymiznutie predtým dosiahnutej hematologickej a/alebo cytogenetickej odpovede. Po zvýšení dávky sa musia pacienti dôsledne sledovať pre možnosť zvýšeného výskytu nežiaducich reakcií pri vyšších dávkovaniach.</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Dávkovanie pri CML u</w:t>
      </w:r>
      <w:r w:rsidR="00E50BB6" w:rsidRPr="00A17653">
        <w:rPr>
          <w:rFonts w:ascii="Times New Roman" w:hAnsi="Times New Roman"/>
          <w:u w:val="single"/>
        </w:rPr>
        <w:t> pediatrických pacientov</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Dávkovanie u detí sa má stanoviť podľa plochy povrchu tela (mg/m</w:t>
      </w:r>
      <w:r w:rsidRPr="00A17653">
        <w:rPr>
          <w:rFonts w:ascii="Times New Roman" w:hAnsi="Times New Roman"/>
          <w:vertAlign w:val="superscript"/>
        </w:rPr>
        <w:t>2</w:t>
      </w:r>
      <w:r w:rsidRPr="00A17653">
        <w:rPr>
          <w:rFonts w:ascii="Times New Roman" w:hAnsi="Times New Roman"/>
        </w:rPr>
        <w:t>). Odporúča sa denná dávka 340 mg/m</w:t>
      </w:r>
      <w:r w:rsidRPr="00A17653">
        <w:rPr>
          <w:rFonts w:ascii="Times New Roman" w:hAnsi="Times New Roman"/>
          <w:vertAlign w:val="superscript"/>
        </w:rPr>
        <w:t>2</w:t>
      </w:r>
      <w:r w:rsidRPr="00A17653">
        <w:rPr>
          <w:rFonts w:ascii="Times New Roman" w:hAnsi="Times New Roman"/>
        </w:rPr>
        <w:t xml:space="preserve"> u detí v chronickej fáze CML a v pokročilých fázach CML (nemá sa prekročiť celková dávka 800 mg). Liek možno podávať buď raz denne, alebo dennú dávku možno rozdeliť na dve podania – jedno ráno a jedno večer. Odporúčania pre dávkovanie sa v súčasnosti zakladajú na malom počte pediatrických pacientov (pozri časti 5.1 a 5.2).</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Nie sú skúsenosti s liečbou detí mladších ako 2 roky.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O zvýšení dávky z 340 mg/m</w:t>
      </w:r>
      <w:r w:rsidRPr="00A17653">
        <w:rPr>
          <w:rFonts w:ascii="Times New Roman" w:hAnsi="Times New Roman"/>
          <w:vertAlign w:val="superscript"/>
        </w:rPr>
        <w:t>2</w:t>
      </w:r>
      <w:r w:rsidRPr="00A17653">
        <w:rPr>
          <w:rFonts w:ascii="Times New Roman" w:hAnsi="Times New Roman"/>
        </w:rPr>
        <w:t xml:space="preserve"> denne na 570 mg/m</w:t>
      </w:r>
      <w:r w:rsidRPr="00A17653">
        <w:rPr>
          <w:rFonts w:ascii="Times New Roman" w:hAnsi="Times New Roman"/>
          <w:vertAlign w:val="superscript"/>
        </w:rPr>
        <w:t>2</w:t>
      </w:r>
      <w:r w:rsidRPr="00A17653">
        <w:rPr>
          <w:rFonts w:ascii="Times New Roman" w:hAnsi="Times New Roman"/>
        </w:rPr>
        <w:t xml:space="preserve"> denne (nemá sa prekročiť celková dávka 800 mg)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detí možno uvažovať, pokiaľ nevzniknú závažné nežiaduce reakcie na liek a nie je prítomná závažná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neutropénia alebo trombocytopénia nesúvisiaca s leukémiou, za nasledujúcich okolností: progresia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ochorenia (kedykoľvek); nedosiahnutie uspokojivej hematologickej odpovede po najmenej 3 mesiacoch liečby; nedosiahnutie cytogenetickej odpovede po 12 mesiacoch liečby; alebo vymiznutie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predtým dosiahnutej hematologickej a/alebo cytogenetickej odpovede. Po zvýšení dávky sa musia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pacienti dôsledne sledovať pre možnosť zvýšeného výskytu nežiaducich reakcií pri vyšších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dávkovaniach.</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Dávkovanie pri Ph+ ALL</w:t>
      </w:r>
      <w:r w:rsidR="001149BD" w:rsidRPr="00A17653">
        <w:rPr>
          <w:rFonts w:ascii="Times New Roman" w:hAnsi="Times New Roman"/>
          <w:u w:val="single"/>
        </w:rPr>
        <w:t xml:space="preserve"> u dospelých pacie</w:t>
      </w:r>
      <w:r w:rsidR="0028233B" w:rsidRPr="00A17653">
        <w:rPr>
          <w:rFonts w:ascii="Times New Roman" w:hAnsi="Times New Roman"/>
          <w:u w:val="single"/>
        </w:rPr>
        <w:t>n</w:t>
      </w:r>
      <w:r w:rsidR="001149BD" w:rsidRPr="00A17653">
        <w:rPr>
          <w:rFonts w:ascii="Times New Roman" w:hAnsi="Times New Roman"/>
          <w:u w:val="single"/>
        </w:rPr>
        <w:t>tov</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 dospelých pacientov s Ph+ ALL je odporúčaná dávka Imatinibu Glenmark 600 mg/deň. Hematológovia, ktorí sú odborníkmi na vedenie liečby tohto ochorenia, majú dohliadať na liečbu počas všetkých fáz poskytovania starostlivosti.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Režim liečby: podľa existujúcich údajov sa preukázala účinnosť a bezpečnosť imatinibu pri podávaní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dávke 600 mg/deň v kombinácii s chemoterapiou v indukčnej, konsolidačnej a udržiavacej fáze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chemoterapie (pozri časť 5.1) u dospelých pacientov s novodiagnostikovanou Ph+ ALL. Trvanie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liečby Imatinibom Glenmark môže byť rôzne v závislosti od zvoleného programu liečby, ale dlhšie expozície Imatinibu Glenmark spravidla priniesli lepšie výsledky.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 dospelých pacientov s relapsom alebo refraktérnou Ph+ ALL je monoterapia Imatinibom Glenmark v dávke 600 mg/deň bezpečná, účinná a môže sa podávať až do nástupu progresie ochorenia.</w:t>
      </w:r>
    </w:p>
    <w:p w:rsidR="00AC4101" w:rsidRPr="00A17653" w:rsidRDefault="00AC4101" w:rsidP="00A17653">
      <w:pPr>
        <w:widowControl w:val="0"/>
        <w:spacing w:after="0" w:line="240" w:lineRule="auto"/>
        <w:rPr>
          <w:rFonts w:ascii="Times New Roman" w:hAnsi="Times New Roman"/>
        </w:rPr>
      </w:pPr>
    </w:p>
    <w:p w:rsidR="00AC4101" w:rsidRPr="00A17653" w:rsidRDefault="00AC4101" w:rsidP="00A17653">
      <w:pPr>
        <w:widowControl w:val="0"/>
        <w:spacing w:after="0" w:line="240" w:lineRule="auto"/>
        <w:rPr>
          <w:rFonts w:ascii="Times New Roman" w:hAnsi="Times New Roman"/>
          <w:u w:val="single"/>
        </w:rPr>
      </w:pPr>
      <w:r w:rsidRPr="00A17653">
        <w:rPr>
          <w:rFonts w:ascii="Times New Roman" w:hAnsi="Times New Roman"/>
          <w:u w:val="single"/>
        </w:rPr>
        <w:t xml:space="preserve">Dávkovanie pri Ph+ ALL u </w:t>
      </w:r>
      <w:r w:rsidR="00E50BB6" w:rsidRPr="00A17653">
        <w:rPr>
          <w:rFonts w:ascii="Times New Roman" w:hAnsi="Times New Roman"/>
          <w:u w:val="single"/>
        </w:rPr>
        <w:t>pediatrických pacientov</w:t>
      </w:r>
    </w:p>
    <w:p w:rsidR="00AC4101" w:rsidRPr="00A17653" w:rsidRDefault="00AC4101" w:rsidP="00A17653">
      <w:pPr>
        <w:widowControl w:val="0"/>
        <w:spacing w:after="0" w:line="240" w:lineRule="auto"/>
        <w:rPr>
          <w:rFonts w:ascii="Times New Roman" w:hAnsi="Times New Roman"/>
        </w:rPr>
      </w:pPr>
      <w:r w:rsidRPr="00A17653">
        <w:rPr>
          <w:rFonts w:ascii="Times New Roman" w:hAnsi="Times New Roman"/>
        </w:rPr>
        <w:t>Dávkovanie u detí sa má stanoviť podľa plochy povrchu tela (mg/m</w:t>
      </w:r>
      <w:r w:rsidRPr="00A17653">
        <w:rPr>
          <w:rFonts w:ascii="Times New Roman" w:hAnsi="Times New Roman"/>
          <w:vertAlign w:val="superscript"/>
        </w:rPr>
        <w:t>2</w:t>
      </w:r>
      <w:r w:rsidRPr="00A17653">
        <w:rPr>
          <w:rFonts w:ascii="Times New Roman" w:hAnsi="Times New Roman"/>
        </w:rPr>
        <w:t xml:space="preserve">). U detí s Ph+ ALL sa odporúča </w:t>
      </w:r>
    </w:p>
    <w:p w:rsidR="00EC32A3" w:rsidRPr="00A17653" w:rsidRDefault="00AC4101" w:rsidP="00A17653">
      <w:pPr>
        <w:widowControl w:val="0"/>
        <w:spacing w:after="0" w:line="240" w:lineRule="auto"/>
        <w:rPr>
          <w:rFonts w:ascii="Times New Roman" w:hAnsi="Times New Roman"/>
        </w:rPr>
      </w:pPr>
      <w:r w:rsidRPr="00A17653">
        <w:rPr>
          <w:rFonts w:ascii="Times New Roman" w:hAnsi="Times New Roman"/>
        </w:rPr>
        <w:t>denná dávka 340 mg/m</w:t>
      </w:r>
      <w:r w:rsidRPr="00A17653">
        <w:rPr>
          <w:rFonts w:ascii="Times New Roman" w:hAnsi="Times New Roman"/>
          <w:vertAlign w:val="superscript"/>
        </w:rPr>
        <w:t>2</w:t>
      </w:r>
      <w:r w:rsidRPr="00A17653">
        <w:rPr>
          <w:rFonts w:ascii="Times New Roman" w:hAnsi="Times New Roman"/>
        </w:rPr>
        <w:t xml:space="preserve"> (nesmie byť prekročená celková dávka 600 mg).</w:t>
      </w:r>
      <w:r w:rsidRPr="00A17653">
        <w:rPr>
          <w:rFonts w:ascii="Times New Roman" w:hAnsi="Times New Roman"/>
        </w:rPr>
        <w:cr/>
      </w: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Dávkovanie pri MDS/MPD</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 dospelých pacientov s MDS/MPD je odporúčaná dávka Imatinibu Glenmark 400 mg/deň.</w:t>
      </w:r>
    </w:p>
    <w:p w:rsidR="00AC4101" w:rsidRPr="00A17653" w:rsidRDefault="00AC4101"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Trvanie liečby: v jedinom zatiaľ vykonanom klinickom skúšaní sa v liečbe imatinibom pokračovalo až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do progresie ochorenia (pozri časť 5.1). V čase analýzy bol medián trvania liečby 47 mesiacov (24 dní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60 mesiacov).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Dávkovanie pri HES/CEL</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 dospelých pacientov s HES/CEL je odporúčaná dávka Imatinibu Glenmark 100 mg/deň.</w:t>
      </w:r>
    </w:p>
    <w:p w:rsidR="00AC4101" w:rsidRPr="00A17653" w:rsidRDefault="00AC4101"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Zvýšenie dávky zo 100 mg na 400 mg možno uvážiť, pokiaľ sa nevyskytli nežiaduce reakcie na liek,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ak hodnotenia preukážu nedostatočnú odpoveď na liečbu.</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 liečbe sa má pokračovať dovtedy, kým je pre pacienta prínosom.</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Dávkovanie pri DFSP</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dospelých pacientov s DFSP je odporúčaná dávka </w:t>
      </w:r>
      <w:r w:rsidR="00D637B4" w:rsidRPr="00A17653">
        <w:rPr>
          <w:rFonts w:ascii="Times New Roman" w:hAnsi="Times New Roman"/>
        </w:rPr>
        <w:t xml:space="preserve">800 mg/deň </w:t>
      </w:r>
      <w:r w:rsidRPr="00A17653">
        <w:rPr>
          <w:rFonts w:ascii="Times New Roman" w:hAnsi="Times New Roman"/>
        </w:rPr>
        <w:t>Imatinibu Glenmark.</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Úprava dávkovania pre nežiaduce reakcie</w:t>
      </w:r>
    </w:p>
    <w:p w:rsidR="00EC32A3" w:rsidRPr="00A17653" w:rsidRDefault="00EC32A3" w:rsidP="00A17653">
      <w:pPr>
        <w:widowControl w:val="0"/>
        <w:spacing w:after="0" w:line="240" w:lineRule="auto"/>
        <w:rPr>
          <w:rFonts w:ascii="Times New Roman" w:hAnsi="Times New Roman"/>
          <w:i/>
        </w:rPr>
      </w:pPr>
      <w:r w:rsidRPr="00A17653">
        <w:rPr>
          <w:rFonts w:ascii="Times New Roman" w:hAnsi="Times New Roman"/>
          <w:i/>
        </w:rPr>
        <w:t>Nehematologické nežiaduce reakcie</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Ak sa pri užívaní Imatinibu Glenmark vyvinie závažná nehematologická nežiaduca reakcia, liečba sa musí vysadiť až do vymiznutia udalosti. Potom možno v liečbe primeraným spôsobom pokračovať, a to v závislosti od počiatočnej závažnosti udalosti.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Ak sa zvýši bilirubín &gt; 3-násobok stanovenej hornej hranice normálneho rozmedzia (IULN) alebo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pečeňové aminotransferázy &gt; 5-násobok IULN, Imatinib Glenmark sa má vysadiť, kým sa hladiny bilirubínu nevrátia &lt; 1,5-násobok IULN a hladiny aminotransferáz &lt; 2,5-násobok IULN. V liečbe </w:t>
      </w:r>
      <w:r w:rsidRPr="00A17653">
        <w:rPr>
          <w:rFonts w:ascii="Times New Roman" w:hAnsi="Times New Roman"/>
        </w:rPr>
        <w:lastRenderedPageBreak/>
        <w:t>Imatinibom Glenmark potom možno pokračovať pri zníženej dennej dávke. U dospelých sa má dávka znížiť zo 400 mg na 300 mg alebo zo 600 mg na 400 mg, alebo z 800 mg na 600 mg, a u detí z 340 na 260 mg/m</w:t>
      </w:r>
      <w:r w:rsidRPr="00A17653">
        <w:rPr>
          <w:rFonts w:ascii="Times New Roman" w:hAnsi="Times New Roman"/>
          <w:vertAlign w:val="superscript"/>
        </w:rPr>
        <w:t>2</w:t>
      </w:r>
      <w:r w:rsidRPr="00A17653">
        <w:rPr>
          <w:rFonts w:ascii="Times New Roman" w:hAnsi="Times New Roman"/>
        </w:rPr>
        <w:t>/deň.</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i/>
        </w:rPr>
      </w:pPr>
      <w:r w:rsidRPr="00A17653">
        <w:rPr>
          <w:rFonts w:ascii="Times New Roman" w:hAnsi="Times New Roman"/>
          <w:i/>
        </w:rPr>
        <w:t>Hematologické nežiaduce reakcie</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 závažnej neutropénii alebo trombocytopénii sa odporúča zníženie dávky alebo prerušenie liečby,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ako sa uvádza v nasledujúcej tabuľke.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Úprava dávky pre neutropéniu a trombocytopéniu:</w:t>
      </w:r>
    </w:p>
    <w:p w:rsidR="00EC32A3" w:rsidRPr="00A17653" w:rsidRDefault="00EC32A3" w:rsidP="00A17653">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2"/>
        <w:gridCol w:w="3020"/>
        <w:gridCol w:w="3020"/>
      </w:tblGrid>
      <w:tr w:rsidR="00EC32A3" w:rsidRPr="00A17653" w:rsidTr="00981197">
        <w:tc>
          <w:tcPr>
            <w:tcW w:w="3022"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HES/CEL (začiatočná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dávka 100 mg)</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ANC &lt; 1,0 x 10</w:t>
            </w:r>
            <w:r w:rsidRPr="00A17653">
              <w:rPr>
                <w:rFonts w:ascii="Times New Roman" w:hAnsi="Times New Roman"/>
                <w:vertAlign w:val="superscript"/>
              </w:rPr>
              <w:t>9</w:t>
            </w:r>
            <w:r w:rsidRPr="00A17653">
              <w:rPr>
                <w:rFonts w:ascii="Times New Roman" w:hAnsi="Times New Roman"/>
              </w:rPr>
              <w:t>/l</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a/alebo počet trombocytov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&lt; 50 x 10</w:t>
            </w:r>
            <w:r w:rsidRPr="00A17653">
              <w:rPr>
                <w:rFonts w:ascii="Times New Roman" w:hAnsi="Times New Roman"/>
                <w:vertAlign w:val="superscript"/>
              </w:rPr>
              <w:t>9</w:t>
            </w:r>
            <w:r w:rsidRPr="00A17653">
              <w:rPr>
                <w:rFonts w:ascii="Times New Roman" w:hAnsi="Times New Roman"/>
              </w:rPr>
              <w:t>/l</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1. Prerušiť podávanie Imatinibu Glenmark, kým ANC &gt; 1,5 x 10</w:t>
            </w:r>
            <w:r w:rsidRPr="00A17653">
              <w:rPr>
                <w:rFonts w:ascii="Times New Roman" w:hAnsi="Times New Roman"/>
                <w:vertAlign w:val="superscript"/>
              </w:rPr>
              <w:t>9</w:t>
            </w:r>
            <w:r w:rsidRPr="00A17653">
              <w:rPr>
                <w:rFonts w:ascii="Times New Roman" w:hAnsi="Times New Roman"/>
              </w:rPr>
              <w:t>/l a počet trombocytov &gt; 75 x 10</w:t>
            </w:r>
            <w:r w:rsidRPr="00A17653">
              <w:rPr>
                <w:rFonts w:ascii="Times New Roman" w:hAnsi="Times New Roman"/>
                <w:vertAlign w:val="superscript"/>
              </w:rPr>
              <w:t>9</w:t>
            </w:r>
            <w:r w:rsidRPr="00A17653">
              <w:rPr>
                <w:rFonts w:ascii="Times New Roman" w:hAnsi="Times New Roman"/>
              </w:rPr>
              <w:t>/l.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2. Pokračovať v liečbe Imatinibom Glenmark predošlou dávkou (t.j. pred závažnou nežiaducou reakciou).</w:t>
            </w:r>
          </w:p>
        </w:tc>
      </w:tr>
      <w:tr w:rsidR="00EC32A3" w:rsidRPr="00A17653" w:rsidTr="00981197">
        <w:tc>
          <w:tcPr>
            <w:tcW w:w="3022" w:type="dxa"/>
          </w:tcPr>
          <w:p w:rsidR="00E50BB6" w:rsidRPr="00A17653" w:rsidRDefault="00981197" w:rsidP="00A17653">
            <w:pPr>
              <w:widowControl w:val="0"/>
              <w:spacing w:after="0" w:line="240" w:lineRule="auto"/>
              <w:rPr>
                <w:rFonts w:ascii="Times New Roman" w:hAnsi="Times New Roman"/>
              </w:rPr>
            </w:pPr>
            <w:r w:rsidRPr="00A17653">
              <w:rPr>
                <w:rFonts w:ascii="Times New Roman" w:hAnsi="Times New Roman"/>
              </w:rPr>
              <w:t xml:space="preserve">Chronická fáza CML, </w:t>
            </w:r>
            <w:r w:rsidR="00EC32A3" w:rsidRPr="00A17653">
              <w:rPr>
                <w:rFonts w:ascii="Times New Roman" w:hAnsi="Times New Roman"/>
              </w:rPr>
              <w:t>MDS/MPD</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(začiatočná dávka 400 mg)</w:t>
            </w:r>
          </w:p>
          <w:p w:rsidR="00E50BB6" w:rsidRPr="00A17653" w:rsidRDefault="00EC32A3" w:rsidP="00A17653">
            <w:pPr>
              <w:widowControl w:val="0"/>
              <w:spacing w:after="0" w:line="240" w:lineRule="auto"/>
              <w:rPr>
                <w:rFonts w:ascii="Times New Roman" w:hAnsi="Times New Roman"/>
              </w:rPr>
            </w:pPr>
            <w:r w:rsidRPr="00A17653">
              <w:rPr>
                <w:rFonts w:ascii="Times New Roman" w:hAnsi="Times New Roman"/>
              </w:rPr>
              <w:t>HES/CEL</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(pri dávke 400 mg)</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ANC &lt; 1,0 x 10</w:t>
            </w:r>
            <w:r w:rsidRPr="00A17653">
              <w:rPr>
                <w:rFonts w:ascii="Times New Roman" w:hAnsi="Times New Roman"/>
                <w:vertAlign w:val="superscript"/>
              </w:rPr>
              <w:t>9</w:t>
            </w:r>
            <w:r w:rsidRPr="00A17653">
              <w:rPr>
                <w:rFonts w:ascii="Times New Roman" w:hAnsi="Times New Roman"/>
              </w:rPr>
              <w:t>/l</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a/alebo počet trombocytov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&lt; 50 x 10</w:t>
            </w:r>
            <w:r w:rsidRPr="00A17653">
              <w:rPr>
                <w:rFonts w:ascii="Times New Roman" w:hAnsi="Times New Roman"/>
                <w:vertAlign w:val="superscript"/>
              </w:rPr>
              <w:t>9</w:t>
            </w:r>
            <w:r w:rsidRPr="00A17653">
              <w:rPr>
                <w:rFonts w:ascii="Times New Roman" w:hAnsi="Times New Roman"/>
              </w:rPr>
              <w:t>/l</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1. Prerušiť podávanie Imatinibu Glenmark, kým ANC &gt; 1,5 x 10</w:t>
            </w:r>
            <w:r w:rsidRPr="00A17653">
              <w:rPr>
                <w:rFonts w:ascii="Times New Roman" w:hAnsi="Times New Roman"/>
                <w:vertAlign w:val="superscript"/>
              </w:rPr>
              <w:t>9</w:t>
            </w:r>
            <w:r w:rsidRPr="00A17653">
              <w:rPr>
                <w:rFonts w:ascii="Times New Roman" w:hAnsi="Times New Roman"/>
              </w:rPr>
              <w:t>/l a počet trombocytov &gt; 75 x 10</w:t>
            </w:r>
            <w:r w:rsidRPr="00A17653">
              <w:rPr>
                <w:rFonts w:ascii="Times New Roman" w:hAnsi="Times New Roman"/>
                <w:vertAlign w:val="superscript"/>
              </w:rPr>
              <w:t>9</w:t>
            </w:r>
            <w:r w:rsidRPr="00A17653">
              <w:rPr>
                <w:rFonts w:ascii="Times New Roman" w:hAnsi="Times New Roman"/>
              </w:rPr>
              <w:t>/l.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2. Pokračovať v liečbe Imatinibom Glenmark predošlou dávkou (t.j. pred závažnou nežiaducou reakciou).</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3. Pri opakovanom poklese ANC &lt; 1,0 x 10</w:t>
            </w:r>
            <w:r w:rsidRPr="00A17653">
              <w:rPr>
                <w:rFonts w:ascii="Times New Roman" w:hAnsi="Times New Roman"/>
                <w:vertAlign w:val="superscript"/>
              </w:rPr>
              <w:t>9</w:t>
            </w:r>
            <w:r w:rsidRPr="00A17653">
              <w:rPr>
                <w:rFonts w:ascii="Times New Roman" w:hAnsi="Times New Roman"/>
              </w:rPr>
              <w:t>/l a/alebo počtu trombocytov &lt; 50 x 10</w:t>
            </w:r>
            <w:r w:rsidRPr="00A17653">
              <w:rPr>
                <w:rFonts w:ascii="Times New Roman" w:hAnsi="Times New Roman"/>
                <w:vertAlign w:val="superscript"/>
              </w:rPr>
              <w:t>9</w:t>
            </w:r>
            <w:r w:rsidRPr="00A17653">
              <w:rPr>
                <w:rFonts w:ascii="Times New Roman" w:hAnsi="Times New Roman"/>
              </w:rPr>
              <w:t xml:space="preserve">/l </w:t>
            </w:r>
          </w:p>
          <w:p w:rsidR="00EC32A3" w:rsidRPr="00A17653" w:rsidRDefault="00EC32A3" w:rsidP="00A17653">
            <w:pPr>
              <w:pStyle w:val="Odsekzoznamu"/>
              <w:widowControl w:val="0"/>
              <w:spacing w:after="0" w:line="240" w:lineRule="auto"/>
              <w:ind w:left="0"/>
              <w:rPr>
                <w:rFonts w:ascii="Times New Roman" w:hAnsi="Times New Roman"/>
              </w:rPr>
            </w:pPr>
            <w:r w:rsidRPr="00A17653">
              <w:rPr>
                <w:rFonts w:ascii="Times New Roman" w:hAnsi="Times New Roman"/>
              </w:rPr>
              <w:t>zopakovať krok 1. a pokračovať v liečbe</w:t>
            </w:r>
          </w:p>
        </w:tc>
      </w:tr>
      <w:tr w:rsidR="00EC32A3" w:rsidRPr="00A17653" w:rsidTr="00981197">
        <w:tc>
          <w:tcPr>
            <w:tcW w:w="3022"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Chronická fáza CML u detí (pri dávke 340 mg/m</w:t>
            </w:r>
            <w:r w:rsidRPr="00A17653">
              <w:rPr>
                <w:rFonts w:ascii="Times New Roman" w:hAnsi="Times New Roman"/>
                <w:vertAlign w:val="superscript"/>
              </w:rPr>
              <w:t>2</w:t>
            </w:r>
            <w:r w:rsidRPr="00A17653">
              <w:rPr>
                <w:rFonts w:ascii="Times New Roman" w:hAnsi="Times New Roman"/>
              </w:rPr>
              <w:t>)</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ANC &lt; 1,0 x 10</w:t>
            </w:r>
            <w:r w:rsidRPr="00A17653">
              <w:rPr>
                <w:rFonts w:ascii="Times New Roman" w:hAnsi="Times New Roman"/>
                <w:vertAlign w:val="superscript"/>
              </w:rPr>
              <w:t>9</w:t>
            </w:r>
            <w:r w:rsidRPr="00A17653">
              <w:rPr>
                <w:rFonts w:ascii="Times New Roman" w:hAnsi="Times New Roman"/>
              </w:rPr>
              <w:t>/l a/alebo počet trombocytov &lt; 50 x 10</w:t>
            </w:r>
            <w:r w:rsidRPr="00A17653">
              <w:rPr>
                <w:rFonts w:ascii="Times New Roman" w:hAnsi="Times New Roman"/>
                <w:vertAlign w:val="superscript"/>
              </w:rPr>
              <w:t>9</w:t>
            </w:r>
            <w:r w:rsidRPr="00A17653">
              <w:rPr>
                <w:rFonts w:ascii="Times New Roman" w:hAnsi="Times New Roman"/>
              </w:rPr>
              <w:t>/l</w:t>
            </w:r>
          </w:p>
        </w:tc>
        <w:tc>
          <w:tcPr>
            <w:tcW w:w="3020" w:type="dxa"/>
          </w:tcPr>
          <w:p w:rsidR="00EC32A3" w:rsidRPr="00A17653" w:rsidRDefault="00EC32A3" w:rsidP="00A17653">
            <w:pPr>
              <w:pStyle w:val="Odsekzoznamu"/>
              <w:widowControl w:val="0"/>
              <w:spacing w:after="0" w:line="240" w:lineRule="auto"/>
              <w:ind w:left="0"/>
              <w:rPr>
                <w:rFonts w:ascii="Times New Roman" w:hAnsi="Times New Roman"/>
              </w:rPr>
            </w:pPr>
            <w:r w:rsidRPr="00A17653">
              <w:rPr>
                <w:rFonts w:ascii="Times New Roman" w:hAnsi="Times New Roman"/>
              </w:rPr>
              <w:t>1. Prerušiť podávanie Imatinibu Glenmark, kým ANC ≥ 1,5 x 10</w:t>
            </w:r>
            <w:r w:rsidRPr="00A17653">
              <w:rPr>
                <w:rFonts w:ascii="Times New Roman" w:hAnsi="Times New Roman"/>
                <w:vertAlign w:val="superscript"/>
              </w:rPr>
              <w:t>9</w:t>
            </w:r>
            <w:r w:rsidRPr="00A17653">
              <w:rPr>
                <w:rFonts w:ascii="Times New Roman" w:hAnsi="Times New Roman"/>
              </w:rPr>
              <w:t>/l a počet trombocytov ≥ 75 x 10</w:t>
            </w:r>
            <w:r w:rsidRPr="00A17653">
              <w:rPr>
                <w:rFonts w:ascii="Times New Roman" w:hAnsi="Times New Roman"/>
                <w:vertAlign w:val="superscript"/>
              </w:rPr>
              <w:t>9</w:t>
            </w:r>
            <w:r w:rsidRPr="00A17653">
              <w:rPr>
                <w:rFonts w:ascii="Times New Roman" w:hAnsi="Times New Roman"/>
              </w:rPr>
              <w:t>/l.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2. Pokračovať v liečbe Imatinibom Glenmark predošlou dávkou (t.j. pred závažnou nežiaducou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reakciou).</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3. Pri opakovanom poklese ANC &lt; 1,0 x 10</w:t>
            </w:r>
            <w:r w:rsidRPr="00A17653">
              <w:rPr>
                <w:rFonts w:ascii="Times New Roman" w:hAnsi="Times New Roman"/>
                <w:vertAlign w:val="superscript"/>
              </w:rPr>
              <w:t>9</w:t>
            </w:r>
            <w:r w:rsidRPr="00A17653">
              <w:rPr>
                <w:rFonts w:ascii="Times New Roman" w:hAnsi="Times New Roman"/>
              </w:rPr>
              <w:t>/l a/alebo počtu trombocytov &lt; 50 x 10</w:t>
            </w:r>
            <w:r w:rsidRPr="00A17653">
              <w:rPr>
                <w:rFonts w:ascii="Times New Roman" w:hAnsi="Times New Roman"/>
                <w:vertAlign w:val="superscript"/>
              </w:rPr>
              <w:t>9</w:t>
            </w:r>
            <w:r w:rsidRPr="00A17653">
              <w:rPr>
                <w:rFonts w:ascii="Times New Roman" w:hAnsi="Times New Roman"/>
              </w:rPr>
              <w:t>/l zopakovať krok 1 a pokračovať v liečbe Imatinibom Glenmark zníženou dávkou 260 mg/m</w:t>
            </w:r>
            <w:r w:rsidRPr="00A17653">
              <w:rPr>
                <w:rFonts w:ascii="Times New Roman" w:hAnsi="Times New Roman"/>
                <w:vertAlign w:val="superscript"/>
              </w:rPr>
              <w:t>2</w:t>
            </w:r>
          </w:p>
        </w:tc>
      </w:tr>
      <w:tr w:rsidR="00EC32A3" w:rsidRPr="00A17653" w:rsidTr="00981197">
        <w:tc>
          <w:tcPr>
            <w:tcW w:w="3022" w:type="dxa"/>
          </w:tcPr>
          <w:p w:rsidR="00D637B4" w:rsidRPr="00A17653" w:rsidRDefault="00981197" w:rsidP="00A17653">
            <w:pPr>
              <w:widowControl w:val="0"/>
              <w:spacing w:after="0" w:line="240" w:lineRule="auto"/>
              <w:rPr>
                <w:rFonts w:ascii="Times New Roman" w:hAnsi="Times New Roman"/>
              </w:rPr>
            </w:pPr>
            <w:r w:rsidRPr="00A17653">
              <w:rPr>
                <w:rFonts w:ascii="Times New Roman" w:hAnsi="Times New Roman"/>
              </w:rPr>
              <w:t xml:space="preserve">Akcelerovaná fáza CML a blastická </w:t>
            </w:r>
            <w:r w:rsidR="00EC32A3" w:rsidRPr="00A17653">
              <w:rPr>
                <w:rFonts w:ascii="Times New Roman" w:hAnsi="Times New Roman"/>
              </w:rPr>
              <w:t xml:space="preserve">kríza CML a Ph+ </w:t>
            </w:r>
            <w:r w:rsidR="00EC32A3" w:rsidRPr="00A17653">
              <w:rPr>
                <w:rFonts w:ascii="Times New Roman" w:hAnsi="Times New Roman"/>
              </w:rPr>
              <w:lastRenderedPageBreak/>
              <w:t>ALL (začiatočná dávka 600 mg)</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vertAlign w:val="superscript"/>
              </w:rPr>
              <w:lastRenderedPageBreak/>
              <w:t>a</w:t>
            </w:r>
            <w:r w:rsidRPr="00A17653">
              <w:rPr>
                <w:rFonts w:ascii="Times New Roman" w:hAnsi="Times New Roman"/>
              </w:rPr>
              <w:t xml:space="preserve"> ANC &lt; 0,5 x 10</w:t>
            </w:r>
            <w:r w:rsidRPr="00A17653">
              <w:rPr>
                <w:rFonts w:ascii="Times New Roman" w:hAnsi="Times New Roman"/>
                <w:vertAlign w:val="superscript"/>
              </w:rPr>
              <w:t>9</w:t>
            </w:r>
            <w:r w:rsidRPr="00A17653">
              <w:rPr>
                <w:rFonts w:ascii="Times New Roman" w:hAnsi="Times New Roman"/>
              </w:rPr>
              <w:t xml:space="preserve">/l a/alebo počet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trombocytov &lt; 10 x 10</w:t>
            </w:r>
            <w:r w:rsidRPr="00A17653">
              <w:rPr>
                <w:rFonts w:ascii="Times New Roman" w:hAnsi="Times New Roman"/>
                <w:vertAlign w:val="superscript"/>
              </w:rPr>
              <w:t>9</w:t>
            </w:r>
            <w:r w:rsidRPr="00A17653">
              <w:rPr>
                <w:rFonts w:ascii="Times New Roman" w:hAnsi="Times New Roman"/>
              </w:rPr>
              <w:t>/l</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 xml:space="preserve">1. Overte si, či cytopénia súvisí s leukémiou (punkcia alebo </w:t>
            </w:r>
            <w:r w:rsidRPr="00A17653">
              <w:rPr>
                <w:rFonts w:ascii="Times New Roman" w:hAnsi="Times New Roman"/>
              </w:rPr>
              <w:lastRenderedPageBreak/>
              <w:t>biopsia kostnej drene).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2. Ak cytopénia nesúvisí s leukémiou, znížiť dávku Imatinibu Glenmark na 400 mg.</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3. Ak cytopénia pretrváva počas 2 týždňov, znížiť dávku ďalej na 300 mg.</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4. Ak cytopénia pretrváva počas 4 týždňov a ešte stále nesúvisí s leukémiou, prestaňte užívať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Imatinib Glenmark, kým ANC ≥ 1 x 10</w:t>
            </w:r>
            <w:r w:rsidRPr="00A17653">
              <w:rPr>
                <w:rFonts w:ascii="Times New Roman" w:hAnsi="Times New Roman"/>
                <w:vertAlign w:val="superscript"/>
              </w:rPr>
              <w:t>9</w:t>
            </w:r>
            <w:r w:rsidRPr="00A17653">
              <w:rPr>
                <w:rFonts w:ascii="Times New Roman" w:hAnsi="Times New Roman"/>
              </w:rPr>
              <w:t xml:space="preserve">/l a počet trombocytov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20 x 10</w:t>
            </w:r>
            <w:r w:rsidRPr="00A17653">
              <w:rPr>
                <w:rFonts w:ascii="Times New Roman" w:hAnsi="Times New Roman"/>
                <w:vertAlign w:val="superscript"/>
              </w:rPr>
              <w:t>9</w:t>
            </w:r>
            <w:r w:rsidRPr="00A17653">
              <w:rPr>
                <w:rFonts w:ascii="Times New Roman" w:hAnsi="Times New Roman"/>
              </w:rPr>
              <w:t>/l, potom pokračujte v liečbe s dávkou 300 mg.</w:t>
            </w:r>
          </w:p>
        </w:tc>
      </w:tr>
      <w:tr w:rsidR="00EC32A3" w:rsidRPr="00A17653" w:rsidTr="00981197">
        <w:tc>
          <w:tcPr>
            <w:tcW w:w="3022"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 xml:space="preserve">Akcelerovaná fáza CML a blastická kríza u detí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(začiatočná dávka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340 mg/m</w:t>
            </w:r>
            <w:r w:rsidRPr="00A17653">
              <w:rPr>
                <w:rFonts w:ascii="Times New Roman" w:hAnsi="Times New Roman"/>
                <w:vertAlign w:val="superscript"/>
              </w:rPr>
              <w:t>2</w:t>
            </w:r>
            <w:r w:rsidRPr="00A17653">
              <w:rPr>
                <w:rFonts w:ascii="Times New Roman" w:hAnsi="Times New Roman"/>
              </w:rPr>
              <w:t>)</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vertAlign w:val="superscript"/>
              </w:rPr>
              <w:t>a</w:t>
            </w:r>
            <w:r w:rsidRPr="00A17653">
              <w:rPr>
                <w:rFonts w:ascii="Times New Roman" w:hAnsi="Times New Roman"/>
              </w:rPr>
              <w:t>ANC &lt; 0,5 x 10</w:t>
            </w:r>
            <w:r w:rsidRPr="00A17653">
              <w:rPr>
                <w:rFonts w:ascii="Times New Roman" w:hAnsi="Times New Roman"/>
                <w:vertAlign w:val="superscript"/>
              </w:rPr>
              <w:t>9</w:t>
            </w:r>
            <w:r w:rsidRPr="00A17653">
              <w:rPr>
                <w:rFonts w:ascii="Times New Roman" w:hAnsi="Times New Roman"/>
              </w:rPr>
              <w:t xml:space="preserve">/l a/alebo počet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trombocytov &lt; 10 x 10</w:t>
            </w:r>
            <w:r w:rsidRPr="00A17653">
              <w:rPr>
                <w:rFonts w:ascii="Times New Roman" w:hAnsi="Times New Roman"/>
                <w:vertAlign w:val="superscript"/>
              </w:rPr>
              <w:t>9</w:t>
            </w:r>
            <w:r w:rsidRPr="00A17653">
              <w:rPr>
                <w:rFonts w:ascii="Times New Roman" w:hAnsi="Times New Roman"/>
              </w:rPr>
              <w:t>/l</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1. Overte si, či cytopénia súvisí s leukémiou (punkcia alebo biopsia kostnej drene).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2. Ak cytopénia nesúvisí s leukémiou, znížte dávku Imatinibu Glenmark na 260 mg/m</w:t>
            </w:r>
            <w:r w:rsidRPr="00A17653">
              <w:rPr>
                <w:rFonts w:ascii="Times New Roman" w:hAnsi="Times New Roman"/>
                <w:vertAlign w:val="superscript"/>
              </w:rPr>
              <w:t>2</w:t>
            </w:r>
            <w:r w:rsidRPr="00A17653">
              <w:rPr>
                <w:rFonts w:ascii="Times New Roman" w:hAnsi="Times New Roman"/>
              </w:rPr>
              <w: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3. Ak cytopénia pretrváva počas 2 týždňov, znížte dávku ďalej na 200 mg/m</w:t>
            </w:r>
            <w:r w:rsidRPr="00A17653">
              <w:rPr>
                <w:rFonts w:ascii="Times New Roman" w:hAnsi="Times New Roman"/>
                <w:vertAlign w:val="superscript"/>
              </w:rPr>
              <w:t>2</w:t>
            </w:r>
            <w:r w:rsidRPr="00A17653">
              <w:rPr>
                <w:rFonts w:ascii="Times New Roman" w:hAnsi="Times New Roman"/>
              </w:rPr>
              <w:t>.</w:t>
            </w:r>
          </w:p>
          <w:p w:rsidR="00D637B4" w:rsidRPr="00A17653" w:rsidRDefault="00D637B4"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4. Ak cytopénia pretrváva počas 4 týždňov a ešte stále nesúvisí s leukémiou, prestaňte užívať Imatinib Glenmark, kým ANC ≥ 1 x 10 </w:t>
            </w:r>
            <w:r w:rsidRPr="00A17653">
              <w:rPr>
                <w:rFonts w:ascii="Times New Roman" w:hAnsi="Times New Roman"/>
                <w:vertAlign w:val="superscript"/>
              </w:rPr>
              <w:t>9</w:t>
            </w:r>
            <w:r w:rsidRPr="00A17653">
              <w:rPr>
                <w:rFonts w:ascii="Times New Roman" w:hAnsi="Times New Roman"/>
              </w:rPr>
              <w:t>/l a počet trombocytov ≥ 20 x 10</w:t>
            </w:r>
            <w:r w:rsidRPr="00A17653">
              <w:rPr>
                <w:rFonts w:ascii="Times New Roman" w:hAnsi="Times New Roman"/>
                <w:vertAlign w:val="superscript"/>
              </w:rPr>
              <w:t>9</w:t>
            </w:r>
            <w:r w:rsidRPr="00A17653">
              <w:rPr>
                <w:rFonts w:ascii="Times New Roman" w:hAnsi="Times New Roman"/>
              </w:rPr>
              <w:t>/l, potom pokračujte v liečbe dávkou 200 mg/m</w:t>
            </w:r>
            <w:r w:rsidRPr="00A17653">
              <w:rPr>
                <w:rFonts w:ascii="Times New Roman" w:hAnsi="Times New Roman"/>
                <w:vertAlign w:val="superscript"/>
              </w:rPr>
              <w:t>2</w:t>
            </w:r>
            <w:r w:rsidRPr="00A17653">
              <w:rPr>
                <w:rFonts w:ascii="Times New Roman" w:hAnsi="Times New Roman"/>
              </w:rPr>
              <w:t>.</w:t>
            </w:r>
          </w:p>
        </w:tc>
      </w:tr>
      <w:tr w:rsidR="00EC32A3" w:rsidRPr="00A17653" w:rsidTr="00981197">
        <w:tc>
          <w:tcPr>
            <w:tcW w:w="3022"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DFSP</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(pri dávke 800 mg)</w:t>
            </w:r>
          </w:p>
        </w:tc>
        <w:tc>
          <w:tcPr>
            <w:tcW w:w="3020" w:type="dxa"/>
          </w:tcPr>
          <w:p w:rsidR="00EC32A3" w:rsidRPr="00A17653" w:rsidRDefault="00EC32A3" w:rsidP="00A17653">
            <w:pPr>
              <w:widowControl w:val="0"/>
              <w:spacing w:after="0" w:line="240" w:lineRule="auto"/>
              <w:rPr>
                <w:rFonts w:ascii="Times New Roman" w:hAnsi="Times New Roman"/>
                <w:vertAlign w:val="superscript"/>
              </w:rPr>
            </w:pPr>
            <w:r w:rsidRPr="00A17653">
              <w:rPr>
                <w:rFonts w:ascii="Times New Roman" w:hAnsi="Times New Roman"/>
              </w:rPr>
              <w:t>ANC &lt; 1,0 x 10</w:t>
            </w:r>
            <w:r w:rsidRPr="00A17653">
              <w:rPr>
                <w:rFonts w:ascii="Times New Roman" w:hAnsi="Times New Roman"/>
                <w:vertAlign w:val="superscript"/>
              </w:rPr>
              <w:t>9</w:t>
            </w:r>
            <w:r w:rsidRPr="00A17653">
              <w:rPr>
                <w:rFonts w:ascii="Times New Roman" w:hAnsi="Times New Roman"/>
              </w:rPr>
              <w:t>/l a/alebo počet trombocytov &lt; 50 x 10</w:t>
            </w:r>
            <w:r w:rsidRPr="00A17653">
              <w:rPr>
                <w:rFonts w:ascii="Times New Roman" w:hAnsi="Times New Roman"/>
                <w:vertAlign w:val="superscript"/>
              </w:rPr>
              <w:t>9</w:t>
            </w:r>
            <w:r w:rsidRPr="00A17653">
              <w:rPr>
                <w:rFonts w:ascii="Times New Roman" w:hAnsi="Times New Roman"/>
              </w:rPr>
              <w:t>/l</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1. Prerušiť podávanie Imatinibu Glenmark, kým ANC ≥ 1,5 x 10</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vertAlign w:val="superscript"/>
              </w:rPr>
              <w:t>9</w:t>
            </w:r>
            <w:r w:rsidRPr="00A17653">
              <w:rPr>
                <w:rFonts w:ascii="Times New Roman" w:hAnsi="Times New Roman"/>
              </w:rPr>
              <w:t>/l a počet trombocytov ≥ 75 x 10</w:t>
            </w:r>
            <w:r w:rsidRPr="00A17653">
              <w:rPr>
                <w:rFonts w:ascii="Times New Roman" w:hAnsi="Times New Roman"/>
                <w:vertAlign w:val="superscript"/>
              </w:rPr>
              <w:t>9</w:t>
            </w:r>
            <w:r w:rsidRPr="00A17653">
              <w:rPr>
                <w:rFonts w:ascii="Times New Roman" w:hAnsi="Times New Roman"/>
              </w:rPr>
              <w:t>/l.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2. Pokračovať v liečbe Imatinibom Glenmark dávkou 600 mg.</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3. Pri opakovanom poklese ANC &lt; 1,0 x 10</w:t>
            </w:r>
            <w:r w:rsidRPr="00A17653">
              <w:rPr>
                <w:rFonts w:ascii="Times New Roman" w:hAnsi="Times New Roman"/>
                <w:vertAlign w:val="superscript"/>
              </w:rPr>
              <w:t>9</w:t>
            </w:r>
            <w:r w:rsidRPr="00A17653">
              <w:rPr>
                <w:rFonts w:ascii="Times New Roman" w:hAnsi="Times New Roman"/>
              </w:rPr>
              <w:t>/l a/alebo počtu trombocytov &lt; 50 x 10</w:t>
            </w:r>
            <w:r w:rsidRPr="00A17653">
              <w:rPr>
                <w:rFonts w:ascii="Times New Roman" w:hAnsi="Times New Roman"/>
                <w:vertAlign w:val="superscript"/>
              </w:rPr>
              <w:t>9</w:t>
            </w:r>
            <w:r w:rsidRPr="00A17653">
              <w:rPr>
                <w:rFonts w:ascii="Times New Roman" w:hAnsi="Times New Roman"/>
              </w:rPr>
              <w:t xml:space="preserve">/l zopakovať krok 1. a pokračovať v liečbe </w:t>
            </w:r>
            <w:r w:rsidRPr="00A17653">
              <w:rPr>
                <w:rFonts w:ascii="Times New Roman" w:hAnsi="Times New Roman"/>
              </w:rPr>
              <w:lastRenderedPageBreak/>
              <w:t>Imatinibom Glenmark so zníženou dávkou 400 mg.</w:t>
            </w:r>
          </w:p>
        </w:tc>
      </w:tr>
      <w:tr w:rsidR="00981197" w:rsidRPr="00A17653" w:rsidTr="00981197">
        <w:trPr>
          <w:trHeight w:val="516"/>
        </w:trPr>
        <w:tc>
          <w:tcPr>
            <w:tcW w:w="9062" w:type="dxa"/>
            <w:gridSpan w:val="3"/>
          </w:tcPr>
          <w:p w:rsidR="00981197" w:rsidRPr="00806D83" w:rsidRDefault="00981197" w:rsidP="00A17653">
            <w:pPr>
              <w:widowControl w:val="0"/>
              <w:spacing w:after="0" w:line="240" w:lineRule="auto"/>
              <w:rPr>
                <w:rFonts w:ascii="Times New Roman" w:hAnsi="Times New Roman"/>
                <w:sz w:val="18"/>
                <w:szCs w:val="18"/>
              </w:rPr>
            </w:pPr>
            <w:r w:rsidRPr="00806D83">
              <w:rPr>
                <w:rFonts w:ascii="Times New Roman" w:hAnsi="Times New Roman"/>
                <w:sz w:val="18"/>
                <w:szCs w:val="18"/>
              </w:rPr>
              <w:lastRenderedPageBreak/>
              <w:t>ANC = absolútny počet neutrofilov</w:t>
            </w:r>
          </w:p>
          <w:p w:rsidR="00981197" w:rsidRPr="00A17653" w:rsidRDefault="00981197" w:rsidP="00A17653">
            <w:pPr>
              <w:widowControl w:val="0"/>
              <w:spacing w:after="0" w:line="240" w:lineRule="auto"/>
              <w:rPr>
                <w:rFonts w:ascii="Times New Roman" w:hAnsi="Times New Roman"/>
              </w:rPr>
            </w:pPr>
            <w:r w:rsidRPr="00806D83">
              <w:rPr>
                <w:rFonts w:ascii="Times New Roman" w:hAnsi="Times New Roman"/>
                <w:sz w:val="18"/>
                <w:szCs w:val="18"/>
                <w:vertAlign w:val="superscript"/>
              </w:rPr>
              <w:t>a</w:t>
            </w:r>
            <w:r w:rsidRPr="00806D83">
              <w:rPr>
                <w:rFonts w:ascii="Times New Roman" w:hAnsi="Times New Roman"/>
                <w:sz w:val="18"/>
                <w:szCs w:val="18"/>
              </w:rPr>
              <w:t xml:space="preserve"> výskyt po najmenej 1 mesiaci liečby</w:t>
            </w:r>
          </w:p>
        </w:tc>
      </w:tr>
    </w:tbl>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Osobitné skupiny pacientov</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i/>
        </w:rPr>
        <w:t xml:space="preserve">Použitie </w:t>
      </w:r>
      <w:r w:rsidR="00657B41" w:rsidRPr="00A17653">
        <w:rPr>
          <w:rFonts w:ascii="Times New Roman" w:hAnsi="Times New Roman"/>
          <w:i/>
        </w:rPr>
        <w:t>v pediatrickej populácii</w:t>
      </w:r>
      <w:r w:rsidRPr="00A17653">
        <w:rPr>
          <w:rFonts w:ascii="Times New Roman" w:hAnsi="Times New Roman"/>
          <w:i/>
        </w:rPr>
        <w:t>:</w:t>
      </w:r>
      <w:r w:rsidRPr="00A17653">
        <w:rPr>
          <w:rFonts w:ascii="Times New Roman" w:hAnsi="Times New Roman"/>
        </w:rPr>
        <w:t xml:space="preserve"> Nie sú žiadne skúsenosti s použitím u detí s CML mladších ako 2-ročných </w:t>
      </w:r>
      <w:r w:rsidR="00AC4101" w:rsidRPr="00A17653">
        <w:rPr>
          <w:rFonts w:ascii="Times New Roman" w:hAnsi="Times New Roman"/>
        </w:rPr>
        <w:t xml:space="preserve">a s Ph+ALL mladších ako 1 rok </w:t>
      </w:r>
      <w:r w:rsidRPr="00A17653">
        <w:rPr>
          <w:rFonts w:ascii="Times New Roman" w:hAnsi="Times New Roman"/>
        </w:rPr>
        <w:t>(pozri časť 5.1). Skúsenosti s použitím u detí s MDS/MPD, DFSP</w:t>
      </w:r>
      <w:r w:rsidR="00C476DF" w:rsidRPr="00A17653">
        <w:rPr>
          <w:rFonts w:ascii="Times New Roman" w:hAnsi="Times New Roman"/>
        </w:rPr>
        <w:t xml:space="preserve"> </w:t>
      </w:r>
      <w:r w:rsidRPr="00A17653">
        <w:rPr>
          <w:rFonts w:ascii="Times New Roman" w:hAnsi="Times New Roman"/>
        </w:rPr>
        <w:t>a HES/CEL sú veľmi obmedzené.</w:t>
      </w:r>
    </w:p>
    <w:p w:rsidR="006552C6" w:rsidRPr="00A17653" w:rsidRDefault="006552C6"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Bezpečnosť a účinnosť imatinibu u detí s MDS/MPD, DFSP a HES/CEL vo veku menej ako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18 rokov neboli stanovené v klinických skúšaniach. V súčasnosti dostupné publikované údaje sú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zhrnuté v časti 5.1, ale neumožňujú uviesť odporúčania pre dávkovanie.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i/>
        </w:rPr>
        <w:t>Insuficiencia pečene</w:t>
      </w:r>
      <w:r w:rsidRPr="00A17653">
        <w:rPr>
          <w:rFonts w:ascii="Times New Roman" w:hAnsi="Times New Roman"/>
        </w:rPr>
        <w:t xml:space="preserve">: Imatinib sa metabolizuje hlavne v pečeni. Pacientom s ľahkou, stredne ťažkou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alebo ťažkou poruchou funkcie pečene sa má podávať najnižšia odporúčaná dávka 400 mg denne.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Dávku možno znížiť, ak nie je tolerovaná (pozri časti 4.4, 4.8 a 5.2).</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Hodnotenie poruchy funkcie pečene:</w:t>
      </w:r>
    </w:p>
    <w:p w:rsidR="00EC32A3" w:rsidRPr="00A17653" w:rsidRDefault="00EC32A3" w:rsidP="00A17653">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4533"/>
      </w:tblGrid>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Porucha funkcie pečene</w:t>
            </w:r>
          </w:p>
        </w:tc>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Testy funkcie pečene</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Ľahká</w:t>
            </w:r>
          </w:p>
        </w:tc>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Celkový bilirubín: = 1,5 ULN</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AST: &gt; ULN (hodnota môže byť normálna alebo &lt; ULN, ak je celkový bilirubín &gt; ULN)</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Stredne ťažká</w:t>
            </w:r>
          </w:p>
        </w:tc>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Celkový bilirubín: &gt; 1,5–3,0 ULN</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AST: akákoľvek hodnota</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Ťažká</w:t>
            </w:r>
          </w:p>
        </w:tc>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Celkový bilirubín: &gt; 3–10 ULN</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AST: akákoľvek hodnota</w:t>
            </w:r>
          </w:p>
        </w:tc>
      </w:tr>
    </w:tbl>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ULN = horná hranica normálneho rozmedzia zdravotníckeho zariadenia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AST = aspartátaminotransferáza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i/>
        </w:rPr>
        <w:t>Insuficiencia obličiek:</w:t>
      </w:r>
      <w:r w:rsidRPr="00A17653">
        <w:rPr>
          <w:rFonts w:ascii="Times New Roman" w:hAnsi="Times New Roman"/>
        </w:rPr>
        <w:t xml:space="preserve"> Pacientom s poruchou funkcie obličiek alebo dialyzovaným pacientom sa má ako začiatočná dávka podávať najnižšia odporúčaná dávka 400 mg denne.  U týchto pacientov sa však odporúča zvýšená opatrnosť. Dávka sa môže znížiť, ak nie je tolerovaná. Ak tolerovaná je, dávka sa môže pri nedostatočnej účinnosti zvýšiť (pozri časti 4.4 a 5.2).</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i/>
        </w:rPr>
        <w:t>Starší:</w:t>
      </w:r>
      <w:r w:rsidRPr="00A17653">
        <w:rPr>
          <w:rFonts w:ascii="Times New Roman" w:hAnsi="Times New Roman"/>
        </w:rPr>
        <w:t xml:space="preserve"> Farmakokinetika imatinibu sa osobitne u starších </w:t>
      </w:r>
      <w:r w:rsidR="00D637B4" w:rsidRPr="00A17653">
        <w:rPr>
          <w:rFonts w:ascii="Times New Roman" w:hAnsi="Times New Roman"/>
        </w:rPr>
        <w:t xml:space="preserve">ľudí </w:t>
      </w:r>
      <w:r w:rsidRPr="00A17653">
        <w:rPr>
          <w:rFonts w:ascii="Times New Roman" w:hAnsi="Times New Roman"/>
        </w:rPr>
        <w:t xml:space="preserve">nesledovala. V klinických skúšaniach s dospelými pacientmi, z ktorých viac ako 20 % bolo 65-ročných a starších, sa nepozorovali významné rozdiely vo farmakokinetike súvisiace s vekom. Nie je potrebné osobitné odporúčanie pre dávkovanie u starších </w:t>
      </w:r>
      <w:r w:rsidR="00D637B4" w:rsidRPr="00A17653">
        <w:rPr>
          <w:rFonts w:ascii="Times New Roman" w:hAnsi="Times New Roman"/>
        </w:rPr>
        <w:t>ľudí</w:t>
      </w:r>
      <w:r w:rsidRPr="00A17653">
        <w:rPr>
          <w:rFonts w:ascii="Times New Roman" w:hAnsi="Times New Roman"/>
        </w:rPr>
        <w: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4.3</w:t>
      </w:r>
      <w:r w:rsidRPr="00A17653">
        <w:rPr>
          <w:rFonts w:ascii="Times New Roman" w:hAnsi="Times New Roman"/>
          <w:b/>
        </w:rPr>
        <w:tab/>
        <w:t>Kontraindikácie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Precitlivenosť na liečivo alebo na ktorúkoľvek z pomocných látok</w:t>
      </w:r>
      <w:r w:rsidR="00D637B4" w:rsidRPr="00A17653">
        <w:rPr>
          <w:rFonts w:ascii="Times New Roman" w:hAnsi="Times New Roman"/>
        </w:rPr>
        <w:t xml:space="preserve"> uvedených v časti 6.1</w:t>
      </w:r>
      <w:r w:rsidRPr="00A17653">
        <w:rPr>
          <w:rFonts w:ascii="Times New Roman" w:hAnsi="Times New Roman"/>
        </w:rPr>
        <w: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4.4</w:t>
      </w:r>
      <w:r w:rsidRPr="00A17653">
        <w:rPr>
          <w:rFonts w:ascii="Times New Roman" w:hAnsi="Times New Roman"/>
          <w:b/>
        </w:rPr>
        <w:tab/>
        <w:t>Osobitné upozornenia a opatrenia pri používaní</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Ak sa imatinib podáva súbežne s inými liekmi, existuje možnosť liekových interakcií.</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Opatrnosť je potrebná pri užívaní imatinibu s inhibítormi proteáz, azolovými antimykotikami, niektorými makrolidmi (pozri časť 4.5), substrátmi CYP3A4 s úzkym terapeutickým oknom (napr. cyklosporínom, pimozidom, takrolimom, sirolimom, ergotamínom, diergotamínom, fentanylom, alfentanylom, terfenadínom, bortezomidom, docetaxelom, chinidínom) alebo  warfarínom a inými kumarínovými derivátmi (pozri časť 4.5).</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Súbežné užívanie imatinibu a liekov, ktoré indukujú CYP3A4 (napr. dexametazón, fenytoín,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karbamazepín, rifampicín, fenobarbital alebo Hypericum perforatum, tiež známy ako Ľubovník bodkovaný) môže významne znížiť expozíciu imatinibu a tým prípadne zvýšiť riziko zlyhania liečby. Preto je potrebné vyhnúť sa súbežnému podávaniu silných induktorov CYP3A4 a imatinibu (pozri časť 4.5).</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Hypotyreóza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Klinické prípady hypotyreózy sa zaznamenali u pacientov po tyreoidektómii, ktorí počas liečby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imatinibom dostávali ako substitúciu levotyroxín (pozri časť 4.5). U takýchto pacientov sa majú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dôsledne monitorovať hladiny tyreotropínu (TSH).</w:t>
      </w:r>
    </w:p>
    <w:p w:rsidR="00D637B4" w:rsidRPr="00A17653" w:rsidRDefault="00D637B4"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Hepatotoxicita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Metabolizmus imatinibu prebieha hlavne v pečeni a iba 13 % sa vylučuje obličkami. U pacientov s poruchou funkcie pečene (ľahkou, stredne ťažkou a ťažkou) sa majú dôsledne monitorovať periférny krvný obraz a pečeňové enzýmy (pozri časti 4.2, 4.8 a 5.2).</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 imatinibe sa pozorovali prípady poškodenia pečene vrátane zlyhania pečene a nekrózy pečene. Pri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kombinovaní imatinibu s režimami vysokých dávok chemoterapie sa pozorovalo zvýšenie závažných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reakcií pečene. Funkcia pečene sa má starostlivo monitorovať v prípade, keď sa imatinib kombinuje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 režimami chemoterapie, o ktorých je tiež známe, že sa spájajú s poruchou funkcie pečene (pozri časti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4.5 a 4.8).</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Zadržiavanie tekutiny</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Závažné zadržiavanie tekutiny (pleurálny výpotok, edém, pľúcny edém, ascites, povrchový edém) sa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zaznamenalo u približne 2,5 % pacientov s novodiagnostikovanou CML užívajúcich imatinib. Preto sa vysoko odporúča pravidelne kontrolovať hmotnosť pacientov. Neočakávané rýchle zvýšenie hmotnosti sa má dôsledne vyšetriť a ak je to potrebné, má sa začať s primeranou podpornou starostlivosťou a liečebnými opatreniami. V klinických skúšaniach bol zvýšený výskyt týchto udalostí u starších </w:t>
      </w:r>
      <w:r w:rsidR="00D637B4" w:rsidRPr="00A17653">
        <w:rPr>
          <w:rFonts w:ascii="Times New Roman" w:hAnsi="Times New Roman"/>
        </w:rPr>
        <w:t xml:space="preserve">ľudí </w:t>
      </w:r>
      <w:r w:rsidRPr="00A17653">
        <w:rPr>
          <w:rFonts w:ascii="Times New Roman" w:hAnsi="Times New Roman"/>
        </w:rPr>
        <w:t>a pacientov s ochorením srdca v anamnéze. Preto sa má u pacientov s poruchou funkcie srdca postupovať opatrne.</w:t>
      </w:r>
    </w:p>
    <w:p w:rsidR="00EC32A3" w:rsidRPr="00A17653" w:rsidRDefault="00EC32A3" w:rsidP="00A17653">
      <w:pPr>
        <w:widowControl w:val="0"/>
        <w:spacing w:after="0" w:line="240" w:lineRule="auto"/>
        <w:rPr>
          <w:rFonts w:ascii="Times New Roman" w:hAnsi="Times New Roman"/>
        </w:rPr>
      </w:pPr>
    </w:p>
    <w:p w:rsidR="00D637B4"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Pacienti s ochorením srdca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Pacientov s ochorením srdca, rizikovými faktormi pre zlyhanie srdca alebo </w:t>
      </w:r>
      <w:r w:rsidRPr="00A17653">
        <w:rPr>
          <w:rFonts w:ascii="Times New Roman" w:hAnsi="Times New Roman"/>
          <w:color w:val="000000"/>
        </w:rPr>
        <w:t xml:space="preserve">zlyhaním obličiek v anamnéze </w:t>
      </w:r>
      <w:r w:rsidRPr="00A17653">
        <w:rPr>
          <w:rFonts w:ascii="Times New Roman" w:hAnsi="Times New Roman"/>
        </w:rPr>
        <w:t>je potrebné starostlivo sledovať a každého pacienta s príznakmi alebo prejavmi poukazujúcimi na zlyhanie srdca alebo obličiek je potrebné vyšetriť a liečiť.</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 pacientov s hypereozinofilným syndrómom (HES) s okultnou infiltráciou myokardu bunkami HESsa so začatím liečby imatinibom spájali ojedinelé prípady kardiogénneho šoku/poruchy funkcie ľavej komory s degranuláciou buniek HES. Po podaní systémových steroidov, opatreniach na podporu cirkulácie a dočasnom vysadení imatinibu bolo ochorenie podľa hlásení reverzibilné. Pretože pri imatinibe boli menej často hlásené nežiaduce účinky na srdce, má sa u pacientov s HES/CEL pred začatím liečby zvážiť dôkladné vyhodnotenie pomeru jej prínosu a rizika.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Myelodysplastické/myeloproliferatívne ochorenia s preskupeniami génu PDFR by sa mohli spájať s vysokými hladinami eozinofilov. Pred podaním imatinibu sa má preto zvážiť vyhodnotenie stavu kardiológom, echokardiografické vyšetrenie a stanovenie sérového troponínu u pacientov s HES/CEL a u pacientov s MDS/MPD spojenými s vysokými hladinami eozinofilov. Ak je niektorý nález abnormálny, má sa na začiatku liečby uvážiť sledovanie kardiológom a profylaktické použitie systémových steroidov (1-2 mg/kg) počas jedného až dvoch týždňov súbežne s imatinibom.</w:t>
      </w:r>
    </w:p>
    <w:p w:rsidR="007463E7" w:rsidRPr="00A17653" w:rsidRDefault="007463E7" w:rsidP="00A17653">
      <w:pPr>
        <w:autoSpaceDE w:val="0"/>
        <w:autoSpaceDN w:val="0"/>
        <w:adjustRightInd w:val="0"/>
        <w:spacing w:after="0" w:line="240" w:lineRule="auto"/>
        <w:rPr>
          <w:rFonts w:ascii="Times New Roman" w:hAnsi="Times New Roman"/>
          <w:color w:val="000000"/>
          <w:u w:val="single"/>
        </w:rPr>
      </w:pPr>
    </w:p>
    <w:p w:rsidR="007463E7" w:rsidRPr="00A17653" w:rsidRDefault="007463E7" w:rsidP="00A17653">
      <w:pPr>
        <w:autoSpaceDE w:val="0"/>
        <w:autoSpaceDN w:val="0"/>
        <w:adjustRightInd w:val="0"/>
        <w:spacing w:after="0" w:line="240" w:lineRule="auto"/>
        <w:rPr>
          <w:rFonts w:ascii="Times New Roman" w:hAnsi="Times New Roman"/>
          <w:color w:val="000000"/>
          <w:u w:val="single"/>
        </w:rPr>
      </w:pPr>
      <w:r w:rsidRPr="00A17653">
        <w:rPr>
          <w:rFonts w:ascii="Times New Roman" w:hAnsi="Times New Roman"/>
          <w:color w:val="000000"/>
          <w:u w:val="single"/>
        </w:rPr>
        <w:t>Gastrointestinálne krvácanie</w:t>
      </w:r>
    </w:p>
    <w:p w:rsidR="007463E7" w:rsidRPr="00A17653" w:rsidRDefault="007463E7" w:rsidP="00A17653">
      <w:pPr>
        <w:autoSpaceDE w:val="0"/>
        <w:autoSpaceDN w:val="0"/>
        <w:adjustRightInd w:val="0"/>
        <w:spacing w:after="0" w:line="240" w:lineRule="auto"/>
        <w:rPr>
          <w:rFonts w:ascii="Times New Roman" w:hAnsi="Times New Roman"/>
          <w:color w:val="000000"/>
        </w:rPr>
      </w:pPr>
      <w:r w:rsidRPr="00A17653">
        <w:rPr>
          <w:rFonts w:ascii="Times New Roman" w:hAnsi="Times New Roman"/>
          <w:color w:val="000000"/>
        </w:rPr>
        <w:t xml:space="preserve">V klinickom skúšaní s pacientmi s neresekovateľným a/alebo metastazujúcim GIST sa zaznamenalo gastrointestinálne krvácanie aj krvácanie vo vnútri nádoru (pozri časť 4.8). Na základe dostupných údajov sa nezistili predisponujúce faktory (napr. veľkosť nádoru, lokalizácia nádoru, poruchy zrážania krvi), ktoré by u pacientov s GIST zvyšovali riziko niektorého z uvedených typov krvácania. Pretože zvýšená vaskularita a náchylnosť na krvácanie sú charakteristickou črtou a súčasťou klinického </w:t>
      </w:r>
      <w:r w:rsidRPr="00A17653">
        <w:rPr>
          <w:rFonts w:ascii="Times New Roman" w:hAnsi="Times New Roman"/>
          <w:color w:val="000000"/>
        </w:rPr>
        <w:lastRenderedPageBreak/>
        <w:t>priebehu GIST, majú sa u všetkých pacientov používať štandardné postupy monitorovania a liečby krvácania.</w:t>
      </w:r>
    </w:p>
    <w:p w:rsidR="00CD0C78" w:rsidRPr="00A17653" w:rsidRDefault="00CD0C78" w:rsidP="00A17653">
      <w:pPr>
        <w:widowControl w:val="0"/>
        <w:spacing w:after="0" w:line="240" w:lineRule="auto"/>
        <w:rPr>
          <w:rFonts w:ascii="Times New Roman" w:hAnsi="Times New Roman"/>
        </w:rPr>
      </w:pPr>
    </w:p>
    <w:p w:rsidR="00CD0C78" w:rsidRPr="00A17653" w:rsidRDefault="00CD0C78" w:rsidP="00A17653">
      <w:pPr>
        <w:widowControl w:val="0"/>
        <w:spacing w:after="0" w:line="240" w:lineRule="auto"/>
        <w:rPr>
          <w:rFonts w:ascii="Times New Roman" w:hAnsi="Times New Roman"/>
        </w:rPr>
      </w:pPr>
      <w:r w:rsidRPr="00A17653">
        <w:rPr>
          <w:rFonts w:ascii="Times New Roman" w:hAnsi="Times New Roman"/>
        </w:rPr>
        <w:t>Okrem toho bola po uvedení lieku na trh u pacientov s CML, ALL a inými ochoreniami (pozri časť 4.8) zaznamenaná gastrická antrálna vaskulárna ektázia (GAVE), zriedkavá príčina gastrointestinálneho krvácania.</w:t>
      </w:r>
    </w:p>
    <w:p w:rsidR="00CD0C78" w:rsidRPr="00A17653" w:rsidRDefault="00CD0C78"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Syndróm z rozpadu nádoru</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Vzhľadom na možný výskyt syndrómu z rozpadu nádoru (TLS) sa pred začatím liečby imatinibom odporúča úprava klinicky významnej dehydratácie a liečba vysokých hladín kyseliny močovej (pozri časť 4.8).</w:t>
      </w:r>
    </w:p>
    <w:p w:rsidR="00981197" w:rsidRPr="00A17653" w:rsidRDefault="00981197" w:rsidP="00A17653">
      <w:pPr>
        <w:widowControl w:val="0"/>
        <w:spacing w:after="0" w:line="240" w:lineRule="auto"/>
        <w:rPr>
          <w:rFonts w:ascii="Times New Roman" w:hAnsi="Times New Roman"/>
        </w:rPr>
      </w:pPr>
    </w:p>
    <w:p w:rsidR="00981197" w:rsidRPr="00A17653" w:rsidRDefault="00981197" w:rsidP="00A17653">
      <w:pPr>
        <w:shd w:val="clear" w:color="auto" w:fill="FFFFFF"/>
        <w:spacing w:after="0" w:line="240" w:lineRule="auto"/>
        <w:rPr>
          <w:rFonts w:ascii="Times New Roman" w:eastAsia="Times New Roman" w:hAnsi="Times New Roman"/>
          <w:color w:val="222222"/>
          <w:u w:val="single"/>
          <w:lang w:eastAsia="sk-SK"/>
        </w:rPr>
      </w:pPr>
      <w:r w:rsidRPr="00A17653">
        <w:rPr>
          <w:rFonts w:ascii="Times New Roman" w:eastAsia="Times New Roman" w:hAnsi="Times New Roman"/>
          <w:iCs/>
          <w:color w:val="222222"/>
          <w:u w:val="single"/>
          <w:lang w:eastAsia="sk-SK"/>
        </w:rPr>
        <w:t>Reaktivácia hepatitídy B</w:t>
      </w:r>
    </w:p>
    <w:p w:rsidR="00981197" w:rsidRPr="00A17653" w:rsidRDefault="00981197" w:rsidP="00A17653">
      <w:pPr>
        <w:shd w:val="clear" w:color="auto" w:fill="FFFFFF"/>
        <w:spacing w:after="0" w:line="240" w:lineRule="auto"/>
        <w:rPr>
          <w:rFonts w:ascii="Times New Roman" w:eastAsia="Times New Roman" w:hAnsi="Times New Roman"/>
          <w:color w:val="222222"/>
          <w:lang w:eastAsia="sk-SK"/>
        </w:rPr>
      </w:pPr>
      <w:r w:rsidRPr="00A17653">
        <w:rPr>
          <w:rFonts w:ascii="Times New Roman" w:eastAsia="Times New Roman" w:hAnsi="Times New Roman"/>
          <w:color w:val="222222"/>
          <w:lang w:eastAsia="sk-SK"/>
        </w:rPr>
        <w:t>Reaktivácia hepatitídy B u pacientov, ktorí sú chronickými prenášačmi tohto vírusu, sa vyskytla v prípade, že títo pacienti užívali inhibítory BCR-ABL-tyrozínkinázy. Niektoré prípady viedli k akútnemu zlyhaniu pečene alebo k fulminantnej hepatitíde, ktorých výsledkom bola transplantácia pečene alebo úmrtie.</w:t>
      </w:r>
    </w:p>
    <w:p w:rsidR="00981197" w:rsidRPr="00A17653" w:rsidRDefault="00981197" w:rsidP="00A17653">
      <w:pPr>
        <w:shd w:val="clear" w:color="auto" w:fill="FFFFFF"/>
        <w:spacing w:after="0" w:line="240" w:lineRule="auto"/>
        <w:rPr>
          <w:rFonts w:ascii="Times New Roman" w:eastAsia="Times New Roman" w:hAnsi="Times New Roman"/>
          <w:color w:val="222222"/>
          <w:lang w:eastAsia="sk-SK"/>
        </w:rPr>
      </w:pPr>
      <w:r w:rsidRPr="00A17653">
        <w:rPr>
          <w:rFonts w:ascii="Times New Roman" w:eastAsia="Times New Roman" w:hAnsi="Times New Roman"/>
          <w:color w:val="222222"/>
          <w:lang w:eastAsia="sk-SK"/>
        </w:rPr>
        <w:t>Pacienti majú byť vyšetrení na HBV infekciu pred začatím liečby Imatinibom Glenmark. Pred začatím liečby u pacientov s pozitívnym sérologickým testom na hepatitídu B (vrátane pacientov s aktívnym ochorením) a u pacientov s pozitívnym testom na HBV infekciu počas liečby je potrebné konzultovať s odborníkmi na ochorenia pečene a liečbu hepatitídy B. Prenášači vírusu HBV, ktorí potrebujú liečbu Imatinibom Glenmark, majú byť pozorne sledovaní na prejavy a symptómy aktívnej HBV infekcie počas celej liečby a niekoľko mesiacov po ukončení liečby (pozri časť 4.8).</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Laboratórne vyšetrenia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Počas liečby imatinibom sa musia pravidelne vykonávať kontroly kompletného krvného obrazu. Liečba imatinibom sa u pacientov s CML spájala s neutropéniou alebo trombocytopéniou. Výskyt týchto cytopénií však pravdepodobne súvisí s fázou liečeného ochorenia a je častejší u pacientov v akcelerovanej fáze CML alebo blastickej kríze ako u pacientov v chronickej fáze CML. Liečbu imatinibom možno prerušiť alebo možno znížiť dávku, ako sa odporúča v časti 4.2.</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pacientov, ktorí dostávajú Imatinib Glenmark, sa majú pravidelne vykonávať testy funkcie pečene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(aminotransferázy, bilirubín</w:t>
      </w:r>
      <w:r w:rsidR="00D637B4" w:rsidRPr="00A17653">
        <w:rPr>
          <w:rFonts w:ascii="Times New Roman" w:hAnsi="Times New Roman"/>
        </w:rPr>
        <w:t>u</w:t>
      </w:r>
      <w:r w:rsidRPr="00A17653">
        <w:rPr>
          <w:rFonts w:ascii="Times New Roman" w:hAnsi="Times New Roman"/>
        </w:rPr>
        <w:t xml:space="preserve">, </w:t>
      </w:r>
      <w:r w:rsidR="00D637B4" w:rsidRPr="00A17653">
        <w:rPr>
          <w:rFonts w:ascii="Times New Roman" w:hAnsi="Times New Roman"/>
        </w:rPr>
        <w:t>alkalickej fosfatázy</w:t>
      </w:r>
      <w:r w:rsidRPr="00A17653">
        <w:rPr>
          <w:rFonts w:ascii="Times New Roman" w:hAnsi="Times New Roman"/>
        </w:rPr>
        <w: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pacientov so zhoršenou funkciou obličiek sa expozícia imatinibu v plazme zdá byť vyššia ako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pacientov s normálnou funkciou obličiek, pravdepodobne ako následok zvýšenej plazmatickej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hladiny alfa-kyslého glykoproteínu (AGP), bielkoviny viažucej imatinib u týchto pacientov.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Pacientom so zhoršenou funkciou obličiek sa má podať najnižšia začiatočná dávka. Pri liečbe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pacientov s ťažkým poškodením funkcie obličiek je potrebná opatrnosť. Dávku možno znížiť, ak nie je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tolerovaná (pozri časti 4.5 a 5.2).</w:t>
      </w:r>
    </w:p>
    <w:p w:rsidR="005D78C1" w:rsidRPr="00A17653" w:rsidRDefault="005D78C1" w:rsidP="00A17653">
      <w:pPr>
        <w:pStyle w:val="Odsekzoznamu"/>
        <w:spacing w:after="0" w:line="240" w:lineRule="auto"/>
        <w:ind w:left="0"/>
        <w:rPr>
          <w:rFonts w:ascii="Times New Roman" w:hAnsi="Times New Roman"/>
        </w:rPr>
      </w:pPr>
    </w:p>
    <w:p w:rsidR="005D78C1" w:rsidRPr="00A17653" w:rsidRDefault="005D78C1" w:rsidP="00A17653">
      <w:pPr>
        <w:pStyle w:val="Odsekzoznamu"/>
        <w:spacing w:after="0" w:line="240" w:lineRule="auto"/>
        <w:ind w:left="0"/>
        <w:rPr>
          <w:rFonts w:ascii="Times New Roman" w:hAnsi="Times New Roman"/>
        </w:rPr>
      </w:pPr>
      <w:r w:rsidRPr="00A17653">
        <w:rPr>
          <w:rFonts w:ascii="Times New Roman" w:hAnsi="Times New Roman"/>
        </w:rPr>
        <w:t>Dlhodobá liečba imatinibom môže byť spojená s klinicky významným poklesom funkcie obličiek. Pred začatím liečby imatinibom je preto potrebné vyšetriť funkciu obličiek a dôkladne ju kontrolovať počas liečby, osobitnú pozornosť treba venovať pacientom vykazujúcim rizikové faktory pre renálnu dysfunkciu. Ak sa zistí renálna dysfunkcia, je potrebné predpísať adekvátnu liečbu a starostlivosť v súlade so štandardnými klinickými postupmi.</w:t>
      </w:r>
    </w:p>
    <w:p w:rsidR="00EC32A3" w:rsidRPr="00A17653" w:rsidRDefault="00EC32A3" w:rsidP="00A17653">
      <w:pPr>
        <w:widowControl w:val="0"/>
        <w:spacing w:after="0" w:line="240" w:lineRule="auto"/>
        <w:rPr>
          <w:rFonts w:ascii="Times New Roman" w:hAnsi="Times New Roman"/>
        </w:rPr>
      </w:pPr>
    </w:p>
    <w:p w:rsidR="00EC32A3" w:rsidRPr="00A17653" w:rsidRDefault="006552C6" w:rsidP="00A17653">
      <w:pPr>
        <w:widowControl w:val="0"/>
        <w:spacing w:after="0" w:line="240" w:lineRule="auto"/>
        <w:rPr>
          <w:rFonts w:ascii="Times New Roman" w:hAnsi="Times New Roman"/>
          <w:u w:val="single"/>
        </w:rPr>
      </w:pPr>
      <w:r w:rsidRPr="00A17653">
        <w:rPr>
          <w:rFonts w:ascii="Times New Roman" w:hAnsi="Times New Roman"/>
          <w:u w:val="single"/>
        </w:rPr>
        <w:t>Pediatrická populácia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Zaznamenali sa hlásenia o prípadoch spomalenia rastu u detí a predpubertálnych detí, ktoré dostávali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Dlhodobé účinky dlhotrvajúcej liečby imatinibom na rast u detí nie sú známe. Preto sa počas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liečby imatinibom odporúča dôsledné monitorovanie rastu u detí (pozri časť 4.8).</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4.5</w:t>
      </w:r>
      <w:r w:rsidRPr="00A17653">
        <w:rPr>
          <w:rFonts w:ascii="Times New Roman" w:hAnsi="Times New Roman"/>
          <w:b/>
        </w:rPr>
        <w:tab/>
        <w:t>Liekové a iné interakcie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 xml:space="preserve">Liečivá, ktoré môžu </w:t>
      </w:r>
      <w:r w:rsidRPr="00A17653">
        <w:rPr>
          <w:rFonts w:ascii="Times New Roman" w:hAnsi="Times New Roman"/>
          <w:b/>
          <w:u w:val="single"/>
        </w:rPr>
        <w:t>zvýšiť</w:t>
      </w:r>
      <w:r w:rsidRPr="00A17653">
        <w:rPr>
          <w:rFonts w:ascii="Times New Roman" w:hAnsi="Times New Roman"/>
          <w:u w:val="single"/>
        </w:rPr>
        <w:t xml:space="preserve"> plazmatické koncentrácie imatinibu:</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 xml:space="preserve">Látky, ktoré inhibujú aktivitu izoenzýmu CYP3A4 cytochrómu P450 (napr. inhibítory proteáz ako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indinavir, lopinavir/ritonavir, ritonavir, sachinavir, telaprevir, nelfinavir, boceprevir; azolové antimykotiká vrátane ketokonazolu, itrakonazolu, posakonazolu, vorikonazolu; niektoré makrolidy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ako erytromycín, klaritromycín a telitromycín), môžu spomaliť metabolizmus a zvýšiť koncentrácie imatinibu. Expozícia imatinibu sa významne zvýšila (priemerná hodnota C</w:t>
      </w:r>
      <w:r w:rsidRPr="00A17653">
        <w:rPr>
          <w:rFonts w:ascii="Times New Roman" w:hAnsi="Times New Roman"/>
          <w:vertAlign w:val="subscript"/>
        </w:rPr>
        <w:t>max</w:t>
      </w:r>
      <w:r w:rsidRPr="00A17653">
        <w:rPr>
          <w:rFonts w:ascii="Times New Roman" w:hAnsi="Times New Roman"/>
        </w:rPr>
        <w:t xml:space="preserve"> imatinibu vzrástla o 26 % a AUC o 40 %) u zdravých osôb, keď sa imatinib podal súbežne s jednorazovou dávkou ketokonazolu (inhibítor CYP3A4). Opatrnosť je potrebná pri podávaní imatinibu s inhibítormi triedy CYP3A4.</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 xml:space="preserve">Liečivá, ktoré môžu </w:t>
      </w:r>
      <w:r w:rsidRPr="00A17653">
        <w:rPr>
          <w:rFonts w:ascii="Times New Roman" w:hAnsi="Times New Roman"/>
          <w:b/>
          <w:u w:val="single"/>
        </w:rPr>
        <w:t>znížiť</w:t>
      </w:r>
      <w:r w:rsidRPr="00A17653">
        <w:rPr>
          <w:rFonts w:ascii="Times New Roman" w:hAnsi="Times New Roman"/>
          <w:u w:val="single"/>
        </w:rPr>
        <w:t xml:space="preserve"> plazmatické koncentrácie imatinibu:</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Látky, ktoré indukujú aktivitu CYP3A4 (napr. dexametazón, fenytoín, karbamazepín, rifampicín,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fenobarbital, fosfenytoín, primidon alebo Hypericum perforatum – Ľubovník bodkovaný), môžu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významne znížiť expozíciu imatinibu a tým prípadne zvýšiť riziko zlyhania liečby. Predchádzajúca liečba opakovaným podávaním 600 mg rifampicínu, po ktorej nasledovala jednorazová dávka 400 mg imatinibu, spôsobila pokles C</w:t>
      </w:r>
      <w:r w:rsidRPr="00A17653">
        <w:rPr>
          <w:rFonts w:ascii="Times New Roman" w:hAnsi="Times New Roman"/>
          <w:vertAlign w:val="subscript"/>
        </w:rPr>
        <w:t>max</w:t>
      </w:r>
      <w:r w:rsidRPr="00A17653">
        <w:rPr>
          <w:rFonts w:ascii="Times New Roman" w:hAnsi="Times New Roman"/>
        </w:rPr>
        <w:t xml:space="preserve"> o najmenej 54 % a AUC</w:t>
      </w:r>
      <w:r w:rsidRPr="00A17653">
        <w:rPr>
          <w:rFonts w:ascii="Times New Roman" w:hAnsi="Times New Roman"/>
          <w:vertAlign w:val="subscript"/>
        </w:rPr>
        <w:t>(0-∞)</w:t>
      </w:r>
      <w:r w:rsidRPr="00A17653">
        <w:rPr>
          <w:rFonts w:ascii="Times New Roman" w:hAnsi="Times New Roman"/>
        </w:rPr>
        <w:t xml:space="preserve"> o najmenej 74 % oproti zodpovedajúcim hodnotám bez liečby rifampicínom. Podobné výsledky sa pozorovali u pacientov s malígnymi gliómami liečených imatinibom počas užívania antiepileptík indukujúcich enzýmy (EIAED), napr. karbamazepínu, oxkarbazepínu a fenytoínu. Hodnota AUC imatinibu v plazme sa znížila o 73 % v porovnaní s pacientmi, ktorí neužívali EIAED. Je potrebné vyhnúť sa súbežnému podávaniu silných induktorov CYP3A4 a imatinibu.</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 xml:space="preserve">Liečivá, ktorých plazmatické koncentrácie môže imatinib </w:t>
      </w:r>
      <w:r w:rsidRPr="00A17653">
        <w:rPr>
          <w:rFonts w:ascii="Times New Roman" w:hAnsi="Times New Roman"/>
          <w:b/>
          <w:u w:val="single"/>
        </w:rPr>
        <w:t>zmeniť</w:t>
      </w:r>
      <w:r w:rsidR="00C476DF" w:rsidRPr="00A17653">
        <w:rPr>
          <w:rFonts w:ascii="Times New Roman" w:hAnsi="Times New Roman"/>
          <w:u w:val="single"/>
        </w:rPr>
        <w:t>:</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Imatinib zvyšuje priemernú hodnotu C</w:t>
      </w:r>
      <w:r w:rsidRPr="00A17653">
        <w:rPr>
          <w:rFonts w:ascii="Times New Roman" w:hAnsi="Times New Roman"/>
          <w:vertAlign w:val="subscript"/>
        </w:rPr>
        <w:t>max</w:t>
      </w:r>
      <w:r w:rsidRPr="00A17653">
        <w:rPr>
          <w:rFonts w:ascii="Times New Roman" w:hAnsi="Times New Roman"/>
        </w:rPr>
        <w:t xml:space="preserve"> simvastatínu (substrát CYP3A4) na 2-násobok a AUC na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3,5-násobok, čo poukazuje na inhibíciu CYP3A4 imatinibom. Preto sa odporúča opatrnosť pri podávaní Imatinibu Glenmark so substrátmi CYP3A4 s úzkym terapeutickým oknom (napr.cyklosporínom, pimozidom, takrolimom, sirolimom, ergotamínom, diergotamínom, fentanylom, alfentanilom, terfenadínom, bortezomibom, docetaxelom a chinidínom). Imatinib môže zvyšovať plazmatickú koncentráciu iných liečiv metabolizovaných CYP3A4 (napr. triazolobenzodiazepíny, blokátory kalciových kanálov dihydropyridínového typu, niektoré inhibítory HMG-CoA-reduktázy, t.j. statíny atď.).</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Pre známe zvýšené riziko krvácania spojené s použitím imatinibu (napr. hemorágie) majú pacienti, ktorí potrebujú antikoagulanciá, dostávať nízkomolekulový alebo štandardný heparín, namiesto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kumarínových derivátov, napr. warfarínu.</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w:t>
      </w:r>
      <w:r w:rsidRPr="00A17653">
        <w:rPr>
          <w:rFonts w:ascii="Times New Roman" w:hAnsi="Times New Roman"/>
          <w:i/>
        </w:rPr>
        <w:t>in vitro</w:t>
      </w:r>
      <w:r w:rsidRPr="00A17653">
        <w:rPr>
          <w:rFonts w:ascii="Times New Roman" w:hAnsi="Times New Roman"/>
        </w:rPr>
        <w:t xml:space="preserve"> inhibuje aktivitu izoenzýmu CYP2D6 cytochrómu P450 v podobných koncentráciách, aké ovplyvňujú aktivitu CYP3A4. Imatinib v dávke 400 mg dvakrát denne mal inhibičný účinok na metabolizmus metoprololu sprostredkovaný CYP2D6, so zvýšením C</w:t>
      </w:r>
      <w:r w:rsidRPr="00A17653">
        <w:rPr>
          <w:rFonts w:ascii="Times New Roman" w:hAnsi="Times New Roman"/>
          <w:vertAlign w:val="subscript"/>
        </w:rPr>
        <w:t>max</w:t>
      </w:r>
      <w:r w:rsidRPr="00A17653">
        <w:rPr>
          <w:rFonts w:ascii="Times New Roman" w:hAnsi="Times New Roman"/>
        </w:rPr>
        <w:t xml:space="preserve"> a AUC metoprololu približne o 23 % (90 % CI [1,16-1,30]). Úprava dávky sa nezdá byť potrebná, keď sa imatinib podáva súbežne so substrátmi CYP2D6, pri substrátoch CYP2D6 s úzkym terapeutickým oknom, ako je metoprolol, sa však odporúča opatrnosť. U pacientov liečených metoprololom sa má zvážiť klinické monitorovanie.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w:t>
      </w:r>
      <w:r w:rsidRPr="00A17653">
        <w:rPr>
          <w:rFonts w:ascii="Times New Roman" w:hAnsi="Times New Roman"/>
          <w:i/>
        </w:rPr>
        <w:t>in vitro</w:t>
      </w:r>
      <w:r w:rsidRPr="00A17653">
        <w:rPr>
          <w:rFonts w:ascii="Times New Roman" w:hAnsi="Times New Roman"/>
        </w:rPr>
        <w:t xml:space="preserve"> inhibuje O-glukuronidáciu paracetamolu s hodnotou Ki 58,5 mikromol/l. Táto inhibícia sa nepozorovala in vivo po podaní imatinibu 400 mg a 1000 mg paracetamolu. Vyššie dávky imatinibu a paracetamolu sa nesledovali.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Preto je pri súbežnom užívaní vysokých dávok imatinibu a paracetamolu potrebná opatrnosť.</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pacientov po tyreoidektómii, ktorí dostávajú levotyroxín, sa pri súbežnom podávaní imatinibu môže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znížiť expozícia levotyroxínu v plazme (pozri časť 4.4). Preto sa odporúča opatrnosť. Mechanizmus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pozorovanej interakcie však v súčasnosti nie je známy.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Klinické skúsenosti so súbežným podávaním imatinibu a chemoterapie sú u pacientov s Ph+ ALL (pozri časť 5.1), ale liekové interakcie medzi imatinibom a režimami chemoterapie nie sú uspokojivo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 xml:space="preserve">opísané. Nežiaduce udalosti pri imatinibe, napr. hepatotoxicita, myelosupresia alebo iné, sa môžu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zhoršiť a vyskytli sa správy o tom, že súčasné použitie s L-asparaginázou sa môže spájať so zvýšenou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hepatotoxicitou (pozri časť 4.8). Preto použitie imatinibu v kombinácii vyžaduje mimoriadnu opatrnosť.</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4.6</w:t>
      </w:r>
      <w:r w:rsidRPr="00A17653">
        <w:rPr>
          <w:rFonts w:ascii="Times New Roman" w:hAnsi="Times New Roman"/>
          <w:b/>
        </w:rPr>
        <w:tab/>
        <w:t>Fertilita, gravidita a laktácia</w:t>
      </w:r>
    </w:p>
    <w:p w:rsidR="001149BD" w:rsidRPr="00A17653" w:rsidRDefault="001149BD" w:rsidP="00A17653">
      <w:pPr>
        <w:widowControl w:val="0"/>
        <w:spacing w:after="0" w:line="240" w:lineRule="auto"/>
        <w:rPr>
          <w:rFonts w:ascii="Times New Roman" w:hAnsi="Times New Roman"/>
        </w:rPr>
      </w:pPr>
    </w:p>
    <w:p w:rsidR="001149BD" w:rsidRPr="00A17653" w:rsidRDefault="001149BD" w:rsidP="00A17653">
      <w:pPr>
        <w:widowControl w:val="0"/>
        <w:spacing w:after="0" w:line="240" w:lineRule="auto"/>
        <w:rPr>
          <w:rFonts w:ascii="Times New Roman" w:hAnsi="Times New Roman"/>
          <w:u w:val="single"/>
        </w:rPr>
      </w:pPr>
      <w:r w:rsidRPr="00A17653">
        <w:rPr>
          <w:rFonts w:ascii="Times New Roman" w:hAnsi="Times New Roman"/>
          <w:u w:val="single"/>
        </w:rPr>
        <w:t>Ženy vo fertilnom veku</w:t>
      </w:r>
    </w:p>
    <w:p w:rsidR="00EC32A3" w:rsidRPr="00A17653" w:rsidRDefault="001149BD" w:rsidP="00A17653">
      <w:pPr>
        <w:widowControl w:val="0"/>
        <w:spacing w:after="0" w:line="240" w:lineRule="auto"/>
        <w:rPr>
          <w:rFonts w:ascii="Times New Roman" w:hAnsi="Times New Roman"/>
        </w:rPr>
      </w:pPr>
      <w:r w:rsidRPr="00A17653">
        <w:rPr>
          <w:rFonts w:ascii="Times New Roman" w:hAnsi="Times New Roman"/>
        </w:rPr>
        <w:t>Ženy vo fertilnom veku je nutné poučiť, aby počas liečby používali účinnú antikoncepciu.</w:t>
      </w:r>
    </w:p>
    <w:p w:rsidR="001149BD" w:rsidRPr="00A17653" w:rsidRDefault="001149BD" w:rsidP="00A17653">
      <w:pPr>
        <w:widowControl w:val="0"/>
        <w:spacing w:after="0" w:line="240" w:lineRule="auto"/>
        <w:rPr>
          <w:rFonts w:ascii="Times New Roman" w:hAnsi="Times New Roman"/>
          <w:u w:val="single"/>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Gravidita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Údaje o použití imatinibu u gravidných žien sú obmedzené. </w:t>
      </w:r>
      <w:r w:rsidR="00931E25" w:rsidRPr="00A17653">
        <w:rPr>
          <w:rFonts w:ascii="Times New Roman" w:hAnsi="Times New Roman"/>
        </w:rPr>
        <w:t xml:space="preserve">Po uvedení lieku na trh boli u žien užívajúcich imatinib zaznamenané spontánne potraty a vrodené anomálie detí. </w:t>
      </w:r>
      <w:r w:rsidRPr="00A17653">
        <w:rPr>
          <w:rFonts w:ascii="Times New Roman" w:hAnsi="Times New Roman"/>
        </w:rPr>
        <w:t>Štúdie na zvieratách však preukázali reprodukčnú toxicitu (pozri časť 5.3) a nie jen známe potenciálne riziko pre plod. Imatinib sa nemá užívať počas gravidity, pokiaľ to nie je jednoznačne potrebné. Ak sa použije počas gravidity, pacientka sa musí oboznámiť s prípadným rizikom pre plod.</w:t>
      </w:r>
    </w:p>
    <w:p w:rsidR="00EC32A3" w:rsidRPr="00A17653" w:rsidRDefault="00EC32A3" w:rsidP="00A17653">
      <w:pPr>
        <w:widowControl w:val="0"/>
        <w:spacing w:after="0" w:line="240" w:lineRule="auto"/>
        <w:rPr>
          <w:rFonts w:ascii="Times New Roman" w:hAnsi="Times New Roman"/>
        </w:rPr>
      </w:pPr>
    </w:p>
    <w:p w:rsidR="00EC32A3" w:rsidRPr="00A17653" w:rsidRDefault="00657B41" w:rsidP="00A17653">
      <w:pPr>
        <w:widowControl w:val="0"/>
        <w:spacing w:after="0" w:line="240" w:lineRule="auto"/>
        <w:rPr>
          <w:rFonts w:ascii="Times New Roman" w:hAnsi="Times New Roman"/>
          <w:u w:val="single"/>
        </w:rPr>
      </w:pPr>
      <w:r w:rsidRPr="00A17653">
        <w:rPr>
          <w:rFonts w:ascii="Times New Roman" w:hAnsi="Times New Roman"/>
          <w:u w:val="single"/>
        </w:rPr>
        <w:t>Dojčenie</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Údaje o distribúcii imatinibu do ľudského mlieka sú obmedzené. Štúdie u dvoch dojčiacich žien ukázali, že imatinib aj jeho aktívny metabolit sa môžu distribuovať do ľudského mlieka. Stanovená hodnota pomeru v mlieku a plazme skúmaná u jednej pacientky bola 0,5 pre imatinib a 0,9 pre metabolit, čo naznačuje väčšiu distribúciu metabolitu do mlieka. Ak sa zváži kombinovaná koncentrácia imatinibu a metabolitu a maximálny denný príjem mlieka dojčatami, celková očakávaná expozícia by bola nízka (~10 % terapeutickej dávky). Pretože účinky expozície dojčaťa nízkym dávkam imatinibu nie sú známe, ženy užívajúce imatinib nemajú dojčiť.</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Fertilita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predklinických štúdiách nebola ovplyvnená fertilita samcov a samíc potkana (pozri časť 5.3). Štúdie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 pacientoch užívajúcich imatinib a jeho účinku na fertilitu a gametogenézu sa nevykonali. Pacienti,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ktorých znepokojuje ich fertilita počas liečby imatinibom, sa majú poradiť so svojím lekárom</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tabs>
          <w:tab w:val="left" w:pos="567"/>
        </w:tabs>
        <w:spacing w:after="0" w:line="240" w:lineRule="auto"/>
        <w:rPr>
          <w:rFonts w:ascii="Times New Roman" w:hAnsi="Times New Roman"/>
          <w:b/>
        </w:rPr>
      </w:pPr>
      <w:r w:rsidRPr="00A17653">
        <w:rPr>
          <w:rFonts w:ascii="Times New Roman" w:hAnsi="Times New Roman"/>
          <w:b/>
        </w:rPr>
        <w:t>4.7</w:t>
      </w:r>
      <w:r w:rsidRPr="00A17653">
        <w:rPr>
          <w:rFonts w:ascii="Times New Roman" w:hAnsi="Times New Roman"/>
          <w:b/>
        </w:rPr>
        <w:tab/>
        <w:t>Ovplyvnenie schopnosti viesť vozidlá a obsluhovať stroje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Pacienti sa počas liečby imatinibom majú upozorniť na možný výskyt nežiaducich účinkov, ako sú závraty alebo neostré videnie. Preto sa pri vedení vozidla alebo obsluhe strojov odporúča opatrnosť.</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tabs>
          <w:tab w:val="left" w:pos="567"/>
        </w:tabs>
        <w:spacing w:after="0" w:line="240" w:lineRule="auto"/>
        <w:rPr>
          <w:rFonts w:ascii="Times New Roman" w:hAnsi="Times New Roman"/>
          <w:b/>
        </w:rPr>
      </w:pPr>
      <w:r w:rsidRPr="00A17653">
        <w:rPr>
          <w:rFonts w:ascii="Times New Roman" w:hAnsi="Times New Roman"/>
          <w:b/>
        </w:rPr>
        <w:t>4.8</w:t>
      </w:r>
      <w:r w:rsidRPr="00A17653">
        <w:rPr>
          <w:rFonts w:ascii="Times New Roman" w:hAnsi="Times New Roman"/>
          <w:b/>
        </w:rPr>
        <w:tab/>
        <w:t>Nežiaduce účinky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pacientov v pokročilých štádiách malignít sa môže vyskytovať mnoho komplikovaných stavov,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ktoré sťažujú stanovenie kauzality nežiaducich reakcií pre rôznorodosť príznakov súvisiacich so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základným ochorením, progresiu základného ochorenia a súčasné podávanie početných liekov.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klinických skúšaniach pri CML sa predčasné ukončenie liečby pre nežiaduce reakcie súvisiace 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liekom pozorovalo u 2,4 % novodiagnostikovaných pacientov, 4 % pacientov v neskorej chronickej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fáze po zlyhaní liečby interferónom, 4 % pacientov v akcelerovanej fáze po zlyhaní liečby </w:t>
      </w:r>
    </w:p>
    <w:p w:rsidR="00BF0DCA" w:rsidRPr="00A17653" w:rsidRDefault="00EC32A3"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hAnsi="Times New Roman"/>
        </w:rPr>
        <w:t>interferónom a 5 % pacientov v blastickej kríze po zlyhaní liečby interferónom.</w:t>
      </w:r>
      <w:r w:rsidR="00BF0DCA" w:rsidRPr="00A17653">
        <w:rPr>
          <w:rFonts w:ascii="Times New Roman" w:hAnsi="Times New Roman"/>
        </w:rPr>
        <w:t xml:space="preserve"> </w:t>
      </w:r>
      <w:r w:rsidR="00BF0DCA" w:rsidRPr="00A17653">
        <w:rPr>
          <w:rFonts w:ascii="Times New Roman" w:eastAsia="TimesNewRoman" w:hAnsi="Times New Roman"/>
          <w:lang w:eastAsia="sk-SK"/>
        </w:rPr>
        <w:t>Pri GIST sa skúšaný</w:t>
      </w:r>
    </w:p>
    <w:p w:rsidR="00BF0DCA" w:rsidRPr="00A17653" w:rsidRDefault="00BF0DCA" w:rsidP="00A17653">
      <w:pPr>
        <w:widowControl w:val="0"/>
        <w:spacing w:after="0" w:line="240" w:lineRule="auto"/>
        <w:rPr>
          <w:rFonts w:ascii="Times New Roman" w:hAnsi="Times New Roman"/>
        </w:rPr>
      </w:pPr>
      <w:r w:rsidRPr="00A17653">
        <w:rPr>
          <w:rFonts w:ascii="Times New Roman" w:eastAsia="TimesNewRoman" w:hAnsi="Times New Roman"/>
          <w:lang w:eastAsia="sk-SK"/>
        </w:rPr>
        <w:t>liek vysadil pre nežiaduce reakcie súvisiace s liekom u 4 % pacientov.</w:t>
      </w:r>
    </w:p>
    <w:p w:rsidR="00BF0DCA" w:rsidRPr="00A17653" w:rsidRDefault="00BF0DCA" w:rsidP="00A17653">
      <w:pPr>
        <w:widowControl w:val="0"/>
        <w:spacing w:after="0" w:line="240" w:lineRule="auto"/>
        <w:rPr>
          <w:rFonts w:ascii="Times New Roman" w:hAnsi="Times New Roman"/>
        </w:rPr>
      </w:pPr>
    </w:p>
    <w:p w:rsidR="00EC32A3" w:rsidRPr="00A17653" w:rsidRDefault="00BF0DCA" w:rsidP="00A17653">
      <w:pPr>
        <w:widowControl w:val="0"/>
        <w:spacing w:after="0" w:line="240" w:lineRule="auto"/>
        <w:rPr>
          <w:rFonts w:ascii="Times New Roman" w:hAnsi="Times New Roman"/>
        </w:rPr>
      </w:pPr>
      <w:r w:rsidRPr="00A17653">
        <w:rPr>
          <w:rFonts w:ascii="Times New Roman" w:hAnsi="Times New Roman"/>
        </w:rPr>
        <w:t xml:space="preserve">Nežiaduce reakcie boli podobné, s dvoma výnimkami.. Myelosupresia sa pozorovala vo väčšom rozsahu u pacientov s CML </w:t>
      </w:r>
      <w:r w:rsidRPr="00A17653">
        <w:rPr>
          <w:rFonts w:ascii="Times New Roman" w:eastAsia="TimesNewRoman" w:hAnsi="Times New Roman"/>
          <w:lang w:eastAsia="sk-SK"/>
        </w:rPr>
        <w:t>ako u pacientov s GIST</w:t>
      </w:r>
      <w:r w:rsidRPr="00A17653">
        <w:rPr>
          <w:rFonts w:ascii="Times New Roman" w:hAnsi="Times New Roman"/>
        </w:rPr>
        <w:t xml:space="preserve">, čo je pravdepodobne dôsledkom základného ochorenia. V </w:t>
      </w:r>
      <w:r w:rsidRPr="00A17653">
        <w:rPr>
          <w:rFonts w:ascii="Times New Roman" w:eastAsia="TimesNewRoman" w:hAnsi="Times New Roman"/>
          <w:lang w:eastAsia="sk-SK"/>
        </w:rPr>
        <w:t xml:space="preserve">klinickom skúšaní s pacientmi s neresekovateľným a/alebo metastazujúcim GIST sa vyskytlo u 7 (5 %) pacientov krvácanie 3./4. stupňa podľa všeobecných kritérií toxicity (CTC), a to gastrointestinálne krvácanie (3 pacienti), krvácanie vo vnútri nádoru (3 pacienti), alebo oboje (1 pacient). Lokalizácia nádorov v gastrointestinálnom systéme mohla byť príčinou gastrointestinálneho krvácania (pozri časť 4.4). Gastrointestinálne krvácanie alebo krvácanie vo vnútri nádoru môže byť </w:t>
      </w:r>
      <w:r w:rsidRPr="00A17653">
        <w:rPr>
          <w:rFonts w:ascii="Times New Roman" w:eastAsia="TimesNewRoman" w:hAnsi="Times New Roman"/>
          <w:lang w:eastAsia="sk-SK"/>
        </w:rPr>
        <w:lastRenderedPageBreak/>
        <w:t>vážne a niekedy smrteľné.</w:t>
      </w:r>
      <w:r w:rsidR="00EC32A3" w:rsidRPr="00A17653">
        <w:rPr>
          <w:rFonts w:ascii="Times New Roman" w:hAnsi="Times New Roman"/>
        </w:rPr>
        <w:t xml:space="preserve"> Najčastejšie zaznamenané (≥ 10 %) nežiaduce reakcie súvisiace s liekom boli slabá nauzea, vracanie, hnačka, bolesť brucha, únava, bolesť svalov, svalové kŕče a vyrážka. Povrchové edémy boli častým nálezom vo všetkých klinických skúšaniach a popísali sa prevažne ako periorbitálne edémy alebo edémy dolných končatín. Tieto edémy však boli len zriedka závažné a možno ich zvládnuť diuretikami, inými podpornými opatreniami alebo znížením dávky imatinibu.</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Keď sa imatinib kombinoval s vysokými dávkami chemoterapie u pacientov s Ph+ ALL, pozorovali sa </w:t>
      </w:r>
    </w:p>
    <w:p w:rsidR="006552C6" w:rsidRPr="00A17653" w:rsidRDefault="00EC32A3" w:rsidP="00A17653">
      <w:pPr>
        <w:widowControl w:val="0"/>
        <w:spacing w:after="0" w:line="240" w:lineRule="auto"/>
        <w:rPr>
          <w:rFonts w:ascii="Times New Roman" w:hAnsi="Times New Roman"/>
        </w:rPr>
      </w:pPr>
      <w:r w:rsidRPr="00A17653">
        <w:rPr>
          <w:rFonts w:ascii="Times New Roman" w:hAnsi="Times New Roman"/>
        </w:rPr>
        <w:t>prechodné toxické účinky na pečeň vo forme zvýšenia aminotransferáz a hyperbilirubinémie.</w:t>
      </w:r>
    </w:p>
    <w:p w:rsidR="006552C6" w:rsidRPr="00A17653" w:rsidRDefault="006552C6" w:rsidP="00A17653">
      <w:pPr>
        <w:widowControl w:val="0"/>
        <w:spacing w:after="0" w:line="240" w:lineRule="auto"/>
        <w:rPr>
          <w:rFonts w:ascii="Times New Roman" w:hAnsi="Times New Roman"/>
        </w:rPr>
      </w:pPr>
      <w:r w:rsidRPr="00A17653">
        <w:rPr>
          <w:rFonts w:ascii="Times New Roman" w:hAnsi="Times New Roman"/>
        </w:rPr>
        <w:t xml:space="preserve">S ohľadom na obmedzený súbor údajov o bezpečnosti boli doteraz hlásené nežiaduce účinky u detí </w:t>
      </w:r>
    </w:p>
    <w:p w:rsidR="006552C6" w:rsidRPr="00A17653" w:rsidRDefault="006552C6" w:rsidP="00A17653">
      <w:pPr>
        <w:widowControl w:val="0"/>
        <w:spacing w:after="0" w:line="240" w:lineRule="auto"/>
        <w:rPr>
          <w:rFonts w:ascii="Times New Roman" w:hAnsi="Times New Roman"/>
        </w:rPr>
      </w:pPr>
      <w:r w:rsidRPr="00A17653">
        <w:rPr>
          <w:rFonts w:ascii="Times New Roman" w:hAnsi="Times New Roman"/>
        </w:rPr>
        <w:t xml:space="preserve">zhodné so známym bezpečnostným profilom u dospelých s Ph+ ALL. Hoci je bezpečnostná databáza </w:t>
      </w:r>
    </w:p>
    <w:p w:rsidR="00EC32A3" w:rsidRPr="00A17653" w:rsidRDefault="006552C6" w:rsidP="00A17653">
      <w:pPr>
        <w:widowControl w:val="0"/>
        <w:spacing w:after="0" w:line="240" w:lineRule="auto"/>
        <w:rPr>
          <w:rFonts w:ascii="Times New Roman" w:hAnsi="Times New Roman"/>
        </w:rPr>
      </w:pPr>
      <w:r w:rsidRPr="00A17653">
        <w:rPr>
          <w:rFonts w:ascii="Times New Roman" w:hAnsi="Times New Roman"/>
        </w:rPr>
        <w:t>detí s Ph+ALL limitovaná, neboli zaznamenané žiadne nové nežiaduce účinky.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Rôzne nežiaduce reakcie, ako je pleurálny výpotok, ascites, pľúcny edém a rýchle zvýšenie hmotnosti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 povrchovým edémom alebo bez neho, možno súhrnne opísať ako „zadržiavanie tekutiny“. Tieto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reakcie sa zvyčajne dajú zvládnuť dočasným vysadením imatinibu a podávaním diuretík a inými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vhodnými podpornými opatreniami. Niektoré z týchto reakcií však môžu byť závažné alebo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ohrozujúce život a niekoľko pacientov v blastickej kríze zomrelo po komplikovanom klinickom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obraze pleurálneho výpotku, kongestívneho zlyhania srdca a zlyhania obličiek. V pediatrických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klinických skúšaniach sa nezistili žiadne osobitné údaje týkajúce sa bezpečnosti.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Nežiaduce reakcie</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Nežiaduce reakcie, ktoré sa zaznamenali častejšie ako len v ojedinelých prípadoch, sa uvádzajú ďalej</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podľa orgánových systémov a frekvencie výskytu. Kategórie frekvencií sú definované pomocou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nasledujúcej konvencie: veľmi časté (≥1/10), časté (≥1/100 až &lt;1/10), menej časté (≥1/1 000 až</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&lt;1/100), zriedkavé (≥1/10 000 až &lt;1/1 000), veľmi zriedkavé (&lt;1/10 000), neznáme (z dostupných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údajov).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rámci jednotlivých skupín frekvencií sú nežiaduce účinky usporiadané v poradí frekvencie,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najčastejšie ako prvé.</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Nežiaduce reakcie a ich frekvencie uvedené v Tabuľke 1 sú založené na hlavných registračných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klinických skúšaniach.</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Tabuľka 1</w:t>
      </w:r>
      <w:r w:rsidRPr="00A17653">
        <w:rPr>
          <w:rFonts w:ascii="Times New Roman" w:hAnsi="Times New Roman"/>
          <w:b/>
        </w:rPr>
        <w:tab/>
      </w:r>
      <w:r w:rsidR="00125C34" w:rsidRPr="00A17653">
        <w:rPr>
          <w:rFonts w:ascii="Times New Roman" w:hAnsi="Times New Roman"/>
          <w:b/>
        </w:rPr>
        <w:t>Tabuľkový súhrn nežiaducich reakcií</w:t>
      </w:r>
    </w:p>
    <w:p w:rsidR="00EC32A3" w:rsidRPr="00A17653" w:rsidRDefault="00EC32A3" w:rsidP="00A17653">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1"/>
        <w:gridCol w:w="4551"/>
      </w:tblGrid>
      <w:tr w:rsidR="00EC32A3" w:rsidRPr="00A17653" w:rsidTr="00A91FDF">
        <w:tc>
          <w:tcPr>
            <w:tcW w:w="9062" w:type="dxa"/>
            <w:gridSpan w:val="2"/>
          </w:tcPr>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Infekcie a nákazy</w:t>
            </w:r>
          </w:p>
        </w:tc>
      </w:tr>
      <w:tr w:rsidR="00EC32A3" w:rsidRPr="00A17653" w:rsidTr="00A91FDF">
        <w:tc>
          <w:tcPr>
            <w:tcW w:w="451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Menej 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Herpes zoster, herpes simplex, nazofaryngitída, pneumónia</w:t>
            </w:r>
            <w:r w:rsidRPr="00A17653">
              <w:rPr>
                <w:rFonts w:ascii="Times New Roman" w:hAnsi="Times New Roman"/>
                <w:vertAlign w:val="superscript"/>
              </w:rPr>
              <w:t>1</w:t>
            </w:r>
            <w:r w:rsidRPr="00A17653">
              <w:rPr>
                <w:rFonts w:ascii="Times New Roman" w:hAnsi="Times New Roman"/>
              </w:rPr>
              <w:t>, sinusitída, celulitída, infekcia horných dýchacích ciest, chrípka, infekcia močových ciest, gastroenteritída, sepsa</w:t>
            </w:r>
          </w:p>
        </w:tc>
      </w:tr>
      <w:tr w:rsidR="00EC32A3" w:rsidRPr="00A17653" w:rsidTr="00A91FDF">
        <w:tc>
          <w:tcPr>
            <w:tcW w:w="451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Zriedkavé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Hubová infekcia</w:t>
            </w:r>
          </w:p>
        </w:tc>
      </w:tr>
      <w:tr w:rsidR="00125C34" w:rsidRPr="00A17653" w:rsidTr="00A91FDF">
        <w:tc>
          <w:tcPr>
            <w:tcW w:w="4511" w:type="dxa"/>
          </w:tcPr>
          <w:p w:rsidR="00125C34" w:rsidRPr="00A17653" w:rsidRDefault="00125C34" w:rsidP="00A17653">
            <w:pPr>
              <w:widowControl w:val="0"/>
              <w:spacing w:after="0" w:line="240" w:lineRule="auto"/>
              <w:rPr>
                <w:rFonts w:ascii="Times New Roman" w:hAnsi="Times New Roman"/>
              </w:rPr>
            </w:pPr>
            <w:r w:rsidRPr="00A17653">
              <w:rPr>
                <w:rFonts w:ascii="Times New Roman" w:hAnsi="Times New Roman"/>
              </w:rPr>
              <w:t>Neznáme</w:t>
            </w:r>
          </w:p>
        </w:tc>
        <w:tc>
          <w:tcPr>
            <w:tcW w:w="4551" w:type="dxa"/>
          </w:tcPr>
          <w:p w:rsidR="00125C34" w:rsidRPr="00A17653" w:rsidRDefault="00125C34" w:rsidP="00A17653">
            <w:pPr>
              <w:widowControl w:val="0"/>
              <w:spacing w:after="0" w:line="240" w:lineRule="auto"/>
              <w:rPr>
                <w:rFonts w:ascii="Times New Roman" w:hAnsi="Times New Roman"/>
              </w:rPr>
            </w:pPr>
            <w:r w:rsidRPr="00A17653">
              <w:rPr>
                <w:rFonts w:ascii="Times New Roman" w:hAnsi="Times New Roman"/>
              </w:rPr>
              <w:t>Reaktivácia hepatitídy B</w:t>
            </w:r>
          </w:p>
        </w:tc>
      </w:tr>
      <w:tr w:rsidR="00EC32A3" w:rsidRPr="00A17653" w:rsidTr="00A91FDF">
        <w:tc>
          <w:tcPr>
            <w:tcW w:w="9062" w:type="dxa"/>
            <w:gridSpan w:val="2"/>
          </w:tcPr>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Benígne a malígne nádory, vrátane nešpecifikovaných novotvarov (cysty a polypy)</w:t>
            </w:r>
          </w:p>
        </w:tc>
      </w:tr>
      <w:tr w:rsidR="00EC32A3" w:rsidRPr="00A17653" w:rsidTr="00A91FDF">
        <w:tc>
          <w:tcPr>
            <w:tcW w:w="451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Zriedkavé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Syndróm z rozpadu nádoru</w:t>
            </w:r>
          </w:p>
        </w:tc>
      </w:tr>
      <w:tr w:rsidR="00125C34" w:rsidRPr="00A17653" w:rsidTr="00A91FDF">
        <w:tc>
          <w:tcPr>
            <w:tcW w:w="4511" w:type="dxa"/>
          </w:tcPr>
          <w:p w:rsidR="00125C34" w:rsidRPr="00A17653" w:rsidRDefault="00125C34" w:rsidP="00A17653">
            <w:pPr>
              <w:widowControl w:val="0"/>
              <w:spacing w:after="0" w:line="240" w:lineRule="auto"/>
              <w:rPr>
                <w:rFonts w:ascii="Times New Roman" w:hAnsi="Times New Roman"/>
              </w:rPr>
            </w:pPr>
            <w:r w:rsidRPr="00A17653">
              <w:rPr>
                <w:rFonts w:ascii="Times New Roman" w:hAnsi="Times New Roman"/>
              </w:rPr>
              <w:t>Neznáme</w:t>
            </w:r>
          </w:p>
        </w:tc>
        <w:tc>
          <w:tcPr>
            <w:tcW w:w="4551" w:type="dxa"/>
          </w:tcPr>
          <w:p w:rsidR="00125C34" w:rsidRPr="00A17653" w:rsidRDefault="00125C34" w:rsidP="00A17653">
            <w:pPr>
              <w:widowControl w:val="0"/>
              <w:spacing w:after="0" w:line="240" w:lineRule="auto"/>
              <w:rPr>
                <w:rFonts w:ascii="Times New Roman" w:hAnsi="Times New Roman"/>
              </w:rPr>
            </w:pPr>
            <w:r w:rsidRPr="00A17653">
              <w:rPr>
                <w:rFonts w:ascii="Times New Roman" w:hAnsi="Times New Roman"/>
              </w:rPr>
              <w:t>Krvácanie nádoru/nekróza nádoru*</w:t>
            </w:r>
          </w:p>
        </w:tc>
      </w:tr>
      <w:tr w:rsidR="00A91FDF" w:rsidRPr="00A17653" w:rsidTr="00E951DA">
        <w:tc>
          <w:tcPr>
            <w:tcW w:w="9062" w:type="dxa"/>
            <w:gridSpan w:val="2"/>
          </w:tcPr>
          <w:p w:rsidR="00A91FDF" w:rsidRPr="00A17653" w:rsidRDefault="00A91FDF" w:rsidP="00A17653">
            <w:pPr>
              <w:widowControl w:val="0"/>
              <w:spacing w:after="0" w:line="240" w:lineRule="auto"/>
              <w:rPr>
                <w:rFonts w:ascii="Times New Roman" w:hAnsi="Times New Roman"/>
                <w:b/>
              </w:rPr>
            </w:pPr>
            <w:r w:rsidRPr="00A17653">
              <w:rPr>
                <w:rFonts w:ascii="Times New Roman" w:hAnsi="Times New Roman"/>
                <w:b/>
              </w:rPr>
              <w:t>Poruchy imunitného systému</w:t>
            </w:r>
          </w:p>
        </w:tc>
      </w:tr>
      <w:tr w:rsidR="00125C34" w:rsidRPr="00A17653" w:rsidTr="00A91FDF">
        <w:tc>
          <w:tcPr>
            <w:tcW w:w="4511" w:type="dxa"/>
          </w:tcPr>
          <w:p w:rsidR="00125C34" w:rsidRPr="00A17653" w:rsidRDefault="00A91FDF" w:rsidP="00A17653">
            <w:pPr>
              <w:widowControl w:val="0"/>
              <w:spacing w:after="0" w:line="240" w:lineRule="auto"/>
              <w:rPr>
                <w:rFonts w:ascii="Times New Roman" w:hAnsi="Times New Roman"/>
              </w:rPr>
            </w:pPr>
            <w:r w:rsidRPr="00A17653">
              <w:rPr>
                <w:rFonts w:ascii="Times New Roman" w:hAnsi="Times New Roman"/>
              </w:rPr>
              <w:t>Neznáme</w:t>
            </w:r>
          </w:p>
        </w:tc>
        <w:tc>
          <w:tcPr>
            <w:tcW w:w="4551" w:type="dxa"/>
          </w:tcPr>
          <w:p w:rsidR="00125C34" w:rsidRPr="00A17653" w:rsidRDefault="00A91FDF" w:rsidP="00A17653">
            <w:pPr>
              <w:widowControl w:val="0"/>
              <w:spacing w:after="0" w:line="240" w:lineRule="auto"/>
              <w:rPr>
                <w:rFonts w:ascii="Times New Roman" w:hAnsi="Times New Roman"/>
              </w:rPr>
            </w:pPr>
            <w:r w:rsidRPr="00A17653">
              <w:rPr>
                <w:rFonts w:ascii="Times New Roman" w:hAnsi="Times New Roman"/>
              </w:rPr>
              <w:t>Anafylaktický šok*</w:t>
            </w:r>
          </w:p>
        </w:tc>
      </w:tr>
      <w:tr w:rsidR="00EC32A3" w:rsidRPr="00A17653" w:rsidTr="00A91FDF">
        <w:tc>
          <w:tcPr>
            <w:tcW w:w="9062" w:type="dxa"/>
            <w:gridSpan w:val="2"/>
          </w:tcPr>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Poruchy krvi a lymfatického systému</w:t>
            </w:r>
          </w:p>
        </w:tc>
      </w:tr>
      <w:tr w:rsidR="00EC32A3" w:rsidRPr="00A17653" w:rsidTr="00A91FDF">
        <w:tc>
          <w:tcPr>
            <w:tcW w:w="451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Veľmi 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Neutropénia, trombocytopénia, anémia</w:t>
            </w:r>
          </w:p>
        </w:tc>
      </w:tr>
      <w:tr w:rsidR="00EC32A3" w:rsidRPr="00A17653" w:rsidTr="00A91FDF">
        <w:tc>
          <w:tcPr>
            <w:tcW w:w="451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Pancytopénia, febrilná neutropénia</w:t>
            </w:r>
          </w:p>
        </w:tc>
      </w:tr>
      <w:tr w:rsidR="00EC32A3" w:rsidRPr="00A17653" w:rsidTr="00A91FDF">
        <w:tc>
          <w:tcPr>
            <w:tcW w:w="451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Menej 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Trombocytémia, lymfopénia, útlm kostnej drene, eozinofília, lymfadenopatia</w:t>
            </w:r>
          </w:p>
        </w:tc>
      </w:tr>
      <w:tr w:rsidR="00EC32A3" w:rsidRPr="00A17653" w:rsidTr="00A91FDF">
        <w:tc>
          <w:tcPr>
            <w:tcW w:w="451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Zriedkavé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Hemolytická anémia</w:t>
            </w:r>
          </w:p>
        </w:tc>
      </w:tr>
      <w:tr w:rsidR="00EC32A3" w:rsidRPr="00A17653" w:rsidTr="00A91FDF">
        <w:tc>
          <w:tcPr>
            <w:tcW w:w="9062" w:type="dxa"/>
            <w:gridSpan w:val="2"/>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b/>
              </w:rPr>
              <w:t>Poruchy metabolizmu a výživy</w:t>
            </w:r>
            <w:r w:rsidRPr="00A17653">
              <w:rPr>
                <w:rFonts w:ascii="Times New Roman" w:hAnsi="Times New Roman"/>
              </w:rPr>
              <w:t xml:space="preserve"> </w:t>
            </w:r>
          </w:p>
        </w:tc>
      </w:tr>
      <w:tr w:rsidR="00EC32A3" w:rsidRPr="00A17653" w:rsidTr="00A91FDF">
        <w:tc>
          <w:tcPr>
            <w:tcW w:w="451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Anorexia</w:t>
            </w:r>
          </w:p>
        </w:tc>
      </w:tr>
      <w:tr w:rsidR="00EC32A3" w:rsidRPr="00A17653" w:rsidTr="00A91FDF">
        <w:tc>
          <w:tcPr>
            <w:tcW w:w="451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Menej 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Hypokaliémia, zvýšenie chuti do jedenia, hypofosfatémia, zníženie chuti do jedenia, dehydratácia, dna, hyperurikémia, hyperkalciémia, hyperglykémia, hyponatriémia</w:t>
            </w:r>
          </w:p>
        </w:tc>
      </w:tr>
      <w:tr w:rsidR="00EC32A3" w:rsidRPr="00A17653" w:rsidTr="00A91FDF">
        <w:tc>
          <w:tcPr>
            <w:tcW w:w="451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Zriedkavé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Hyperkaliémia, hypomagneziémia</w:t>
            </w:r>
          </w:p>
        </w:tc>
      </w:tr>
      <w:tr w:rsidR="00EC32A3" w:rsidRPr="00A17653" w:rsidTr="00A91FDF">
        <w:tc>
          <w:tcPr>
            <w:tcW w:w="9062" w:type="dxa"/>
            <w:gridSpan w:val="2"/>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b/>
              </w:rPr>
              <w:t>Psychické poruchy</w:t>
            </w:r>
          </w:p>
        </w:tc>
      </w:tr>
      <w:tr w:rsidR="00EC32A3" w:rsidRPr="00A17653" w:rsidTr="00A91FDF">
        <w:tc>
          <w:tcPr>
            <w:tcW w:w="451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Nespavosť</w:t>
            </w:r>
          </w:p>
        </w:tc>
      </w:tr>
      <w:tr w:rsidR="00EC32A3" w:rsidRPr="00A17653" w:rsidTr="00A91FDF">
        <w:tc>
          <w:tcPr>
            <w:tcW w:w="451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Menej 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Depresia, zníženie libida, úzkosť</w:t>
            </w:r>
          </w:p>
        </w:tc>
      </w:tr>
      <w:tr w:rsidR="00EC32A3" w:rsidRPr="00A17653" w:rsidTr="00A91FDF">
        <w:tc>
          <w:tcPr>
            <w:tcW w:w="451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Zriedkavé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Zmätenosť</w:t>
            </w:r>
          </w:p>
        </w:tc>
      </w:tr>
      <w:tr w:rsidR="00EC32A3" w:rsidRPr="00A17653" w:rsidTr="00A91FDF">
        <w:tc>
          <w:tcPr>
            <w:tcW w:w="9062" w:type="dxa"/>
            <w:gridSpan w:val="2"/>
          </w:tcPr>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Poruchy nervového systému</w:t>
            </w:r>
          </w:p>
        </w:tc>
      </w:tr>
      <w:tr w:rsidR="00EC32A3" w:rsidRPr="00A17653" w:rsidTr="00A91FDF">
        <w:tc>
          <w:tcPr>
            <w:tcW w:w="451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Veľmi 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Bolesť hlavy</w:t>
            </w:r>
            <w:r w:rsidRPr="00A17653">
              <w:rPr>
                <w:rFonts w:ascii="Times New Roman" w:hAnsi="Times New Roman"/>
                <w:vertAlign w:val="superscript"/>
              </w:rPr>
              <w:t>2</w:t>
            </w:r>
          </w:p>
        </w:tc>
      </w:tr>
      <w:tr w:rsidR="00EC32A3" w:rsidRPr="00A17653" w:rsidTr="00A91FDF">
        <w:tc>
          <w:tcPr>
            <w:tcW w:w="451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Závraty, parestézia, poruchy vnímania chuti, hypoestézia</w:t>
            </w:r>
          </w:p>
        </w:tc>
      </w:tr>
      <w:tr w:rsidR="00EC32A3" w:rsidRPr="00A17653" w:rsidTr="00A91FDF">
        <w:tc>
          <w:tcPr>
            <w:tcW w:w="451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Menej 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Migréna, somnolencia, synkopa, periférna neuropatia, zhoršenie pamäti, zápal sedacieho nervu, syndróm nepokojných nôh, tremor, krvácanie do mozgu</w:t>
            </w:r>
          </w:p>
        </w:tc>
      </w:tr>
      <w:tr w:rsidR="00EC32A3" w:rsidRPr="00A17653" w:rsidTr="00A91FDF">
        <w:tc>
          <w:tcPr>
            <w:tcW w:w="451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Zriedkavé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Zvýšenie vnútrolebečného tlaku, kŕče, neuritída zrakového nervu</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Neznáme</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Cerebrálny edém*</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b/>
              </w:rPr>
            </w:pPr>
            <w:r w:rsidRPr="00A17653">
              <w:rPr>
                <w:rFonts w:ascii="Times New Roman" w:hAnsi="Times New Roman"/>
                <w:b/>
              </w:rPr>
              <w:t>Poruchy oka</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Edém očného viečka, zvýšené slzenie, krvácanie do spojoviek, konjunktivitída, suchosť očí, neostré videnie</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Podráždenie očí, bolesť očí, orbitálny edém, krvácanie do skléry, krvácanie do sietnice, blefaritída, makulárny edém</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Zriedkavé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Katarakta, glaukóm, papiloedém</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Neznáme</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Krvácanie do sklovca*</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b/>
              </w:rPr>
            </w:pPr>
            <w:r w:rsidRPr="00A17653">
              <w:rPr>
                <w:rFonts w:ascii="Times New Roman" w:hAnsi="Times New Roman"/>
                <w:b/>
              </w:rPr>
              <w:t>Poruchy ucha a labyrintu</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Vertigo, tinitus, strata sluchu</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t>Poruchy srdca a srdcovej činnosti</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Palpitácie, tachykardia, kongestívne zlyhanie srdca</w:t>
            </w:r>
            <w:r w:rsidRPr="00A17653">
              <w:rPr>
                <w:rFonts w:ascii="Times New Roman" w:hAnsi="Times New Roman"/>
                <w:vertAlign w:val="superscript"/>
              </w:rPr>
              <w:t>3</w:t>
            </w:r>
            <w:r w:rsidRPr="00A17653">
              <w:rPr>
                <w:rFonts w:ascii="Times New Roman" w:hAnsi="Times New Roman"/>
              </w:rPr>
              <w:t>, pľúcny edém</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Zriedkavé: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Arytmia, fibrilácia predsiení, zastavenie srdca, infarkt myokardu, angina pectoris, perikardový výpotok</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Neznáme</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Perikarditída*, tamponáda srdca*</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t>Poruchy ciev</w:t>
            </w:r>
            <w:r w:rsidRPr="00A17653">
              <w:rPr>
                <w:rFonts w:ascii="Times New Roman" w:hAnsi="Times New Roman"/>
                <w:b/>
                <w:vertAlign w:val="superscript"/>
              </w:rPr>
              <w:t>4</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Návaly tepla, krvácanie</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 xml:space="preserve">Menej časté: </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Hypertenzia, hematóm, subdurálny hematóm, periférny pocit chladu, hypotenzia, Raynaudov fenomén</w:t>
            </w:r>
          </w:p>
        </w:tc>
      </w:tr>
      <w:tr w:rsidR="00065BF5" w:rsidRPr="00A17653" w:rsidTr="00A91FDF">
        <w:tc>
          <w:tcPr>
            <w:tcW w:w="4511" w:type="dxa"/>
          </w:tcPr>
          <w:p w:rsidR="00065BF5" w:rsidRPr="00A17653" w:rsidRDefault="00065BF5" w:rsidP="00A17653">
            <w:pPr>
              <w:widowControl w:val="0"/>
              <w:spacing w:after="0" w:line="240" w:lineRule="auto"/>
              <w:rPr>
                <w:rFonts w:ascii="Times New Roman" w:hAnsi="Times New Roman"/>
              </w:rPr>
            </w:pPr>
            <w:r w:rsidRPr="00A17653">
              <w:rPr>
                <w:rFonts w:ascii="Times New Roman" w:hAnsi="Times New Roman"/>
              </w:rPr>
              <w:t>Neznáme</w:t>
            </w:r>
          </w:p>
        </w:tc>
        <w:tc>
          <w:tcPr>
            <w:tcW w:w="4551" w:type="dxa"/>
          </w:tcPr>
          <w:p w:rsidR="00065BF5" w:rsidRPr="00A17653" w:rsidRDefault="00065BF5" w:rsidP="00A17653">
            <w:pPr>
              <w:widowControl w:val="0"/>
              <w:spacing w:after="0" w:line="240" w:lineRule="auto"/>
              <w:rPr>
                <w:rFonts w:ascii="Times New Roman" w:hAnsi="Times New Roman"/>
              </w:rPr>
            </w:pPr>
            <w:r w:rsidRPr="00A17653">
              <w:rPr>
                <w:rFonts w:ascii="Times New Roman" w:hAnsi="Times New Roman"/>
              </w:rPr>
              <w:t>Trombóza, embolus*</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t>Poruchy dýchacej sústavy, hrudníka a mediastína</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Dyspnoe, epistaxa, kašeľ</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 xml:space="preserve">Menej časté: </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Pleurálny výpotok</w:t>
            </w:r>
            <w:r w:rsidRPr="00A17653">
              <w:rPr>
                <w:rFonts w:ascii="Times New Roman" w:hAnsi="Times New Roman"/>
                <w:vertAlign w:val="superscript"/>
              </w:rPr>
              <w:t>5</w:t>
            </w:r>
            <w:r w:rsidRPr="00A17653">
              <w:rPr>
                <w:rFonts w:ascii="Times New Roman" w:hAnsi="Times New Roman"/>
              </w:rPr>
              <w:t>, bolesť hltana a hrtana, faryngitída</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 xml:space="preserve">Zriedkavé: </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Bolesť pohrudnice, pľúcna fibróza, pľúcna hypertenzia, krvácanie do pľúc</w:t>
            </w:r>
          </w:p>
        </w:tc>
      </w:tr>
      <w:tr w:rsidR="00865607" w:rsidRPr="00A17653" w:rsidTr="00A91FDF">
        <w:tc>
          <w:tcPr>
            <w:tcW w:w="4511" w:type="dxa"/>
          </w:tcPr>
          <w:p w:rsidR="00865607" w:rsidRPr="00A17653" w:rsidRDefault="00865607" w:rsidP="00A17653">
            <w:pPr>
              <w:widowControl w:val="0"/>
              <w:spacing w:after="0" w:line="240" w:lineRule="auto"/>
              <w:rPr>
                <w:rFonts w:ascii="Times New Roman" w:hAnsi="Times New Roman"/>
              </w:rPr>
            </w:pPr>
            <w:r w:rsidRPr="00A17653">
              <w:rPr>
                <w:rFonts w:ascii="Times New Roman" w:hAnsi="Times New Roman"/>
              </w:rPr>
              <w:t>Neznáme</w:t>
            </w:r>
          </w:p>
        </w:tc>
        <w:tc>
          <w:tcPr>
            <w:tcW w:w="4551" w:type="dxa"/>
          </w:tcPr>
          <w:p w:rsidR="00865607" w:rsidRPr="00A17653" w:rsidRDefault="00865607" w:rsidP="00AC471F">
            <w:pPr>
              <w:widowControl w:val="0"/>
              <w:spacing w:after="0" w:line="240" w:lineRule="auto"/>
              <w:rPr>
                <w:rFonts w:ascii="Times New Roman" w:hAnsi="Times New Roman"/>
              </w:rPr>
            </w:pPr>
            <w:r w:rsidRPr="00A17653">
              <w:rPr>
                <w:rFonts w:ascii="Times New Roman" w:hAnsi="Times New Roman"/>
              </w:rPr>
              <w:t>Akútne respiračné zlyhávanie</w:t>
            </w:r>
            <w:r w:rsidRPr="00A17653">
              <w:rPr>
                <w:rFonts w:ascii="Times New Roman" w:hAnsi="Times New Roman"/>
                <w:vertAlign w:val="superscript"/>
              </w:rPr>
              <w:t>1</w:t>
            </w:r>
            <w:r w:rsidR="00AC471F">
              <w:rPr>
                <w:rFonts w:ascii="Times New Roman" w:hAnsi="Times New Roman"/>
                <w:vertAlign w:val="superscript"/>
              </w:rPr>
              <w:t>1</w:t>
            </w:r>
            <w:r w:rsidRPr="00A17653">
              <w:rPr>
                <w:rFonts w:ascii="Times New Roman" w:hAnsi="Times New Roman"/>
                <w:vertAlign w:val="superscript"/>
              </w:rPr>
              <w:t>*</w:t>
            </w:r>
            <w:r w:rsidRPr="00A17653">
              <w:rPr>
                <w:rFonts w:ascii="Times New Roman" w:hAnsi="Times New Roman"/>
              </w:rPr>
              <w:t>, intersticiálna choroba pľúc*</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lastRenderedPageBreak/>
              <w:t>Poruchy gastrointestinálneho traktu</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Veľmi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Nauzea, hnačka, vracanie, dyspepsia, bolesť brucha</w:t>
            </w:r>
            <w:r w:rsidRPr="00A17653">
              <w:rPr>
                <w:rFonts w:ascii="Times New Roman" w:hAnsi="Times New Roman"/>
                <w:vertAlign w:val="superscript"/>
              </w:rPr>
              <w:t>6</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 xml:space="preserve">Časté: </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Flatulencia, distenzia brucha, gastroezofagálny reflux, zápcha, suchosť v ústach, gastritída</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 xml:space="preserve">Menej časté: </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Stomatitída, ulcerácia v ústach, gastrointestinálne krvácanie</w:t>
            </w:r>
            <w:r w:rsidRPr="00A17653">
              <w:rPr>
                <w:rFonts w:ascii="Times New Roman" w:hAnsi="Times New Roman"/>
                <w:vertAlign w:val="superscript"/>
              </w:rPr>
              <w:t>7</w:t>
            </w:r>
            <w:r w:rsidRPr="00A17653">
              <w:rPr>
                <w:rFonts w:ascii="Times New Roman" w:hAnsi="Times New Roman"/>
              </w:rPr>
              <w:t xml:space="preserve">, eruktácia, meléna, ezofagitída, ascites, vred žalúdka, hemateméza, cheilitída, dysfágia, </w:t>
            </w:r>
          </w:p>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Pankreatitída</w:t>
            </w:r>
          </w:p>
        </w:tc>
      </w:tr>
      <w:tr w:rsidR="00A91FDF" w:rsidRPr="00A17653" w:rsidTr="00A91FDF">
        <w:tc>
          <w:tcPr>
            <w:tcW w:w="4511" w:type="dxa"/>
          </w:tcPr>
          <w:p w:rsidR="00A91FDF" w:rsidRPr="00A17653" w:rsidRDefault="00A91FDF" w:rsidP="00A17653">
            <w:pPr>
              <w:widowControl w:val="0"/>
              <w:tabs>
                <w:tab w:val="center" w:pos="2195"/>
              </w:tabs>
              <w:spacing w:after="0" w:line="240" w:lineRule="auto"/>
              <w:rPr>
                <w:rFonts w:ascii="Times New Roman" w:hAnsi="Times New Roman"/>
              </w:rPr>
            </w:pPr>
            <w:r w:rsidRPr="00A17653">
              <w:rPr>
                <w:rFonts w:ascii="Times New Roman" w:hAnsi="Times New Roman"/>
              </w:rPr>
              <w:t>Zriedkavé: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Kolitída, ileus, zápalové ochorenie čriev</w:t>
            </w:r>
          </w:p>
        </w:tc>
      </w:tr>
      <w:tr w:rsidR="00A91FDF" w:rsidRPr="00A17653" w:rsidTr="00A91FDF">
        <w:tc>
          <w:tcPr>
            <w:tcW w:w="4511" w:type="dxa"/>
          </w:tcPr>
          <w:p w:rsidR="00A91FDF" w:rsidRPr="00A17653" w:rsidRDefault="00A91FDF" w:rsidP="00A17653">
            <w:pPr>
              <w:widowControl w:val="0"/>
              <w:tabs>
                <w:tab w:val="center" w:pos="2195"/>
              </w:tabs>
              <w:spacing w:after="0" w:line="240" w:lineRule="auto"/>
              <w:rPr>
                <w:rFonts w:ascii="Times New Roman" w:hAnsi="Times New Roman"/>
              </w:rPr>
            </w:pPr>
            <w:r w:rsidRPr="00A17653">
              <w:rPr>
                <w:rFonts w:ascii="Times New Roman" w:hAnsi="Times New Roman"/>
              </w:rPr>
              <w:t>Neznáme</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Ileus/intestinálna obštrukcia*, gastrointestinálna perforácia*, divertikulitída, gastrická antrálna vaskulárna ektázia (GAVE)*</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t>Poruchy pečene a žlčových ciest</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Zvýšenie pečeňových enzýmov</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Hyperbilirubinémia, hepatitída, žltačka</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Zriedkavé: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Zlyhanie pečene</w:t>
            </w:r>
            <w:r w:rsidRPr="00A17653">
              <w:rPr>
                <w:rFonts w:ascii="Times New Roman" w:hAnsi="Times New Roman"/>
                <w:vertAlign w:val="superscript"/>
              </w:rPr>
              <w:t>8</w:t>
            </w:r>
            <w:r w:rsidRPr="00A17653">
              <w:rPr>
                <w:rFonts w:ascii="Times New Roman" w:hAnsi="Times New Roman"/>
              </w:rPr>
              <w:t>, nekróza pečene</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t>Poruchy kože a podkožného tkaniva</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Veľmi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Periorbitálny edém, dermatitída/ekzém/vyrážka</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Pruritus, edém tváre, suchá pokožka, erytém, alopécia, nočné potenie, reakcie z fotosenzitivity</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Pľuzgierovitá vyrážka, zmliaždeniny, zvýšené potenie, urtikária, ekchymóza, zvýšená náchylnosť k tvorbe pomliaždenín, hypotrichóza, znížená pigmentácia kože, exfoliatívna dermatitída, lámavosť nechtov, folikulitída,</w:t>
            </w:r>
          </w:p>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petechie, psoriáza, purpura, zvýšená pigmentácia kože, bulózne erupcie</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Zriedkavé: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Akútna febrilná neutrofilná dermatóza (Sweetov syndróm), zmena sfarbenia nechtov, angioneurotický edém, vezikulárny exantém, erythema multiforme, leukocytoklastická vaskulitída, Stevensov-Johnsonov syndróm, akútna generalizovaná exantematózna pustulóza (AGEP)</w:t>
            </w:r>
          </w:p>
        </w:tc>
      </w:tr>
      <w:tr w:rsidR="00865607" w:rsidRPr="00A17653" w:rsidTr="00A91FDF">
        <w:tc>
          <w:tcPr>
            <w:tcW w:w="4511" w:type="dxa"/>
          </w:tcPr>
          <w:p w:rsidR="00865607" w:rsidRPr="00A17653" w:rsidRDefault="00865607" w:rsidP="00A17653">
            <w:pPr>
              <w:widowControl w:val="0"/>
              <w:spacing w:after="0" w:line="240" w:lineRule="auto"/>
              <w:rPr>
                <w:rFonts w:ascii="Times New Roman" w:hAnsi="Times New Roman"/>
              </w:rPr>
            </w:pPr>
            <w:r w:rsidRPr="00A17653">
              <w:rPr>
                <w:rFonts w:ascii="Times New Roman" w:hAnsi="Times New Roman"/>
              </w:rPr>
              <w:t>Neznáme</w:t>
            </w:r>
          </w:p>
        </w:tc>
        <w:tc>
          <w:tcPr>
            <w:tcW w:w="4551" w:type="dxa"/>
          </w:tcPr>
          <w:p w:rsidR="00865607" w:rsidRPr="00A17653" w:rsidRDefault="00865607" w:rsidP="00A17653">
            <w:pPr>
              <w:widowControl w:val="0"/>
              <w:spacing w:after="0" w:line="240" w:lineRule="auto"/>
              <w:rPr>
                <w:rFonts w:ascii="Times New Roman" w:hAnsi="Times New Roman"/>
              </w:rPr>
            </w:pPr>
            <w:r w:rsidRPr="00A17653">
              <w:rPr>
                <w:rFonts w:ascii="Times New Roman" w:hAnsi="Times New Roman"/>
              </w:rPr>
              <w:t>Syndróm palmárno-plantárnej erytrodyzestézie*, lichenoidná keratóza*, lichen planus*, toxická epidermálna nekrolýza*, liekový exantém s eozinofíliou a systémovými príznakmi (DRESS)*</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t>Poruchy kostrovej a svalovej sústavy a spojivového tkaniva</w:t>
            </w:r>
          </w:p>
        </w:tc>
      </w:tr>
      <w:tr w:rsidR="00A91FDF" w:rsidRPr="00A17653" w:rsidTr="00A91FDF">
        <w:trPr>
          <w:trHeight w:val="492"/>
        </w:trPr>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Veľmi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Svalové kŕče a zášklby, bolesti kostry a svalstva vrátane myalgie</w:t>
            </w:r>
            <w:r w:rsidR="00065BF5" w:rsidRPr="00A74817">
              <w:rPr>
                <w:rFonts w:ascii="Times New Roman" w:hAnsi="Times New Roman"/>
                <w:vertAlign w:val="superscript"/>
              </w:rPr>
              <w:t>9</w:t>
            </w:r>
            <w:r w:rsidRPr="00A17653">
              <w:rPr>
                <w:rFonts w:ascii="Times New Roman" w:hAnsi="Times New Roman"/>
              </w:rPr>
              <w:t xml:space="preserve">, artralgia, bolesť </w:t>
            </w:r>
            <w:r w:rsidR="00065BF5" w:rsidRPr="00A17653">
              <w:rPr>
                <w:rFonts w:ascii="Times New Roman" w:hAnsi="Times New Roman"/>
              </w:rPr>
              <w:t>kostí</w:t>
            </w:r>
            <w:r w:rsidR="00065BF5" w:rsidRPr="00A17653">
              <w:rPr>
                <w:rFonts w:ascii="Times New Roman" w:hAnsi="Times New Roman"/>
                <w:vertAlign w:val="superscript"/>
              </w:rPr>
              <w:t>10</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Opuch kĺbov</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Stuhnutosť kĺbov a svalov</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Zriedkavé: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Svalová slabosť, artritída, rabdomyolýza/myopatia</w:t>
            </w:r>
          </w:p>
        </w:tc>
      </w:tr>
      <w:tr w:rsidR="00865607" w:rsidRPr="00A17653" w:rsidTr="00A91FDF">
        <w:tc>
          <w:tcPr>
            <w:tcW w:w="4511" w:type="dxa"/>
          </w:tcPr>
          <w:p w:rsidR="00865607" w:rsidRPr="00A17653" w:rsidRDefault="00865607" w:rsidP="00A17653">
            <w:pPr>
              <w:widowControl w:val="0"/>
              <w:spacing w:after="0" w:line="240" w:lineRule="auto"/>
              <w:rPr>
                <w:rFonts w:ascii="Times New Roman" w:hAnsi="Times New Roman"/>
              </w:rPr>
            </w:pPr>
            <w:r w:rsidRPr="00A17653">
              <w:rPr>
                <w:rFonts w:ascii="Times New Roman" w:hAnsi="Times New Roman"/>
              </w:rPr>
              <w:t>Neznáme</w:t>
            </w:r>
          </w:p>
        </w:tc>
        <w:tc>
          <w:tcPr>
            <w:tcW w:w="4551" w:type="dxa"/>
          </w:tcPr>
          <w:p w:rsidR="00865607" w:rsidRPr="00A17653" w:rsidRDefault="00865607" w:rsidP="00A17653">
            <w:pPr>
              <w:widowControl w:val="0"/>
              <w:spacing w:after="0" w:line="240" w:lineRule="auto"/>
              <w:rPr>
                <w:rFonts w:ascii="Times New Roman" w:hAnsi="Times New Roman"/>
              </w:rPr>
            </w:pPr>
            <w:r w:rsidRPr="00A17653">
              <w:rPr>
                <w:rFonts w:ascii="Times New Roman" w:hAnsi="Times New Roman"/>
              </w:rPr>
              <w:t>Avaskulárna nekróza/nekróza bedra*, spomalenie rastu u detí*</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t>Poruchy obličiek a močových ciest</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 xml:space="preserve">Menej časté: </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Bolesť obličiek, hematúria, akútne zlyhanie obličiek, častejšie močenie</w:t>
            </w:r>
          </w:p>
        </w:tc>
      </w:tr>
      <w:tr w:rsidR="00865607" w:rsidRPr="00A17653" w:rsidTr="00A91FDF">
        <w:tc>
          <w:tcPr>
            <w:tcW w:w="4511" w:type="dxa"/>
          </w:tcPr>
          <w:p w:rsidR="00865607" w:rsidRPr="00A17653" w:rsidRDefault="00865607" w:rsidP="00A17653">
            <w:pPr>
              <w:widowControl w:val="0"/>
              <w:spacing w:after="0" w:line="240" w:lineRule="auto"/>
              <w:rPr>
                <w:rFonts w:ascii="Times New Roman" w:hAnsi="Times New Roman"/>
              </w:rPr>
            </w:pPr>
            <w:r w:rsidRPr="00A17653">
              <w:rPr>
                <w:rFonts w:ascii="Times New Roman" w:hAnsi="Times New Roman"/>
              </w:rPr>
              <w:t>Neznáme</w:t>
            </w:r>
          </w:p>
        </w:tc>
        <w:tc>
          <w:tcPr>
            <w:tcW w:w="4551" w:type="dxa"/>
          </w:tcPr>
          <w:p w:rsidR="00865607" w:rsidRPr="00A17653" w:rsidRDefault="00865607" w:rsidP="00A17653">
            <w:pPr>
              <w:widowControl w:val="0"/>
              <w:spacing w:after="0" w:line="240" w:lineRule="auto"/>
              <w:rPr>
                <w:rFonts w:ascii="Times New Roman" w:hAnsi="Times New Roman"/>
              </w:rPr>
            </w:pPr>
            <w:r w:rsidRPr="00A17653">
              <w:rPr>
                <w:rFonts w:ascii="Times New Roman" w:hAnsi="Times New Roman"/>
              </w:rPr>
              <w:t>Chronické zlyhávanie obličiek</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b/>
              </w:rPr>
            </w:pPr>
            <w:r w:rsidRPr="00A17653">
              <w:rPr>
                <w:rFonts w:ascii="Times New Roman" w:hAnsi="Times New Roman"/>
                <w:b/>
              </w:rPr>
              <w:lastRenderedPageBreak/>
              <w:t>Poruchy reprodukčného systému a prsníkov</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Gynekomastia, erektilná dysfunkcia, menorágia, nepravidelná menštruácia, porucha sexuálnej funkcie, bolesť bradaviek, zväčšenie prsníkov, skrotálny edém</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Zriedkavé: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Hemoragické corpus luteum/hemoragická ovariálna cysta</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t>Celkové poruchy a reakcie v mieste podania</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Veľmi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Retencia tekutiny a edém, únava</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Slabosť, pyrexia, anasarka, zimnica, triaška</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Bolesť na hrudi, celková nevoľnosť</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t>Laboratórne a funkčné vyšetrenia</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Veľmi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Zvýšenie hmotnosti</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Zníženie hmotnosti</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 xml:space="preserve">Zvýšenie kreatinínu v krvi, zvýšenie kreatínfosfokinázy v krvi, zvýšenie </w:t>
            </w:r>
          </w:p>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laktátdehydrogenázy v krvi, zvýšenie alkalickej fosfatázy v krvi</w:t>
            </w:r>
          </w:p>
        </w:tc>
      </w:tr>
      <w:tr w:rsidR="00A91FDF" w:rsidRPr="00A17653" w:rsidTr="00A91FDF">
        <w:tc>
          <w:tcPr>
            <w:tcW w:w="451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Zriedkavé: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Zvýšenie amylázy v krvi</w:t>
            </w:r>
          </w:p>
        </w:tc>
      </w:tr>
    </w:tbl>
    <w:p w:rsidR="00865607" w:rsidRPr="00A17653" w:rsidRDefault="00865607" w:rsidP="00A17653">
      <w:pPr>
        <w:widowControl w:val="0"/>
        <w:spacing w:after="0" w:line="240" w:lineRule="auto"/>
        <w:ind w:left="567" w:hanging="567"/>
        <w:rPr>
          <w:rFonts w:ascii="Times New Roman" w:hAnsi="Times New Roman"/>
        </w:rPr>
      </w:pPr>
    </w:p>
    <w:p w:rsidR="00BF0DCA" w:rsidRPr="00A17653" w:rsidRDefault="00865607" w:rsidP="00A17653">
      <w:pPr>
        <w:widowControl w:val="0"/>
        <w:tabs>
          <w:tab w:val="left" w:pos="567"/>
        </w:tabs>
        <w:spacing w:after="0" w:line="240" w:lineRule="auto"/>
        <w:rPr>
          <w:rFonts w:ascii="Times New Roman" w:hAnsi="Times New Roman"/>
        </w:rPr>
      </w:pPr>
      <w:r w:rsidRPr="00A17653">
        <w:rPr>
          <w:rFonts w:ascii="Times New Roman" w:hAnsi="Times New Roman"/>
        </w:rPr>
        <w:t>*</w:t>
      </w:r>
      <w:r w:rsidRPr="00A17653">
        <w:rPr>
          <w:rFonts w:ascii="Times New Roman" w:hAnsi="Times New Roman"/>
        </w:rPr>
        <w:tab/>
      </w:r>
      <w:r w:rsidR="00BF0DCA" w:rsidRPr="00A17653">
        <w:rPr>
          <w:rFonts w:ascii="Times New Roman" w:hAnsi="Times New Roman"/>
        </w:rPr>
        <w:t>Nasledujúce typy reakcií sa zaznamenali hlavne pri postmarketingových skúsenostiach s imatinibom. Zahŕňajú spontánne hlásenia o prípadoch, ako aj vážne nežiaduce udalosti z prebiehajúcich klinických skúšaní, programov rozšíreného prístupu, klinických farmakologických štúdií a výskumných štúdií pri neschválených indikáciách. Pretože tieto reakcie sú hlásené u populácie neurčitej veľkosti, nie je vždy možné spoľahlivo odhadnúť ich frekvenciu alebo určiť príčinný vzťah k expozícii imatinibu.</w:t>
      </w:r>
    </w:p>
    <w:p w:rsidR="00865607" w:rsidRPr="00A17653" w:rsidRDefault="00865607" w:rsidP="00A17653">
      <w:pPr>
        <w:widowControl w:val="0"/>
        <w:spacing w:after="0" w:line="240" w:lineRule="auto"/>
        <w:ind w:left="567" w:hanging="567"/>
        <w:rPr>
          <w:rFonts w:ascii="Times New Roman" w:hAnsi="Times New Roman"/>
        </w:rPr>
      </w:pPr>
    </w:p>
    <w:p w:rsidR="00EC32A3" w:rsidRPr="00A17653" w:rsidRDefault="00EC32A3" w:rsidP="00A17653">
      <w:pPr>
        <w:pStyle w:val="Odsekzoznamu"/>
        <w:widowControl w:val="0"/>
        <w:numPr>
          <w:ilvl w:val="0"/>
          <w:numId w:val="20"/>
        </w:numPr>
        <w:spacing w:after="0" w:line="240" w:lineRule="auto"/>
        <w:ind w:left="567" w:hanging="567"/>
        <w:rPr>
          <w:rFonts w:ascii="Times New Roman" w:hAnsi="Times New Roman"/>
          <w:sz w:val="18"/>
          <w:szCs w:val="18"/>
        </w:rPr>
      </w:pPr>
      <w:r w:rsidRPr="00A17653">
        <w:rPr>
          <w:rFonts w:ascii="Times New Roman" w:hAnsi="Times New Roman"/>
          <w:sz w:val="18"/>
          <w:szCs w:val="18"/>
        </w:rPr>
        <w:t xml:space="preserve">Pneumónia sa zaznamenala najčastejšie u </w:t>
      </w:r>
      <w:r w:rsidR="00676233" w:rsidRPr="00A17653">
        <w:rPr>
          <w:rFonts w:ascii="Times New Roman" w:hAnsi="Times New Roman"/>
          <w:sz w:val="18"/>
          <w:szCs w:val="18"/>
        </w:rPr>
        <w:t>pacientov s transformovanou CML</w:t>
      </w:r>
      <w:r w:rsidR="00E951DA" w:rsidRPr="00A17653">
        <w:rPr>
          <w:rFonts w:ascii="Times New Roman" w:hAnsi="Times New Roman"/>
          <w:sz w:val="18"/>
          <w:szCs w:val="18"/>
        </w:rPr>
        <w:t xml:space="preserve"> a GIST</w:t>
      </w:r>
      <w:r w:rsidR="00676233" w:rsidRPr="00A17653">
        <w:rPr>
          <w:rFonts w:ascii="Times New Roman" w:hAnsi="Times New Roman"/>
          <w:sz w:val="18"/>
          <w:szCs w:val="18"/>
        </w:rPr>
        <w:t>.</w:t>
      </w:r>
    </w:p>
    <w:p w:rsidR="00865607" w:rsidRPr="00A17653" w:rsidRDefault="00865607" w:rsidP="00A17653">
      <w:pPr>
        <w:pStyle w:val="Odsekzoznamu"/>
        <w:widowControl w:val="0"/>
        <w:numPr>
          <w:ilvl w:val="0"/>
          <w:numId w:val="20"/>
        </w:numPr>
        <w:spacing w:after="0" w:line="240" w:lineRule="auto"/>
        <w:ind w:left="567" w:hanging="567"/>
        <w:rPr>
          <w:rFonts w:ascii="Times New Roman" w:hAnsi="Times New Roman"/>
          <w:sz w:val="18"/>
          <w:szCs w:val="18"/>
        </w:rPr>
      </w:pPr>
      <w:r w:rsidRPr="00A17653">
        <w:rPr>
          <w:rFonts w:ascii="Times New Roman" w:hAnsi="Times New Roman"/>
          <w:sz w:val="18"/>
          <w:szCs w:val="18"/>
        </w:rPr>
        <w:t>Bolesť hlavy bola najčastejšia u pacientov s GIST.</w:t>
      </w:r>
    </w:p>
    <w:p w:rsidR="00EC32A3" w:rsidRPr="00A17653" w:rsidRDefault="00EC32A3" w:rsidP="00A17653">
      <w:pPr>
        <w:widowControl w:val="0"/>
        <w:spacing w:after="0" w:line="240" w:lineRule="auto"/>
        <w:ind w:left="567" w:hanging="567"/>
        <w:rPr>
          <w:rFonts w:ascii="Times New Roman" w:hAnsi="Times New Roman"/>
          <w:sz w:val="18"/>
          <w:szCs w:val="18"/>
        </w:rPr>
      </w:pPr>
      <w:r w:rsidRPr="00A17653">
        <w:rPr>
          <w:rFonts w:ascii="Times New Roman" w:hAnsi="Times New Roman"/>
          <w:sz w:val="18"/>
          <w:szCs w:val="18"/>
        </w:rPr>
        <w:t>3</w:t>
      </w:r>
      <w:r w:rsidRPr="00A17653">
        <w:rPr>
          <w:rFonts w:ascii="Times New Roman" w:hAnsi="Times New Roman"/>
          <w:sz w:val="18"/>
          <w:szCs w:val="18"/>
        </w:rPr>
        <w:tab/>
        <w:t>Pri zohľadnení pacientorokov sa srdcové príhody, vrátane kongestívneho zlyhania srdca,</w:t>
      </w:r>
    </w:p>
    <w:p w:rsidR="00EC32A3" w:rsidRPr="00A17653" w:rsidRDefault="00EC32A3" w:rsidP="00A17653">
      <w:pPr>
        <w:widowControl w:val="0"/>
        <w:spacing w:after="0" w:line="240" w:lineRule="auto"/>
        <w:ind w:left="567"/>
        <w:rPr>
          <w:rFonts w:ascii="Times New Roman" w:hAnsi="Times New Roman"/>
          <w:sz w:val="18"/>
          <w:szCs w:val="18"/>
        </w:rPr>
      </w:pPr>
      <w:r w:rsidRPr="00A17653">
        <w:rPr>
          <w:rFonts w:ascii="Times New Roman" w:hAnsi="Times New Roman"/>
          <w:sz w:val="18"/>
          <w:szCs w:val="18"/>
        </w:rPr>
        <w:t>pozorovali častejšie u pacientov s transformovanou CML ako u pacientov s chronickou CML.</w:t>
      </w:r>
    </w:p>
    <w:p w:rsidR="00865607" w:rsidRPr="00A17653" w:rsidRDefault="00EC32A3" w:rsidP="00A17653">
      <w:pPr>
        <w:widowControl w:val="0"/>
        <w:spacing w:after="0" w:line="240" w:lineRule="auto"/>
        <w:ind w:left="567" w:hanging="567"/>
        <w:rPr>
          <w:rFonts w:ascii="Times New Roman" w:hAnsi="Times New Roman"/>
          <w:sz w:val="18"/>
          <w:szCs w:val="18"/>
        </w:rPr>
      </w:pPr>
      <w:r w:rsidRPr="00A17653">
        <w:rPr>
          <w:rFonts w:ascii="Times New Roman" w:hAnsi="Times New Roman"/>
          <w:sz w:val="18"/>
          <w:szCs w:val="18"/>
        </w:rPr>
        <w:t>4</w:t>
      </w:r>
      <w:r w:rsidRPr="00A17653">
        <w:rPr>
          <w:rFonts w:ascii="Times New Roman" w:hAnsi="Times New Roman"/>
          <w:sz w:val="18"/>
          <w:szCs w:val="18"/>
        </w:rPr>
        <w:tab/>
      </w:r>
      <w:r w:rsidR="00865607" w:rsidRPr="00A17653">
        <w:rPr>
          <w:rFonts w:ascii="Times New Roman" w:hAnsi="Times New Roman"/>
          <w:sz w:val="18"/>
          <w:szCs w:val="18"/>
        </w:rPr>
        <w:t>Návaly tepla boli najčastejšie u pacientov s GIST a krvácanie (hematóm, hemorágia) bolo najčastejšie u pacientov s GIST a s transformovanou CML (CML-AP a CML-BC).</w:t>
      </w:r>
    </w:p>
    <w:p w:rsidR="00EC32A3" w:rsidRPr="00A17653" w:rsidRDefault="00EC32A3" w:rsidP="00A17653">
      <w:pPr>
        <w:widowControl w:val="0"/>
        <w:spacing w:after="0" w:line="240" w:lineRule="auto"/>
        <w:ind w:left="567" w:hanging="567"/>
        <w:rPr>
          <w:rFonts w:ascii="Times New Roman" w:hAnsi="Times New Roman"/>
          <w:sz w:val="18"/>
          <w:szCs w:val="18"/>
        </w:rPr>
      </w:pPr>
      <w:r w:rsidRPr="00A17653">
        <w:rPr>
          <w:rFonts w:ascii="Times New Roman" w:hAnsi="Times New Roman"/>
          <w:sz w:val="18"/>
          <w:szCs w:val="18"/>
        </w:rPr>
        <w:t>5</w:t>
      </w:r>
      <w:r w:rsidRPr="00A17653">
        <w:rPr>
          <w:rFonts w:ascii="Times New Roman" w:hAnsi="Times New Roman"/>
          <w:sz w:val="18"/>
          <w:szCs w:val="18"/>
        </w:rPr>
        <w:tab/>
        <w:t xml:space="preserve">Pleurálny výpotok bol hlásený častejšie u pacientov </w:t>
      </w:r>
      <w:r w:rsidR="00865607" w:rsidRPr="00A17653">
        <w:rPr>
          <w:rFonts w:ascii="Times New Roman" w:hAnsi="Times New Roman"/>
          <w:sz w:val="18"/>
          <w:szCs w:val="18"/>
        </w:rPr>
        <w:t xml:space="preserve">s GIST a u pacientov </w:t>
      </w:r>
      <w:r w:rsidRPr="00A17653">
        <w:rPr>
          <w:rFonts w:ascii="Times New Roman" w:hAnsi="Times New Roman"/>
          <w:sz w:val="18"/>
          <w:szCs w:val="18"/>
        </w:rPr>
        <w:t>s transformovanou CML (CML-AP a CML-BC) ako u pacientov s chronickou CML.</w:t>
      </w:r>
    </w:p>
    <w:p w:rsidR="00865607" w:rsidRPr="00A17653" w:rsidRDefault="00865607" w:rsidP="00A17653">
      <w:pPr>
        <w:widowControl w:val="0"/>
        <w:spacing w:after="0" w:line="240" w:lineRule="auto"/>
        <w:ind w:left="567" w:hanging="567"/>
        <w:rPr>
          <w:rFonts w:ascii="Times New Roman" w:hAnsi="Times New Roman"/>
          <w:sz w:val="18"/>
          <w:szCs w:val="18"/>
        </w:rPr>
      </w:pPr>
      <w:r w:rsidRPr="00A17653">
        <w:rPr>
          <w:rFonts w:ascii="Times New Roman" w:hAnsi="Times New Roman"/>
          <w:sz w:val="18"/>
          <w:szCs w:val="18"/>
        </w:rPr>
        <w:t>6+7</w:t>
      </w:r>
      <w:r w:rsidRPr="00A17653">
        <w:rPr>
          <w:rFonts w:ascii="Times New Roman" w:hAnsi="Times New Roman"/>
          <w:sz w:val="18"/>
          <w:szCs w:val="18"/>
        </w:rPr>
        <w:tab/>
        <w:t>Bolesť brucha a gastrointestinálne krvácanie sa najčastejšie pozorovali u pacientov s GIST.</w:t>
      </w:r>
    </w:p>
    <w:p w:rsidR="00EC32A3" w:rsidRPr="00A17653" w:rsidRDefault="00EC32A3" w:rsidP="00A17653">
      <w:pPr>
        <w:widowControl w:val="0"/>
        <w:spacing w:after="0" w:line="240" w:lineRule="auto"/>
        <w:ind w:left="567" w:hanging="567"/>
        <w:rPr>
          <w:rFonts w:ascii="Times New Roman" w:hAnsi="Times New Roman"/>
          <w:sz w:val="18"/>
          <w:szCs w:val="18"/>
        </w:rPr>
      </w:pPr>
      <w:r w:rsidRPr="00A17653">
        <w:rPr>
          <w:rFonts w:ascii="Times New Roman" w:hAnsi="Times New Roman"/>
          <w:sz w:val="18"/>
          <w:szCs w:val="18"/>
        </w:rPr>
        <w:t>8</w:t>
      </w:r>
      <w:r w:rsidRPr="00A17653">
        <w:rPr>
          <w:rFonts w:ascii="Times New Roman" w:hAnsi="Times New Roman"/>
          <w:sz w:val="18"/>
          <w:szCs w:val="18"/>
        </w:rPr>
        <w:tab/>
        <w:t>Zaznamenalo sa niekoľko smrteľných prípadov zlyhania pečene a nekrózy pečene.</w:t>
      </w:r>
    </w:p>
    <w:p w:rsidR="00EC32A3" w:rsidRPr="00A17653" w:rsidRDefault="00EC32A3" w:rsidP="00A17653">
      <w:pPr>
        <w:widowControl w:val="0"/>
        <w:spacing w:after="0" w:line="240" w:lineRule="auto"/>
        <w:ind w:left="567" w:hanging="567"/>
        <w:rPr>
          <w:rFonts w:ascii="Times New Roman" w:hAnsi="Times New Roman"/>
          <w:sz w:val="18"/>
          <w:szCs w:val="18"/>
        </w:rPr>
      </w:pPr>
      <w:r w:rsidRPr="00A17653">
        <w:rPr>
          <w:rFonts w:ascii="Times New Roman" w:hAnsi="Times New Roman"/>
          <w:sz w:val="18"/>
          <w:szCs w:val="18"/>
        </w:rPr>
        <w:t>9</w:t>
      </w:r>
      <w:r w:rsidRPr="00A17653">
        <w:rPr>
          <w:rFonts w:ascii="Times New Roman" w:hAnsi="Times New Roman"/>
          <w:sz w:val="18"/>
          <w:szCs w:val="18"/>
        </w:rPr>
        <w:tab/>
        <w:t>Bolesť svalov a kostí a s ňou súvisiace udalosti sa pozorovali častejšie u pacientov s</w:t>
      </w:r>
      <w:r w:rsidR="00676233" w:rsidRPr="00A17653">
        <w:rPr>
          <w:rFonts w:ascii="Times New Roman" w:hAnsi="Times New Roman"/>
          <w:sz w:val="18"/>
          <w:szCs w:val="18"/>
        </w:rPr>
        <w:t> </w:t>
      </w:r>
      <w:r w:rsidRPr="00A17653">
        <w:rPr>
          <w:rFonts w:ascii="Times New Roman" w:hAnsi="Times New Roman"/>
          <w:sz w:val="18"/>
          <w:szCs w:val="18"/>
        </w:rPr>
        <w:t>CML</w:t>
      </w:r>
      <w:r w:rsidR="00676233" w:rsidRPr="00A17653">
        <w:rPr>
          <w:rFonts w:ascii="Times New Roman" w:hAnsi="Times New Roman"/>
          <w:sz w:val="18"/>
          <w:szCs w:val="18"/>
        </w:rPr>
        <w:t>.</w:t>
      </w:r>
    </w:p>
    <w:p w:rsidR="00BF0DCA" w:rsidRPr="00A17653" w:rsidRDefault="00BF0DCA" w:rsidP="00A17653">
      <w:pPr>
        <w:widowControl w:val="0"/>
        <w:spacing w:after="0" w:line="240" w:lineRule="auto"/>
        <w:ind w:left="567" w:hanging="567"/>
        <w:rPr>
          <w:rFonts w:ascii="Times New Roman" w:hAnsi="Times New Roman"/>
          <w:sz w:val="18"/>
          <w:szCs w:val="18"/>
        </w:rPr>
      </w:pPr>
      <w:r w:rsidRPr="00A17653">
        <w:rPr>
          <w:rFonts w:ascii="Times New Roman" w:hAnsi="Times New Roman"/>
          <w:sz w:val="18"/>
          <w:szCs w:val="18"/>
        </w:rPr>
        <w:t>10</w:t>
      </w:r>
      <w:r w:rsidRPr="00A17653">
        <w:rPr>
          <w:rFonts w:ascii="Times New Roman" w:hAnsi="Times New Roman"/>
          <w:sz w:val="18"/>
          <w:szCs w:val="18"/>
        </w:rPr>
        <w:tab/>
        <w:t>Bolesť svalov a kostí a s ňou súvisiace udalosti sa pozorovali častejšie u pacientov s CML ako u pacientov s GIST.</w:t>
      </w:r>
    </w:p>
    <w:p w:rsidR="00EC32A3" w:rsidRPr="00A17653" w:rsidRDefault="00BF0DCA" w:rsidP="00A17653">
      <w:pPr>
        <w:widowControl w:val="0"/>
        <w:tabs>
          <w:tab w:val="left" w:pos="567"/>
        </w:tabs>
        <w:spacing w:after="0" w:line="240" w:lineRule="auto"/>
        <w:ind w:left="564" w:hanging="564"/>
        <w:rPr>
          <w:rFonts w:ascii="Times New Roman" w:hAnsi="Times New Roman"/>
          <w:sz w:val="18"/>
          <w:szCs w:val="18"/>
        </w:rPr>
      </w:pPr>
      <w:r w:rsidRPr="00A17653">
        <w:rPr>
          <w:rFonts w:ascii="Times New Roman" w:hAnsi="Times New Roman"/>
          <w:sz w:val="18"/>
          <w:szCs w:val="18"/>
        </w:rPr>
        <w:t>11</w:t>
      </w:r>
      <w:r w:rsidRPr="00A17653">
        <w:rPr>
          <w:rFonts w:ascii="Times New Roman" w:hAnsi="Times New Roman"/>
          <w:sz w:val="18"/>
          <w:szCs w:val="18"/>
        </w:rPr>
        <w:tab/>
        <w:t>Smrteľné prípady sa zaznamenali u pacientov s pokročilým ochorením, závažnými infekciami, ťažkou neutropéniou a inými závažnými sprievodnými ochoreniami.</w:t>
      </w:r>
    </w:p>
    <w:p w:rsidR="00BF0DCA" w:rsidRPr="00A17653" w:rsidRDefault="00BF0DCA" w:rsidP="00A17653">
      <w:pPr>
        <w:widowControl w:val="0"/>
        <w:tabs>
          <w:tab w:val="left" w:pos="567"/>
        </w:tabs>
        <w:spacing w:after="0" w:line="240" w:lineRule="auto"/>
        <w:ind w:left="564" w:hanging="564"/>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Odchýlky laboratórnych hodnôt</w:t>
      </w:r>
    </w:p>
    <w:p w:rsidR="00EC32A3" w:rsidRPr="00A17653" w:rsidRDefault="00EC32A3" w:rsidP="00A17653">
      <w:pPr>
        <w:widowControl w:val="0"/>
        <w:spacing w:after="0" w:line="240" w:lineRule="auto"/>
        <w:rPr>
          <w:rFonts w:ascii="Times New Roman" w:hAnsi="Times New Roman"/>
          <w:i/>
        </w:rPr>
      </w:pPr>
      <w:r w:rsidRPr="00A17653">
        <w:rPr>
          <w:rFonts w:ascii="Times New Roman" w:hAnsi="Times New Roman"/>
          <w:i/>
        </w:rPr>
        <w:t>Hematologické vyšetrenia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Cytopénie, hlavne neutropénia a trombocytopénia, sa opakovane pozorovali vo všetkých klinických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skúšaniach pri CML, so sklonom k častejšiemu výskytu pri vysokých dávkach ≥ 750 mg (klinická štúdia fázy I). Výskyt cytopénií však jednoznačne závisel aj od fázy ochorenia, pričom 3. alebo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4. stupeň neutropénií (ANC &lt; 1,0 x 10</w:t>
      </w:r>
      <w:r w:rsidRPr="00A17653">
        <w:rPr>
          <w:rFonts w:ascii="Times New Roman" w:hAnsi="Times New Roman"/>
          <w:vertAlign w:val="superscript"/>
        </w:rPr>
        <w:t>9</w:t>
      </w:r>
      <w:r w:rsidRPr="00A17653">
        <w:rPr>
          <w:rFonts w:ascii="Times New Roman" w:hAnsi="Times New Roman"/>
        </w:rPr>
        <w:t>/l) a trombocytopénií (počet trombocytov &lt; 50 x 10</w:t>
      </w:r>
      <w:r w:rsidRPr="00A17653">
        <w:rPr>
          <w:rFonts w:ascii="Times New Roman" w:hAnsi="Times New Roman"/>
          <w:vertAlign w:val="superscript"/>
        </w:rPr>
        <w:t>9</w:t>
      </w:r>
      <w:r w:rsidRPr="00A17653">
        <w:rPr>
          <w:rFonts w:ascii="Times New Roman" w:hAnsi="Times New Roman"/>
        </w:rPr>
        <w:t xml:space="preserve">/l) sa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vyskytoval 4- až 6-krát častejšie v blastickej kríze a akcelerovanej fáze (59–64 % neutropénií a 44–</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63 % trombocytopénií) v porovnaní s novodiagnostikovanými pacientmi v chronickej fáze CML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(16,7 % neutropénií a 8,9 % trombocytopénií). U pacientov s novo diagnostikovanou chronickou fázou CML 4. stupňa sa u 3,6 % pacientov pozorovala neutropénia (ANC &lt; 0,5 x 10</w:t>
      </w:r>
      <w:r w:rsidRPr="00A17653">
        <w:rPr>
          <w:rFonts w:ascii="Times New Roman" w:hAnsi="Times New Roman"/>
          <w:vertAlign w:val="superscript"/>
        </w:rPr>
        <w:t>9</w:t>
      </w:r>
      <w:r w:rsidRPr="00A17653">
        <w:rPr>
          <w:rFonts w:ascii="Times New Roman" w:hAnsi="Times New Roman"/>
        </w:rPr>
        <w:t>/l) a u &lt; 1 % trombocytopénia (počet doštičiek &lt; 10 x 10</w:t>
      </w:r>
      <w:r w:rsidRPr="00A17653">
        <w:rPr>
          <w:rFonts w:ascii="Times New Roman" w:hAnsi="Times New Roman"/>
          <w:vertAlign w:val="superscript"/>
        </w:rPr>
        <w:t>9</w:t>
      </w:r>
      <w:r w:rsidRPr="00A17653">
        <w:rPr>
          <w:rFonts w:ascii="Times New Roman" w:hAnsi="Times New Roman"/>
        </w:rPr>
        <w:t xml:space="preserve">/l). Medián trvania neutropenických epizód bol zvyčajne v rozmedzí 2 až 3 týždňov, trombocytopenických epizód 3 až 4 týždňov. Tieto udalosti možno obvykle zvládnuť buď znížením dávky, alebo prerušením liečby imatinibom, ale v zriedkavých prípadoch si môžu vyžiadať trvalé ukončenie liečby. U pediatrických pacientov s CML boli najčastejšie pozorovanými príznakmi toxicity 3. alebo 4. stupeň cytopénií vrátane neutropénie, trombocytopénie a </w:t>
      </w:r>
      <w:r w:rsidRPr="00A17653">
        <w:rPr>
          <w:rFonts w:ascii="Times New Roman" w:hAnsi="Times New Roman"/>
        </w:rPr>
        <w:lastRenderedPageBreak/>
        <w:t>anémie. Spravidla sa vyskytujú počas prvých mesiacov liečby.</w:t>
      </w:r>
    </w:p>
    <w:p w:rsidR="00E951DA" w:rsidRPr="00A17653" w:rsidRDefault="00E951DA" w:rsidP="00A17653">
      <w:pPr>
        <w:widowControl w:val="0"/>
        <w:spacing w:after="0" w:line="240" w:lineRule="auto"/>
        <w:rPr>
          <w:rFonts w:ascii="Times New Roman" w:hAnsi="Times New Roman"/>
        </w:rPr>
      </w:pP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V klinickom skúšaní u pacientov s iným neuvedeným zdravotným stavom sa zaznamenala anémia 3. stupňa v 5,4 % a 4. stupňa v 0,7 % prípadov a mohla súvisieť s gastrointestinálnym krvácaním alebo krvácaním vo vnútri nádoru aspoň u niektorých z týchto pacientov. Neutropénia 3. stupňa sa pozorovala u 7,5 % a 4. stupňa u 2,7 % pacientov, trombocytopénia 3. stupňa u 0,7 % pacientov. U žiadneho pacienta sa nevyvinula trombocytopénia 4. stupňa. Pokles počtu leukocytov (WBC) a neutrofilov sa vyskytoval najmä počas prvých 6 týždňov liečby, neskôr boli hodnoty pomerne stále.</w:t>
      </w:r>
    </w:p>
    <w:p w:rsidR="00540505" w:rsidRPr="00A17653" w:rsidRDefault="00540505"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i/>
        </w:rPr>
      </w:pPr>
      <w:r w:rsidRPr="00A17653">
        <w:rPr>
          <w:rFonts w:ascii="Times New Roman" w:hAnsi="Times New Roman"/>
          <w:i/>
        </w:rPr>
        <w:t>Biochemické vyšetrenia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Závažné zvýšenie aminotransferáz (&lt; 5 %) alebo bilirubínu (&lt; 1 %) sa pozorovalo u pacientov s CML a zvyčajne sa zvládlo znížením dávky alebo prerušením liečby (medián trvania týchto epizód bol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približne 1 týždeň). Liečba sa musela trvalo ukončiť pre odchýlky pečeňových laboratórnych testov 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menej ako 1 % pacientov s CML.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Vyskytli sa prípady cytolytickej a cholestatickej hepatitídy a zlyhania pečene, ktoré sa niekedy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skončili smrťou, vrátane jedného pacienta po užití vysokej dávky paracetamolu.</w:t>
      </w:r>
    </w:p>
    <w:p w:rsidR="00A9181B" w:rsidRPr="00A17653" w:rsidRDefault="00A9181B" w:rsidP="00A17653">
      <w:pPr>
        <w:widowControl w:val="0"/>
        <w:spacing w:after="0" w:line="240" w:lineRule="auto"/>
        <w:rPr>
          <w:rFonts w:ascii="Times New Roman" w:hAnsi="Times New Roman"/>
        </w:rPr>
      </w:pPr>
    </w:p>
    <w:p w:rsidR="005D78C1" w:rsidRPr="00A17653" w:rsidRDefault="005D78C1" w:rsidP="00A17653">
      <w:pPr>
        <w:widowControl w:val="0"/>
        <w:spacing w:after="0" w:line="240" w:lineRule="auto"/>
        <w:rPr>
          <w:rFonts w:ascii="Times New Roman" w:hAnsi="Times New Roman"/>
          <w:u w:val="single"/>
        </w:rPr>
      </w:pPr>
      <w:r w:rsidRPr="00A17653">
        <w:rPr>
          <w:rFonts w:ascii="Times New Roman" w:hAnsi="Times New Roman"/>
          <w:u w:val="single"/>
        </w:rPr>
        <w:t>Popis niektorých nežiaducich reakcií</w:t>
      </w:r>
    </w:p>
    <w:p w:rsidR="005D78C1" w:rsidRPr="00A17653" w:rsidRDefault="005D78C1" w:rsidP="00A17653">
      <w:pPr>
        <w:spacing w:after="0" w:line="240" w:lineRule="auto"/>
        <w:jc w:val="both"/>
        <w:rPr>
          <w:rFonts w:ascii="Times New Roman" w:hAnsi="Times New Roman"/>
          <w:i/>
          <w:u w:val="single" w:color="000000"/>
        </w:rPr>
      </w:pPr>
      <w:r w:rsidRPr="00A17653">
        <w:rPr>
          <w:rFonts w:ascii="Times New Roman" w:hAnsi="Times New Roman"/>
          <w:i/>
          <w:u w:val="single" w:color="000000"/>
        </w:rPr>
        <w:t>Reaktivácia hepatitídy B</w:t>
      </w:r>
    </w:p>
    <w:p w:rsidR="005D78C1" w:rsidRPr="00A17653" w:rsidRDefault="005D78C1" w:rsidP="00A17653">
      <w:pPr>
        <w:shd w:val="clear" w:color="auto" w:fill="FFFFFF"/>
        <w:spacing w:after="0" w:line="240" w:lineRule="auto"/>
        <w:rPr>
          <w:rFonts w:ascii="Times New Roman" w:hAnsi="Times New Roman"/>
        </w:rPr>
      </w:pPr>
      <w:r w:rsidRPr="00A17653">
        <w:rPr>
          <w:rFonts w:ascii="Times New Roman" w:hAnsi="Times New Roman"/>
        </w:rPr>
        <w:t xml:space="preserve">V súvislosti s inhibítormi </w:t>
      </w:r>
      <w:r w:rsidRPr="00A17653">
        <w:rPr>
          <w:rFonts w:ascii="Times New Roman" w:eastAsia="Times New Roman" w:hAnsi="Times New Roman"/>
          <w:color w:val="222222"/>
          <w:lang w:eastAsia="sk-SK"/>
        </w:rPr>
        <w:t>BCR-ABL-tyrozínkinázy</w:t>
      </w:r>
      <w:r w:rsidRPr="00A17653">
        <w:rPr>
          <w:rFonts w:ascii="Times New Roman" w:hAnsi="Times New Roman"/>
        </w:rPr>
        <w:t xml:space="preserve"> bola hlásená reaktivácia hepatitídy B. </w:t>
      </w:r>
      <w:r w:rsidRPr="00A17653">
        <w:rPr>
          <w:rFonts w:ascii="Times New Roman" w:eastAsia="Times New Roman" w:hAnsi="Times New Roman"/>
          <w:color w:val="222222"/>
          <w:lang w:eastAsia="sk-SK"/>
        </w:rPr>
        <w:t xml:space="preserve">Niektoré prípady viedli k akútnemu zlyhaniu pečene alebo k fulminantnej hepatitíde, ktorých výsledkom bola transplantácia pečene alebo úmrtie </w:t>
      </w:r>
      <w:r w:rsidRPr="00A17653">
        <w:rPr>
          <w:rFonts w:ascii="Times New Roman" w:hAnsi="Times New Roman"/>
        </w:rPr>
        <w:t>(pozri časť 4.4).</w:t>
      </w:r>
    </w:p>
    <w:p w:rsidR="00CB0566" w:rsidRPr="00A17653" w:rsidRDefault="00CB0566" w:rsidP="00A17653">
      <w:pPr>
        <w:widowControl w:val="0"/>
        <w:spacing w:after="0" w:line="240" w:lineRule="auto"/>
        <w:rPr>
          <w:rFonts w:ascii="Times New Roman" w:hAnsi="Times New Roman"/>
        </w:rPr>
      </w:pPr>
    </w:p>
    <w:p w:rsidR="00A9181B" w:rsidRPr="00A17653" w:rsidRDefault="00A9181B" w:rsidP="00A17653">
      <w:pPr>
        <w:pStyle w:val="Normlnywebov"/>
        <w:spacing w:before="0" w:beforeAutospacing="0" w:after="0" w:afterAutospacing="0"/>
        <w:jc w:val="both"/>
        <w:rPr>
          <w:sz w:val="22"/>
          <w:szCs w:val="22"/>
        </w:rPr>
      </w:pPr>
      <w:r w:rsidRPr="00A17653">
        <w:rPr>
          <w:sz w:val="22"/>
          <w:szCs w:val="22"/>
          <w:u w:val="single"/>
        </w:rPr>
        <w:t>Hlásenie podozrení na nežiaduce reakcie</w:t>
      </w:r>
    </w:p>
    <w:p w:rsidR="00755F4D" w:rsidRPr="00A17653" w:rsidRDefault="00A9181B" w:rsidP="00A17653">
      <w:pPr>
        <w:pStyle w:val="Odsekzoznamu"/>
        <w:spacing w:after="0" w:line="240" w:lineRule="auto"/>
        <w:ind w:left="0"/>
        <w:rPr>
          <w:rFonts w:ascii="Times New Roman" w:hAnsi="Times New Roman"/>
        </w:rPr>
      </w:pPr>
      <w:r w:rsidRPr="00A17653">
        <w:rPr>
          <w:rFonts w:ascii="Times New Roman" w:hAnsi="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BF0DCA" w:rsidRPr="00A17653">
        <w:rPr>
          <w:rFonts w:ascii="Times New Roman" w:hAnsi="Times New Roman"/>
        </w:rPr>
        <w:t xml:space="preserve">na </w:t>
      </w:r>
      <w:r w:rsidR="00755F4D" w:rsidRPr="00A17653">
        <w:rPr>
          <w:rFonts w:ascii="Times New Roman" w:hAnsi="Times New Roman"/>
          <w:highlight w:val="lightGray"/>
        </w:rPr>
        <w:t xml:space="preserve">národné </w:t>
      </w:r>
      <w:r w:rsidR="00BF0DCA" w:rsidRPr="00A17653">
        <w:rPr>
          <w:rFonts w:ascii="Times New Roman" w:hAnsi="Times New Roman"/>
          <w:highlight w:val="lightGray"/>
        </w:rPr>
        <w:t xml:space="preserve">centrum </w:t>
      </w:r>
      <w:r w:rsidR="00755F4D" w:rsidRPr="00A17653">
        <w:rPr>
          <w:rFonts w:ascii="Times New Roman" w:hAnsi="Times New Roman"/>
          <w:highlight w:val="lightGray"/>
        </w:rPr>
        <w:t>hlásenia uvedené v </w:t>
      </w:r>
      <w:hyperlink r:id="rId7" w:history="1">
        <w:r w:rsidR="00755F4D" w:rsidRPr="00A17653">
          <w:rPr>
            <w:rStyle w:val="Hypertextovprepojenie"/>
            <w:rFonts w:ascii="Times New Roman" w:hAnsi="Times New Roman"/>
            <w:color w:val="auto"/>
            <w:highlight w:val="lightGray"/>
          </w:rPr>
          <w:t>Prílohe V</w:t>
        </w:r>
      </w:hyperlink>
      <w:r w:rsidR="00755F4D" w:rsidRPr="00A17653">
        <w:rPr>
          <w:rFonts w:ascii="Times New Roman" w:hAnsi="Times New Roman"/>
        </w:rPr>
        <w: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4.9</w:t>
      </w:r>
      <w:r w:rsidRPr="00A17653">
        <w:rPr>
          <w:rFonts w:ascii="Times New Roman" w:hAnsi="Times New Roman"/>
          <w:b/>
        </w:rPr>
        <w:tab/>
        <w:t>Predávkovanie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Skúsenosti s dávkami vyššími ako odporúčaná terapeutická dávka sú obmedzené. Ojedinelé prípady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predávkovania imatinibom boli hlásené spontánne a v literatúre. V prípade predávkovania má byť pacient pod dohľadom a má sa mu podať primeraná symptomatická liečba. Tieto prípady sa podľa hlásení spravidla skončili „zlepšením“ alebo „zotavením“. Pri iných rozmedziach dávok boli hlásené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nasledujúce udalosti: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i/>
        </w:rPr>
      </w:pPr>
      <w:r w:rsidRPr="00A17653">
        <w:rPr>
          <w:rFonts w:ascii="Times New Roman" w:hAnsi="Times New Roman"/>
          <w:i/>
        </w:rPr>
        <w:t>Dospelí</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1200 až 1600 mg (trvanie sa rôznilo od 1 do 10 dní): nauzea, vracanie, hnačka, vyrážka, erytém,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edém, opuch, únava, svalové kŕče, trombocytopénia, pancytopénia, bolesť brucha, bolesť hlavy,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znížená chuť do jedenia.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1800 až 3200 mg (až 3200 mg denne počas 6 dní): slabosť, myalgia, zvýšená kreatínfosfokináza,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zvýšený bilirubín, bolesť žalúdka a čriev.</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6400 mg (jednorazová dávka): v literatúre zaznamenaný jeden prípad jedného pacienta, u ktorého sa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vyskytla nauzea, vracanie, bolesť brucha, pyrexia, opuch tváre, znížený počet neutrofilov, zvýšené</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aminotransferázy.</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8 až 10 g (jednorazová dávka): bolo hlásené vracanie a bolesť žalúdka a čriev.</w:t>
      </w:r>
    </w:p>
    <w:p w:rsidR="00EC32A3" w:rsidRPr="00A17653" w:rsidRDefault="00EC32A3" w:rsidP="00A17653">
      <w:pPr>
        <w:widowControl w:val="0"/>
        <w:spacing w:after="0" w:line="240" w:lineRule="auto"/>
        <w:rPr>
          <w:rFonts w:ascii="Times New Roman" w:hAnsi="Times New Roman"/>
        </w:rPr>
      </w:pPr>
    </w:p>
    <w:p w:rsidR="00EC32A3" w:rsidRPr="00A17653" w:rsidRDefault="00A9181B" w:rsidP="00A17653">
      <w:pPr>
        <w:widowControl w:val="0"/>
        <w:spacing w:after="0" w:line="240" w:lineRule="auto"/>
        <w:rPr>
          <w:rFonts w:ascii="Times New Roman" w:hAnsi="Times New Roman"/>
          <w:i/>
        </w:rPr>
      </w:pPr>
      <w:r w:rsidRPr="00A17653">
        <w:rPr>
          <w:rFonts w:ascii="Times New Roman" w:hAnsi="Times New Roman"/>
          <w:i/>
        </w:rPr>
        <w:t>Pediatrická populácia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jedného 3-ročného chlapca sa po jednorazovej dávke 400 mg vyskytlo vracanie, hnačka a anorexia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 u ďalšieho 3-ročného chlapca po jednorazovej dávke 980 mg došlo k zníženiu počtu leukocytov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 hnačke.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 prípade predávkovania má byť pacient pod dohľadom a má sa mu podať primeraná podporná liečba.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pStyle w:val="Odsekzoznamu"/>
        <w:widowControl w:val="0"/>
        <w:numPr>
          <w:ilvl w:val="0"/>
          <w:numId w:val="3"/>
        </w:numPr>
        <w:spacing w:after="0" w:line="240" w:lineRule="auto"/>
        <w:ind w:left="567" w:hanging="567"/>
        <w:rPr>
          <w:rFonts w:ascii="Times New Roman" w:hAnsi="Times New Roman"/>
          <w:b/>
        </w:rPr>
      </w:pPr>
      <w:r w:rsidRPr="00A17653">
        <w:rPr>
          <w:rFonts w:ascii="Times New Roman" w:hAnsi="Times New Roman"/>
          <w:b/>
        </w:rPr>
        <w:t>FARMAKOLOGICKÉ VLASTNOSTI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5.1</w:t>
      </w:r>
      <w:r w:rsidRPr="00A17653">
        <w:rPr>
          <w:rFonts w:ascii="Times New Roman" w:hAnsi="Times New Roman"/>
          <w:b/>
        </w:rPr>
        <w:tab/>
        <w:t>Farmakodynamické vlastnosti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Farmakoterapeutická skupina: inhibítor proteíntyrozínkinázy, ATC kód: L01XE01</w:t>
      </w:r>
    </w:p>
    <w:p w:rsidR="00EC32A3" w:rsidRPr="00A17653" w:rsidRDefault="00EC32A3" w:rsidP="00A17653">
      <w:pPr>
        <w:widowControl w:val="0"/>
        <w:spacing w:after="0" w:line="240" w:lineRule="auto"/>
        <w:rPr>
          <w:rFonts w:ascii="Times New Roman" w:hAnsi="Times New Roman"/>
        </w:rPr>
      </w:pPr>
    </w:p>
    <w:p w:rsidR="00EC32A3" w:rsidRPr="00A17653" w:rsidRDefault="00755F4D" w:rsidP="00A17653">
      <w:pPr>
        <w:widowControl w:val="0"/>
        <w:spacing w:after="0" w:line="240" w:lineRule="auto"/>
        <w:rPr>
          <w:rFonts w:ascii="Times New Roman" w:hAnsi="Times New Roman"/>
          <w:u w:val="single"/>
        </w:rPr>
      </w:pPr>
      <w:r w:rsidRPr="00A17653">
        <w:rPr>
          <w:rFonts w:ascii="Times New Roman" w:hAnsi="Times New Roman"/>
          <w:u w:val="single"/>
        </w:rPr>
        <w:t>Mechanizmus</w:t>
      </w:r>
      <w:r w:rsidR="00EC32A3" w:rsidRPr="00A17653">
        <w:rPr>
          <w:rFonts w:ascii="Times New Roman" w:hAnsi="Times New Roman"/>
          <w:u w:val="single"/>
        </w:rPr>
        <w:t xml:space="preserve"> účinku</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je inhibítor proteíntyrozínkinázy s malou molekulou, ktorý účinne inhibuje aktivitu bcr-abl-tyrozínkinázy (TK), ako aj niekoľkých TK receptorov: Kit, receptor rastového faktora kmeňových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buniek (SCF) kódovaný protoonkogénom c-Kit, receptory diskoidínovej domény (DDR1 a DDR2),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receptor faktora stimulujúceho kolónie (CSF-1R) a receptory doštičkového rastového faktora alfa 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beta (PDGFR-alfa a PDGFR-beta). Imatinib môže tiež inhibovať procesy v bunke, ktoré sú sprostredkované aktiváciou týchto kinázových receptorov.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Farmakodynamické účinky</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je inhibítor proteíntyrozínkinázy, ktorý účinne inhibuje bcr-abl-tyrozínkinázu </w:t>
      </w:r>
      <w:r w:rsidRPr="00A17653">
        <w:rPr>
          <w:rFonts w:ascii="Times New Roman" w:hAnsi="Times New Roman"/>
          <w:i/>
        </w:rPr>
        <w:t>in vitro</w:t>
      </w:r>
      <w:r w:rsidRPr="00A17653">
        <w:rPr>
          <w:rFonts w:ascii="Times New Roman" w:hAnsi="Times New Roman"/>
        </w:rPr>
        <w:t xml:space="preserve">, na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bunkovej úrovni a </w:t>
      </w:r>
      <w:r w:rsidRPr="00A17653">
        <w:rPr>
          <w:rFonts w:ascii="Times New Roman" w:hAnsi="Times New Roman"/>
          <w:i/>
        </w:rPr>
        <w:t>in vivo</w:t>
      </w:r>
      <w:r w:rsidRPr="00A17653">
        <w:rPr>
          <w:rFonts w:ascii="Times New Roman" w:hAnsi="Times New Roman"/>
        </w:rPr>
        <w:t xml:space="preserve">. Látka selektívne inhibuje proliferáciu a indukuje apoptózu bunkových línií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 pozitivitou bcr-abl, ako aj čerstvých leukemických buniek od pacientov s CML s pozitívnym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chromozómom Philadelphia a od pacientov s akútnou lymfoblastickou leukémiou (ALL).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Zlúčenina vykazuje protinádorovú účinnosť v monoterapii </w:t>
      </w:r>
      <w:r w:rsidRPr="00A17653">
        <w:rPr>
          <w:rFonts w:ascii="Times New Roman" w:hAnsi="Times New Roman"/>
          <w:i/>
        </w:rPr>
        <w:t>in vivo</w:t>
      </w:r>
      <w:r w:rsidRPr="00A17653">
        <w:rPr>
          <w:rFonts w:ascii="Times New Roman" w:hAnsi="Times New Roman"/>
        </w:rPr>
        <w:t xml:space="preserve"> na zvieracích modeloch pri použití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nádorových buniek s pozitivitou bcr-abl.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je tiež inhibítor tyrozínkináz receptora rastového faktora odvodeného od trombocytov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(PDGF), PDGF-R, a </w:t>
      </w:r>
      <w:r w:rsidR="0032368C" w:rsidRPr="00A17653">
        <w:rPr>
          <w:rFonts w:ascii="Times New Roman" w:hAnsi="Times New Roman"/>
        </w:rPr>
        <w:t>in</w:t>
      </w:r>
      <w:r w:rsidRPr="00A17653">
        <w:rPr>
          <w:rFonts w:ascii="Times New Roman" w:hAnsi="Times New Roman"/>
        </w:rPr>
        <w:t xml:space="preserve">hibuje bunkové deje </w:t>
      </w:r>
      <w:r w:rsidR="0032368C" w:rsidRPr="00A17653">
        <w:rPr>
          <w:rFonts w:ascii="Times New Roman" w:hAnsi="Times New Roman"/>
        </w:rPr>
        <w:t>s</w:t>
      </w:r>
      <w:r w:rsidRPr="00A17653">
        <w:rPr>
          <w:rFonts w:ascii="Times New Roman" w:hAnsi="Times New Roman"/>
        </w:rPr>
        <w:t xml:space="preserve">prostredkované. Konštitutívna aktivácia proteíntyrozínkináz receptora PDGF alebo </w:t>
      </w:r>
      <w:r w:rsidR="0032368C" w:rsidRPr="00A17653">
        <w:rPr>
          <w:rFonts w:ascii="Times New Roman" w:hAnsi="Times New Roman"/>
        </w:rPr>
        <w:t>A</w:t>
      </w:r>
      <w:r w:rsidRPr="00A17653">
        <w:rPr>
          <w:rFonts w:ascii="Times New Roman" w:hAnsi="Times New Roman"/>
        </w:rPr>
        <w:t>bl ako dôsledok spojenia s rôznymi partnerskými bielkovinami alebo konštitutívna tvorba PDGF sa preukázali v patogenéze MDS/MPD, HES/CEL a DFSP. Imatinib inhibuje signalizáciu a proliferáciu buniek stimulovaných</w:t>
      </w:r>
      <w:r w:rsidR="0032368C" w:rsidRPr="00A17653">
        <w:rPr>
          <w:rFonts w:ascii="Times New Roman" w:hAnsi="Times New Roman"/>
        </w:rPr>
        <w:t xml:space="preserve"> </w:t>
      </w:r>
      <w:r w:rsidRPr="00A17653">
        <w:rPr>
          <w:rFonts w:ascii="Times New Roman" w:hAnsi="Times New Roman"/>
        </w:rPr>
        <w:t xml:space="preserve">disregulovanou aktivitou kináz PDGFR a </w:t>
      </w:r>
      <w:r w:rsidR="0032368C" w:rsidRPr="00A17653">
        <w:rPr>
          <w:rFonts w:ascii="Times New Roman" w:hAnsi="Times New Roman"/>
        </w:rPr>
        <w:t>A</w:t>
      </w:r>
      <w:r w:rsidRPr="00A17653">
        <w:rPr>
          <w:rFonts w:ascii="Times New Roman" w:hAnsi="Times New Roman"/>
        </w:rPr>
        <w:t>bl.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Klinické skúšania pri chronickej myelocytovej leukémii</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Účinnosť imatinibu sa zakladá na stupni celkovej hematologickej a cytogenetickej odpovede a prežívaní bez progresie. </w:t>
      </w:r>
      <w:r w:rsidR="001149BD" w:rsidRPr="00A17653">
        <w:rPr>
          <w:rFonts w:ascii="Times New Roman" w:hAnsi="Times New Roman"/>
        </w:rPr>
        <w:t>Okrem novodiagnostikovanej chronickej fázy CML n</w:t>
      </w:r>
      <w:r w:rsidRPr="00A17653">
        <w:rPr>
          <w:rFonts w:ascii="Times New Roman" w:hAnsi="Times New Roman"/>
        </w:rPr>
        <w:t>ie sú žiadne kontrolované klinické skúšania, ktoré by preukázali klinickú prospešnosť, ako je zmiernenie symptómov súvisiacich s ochorením alebo predĺženie prežívania.</w:t>
      </w:r>
    </w:p>
    <w:p w:rsidR="00EC32A3" w:rsidRPr="00A17653" w:rsidRDefault="00EC32A3" w:rsidP="00A17653">
      <w:pPr>
        <w:widowControl w:val="0"/>
        <w:spacing w:after="0" w:line="240" w:lineRule="auto"/>
        <w:rPr>
          <w:rFonts w:ascii="Times New Roman" w:hAnsi="Times New Roman"/>
        </w:rPr>
      </w:pP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Tri veľké, medzinárodné, otvorené, nekontrolované klinické skúšania fázy II sa vykonali s pacientmi</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s CML s pozitívnym chromozómom Philadelphia (Ph+) v pokročilej, blastickej alebo akcelerovanej</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fáze ochorenia, inými Ph+ leukémiami, alebo s CML v chronickej fáze po zlyhaní predchádzajúcej</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liečby interferónom alfa (IFN). Vykonalo sa jedno veľké, otvorené, multicentrické, medzinárodné,</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randomizované klinické skúšanie fázy III s pacientmi s novodiagnostikovanou Ph+ CML. Okrem toho</w:t>
      </w:r>
    </w:p>
    <w:p w:rsidR="00E951DA" w:rsidRPr="00A17653" w:rsidRDefault="00E951DA" w:rsidP="00A17653">
      <w:pPr>
        <w:widowControl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sa liečili deti v dvoch klinických skúšaniach fázy I v jednom klinickom skúšaní fázy II.</w:t>
      </w:r>
    </w:p>
    <w:p w:rsidR="00E951DA" w:rsidRPr="00A17653" w:rsidRDefault="00E951DA" w:rsidP="00A17653">
      <w:pPr>
        <w:widowControl w:val="0"/>
        <w:spacing w:after="0" w:line="240" w:lineRule="auto"/>
        <w:rPr>
          <w:rFonts w:ascii="Times New Roman" w:hAnsi="Times New Roman"/>
        </w:rPr>
      </w:pP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Vo všetkých klinických skúšaniach bolo 38</w:t>
      </w:r>
      <w:r w:rsidR="00D6568E">
        <w:rPr>
          <w:rFonts w:ascii="Times New Roman" w:hAnsi="Times New Roman"/>
        </w:rPr>
        <w:t>-40</w:t>
      </w:r>
      <w:r w:rsidRPr="00A17653">
        <w:rPr>
          <w:rFonts w:ascii="Times New Roman" w:hAnsi="Times New Roman"/>
        </w:rPr>
        <w:t xml:space="preserve"> % pacientov vo veku ≥ 60 rokov a</w:t>
      </w:r>
      <w:r w:rsidR="00D6568E">
        <w:rPr>
          <w:rFonts w:ascii="Times New Roman" w:hAnsi="Times New Roman"/>
        </w:rPr>
        <w:t> 10-</w:t>
      </w:r>
      <w:r w:rsidRPr="00A17653">
        <w:rPr>
          <w:rFonts w:ascii="Times New Roman" w:hAnsi="Times New Roman"/>
        </w:rPr>
        <w:t xml:space="preserve">12 % pacientov </w:t>
      </w: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vo veku ≥ 70 rokov.</w:t>
      </w:r>
    </w:p>
    <w:p w:rsidR="00E951DA" w:rsidRPr="00A17653" w:rsidRDefault="00E951DA" w:rsidP="00A17653">
      <w:pPr>
        <w:widowControl w:val="0"/>
        <w:spacing w:after="0" w:line="240" w:lineRule="auto"/>
        <w:rPr>
          <w:rFonts w:ascii="Times New Roman" w:hAnsi="Times New Roman"/>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hAnsi="Times New Roman"/>
          <w:i/>
          <w:iCs/>
          <w:color w:val="000000"/>
          <w:lang w:eastAsia="sk-SK"/>
        </w:rPr>
        <w:t xml:space="preserve">Novodiagnostikovaná chronická fáza: </w:t>
      </w:r>
      <w:r w:rsidRPr="00A17653">
        <w:rPr>
          <w:rFonts w:ascii="Times New Roman" w:eastAsia="TimesNewRoman" w:hAnsi="Times New Roman"/>
          <w:color w:val="000000"/>
          <w:lang w:eastAsia="sk-SK"/>
        </w:rPr>
        <w:t xml:space="preserve">Toto klinické skúšanie fázy III u dospelých pacientov porovnávalo liečbu buď samotným imatinibom, alebo kombináciou interferónu alfa (IFN) a cytarabínu </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(Ara-C). Pacientom s nedostatočnou odpoveďou (nedostatočná kompletná hematologická odpoveď (CHR) po 6 mesiacoch, zvyšovanie WBC, žiadna veľká cytogenetická odpoveď (MCyR) po 24 mesiacoch), so stratou odpovede (strata CHR alebo MCyR) alebo so závažnou neznášanlivosťou liečby sa umožnil prechod do skupiny alternatívnej liečby. V skupine imatinibu pacienti dostávali dávku 400 mg denne. V skupine IFN dostávali pacienti cieľovú dávku IFN 5 mil. IU/m2/deň subkutánne v kombinácii s Ara-C 20 mg/m2/deň subkutánne počas 10 dní v mesiaci.</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Celkovo bolo randomizovaných 1 106 pacientov, 553 do každej skupiny. Východiskové hodnoty boli</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medzi oboma skupinami dobre vyvážené. Medián veku bol 51 rokov (rozmedzie 18 - 70 rokov),</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21,9 % pacientov bolo vo veku &gt; 60 rokov. 59 % boli muži, 41 % ženy; 89,9% pacientov bolo bielych</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a 4,7 % čiernych. Sedem rokov po zaradení posledného pacienta bol medián trvania liečby prvej línie</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82 mesiacov v skupine imatinibu a 8 mesiacov v skupine IFN. Medián trvania liečby imatinibom ako</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druhej línie bol 64 mesiacov. Celkovo sa pacientom, ktorí dostávali imatinib ako liečbu prvej línie,</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podávala priemerná denná dávka 406 ± 76 mg. Primárnym koncovým bodom pre hodnotenie účinnosti</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v klinickom skúšaní bolo prežívanie bez progresie. Progresia bola definovaná ako niektorá</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z nasledujúcich udalostí: progresia do akcelerovanej fázy alebo blastickej krízy, smrť, strata CHR</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alebo MCyR, alebo u pacientov, ktorí nedosiahli CHR, zvýšenie WBC napriek primeraným</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terapeutickým opatreniam. Hlavné sekundárne koncové body boli veľká cytogenetická odpoveď,</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hematologická odpoveď, molekulárna odpoveď (vyhodnotenie minimálneho zvyškového ochorenia),</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čas do akcelerovanej fázy alebo blastickej krízy a prežívanie. Údaje o dosiahnutej odpovedi sú</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v Tabuľke 2.</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p>
    <w:p w:rsidR="00E951DA" w:rsidRPr="00A17653" w:rsidRDefault="00E951DA" w:rsidP="00A17653">
      <w:pPr>
        <w:widowControl w:val="0"/>
        <w:spacing w:after="0" w:line="240" w:lineRule="auto"/>
        <w:rPr>
          <w:rFonts w:ascii="Times New Roman" w:hAnsi="Times New Roman"/>
        </w:rPr>
      </w:pPr>
      <w:r w:rsidRPr="00A17653">
        <w:rPr>
          <w:rFonts w:ascii="Times New Roman" w:eastAsia="TimesNewRomanPS-BoldMT" w:hAnsi="Times New Roman"/>
          <w:b/>
          <w:bCs/>
          <w:color w:val="231F20"/>
          <w:lang w:eastAsia="sk-SK"/>
        </w:rPr>
        <w:t>Tabuľka 2 Odpoveď pri novodiagnostikovanej CML štúdii (údaje po 84 mesiacoch)</w:t>
      </w:r>
    </w:p>
    <w:p w:rsidR="00E951DA" w:rsidRPr="00A17653" w:rsidRDefault="00E951DA" w:rsidP="00A17653">
      <w:pPr>
        <w:widowControl w:val="0"/>
        <w:spacing w:after="0" w:line="240" w:lineRule="auto"/>
        <w:rPr>
          <w:rFonts w:ascii="Times New Roman" w:hAnsi="Times New Roman"/>
        </w:rPr>
      </w:pPr>
    </w:p>
    <w:tbl>
      <w:tblPr>
        <w:tblStyle w:val="Mriekatabuky"/>
        <w:tblW w:w="0" w:type="auto"/>
        <w:tblLook w:val="04A0" w:firstRow="1" w:lastRow="0" w:firstColumn="1" w:lastColumn="0" w:noHBand="0" w:noVBand="1"/>
      </w:tblPr>
      <w:tblGrid>
        <w:gridCol w:w="3588"/>
        <w:gridCol w:w="2797"/>
        <w:gridCol w:w="2677"/>
      </w:tblGrid>
      <w:tr w:rsidR="00E951DA" w:rsidRPr="00A17653" w:rsidTr="00E951DA">
        <w:tc>
          <w:tcPr>
            <w:tcW w:w="3652" w:type="dxa"/>
          </w:tcPr>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PS-BoldMT" w:hAnsi="Times New Roman"/>
                <w:b/>
                <w:bCs/>
                <w:color w:val="231F20"/>
                <w:sz w:val="22"/>
                <w:szCs w:val="22"/>
                <w:lang w:eastAsia="sk-SK"/>
              </w:rPr>
              <w:t>Najlepší stupeň odpovede)</w:t>
            </w:r>
          </w:p>
        </w:tc>
        <w:tc>
          <w:tcPr>
            <w:tcW w:w="2835" w:type="dxa"/>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imatinib</w:t>
            </w:r>
          </w:p>
          <w:p w:rsidR="00E951DA" w:rsidRPr="00A17653" w:rsidRDefault="00E951DA" w:rsidP="00A17653">
            <w:pPr>
              <w:autoSpaceDE w:val="0"/>
              <w:autoSpaceDN w:val="0"/>
              <w:adjustRightInd w:val="0"/>
              <w:spacing w:after="0" w:line="240" w:lineRule="auto"/>
              <w:rPr>
                <w:rFonts w:ascii="Times New Roman" w:hAnsi="Times New Roman"/>
                <w:i/>
                <w:sz w:val="22"/>
                <w:szCs w:val="22"/>
              </w:rPr>
            </w:pPr>
            <w:r w:rsidRPr="00A17653">
              <w:rPr>
                <w:rFonts w:ascii="Times New Roman" w:eastAsia="TimesNewRoman" w:hAnsi="Times New Roman"/>
                <w:i/>
                <w:color w:val="231F20"/>
                <w:sz w:val="22"/>
                <w:szCs w:val="22"/>
                <w:lang w:eastAsia="sk-SK"/>
              </w:rPr>
              <w:t>n = 553</w:t>
            </w:r>
          </w:p>
        </w:tc>
        <w:tc>
          <w:tcPr>
            <w:tcW w:w="2725" w:type="dxa"/>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IFN+Ara-C</w:t>
            </w:r>
          </w:p>
          <w:p w:rsidR="00E951DA" w:rsidRPr="00A17653" w:rsidRDefault="00E951DA" w:rsidP="00A17653">
            <w:pPr>
              <w:autoSpaceDE w:val="0"/>
              <w:autoSpaceDN w:val="0"/>
              <w:adjustRightInd w:val="0"/>
              <w:spacing w:after="0" w:line="240" w:lineRule="auto"/>
              <w:rPr>
                <w:rFonts w:ascii="Times New Roman" w:hAnsi="Times New Roman"/>
                <w:i/>
                <w:sz w:val="22"/>
                <w:szCs w:val="22"/>
              </w:rPr>
            </w:pPr>
            <w:r w:rsidRPr="00A17653">
              <w:rPr>
                <w:rFonts w:ascii="Times New Roman" w:eastAsia="TimesNewRoman" w:hAnsi="Times New Roman"/>
                <w:i/>
                <w:color w:val="231F20"/>
                <w:sz w:val="22"/>
                <w:szCs w:val="22"/>
                <w:lang w:eastAsia="sk-SK"/>
              </w:rPr>
              <w:t>n = 553</w:t>
            </w:r>
          </w:p>
        </w:tc>
      </w:tr>
      <w:tr w:rsidR="00E951DA" w:rsidRPr="00A17653" w:rsidTr="00E951DA">
        <w:tc>
          <w:tcPr>
            <w:tcW w:w="3652" w:type="dxa"/>
          </w:tcPr>
          <w:p w:rsidR="00E951DA" w:rsidRPr="00A17653" w:rsidRDefault="00E951DA" w:rsidP="00A17653">
            <w:pPr>
              <w:autoSpaceDE w:val="0"/>
              <w:autoSpaceDN w:val="0"/>
              <w:adjustRightInd w:val="0"/>
              <w:spacing w:after="0" w:line="240" w:lineRule="auto"/>
              <w:rPr>
                <w:rFonts w:ascii="Times New Roman" w:eastAsia="TimesNewRomanPS-BoldMT" w:hAnsi="Times New Roman"/>
                <w:b/>
                <w:bCs/>
                <w:color w:val="231F20"/>
                <w:sz w:val="22"/>
                <w:szCs w:val="22"/>
                <w:lang w:eastAsia="sk-SK"/>
              </w:rPr>
            </w:pPr>
            <w:r w:rsidRPr="00A17653">
              <w:rPr>
                <w:rFonts w:ascii="Times New Roman" w:eastAsia="TimesNewRomanPS-BoldMT" w:hAnsi="Times New Roman"/>
                <w:b/>
                <w:bCs/>
                <w:color w:val="231F20"/>
                <w:sz w:val="22"/>
                <w:szCs w:val="22"/>
                <w:lang w:eastAsia="sk-SK"/>
              </w:rPr>
              <w:t>Hematologická odpoveď</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Podiel CHR n (%) 313 (56,6%)*</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 w:hAnsi="Times New Roman"/>
                <w:color w:val="231F20"/>
                <w:sz w:val="22"/>
                <w:szCs w:val="22"/>
                <w:lang w:eastAsia="sk-SK"/>
              </w:rPr>
              <w:t>[95% IS]</w:t>
            </w:r>
          </w:p>
        </w:tc>
        <w:tc>
          <w:tcPr>
            <w:tcW w:w="2835" w:type="dxa"/>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534 (96,6%)*</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 w:hAnsi="Times New Roman"/>
                <w:color w:val="231F20"/>
                <w:sz w:val="22"/>
                <w:szCs w:val="22"/>
                <w:lang w:eastAsia="sk-SK"/>
              </w:rPr>
              <w:t>[94,7%; 97,9%]</w:t>
            </w:r>
          </w:p>
        </w:tc>
        <w:tc>
          <w:tcPr>
            <w:tcW w:w="2725" w:type="dxa"/>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313 (56,6%)*</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 w:hAnsi="Times New Roman"/>
                <w:color w:val="231F20"/>
                <w:sz w:val="22"/>
                <w:szCs w:val="22"/>
                <w:lang w:eastAsia="sk-SK"/>
              </w:rPr>
              <w:t>[52,4%; 60,8%]</w:t>
            </w:r>
          </w:p>
        </w:tc>
      </w:tr>
      <w:tr w:rsidR="00E951DA" w:rsidRPr="00A17653" w:rsidTr="00E951DA">
        <w:tc>
          <w:tcPr>
            <w:tcW w:w="3652" w:type="dxa"/>
          </w:tcPr>
          <w:p w:rsidR="00E951DA" w:rsidRPr="00A17653" w:rsidRDefault="00E951DA" w:rsidP="00A17653">
            <w:pPr>
              <w:autoSpaceDE w:val="0"/>
              <w:autoSpaceDN w:val="0"/>
              <w:adjustRightInd w:val="0"/>
              <w:spacing w:after="0" w:line="240" w:lineRule="auto"/>
              <w:rPr>
                <w:rFonts w:ascii="Times New Roman" w:eastAsia="TimesNewRomanPS-BoldMT" w:hAnsi="Times New Roman"/>
                <w:b/>
                <w:bCs/>
                <w:color w:val="231F20"/>
                <w:sz w:val="22"/>
                <w:szCs w:val="22"/>
                <w:lang w:eastAsia="sk-SK"/>
              </w:rPr>
            </w:pPr>
            <w:r w:rsidRPr="00A17653">
              <w:rPr>
                <w:rFonts w:ascii="Times New Roman" w:eastAsia="TimesNewRomanPS-BoldMT" w:hAnsi="Times New Roman"/>
                <w:b/>
                <w:bCs/>
                <w:color w:val="231F20"/>
                <w:sz w:val="22"/>
                <w:szCs w:val="22"/>
                <w:lang w:eastAsia="sk-SK"/>
              </w:rPr>
              <w:t>Cytogenetická odpoveď</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Veľká odpoveď n (%)</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[95% IS]</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Kompletná CyR n (%)</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 w:hAnsi="Times New Roman"/>
                <w:color w:val="231F20"/>
                <w:sz w:val="22"/>
                <w:szCs w:val="22"/>
                <w:lang w:eastAsia="sk-SK"/>
              </w:rPr>
              <w:t>Čiastočná CyR n (%)</w:t>
            </w:r>
          </w:p>
        </w:tc>
        <w:tc>
          <w:tcPr>
            <w:tcW w:w="2835" w:type="dxa"/>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490 (88,6%)*</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[85,7%; 91,1%]</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456 (82,5%)*</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 w:hAnsi="Times New Roman"/>
                <w:color w:val="231F20"/>
                <w:sz w:val="22"/>
                <w:szCs w:val="22"/>
                <w:lang w:eastAsia="sk-SK"/>
              </w:rPr>
              <w:t>34 (6,1%)</w:t>
            </w:r>
          </w:p>
        </w:tc>
        <w:tc>
          <w:tcPr>
            <w:tcW w:w="2725" w:type="dxa"/>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129 (23,3%)*</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[19,9%; 27,1%]</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64 (11,6%)*</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 w:hAnsi="Times New Roman"/>
                <w:color w:val="231F20"/>
                <w:sz w:val="22"/>
                <w:szCs w:val="22"/>
                <w:lang w:eastAsia="sk-SK"/>
              </w:rPr>
              <w:t>65 (11,8%)</w:t>
            </w:r>
          </w:p>
        </w:tc>
      </w:tr>
      <w:tr w:rsidR="00E951DA" w:rsidRPr="00A17653" w:rsidTr="00E951DA">
        <w:tc>
          <w:tcPr>
            <w:tcW w:w="3652" w:type="dxa"/>
          </w:tcPr>
          <w:p w:rsidR="00E951DA" w:rsidRPr="00A17653" w:rsidRDefault="00E951DA" w:rsidP="00A17653">
            <w:pPr>
              <w:autoSpaceDE w:val="0"/>
              <w:autoSpaceDN w:val="0"/>
              <w:adjustRightInd w:val="0"/>
              <w:spacing w:after="0" w:line="240" w:lineRule="auto"/>
              <w:rPr>
                <w:rFonts w:ascii="Times New Roman" w:eastAsia="TimesNewRomanPS-BoldMT" w:hAnsi="Times New Roman"/>
                <w:b/>
                <w:bCs/>
                <w:color w:val="231F20"/>
                <w:sz w:val="22"/>
                <w:szCs w:val="22"/>
                <w:lang w:eastAsia="sk-SK"/>
              </w:rPr>
            </w:pPr>
            <w:r w:rsidRPr="00A17653">
              <w:rPr>
                <w:rFonts w:ascii="Times New Roman" w:eastAsia="TimesNewRomanPS-BoldMT" w:hAnsi="Times New Roman"/>
                <w:b/>
                <w:bCs/>
                <w:color w:val="231F20"/>
                <w:sz w:val="22"/>
                <w:szCs w:val="22"/>
                <w:lang w:eastAsia="sk-SK"/>
              </w:rPr>
              <w:t>Molekulárna odpoveď**</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Veľká odpoveď po 12 mesiacoch (%)</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Veľká odpoveď po 24 mesiacoch (%)</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 w:hAnsi="Times New Roman"/>
                <w:color w:val="231F20"/>
                <w:sz w:val="22"/>
                <w:szCs w:val="22"/>
                <w:lang w:eastAsia="sk-SK"/>
              </w:rPr>
              <w:t>Veľká odpoveď po 84 mesiacoch (%)</w:t>
            </w:r>
          </w:p>
        </w:tc>
        <w:tc>
          <w:tcPr>
            <w:tcW w:w="2835" w:type="dxa"/>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153/305=50,2%</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73/104=70,2%</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 w:hAnsi="Times New Roman"/>
                <w:color w:val="231F20"/>
                <w:sz w:val="22"/>
                <w:szCs w:val="22"/>
                <w:lang w:eastAsia="sk-SK"/>
              </w:rPr>
              <w:t>102/116=87,9%</w:t>
            </w:r>
          </w:p>
        </w:tc>
        <w:tc>
          <w:tcPr>
            <w:tcW w:w="2725" w:type="dxa"/>
          </w:tcPr>
          <w:p w:rsidR="00E951DA" w:rsidRPr="00A17653" w:rsidRDefault="00E951DA" w:rsidP="00A17653">
            <w:pPr>
              <w:widowControl w:val="0"/>
              <w:spacing w:after="0" w:line="240" w:lineRule="auto"/>
              <w:rPr>
                <w:rFonts w:ascii="Times New Roman" w:hAnsi="Times New Roman"/>
                <w:sz w:val="22"/>
                <w:szCs w:val="22"/>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8/83=9,6%</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3/12=25%</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 w:hAnsi="Times New Roman"/>
                <w:color w:val="231F20"/>
                <w:sz w:val="22"/>
                <w:szCs w:val="22"/>
                <w:lang w:eastAsia="sk-SK"/>
              </w:rPr>
              <w:t>3/4=75%</w:t>
            </w:r>
          </w:p>
        </w:tc>
      </w:tr>
      <w:tr w:rsidR="00E951DA" w:rsidRPr="00A17653" w:rsidTr="00E951DA">
        <w:tc>
          <w:tcPr>
            <w:tcW w:w="9212" w:type="dxa"/>
            <w:gridSpan w:val="3"/>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18"/>
                <w:szCs w:val="18"/>
                <w:lang w:eastAsia="sk-SK"/>
              </w:rPr>
            </w:pPr>
            <w:r w:rsidRPr="00A17653">
              <w:rPr>
                <w:rFonts w:ascii="Times New Roman" w:eastAsia="TimesNewRoman" w:hAnsi="Times New Roman"/>
                <w:color w:val="231F20"/>
                <w:sz w:val="18"/>
                <w:szCs w:val="18"/>
                <w:lang w:eastAsia="sk-SK"/>
              </w:rPr>
              <w:t>* p&lt;0,001, Fischerov test.</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18"/>
                <w:szCs w:val="18"/>
                <w:lang w:eastAsia="sk-SK"/>
              </w:rPr>
            </w:pPr>
            <w:r w:rsidRPr="00A17653">
              <w:rPr>
                <w:rFonts w:ascii="Times New Roman" w:eastAsia="TimesNewRoman" w:hAnsi="Times New Roman"/>
                <w:color w:val="231F20"/>
                <w:sz w:val="18"/>
                <w:szCs w:val="18"/>
                <w:lang w:eastAsia="sk-SK"/>
              </w:rPr>
              <w:t>** Percentuálne podiely molekulárnej odpovede sú založené na dostupných vzorkách.</w:t>
            </w:r>
          </w:p>
          <w:p w:rsidR="00E951DA" w:rsidRPr="00A17653" w:rsidRDefault="00E951DA" w:rsidP="00A17653">
            <w:pPr>
              <w:autoSpaceDE w:val="0"/>
              <w:autoSpaceDN w:val="0"/>
              <w:adjustRightInd w:val="0"/>
              <w:spacing w:after="0" w:line="240" w:lineRule="auto"/>
              <w:rPr>
                <w:rFonts w:ascii="Times New Roman" w:eastAsia="TimesNewRomanPS-BoldMT" w:hAnsi="Times New Roman"/>
                <w:b/>
                <w:bCs/>
                <w:color w:val="231F20"/>
                <w:sz w:val="18"/>
                <w:szCs w:val="18"/>
                <w:lang w:eastAsia="sk-SK"/>
              </w:rPr>
            </w:pPr>
            <w:r w:rsidRPr="00A17653">
              <w:rPr>
                <w:rFonts w:ascii="Times New Roman" w:eastAsia="TimesNewRomanPS-BoldMT" w:hAnsi="Times New Roman"/>
                <w:b/>
                <w:bCs/>
                <w:color w:val="231F20"/>
                <w:sz w:val="18"/>
                <w:szCs w:val="18"/>
                <w:lang w:eastAsia="sk-SK"/>
              </w:rPr>
              <w:t xml:space="preserve">Kritériá hematologickej odpovede (všetky odpovede sa majú potvrdiť po </w:t>
            </w:r>
            <w:r w:rsidRPr="00A17653">
              <w:rPr>
                <w:rFonts w:ascii="Times New Roman" w:eastAsia="TimesNewRomanPS-BoldMT" w:hAnsi="Times New Roman"/>
                <w:b/>
                <w:bCs/>
                <w:color w:val="000000"/>
                <w:sz w:val="18"/>
                <w:szCs w:val="18"/>
                <w:lang w:eastAsia="sk-SK"/>
              </w:rPr>
              <w:t xml:space="preserve">≥ </w:t>
            </w:r>
            <w:r w:rsidRPr="00A17653">
              <w:rPr>
                <w:rFonts w:ascii="Times New Roman" w:eastAsia="TimesNewRomanPS-BoldMT" w:hAnsi="Times New Roman"/>
                <w:b/>
                <w:bCs/>
                <w:color w:val="231F20"/>
                <w:sz w:val="18"/>
                <w:szCs w:val="18"/>
                <w:lang w:eastAsia="sk-SK"/>
              </w:rPr>
              <w:t>4 týždňoch):</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18"/>
                <w:szCs w:val="18"/>
                <w:lang w:eastAsia="sk-SK"/>
              </w:rPr>
            </w:pPr>
            <w:r w:rsidRPr="00A17653">
              <w:rPr>
                <w:rFonts w:ascii="Times New Roman" w:eastAsia="TimesNewRoman" w:hAnsi="Times New Roman"/>
                <w:color w:val="231F20"/>
                <w:sz w:val="18"/>
                <w:szCs w:val="18"/>
                <w:lang w:eastAsia="sk-SK"/>
              </w:rPr>
              <w:t>WBC &lt; 10 x 10</w:t>
            </w:r>
            <w:r w:rsidRPr="00A17653">
              <w:rPr>
                <w:rFonts w:ascii="Times New Roman" w:eastAsia="TimesNewRoman" w:hAnsi="Times New Roman"/>
                <w:color w:val="231F20"/>
                <w:sz w:val="18"/>
                <w:szCs w:val="18"/>
                <w:vertAlign w:val="superscript"/>
                <w:lang w:eastAsia="sk-SK"/>
              </w:rPr>
              <w:t>9</w:t>
            </w:r>
            <w:r w:rsidRPr="00A17653">
              <w:rPr>
                <w:rFonts w:ascii="Times New Roman" w:eastAsia="TimesNewRoman" w:hAnsi="Times New Roman"/>
                <w:color w:val="231F20"/>
                <w:sz w:val="18"/>
                <w:szCs w:val="18"/>
                <w:lang w:eastAsia="sk-SK"/>
              </w:rPr>
              <w:t>/l, trombocyty &lt; 450 x 10</w:t>
            </w:r>
            <w:r w:rsidRPr="00A17653">
              <w:rPr>
                <w:rFonts w:ascii="Times New Roman" w:eastAsia="TimesNewRoman" w:hAnsi="Times New Roman"/>
                <w:color w:val="231F20"/>
                <w:sz w:val="18"/>
                <w:szCs w:val="18"/>
                <w:vertAlign w:val="superscript"/>
                <w:lang w:eastAsia="sk-SK"/>
              </w:rPr>
              <w:t>9</w:t>
            </w:r>
            <w:r w:rsidRPr="00A17653">
              <w:rPr>
                <w:rFonts w:ascii="Times New Roman" w:eastAsia="TimesNewRoman" w:hAnsi="Times New Roman"/>
                <w:color w:val="231F20"/>
                <w:sz w:val="18"/>
                <w:szCs w:val="18"/>
                <w:lang w:eastAsia="sk-SK"/>
              </w:rPr>
              <w:t>/l, myelocyty+metamyelocyty &lt; 5% v krvi, žiadne blasty a promyelocyty v krvi, bazofily &lt; 20%, žiadne extramedulárne postihnutie,</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sz w:val="18"/>
                <w:szCs w:val="18"/>
                <w:lang w:eastAsia="sk-SK"/>
              </w:rPr>
            </w:pPr>
            <w:r w:rsidRPr="00A17653">
              <w:rPr>
                <w:rFonts w:ascii="Times New Roman" w:eastAsia="TimesNewRomanPS-BoldMT" w:hAnsi="Times New Roman"/>
                <w:b/>
                <w:bCs/>
                <w:color w:val="231F20"/>
                <w:sz w:val="18"/>
                <w:szCs w:val="18"/>
                <w:lang w:eastAsia="sk-SK"/>
              </w:rPr>
              <w:t xml:space="preserve">Kritériá cytogenetickej odpovede: </w:t>
            </w:r>
            <w:r w:rsidRPr="00A17653">
              <w:rPr>
                <w:rFonts w:ascii="Times New Roman" w:eastAsia="TimesNewRoman" w:hAnsi="Times New Roman"/>
                <w:color w:val="000000"/>
                <w:sz w:val="18"/>
                <w:szCs w:val="18"/>
                <w:lang w:eastAsia="sk-SK"/>
              </w:rPr>
              <w:t xml:space="preserve">kompletná (0% Ph+ metafáz), čiastočná (1 – 35%), malá (36 – </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sz w:val="18"/>
                <w:szCs w:val="18"/>
                <w:lang w:eastAsia="sk-SK"/>
              </w:rPr>
            </w:pPr>
            <w:r w:rsidRPr="00A17653">
              <w:rPr>
                <w:rFonts w:ascii="Times New Roman" w:eastAsia="TimesNewRoman" w:hAnsi="Times New Roman"/>
                <w:color w:val="000000"/>
                <w:sz w:val="18"/>
                <w:szCs w:val="18"/>
                <w:lang w:eastAsia="sk-SK"/>
              </w:rPr>
              <w:t>65%) alebo minimálna (66 – 95%). Veľká odpoveď (0 – 35%) zahŕňa kompletné aj čiastočné odpovede.</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PS-BoldMT" w:hAnsi="Times New Roman"/>
                <w:b/>
                <w:bCs/>
                <w:color w:val="231F20"/>
                <w:sz w:val="18"/>
                <w:szCs w:val="18"/>
                <w:lang w:eastAsia="sk-SK"/>
              </w:rPr>
              <w:t xml:space="preserve">Kritériá veľkej molekulárnej odpovede: </w:t>
            </w:r>
            <w:r w:rsidRPr="00A17653">
              <w:rPr>
                <w:rFonts w:ascii="Times New Roman" w:eastAsia="TimesNewRoman" w:hAnsi="Times New Roman"/>
                <w:color w:val="000000"/>
                <w:sz w:val="18"/>
                <w:szCs w:val="18"/>
                <w:lang w:eastAsia="sk-SK"/>
              </w:rPr>
              <w:t xml:space="preserve">v periférnej krvi zníženie množstva transkriptov Bcr-Abl </w:t>
            </w:r>
            <w:r w:rsidRPr="00A17653">
              <w:rPr>
                <w:rFonts w:ascii="Times New Roman" w:eastAsia="TimesNewRoman" w:hAnsi="Times New Roman"/>
                <w:color w:val="231F20"/>
                <w:sz w:val="18"/>
                <w:szCs w:val="18"/>
                <w:lang w:eastAsia="sk-SK"/>
              </w:rPr>
              <w:t xml:space="preserve">≥ </w:t>
            </w:r>
            <w:r w:rsidRPr="00A17653">
              <w:rPr>
                <w:rFonts w:ascii="Times New Roman" w:eastAsia="TimesNewRoman" w:hAnsi="Times New Roman"/>
                <w:color w:val="000000"/>
                <w:sz w:val="18"/>
                <w:szCs w:val="18"/>
                <w:lang w:eastAsia="sk-SK"/>
              </w:rPr>
              <w:t>3 logaritmy (namerané pomocou PCR stanovenia reverznej transkriptázy v reálnom čase) oproti štandardizovanej východiskovej hodnote</w:t>
            </w:r>
            <w:r w:rsidRPr="00A17653">
              <w:rPr>
                <w:rFonts w:ascii="Times New Roman" w:eastAsia="TimesNewRoman" w:hAnsi="Times New Roman"/>
                <w:color w:val="231F20"/>
                <w:sz w:val="18"/>
                <w:szCs w:val="18"/>
                <w:lang w:eastAsia="sk-SK"/>
              </w:rPr>
              <w:t>.</w:t>
            </w:r>
          </w:p>
        </w:tc>
      </w:tr>
    </w:tbl>
    <w:p w:rsidR="00E951DA" w:rsidRPr="00A17653" w:rsidRDefault="00E951DA" w:rsidP="00A17653">
      <w:pPr>
        <w:widowControl w:val="0"/>
        <w:spacing w:after="0" w:line="240" w:lineRule="auto"/>
        <w:rPr>
          <w:rFonts w:ascii="Times New Roman" w:hAnsi="Times New Roman"/>
        </w:rPr>
      </w:pP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Miera kompletnej hematologickej odpovede, veľkej cytogenetickej odpovede a kompletnej cytogenetickej odpovede pri liečbe prvej línie sa odhadla pomocou metódy Kaplana-Meiera, pri ktorej pacienti bez odpovede na liečbu boli vylúčení v čase posledného vyšetrenia. Odhadované kumulatívne počty odpovedí pri liečbe prvej línie imatinibom stanovené touto metódou sa zlepšili od 12 mesiacov liečby do 84 mesiacov liečby nasledovným spôsobom: CHR z 96,4 % na 98,4 % a CCyR zo 69,5 % na 87,2 %.</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Pri 7 rokoch následného sledovania bolo v skupine imatinibu 93 (16,8 %) príhod progresie: 37 (6,7 %) zahŕňalo progresiu do akcelerovanej fázy/blastickej krízy, 31 (5,6 %) stratu MCyR, 15 (2,7 %) stratu CHR alebo zvýšenie WBC a 10 (1,8 %) úmrtí nesúvisiacich s CML. Naproti tomu v skupine IFN+Ara-C bolo 165 (29,8 %) príhod, z ktorých 130 sa vyskytlo počas liečby prvej línie IFN+Ara-C.</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lastRenderedPageBreak/>
        <w:t>Odhadovaný podiel pacientov bez progresie do akcelerovanej fázy alebo blastickej krízy po 84 mesiacoch bol významne vyšší v skupine imatinibu v porovnaní so skupinou IFN (92,5 % oproti 85,1 %, p&lt;0,001). Ročný výskyt progresií do akcelerovanej fázy alebo blastickej krízy sa znižoval s trvaním liečby a dosahoval menej ako 1 % ročne vo štvrtom a piatom roku. Odhadovaný podiel prežívania bez progresie po 84 mesiacoch bol 81,2 % v skupine imatinibu a 60,6 % v kontrolnej skupine (p&lt;0,001). Ročné počty progresií akéhokoľvek typu pri imatinibu časom tiež klesali.</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p>
    <w:p w:rsidR="00E951DA" w:rsidRPr="00A17653" w:rsidRDefault="00E951DA" w:rsidP="00A17653">
      <w:pPr>
        <w:autoSpaceDE w:val="0"/>
        <w:autoSpaceDN w:val="0"/>
        <w:adjustRightInd w:val="0"/>
        <w:spacing w:after="0" w:line="240" w:lineRule="auto"/>
        <w:rPr>
          <w:rFonts w:ascii="Times New Roman" w:hAnsi="Times New Roman"/>
        </w:rPr>
      </w:pPr>
      <w:r w:rsidRPr="00A17653">
        <w:rPr>
          <w:rFonts w:ascii="Times New Roman" w:eastAsia="TimesNewRoman" w:hAnsi="Times New Roman"/>
          <w:lang w:eastAsia="sk-SK"/>
        </w:rPr>
        <w:t>Celkovo zomrelo 71 (12,8%) pacientov v skupine imatinibu a 85 (15,4%) v skupine IFN+Ara-C. Po 84 mesiacoch je odhadované celkové prežívanie 86,4% (83, 90) oproti 83,3% (80, 87) v randomizovaných skupinách imatinibu a IFN+Ara-C (p=0,073, log-rank test). Tento parameter času do príhody je veľmi ovplyvnený vysokým počtom zmeny liečby z IFN+Ara-C na imatinib. Účinok liečby imatinibom na prežívanie v chronickej fáze novodiagnostikovanej CML sa ďalej skúmal v retrospektívnej analýze vyššie uvedených údajov o imatinibe spolu s primárnymi údajmi z ďalšieho klinického skúšania fázy III, v ktorom sa použili IFN+Ara-C (n=325) v rovnakom režime. V tejto retrospektívnej analýze sa preukázalo, že imatinib je lepší ako IFN+Ara-C vzhľadom na celkové prežívanie (p&lt;0,001); počas 42 mesiacov zomrelo 47 (8,5 %) pacientov liečených imatinibom a 63 (19,4 %) pacientov liečených IFN+Ara-C.</w:t>
      </w:r>
    </w:p>
    <w:p w:rsidR="00E951DA" w:rsidRPr="00A17653" w:rsidRDefault="00E951DA" w:rsidP="00A17653">
      <w:pPr>
        <w:widowControl w:val="0"/>
        <w:spacing w:after="0" w:line="240" w:lineRule="auto"/>
        <w:rPr>
          <w:rFonts w:ascii="Times New Roman" w:hAnsi="Times New Roman"/>
        </w:rPr>
      </w:pP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Stupeň cytogenetickej odpovede a molekulárnej odpovede mal jednoznačný vplyv na dlhodobé výsledky u pacientov liečených imatinibom. Zatiaľ čo odhadovaných 96 % (93 %) pacientov s CCyR (PCyR) po 12 mesiacoch nemalo progresiu do akcelerovanej fázy/blastickej krízy po 84 mesiacoch, len 81 % pacientov bez MCyR po 12 mesiacoch nemalo progresiu do pokročilej CML po 84 mesiacoch (p&lt;0,001 celkovo, p=0,25 medzi CCyR a PCyR). U pacientov so znížením množstva transkriptov Bcr-Abl o najmenej 3 logaritmy po 12 mesiacoch bola pravdepodobnosť 99 %, že zostanú bez progresie do akcelerovanej fázy/blastickej krízy po 84 mesiacoch. Nálezy boli podobné v analýze po 18 mesiacoch ako hraničnej hodnote.</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V tomto klinickom skúšaní boli povolené zvýšenia dávky zo 400 mg denne na 600 mg denne, potom zo 600 mg denne na 800 mg denne. Po 42 mesiacoch následného sledovania došlo u 11 pacientov k potvrdenej strate (v priebehu 4 týždňov) cytogenetickej odpovede. Z týchto 11 pacientov sa zvýšila dávka až na 800 mg denne u 4 pacientov, z ktorých 2 znovu dosiahli cytogenetickú odpoveď (1 čiastočnú a 1 kompletnú, pričom tento pacient dosiahol aj molekulárnu odpoveď), zatiaľ čo zo 7 pacientov, u ktorých sa nezvýšila dávka, iba jeden znovu dosiahol kompletnú cytogenetickú odpoveď. Percentuálna hodnota niektorých nežiaducich reakcií bola vyššia u 40 pacientov, ktorým sa dávka zvýšila na 800 mg denne v porovnaní s populáciou pacientov pred zvýšením dávky (n=551). K častejším nežiaducim reakciám patrili gastrointestinálne krvácania, konjunktivitída a zvýšenie aminotransferáz alebo bilirubínu. Iné nežiaduce reakcie boli hlásené s nižším alebo rovnakým výskytom.</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p>
    <w:p w:rsidR="00E951DA" w:rsidRPr="00A17653" w:rsidRDefault="00E951DA" w:rsidP="00A17653">
      <w:pPr>
        <w:autoSpaceDE w:val="0"/>
        <w:autoSpaceDN w:val="0"/>
        <w:adjustRightInd w:val="0"/>
        <w:spacing w:after="0" w:line="240" w:lineRule="auto"/>
        <w:rPr>
          <w:rFonts w:ascii="Times New Roman" w:hAnsi="Times New Roman"/>
        </w:rPr>
      </w:pPr>
      <w:r w:rsidRPr="00A17653">
        <w:rPr>
          <w:rFonts w:ascii="Times New Roman" w:eastAsia="TimesNewRoman" w:hAnsi="Times New Roman"/>
          <w:i/>
          <w:iCs/>
          <w:lang w:eastAsia="sk-SK"/>
        </w:rPr>
        <w:t xml:space="preserve">Chronická fáza, zlyhanie interferónu: </w:t>
      </w:r>
      <w:r w:rsidRPr="00A17653">
        <w:rPr>
          <w:rFonts w:ascii="Times New Roman" w:eastAsia="TimesNewRoman" w:hAnsi="Times New Roman"/>
          <w:lang w:eastAsia="sk-SK"/>
        </w:rPr>
        <w:t>532 dospelých pacientov sa liečilo začiatočnou dávkou 400 mg. Pacienti sa rozdelili do troch hlavných kategórií: hematologické zlyhanie (29 %), cytogenetické zlyhanie (35 %) alebo neznášanlivosť interferónu (36 %). Pacienti predtým dostávali liečbu IFN s mediánom trvania 14 mesiacov v dávkach &gt; 25 x 106 IU/týždeň a všetci boli v neskorej chronickej fáze s mediánom času od stanovenia diagnózy 32 mesiacov. Primárnou premennou účinnosti v tomto klinickom skúšaní bol stupeň veľkej cytogenetickej odpovede (kompletnej a čiastočnej odpovede, 0 až 35 % Ph+ metafáz v kostnej dreni).</w:t>
      </w:r>
    </w:p>
    <w:p w:rsidR="00E951DA" w:rsidRPr="00A17653" w:rsidRDefault="00E951DA" w:rsidP="00A17653">
      <w:pPr>
        <w:widowControl w:val="0"/>
        <w:spacing w:after="0" w:line="240" w:lineRule="auto"/>
        <w:rPr>
          <w:rFonts w:ascii="Times New Roman" w:hAnsi="Times New Roman"/>
        </w:rPr>
      </w:pP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V tomto klinickom skúšaní sa u 65 % pacientov dosiahla veľká cytogenetická odpoveď, ktorá bola kompletná u 53 % (potvrdená u 43 %) pacientov (Tabuľka 3). Kompletná hematologická odpoveď sa dosiahla u 95 % pacientov.</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i/>
          <w:iCs/>
          <w:lang w:eastAsia="sk-SK"/>
        </w:rPr>
        <w:t xml:space="preserve">Akcelerovaná fáza: </w:t>
      </w:r>
      <w:r w:rsidRPr="00A17653">
        <w:rPr>
          <w:rFonts w:ascii="Times New Roman" w:eastAsia="TimesNewRoman" w:hAnsi="Times New Roman"/>
          <w:lang w:eastAsia="sk-SK"/>
        </w:rPr>
        <w:t>Zaradených bolo 235 dospelých pacientov v akcelerovanej fáze ochorenia. Prvých 77 pacientov začalo liečbu dávkou 400 mg, protokol sa následne upravil, aby sa umožnilo vyššie dávkovanie, a zvyšných 158 pacientov začalo dávkou 600 mg.</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p>
    <w:p w:rsidR="00E951DA" w:rsidRPr="00A17653" w:rsidRDefault="00E951DA" w:rsidP="00A17653">
      <w:pPr>
        <w:autoSpaceDE w:val="0"/>
        <w:autoSpaceDN w:val="0"/>
        <w:adjustRightInd w:val="0"/>
        <w:spacing w:after="0" w:line="240" w:lineRule="auto"/>
        <w:rPr>
          <w:rFonts w:ascii="Times New Roman" w:hAnsi="Times New Roman"/>
        </w:rPr>
      </w:pPr>
      <w:r w:rsidRPr="00A17653">
        <w:rPr>
          <w:rFonts w:ascii="Times New Roman" w:eastAsia="TimesNewRoman" w:hAnsi="Times New Roman"/>
          <w:lang w:eastAsia="sk-SK"/>
        </w:rPr>
        <w:lastRenderedPageBreak/>
        <w:t>Primárnou premennou účinnosti bol stupeň hematologickej odpovede, ktorá sa zaznamenala buď ako kompletná hematologická odpoveď, alebo žiadny dôkaz leukémie (t. j. vymiznutie blastov z kostnej drene a krvi, ale bez úplného zotavenia periférnej krvi ako pri kompletnej odpovedi), alebo návrat do chronickej fázy CML. Potvrdená hematologická odpoveď sa dosiahla u 71,5 % pacientov (Tabuľka 3). Dôležité je, že 27,7 % pacientov dosiahlo aj veľkú cytogenetickú odpoveď, ktorá bola kompletná u 20,4 % (potvrdená u 16 %) pacientov. U pacientov liečených dávkou 600 mg je súčasný odhad mediánu prežívania bez progresie ochorenia 22,9 a celkového prežívania 42,5 mesiacov.</w:t>
      </w:r>
    </w:p>
    <w:p w:rsidR="00D637B4" w:rsidRPr="00A17653" w:rsidRDefault="00D637B4"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i/>
        </w:rPr>
        <w:t>Myeloidná blastická kríza</w:t>
      </w:r>
      <w:r w:rsidRPr="00A17653">
        <w:rPr>
          <w:rFonts w:ascii="Times New Roman" w:hAnsi="Times New Roman"/>
        </w:rPr>
        <w:t xml:space="preserve">: Zaradených bolo 260 pacientov v myeloidnej blastickej kríze. 95 (37 %) z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nich dostalo predtým chemoterapiu ako liečbu buď akcelerovanej fázy, alebo blastickej krízy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(„predliečení pacienti“), zatiaľ čo 165 (63 %) liečbu nedostalo („neliečení pacienti“). Prvých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37 pacientov začalo liečbu dávkou 400 mg, protokol sa následne upravil, aby sa umožnilo vyššie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dávkovanie, a zvyšných 223 pacientov začalo dávkou 600 mg.</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Primárnou premennou účinnosti bol stupeň hematologickej odpovede, ktorá sa zaznamenala buď ako </w:t>
      </w:r>
    </w:p>
    <w:p w:rsidR="001149BD" w:rsidRPr="00A17653" w:rsidRDefault="00EC32A3" w:rsidP="00A17653">
      <w:pPr>
        <w:widowControl w:val="0"/>
        <w:spacing w:after="0" w:line="240" w:lineRule="auto"/>
        <w:rPr>
          <w:rFonts w:ascii="Times New Roman" w:hAnsi="Times New Roman"/>
        </w:rPr>
      </w:pPr>
      <w:r w:rsidRPr="00A17653">
        <w:rPr>
          <w:rFonts w:ascii="Times New Roman" w:hAnsi="Times New Roman"/>
        </w:rPr>
        <w:t>kompletná hematologická odpoveď, alebo žiadny dôkaz leukémie</w:t>
      </w:r>
      <w:r w:rsidR="001149BD" w:rsidRPr="00A17653">
        <w:rPr>
          <w:rFonts w:ascii="Times New Roman" w:hAnsi="Times New Roman"/>
        </w:rPr>
        <w:t xml:space="preserve"> alebo návrat do chronickej fázy</w:t>
      </w:r>
    </w:p>
    <w:p w:rsidR="00EC32A3" w:rsidRPr="00A17653" w:rsidRDefault="001149BD" w:rsidP="00A17653">
      <w:pPr>
        <w:widowControl w:val="0"/>
        <w:spacing w:after="0" w:line="240" w:lineRule="auto"/>
        <w:rPr>
          <w:rFonts w:ascii="Times New Roman" w:hAnsi="Times New Roman"/>
        </w:rPr>
      </w:pPr>
      <w:r w:rsidRPr="00A17653">
        <w:rPr>
          <w:rFonts w:ascii="Times New Roman" w:hAnsi="Times New Roman"/>
        </w:rPr>
        <w:t xml:space="preserve">CML, pri čom sa použili rovnaké kritériá ako v klinickom skúšaní pri akcelerovanej fáze. </w:t>
      </w:r>
      <w:r w:rsidR="00EC32A3" w:rsidRPr="00A17653">
        <w:rPr>
          <w:rFonts w:ascii="Times New Roman" w:hAnsi="Times New Roman"/>
        </w:rPr>
        <w:t xml:space="preserve"> V tomto klinickom skúšaní sa u 31 % pacientov dosiahla hematologická odpoveď (36 % u predtým neliečených pacientov a 22 % u predtým liečených pacientov). Podiel odpovede bol tiež vyšší u pacientov liečených dávkou 600 mg (33 %) v porovnaní s pacientmi liečenými dávkou 400 mg (16 %, p = 0,0220). Súčasný odhadovaný medián prežívania predtým neliečených pacientov bol 7,7 mesiacov, predtým liečených pacientov 4,7 mesiacov.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i/>
        </w:rPr>
        <w:t>Lymfoidná blastická kríza</w:t>
      </w:r>
      <w:r w:rsidRPr="00A17653">
        <w:rPr>
          <w:rFonts w:ascii="Times New Roman" w:hAnsi="Times New Roman"/>
        </w:rPr>
        <w:t xml:space="preserve">: Do klinických skúšaní fázy I bol zaradený obmedzený počet pacientov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 = 10). Podiel hematologickej odpovede bol 70 % a jej trvanie 2 – 3 mesiace.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 xml:space="preserve">Tabuľka </w:t>
      </w:r>
      <w:r w:rsidR="00CD0C78" w:rsidRPr="00A17653">
        <w:rPr>
          <w:rFonts w:ascii="Times New Roman" w:hAnsi="Times New Roman"/>
          <w:b/>
        </w:rPr>
        <w:t>3</w:t>
      </w:r>
      <w:r w:rsidRPr="00A17653">
        <w:rPr>
          <w:rFonts w:ascii="Times New Roman" w:hAnsi="Times New Roman"/>
          <w:b/>
        </w:rPr>
        <w:tab/>
        <w:t>Odpoveď u dospelých s CML v klinických skúšaniach</w:t>
      </w:r>
    </w:p>
    <w:p w:rsidR="00E951DA" w:rsidRPr="00A17653" w:rsidRDefault="00E951DA" w:rsidP="00A17653">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2087"/>
        <w:gridCol w:w="2087"/>
        <w:gridCol w:w="2307"/>
      </w:tblGrid>
      <w:tr w:rsidR="00E951DA" w:rsidRPr="00A17653" w:rsidTr="00E951DA">
        <w:tc>
          <w:tcPr>
            <w:tcW w:w="2642" w:type="dxa"/>
          </w:tcPr>
          <w:p w:rsidR="00E951DA" w:rsidRPr="00A17653" w:rsidRDefault="00E951DA" w:rsidP="00A17653">
            <w:pPr>
              <w:widowControl w:val="0"/>
              <w:spacing w:after="0" w:line="240" w:lineRule="auto"/>
              <w:rPr>
                <w:rFonts w:ascii="Times New Roman" w:hAnsi="Times New Roman"/>
              </w:rPr>
            </w:pPr>
          </w:p>
        </w:tc>
        <w:tc>
          <w:tcPr>
            <w:tcW w:w="2144" w:type="dxa"/>
          </w:tcPr>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t>Klinické skúšanie</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231F20"/>
                <w:lang w:eastAsia="sk-SK"/>
              </w:rPr>
            </w:pPr>
            <w:r w:rsidRPr="00A17653">
              <w:rPr>
                <w:rFonts w:ascii="Times New Roman" w:eastAsia="TimesNewRoman" w:hAnsi="Times New Roman"/>
                <w:color w:val="231F20"/>
                <w:lang w:eastAsia="sk-SK"/>
              </w:rPr>
              <w:t>0110</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t>Údaje po</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t>37 mesiacoch</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t>Chronická fáza,</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t>zlyhanie IFN</w:t>
            </w:r>
          </w:p>
          <w:p w:rsidR="00E951DA" w:rsidRPr="00A17653" w:rsidRDefault="00E951DA" w:rsidP="00A17653">
            <w:pPr>
              <w:widowControl w:val="0"/>
              <w:spacing w:after="0" w:line="240" w:lineRule="auto"/>
              <w:jc w:val="center"/>
              <w:rPr>
                <w:rFonts w:ascii="Times New Roman" w:hAnsi="Times New Roman"/>
              </w:rPr>
            </w:pPr>
            <w:r w:rsidRPr="00A17653">
              <w:rPr>
                <w:rFonts w:ascii="Times New Roman" w:eastAsia="TimesNewRoman" w:hAnsi="Times New Roman"/>
                <w:color w:val="000000"/>
                <w:lang w:eastAsia="sk-SK"/>
              </w:rPr>
              <w:t>(n = 532)</w:t>
            </w:r>
          </w:p>
        </w:tc>
        <w:tc>
          <w:tcPr>
            <w:tcW w:w="2126" w:type="dxa"/>
          </w:tcPr>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t>Klinické</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t>skúšanie</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231F20"/>
                <w:lang w:eastAsia="sk-SK"/>
              </w:rPr>
            </w:pPr>
            <w:r w:rsidRPr="00A17653">
              <w:rPr>
                <w:rFonts w:ascii="Times New Roman" w:eastAsia="TimesNewRoman" w:hAnsi="Times New Roman"/>
                <w:color w:val="231F20"/>
                <w:lang w:eastAsia="sk-SK"/>
              </w:rPr>
              <w:t>0109</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t>Údaje po</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t>40,5 mesiacoch</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t>Akcelerovaná fáza</w:t>
            </w:r>
          </w:p>
          <w:p w:rsidR="00E951DA" w:rsidRPr="00A17653" w:rsidRDefault="00E951DA" w:rsidP="00A17653">
            <w:pPr>
              <w:widowControl w:val="0"/>
              <w:spacing w:after="0" w:line="240" w:lineRule="auto"/>
              <w:jc w:val="center"/>
              <w:rPr>
                <w:rFonts w:ascii="Times New Roman" w:hAnsi="Times New Roman"/>
              </w:rPr>
            </w:pPr>
            <w:r w:rsidRPr="00A17653">
              <w:rPr>
                <w:rFonts w:ascii="Times New Roman" w:eastAsia="TimesNewRoman" w:hAnsi="Times New Roman"/>
                <w:color w:val="231F20"/>
                <w:lang w:eastAsia="sk-SK"/>
              </w:rPr>
              <w:t>(n = 235)</w:t>
            </w:r>
          </w:p>
        </w:tc>
        <w:tc>
          <w:tcPr>
            <w:tcW w:w="2376" w:type="dxa"/>
          </w:tcPr>
          <w:p w:rsidR="00E951DA" w:rsidRPr="00A17653" w:rsidRDefault="00E951DA" w:rsidP="00A17653">
            <w:pPr>
              <w:widowControl w:val="0"/>
              <w:spacing w:after="0" w:line="240" w:lineRule="auto"/>
              <w:jc w:val="center"/>
              <w:rPr>
                <w:rFonts w:ascii="Times New Roman" w:hAnsi="Times New Roman"/>
              </w:rPr>
            </w:pPr>
            <w:r w:rsidRPr="00A17653">
              <w:rPr>
                <w:rFonts w:ascii="Times New Roman" w:hAnsi="Times New Roman"/>
              </w:rPr>
              <w:t>Klinické skúšanie</w:t>
            </w:r>
          </w:p>
          <w:p w:rsidR="00E951DA" w:rsidRPr="00A17653" w:rsidRDefault="00E951DA" w:rsidP="00A17653">
            <w:pPr>
              <w:widowControl w:val="0"/>
              <w:spacing w:after="0" w:line="240" w:lineRule="auto"/>
              <w:jc w:val="center"/>
              <w:rPr>
                <w:rFonts w:ascii="Times New Roman" w:hAnsi="Times New Roman"/>
              </w:rPr>
            </w:pPr>
            <w:r w:rsidRPr="00A17653">
              <w:rPr>
                <w:rFonts w:ascii="Times New Roman" w:hAnsi="Times New Roman"/>
              </w:rPr>
              <w:t xml:space="preserve"> 0102</w:t>
            </w:r>
          </w:p>
          <w:p w:rsidR="00E951DA" w:rsidRPr="00A17653" w:rsidRDefault="00E951DA" w:rsidP="00A17653">
            <w:pPr>
              <w:widowControl w:val="0"/>
              <w:spacing w:after="0" w:line="240" w:lineRule="auto"/>
              <w:jc w:val="center"/>
              <w:rPr>
                <w:rFonts w:ascii="Times New Roman" w:hAnsi="Times New Roman"/>
              </w:rPr>
            </w:pPr>
            <w:r w:rsidRPr="00A17653">
              <w:rPr>
                <w:rFonts w:ascii="Times New Roman" w:hAnsi="Times New Roman"/>
              </w:rPr>
              <w:t>Údaje po</w:t>
            </w:r>
          </w:p>
          <w:p w:rsidR="00E951DA" w:rsidRPr="00A17653" w:rsidRDefault="00E951DA" w:rsidP="00A17653">
            <w:pPr>
              <w:widowControl w:val="0"/>
              <w:spacing w:after="0" w:line="240" w:lineRule="auto"/>
              <w:jc w:val="center"/>
              <w:rPr>
                <w:rFonts w:ascii="Times New Roman" w:hAnsi="Times New Roman"/>
              </w:rPr>
            </w:pPr>
            <w:r w:rsidRPr="00A17653">
              <w:rPr>
                <w:rFonts w:ascii="Times New Roman" w:hAnsi="Times New Roman"/>
              </w:rPr>
              <w:t>38 mesiacoch</w:t>
            </w:r>
          </w:p>
          <w:p w:rsidR="00E951DA" w:rsidRPr="00A17653" w:rsidRDefault="00E951DA" w:rsidP="00A17653">
            <w:pPr>
              <w:widowControl w:val="0"/>
              <w:spacing w:after="0" w:line="240" w:lineRule="auto"/>
              <w:jc w:val="center"/>
              <w:rPr>
                <w:rFonts w:ascii="Times New Roman" w:hAnsi="Times New Roman"/>
              </w:rPr>
            </w:pPr>
            <w:r w:rsidRPr="00A17653">
              <w:rPr>
                <w:rFonts w:ascii="Times New Roman" w:hAnsi="Times New Roman"/>
              </w:rPr>
              <w:t>Myeloidná blastická kríza</w:t>
            </w:r>
          </w:p>
          <w:p w:rsidR="00E951DA" w:rsidRPr="00A17653" w:rsidRDefault="00E951DA" w:rsidP="00A17653">
            <w:pPr>
              <w:widowControl w:val="0"/>
              <w:spacing w:after="0" w:line="240" w:lineRule="auto"/>
              <w:jc w:val="center"/>
              <w:rPr>
                <w:rFonts w:ascii="Times New Roman" w:hAnsi="Times New Roman"/>
              </w:rPr>
            </w:pPr>
            <w:r w:rsidRPr="00A17653">
              <w:rPr>
                <w:rFonts w:ascii="Times New Roman" w:hAnsi="Times New Roman"/>
              </w:rPr>
              <w:t>(n = 260)</w:t>
            </w:r>
          </w:p>
        </w:tc>
      </w:tr>
      <w:tr w:rsidR="00E951DA" w:rsidRPr="00A17653" w:rsidTr="00E951DA">
        <w:trPr>
          <w:trHeight w:val="376"/>
        </w:trPr>
        <w:tc>
          <w:tcPr>
            <w:tcW w:w="9288" w:type="dxa"/>
            <w:gridSpan w:val="4"/>
          </w:tcPr>
          <w:p w:rsidR="00E951DA" w:rsidRPr="00A17653" w:rsidRDefault="00E951DA" w:rsidP="00A17653">
            <w:pPr>
              <w:widowControl w:val="0"/>
              <w:spacing w:after="0" w:line="240" w:lineRule="auto"/>
              <w:jc w:val="center"/>
              <w:rPr>
                <w:rFonts w:ascii="Times New Roman" w:hAnsi="Times New Roman"/>
              </w:rPr>
            </w:pPr>
            <w:r w:rsidRPr="00A17653">
              <w:rPr>
                <w:rFonts w:ascii="Times New Roman" w:hAnsi="Times New Roman"/>
              </w:rPr>
              <w:t>% pacientov (Cl</w:t>
            </w:r>
            <w:r w:rsidRPr="00A17653">
              <w:rPr>
                <w:rFonts w:ascii="Times New Roman" w:hAnsi="Times New Roman"/>
                <w:vertAlign w:val="subscript"/>
              </w:rPr>
              <w:t>95%</w:t>
            </w:r>
            <w:r w:rsidRPr="00A17653">
              <w:rPr>
                <w:rFonts w:ascii="Times New Roman" w:hAnsi="Times New Roman"/>
              </w:rPr>
              <w:t>)</w:t>
            </w:r>
          </w:p>
        </w:tc>
      </w:tr>
      <w:tr w:rsidR="00E951DA" w:rsidRPr="00A17653" w:rsidTr="00E951DA">
        <w:trPr>
          <w:trHeight w:val="1295"/>
        </w:trPr>
        <w:tc>
          <w:tcPr>
            <w:tcW w:w="2642" w:type="dxa"/>
          </w:tcPr>
          <w:p w:rsidR="00E951DA" w:rsidRPr="00A17653" w:rsidRDefault="00E951DA" w:rsidP="00A17653">
            <w:pPr>
              <w:widowControl w:val="0"/>
              <w:spacing w:after="0" w:line="240" w:lineRule="auto"/>
              <w:rPr>
                <w:rFonts w:ascii="Times New Roman" w:hAnsi="Times New Roman"/>
                <w:vertAlign w:val="superscript"/>
              </w:rPr>
            </w:pPr>
            <w:r w:rsidRPr="00A17653">
              <w:rPr>
                <w:rFonts w:ascii="Times New Roman" w:hAnsi="Times New Roman"/>
              </w:rPr>
              <w:t>Hematologická odpoveď</w:t>
            </w:r>
            <w:r w:rsidRPr="00A17653">
              <w:rPr>
                <w:rFonts w:ascii="Times New Roman" w:hAnsi="Times New Roman"/>
                <w:vertAlign w:val="superscript"/>
              </w:rPr>
              <w:t>1</w:t>
            </w: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Kompletná hematologická odpoveď (CHR)</w:t>
            </w: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Žiadny dôkaz leukémie(NEL)</w:t>
            </w: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Návrat do chronickej fázy (RTC)</w:t>
            </w:r>
          </w:p>
        </w:tc>
        <w:tc>
          <w:tcPr>
            <w:tcW w:w="2144" w:type="dxa"/>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95 % (92,3 – 96,3)</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95 %</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Nedá sa použiť</w:t>
            </w:r>
          </w:p>
          <w:p w:rsidR="00E951DA" w:rsidRPr="00A17653" w:rsidRDefault="00E951DA" w:rsidP="00A17653">
            <w:pPr>
              <w:widowControl w:val="0"/>
              <w:spacing w:after="0" w:line="240" w:lineRule="auto"/>
              <w:jc w:val="center"/>
              <w:rPr>
                <w:rFonts w:ascii="Times New Roman" w:eastAsia="TimesNewRoman" w:hAnsi="Times New Roman"/>
                <w:color w:val="231F20"/>
                <w:lang w:eastAsia="sk-SK"/>
              </w:rPr>
            </w:pPr>
          </w:p>
          <w:p w:rsidR="00E951DA" w:rsidRPr="00A17653" w:rsidRDefault="00E951DA" w:rsidP="00A17653">
            <w:pPr>
              <w:widowControl w:val="0"/>
              <w:spacing w:after="0" w:line="240" w:lineRule="auto"/>
              <w:rPr>
                <w:rFonts w:ascii="Times New Roman" w:hAnsi="Times New Roman"/>
              </w:rPr>
            </w:pPr>
            <w:r w:rsidRPr="00A17653">
              <w:rPr>
                <w:rFonts w:ascii="Times New Roman" w:eastAsia="TimesNewRoman" w:hAnsi="Times New Roman"/>
                <w:color w:val="231F20"/>
                <w:lang w:eastAsia="sk-SK"/>
              </w:rPr>
              <w:t>Nedá sa použiť</w:t>
            </w:r>
          </w:p>
        </w:tc>
        <w:tc>
          <w:tcPr>
            <w:tcW w:w="2126" w:type="dxa"/>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71 % (65,3 – 77,2)</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42 %</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12 %</w:t>
            </w:r>
          </w:p>
          <w:p w:rsidR="00E951DA" w:rsidRPr="00A17653" w:rsidRDefault="00E951DA" w:rsidP="00A17653">
            <w:pPr>
              <w:widowControl w:val="0"/>
              <w:spacing w:after="0" w:line="240" w:lineRule="auto"/>
              <w:rPr>
                <w:rFonts w:ascii="Times New Roman" w:eastAsia="TimesNewRoman" w:hAnsi="Times New Roman"/>
                <w:color w:val="231F20"/>
                <w:lang w:eastAsia="sk-SK"/>
              </w:rPr>
            </w:pPr>
          </w:p>
          <w:p w:rsidR="00E951DA" w:rsidRPr="00A17653" w:rsidRDefault="00E951DA" w:rsidP="00A17653">
            <w:pPr>
              <w:widowControl w:val="0"/>
              <w:spacing w:after="0" w:line="240" w:lineRule="auto"/>
              <w:rPr>
                <w:rFonts w:ascii="Times New Roman" w:hAnsi="Times New Roman"/>
              </w:rPr>
            </w:pPr>
            <w:r w:rsidRPr="00A17653">
              <w:rPr>
                <w:rFonts w:ascii="Times New Roman" w:eastAsia="TimesNewRoman" w:hAnsi="Times New Roman"/>
                <w:color w:val="231F20"/>
                <w:lang w:eastAsia="sk-SK"/>
              </w:rPr>
              <w:t>17 %</w:t>
            </w:r>
          </w:p>
        </w:tc>
        <w:tc>
          <w:tcPr>
            <w:tcW w:w="2376" w:type="dxa"/>
          </w:tcPr>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31 % (25,2–36,8)</w:t>
            </w: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8 %</w:t>
            </w:r>
          </w:p>
          <w:p w:rsidR="00E951DA" w:rsidRPr="00A17653" w:rsidRDefault="00E951DA" w:rsidP="00A17653">
            <w:pPr>
              <w:widowControl w:val="0"/>
              <w:spacing w:after="0" w:line="240" w:lineRule="auto"/>
              <w:rPr>
                <w:rFonts w:ascii="Times New Roman" w:hAnsi="Times New Roman"/>
              </w:rPr>
            </w:pP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5 %</w:t>
            </w:r>
          </w:p>
          <w:p w:rsidR="00E951DA" w:rsidRPr="00A17653" w:rsidRDefault="00E951DA" w:rsidP="00A17653">
            <w:pPr>
              <w:widowControl w:val="0"/>
              <w:spacing w:after="0" w:line="240" w:lineRule="auto"/>
              <w:rPr>
                <w:rFonts w:ascii="Times New Roman" w:hAnsi="Times New Roman"/>
              </w:rPr>
            </w:pP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18 %</w:t>
            </w:r>
          </w:p>
        </w:tc>
      </w:tr>
      <w:tr w:rsidR="00E951DA" w:rsidRPr="00A17653" w:rsidTr="00E951DA">
        <w:trPr>
          <w:trHeight w:val="1042"/>
        </w:trPr>
        <w:tc>
          <w:tcPr>
            <w:tcW w:w="2642" w:type="dxa"/>
          </w:tcPr>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Veľká cytogenetická odpoveď</w:t>
            </w:r>
            <w:r w:rsidRPr="00A17653">
              <w:rPr>
                <w:rFonts w:ascii="Times New Roman" w:hAnsi="Times New Roman"/>
                <w:vertAlign w:val="superscript"/>
              </w:rPr>
              <w:t>2</w:t>
            </w:r>
          </w:p>
          <w:p w:rsidR="00E951DA" w:rsidRPr="00A17653" w:rsidRDefault="00E951DA" w:rsidP="00A17653">
            <w:pPr>
              <w:widowControl w:val="0"/>
              <w:spacing w:after="0" w:line="240" w:lineRule="auto"/>
              <w:rPr>
                <w:rFonts w:ascii="Times New Roman" w:hAnsi="Times New Roman"/>
                <w:b/>
                <w:vertAlign w:val="superscript"/>
              </w:rPr>
            </w:pPr>
            <w:r w:rsidRPr="00A17653">
              <w:rPr>
                <w:rFonts w:ascii="Times New Roman" w:hAnsi="Times New Roman"/>
              </w:rPr>
              <w:t>Kompletná</w:t>
            </w:r>
          </w:p>
          <w:p w:rsidR="00E951DA" w:rsidRPr="00A17653" w:rsidRDefault="00E951DA" w:rsidP="00A17653">
            <w:pPr>
              <w:widowControl w:val="0"/>
              <w:spacing w:after="0" w:line="240" w:lineRule="auto"/>
              <w:rPr>
                <w:rFonts w:ascii="Times New Roman" w:hAnsi="Times New Roman"/>
                <w:b/>
                <w:vertAlign w:val="superscript"/>
              </w:rPr>
            </w:pPr>
            <w:r w:rsidRPr="00A17653">
              <w:rPr>
                <w:rFonts w:ascii="Times New Roman" w:hAnsi="Times New Roman"/>
              </w:rPr>
              <w:t>(Potvrdená</w:t>
            </w:r>
            <w:r w:rsidRPr="00A17653">
              <w:rPr>
                <w:rFonts w:ascii="Times New Roman" w:hAnsi="Times New Roman"/>
                <w:vertAlign w:val="superscript"/>
              </w:rPr>
              <w:t>3</w:t>
            </w:r>
            <w:r w:rsidRPr="00A17653">
              <w:rPr>
                <w:rFonts w:ascii="Times New Roman" w:hAnsi="Times New Roman"/>
              </w:rPr>
              <w:t>) [95 % CI]</w:t>
            </w: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Čiastočná</w:t>
            </w:r>
          </w:p>
        </w:tc>
        <w:tc>
          <w:tcPr>
            <w:tcW w:w="2144" w:type="dxa"/>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65 % (61,2 – 69,5)</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53 %</w:t>
            </w:r>
          </w:p>
          <w:p w:rsidR="00E951DA" w:rsidRPr="00A17653" w:rsidRDefault="00E951DA" w:rsidP="00A17653">
            <w:pPr>
              <w:widowControl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(43 %) [38,6 – 47,2]</w:t>
            </w:r>
          </w:p>
          <w:p w:rsidR="00E951DA" w:rsidRPr="00A17653" w:rsidRDefault="00E951DA" w:rsidP="00A17653">
            <w:pPr>
              <w:widowControl w:val="0"/>
              <w:spacing w:after="0" w:line="240" w:lineRule="auto"/>
              <w:rPr>
                <w:rFonts w:ascii="Times New Roman" w:hAnsi="Times New Roman"/>
              </w:rPr>
            </w:pPr>
            <w:r w:rsidRPr="00A17653">
              <w:rPr>
                <w:rFonts w:ascii="Times New Roman" w:eastAsia="TimesNewRoman" w:hAnsi="Times New Roman"/>
                <w:color w:val="231F20"/>
                <w:lang w:eastAsia="sk-SK"/>
              </w:rPr>
              <w:t>12 %</w:t>
            </w:r>
          </w:p>
        </w:tc>
        <w:tc>
          <w:tcPr>
            <w:tcW w:w="2126" w:type="dxa"/>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28 % (22,0 – 33,9)</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20 %</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(16 %) [11,3 – 21,0]</w:t>
            </w:r>
          </w:p>
          <w:p w:rsidR="00E951DA" w:rsidRPr="00A17653" w:rsidRDefault="00E951DA" w:rsidP="00A17653">
            <w:pPr>
              <w:widowControl w:val="0"/>
              <w:spacing w:after="0" w:line="240" w:lineRule="auto"/>
              <w:rPr>
                <w:rFonts w:ascii="Times New Roman" w:hAnsi="Times New Roman"/>
              </w:rPr>
            </w:pPr>
            <w:r w:rsidRPr="00A17653">
              <w:rPr>
                <w:rFonts w:ascii="Times New Roman" w:eastAsia="TimesNewRoman" w:hAnsi="Times New Roman"/>
                <w:color w:val="231F20"/>
                <w:lang w:eastAsia="sk-SK"/>
              </w:rPr>
              <w:t>7 %</w:t>
            </w:r>
          </w:p>
        </w:tc>
        <w:tc>
          <w:tcPr>
            <w:tcW w:w="2376" w:type="dxa"/>
          </w:tcPr>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15 % (11,2–20,4)</w:t>
            </w:r>
          </w:p>
          <w:p w:rsidR="00E951DA" w:rsidRPr="00A17653" w:rsidRDefault="00E951DA" w:rsidP="00A17653">
            <w:pPr>
              <w:widowControl w:val="0"/>
              <w:spacing w:after="0" w:line="240" w:lineRule="auto"/>
              <w:rPr>
                <w:rFonts w:ascii="Times New Roman" w:hAnsi="Times New Roman"/>
              </w:rPr>
            </w:pPr>
          </w:p>
          <w:p w:rsidR="00E951DA" w:rsidRPr="00A17653" w:rsidRDefault="00E951DA" w:rsidP="00A17653">
            <w:pPr>
              <w:widowControl w:val="0"/>
              <w:spacing w:after="0" w:line="240" w:lineRule="auto"/>
              <w:rPr>
                <w:rFonts w:ascii="Times New Roman" w:hAnsi="Times New Roman"/>
                <w:b/>
                <w:vertAlign w:val="superscript"/>
              </w:rPr>
            </w:pPr>
            <w:r w:rsidRPr="00A17653">
              <w:rPr>
                <w:rFonts w:ascii="Times New Roman" w:hAnsi="Times New Roman"/>
              </w:rPr>
              <w:t>7 %</w:t>
            </w: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(2 %) [0,6–4,4]</w:t>
            </w: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8 %</w:t>
            </w:r>
          </w:p>
        </w:tc>
      </w:tr>
      <w:tr w:rsidR="00E951DA" w:rsidRPr="00A17653" w:rsidTr="00E951DA">
        <w:trPr>
          <w:trHeight w:val="1042"/>
        </w:trPr>
        <w:tc>
          <w:tcPr>
            <w:tcW w:w="9288" w:type="dxa"/>
            <w:gridSpan w:val="4"/>
          </w:tcPr>
          <w:p w:rsidR="00E951DA" w:rsidRPr="00A17653" w:rsidRDefault="00E951DA" w:rsidP="00A17653">
            <w:pPr>
              <w:pStyle w:val="Default"/>
              <w:widowControl w:val="0"/>
              <w:rPr>
                <w:b/>
                <w:bCs/>
                <w:sz w:val="18"/>
                <w:szCs w:val="18"/>
                <w:lang w:val="sk-SK"/>
              </w:rPr>
            </w:pPr>
            <w:r w:rsidRPr="00A17653">
              <w:rPr>
                <w:bCs/>
                <w:sz w:val="18"/>
                <w:szCs w:val="18"/>
                <w:vertAlign w:val="superscript"/>
                <w:lang w:val="sk-SK"/>
              </w:rPr>
              <w:t>1</w:t>
            </w:r>
            <w:r w:rsidRPr="00A17653">
              <w:rPr>
                <w:b/>
                <w:bCs/>
                <w:sz w:val="18"/>
                <w:szCs w:val="18"/>
                <w:lang w:val="sk-SK"/>
              </w:rPr>
              <w:t xml:space="preserve">Kritériá hematologickej odpovede (všetky odpovede sa majú potvrdiť po </w:t>
            </w:r>
            <w:r w:rsidRPr="00A17653">
              <w:rPr>
                <w:sz w:val="18"/>
                <w:szCs w:val="18"/>
                <w:lang w:val="sk-SK"/>
              </w:rPr>
              <w:t>≥ </w:t>
            </w:r>
            <w:r w:rsidRPr="00A17653">
              <w:rPr>
                <w:b/>
                <w:bCs/>
                <w:sz w:val="18"/>
                <w:szCs w:val="18"/>
                <w:lang w:val="sk-SK"/>
              </w:rPr>
              <w:t>4 týždňoch):</w:t>
            </w:r>
          </w:p>
          <w:p w:rsidR="00E951DA" w:rsidRPr="00A17653" w:rsidRDefault="00E951DA" w:rsidP="00A17653">
            <w:pPr>
              <w:pStyle w:val="Default"/>
              <w:widowControl w:val="0"/>
              <w:ind w:left="567" w:hanging="567"/>
              <w:rPr>
                <w:b/>
                <w:bCs/>
                <w:sz w:val="18"/>
                <w:szCs w:val="18"/>
                <w:lang w:val="sk-SK"/>
              </w:rPr>
            </w:pPr>
            <w:r w:rsidRPr="00A17653">
              <w:rPr>
                <w:sz w:val="18"/>
                <w:szCs w:val="18"/>
                <w:lang w:val="sk-SK"/>
              </w:rPr>
              <w:t>CHR: Klinické skúšanie 0102 [ANC ≥1.5 x 10</w:t>
            </w:r>
            <w:r w:rsidRPr="00A17653">
              <w:rPr>
                <w:sz w:val="18"/>
                <w:szCs w:val="18"/>
                <w:vertAlign w:val="superscript"/>
                <w:lang w:val="sk-SK"/>
              </w:rPr>
              <w:t>9</w:t>
            </w:r>
            <w:r w:rsidRPr="00A17653">
              <w:rPr>
                <w:sz w:val="18"/>
                <w:szCs w:val="18"/>
                <w:lang w:val="sk-SK"/>
              </w:rPr>
              <w:t>/l, trombocyty ≥100 x 10</w:t>
            </w:r>
            <w:r w:rsidRPr="00A17653">
              <w:rPr>
                <w:sz w:val="18"/>
                <w:szCs w:val="18"/>
                <w:vertAlign w:val="superscript"/>
                <w:lang w:val="sk-SK"/>
              </w:rPr>
              <w:t>9</w:t>
            </w:r>
            <w:r w:rsidRPr="00A17653">
              <w:rPr>
                <w:sz w:val="18"/>
                <w:szCs w:val="18"/>
                <w:lang w:val="sk-SK"/>
              </w:rPr>
              <w:t>/l, žiadne blasty v krvi, blasty v BM &lt;5 % a žiadne extramedulárne postihnutie]</w:t>
            </w:r>
          </w:p>
          <w:p w:rsidR="00E951DA" w:rsidRPr="00A17653" w:rsidRDefault="00E951DA" w:rsidP="00A17653">
            <w:pPr>
              <w:pStyle w:val="Default"/>
              <w:widowControl w:val="0"/>
              <w:tabs>
                <w:tab w:val="left" w:pos="567"/>
              </w:tabs>
              <w:rPr>
                <w:sz w:val="18"/>
                <w:szCs w:val="18"/>
                <w:lang w:val="sk-SK"/>
              </w:rPr>
            </w:pPr>
            <w:r w:rsidRPr="00A17653">
              <w:rPr>
                <w:sz w:val="18"/>
                <w:szCs w:val="18"/>
                <w:lang w:val="sk-SK"/>
              </w:rPr>
              <w:t xml:space="preserve">NEL </w:t>
            </w:r>
            <w:r w:rsidRPr="00A17653">
              <w:rPr>
                <w:sz w:val="18"/>
                <w:szCs w:val="18"/>
                <w:lang w:val="sk-SK"/>
              </w:rPr>
              <w:tab/>
              <w:t>Rovnaké kritériá ako CHR, ale ANC ≥1 x 10</w:t>
            </w:r>
            <w:r w:rsidRPr="00A17653">
              <w:rPr>
                <w:sz w:val="18"/>
                <w:szCs w:val="18"/>
                <w:vertAlign w:val="superscript"/>
                <w:lang w:val="sk-SK"/>
              </w:rPr>
              <w:t>9</w:t>
            </w:r>
            <w:r w:rsidRPr="00A17653">
              <w:rPr>
                <w:sz w:val="18"/>
                <w:szCs w:val="18"/>
                <w:lang w:val="sk-SK"/>
              </w:rPr>
              <w:t>/l a trombocyty ≥20 x 10</w:t>
            </w:r>
            <w:r w:rsidRPr="00A17653">
              <w:rPr>
                <w:sz w:val="18"/>
                <w:szCs w:val="18"/>
                <w:vertAlign w:val="superscript"/>
                <w:lang w:val="sk-SK"/>
              </w:rPr>
              <w:t>9</w:t>
            </w:r>
            <w:r w:rsidRPr="00A17653">
              <w:rPr>
                <w:sz w:val="18"/>
                <w:szCs w:val="18"/>
                <w:lang w:val="sk-SK"/>
              </w:rPr>
              <w:t>/l</w:t>
            </w:r>
          </w:p>
          <w:p w:rsidR="00E951DA" w:rsidRPr="00A17653" w:rsidRDefault="00E951DA" w:rsidP="00A17653">
            <w:pPr>
              <w:widowControl w:val="0"/>
              <w:tabs>
                <w:tab w:val="left" w:pos="567"/>
              </w:tabs>
              <w:spacing w:after="0" w:line="240" w:lineRule="auto"/>
              <w:ind w:left="567" w:hanging="567"/>
              <w:rPr>
                <w:rFonts w:ascii="Times New Roman" w:hAnsi="Times New Roman"/>
                <w:sz w:val="18"/>
                <w:szCs w:val="18"/>
              </w:rPr>
            </w:pPr>
            <w:r w:rsidRPr="00A17653">
              <w:rPr>
                <w:rFonts w:ascii="Times New Roman" w:hAnsi="Times New Roman"/>
                <w:sz w:val="18"/>
                <w:szCs w:val="18"/>
              </w:rPr>
              <w:t xml:space="preserve">RTC </w:t>
            </w:r>
            <w:r w:rsidRPr="00A17653">
              <w:rPr>
                <w:rFonts w:ascii="Times New Roman" w:hAnsi="Times New Roman"/>
                <w:sz w:val="18"/>
                <w:szCs w:val="18"/>
              </w:rPr>
              <w:tab/>
              <w:t>blasty v BM a PB &lt;15 %, blasty+promyelocyty v BM a PB &lt;30 %, bazofily</w:t>
            </w:r>
          </w:p>
          <w:p w:rsidR="00E951DA" w:rsidRPr="00A17653" w:rsidRDefault="00E951DA" w:rsidP="00A17653">
            <w:pPr>
              <w:pStyle w:val="Default"/>
              <w:widowControl w:val="0"/>
              <w:tabs>
                <w:tab w:val="left" w:pos="567"/>
              </w:tabs>
              <w:ind w:left="567" w:hanging="567"/>
              <w:rPr>
                <w:sz w:val="18"/>
                <w:szCs w:val="18"/>
                <w:lang w:val="sk-SK"/>
              </w:rPr>
            </w:pPr>
            <w:r w:rsidRPr="00A17653">
              <w:rPr>
                <w:sz w:val="18"/>
                <w:szCs w:val="18"/>
                <w:lang w:val="sk-SK"/>
              </w:rPr>
              <w:tab/>
              <w:t>v PB &lt;20 %, žiadne extramedulárne postihnutie okrem sleziny a pečene.</w:t>
            </w:r>
          </w:p>
          <w:p w:rsidR="00E951DA" w:rsidRPr="00A17653" w:rsidRDefault="00E951DA" w:rsidP="00A17653">
            <w:pPr>
              <w:pStyle w:val="Default"/>
              <w:widowControl w:val="0"/>
              <w:rPr>
                <w:sz w:val="18"/>
                <w:szCs w:val="18"/>
                <w:lang w:val="sk-SK"/>
              </w:rPr>
            </w:pPr>
            <w:r w:rsidRPr="00A17653">
              <w:rPr>
                <w:sz w:val="18"/>
                <w:szCs w:val="18"/>
                <w:lang w:val="sk-SK"/>
              </w:rPr>
              <w:t>BM = kostná dreň, PB = periférna krv</w:t>
            </w:r>
          </w:p>
          <w:p w:rsidR="00E951DA" w:rsidRPr="00A17653" w:rsidRDefault="00E951DA" w:rsidP="00A17653">
            <w:pPr>
              <w:pStyle w:val="Default"/>
              <w:widowControl w:val="0"/>
              <w:rPr>
                <w:b/>
                <w:bCs/>
                <w:sz w:val="18"/>
                <w:szCs w:val="18"/>
                <w:lang w:val="sk-SK"/>
              </w:rPr>
            </w:pPr>
            <w:r w:rsidRPr="00A17653">
              <w:rPr>
                <w:bCs/>
                <w:sz w:val="18"/>
                <w:szCs w:val="18"/>
                <w:vertAlign w:val="superscript"/>
                <w:lang w:val="sk-SK"/>
              </w:rPr>
              <w:t>2</w:t>
            </w:r>
            <w:r w:rsidRPr="00A17653">
              <w:rPr>
                <w:b/>
                <w:bCs/>
                <w:sz w:val="18"/>
                <w:szCs w:val="18"/>
                <w:lang w:val="sk-SK"/>
              </w:rPr>
              <w:t>Kritériá cytogenetickej odpovede:</w:t>
            </w:r>
          </w:p>
          <w:p w:rsidR="00E951DA" w:rsidRPr="00A17653" w:rsidRDefault="00E951DA" w:rsidP="00A17653">
            <w:pPr>
              <w:pStyle w:val="Default"/>
              <w:widowControl w:val="0"/>
              <w:rPr>
                <w:sz w:val="18"/>
                <w:szCs w:val="18"/>
                <w:lang w:val="sk-SK"/>
              </w:rPr>
            </w:pPr>
            <w:r w:rsidRPr="00A17653">
              <w:rPr>
                <w:sz w:val="18"/>
                <w:szCs w:val="18"/>
                <w:lang w:val="sk-SK"/>
              </w:rPr>
              <w:lastRenderedPageBreak/>
              <w:t>Veľká odpoveď zahŕňa kompletné aj čiastočné odpovede: kompletné (0 % Ph+ metafáz), čiastočné (1–35 %)</w:t>
            </w: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sz w:val="18"/>
                <w:szCs w:val="18"/>
                <w:vertAlign w:val="superscript"/>
              </w:rPr>
              <w:t>3</w:t>
            </w:r>
            <w:r w:rsidRPr="00A17653">
              <w:rPr>
                <w:rFonts w:ascii="Times New Roman" w:hAnsi="Times New Roman"/>
                <w:sz w:val="18"/>
                <w:szCs w:val="18"/>
              </w:rPr>
              <w:t>Kompletná cytogenetická odpoveď potvrdená druhým cytogenetickým hodnotením kostnej drene vykonaným aspoň 1 mesiac po začiatočnom vyšetrení kostnej drene.</w:t>
            </w:r>
          </w:p>
        </w:tc>
      </w:tr>
    </w:tbl>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i/>
        </w:rPr>
        <w:t>Pediatrickí pacienti:</w:t>
      </w:r>
      <w:r w:rsidRPr="00A17653">
        <w:rPr>
          <w:rFonts w:ascii="Times New Roman" w:hAnsi="Times New Roman"/>
        </w:rPr>
        <w:t xml:space="preserve"> Celkovo bolo zaradených 26 pediatrických pacientov vo veku &lt; 18 rokov buď 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CML v chronickej fáze (n = 11), alebo s CML v blastickej kríze alebo s Ph+ akútnymi leukémiami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(n = 15) do klinického skúšania fázy I so stupňujúcim sa dávkovaním. Bola to skupina intenzívne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predliečených pacientov, z ktorých predtým 46 % dostalo transplantáciu kostnej drene (BMT) a 73 %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kombinovanú chemoterapiu. Pacienti dostávali imatinib v dávke 260 mg/m</w:t>
      </w:r>
      <w:r w:rsidRPr="00A17653">
        <w:rPr>
          <w:rFonts w:ascii="Times New Roman" w:hAnsi="Times New Roman"/>
          <w:vertAlign w:val="superscript"/>
        </w:rPr>
        <w:t>2</w:t>
      </w:r>
      <w:r w:rsidRPr="00A17653">
        <w:rPr>
          <w:rFonts w:ascii="Times New Roman" w:hAnsi="Times New Roman"/>
        </w:rPr>
        <w:t>/deň (n=5), 340 mg/m</w:t>
      </w:r>
      <w:r w:rsidRPr="00A17653">
        <w:rPr>
          <w:rFonts w:ascii="Times New Roman" w:hAnsi="Times New Roman"/>
          <w:vertAlign w:val="superscript"/>
        </w:rPr>
        <w:t>2</w:t>
      </w:r>
      <w:r w:rsidRPr="00A17653">
        <w:rPr>
          <w:rFonts w:ascii="Times New Roman" w:hAnsi="Times New Roman"/>
        </w:rPr>
        <w:t>/deň (n = 9), 440 mg/m</w:t>
      </w:r>
      <w:r w:rsidRPr="00A17653">
        <w:rPr>
          <w:rFonts w:ascii="Times New Roman" w:hAnsi="Times New Roman"/>
          <w:vertAlign w:val="superscript"/>
        </w:rPr>
        <w:t>2</w:t>
      </w:r>
      <w:r w:rsidRPr="00A17653">
        <w:rPr>
          <w:rFonts w:ascii="Times New Roman" w:hAnsi="Times New Roman"/>
        </w:rPr>
        <w:t>/deň (n = 7) a 570 mg/m</w:t>
      </w:r>
      <w:r w:rsidRPr="00A17653">
        <w:rPr>
          <w:rFonts w:ascii="Times New Roman" w:hAnsi="Times New Roman"/>
          <w:vertAlign w:val="superscript"/>
        </w:rPr>
        <w:t>2</w:t>
      </w:r>
      <w:r w:rsidRPr="00A17653">
        <w:rPr>
          <w:rFonts w:ascii="Times New Roman" w:hAnsi="Times New Roman"/>
        </w:rPr>
        <w:t>/deň (n = 5). Z deviatich pacientov v chronickej fáze CML, u ktorých sú dostupné cytogenetické údaje, dosiahli štyria (44 %) kompletnú a traja (33 %) čiastočnú cytogenetickú odpoveď, s podielom MCyR 77 %.</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Celkovo 51 pediatrických pacientov s novodiagnostikovanou a neliečenou CML v chronickej fáze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bolo zaradených do otvoreného, multicentrického klinického skúšania fázy II s jedným ramenom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liečby. Pacientom sa podával imatinib v dávke 340 mg/m</w:t>
      </w:r>
      <w:r w:rsidRPr="00A17653">
        <w:rPr>
          <w:rFonts w:ascii="Times New Roman" w:hAnsi="Times New Roman"/>
          <w:vertAlign w:val="superscript"/>
        </w:rPr>
        <w:t>2</w:t>
      </w:r>
      <w:r w:rsidRPr="00A17653">
        <w:rPr>
          <w:rFonts w:ascii="Times New Roman" w:hAnsi="Times New Roman"/>
        </w:rPr>
        <w:t>/deň bez prerušení, ak neboli prítomné toxické príznaky obmedzujúce dávku. Liečba imatinibom vyvoláva rýchlu odpoveď u novodiagnostikovaných pediatrických pacientov s CML, s CHR 78 % po 8 týždňoch liečby. Vysoký stupeň CHR sprevádza vývoj kompletnej cytogenetickej odpovede (CCyR) dosahujúcej 65 %, ktorá je porovnateľná s výsledkami pozorovanými u dospelých. Navyše sa u 16 % pozorovala čiastočná cytogenetická odpoveď (PCyR) s MCyR 81 %. U väčšiny pacientov, ktorí dosiahli CCyR, sa vyvinula CCyR medzi 3. a 10. mesiacom, pričom medián času do odpovede na základe odhadu podľa Kaplana-Meiera bol 5,6 mesiacov.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Európska lieková agentúra udelila výnimku z povinnosti predložiť výsledky štúdií pre imatinib 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všetkých vekových podskupín detí a dospievajúcich s chronickou myelocytovou leukémiou 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pozitívnym chromozómom Philadelphia (translokácia bcr-abl) (informácie o pediatrickom použití,</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pozri časť 4.2).</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Klinické skúšania pri Ph+ ALL</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i/>
        </w:rPr>
        <w:t xml:space="preserve">Novodiagnostikovaná Ph+ ALL: </w:t>
      </w:r>
      <w:r w:rsidRPr="00A17653">
        <w:rPr>
          <w:rFonts w:ascii="Times New Roman" w:hAnsi="Times New Roman"/>
        </w:rPr>
        <w:t xml:space="preserve">V kontrolovanom klinickom skúšaní (ADE10) porovnávajúcom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a indukčnú chemoterapiu u 55 novodiagnostikovaných pacientov vo veku 55 rokov a viac sa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 imatinibe podanom ako monoterapia dosiahol významne vyšší podiel kompletnej hematologickej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odpovede ako pri chemoterapii (96,3% oproti 50%; p=0,0001). Keď sa imatinib podal ako záchranná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liečba pacientom, ktorí nereagovali alebo slabo reagovali na chemoterapiu, dosiahla sa kompletná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hematologická odpoveď u 9 (81,8%) z 11 pacientov. Tento klinický účinok sa spájal s väčším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poklesom transkriptov bcr-abl u pacientov liečených imatinibom oproti skupine liečených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chemoterapiou po 2 týždňoch liečby (p = 0,02). Všetci pacienti dostávali po začatí liečby imatinib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 konsolidačnú chemoterapiu (pozri Tabuľku </w:t>
      </w:r>
      <w:r w:rsidR="00CD0C78" w:rsidRPr="00A17653">
        <w:rPr>
          <w:rFonts w:ascii="Times New Roman" w:hAnsi="Times New Roman"/>
        </w:rPr>
        <w:t>4</w:t>
      </w:r>
      <w:r w:rsidRPr="00A17653">
        <w:rPr>
          <w:rFonts w:ascii="Times New Roman" w:hAnsi="Times New Roman"/>
        </w:rPr>
        <w:t xml:space="preserve">) a hladiny transkriptov bcr-abl boli po 8 týždňoch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rovnaké v obidvoch skupinách. Ako sa očakávalo vzhľadom na usporiadanie klinického skúšania,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nepozoroval sa rozdiel v trvaní remisie, prežívaní bez ochorenia alebo celkovom prežívaní, hoci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pacienti s kompletnou molekulárnou odpoveďou a pretrvávajúcim minimálnym zvyškovým ochorením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mali lepšie výsledky z hľadiska trvania remisie (p = 0,01) aj prežívania bez ochorenia (p = 0,02).</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Výsledky pozorované v populácii 211 pacientov s novodiagnostikovanou Ph+ ALL v štyroch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nekontrolovaných klinických skúšaniach (AAU02, ADE04, AJP01 a AUS01) sa zhodujú s výsledkami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opísanými vyššie. Pri imatinibe v kombinácii s indukčnou chemoterapiou (pozri Tabuľku 5) sa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dosiahol podiel kompletnej hematologickej odpovede 93% (147 zo 158 vyhodnotiteľných pacientov)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 podiel veľkej cytogenetickej odpovede 90% (19 z 21 vyhodnotiteľných pacientov). Podiel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kompletnej molekulárnej odpovede bol 48% (49 zo 102 vyhodnotiteľných pacientov). Prežívanie bez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ochorenia (DFS) a celkové prežívanie (OS) konštantne prekračovali 1 rok a boli lepšie ako historická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kontrola (DFS p&lt;0,001; OS p&lt;0,0001) v dvoch klinických skúšaniach (AJP01 a AUS01).</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 xml:space="preserve">Tabuľka </w:t>
      </w:r>
      <w:r w:rsidR="00CD0C78" w:rsidRPr="00A17653">
        <w:rPr>
          <w:rFonts w:ascii="Times New Roman" w:hAnsi="Times New Roman"/>
          <w:b/>
        </w:rPr>
        <w:t>4</w:t>
      </w:r>
      <w:r w:rsidR="001149BD" w:rsidRPr="00A17653">
        <w:rPr>
          <w:rFonts w:ascii="Times New Roman" w:hAnsi="Times New Roman"/>
          <w:b/>
        </w:rPr>
        <w:t xml:space="preserve"> </w:t>
      </w:r>
      <w:r w:rsidRPr="00A17653">
        <w:rPr>
          <w:rFonts w:ascii="Times New Roman" w:hAnsi="Times New Roman"/>
          <w:b/>
        </w:rPr>
        <w:t>Režim chemoterapie použitý v kombinácii s imatinibom</w:t>
      </w:r>
    </w:p>
    <w:p w:rsidR="00EC32A3" w:rsidRPr="00A17653" w:rsidRDefault="00EC32A3" w:rsidP="00A17653">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4525"/>
      </w:tblGrid>
      <w:tr w:rsidR="00EC32A3" w:rsidRPr="00A17653" w:rsidTr="00CD304D">
        <w:tc>
          <w:tcPr>
            <w:tcW w:w="9212" w:type="dxa"/>
            <w:gridSpan w:val="2"/>
          </w:tcPr>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Klinické skúšanie ADE10</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Prefáza</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DEX 10 mg/m</w:t>
            </w:r>
            <w:r w:rsidRPr="00A17653">
              <w:rPr>
                <w:rFonts w:ascii="Times New Roman" w:hAnsi="Times New Roman"/>
                <w:vertAlign w:val="superscript"/>
              </w:rPr>
              <w:t>2</w:t>
            </w:r>
            <w:r w:rsidRPr="00A17653">
              <w:rPr>
                <w:rFonts w:ascii="Times New Roman" w:hAnsi="Times New Roman"/>
              </w:rPr>
              <w:t xml:space="preserve"> perorálne, dni 1-5;</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CP 200 mg/m</w:t>
            </w:r>
            <w:r w:rsidRPr="00A17653">
              <w:rPr>
                <w:rFonts w:ascii="Times New Roman" w:hAnsi="Times New Roman"/>
                <w:vertAlign w:val="superscript"/>
              </w:rPr>
              <w:t>2</w:t>
            </w:r>
            <w:r w:rsidRPr="00A17653">
              <w:rPr>
                <w:rFonts w:ascii="Times New Roman" w:hAnsi="Times New Roman"/>
              </w:rPr>
              <w:t xml:space="preserve"> i.v., dni 3, 4, 5;</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MTX 12 mg intratekálne, deň 1</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Indukcia remisie</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DEX 10 mg/m</w:t>
            </w:r>
            <w:r w:rsidRPr="00A17653">
              <w:rPr>
                <w:rFonts w:ascii="Times New Roman" w:hAnsi="Times New Roman"/>
                <w:vertAlign w:val="superscript"/>
              </w:rPr>
              <w:t>2</w:t>
            </w:r>
            <w:r w:rsidRPr="00A17653">
              <w:rPr>
                <w:rFonts w:ascii="Times New Roman" w:hAnsi="Times New Roman"/>
              </w:rPr>
              <w:t xml:space="preserve"> perorálne, dni 6-7, 13-16;</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VCR 1 mg i.v., dni 7, 14; IDA 8 mg/m</w:t>
            </w:r>
            <w:r w:rsidRPr="00A17653">
              <w:rPr>
                <w:rFonts w:ascii="Times New Roman" w:hAnsi="Times New Roman"/>
                <w:vertAlign w:val="superscript"/>
              </w:rPr>
              <w:t>2</w:t>
            </w:r>
            <w:r w:rsidRPr="00A17653">
              <w:rPr>
                <w:rFonts w:ascii="Times New Roman" w:hAnsi="Times New Roman"/>
              </w:rPr>
              <w:t xml:space="preserve"> i.v. (0,5 h), dni 7, 8, 14, 15;</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CP 500 mg/m</w:t>
            </w:r>
            <w:r w:rsidRPr="00A17653">
              <w:rPr>
                <w:rFonts w:ascii="Times New Roman" w:hAnsi="Times New Roman"/>
                <w:vertAlign w:val="superscript"/>
              </w:rPr>
              <w:t>2</w:t>
            </w:r>
            <w:r w:rsidRPr="00A17653">
              <w:rPr>
                <w:rFonts w:ascii="Times New Roman" w:hAnsi="Times New Roman"/>
              </w:rPr>
              <w:t xml:space="preserve"> i.v.(1 h) deň 1;</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AraC 60 mg/m</w:t>
            </w:r>
            <w:r w:rsidRPr="00A17653">
              <w:rPr>
                <w:rFonts w:ascii="Times New Roman" w:hAnsi="Times New Roman"/>
                <w:vertAlign w:val="superscript"/>
              </w:rPr>
              <w:t>2</w:t>
            </w:r>
            <w:r w:rsidRPr="00A17653">
              <w:rPr>
                <w:rFonts w:ascii="Times New Roman" w:hAnsi="Times New Roman"/>
              </w:rPr>
              <w:t xml:space="preserve"> i.v., dni 22 - 25, 29 - 32</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Konsolidačná liečba I, III, V</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MTX 500 mg/m</w:t>
            </w:r>
            <w:r w:rsidRPr="00A17653">
              <w:rPr>
                <w:rFonts w:ascii="Times New Roman" w:hAnsi="Times New Roman"/>
                <w:vertAlign w:val="superscript"/>
              </w:rPr>
              <w:t>2</w:t>
            </w:r>
            <w:r w:rsidRPr="00A17653">
              <w:rPr>
                <w:rFonts w:ascii="Times New Roman" w:hAnsi="Times New Roman"/>
              </w:rPr>
              <w:t xml:space="preserve"> i.v. (24 h), dni 1, 15;</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6 - MP 25 mg/m</w:t>
            </w:r>
            <w:r w:rsidRPr="00A17653">
              <w:rPr>
                <w:rFonts w:ascii="Times New Roman" w:hAnsi="Times New Roman"/>
                <w:vertAlign w:val="superscript"/>
              </w:rPr>
              <w:t>2</w:t>
            </w:r>
            <w:r w:rsidRPr="00A17653">
              <w:rPr>
                <w:rFonts w:ascii="Times New Roman" w:hAnsi="Times New Roman"/>
              </w:rPr>
              <w:t xml:space="preserve"> perorálne, dni 1 - 20</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Konsolidačná liečba II, IV</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Ara-C 75 mg/m</w:t>
            </w:r>
            <w:r w:rsidRPr="00A17653">
              <w:rPr>
                <w:rFonts w:ascii="Times New Roman" w:hAnsi="Times New Roman"/>
                <w:vertAlign w:val="superscript"/>
              </w:rPr>
              <w:t>2</w:t>
            </w:r>
            <w:r w:rsidR="00CD0C78" w:rsidRPr="00A17653">
              <w:rPr>
                <w:rFonts w:ascii="Times New Roman" w:hAnsi="Times New Roman"/>
              </w:rPr>
              <w:t xml:space="preserve"> i.v. (1 h), dni 1 - 5;</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VM26 60 mg/m</w:t>
            </w:r>
            <w:r w:rsidRPr="00A17653">
              <w:rPr>
                <w:rFonts w:ascii="Times New Roman" w:hAnsi="Times New Roman"/>
                <w:vertAlign w:val="superscript"/>
              </w:rPr>
              <w:t>2</w:t>
            </w:r>
            <w:r w:rsidRPr="00A17653">
              <w:rPr>
                <w:rFonts w:ascii="Times New Roman" w:hAnsi="Times New Roman"/>
              </w:rPr>
              <w:t xml:space="preserve"> i.v. (1 h), dni 1 - 5</w:t>
            </w:r>
          </w:p>
        </w:tc>
      </w:tr>
      <w:tr w:rsidR="00EC32A3" w:rsidRPr="00A17653" w:rsidTr="00CD304D">
        <w:tc>
          <w:tcPr>
            <w:tcW w:w="9212" w:type="dxa"/>
            <w:gridSpan w:val="2"/>
          </w:tcPr>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Klinické skúšanie AAU02</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Indukčná liečba </w:t>
            </w:r>
            <w:r w:rsidRPr="00A17653">
              <w:rPr>
                <w:rFonts w:ascii="Times New Roman" w:hAnsi="Times New Roman"/>
                <w:i/>
              </w:rPr>
              <w:t>(de novo Ph+ ALL)</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Daunorubicín 30 mg/m</w:t>
            </w:r>
            <w:r w:rsidRPr="00A17653">
              <w:rPr>
                <w:rFonts w:ascii="Times New Roman" w:hAnsi="Times New Roman"/>
                <w:vertAlign w:val="superscript"/>
              </w:rPr>
              <w:t>2</w:t>
            </w:r>
            <w:r w:rsidRPr="00A17653">
              <w:rPr>
                <w:rFonts w:ascii="Times New Roman" w:hAnsi="Times New Roman"/>
              </w:rPr>
              <w:t xml:space="preserve"> i.v., dni 1 - 3, 15 - 16; VCR 2 mg celková dávka i.v., dni 1, 8, 15, 22; CP 750 mg/m</w:t>
            </w:r>
            <w:r w:rsidRPr="00A17653">
              <w:rPr>
                <w:rFonts w:ascii="Times New Roman" w:hAnsi="Times New Roman"/>
                <w:vertAlign w:val="superscript"/>
              </w:rPr>
              <w:t>2</w:t>
            </w:r>
            <w:r w:rsidRPr="00A17653">
              <w:rPr>
                <w:rFonts w:ascii="Times New Roman" w:hAnsi="Times New Roman"/>
              </w:rPr>
              <w:t xml:space="preserve"> i.v., dni 1, 8;</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prednizón 60 mg/m</w:t>
            </w:r>
            <w:r w:rsidRPr="00A17653">
              <w:rPr>
                <w:rFonts w:ascii="Times New Roman" w:hAnsi="Times New Roman"/>
                <w:vertAlign w:val="superscript"/>
              </w:rPr>
              <w:t>2</w:t>
            </w:r>
            <w:r w:rsidRPr="00A17653">
              <w:rPr>
                <w:rFonts w:ascii="Times New Roman" w:hAnsi="Times New Roman"/>
              </w:rPr>
              <w:t xml:space="preserve"> perorálne, dni 1 - 7, 15 - 21; IDA 9 mg/m</w:t>
            </w:r>
            <w:r w:rsidRPr="00A17653">
              <w:rPr>
                <w:rFonts w:ascii="Times New Roman" w:hAnsi="Times New Roman"/>
                <w:vertAlign w:val="superscript"/>
              </w:rPr>
              <w:t>2</w:t>
            </w:r>
            <w:r w:rsidRPr="00A17653">
              <w:rPr>
                <w:rFonts w:ascii="Times New Roman" w:hAnsi="Times New Roman"/>
              </w:rPr>
              <w:t xml:space="preserve"> perorálne, dni 1 - 28;</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MTX 15 mg intratekálne, dni 1, 8, 15, 22;</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Ara-C 40 mg intratekálne, dni 1, 8, 15, 22; metylprednizolón 40 mg intratekálne, dni 1, 8, 15, 22</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Konsolidácia </w:t>
            </w:r>
            <w:r w:rsidRPr="00A17653">
              <w:rPr>
                <w:rFonts w:ascii="Times New Roman" w:hAnsi="Times New Roman"/>
                <w:i/>
              </w:rPr>
              <w:t>(de novo Ph+ ALL)</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Ara-C 1 000 mg/m</w:t>
            </w:r>
            <w:r w:rsidRPr="00A17653">
              <w:rPr>
                <w:rFonts w:ascii="Times New Roman" w:hAnsi="Times New Roman"/>
                <w:vertAlign w:val="superscript"/>
              </w:rPr>
              <w:t>2</w:t>
            </w:r>
            <w:r w:rsidRPr="00A17653">
              <w:rPr>
                <w:rFonts w:ascii="Times New Roman" w:hAnsi="Times New Roman"/>
              </w:rPr>
              <w:t>/12h i.v.(3 h), dni 1 - 4; mitoxantrón 10 mg/m</w:t>
            </w:r>
            <w:r w:rsidRPr="00A17653">
              <w:rPr>
                <w:rFonts w:ascii="Times New Roman" w:hAnsi="Times New Roman"/>
                <w:vertAlign w:val="superscript"/>
              </w:rPr>
              <w:t>2</w:t>
            </w:r>
            <w:r w:rsidRPr="00A17653">
              <w:rPr>
                <w:rFonts w:ascii="Times New Roman" w:hAnsi="Times New Roman"/>
              </w:rPr>
              <w:t xml:space="preserve"> i.v. dni 3 - 5;</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MTX 15 mg intratekálne, deň 1; metylprednizolón 40 mg intratekálne, deň 1</w:t>
            </w:r>
          </w:p>
        </w:tc>
      </w:tr>
      <w:tr w:rsidR="00EC32A3" w:rsidRPr="00A17653" w:rsidTr="00CD304D">
        <w:tc>
          <w:tcPr>
            <w:tcW w:w="9212" w:type="dxa"/>
            <w:gridSpan w:val="2"/>
          </w:tcPr>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Klinické skúšanie ADE04</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Prefáza</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DEX 10 mg/m</w:t>
            </w:r>
            <w:r w:rsidRPr="00A17653">
              <w:rPr>
                <w:rFonts w:ascii="Times New Roman" w:hAnsi="Times New Roman"/>
                <w:vertAlign w:val="superscript"/>
              </w:rPr>
              <w:t>2</w:t>
            </w:r>
            <w:r w:rsidRPr="00A17653">
              <w:rPr>
                <w:rFonts w:ascii="Times New Roman" w:hAnsi="Times New Roman"/>
              </w:rPr>
              <w:t xml:space="preserve"> perorálne, dni 1 - 5;</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CP 200 mg/m</w:t>
            </w:r>
            <w:r w:rsidRPr="00A17653">
              <w:rPr>
                <w:rFonts w:ascii="Times New Roman" w:hAnsi="Times New Roman"/>
                <w:vertAlign w:val="superscript"/>
              </w:rPr>
              <w:t>2</w:t>
            </w:r>
            <w:r w:rsidRPr="00A17653">
              <w:rPr>
                <w:rFonts w:ascii="Times New Roman" w:hAnsi="Times New Roman"/>
              </w:rPr>
              <w:t xml:space="preserve"> i.v., dni 3 - 5;</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MTX 15 mg intratekálne, deň 1</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Indukčná liečba I</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DEX 10 mg/m</w:t>
            </w:r>
            <w:r w:rsidRPr="00A17653">
              <w:rPr>
                <w:rFonts w:ascii="Times New Roman" w:hAnsi="Times New Roman"/>
                <w:vertAlign w:val="superscript"/>
              </w:rPr>
              <w:t>2</w:t>
            </w:r>
            <w:r w:rsidRPr="00A17653">
              <w:rPr>
                <w:rFonts w:ascii="Times New Roman" w:hAnsi="Times New Roman"/>
              </w:rPr>
              <w:t xml:space="preserve"> perorálne, dni 1 - 5;</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VCR 2 mg i.v., dni 6, 13, 20;</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daunorubicín 45 mg/m</w:t>
            </w:r>
            <w:r w:rsidRPr="00A17653">
              <w:rPr>
                <w:rFonts w:ascii="Times New Roman" w:hAnsi="Times New Roman"/>
                <w:vertAlign w:val="superscript"/>
              </w:rPr>
              <w:t>2</w:t>
            </w:r>
            <w:r w:rsidRPr="00A17653">
              <w:rPr>
                <w:rFonts w:ascii="Times New Roman" w:hAnsi="Times New Roman"/>
              </w:rPr>
              <w:t xml:space="preserve"> i.v., dni 6 - 7, 13 – 14</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Indukčná liečba II</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CP 1 g/m</w:t>
            </w:r>
            <w:r w:rsidRPr="00A17653">
              <w:rPr>
                <w:rFonts w:ascii="Times New Roman" w:hAnsi="Times New Roman"/>
                <w:vertAlign w:val="superscript"/>
              </w:rPr>
              <w:t>2</w:t>
            </w:r>
            <w:r w:rsidR="00CD0C78" w:rsidRPr="00A17653">
              <w:rPr>
                <w:rFonts w:ascii="Times New Roman" w:hAnsi="Times New Roman"/>
              </w:rPr>
              <w:t xml:space="preserve"> i.v. (1 h), dni 26, 46;</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Ara-C 75 mg/m</w:t>
            </w:r>
            <w:r w:rsidRPr="00A17653">
              <w:rPr>
                <w:rFonts w:ascii="Times New Roman" w:hAnsi="Times New Roman"/>
                <w:vertAlign w:val="superscript"/>
              </w:rPr>
              <w:t>2</w:t>
            </w:r>
            <w:r w:rsidRPr="00A17653">
              <w:rPr>
                <w:rFonts w:ascii="Times New Roman" w:hAnsi="Times New Roman"/>
              </w:rPr>
              <w:t xml:space="preserve"> i.v. (1 h), dni 28 - 31, 35 - 38, 42 - 45;</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6-MP 60 mg/m</w:t>
            </w:r>
            <w:r w:rsidRPr="00A17653">
              <w:rPr>
                <w:rFonts w:ascii="Times New Roman" w:hAnsi="Times New Roman"/>
                <w:vertAlign w:val="superscript"/>
              </w:rPr>
              <w:t>2</w:t>
            </w:r>
            <w:r w:rsidRPr="00A17653">
              <w:rPr>
                <w:rFonts w:ascii="Times New Roman" w:hAnsi="Times New Roman"/>
              </w:rPr>
              <w:t xml:space="preserve"> perorálne, dni 26 - 46</w:t>
            </w:r>
          </w:p>
        </w:tc>
      </w:tr>
      <w:tr w:rsidR="00EC32A3" w:rsidRPr="00A17653" w:rsidTr="00CD304D">
        <w:trPr>
          <w:trHeight w:val="575"/>
        </w:trPr>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Konsolidačná liečba</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DEX 10 mg/m</w:t>
            </w:r>
            <w:r w:rsidRPr="00A17653">
              <w:rPr>
                <w:rFonts w:ascii="Times New Roman" w:hAnsi="Times New Roman"/>
                <w:vertAlign w:val="superscript"/>
              </w:rPr>
              <w:t>2</w:t>
            </w:r>
            <w:r w:rsidRPr="00A17653">
              <w:rPr>
                <w:rFonts w:ascii="Times New Roman" w:hAnsi="Times New Roman"/>
              </w:rPr>
              <w:t xml:space="preserve"> perorálne, dni 1-5;</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vindezín 3 mg/m</w:t>
            </w:r>
            <w:r w:rsidRPr="00A17653">
              <w:rPr>
                <w:rFonts w:ascii="Times New Roman" w:hAnsi="Times New Roman"/>
                <w:vertAlign w:val="superscript"/>
              </w:rPr>
              <w:t>2</w:t>
            </w:r>
            <w:r w:rsidRPr="00A17653">
              <w:rPr>
                <w:rFonts w:ascii="Times New Roman" w:hAnsi="Times New Roman"/>
              </w:rPr>
              <w:t xml:space="preserve"> i.v., deň 1;</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MTX 1,5 g/m</w:t>
            </w:r>
            <w:r w:rsidRPr="00A17653">
              <w:rPr>
                <w:rFonts w:ascii="Times New Roman" w:hAnsi="Times New Roman"/>
                <w:vertAlign w:val="superscript"/>
              </w:rPr>
              <w:t>2</w:t>
            </w:r>
            <w:r w:rsidRPr="00A17653">
              <w:rPr>
                <w:rFonts w:ascii="Times New Roman" w:hAnsi="Times New Roman"/>
              </w:rPr>
              <w:t xml:space="preserve"> i.v. (24 h), deň 1;</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etopozid 250 mg/m</w:t>
            </w:r>
            <w:r w:rsidRPr="00A17653">
              <w:rPr>
                <w:rFonts w:ascii="Times New Roman" w:hAnsi="Times New Roman"/>
                <w:vertAlign w:val="superscript"/>
              </w:rPr>
              <w:t>2</w:t>
            </w:r>
            <w:r w:rsidRPr="00A17653">
              <w:rPr>
                <w:rFonts w:ascii="Times New Roman" w:hAnsi="Times New Roman"/>
              </w:rPr>
              <w:t xml:space="preserve"> i.v. (1 h) dni 4 - 5;</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Ara-C 2x 2 g/m</w:t>
            </w:r>
            <w:r w:rsidRPr="00A17653">
              <w:rPr>
                <w:rFonts w:ascii="Times New Roman" w:hAnsi="Times New Roman"/>
                <w:vertAlign w:val="superscript"/>
              </w:rPr>
              <w:t>2</w:t>
            </w:r>
            <w:r w:rsidRPr="00A17653">
              <w:rPr>
                <w:rFonts w:ascii="Times New Roman" w:hAnsi="Times New Roman"/>
              </w:rPr>
              <w:t xml:space="preserve"> i.v. (3 h, q 12 h), deň 5</w:t>
            </w:r>
          </w:p>
        </w:tc>
      </w:tr>
      <w:tr w:rsidR="00EC32A3" w:rsidRPr="00A17653" w:rsidTr="00CD304D">
        <w:tc>
          <w:tcPr>
            <w:tcW w:w="9212" w:type="dxa"/>
            <w:gridSpan w:val="2"/>
          </w:tcPr>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Klinické skúšanie AJP01</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Indukčná liečba</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CP 1,2 g/m</w:t>
            </w:r>
            <w:r w:rsidRPr="00A17653">
              <w:rPr>
                <w:rFonts w:ascii="Times New Roman" w:hAnsi="Times New Roman"/>
                <w:vertAlign w:val="superscript"/>
              </w:rPr>
              <w:t>2</w:t>
            </w:r>
            <w:r w:rsidRPr="00A17653">
              <w:rPr>
                <w:rFonts w:ascii="Times New Roman" w:hAnsi="Times New Roman"/>
              </w:rPr>
              <w:t xml:space="preserve"> i.v. (3 h), deň 1;</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daunorubicín 60 mg/m</w:t>
            </w:r>
            <w:r w:rsidRPr="00A17653">
              <w:rPr>
                <w:rFonts w:ascii="Times New Roman" w:hAnsi="Times New Roman"/>
                <w:vertAlign w:val="superscript"/>
              </w:rPr>
              <w:t>2</w:t>
            </w:r>
            <w:r w:rsidRPr="00A17653">
              <w:rPr>
                <w:rFonts w:ascii="Times New Roman" w:hAnsi="Times New Roman"/>
              </w:rPr>
              <w:t xml:space="preserve"> i.v. (1 h), dni 1-3; vinkristín 1,3 mg/m</w:t>
            </w:r>
            <w:r w:rsidRPr="00A17653">
              <w:rPr>
                <w:rFonts w:ascii="Times New Roman" w:hAnsi="Times New Roman"/>
                <w:vertAlign w:val="superscript"/>
              </w:rPr>
              <w:t>2</w:t>
            </w:r>
            <w:r w:rsidRPr="00A17653">
              <w:rPr>
                <w:rFonts w:ascii="Times New Roman" w:hAnsi="Times New Roman"/>
              </w:rPr>
              <w:t xml:space="preserve"> i.v., dni 1, 8, 15, 21; prednizolón 60 mg/m</w:t>
            </w:r>
            <w:r w:rsidRPr="00A17653">
              <w:rPr>
                <w:rFonts w:ascii="Times New Roman" w:hAnsi="Times New Roman"/>
                <w:vertAlign w:val="superscript"/>
              </w:rPr>
              <w:t>2</w:t>
            </w:r>
            <w:r w:rsidRPr="00A17653">
              <w:rPr>
                <w:rFonts w:ascii="Times New Roman" w:hAnsi="Times New Roman"/>
              </w:rPr>
              <w:t>/deň perorálne</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Konsolidačná liečba</w:t>
            </w:r>
          </w:p>
        </w:tc>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Striedavý cyklus chemoterapie: chemoterapia vysokými dávkami MTX 1 g/m</w:t>
            </w:r>
            <w:r w:rsidRPr="00A17653">
              <w:rPr>
                <w:rFonts w:ascii="Times New Roman" w:hAnsi="Times New Roman"/>
                <w:vertAlign w:val="superscript"/>
              </w:rPr>
              <w:t>2</w:t>
            </w:r>
            <w:r w:rsidRPr="00A17653">
              <w:rPr>
                <w:rFonts w:ascii="Times New Roman" w:hAnsi="Times New Roman"/>
              </w:rPr>
              <w:t xml:space="preserve"> i.v. (24 h), deň 1, a Ara-C 2 g/m</w:t>
            </w:r>
            <w:r w:rsidRPr="00A17653">
              <w:rPr>
                <w:rFonts w:ascii="Times New Roman" w:hAnsi="Times New Roman"/>
                <w:vertAlign w:val="superscript"/>
              </w:rPr>
              <w:t>2</w:t>
            </w:r>
            <w:r w:rsidRPr="00A17653">
              <w:rPr>
                <w:rFonts w:ascii="Times New Roman" w:hAnsi="Times New Roman"/>
              </w:rPr>
              <w:t xml:space="preserve"> i.v. (q 12 h), dni 2 - 3, počas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4 cyklov</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Udržiavacia liečba</w:t>
            </w:r>
          </w:p>
        </w:tc>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VCR 1,3 g/m</w:t>
            </w:r>
            <w:r w:rsidRPr="00A17653">
              <w:rPr>
                <w:rFonts w:ascii="Times New Roman" w:hAnsi="Times New Roman"/>
                <w:vertAlign w:val="superscript"/>
              </w:rPr>
              <w:t>2</w:t>
            </w:r>
            <w:r w:rsidRPr="00A17653">
              <w:rPr>
                <w:rFonts w:ascii="Times New Roman" w:hAnsi="Times New Roman"/>
              </w:rPr>
              <w:t xml:space="preserve"> i.v., deň 1; prednizolón 60 mg/m</w:t>
            </w:r>
            <w:r w:rsidRPr="00A17653">
              <w:rPr>
                <w:rFonts w:ascii="Times New Roman" w:hAnsi="Times New Roman"/>
                <w:vertAlign w:val="superscript"/>
              </w:rPr>
              <w:t>2</w:t>
            </w:r>
            <w:r w:rsidRPr="00A17653">
              <w:rPr>
                <w:rFonts w:ascii="Times New Roman" w:hAnsi="Times New Roman"/>
              </w:rPr>
              <w:t xml:space="preserve"> </w:t>
            </w:r>
            <w:r w:rsidRPr="00A17653">
              <w:rPr>
                <w:rFonts w:ascii="Times New Roman" w:hAnsi="Times New Roman"/>
              </w:rPr>
              <w:lastRenderedPageBreak/>
              <w:t>perorálne, dni 1 – 5</w:t>
            </w:r>
          </w:p>
        </w:tc>
      </w:tr>
      <w:tr w:rsidR="00EC32A3" w:rsidRPr="00A17653" w:rsidTr="00CD304D">
        <w:tc>
          <w:tcPr>
            <w:tcW w:w="9212" w:type="dxa"/>
            <w:gridSpan w:val="2"/>
          </w:tcPr>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lastRenderedPageBreak/>
              <w:t>Klinické skúšanie AUS01</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Indukčnokonsolidačná liečba</w:t>
            </w:r>
          </w:p>
        </w:tc>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Režim hyper-CVAD: CP 300 mg/m</w:t>
            </w:r>
            <w:r w:rsidRPr="00A17653">
              <w:rPr>
                <w:rFonts w:ascii="Times New Roman" w:hAnsi="Times New Roman"/>
                <w:vertAlign w:val="superscript"/>
              </w:rPr>
              <w:t>2</w:t>
            </w:r>
            <w:r w:rsidRPr="00A17653">
              <w:rPr>
                <w:rFonts w:ascii="Times New Roman" w:hAnsi="Times New Roman"/>
              </w:rPr>
              <w:t xml:space="preserve"> i.v. (3 h, q 12 h), dni 1 - 3; vinkristín 2 mg i.v., dni 4, 11; doxorubicín 50 mg/m</w:t>
            </w:r>
            <w:r w:rsidRPr="00A17653">
              <w:rPr>
                <w:rFonts w:ascii="Times New Roman" w:hAnsi="Times New Roman"/>
                <w:vertAlign w:val="superscript"/>
              </w:rPr>
              <w:t>2</w:t>
            </w:r>
            <w:r w:rsidRPr="00A17653">
              <w:rPr>
                <w:rFonts w:ascii="Times New Roman" w:hAnsi="Times New Roman"/>
              </w:rPr>
              <w:t xml:space="preserve"> i.v. (24 h), deň 4; DEX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40 mg/deň v dňoch 1 - 4 a 11 - 14, striedavo s MTX 1 g/m</w:t>
            </w:r>
            <w:r w:rsidRPr="00A17653">
              <w:rPr>
                <w:rFonts w:ascii="Times New Roman" w:hAnsi="Times New Roman"/>
                <w:vertAlign w:val="superscript"/>
              </w:rPr>
              <w:t>2</w:t>
            </w:r>
            <w:r w:rsidRPr="00A17653">
              <w:rPr>
                <w:rFonts w:ascii="Times New Roman" w:hAnsi="Times New Roman"/>
              </w:rPr>
              <w:t xml:space="preserve"> i.v. (24 h), deň 1, Ara-C 1 g/m</w:t>
            </w:r>
            <w:r w:rsidRPr="00A17653">
              <w:rPr>
                <w:rFonts w:ascii="Times New Roman" w:hAnsi="Times New Roman"/>
                <w:vertAlign w:val="superscript"/>
              </w:rPr>
              <w:t>2</w:t>
            </w:r>
            <w:r w:rsidRPr="00A17653">
              <w:rPr>
                <w:rFonts w:ascii="Times New Roman" w:hAnsi="Times New Roman"/>
              </w:rPr>
              <w:t xml:space="preserve"> i.v. (2 h, q 12 h), dni 2 - 3 (celkovo 8 cyklov)</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Udržiavacia liečba</w:t>
            </w:r>
          </w:p>
        </w:tc>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VCR 2 mg i.v. každý mesiac počas 13 mesiacov; prednizolón 200 mg perorálne, 5 dní v mesiaci počas 13 mesiacov</w:t>
            </w:r>
          </w:p>
        </w:tc>
      </w:tr>
      <w:tr w:rsidR="00EC32A3" w:rsidRPr="00A17653" w:rsidTr="00CD304D">
        <w:tc>
          <w:tcPr>
            <w:tcW w:w="9212" w:type="dxa"/>
            <w:gridSpan w:val="2"/>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Všetky režimy liečby zahŕňajú podanie steroidov na profylaxiu CNS.</w:t>
            </w:r>
          </w:p>
        </w:tc>
      </w:tr>
      <w:tr w:rsidR="00EC32A3" w:rsidRPr="00A17653" w:rsidTr="00CD304D">
        <w:tc>
          <w:tcPr>
            <w:tcW w:w="9212" w:type="dxa"/>
            <w:gridSpan w:val="2"/>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Ara-C: cytozínarabinozid; CP: cyklofosfamid; DEX: dexametazón; MTX: metotrexát; 6-MP: 6-</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merkaptopurín; VM26: tenipozid; VCR: vinkristín; IDA: idarubicín; i.v.: intravenózne</w:t>
            </w:r>
          </w:p>
        </w:tc>
      </w:tr>
    </w:tbl>
    <w:p w:rsidR="00EC32A3" w:rsidRPr="00A17653" w:rsidRDefault="00EC32A3" w:rsidP="00A17653">
      <w:pPr>
        <w:widowControl w:val="0"/>
        <w:spacing w:after="0" w:line="240" w:lineRule="auto"/>
        <w:rPr>
          <w:rFonts w:ascii="Times New Roman" w:hAnsi="Times New Roman"/>
        </w:rPr>
      </w:pP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i/>
        </w:rPr>
        <w:t>Pediatrickí pacienti:</w:t>
      </w:r>
      <w:r w:rsidRPr="00A17653">
        <w:rPr>
          <w:rFonts w:ascii="Times New Roman" w:hAnsi="Times New Roman"/>
        </w:rPr>
        <w:t xml:space="preserve"> V štúdii I2301 - otvorenom, multicentrickom, sekvenčne kohortnom,</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nerandomizovanom klinickom skúšaní fázy III bolo celkovo zaradených 93 detských, dospievajúcich a</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mladších dospelých pacientov (vo veku od 1 do 22 rokov) s Ph+ ALL, ktorí boli liečení imatinibom</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(340 mg/m</w:t>
      </w:r>
      <w:r w:rsidRPr="00A17653">
        <w:rPr>
          <w:rFonts w:ascii="Times New Roman" w:hAnsi="Times New Roman"/>
          <w:vertAlign w:val="superscript"/>
        </w:rPr>
        <w:t>2</w:t>
      </w:r>
      <w:r w:rsidRPr="00A17653">
        <w:rPr>
          <w:rFonts w:ascii="Times New Roman" w:hAnsi="Times New Roman"/>
        </w:rPr>
        <w:t>/deň) v kombinácii s intenzívnou chemoterapiou po indukčnej liečbe. Imatinib sa podával</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striedavo v kohortách 1-5, s predlžovaním dĺžky liečby a skorším nástupom liečby od kohorty ku</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kohorte; v kohorte 1 sa podávala najmenej intenzívna a v kohorte 5 najviac intenzívna liečba</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imatinibom (najdlhšie trvanie liečby s nepretržitým denným dávkovaním imatinibu počas prvého</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liečebného cyklu chemoterapiou). Nepretržité denné expozíciie imatinibu v skorom štádiu liečby v</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kombinácii s chemoterapiou u pacientov v kohorte 5 (n=50) zlepšili v porovnaní s historickými</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 xml:space="preserve">kontrolnými prípadmi (n=120) so štandardnou chemoterapeutickou liečbou bez </w:t>
      </w:r>
      <w:r w:rsidR="0028233B" w:rsidRPr="00A17653">
        <w:rPr>
          <w:rFonts w:ascii="Times New Roman" w:hAnsi="Times New Roman"/>
        </w:rPr>
        <w:t>imatinibu</w:t>
      </w:r>
      <w:r w:rsidRPr="00A17653">
        <w:rPr>
          <w:rFonts w:ascii="Times New Roman" w:hAnsi="Times New Roman"/>
        </w:rPr>
        <w:t xml:space="preserve"> 4-ročné</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prežívanie bez príhody (EFS) (69,6% oproti 31,6%). Odhadované 4-ročné celkové prežívanie (OS) u</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pacientov v kohorte 5 bolo 83,6% v porovnaní s 44,8% u historických kontrolných prípadov. 20 z 50</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(40%) pacientov v kohorte 5 dostalo transplantáciu hematopoetických kmeňových buniek.</w:t>
      </w:r>
      <w:r w:rsidRPr="00A17653">
        <w:rPr>
          <w:rFonts w:ascii="Times New Roman" w:hAnsi="Times New Roman"/>
        </w:rPr>
        <w:cr/>
      </w:r>
    </w:p>
    <w:p w:rsidR="001149BD" w:rsidRPr="00A17653" w:rsidRDefault="001149BD" w:rsidP="00A17653">
      <w:pPr>
        <w:widowControl w:val="0"/>
        <w:spacing w:after="0" w:line="240" w:lineRule="auto"/>
        <w:rPr>
          <w:rFonts w:ascii="Times New Roman" w:hAnsi="Times New Roman"/>
          <w:b/>
        </w:rPr>
      </w:pPr>
      <w:r w:rsidRPr="00A17653">
        <w:rPr>
          <w:rFonts w:ascii="Times New Roman" w:hAnsi="Times New Roman"/>
          <w:b/>
        </w:rPr>
        <w:t xml:space="preserve">Tabuľka </w:t>
      </w:r>
      <w:r w:rsidR="00CD0C78" w:rsidRPr="00A17653">
        <w:rPr>
          <w:rFonts w:ascii="Times New Roman" w:hAnsi="Times New Roman"/>
          <w:b/>
        </w:rPr>
        <w:t>5</w:t>
      </w:r>
      <w:r w:rsidRPr="00A17653">
        <w:rPr>
          <w:rFonts w:ascii="Times New Roman" w:hAnsi="Times New Roman"/>
          <w:b/>
        </w:rPr>
        <w:t xml:space="preserve"> Režim chemoterapie použitý v kombinácii s imatinibom v štúdii I2301</w:t>
      </w:r>
    </w:p>
    <w:p w:rsidR="001149BD" w:rsidRPr="00A17653" w:rsidRDefault="001149BD" w:rsidP="00A17653">
      <w:pPr>
        <w:widowControl w:val="0"/>
        <w:spacing w:after="0" w:line="240" w:lineRule="auto"/>
        <w:rPr>
          <w:rFonts w:ascii="Times New Roman" w:hAnsi="Times New Roman"/>
        </w:rPr>
      </w:pPr>
    </w:p>
    <w:tbl>
      <w:tblPr>
        <w:tblStyle w:val="Mriekatabuky"/>
        <w:tblW w:w="0" w:type="auto"/>
        <w:tblLook w:val="04A0" w:firstRow="1" w:lastRow="0" w:firstColumn="1" w:lastColumn="0" w:noHBand="0" w:noVBand="1"/>
      </w:tblPr>
      <w:tblGrid>
        <w:gridCol w:w="4531"/>
        <w:gridCol w:w="4531"/>
      </w:tblGrid>
      <w:tr w:rsidR="001149BD" w:rsidRPr="00A17653" w:rsidTr="001149BD">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Konsolidačný blok 1</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(3 týždne)</w:t>
            </w:r>
          </w:p>
        </w:tc>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VP-16 (100 mg/m</w:t>
            </w:r>
            <w:r w:rsidRPr="00A17653">
              <w:rPr>
                <w:rFonts w:ascii="Times New Roman" w:hAnsi="Times New Roman"/>
                <w:sz w:val="22"/>
                <w:szCs w:val="22"/>
                <w:vertAlign w:val="superscript"/>
              </w:rPr>
              <w:t>2</w:t>
            </w:r>
            <w:r w:rsidRPr="00A17653">
              <w:rPr>
                <w:rFonts w:ascii="Times New Roman" w:hAnsi="Times New Roman"/>
                <w:sz w:val="22"/>
                <w:szCs w:val="22"/>
              </w:rPr>
              <w:t>/deň, i.v.): dni 1-5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Ifosfamid (1,8 g/m</w:t>
            </w:r>
            <w:r w:rsidRPr="00A17653">
              <w:rPr>
                <w:rFonts w:ascii="Times New Roman" w:hAnsi="Times New Roman"/>
                <w:sz w:val="22"/>
                <w:szCs w:val="22"/>
                <w:vertAlign w:val="superscript"/>
              </w:rPr>
              <w:t>2</w:t>
            </w:r>
            <w:r w:rsidRPr="00A17653">
              <w:rPr>
                <w:rFonts w:ascii="Times New Roman" w:hAnsi="Times New Roman"/>
                <w:sz w:val="22"/>
                <w:szCs w:val="22"/>
              </w:rPr>
              <w:t>/deň, i.v.): dni 1-5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MESNA (360 mg/m</w:t>
            </w:r>
            <w:r w:rsidRPr="00A17653">
              <w:rPr>
                <w:rFonts w:ascii="Times New Roman" w:hAnsi="Times New Roman"/>
                <w:sz w:val="22"/>
                <w:szCs w:val="22"/>
                <w:vertAlign w:val="superscript"/>
              </w:rPr>
              <w:t>2</w:t>
            </w:r>
            <w:r w:rsidRPr="00A17653">
              <w:rPr>
                <w:rFonts w:ascii="Times New Roman" w:hAnsi="Times New Roman"/>
                <w:sz w:val="22"/>
                <w:szCs w:val="22"/>
              </w:rPr>
              <w:t>/dávka q3h, x 8 dávok/deň, i.v.): dni 1-5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G-CSF (5 μg/kg, s.c.): dni 6-15 alebo pokiaľ ANC &gt; 1500 po nadire</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Metotrexát i.t. (upravený podľa veku): IBA deň 1</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Trojitá i.t. liečba (upravená podľa veku): dni 8, 15</w:t>
            </w:r>
          </w:p>
        </w:tc>
      </w:tr>
      <w:tr w:rsidR="001149BD" w:rsidRPr="00A17653" w:rsidTr="001149BD">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Konsolidačný blok 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(3 týždne)</w:t>
            </w:r>
          </w:p>
        </w:tc>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Metotrexát (5 g/m</w:t>
            </w:r>
            <w:r w:rsidRPr="00A17653">
              <w:rPr>
                <w:rFonts w:ascii="Times New Roman" w:hAnsi="Times New Roman"/>
                <w:sz w:val="22"/>
                <w:szCs w:val="22"/>
                <w:vertAlign w:val="superscript"/>
              </w:rPr>
              <w:t>2</w:t>
            </w:r>
            <w:r w:rsidRPr="00A17653">
              <w:rPr>
                <w:rFonts w:ascii="Times New Roman" w:hAnsi="Times New Roman"/>
                <w:sz w:val="22"/>
                <w:szCs w:val="22"/>
              </w:rPr>
              <w:t xml:space="preserve"> počas 24 h, i.v.): deň 1</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Leukovorín (75 mg/m</w:t>
            </w:r>
            <w:r w:rsidRPr="00A17653">
              <w:rPr>
                <w:rFonts w:ascii="Times New Roman" w:hAnsi="Times New Roman"/>
                <w:sz w:val="22"/>
                <w:szCs w:val="22"/>
                <w:vertAlign w:val="superscript"/>
              </w:rPr>
              <w:t xml:space="preserve">2 </w:t>
            </w:r>
            <w:r w:rsidRPr="00A17653">
              <w:rPr>
                <w:rFonts w:ascii="Times New Roman" w:hAnsi="Times New Roman"/>
                <w:sz w:val="22"/>
                <w:szCs w:val="22"/>
              </w:rPr>
              <w:t>v 36 h, i.v.; 15 mg/m</w:t>
            </w:r>
            <w:r w:rsidRPr="00A17653">
              <w:rPr>
                <w:rFonts w:ascii="Times New Roman" w:hAnsi="Times New Roman"/>
                <w:sz w:val="22"/>
                <w:szCs w:val="22"/>
                <w:vertAlign w:val="superscript"/>
              </w:rPr>
              <w:t>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i.v. alebo p.o. q6h x 6 dávok)iii: dni 2 a 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Trojitá i.t. liečba (upravená podľa veku): deň 1</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ARA-C (3 g/m</w:t>
            </w:r>
            <w:r w:rsidRPr="00A17653">
              <w:rPr>
                <w:rFonts w:ascii="Times New Roman" w:hAnsi="Times New Roman"/>
                <w:sz w:val="22"/>
                <w:szCs w:val="22"/>
                <w:vertAlign w:val="superscript"/>
              </w:rPr>
              <w:t>2</w:t>
            </w:r>
            <w:r w:rsidRPr="00A17653">
              <w:rPr>
                <w:rFonts w:ascii="Times New Roman" w:hAnsi="Times New Roman"/>
                <w:sz w:val="22"/>
                <w:szCs w:val="22"/>
              </w:rPr>
              <w:t>/dávka q 12 h x 4, i.v.): dni 2 a 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G-CSF (5 μg/kg, s.c.): dni 4-13 alebo pokiaľ ANC &gt; 1500 po nadire</w:t>
            </w:r>
          </w:p>
        </w:tc>
      </w:tr>
      <w:tr w:rsidR="001149BD" w:rsidRPr="00A17653" w:rsidTr="001149BD">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Reindukčný blok 1</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(3 týždne)</w:t>
            </w:r>
          </w:p>
        </w:tc>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VCR (1,5 mg/m</w:t>
            </w:r>
            <w:r w:rsidRPr="00A17653">
              <w:rPr>
                <w:rFonts w:ascii="Times New Roman" w:hAnsi="Times New Roman"/>
                <w:sz w:val="22"/>
                <w:szCs w:val="22"/>
                <w:vertAlign w:val="superscript"/>
              </w:rPr>
              <w:t>2</w:t>
            </w:r>
            <w:r w:rsidRPr="00A17653">
              <w:rPr>
                <w:rFonts w:ascii="Times New Roman" w:hAnsi="Times New Roman"/>
                <w:sz w:val="22"/>
                <w:szCs w:val="22"/>
              </w:rPr>
              <w:t>/deň, i.v.): dni 1, 8 a 15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DAUN (45 mg/m</w:t>
            </w:r>
            <w:r w:rsidRPr="00A17653">
              <w:rPr>
                <w:rFonts w:ascii="Times New Roman" w:hAnsi="Times New Roman"/>
                <w:sz w:val="22"/>
                <w:szCs w:val="22"/>
                <w:vertAlign w:val="superscript"/>
              </w:rPr>
              <w:t>2</w:t>
            </w:r>
            <w:r w:rsidRPr="00A17653">
              <w:rPr>
                <w:rFonts w:ascii="Times New Roman" w:hAnsi="Times New Roman"/>
                <w:sz w:val="22"/>
                <w:szCs w:val="22"/>
              </w:rPr>
              <w:t>/deň bolus, i.v.): dni 1 a 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CPM (250 mg/m</w:t>
            </w:r>
            <w:r w:rsidRPr="00A17653">
              <w:rPr>
                <w:rFonts w:ascii="Times New Roman" w:hAnsi="Times New Roman"/>
                <w:sz w:val="22"/>
                <w:szCs w:val="22"/>
                <w:vertAlign w:val="superscript"/>
              </w:rPr>
              <w:t>2</w:t>
            </w:r>
            <w:r w:rsidRPr="00A17653">
              <w:rPr>
                <w:rFonts w:ascii="Times New Roman" w:hAnsi="Times New Roman"/>
                <w:sz w:val="22"/>
                <w:szCs w:val="22"/>
              </w:rPr>
              <w:t>/dávka q12h x 4 dávky, i.v.): dni 3 a 4</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PEG-ASP (2500 IU/m</w:t>
            </w:r>
            <w:r w:rsidRPr="00A17653">
              <w:rPr>
                <w:rFonts w:ascii="Times New Roman" w:hAnsi="Times New Roman"/>
                <w:sz w:val="22"/>
                <w:szCs w:val="22"/>
                <w:vertAlign w:val="superscript"/>
              </w:rPr>
              <w:t>2</w:t>
            </w:r>
            <w:r w:rsidRPr="00A17653">
              <w:rPr>
                <w:rFonts w:ascii="Times New Roman" w:hAnsi="Times New Roman"/>
                <w:sz w:val="22"/>
                <w:szCs w:val="22"/>
              </w:rPr>
              <w:t>, i.m.): deň 4</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 xml:space="preserve">G-CSF (5 μg/kg, s.c.): dni 5-14 alebo pokiaľ </w:t>
            </w:r>
            <w:r w:rsidRPr="00A17653">
              <w:rPr>
                <w:rFonts w:ascii="Times New Roman" w:hAnsi="Times New Roman"/>
                <w:sz w:val="22"/>
                <w:szCs w:val="22"/>
              </w:rPr>
              <w:lastRenderedPageBreak/>
              <w:t>ANC &gt; 1500 po nadire</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Trojitá i.t. liečba (upravená podľa veku): dni 1 a 15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DEX (6 mg/m2/deň, p.o.): dni 1-7 a 15-21</w:t>
            </w:r>
          </w:p>
        </w:tc>
      </w:tr>
      <w:tr w:rsidR="001149BD" w:rsidRPr="00A17653" w:rsidTr="001149BD">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lastRenderedPageBreak/>
              <w:t>Intenzifikačný blok 1</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(9 týždňov)</w:t>
            </w:r>
          </w:p>
        </w:tc>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Metotrexát (5 g/m</w:t>
            </w:r>
            <w:r w:rsidRPr="00A17653">
              <w:rPr>
                <w:rFonts w:ascii="Times New Roman" w:hAnsi="Times New Roman"/>
                <w:sz w:val="22"/>
                <w:szCs w:val="22"/>
                <w:vertAlign w:val="superscript"/>
              </w:rPr>
              <w:t>2</w:t>
            </w:r>
            <w:r w:rsidRPr="00A17653">
              <w:rPr>
                <w:rFonts w:ascii="Times New Roman" w:hAnsi="Times New Roman"/>
                <w:sz w:val="22"/>
                <w:szCs w:val="22"/>
              </w:rPr>
              <w:t xml:space="preserve"> počas 24 h, i.v.): dni 1 a 15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Leukovorín (75 mg/m</w:t>
            </w:r>
            <w:r w:rsidRPr="00A17653">
              <w:rPr>
                <w:rFonts w:ascii="Times New Roman" w:hAnsi="Times New Roman"/>
                <w:sz w:val="22"/>
                <w:szCs w:val="22"/>
                <w:vertAlign w:val="superscript"/>
              </w:rPr>
              <w:t xml:space="preserve">2 </w:t>
            </w:r>
            <w:r w:rsidRPr="00A17653">
              <w:rPr>
                <w:rFonts w:ascii="Times New Roman" w:hAnsi="Times New Roman"/>
                <w:sz w:val="22"/>
                <w:szCs w:val="22"/>
              </w:rPr>
              <w:t>v 36 h, i.v.; 15 mg/m</w:t>
            </w:r>
            <w:r w:rsidRPr="00A17653">
              <w:rPr>
                <w:rFonts w:ascii="Times New Roman" w:hAnsi="Times New Roman"/>
                <w:sz w:val="22"/>
                <w:szCs w:val="22"/>
                <w:vertAlign w:val="superscript"/>
              </w:rPr>
              <w:t>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i.v. alebo p.o. q6h x 6 dávok)iii: dni 2, 3, 16 a 17</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Trojitá i.t. liečba (upravená podľa veku): dni 1 a 22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VP-16 (100 mg/m</w:t>
            </w:r>
            <w:r w:rsidRPr="00A17653">
              <w:rPr>
                <w:rFonts w:ascii="Times New Roman" w:hAnsi="Times New Roman"/>
                <w:sz w:val="22"/>
                <w:szCs w:val="22"/>
                <w:vertAlign w:val="superscript"/>
              </w:rPr>
              <w:t>2</w:t>
            </w:r>
            <w:r w:rsidRPr="00A17653">
              <w:rPr>
                <w:rFonts w:ascii="Times New Roman" w:hAnsi="Times New Roman"/>
                <w:sz w:val="22"/>
                <w:szCs w:val="22"/>
              </w:rPr>
              <w:t>/deň, i.v.): dni 22-26</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CPM (300 mg/m</w:t>
            </w:r>
            <w:r w:rsidRPr="00A17653">
              <w:rPr>
                <w:rFonts w:ascii="Times New Roman" w:hAnsi="Times New Roman"/>
                <w:sz w:val="22"/>
                <w:szCs w:val="22"/>
                <w:vertAlign w:val="superscript"/>
              </w:rPr>
              <w:t>2</w:t>
            </w:r>
            <w:r w:rsidRPr="00A17653">
              <w:rPr>
                <w:rFonts w:ascii="Times New Roman" w:hAnsi="Times New Roman"/>
                <w:sz w:val="22"/>
                <w:szCs w:val="22"/>
              </w:rPr>
              <w:t>/deň, i.v.): dni 22-26</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MESNA (150 mg/m</w:t>
            </w:r>
            <w:r w:rsidRPr="00A17653">
              <w:rPr>
                <w:rFonts w:ascii="Times New Roman" w:hAnsi="Times New Roman"/>
                <w:sz w:val="22"/>
                <w:szCs w:val="22"/>
                <w:vertAlign w:val="superscript"/>
              </w:rPr>
              <w:t>2</w:t>
            </w:r>
            <w:r w:rsidRPr="00A17653">
              <w:rPr>
                <w:rFonts w:ascii="Times New Roman" w:hAnsi="Times New Roman"/>
                <w:sz w:val="22"/>
                <w:szCs w:val="22"/>
              </w:rPr>
              <w:t>/deň, i.v.): dni 22-26</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G-CSF (5 μg/kg, s.c.): dni 27-36 alebo pokiaľ ANC &gt; 1500 po nadire</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ARA-C (3 g/m</w:t>
            </w:r>
            <w:r w:rsidRPr="00A17653">
              <w:rPr>
                <w:rFonts w:ascii="Times New Roman" w:hAnsi="Times New Roman"/>
                <w:sz w:val="22"/>
                <w:szCs w:val="22"/>
                <w:vertAlign w:val="superscript"/>
              </w:rPr>
              <w:t>2</w:t>
            </w:r>
            <w:r w:rsidRPr="00A17653">
              <w:rPr>
                <w:rFonts w:ascii="Times New Roman" w:hAnsi="Times New Roman"/>
                <w:sz w:val="22"/>
                <w:szCs w:val="22"/>
              </w:rPr>
              <w:t>, q12h, i.v.): dni 43, 44</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L-ASP (6000 IU/m</w:t>
            </w:r>
            <w:r w:rsidRPr="00A17653">
              <w:rPr>
                <w:rFonts w:ascii="Times New Roman" w:hAnsi="Times New Roman"/>
                <w:sz w:val="22"/>
                <w:szCs w:val="22"/>
                <w:vertAlign w:val="superscript"/>
              </w:rPr>
              <w:t>2</w:t>
            </w:r>
            <w:r w:rsidRPr="00A17653">
              <w:rPr>
                <w:rFonts w:ascii="Times New Roman" w:hAnsi="Times New Roman"/>
                <w:sz w:val="22"/>
                <w:szCs w:val="22"/>
              </w:rPr>
              <w:t>, i.m.): deň 44</w:t>
            </w:r>
          </w:p>
        </w:tc>
      </w:tr>
      <w:tr w:rsidR="001149BD" w:rsidRPr="00A17653" w:rsidTr="001149BD">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Reindukčný blok 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(3 týždne)</w:t>
            </w:r>
          </w:p>
        </w:tc>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VCR (1.5 mg/m</w:t>
            </w:r>
            <w:r w:rsidRPr="00A17653">
              <w:rPr>
                <w:rFonts w:ascii="Times New Roman" w:hAnsi="Times New Roman"/>
                <w:sz w:val="22"/>
                <w:szCs w:val="22"/>
                <w:vertAlign w:val="superscript"/>
              </w:rPr>
              <w:t>2</w:t>
            </w:r>
            <w:r w:rsidRPr="00A17653">
              <w:rPr>
                <w:rFonts w:ascii="Times New Roman" w:hAnsi="Times New Roman"/>
                <w:sz w:val="22"/>
                <w:szCs w:val="22"/>
              </w:rPr>
              <w:t>/deň, i.v.): dni 1, 8 a 15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DAUN (45 mg/m</w:t>
            </w:r>
            <w:r w:rsidRPr="00A17653">
              <w:rPr>
                <w:rFonts w:ascii="Times New Roman" w:hAnsi="Times New Roman"/>
                <w:sz w:val="22"/>
                <w:szCs w:val="22"/>
                <w:vertAlign w:val="superscript"/>
              </w:rPr>
              <w:t>2</w:t>
            </w:r>
            <w:r w:rsidRPr="00A17653">
              <w:rPr>
                <w:rFonts w:ascii="Times New Roman" w:hAnsi="Times New Roman"/>
                <w:sz w:val="22"/>
                <w:szCs w:val="22"/>
              </w:rPr>
              <w:t>/deň bolus, i.v.): dni 1 a 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CPM (250 mg/m</w:t>
            </w:r>
            <w:r w:rsidRPr="00A17653">
              <w:rPr>
                <w:rFonts w:ascii="Times New Roman" w:hAnsi="Times New Roman"/>
                <w:sz w:val="22"/>
                <w:szCs w:val="22"/>
                <w:vertAlign w:val="superscript"/>
              </w:rPr>
              <w:t>2</w:t>
            </w:r>
            <w:r w:rsidRPr="00A17653">
              <w:rPr>
                <w:rFonts w:ascii="Times New Roman" w:hAnsi="Times New Roman"/>
                <w:sz w:val="22"/>
                <w:szCs w:val="22"/>
              </w:rPr>
              <w:t>/dávka q12h x 4 dávok, i.v.): dni 3 a 4</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PEG-ASP (2500 IU/m</w:t>
            </w:r>
            <w:r w:rsidRPr="00A17653">
              <w:rPr>
                <w:rFonts w:ascii="Times New Roman" w:hAnsi="Times New Roman"/>
                <w:sz w:val="22"/>
                <w:szCs w:val="22"/>
                <w:vertAlign w:val="superscript"/>
              </w:rPr>
              <w:t>2</w:t>
            </w:r>
            <w:r w:rsidRPr="00A17653">
              <w:rPr>
                <w:rFonts w:ascii="Times New Roman" w:hAnsi="Times New Roman"/>
                <w:sz w:val="22"/>
                <w:szCs w:val="22"/>
              </w:rPr>
              <w:t>, i.m.): deň 4</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G-CSF (5 μg/kg, s.c.): dni 5-14 alebo pokiaľ ANC &gt; 1500 po nadire</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Trojitá i.t. liečba (upravená podľa veku): dni 1 a 15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DEX (6 mg/m</w:t>
            </w:r>
            <w:r w:rsidRPr="00A17653">
              <w:rPr>
                <w:rFonts w:ascii="Times New Roman" w:hAnsi="Times New Roman"/>
                <w:sz w:val="22"/>
                <w:szCs w:val="22"/>
                <w:vertAlign w:val="superscript"/>
              </w:rPr>
              <w:t>2</w:t>
            </w:r>
            <w:r w:rsidRPr="00A17653">
              <w:rPr>
                <w:rFonts w:ascii="Times New Roman" w:hAnsi="Times New Roman"/>
                <w:sz w:val="22"/>
                <w:szCs w:val="22"/>
              </w:rPr>
              <w:t>/deň, p.o.): dni 1-7 a 15-21</w:t>
            </w:r>
          </w:p>
        </w:tc>
      </w:tr>
      <w:tr w:rsidR="001149BD" w:rsidRPr="00A17653" w:rsidTr="001149BD">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Intenzifikačný blok 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(9 týždňov)</w:t>
            </w:r>
          </w:p>
        </w:tc>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Metotrexát (5 g/m</w:t>
            </w:r>
            <w:r w:rsidRPr="00A17653">
              <w:rPr>
                <w:rFonts w:ascii="Times New Roman" w:hAnsi="Times New Roman"/>
                <w:sz w:val="22"/>
                <w:szCs w:val="22"/>
                <w:vertAlign w:val="superscript"/>
              </w:rPr>
              <w:t>2</w:t>
            </w:r>
            <w:r w:rsidRPr="00A17653">
              <w:rPr>
                <w:rFonts w:ascii="Times New Roman" w:hAnsi="Times New Roman"/>
                <w:sz w:val="22"/>
                <w:szCs w:val="22"/>
              </w:rPr>
              <w:t xml:space="preserve"> počas 24 h, i.v.): dni 1 a 15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Leukovorín (75 mg/m</w:t>
            </w:r>
            <w:r w:rsidRPr="00A17653">
              <w:rPr>
                <w:rFonts w:ascii="Times New Roman" w:hAnsi="Times New Roman"/>
                <w:sz w:val="22"/>
                <w:szCs w:val="22"/>
                <w:vertAlign w:val="superscript"/>
              </w:rPr>
              <w:t>2</w:t>
            </w:r>
            <w:r w:rsidRPr="00A17653">
              <w:rPr>
                <w:rFonts w:ascii="Times New Roman" w:hAnsi="Times New Roman"/>
                <w:sz w:val="22"/>
                <w:szCs w:val="22"/>
              </w:rPr>
              <w:t xml:space="preserve"> v 36 h, i.v.; 15 mg/m</w:t>
            </w:r>
            <w:r w:rsidRPr="00A17653">
              <w:rPr>
                <w:rFonts w:ascii="Times New Roman" w:hAnsi="Times New Roman"/>
                <w:sz w:val="22"/>
                <w:szCs w:val="22"/>
                <w:vertAlign w:val="superscript"/>
              </w:rPr>
              <w:t xml:space="preserve">2 </w:t>
            </w:r>
            <w:r w:rsidRPr="00A17653">
              <w:rPr>
                <w:rFonts w:ascii="Times New Roman" w:hAnsi="Times New Roman"/>
                <w:sz w:val="22"/>
                <w:szCs w:val="22"/>
              </w:rPr>
              <w:t>i.v. alebo p.o. q6h x 6 dávok)iii: dni 2, 3, 16, a 17</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Trojitá i.t. liečba (upravená podľa veku): dni 1 a 22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VP-16 (100 mg/m</w:t>
            </w:r>
            <w:r w:rsidRPr="00A17653">
              <w:rPr>
                <w:rFonts w:ascii="Times New Roman" w:hAnsi="Times New Roman"/>
                <w:sz w:val="22"/>
                <w:szCs w:val="22"/>
                <w:vertAlign w:val="superscript"/>
              </w:rPr>
              <w:t>2</w:t>
            </w:r>
            <w:r w:rsidRPr="00A17653">
              <w:rPr>
                <w:rFonts w:ascii="Times New Roman" w:hAnsi="Times New Roman"/>
                <w:sz w:val="22"/>
                <w:szCs w:val="22"/>
              </w:rPr>
              <w:t>/deň, i.v.): dni 22-26</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CPM (300 mg/m</w:t>
            </w:r>
            <w:r w:rsidRPr="00A17653">
              <w:rPr>
                <w:rFonts w:ascii="Times New Roman" w:hAnsi="Times New Roman"/>
                <w:sz w:val="22"/>
                <w:szCs w:val="22"/>
                <w:vertAlign w:val="superscript"/>
              </w:rPr>
              <w:t>2</w:t>
            </w:r>
            <w:r w:rsidRPr="00A17653">
              <w:rPr>
                <w:rFonts w:ascii="Times New Roman" w:hAnsi="Times New Roman"/>
                <w:sz w:val="22"/>
                <w:szCs w:val="22"/>
              </w:rPr>
              <w:t>/deň, i.v.): dni 22-26</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MESNA (150 mg/m</w:t>
            </w:r>
            <w:r w:rsidRPr="00A17653">
              <w:rPr>
                <w:rFonts w:ascii="Times New Roman" w:hAnsi="Times New Roman"/>
                <w:sz w:val="22"/>
                <w:szCs w:val="22"/>
                <w:vertAlign w:val="superscript"/>
              </w:rPr>
              <w:t>2</w:t>
            </w:r>
            <w:r w:rsidRPr="00A17653">
              <w:rPr>
                <w:rFonts w:ascii="Times New Roman" w:hAnsi="Times New Roman"/>
                <w:sz w:val="22"/>
                <w:szCs w:val="22"/>
              </w:rPr>
              <w:t>/deň, i.v.): deň 22-26</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G-CSF (5 μg/kg, s.c.): dni 27-36 alebo pokiaľ ANC &gt; 1500 po nadire</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ARA-C (3 g/m</w:t>
            </w:r>
            <w:r w:rsidRPr="00A17653">
              <w:rPr>
                <w:rFonts w:ascii="Times New Roman" w:hAnsi="Times New Roman"/>
                <w:sz w:val="22"/>
                <w:szCs w:val="22"/>
                <w:vertAlign w:val="superscript"/>
              </w:rPr>
              <w:t>2</w:t>
            </w:r>
            <w:r w:rsidRPr="00A17653">
              <w:rPr>
                <w:rFonts w:ascii="Times New Roman" w:hAnsi="Times New Roman"/>
                <w:sz w:val="22"/>
                <w:szCs w:val="22"/>
              </w:rPr>
              <w:t>, q12h, i.v.): dni 43, 44</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L-ASP (6000 IU/m</w:t>
            </w:r>
            <w:r w:rsidRPr="00A17653">
              <w:rPr>
                <w:rFonts w:ascii="Times New Roman" w:hAnsi="Times New Roman"/>
                <w:sz w:val="22"/>
                <w:szCs w:val="22"/>
                <w:vertAlign w:val="superscript"/>
              </w:rPr>
              <w:t>2</w:t>
            </w:r>
            <w:r w:rsidRPr="00A17653">
              <w:rPr>
                <w:rFonts w:ascii="Times New Roman" w:hAnsi="Times New Roman"/>
                <w:sz w:val="22"/>
                <w:szCs w:val="22"/>
              </w:rPr>
              <w:t>, i.m.): dni 44</w:t>
            </w:r>
          </w:p>
        </w:tc>
      </w:tr>
      <w:tr w:rsidR="001149BD" w:rsidRPr="00A17653" w:rsidTr="001149BD">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Udržiavacia liečba</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(8-týždňové cykly)</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Cyklus 1–4</w:t>
            </w:r>
          </w:p>
        </w:tc>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MTX (5 g/m</w:t>
            </w:r>
            <w:r w:rsidRPr="00A17653">
              <w:rPr>
                <w:rFonts w:ascii="Times New Roman" w:hAnsi="Times New Roman"/>
                <w:sz w:val="22"/>
                <w:szCs w:val="22"/>
                <w:vertAlign w:val="superscript"/>
              </w:rPr>
              <w:t>2</w:t>
            </w:r>
            <w:r w:rsidRPr="00A17653">
              <w:rPr>
                <w:rFonts w:ascii="Times New Roman" w:hAnsi="Times New Roman"/>
                <w:sz w:val="22"/>
                <w:szCs w:val="22"/>
              </w:rPr>
              <w:t xml:space="preserve"> počas 24 h, i.v.): deň 1</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Leukovorín (75 mg/m</w:t>
            </w:r>
            <w:r w:rsidRPr="00A17653">
              <w:rPr>
                <w:rFonts w:ascii="Times New Roman" w:hAnsi="Times New Roman"/>
                <w:sz w:val="22"/>
                <w:szCs w:val="22"/>
                <w:vertAlign w:val="superscript"/>
              </w:rPr>
              <w:t>2</w:t>
            </w:r>
            <w:r w:rsidRPr="00A17653">
              <w:rPr>
                <w:rFonts w:ascii="Times New Roman" w:hAnsi="Times New Roman"/>
                <w:sz w:val="22"/>
                <w:szCs w:val="22"/>
              </w:rPr>
              <w:t xml:space="preserve"> v 36 h, i.v.; 15 mg/m</w:t>
            </w:r>
            <w:r w:rsidRPr="00A17653">
              <w:rPr>
                <w:rFonts w:ascii="Times New Roman" w:hAnsi="Times New Roman"/>
                <w:sz w:val="22"/>
                <w:szCs w:val="22"/>
                <w:vertAlign w:val="superscript"/>
              </w:rPr>
              <w:t>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i.v. alebo p.o. q6h x 6 dávok)iii: dni 2 a 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Trojitá i.t. liečba (upravená podľa veku): dni 1, 29</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VCR (1.5 mg/m</w:t>
            </w:r>
            <w:r w:rsidRPr="00A17653">
              <w:rPr>
                <w:rFonts w:ascii="Times New Roman" w:hAnsi="Times New Roman"/>
                <w:sz w:val="22"/>
                <w:szCs w:val="22"/>
                <w:vertAlign w:val="superscript"/>
              </w:rPr>
              <w:t>2</w:t>
            </w:r>
            <w:r w:rsidRPr="00A17653">
              <w:rPr>
                <w:rFonts w:ascii="Times New Roman" w:hAnsi="Times New Roman"/>
                <w:sz w:val="22"/>
                <w:szCs w:val="22"/>
              </w:rPr>
              <w:t>, i.v.): dni 1, 29</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DEX (6 mg/m</w:t>
            </w:r>
            <w:r w:rsidRPr="00A17653">
              <w:rPr>
                <w:rFonts w:ascii="Times New Roman" w:hAnsi="Times New Roman"/>
                <w:sz w:val="22"/>
                <w:szCs w:val="22"/>
                <w:vertAlign w:val="superscript"/>
              </w:rPr>
              <w:t>2</w:t>
            </w:r>
            <w:r w:rsidRPr="00A17653">
              <w:rPr>
                <w:rFonts w:ascii="Times New Roman" w:hAnsi="Times New Roman"/>
                <w:sz w:val="22"/>
                <w:szCs w:val="22"/>
              </w:rPr>
              <w:t>/deň p.o.): dni 1-5; 29-33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6-MP (75 mg/m</w:t>
            </w:r>
            <w:r w:rsidRPr="00A17653">
              <w:rPr>
                <w:rFonts w:ascii="Times New Roman" w:hAnsi="Times New Roman"/>
                <w:sz w:val="22"/>
                <w:szCs w:val="22"/>
                <w:vertAlign w:val="superscript"/>
              </w:rPr>
              <w:t>2</w:t>
            </w:r>
            <w:r w:rsidRPr="00A17653">
              <w:rPr>
                <w:rFonts w:ascii="Times New Roman" w:hAnsi="Times New Roman"/>
                <w:sz w:val="22"/>
                <w:szCs w:val="22"/>
              </w:rPr>
              <w:t>/deň, p.o.): dni 8-28</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Metotrexát (20 mg/m</w:t>
            </w:r>
            <w:r w:rsidRPr="00A17653">
              <w:rPr>
                <w:rFonts w:ascii="Times New Roman" w:hAnsi="Times New Roman"/>
                <w:sz w:val="22"/>
                <w:szCs w:val="22"/>
                <w:vertAlign w:val="superscript"/>
              </w:rPr>
              <w:t>2</w:t>
            </w:r>
            <w:r w:rsidRPr="00A17653">
              <w:rPr>
                <w:rFonts w:ascii="Times New Roman" w:hAnsi="Times New Roman"/>
                <w:sz w:val="22"/>
                <w:szCs w:val="22"/>
              </w:rPr>
              <w:t>/týždeň, p.o.): dni 8, 15, 22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VP-16 (100 mg/m</w:t>
            </w:r>
            <w:r w:rsidRPr="00A17653">
              <w:rPr>
                <w:rFonts w:ascii="Times New Roman" w:hAnsi="Times New Roman"/>
                <w:sz w:val="22"/>
                <w:szCs w:val="22"/>
                <w:vertAlign w:val="superscript"/>
              </w:rPr>
              <w:t>2</w:t>
            </w:r>
            <w:r w:rsidRPr="00A17653">
              <w:rPr>
                <w:rFonts w:ascii="Times New Roman" w:hAnsi="Times New Roman"/>
                <w:sz w:val="22"/>
                <w:szCs w:val="22"/>
              </w:rPr>
              <w:t>, i.v.): dni 29-33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CPM (300 mg/m</w:t>
            </w:r>
            <w:r w:rsidRPr="00A17653">
              <w:rPr>
                <w:rFonts w:ascii="Times New Roman" w:hAnsi="Times New Roman"/>
                <w:sz w:val="22"/>
                <w:szCs w:val="22"/>
                <w:vertAlign w:val="superscript"/>
              </w:rPr>
              <w:t>2</w:t>
            </w:r>
            <w:r w:rsidRPr="00A17653">
              <w:rPr>
                <w:rFonts w:ascii="Times New Roman" w:hAnsi="Times New Roman"/>
                <w:sz w:val="22"/>
                <w:szCs w:val="22"/>
              </w:rPr>
              <w:t>, i.v.): dni 29-33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MESNA i.v. dni 29-33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G-CSF (5 μg/kg, s.c.): dni 34-43</w:t>
            </w:r>
          </w:p>
        </w:tc>
      </w:tr>
      <w:tr w:rsidR="001149BD" w:rsidRPr="00A17653" w:rsidTr="001149BD">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Udržiavacia liečba</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(8-týždňové cykly)</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Cyklus 5</w:t>
            </w:r>
          </w:p>
        </w:tc>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Kraniálne ožarovanie (iba blok 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12 Gy v 8 frakciách pre všetkých pacientov, ktorí sú počas diagnózy CNS1a CNS2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lastRenderedPageBreak/>
              <w:t>18 Gy v 10 frakciách pre pacientov, ktorí sú počas diagnózy CNS3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VCR (1.5 mg/m</w:t>
            </w:r>
            <w:r w:rsidRPr="00A17653">
              <w:rPr>
                <w:rFonts w:ascii="Times New Roman" w:hAnsi="Times New Roman"/>
                <w:sz w:val="22"/>
                <w:szCs w:val="22"/>
                <w:vertAlign w:val="superscript"/>
              </w:rPr>
              <w:t>2</w:t>
            </w:r>
            <w:r w:rsidRPr="00A17653">
              <w:rPr>
                <w:rFonts w:ascii="Times New Roman" w:hAnsi="Times New Roman"/>
                <w:sz w:val="22"/>
                <w:szCs w:val="22"/>
              </w:rPr>
              <w:t>/deň, i.v.): dni 1, 29</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DEX (6 mg/m</w:t>
            </w:r>
            <w:r w:rsidRPr="00A17653">
              <w:rPr>
                <w:rFonts w:ascii="Times New Roman" w:hAnsi="Times New Roman"/>
                <w:sz w:val="22"/>
                <w:szCs w:val="22"/>
                <w:vertAlign w:val="superscript"/>
              </w:rPr>
              <w:t>2</w:t>
            </w:r>
            <w:r w:rsidRPr="00A17653">
              <w:rPr>
                <w:rFonts w:ascii="Times New Roman" w:hAnsi="Times New Roman"/>
                <w:sz w:val="22"/>
                <w:szCs w:val="22"/>
              </w:rPr>
              <w:t>/deň, p.o.): dni 1-5; 29-33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6-MP (75 mg/m</w:t>
            </w:r>
            <w:r w:rsidRPr="00A17653">
              <w:rPr>
                <w:rFonts w:ascii="Times New Roman" w:hAnsi="Times New Roman"/>
                <w:sz w:val="22"/>
                <w:szCs w:val="22"/>
                <w:vertAlign w:val="superscript"/>
              </w:rPr>
              <w:t>2</w:t>
            </w:r>
            <w:r w:rsidRPr="00A17653">
              <w:rPr>
                <w:rFonts w:ascii="Times New Roman" w:hAnsi="Times New Roman"/>
                <w:sz w:val="22"/>
                <w:szCs w:val="22"/>
              </w:rPr>
              <w:t>/deň, p.o.): dni 11-56</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(6-MP vysadiť počas 6-10 dňa kraniálneho ožarovania, a to na 1.deň v 5.cykle.</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6-MP opäť nasadiť 1. deň po ukončení kraniálneho ožarovania.)</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Metotrexát (20 mg/m</w:t>
            </w:r>
            <w:r w:rsidRPr="00A17653">
              <w:rPr>
                <w:rFonts w:ascii="Times New Roman" w:hAnsi="Times New Roman"/>
                <w:sz w:val="22"/>
                <w:szCs w:val="22"/>
                <w:vertAlign w:val="superscript"/>
              </w:rPr>
              <w:t>2</w:t>
            </w:r>
            <w:r w:rsidRPr="00A17653">
              <w:rPr>
                <w:rFonts w:ascii="Times New Roman" w:hAnsi="Times New Roman"/>
                <w:sz w:val="22"/>
                <w:szCs w:val="22"/>
              </w:rPr>
              <w:t>/týždeň, p.o.): dni 8, 15, 22, 29, 36, 43, 50</w:t>
            </w:r>
          </w:p>
        </w:tc>
      </w:tr>
      <w:tr w:rsidR="001149BD" w:rsidRPr="00A17653" w:rsidTr="001149BD">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lastRenderedPageBreak/>
              <w:t>Udržiavacia liečba</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(8-týždňové cykly)</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Cyklus 6-12</w:t>
            </w:r>
          </w:p>
        </w:tc>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VCR (1.5 mg/m</w:t>
            </w:r>
            <w:r w:rsidRPr="00A17653">
              <w:rPr>
                <w:rFonts w:ascii="Times New Roman" w:hAnsi="Times New Roman"/>
                <w:sz w:val="22"/>
                <w:szCs w:val="22"/>
                <w:vertAlign w:val="superscript"/>
              </w:rPr>
              <w:t>2</w:t>
            </w:r>
            <w:r w:rsidRPr="00A17653">
              <w:rPr>
                <w:rFonts w:ascii="Times New Roman" w:hAnsi="Times New Roman"/>
                <w:sz w:val="22"/>
                <w:szCs w:val="22"/>
              </w:rPr>
              <w:t>/deň, i.v.): dni 1, 29</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DEX (6 mg/m</w:t>
            </w:r>
            <w:r w:rsidRPr="00A17653">
              <w:rPr>
                <w:rFonts w:ascii="Times New Roman" w:hAnsi="Times New Roman"/>
                <w:sz w:val="22"/>
                <w:szCs w:val="22"/>
                <w:vertAlign w:val="superscript"/>
              </w:rPr>
              <w:t>2</w:t>
            </w:r>
            <w:r w:rsidRPr="00A17653">
              <w:rPr>
                <w:rFonts w:ascii="Times New Roman" w:hAnsi="Times New Roman"/>
                <w:sz w:val="22"/>
                <w:szCs w:val="22"/>
              </w:rPr>
              <w:t>/deň, p.o.): dni 1-5; 29-33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6-MP (75 mg/m</w:t>
            </w:r>
            <w:r w:rsidRPr="00A17653">
              <w:rPr>
                <w:rFonts w:ascii="Times New Roman" w:hAnsi="Times New Roman"/>
                <w:sz w:val="22"/>
                <w:szCs w:val="22"/>
                <w:vertAlign w:val="superscript"/>
              </w:rPr>
              <w:t>2</w:t>
            </w:r>
            <w:r w:rsidRPr="00A17653">
              <w:rPr>
                <w:rFonts w:ascii="Times New Roman" w:hAnsi="Times New Roman"/>
                <w:sz w:val="22"/>
                <w:szCs w:val="22"/>
              </w:rPr>
              <w:t>/deň, p.o.): dni 1-56</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Metotrexát (20 mg/m</w:t>
            </w:r>
            <w:r w:rsidRPr="00A17653">
              <w:rPr>
                <w:rFonts w:ascii="Times New Roman" w:hAnsi="Times New Roman"/>
                <w:sz w:val="22"/>
                <w:szCs w:val="22"/>
                <w:vertAlign w:val="superscript"/>
              </w:rPr>
              <w:t>2</w:t>
            </w:r>
            <w:r w:rsidRPr="00A17653">
              <w:rPr>
                <w:rFonts w:ascii="Times New Roman" w:hAnsi="Times New Roman"/>
                <w:sz w:val="22"/>
                <w:szCs w:val="22"/>
              </w:rPr>
              <w:t>/týždeň, p.o.): dni 1, 8, 15, 22, 29, 36, 43, 50</w:t>
            </w:r>
          </w:p>
        </w:tc>
      </w:tr>
    </w:tbl>
    <w:p w:rsidR="001149BD" w:rsidRPr="00A17653" w:rsidRDefault="001149BD" w:rsidP="00A17653">
      <w:pPr>
        <w:widowControl w:val="0"/>
        <w:spacing w:after="0" w:line="240" w:lineRule="auto"/>
        <w:rPr>
          <w:rFonts w:ascii="Times New Roman" w:hAnsi="Times New Roman"/>
        </w:rPr>
      </w:pP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G-CSF = faktor stimulujúci kolónie granulocytov, VP-16 = etopozid, MTX = metotrexát, i.v. =</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intravenózne, s.c. = subkutánne, i.t. = intratekálne, p.o. = perorálne, i.m. = intramuskulárne, ARA-C =</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cytarabín, CPM = cyklofosfamid, VCR = vinkristín, DEX = dexametazón, DAUN = daunorubicín, 90</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6-MP = 6-merkaptopurín, E.Coli L-ASP = L-asparagináza, PEG-ASP = PEG asparagináza, MESNA=</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2-merkaptoetán sulfonát sodný, iii= alebo pokiaľ hladiny MTX sú pod úrovňou &lt; 0,1 µM, q6h =</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každých 6 hodín, Gy= Gray</w:t>
      </w:r>
    </w:p>
    <w:p w:rsidR="001149BD" w:rsidRPr="00A17653" w:rsidRDefault="001149BD" w:rsidP="00A17653">
      <w:pPr>
        <w:widowControl w:val="0"/>
        <w:spacing w:after="0" w:line="240" w:lineRule="auto"/>
        <w:rPr>
          <w:rFonts w:ascii="Times New Roman" w:hAnsi="Times New Roman"/>
        </w:rPr>
      </w:pP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Štúdia AIT07 bolo multicentrické, otvorené, randomizované skúšanie fázy II/III, ktoré zahŕňalo</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128 pacientov (1 až &lt; 18 rokov) liečených imatinibom v kombinácii s chemoterapiou. Údaje o</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bezpečnosti z tejto štúdie sa zdajú byť v zhode s bezpečnostným profilom imatinibu u pacientov s Ph+</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ALL.</w:t>
      </w:r>
    </w:p>
    <w:p w:rsidR="001149BD" w:rsidRPr="00A17653" w:rsidRDefault="001149BD"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i/>
        </w:rPr>
        <w:t>Relaps/refraktérna Ph+ ALL</w:t>
      </w:r>
      <w:r w:rsidRPr="00A17653">
        <w:rPr>
          <w:rFonts w:ascii="Times New Roman" w:hAnsi="Times New Roman"/>
        </w:rPr>
        <w:t xml:space="preserve">: Keď sa imatinib podával ako monoterapia pacientom s relapsom/refraktérnou Ph+ ALL, u 53 zo 411 pacientov s vyhodnotiteľnou odpoveďou sa dosiahol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podiel hematologickej odpovede 30% (9% kompletnej) a podiel veľkej cytogenetickej odpovede 23%.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(Treba vziať do úvahy, že 353 zo 411 pacientov bolo liečených v programe rozšíreného prístupu k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liečbe bez získania údajov o primárnej odpovedi.) Medián času do progresie v celej populácii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411 pacientov s relapsom/refraktérnou Ph+ ALL bol v rozmedzí od 2,6 do 3,1 mesiacov a medián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celkového prežívania u 401 vyhodnotiteľných pacientov bol v rozmedzí od 4,9 do 9 mesiacov. Údaje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boli podobné pri opätovnej analýze, do ktorej boli zahrnutí len pacienti vo veku 55 alebo viac rokov.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Klinické skúšania pri MDS/MPD</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Skúsenosti s imatinibom v tejto indikácii sú veľmi obmedzené a zakladajú sa na stupni hematologickej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 cytogenetickej odpovede. Nie sú kontrolované klinické skúšania, ktoré by preukázali klinický prínos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alebo predĺžené prežívanie. V jednom otvorenom, multicentrickom klinickom skúšaní fázy II (štúdia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B2225) sa testoval imatinib u rôznych populácií pacientov s ochoreniami ohrozujúcimi život, ktoré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súvisia proteíntyrozínkinázami Abl, Kit alebo PDGFR. Do tohto klinického skúšania bolo zaradených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7 pacientov s MDS/MPD, ktorí dostávali 400 mg imatinibu denne. U troch pacientov sa dosiahla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kompletná hematologická odpoveď (CHR) a jeden pacient mal čiastočnú hematologickú odpoveď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(PHR). V čase pôvodnej analýzy sa u troch zo štyroch pacientov so zistenými preskupeniami génu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PDGFR vyvinula hematologická odpoveď (2 CHR a 1 PHR). Vek týchto pacientov bol v rozmedzí od </w:t>
      </w:r>
    </w:p>
    <w:p w:rsidR="00E50BB6" w:rsidRPr="00A17653" w:rsidRDefault="00EC32A3" w:rsidP="00A17653">
      <w:pPr>
        <w:widowControl w:val="0"/>
        <w:spacing w:after="0" w:line="240" w:lineRule="auto"/>
        <w:rPr>
          <w:rFonts w:ascii="Times New Roman" w:hAnsi="Times New Roman"/>
        </w:rPr>
      </w:pPr>
      <w:r w:rsidRPr="00A17653">
        <w:rPr>
          <w:rFonts w:ascii="Times New Roman" w:hAnsi="Times New Roman"/>
        </w:rPr>
        <w:t>20 do 72 rokov.</w:t>
      </w:r>
    </w:p>
    <w:p w:rsidR="00E50BB6" w:rsidRPr="00A17653" w:rsidRDefault="00E50BB6" w:rsidP="00A17653">
      <w:pPr>
        <w:widowControl w:val="0"/>
        <w:spacing w:after="0" w:line="240" w:lineRule="auto"/>
        <w:rPr>
          <w:rFonts w:ascii="Times New Roman" w:hAnsi="Times New Roman"/>
        </w:rPr>
      </w:pPr>
    </w:p>
    <w:p w:rsidR="00E50BB6" w:rsidRPr="00A17653" w:rsidRDefault="00E50BB6" w:rsidP="00A17653">
      <w:pPr>
        <w:widowControl w:val="0"/>
        <w:spacing w:after="0" w:line="240" w:lineRule="auto"/>
        <w:rPr>
          <w:rFonts w:ascii="Times New Roman" w:hAnsi="Times New Roman"/>
        </w:rPr>
      </w:pPr>
      <w:r w:rsidRPr="00A17653">
        <w:rPr>
          <w:rFonts w:ascii="Times New Roman" w:hAnsi="Times New Roman"/>
        </w:rPr>
        <w:t xml:space="preserve">U pacientov s myeloproliferatívnymi neoplazmami a s preskupením génu PDGFR- β, ktorí boli liečení imatinibom, sa za účelom zberu dlhodobých údajov o bezpečnosti a účinnosti vykonal observačný register (štúdia L2401). 23 pacientov zaradených v registri užilo imatinib s mediánom dennej dávky 264 mg (rozsah 100 až 400 mg) a s mediánom trvania 7,2 rokov (rozsah 0,1 až 12,7 rokov). Z ohľadom na observačný charakter registra boli hematologické, cytogenetické a molekulárne údaje k </w:t>
      </w:r>
      <w:r w:rsidRPr="00A17653">
        <w:rPr>
          <w:rFonts w:ascii="Times New Roman" w:hAnsi="Times New Roman"/>
        </w:rPr>
        <w:lastRenderedPageBreak/>
        <w:t>hodnoteniu dostupné u 22, 9 a 17 z 23 zaradených pacientov, v uvedenom poradí. Za konzervatívneho predpokladu, že pacienti s chýbajúcimi údajmi nemali odpoveď na liečbu, sa CHR pozorovala u 20 z 23 (87 %) pacientov, CCyR u 9 z 23 (39,1 %) pacientov a MR u 11 z 23 (47,8 %) pacientov v uvedenom poradí. Ak by sa miera odpovede započítala u pacientov s aspoň jedným platným hodnotením, miera odpovede pre CHR, CCyR a MR bola 20 z 22 (90,9 %), 9 z 9 (100 %) a 11 zo 17 (64,7 %) v uvedenom poradí.</w:t>
      </w:r>
    </w:p>
    <w:p w:rsidR="00E50BB6" w:rsidRPr="00A17653" w:rsidRDefault="00E50BB6"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Okrem toho sú v 13 publikáciách správy o ďalších 24 pacientoch s MDS/MPD. Dvadsaťjeden pacientov dostávalo 400 mg imatinibu denne, zatiaľ čo ďalší 3 pacienti dostávali nižšie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dávky. U jedenástich pacientov sa zistili preskupenia génu PDGFR, z toho 9 dosiahlo CHR a 1 PHR.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Vek týchto pacientov bol v rozmedzí od 2 do 79 rokov. Nedávno publikovaná aktualizovaná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informácia o 6 z týchto 11 pacientov ukázala, že všetci títo pacienti zostali v cytogenetickej remisii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(rozmedzie 32-38 mesiacov). Tá istá publikácia priniesla údaje o dlhodobom následnom sledovaní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12 pacientov s MDS/MPD s preskupeniami génu PDGFR (5 pacientov zo štúdie B2225). Medián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podávania imatinibu týmto pacientom bol 47 mesiacov (rozmedzie 24 dní – 60 mesiacov). U 6 z týchto pacientov následné sledovanie trvá už viac ako 4 roky. Jedenásť pacientov dosiahlo rýchlu CHR; u desiatich došlo k úplnému vymiznutiu cytogenetických abnormalít a poklesu alebo zmiznutiu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fúznych transkriptov stanovených prostredníctvom RT-PCR. Medián zachovania hematologickej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odpovede bol 49 mesiacov (rozmedzie 19 - 60) a cytogenetickej odpovede 47 mesiacov (rozmedzie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16 - 59). Celkové prežívanie je 65 mesiacov od stanovenia diagnózy (rozmedzie 25-234). Podávanie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imatinibu pacientom bez génovej translokácie spravidla neprináša žiadne zlepšenie.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pediatrických pacientov s MDS/MPD nie sú kontrolované klinické skúšania. V 4 publikáciách boli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správy o 5 pacientoch s MDS/MPD spojenými s preskupeniami génu PDGFR. Vek týchto pacientov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bol v rozmedzí od 3 mesiacov do 4 rokov a imatinib sa im podával v dávke 50 mg denne alebo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 dávkach od 92,5 do 340 mg/m</w:t>
      </w:r>
      <w:r w:rsidRPr="00A17653">
        <w:rPr>
          <w:rFonts w:ascii="Times New Roman" w:hAnsi="Times New Roman"/>
          <w:vertAlign w:val="superscript"/>
        </w:rPr>
        <w:t>2</w:t>
      </w:r>
      <w:r w:rsidRPr="00A17653">
        <w:rPr>
          <w:rFonts w:ascii="Times New Roman" w:hAnsi="Times New Roman"/>
        </w:rPr>
        <w:t xml:space="preserve"> denne. Všetci pacienti dosiahli kompletnú hematologickú odpoveď,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cytogenetickú odpoveď a/alebo klinickú odpoveď.</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Klinické skúšania pri HES/CEL</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jednom otvorenom, multicentrickom klinickom skúšaní fázy II (štúdia B2225) sa testoval imatinib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rôznych populácií pacientov s ochoreniami ohrozujúcimi život, ktoré súvisia s proteíntyrozínkinázami Abl, Kit alebo PDGFR. V tomto klinickom skúšaní sa 14 pacientom 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HES/CEL podávalo 100 mg až 1 000 mg imatinibu denne. Ďalších 162 pacientov s HES/CEL, o ktorých boli správy v 35 publikovaných hláseniach o prípadoch a skupinách prípadov, dostávalo imatinib v dávkach od 75 mg do 800 mg denne. Cytogenetické abnormality sa vyhodnotili u 117 z celkovej populácie 176 pacientov. U 61 z týchto 117 pacientov sa zistila fúzna kináza FIP1L1-PDGFRα. U ďalších štyroch pacientov s HES v iných 3 publikovaných správach sa zistila pozitivita FIP1L1-PDGFRα. Všetkých 65 pacientov s pozitivitou fúznej kinázy FIP1L1-PDGFRα dosiahlo CHR, ktorá sa zachovala mesiace (rozmedzie od 1+ do 44+ mesiacov prehodnotené v čase správy). Podľa nedávno publikovanej správy 21 z týchto 65 pacientov dosiahlo tiež kompletnú molekulárnu remisiu s mediánom následného sledovania 28 mesiacov (rozmedzie 13 - 67 mesiacov). Vek týchto pacientov bol v rozmedzí od 25 do 72 rokov. Okrem toho skúšajúci lekári zaznamenali v hláseniach o prípadoch zlepšenie symptomatológie a iných porúch funkcie orgánov. Správy o zlepšení sa týkali srdca, nervového systému, kože/podkožného tkaniva, dýchacej sústavy/hrudníka/mediastína, kostrového svalstva/spojivových tkanív/ciev a gastrointestinálneho systému.</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pediatrických pacientov s HES/CEL nie sú kontrolované klinické skúšania. V 3 publikáciách boli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správy o 3 pacientoch s HES a CEL spojenými s preskupeniami génu PDGFR. Vek týchto pacientov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bol v rozmedzí od 2 do 16 rokov a imatinib sa im podával v dávke 300 mg/m</w:t>
      </w:r>
      <w:r w:rsidRPr="00A17653">
        <w:rPr>
          <w:rFonts w:ascii="Times New Roman" w:hAnsi="Times New Roman"/>
          <w:vertAlign w:val="superscript"/>
        </w:rPr>
        <w:t>2</w:t>
      </w:r>
      <w:r w:rsidRPr="00A17653">
        <w:rPr>
          <w:rFonts w:ascii="Times New Roman" w:hAnsi="Times New Roman"/>
        </w:rPr>
        <w:t xml:space="preserve"> denne alebo v dávkach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od 200 do 400 mg denne. Všetci pacienti dosiahli kompletnú hematologickú odpoveď, kompletnú</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cytogenetickú odpoveď a/alebo kompletnú molekulárnu odpoveď.</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Klinické skúšania pri DFSP</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Vykonalo sa jedno otvorené multicentrické klinické skúšanie fázy II (štúdia B2225), do ktorého bolo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zaradených 12 pacientov s DFSP, ktorým sa podávalo 800 mg imatinibu denne. Vek pacientov s DFSP </w:t>
      </w:r>
      <w:r w:rsidRPr="00A17653">
        <w:rPr>
          <w:rFonts w:ascii="Times New Roman" w:hAnsi="Times New Roman"/>
        </w:rPr>
        <w:lastRenderedPageBreak/>
        <w:t xml:space="preserve">bol v rozmedzí od 23 do 75 rokov; DFSP bol metastazujúci, lokálne rekurentný po pôvodnej resekcii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 v čase zaradenia do klinického skúšania sa nepovažoval za vhodný pre ďalšiu resekciu. Primárny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dôkaz účinnosti bol založený na podiele objektívnych odpovedí. Z 12 zaradených pacientov sa u 9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dosiahla odpoveď na liečbu, u jedného kompletná a u 8 čiastočná. U 3 pacientov s čiastočnou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odpoveďou sa ochorenie následne odstránilo chirurgickým zákrokom. Medián trvania liečby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klinickom skúšaní B2225 bol 6,2 mesiacov, maximálne trvanie 24,3 mesiacov. Správy o ďalších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6 pacientoch s DFSP liečených imatinibom, ktorých vek bol v rozmedzí od 18 mesiacov do 49 rokov,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boli v 5 publikovaných hláseniach o prípadoch. Dospelí pacienti, o ktorých boli správy v publikovanej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literatúre, dostávali buď 400 mg (4 prípady), alebo 800 mg (1 prípad) imatinibu denne. Odpoveď na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liečbu sa dosiahla u</w:t>
      </w:r>
      <w:r w:rsidR="001149BD" w:rsidRPr="00A17653">
        <w:rPr>
          <w:rFonts w:ascii="Times New Roman" w:hAnsi="Times New Roman"/>
        </w:rPr>
        <w:t> piatich (</w:t>
      </w:r>
      <w:r w:rsidRPr="00A17653">
        <w:rPr>
          <w:rFonts w:ascii="Times New Roman" w:hAnsi="Times New Roman"/>
        </w:rPr>
        <w:t>5</w:t>
      </w:r>
      <w:r w:rsidR="001149BD" w:rsidRPr="00A17653">
        <w:rPr>
          <w:rFonts w:ascii="Times New Roman" w:hAnsi="Times New Roman"/>
        </w:rPr>
        <w:t>)</w:t>
      </w:r>
      <w:r w:rsidRPr="00A17653">
        <w:rPr>
          <w:rFonts w:ascii="Times New Roman" w:hAnsi="Times New Roman"/>
        </w:rPr>
        <w:t xml:space="preserve"> pacientov, u 3 kompletná a u 2 čiastočná. Medián trvania liečby v publikovanej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literatúre bol v rozmedzí 4 týždne a viac ako 20 mesiacov. Translokácia t(17:22)[(q22:q13)] alebo jej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génový produkt bola prítomná u takmer všetkých pacientov s odpoveďou na liečbu imatinibom.</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pediatrických pacientov s DFSP nie sú kontrolované klinické skúšania. V 3 publikáciách boli správy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 5 pacientoch s DFSP a s preskupeniami génu PDGFR. Vek týchto pacientov bol v rozmedzí od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novorodencov do 14 rokov a imatinib sa im podával v dávke 50 mg denne alebo v dávkach od 400 do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520 mg/m</w:t>
      </w:r>
      <w:r w:rsidRPr="00A17653">
        <w:rPr>
          <w:rFonts w:ascii="Times New Roman" w:hAnsi="Times New Roman"/>
          <w:vertAlign w:val="superscript"/>
        </w:rPr>
        <w:t>2</w:t>
      </w:r>
      <w:r w:rsidRPr="00A17653">
        <w:rPr>
          <w:rFonts w:ascii="Times New Roman" w:hAnsi="Times New Roman"/>
        </w:rPr>
        <w:t xml:space="preserve"> denne. Všetci pacienti dosiahli čiastočnú a/alebo kompletnú odpoveď.</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5.2</w:t>
      </w:r>
      <w:r w:rsidRPr="00A17653">
        <w:rPr>
          <w:rFonts w:ascii="Times New Roman" w:hAnsi="Times New Roman"/>
          <w:b/>
        </w:rPr>
        <w:tab/>
        <w:t>Farmakokinetické vlastnosti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Farmakokinetika imatinibu</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Farmakokinetika imatinib sa hodnotila v rozmedzí dávok od 25 do 1 000 mg. Farmakokinetické profily v plazme sa stanovili v 1. deň a buď na 7., alebo 28. deň, keď koncentrácie v plazme dosiahli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rovnovážny stav.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Absorpcia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Priemerná absolútna biologická dostupnosť imatinibu je 98 %. Po perorálnom podaní bola medzi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pacientmi vysoká variabilita hodnôt AUC imatinibu v plazme. Pri podaní s jedlom s vysokým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obsahom tukov sa miera absorpcie imatinibu trochu znížila (pokles Cmax o 11 % a predĺženie tmax 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1,5 hod) a o málo sa zmenšila hodnota AUC (7,4 %) v porovnaní s podaním nalačno. Účinok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gastrointestinálneho chirurgického zákroku na absorpciu liečiva pri neskoršom podávaní sa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nesledoval.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Distribúcia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 klinicky významných koncentráciách sa na bielkoviny plazmy pri pokusoch </w:t>
      </w:r>
      <w:r w:rsidRPr="00A17653">
        <w:rPr>
          <w:rFonts w:ascii="Times New Roman" w:hAnsi="Times New Roman"/>
          <w:i/>
        </w:rPr>
        <w:t>in vitro</w:t>
      </w:r>
      <w:r w:rsidRPr="00A17653">
        <w:rPr>
          <w:rFonts w:ascii="Times New Roman" w:hAnsi="Times New Roman"/>
        </w:rPr>
        <w:t xml:space="preserve"> viazalo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približne 95 % imatinibu, najviac na albumín a kyslý alfa-glykoproteín, s nízkym podielom viazaným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na lipoproteíny.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Biotransformácia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Hlavným cirkulujúcim metabolitom u ľudí je N-demetylovaný piperazínový derivát, ktorý vykazuje in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vitro podobnú účinnosť ako nezmenené liečivo. Zistilo sa, že hodnota AUC tohto metabolitu v plazme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dosahuje len 16 % AUC imatinibu. Väzba na bielkoviny plazmy N-demetylovaného metabolitu je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podobná ako pri nezmenenom liečive.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a jeho N-demetylovaný metabolit spolu predstavovali 65 % cirkulujúcej rádioaktivity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(AUC</w:t>
      </w:r>
      <w:r w:rsidRPr="00A17653">
        <w:rPr>
          <w:rFonts w:ascii="Times New Roman" w:hAnsi="Times New Roman"/>
          <w:vertAlign w:val="subscript"/>
        </w:rPr>
        <w:t>(0-48h)</w:t>
      </w:r>
      <w:r w:rsidRPr="00A17653">
        <w:rPr>
          <w:rFonts w:ascii="Times New Roman" w:hAnsi="Times New Roman"/>
        </w:rPr>
        <w:t>). Zvyšná cirkulujúca rádioaktivita sa pripísala radu vedľajších metabolitov.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Výsledky in vitro ukázali, že CYP3A4 bol hlavný ľudský enzým P450, ktorý katalyzuje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biotransformáciu imatinibu. Zo skupiny liečiv, pri ktorých prichádza do úvahy súčasné podávanie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(paracetamol, aciklovir, alopurinol, amfotericín, cytarabín, erytromycín, flukonazol,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hydroxymočovina, norfloxacín, penicilín V), len pri erytromycíne (IC</w:t>
      </w:r>
      <w:r w:rsidRPr="00A17653">
        <w:rPr>
          <w:rFonts w:ascii="Times New Roman" w:hAnsi="Times New Roman"/>
          <w:vertAlign w:val="subscript"/>
        </w:rPr>
        <w:t>50</w:t>
      </w:r>
      <w:r w:rsidRPr="00A17653">
        <w:rPr>
          <w:rFonts w:ascii="Times New Roman" w:hAnsi="Times New Roman"/>
        </w:rPr>
        <w:t xml:space="preserve"> 50 µmol/l) a flukonazole (IC</w:t>
      </w:r>
      <w:r w:rsidRPr="00A17653">
        <w:rPr>
          <w:rFonts w:ascii="Times New Roman" w:hAnsi="Times New Roman"/>
          <w:vertAlign w:val="subscript"/>
        </w:rPr>
        <w:t>50</w:t>
      </w:r>
      <w:r w:rsidRPr="00A17653">
        <w:rPr>
          <w:rFonts w:ascii="Times New Roman" w:hAnsi="Times New Roman"/>
        </w:rPr>
        <w:t xml:space="preserve"> 118 µmol/l) sa preukázala inhibícia metabolizmu imatinibu, ktorá by mohla byť klinicky významná.</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Ukázalo sa, že imatinib je </w:t>
      </w:r>
      <w:r w:rsidRPr="00A17653">
        <w:rPr>
          <w:rFonts w:ascii="Times New Roman" w:hAnsi="Times New Roman"/>
          <w:i/>
        </w:rPr>
        <w:t>in vitro</w:t>
      </w:r>
      <w:r w:rsidRPr="00A17653">
        <w:rPr>
          <w:rFonts w:ascii="Times New Roman" w:hAnsi="Times New Roman"/>
        </w:rPr>
        <w:t xml:space="preserve"> kompetitívny inhibítor markerových substrátov CYP2C9, CYP2D6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a CYP3A4/5. Príslušné hodnoty K</w:t>
      </w:r>
      <w:r w:rsidRPr="00A17653">
        <w:rPr>
          <w:rFonts w:ascii="Times New Roman" w:hAnsi="Times New Roman"/>
          <w:vertAlign w:val="subscript"/>
        </w:rPr>
        <w:t>i</w:t>
      </w:r>
      <w:r w:rsidRPr="00A17653">
        <w:rPr>
          <w:rFonts w:ascii="Times New Roman" w:hAnsi="Times New Roman"/>
        </w:rPr>
        <w:t xml:space="preserve"> v ľudských pečeňových mikrozómoch boli 27, 7,5 a 7,9 µmol/l.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Maximálne plazmatické koncentrácie imatinibu u pacientov sú 2–4 µmol/l, z čoho vyplýva, že je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možná inhibícia metabolizmu súčasne podávaných liečiv, na ktorom sa podieľajú CYP2D6 a/alebo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CYP3A4/5. Imatinib neovplyvňoval biotransformáciu 5-fluorouracilu, ale inhiboval metabolizmus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paklitaxelu ako následok kompetitívnej inhibície CYP2C8 (K</w:t>
      </w:r>
      <w:r w:rsidRPr="00A17653">
        <w:rPr>
          <w:rFonts w:ascii="Times New Roman" w:hAnsi="Times New Roman"/>
          <w:vertAlign w:val="subscript"/>
        </w:rPr>
        <w:t>i</w:t>
      </w:r>
      <w:r w:rsidRPr="00A17653">
        <w:rPr>
          <w:rFonts w:ascii="Times New Roman" w:hAnsi="Times New Roman"/>
        </w:rPr>
        <w:t xml:space="preserve"> = 34,7 µmol/l). Táto hodnota K</w:t>
      </w:r>
      <w:r w:rsidRPr="00A17653">
        <w:rPr>
          <w:rFonts w:ascii="Times New Roman" w:hAnsi="Times New Roman"/>
          <w:vertAlign w:val="subscript"/>
        </w:rPr>
        <w:t>i</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je oveľa vyššia ako očakávané hladiny imatinibu v plazme pacientov, z čoho vyplýva, že sa neočakáva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interakcia pri súčasnom podávaní imatinibu s 5-fluorouracilom, ani s paklitaxelom.</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Eliminácia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 stanovení zlúčenín po perorálnom podaní imatinibu označeného </w:t>
      </w:r>
      <w:r w:rsidRPr="00A17653">
        <w:rPr>
          <w:rFonts w:ascii="Times New Roman" w:hAnsi="Times New Roman"/>
          <w:vertAlign w:val="superscript"/>
        </w:rPr>
        <w:t>14</w:t>
      </w:r>
      <w:r w:rsidRPr="00A17653">
        <w:rPr>
          <w:rFonts w:ascii="Times New Roman" w:hAnsi="Times New Roman"/>
        </w:rPr>
        <w:t xml:space="preserve">C sa približne 81 % dávky našlo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priebehu 7 dní v stolici (68 % dávky) a v moči (13 % dávky). Ako nezmenený imatinib sa vylúčilo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25 % dávky (5 % močom, 20 % stolicou), zvyšok boli metabolity.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Farmakokinetika v plazme</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Po perorálnom podaní zdravým dobrovoľníkom bol t</w:t>
      </w:r>
      <w:r w:rsidRPr="00A17653">
        <w:rPr>
          <w:rFonts w:ascii="Times New Roman" w:hAnsi="Times New Roman"/>
          <w:vertAlign w:val="subscript"/>
        </w:rPr>
        <w:t xml:space="preserve">1/2 </w:t>
      </w:r>
      <w:r w:rsidRPr="00A17653">
        <w:rPr>
          <w:rFonts w:ascii="Times New Roman" w:hAnsi="Times New Roman"/>
        </w:rPr>
        <w:t xml:space="preserve">asi 18 hodín, z čoho možno usudzovať, že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podávanie 1-krát denne postačuje. Zvyšovanie priemernej hodnoty AUC so zvyšujúcou sa dávkou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bolo po perorálnom podaní imatinibu lineárne a úmerné dávke v rozmedzí 25–1 000 mg. Kinetika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imatinibu sa pri opakovanom podávaní nemenila a pri rovnovážnom stave a podávaní 1-krát denne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bola akumulácia 1,5- až 2,5-násobná.</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Farmakokinetika u špeciálnych skupín pacientov</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 analýze farmakokinetiky u špeciálnych skupín pacientov s CML sa zistil len malý vplyv veku na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distribučný objem (zvýšenie o 12 % u pacientov vo veku &gt; 65 rokov). Táto zmena sa nepovažuje za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klinicky významnú. Vplyv telesnej hmotnosti na klírens imatinibu je taký, že u pacienta s hmotnosťou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50 kg sa očakáva priemerný klírens 8,5 l/hod, zatiaľ čo u pacienta s hmotnosťou 100 kg sa klírens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zvýši na 11,8 l/hod. Tieto zmeny sa nepovažujú za dostačujúce, aby bolo potrebné upraviť dávkovanie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na základe kg telesnej hmotnosti. Pohlavie nemá vplyv na kinetiku imatinibu.</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Farmakokinetika u detí</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Tak ako aj u dospelých pacientov, imatinib sa rýchlo resorboval po perorálnom podaní u pediatrických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pacientov v klinických skúšaniach fázy I aj fázy II. Dávkami 260 a 340 mg/m</w:t>
      </w:r>
      <w:r w:rsidRPr="00A17653">
        <w:rPr>
          <w:rFonts w:ascii="Times New Roman" w:hAnsi="Times New Roman"/>
          <w:vertAlign w:val="superscript"/>
        </w:rPr>
        <w:t>2</w:t>
      </w:r>
      <w:r w:rsidRPr="00A17653">
        <w:rPr>
          <w:rFonts w:ascii="Times New Roman" w:hAnsi="Times New Roman"/>
        </w:rPr>
        <w:t xml:space="preserve">/deň sa u detí dosiahla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rovnaká expozícia ako dávkami 400 mg a 600 mg u dospelých pacientov. Porovnaním AUC(</w:t>
      </w:r>
      <w:r w:rsidRPr="00A17653">
        <w:rPr>
          <w:rFonts w:ascii="Times New Roman" w:hAnsi="Times New Roman"/>
          <w:vertAlign w:val="subscript"/>
        </w:rPr>
        <w:t>0-24</w:t>
      </w:r>
      <w:r w:rsidRPr="00A17653">
        <w:rPr>
          <w:rFonts w:ascii="Times New Roman" w:hAnsi="Times New Roman"/>
        </w:rPr>
        <w:t>) na 8. a 1. deň pri hladine dávok 340 mg/m</w:t>
      </w:r>
      <w:r w:rsidRPr="00A17653">
        <w:rPr>
          <w:rFonts w:ascii="Times New Roman" w:hAnsi="Times New Roman"/>
          <w:vertAlign w:val="superscript"/>
        </w:rPr>
        <w:t>2</w:t>
      </w:r>
      <w:r w:rsidRPr="00A17653">
        <w:rPr>
          <w:rFonts w:ascii="Times New Roman" w:hAnsi="Times New Roman"/>
        </w:rPr>
        <w:t xml:space="preserve">/deň sa zistilo, že dochádza k 1,7-násobnej akumulácii liečiva po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opakovanom podávaní raz denne.</w:t>
      </w:r>
    </w:p>
    <w:p w:rsidR="00AE0328" w:rsidRPr="00A17653" w:rsidRDefault="00AE0328" w:rsidP="00A17653">
      <w:pPr>
        <w:widowControl w:val="0"/>
        <w:spacing w:after="0" w:line="240" w:lineRule="auto"/>
        <w:rPr>
          <w:rFonts w:ascii="Times New Roman" w:hAnsi="Times New Roman"/>
        </w:rPr>
      </w:pPr>
    </w:p>
    <w:p w:rsidR="00AE0328" w:rsidRPr="00A17653" w:rsidRDefault="00AE0328" w:rsidP="00A17653">
      <w:pPr>
        <w:widowControl w:val="0"/>
        <w:spacing w:after="0" w:line="240" w:lineRule="auto"/>
        <w:rPr>
          <w:rFonts w:ascii="Times New Roman" w:hAnsi="Times New Roman"/>
        </w:rPr>
      </w:pPr>
      <w:r w:rsidRPr="00A17653">
        <w:rPr>
          <w:rFonts w:ascii="Times New Roman" w:hAnsi="Times New Roman"/>
        </w:rPr>
        <w:t xml:space="preserve">Podľa združenej populačnej farmakokinetickej analýzy u pediatrických pacientov s hematologickými </w:t>
      </w:r>
    </w:p>
    <w:p w:rsidR="00AE0328" w:rsidRPr="00A17653" w:rsidRDefault="00AE0328" w:rsidP="00A17653">
      <w:pPr>
        <w:widowControl w:val="0"/>
        <w:spacing w:after="0" w:line="240" w:lineRule="auto"/>
        <w:rPr>
          <w:rFonts w:ascii="Times New Roman" w:hAnsi="Times New Roman"/>
        </w:rPr>
      </w:pPr>
      <w:r w:rsidRPr="00A17653">
        <w:rPr>
          <w:rFonts w:ascii="Times New Roman" w:hAnsi="Times New Roman"/>
        </w:rPr>
        <w:t xml:space="preserve">poruchami (CML, Ph+ALL alebo iné hematologické poruchy liečené imatinibom) sa klírens imatinibu </w:t>
      </w:r>
    </w:p>
    <w:p w:rsidR="00AE0328" w:rsidRPr="00A17653" w:rsidRDefault="00AE0328" w:rsidP="00A17653">
      <w:pPr>
        <w:widowControl w:val="0"/>
        <w:spacing w:after="0" w:line="240" w:lineRule="auto"/>
        <w:rPr>
          <w:rFonts w:ascii="Times New Roman" w:hAnsi="Times New Roman"/>
        </w:rPr>
      </w:pPr>
      <w:r w:rsidRPr="00A17653">
        <w:rPr>
          <w:rFonts w:ascii="Times New Roman" w:hAnsi="Times New Roman"/>
        </w:rPr>
        <w:t xml:space="preserve">zvyšuje s narastajúcou plochou povrchu tela (BSA). Po korekcii vplyvu plochy povrchu tela nemali </w:t>
      </w:r>
    </w:p>
    <w:p w:rsidR="00AE0328" w:rsidRPr="00A17653" w:rsidRDefault="00AE0328" w:rsidP="00A17653">
      <w:pPr>
        <w:widowControl w:val="0"/>
        <w:spacing w:after="0" w:line="240" w:lineRule="auto"/>
        <w:rPr>
          <w:rFonts w:ascii="Times New Roman" w:hAnsi="Times New Roman"/>
        </w:rPr>
      </w:pPr>
      <w:r w:rsidRPr="00A17653">
        <w:rPr>
          <w:rFonts w:ascii="Times New Roman" w:hAnsi="Times New Roman"/>
        </w:rPr>
        <w:t xml:space="preserve">ostatné demografické údaje ako vek, telesná hmotnosť a index telesnej hmotnosti klinicky významný </w:t>
      </w:r>
    </w:p>
    <w:p w:rsidR="00AE0328" w:rsidRPr="00A17653" w:rsidRDefault="00AE0328" w:rsidP="00A17653">
      <w:pPr>
        <w:widowControl w:val="0"/>
        <w:spacing w:after="0" w:line="240" w:lineRule="auto"/>
        <w:rPr>
          <w:rFonts w:ascii="Times New Roman" w:hAnsi="Times New Roman"/>
        </w:rPr>
      </w:pPr>
      <w:r w:rsidRPr="00A17653">
        <w:rPr>
          <w:rFonts w:ascii="Times New Roman" w:hAnsi="Times New Roman"/>
        </w:rPr>
        <w:t xml:space="preserve">účinok na expozíciu imatinibu. Analýza potvrdila, že expozícia imatinibu u pediatrických pacientov </w:t>
      </w:r>
    </w:p>
    <w:p w:rsidR="00AE0328" w:rsidRPr="00A17653" w:rsidRDefault="00AE0328" w:rsidP="00A17653">
      <w:pPr>
        <w:widowControl w:val="0"/>
        <w:spacing w:after="0" w:line="240" w:lineRule="auto"/>
        <w:rPr>
          <w:rFonts w:ascii="Times New Roman" w:hAnsi="Times New Roman"/>
        </w:rPr>
      </w:pPr>
      <w:r w:rsidRPr="00A17653">
        <w:rPr>
          <w:rFonts w:ascii="Times New Roman" w:hAnsi="Times New Roman"/>
        </w:rPr>
        <w:t>dostávajúcich dávku 260 mg/m</w:t>
      </w:r>
      <w:r w:rsidRPr="00A17653">
        <w:rPr>
          <w:rFonts w:ascii="Times New Roman" w:hAnsi="Times New Roman"/>
          <w:vertAlign w:val="superscript"/>
        </w:rPr>
        <w:t>2</w:t>
      </w:r>
      <w:r w:rsidRPr="00A17653">
        <w:rPr>
          <w:rFonts w:ascii="Times New Roman" w:hAnsi="Times New Roman"/>
        </w:rPr>
        <w:t xml:space="preserve"> raz denne (neprekračujúc dávku 400 mg raz denne) alebo 340 mg/m</w:t>
      </w:r>
      <w:r w:rsidRPr="00A17653">
        <w:rPr>
          <w:rFonts w:ascii="Times New Roman" w:hAnsi="Times New Roman"/>
          <w:vertAlign w:val="superscript"/>
        </w:rPr>
        <w:t>2</w:t>
      </w:r>
    </w:p>
    <w:p w:rsidR="00AE0328" w:rsidRPr="00A17653" w:rsidRDefault="00AE0328" w:rsidP="00A17653">
      <w:pPr>
        <w:widowControl w:val="0"/>
        <w:spacing w:after="0" w:line="240" w:lineRule="auto"/>
        <w:rPr>
          <w:rFonts w:ascii="Times New Roman" w:hAnsi="Times New Roman"/>
        </w:rPr>
      </w:pPr>
      <w:r w:rsidRPr="00A17653">
        <w:rPr>
          <w:rFonts w:ascii="Times New Roman" w:hAnsi="Times New Roman"/>
        </w:rPr>
        <w:t xml:space="preserve">raz denne (neprekračujúc dávku 600 mg raz denne) bola podobná ako u dospelých pacientov </w:t>
      </w:r>
    </w:p>
    <w:p w:rsidR="00EC32A3" w:rsidRPr="00A17653" w:rsidRDefault="00AE0328" w:rsidP="00A17653">
      <w:pPr>
        <w:widowControl w:val="0"/>
        <w:spacing w:after="0" w:line="240" w:lineRule="auto"/>
        <w:rPr>
          <w:rFonts w:ascii="Times New Roman" w:hAnsi="Times New Roman"/>
        </w:rPr>
      </w:pPr>
      <w:r w:rsidRPr="00A17653">
        <w:rPr>
          <w:rFonts w:ascii="Times New Roman" w:hAnsi="Times New Roman"/>
        </w:rPr>
        <w:t>dostávajúcich dávky imatinibu 400 mg alebo 600 mg raz denne.</w:t>
      </w:r>
    </w:p>
    <w:p w:rsidR="00AE0328" w:rsidRPr="00A17653" w:rsidRDefault="00AE0328"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u w:val="single"/>
        </w:rPr>
      </w:pPr>
      <w:r w:rsidRPr="00A17653">
        <w:rPr>
          <w:rFonts w:ascii="Times New Roman" w:hAnsi="Times New Roman"/>
          <w:u w:val="single"/>
        </w:rPr>
        <w:t>Zhoršenie funkcie orgánov</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a jeho metabolity sa nevylučujú vo významnom rozsahu obličkami. U pacientov s ľahkým 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stredne ťažkým zhoršením funkcie obličiek sa plazmatická expozícia zdá byť vyššia ako u pacientov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 normálnou funkciou obličiek. Zvýšenie je približne 1,5- až 2-násobné, čo zodpovedá 1,5-násobnému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zvýšeniu plazmatického AGP, na ktorý sa imatinib pevne viaže. Klírens imatinibu ako voľného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liečiva je pravdepodobne podobný u pacientov so zhoršenou funkciou obličiek a normálnou funkciou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obličiek, pretože vylučovanie obličkami predstavuje pri imatinibe len menej významnú dráhu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eliminácie (pozri časti 4.2 a 4.4).</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Hoci výsledky farmakokinetickej analýzy ukázali, že medzi jedincami je značná variabilita, priemerná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expozícia imatinibu sa nezvýšila u pacientov s rôznym stupňom poruchy funkcie pečene v porovnaní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s pacientmi s normálnou funkciou pečene (pozri časti 4.2, 4.4 a 4.8).</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5.3</w:t>
      </w:r>
      <w:r w:rsidRPr="00A17653">
        <w:rPr>
          <w:rFonts w:ascii="Times New Roman" w:hAnsi="Times New Roman"/>
          <w:b/>
        </w:rPr>
        <w:tab/>
        <w:t>Predklinické údaje o bezpečnosti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Profil predklinickej bezpečnosti imatinibu sa stanovil na potkanoch, psoch, opiciach a králikoch.</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Štúdie toxicity po opakovanom podávaní u potkanov, psov a opíc ukázali malé až stredne veľké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hematologické zmeny, ktoré sprevádzali zmeny kostnej drene u potkanov a psov.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Pečeň bola cieľovým orgánom u potkanov a psov. Mierne až stredne veľké zvýšenie aminotransferáz 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malý pokles hladín cholesterolu, triacylglycerolov, celkových bielkovín a albumínu sa pozorovali 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oboch druhov zvierat. V pečeni potkanov sa nezistili žiadne histopatologické zmeny. Prejavy závažnej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toxicity sa pozorovali v pečeni psov, ktoré dostávali imatinib počas 2 týždňov, a u ktorých došlo k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zvýšeniu pečeňových enzýmov, hepatocelulárnej nekróze, nekróze žlčových ciest a hyperplázii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žlčových ciest.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Toxicita pre obličky sa pozorovala u opíc, ktoré dostávali imatinib počas 2 týždňov a u ktorých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vznikla ložisková mineralizácia, rozšírenie obličkových tubulov a tubulárna nefróza. Zvýšenie dusíka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močoviny v krvi (BUN) a kreatinínu sa pozorovalo u niekoľkých zvierat. Hyperplázia prechodného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epitelu v obličkovej papile a v močovom mechúre bez zmien biochemických ukazovateľov v sére 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moči sa pozorovala u potkanov, ktoré dostávali dávky ≥ 6 mg/kg v štúdii trvajúcej 13 týždňov. Pri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chronickom podávaní imatinibu sa pozoroval zvýšený výskyt oportúnnych infekcií.</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štúdii na opiciach trvajúcej 39 týždňov sa nezistila NOAEL (hladina bez pozorovaných nežiaducich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účinkov) ani pri najnižšej dávke 15 mg/kg, čo je približne jedna tretina maximálnej dávky 800 mg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ľudí, prepočítanej na povrch tela. Liečba mala za následok zhoršenie normálne potlačených infekcií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malárie u týchto zvierat.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sa nepovažoval za genotoxický pri skúšaní in vitro na bakteriálnych bunkách (Amesov test),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in vitro na cicavčích bunkách (myšací lymfóm) a in vivo na potkaních mikronukleoch. Pozitívne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genotoxické účinky imatinibu sa pozorovali pri jednom skúšaní in vitro na cicavčích bunkách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(ovárium čínskeho škrečka), pri ktorom sa zistila klastogenita (chromozómová aberácia) po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metabolickej aktivácii. Dva medziprodukty z výrobného procesu, ktoré sú prítomné aj v lieku, majú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mutagénne účinky v Amesovom teste. Jeden z týchto medziproduktov bol pozitívny aj v teste na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myšacom lymfóme.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štúdii fertility sa po podávaní potkaním samcom počas 70 dní pred párením znížila hmotnosť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semenníkov a nadsemenníkov a podiel pohyblivých spermií pri dávke 60 mg/kg, čo sa približne rovná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maximálnej klinickej dávke 800 mg/deň, prepočítanej na povrch tela. Toto sa nepozorovalo pri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dávkach ≤ 20 mg/kg. Malý až stredne veľký pokles spermatogenézy sa tiež pozoroval u psov pri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perorálnych dávkach ≥ 30 mg/kg. Keď sa potkaním samiciam podával imatinib počas 14 dní pred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párením a potom až do 6. dňa gravidity, neovplyvnilo to párenie, ani počet gravidných samíc. Pri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dávke 60 mg/kg u potkaních samíc došlo k významnej poimplantačnej strate plodov a k zníženiu počtu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živých plodov. Toto sa nepozorovalo pri dávkach ≤ 20 mg/kg.</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štúdii pre- a postnatálneho vývoja potkanov sa pri perorálnom podávaní v skupine dávky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45 mg/kg/deň pozoroval červený vaginálny výtok buď na 14., alebo na 15. deň gravidity. Pri tejto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dávke sa zvýšil počet mŕtvonarodených mláďat, ako aj úmrtí mláďat v dňoch 0 až 4 po pôrode. 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potomkov F1 bola pri tejto hladine dávok nižšia priemerná telesná hmotnosť od narodenia až po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utratenie zvierat a počet mláďat, ktoré splnili kritérium oddelenia predkožky, sa mierne znížil.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Plodnosť u F1 nebola ovplyvnená, ale pri dávke 45 mg/kg/deň sa pozoroval zvýšený počet resorpcií 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znížený počet životaschopných plodov. Hladina bez pozorovaných účinkov (NOEL) u matiek aj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generácie F1 bola 15 mg/kg/deň (štvrtina maximálnej dávky u ľudí, ktorá je 800 mg).</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bol teratogénny u potkanov, keď sa podával počas organogenézy v dávkach ≥ 100 mg/kg, čo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 xml:space="preserve">sa približne rovná maximálnej klinickej dávke 800 mg/deň, prepočítanej na povrch tela. Teratogénne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účinky zahŕňali exencefáliu alebo encefalokélu a neprítomnosť alebo zmenšenie frontálnych 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neprítomnosť parietálnych kostí. Tieto účinky sa nezistili pri dávkach ≤ 30 mg/kg.</w:t>
      </w:r>
    </w:p>
    <w:p w:rsidR="001149BD" w:rsidRPr="00A17653" w:rsidRDefault="001149BD" w:rsidP="00A17653">
      <w:pPr>
        <w:widowControl w:val="0"/>
        <w:spacing w:after="0" w:line="240" w:lineRule="auto"/>
        <w:rPr>
          <w:rFonts w:ascii="Times New Roman" w:hAnsi="Times New Roman"/>
        </w:rPr>
      </w:pP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V toxikologickej vývojovej štúdii u juvenilných potkanov neboli zistené žiadne nové cieľové orgány</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(deň 10 až 70 postpartum) s ohľadom na už známe cieľové orgány u dospelých potkanov. V tejto</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štúdii bol pri dávkach 0,3- až 2-násobne vyšších, ako je priemerná expozícia u detí pri najvyššej</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odporúčanej dávke 340 mg/m</w:t>
      </w:r>
      <w:r w:rsidRPr="00A17653">
        <w:rPr>
          <w:rFonts w:ascii="Times New Roman" w:hAnsi="Times New Roman"/>
          <w:vertAlign w:val="superscript"/>
        </w:rPr>
        <w:t>2</w:t>
      </w:r>
      <w:r w:rsidRPr="00A17653">
        <w:rPr>
          <w:rFonts w:ascii="Times New Roman" w:hAnsi="Times New Roman"/>
        </w:rPr>
        <w:t xml:space="preserve"> , zaznamenaný vplyv na rast, oneskorený vývin vaginálneho otvoru a</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separácie predkožky. Pri dávkach zhruba 2-násobne vyšších, ako je priemerná expozícia u detí pri</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najvyššej odporúčanej dávke 340 mg/m</w:t>
      </w:r>
      <w:r w:rsidRPr="00A17653">
        <w:rPr>
          <w:rFonts w:ascii="Times New Roman" w:hAnsi="Times New Roman"/>
          <w:vertAlign w:val="superscript"/>
        </w:rPr>
        <w:t>2</w:t>
      </w:r>
      <w:r w:rsidRPr="00A17653">
        <w:rPr>
          <w:rFonts w:ascii="Times New Roman" w:hAnsi="Times New Roman"/>
        </w:rPr>
        <w:t>, bola okrem toho zaznamenaná u mláďat mortalita (približne</w:t>
      </w:r>
    </w:p>
    <w:p w:rsidR="00EC32A3" w:rsidRPr="00A17653" w:rsidRDefault="001149BD" w:rsidP="00A17653">
      <w:pPr>
        <w:widowControl w:val="0"/>
        <w:spacing w:after="0" w:line="240" w:lineRule="auto"/>
        <w:rPr>
          <w:rFonts w:ascii="Times New Roman" w:hAnsi="Times New Roman"/>
        </w:rPr>
      </w:pPr>
      <w:r w:rsidRPr="00A17653">
        <w:rPr>
          <w:rFonts w:ascii="Times New Roman" w:hAnsi="Times New Roman"/>
        </w:rPr>
        <w:t>v období odstavenia mláďat).</w:t>
      </w:r>
    </w:p>
    <w:p w:rsidR="001149BD" w:rsidRPr="00A17653" w:rsidRDefault="001149BD"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štúdii karcinogenity na potkanoch, trvajúcej 2 roky, malo podávanie imatinibu v dávkach 15, 30 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60 mg/kg/deň za následok štatisticky významné skrátenie života u samcov pri 60 mg/kg/deň a u samíc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 ≥ 30 mg/kg/deň. Histopatologické vyšetrenie potomstva ukázalo kardiomyopatiu (obe pohlavia),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chronickú progresívnu nefropatiu (samice) a papilóm predkožkovej žľazy ako hlavné príčiny smrti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alebo dôvody na utratenie. Cieľovými orgánmi pre neoplastické zmeny boli obličky, močový mechúr,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uretra, predkožková a klitorisová žľaza, tenké črevo, prištítne telieska, nadobličky a bezžľazová časť</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žalúdka.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Papilómy/karcinómy predkožkovej/klitorisovej žľazy sa pozorovali pri dávkach 30 mg/kg/deň</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 vyšších, čo predstavuje približne 0,5- alebo 0,3-násobok dennej expozície u ľudí (založenej na AUC)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 400 mg/deň alebo 800 mg/deň, a 0,4-násobok dennej expozície u detí (založenej na AUC) pri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340 mg/m</w:t>
      </w:r>
      <w:r w:rsidRPr="00A17653">
        <w:rPr>
          <w:rFonts w:ascii="Times New Roman" w:hAnsi="Times New Roman"/>
          <w:vertAlign w:val="superscript"/>
        </w:rPr>
        <w:t>2</w:t>
      </w:r>
      <w:r w:rsidRPr="00A17653">
        <w:rPr>
          <w:rFonts w:ascii="Times New Roman" w:hAnsi="Times New Roman"/>
        </w:rPr>
        <w:t xml:space="preserve">/deň. Hladina bez pozorovaných účinkov (NOEL) bola 15 mg/kg/deň. Adenóm/karcinóm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obličiek, papilóm močového mechúra a uretry, adenokarcinómy tenkého čreva, adenómy prištítnych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teliesok, benígne a malígne nádory drene nadobličiek a papilómy/karcinómy bezžľazovej časti žalúdka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sa zaznamenali pri 60 mg/kg/deň, čo predstavuje približne 1,7- alebo 1-násobok dennej expozície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ľudí (založenej na AUC) pri 400 mg/deň alebo 800 mg/deň a 1,2-násobok dennej expozície u detí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(založenej na AUC) pri 340 mg/m</w:t>
      </w:r>
      <w:r w:rsidRPr="00A17653">
        <w:rPr>
          <w:rFonts w:ascii="Times New Roman" w:hAnsi="Times New Roman"/>
          <w:vertAlign w:val="superscript"/>
        </w:rPr>
        <w:t>2</w:t>
      </w:r>
      <w:r w:rsidRPr="00A17653">
        <w:rPr>
          <w:rFonts w:ascii="Times New Roman" w:hAnsi="Times New Roman"/>
        </w:rPr>
        <w:t>/deň. Hladina bez pozorovaných účinkov (NOEL) bola 30 mg/kg/deň.</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Mechanizmus a významnosť týchto nálezov v štúdii karcinogenity na potkanoch nie sú ešte u ľudí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objasnené.</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Non-neoplastické lézie, ktoré sa nezistili v predchádzajúcich predklinických štúdiách, boli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kardiovaskulárnom systéme, pankrease, endokrinných orgánoch a zuboch. Najdôležitejšie zmeny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zahŕňali hypertrofiu a dilatáciu srdca, ktoré viedli u niektorých zvierat k príznakom insuficiencie</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srdca.</w:t>
      </w:r>
    </w:p>
    <w:p w:rsidR="00AE0328" w:rsidRPr="00A17653" w:rsidRDefault="00AE0328" w:rsidP="00A17653">
      <w:pPr>
        <w:widowControl w:val="0"/>
        <w:spacing w:after="0" w:line="240" w:lineRule="auto"/>
        <w:rPr>
          <w:rFonts w:ascii="Times New Roman" w:hAnsi="Times New Roman"/>
        </w:rPr>
      </w:pPr>
    </w:p>
    <w:p w:rsidR="00EC32A3" w:rsidRPr="00A17653" w:rsidRDefault="00AE0328" w:rsidP="00A17653">
      <w:pPr>
        <w:widowControl w:val="0"/>
        <w:spacing w:after="0" w:line="240" w:lineRule="auto"/>
        <w:rPr>
          <w:rFonts w:ascii="Times New Roman" w:hAnsi="Times New Roman"/>
        </w:rPr>
      </w:pPr>
      <w:r w:rsidRPr="00A17653">
        <w:rPr>
          <w:rFonts w:ascii="Times New Roman" w:hAnsi="Times New Roman"/>
        </w:rPr>
        <w:t>Liečivo imatinib predstavuje pre organizmy žijúce v sedimentoch environmentálne riziko.</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6.</w:t>
      </w:r>
      <w:r w:rsidRPr="00A17653">
        <w:rPr>
          <w:rFonts w:ascii="Times New Roman" w:hAnsi="Times New Roman"/>
          <w:b/>
        </w:rPr>
        <w:tab/>
        <w:t>FARMACEUTICKÉ INFORMÁCIE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6.1</w:t>
      </w:r>
      <w:r w:rsidRPr="00A17653">
        <w:rPr>
          <w:rFonts w:ascii="Times New Roman" w:hAnsi="Times New Roman"/>
          <w:b/>
        </w:rPr>
        <w:tab/>
        <w:t>Zoznam pomocných látok</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Jadro tablety:</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Mikrokryštalická celulóza (E460)</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Nízko substituovaná hydroxypropylcelulóza (E463)</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Povidón (E1201)</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Krospovidón (typ A) (E1201)</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Koloidný oxid kremičitý bezvodý</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Magnéziumstearát (E572)</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Obal tablety:</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Hypromelóza (E464)</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Makrogol 400</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Mastenec (E553b)</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Červený oxid železitý (E172)</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Žltý oxid železitý (E172)</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6.2</w:t>
      </w:r>
      <w:r w:rsidRPr="00A17653">
        <w:rPr>
          <w:rFonts w:ascii="Times New Roman" w:hAnsi="Times New Roman"/>
          <w:b/>
        </w:rPr>
        <w:tab/>
        <w:t>Inkompatibility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Neaplikovateľné.</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6.3</w:t>
      </w:r>
      <w:r w:rsidRPr="00A17653">
        <w:rPr>
          <w:rFonts w:ascii="Times New Roman" w:hAnsi="Times New Roman"/>
          <w:b/>
        </w:rPr>
        <w:tab/>
        <w:t>Čas použiteľnosti</w:t>
      </w:r>
    </w:p>
    <w:p w:rsidR="00EC32A3" w:rsidRPr="00A17653" w:rsidRDefault="00EC32A3" w:rsidP="00A17653">
      <w:pPr>
        <w:widowControl w:val="0"/>
        <w:spacing w:after="0" w:line="240" w:lineRule="auto"/>
        <w:rPr>
          <w:rFonts w:ascii="Times New Roman" w:hAnsi="Times New Roman"/>
        </w:rPr>
      </w:pPr>
    </w:p>
    <w:p w:rsidR="00EC32A3" w:rsidRPr="00A17653" w:rsidRDefault="00457067" w:rsidP="00A17653">
      <w:pPr>
        <w:widowControl w:val="0"/>
        <w:spacing w:after="0" w:line="240" w:lineRule="auto"/>
        <w:rPr>
          <w:rFonts w:ascii="Times New Roman" w:hAnsi="Times New Roman"/>
        </w:rPr>
      </w:pPr>
      <w:r w:rsidRPr="00A17653">
        <w:rPr>
          <w:rFonts w:ascii="Times New Roman" w:hAnsi="Times New Roman"/>
        </w:rPr>
        <w:t xml:space="preserve">3 </w:t>
      </w:r>
      <w:r w:rsidR="00EC32A3" w:rsidRPr="00A17653">
        <w:rPr>
          <w:rFonts w:ascii="Times New Roman" w:hAnsi="Times New Roman"/>
        </w:rPr>
        <w:t>roky.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6.4</w:t>
      </w:r>
      <w:r w:rsidRPr="00A17653">
        <w:rPr>
          <w:rFonts w:ascii="Times New Roman" w:hAnsi="Times New Roman"/>
          <w:b/>
        </w:rPr>
        <w:tab/>
        <w:t>Špeciálne upozornenia na uchovávanie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Tento liek nevyžaduje žiadne zvláštne podmienky na uchovávanie.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6.5</w:t>
      </w:r>
      <w:r w:rsidRPr="00A17653">
        <w:rPr>
          <w:rFonts w:ascii="Times New Roman" w:hAnsi="Times New Roman"/>
          <w:b/>
        </w:rPr>
        <w:tab/>
        <w:t>Druh obalu a obsah balenia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PVC/PE/PVDC/hliníkové blistre.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Balenie obsahuje 20,30, 50, 60, 90, 100, 120 alebo 180 filmom obalených tabliet.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Nie všetky veľkosti balenia musia byť uvedené na trh.</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6.6</w:t>
      </w:r>
      <w:r w:rsidRPr="00A17653">
        <w:rPr>
          <w:rFonts w:ascii="Times New Roman" w:hAnsi="Times New Roman"/>
          <w:b/>
        </w:rPr>
        <w:tab/>
        <w:t>Špeciálne opatrenia na likvidáciu</w:t>
      </w:r>
    </w:p>
    <w:p w:rsidR="00EC32A3" w:rsidRPr="00A17653" w:rsidRDefault="00EC32A3" w:rsidP="00A17653">
      <w:pPr>
        <w:widowControl w:val="0"/>
        <w:spacing w:after="0" w:line="240" w:lineRule="auto"/>
        <w:rPr>
          <w:rFonts w:ascii="Times New Roman" w:hAnsi="Times New Roman"/>
        </w:rPr>
      </w:pPr>
    </w:p>
    <w:p w:rsidR="00755F4D" w:rsidRPr="00A17653" w:rsidRDefault="00755F4D" w:rsidP="00A17653">
      <w:pPr>
        <w:pStyle w:val="Odsekzoznamu"/>
        <w:spacing w:after="0" w:line="240" w:lineRule="auto"/>
        <w:ind w:left="0"/>
        <w:rPr>
          <w:rFonts w:ascii="Times New Roman" w:hAnsi="Times New Roman"/>
        </w:rPr>
      </w:pPr>
      <w:r w:rsidRPr="00A17653">
        <w:rPr>
          <w:rFonts w:ascii="Times New Roman" w:hAnsi="Times New Roman"/>
        </w:rPr>
        <w:t>Všetok nepoužitý liek alebo odpad vzniknutý z lieku má byť zlikvidovaný v súlade s národnými požiadavkami.</w:t>
      </w:r>
    </w:p>
    <w:p w:rsidR="00EC32A3" w:rsidRPr="00A17653" w:rsidRDefault="00EC32A3" w:rsidP="00A17653">
      <w:pPr>
        <w:widowControl w:val="0"/>
        <w:spacing w:after="0" w:line="240" w:lineRule="auto"/>
        <w:rPr>
          <w:rFonts w:ascii="Times New Roman" w:hAnsi="Times New Roman"/>
        </w:rPr>
      </w:pPr>
    </w:p>
    <w:p w:rsidR="00755F4D" w:rsidRPr="00A17653" w:rsidRDefault="00755F4D"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7.</w:t>
      </w:r>
      <w:r w:rsidRPr="00A17653">
        <w:rPr>
          <w:rFonts w:ascii="Times New Roman" w:hAnsi="Times New Roman"/>
          <w:b/>
        </w:rPr>
        <w:tab/>
        <w:t>DRŽITEĽ ROZHODNUTIA O REGISTRÁCII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Glenmark Pharmaceuticals s.r.o., Hvězdova 1716/2b, 140 78 Praha 4, Česká republika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8.</w:t>
      </w:r>
      <w:r w:rsidRPr="00A17653">
        <w:rPr>
          <w:rFonts w:ascii="Times New Roman" w:hAnsi="Times New Roman"/>
          <w:b/>
        </w:rPr>
        <w:tab/>
        <w:t>REGISTRAČNÉ ČÍSLO</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44/0027/13-S</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9.</w:t>
      </w:r>
      <w:r w:rsidRPr="00A17653">
        <w:rPr>
          <w:rFonts w:ascii="Times New Roman" w:hAnsi="Times New Roman"/>
          <w:b/>
        </w:rPr>
        <w:tab/>
        <w:t>DÁTUM PRVEJ REGISTRÁCIE / PREDĹŽENIA REGISTRÁCIE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Dátum prvej registrácie: 30.</w:t>
      </w:r>
      <w:r w:rsidR="00755F4D" w:rsidRPr="00A17653">
        <w:rPr>
          <w:rFonts w:ascii="Times New Roman" w:hAnsi="Times New Roman"/>
        </w:rPr>
        <w:t xml:space="preserve">januára </w:t>
      </w:r>
      <w:r w:rsidR="007463E7" w:rsidRPr="00A17653">
        <w:rPr>
          <w:rFonts w:ascii="Times New Roman" w:hAnsi="Times New Roman"/>
        </w:rPr>
        <w:t>2013</w:t>
      </w:r>
    </w:p>
    <w:p w:rsidR="00F40CFB" w:rsidRPr="006D39B8" w:rsidRDefault="00F40CFB" w:rsidP="00F40CFB">
      <w:pPr>
        <w:widowControl w:val="0"/>
        <w:spacing w:after="0" w:line="240" w:lineRule="auto"/>
        <w:rPr>
          <w:rFonts w:ascii="Times New Roman" w:hAnsi="Times New Roman"/>
        </w:rPr>
      </w:pPr>
      <w:r>
        <w:rPr>
          <w:rFonts w:ascii="Times New Roman" w:hAnsi="Times New Roman"/>
        </w:rPr>
        <w:t xml:space="preserve">Dátum posledného predĺženia registrácie: </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10.</w:t>
      </w:r>
      <w:r w:rsidRPr="00A17653">
        <w:rPr>
          <w:rFonts w:ascii="Times New Roman" w:hAnsi="Times New Roman"/>
          <w:b/>
        </w:rPr>
        <w:tab/>
        <w:t>DÁTUM REVÍZIE TEXTU</w:t>
      </w:r>
    </w:p>
    <w:p w:rsidR="00EC32A3" w:rsidRPr="00A17653" w:rsidRDefault="00EC32A3" w:rsidP="00A17653">
      <w:pPr>
        <w:widowControl w:val="0"/>
        <w:spacing w:after="0" w:line="240" w:lineRule="auto"/>
        <w:ind w:left="567" w:hanging="567"/>
        <w:rPr>
          <w:rFonts w:ascii="Times New Roman" w:hAnsi="Times New Roman"/>
        </w:rPr>
      </w:pPr>
    </w:p>
    <w:p w:rsidR="00EC32A3" w:rsidRPr="00A17653" w:rsidRDefault="00A17653" w:rsidP="00A17653">
      <w:pPr>
        <w:widowControl w:val="0"/>
        <w:spacing w:after="0" w:line="240" w:lineRule="auto"/>
        <w:ind w:left="567" w:hanging="567"/>
        <w:rPr>
          <w:rFonts w:ascii="Times New Roman" w:hAnsi="Times New Roman"/>
        </w:rPr>
      </w:pPr>
      <w:r w:rsidRPr="00A17653">
        <w:rPr>
          <w:rFonts w:ascii="Times New Roman" w:hAnsi="Times New Roman"/>
        </w:rPr>
        <w:t xml:space="preserve">Máj </w:t>
      </w:r>
      <w:r w:rsidR="00F40CFB" w:rsidRPr="00A17653">
        <w:rPr>
          <w:rFonts w:ascii="Times New Roman" w:hAnsi="Times New Roman"/>
        </w:rPr>
        <w:t>201</w:t>
      </w:r>
      <w:r w:rsidR="00F40CFB">
        <w:rPr>
          <w:rFonts w:ascii="Times New Roman" w:hAnsi="Times New Roman"/>
        </w:rPr>
        <w:t>8</w:t>
      </w:r>
    </w:p>
    <w:sectPr w:rsidR="00EC32A3" w:rsidRPr="00A17653" w:rsidSect="00A473D4">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C7D" w:rsidRDefault="00BF3C7D" w:rsidP="00A473D4">
      <w:pPr>
        <w:spacing w:after="0" w:line="240" w:lineRule="auto"/>
      </w:pPr>
      <w:r>
        <w:separator/>
      </w:r>
    </w:p>
  </w:endnote>
  <w:endnote w:type="continuationSeparator" w:id="0">
    <w:p w:rsidR="00BF3C7D" w:rsidRDefault="00BF3C7D" w:rsidP="00A4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818962"/>
      <w:docPartObj>
        <w:docPartGallery w:val="Page Numbers (Bottom of Page)"/>
        <w:docPartUnique/>
      </w:docPartObj>
    </w:sdtPr>
    <w:sdtEndPr>
      <w:rPr>
        <w:rFonts w:ascii="Times New Roman" w:hAnsi="Times New Roman"/>
        <w:sz w:val="18"/>
        <w:szCs w:val="18"/>
      </w:rPr>
    </w:sdtEndPr>
    <w:sdtContent>
      <w:p w:rsidR="003245DD" w:rsidRPr="007463E7" w:rsidRDefault="003245DD">
        <w:pPr>
          <w:pStyle w:val="Pta"/>
          <w:jc w:val="center"/>
          <w:rPr>
            <w:rFonts w:ascii="Times New Roman" w:hAnsi="Times New Roman"/>
            <w:sz w:val="18"/>
            <w:szCs w:val="18"/>
          </w:rPr>
        </w:pPr>
        <w:r w:rsidRPr="007463E7">
          <w:rPr>
            <w:rFonts w:ascii="Times New Roman" w:hAnsi="Times New Roman"/>
            <w:sz w:val="18"/>
            <w:szCs w:val="18"/>
          </w:rPr>
          <w:fldChar w:fldCharType="begin"/>
        </w:r>
        <w:r w:rsidRPr="007463E7">
          <w:rPr>
            <w:rFonts w:ascii="Times New Roman" w:hAnsi="Times New Roman"/>
            <w:sz w:val="18"/>
            <w:szCs w:val="18"/>
          </w:rPr>
          <w:instrText>PAGE   \* MERGEFORMAT</w:instrText>
        </w:r>
        <w:r w:rsidRPr="007463E7">
          <w:rPr>
            <w:rFonts w:ascii="Times New Roman" w:hAnsi="Times New Roman"/>
            <w:sz w:val="18"/>
            <w:szCs w:val="18"/>
          </w:rPr>
          <w:fldChar w:fldCharType="separate"/>
        </w:r>
        <w:r w:rsidR="00F6423F">
          <w:rPr>
            <w:rFonts w:ascii="Times New Roman" w:hAnsi="Times New Roman"/>
            <w:noProof/>
            <w:sz w:val="18"/>
            <w:szCs w:val="18"/>
          </w:rPr>
          <w:t>2</w:t>
        </w:r>
        <w:r w:rsidRPr="007463E7">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364172508"/>
      <w:docPartObj>
        <w:docPartGallery w:val="Page Numbers (Bottom of Page)"/>
        <w:docPartUnique/>
      </w:docPartObj>
    </w:sdtPr>
    <w:sdtEndPr>
      <w:rPr>
        <w:sz w:val="16"/>
        <w:szCs w:val="16"/>
      </w:rPr>
    </w:sdtEndPr>
    <w:sdtContent>
      <w:p w:rsidR="00C54B72" w:rsidRPr="00C54B72" w:rsidRDefault="00C54B72">
        <w:pPr>
          <w:pStyle w:val="Pta"/>
          <w:jc w:val="center"/>
          <w:rPr>
            <w:rFonts w:ascii="Times New Roman" w:hAnsi="Times New Roman"/>
            <w:sz w:val="16"/>
            <w:szCs w:val="16"/>
          </w:rPr>
        </w:pPr>
        <w:r w:rsidRPr="00C54B72">
          <w:rPr>
            <w:rFonts w:ascii="Times New Roman" w:hAnsi="Times New Roman"/>
            <w:sz w:val="16"/>
            <w:szCs w:val="16"/>
          </w:rPr>
          <w:fldChar w:fldCharType="begin"/>
        </w:r>
        <w:r w:rsidRPr="00C54B72">
          <w:rPr>
            <w:rFonts w:ascii="Times New Roman" w:hAnsi="Times New Roman"/>
            <w:sz w:val="16"/>
            <w:szCs w:val="16"/>
          </w:rPr>
          <w:instrText>PAGE   \* MERGEFORMAT</w:instrText>
        </w:r>
        <w:r w:rsidRPr="00C54B72">
          <w:rPr>
            <w:rFonts w:ascii="Times New Roman" w:hAnsi="Times New Roman"/>
            <w:sz w:val="16"/>
            <w:szCs w:val="16"/>
          </w:rPr>
          <w:fldChar w:fldCharType="separate"/>
        </w:r>
        <w:r w:rsidR="00F6423F">
          <w:rPr>
            <w:rFonts w:ascii="Times New Roman" w:hAnsi="Times New Roman"/>
            <w:noProof/>
            <w:sz w:val="16"/>
            <w:szCs w:val="16"/>
          </w:rPr>
          <w:t>1</w:t>
        </w:r>
        <w:r w:rsidRPr="00C54B72">
          <w:rPr>
            <w:rFonts w:ascii="Times New Roman" w:hAnsi="Times New Roman"/>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C7D" w:rsidRDefault="00BF3C7D" w:rsidP="00A473D4">
      <w:pPr>
        <w:spacing w:after="0" w:line="240" w:lineRule="auto"/>
      </w:pPr>
      <w:r>
        <w:separator/>
      </w:r>
    </w:p>
  </w:footnote>
  <w:footnote w:type="continuationSeparator" w:id="0">
    <w:p w:rsidR="00BF3C7D" w:rsidRDefault="00BF3C7D" w:rsidP="00A47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5DD" w:rsidRPr="007601F2" w:rsidRDefault="00F40CFB" w:rsidP="00CD0C78">
    <w:pPr>
      <w:pStyle w:val="Hlavika"/>
    </w:pPr>
    <w:r w:rsidRPr="00EF7F41">
      <w:rPr>
        <w:rFonts w:ascii="Times New Roman" w:hAnsi="Times New Roman"/>
        <w:sz w:val="18"/>
        <w:szCs w:val="18"/>
      </w:rPr>
      <w:t>Schválený text k rozhodnutiu o predĺžení, ev. č.: 2017/01939-PRE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4.25pt" o:bullet="t">
        <v:imagedata r:id="rId1" o:title="clip_image001"/>
      </v:shape>
    </w:pict>
  </w:numPicBullet>
  <w:abstractNum w:abstractNumId="0" w15:restartNumberingAfterBreak="0">
    <w:nsid w:val="08BA0221"/>
    <w:multiLevelType w:val="hybridMultilevel"/>
    <w:tmpl w:val="72884A9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E0C1AEE"/>
    <w:multiLevelType w:val="hybridMultilevel"/>
    <w:tmpl w:val="2BB8A44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04439E4"/>
    <w:multiLevelType w:val="hybridMultilevel"/>
    <w:tmpl w:val="E78A58A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9B57754"/>
    <w:multiLevelType w:val="hybridMultilevel"/>
    <w:tmpl w:val="D5A0D390"/>
    <w:lvl w:ilvl="0" w:tplc="B262FC2C">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FA2ED8"/>
    <w:multiLevelType w:val="hybridMultilevel"/>
    <w:tmpl w:val="31E6BDA6"/>
    <w:lvl w:ilvl="0" w:tplc="3A0EA2B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2083451"/>
    <w:multiLevelType w:val="hybridMultilevel"/>
    <w:tmpl w:val="016E1D94"/>
    <w:lvl w:ilvl="0" w:tplc="2E1064DC">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426043A"/>
    <w:multiLevelType w:val="hybridMultilevel"/>
    <w:tmpl w:val="A608101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80F78E3"/>
    <w:multiLevelType w:val="hybridMultilevel"/>
    <w:tmpl w:val="CAB664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9F379BC"/>
    <w:multiLevelType w:val="hybridMultilevel"/>
    <w:tmpl w:val="67BE3FEC"/>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AF47AB3"/>
    <w:multiLevelType w:val="hybridMultilevel"/>
    <w:tmpl w:val="3FD652E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B103D33"/>
    <w:multiLevelType w:val="hybridMultilevel"/>
    <w:tmpl w:val="D24C508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F4D4E50"/>
    <w:multiLevelType w:val="hybridMultilevel"/>
    <w:tmpl w:val="3E56E294"/>
    <w:lvl w:ilvl="0" w:tplc="FE7208C8">
      <w:start w:val="1"/>
      <w:numFmt w:val="bullet"/>
      <w:lvlText w:val=""/>
      <w:lvlPicBulletId w:val="0"/>
      <w:lvlJc w:val="left"/>
      <w:pPr>
        <w:tabs>
          <w:tab w:val="num" w:pos="720"/>
        </w:tabs>
        <w:ind w:left="720" w:hanging="360"/>
      </w:pPr>
      <w:rPr>
        <w:rFonts w:ascii="Symbol" w:hAnsi="Symbol" w:hint="default"/>
      </w:rPr>
    </w:lvl>
    <w:lvl w:ilvl="1" w:tplc="59CE94EC">
      <w:start w:val="1"/>
      <w:numFmt w:val="bullet"/>
      <w:lvlText w:val=""/>
      <w:lvlJc w:val="left"/>
      <w:pPr>
        <w:tabs>
          <w:tab w:val="num" w:pos="1440"/>
        </w:tabs>
        <w:ind w:left="1440" w:hanging="360"/>
      </w:pPr>
      <w:rPr>
        <w:rFonts w:ascii="Symbol" w:hAnsi="Symbol" w:hint="default"/>
      </w:rPr>
    </w:lvl>
    <w:lvl w:ilvl="2" w:tplc="B05E7B28">
      <w:start w:val="1"/>
      <w:numFmt w:val="bullet"/>
      <w:lvlText w:val=""/>
      <w:lvlJc w:val="left"/>
      <w:pPr>
        <w:tabs>
          <w:tab w:val="num" w:pos="2160"/>
        </w:tabs>
        <w:ind w:left="2160" w:hanging="360"/>
      </w:pPr>
      <w:rPr>
        <w:rFonts w:ascii="Symbol" w:hAnsi="Symbol" w:hint="default"/>
      </w:rPr>
    </w:lvl>
    <w:lvl w:ilvl="3" w:tplc="2DF44DE6">
      <w:start w:val="1"/>
      <w:numFmt w:val="bullet"/>
      <w:lvlText w:val=""/>
      <w:lvlJc w:val="left"/>
      <w:pPr>
        <w:tabs>
          <w:tab w:val="num" w:pos="2880"/>
        </w:tabs>
        <w:ind w:left="2880" w:hanging="360"/>
      </w:pPr>
      <w:rPr>
        <w:rFonts w:ascii="Symbol" w:hAnsi="Symbol" w:hint="default"/>
      </w:rPr>
    </w:lvl>
    <w:lvl w:ilvl="4" w:tplc="DAE649B2">
      <w:start w:val="1"/>
      <w:numFmt w:val="bullet"/>
      <w:lvlText w:val=""/>
      <w:lvlJc w:val="left"/>
      <w:pPr>
        <w:tabs>
          <w:tab w:val="num" w:pos="3600"/>
        </w:tabs>
        <w:ind w:left="3600" w:hanging="360"/>
      </w:pPr>
      <w:rPr>
        <w:rFonts w:ascii="Symbol" w:hAnsi="Symbol" w:hint="default"/>
      </w:rPr>
    </w:lvl>
    <w:lvl w:ilvl="5" w:tplc="A10CE07C">
      <w:start w:val="1"/>
      <w:numFmt w:val="bullet"/>
      <w:lvlText w:val=""/>
      <w:lvlJc w:val="left"/>
      <w:pPr>
        <w:tabs>
          <w:tab w:val="num" w:pos="4320"/>
        </w:tabs>
        <w:ind w:left="4320" w:hanging="360"/>
      </w:pPr>
      <w:rPr>
        <w:rFonts w:ascii="Symbol" w:hAnsi="Symbol" w:hint="default"/>
      </w:rPr>
    </w:lvl>
    <w:lvl w:ilvl="6" w:tplc="990CC7C4">
      <w:start w:val="1"/>
      <w:numFmt w:val="bullet"/>
      <w:lvlText w:val=""/>
      <w:lvlJc w:val="left"/>
      <w:pPr>
        <w:tabs>
          <w:tab w:val="num" w:pos="5040"/>
        </w:tabs>
        <w:ind w:left="5040" w:hanging="360"/>
      </w:pPr>
      <w:rPr>
        <w:rFonts w:ascii="Symbol" w:hAnsi="Symbol" w:hint="default"/>
      </w:rPr>
    </w:lvl>
    <w:lvl w:ilvl="7" w:tplc="62BE9D78">
      <w:start w:val="1"/>
      <w:numFmt w:val="bullet"/>
      <w:lvlText w:val=""/>
      <w:lvlJc w:val="left"/>
      <w:pPr>
        <w:tabs>
          <w:tab w:val="num" w:pos="5760"/>
        </w:tabs>
        <w:ind w:left="5760" w:hanging="360"/>
      </w:pPr>
      <w:rPr>
        <w:rFonts w:ascii="Symbol" w:hAnsi="Symbol" w:hint="default"/>
      </w:rPr>
    </w:lvl>
    <w:lvl w:ilvl="8" w:tplc="A3FEE8AA">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F8D6FE6"/>
    <w:multiLevelType w:val="hybridMultilevel"/>
    <w:tmpl w:val="5F0E06B0"/>
    <w:lvl w:ilvl="0" w:tplc="D250E1C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F31143"/>
    <w:multiLevelType w:val="hybridMultilevel"/>
    <w:tmpl w:val="B8C86FA0"/>
    <w:lvl w:ilvl="0" w:tplc="DCCACAFC">
      <w:start w:val="1"/>
      <w:numFmt w:val="decimal"/>
      <w:lvlText w:val="%1."/>
      <w:lvlJc w:val="left"/>
      <w:pPr>
        <w:ind w:left="456" w:hanging="360"/>
      </w:pPr>
      <w:rPr>
        <w:rFonts w:cs="Times New Roman" w:hint="default"/>
      </w:rPr>
    </w:lvl>
    <w:lvl w:ilvl="1" w:tplc="041B0019" w:tentative="1">
      <w:start w:val="1"/>
      <w:numFmt w:val="lowerLetter"/>
      <w:lvlText w:val="%2."/>
      <w:lvlJc w:val="left"/>
      <w:pPr>
        <w:ind w:left="1176" w:hanging="360"/>
      </w:pPr>
      <w:rPr>
        <w:rFonts w:cs="Times New Roman"/>
      </w:rPr>
    </w:lvl>
    <w:lvl w:ilvl="2" w:tplc="041B001B" w:tentative="1">
      <w:start w:val="1"/>
      <w:numFmt w:val="lowerRoman"/>
      <w:lvlText w:val="%3."/>
      <w:lvlJc w:val="right"/>
      <w:pPr>
        <w:ind w:left="1896" w:hanging="180"/>
      </w:pPr>
      <w:rPr>
        <w:rFonts w:cs="Times New Roman"/>
      </w:rPr>
    </w:lvl>
    <w:lvl w:ilvl="3" w:tplc="041B000F" w:tentative="1">
      <w:start w:val="1"/>
      <w:numFmt w:val="decimal"/>
      <w:lvlText w:val="%4."/>
      <w:lvlJc w:val="left"/>
      <w:pPr>
        <w:ind w:left="2616" w:hanging="360"/>
      </w:pPr>
      <w:rPr>
        <w:rFonts w:cs="Times New Roman"/>
      </w:rPr>
    </w:lvl>
    <w:lvl w:ilvl="4" w:tplc="041B0019" w:tentative="1">
      <w:start w:val="1"/>
      <w:numFmt w:val="lowerLetter"/>
      <w:lvlText w:val="%5."/>
      <w:lvlJc w:val="left"/>
      <w:pPr>
        <w:ind w:left="3336" w:hanging="360"/>
      </w:pPr>
      <w:rPr>
        <w:rFonts w:cs="Times New Roman"/>
      </w:rPr>
    </w:lvl>
    <w:lvl w:ilvl="5" w:tplc="041B001B" w:tentative="1">
      <w:start w:val="1"/>
      <w:numFmt w:val="lowerRoman"/>
      <w:lvlText w:val="%6."/>
      <w:lvlJc w:val="right"/>
      <w:pPr>
        <w:ind w:left="4056" w:hanging="180"/>
      </w:pPr>
      <w:rPr>
        <w:rFonts w:cs="Times New Roman"/>
      </w:rPr>
    </w:lvl>
    <w:lvl w:ilvl="6" w:tplc="041B000F" w:tentative="1">
      <w:start w:val="1"/>
      <w:numFmt w:val="decimal"/>
      <w:lvlText w:val="%7."/>
      <w:lvlJc w:val="left"/>
      <w:pPr>
        <w:ind w:left="4776" w:hanging="360"/>
      </w:pPr>
      <w:rPr>
        <w:rFonts w:cs="Times New Roman"/>
      </w:rPr>
    </w:lvl>
    <w:lvl w:ilvl="7" w:tplc="041B0019" w:tentative="1">
      <w:start w:val="1"/>
      <w:numFmt w:val="lowerLetter"/>
      <w:lvlText w:val="%8."/>
      <w:lvlJc w:val="left"/>
      <w:pPr>
        <w:ind w:left="5496" w:hanging="360"/>
      </w:pPr>
      <w:rPr>
        <w:rFonts w:cs="Times New Roman"/>
      </w:rPr>
    </w:lvl>
    <w:lvl w:ilvl="8" w:tplc="041B001B" w:tentative="1">
      <w:start w:val="1"/>
      <w:numFmt w:val="lowerRoman"/>
      <w:lvlText w:val="%9."/>
      <w:lvlJc w:val="right"/>
      <w:pPr>
        <w:ind w:left="6216" w:hanging="180"/>
      </w:pPr>
      <w:rPr>
        <w:rFonts w:cs="Times New Roman"/>
      </w:rPr>
    </w:lvl>
  </w:abstractNum>
  <w:abstractNum w:abstractNumId="14" w15:restartNumberingAfterBreak="0">
    <w:nsid w:val="41BE530E"/>
    <w:multiLevelType w:val="hybridMultilevel"/>
    <w:tmpl w:val="51C66B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7F705B4"/>
    <w:multiLevelType w:val="hybridMultilevel"/>
    <w:tmpl w:val="FDDC7148"/>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7076CA"/>
    <w:multiLevelType w:val="hybridMultilevel"/>
    <w:tmpl w:val="A038F888"/>
    <w:lvl w:ilvl="0" w:tplc="282ED5B4">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F7859A6"/>
    <w:multiLevelType w:val="hybridMultilevel"/>
    <w:tmpl w:val="6A1E8C50"/>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FA13FD4"/>
    <w:multiLevelType w:val="hybridMultilevel"/>
    <w:tmpl w:val="A01E464E"/>
    <w:lvl w:ilvl="0" w:tplc="89365104">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9" w15:restartNumberingAfterBreak="0">
    <w:nsid w:val="7BD20786"/>
    <w:multiLevelType w:val="hybridMultilevel"/>
    <w:tmpl w:val="508A0C7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7"/>
  </w:num>
  <w:num w:numId="2">
    <w:abstractNumId w:val="17"/>
  </w:num>
  <w:num w:numId="3">
    <w:abstractNumId w:val="5"/>
  </w:num>
  <w:num w:numId="4">
    <w:abstractNumId w:val="18"/>
  </w:num>
  <w:num w:numId="5">
    <w:abstractNumId w:val="6"/>
  </w:num>
  <w:num w:numId="6">
    <w:abstractNumId w:val="13"/>
  </w:num>
  <w:num w:numId="7">
    <w:abstractNumId w:val="15"/>
  </w:num>
  <w:num w:numId="8">
    <w:abstractNumId w:val="4"/>
  </w:num>
  <w:num w:numId="9">
    <w:abstractNumId w:val="8"/>
  </w:num>
  <w:num w:numId="10">
    <w:abstractNumId w:val="12"/>
  </w:num>
  <w:num w:numId="11">
    <w:abstractNumId w:val="16"/>
  </w:num>
  <w:num w:numId="12">
    <w:abstractNumId w:val="2"/>
  </w:num>
  <w:num w:numId="13">
    <w:abstractNumId w:val="1"/>
  </w:num>
  <w:num w:numId="14">
    <w:abstractNumId w:val="19"/>
  </w:num>
  <w:num w:numId="15">
    <w:abstractNumId w:val="0"/>
  </w:num>
  <w:num w:numId="16">
    <w:abstractNumId w:val="14"/>
  </w:num>
  <w:num w:numId="17">
    <w:abstractNumId w:val="9"/>
  </w:num>
  <w:num w:numId="18">
    <w:abstractNumId w:val="10"/>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E5"/>
    <w:rsid w:val="00031B49"/>
    <w:rsid w:val="000373BA"/>
    <w:rsid w:val="0005449C"/>
    <w:rsid w:val="00065BF5"/>
    <w:rsid w:val="0007315E"/>
    <w:rsid w:val="00077014"/>
    <w:rsid w:val="00077D60"/>
    <w:rsid w:val="00081907"/>
    <w:rsid w:val="00093031"/>
    <w:rsid w:val="000D3DA7"/>
    <w:rsid w:val="001149BD"/>
    <w:rsid w:val="00115ECA"/>
    <w:rsid w:val="00123A28"/>
    <w:rsid w:val="00125C34"/>
    <w:rsid w:val="00154389"/>
    <w:rsid w:val="00185EF3"/>
    <w:rsid w:val="00186386"/>
    <w:rsid w:val="00190F00"/>
    <w:rsid w:val="00194A35"/>
    <w:rsid w:val="001B2E08"/>
    <w:rsid w:val="001C43D9"/>
    <w:rsid w:val="001D3FC4"/>
    <w:rsid w:val="001D470C"/>
    <w:rsid w:val="001E2CA1"/>
    <w:rsid w:val="0022188A"/>
    <w:rsid w:val="00237FF3"/>
    <w:rsid w:val="00240943"/>
    <w:rsid w:val="00273A02"/>
    <w:rsid w:val="0028233B"/>
    <w:rsid w:val="002B0BD4"/>
    <w:rsid w:val="002C23D1"/>
    <w:rsid w:val="002D2D76"/>
    <w:rsid w:val="002E4AF3"/>
    <w:rsid w:val="003076C4"/>
    <w:rsid w:val="003136A4"/>
    <w:rsid w:val="0032368C"/>
    <w:rsid w:val="00323F09"/>
    <w:rsid w:val="003245DD"/>
    <w:rsid w:val="00330A3F"/>
    <w:rsid w:val="00340567"/>
    <w:rsid w:val="00340F18"/>
    <w:rsid w:val="003D6CA4"/>
    <w:rsid w:val="003E28AC"/>
    <w:rsid w:val="00406084"/>
    <w:rsid w:val="00413FD5"/>
    <w:rsid w:val="00425552"/>
    <w:rsid w:val="004326CD"/>
    <w:rsid w:val="0044318F"/>
    <w:rsid w:val="00443BBC"/>
    <w:rsid w:val="00454396"/>
    <w:rsid w:val="00457067"/>
    <w:rsid w:val="00485D45"/>
    <w:rsid w:val="004A6633"/>
    <w:rsid w:val="004C7C8E"/>
    <w:rsid w:val="004D2774"/>
    <w:rsid w:val="004D477A"/>
    <w:rsid w:val="004E4678"/>
    <w:rsid w:val="004F775C"/>
    <w:rsid w:val="00500B67"/>
    <w:rsid w:val="00501BE3"/>
    <w:rsid w:val="005168E8"/>
    <w:rsid w:val="005178F4"/>
    <w:rsid w:val="005354C7"/>
    <w:rsid w:val="00540505"/>
    <w:rsid w:val="005444AA"/>
    <w:rsid w:val="005617FC"/>
    <w:rsid w:val="005634B0"/>
    <w:rsid w:val="00574E66"/>
    <w:rsid w:val="00584A82"/>
    <w:rsid w:val="00593958"/>
    <w:rsid w:val="005B6984"/>
    <w:rsid w:val="005B6E9A"/>
    <w:rsid w:val="005D78C1"/>
    <w:rsid w:val="00624F50"/>
    <w:rsid w:val="00625354"/>
    <w:rsid w:val="00642974"/>
    <w:rsid w:val="006552C6"/>
    <w:rsid w:val="00657B41"/>
    <w:rsid w:val="006631CC"/>
    <w:rsid w:val="00676233"/>
    <w:rsid w:val="006A16F2"/>
    <w:rsid w:val="006E384D"/>
    <w:rsid w:val="006E5022"/>
    <w:rsid w:val="006F637A"/>
    <w:rsid w:val="007154D9"/>
    <w:rsid w:val="00731722"/>
    <w:rsid w:val="007369CD"/>
    <w:rsid w:val="007463E7"/>
    <w:rsid w:val="00754EE8"/>
    <w:rsid w:val="00755F4D"/>
    <w:rsid w:val="007601F2"/>
    <w:rsid w:val="00796D64"/>
    <w:rsid w:val="007B74AC"/>
    <w:rsid w:val="007D75C8"/>
    <w:rsid w:val="007F106C"/>
    <w:rsid w:val="007F6EA0"/>
    <w:rsid w:val="007F75CB"/>
    <w:rsid w:val="007F76E2"/>
    <w:rsid w:val="00806D83"/>
    <w:rsid w:val="00816E4F"/>
    <w:rsid w:val="008223E5"/>
    <w:rsid w:val="00825E23"/>
    <w:rsid w:val="00827529"/>
    <w:rsid w:val="00831C8A"/>
    <w:rsid w:val="00835878"/>
    <w:rsid w:val="00853D6E"/>
    <w:rsid w:val="00865607"/>
    <w:rsid w:val="00882F4A"/>
    <w:rsid w:val="0091227C"/>
    <w:rsid w:val="0092434B"/>
    <w:rsid w:val="00931E25"/>
    <w:rsid w:val="009362A1"/>
    <w:rsid w:val="00941BA1"/>
    <w:rsid w:val="00965569"/>
    <w:rsid w:val="00981197"/>
    <w:rsid w:val="009A4021"/>
    <w:rsid w:val="009A5CDD"/>
    <w:rsid w:val="009B0974"/>
    <w:rsid w:val="009B2484"/>
    <w:rsid w:val="009C48F0"/>
    <w:rsid w:val="009D4100"/>
    <w:rsid w:val="009E7985"/>
    <w:rsid w:val="009F479D"/>
    <w:rsid w:val="00A131EB"/>
    <w:rsid w:val="00A17653"/>
    <w:rsid w:val="00A473D4"/>
    <w:rsid w:val="00A60324"/>
    <w:rsid w:val="00A65FD4"/>
    <w:rsid w:val="00A7172D"/>
    <w:rsid w:val="00A74817"/>
    <w:rsid w:val="00A770B1"/>
    <w:rsid w:val="00A83920"/>
    <w:rsid w:val="00A9181B"/>
    <w:rsid w:val="00A91FDF"/>
    <w:rsid w:val="00A92A2A"/>
    <w:rsid w:val="00AA5CBD"/>
    <w:rsid w:val="00AA7474"/>
    <w:rsid w:val="00AC201C"/>
    <w:rsid w:val="00AC4101"/>
    <w:rsid w:val="00AC471F"/>
    <w:rsid w:val="00AD0320"/>
    <w:rsid w:val="00AE0328"/>
    <w:rsid w:val="00AE0E15"/>
    <w:rsid w:val="00AE2CA2"/>
    <w:rsid w:val="00AE2DEE"/>
    <w:rsid w:val="00AE4BB0"/>
    <w:rsid w:val="00AF1472"/>
    <w:rsid w:val="00AF17CC"/>
    <w:rsid w:val="00B31571"/>
    <w:rsid w:val="00B40678"/>
    <w:rsid w:val="00B41134"/>
    <w:rsid w:val="00B65881"/>
    <w:rsid w:val="00B94775"/>
    <w:rsid w:val="00BA5742"/>
    <w:rsid w:val="00BB52EC"/>
    <w:rsid w:val="00BB7BAC"/>
    <w:rsid w:val="00BC3CF9"/>
    <w:rsid w:val="00BC6447"/>
    <w:rsid w:val="00BE3E99"/>
    <w:rsid w:val="00BF0DCA"/>
    <w:rsid w:val="00BF3C7D"/>
    <w:rsid w:val="00C10740"/>
    <w:rsid w:val="00C15717"/>
    <w:rsid w:val="00C41D67"/>
    <w:rsid w:val="00C476DF"/>
    <w:rsid w:val="00C51AE0"/>
    <w:rsid w:val="00C54B72"/>
    <w:rsid w:val="00C62785"/>
    <w:rsid w:val="00C71813"/>
    <w:rsid w:val="00C7444B"/>
    <w:rsid w:val="00CB0566"/>
    <w:rsid w:val="00CB3C5C"/>
    <w:rsid w:val="00CC57D3"/>
    <w:rsid w:val="00CD0C78"/>
    <w:rsid w:val="00CD304D"/>
    <w:rsid w:val="00D022F3"/>
    <w:rsid w:val="00D14444"/>
    <w:rsid w:val="00D15718"/>
    <w:rsid w:val="00D3782E"/>
    <w:rsid w:val="00D411E8"/>
    <w:rsid w:val="00D56664"/>
    <w:rsid w:val="00D57BEA"/>
    <w:rsid w:val="00D60032"/>
    <w:rsid w:val="00D637B4"/>
    <w:rsid w:val="00D6568E"/>
    <w:rsid w:val="00D919B8"/>
    <w:rsid w:val="00DF044C"/>
    <w:rsid w:val="00E17FBA"/>
    <w:rsid w:val="00E21D5B"/>
    <w:rsid w:val="00E24F64"/>
    <w:rsid w:val="00E45A97"/>
    <w:rsid w:val="00E50BB6"/>
    <w:rsid w:val="00E83F37"/>
    <w:rsid w:val="00E85D36"/>
    <w:rsid w:val="00E90C97"/>
    <w:rsid w:val="00E951DA"/>
    <w:rsid w:val="00EC13A4"/>
    <w:rsid w:val="00EC32A3"/>
    <w:rsid w:val="00F021F2"/>
    <w:rsid w:val="00F04ABD"/>
    <w:rsid w:val="00F16F0C"/>
    <w:rsid w:val="00F17232"/>
    <w:rsid w:val="00F37A74"/>
    <w:rsid w:val="00F40CFB"/>
    <w:rsid w:val="00F56F83"/>
    <w:rsid w:val="00F63526"/>
    <w:rsid w:val="00F6423F"/>
    <w:rsid w:val="00F73DB3"/>
    <w:rsid w:val="00F77822"/>
    <w:rsid w:val="00F84E3F"/>
    <w:rsid w:val="00FA32EC"/>
    <w:rsid w:val="00FB6F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2C3DCB9-78D6-4D0E-B26A-A85EE60B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1D5B"/>
    <w:pPr>
      <w:spacing w:after="200" w:line="276" w:lineRule="auto"/>
    </w:pPr>
    <w:rPr>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E7985"/>
    <w:pPr>
      <w:ind w:left="720"/>
      <w:contextualSpacing/>
    </w:pPr>
  </w:style>
  <w:style w:type="paragraph" w:styleId="Hlavika">
    <w:name w:val="header"/>
    <w:basedOn w:val="Normlny"/>
    <w:link w:val="HlavikaChar"/>
    <w:uiPriority w:val="99"/>
    <w:rsid w:val="00A473D4"/>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A473D4"/>
    <w:rPr>
      <w:rFonts w:cs="Times New Roman"/>
    </w:rPr>
  </w:style>
  <w:style w:type="paragraph" w:styleId="Pta">
    <w:name w:val="footer"/>
    <w:basedOn w:val="Normlny"/>
    <w:link w:val="PtaChar"/>
    <w:uiPriority w:val="99"/>
    <w:rsid w:val="00A473D4"/>
    <w:pPr>
      <w:tabs>
        <w:tab w:val="center" w:pos="4536"/>
        <w:tab w:val="right" w:pos="9072"/>
      </w:tabs>
      <w:spacing w:after="0" w:line="240" w:lineRule="auto"/>
    </w:pPr>
  </w:style>
  <w:style w:type="character" w:customStyle="1" w:styleId="PtaChar">
    <w:name w:val="Päta Char"/>
    <w:basedOn w:val="Predvolenpsmoodseku"/>
    <w:link w:val="Pta"/>
    <w:uiPriority w:val="99"/>
    <w:locked/>
    <w:rsid w:val="00A473D4"/>
    <w:rPr>
      <w:rFonts w:cs="Times New Roman"/>
    </w:rPr>
  </w:style>
  <w:style w:type="paragraph" w:styleId="Textbubliny">
    <w:name w:val="Balloon Text"/>
    <w:basedOn w:val="Normlny"/>
    <w:link w:val="TextbublinyChar"/>
    <w:uiPriority w:val="99"/>
    <w:semiHidden/>
    <w:rsid w:val="00A473D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473D4"/>
    <w:rPr>
      <w:rFonts w:ascii="Tahoma" w:hAnsi="Tahoma" w:cs="Tahoma"/>
      <w:sz w:val="16"/>
      <w:szCs w:val="16"/>
    </w:rPr>
  </w:style>
  <w:style w:type="table" w:styleId="Mriekatabuky">
    <w:name w:val="Table Grid"/>
    <w:basedOn w:val="Normlnatabuka"/>
    <w:uiPriority w:val="99"/>
    <w:rsid w:val="00C107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A9181B"/>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apple-converted-space">
    <w:name w:val="apple-converted-space"/>
    <w:basedOn w:val="Predvolenpsmoodseku"/>
    <w:rsid w:val="00A9181B"/>
  </w:style>
  <w:style w:type="character" w:styleId="Hypertextovprepojenie">
    <w:name w:val="Hyperlink"/>
    <w:basedOn w:val="Predvolenpsmoodseku"/>
    <w:uiPriority w:val="99"/>
    <w:semiHidden/>
    <w:unhideWhenUsed/>
    <w:rsid w:val="00A9181B"/>
    <w:rPr>
      <w:color w:val="0000FF"/>
      <w:u w:val="single"/>
    </w:rPr>
  </w:style>
  <w:style w:type="paragraph" w:customStyle="1" w:styleId="Default">
    <w:name w:val="Default"/>
    <w:rsid w:val="00CD0C78"/>
    <w:pPr>
      <w:autoSpaceDE w:val="0"/>
      <w:autoSpaceDN w:val="0"/>
      <w:adjustRightInd w:val="0"/>
    </w:pPr>
    <w:rPr>
      <w:rFonts w:ascii="Times New Roman" w:eastAsia="Times New Roman" w:hAnsi="Times New Roman"/>
      <w:color w:val="000000"/>
      <w:sz w:val="24"/>
      <w:szCs w:val="24"/>
      <w:lang w:val="sl-SI" w:eastAsia="sl-SI"/>
    </w:rPr>
  </w:style>
  <w:style w:type="paragraph" w:styleId="Revzia">
    <w:name w:val="Revision"/>
    <w:hidden/>
    <w:uiPriority w:val="99"/>
    <w:semiHidden/>
    <w:rsid w:val="00E951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80377">
      <w:bodyDiv w:val="1"/>
      <w:marLeft w:val="0"/>
      <w:marRight w:val="0"/>
      <w:marTop w:val="0"/>
      <w:marBottom w:val="0"/>
      <w:divBdr>
        <w:top w:val="none" w:sz="0" w:space="0" w:color="auto"/>
        <w:left w:val="none" w:sz="0" w:space="0" w:color="auto"/>
        <w:bottom w:val="none" w:sz="0" w:space="0" w:color="auto"/>
        <w:right w:val="none" w:sz="0" w:space="0" w:color="auto"/>
      </w:divBdr>
    </w:div>
    <w:div w:id="452986109">
      <w:marLeft w:val="0"/>
      <w:marRight w:val="0"/>
      <w:marTop w:val="0"/>
      <w:marBottom w:val="0"/>
      <w:divBdr>
        <w:top w:val="none" w:sz="0" w:space="0" w:color="auto"/>
        <w:left w:val="none" w:sz="0" w:space="0" w:color="auto"/>
        <w:bottom w:val="none" w:sz="0" w:space="0" w:color="auto"/>
        <w:right w:val="none" w:sz="0" w:space="0" w:color="auto"/>
      </w:divBdr>
    </w:div>
    <w:div w:id="4529861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13948</Words>
  <Characters>79508</Characters>
  <Application>Microsoft Office Word</Application>
  <DocSecurity>0</DocSecurity>
  <Lines>662</Lines>
  <Paragraphs>186</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HP</Company>
  <LinksUpToDate>false</LinksUpToDate>
  <CharactersWithSpaces>93270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Majstrikova</dc:creator>
  <cp:lastModifiedBy>Bolebruchová Monika</cp:lastModifiedBy>
  <cp:revision>2</cp:revision>
  <cp:lastPrinted>2013-01-09T10:26:00Z</cp:lastPrinted>
  <dcterms:created xsi:type="dcterms:W3CDTF">2018-05-03T08:39:00Z</dcterms:created>
  <dcterms:modified xsi:type="dcterms:W3CDTF">2018-05-03T08:39:00Z</dcterms:modified>
</cp:coreProperties>
</file>