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F6" w:rsidRPr="00FF1CF6" w:rsidRDefault="00A702F6" w:rsidP="00AC795C">
      <w:pPr>
        <w:autoSpaceDE w:val="0"/>
        <w:autoSpaceDN w:val="0"/>
        <w:adjustRightInd w:val="0"/>
        <w:rPr>
          <w:sz w:val="22"/>
          <w:szCs w:val="22"/>
        </w:rPr>
      </w:pPr>
    </w:p>
    <w:p w:rsidR="00FA696D" w:rsidRPr="00A83991" w:rsidRDefault="00FA696D">
      <w:pPr>
        <w:pStyle w:val="Nadpis1"/>
        <w:rPr>
          <w:szCs w:val="22"/>
          <w:lang w:val="sk-SK"/>
        </w:rPr>
      </w:pPr>
      <w:r w:rsidRPr="00A83991">
        <w:rPr>
          <w:szCs w:val="22"/>
          <w:lang w:val="sk-SK"/>
        </w:rPr>
        <w:t>SÚHRN CHARAKTERISTICKÝCH VLASTNOSTÍ LIEKU</w:t>
      </w:r>
    </w:p>
    <w:p w:rsidR="00FA696D" w:rsidRPr="000971FE" w:rsidRDefault="00FA696D">
      <w:pPr>
        <w:rPr>
          <w:rStyle w:val="EmphasisA"/>
          <w:rFonts w:ascii="Times New Roman" w:eastAsia="Times New Roman" w:hAnsi="Times New Roman"/>
          <w:b w:val="0"/>
          <w:sz w:val="22"/>
          <w:szCs w:val="22"/>
          <w:lang w:val="sk-SK"/>
        </w:rPr>
      </w:pPr>
    </w:p>
    <w:p w:rsidR="00FA696D" w:rsidRPr="000971FE" w:rsidRDefault="00FA696D">
      <w:pPr>
        <w:rPr>
          <w:rStyle w:val="EmphasisA"/>
          <w:rFonts w:ascii="Times New Roman" w:eastAsia="Times New Roman" w:hAnsi="Times New Roman"/>
          <w:b w:val="0"/>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1.</w:t>
      </w:r>
      <w:r w:rsidR="0025465E"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NÁZOV LIEKU</w:t>
      </w:r>
    </w:p>
    <w:p w:rsidR="00EA6388" w:rsidRPr="00A83991" w:rsidRDefault="00EA6388" w:rsidP="000971FE">
      <w:pPr>
        <w:keepNext/>
        <w:rPr>
          <w:b/>
          <w:sz w:val="22"/>
          <w:szCs w:val="22"/>
          <w:lang w:val="sk-SK"/>
        </w:rPr>
      </w:pPr>
    </w:p>
    <w:p w:rsidR="00FA696D" w:rsidRPr="00A83991" w:rsidRDefault="009E6B50">
      <w:pPr>
        <w:rPr>
          <w:sz w:val="22"/>
          <w:szCs w:val="22"/>
          <w:lang w:val="sk-SK"/>
        </w:rPr>
      </w:pPr>
      <w:r w:rsidRPr="00A83991">
        <w:rPr>
          <w:sz w:val="22"/>
          <w:szCs w:val="22"/>
          <w:lang w:val="sk-SK"/>
        </w:rPr>
        <w:t>Talopam 25 mg</w:t>
      </w:r>
    </w:p>
    <w:p w:rsidR="00EA6388" w:rsidRPr="00A83991" w:rsidRDefault="00EA6388" w:rsidP="009E6B50">
      <w:pPr>
        <w:rPr>
          <w:sz w:val="22"/>
          <w:szCs w:val="22"/>
          <w:lang w:val="sk-SK"/>
        </w:rPr>
      </w:pPr>
      <w:r w:rsidRPr="00A83991">
        <w:rPr>
          <w:sz w:val="22"/>
          <w:szCs w:val="22"/>
          <w:lang w:val="sk-SK"/>
        </w:rPr>
        <w:t xml:space="preserve">Talopam 50 mg </w:t>
      </w:r>
    </w:p>
    <w:p w:rsidR="00EA6388" w:rsidRPr="00A83991" w:rsidRDefault="009E6B50" w:rsidP="009E6B50">
      <w:pPr>
        <w:rPr>
          <w:sz w:val="22"/>
          <w:szCs w:val="22"/>
          <w:lang w:val="sk-SK"/>
        </w:rPr>
      </w:pPr>
      <w:r w:rsidRPr="00A83991">
        <w:rPr>
          <w:sz w:val="22"/>
          <w:szCs w:val="22"/>
          <w:lang w:val="sk-SK"/>
        </w:rPr>
        <w:t xml:space="preserve">Talopam 100 mg </w:t>
      </w:r>
    </w:p>
    <w:p w:rsidR="009E6B50" w:rsidRPr="00A83991" w:rsidRDefault="009E6B50" w:rsidP="009E6B50">
      <w:pPr>
        <w:rPr>
          <w:sz w:val="22"/>
          <w:szCs w:val="22"/>
          <w:lang w:val="sk-SK"/>
        </w:rPr>
      </w:pPr>
      <w:r w:rsidRPr="00A83991">
        <w:rPr>
          <w:sz w:val="22"/>
          <w:szCs w:val="22"/>
          <w:lang w:val="sk-SK"/>
        </w:rPr>
        <w:t>filmom obalené tablety</w:t>
      </w:r>
    </w:p>
    <w:p w:rsidR="009E6B50" w:rsidRPr="00A83991" w:rsidRDefault="009E6B50" w:rsidP="00362BB8">
      <w:pPr>
        <w:rPr>
          <w:sz w:val="22"/>
          <w:szCs w:val="22"/>
          <w:lang w:val="sk-SK"/>
        </w:rPr>
      </w:pPr>
    </w:p>
    <w:p w:rsidR="009E6B50" w:rsidRPr="00A83991" w:rsidRDefault="009E6B50" w:rsidP="00362BB8">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2.</w:t>
      </w:r>
      <w:r w:rsidR="0025465E"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 xml:space="preserve">KVALITATÍVNE A KVANTITATÍVNE ZLOŽENIE </w:t>
      </w:r>
    </w:p>
    <w:p w:rsidR="00EA6388" w:rsidRPr="00A83991" w:rsidRDefault="00EA6388" w:rsidP="000971FE">
      <w:pPr>
        <w:keepNext/>
        <w:rPr>
          <w:sz w:val="22"/>
          <w:szCs w:val="22"/>
          <w:lang w:val="sk-SK"/>
        </w:rPr>
      </w:pPr>
    </w:p>
    <w:p w:rsidR="00FA696D" w:rsidRPr="00A83991" w:rsidRDefault="00BF5136" w:rsidP="00362BB8">
      <w:pPr>
        <w:rPr>
          <w:sz w:val="22"/>
          <w:szCs w:val="22"/>
          <w:lang w:val="sk-SK"/>
        </w:rPr>
      </w:pPr>
      <w:r>
        <w:rPr>
          <w:sz w:val="22"/>
          <w:szCs w:val="22"/>
          <w:lang w:val="sk-SK"/>
        </w:rPr>
        <w:t>Každá</w:t>
      </w:r>
      <w:r w:rsidR="00FA696D" w:rsidRPr="00A83991">
        <w:rPr>
          <w:sz w:val="22"/>
          <w:szCs w:val="22"/>
          <w:lang w:val="sk-SK"/>
        </w:rPr>
        <w:t xml:space="preserve"> filmom obalená tableta obsahuje </w:t>
      </w:r>
      <w:r w:rsidR="00EA6388" w:rsidRPr="00A83991">
        <w:rPr>
          <w:sz w:val="22"/>
          <w:szCs w:val="22"/>
          <w:lang w:val="sk-SK"/>
        </w:rPr>
        <w:t>25 mg</w:t>
      </w:r>
      <w:r w:rsidR="0025465E" w:rsidRPr="00A83991">
        <w:rPr>
          <w:sz w:val="22"/>
          <w:szCs w:val="22"/>
          <w:lang w:val="sk-SK"/>
        </w:rPr>
        <w:t xml:space="preserve">, 50 mg alebo 100 mg </w:t>
      </w:r>
      <w:r w:rsidR="0044733D" w:rsidRPr="00A83991">
        <w:rPr>
          <w:sz w:val="22"/>
          <w:szCs w:val="22"/>
          <w:lang w:val="sk-SK"/>
        </w:rPr>
        <w:t>topiramátu.</w:t>
      </w:r>
    </w:p>
    <w:p w:rsidR="0025465E" w:rsidRPr="001308BA" w:rsidRDefault="0025465E" w:rsidP="00362BB8">
      <w:pPr>
        <w:rPr>
          <w:sz w:val="22"/>
          <w:szCs w:val="22"/>
          <w:u w:val="single"/>
          <w:lang w:val="sk-SK"/>
        </w:rPr>
      </w:pPr>
    </w:p>
    <w:p w:rsidR="00A702F6" w:rsidRPr="001308BA" w:rsidRDefault="00EA6388" w:rsidP="00362BB8">
      <w:pPr>
        <w:rPr>
          <w:sz w:val="22"/>
          <w:szCs w:val="22"/>
          <w:u w:val="single"/>
          <w:lang w:val="sk-SK"/>
        </w:rPr>
      </w:pPr>
      <w:r w:rsidRPr="001308BA">
        <w:rPr>
          <w:sz w:val="22"/>
          <w:szCs w:val="22"/>
          <w:u w:val="single"/>
          <w:lang w:val="sk-SK"/>
        </w:rPr>
        <w:t>Pomocná látka</w:t>
      </w:r>
      <w:r w:rsidR="0025465E" w:rsidRPr="001308BA">
        <w:rPr>
          <w:sz w:val="22"/>
          <w:szCs w:val="22"/>
          <w:u w:val="single"/>
          <w:lang w:val="sk-SK"/>
        </w:rPr>
        <w:t xml:space="preserve"> so známym účinkom</w:t>
      </w:r>
      <w:r w:rsidRPr="001308BA">
        <w:rPr>
          <w:sz w:val="22"/>
          <w:szCs w:val="22"/>
          <w:u w:val="single"/>
          <w:lang w:val="sk-SK"/>
        </w:rPr>
        <w:t xml:space="preserve"> </w:t>
      </w:r>
    </w:p>
    <w:p w:rsidR="0044733D" w:rsidRPr="00A83991" w:rsidRDefault="00A702F6" w:rsidP="00362BB8">
      <w:pPr>
        <w:rPr>
          <w:sz w:val="22"/>
          <w:szCs w:val="22"/>
          <w:lang w:val="sk-SK"/>
        </w:rPr>
      </w:pPr>
      <w:r>
        <w:rPr>
          <w:sz w:val="22"/>
          <w:szCs w:val="22"/>
          <w:lang w:val="sk-SK"/>
        </w:rPr>
        <w:t>F</w:t>
      </w:r>
      <w:r w:rsidR="0025465E" w:rsidRPr="00A83991">
        <w:rPr>
          <w:sz w:val="22"/>
          <w:szCs w:val="22"/>
          <w:lang w:val="sk-SK"/>
        </w:rPr>
        <w:t xml:space="preserve">ilmom obalené tablety Talopamu 50 mg a 100 mg obsahujú </w:t>
      </w:r>
      <w:r w:rsidR="00EA6388" w:rsidRPr="00A83991">
        <w:rPr>
          <w:sz w:val="22"/>
          <w:szCs w:val="22"/>
          <w:lang w:val="sk-SK"/>
        </w:rPr>
        <w:t>l</w:t>
      </w:r>
      <w:r w:rsidR="0044733D" w:rsidRPr="00A83991">
        <w:rPr>
          <w:sz w:val="22"/>
          <w:szCs w:val="22"/>
          <w:lang w:val="sk-SK"/>
        </w:rPr>
        <w:t>ecitín (obsahuje sójový olej).</w:t>
      </w:r>
    </w:p>
    <w:p w:rsidR="0044733D" w:rsidRPr="00A83991" w:rsidRDefault="0044733D" w:rsidP="00362BB8">
      <w:pPr>
        <w:rPr>
          <w:sz w:val="22"/>
          <w:szCs w:val="22"/>
          <w:lang w:val="sk-SK"/>
        </w:rPr>
      </w:pPr>
    </w:p>
    <w:p w:rsidR="00FA696D" w:rsidRPr="00A83991" w:rsidRDefault="00FA696D" w:rsidP="00362BB8">
      <w:pPr>
        <w:rPr>
          <w:sz w:val="22"/>
          <w:szCs w:val="22"/>
          <w:lang w:val="sk-SK"/>
        </w:rPr>
      </w:pPr>
      <w:r w:rsidRPr="00A83991">
        <w:rPr>
          <w:sz w:val="22"/>
          <w:szCs w:val="22"/>
          <w:lang w:val="sk-SK"/>
        </w:rPr>
        <w:t>Úplný zoznam pomocných látok, pozri časť 6.1.</w:t>
      </w:r>
    </w:p>
    <w:p w:rsidR="00FA696D" w:rsidRPr="00A83991" w:rsidRDefault="00FA696D" w:rsidP="00362BB8">
      <w:pPr>
        <w:rPr>
          <w:sz w:val="22"/>
          <w:szCs w:val="22"/>
          <w:lang w:val="sk-SK"/>
        </w:rPr>
      </w:pPr>
    </w:p>
    <w:p w:rsidR="00FA696D" w:rsidRPr="00A83991" w:rsidRDefault="00FA696D" w:rsidP="00362BB8">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3.</w:t>
      </w:r>
      <w:r w:rsidR="00362BB8"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LIEKOVÁ FORMA</w:t>
      </w:r>
    </w:p>
    <w:p w:rsidR="00EA6388" w:rsidRPr="00A83991" w:rsidRDefault="00EA6388" w:rsidP="000971FE">
      <w:pPr>
        <w:keepNext/>
        <w:rPr>
          <w:sz w:val="22"/>
          <w:szCs w:val="22"/>
          <w:lang w:val="sk-SK"/>
        </w:rPr>
      </w:pPr>
    </w:p>
    <w:p w:rsidR="00FA696D" w:rsidRPr="00A83991" w:rsidRDefault="00FA696D" w:rsidP="00362BB8">
      <w:pPr>
        <w:rPr>
          <w:sz w:val="22"/>
          <w:szCs w:val="22"/>
          <w:lang w:val="sk-SK"/>
        </w:rPr>
      </w:pPr>
      <w:r w:rsidRPr="00A83991">
        <w:rPr>
          <w:sz w:val="22"/>
          <w:szCs w:val="22"/>
          <w:lang w:val="sk-SK"/>
        </w:rPr>
        <w:t>Filmom obalen</w:t>
      </w:r>
      <w:r w:rsidR="0025465E" w:rsidRPr="00A83991">
        <w:rPr>
          <w:sz w:val="22"/>
          <w:szCs w:val="22"/>
          <w:lang w:val="sk-SK"/>
        </w:rPr>
        <w:t>á</w:t>
      </w:r>
      <w:r w:rsidRPr="00A83991">
        <w:rPr>
          <w:sz w:val="22"/>
          <w:szCs w:val="22"/>
          <w:lang w:val="sk-SK"/>
        </w:rPr>
        <w:t xml:space="preserve"> tablet</w:t>
      </w:r>
      <w:r w:rsidR="0025465E" w:rsidRPr="00A83991">
        <w:rPr>
          <w:sz w:val="22"/>
          <w:szCs w:val="22"/>
          <w:lang w:val="sk-SK"/>
        </w:rPr>
        <w:t>a</w:t>
      </w:r>
      <w:r w:rsidRPr="00A83991">
        <w:rPr>
          <w:sz w:val="22"/>
          <w:szCs w:val="22"/>
          <w:lang w:val="sk-SK"/>
        </w:rPr>
        <w:t>.</w:t>
      </w:r>
    </w:p>
    <w:p w:rsidR="00FA696D" w:rsidRPr="00A83991" w:rsidRDefault="00FA696D" w:rsidP="00362BB8">
      <w:pPr>
        <w:rPr>
          <w:sz w:val="22"/>
          <w:szCs w:val="22"/>
          <w:lang w:val="sk-SK"/>
        </w:rPr>
      </w:pPr>
    </w:p>
    <w:p w:rsidR="00FA696D" w:rsidRPr="00A83991" w:rsidRDefault="0044733D" w:rsidP="00362BB8">
      <w:pPr>
        <w:rPr>
          <w:sz w:val="22"/>
          <w:szCs w:val="22"/>
          <w:lang w:val="sk-SK"/>
        </w:rPr>
      </w:pPr>
      <w:r w:rsidRPr="00A83991">
        <w:rPr>
          <w:sz w:val="22"/>
          <w:szCs w:val="22"/>
          <w:lang w:val="sk-SK"/>
        </w:rPr>
        <w:t>Talopam 25 mg: biele</w:t>
      </w:r>
      <w:r w:rsidR="00FA696D" w:rsidRPr="00A83991">
        <w:rPr>
          <w:sz w:val="22"/>
          <w:szCs w:val="22"/>
          <w:lang w:val="sk-SK"/>
        </w:rPr>
        <w:t xml:space="preserve"> okrúhle, bikonvexné filmom obalené tablety s</w:t>
      </w:r>
      <w:r w:rsidRPr="00A83991">
        <w:rPr>
          <w:sz w:val="22"/>
          <w:szCs w:val="22"/>
          <w:lang w:val="sk-SK"/>
        </w:rPr>
        <w:t xml:space="preserve"> priemerom </w:t>
      </w:r>
      <w:smartTag w:uri="urn:schemas-microsoft-com:office:smarttags" w:element="metricconverter">
        <w:smartTagPr>
          <w:attr w:name="ProductID" w:val="6 mm"/>
        </w:smartTagPr>
        <w:r w:rsidRPr="00A83991">
          <w:rPr>
            <w:sz w:val="22"/>
            <w:szCs w:val="22"/>
            <w:lang w:val="sk-SK"/>
          </w:rPr>
          <w:t>6 mm</w:t>
        </w:r>
      </w:smartTag>
      <w:r w:rsidRPr="00A83991">
        <w:rPr>
          <w:sz w:val="22"/>
          <w:szCs w:val="22"/>
          <w:lang w:val="sk-SK"/>
        </w:rPr>
        <w:t xml:space="preserve"> a </w:t>
      </w:r>
      <w:r w:rsidR="00FA696D" w:rsidRPr="00A83991">
        <w:rPr>
          <w:sz w:val="22"/>
          <w:szCs w:val="22"/>
          <w:lang w:val="sk-SK"/>
        </w:rPr>
        <w:t>označením “</w:t>
      </w:r>
      <w:r w:rsidRPr="00A83991">
        <w:rPr>
          <w:sz w:val="22"/>
          <w:szCs w:val="22"/>
          <w:lang w:val="sk-SK"/>
        </w:rPr>
        <w:t>V1”.</w:t>
      </w:r>
    </w:p>
    <w:p w:rsidR="0044733D" w:rsidRPr="00A83991" w:rsidRDefault="0044733D" w:rsidP="00362BB8">
      <w:pPr>
        <w:rPr>
          <w:sz w:val="22"/>
          <w:szCs w:val="22"/>
          <w:lang w:val="sk-SK"/>
        </w:rPr>
      </w:pPr>
      <w:r w:rsidRPr="00A83991">
        <w:rPr>
          <w:sz w:val="22"/>
          <w:szCs w:val="22"/>
          <w:lang w:val="sk-SK"/>
        </w:rPr>
        <w:t xml:space="preserve">Talopam 50 mg: svetložlté okrúhle bikonvexné filmom obalené tablety s priemerom </w:t>
      </w:r>
      <w:smartTag w:uri="urn:schemas-microsoft-com:office:smarttags" w:element="metricconverter">
        <w:smartTagPr>
          <w:attr w:name="ProductID" w:val="8 mm"/>
        </w:smartTagPr>
        <w:r w:rsidRPr="00A83991">
          <w:rPr>
            <w:sz w:val="22"/>
            <w:szCs w:val="22"/>
            <w:lang w:val="sk-SK"/>
          </w:rPr>
          <w:t>8 mm</w:t>
        </w:r>
      </w:smartTag>
      <w:r w:rsidRPr="00A83991">
        <w:rPr>
          <w:sz w:val="22"/>
          <w:szCs w:val="22"/>
          <w:lang w:val="sk-SK"/>
        </w:rPr>
        <w:t xml:space="preserve"> a</w:t>
      </w:r>
      <w:r w:rsidR="00362BB8" w:rsidRPr="00A83991">
        <w:rPr>
          <w:sz w:val="22"/>
          <w:szCs w:val="22"/>
          <w:lang w:val="sk-SK"/>
        </w:rPr>
        <w:t> </w:t>
      </w:r>
      <w:r w:rsidRPr="00A83991">
        <w:rPr>
          <w:sz w:val="22"/>
          <w:szCs w:val="22"/>
          <w:lang w:val="sk-SK"/>
        </w:rPr>
        <w:t>označením “V3”.</w:t>
      </w:r>
    </w:p>
    <w:p w:rsidR="0044733D" w:rsidRPr="00A83991" w:rsidRDefault="0044733D" w:rsidP="00362BB8">
      <w:pPr>
        <w:rPr>
          <w:sz w:val="22"/>
          <w:szCs w:val="22"/>
          <w:lang w:val="sk-SK"/>
        </w:rPr>
      </w:pPr>
      <w:r w:rsidRPr="00A83991">
        <w:rPr>
          <w:sz w:val="22"/>
          <w:szCs w:val="22"/>
          <w:lang w:val="sk-SK"/>
        </w:rPr>
        <w:t xml:space="preserve">Talopam 100 mg: žlté okrúhle bikonvexné filmom obalené tablety s priemerom </w:t>
      </w:r>
      <w:smartTag w:uri="urn:schemas-microsoft-com:office:smarttags" w:element="metricconverter">
        <w:smartTagPr>
          <w:attr w:name="ProductID" w:val="10 mm"/>
        </w:smartTagPr>
        <w:r w:rsidRPr="00A83991">
          <w:rPr>
            <w:sz w:val="22"/>
            <w:szCs w:val="22"/>
            <w:lang w:val="sk-SK"/>
          </w:rPr>
          <w:t>10 mm</w:t>
        </w:r>
      </w:smartTag>
      <w:r w:rsidRPr="00A83991">
        <w:rPr>
          <w:sz w:val="22"/>
          <w:szCs w:val="22"/>
          <w:lang w:val="sk-SK"/>
        </w:rPr>
        <w:t xml:space="preserve"> a označením “V4”.</w:t>
      </w:r>
    </w:p>
    <w:p w:rsidR="006B310D" w:rsidRPr="00A83991" w:rsidRDefault="006B310D" w:rsidP="00362BB8">
      <w:pPr>
        <w:rPr>
          <w:sz w:val="22"/>
          <w:szCs w:val="22"/>
          <w:lang w:val="sk-SK"/>
        </w:rPr>
      </w:pPr>
    </w:p>
    <w:p w:rsidR="00FA696D" w:rsidRPr="00A83991" w:rsidRDefault="00FA696D" w:rsidP="00362BB8">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4.</w:t>
      </w:r>
      <w:r w:rsidR="00362BB8"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KLINICKÉ ÚDAJE</w:t>
      </w:r>
    </w:p>
    <w:p w:rsidR="00FA696D" w:rsidRPr="00A83991" w:rsidRDefault="00FA696D" w:rsidP="000971FE">
      <w:pPr>
        <w:keepNext/>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4.1</w:t>
      </w:r>
      <w:r w:rsidR="00362BB8"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Terapeutické indikácie</w:t>
      </w:r>
    </w:p>
    <w:p w:rsidR="00491DEA" w:rsidRPr="00A83991" w:rsidRDefault="00491DEA" w:rsidP="000971FE">
      <w:pPr>
        <w:keepNext/>
        <w:rPr>
          <w:bCs/>
          <w:sz w:val="22"/>
          <w:szCs w:val="22"/>
          <w:u w:val="single"/>
          <w:lang w:val="sk-SK"/>
        </w:rPr>
      </w:pPr>
    </w:p>
    <w:p w:rsidR="00362BB8" w:rsidRPr="00A83991" w:rsidRDefault="00362BB8" w:rsidP="00362BB8">
      <w:pPr>
        <w:rPr>
          <w:bCs/>
          <w:sz w:val="22"/>
          <w:szCs w:val="22"/>
          <w:lang w:val="sk-SK"/>
        </w:rPr>
      </w:pPr>
      <w:r w:rsidRPr="00A83991">
        <w:rPr>
          <w:bCs/>
          <w:sz w:val="22"/>
          <w:szCs w:val="22"/>
          <w:lang w:val="sk-SK"/>
        </w:rPr>
        <w:t>Monoterapia u dospelých, dospievajúcich a detí od 6 rokov s parciálnymi epileptickými záchvatmi so sekundárnou generalizáciou alebo bez nej a s primárnymi generalizovanými tonicko</w:t>
      </w:r>
      <w:r w:rsidRPr="00A83991">
        <w:rPr>
          <w:bCs/>
          <w:sz w:val="22"/>
          <w:szCs w:val="22"/>
          <w:lang w:val="sk-SK"/>
        </w:rPr>
        <w:noBreakHyphen/>
        <w:t>klonickými záchvatmi.</w:t>
      </w:r>
    </w:p>
    <w:p w:rsidR="00362BB8" w:rsidRPr="00A83991" w:rsidRDefault="00362BB8" w:rsidP="00362BB8">
      <w:pPr>
        <w:rPr>
          <w:bCs/>
          <w:sz w:val="22"/>
          <w:szCs w:val="22"/>
          <w:lang w:val="sk-SK"/>
        </w:rPr>
      </w:pPr>
    </w:p>
    <w:p w:rsidR="00362BB8" w:rsidRPr="00A83991" w:rsidRDefault="00362BB8" w:rsidP="00362BB8">
      <w:pPr>
        <w:rPr>
          <w:bCs/>
          <w:sz w:val="22"/>
          <w:szCs w:val="22"/>
          <w:lang w:val="sk-SK"/>
        </w:rPr>
      </w:pPr>
      <w:r w:rsidRPr="00A83991">
        <w:rPr>
          <w:bCs/>
          <w:sz w:val="22"/>
          <w:szCs w:val="22"/>
          <w:lang w:val="sk-SK"/>
        </w:rPr>
        <w:t>Prídavná liečba u detí od 2 rokov, dospievajúcich a dospelých s parciálnymi epileptickými záchvatmi so sekundárnou generalizáciou alebo bez nej a s primárnymi generalizovanými tonicko</w:t>
      </w:r>
      <w:r w:rsidRPr="00A83991">
        <w:rPr>
          <w:bCs/>
          <w:sz w:val="22"/>
          <w:szCs w:val="22"/>
          <w:lang w:val="sk-SK"/>
        </w:rPr>
        <w:noBreakHyphen/>
        <w:t>klonickými záchvatmi</w:t>
      </w:r>
      <w:r w:rsidR="006B310D" w:rsidRPr="00A83991">
        <w:rPr>
          <w:bCs/>
          <w:sz w:val="22"/>
          <w:szCs w:val="22"/>
          <w:lang w:val="sk-SK"/>
        </w:rPr>
        <w:t xml:space="preserve"> a liečba záchvatov spojených s Lennoxovým-Gastautovým syndrómom.</w:t>
      </w:r>
    </w:p>
    <w:p w:rsidR="006B310D" w:rsidRPr="00A83991" w:rsidRDefault="006B310D" w:rsidP="00362BB8">
      <w:pPr>
        <w:rPr>
          <w:bCs/>
          <w:sz w:val="22"/>
          <w:szCs w:val="22"/>
          <w:lang w:val="sk-SK"/>
        </w:rPr>
      </w:pPr>
    </w:p>
    <w:p w:rsidR="00491DEA" w:rsidRPr="00A83991" w:rsidRDefault="006B310D" w:rsidP="006B310D">
      <w:pPr>
        <w:rPr>
          <w:bCs/>
          <w:sz w:val="22"/>
          <w:szCs w:val="22"/>
          <w:lang w:val="sk-SK"/>
        </w:rPr>
      </w:pPr>
      <w:r w:rsidRPr="00A83991">
        <w:rPr>
          <w:bCs/>
          <w:sz w:val="22"/>
          <w:szCs w:val="22"/>
          <w:lang w:val="sk-SK"/>
        </w:rPr>
        <w:t>Topiramát je indikovaný u dospelých na profylaxiu migrenóznych bolestí hlavy po starostlivom zvážení iných možností alternatívnej liečby. Topiramát nie je určený na akútnu liečbu.</w:t>
      </w:r>
      <w:r w:rsidR="00491DEA" w:rsidRPr="00A83991">
        <w:rPr>
          <w:bCs/>
          <w:sz w:val="22"/>
          <w:szCs w:val="22"/>
          <w:lang w:val="sk-SK"/>
        </w:rPr>
        <w:t xml:space="preserve"> </w:t>
      </w:r>
    </w:p>
    <w:p w:rsidR="00491DEA" w:rsidRPr="00A83991" w:rsidRDefault="00491DEA" w:rsidP="00491DEA">
      <w:pPr>
        <w:rPr>
          <w:bCs/>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lastRenderedPageBreak/>
        <w:t>4.2</w:t>
      </w:r>
      <w:r w:rsidR="006B310D"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 xml:space="preserve">Dávkovanie a spôsob </w:t>
      </w:r>
      <w:r w:rsidR="00004D37" w:rsidRPr="00A83991">
        <w:rPr>
          <w:rStyle w:val="EmphasisA"/>
          <w:rFonts w:ascii="Times New Roman" w:eastAsia="Times New Roman" w:hAnsi="Times New Roman"/>
          <w:sz w:val="22"/>
          <w:szCs w:val="22"/>
          <w:lang w:val="sk-SK"/>
        </w:rPr>
        <w:t>podania</w:t>
      </w:r>
    </w:p>
    <w:p w:rsidR="00FA696D" w:rsidRPr="00A83991" w:rsidRDefault="00FA696D" w:rsidP="000971FE">
      <w:pPr>
        <w:keepNext/>
        <w:rPr>
          <w:sz w:val="22"/>
          <w:szCs w:val="22"/>
          <w:lang w:val="sk-SK"/>
        </w:rPr>
      </w:pPr>
    </w:p>
    <w:p w:rsidR="006B310D" w:rsidRPr="00A83991" w:rsidRDefault="006B310D" w:rsidP="000971FE">
      <w:pPr>
        <w:keepNext/>
        <w:rPr>
          <w:rStyle w:val="UnderlineA"/>
          <w:bCs/>
          <w:sz w:val="22"/>
          <w:szCs w:val="22"/>
          <w:lang w:val="sk-SK"/>
        </w:rPr>
      </w:pPr>
      <w:r w:rsidRPr="00A83991">
        <w:rPr>
          <w:rStyle w:val="UnderlineA"/>
          <w:bCs/>
          <w:sz w:val="22"/>
          <w:szCs w:val="22"/>
          <w:lang w:val="sk-SK"/>
        </w:rPr>
        <w:t>Dávkovanie</w:t>
      </w:r>
    </w:p>
    <w:p w:rsidR="006B310D" w:rsidRPr="00A83991" w:rsidRDefault="006B310D" w:rsidP="000971FE">
      <w:pPr>
        <w:keepNext/>
        <w:rPr>
          <w:rStyle w:val="UnderlineA"/>
          <w:b/>
          <w:bCs/>
          <w:i/>
          <w:sz w:val="22"/>
          <w:szCs w:val="22"/>
          <w:lang w:val="sk-SK"/>
        </w:rPr>
      </w:pPr>
    </w:p>
    <w:p w:rsidR="00FA696D" w:rsidRPr="00A83991" w:rsidRDefault="00FA696D" w:rsidP="000971FE">
      <w:pPr>
        <w:keepNext/>
        <w:rPr>
          <w:sz w:val="22"/>
          <w:szCs w:val="22"/>
          <w:lang w:val="sk-SK"/>
        </w:rPr>
      </w:pPr>
      <w:r w:rsidRPr="00A83991">
        <w:rPr>
          <w:rStyle w:val="UnderlineA"/>
          <w:bCs/>
          <w:sz w:val="22"/>
          <w:szCs w:val="22"/>
          <w:lang w:val="sk-SK"/>
        </w:rPr>
        <w:t>Všeobecne</w:t>
      </w:r>
    </w:p>
    <w:p w:rsidR="006B310D" w:rsidRPr="00A83991" w:rsidRDefault="006B310D" w:rsidP="000971FE">
      <w:pPr>
        <w:keepNext/>
        <w:rPr>
          <w:sz w:val="22"/>
          <w:szCs w:val="22"/>
          <w:lang w:val="sk-SK"/>
        </w:rPr>
      </w:pPr>
    </w:p>
    <w:p w:rsidR="006B310D" w:rsidRPr="00A83991" w:rsidRDefault="006B310D" w:rsidP="000971FE">
      <w:pPr>
        <w:keepNext/>
        <w:rPr>
          <w:sz w:val="22"/>
          <w:szCs w:val="22"/>
          <w:lang w:val="sk-SK"/>
        </w:rPr>
      </w:pPr>
      <w:r w:rsidRPr="00A83991">
        <w:rPr>
          <w:sz w:val="22"/>
          <w:szCs w:val="22"/>
          <w:lang w:val="sk-SK"/>
        </w:rPr>
        <w:t>Odporúča sa, aby sa liečba začala nízkou dávkou s následnou titráciou po účinnú dávku. Dávka a rýchlosť titrácie sa majú riadiť klinickou odpoveďou.</w:t>
      </w:r>
    </w:p>
    <w:p w:rsidR="006B310D" w:rsidRPr="00A83991" w:rsidRDefault="006B310D">
      <w:pPr>
        <w:rPr>
          <w:sz w:val="22"/>
          <w:szCs w:val="22"/>
          <w:lang w:val="sk-SK"/>
        </w:rPr>
      </w:pPr>
    </w:p>
    <w:p w:rsidR="00D21BEC" w:rsidRPr="00A83991" w:rsidRDefault="006B310D">
      <w:pPr>
        <w:rPr>
          <w:sz w:val="22"/>
          <w:szCs w:val="22"/>
          <w:lang w:val="sk-SK"/>
        </w:rPr>
      </w:pPr>
      <w:r w:rsidRPr="00A83991">
        <w:rPr>
          <w:sz w:val="22"/>
          <w:szCs w:val="22"/>
          <w:lang w:val="sk-SK"/>
        </w:rPr>
        <w:t xml:space="preserve">Na optimalizovanie liečby </w:t>
      </w:r>
      <w:r w:rsidR="00275445" w:rsidRPr="00A83991">
        <w:rPr>
          <w:sz w:val="22"/>
          <w:szCs w:val="22"/>
          <w:lang w:val="sk-SK"/>
        </w:rPr>
        <w:t>Talopamom nie je potrebné monitorovať plazmatické hladiny topiramátu. Zriedkavo môže pridanie topiramátu k fenytoínu vyžadovať úpravu dávky fenytoínu, aby sa dosiahol optimálny klinický výsledok. Pridanie alebo vynechanie fenytoínu a karbamazepínu pri prídavnej liečbe Talopamom</w:t>
      </w:r>
      <w:r w:rsidR="00D21BEC" w:rsidRPr="00A83991">
        <w:rPr>
          <w:sz w:val="22"/>
          <w:szCs w:val="22"/>
          <w:lang w:val="sk-SK"/>
        </w:rPr>
        <w:t xml:space="preserve"> </w:t>
      </w:r>
      <w:r w:rsidR="00275445" w:rsidRPr="00A83991">
        <w:rPr>
          <w:sz w:val="22"/>
          <w:szCs w:val="22"/>
          <w:lang w:val="sk-SK"/>
        </w:rPr>
        <w:t>môže vyžadovať úpravu dávky Talopa</w:t>
      </w:r>
      <w:r w:rsidR="00D21BEC" w:rsidRPr="00A83991">
        <w:rPr>
          <w:sz w:val="22"/>
          <w:szCs w:val="22"/>
          <w:lang w:val="sk-SK"/>
        </w:rPr>
        <w:t>mu.</w:t>
      </w:r>
    </w:p>
    <w:p w:rsidR="00D21BEC" w:rsidRPr="00A83991" w:rsidRDefault="00D21BEC">
      <w:pPr>
        <w:rPr>
          <w:sz w:val="22"/>
          <w:szCs w:val="22"/>
          <w:lang w:val="sk-SK"/>
        </w:rPr>
      </w:pPr>
    </w:p>
    <w:p w:rsidR="00D56917" w:rsidRPr="00A83991" w:rsidRDefault="00D56917" w:rsidP="00D56917">
      <w:pPr>
        <w:pStyle w:val="BodyText12"/>
        <w:tabs>
          <w:tab w:val="left" w:pos="567"/>
        </w:tabs>
        <w:spacing w:after="0" w:line="240" w:lineRule="auto"/>
        <w:ind w:left="0"/>
        <w:jc w:val="left"/>
        <w:rPr>
          <w:sz w:val="22"/>
          <w:szCs w:val="22"/>
          <w:lang w:val="sk-SK"/>
        </w:rPr>
      </w:pPr>
      <w:r w:rsidRPr="00A83991">
        <w:rPr>
          <w:color w:val="000000"/>
          <w:sz w:val="22"/>
          <w:szCs w:val="22"/>
          <w:lang w:val="sk-SK"/>
        </w:rPr>
        <w:t>U pacientov s anamnézou záchvatov alebo epilepsie alebo bez tejto anamnézy sa má liečba antiepileptikami, vrátane topiramátu, postupne ukončiť, aby sa minimalizoval potenciál záchvatov alebo zvýšenie frekvencie záchvatov. V klinických štúdiách sa denné dávky znižovali v týždňových intervaloch o 50 </w:t>
      </w:r>
      <w:r w:rsidRPr="00A83991">
        <w:rPr>
          <w:color w:val="000000"/>
          <w:sz w:val="22"/>
          <w:szCs w:val="22"/>
          <w:lang w:val="sk-SK"/>
        </w:rPr>
        <w:noBreakHyphen/>
        <w:t> 100 mg u dospelých s epilepsiou a o 25 </w:t>
      </w:r>
      <w:r w:rsidRPr="00A83991">
        <w:rPr>
          <w:color w:val="000000"/>
          <w:sz w:val="22"/>
          <w:szCs w:val="22"/>
          <w:lang w:val="sk-SK"/>
        </w:rPr>
        <w:noBreakHyphen/>
        <w:t> 50 mg u dospelých, ktorí na prevenciu migrény užívali topiramát v dávke do 100 mg/deň. V klinických štúdiách u detí bol topiramát postupne vynechaný počas 2 </w:t>
      </w:r>
      <w:r w:rsidRPr="00A83991">
        <w:rPr>
          <w:color w:val="000000"/>
          <w:sz w:val="22"/>
          <w:szCs w:val="22"/>
          <w:lang w:val="sk-SK"/>
        </w:rPr>
        <w:noBreakHyphen/>
        <w:t> 8 týždňového obdobia.</w:t>
      </w:r>
    </w:p>
    <w:p w:rsidR="006B310D" w:rsidRPr="00A83991" w:rsidRDefault="006B310D">
      <w:pPr>
        <w:rPr>
          <w:sz w:val="22"/>
          <w:szCs w:val="22"/>
          <w:lang w:val="sk-SK"/>
        </w:rPr>
      </w:pPr>
    </w:p>
    <w:p w:rsidR="00D56917" w:rsidRPr="00A83991" w:rsidRDefault="00D56917" w:rsidP="000971FE">
      <w:pPr>
        <w:keepNext/>
        <w:rPr>
          <w:sz w:val="22"/>
          <w:szCs w:val="22"/>
          <w:u w:val="single"/>
          <w:lang w:val="sk-SK"/>
        </w:rPr>
      </w:pPr>
      <w:r w:rsidRPr="00A83991">
        <w:rPr>
          <w:sz w:val="22"/>
          <w:szCs w:val="22"/>
          <w:u w:val="single"/>
          <w:lang w:val="sk-SK"/>
        </w:rPr>
        <w:t>Monoterapia epilepsie</w:t>
      </w:r>
    </w:p>
    <w:p w:rsidR="00D56917" w:rsidRPr="00A83991" w:rsidRDefault="00D56917" w:rsidP="000971FE">
      <w:pPr>
        <w:pStyle w:val="BodyText12"/>
        <w:keepNext/>
        <w:tabs>
          <w:tab w:val="left" w:pos="567"/>
        </w:tabs>
        <w:spacing w:after="0" w:line="240" w:lineRule="auto"/>
        <w:ind w:left="0"/>
        <w:jc w:val="left"/>
        <w:rPr>
          <w:i/>
          <w:sz w:val="22"/>
          <w:szCs w:val="22"/>
          <w:lang w:val="sk-SK"/>
        </w:rPr>
      </w:pPr>
    </w:p>
    <w:p w:rsidR="00D56917" w:rsidRPr="00A83991" w:rsidRDefault="00D56917" w:rsidP="00D56917">
      <w:pPr>
        <w:pStyle w:val="BodyText12"/>
        <w:tabs>
          <w:tab w:val="left" w:pos="567"/>
        </w:tabs>
        <w:spacing w:after="0" w:line="240" w:lineRule="auto"/>
        <w:ind w:left="0"/>
        <w:jc w:val="left"/>
        <w:rPr>
          <w:i/>
          <w:sz w:val="22"/>
          <w:szCs w:val="22"/>
          <w:lang w:val="sk-SK"/>
        </w:rPr>
      </w:pPr>
      <w:r w:rsidRPr="00A83991">
        <w:rPr>
          <w:i/>
          <w:sz w:val="22"/>
          <w:szCs w:val="22"/>
          <w:lang w:val="sk-SK"/>
        </w:rPr>
        <w:t>Všeobecne</w:t>
      </w:r>
    </w:p>
    <w:p w:rsidR="00D56917" w:rsidRPr="00A83991" w:rsidRDefault="00D56917" w:rsidP="00D56917">
      <w:pPr>
        <w:pStyle w:val="BodyText12"/>
        <w:tabs>
          <w:tab w:val="left" w:pos="567"/>
        </w:tabs>
        <w:spacing w:after="0" w:line="240" w:lineRule="auto"/>
        <w:ind w:left="0"/>
        <w:jc w:val="left"/>
        <w:rPr>
          <w:sz w:val="22"/>
          <w:szCs w:val="22"/>
          <w:lang w:val="sk-SK"/>
        </w:rPr>
      </w:pPr>
      <w:r w:rsidRPr="00A83991">
        <w:rPr>
          <w:sz w:val="22"/>
          <w:szCs w:val="22"/>
          <w:lang w:val="sk-SK"/>
        </w:rPr>
        <w:t xml:space="preserve">Pri vynechaní súčasne užívaných antiepileptík pre dosiahnutie monoterapie topiramátom sa majú zvážiť následky, ktoré môže mať </w:t>
      </w:r>
      <w:r w:rsidR="006F6CCB" w:rsidRPr="00A83991">
        <w:rPr>
          <w:sz w:val="22"/>
          <w:szCs w:val="22"/>
          <w:lang w:val="sk-SK"/>
        </w:rPr>
        <w:t xml:space="preserve">účinok na </w:t>
      </w:r>
      <w:r w:rsidRPr="00A83991">
        <w:rPr>
          <w:sz w:val="22"/>
          <w:szCs w:val="22"/>
          <w:lang w:val="sk-SK"/>
        </w:rPr>
        <w:t>kontrolu záchvatov. S výnimkou prípadov, ktoré z hľadiska bezpečnosti vyžadujú náhle vynechanie súčasne podávaných antiepileptík, odporúča sa postupné vynechanie súčasne podávaného antiepileptika v rozsahu približne jednej tretiny jeho dávky každé 2 týždne.</w:t>
      </w:r>
    </w:p>
    <w:p w:rsidR="00D56917" w:rsidRPr="00A83991" w:rsidRDefault="00D56917" w:rsidP="00D56917">
      <w:pPr>
        <w:pStyle w:val="BodyText12"/>
        <w:tabs>
          <w:tab w:val="left" w:pos="567"/>
        </w:tabs>
        <w:spacing w:after="0" w:line="240" w:lineRule="auto"/>
        <w:ind w:left="0"/>
        <w:jc w:val="left"/>
        <w:rPr>
          <w:sz w:val="22"/>
          <w:szCs w:val="22"/>
          <w:lang w:val="sk-SK"/>
        </w:rPr>
      </w:pPr>
    </w:p>
    <w:p w:rsidR="00D56917" w:rsidRPr="00A83991" w:rsidRDefault="00D56917" w:rsidP="00D56917">
      <w:pPr>
        <w:pStyle w:val="BodyText12"/>
        <w:tabs>
          <w:tab w:val="left" w:pos="567"/>
        </w:tabs>
        <w:spacing w:after="0" w:line="240" w:lineRule="auto"/>
        <w:ind w:left="0"/>
        <w:jc w:val="left"/>
        <w:rPr>
          <w:sz w:val="22"/>
          <w:szCs w:val="22"/>
          <w:lang w:val="sk-SK"/>
        </w:rPr>
      </w:pPr>
      <w:r w:rsidRPr="00A83991">
        <w:rPr>
          <w:sz w:val="22"/>
          <w:szCs w:val="22"/>
          <w:lang w:val="sk-SK"/>
        </w:rPr>
        <w:t>Keď sa vynechajú enzým-indukujúce lieky, hladiny topiramátu sa zvýšia. Ak sú na to klinické dôvody, môže sa dávkovanie Talopamu (topiramátu) znížiť.</w:t>
      </w:r>
    </w:p>
    <w:p w:rsidR="00D56917" w:rsidRPr="00A83991" w:rsidRDefault="00D56917" w:rsidP="00D56917">
      <w:pPr>
        <w:pStyle w:val="BodyText12"/>
        <w:tabs>
          <w:tab w:val="left" w:pos="567"/>
        </w:tabs>
        <w:spacing w:after="0" w:line="240" w:lineRule="auto"/>
        <w:ind w:left="0"/>
        <w:jc w:val="left"/>
        <w:rPr>
          <w:sz w:val="22"/>
          <w:szCs w:val="22"/>
          <w:lang w:val="sk-SK"/>
        </w:rPr>
      </w:pPr>
    </w:p>
    <w:p w:rsidR="00D56917" w:rsidRPr="00A83991" w:rsidRDefault="00D56917" w:rsidP="000971FE">
      <w:pPr>
        <w:pStyle w:val="BodyText12"/>
        <w:keepNext/>
        <w:tabs>
          <w:tab w:val="left" w:pos="567"/>
        </w:tabs>
        <w:spacing w:after="0" w:line="240" w:lineRule="auto"/>
        <w:ind w:left="0"/>
        <w:jc w:val="left"/>
        <w:rPr>
          <w:i/>
          <w:sz w:val="22"/>
          <w:szCs w:val="22"/>
          <w:lang w:val="sk-SK"/>
        </w:rPr>
      </w:pPr>
      <w:r w:rsidRPr="00A83991">
        <w:rPr>
          <w:i/>
          <w:sz w:val="22"/>
          <w:szCs w:val="22"/>
          <w:lang w:val="sk-SK"/>
        </w:rPr>
        <w:t>Dospelí</w:t>
      </w:r>
    </w:p>
    <w:p w:rsidR="006B310D" w:rsidRPr="00A83991" w:rsidRDefault="006B310D" w:rsidP="000971FE">
      <w:pPr>
        <w:keepNext/>
        <w:rPr>
          <w:sz w:val="22"/>
          <w:szCs w:val="22"/>
          <w:lang w:val="sk-SK"/>
        </w:rPr>
      </w:pPr>
    </w:p>
    <w:p w:rsidR="0062518F" w:rsidRPr="00A83991" w:rsidRDefault="00BD0660" w:rsidP="00346C08">
      <w:pPr>
        <w:rPr>
          <w:sz w:val="22"/>
          <w:szCs w:val="22"/>
          <w:lang w:val="sk-SK"/>
        </w:rPr>
      </w:pPr>
      <w:r w:rsidRPr="00A83991">
        <w:rPr>
          <w:sz w:val="22"/>
          <w:szCs w:val="22"/>
          <w:lang w:val="sk-SK"/>
        </w:rPr>
        <w:t xml:space="preserve">Dávka a titrácia sa má riadiť klinickou odpoveďou. </w:t>
      </w:r>
      <w:r w:rsidR="00346C08" w:rsidRPr="00A83991">
        <w:rPr>
          <w:sz w:val="22"/>
          <w:szCs w:val="22"/>
          <w:lang w:val="sk-SK"/>
        </w:rPr>
        <w:t>Titrácia dávky sa má začať s</w:t>
      </w:r>
      <w:r w:rsidR="00EC1F5E" w:rsidRPr="00A83991">
        <w:rPr>
          <w:sz w:val="22"/>
          <w:szCs w:val="22"/>
          <w:lang w:val="sk-SK"/>
        </w:rPr>
        <w:t xml:space="preserve"> dávkou </w:t>
      </w:r>
      <w:r w:rsidR="00346C08" w:rsidRPr="00A83991">
        <w:rPr>
          <w:sz w:val="22"/>
          <w:szCs w:val="22"/>
          <w:lang w:val="sk-SK"/>
        </w:rPr>
        <w:t xml:space="preserve">25 mg </w:t>
      </w:r>
      <w:r w:rsidR="006A154D" w:rsidRPr="00A83991">
        <w:rPr>
          <w:sz w:val="22"/>
          <w:szCs w:val="22"/>
          <w:lang w:val="sk-SK"/>
        </w:rPr>
        <w:t>pod</w:t>
      </w:r>
      <w:r w:rsidRPr="00A83991">
        <w:rPr>
          <w:sz w:val="22"/>
          <w:szCs w:val="22"/>
          <w:lang w:val="sk-SK"/>
        </w:rPr>
        <w:t xml:space="preserve">anou na noc </w:t>
      </w:r>
      <w:r w:rsidR="00346C08" w:rsidRPr="00A83991">
        <w:rPr>
          <w:sz w:val="22"/>
          <w:szCs w:val="22"/>
          <w:lang w:val="sk-SK"/>
        </w:rPr>
        <w:t xml:space="preserve">počas </w:t>
      </w:r>
      <w:r w:rsidRPr="00A83991">
        <w:rPr>
          <w:sz w:val="22"/>
          <w:szCs w:val="22"/>
          <w:lang w:val="sk-SK"/>
        </w:rPr>
        <w:t>1 týždňa.</w:t>
      </w:r>
      <w:r w:rsidR="00346C08" w:rsidRPr="00A83991">
        <w:rPr>
          <w:sz w:val="22"/>
          <w:szCs w:val="22"/>
          <w:lang w:val="sk-SK"/>
        </w:rPr>
        <w:t xml:space="preserve"> Dávka sa má následne zvyšovať </w:t>
      </w:r>
      <w:r w:rsidRPr="00A83991">
        <w:rPr>
          <w:sz w:val="22"/>
          <w:szCs w:val="22"/>
          <w:lang w:val="sk-SK"/>
        </w:rPr>
        <w:t xml:space="preserve">v 1 až 2 týždňových intervaloch </w:t>
      </w:r>
      <w:r w:rsidR="00346C08" w:rsidRPr="00A83991">
        <w:rPr>
          <w:sz w:val="22"/>
          <w:szCs w:val="22"/>
          <w:lang w:val="sk-SK"/>
        </w:rPr>
        <w:t>o</w:t>
      </w:r>
      <w:r w:rsidRPr="00A83991">
        <w:rPr>
          <w:sz w:val="22"/>
          <w:szCs w:val="22"/>
          <w:lang w:val="sk-SK"/>
        </w:rPr>
        <w:t> </w:t>
      </w:r>
      <w:r w:rsidR="00346C08" w:rsidRPr="00A83991">
        <w:rPr>
          <w:sz w:val="22"/>
          <w:szCs w:val="22"/>
          <w:lang w:val="sk-SK"/>
        </w:rPr>
        <w:t>25</w:t>
      </w:r>
      <w:r w:rsidRPr="00A83991">
        <w:rPr>
          <w:sz w:val="22"/>
          <w:szCs w:val="22"/>
          <w:lang w:val="sk-SK"/>
        </w:rPr>
        <w:t> </w:t>
      </w:r>
      <w:r w:rsidR="00EC1F5E" w:rsidRPr="00A83991">
        <w:rPr>
          <w:sz w:val="22"/>
          <w:szCs w:val="22"/>
          <w:lang w:val="sk-SK"/>
        </w:rPr>
        <w:t xml:space="preserve">mg/deň až </w:t>
      </w:r>
      <w:r w:rsidR="00346C08" w:rsidRPr="00A83991">
        <w:rPr>
          <w:sz w:val="22"/>
          <w:szCs w:val="22"/>
          <w:lang w:val="sk-SK"/>
        </w:rPr>
        <w:t xml:space="preserve">50 mg/deň a podávať sa má v dvoch rozdelených dávkach. Pokiaľ pacient nie je schopný tolerovať titračný režim, môžu sa použiť </w:t>
      </w:r>
      <w:r w:rsidR="002D1EAB" w:rsidRPr="00A83991">
        <w:rPr>
          <w:sz w:val="22"/>
          <w:szCs w:val="22"/>
          <w:lang w:val="sk-SK"/>
        </w:rPr>
        <w:t>n</w:t>
      </w:r>
      <w:r w:rsidR="00CE777D" w:rsidRPr="00A83991">
        <w:rPr>
          <w:sz w:val="22"/>
          <w:szCs w:val="22"/>
          <w:lang w:val="sk-SK"/>
        </w:rPr>
        <w:t xml:space="preserve">ižšie prírastky </w:t>
      </w:r>
      <w:r w:rsidR="00346C08" w:rsidRPr="00A83991">
        <w:rPr>
          <w:sz w:val="22"/>
          <w:szCs w:val="22"/>
          <w:lang w:val="sk-SK"/>
        </w:rPr>
        <w:t xml:space="preserve">dávky alebo dlhšie intervaly medzi zvyšovaním dávok. </w:t>
      </w:r>
    </w:p>
    <w:p w:rsidR="0062518F" w:rsidRPr="00A83991" w:rsidRDefault="0062518F" w:rsidP="00346C08">
      <w:pPr>
        <w:rPr>
          <w:sz w:val="22"/>
          <w:szCs w:val="22"/>
          <w:lang w:val="sk-SK"/>
        </w:rPr>
      </w:pPr>
    </w:p>
    <w:p w:rsidR="0062518F" w:rsidRPr="00A83991" w:rsidRDefault="00346C08" w:rsidP="00346C08">
      <w:pPr>
        <w:rPr>
          <w:sz w:val="22"/>
          <w:szCs w:val="22"/>
          <w:lang w:val="sk-SK"/>
        </w:rPr>
      </w:pPr>
      <w:r w:rsidRPr="00A83991">
        <w:rPr>
          <w:sz w:val="22"/>
          <w:szCs w:val="22"/>
          <w:lang w:val="sk-SK"/>
        </w:rPr>
        <w:t xml:space="preserve">Odporúčaná </w:t>
      </w:r>
      <w:r w:rsidR="0062518F" w:rsidRPr="00A83991">
        <w:rPr>
          <w:sz w:val="22"/>
          <w:szCs w:val="22"/>
          <w:lang w:val="sk-SK"/>
        </w:rPr>
        <w:t>začiatočná</w:t>
      </w:r>
      <w:r w:rsidRPr="00A83991">
        <w:rPr>
          <w:sz w:val="22"/>
          <w:szCs w:val="22"/>
          <w:lang w:val="sk-SK"/>
        </w:rPr>
        <w:t xml:space="preserve"> cieľová dávka pri monoterapii topiramátom u dospelých je 100 mg/deň</w:t>
      </w:r>
      <w:r w:rsidR="00F83F9B" w:rsidRPr="00A83991">
        <w:rPr>
          <w:sz w:val="22"/>
          <w:szCs w:val="22"/>
          <w:lang w:val="sk-SK"/>
        </w:rPr>
        <w:t xml:space="preserve"> a</w:t>
      </w:r>
      <w:r w:rsidR="0062518F" w:rsidRPr="00A83991">
        <w:rPr>
          <w:sz w:val="22"/>
          <w:szCs w:val="22"/>
          <w:lang w:val="sk-SK"/>
        </w:rPr>
        <w:t>ž 200 mg/deň rozdelená na dve dávky. M</w:t>
      </w:r>
      <w:r w:rsidRPr="00A83991">
        <w:rPr>
          <w:sz w:val="22"/>
          <w:szCs w:val="22"/>
          <w:lang w:val="sk-SK"/>
        </w:rPr>
        <w:t xml:space="preserve">aximálna odporúčaná denná dávka je </w:t>
      </w:r>
      <w:r w:rsidR="0062518F" w:rsidRPr="00A83991">
        <w:rPr>
          <w:sz w:val="22"/>
          <w:szCs w:val="22"/>
          <w:lang w:val="sk-SK"/>
        </w:rPr>
        <w:t>50</w:t>
      </w:r>
      <w:r w:rsidRPr="00A83991">
        <w:rPr>
          <w:sz w:val="22"/>
          <w:szCs w:val="22"/>
          <w:lang w:val="sk-SK"/>
        </w:rPr>
        <w:t>0 mg</w:t>
      </w:r>
      <w:r w:rsidR="0062518F" w:rsidRPr="00A83991">
        <w:rPr>
          <w:sz w:val="22"/>
          <w:szCs w:val="22"/>
          <w:lang w:val="sk-SK"/>
        </w:rPr>
        <w:t>/deň rozdelená na dve dávky. Niektorí pacienti s refraktérnymi formami epilepsie tolerovali monoterapiu topiramátom pri dávke 1 000 mg/deň. Toto dávkovanie sa odporúča všetkým dospelým vrátane starších pacientov bez ochorenia obličiek.</w:t>
      </w:r>
    </w:p>
    <w:p w:rsidR="0062518F" w:rsidRPr="00A83991" w:rsidRDefault="0062518F" w:rsidP="0062518F">
      <w:pPr>
        <w:pStyle w:val="BodyText12"/>
        <w:spacing w:after="0" w:line="240" w:lineRule="auto"/>
        <w:ind w:left="0"/>
        <w:jc w:val="left"/>
        <w:rPr>
          <w:sz w:val="22"/>
          <w:szCs w:val="22"/>
          <w:lang w:val="sk-SK"/>
        </w:rPr>
      </w:pPr>
    </w:p>
    <w:p w:rsidR="0062518F" w:rsidRPr="00A83991" w:rsidRDefault="00787901" w:rsidP="000971FE">
      <w:pPr>
        <w:pStyle w:val="BodyText12"/>
        <w:keepNext/>
        <w:spacing w:after="0" w:line="240" w:lineRule="auto"/>
        <w:ind w:left="0"/>
        <w:jc w:val="left"/>
        <w:rPr>
          <w:i/>
          <w:sz w:val="22"/>
          <w:szCs w:val="22"/>
          <w:lang w:val="sk-SK"/>
        </w:rPr>
      </w:pPr>
      <w:r>
        <w:rPr>
          <w:i/>
          <w:sz w:val="22"/>
          <w:szCs w:val="22"/>
          <w:lang w:val="sk-SK"/>
        </w:rPr>
        <w:t>Pediatrická populácia</w:t>
      </w:r>
      <w:r w:rsidR="0050455F" w:rsidRPr="00A83991">
        <w:rPr>
          <w:i/>
          <w:sz w:val="22"/>
          <w:szCs w:val="22"/>
          <w:lang w:val="sk-SK"/>
        </w:rPr>
        <w:t xml:space="preserve"> </w:t>
      </w:r>
      <w:r w:rsidR="0062518F" w:rsidRPr="00A83991">
        <w:rPr>
          <w:i/>
          <w:sz w:val="22"/>
          <w:szCs w:val="22"/>
          <w:lang w:val="sk-SK"/>
        </w:rPr>
        <w:t>(deti</w:t>
      </w:r>
      <w:r w:rsidR="0050455F" w:rsidRPr="00A83991">
        <w:rPr>
          <w:i/>
          <w:sz w:val="22"/>
          <w:szCs w:val="22"/>
          <w:lang w:val="sk-SK"/>
        </w:rPr>
        <w:t xml:space="preserve"> vo veku od </w:t>
      </w:r>
      <w:r w:rsidR="0062518F" w:rsidRPr="00A83991">
        <w:rPr>
          <w:i/>
          <w:sz w:val="22"/>
          <w:szCs w:val="22"/>
          <w:lang w:val="sk-SK"/>
        </w:rPr>
        <w:t>6 rokov)</w:t>
      </w:r>
    </w:p>
    <w:p w:rsidR="0062518F" w:rsidRPr="00A83991" w:rsidRDefault="0062518F" w:rsidP="000971FE">
      <w:pPr>
        <w:pStyle w:val="BodyText12"/>
        <w:keepNext/>
        <w:spacing w:after="0" w:line="240" w:lineRule="auto"/>
        <w:ind w:left="0"/>
        <w:jc w:val="left"/>
        <w:rPr>
          <w:sz w:val="22"/>
          <w:szCs w:val="22"/>
          <w:u w:val="single"/>
          <w:lang w:val="sk-SK"/>
        </w:rPr>
      </w:pPr>
    </w:p>
    <w:p w:rsidR="0062518F" w:rsidRPr="00A83991" w:rsidRDefault="0062518F" w:rsidP="0062518F">
      <w:pPr>
        <w:pStyle w:val="BodyText12"/>
        <w:spacing w:after="0" w:line="240" w:lineRule="auto"/>
        <w:ind w:left="0"/>
        <w:jc w:val="left"/>
        <w:rPr>
          <w:sz w:val="22"/>
          <w:szCs w:val="22"/>
          <w:lang w:val="sk-SK"/>
        </w:rPr>
      </w:pPr>
      <w:r w:rsidRPr="00A83991">
        <w:rPr>
          <w:sz w:val="22"/>
          <w:szCs w:val="22"/>
          <w:lang w:val="sk-SK"/>
        </w:rPr>
        <w:t xml:space="preserve">Dávka a rýchlosť titrácie u detí sa má riadiť klinickým výsledkom. </w:t>
      </w:r>
      <w:r w:rsidR="00321ACE">
        <w:rPr>
          <w:sz w:val="22"/>
          <w:szCs w:val="22"/>
          <w:lang w:val="sk-SK"/>
        </w:rPr>
        <w:t>Liečba d</w:t>
      </w:r>
      <w:r w:rsidRPr="00A83991">
        <w:rPr>
          <w:sz w:val="22"/>
          <w:szCs w:val="22"/>
          <w:lang w:val="sk-SK"/>
        </w:rPr>
        <w:t>et</w:t>
      </w:r>
      <w:r w:rsidR="00321ACE">
        <w:rPr>
          <w:sz w:val="22"/>
          <w:szCs w:val="22"/>
          <w:lang w:val="sk-SK"/>
        </w:rPr>
        <w:t>í</w:t>
      </w:r>
      <w:r w:rsidRPr="00A83991">
        <w:rPr>
          <w:sz w:val="22"/>
          <w:szCs w:val="22"/>
          <w:lang w:val="sk-SK"/>
        </w:rPr>
        <w:t xml:space="preserve"> od 6 rokov </w:t>
      </w:r>
      <w:r w:rsidR="00321ACE">
        <w:rPr>
          <w:sz w:val="22"/>
          <w:szCs w:val="22"/>
          <w:lang w:val="sk-SK"/>
        </w:rPr>
        <w:t xml:space="preserve">sa </w:t>
      </w:r>
      <w:r w:rsidRPr="00A83991">
        <w:rPr>
          <w:sz w:val="22"/>
          <w:szCs w:val="22"/>
          <w:lang w:val="sk-SK"/>
        </w:rPr>
        <w:t>m</w:t>
      </w:r>
      <w:r w:rsidR="00321ACE">
        <w:rPr>
          <w:sz w:val="22"/>
          <w:szCs w:val="22"/>
          <w:lang w:val="sk-SK"/>
        </w:rPr>
        <w:t>á</w:t>
      </w:r>
      <w:r w:rsidRPr="00A83991">
        <w:rPr>
          <w:sz w:val="22"/>
          <w:szCs w:val="22"/>
          <w:lang w:val="sk-SK"/>
        </w:rPr>
        <w:t xml:space="preserve"> začať dávkou 0,5 až 1 mg/kg na noc počas prvého týždňa. Dávk</w:t>
      </w:r>
      <w:r w:rsidR="00321ACE">
        <w:rPr>
          <w:sz w:val="22"/>
          <w:szCs w:val="22"/>
          <w:lang w:val="sk-SK"/>
        </w:rPr>
        <w:t>a</w:t>
      </w:r>
      <w:r w:rsidRPr="00A83991">
        <w:rPr>
          <w:sz w:val="22"/>
          <w:szCs w:val="22"/>
          <w:lang w:val="sk-SK"/>
        </w:rPr>
        <w:t xml:space="preserve"> sa má zvyšovať v 1 alebo 2</w:t>
      </w:r>
      <w:r w:rsidR="0050455F" w:rsidRPr="00A83991">
        <w:rPr>
          <w:sz w:val="22"/>
          <w:szCs w:val="22"/>
          <w:lang w:val="sk-SK"/>
        </w:rPr>
        <w:t xml:space="preserve"> </w:t>
      </w:r>
      <w:r w:rsidRPr="00A83991">
        <w:rPr>
          <w:sz w:val="22"/>
          <w:szCs w:val="22"/>
          <w:lang w:val="sk-SK"/>
        </w:rPr>
        <w:t>týždňových intervaloch o 0,5 až 1 mg/kg/deň, rozdelen</w:t>
      </w:r>
      <w:r w:rsidR="00321ACE">
        <w:rPr>
          <w:sz w:val="22"/>
          <w:szCs w:val="22"/>
          <w:lang w:val="sk-SK"/>
        </w:rPr>
        <w:t>á</w:t>
      </w:r>
      <w:r w:rsidRPr="00A83991">
        <w:rPr>
          <w:sz w:val="22"/>
          <w:szCs w:val="22"/>
          <w:lang w:val="sk-SK"/>
        </w:rPr>
        <w:t xml:space="preserve"> do dvoch dávok. Ak dieťa netoleruje titračný režim, môže sa použiť menšie zvýšenie alebo dlhšie intervaly medzi zvýšeniami dávok.</w:t>
      </w:r>
    </w:p>
    <w:p w:rsidR="0062518F" w:rsidRPr="00A83991" w:rsidRDefault="0062518F" w:rsidP="0062518F">
      <w:pPr>
        <w:pStyle w:val="BodyText12"/>
        <w:spacing w:after="0" w:line="240" w:lineRule="auto"/>
        <w:ind w:left="0"/>
        <w:jc w:val="left"/>
        <w:rPr>
          <w:sz w:val="22"/>
          <w:szCs w:val="22"/>
          <w:lang w:val="sk-SK"/>
        </w:rPr>
      </w:pPr>
    </w:p>
    <w:p w:rsidR="0062518F" w:rsidRPr="00A83991" w:rsidRDefault="0062518F" w:rsidP="0062518F">
      <w:pPr>
        <w:pStyle w:val="BodyText12"/>
        <w:spacing w:after="0" w:line="240" w:lineRule="auto"/>
        <w:ind w:left="0"/>
        <w:jc w:val="left"/>
        <w:rPr>
          <w:sz w:val="22"/>
          <w:szCs w:val="22"/>
          <w:lang w:val="sk-SK"/>
        </w:rPr>
      </w:pPr>
      <w:r w:rsidRPr="00A83991">
        <w:rPr>
          <w:sz w:val="22"/>
          <w:szCs w:val="22"/>
          <w:lang w:val="sk-SK"/>
        </w:rPr>
        <w:t>Odporúčané začiatočné dávkovanie pri monoterapii topiramátom u detí vo veku od 6 rokov je 100 mg/deň v závislosti od klinickej odpovede (to je okolo 2,0 mg/kg/deň u</w:t>
      </w:r>
      <w:r w:rsidR="0050455F" w:rsidRPr="00A83991">
        <w:rPr>
          <w:sz w:val="22"/>
          <w:szCs w:val="22"/>
          <w:lang w:val="sk-SK"/>
        </w:rPr>
        <w:t xml:space="preserve"> detí vo veku </w:t>
      </w:r>
      <w:r w:rsidRPr="00A83991">
        <w:rPr>
          <w:sz w:val="22"/>
          <w:szCs w:val="22"/>
          <w:lang w:val="sk-SK"/>
        </w:rPr>
        <w:t>6</w:t>
      </w:r>
      <w:r w:rsidR="0050455F" w:rsidRPr="00A83991">
        <w:rPr>
          <w:sz w:val="22"/>
          <w:szCs w:val="22"/>
          <w:lang w:val="sk-SK"/>
        </w:rPr>
        <w:t xml:space="preserve"> až </w:t>
      </w:r>
      <w:r w:rsidRPr="00A83991">
        <w:rPr>
          <w:sz w:val="22"/>
          <w:szCs w:val="22"/>
          <w:lang w:val="sk-SK"/>
        </w:rPr>
        <w:t>16</w:t>
      </w:r>
      <w:r w:rsidR="0050455F" w:rsidRPr="00A83991">
        <w:rPr>
          <w:sz w:val="22"/>
          <w:szCs w:val="22"/>
          <w:lang w:val="sk-SK"/>
        </w:rPr>
        <w:t xml:space="preserve"> rokov)</w:t>
      </w:r>
      <w:r w:rsidRPr="00A83991">
        <w:rPr>
          <w:sz w:val="22"/>
          <w:szCs w:val="22"/>
          <w:lang w:val="sk-SK"/>
        </w:rPr>
        <w:t xml:space="preserve">. </w:t>
      </w:r>
    </w:p>
    <w:p w:rsidR="0062518F" w:rsidRPr="00A83991" w:rsidRDefault="0062518F" w:rsidP="0062518F">
      <w:pPr>
        <w:pStyle w:val="BodyText12"/>
        <w:spacing w:after="0" w:line="240" w:lineRule="auto"/>
        <w:ind w:left="0"/>
        <w:jc w:val="left"/>
        <w:rPr>
          <w:sz w:val="22"/>
          <w:szCs w:val="22"/>
          <w:lang w:val="sk-SK"/>
        </w:rPr>
      </w:pPr>
    </w:p>
    <w:p w:rsidR="0062518F" w:rsidRPr="000971FE" w:rsidRDefault="0062518F" w:rsidP="0062518F">
      <w:pPr>
        <w:pStyle w:val="BodyText12"/>
        <w:keepNext/>
        <w:spacing w:after="0" w:line="240" w:lineRule="auto"/>
        <w:ind w:left="0"/>
        <w:jc w:val="left"/>
        <w:rPr>
          <w:sz w:val="22"/>
          <w:szCs w:val="22"/>
          <w:lang w:val="sk-SK"/>
        </w:rPr>
      </w:pPr>
      <w:r w:rsidRPr="000971FE">
        <w:rPr>
          <w:sz w:val="22"/>
          <w:szCs w:val="22"/>
          <w:lang w:val="sk-SK"/>
        </w:rPr>
        <w:t xml:space="preserve">Prídavná </w:t>
      </w:r>
      <w:r w:rsidR="0050455F" w:rsidRPr="000971FE">
        <w:rPr>
          <w:sz w:val="22"/>
          <w:szCs w:val="22"/>
          <w:lang w:val="sk-SK"/>
        </w:rPr>
        <w:t xml:space="preserve">liečba </w:t>
      </w:r>
      <w:r w:rsidRPr="000971FE">
        <w:rPr>
          <w:sz w:val="22"/>
          <w:szCs w:val="22"/>
          <w:lang w:val="sk-SK"/>
        </w:rPr>
        <w:t>epilepsie (parciálne záchvaty so sekundárnou generalizáciou alebo bez nej, primárne generalizované tonicko-klonické záchvaty alebo záchvaty spojené s Lennoxovým-Gaustatovým syndrómom)</w:t>
      </w:r>
    </w:p>
    <w:p w:rsidR="0062518F" w:rsidRPr="00A83991" w:rsidRDefault="0062518F" w:rsidP="0062518F">
      <w:pPr>
        <w:pStyle w:val="BodyText12"/>
        <w:keepNext/>
        <w:spacing w:after="0" w:line="240" w:lineRule="auto"/>
        <w:ind w:left="0"/>
        <w:jc w:val="left"/>
        <w:rPr>
          <w:sz w:val="22"/>
          <w:szCs w:val="22"/>
          <w:lang w:val="sk-SK"/>
        </w:rPr>
      </w:pPr>
    </w:p>
    <w:p w:rsidR="0062518F" w:rsidRPr="00A83991" w:rsidRDefault="0062518F" w:rsidP="00682609">
      <w:pPr>
        <w:pStyle w:val="BodyText12"/>
        <w:keepNext/>
        <w:spacing w:after="0" w:line="240" w:lineRule="auto"/>
        <w:ind w:left="0"/>
        <w:jc w:val="left"/>
        <w:rPr>
          <w:i/>
          <w:sz w:val="22"/>
          <w:szCs w:val="22"/>
          <w:lang w:val="sk-SK"/>
        </w:rPr>
      </w:pPr>
      <w:r w:rsidRPr="00A83991">
        <w:rPr>
          <w:i/>
          <w:sz w:val="22"/>
          <w:szCs w:val="22"/>
          <w:lang w:val="sk-SK"/>
        </w:rPr>
        <w:t>Dospelí</w:t>
      </w:r>
    </w:p>
    <w:p w:rsidR="0062518F" w:rsidRPr="000971FE" w:rsidRDefault="0062518F" w:rsidP="00682609">
      <w:pPr>
        <w:pStyle w:val="BodyText12"/>
        <w:keepNext/>
        <w:spacing w:after="0" w:line="240" w:lineRule="auto"/>
        <w:ind w:left="0"/>
        <w:jc w:val="left"/>
        <w:rPr>
          <w:sz w:val="22"/>
          <w:szCs w:val="22"/>
          <w:lang w:val="sk-SK"/>
        </w:rPr>
      </w:pPr>
    </w:p>
    <w:p w:rsidR="0062518F" w:rsidRPr="00A83991" w:rsidRDefault="0062518F" w:rsidP="0062518F">
      <w:pPr>
        <w:pStyle w:val="BodyText12"/>
        <w:keepNext/>
        <w:spacing w:after="0" w:line="240" w:lineRule="auto"/>
        <w:ind w:left="0"/>
        <w:jc w:val="left"/>
        <w:rPr>
          <w:b/>
          <w:sz w:val="22"/>
          <w:szCs w:val="22"/>
          <w:lang w:val="sk-SK"/>
        </w:rPr>
      </w:pPr>
      <w:r w:rsidRPr="00A83991">
        <w:rPr>
          <w:sz w:val="22"/>
          <w:szCs w:val="22"/>
          <w:lang w:val="sk-SK"/>
        </w:rPr>
        <w:t xml:space="preserve">Liečba sa má začať dávkou 25 - 50 mg na noc počas jedného týždňa. Použitie nižšej </w:t>
      </w:r>
      <w:r w:rsidR="00CF4232">
        <w:rPr>
          <w:sz w:val="22"/>
          <w:szCs w:val="22"/>
          <w:lang w:val="sk-SK"/>
        </w:rPr>
        <w:t>začiatočnej</w:t>
      </w:r>
      <w:r w:rsidRPr="00A83991">
        <w:rPr>
          <w:sz w:val="22"/>
          <w:szCs w:val="22"/>
          <w:lang w:val="sk-SK"/>
        </w:rPr>
        <w:t xml:space="preserve"> dávky bolo zaznamenané, ale nebolo systematicky skúmané. Následne sa v týždňových alebo dvojtýždňových intervaloch dávka zvyšuje o 25 - 50 mg/deň a podáva sa v dvoch rozdelených dávkach. U niektorých pacientov sa môže dosiahnuť účinok s dávkovaním jedenkrát denne.</w:t>
      </w:r>
    </w:p>
    <w:p w:rsidR="0062518F" w:rsidRPr="00A83991" w:rsidRDefault="0062518F" w:rsidP="0062518F">
      <w:pPr>
        <w:pStyle w:val="BodyText12"/>
        <w:spacing w:after="0" w:line="240" w:lineRule="auto"/>
        <w:ind w:left="0"/>
        <w:jc w:val="left"/>
        <w:rPr>
          <w:sz w:val="22"/>
          <w:szCs w:val="22"/>
          <w:lang w:val="sk-SK"/>
        </w:rPr>
      </w:pPr>
    </w:p>
    <w:p w:rsidR="0062518F" w:rsidRPr="00A83991" w:rsidRDefault="0062518F" w:rsidP="0062518F">
      <w:pPr>
        <w:pStyle w:val="Bodytext"/>
        <w:tabs>
          <w:tab w:val="left" w:pos="8222"/>
        </w:tabs>
        <w:spacing w:after="0" w:line="240" w:lineRule="auto"/>
        <w:ind w:left="0" w:right="-369"/>
        <w:rPr>
          <w:rFonts w:ascii="Times New Roman" w:hAnsi="Times New Roman" w:cs="Times New Roman"/>
          <w:strike w:val="0"/>
          <w:sz w:val="22"/>
          <w:szCs w:val="22"/>
        </w:rPr>
      </w:pPr>
      <w:r w:rsidRPr="00A83991">
        <w:rPr>
          <w:rFonts w:ascii="Times New Roman" w:hAnsi="Times New Roman" w:cs="Times New Roman"/>
          <w:strike w:val="0"/>
          <w:sz w:val="22"/>
          <w:szCs w:val="22"/>
        </w:rPr>
        <w:t>V</w:t>
      </w:r>
      <w:r w:rsidR="00321ACE">
        <w:rPr>
          <w:rFonts w:ascii="Times New Roman" w:hAnsi="Times New Roman" w:cs="Times New Roman"/>
          <w:strike w:val="0"/>
          <w:sz w:val="22"/>
          <w:szCs w:val="22"/>
        </w:rPr>
        <w:t> </w:t>
      </w:r>
      <w:r w:rsidRPr="00A83991">
        <w:rPr>
          <w:rFonts w:ascii="Times New Roman" w:hAnsi="Times New Roman" w:cs="Times New Roman"/>
          <w:strike w:val="0"/>
          <w:sz w:val="22"/>
          <w:szCs w:val="22"/>
        </w:rPr>
        <w:t>klinických</w:t>
      </w:r>
      <w:r w:rsidR="00321ACE">
        <w:rPr>
          <w:rFonts w:ascii="Times New Roman" w:hAnsi="Times New Roman" w:cs="Times New Roman"/>
          <w:strike w:val="0"/>
          <w:sz w:val="22"/>
          <w:szCs w:val="22"/>
        </w:rPr>
        <w:t xml:space="preserve"> skúšaniach</w:t>
      </w:r>
      <w:r w:rsidRPr="00A83991">
        <w:rPr>
          <w:rFonts w:ascii="Times New Roman" w:hAnsi="Times New Roman" w:cs="Times New Roman"/>
          <w:strike w:val="0"/>
          <w:sz w:val="22"/>
          <w:szCs w:val="22"/>
        </w:rPr>
        <w:t xml:space="preserve"> bola pri prídavnej </w:t>
      </w:r>
      <w:r w:rsidR="00CF4232">
        <w:rPr>
          <w:rFonts w:ascii="Times New Roman" w:hAnsi="Times New Roman" w:cs="Times New Roman"/>
          <w:strike w:val="0"/>
          <w:sz w:val="22"/>
          <w:szCs w:val="22"/>
        </w:rPr>
        <w:t>liečbe</w:t>
      </w:r>
      <w:r w:rsidRPr="00A83991">
        <w:rPr>
          <w:rFonts w:ascii="Times New Roman" w:hAnsi="Times New Roman" w:cs="Times New Roman"/>
          <w:strike w:val="0"/>
          <w:sz w:val="22"/>
          <w:szCs w:val="22"/>
        </w:rPr>
        <w:t xml:space="preserve"> najnižšia účinná dávka 200 mg. Zvyčajná denná dávka je 200 - 400 mg rozdelená na dve dávky.</w:t>
      </w:r>
    </w:p>
    <w:p w:rsidR="0062518F" w:rsidRPr="00A83991" w:rsidRDefault="0062518F" w:rsidP="0062518F">
      <w:pPr>
        <w:pStyle w:val="BodyText12"/>
        <w:spacing w:after="0" w:line="240" w:lineRule="auto"/>
        <w:ind w:left="0"/>
        <w:jc w:val="left"/>
        <w:rPr>
          <w:sz w:val="22"/>
          <w:szCs w:val="22"/>
          <w:lang w:val="sk-SK"/>
        </w:rPr>
      </w:pPr>
    </w:p>
    <w:p w:rsidR="0062518F" w:rsidRPr="00A83991" w:rsidRDefault="0062518F" w:rsidP="0062518F">
      <w:pPr>
        <w:pStyle w:val="BodyText12"/>
        <w:spacing w:after="0" w:line="240" w:lineRule="auto"/>
        <w:ind w:left="0"/>
        <w:jc w:val="left"/>
        <w:rPr>
          <w:sz w:val="22"/>
          <w:szCs w:val="22"/>
          <w:lang w:val="sk-SK"/>
        </w:rPr>
      </w:pPr>
      <w:r w:rsidRPr="00A83991">
        <w:rPr>
          <w:sz w:val="22"/>
          <w:szCs w:val="22"/>
          <w:lang w:val="sk-SK"/>
        </w:rPr>
        <w:t>Uvedené dávkovanie platí pre všetkých dospelých</w:t>
      </w:r>
      <w:r w:rsidR="0050455F" w:rsidRPr="00A83991">
        <w:rPr>
          <w:sz w:val="22"/>
          <w:szCs w:val="22"/>
          <w:lang w:val="sk-SK"/>
        </w:rPr>
        <w:t>,</w:t>
      </w:r>
      <w:r w:rsidRPr="00A83991">
        <w:rPr>
          <w:sz w:val="22"/>
          <w:szCs w:val="22"/>
          <w:lang w:val="sk-SK"/>
        </w:rPr>
        <w:t xml:space="preserve"> vrátane starších pacientov</w:t>
      </w:r>
      <w:r w:rsidR="0050455F" w:rsidRPr="00A83991">
        <w:rPr>
          <w:sz w:val="22"/>
          <w:szCs w:val="22"/>
          <w:lang w:val="sk-SK"/>
        </w:rPr>
        <w:t xml:space="preserve">, </w:t>
      </w:r>
      <w:r w:rsidRPr="00A83991">
        <w:rPr>
          <w:sz w:val="22"/>
          <w:szCs w:val="22"/>
          <w:lang w:val="sk-SK"/>
        </w:rPr>
        <w:t>bez ochorenia obličiek (pozri časť 4.4).</w:t>
      </w:r>
    </w:p>
    <w:p w:rsidR="0062518F" w:rsidRPr="00A83991" w:rsidRDefault="0062518F" w:rsidP="0062518F">
      <w:pPr>
        <w:pStyle w:val="BodyText12"/>
        <w:spacing w:after="0" w:line="240" w:lineRule="auto"/>
        <w:ind w:left="0"/>
        <w:jc w:val="left"/>
        <w:rPr>
          <w:sz w:val="22"/>
          <w:szCs w:val="22"/>
          <w:lang w:val="sk-SK"/>
        </w:rPr>
      </w:pPr>
      <w:r w:rsidRPr="00A83991">
        <w:rPr>
          <w:rStyle w:val="Odkaznakomentr"/>
          <w:vanish/>
          <w:sz w:val="22"/>
          <w:szCs w:val="22"/>
          <w:lang w:val="sk-SK"/>
        </w:rPr>
        <w:t xml:space="preserve"> </w:t>
      </w:r>
    </w:p>
    <w:p w:rsidR="0062518F" w:rsidRPr="00A83991" w:rsidRDefault="00D84BDB" w:rsidP="000971FE">
      <w:pPr>
        <w:pStyle w:val="BodyText12"/>
        <w:keepNext/>
        <w:spacing w:after="0" w:line="240" w:lineRule="auto"/>
        <w:ind w:left="0"/>
        <w:jc w:val="left"/>
        <w:rPr>
          <w:i/>
          <w:sz w:val="22"/>
          <w:szCs w:val="22"/>
          <w:lang w:val="sk-SK"/>
        </w:rPr>
      </w:pPr>
      <w:r>
        <w:rPr>
          <w:i/>
          <w:sz w:val="22"/>
          <w:szCs w:val="22"/>
          <w:lang w:val="sk-SK"/>
        </w:rPr>
        <w:t xml:space="preserve">Pediatrická populácia </w:t>
      </w:r>
      <w:r w:rsidR="0062518F" w:rsidRPr="00A83991">
        <w:rPr>
          <w:i/>
          <w:sz w:val="22"/>
          <w:szCs w:val="22"/>
          <w:lang w:val="sk-SK"/>
        </w:rPr>
        <w:t>(deti</w:t>
      </w:r>
      <w:r w:rsidR="0050455F" w:rsidRPr="00A83991">
        <w:rPr>
          <w:i/>
          <w:sz w:val="22"/>
          <w:szCs w:val="22"/>
          <w:lang w:val="sk-SK"/>
        </w:rPr>
        <w:t xml:space="preserve"> vo veku od </w:t>
      </w:r>
      <w:r w:rsidR="0062518F" w:rsidRPr="00A83991">
        <w:rPr>
          <w:i/>
          <w:sz w:val="22"/>
          <w:szCs w:val="22"/>
          <w:lang w:val="sk-SK"/>
        </w:rPr>
        <w:t xml:space="preserve">2 rokov) </w:t>
      </w:r>
    </w:p>
    <w:p w:rsidR="0062518F" w:rsidRPr="000971FE" w:rsidRDefault="0062518F" w:rsidP="000971FE">
      <w:pPr>
        <w:pStyle w:val="BodyText12"/>
        <w:keepNext/>
        <w:spacing w:after="0" w:line="240" w:lineRule="auto"/>
        <w:ind w:left="0"/>
        <w:jc w:val="left"/>
        <w:rPr>
          <w:b/>
          <w:i/>
          <w:sz w:val="22"/>
          <w:szCs w:val="22"/>
          <w:lang w:val="sk-SK"/>
        </w:rPr>
      </w:pPr>
    </w:p>
    <w:p w:rsidR="0062518F" w:rsidRPr="00A83991" w:rsidRDefault="0062518F" w:rsidP="0062518F">
      <w:pPr>
        <w:pStyle w:val="BodyText12"/>
        <w:spacing w:after="0" w:line="240" w:lineRule="auto"/>
        <w:ind w:left="0"/>
        <w:jc w:val="left"/>
        <w:rPr>
          <w:sz w:val="22"/>
          <w:szCs w:val="22"/>
          <w:lang w:val="sk-SK"/>
        </w:rPr>
      </w:pPr>
      <w:r w:rsidRPr="00A83991">
        <w:rPr>
          <w:sz w:val="22"/>
          <w:szCs w:val="22"/>
          <w:lang w:val="sk-SK"/>
        </w:rPr>
        <w:t xml:space="preserve">Pri prídavnej </w:t>
      </w:r>
      <w:r w:rsidR="0050455F" w:rsidRPr="00A83991">
        <w:rPr>
          <w:sz w:val="22"/>
          <w:szCs w:val="22"/>
          <w:lang w:val="sk-SK"/>
        </w:rPr>
        <w:t xml:space="preserve">liečbe </w:t>
      </w:r>
      <w:r w:rsidRPr="00A83991">
        <w:rPr>
          <w:sz w:val="22"/>
          <w:szCs w:val="22"/>
          <w:lang w:val="sk-SK"/>
        </w:rPr>
        <w:t>sa odporúča podávať T</w:t>
      </w:r>
      <w:r w:rsidR="0050455F" w:rsidRPr="00A83991">
        <w:rPr>
          <w:sz w:val="22"/>
          <w:szCs w:val="22"/>
          <w:lang w:val="sk-SK"/>
        </w:rPr>
        <w:t xml:space="preserve">alopam </w:t>
      </w:r>
      <w:r w:rsidRPr="00A83991">
        <w:rPr>
          <w:sz w:val="22"/>
          <w:szCs w:val="22"/>
          <w:lang w:val="sk-SK"/>
        </w:rPr>
        <w:t>(topiramát) v celkovej dennej dávke približne 5</w:t>
      </w:r>
      <w:r w:rsidR="0050455F" w:rsidRPr="00A83991">
        <w:rPr>
          <w:sz w:val="22"/>
          <w:szCs w:val="22"/>
          <w:lang w:val="sk-SK"/>
        </w:rPr>
        <w:t> </w:t>
      </w:r>
      <w:r w:rsidR="0050455F" w:rsidRPr="00A83991">
        <w:rPr>
          <w:sz w:val="22"/>
          <w:szCs w:val="22"/>
          <w:lang w:val="sk-SK"/>
        </w:rPr>
        <w:noBreakHyphen/>
        <w:t> </w:t>
      </w:r>
      <w:r w:rsidRPr="00A83991">
        <w:rPr>
          <w:sz w:val="22"/>
          <w:szCs w:val="22"/>
          <w:lang w:val="sk-SK"/>
        </w:rPr>
        <w:t>9 mg/kg/deň v dvoch rozdelených dávkach. Titrácia sa má začať od dávky 25 mg (alebo nižšej v rozsahu od 1 do 3 mg/kg/deň) na noc počas prvého týždňa. Dávkovanie sa má potom zvyšovať v</w:t>
      </w:r>
      <w:r w:rsidR="0050455F" w:rsidRPr="00A83991">
        <w:rPr>
          <w:sz w:val="22"/>
          <w:szCs w:val="22"/>
          <w:lang w:val="sk-SK"/>
        </w:rPr>
        <w:t> </w:t>
      </w:r>
      <w:r w:rsidRPr="00A83991">
        <w:rPr>
          <w:sz w:val="22"/>
          <w:szCs w:val="22"/>
          <w:lang w:val="sk-SK"/>
        </w:rPr>
        <w:t>1</w:t>
      </w:r>
      <w:r w:rsidR="0050455F" w:rsidRPr="00A83991">
        <w:rPr>
          <w:sz w:val="22"/>
          <w:szCs w:val="22"/>
          <w:lang w:val="sk-SK"/>
        </w:rPr>
        <w:t> </w:t>
      </w:r>
      <w:r w:rsidRPr="00A83991">
        <w:rPr>
          <w:sz w:val="22"/>
          <w:szCs w:val="22"/>
          <w:lang w:val="sk-SK"/>
        </w:rPr>
        <w:t>alebo 2</w:t>
      </w:r>
      <w:r w:rsidR="0050455F" w:rsidRPr="00A83991">
        <w:rPr>
          <w:sz w:val="22"/>
          <w:szCs w:val="22"/>
          <w:lang w:val="sk-SK"/>
        </w:rPr>
        <w:t xml:space="preserve"> </w:t>
      </w:r>
      <w:r w:rsidRPr="00A83991">
        <w:rPr>
          <w:sz w:val="22"/>
          <w:szCs w:val="22"/>
          <w:lang w:val="sk-SK"/>
        </w:rPr>
        <w:t xml:space="preserve">týždňových intervaloch o 1 až 3 mg/kg/deň (v dvoch rozdelených dávkach), aby sa dosiahla optimálna klinická odpoveď. </w:t>
      </w:r>
    </w:p>
    <w:p w:rsidR="0062518F" w:rsidRPr="00A83991" w:rsidRDefault="0062518F" w:rsidP="0062518F">
      <w:pPr>
        <w:pStyle w:val="BodyText12"/>
        <w:spacing w:after="0" w:line="240" w:lineRule="auto"/>
        <w:ind w:left="0"/>
        <w:jc w:val="left"/>
        <w:rPr>
          <w:i/>
          <w:sz w:val="22"/>
          <w:szCs w:val="22"/>
          <w:lang w:val="sk-SK"/>
        </w:rPr>
      </w:pPr>
    </w:p>
    <w:p w:rsidR="0062518F" w:rsidRPr="00A83991" w:rsidRDefault="00367070" w:rsidP="0062518F">
      <w:pPr>
        <w:pStyle w:val="BodyText12"/>
        <w:spacing w:after="0" w:line="240" w:lineRule="auto"/>
        <w:ind w:left="0"/>
        <w:jc w:val="left"/>
        <w:rPr>
          <w:sz w:val="22"/>
          <w:szCs w:val="22"/>
          <w:lang w:val="sk-SK"/>
        </w:rPr>
      </w:pPr>
      <w:r w:rsidRPr="00A83991">
        <w:rPr>
          <w:sz w:val="22"/>
          <w:szCs w:val="22"/>
          <w:lang w:val="sk-SK"/>
        </w:rPr>
        <w:t>V klinických štúdiách sa skúmali d</w:t>
      </w:r>
      <w:r w:rsidR="0062518F" w:rsidRPr="00A83991">
        <w:rPr>
          <w:sz w:val="22"/>
          <w:szCs w:val="22"/>
          <w:lang w:val="sk-SK"/>
        </w:rPr>
        <w:t>enné dávky do 30 mg/kg/deň</w:t>
      </w:r>
      <w:r w:rsidRPr="00A83991">
        <w:rPr>
          <w:sz w:val="22"/>
          <w:szCs w:val="22"/>
          <w:lang w:val="sk-SK"/>
        </w:rPr>
        <w:t xml:space="preserve">, ktoré boli </w:t>
      </w:r>
      <w:r w:rsidR="0062518F" w:rsidRPr="00A83991">
        <w:rPr>
          <w:sz w:val="22"/>
          <w:szCs w:val="22"/>
          <w:lang w:val="sk-SK"/>
        </w:rPr>
        <w:t>všeobecne dobre tolerované.</w:t>
      </w:r>
    </w:p>
    <w:p w:rsidR="0062518F" w:rsidRPr="00A83991" w:rsidRDefault="0062518F" w:rsidP="0062518F">
      <w:pPr>
        <w:pStyle w:val="BodyText12"/>
        <w:spacing w:after="0" w:line="240" w:lineRule="auto"/>
        <w:ind w:left="0"/>
        <w:jc w:val="left"/>
        <w:rPr>
          <w:sz w:val="22"/>
          <w:szCs w:val="22"/>
          <w:lang w:val="sk-SK"/>
        </w:rPr>
      </w:pPr>
    </w:p>
    <w:p w:rsidR="0062518F" w:rsidRPr="00A83991" w:rsidRDefault="0062518F" w:rsidP="000971FE">
      <w:pPr>
        <w:pStyle w:val="BodyText12"/>
        <w:keepNext/>
        <w:spacing w:after="0" w:line="240" w:lineRule="auto"/>
        <w:ind w:left="0"/>
        <w:jc w:val="left"/>
        <w:rPr>
          <w:sz w:val="22"/>
          <w:szCs w:val="22"/>
          <w:u w:val="single"/>
          <w:lang w:val="sk-SK"/>
        </w:rPr>
      </w:pPr>
      <w:r w:rsidRPr="00A83991">
        <w:rPr>
          <w:sz w:val="22"/>
          <w:szCs w:val="22"/>
          <w:u w:val="single"/>
          <w:lang w:val="sk-SK"/>
        </w:rPr>
        <w:t>Migréna</w:t>
      </w:r>
    </w:p>
    <w:p w:rsidR="0062518F" w:rsidRPr="00A83991" w:rsidRDefault="0062518F" w:rsidP="000971FE">
      <w:pPr>
        <w:pStyle w:val="BodyText12"/>
        <w:keepNext/>
        <w:spacing w:after="0" w:line="240" w:lineRule="auto"/>
        <w:ind w:left="0"/>
        <w:jc w:val="left"/>
        <w:rPr>
          <w:sz w:val="22"/>
          <w:szCs w:val="22"/>
          <w:u w:val="single"/>
          <w:lang w:val="sk-SK"/>
        </w:rPr>
      </w:pPr>
    </w:p>
    <w:p w:rsidR="0062518F" w:rsidRPr="00A83991" w:rsidRDefault="0062518F" w:rsidP="000971FE">
      <w:pPr>
        <w:pStyle w:val="BodyText12"/>
        <w:keepNext/>
        <w:spacing w:after="0" w:line="240" w:lineRule="auto"/>
        <w:ind w:left="0"/>
        <w:jc w:val="left"/>
        <w:rPr>
          <w:i/>
          <w:sz w:val="22"/>
          <w:szCs w:val="22"/>
          <w:lang w:val="sk-SK"/>
        </w:rPr>
      </w:pPr>
      <w:r w:rsidRPr="00A83991">
        <w:rPr>
          <w:i/>
          <w:sz w:val="22"/>
          <w:szCs w:val="22"/>
          <w:lang w:val="sk-SK"/>
        </w:rPr>
        <w:t>Dospelí</w:t>
      </w:r>
    </w:p>
    <w:p w:rsidR="0062518F" w:rsidRPr="00A83991" w:rsidRDefault="0062518F" w:rsidP="000971FE">
      <w:pPr>
        <w:pStyle w:val="BodyText12"/>
        <w:keepNext/>
        <w:spacing w:after="0" w:line="240" w:lineRule="auto"/>
        <w:ind w:left="0"/>
        <w:jc w:val="left"/>
        <w:rPr>
          <w:i/>
          <w:sz w:val="22"/>
          <w:szCs w:val="22"/>
          <w:lang w:val="sk-SK"/>
        </w:rPr>
      </w:pPr>
    </w:p>
    <w:p w:rsidR="0062518F" w:rsidRPr="00A83991" w:rsidRDefault="0062518F" w:rsidP="0062518F">
      <w:pPr>
        <w:pStyle w:val="Bodytext"/>
        <w:tabs>
          <w:tab w:val="left" w:pos="8222"/>
        </w:tabs>
        <w:spacing w:after="0" w:line="240" w:lineRule="auto"/>
        <w:ind w:left="0" w:right="-369"/>
        <w:rPr>
          <w:rFonts w:ascii="Times New Roman" w:hAnsi="Times New Roman" w:cs="Times New Roman"/>
          <w:strike w:val="0"/>
          <w:sz w:val="22"/>
          <w:szCs w:val="22"/>
        </w:rPr>
      </w:pPr>
      <w:r w:rsidRPr="00A83991">
        <w:rPr>
          <w:rFonts w:ascii="Times New Roman" w:hAnsi="Times New Roman" w:cs="Times New Roman"/>
          <w:strike w:val="0"/>
          <w:sz w:val="22"/>
          <w:szCs w:val="22"/>
        </w:rPr>
        <w:t>Odporúčaná celková denná dávka topiramátu pri profylaxii migrenóznych bolestí hlavy je 100 mg/deň, podávaná v dvoch rozdelených dávkach. Titrácia sa má začať dávkou 25 mg na noc</w:t>
      </w:r>
      <w:r w:rsidR="00367070" w:rsidRPr="00A83991">
        <w:rPr>
          <w:rFonts w:ascii="Times New Roman" w:hAnsi="Times New Roman" w:cs="Times New Roman"/>
          <w:strike w:val="0"/>
          <w:sz w:val="22"/>
          <w:szCs w:val="22"/>
        </w:rPr>
        <w:t xml:space="preserve"> počas </w:t>
      </w:r>
      <w:r w:rsidRPr="00A83991">
        <w:rPr>
          <w:rFonts w:ascii="Times New Roman" w:hAnsi="Times New Roman" w:cs="Times New Roman"/>
          <w:strike w:val="0"/>
          <w:sz w:val="22"/>
          <w:szCs w:val="22"/>
        </w:rPr>
        <w:t xml:space="preserve">1 týždňa. Dávka sa má ďalej zvyšovať v týždenných intervaloch o 25 mg/deň. Ak pacient netoleruje titračný režim, môžu sa intervaly medzi zvyšovaním dávky predĺžiť. </w:t>
      </w:r>
    </w:p>
    <w:p w:rsidR="0062518F" w:rsidRPr="00A83991" w:rsidRDefault="0062518F" w:rsidP="0062518F">
      <w:pPr>
        <w:pStyle w:val="BodyText12"/>
        <w:spacing w:after="0" w:line="240" w:lineRule="auto"/>
        <w:ind w:left="0"/>
        <w:jc w:val="left"/>
        <w:rPr>
          <w:strike/>
          <w:sz w:val="22"/>
          <w:szCs w:val="22"/>
          <w:lang w:val="sk-SK"/>
        </w:rPr>
      </w:pPr>
      <w:r w:rsidRPr="00A83991">
        <w:rPr>
          <w:sz w:val="22"/>
          <w:szCs w:val="22"/>
          <w:lang w:val="sk-SK"/>
        </w:rPr>
        <w:t>Niektorí pacienti môžu byť úspešne liečení celkovou dennou dávkou 50 mg/deň. Pacienti užívali celkovú dennú dávku až do 200 mg/deň. U niektorých pacientov môže byť táto dávka prínosná, predsa sa však odporúča opatrnosť kvôli zvýšen</w:t>
      </w:r>
      <w:r w:rsidR="00367070" w:rsidRPr="00A83991">
        <w:rPr>
          <w:sz w:val="22"/>
          <w:szCs w:val="22"/>
          <w:lang w:val="sk-SK"/>
        </w:rPr>
        <w:t>ému výskytu nežiaducich účinkov.</w:t>
      </w:r>
    </w:p>
    <w:p w:rsidR="0062518F" w:rsidRPr="00A83991" w:rsidRDefault="0062518F" w:rsidP="0062518F">
      <w:pPr>
        <w:pStyle w:val="BodyText12"/>
        <w:spacing w:after="0" w:line="240" w:lineRule="auto"/>
        <w:ind w:left="0"/>
        <w:jc w:val="left"/>
        <w:rPr>
          <w:b/>
          <w:sz w:val="22"/>
          <w:szCs w:val="22"/>
          <w:lang w:val="sk-SK"/>
        </w:rPr>
      </w:pPr>
    </w:p>
    <w:p w:rsidR="0062518F" w:rsidRPr="00A83991" w:rsidRDefault="00F46A04" w:rsidP="000971FE">
      <w:pPr>
        <w:pStyle w:val="BodyText12"/>
        <w:keepNext/>
        <w:spacing w:after="0" w:line="240" w:lineRule="auto"/>
        <w:ind w:left="0"/>
        <w:jc w:val="left"/>
        <w:rPr>
          <w:i/>
          <w:sz w:val="22"/>
          <w:szCs w:val="22"/>
          <w:lang w:val="sk-SK"/>
        </w:rPr>
      </w:pPr>
      <w:r>
        <w:rPr>
          <w:i/>
          <w:sz w:val="22"/>
          <w:szCs w:val="22"/>
          <w:lang w:val="sk-SK"/>
        </w:rPr>
        <w:t>Pediatrická populácia</w:t>
      </w:r>
    </w:p>
    <w:p w:rsidR="0062518F" w:rsidRPr="00A83991" w:rsidRDefault="0062518F" w:rsidP="000971FE">
      <w:pPr>
        <w:pStyle w:val="BodyText12"/>
        <w:keepNext/>
        <w:spacing w:after="0" w:line="240" w:lineRule="auto"/>
        <w:ind w:left="0"/>
        <w:jc w:val="left"/>
        <w:rPr>
          <w:sz w:val="22"/>
          <w:szCs w:val="22"/>
          <w:lang w:val="sk-SK"/>
        </w:rPr>
      </w:pPr>
    </w:p>
    <w:p w:rsidR="0062518F" w:rsidRPr="00A83991" w:rsidRDefault="0062518F" w:rsidP="0062518F">
      <w:pPr>
        <w:pStyle w:val="BodyText12"/>
        <w:spacing w:after="0" w:line="240" w:lineRule="auto"/>
        <w:ind w:left="0"/>
        <w:jc w:val="left"/>
        <w:rPr>
          <w:sz w:val="22"/>
          <w:szCs w:val="22"/>
          <w:lang w:val="sk-SK"/>
        </w:rPr>
      </w:pPr>
      <w:r w:rsidRPr="00A83991">
        <w:rPr>
          <w:sz w:val="22"/>
          <w:szCs w:val="22"/>
          <w:lang w:val="sk-SK"/>
        </w:rPr>
        <w:t>T</w:t>
      </w:r>
      <w:r w:rsidR="00367070" w:rsidRPr="00A83991">
        <w:rPr>
          <w:sz w:val="22"/>
          <w:szCs w:val="22"/>
          <w:lang w:val="sk-SK"/>
        </w:rPr>
        <w:t>alopam</w:t>
      </w:r>
      <w:r w:rsidRPr="00A83991">
        <w:rPr>
          <w:sz w:val="22"/>
          <w:szCs w:val="22"/>
          <w:lang w:val="sk-SK"/>
        </w:rPr>
        <w:t xml:space="preserve"> (topiramát) sa neodporúča na liečbu alebo prevenciu migrény u detí </w:t>
      </w:r>
      <w:r w:rsidR="00CF4232">
        <w:rPr>
          <w:sz w:val="22"/>
          <w:szCs w:val="22"/>
          <w:lang w:val="sk-SK"/>
        </w:rPr>
        <w:t xml:space="preserve">vzhľadom na </w:t>
      </w:r>
      <w:r w:rsidR="00422CA0" w:rsidRPr="00A83991">
        <w:rPr>
          <w:sz w:val="22"/>
          <w:szCs w:val="22"/>
          <w:lang w:val="sk-SK"/>
        </w:rPr>
        <w:t>nedostatočné údaje</w:t>
      </w:r>
      <w:r w:rsidRPr="00A83991">
        <w:rPr>
          <w:sz w:val="22"/>
          <w:szCs w:val="22"/>
          <w:lang w:val="sk-SK"/>
        </w:rPr>
        <w:t xml:space="preserve"> o bezpečnosti a účinnosti. </w:t>
      </w:r>
    </w:p>
    <w:p w:rsidR="0062518F" w:rsidRPr="00A83991" w:rsidRDefault="0062518F" w:rsidP="0062518F">
      <w:pPr>
        <w:pStyle w:val="Default"/>
        <w:rPr>
          <w:sz w:val="22"/>
          <w:szCs w:val="22"/>
          <w:lang w:val="sk-SK"/>
        </w:rPr>
      </w:pPr>
    </w:p>
    <w:p w:rsidR="0062518F" w:rsidRPr="00A83991" w:rsidRDefault="0062518F" w:rsidP="0062518F">
      <w:pPr>
        <w:pStyle w:val="Default"/>
        <w:keepNext/>
        <w:rPr>
          <w:sz w:val="22"/>
          <w:szCs w:val="22"/>
          <w:u w:val="single"/>
          <w:lang w:val="sk-SK"/>
        </w:rPr>
      </w:pPr>
      <w:r w:rsidRPr="00A83991">
        <w:rPr>
          <w:sz w:val="22"/>
          <w:szCs w:val="22"/>
          <w:u w:val="single"/>
          <w:lang w:val="sk-SK"/>
        </w:rPr>
        <w:t>Všeobecné odporúčania pre dávkovanie T</w:t>
      </w:r>
      <w:r w:rsidR="00367070" w:rsidRPr="00A83991">
        <w:rPr>
          <w:sz w:val="22"/>
          <w:szCs w:val="22"/>
          <w:u w:val="single"/>
          <w:lang w:val="sk-SK"/>
        </w:rPr>
        <w:t xml:space="preserve">alopamu u </w:t>
      </w:r>
      <w:r w:rsidRPr="00A83991">
        <w:rPr>
          <w:sz w:val="22"/>
          <w:szCs w:val="22"/>
          <w:u w:val="single"/>
          <w:lang w:val="sk-SK"/>
        </w:rPr>
        <w:t>osobitných skup</w:t>
      </w:r>
      <w:r w:rsidR="00367070" w:rsidRPr="00A83991">
        <w:rPr>
          <w:sz w:val="22"/>
          <w:szCs w:val="22"/>
          <w:u w:val="single"/>
          <w:lang w:val="sk-SK"/>
        </w:rPr>
        <w:t xml:space="preserve">ín </w:t>
      </w:r>
      <w:r w:rsidRPr="00A83991">
        <w:rPr>
          <w:sz w:val="22"/>
          <w:szCs w:val="22"/>
          <w:u w:val="single"/>
          <w:lang w:val="sk-SK"/>
        </w:rPr>
        <w:t>pacientov</w:t>
      </w:r>
    </w:p>
    <w:p w:rsidR="0062518F" w:rsidRPr="00A83991" w:rsidRDefault="0062518F" w:rsidP="0062518F">
      <w:pPr>
        <w:pStyle w:val="Default"/>
        <w:keepNext/>
        <w:rPr>
          <w:sz w:val="22"/>
          <w:szCs w:val="22"/>
          <w:lang w:val="sk-SK"/>
        </w:rPr>
      </w:pPr>
    </w:p>
    <w:p w:rsidR="0062518F" w:rsidRPr="00A83991" w:rsidRDefault="0062518F" w:rsidP="00682609">
      <w:pPr>
        <w:pStyle w:val="Default"/>
        <w:keepNext/>
        <w:rPr>
          <w:i/>
          <w:iCs/>
          <w:sz w:val="22"/>
          <w:szCs w:val="22"/>
          <w:lang w:val="sk-SK"/>
        </w:rPr>
      </w:pPr>
      <w:r w:rsidRPr="00A83991">
        <w:rPr>
          <w:i/>
          <w:iCs/>
          <w:sz w:val="22"/>
          <w:szCs w:val="22"/>
          <w:lang w:val="sk-SK"/>
        </w:rPr>
        <w:t>Po</w:t>
      </w:r>
      <w:r w:rsidR="00367070" w:rsidRPr="00A83991">
        <w:rPr>
          <w:i/>
          <w:iCs/>
          <w:sz w:val="22"/>
          <w:szCs w:val="22"/>
          <w:lang w:val="sk-SK"/>
        </w:rPr>
        <w:t xml:space="preserve">rucha </w:t>
      </w:r>
      <w:r w:rsidRPr="00A83991">
        <w:rPr>
          <w:i/>
          <w:iCs/>
          <w:sz w:val="22"/>
          <w:szCs w:val="22"/>
          <w:lang w:val="sk-SK"/>
        </w:rPr>
        <w:t>funkcie obličiek</w:t>
      </w:r>
    </w:p>
    <w:p w:rsidR="0062518F" w:rsidRPr="00A83991" w:rsidRDefault="0062518F" w:rsidP="00682609">
      <w:pPr>
        <w:pStyle w:val="BodyText12"/>
        <w:keepNext/>
        <w:spacing w:after="0" w:line="240" w:lineRule="auto"/>
        <w:ind w:left="0"/>
        <w:jc w:val="left"/>
        <w:rPr>
          <w:sz w:val="22"/>
          <w:szCs w:val="22"/>
          <w:lang w:val="sk-SK"/>
        </w:rPr>
      </w:pPr>
    </w:p>
    <w:p w:rsidR="0062518F" w:rsidRPr="00A83991" w:rsidRDefault="0062518F" w:rsidP="0062518F">
      <w:pPr>
        <w:pStyle w:val="BodyText12"/>
        <w:spacing w:after="0" w:line="240" w:lineRule="auto"/>
        <w:ind w:left="0"/>
        <w:jc w:val="left"/>
        <w:rPr>
          <w:sz w:val="22"/>
          <w:szCs w:val="22"/>
          <w:lang w:val="sk-SK"/>
        </w:rPr>
      </w:pPr>
      <w:r w:rsidRPr="00A83991">
        <w:rPr>
          <w:sz w:val="22"/>
          <w:szCs w:val="22"/>
          <w:lang w:val="sk-SK"/>
        </w:rPr>
        <w:t>U pacientov s</w:t>
      </w:r>
      <w:r w:rsidR="00CF4232">
        <w:rPr>
          <w:sz w:val="22"/>
          <w:szCs w:val="22"/>
          <w:lang w:val="sk-SK"/>
        </w:rPr>
        <w:t> </w:t>
      </w:r>
      <w:r w:rsidRPr="00A83991">
        <w:rPr>
          <w:sz w:val="22"/>
          <w:szCs w:val="22"/>
          <w:lang w:val="sk-SK"/>
        </w:rPr>
        <w:t>po</w:t>
      </w:r>
      <w:r w:rsidR="00CF4232">
        <w:rPr>
          <w:sz w:val="22"/>
          <w:szCs w:val="22"/>
          <w:lang w:val="sk-SK"/>
        </w:rPr>
        <w:t xml:space="preserve">ruchou funkcie </w:t>
      </w:r>
      <w:r w:rsidRPr="00A83991">
        <w:rPr>
          <w:sz w:val="22"/>
          <w:szCs w:val="22"/>
          <w:lang w:val="sk-SK"/>
        </w:rPr>
        <w:t>obličiek (CL</w:t>
      </w:r>
      <w:r w:rsidRPr="00A83991">
        <w:rPr>
          <w:sz w:val="22"/>
          <w:szCs w:val="22"/>
          <w:vertAlign w:val="subscript"/>
          <w:lang w:val="sk-SK"/>
        </w:rPr>
        <w:t>CR</w:t>
      </w:r>
      <w:r w:rsidRPr="00A83991">
        <w:rPr>
          <w:sz w:val="22"/>
          <w:szCs w:val="22"/>
          <w:lang w:val="sk-SK"/>
        </w:rPr>
        <w:t> ≤ </w:t>
      </w:r>
      <w:r w:rsidR="00D04570">
        <w:rPr>
          <w:sz w:val="22"/>
          <w:szCs w:val="22"/>
          <w:lang w:val="sk-SK"/>
        </w:rPr>
        <w:t>7</w:t>
      </w:r>
      <w:r w:rsidRPr="00A83991">
        <w:rPr>
          <w:sz w:val="22"/>
          <w:szCs w:val="22"/>
          <w:lang w:val="sk-SK"/>
        </w:rPr>
        <w:t>0 ml/min) sa má podávať topiramát opatrne, pretože plazmatický a renálny klírens topiramátu je znížený. U pacientov so znám</w:t>
      </w:r>
      <w:r w:rsidR="00CF5373">
        <w:rPr>
          <w:sz w:val="22"/>
          <w:szCs w:val="22"/>
          <w:lang w:val="sk-SK"/>
        </w:rPr>
        <w:t>ou</w:t>
      </w:r>
      <w:r w:rsidRPr="00A83991">
        <w:rPr>
          <w:sz w:val="22"/>
          <w:szCs w:val="22"/>
          <w:lang w:val="sk-SK"/>
        </w:rPr>
        <w:t xml:space="preserve"> po</w:t>
      </w:r>
      <w:r w:rsidR="00CF5373">
        <w:rPr>
          <w:sz w:val="22"/>
          <w:szCs w:val="22"/>
          <w:lang w:val="sk-SK"/>
        </w:rPr>
        <w:t>ruchou</w:t>
      </w:r>
      <w:r w:rsidRPr="00A83991">
        <w:rPr>
          <w:sz w:val="22"/>
          <w:szCs w:val="22"/>
          <w:lang w:val="sk-SK"/>
        </w:rPr>
        <w:t xml:space="preserve"> funkcie obličiek môže byť čas do dosiahnutia rovnovážneho stavu pri každej dávke predĺžený.</w:t>
      </w:r>
      <w:r w:rsidR="00D04570">
        <w:rPr>
          <w:sz w:val="22"/>
          <w:szCs w:val="22"/>
          <w:lang w:val="sk-SK"/>
        </w:rPr>
        <w:t xml:space="preserve"> Odporúča sa polovica </w:t>
      </w:r>
      <w:r w:rsidR="00CF4232">
        <w:rPr>
          <w:sz w:val="22"/>
          <w:szCs w:val="22"/>
          <w:lang w:val="sk-SK"/>
        </w:rPr>
        <w:t>začiatočnej</w:t>
      </w:r>
      <w:r w:rsidR="00D04570">
        <w:rPr>
          <w:sz w:val="22"/>
          <w:szCs w:val="22"/>
          <w:lang w:val="sk-SK"/>
        </w:rPr>
        <w:t xml:space="preserve"> a udržiavacej dávky (pozri časť 5.2).</w:t>
      </w:r>
    </w:p>
    <w:p w:rsidR="0062518F" w:rsidRPr="00A83991" w:rsidRDefault="0062518F" w:rsidP="0062518F">
      <w:pPr>
        <w:pStyle w:val="BodyText12"/>
        <w:spacing w:after="0" w:line="240" w:lineRule="auto"/>
        <w:ind w:left="0"/>
        <w:jc w:val="left"/>
        <w:rPr>
          <w:sz w:val="22"/>
          <w:szCs w:val="22"/>
          <w:lang w:val="sk-SK"/>
        </w:rPr>
      </w:pPr>
    </w:p>
    <w:p w:rsidR="0062518F" w:rsidRPr="00A83991" w:rsidRDefault="0062518F" w:rsidP="0062518F">
      <w:pPr>
        <w:pStyle w:val="Default"/>
        <w:rPr>
          <w:sz w:val="22"/>
          <w:szCs w:val="22"/>
          <w:lang w:val="sk-SK"/>
        </w:rPr>
      </w:pPr>
      <w:r w:rsidRPr="00A83991">
        <w:rPr>
          <w:sz w:val="22"/>
          <w:szCs w:val="22"/>
          <w:lang w:val="sk-SK"/>
        </w:rPr>
        <w:t xml:space="preserve">Keďže </w:t>
      </w:r>
      <w:r w:rsidR="00367070" w:rsidRPr="00A83991">
        <w:rPr>
          <w:sz w:val="22"/>
          <w:szCs w:val="22"/>
          <w:lang w:val="sk-SK"/>
        </w:rPr>
        <w:t xml:space="preserve">sa </w:t>
      </w:r>
      <w:r w:rsidRPr="00A83991">
        <w:rPr>
          <w:sz w:val="22"/>
          <w:szCs w:val="22"/>
          <w:lang w:val="sk-SK"/>
        </w:rPr>
        <w:t>topiramát z plazmy odstraňuje hemodialýzou, pacientom so zlyhaním funkcie obličiek v konečnom štádiu sa má podávať v deň hemodialýzy doplnková dávka T</w:t>
      </w:r>
      <w:r w:rsidR="00367070" w:rsidRPr="00A83991">
        <w:rPr>
          <w:sz w:val="22"/>
          <w:szCs w:val="22"/>
          <w:lang w:val="sk-SK"/>
        </w:rPr>
        <w:t>alopamu</w:t>
      </w:r>
      <w:r w:rsidRPr="00A83991">
        <w:rPr>
          <w:sz w:val="22"/>
          <w:szCs w:val="22"/>
          <w:lang w:val="sk-SK"/>
        </w:rPr>
        <w:t xml:space="preserve">, ktorá sa rovná </w:t>
      </w:r>
      <w:r w:rsidRPr="00A83991">
        <w:rPr>
          <w:sz w:val="22"/>
          <w:szCs w:val="22"/>
          <w:lang w:val="sk-SK"/>
        </w:rPr>
        <w:lastRenderedPageBreak/>
        <w:t xml:space="preserve">približne polovici dennej dávky. Doplnková dávka sa má podávať v rozdelených dávkach, na začiatku a po ukončení dialýzy. Doplnková dávka sa môže líšiť v závislosti od vlastností používaného dialyzačného zariadenia. </w:t>
      </w:r>
    </w:p>
    <w:p w:rsidR="0062518F" w:rsidRPr="00A83991" w:rsidRDefault="0062518F" w:rsidP="0062518F">
      <w:pPr>
        <w:pStyle w:val="Default"/>
        <w:rPr>
          <w:sz w:val="22"/>
          <w:szCs w:val="22"/>
          <w:lang w:val="sk-SK"/>
        </w:rPr>
      </w:pPr>
    </w:p>
    <w:p w:rsidR="0062518F" w:rsidRPr="00A83991" w:rsidRDefault="0062518F" w:rsidP="000971FE">
      <w:pPr>
        <w:pStyle w:val="Default"/>
        <w:keepNext/>
        <w:rPr>
          <w:i/>
          <w:sz w:val="22"/>
          <w:szCs w:val="22"/>
          <w:lang w:val="sk-SK"/>
        </w:rPr>
      </w:pPr>
      <w:r w:rsidRPr="00A83991">
        <w:rPr>
          <w:i/>
          <w:sz w:val="22"/>
          <w:szCs w:val="22"/>
          <w:lang w:val="sk-SK"/>
        </w:rPr>
        <w:t>Po</w:t>
      </w:r>
      <w:r w:rsidR="00367070" w:rsidRPr="00A83991">
        <w:rPr>
          <w:i/>
          <w:sz w:val="22"/>
          <w:szCs w:val="22"/>
          <w:lang w:val="sk-SK"/>
        </w:rPr>
        <w:t xml:space="preserve">rucha </w:t>
      </w:r>
      <w:r w:rsidRPr="00A83991">
        <w:rPr>
          <w:i/>
          <w:sz w:val="22"/>
          <w:szCs w:val="22"/>
          <w:lang w:val="sk-SK"/>
        </w:rPr>
        <w:t>funkcie pečene</w:t>
      </w:r>
    </w:p>
    <w:p w:rsidR="0062518F" w:rsidRPr="00A83991" w:rsidRDefault="0062518F" w:rsidP="000971FE">
      <w:pPr>
        <w:pStyle w:val="Default"/>
        <w:keepNext/>
        <w:rPr>
          <w:sz w:val="22"/>
          <w:szCs w:val="22"/>
          <w:lang w:val="sk-SK"/>
        </w:rPr>
      </w:pPr>
    </w:p>
    <w:p w:rsidR="0062518F" w:rsidRPr="00A83991" w:rsidRDefault="0062518F" w:rsidP="0062518F">
      <w:pPr>
        <w:pStyle w:val="Default"/>
        <w:rPr>
          <w:sz w:val="22"/>
          <w:szCs w:val="22"/>
          <w:lang w:val="sk-SK"/>
        </w:rPr>
      </w:pPr>
      <w:r w:rsidRPr="00A83991">
        <w:rPr>
          <w:sz w:val="22"/>
          <w:szCs w:val="22"/>
          <w:lang w:val="sk-SK"/>
        </w:rPr>
        <w:t xml:space="preserve">U pacientov so stredne </w:t>
      </w:r>
      <w:r w:rsidR="00CF5373">
        <w:rPr>
          <w:sz w:val="22"/>
          <w:szCs w:val="22"/>
          <w:lang w:val="sk-SK"/>
        </w:rPr>
        <w:t>závažn</w:t>
      </w:r>
      <w:r w:rsidR="0012587C">
        <w:rPr>
          <w:sz w:val="22"/>
          <w:szCs w:val="22"/>
          <w:lang w:val="sk-SK"/>
        </w:rPr>
        <w:t>ou</w:t>
      </w:r>
      <w:r w:rsidRPr="00A83991">
        <w:rPr>
          <w:sz w:val="22"/>
          <w:szCs w:val="22"/>
          <w:lang w:val="sk-SK"/>
        </w:rPr>
        <w:t xml:space="preserve"> až </w:t>
      </w:r>
      <w:r w:rsidR="00CF5373">
        <w:rPr>
          <w:sz w:val="22"/>
          <w:szCs w:val="22"/>
          <w:lang w:val="sk-SK"/>
        </w:rPr>
        <w:t>závažn</w:t>
      </w:r>
      <w:r w:rsidR="0012587C">
        <w:rPr>
          <w:sz w:val="22"/>
          <w:szCs w:val="22"/>
          <w:lang w:val="sk-SK"/>
        </w:rPr>
        <w:t>ou</w:t>
      </w:r>
      <w:r w:rsidR="00367070" w:rsidRPr="00A83991">
        <w:rPr>
          <w:sz w:val="22"/>
          <w:szCs w:val="22"/>
          <w:lang w:val="sk-SK"/>
        </w:rPr>
        <w:t xml:space="preserve"> </w:t>
      </w:r>
      <w:r w:rsidRPr="00A83991">
        <w:rPr>
          <w:sz w:val="22"/>
          <w:szCs w:val="22"/>
          <w:lang w:val="sk-SK"/>
        </w:rPr>
        <w:t>po</w:t>
      </w:r>
      <w:r w:rsidR="0012587C">
        <w:rPr>
          <w:sz w:val="22"/>
          <w:szCs w:val="22"/>
          <w:lang w:val="sk-SK"/>
        </w:rPr>
        <w:t xml:space="preserve">ruchou </w:t>
      </w:r>
      <w:r w:rsidRPr="00A83991">
        <w:rPr>
          <w:sz w:val="22"/>
          <w:szCs w:val="22"/>
          <w:lang w:val="sk-SK"/>
        </w:rPr>
        <w:t xml:space="preserve">funkcie pečene sa má topiramát podávať s opatrnosťou, pretože </w:t>
      </w:r>
      <w:r w:rsidR="00367070" w:rsidRPr="00A83991">
        <w:rPr>
          <w:sz w:val="22"/>
          <w:szCs w:val="22"/>
          <w:lang w:val="sk-SK"/>
        </w:rPr>
        <w:t xml:space="preserve">je </w:t>
      </w:r>
      <w:r w:rsidRPr="00A83991">
        <w:rPr>
          <w:sz w:val="22"/>
          <w:szCs w:val="22"/>
          <w:lang w:val="sk-SK"/>
        </w:rPr>
        <w:t>klírens topiramátu zniž</w:t>
      </w:r>
      <w:r w:rsidR="00367070" w:rsidRPr="00A83991">
        <w:rPr>
          <w:sz w:val="22"/>
          <w:szCs w:val="22"/>
          <w:lang w:val="sk-SK"/>
        </w:rPr>
        <w:t>ený</w:t>
      </w:r>
      <w:r w:rsidRPr="00A83991">
        <w:rPr>
          <w:sz w:val="22"/>
          <w:szCs w:val="22"/>
          <w:lang w:val="sk-SK"/>
        </w:rPr>
        <w:t xml:space="preserve">. </w:t>
      </w:r>
    </w:p>
    <w:p w:rsidR="0062518F" w:rsidRPr="00A83991" w:rsidRDefault="0062518F" w:rsidP="0062518F">
      <w:pPr>
        <w:pStyle w:val="Default"/>
        <w:rPr>
          <w:sz w:val="22"/>
          <w:szCs w:val="22"/>
          <w:lang w:val="sk-SK"/>
        </w:rPr>
      </w:pPr>
    </w:p>
    <w:p w:rsidR="0062518F" w:rsidRPr="00A83991" w:rsidRDefault="0062518F" w:rsidP="000971FE">
      <w:pPr>
        <w:pStyle w:val="Default"/>
        <w:keepNext/>
        <w:rPr>
          <w:i/>
          <w:sz w:val="22"/>
          <w:szCs w:val="22"/>
          <w:lang w:val="sk-SK"/>
        </w:rPr>
      </w:pPr>
      <w:r w:rsidRPr="00A83991">
        <w:rPr>
          <w:i/>
          <w:sz w:val="22"/>
          <w:szCs w:val="22"/>
          <w:lang w:val="sk-SK"/>
        </w:rPr>
        <w:t>Starší pacienti</w:t>
      </w:r>
    </w:p>
    <w:p w:rsidR="0062518F" w:rsidRPr="00A83991" w:rsidRDefault="0062518F" w:rsidP="000971FE">
      <w:pPr>
        <w:pStyle w:val="Default"/>
        <w:keepNext/>
        <w:rPr>
          <w:sz w:val="22"/>
          <w:szCs w:val="22"/>
          <w:lang w:val="sk-SK"/>
        </w:rPr>
      </w:pPr>
    </w:p>
    <w:p w:rsidR="0062518F" w:rsidRPr="00A83991" w:rsidRDefault="0062518F" w:rsidP="0062518F">
      <w:pPr>
        <w:pStyle w:val="Default"/>
        <w:rPr>
          <w:sz w:val="22"/>
          <w:szCs w:val="22"/>
          <w:lang w:val="sk-SK"/>
        </w:rPr>
      </w:pPr>
      <w:r w:rsidRPr="00A83991">
        <w:rPr>
          <w:sz w:val="22"/>
          <w:szCs w:val="22"/>
          <w:lang w:val="sk-SK"/>
        </w:rPr>
        <w:t xml:space="preserve">U starších pacientov sa úprava dávky nevyžaduje za predpokladu, že nie je porušená funkcia obličiek. </w:t>
      </w:r>
    </w:p>
    <w:p w:rsidR="0062518F" w:rsidRPr="00A83991" w:rsidRDefault="0062518F" w:rsidP="0062518F">
      <w:pPr>
        <w:pStyle w:val="Default"/>
        <w:rPr>
          <w:sz w:val="22"/>
          <w:szCs w:val="22"/>
          <w:lang w:val="sk-SK"/>
        </w:rPr>
      </w:pPr>
    </w:p>
    <w:p w:rsidR="00367070" w:rsidRPr="00A83991" w:rsidRDefault="00367070" w:rsidP="0062518F">
      <w:pPr>
        <w:pStyle w:val="Default"/>
        <w:rPr>
          <w:sz w:val="22"/>
          <w:szCs w:val="22"/>
          <w:u w:val="single"/>
          <w:lang w:val="sk-SK"/>
        </w:rPr>
      </w:pPr>
      <w:r w:rsidRPr="00A83991">
        <w:rPr>
          <w:sz w:val="22"/>
          <w:szCs w:val="22"/>
          <w:u w:val="single"/>
          <w:lang w:val="sk-SK"/>
        </w:rPr>
        <w:t xml:space="preserve">Spôsob </w:t>
      </w:r>
      <w:r w:rsidR="002228EB" w:rsidRPr="00A83991">
        <w:rPr>
          <w:sz w:val="22"/>
          <w:szCs w:val="22"/>
          <w:u w:val="single"/>
          <w:lang w:val="sk-SK"/>
        </w:rPr>
        <w:t>pod</w:t>
      </w:r>
      <w:r w:rsidR="0012587C">
        <w:rPr>
          <w:sz w:val="22"/>
          <w:szCs w:val="22"/>
          <w:u w:val="single"/>
          <w:lang w:val="sk-SK"/>
        </w:rPr>
        <w:t>áv</w:t>
      </w:r>
      <w:r w:rsidR="002228EB" w:rsidRPr="00A83991">
        <w:rPr>
          <w:sz w:val="22"/>
          <w:szCs w:val="22"/>
          <w:u w:val="single"/>
          <w:lang w:val="sk-SK"/>
        </w:rPr>
        <w:t>ania</w:t>
      </w:r>
    </w:p>
    <w:p w:rsidR="002228EB" w:rsidRPr="00A83991" w:rsidRDefault="002228EB" w:rsidP="0062518F">
      <w:pPr>
        <w:pStyle w:val="Default"/>
        <w:rPr>
          <w:sz w:val="22"/>
          <w:szCs w:val="22"/>
          <w:u w:val="single"/>
          <w:lang w:val="sk-SK"/>
        </w:rPr>
      </w:pPr>
    </w:p>
    <w:p w:rsidR="00367070" w:rsidRPr="00A83991" w:rsidRDefault="00B76D1F" w:rsidP="0062518F">
      <w:pPr>
        <w:pStyle w:val="Default"/>
        <w:rPr>
          <w:sz w:val="22"/>
          <w:szCs w:val="22"/>
          <w:lang w:val="sk-SK"/>
        </w:rPr>
      </w:pPr>
      <w:r w:rsidRPr="00A83991">
        <w:rPr>
          <w:sz w:val="22"/>
          <w:szCs w:val="22"/>
          <w:lang w:val="sk-SK"/>
        </w:rPr>
        <w:t xml:space="preserve">Talopam je dostupný vo forme filmom obalených tabliet, odporúča sa filmom obalené tablety </w:t>
      </w:r>
      <w:r w:rsidR="00B87E0A" w:rsidRPr="00A83991">
        <w:rPr>
          <w:sz w:val="22"/>
          <w:szCs w:val="22"/>
          <w:lang w:val="sk-SK"/>
        </w:rPr>
        <w:t>nedeliť</w:t>
      </w:r>
      <w:r w:rsidRPr="00A83991">
        <w:rPr>
          <w:sz w:val="22"/>
          <w:szCs w:val="22"/>
          <w:lang w:val="sk-SK"/>
        </w:rPr>
        <w:t>.</w:t>
      </w:r>
    </w:p>
    <w:p w:rsidR="00B87E0A" w:rsidRPr="00A83991" w:rsidRDefault="00B87E0A" w:rsidP="0062518F">
      <w:pPr>
        <w:pStyle w:val="Default"/>
        <w:rPr>
          <w:sz w:val="22"/>
          <w:szCs w:val="22"/>
          <w:lang w:val="sk-SK"/>
        </w:rPr>
      </w:pPr>
    </w:p>
    <w:p w:rsidR="00B87E0A" w:rsidRPr="00A83991" w:rsidRDefault="00B87E0A" w:rsidP="0062518F">
      <w:pPr>
        <w:pStyle w:val="Default"/>
        <w:rPr>
          <w:sz w:val="22"/>
          <w:szCs w:val="22"/>
          <w:lang w:val="sk-SK"/>
        </w:rPr>
      </w:pPr>
      <w:r w:rsidRPr="00A83991">
        <w:rPr>
          <w:sz w:val="22"/>
          <w:szCs w:val="22"/>
          <w:lang w:val="sk-SK"/>
        </w:rPr>
        <w:t>Talopam sa môže užívať bez ohľadu na príjem potravy</w:t>
      </w:r>
      <w:r w:rsidR="0012587C">
        <w:rPr>
          <w:sz w:val="22"/>
          <w:szCs w:val="22"/>
          <w:lang w:val="sk-SK"/>
        </w:rPr>
        <w:t>.</w:t>
      </w:r>
    </w:p>
    <w:p w:rsidR="00367070" w:rsidRPr="00A83991" w:rsidRDefault="00367070" w:rsidP="0062518F">
      <w:pPr>
        <w:pStyle w:val="Default"/>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4.3</w:t>
      </w:r>
      <w:r w:rsidR="00367070"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Kontraindikácie</w:t>
      </w:r>
    </w:p>
    <w:p w:rsidR="00FA696D" w:rsidRPr="00A83991" w:rsidRDefault="00FA696D" w:rsidP="000971FE">
      <w:pPr>
        <w:keepNext/>
        <w:rPr>
          <w:sz w:val="22"/>
          <w:szCs w:val="22"/>
          <w:lang w:val="sk-SK"/>
        </w:rPr>
      </w:pPr>
    </w:p>
    <w:p w:rsidR="00FA696D" w:rsidRPr="00A83991" w:rsidRDefault="00FA696D">
      <w:pPr>
        <w:rPr>
          <w:sz w:val="22"/>
          <w:szCs w:val="22"/>
          <w:lang w:val="sk-SK"/>
        </w:rPr>
      </w:pPr>
      <w:r w:rsidRPr="00A83991">
        <w:rPr>
          <w:sz w:val="22"/>
          <w:szCs w:val="22"/>
          <w:lang w:val="sk-SK"/>
        </w:rPr>
        <w:t xml:space="preserve">Precitlivenosť na </w:t>
      </w:r>
      <w:r w:rsidR="00DF7A3B" w:rsidRPr="00A83991">
        <w:rPr>
          <w:sz w:val="22"/>
          <w:szCs w:val="22"/>
          <w:lang w:val="sk-SK"/>
        </w:rPr>
        <w:t>liečivo</w:t>
      </w:r>
      <w:r w:rsidR="00B87E0A" w:rsidRPr="00A83991">
        <w:rPr>
          <w:sz w:val="22"/>
          <w:szCs w:val="22"/>
          <w:lang w:val="sk-SK"/>
        </w:rPr>
        <w:t xml:space="preserve"> alebo na ktorúkoľvek z pomocných látok uvedených v časti 6.1.</w:t>
      </w:r>
    </w:p>
    <w:p w:rsidR="00B87E0A" w:rsidRPr="00A83991" w:rsidRDefault="00B87E0A">
      <w:pPr>
        <w:rPr>
          <w:sz w:val="22"/>
          <w:szCs w:val="22"/>
          <w:lang w:val="sk-SK"/>
        </w:rPr>
      </w:pPr>
    </w:p>
    <w:p w:rsidR="00FA696D" w:rsidRPr="00A83991" w:rsidRDefault="00B87E0A">
      <w:pPr>
        <w:rPr>
          <w:sz w:val="22"/>
          <w:szCs w:val="22"/>
          <w:lang w:val="sk-SK"/>
        </w:rPr>
      </w:pPr>
      <w:r w:rsidRPr="00A83991">
        <w:rPr>
          <w:sz w:val="22"/>
          <w:szCs w:val="22"/>
          <w:lang w:val="sk-SK"/>
        </w:rPr>
        <w:t>P</w:t>
      </w:r>
      <w:r w:rsidR="00FA696D" w:rsidRPr="00A83991">
        <w:rPr>
          <w:sz w:val="22"/>
          <w:szCs w:val="22"/>
          <w:lang w:val="sk-SK"/>
        </w:rPr>
        <w:t>rofylaxi</w:t>
      </w:r>
      <w:r w:rsidRPr="00A83991">
        <w:rPr>
          <w:sz w:val="22"/>
          <w:szCs w:val="22"/>
          <w:lang w:val="sk-SK"/>
        </w:rPr>
        <w:t>a</w:t>
      </w:r>
      <w:r w:rsidR="00FA696D" w:rsidRPr="00A83991">
        <w:rPr>
          <w:sz w:val="22"/>
          <w:szCs w:val="22"/>
          <w:lang w:val="sk-SK"/>
        </w:rPr>
        <w:t xml:space="preserve"> migrény v tehotenstve a u žien vo fertilnom veku, ak nepoužívajú účinnú metódu antikoncepcie.</w:t>
      </w:r>
      <w:r w:rsidR="00DF7A3B" w:rsidRPr="00A83991">
        <w:rPr>
          <w:sz w:val="22"/>
          <w:szCs w:val="22"/>
          <w:lang w:val="sk-SK"/>
        </w:rPr>
        <w:t xml:space="preserve"> </w:t>
      </w:r>
    </w:p>
    <w:p w:rsidR="00FA696D" w:rsidRPr="00A83991" w:rsidRDefault="00FA696D">
      <w:pPr>
        <w:rPr>
          <w:sz w:val="22"/>
          <w:szCs w:val="22"/>
          <w:lang w:val="sk-SK"/>
        </w:rPr>
      </w:pPr>
    </w:p>
    <w:p w:rsidR="00FA696D" w:rsidRPr="00A83991" w:rsidRDefault="00FA696D" w:rsidP="000971FE">
      <w:pPr>
        <w:keepNext/>
        <w:tabs>
          <w:tab w:val="left" w:pos="567"/>
        </w:tabs>
        <w:rPr>
          <w:b/>
          <w:sz w:val="22"/>
          <w:szCs w:val="22"/>
          <w:lang w:val="sk-SK"/>
        </w:rPr>
      </w:pPr>
      <w:r w:rsidRPr="00A83991">
        <w:rPr>
          <w:rStyle w:val="EmphasisA"/>
          <w:rFonts w:ascii="Times New Roman" w:eastAsia="Times New Roman" w:hAnsi="Times New Roman"/>
          <w:sz w:val="22"/>
          <w:szCs w:val="22"/>
          <w:lang w:val="sk-SK"/>
        </w:rPr>
        <w:t>4.4</w:t>
      </w:r>
      <w:r w:rsidR="00B87E0A" w:rsidRPr="00A83991">
        <w:rPr>
          <w:rStyle w:val="EmphasisA"/>
          <w:rFonts w:ascii="Times New Roman" w:eastAsia="Times New Roman" w:hAnsi="Times New Roman"/>
          <w:sz w:val="22"/>
          <w:szCs w:val="22"/>
          <w:lang w:val="sk-SK"/>
        </w:rPr>
        <w:tab/>
      </w:r>
      <w:r w:rsidRPr="00A83991">
        <w:rPr>
          <w:b/>
          <w:sz w:val="22"/>
          <w:szCs w:val="22"/>
          <w:lang w:val="sk-SK"/>
        </w:rPr>
        <w:t xml:space="preserve">Osobitné upozornenia a opatrenia pri používaní </w:t>
      </w:r>
    </w:p>
    <w:p w:rsidR="00FA696D" w:rsidRPr="00A83991" w:rsidRDefault="00FA696D" w:rsidP="000971FE">
      <w:pPr>
        <w:keepNext/>
        <w:rPr>
          <w:sz w:val="22"/>
          <w:szCs w:val="22"/>
          <w:lang w:val="sk-SK"/>
        </w:rPr>
      </w:pPr>
    </w:p>
    <w:p w:rsidR="00B87E0A" w:rsidRPr="00A83991" w:rsidRDefault="00B87E0A" w:rsidP="00B87E0A">
      <w:pPr>
        <w:pStyle w:val="BodyText12"/>
        <w:spacing w:after="0" w:line="240" w:lineRule="auto"/>
        <w:ind w:left="0"/>
        <w:jc w:val="left"/>
        <w:rPr>
          <w:color w:val="000000"/>
          <w:sz w:val="22"/>
          <w:szCs w:val="22"/>
          <w:lang w:val="sk-SK"/>
        </w:rPr>
      </w:pPr>
      <w:r w:rsidRPr="00A83991">
        <w:rPr>
          <w:color w:val="000000"/>
          <w:sz w:val="22"/>
          <w:szCs w:val="22"/>
          <w:lang w:val="sk-SK"/>
        </w:rPr>
        <w:t>V prípadoch, kedy je z medicínskeho hľadiska potrebné rýchle ukončenie liečby topiramátom</w:t>
      </w:r>
      <w:r w:rsidR="00551CE2" w:rsidRPr="00A83991">
        <w:rPr>
          <w:color w:val="000000"/>
          <w:sz w:val="22"/>
          <w:szCs w:val="22"/>
          <w:lang w:val="sk-SK"/>
        </w:rPr>
        <w:t xml:space="preserve"> </w:t>
      </w:r>
      <w:r w:rsidRPr="00A83991">
        <w:rPr>
          <w:color w:val="000000"/>
          <w:sz w:val="22"/>
          <w:szCs w:val="22"/>
          <w:lang w:val="sk-SK"/>
        </w:rPr>
        <w:t xml:space="preserve">sa odporúča náležité monitorovanie (ďalšie informácie </w:t>
      </w:r>
      <w:r w:rsidR="00CD6837">
        <w:rPr>
          <w:color w:val="000000"/>
          <w:sz w:val="22"/>
          <w:szCs w:val="22"/>
          <w:lang w:val="sk-SK"/>
        </w:rPr>
        <w:t xml:space="preserve">pozri </w:t>
      </w:r>
      <w:r w:rsidRPr="00A83991">
        <w:rPr>
          <w:color w:val="000000"/>
          <w:sz w:val="22"/>
          <w:szCs w:val="22"/>
          <w:lang w:val="sk-SK"/>
        </w:rPr>
        <w:t>v časti 4.2).</w:t>
      </w:r>
    </w:p>
    <w:p w:rsidR="00B87E0A" w:rsidRPr="00A83991" w:rsidRDefault="00B87E0A" w:rsidP="00B87E0A">
      <w:pPr>
        <w:pStyle w:val="BodyText12"/>
        <w:spacing w:after="0" w:line="240" w:lineRule="auto"/>
        <w:ind w:left="0"/>
        <w:jc w:val="left"/>
        <w:rPr>
          <w:sz w:val="22"/>
          <w:szCs w:val="22"/>
          <w:lang w:val="sk-SK"/>
        </w:rPr>
      </w:pPr>
    </w:p>
    <w:p w:rsidR="00B87E0A" w:rsidRPr="00A83991" w:rsidRDefault="00B87E0A" w:rsidP="00B87E0A">
      <w:pPr>
        <w:pStyle w:val="BodyText12"/>
        <w:spacing w:after="0" w:line="240" w:lineRule="auto"/>
        <w:ind w:left="0"/>
        <w:jc w:val="left"/>
        <w:rPr>
          <w:sz w:val="22"/>
          <w:szCs w:val="22"/>
          <w:lang w:val="sk-SK"/>
        </w:rPr>
      </w:pPr>
      <w:r w:rsidRPr="00A83991">
        <w:rPr>
          <w:sz w:val="22"/>
          <w:szCs w:val="22"/>
          <w:lang w:val="sk-SK"/>
        </w:rPr>
        <w:t>Tak ako pri iných antiepileptikách, u niektorých pacientov sa pri užívaní top</w:t>
      </w:r>
      <w:r w:rsidR="00551CE2" w:rsidRPr="00A83991">
        <w:rPr>
          <w:sz w:val="22"/>
          <w:szCs w:val="22"/>
          <w:lang w:val="sk-SK"/>
        </w:rPr>
        <w:t xml:space="preserve">iramátu </w:t>
      </w:r>
      <w:r w:rsidRPr="00A83991">
        <w:rPr>
          <w:sz w:val="22"/>
          <w:szCs w:val="22"/>
          <w:lang w:val="sk-SK"/>
        </w:rPr>
        <w:t>môže vyskytnúť zvýšená frekvencia záchvatov alebo vznik nových typov záchvatov. Tento fenomén môže byť dôsledkom predávkovania, poklesu plazmatických koncentrácií sú</w:t>
      </w:r>
      <w:r w:rsidR="00C208C2">
        <w:rPr>
          <w:sz w:val="22"/>
          <w:szCs w:val="22"/>
          <w:lang w:val="sk-SK"/>
        </w:rPr>
        <w:t>bež</w:t>
      </w:r>
      <w:r w:rsidRPr="00A83991">
        <w:rPr>
          <w:sz w:val="22"/>
          <w:szCs w:val="22"/>
          <w:lang w:val="sk-SK"/>
        </w:rPr>
        <w:t>ne užívaných antiepileptík, priebehu ochorenia alebo môže ísť o paradoxný účinok.</w:t>
      </w:r>
    </w:p>
    <w:p w:rsidR="00B87E0A" w:rsidRPr="00A83991" w:rsidRDefault="00B87E0A" w:rsidP="00B87E0A">
      <w:pPr>
        <w:pStyle w:val="BodyText12"/>
        <w:spacing w:after="0" w:line="240" w:lineRule="auto"/>
        <w:ind w:left="0"/>
        <w:jc w:val="left"/>
        <w:rPr>
          <w:sz w:val="22"/>
          <w:szCs w:val="22"/>
          <w:lang w:val="sk-SK"/>
        </w:rPr>
      </w:pPr>
    </w:p>
    <w:p w:rsidR="00B87E0A" w:rsidRPr="00A83991" w:rsidRDefault="00B87E0A" w:rsidP="00B87E0A">
      <w:pPr>
        <w:pStyle w:val="BodyText12"/>
        <w:spacing w:after="0" w:line="240" w:lineRule="auto"/>
        <w:ind w:left="0"/>
        <w:jc w:val="left"/>
        <w:rPr>
          <w:sz w:val="22"/>
          <w:szCs w:val="22"/>
          <w:lang w:val="sk-SK"/>
        </w:rPr>
      </w:pPr>
      <w:r w:rsidRPr="00A83991">
        <w:rPr>
          <w:sz w:val="22"/>
          <w:szCs w:val="22"/>
          <w:lang w:val="sk-SK"/>
        </w:rPr>
        <w:t>Počas užívania topiramátu je veľmi dôležitá primeraná hydratácia organizmu. Hydratácia organizmu môže znížiť riziko nefrolitiázy (pozri nižšie). Správna hydratácia pred aktivitami</w:t>
      </w:r>
      <w:r w:rsidR="00551CE2" w:rsidRPr="00A83991">
        <w:rPr>
          <w:sz w:val="22"/>
          <w:szCs w:val="22"/>
          <w:lang w:val="sk-SK"/>
        </w:rPr>
        <w:t xml:space="preserve"> a počas nich, </w:t>
      </w:r>
      <w:r w:rsidRPr="00A83991">
        <w:rPr>
          <w:sz w:val="22"/>
          <w:szCs w:val="22"/>
          <w:lang w:val="sk-SK"/>
        </w:rPr>
        <w:t>ako je cvičenie alebo vystavenie sa vysokým teplotám, môže znížiť riziko nežiaducich reakcií spojených s teplom (pozri časť 4.8).</w:t>
      </w:r>
    </w:p>
    <w:p w:rsidR="00551CE2" w:rsidRPr="00A83991" w:rsidRDefault="00551CE2" w:rsidP="00506BD6">
      <w:pPr>
        <w:rPr>
          <w:rStyle w:val="UnderlineA"/>
          <w:bCs/>
          <w:sz w:val="22"/>
          <w:szCs w:val="22"/>
          <w:lang w:val="sk-SK"/>
        </w:rPr>
      </w:pPr>
    </w:p>
    <w:p w:rsidR="00551CE2" w:rsidRPr="00A83991" w:rsidRDefault="00551CE2" w:rsidP="000971FE">
      <w:pPr>
        <w:keepNext/>
        <w:rPr>
          <w:rStyle w:val="UnderlineA"/>
          <w:bCs/>
          <w:sz w:val="22"/>
          <w:szCs w:val="22"/>
          <w:lang w:val="sk-SK"/>
        </w:rPr>
      </w:pPr>
      <w:r w:rsidRPr="00A83991">
        <w:rPr>
          <w:rStyle w:val="UnderlineA"/>
          <w:bCs/>
          <w:sz w:val="22"/>
          <w:szCs w:val="22"/>
          <w:lang w:val="sk-SK"/>
        </w:rPr>
        <w:t>Oligohydróza</w:t>
      </w:r>
    </w:p>
    <w:p w:rsidR="003B2AE5" w:rsidRPr="00A83991" w:rsidRDefault="003B2AE5" w:rsidP="000971FE">
      <w:pPr>
        <w:keepNext/>
        <w:rPr>
          <w:rStyle w:val="UnderlineA"/>
          <w:bCs/>
          <w:sz w:val="22"/>
          <w:szCs w:val="22"/>
          <w:u w:val="none"/>
          <w:lang w:val="sk-SK"/>
        </w:rPr>
      </w:pPr>
    </w:p>
    <w:p w:rsidR="00FE65B0" w:rsidRPr="00A83991" w:rsidRDefault="00C240D7" w:rsidP="00506BD6">
      <w:pPr>
        <w:rPr>
          <w:sz w:val="22"/>
          <w:szCs w:val="22"/>
          <w:lang w:val="sk-SK"/>
        </w:rPr>
      </w:pPr>
      <w:r w:rsidRPr="00A83991">
        <w:rPr>
          <w:rStyle w:val="UnderlineA"/>
          <w:bCs/>
          <w:sz w:val="22"/>
          <w:szCs w:val="22"/>
          <w:u w:val="none"/>
          <w:lang w:val="sk-SK"/>
        </w:rPr>
        <w:t xml:space="preserve">V súvislosti s použitím topiramátu </w:t>
      </w:r>
      <w:r w:rsidR="00C208C2">
        <w:rPr>
          <w:rStyle w:val="UnderlineA"/>
          <w:bCs/>
          <w:sz w:val="22"/>
          <w:szCs w:val="22"/>
          <w:u w:val="none"/>
          <w:lang w:val="sk-SK"/>
        </w:rPr>
        <w:t>bola hlásená</w:t>
      </w:r>
      <w:r w:rsidRPr="00A83991">
        <w:rPr>
          <w:rStyle w:val="UnderlineA"/>
          <w:bCs/>
          <w:sz w:val="22"/>
          <w:szCs w:val="22"/>
          <w:u w:val="none"/>
          <w:lang w:val="sk-SK"/>
        </w:rPr>
        <w:t xml:space="preserve"> o</w:t>
      </w:r>
      <w:r w:rsidR="00551CE2" w:rsidRPr="00A83991">
        <w:rPr>
          <w:rStyle w:val="UnderlineA"/>
          <w:bCs/>
          <w:sz w:val="22"/>
          <w:szCs w:val="22"/>
          <w:u w:val="none"/>
          <w:lang w:val="sk-SK"/>
        </w:rPr>
        <w:t>ligohydróza (znížené potenie)</w:t>
      </w:r>
      <w:r w:rsidRPr="00A83991">
        <w:rPr>
          <w:rStyle w:val="UnderlineA"/>
          <w:bCs/>
          <w:sz w:val="22"/>
          <w:szCs w:val="22"/>
          <w:u w:val="none"/>
          <w:lang w:val="sk-SK"/>
        </w:rPr>
        <w:t xml:space="preserve">. </w:t>
      </w:r>
      <w:r w:rsidR="00551CE2" w:rsidRPr="00A83991">
        <w:rPr>
          <w:rStyle w:val="UnderlineA"/>
          <w:bCs/>
          <w:sz w:val="22"/>
          <w:szCs w:val="22"/>
          <w:u w:val="none"/>
          <w:lang w:val="sk-SK"/>
        </w:rPr>
        <w:t>Znížené potenie a</w:t>
      </w:r>
      <w:r w:rsidR="00903A88">
        <w:rPr>
          <w:rStyle w:val="UnderlineA"/>
          <w:bCs/>
          <w:sz w:val="22"/>
          <w:szCs w:val="22"/>
          <w:u w:val="none"/>
          <w:lang w:val="sk-SK"/>
        </w:rPr>
        <w:t> hypertermia (</w:t>
      </w:r>
      <w:r w:rsidR="00551CE2" w:rsidRPr="00A83991">
        <w:rPr>
          <w:rStyle w:val="UnderlineA"/>
          <w:bCs/>
          <w:sz w:val="22"/>
          <w:szCs w:val="22"/>
          <w:u w:val="none"/>
          <w:lang w:val="sk-SK"/>
        </w:rPr>
        <w:t>zvýšená telesná teplota</w:t>
      </w:r>
      <w:r w:rsidR="00903A88">
        <w:rPr>
          <w:rStyle w:val="UnderlineA"/>
          <w:bCs/>
          <w:sz w:val="22"/>
          <w:szCs w:val="22"/>
          <w:u w:val="none"/>
          <w:lang w:val="sk-SK"/>
        </w:rPr>
        <w:t>)</w:t>
      </w:r>
      <w:r w:rsidR="00551CE2" w:rsidRPr="00A83991">
        <w:rPr>
          <w:rStyle w:val="UnderlineA"/>
          <w:bCs/>
          <w:sz w:val="22"/>
          <w:szCs w:val="22"/>
          <w:u w:val="none"/>
          <w:lang w:val="sk-SK"/>
        </w:rPr>
        <w:t xml:space="preserve"> sa môže vyskytnúť najm</w:t>
      </w:r>
      <w:r w:rsidR="00C208C2">
        <w:rPr>
          <w:rStyle w:val="UnderlineA"/>
          <w:bCs/>
          <w:sz w:val="22"/>
          <w:szCs w:val="22"/>
          <w:u w:val="none"/>
          <w:lang w:val="sk-SK"/>
        </w:rPr>
        <w:t>ä</w:t>
      </w:r>
      <w:r w:rsidR="00551CE2" w:rsidRPr="00A83991">
        <w:rPr>
          <w:rStyle w:val="UnderlineA"/>
          <w:bCs/>
          <w:sz w:val="22"/>
          <w:szCs w:val="22"/>
          <w:u w:val="none"/>
          <w:lang w:val="sk-SK"/>
        </w:rPr>
        <w:t xml:space="preserve"> u</w:t>
      </w:r>
      <w:r w:rsidR="00A3563D" w:rsidRPr="00A83991">
        <w:rPr>
          <w:rStyle w:val="UnderlineA"/>
          <w:bCs/>
          <w:sz w:val="22"/>
          <w:szCs w:val="22"/>
          <w:u w:val="none"/>
          <w:lang w:val="sk-SK"/>
        </w:rPr>
        <w:t xml:space="preserve"> malých </w:t>
      </w:r>
      <w:r w:rsidR="00551CE2" w:rsidRPr="00A83991">
        <w:rPr>
          <w:rStyle w:val="UnderlineA"/>
          <w:bCs/>
          <w:sz w:val="22"/>
          <w:szCs w:val="22"/>
          <w:u w:val="none"/>
          <w:lang w:val="sk-SK"/>
        </w:rPr>
        <w:t>detí vystavených vysokým teplotám prostredia</w:t>
      </w:r>
      <w:r w:rsidRPr="00A83991">
        <w:rPr>
          <w:rStyle w:val="UnderlineA"/>
          <w:bCs/>
          <w:sz w:val="22"/>
          <w:szCs w:val="22"/>
          <w:u w:val="none"/>
          <w:lang w:val="sk-SK"/>
        </w:rPr>
        <w:t>.</w:t>
      </w:r>
      <w:r w:rsidR="00551CE2" w:rsidRPr="00A83991">
        <w:rPr>
          <w:rStyle w:val="UnderlineA"/>
          <w:bCs/>
          <w:sz w:val="22"/>
          <w:szCs w:val="22"/>
          <w:u w:val="none"/>
          <w:lang w:val="sk-SK"/>
        </w:rPr>
        <w:t xml:space="preserve"> </w:t>
      </w:r>
    </w:p>
    <w:p w:rsidR="00551CE2" w:rsidRPr="00A83991" w:rsidRDefault="00551CE2" w:rsidP="00506BD6">
      <w:pPr>
        <w:rPr>
          <w:sz w:val="22"/>
          <w:szCs w:val="22"/>
          <w:lang w:val="sk-SK"/>
        </w:rPr>
      </w:pPr>
    </w:p>
    <w:p w:rsidR="00551CE2" w:rsidRPr="00A83991" w:rsidRDefault="00C240D7" w:rsidP="000971FE">
      <w:pPr>
        <w:keepNext/>
        <w:rPr>
          <w:sz w:val="22"/>
          <w:szCs w:val="22"/>
          <w:u w:val="single"/>
          <w:lang w:val="sk-SK"/>
        </w:rPr>
      </w:pPr>
      <w:r w:rsidRPr="00A83991">
        <w:rPr>
          <w:sz w:val="22"/>
          <w:szCs w:val="22"/>
          <w:u w:val="single"/>
          <w:lang w:val="sk-SK"/>
        </w:rPr>
        <w:t>Zmeny nálady/depresia</w:t>
      </w:r>
    </w:p>
    <w:p w:rsidR="003B2AE5" w:rsidRPr="00A83991" w:rsidRDefault="003B2AE5" w:rsidP="000971FE">
      <w:pPr>
        <w:keepNext/>
        <w:rPr>
          <w:sz w:val="22"/>
          <w:szCs w:val="22"/>
          <w:lang w:val="sk-SK"/>
        </w:rPr>
      </w:pPr>
    </w:p>
    <w:p w:rsidR="00506BD6" w:rsidRPr="00A83991" w:rsidRDefault="00632F5C" w:rsidP="00506BD6">
      <w:pPr>
        <w:rPr>
          <w:sz w:val="22"/>
          <w:szCs w:val="22"/>
          <w:lang w:val="sk-SK"/>
        </w:rPr>
      </w:pPr>
      <w:r w:rsidRPr="00A83991">
        <w:rPr>
          <w:sz w:val="22"/>
          <w:szCs w:val="22"/>
          <w:lang w:val="sk-SK"/>
        </w:rPr>
        <w:t xml:space="preserve">U pacientov liečených topiramátom bol zaznamenaný </w:t>
      </w:r>
      <w:r w:rsidR="00551CE2" w:rsidRPr="00A83991">
        <w:rPr>
          <w:sz w:val="22"/>
          <w:szCs w:val="22"/>
          <w:lang w:val="sk-SK"/>
        </w:rPr>
        <w:t xml:space="preserve">zvýšený </w:t>
      </w:r>
      <w:r w:rsidRPr="00A83991">
        <w:rPr>
          <w:sz w:val="22"/>
          <w:szCs w:val="22"/>
          <w:lang w:val="sk-SK"/>
        </w:rPr>
        <w:t>v</w:t>
      </w:r>
      <w:r w:rsidR="00506BD6" w:rsidRPr="00A83991">
        <w:rPr>
          <w:sz w:val="22"/>
          <w:szCs w:val="22"/>
          <w:lang w:val="sk-SK"/>
        </w:rPr>
        <w:t>ýskyt poruchy nálady a depresie.</w:t>
      </w:r>
    </w:p>
    <w:p w:rsidR="00C240D7" w:rsidRPr="00A83991" w:rsidRDefault="00C240D7" w:rsidP="00C240D7">
      <w:pPr>
        <w:pStyle w:val="BodyText12"/>
        <w:spacing w:after="0" w:line="240" w:lineRule="auto"/>
        <w:ind w:left="0"/>
        <w:jc w:val="left"/>
        <w:rPr>
          <w:sz w:val="22"/>
          <w:szCs w:val="22"/>
          <w:lang w:val="sk-SK"/>
        </w:rPr>
      </w:pPr>
    </w:p>
    <w:p w:rsidR="00C240D7" w:rsidRPr="00A83991" w:rsidRDefault="00C240D7" w:rsidP="000971FE">
      <w:pPr>
        <w:pStyle w:val="BodyText12"/>
        <w:keepNext/>
        <w:spacing w:after="0" w:line="240" w:lineRule="auto"/>
        <w:ind w:left="0"/>
        <w:jc w:val="left"/>
        <w:rPr>
          <w:sz w:val="22"/>
          <w:szCs w:val="22"/>
          <w:u w:val="single"/>
          <w:lang w:val="sk-SK"/>
        </w:rPr>
      </w:pPr>
      <w:r w:rsidRPr="00A83991">
        <w:rPr>
          <w:sz w:val="22"/>
          <w:szCs w:val="22"/>
          <w:u w:val="single"/>
          <w:lang w:val="sk-SK"/>
        </w:rPr>
        <w:t xml:space="preserve">Samovražda/samovražedné </w:t>
      </w:r>
      <w:r w:rsidR="004D018A" w:rsidRPr="00A83991">
        <w:rPr>
          <w:sz w:val="22"/>
          <w:szCs w:val="22"/>
          <w:u w:val="single"/>
          <w:lang w:val="sk-SK"/>
        </w:rPr>
        <w:t>myšlienky</w:t>
      </w:r>
    </w:p>
    <w:p w:rsidR="003B2AE5" w:rsidRPr="00A83991" w:rsidRDefault="003B2AE5" w:rsidP="000971FE">
      <w:pPr>
        <w:keepNext/>
        <w:rPr>
          <w:sz w:val="22"/>
          <w:szCs w:val="22"/>
          <w:lang w:val="sk-SK"/>
        </w:rPr>
      </w:pPr>
    </w:p>
    <w:p w:rsidR="007475AF" w:rsidRPr="00A83991" w:rsidRDefault="00632F5C" w:rsidP="00632F5C">
      <w:pPr>
        <w:rPr>
          <w:sz w:val="22"/>
          <w:szCs w:val="22"/>
          <w:lang w:val="sk-SK"/>
        </w:rPr>
      </w:pPr>
      <w:r w:rsidRPr="00A83991">
        <w:rPr>
          <w:sz w:val="22"/>
          <w:szCs w:val="22"/>
          <w:lang w:val="sk-SK"/>
        </w:rPr>
        <w:t xml:space="preserve">U pacientov liečených antiepileptikami v rôznych indikáciách </w:t>
      </w:r>
      <w:r w:rsidR="00C208C2">
        <w:rPr>
          <w:sz w:val="22"/>
          <w:szCs w:val="22"/>
          <w:lang w:val="sk-SK"/>
        </w:rPr>
        <w:t>boli hlásené</w:t>
      </w:r>
      <w:r w:rsidRPr="00A83991">
        <w:rPr>
          <w:sz w:val="22"/>
          <w:szCs w:val="22"/>
          <w:lang w:val="sk-SK"/>
        </w:rPr>
        <w:t xml:space="preserve"> </w:t>
      </w:r>
      <w:r w:rsidR="00F46FBA" w:rsidRPr="00A83991">
        <w:rPr>
          <w:sz w:val="22"/>
          <w:szCs w:val="22"/>
          <w:lang w:val="sk-SK"/>
        </w:rPr>
        <w:t xml:space="preserve">samovražedné </w:t>
      </w:r>
      <w:r w:rsidRPr="00A83991">
        <w:rPr>
          <w:sz w:val="22"/>
          <w:szCs w:val="22"/>
          <w:lang w:val="sk-SK"/>
        </w:rPr>
        <w:t>myšlienky a</w:t>
      </w:r>
      <w:r w:rsidR="00C240D7" w:rsidRPr="00A83991">
        <w:rPr>
          <w:sz w:val="22"/>
          <w:szCs w:val="22"/>
          <w:lang w:val="sk-SK"/>
        </w:rPr>
        <w:t> </w:t>
      </w:r>
      <w:r w:rsidR="00F46FBA" w:rsidRPr="00A83991">
        <w:rPr>
          <w:sz w:val="22"/>
          <w:szCs w:val="22"/>
          <w:lang w:val="sk-SK"/>
        </w:rPr>
        <w:t>správanie</w:t>
      </w:r>
      <w:r w:rsidRPr="00A83991">
        <w:rPr>
          <w:sz w:val="22"/>
          <w:szCs w:val="22"/>
          <w:lang w:val="sk-SK"/>
        </w:rPr>
        <w:t xml:space="preserve">. Meta-analýza randomizovaných placebom kontrolovaných </w:t>
      </w:r>
      <w:r w:rsidR="00213DF5">
        <w:rPr>
          <w:sz w:val="22"/>
          <w:szCs w:val="22"/>
          <w:lang w:val="sk-SK"/>
        </w:rPr>
        <w:t>skúšaní</w:t>
      </w:r>
      <w:r w:rsidRPr="00A83991">
        <w:rPr>
          <w:sz w:val="22"/>
          <w:szCs w:val="22"/>
          <w:lang w:val="sk-SK"/>
        </w:rPr>
        <w:t xml:space="preserve"> </w:t>
      </w:r>
      <w:r w:rsidR="00C240D7" w:rsidRPr="00A83991">
        <w:rPr>
          <w:sz w:val="22"/>
          <w:szCs w:val="22"/>
          <w:lang w:val="sk-SK"/>
        </w:rPr>
        <w:t>s </w:t>
      </w:r>
      <w:r w:rsidRPr="00A83991">
        <w:rPr>
          <w:sz w:val="22"/>
          <w:szCs w:val="22"/>
          <w:lang w:val="sk-SK"/>
        </w:rPr>
        <w:t>antiepilept</w:t>
      </w:r>
      <w:r w:rsidR="00C240D7" w:rsidRPr="00A83991">
        <w:rPr>
          <w:sz w:val="22"/>
          <w:szCs w:val="22"/>
          <w:lang w:val="sk-SK"/>
        </w:rPr>
        <w:t xml:space="preserve">ikami </w:t>
      </w:r>
      <w:r w:rsidRPr="00A83991">
        <w:rPr>
          <w:sz w:val="22"/>
          <w:szCs w:val="22"/>
          <w:lang w:val="sk-SK"/>
        </w:rPr>
        <w:t>preukázala malé zvýšen</w:t>
      </w:r>
      <w:r w:rsidR="00C240D7" w:rsidRPr="00A83991">
        <w:rPr>
          <w:sz w:val="22"/>
          <w:szCs w:val="22"/>
          <w:lang w:val="sk-SK"/>
        </w:rPr>
        <w:t xml:space="preserve">ie </w:t>
      </w:r>
      <w:r w:rsidRPr="00A83991">
        <w:rPr>
          <w:sz w:val="22"/>
          <w:szCs w:val="22"/>
          <w:lang w:val="sk-SK"/>
        </w:rPr>
        <w:t>rizik</w:t>
      </w:r>
      <w:r w:rsidR="00C240D7" w:rsidRPr="00A83991">
        <w:rPr>
          <w:sz w:val="22"/>
          <w:szCs w:val="22"/>
          <w:lang w:val="sk-SK"/>
        </w:rPr>
        <w:t xml:space="preserve">a samovražedných </w:t>
      </w:r>
      <w:r w:rsidR="00D44B4B" w:rsidRPr="00A83991">
        <w:rPr>
          <w:sz w:val="22"/>
          <w:szCs w:val="22"/>
          <w:lang w:val="sk-SK"/>
        </w:rPr>
        <w:t>myšlienok</w:t>
      </w:r>
      <w:r w:rsidR="00C240D7" w:rsidRPr="00A83991">
        <w:rPr>
          <w:sz w:val="22"/>
          <w:szCs w:val="22"/>
          <w:lang w:val="sk-SK"/>
        </w:rPr>
        <w:t xml:space="preserve"> </w:t>
      </w:r>
      <w:r w:rsidRPr="00A83991">
        <w:rPr>
          <w:sz w:val="22"/>
          <w:szCs w:val="22"/>
          <w:lang w:val="sk-SK"/>
        </w:rPr>
        <w:t xml:space="preserve">a správania. </w:t>
      </w:r>
      <w:r w:rsidR="007475AF" w:rsidRPr="00A83991">
        <w:rPr>
          <w:sz w:val="22"/>
          <w:szCs w:val="22"/>
          <w:lang w:val="sk-SK"/>
        </w:rPr>
        <w:t>Mechanizmus tohto rizika nie je známy a dostupné údaje nevylučujú možnosť zvýšeného rizika u topiramátu.</w:t>
      </w:r>
    </w:p>
    <w:p w:rsidR="00632F5C" w:rsidRPr="00A83991" w:rsidRDefault="00632F5C" w:rsidP="00632F5C">
      <w:pPr>
        <w:rPr>
          <w:sz w:val="22"/>
          <w:szCs w:val="22"/>
          <w:lang w:val="sk-SK"/>
        </w:rPr>
      </w:pPr>
      <w:r w:rsidRPr="00A83991">
        <w:rPr>
          <w:sz w:val="22"/>
          <w:szCs w:val="22"/>
          <w:lang w:val="sk-SK"/>
        </w:rPr>
        <w:lastRenderedPageBreak/>
        <w:t xml:space="preserve">V dvojito zaslepených klinických </w:t>
      </w:r>
      <w:r w:rsidR="00213DF5">
        <w:rPr>
          <w:sz w:val="22"/>
          <w:szCs w:val="22"/>
          <w:lang w:val="sk-SK"/>
        </w:rPr>
        <w:t>skúšaniach</w:t>
      </w:r>
      <w:r w:rsidRPr="00A83991">
        <w:rPr>
          <w:sz w:val="22"/>
          <w:szCs w:val="22"/>
          <w:lang w:val="sk-SK"/>
        </w:rPr>
        <w:t xml:space="preserve"> sa pozorovali príhody súvisiace so samovraždou (myšlienky na samovraždu, pokusy o samovraždu a samovražd</w:t>
      </w:r>
      <w:r w:rsidR="00C240D7" w:rsidRPr="00A83991">
        <w:rPr>
          <w:sz w:val="22"/>
          <w:szCs w:val="22"/>
          <w:lang w:val="sk-SK"/>
        </w:rPr>
        <w:t>a</w:t>
      </w:r>
      <w:r w:rsidRPr="00A83991">
        <w:rPr>
          <w:sz w:val="22"/>
          <w:szCs w:val="22"/>
          <w:lang w:val="sk-SK"/>
        </w:rPr>
        <w:t xml:space="preserve">) </w:t>
      </w:r>
      <w:r w:rsidR="006F5B0C" w:rsidRPr="00A83991">
        <w:rPr>
          <w:sz w:val="22"/>
          <w:szCs w:val="22"/>
          <w:lang w:val="sk-SK"/>
        </w:rPr>
        <w:t xml:space="preserve">s </w:t>
      </w:r>
      <w:r w:rsidRPr="00A83991">
        <w:rPr>
          <w:sz w:val="22"/>
          <w:szCs w:val="22"/>
          <w:lang w:val="sk-SK"/>
        </w:rPr>
        <w:t>frekvenc</w:t>
      </w:r>
      <w:r w:rsidR="006F5B0C" w:rsidRPr="00A83991">
        <w:rPr>
          <w:sz w:val="22"/>
          <w:szCs w:val="22"/>
          <w:lang w:val="sk-SK"/>
        </w:rPr>
        <w:t>iou</w:t>
      </w:r>
      <w:r w:rsidRPr="00A83991">
        <w:rPr>
          <w:sz w:val="22"/>
          <w:szCs w:val="22"/>
          <w:lang w:val="sk-SK"/>
        </w:rPr>
        <w:t xml:space="preserve"> 0,5</w:t>
      </w:r>
      <w:r w:rsidR="00C240D7" w:rsidRPr="00A83991">
        <w:rPr>
          <w:sz w:val="22"/>
          <w:szCs w:val="22"/>
          <w:lang w:val="sk-SK"/>
        </w:rPr>
        <w:t> </w:t>
      </w:r>
      <w:r w:rsidRPr="00A83991">
        <w:rPr>
          <w:sz w:val="22"/>
          <w:szCs w:val="22"/>
          <w:lang w:val="sk-SK"/>
        </w:rPr>
        <w:t>% u pacientov liečených topiramátom (4</w:t>
      </w:r>
      <w:r w:rsidR="00C240D7" w:rsidRPr="00A83991">
        <w:rPr>
          <w:sz w:val="22"/>
          <w:szCs w:val="22"/>
          <w:lang w:val="sk-SK"/>
        </w:rPr>
        <w:t>6</w:t>
      </w:r>
      <w:r w:rsidRPr="00A83991">
        <w:rPr>
          <w:sz w:val="22"/>
          <w:szCs w:val="22"/>
          <w:lang w:val="sk-SK"/>
        </w:rPr>
        <w:t xml:space="preserve"> z </w:t>
      </w:r>
      <w:r w:rsidR="00C240D7" w:rsidRPr="00A83991">
        <w:rPr>
          <w:sz w:val="22"/>
          <w:szCs w:val="22"/>
          <w:lang w:val="sk-SK"/>
        </w:rPr>
        <w:t xml:space="preserve">8 652 </w:t>
      </w:r>
      <w:r w:rsidRPr="00A83991">
        <w:rPr>
          <w:sz w:val="22"/>
          <w:szCs w:val="22"/>
          <w:lang w:val="sk-SK"/>
        </w:rPr>
        <w:t xml:space="preserve">liečených pacientov) a </w:t>
      </w:r>
      <w:r w:rsidR="009B71E7" w:rsidRPr="00A83991">
        <w:rPr>
          <w:sz w:val="22"/>
          <w:szCs w:val="22"/>
          <w:lang w:val="sk-SK"/>
        </w:rPr>
        <w:t>s</w:t>
      </w:r>
      <w:r w:rsidRPr="00A83991">
        <w:rPr>
          <w:sz w:val="22"/>
          <w:szCs w:val="22"/>
          <w:lang w:val="sk-SK"/>
        </w:rPr>
        <w:t xml:space="preserve"> trojnásobne vyšš</w:t>
      </w:r>
      <w:r w:rsidR="009B71E7" w:rsidRPr="00A83991">
        <w:rPr>
          <w:sz w:val="22"/>
          <w:szCs w:val="22"/>
          <w:lang w:val="sk-SK"/>
        </w:rPr>
        <w:t>ou</w:t>
      </w:r>
      <w:r w:rsidRPr="00A83991">
        <w:rPr>
          <w:sz w:val="22"/>
          <w:szCs w:val="22"/>
          <w:lang w:val="sk-SK"/>
        </w:rPr>
        <w:t xml:space="preserve"> incidenci</w:t>
      </w:r>
      <w:r w:rsidR="009B71E7" w:rsidRPr="00A83991">
        <w:rPr>
          <w:sz w:val="22"/>
          <w:szCs w:val="22"/>
          <w:lang w:val="sk-SK"/>
        </w:rPr>
        <w:t>ou</w:t>
      </w:r>
      <w:r w:rsidRPr="00A83991">
        <w:rPr>
          <w:sz w:val="22"/>
          <w:szCs w:val="22"/>
          <w:lang w:val="sk-SK"/>
        </w:rPr>
        <w:t xml:space="preserve"> ako u</w:t>
      </w:r>
      <w:r w:rsidR="00C240D7" w:rsidRPr="00A83991">
        <w:rPr>
          <w:sz w:val="22"/>
          <w:szCs w:val="22"/>
          <w:lang w:val="sk-SK"/>
        </w:rPr>
        <w:t> </w:t>
      </w:r>
      <w:r w:rsidRPr="00A83991">
        <w:rPr>
          <w:sz w:val="22"/>
          <w:szCs w:val="22"/>
          <w:lang w:val="sk-SK"/>
        </w:rPr>
        <w:t xml:space="preserve">pacientov </w:t>
      </w:r>
      <w:r w:rsidR="004A1FCC" w:rsidRPr="00A83991">
        <w:rPr>
          <w:sz w:val="22"/>
          <w:szCs w:val="22"/>
          <w:lang w:val="sk-SK"/>
        </w:rPr>
        <w:t xml:space="preserve">s </w:t>
      </w:r>
      <w:r w:rsidRPr="00A83991">
        <w:rPr>
          <w:sz w:val="22"/>
          <w:szCs w:val="22"/>
          <w:lang w:val="sk-SK"/>
        </w:rPr>
        <w:t>placebom (0,</w:t>
      </w:r>
      <w:r w:rsidR="00C240D7" w:rsidRPr="00A83991">
        <w:rPr>
          <w:sz w:val="22"/>
          <w:szCs w:val="22"/>
          <w:lang w:val="sk-SK"/>
        </w:rPr>
        <w:t>2 </w:t>
      </w:r>
      <w:r w:rsidRPr="00A83991">
        <w:rPr>
          <w:sz w:val="22"/>
          <w:szCs w:val="22"/>
          <w:lang w:val="sk-SK"/>
        </w:rPr>
        <w:t xml:space="preserve">%; </w:t>
      </w:r>
      <w:r w:rsidR="00C240D7" w:rsidRPr="00A83991">
        <w:rPr>
          <w:sz w:val="22"/>
          <w:szCs w:val="22"/>
          <w:lang w:val="sk-SK"/>
        </w:rPr>
        <w:t>8</w:t>
      </w:r>
      <w:r w:rsidRPr="00A83991">
        <w:rPr>
          <w:sz w:val="22"/>
          <w:szCs w:val="22"/>
          <w:lang w:val="sk-SK"/>
        </w:rPr>
        <w:t xml:space="preserve"> z</w:t>
      </w:r>
      <w:r w:rsidR="00C240D7" w:rsidRPr="00A83991">
        <w:rPr>
          <w:sz w:val="22"/>
          <w:szCs w:val="22"/>
          <w:lang w:val="sk-SK"/>
        </w:rPr>
        <w:t> 4 045</w:t>
      </w:r>
      <w:r w:rsidRPr="00A83991">
        <w:rPr>
          <w:sz w:val="22"/>
          <w:szCs w:val="22"/>
          <w:lang w:val="sk-SK"/>
        </w:rPr>
        <w:t xml:space="preserve"> liečených pacientov).</w:t>
      </w:r>
    </w:p>
    <w:p w:rsidR="00632F5C" w:rsidRPr="00A83991" w:rsidRDefault="00632F5C" w:rsidP="00632F5C">
      <w:pPr>
        <w:rPr>
          <w:sz w:val="22"/>
          <w:szCs w:val="22"/>
          <w:lang w:val="sk-SK"/>
        </w:rPr>
      </w:pPr>
    </w:p>
    <w:p w:rsidR="00632F5C" w:rsidRPr="00A83991" w:rsidRDefault="00632F5C" w:rsidP="00632F5C">
      <w:pPr>
        <w:rPr>
          <w:sz w:val="22"/>
          <w:szCs w:val="22"/>
          <w:lang w:val="sk-SK"/>
        </w:rPr>
      </w:pPr>
      <w:r w:rsidRPr="00A83991">
        <w:rPr>
          <w:sz w:val="22"/>
          <w:szCs w:val="22"/>
          <w:lang w:val="sk-SK"/>
        </w:rPr>
        <w:t>P</w:t>
      </w:r>
      <w:r w:rsidR="00C240D7" w:rsidRPr="00A83991">
        <w:rPr>
          <w:sz w:val="22"/>
          <w:szCs w:val="22"/>
          <w:lang w:val="sk-SK"/>
        </w:rPr>
        <w:t xml:space="preserve">reto sa u pacientov majú sledovať príznaky samovražedných </w:t>
      </w:r>
      <w:r w:rsidR="008623BC" w:rsidRPr="00A83991">
        <w:rPr>
          <w:sz w:val="22"/>
          <w:szCs w:val="22"/>
          <w:lang w:val="sk-SK"/>
        </w:rPr>
        <w:t>myšlienok</w:t>
      </w:r>
      <w:r w:rsidRPr="00A83991">
        <w:rPr>
          <w:sz w:val="22"/>
          <w:szCs w:val="22"/>
          <w:lang w:val="sk-SK"/>
        </w:rPr>
        <w:t xml:space="preserve"> a</w:t>
      </w:r>
      <w:r w:rsidR="00A90D2F" w:rsidRPr="00A83991">
        <w:rPr>
          <w:sz w:val="22"/>
          <w:szCs w:val="22"/>
          <w:lang w:val="sk-SK"/>
        </w:rPr>
        <w:t> </w:t>
      </w:r>
      <w:r w:rsidRPr="00A83991">
        <w:rPr>
          <w:sz w:val="22"/>
          <w:szCs w:val="22"/>
          <w:lang w:val="sk-SK"/>
        </w:rPr>
        <w:t>správania</w:t>
      </w:r>
      <w:r w:rsidR="00A90D2F" w:rsidRPr="00A83991">
        <w:rPr>
          <w:sz w:val="22"/>
          <w:szCs w:val="22"/>
          <w:lang w:val="sk-SK"/>
        </w:rPr>
        <w:t>,</w:t>
      </w:r>
      <w:r w:rsidRPr="00A83991">
        <w:rPr>
          <w:sz w:val="22"/>
          <w:szCs w:val="22"/>
          <w:lang w:val="sk-SK"/>
        </w:rPr>
        <w:t xml:space="preserve"> a </w:t>
      </w:r>
      <w:r w:rsidR="00C240D7" w:rsidRPr="00A83991">
        <w:rPr>
          <w:sz w:val="22"/>
          <w:szCs w:val="22"/>
          <w:lang w:val="sk-SK"/>
        </w:rPr>
        <w:t xml:space="preserve">má sa </w:t>
      </w:r>
      <w:r w:rsidRPr="00A83991">
        <w:rPr>
          <w:sz w:val="22"/>
          <w:szCs w:val="22"/>
          <w:lang w:val="sk-SK"/>
        </w:rPr>
        <w:t xml:space="preserve">zvážiť </w:t>
      </w:r>
      <w:r w:rsidR="00C240D7" w:rsidRPr="00A83991">
        <w:rPr>
          <w:sz w:val="22"/>
          <w:szCs w:val="22"/>
          <w:lang w:val="sk-SK"/>
        </w:rPr>
        <w:t xml:space="preserve">vhodná </w:t>
      </w:r>
      <w:r w:rsidRPr="00A83991">
        <w:rPr>
          <w:sz w:val="22"/>
          <w:szCs w:val="22"/>
          <w:lang w:val="sk-SK"/>
        </w:rPr>
        <w:t>liečb</w:t>
      </w:r>
      <w:r w:rsidR="00C240D7" w:rsidRPr="00A83991">
        <w:rPr>
          <w:sz w:val="22"/>
          <w:szCs w:val="22"/>
          <w:lang w:val="sk-SK"/>
        </w:rPr>
        <w:t>a</w:t>
      </w:r>
      <w:r w:rsidRPr="00A83991">
        <w:rPr>
          <w:sz w:val="22"/>
          <w:szCs w:val="22"/>
          <w:lang w:val="sk-SK"/>
        </w:rPr>
        <w:t xml:space="preserve">. Pacienti (a ich ošetrovatelia) majú byť poučení, aby pri výskyte samovražedných </w:t>
      </w:r>
      <w:r w:rsidR="009735EC" w:rsidRPr="00A83991">
        <w:rPr>
          <w:sz w:val="22"/>
          <w:szCs w:val="22"/>
          <w:lang w:val="sk-SK"/>
        </w:rPr>
        <w:t>myšlienok</w:t>
      </w:r>
      <w:r w:rsidRPr="00A83991">
        <w:rPr>
          <w:sz w:val="22"/>
          <w:szCs w:val="22"/>
          <w:lang w:val="sk-SK"/>
        </w:rPr>
        <w:t xml:space="preserve"> alebo správania vyhľadali lekársku pomoc. </w:t>
      </w:r>
    </w:p>
    <w:p w:rsidR="00632F5C" w:rsidRPr="00A83991" w:rsidRDefault="00632F5C" w:rsidP="00506BD6">
      <w:pPr>
        <w:rPr>
          <w:sz w:val="22"/>
          <w:szCs w:val="22"/>
          <w:lang w:val="sk-SK"/>
        </w:rPr>
      </w:pPr>
    </w:p>
    <w:p w:rsidR="004F4F2F" w:rsidRPr="00A83991" w:rsidRDefault="004F4F2F" w:rsidP="000971FE">
      <w:pPr>
        <w:keepNext/>
        <w:rPr>
          <w:sz w:val="22"/>
          <w:szCs w:val="22"/>
          <w:u w:val="single"/>
          <w:lang w:val="sk-SK"/>
        </w:rPr>
      </w:pPr>
      <w:r w:rsidRPr="00A83991">
        <w:rPr>
          <w:sz w:val="22"/>
          <w:szCs w:val="22"/>
          <w:u w:val="single"/>
          <w:lang w:val="sk-SK"/>
        </w:rPr>
        <w:t>Nefrolitiáza</w:t>
      </w:r>
    </w:p>
    <w:p w:rsidR="003B2AE5" w:rsidRPr="00A83991" w:rsidRDefault="003B2AE5" w:rsidP="00682609">
      <w:pPr>
        <w:pStyle w:val="Bodytext"/>
        <w:keepNext/>
        <w:tabs>
          <w:tab w:val="left" w:pos="8222"/>
        </w:tabs>
        <w:spacing w:after="0" w:line="240" w:lineRule="auto"/>
        <w:ind w:left="0" w:right="-369"/>
        <w:rPr>
          <w:rFonts w:ascii="Times New Roman" w:hAnsi="Times New Roman" w:cs="Times New Roman"/>
          <w:sz w:val="22"/>
          <w:szCs w:val="22"/>
        </w:rPr>
      </w:pPr>
    </w:p>
    <w:p w:rsidR="004F4F2F" w:rsidRPr="00A83991" w:rsidRDefault="004F4F2F" w:rsidP="004F4F2F">
      <w:pPr>
        <w:pStyle w:val="Bodytext"/>
        <w:keepNext/>
        <w:tabs>
          <w:tab w:val="left" w:pos="8222"/>
        </w:tabs>
        <w:spacing w:after="0" w:line="240" w:lineRule="auto"/>
        <w:ind w:left="0" w:right="-369"/>
        <w:rPr>
          <w:rFonts w:ascii="Times New Roman" w:hAnsi="Times New Roman" w:cs="Times New Roman"/>
          <w:strike w:val="0"/>
          <w:sz w:val="22"/>
          <w:szCs w:val="22"/>
        </w:rPr>
      </w:pPr>
      <w:r w:rsidRPr="00A83991">
        <w:rPr>
          <w:rFonts w:ascii="Times New Roman" w:hAnsi="Times New Roman" w:cs="Times New Roman"/>
          <w:strike w:val="0"/>
          <w:sz w:val="22"/>
          <w:szCs w:val="22"/>
        </w:rPr>
        <w:t xml:space="preserve">U niektorých pacientov, najmä u tých so sklonom k nefrolitiáze, môže byť zvýšené riziko tvorby obličkových kameňov a pridružených príznakov a </w:t>
      </w:r>
      <w:r w:rsidR="00213DF5">
        <w:rPr>
          <w:rFonts w:ascii="Times New Roman" w:hAnsi="Times New Roman" w:cs="Times New Roman"/>
          <w:strike w:val="0"/>
          <w:sz w:val="22"/>
          <w:szCs w:val="22"/>
        </w:rPr>
        <w:t>prejavov</w:t>
      </w:r>
      <w:r w:rsidRPr="00A83991">
        <w:rPr>
          <w:rFonts w:ascii="Times New Roman" w:hAnsi="Times New Roman" w:cs="Times New Roman"/>
          <w:strike w:val="0"/>
          <w:sz w:val="22"/>
          <w:szCs w:val="22"/>
        </w:rPr>
        <w:t xml:space="preserve">, ako sú renálna kolika, bolesť obličiek alebo bolesť boku. </w:t>
      </w:r>
    </w:p>
    <w:p w:rsidR="004F4F2F" w:rsidRPr="00A83991" w:rsidRDefault="004F4F2F" w:rsidP="004F4F2F">
      <w:pPr>
        <w:pStyle w:val="Bodytext"/>
        <w:tabs>
          <w:tab w:val="left" w:pos="8222"/>
        </w:tabs>
        <w:spacing w:after="0" w:line="240" w:lineRule="auto"/>
        <w:ind w:left="0" w:right="-369"/>
        <w:rPr>
          <w:rFonts w:ascii="Times New Roman" w:hAnsi="Times New Roman" w:cs="Times New Roman"/>
          <w:sz w:val="22"/>
          <w:szCs w:val="22"/>
        </w:rPr>
      </w:pPr>
    </w:p>
    <w:p w:rsidR="004F4F2F" w:rsidRDefault="00B4208C" w:rsidP="004F4F2F">
      <w:pPr>
        <w:pStyle w:val="BodyText12"/>
        <w:spacing w:after="0" w:line="240" w:lineRule="auto"/>
        <w:ind w:left="0"/>
        <w:jc w:val="left"/>
        <w:rPr>
          <w:sz w:val="22"/>
          <w:szCs w:val="22"/>
          <w:lang w:val="sk-SK"/>
        </w:rPr>
      </w:pPr>
      <w:r w:rsidRPr="00A83991">
        <w:rPr>
          <w:sz w:val="22"/>
          <w:szCs w:val="22"/>
          <w:lang w:val="sk-SK"/>
        </w:rPr>
        <w:t>R</w:t>
      </w:r>
      <w:r w:rsidR="004F4F2F" w:rsidRPr="00A83991">
        <w:rPr>
          <w:sz w:val="22"/>
          <w:szCs w:val="22"/>
          <w:lang w:val="sk-SK"/>
        </w:rPr>
        <w:t xml:space="preserve">izikové faktory nefrolitiázy </w:t>
      </w:r>
      <w:r w:rsidRPr="00A83991">
        <w:rPr>
          <w:sz w:val="22"/>
          <w:szCs w:val="22"/>
          <w:lang w:val="sk-SK"/>
        </w:rPr>
        <w:t xml:space="preserve">zahŕňajú </w:t>
      </w:r>
      <w:r w:rsidR="004F4F2F" w:rsidRPr="00A83991">
        <w:rPr>
          <w:sz w:val="22"/>
          <w:szCs w:val="22"/>
          <w:lang w:val="sk-SK"/>
        </w:rPr>
        <w:t>tvorb</w:t>
      </w:r>
      <w:r w:rsidRPr="00A83991">
        <w:rPr>
          <w:sz w:val="22"/>
          <w:szCs w:val="22"/>
          <w:lang w:val="sk-SK"/>
        </w:rPr>
        <w:t>u</w:t>
      </w:r>
      <w:r w:rsidR="004F4F2F" w:rsidRPr="00A83991">
        <w:rPr>
          <w:sz w:val="22"/>
          <w:szCs w:val="22"/>
          <w:lang w:val="sk-SK"/>
        </w:rPr>
        <w:t xml:space="preserve"> kameňov, výskyt nefrolitiázy a</w:t>
      </w:r>
      <w:r w:rsidRPr="00A83991">
        <w:rPr>
          <w:sz w:val="22"/>
          <w:szCs w:val="22"/>
          <w:lang w:val="sk-SK"/>
        </w:rPr>
        <w:t> </w:t>
      </w:r>
      <w:r w:rsidR="004F4F2F" w:rsidRPr="00A83991">
        <w:rPr>
          <w:sz w:val="22"/>
          <w:szCs w:val="22"/>
          <w:lang w:val="sk-SK"/>
        </w:rPr>
        <w:t xml:space="preserve">hyperkalciúrie v rodinnej anamnéze. Ani jeden z uvedených rizikových faktorov však neznamená spoľahlivú predikciu tvorby kameňov počas liečby topiramátom. Zvýšené riziko sa týka najmä pacientov, ktorí užívajú ešte ďalšie lieky spojené s nefrolitiázou. </w:t>
      </w:r>
    </w:p>
    <w:p w:rsidR="00903A88" w:rsidRDefault="00903A88" w:rsidP="004F4F2F">
      <w:pPr>
        <w:pStyle w:val="BodyText12"/>
        <w:spacing w:after="0" w:line="240" w:lineRule="auto"/>
        <w:ind w:left="0"/>
        <w:jc w:val="left"/>
        <w:rPr>
          <w:sz w:val="22"/>
          <w:szCs w:val="22"/>
          <w:lang w:val="sk-SK"/>
        </w:rPr>
      </w:pPr>
    </w:p>
    <w:p w:rsidR="00903A88" w:rsidRPr="00903A88" w:rsidRDefault="00903A88" w:rsidP="000971FE">
      <w:pPr>
        <w:pStyle w:val="BodyText12"/>
        <w:keepNext/>
        <w:spacing w:after="0" w:line="240" w:lineRule="auto"/>
        <w:ind w:left="0"/>
        <w:jc w:val="left"/>
        <w:rPr>
          <w:sz w:val="22"/>
          <w:szCs w:val="22"/>
          <w:u w:val="single"/>
          <w:lang w:val="sk-SK"/>
        </w:rPr>
      </w:pPr>
      <w:r w:rsidRPr="00903A88">
        <w:rPr>
          <w:sz w:val="22"/>
          <w:szCs w:val="22"/>
          <w:u w:val="single"/>
          <w:lang w:val="sk-SK"/>
        </w:rPr>
        <w:t>Znížená funkcia obličiek</w:t>
      </w:r>
    </w:p>
    <w:p w:rsidR="00903A88" w:rsidRPr="00903A88" w:rsidRDefault="00903A88" w:rsidP="000971FE">
      <w:pPr>
        <w:pStyle w:val="BodyText12"/>
        <w:keepNext/>
        <w:spacing w:after="0" w:line="240" w:lineRule="auto"/>
        <w:ind w:left="0"/>
        <w:jc w:val="left"/>
        <w:rPr>
          <w:sz w:val="22"/>
          <w:szCs w:val="22"/>
          <w:lang w:val="sk-SK"/>
        </w:rPr>
      </w:pPr>
    </w:p>
    <w:p w:rsidR="00D578E2" w:rsidRPr="00A83991" w:rsidRDefault="00D578E2" w:rsidP="00D578E2">
      <w:pPr>
        <w:pStyle w:val="Default"/>
        <w:keepNext/>
        <w:rPr>
          <w:i/>
          <w:iCs/>
          <w:sz w:val="22"/>
          <w:szCs w:val="22"/>
          <w:lang w:val="sk-SK"/>
        </w:rPr>
      </w:pPr>
      <w:r w:rsidRPr="00A83991">
        <w:rPr>
          <w:sz w:val="22"/>
          <w:szCs w:val="22"/>
          <w:lang w:val="sk-SK"/>
        </w:rPr>
        <w:t>U pacientov s</w:t>
      </w:r>
      <w:r w:rsidR="00213DF5">
        <w:rPr>
          <w:sz w:val="22"/>
          <w:szCs w:val="22"/>
          <w:lang w:val="sk-SK"/>
        </w:rPr>
        <w:t> </w:t>
      </w:r>
      <w:r w:rsidR="00213DF5" w:rsidRPr="00A83991">
        <w:rPr>
          <w:sz w:val="22"/>
          <w:szCs w:val="22"/>
          <w:lang w:val="sk-SK"/>
        </w:rPr>
        <w:t>po</w:t>
      </w:r>
      <w:r w:rsidR="00213DF5">
        <w:rPr>
          <w:sz w:val="22"/>
          <w:szCs w:val="22"/>
          <w:lang w:val="sk-SK"/>
        </w:rPr>
        <w:t xml:space="preserve">ruchou </w:t>
      </w:r>
      <w:r w:rsidRPr="00A83991">
        <w:rPr>
          <w:sz w:val="22"/>
          <w:szCs w:val="22"/>
          <w:lang w:val="sk-SK"/>
        </w:rPr>
        <w:t>funkci</w:t>
      </w:r>
      <w:r w:rsidR="00213DF5">
        <w:rPr>
          <w:sz w:val="22"/>
          <w:szCs w:val="22"/>
          <w:lang w:val="sk-SK"/>
        </w:rPr>
        <w:t>e</w:t>
      </w:r>
      <w:r w:rsidRPr="00A83991">
        <w:rPr>
          <w:sz w:val="22"/>
          <w:szCs w:val="22"/>
          <w:lang w:val="sk-SK"/>
        </w:rPr>
        <w:t xml:space="preserve"> obličiek (CL</w:t>
      </w:r>
      <w:r w:rsidRPr="00A83991">
        <w:rPr>
          <w:sz w:val="22"/>
          <w:szCs w:val="22"/>
          <w:vertAlign w:val="subscript"/>
          <w:lang w:val="sk-SK"/>
        </w:rPr>
        <w:t>CR</w:t>
      </w:r>
      <w:r w:rsidRPr="00A83991">
        <w:rPr>
          <w:sz w:val="22"/>
          <w:szCs w:val="22"/>
          <w:lang w:val="sk-SK"/>
        </w:rPr>
        <w:t> ≤ </w:t>
      </w:r>
      <w:r>
        <w:rPr>
          <w:sz w:val="22"/>
          <w:szCs w:val="22"/>
          <w:lang w:val="sk-SK"/>
        </w:rPr>
        <w:t>7</w:t>
      </w:r>
      <w:r w:rsidRPr="00A83991">
        <w:rPr>
          <w:sz w:val="22"/>
          <w:szCs w:val="22"/>
          <w:lang w:val="sk-SK"/>
        </w:rPr>
        <w:t xml:space="preserve">0 ml/min) sa má podávať topiramát opatrne, pretože plazmatický a renálny klírens topiramátu je znížený. </w:t>
      </w:r>
      <w:r w:rsidR="00535BDF">
        <w:rPr>
          <w:sz w:val="22"/>
          <w:szCs w:val="22"/>
          <w:lang w:val="sk-SK"/>
        </w:rPr>
        <w:t>Š</w:t>
      </w:r>
      <w:r w:rsidR="00903A88" w:rsidRPr="00903A88">
        <w:rPr>
          <w:sz w:val="22"/>
          <w:szCs w:val="22"/>
          <w:lang w:val="sk-SK"/>
        </w:rPr>
        <w:t>pecifické odporúčania pre dávkovanie u pacientov so zníženou funkciou obličiek</w:t>
      </w:r>
      <w:r w:rsidR="00213DF5">
        <w:rPr>
          <w:sz w:val="22"/>
          <w:szCs w:val="22"/>
          <w:lang w:val="sk-SK"/>
        </w:rPr>
        <w:t xml:space="preserve">, </w:t>
      </w:r>
      <w:r w:rsidR="00903A88" w:rsidRPr="00903A88">
        <w:rPr>
          <w:sz w:val="22"/>
          <w:szCs w:val="22"/>
          <w:lang w:val="sk-SK"/>
        </w:rPr>
        <w:t>pozri časť 4.2</w:t>
      </w:r>
      <w:r w:rsidR="00213DF5">
        <w:rPr>
          <w:sz w:val="22"/>
          <w:szCs w:val="22"/>
          <w:lang w:val="sk-SK"/>
        </w:rPr>
        <w:t xml:space="preserve">. </w:t>
      </w:r>
      <w:r w:rsidRPr="00A83991">
        <w:rPr>
          <w:i/>
          <w:iCs/>
          <w:sz w:val="22"/>
          <w:szCs w:val="22"/>
          <w:lang w:val="sk-SK"/>
        </w:rPr>
        <w:t>Porucha funkcie obličiek</w:t>
      </w:r>
      <w:r>
        <w:rPr>
          <w:i/>
          <w:iCs/>
          <w:sz w:val="22"/>
          <w:szCs w:val="22"/>
          <w:lang w:val="sk-SK"/>
        </w:rPr>
        <w:t>.</w:t>
      </w:r>
    </w:p>
    <w:p w:rsidR="00D578E2" w:rsidRDefault="00D578E2" w:rsidP="004F4F2F">
      <w:pPr>
        <w:pStyle w:val="BodyText12"/>
        <w:spacing w:after="0" w:line="240" w:lineRule="auto"/>
        <w:ind w:left="0"/>
        <w:jc w:val="left"/>
        <w:rPr>
          <w:sz w:val="22"/>
          <w:szCs w:val="22"/>
          <w:lang w:val="sk-SK"/>
        </w:rPr>
      </w:pPr>
    </w:p>
    <w:p w:rsidR="004F4F2F" w:rsidRPr="00A83991" w:rsidRDefault="004F4F2F" w:rsidP="000971FE">
      <w:pPr>
        <w:pStyle w:val="BodyText12"/>
        <w:keepNext/>
        <w:spacing w:after="0" w:line="240" w:lineRule="auto"/>
        <w:ind w:left="0"/>
        <w:jc w:val="left"/>
        <w:rPr>
          <w:sz w:val="22"/>
          <w:szCs w:val="22"/>
          <w:u w:val="single"/>
          <w:lang w:val="sk-SK"/>
        </w:rPr>
      </w:pPr>
      <w:r w:rsidRPr="00A83991">
        <w:rPr>
          <w:sz w:val="22"/>
          <w:szCs w:val="22"/>
          <w:u w:val="single"/>
          <w:lang w:val="sk-SK"/>
        </w:rPr>
        <w:t>Znížená funkcia pečene</w:t>
      </w:r>
    </w:p>
    <w:p w:rsidR="003B2AE5" w:rsidRPr="00A83991" w:rsidRDefault="003B2AE5" w:rsidP="000971FE">
      <w:pPr>
        <w:pStyle w:val="BodyText12"/>
        <w:keepNext/>
        <w:spacing w:after="0" w:line="240" w:lineRule="auto"/>
        <w:ind w:left="0"/>
        <w:jc w:val="left"/>
        <w:rPr>
          <w:sz w:val="22"/>
          <w:szCs w:val="22"/>
          <w:lang w:val="sk-SK"/>
        </w:rPr>
      </w:pPr>
    </w:p>
    <w:p w:rsidR="004F4F2F" w:rsidRPr="00A83991" w:rsidRDefault="004F4F2F" w:rsidP="004F4F2F">
      <w:pPr>
        <w:pStyle w:val="BodyText12"/>
        <w:spacing w:after="0" w:line="240" w:lineRule="auto"/>
        <w:ind w:left="0"/>
        <w:jc w:val="left"/>
        <w:rPr>
          <w:sz w:val="22"/>
          <w:szCs w:val="22"/>
          <w:lang w:val="sk-SK"/>
        </w:rPr>
      </w:pPr>
      <w:r w:rsidRPr="00A83991">
        <w:rPr>
          <w:sz w:val="22"/>
          <w:szCs w:val="22"/>
          <w:lang w:val="sk-SK"/>
        </w:rPr>
        <w:t>Pacientom s</w:t>
      </w:r>
      <w:r w:rsidR="00213DF5">
        <w:rPr>
          <w:sz w:val="22"/>
          <w:szCs w:val="22"/>
          <w:lang w:val="sk-SK"/>
        </w:rPr>
        <w:t> </w:t>
      </w:r>
      <w:r w:rsidRPr="00A83991">
        <w:rPr>
          <w:sz w:val="22"/>
          <w:szCs w:val="22"/>
          <w:lang w:val="sk-SK"/>
        </w:rPr>
        <w:t>po</w:t>
      </w:r>
      <w:r w:rsidR="00213DF5">
        <w:rPr>
          <w:sz w:val="22"/>
          <w:szCs w:val="22"/>
          <w:lang w:val="sk-SK"/>
        </w:rPr>
        <w:t xml:space="preserve">ruchou </w:t>
      </w:r>
      <w:r w:rsidRPr="00A83991">
        <w:rPr>
          <w:sz w:val="22"/>
          <w:szCs w:val="22"/>
          <w:lang w:val="sk-SK"/>
        </w:rPr>
        <w:t>funkcie pečene sa má topiramát podávať opatrne, pretože klírens topiramátu sa môže znížiť.</w:t>
      </w:r>
    </w:p>
    <w:p w:rsidR="00632F5C" w:rsidRPr="00A83991" w:rsidRDefault="00632F5C" w:rsidP="00506BD6">
      <w:pPr>
        <w:rPr>
          <w:sz w:val="22"/>
          <w:szCs w:val="22"/>
          <w:lang w:val="sk-SK"/>
        </w:rPr>
      </w:pPr>
    </w:p>
    <w:p w:rsidR="00B4208C" w:rsidRPr="00A83991" w:rsidRDefault="00B4208C" w:rsidP="000971FE">
      <w:pPr>
        <w:keepNext/>
        <w:rPr>
          <w:sz w:val="22"/>
          <w:szCs w:val="22"/>
          <w:u w:val="single"/>
          <w:lang w:val="sk-SK"/>
        </w:rPr>
      </w:pPr>
      <w:r w:rsidRPr="00A83991">
        <w:rPr>
          <w:sz w:val="22"/>
          <w:szCs w:val="22"/>
          <w:u w:val="single"/>
          <w:lang w:val="sk-SK"/>
        </w:rPr>
        <w:t>Akútna myopia a sekundárny glaukóm s uzavretým uhlom</w:t>
      </w:r>
    </w:p>
    <w:p w:rsidR="003B2AE5" w:rsidRPr="00A83991" w:rsidRDefault="003B2AE5" w:rsidP="000971FE">
      <w:pPr>
        <w:pStyle w:val="BodyText12"/>
        <w:keepNext/>
        <w:spacing w:after="0" w:line="240" w:lineRule="auto"/>
        <w:ind w:left="0"/>
        <w:jc w:val="left"/>
        <w:rPr>
          <w:sz w:val="22"/>
          <w:szCs w:val="22"/>
          <w:lang w:val="sk-SK"/>
        </w:rPr>
      </w:pPr>
    </w:p>
    <w:p w:rsidR="00B4208C" w:rsidRPr="00A83991" w:rsidRDefault="00B4208C" w:rsidP="00B4208C">
      <w:pPr>
        <w:pStyle w:val="BodyText12"/>
        <w:spacing w:after="0" w:line="240" w:lineRule="auto"/>
        <w:ind w:left="0"/>
        <w:jc w:val="left"/>
        <w:rPr>
          <w:sz w:val="22"/>
          <w:szCs w:val="22"/>
          <w:lang w:val="sk-SK"/>
        </w:rPr>
      </w:pPr>
      <w:r w:rsidRPr="00A83991">
        <w:rPr>
          <w:sz w:val="22"/>
          <w:szCs w:val="22"/>
          <w:lang w:val="sk-SK"/>
        </w:rPr>
        <w:t>U pacientov užívajúcich topiramát sa zaznamenal syndróm akútnej myopie spojenej so sekundárnym glaukómom s uzavretým uhlom. Príznaky zahŕňajú akútne zníženie zrakovej ostrosti a/alebo bolesť oka. Oftalmologické nálezy môžu zahŕňať myopiu, plytkú prednú komoru, hyperémiu oka (sčervenanie) a zvýšený vnútroočný tlak. Mydriáza môže alebo nemusí byť prítomná. Tento syndróm môže byť spojený so supraciliárnou efúziou, ktorá vedie k prednej dislokácii šošovky a dúhovky so sekundárnym glaukómom s uzavretým uhlom. Najčastejšie sa príznaky objavujú v priebehu prvého mesiaca od začiatku liečby topiramátom. V porovnaní s primárnym glaukómom s úzkym uhlom, ktorý je zriedkavý vo veku do 40 rokov, sa sekundárny glaukóm s uzavretým uhlom v súvislosti s liečbou topiramátom zaznamenal u detských aj dospelých pacientov. Liečba zahŕňa čo najrýchlejšie ukončenie podávania topiramátu pod dohľadom ošetrujúceho lekára a vhodné opatrenia na zníženie vnútroočného tlaku. Tieto opatrenia všeobecne vedú k zníženiu vnútroočného tlaku.</w:t>
      </w:r>
    </w:p>
    <w:p w:rsidR="00B4208C" w:rsidRPr="00A83991" w:rsidRDefault="00B4208C" w:rsidP="00B4208C">
      <w:pPr>
        <w:pStyle w:val="BodyText12"/>
        <w:spacing w:after="0" w:line="240" w:lineRule="auto"/>
        <w:ind w:left="0"/>
        <w:jc w:val="left"/>
        <w:rPr>
          <w:b/>
          <w:sz w:val="22"/>
          <w:szCs w:val="22"/>
          <w:lang w:val="sk-SK"/>
        </w:rPr>
      </w:pPr>
    </w:p>
    <w:p w:rsidR="00B4208C" w:rsidRPr="00A83991" w:rsidRDefault="00B4208C" w:rsidP="00B4208C">
      <w:pPr>
        <w:pStyle w:val="BodyText12"/>
        <w:spacing w:after="0" w:line="240" w:lineRule="auto"/>
        <w:ind w:left="0"/>
        <w:jc w:val="left"/>
        <w:rPr>
          <w:sz w:val="22"/>
          <w:szCs w:val="22"/>
          <w:lang w:val="sk-SK"/>
        </w:rPr>
      </w:pPr>
      <w:r w:rsidRPr="00A83991">
        <w:rPr>
          <w:sz w:val="22"/>
          <w:szCs w:val="22"/>
          <w:lang w:val="sk-SK"/>
        </w:rPr>
        <w:t>Ak sa zvýšený vnútroočný tlak akejkoľvek etiológie nelieči, môže spôsobiť závažné následky vrátane trvalej straty zraku.</w:t>
      </w:r>
    </w:p>
    <w:p w:rsidR="00B4208C" w:rsidRPr="00A83991" w:rsidRDefault="00B4208C" w:rsidP="00B4208C">
      <w:pPr>
        <w:pStyle w:val="BodyText12"/>
        <w:spacing w:after="0" w:line="240" w:lineRule="auto"/>
        <w:ind w:left="0"/>
        <w:jc w:val="left"/>
        <w:rPr>
          <w:sz w:val="22"/>
          <w:szCs w:val="22"/>
          <w:lang w:val="sk-SK"/>
        </w:rPr>
      </w:pPr>
    </w:p>
    <w:p w:rsidR="00B4208C" w:rsidRPr="00A83991" w:rsidRDefault="00B4208C" w:rsidP="00B4208C">
      <w:pPr>
        <w:rPr>
          <w:sz w:val="22"/>
          <w:szCs w:val="22"/>
          <w:lang w:val="sk-SK"/>
        </w:rPr>
      </w:pPr>
      <w:r w:rsidRPr="00A83991">
        <w:rPr>
          <w:iCs/>
          <w:snapToGrid w:val="0"/>
          <w:sz w:val="22"/>
          <w:szCs w:val="22"/>
          <w:lang w:val="sk-SK"/>
        </w:rPr>
        <w:t>Treba rozhodnúť, či pacienti s</w:t>
      </w:r>
      <w:r w:rsidR="009430D8" w:rsidRPr="00A83991">
        <w:rPr>
          <w:iCs/>
          <w:snapToGrid w:val="0"/>
          <w:sz w:val="22"/>
          <w:szCs w:val="22"/>
          <w:lang w:val="sk-SK"/>
        </w:rPr>
        <w:t xml:space="preserve"> ochoreniami </w:t>
      </w:r>
      <w:r w:rsidRPr="00A83991">
        <w:rPr>
          <w:iCs/>
          <w:snapToGrid w:val="0"/>
          <w:sz w:val="22"/>
          <w:szCs w:val="22"/>
          <w:lang w:val="sk-SK"/>
        </w:rPr>
        <w:t>očí v anamnéze majú byť liečení topiramátom</w:t>
      </w:r>
    </w:p>
    <w:p w:rsidR="00B4208C" w:rsidRPr="00A83991" w:rsidRDefault="00B4208C" w:rsidP="003C13EF">
      <w:pPr>
        <w:rPr>
          <w:sz w:val="22"/>
          <w:szCs w:val="22"/>
          <w:lang w:val="sk-SK"/>
        </w:rPr>
      </w:pPr>
    </w:p>
    <w:p w:rsidR="00AF0DAE" w:rsidRPr="00A83991" w:rsidRDefault="00AF0DAE" w:rsidP="000971FE">
      <w:pPr>
        <w:pStyle w:val="Bodytext"/>
        <w:keepNext/>
        <w:tabs>
          <w:tab w:val="left" w:pos="0"/>
          <w:tab w:val="left" w:pos="8222"/>
        </w:tabs>
        <w:spacing w:after="0" w:line="240" w:lineRule="auto"/>
        <w:ind w:left="0" w:right="-369"/>
        <w:rPr>
          <w:rFonts w:ascii="Times New Roman" w:hAnsi="Times New Roman" w:cs="Times New Roman"/>
          <w:iCs/>
          <w:strike w:val="0"/>
          <w:sz w:val="22"/>
          <w:szCs w:val="22"/>
          <w:u w:val="single"/>
        </w:rPr>
      </w:pPr>
      <w:r w:rsidRPr="00A83991">
        <w:rPr>
          <w:rFonts w:ascii="Times New Roman" w:hAnsi="Times New Roman" w:cs="Times New Roman"/>
          <w:iCs/>
          <w:strike w:val="0"/>
          <w:sz w:val="22"/>
          <w:szCs w:val="22"/>
          <w:u w:val="single"/>
        </w:rPr>
        <w:t>Metabolická acidóza</w:t>
      </w:r>
    </w:p>
    <w:p w:rsidR="003B2AE5" w:rsidRPr="00A83991" w:rsidRDefault="003B2AE5" w:rsidP="000971FE">
      <w:pPr>
        <w:keepNext/>
        <w:rPr>
          <w:sz w:val="22"/>
          <w:szCs w:val="22"/>
          <w:lang w:val="sk-SK"/>
        </w:rPr>
      </w:pPr>
    </w:p>
    <w:p w:rsidR="00632F5C" w:rsidRPr="00A83991" w:rsidRDefault="003C13EF" w:rsidP="003C13EF">
      <w:pPr>
        <w:rPr>
          <w:sz w:val="22"/>
          <w:szCs w:val="22"/>
          <w:lang w:val="sk-SK"/>
        </w:rPr>
      </w:pPr>
      <w:r w:rsidRPr="00A83991">
        <w:rPr>
          <w:sz w:val="22"/>
          <w:szCs w:val="22"/>
          <w:lang w:val="sk-SK"/>
        </w:rPr>
        <w:t>S liečbou topiramátom sa spája hyperchl</w:t>
      </w:r>
      <w:r w:rsidR="009430D8" w:rsidRPr="00A83991">
        <w:rPr>
          <w:sz w:val="22"/>
          <w:szCs w:val="22"/>
          <w:lang w:val="sk-SK"/>
        </w:rPr>
        <w:t>o</w:t>
      </w:r>
      <w:r w:rsidRPr="00A83991">
        <w:rPr>
          <w:sz w:val="22"/>
          <w:szCs w:val="22"/>
          <w:lang w:val="sk-SK"/>
        </w:rPr>
        <w:t>remická metabolická acidóza bez zvýšenia aniónového deficitu (“non-anion gap”) (</w:t>
      </w:r>
      <w:r w:rsidR="002B70D0" w:rsidRPr="00A83991">
        <w:rPr>
          <w:sz w:val="22"/>
          <w:szCs w:val="22"/>
          <w:lang w:val="sk-SK"/>
        </w:rPr>
        <w:t>t</w:t>
      </w:r>
      <w:r w:rsidRPr="00A83991">
        <w:rPr>
          <w:sz w:val="22"/>
          <w:szCs w:val="22"/>
          <w:lang w:val="sk-SK"/>
        </w:rPr>
        <w:t>.</w:t>
      </w:r>
      <w:r w:rsidR="002B70D0" w:rsidRPr="00A83991">
        <w:rPr>
          <w:sz w:val="22"/>
          <w:szCs w:val="22"/>
          <w:lang w:val="sk-SK"/>
        </w:rPr>
        <w:t xml:space="preserve"> j.</w:t>
      </w:r>
      <w:r w:rsidRPr="00A83991">
        <w:rPr>
          <w:sz w:val="22"/>
          <w:szCs w:val="22"/>
          <w:lang w:val="sk-SK"/>
        </w:rPr>
        <w:t xml:space="preserve"> znížená hladina bikarbonátov v sére pod normálne referenčné rozpätie bez prítomnosti respiračnej alkalózy). Tento pokles bikarbonátov v sére je spôsobený inhibičným účinkom topiramátu na renálnu karboanhydrázu. Vo všeobecnosti sa pokles hladiny bikarbonátov v</w:t>
      </w:r>
      <w:r w:rsidR="009430D8" w:rsidRPr="00A83991">
        <w:rPr>
          <w:sz w:val="22"/>
          <w:szCs w:val="22"/>
          <w:lang w:val="sk-SK"/>
        </w:rPr>
        <w:t> </w:t>
      </w:r>
      <w:r w:rsidRPr="00A83991">
        <w:rPr>
          <w:sz w:val="22"/>
          <w:szCs w:val="22"/>
          <w:lang w:val="sk-SK"/>
        </w:rPr>
        <w:t xml:space="preserve">sére vyskytuje na začiatku liečby, </w:t>
      </w:r>
      <w:r w:rsidR="009430D8" w:rsidRPr="00A83991">
        <w:rPr>
          <w:sz w:val="22"/>
          <w:szCs w:val="22"/>
          <w:lang w:val="sk-SK"/>
        </w:rPr>
        <w:t xml:space="preserve">avšak pokles </w:t>
      </w:r>
      <w:r w:rsidRPr="00A83991">
        <w:rPr>
          <w:sz w:val="22"/>
          <w:szCs w:val="22"/>
          <w:lang w:val="sk-SK"/>
        </w:rPr>
        <w:t xml:space="preserve">sa môže pozorovať kedykoľvek počas liečby. Takýto </w:t>
      </w:r>
      <w:r w:rsidRPr="00A83991">
        <w:rPr>
          <w:sz w:val="22"/>
          <w:szCs w:val="22"/>
          <w:lang w:val="sk-SK"/>
        </w:rPr>
        <w:lastRenderedPageBreak/>
        <w:t>pokles je zvyčajne mierneho až stredne závažného charakteru (priemerný pokles o 4 mmol/l pri dávkach 100 mg/deň alebo vyšších u dospelých pacientov</w:t>
      </w:r>
      <w:r w:rsidR="009430D8" w:rsidRPr="00A83991">
        <w:rPr>
          <w:sz w:val="22"/>
          <w:szCs w:val="22"/>
          <w:lang w:val="sk-SK"/>
        </w:rPr>
        <w:t xml:space="preserve"> </w:t>
      </w:r>
      <w:r w:rsidRPr="00A83991">
        <w:rPr>
          <w:sz w:val="22"/>
          <w:szCs w:val="22"/>
          <w:lang w:val="sk-SK"/>
        </w:rPr>
        <w:t xml:space="preserve">a u pediatrických pacientov pri dávkach približne 6 mg/kg/deň). Zriedkavo sa u pacientov zaznamenal pokles na hodnoty </w:t>
      </w:r>
      <w:r w:rsidR="009430D8" w:rsidRPr="00A83991">
        <w:rPr>
          <w:sz w:val="22"/>
          <w:szCs w:val="22"/>
          <w:lang w:val="sk-SK"/>
        </w:rPr>
        <w:t>nižšie ako 1</w:t>
      </w:r>
      <w:r w:rsidRPr="00A83991">
        <w:rPr>
          <w:sz w:val="22"/>
          <w:szCs w:val="22"/>
          <w:lang w:val="sk-SK"/>
        </w:rPr>
        <w:t xml:space="preserve">0 mmol/l. </w:t>
      </w:r>
      <w:r w:rsidR="00CF2222" w:rsidRPr="00A83991">
        <w:rPr>
          <w:sz w:val="22"/>
          <w:szCs w:val="22"/>
          <w:lang w:val="sk-SK"/>
        </w:rPr>
        <w:t xml:space="preserve">Ochorenia </w:t>
      </w:r>
      <w:r w:rsidRPr="00A83991">
        <w:rPr>
          <w:sz w:val="22"/>
          <w:szCs w:val="22"/>
          <w:lang w:val="sk-SK"/>
        </w:rPr>
        <w:t xml:space="preserve">alebo </w:t>
      </w:r>
      <w:r w:rsidR="009430D8" w:rsidRPr="00A83991">
        <w:rPr>
          <w:sz w:val="22"/>
          <w:szCs w:val="22"/>
          <w:lang w:val="sk-SK"/>
        </w:rPr>
        <w:t>liečba</w:t>
      </w:r>
      <w:r w:rsidRPr="00A83991">
        <w:rPr>
          <w:sz w:val="22"/>
          <w:szCs w:val="22"/>
          <w:lang w:val="sk-SK"/>
        </w:rPr>
        <w:t>, ktoré majú predispozíciu k acidóze (ako je renálne ochorenie, závažné respiračné poruchy, status epilepticus, hnačka, chirurgický výkon, ketogénna diéta alebo určité lieky)</w:t>
      </w:r>
      <w:r w:rsidR="00583FF2" w:rsidRPr="00A83991">
        <w:rPr>
          <w:sz w:val="22"/>
          <w:szCs w:val="22"/>
          <w:lang w:val="sk-SK"/>
        </w:rPr>
        <w:t>,</w:t>
      </w:r>
      <w:r w:rsidR="009430D8" w:rsidRPr="00A83991">
        <w:rPr>
          <w:sz w:val="22"/>
          <w:szCs w:val="22"/>
          <w:lang w:val="sk-SK"/>
        </w:rPr>
        <w:t xml:space="preserve"> </w:t>
      </w:r>
      <w:r w:rsidRPr="00A83991">
        <w:rPr>
          <w:sz w:val="22"/>
          <w:szCs w:val="22"/>
          <w:lang w:val="sk-SK"/>
        </w:rPr>
        <w:t>môžu</w:t>
      </w:r>
      <w:r w:rsidR="009430D8" w:rsidRPr="00A83991">
        <w:rPr>
          <w:sz w:val="22"/>
          <w:szCs w:val="22"/>
          <w:lang w:val="sk-SK"/>
        </w:rPr>
        <w:t xml:space="preserve"> pôsobiť a</w:t>
      </w:r>
      <w:r w:rsidRPr="00A83991">
        <w:rPr>
          <w:sz w:val="22"/>
          <w:szCs w:val="22"/>
          <w:lang w:val="sk-SK"/>
        </w:rPr>
        <w:t>ditívn</w:t>
      </w:r>
      <w:r w:rsidR="009430D8" w:rsidRPr="00A83991">
        <w:rPr>
          <w:sz w:val="22"/>
          <w:szCs w:val="22"/>
          <w:lang w:val="sk-SK"/>
        </w:rPr>
        <w:t xml:space="preserve">e </w:t>
      </w:r>
      <w:r w:rsidRPr="00A83991">
        <w:rPr>
          <w:sz w:val="22"/>
          <w:szCs w:val="22"/>
          <w:lang w:val="sk-SK"/>
        </w:rPr>
        <w:t>na znižovanie hladiny bikarbonátov</w:t>
      </w:r>
      <w:r w:rsidR="009430D8" w:rsidRPr="00A83991">
        <w:rPr>
          <w:sz w:val="22"/>
          <w:szCs w:val="22"/>
          <w:lang w:val="sk-SK"/>
        </w:rPr>
        <w:t xml:space="preserve"> spôsobené topiramátom.</w:t>
      </w:r>
    </w:p>
    <w:p w:rsidR="009430D8" w:rsidRPr="00A83991" w:rsidRDefault="009430D8" w:rsidP="003C13EF">
      <w:pPr>
        <w:rPr>
          <w:sz w:val="22"/>
          <w:szCs w:val="22"/>
          <w:lang w:val="sk-SK"/>
        </w:rPr>
      </w:pPr>
    </w:p>
    <w:p w:rsidR="00D9154F" w:rsidRPr="00A83991" w:rsidRDefault="00D9154F" w:rsidP="003C13EF">
      <w:pPr>
        <w:rPr>
          <w:sz w:val="22"/>
          <w:szCs w:val="22"/>
          <w:lang w:val="sk-SK"/>
        </w:rPr>
      </w:pPr>
      <w:r w:rsidRPr="00A83991">
        <w:rPr>
          <w:sz w:val="22"/>
          <w:szCs w:val="22"/>
          <w:lang w:val="sk-SK"/>
        </w:rPr>
        <w:t>Chronická metabolická acidóza zvyšuje riziko tvorby obličkových kameňov a môže potenciálne viesť k osteopénii.</w:t>
      </w:r>
    </w:p>
    <w:p w:rsidR="00D9154F" w:rsidRPr="00A83991" w:rsidRDefault="00D9154F" w:rsidP="003C13EF">
      <w:pPr>
        <w:rPr>
          <w:sz w:val="22"/>
          <w:szCs w:val="22"/>
          <w:lang w:val="sk-SK"/>
        </w:rPr>
      </w:pPr>
    </w:p>
    <w:p w:rsidR="00530F72" w:rsidRPr="00A83991" w:rsidRDefault="00530F72" w:rsidP="00530F72">
      <w:pPr>
        <w:rPr>
          <w:sz w:val="22"/>
          <w:szCs w:val="22"/>
          <w:lang w:val="sk-SK"/>
        </w:rPr>
      </w:pPr>
      <w:r w:rsidRPr="00A83991">
        <w:rPr>
          <w:sz w:val="22"/>
          <w:szCs w:val="22"/>
          <w:lang w:val="sk-SK"/>
        </w:rPr>
        <w:t xml:space="preserve">Výskyt chronickej metabolickej acidózy u pediatrických pacientov môže spomaľovať rýchlosť rastu. Účinok topiramátu na rast a následné ochorenia kostí u detí alebo dospelých pacientov </w:t>
      </w:r>
      <w:r w:rsidR="009D1B1C" w:rsidRPr="00A83991">
        <w:rPr>
          <w:sz w:val="22"/>
          <w:szCs w:val="22"/>
          <w:lang w:val="sk-SK"/>
        </w:rPr>
        <w:t>sa s</w:t>
      </w:r>
      <w:r w:rsidRPr="00A83991">
        <w:rPr>
          <w:sz w:val="22"/>
          <w:szCs w:val="22"/>
          <w:lang w:val="sk-SK"/>
        </w:rPr>
        <w:t xml:space="preserve">ystematicky </w:t>
      </w:r>
      <w:r w:rsidR="009D1B1C" w:rsidRPr="00A83991">
        <w:rPr>
          <w:sz w:val="22"/>
          <w:szCs w:val="22"/>
          <w:lang w:val="sk-SK"/>
        </w:rPr>
        <w:t>ne</w:t>
      </w:r>
      <w:r w:rsidRPr="00A83991">
        <w:rPr>
          <w:sz w:val="22"/>
          <w:szCs w:val="22"/>
          <w:lang w:val="sk-SK"/>
        </w:rPr>
        <w:t>skúma</w:t>
      </w:r>
      <w:r w:rsidR="009D1B1C" w:rsidRPr="00A83991">
        <w:rPr>
          <w:sz w:val="22"/>
          <w:szCs w:val="22"/>
          <w:lang w:val="sk-SK"/>
        </w:rPr>
        <w:t>l</w:t>
      </w:r>
      <w:r w:rsidRPr="00A83991">
        <w:rPr>
          <w:sz w:val="22"/>
          <w:szCs w:val="22"/>
          <w:lang w:val="sk-SK"/>
        </w:rPr>
        <w:t>.</w:t>
      </w:r>
    </w:p>
    <w:p w:rsidR="00530F72" w:rsidRPr="00A83991" w:rsidRDefault="00530F72" w:rsidP="00530F72">
      <w:pPr>
        <w:rPr>
          <w:sz w:val="22"/>
          <w:szCs w:val="22"/>
          <w:lang w:val="sk-SK"/>
        </w:rPr>
      </w:pPr>
    </w:p>
    <w:p w:rsidR="00530F72" w:rsidRPr="00A83991" w:rsidRDefault="00530F72" w:rsidP="00530F72">
      <w:pPr>
        <w:rPr>
          <w:sz w:val="22"/>
          <w:szCs w:val="22"/>
          <w:lang w:val="sk-SK"/>
        </w:rPr>
      </w:pPr>
      <w:r w:rsidRPr="00A83991">
        <w:rPr>
          <w:sz w:val="22"/>
          <w:szCs w:val="22"/>
          <w:lang w:val="sk-SK"/>
        </w:rPr>
        <w:t xml:space="preserve">Počas liečby topiramátom sa </w:t>
      </w:r>
      <w:r w:rsidR="00D9154F" w:rsidRPr="00A83991">
        <w:rPr>
          <w:sz w:val="22"/>
          <w:szCs w:val="22"/>
          <w:lang w:val="sk-SK"/>
        </w:rPr>
        <w:t xml:space="preserve">v závislosti od základného stavu </w:t>
      </w:r>
      <w:r w:rsidRPr="00A83991">
        <w:rPr>
          <w:sz w:val="22"/>
          <w:szCs w:val="22"/>
          <w:lang w:val="sk-SK"/>
        </w:rPr>
        <w:t xml:space="preserve">odporúča </w:t>
      </w:r>
      <w:r w:rsidR="002B70D0" w:rsidRPr="00A83991">
        <w:rPr>
          <w:sz w:val="22"/>
          <w:szCs w:val="22"/>
          <w:lang w:val="sk-SK"/>
        </w:rPr>
        <w:t xml:space="preserve">vhodne </w:t>
      </w:r>
      <w:r w:rsidRPr="00A83991">
        <w:rPr>
          <w:sz w:val="22"/>
          <w:szCs w:val="22"/>
          <w:lang w:val="sk-SK"/>
        </w:rPr>
        <w:t>monitorovať hladinu bikarbonátov v</w:t>
      </w:r>
      <w:r w:rsidR="00820050" w:rsidRPr="00A83991">
        <w:rPr>
          <w:sz w:val="22"/>
          <w:szCs w:val="22"/>
          <w:lang w:val="sk-SK"/>
        </w:rPr>
        <w:t> </w:t>
      </w:r>
      <w:r w:rsidRPr="00A83991">
        <w:rPr>
          <w:sz w:val="22"/>
          <w:szCs w:val="22"/>
          <w:lang w:val="sk-SK"/>
        </w:rPr>
        <w:t>sére.</w:t>
      </w:r>
      <w:r w:rsidR="00D9154F" w:rsidRPr="00A83991">
        <w:rPr>
          <w:sz w:val="22"/>
          <w:szCs w:val="22"/>
          <w:lang w:val="sk-SK"/>
        </w:rPr>
        <w:t xml:space="preserve"> Ak sú prítomné znaky a príznaky (</w:t>
      </w:r>
      <w:r w:rsidR="00567164" w:rsidRPr="00A83991">
        <w:rPr>
          <w:sz w:val="22"/>
          <w:szCs w:val="22"/>
          <w:lang w:val="sk-SK"/>
        </w:rPr>
        <w:t xml:space="preserve">napr. </w:t>
      </w:r>
      <w:r w:rsidR="00D9154F" w:rsidRPr="00A83991">
        <w:rPr>
          <w:sz w:val="22"/>
          <w:szCs w:val="22"/>
          <w:lang w:val="sk-SK"/>
        </w:rPr>
        <w:t xml:space="preserve">Kussmaulove hlboké dýchanie, dyspnoe, anorexia, nauzea, vracanie, </w:t>
      </w:r>
      <w:r w:rsidR="00251A74" w:rsidRPr="00A83991">
        <w:rPr>
          <w:sz w:val="22"/>
          <w:szCs w:val="22"/>
          <w:lang w:val="sk-SK"/>
        </w:rPr>
        <w:t>nadmerná únava, tachykardia alebo arytmia) indikujúce metabolickú acidózu</w:t>
      </w:r>
      <w:r w:rsidR="009D1B1C" w:rsidRPr="00A83991">
        <w:rPr>
          <w:sz w:val="22"/>
          <w:szCs w:val="22"/>
          <w:lang w:val="sk-SK"/>
        </w:rPr>
        <w:t xml:space="preserve">, odporúča sa sledovanie bikarbonátov v sére. </w:t>
      </w:r>
      <w:r w:rsidRPr="00A83991">
        <w:rPr>
          <w:sz w:val="22"/>
          <w:szCs w:val="22"/>
          <w:lang w:val="sk-SK"/>
        </w:rPr>
        <w:t>Ak sa metabolická acidóza rozvinie a</w:t>
      </w:r>
      <w:r w:rsidR="009D1B1C" w:rsidRPr="00A83991">
        <w:rPr>
          <w:sz w:val="22"/>
          <w:szCs w:val="22"/>
          <w:lang w:val="sk-SK"/>
        </w:rPr>
        <w:t xml:space="preserve"> </w:t>
      </w:r>
      <w:r w:rsidRPr="00A83991">
        <w:rPr>
          <w:sz w:val="22"/>
          <w:szCs w:val="22"/>
          <w:lang w:val="sk-SK"/>
        </w:rPr>
        <w:t xml:space="preserve">pretrváva, je potrebné zvážiť zníženie dávky alebo </w:t>
      </w:r>
      <w:r w:rsidR="009D1B1C" w:rsidRPr="00A83991">
        <w:rPr>
          <w:sz w:val="22"/>
          <w:szCs w:val="22"/>
          <w:lang w:val="sk-SK"/>
        </w:rPr>
        <w:t xml:space="preserve">ukončenie </w:t>
      </w:r>
      <w:r w:rsidRPr="00A83991">
        <w:rPr>
          <w:sz w:val="22"/>
          <w:szCs w:val="22"/>
          <w:lang w:val="sk-SK"/>
        </w:rPr>
        <w:t xml:space="preserve">liečby topiramátom (postupným znižovaním dávky). </w:t>
      </w:r>
    </w:p>
    <w:p w:rsidR="00530F72" w:rsidRPr="00A83991" w:rsidRDefault="00530F72" w:rsidP="00530F72">
      <w:pPr>
        <w:rPr>
          <w:sz w:val="22"/>
          <w:szCs w:val="22"/>
          <w:lang w:val="sk-SK"/>
        </w:rPr>
      </w:pPr>
    </w:p>
    <w:p w:rsidR="009D1B1C" w:rsidRPr="00A83991" w:rsidRDefault="009D1B1C" w:rsidP="00530F72">
      <w:pPr>
        <w:rPr>
          <w:sz w:val="22"/>
          <w:szCs w:val="22"/>
          <w:lang w:val="sk-SK"/>
        </w:rPr>
      </w:pPr>
      <w:r w:rsidRPr="00A83991">
        <w:rPr>
          <w:sz w:val="22"/>
          <w:szCs w:val="22"/>
          <w:lang w:val="sk-SK"/>
        </w:rPr>
        <w:t>Topiramát sa má používať opatrne u pacientov so sklonom k metabolickej acidóze alebo u pacientov užívajúcich lieky, ktoré môžu metabolickú acidózu vyvolať.</w:t>
      </w:r>
    </w:p>
    <w:p w:rsidR="009D1B1C" w:rsidRPr="00A83991" w:rsidRDefault="009D1B1C" w:rsidP="00530F72">
      <w:pPr>
        <w:rPr>
          <w:sz w:val="22"/>
          <w:szCs w:val="22"/>
          <w:lang w:val="sk-SK"/>
        </w:rPr>
      </w:pPr>
    </w:p>
    <w:p w:rsidR="009D1B1C" w:rsidRPr="00A83991" w:rsidRDefault="009D1B1C" w:rsidP="000971FE">
      <w:pPr>
        <w:keepNext/>
        <w:rPr>
          <w:sz w:val="22"/>
          <w:szCs w:val="22"/>
          <w:u w:val="single"/>
          <w:lang w:val="sk-SK"/>
        </w:rPr>
      </w:pPr>
      <w:r w:rsidRPr="00A83991">
        <w:rPr>
          <w:sz w:val="22"/>
          <w:szCs w:val="22"/>
          <w:u w:val="single"/>
          <w:lang w:val="sk-SK"/>
        </w:rPr>
        <w:t>Nutričná suplementácia</w:t>
      </w:r>
    </w:p>
    <w:p w:rsidR="003B2AE5" w:rsidRPr="00A83991" w:rsidRDefault="003B2AE5" w:rsidP="000971FE">
      <w:pPr>
        <w:keepNext/>
        <w:rPr>
          <w:sz w:val="22"/>
          <w:szCs w:val="22"/>
          <w:lang w:val="sk-SK"/>
        </w:rPr>
      </w:pPr>
    </w:p>
    <w:p w:rsidR="00530F72" w:rsidRPr="00A83991" w:rsidRDefault="009D1B1C" w:rsidP="00530F72">
      <w:pPr>
        <w:rPr>
          <w:sz w:val="22"/>
          <w:szCs w:val="22"/>
          <w:lang w:val="sk-SK"/>
        </w:rPr>
      </w:pPr>
      <w:r w:rsidRPr="00A83991">
        <w:rPr>
          <w:sz w:val="22"/>
          <w:szCs w:val="22"/>
          <w:lang w:val="sk-SK"/>
        </w:rPr>
        <w:t xml:space="preserve">U niektorých pacientov môže počas liečby topiramátom dôjsť k poklesu telesnej hmotnosti. Odporúča sa, aby sa u pacientov liečených topiramátom sledoval pokles telesnej hmotnosti. </w:t>
      </w:r>
      <w:r w:rsidR="00AD04CC" w:rsidRPr="00A83991">
        <w:rPr>
          <w:sz w:val="22"/>
          <w:szCs w:val="22"/>
          <w:lang w:val="sk-SK"/>
        </w:rPr>
        <w:t>Ak sa počas liečby znižuje hmotnosť pacienta</w:t>
      </w:r>
      <w:r w:rsidR="00267C6C" w:rsidRPr="00A83991">
        <w:rPr>
          <w:sz w:val="22"/>
          <w:szCs w:val="22"/>
          <w:lang w:val="sk-SK"/>
        </w:rPr>
        <w:t xml:space="preserve">, </w:t>
      </w:r>
      <w:r w:rsidR="00AD04CC" w:rsidRPr="00A83991">
        <w:rPr>
          <w:sz w:val="22"/>
          <w:szCs w:val="22"/>
          <w:lang w:val="sk-SK"/>
        </w:rPr>
        <w:t xml:space="preserve">je možné zvážiť podanie </w:t>
      </w:r>
      <w:r w:rsidR="00262FF9" w:rsidRPr="00A83991">
        <w:rPr>
          <w:sz w:val="22"/>
          <w:szCs w:val="22"/>
          <w:lang w:val="sk-SK"/>
        </w:rPr>
        <w:t xml:space="preserve">výživových </w:t>
      </w:r>
      <w:r w:rsidR="00AD04CC" w:rsidRPr="00A83991">
        <w:rPr>
          <w:sz w:val="22"/>
          <w:szCs w:val="22"/>
          <w:lang w:val="sk-SK"/>
        </w:rPr>
        <w:t>doplnkov alebo zvýšený príjem potravy.</w:t>
      </w:r>
    </w:p>
    <w:p w:rsidR="00530F72" w:rsidRPr="00A83991" w:rsidRDefault="00530F72" w:rsidP="003C13EF">
      <w:pPr>
        <w:rPr>
          <w:sz w:val="22"/>
          <w:szCs w:val="22"/>
          <w:lang w:val="sk-SK"/>
        </w:rPr>
      </w:pPr>
    </w:p>
    <w:p w:rsidR="00267C6C" w:rsidRPr="00A83991" w:rsidRDefault="00267C6C" w:rsidP="000971FE">
      <w:pPr>
        <w:keepNext/>
        <w:rPr>
          <w:sz w:val="22"/>
          <w:szCs w:val="22"/>
          <w:u w:val="single"/>
          <w:lang w:val="sk-SK"/>
        </w:rPr>
      </w:pPr>
      <w:r w:rsidRPr="00A83991">
        <w:rPr>
          <w:sz w:val="22"/>
          <w:szCs w:val="22"/>
          <w:u w:val="single"/>
          <w:lang w:val="sk-SK"/>
        </w:rPr>
        <w:t>Porucha kognitívnej funkcie</w:t>
      </w:r>
    </w:p>
    <w:p w:rsidR="003B2AE5" w:rsidRPr="00A83991" w:rsidRDefault="003B2AE5" w:rsidP="000971FE">
      <w:pPr>
        <w:keepNext/>
        <w:rPr>
          <w:sz w:val="22"/>
          <w:szCs w:val="22"/>
          <w:lang w:val="sk-SK"/>
        </w:rPr>
      </w:pPr>
    </w:p>
    <w:p w:rsidR="00267C6C" w:rsidRPr="00A83991" w:rsidRDefault="000346A7" w:rsidP="003C13EF">
      <w:pPr>
        <w:rPr>
          <w:sz w:val="22"/>
          <w:szCs w:val="22"/>
          <w:lang w:val="sk-SK"/>
        </w:rPr>
      </w:pPr>
      <w:r w:rsidRPr="00A83991">
        <w:rPr>
          <w:sz w:val="22"/>
          <w:szCs w:val="22"/>
          <w:lang w:val="sk-SK"/>
        </w:rPr>
        <w:t>Porucha kognitívnej funkcie u pacientov s epilepsiou je multifaktoriálna</w:t>
      </w:r>
      <w:r w:rsidR="0001448D">
        <w:rPr>
          <w:sz w:val="22"/>
          <w:szCs w:val="22"/>
          <w:lang w:val="sk-SK"/>
        </w:rPr>
        <w:t xml:space="preserve">, </w:t>
      </w:r>
      <w:r w:rsidRPr="00A83991">
        <w:rPr>
          <w:sz w:val="22"/>
          <w:szCs w:val="22"/>
          <w:lang w:val="sk-SK"/>
        </w:rPr>
        <w:t>buď vzhľadom na súčasnú etiológiu, epilepsiu , alebo vzhľadom na antiepileptickú liečbu. V literatúre sa vyskytli prípady poruchy kognitívnej funkcie u dospelých liečených topiramátom, ktoré si vyžadovali zníženie dávkovania alebo ukončenie liečby. Avšak, štúdie kognitívnych výsledkov u detí liečených topiramátom sú nedostatočné a jeho účinok je potrebné naďalej objasňovať.</w:t>
      </w:r>
    </w:p>
    <w:p w:rsidR="007065F1" w:rsidRDefault="00AD04CC" w:rsidP="000971FE">
      <w:pPr>
        <w:keepNext/>
        <w:rPr>
          <w:sz w:val="22"/>
          <w:szCs w:val="22"/>
          <w:u w:val="single"/>
          <w:lang w:val="sk-SK"/>
        </w:rPr>
      </w:pPr>
      <w:r w:rsidRPr="00A83991">
        <w:rPr>
          <w:sz w:val="22"/>
          <w:szCs w:val="22"/>
          <w:lang w:val="sk-SK"/>
        </w:rPr>
        <w:br/>
      </w:r>
      <w:r w:rsidR="007065F1">
        <w:rPr>
          <w:sz w:val="22"/>
          <w:szCs w:val="22"/>
          <w:u w:val="single"/>
          <w:lang w:val="sk-SK"/>
        </w:rPr>
        <w:t>Ženy v plodnom veku</w:t>
      </w:r>
    </w:p>
    <w:p w:rsidR="007065F1" w:rsidRDefault="007065F1" w:rsidP="000971FE">
      <w:pPr>
        <w:keepNext/>
        <w:rPr>
          <w:sz w:val="22"/>
          <w:szCs w:val="22"/>
          <w:u w:val="single"/>
          <w:lang w:val="sk-SK"/>
        </w:rPr>
      </w:pPr>
    </w:p>
    <w:p w:rsidR="007065F1" w:rsidRDefault="007065F1" w:rsidP="003B2AE5">
      <w:pPr>
        <w:rPr>
          <w:sz w:val="22"/>
          <w:szCs w:val="22"/>
          <w:lang w:val="sk-SK"/>
        </w:rPr>
      </w:pPr>
      <w:r>
        <w:rPr>
          <w:sz w:val="22"/>
          <w:szCs w:val="22"/>
          <w:lang w:val="sk-SK"/>
        </w:rPr>
        <w:t>Keď sa topiramát podáva tehotnej žene, môže spôsobiť poškodenie plodu a obmedziť rast plodu (malá veľkosť na gestačný vak a nízka pôrodná hmotnosť). Údaje pre</w:t>
      </w:r>
      <w:r w:rsidR="00682609">
        <w:rPr>
          <w:sz w:val="22"/>
          <w:szCs w:val="22"/>
          <w:lang w:val="sk-SK"/>
        </w:rPr>
        <w:t> </w:t>
      </w:r>
      <w:r>
        <w:rPr>
          <w:sz w:val="22"/>
          <w:szCs w:val="22"/>
          <w:lang w:val="sk-SK"/>
        </w:rPr>
        <w:t>monoterapiu topiramátom z tehotenského registra North American Antiepileptic Drug preukázali približne 3-násobne vyššiu prevalenciu závažných vrodených malformácií (4,3 %) v porovnaní s referenčnou skupinou, ktorá neužívala antiepileptiká (1,4 %). Údaje z ďalších štúdií ďalej naznačujú, že v porovnaní s monoterapiou je zvýšené riziko teratogénnych účinkov spojených s použitím antiepileptík v kombinovanej terapii.</w:t>
      </w:r>
    </w:p>
    <w:p w:rsidR="000E1032" w:rsidRDefault="000E1032" w:rsidP="003B2AE5">
      <w:pPr>
        <w:rPr>
          <w:sz w:val="22"/>
          <w:szCs w:val="22"/>
          <w:lang w:val="sk-SK"/>
        </w:rPr>
      </w:pPr>
    </w:p>
    <w:p w:rsidR="000E1032" w:rsidRPr="000971FE" w:rsidRDefault="000E1032" w:rsidP="003B2AE5">
      <w:pPr>
        <w:rPr>
          <w:sz w:val="22"/>
          <w:szCs w:val="22"/>
          <w:lang w:val="sk-SK"/>
        </w:rPr>
      </w:pPr>
      <w:r>
        <w:rPr>
          <w:sz w:val="22"/>
          <w:szCs w:val="22"/>
          <w:lang w:val="sk-SK"/>
        </w:rPr>
        <w:t>Pred začatím liečby topiramátom u ženy v plodnom veku, sa má urobiť tehotenský test a má sa odporučiť vysoko účinná antikoncepčná metóda (pozri časť 4.5). Pacientka má byť v plnej miere informovaná o rizikách súvisiacich s užívaním topiramátu počas gravidity (pozri časti 4.3 a 4.6).</w:t>
      </w:r>
    </w:p>
    <w:p w:rsidR="007065F1" w:rsidRDefault="007065F1" w:rsidP="003B2AE5">
      <w:pPr>
        <w:rPr>
          <w:sz w:val="22"/>
          <w:szCs w:val="22"/>
          <w:u w:val="single"/>
          <w:lang w:val="sk-SK"/>
        </w:rPr>
      </w:pPr>
    </w:p>
    <w:p w:rsidR="003B2AE5" w:rsidRPr="00A83991" w:rsidRDefault="00AD04CC" w:rsidP="000971FE">
      <w:pPr>
        <w:keepNext/>
        <w:rPr>
          <w:sz w:val="22"/>
          <w:szCs w:val="22"/>
          <w:lang w:val="sk-SK"/>
        </w:rPr>
      </w:pPr>
      <w:r w:rsidRPr="00A83991">
        <w:rPr>
          <w:sz w:val="22"/>
          <w:szCs w:val="22"/>
          <w:u w:val="single"/>
          <w:lang w:val="sk-SK"/>
        </w:rPr>
        <w:t xml:space="preserve">Lecitín </w:t>
      </w:r>
      <w:r w:rsidRPr="00A83991">
        <w:rPr>
          <w:sz w:val="22"/>
          <w:szCs w:val="22"/>
          <w:lang w:val="sk-SK"/>
        </w:rPr>
        <w:br/>
      </w:r>
    </w:p>
    <w:p w:rsidR="003B2AE5" w:rsidRPr="00A83991" w:rsidRDefault="003B2AE5" w:rsidP="000971FE">
      <w:pPr>
        <w:keepNext/>
        <w:rPr>
          <w:sz w:val="22"/>
          <w:szCs w:val="22"/>
          <w:lang w:val="sk-SK"/>
        </w:rPr>
      </w:pPr>
      <w:r w:rsidRPr="00A83991">
        <w:rPr>
          <w:sz w:val="22"/>
          <w:szCs w:val="22"/>
          <w:lang w:val="sk-SK"/>
        </w:rPr>
        <w:t xml:space="preserve">Filmom obalené tablety Talopamu 50 mg a 100 mg obsahujú lecitín. </w:t>
      </w:r>
    </w:p>
    <w:p w:rsidR="00AD04CC" w:rsidRPr="00A83991" w:rsidRDefault="002E5FFC" w:rsidP="003C13EF">
      <w:pPr>
        <w:rPr>
          <w:sz w:val="22"/>
          <w:szCs w:val="22"/>
          <w:lang w:val="sk-SK"/>
        </w:rPr>
      </w:pPr>
      <w:r w:rsidRPr="00A83991">
        <w:rPr>
          <w:sz w:val="22"/>
          <w:szCs w:val="22"/>
          <w:lang w:val="sk-SK"/>
        </w:rPr>
        <w:t>Pacienti s precitliven</w:t>
      </w:r>
      <w:r w:rsidR="0001448D">
        <w:rPr>
          <w:sz w:val="22"/>
          <w:szCs w:val="22"/>
          <w:lang w:val="sk-SK"/>
        </w:rPr>
        <w:t>o</w:t>
      </w:r>
      <w:r w:rsidRPr="00A83991">
        <w:rPr>
          <w:sz w:val="22"/>
          <w:szCs w:val="22"/>
          <w:lang w:val="sk-SK"/>
        </w:rPr>
        <w:t xml:space="preserve">sťou na </w:t>
      </w:r>
      <w:r w:rsidR="00AD04CC" w:rsidRPr="00A83991">
        <w:rPr>
          <w:sz w:val="22"/>
          <w:szCs w:val="22"/>
          <w:lang w:val="sk-SK"/>
        </w:rPr>
        <w:t xml:space="preserve">arašidy </w:t>
      </w:r>
      <w:r w:rsidR="000C2484" w:rsidRPr="00A83991">
        <w:rPr>
          <w:sz w:val="22"/>
          <w:szCs w:val="22"/>
          <w:lang w:val="sk-SK"/>
        </w:rPr>
        <w:t>alebo sóju</w:t>
      </w:r>
      <w:r w:rsidR="00BC5243" w:rsidRPr="00A83991">
        <w:rPr>
          <w:sz w:val="22"/>
          <w:szCs w:val="22"/>
          <w:lang w:val="sk-SK"/>
        </w:rPr>
        <w:t xml:space="preserve"> nema</w:t>
      </w:r>
      <w:r w:rsidR="00E43BD5" w:rsidRPr="00A83991">
        <w:rPr>
          <w:sz w:val="22"/>
          <w:szCs w:val="22"/>
          <w:lang w:val="sk-SK"/>
        </w:rPr>
        <w:t>jú</w:t>
      </w:r>
      <w:r w:rsidR="00BC5243" w:rsidRPr="00A83991">
        <w:rPr>
          <w:sz w:val="22"/>
          <w:szCs w:val="22"/>
          <w:lang w:val="sk-SK"/>
        </w:rPr>
        <w:t xml:space="preserve"> užívať tento liek.</w:t>
      </w: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lastRenderedPageBreak/>
        <w:t>4.5</w:t>
      </w:r>
      <w:r w:rsidR="00F945A2"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Liekové a iné interakcie</w:t>
      </w:r>
    </w:p>
    <w:p w:rsidR="00193E69" w:rsidRPr="00A83991" w:rsidRDefault="00193E69" w:rsidP="000971FE">
      <w:pPr>
        <w:keepNext/>
        <w:rPr>
          <w:sz w:val="22"/>
          <w:szCs w:val="22"/>
          <w:lang w:val="sk-SK"/>
        </w:rPr>
      </w:pPr>
    </w:p>
    <w:p w:rsidR="00193E69" w:rsidRPr="00A83991" w:rsidRDefault="00193E69" w:rsidP="000971FE">
      <w:pPr>
        <w:keepNext/>
        <w:rPr>
          <w:rStyle w:val="UnderlineA"/>
          <w:bCs/>
          <w:sz w:val="22"/>
          <w:szCs w:val="22"/>
          <w:lang w:val="sk-SK"/>
        </w:rPr>
      </w:pPr>
      <w:r w:rsidRPr="00A83991">
        <w:rPr>
          <w:rStyle w:val="UnderlineA"/>
          <w:bCs/>
          <w:sz w:val="22"/>
          <w:szCs w:val="22"/>
          <w:lang w:val="sk-SK"/>
        </w:rPr>
        <w:t xml:space="preserve">Účinky </w:t>
      </w:r>
      <w:r w:rsidR="003B2AE5" w:rsidRPr="00A83991">
        <w:rPr>
          <w:rStyle w:val="UnderlineA"/>
          <w:bCs/>
          <w:sz w:val="22"/>
          <w:szCs w:val="22"/>
          <w:lang w:val="sk-SK"/>
        </w:rPr>
        <w:t xml:space="preserve">Talopamu </w:t>
      </w:r>
      <w:r w:rsidR="00295EE4" w:rsidRPr="00A83991">
        <w:rPr>
          <w:rStyle w:val="UnderlineA"/>
          <w:bCs/>
          <w:sz w:val="22"/>
          <w:szCs w:val="22"/>
          <w:lang w:val="sk-SK"/>
        </w:rPr>
        <w:t xml:space="preserve">na </w:t>
      </w:r>
      <w:r w:rsidRPr="00A83991">
        <w:rPr>
          <w:rStyle w:val="UnderlineA"/>
          <w:bCs/>
          <w:sz w:val="22"/>
          <w:szCs w:val="22"/>
          <w:lang w:val="sk-SK"/>
        </w:rPr>
        <w:t>iné antiepileptiká</w:t>
      </w:r>
    </w:p>
    <w:p w:rsidR="00193E69" w:rsidRPr="00A83991" w:rsidRDefault="00193E69" w:rsidP="000971FE">
      <w:pPr>
        <w:keepNext/>
        <w:rPr>
          <w:rStyle w:val="UnderlineA"/>
          <w:bCs/>
          <w:sz w:val="22"/>
          <w:szCs w:val="22"/>
          <w:u w:val="none"/>
          <w:lang w:val="sk-SK"/>
        </w:rPr>
      </w:pPr>
    </w:p>
    <w:p w:rsidR="00193E69" w:rsidRPr="00A83991" w:rsidRDefault="00193E69" w:rsidP="00193E69">
      <w:pPr>
        <w:rPr>
          <w:sz w:val="22"/>
          <w:szCs w:val="22"/>
          <w:lang w:val="sk-SK"/>
        </w:rPr>
      </w:pPr>
      <w:r w:rsidRPr="00A83991">
        <w:rPr>
          <w:sz w:val="22"/>
          <w:szCs w:val="22"/>
          <w:lang w:val="sk-SK"/>
        </w:rPr>
        <w:t xml:space="preserve">Pridanie </w:t>
      </w:r>
      <w:r w:rsidR="003B2AE5" w:rsidRPr="00A83991">
        <w:rPr>
          <w:sz w:val="22"/>
          <w:szCs w:val="22"/>
          <w:lang w:val="sk-SK"/>
        </w:rPr>
        <w:t xml:space="preserve">Talopamu </w:t>
      </w:r>
      <w:r w:rsidRPr="00A83991">
        <w:rPr>
          <w:sz w:val="22"/>
          <w:szCs w:val="22"/>
          <w:lang w:val="sk-SK"/>
        </w:rPr>
        <w:t>k iným antiepileptikám (fenytoín, karbamazepín, kyselina valproová, fenobarbital, primidon) nemá vplyv na ich rovnovážn</w:t>
      </w:r>
      <w:r w:rsidR="003B2AE5" w:rsidRPr="00A83991">
        <w:rPr>
          <w:sz w:val="22"/>
          <w:szCs w:val="22"/>
          <w:lang w:val="sk-SK"/>
        </w:rPr>
        <w:t>u</w:t>
      </w:r>
      <w:r w:rsidRPr="00A83991">
        <w:rPr>
          <w:sz w:val="22"/>
          <w:szCs w:val="22"/>
          <w:lang w:val="sk-SK"/>
        </w:rPr>
        <w:t xml:space="preserve"> plazmatick</w:t>
      </w:r>
      <w:r w:rsidR="003B2AE5" w:rsidRPr="00A83991">
        <w:rPr>
          <w:sz w:val="22"/>
          <w:szCs w:val="22"/>
          <w:lang w:val="sk-SK"/>
        </w:rPr>
        <w:t>ú</w:t>
      </w:r>
      <w:r w:rsidRPr="00A83991">
        <w:rPr>
          <w:sz w:val="22"/>
          <w:szCs w:val="22"/>
          <w:lang w:val="sk-SK"/>
        </w:rPr>
        <w:t xml:space="preserve"> koncentráci</w:t>
      </w:r>
      <w:r w:rsidR="003B2AE5" w:rsidRPr="00A83991">
        <w:rPr>
          <w:sz w:val="22"/>
          <w:szCs w:val="22"/>
          <w:lang w:val="sk-SK"/>
        </w:rPr>
        <w:t>u s výnimkou jednotlivých prípadov, kedy pridanie Talopamu k </w:t>
      </w:r>
      <w:r w:rsidRPr="00A83991">
        <w:rPr>
          <w:sz w:val="22"/>
          <w:szCs w:val="22"/>
          <w:lang w:val="sk-SK"/>
        </w:rPr>
        <w:t>fenytoín</w:t>
      </w:r>
      <w:r w:rsidR="003B2AE5" w:rsidRPr="00A83991">
        <w:rPr>
          <w:sz w:val="22"/>
          <w:szCs w:val="22"/>
          <w:lang w:val="sk-SK"/>
        </w:rPr>
        <w:t xml:space="preserve">u môže </w:t>
      </w:r>
      <w:r w:rsidRPr="00A83991">
        <w:rPr>
          <w:sz w:val="22"/>
          <w:szCs w:val="22"/>
          <w:lang w:val="sk-SK"/>
        </w:rPr>
        <w:t xml:space="preserve">spôsobiť zvýšenie plazmatickej koncentrácie fenytoínu. </w:t>
      </w:r>
      <w:r w:rsidR="003B2AE5" w:rsidRPr="00A83991">
        <w:rPr>
          <w:sz w:val="22"/>
          <w:szCs w:val="22"/>
          <w:lang w:val="sk-SK"/>
        </w:rPr>
        <w:t>Zvýšenie je pravdepodobne spô</w:t>
      </w:r>
      <w:r w:rsidR="007E2597" w:rsidRPr="00A83991">
        <w:rPr>
          <w:sz w:val="22"/>
          <w:szCs w:val="22"/>
          <w:lang w:val="sk-SK"/>
        </w:rPr>
        <w:t>sobené inhibíciou špecifickej enzýmovej polymorfnej izoformy (CYP2 C19). P</w:t>
      </w:r>
      <w:r w:rsidRPr="00A83991">
        <w:rPr>
          <w:sz w:val="22"/>
          <w:szCs w:val="22"/>
          <w:lang w:val="sk-SK"/>
        </w:rPr>
        <w:t>acientom, ktorí užívajú fenytoín</w:t>
      </w:r>
      <w:r w:rsidR="007E2597" w:rsidRPr="00A83991">
        <w:rPr>
          <w:sz w:val="22"/>
          <w:szCs w:val="22"/>
          <w:lang w:val="sk-SK"/>
        </w:rPr>
        <w:t xml:space="preserve"> a majú klinické príznaky alebo symptómy toxicity</w:t>
      </w:r>
      <w:r w:rsidRPr="00A83991">
        <w:rPr>
          <w:sz w:val="22"/>
          <w:szCs w:val="22"/>
          <w:lang w:val="sk-SK"/>
        </w:rPr>
        <w:t>,</w:t>
      </w:r>
      <w:r w:rsidR="007E2597" w:rsidRPr="00A83991">
        <w:rPr>
          <w:sz w:val="22"/>
          <w:szCs w:val="22"/>
          <w:lang w:val="sk-SK"/>
        </w:rPr>
        <w:t xml:space="preserve"> sa majú </w:t>
      </w:r>
      <w:r w:rsidRPr="00A83991">
        <w:rPr>
          <w:sz w:val="22"/>
          <w:szCs w:val="22"/>
          <w:lang w:val="sk-SK"/>
        </w:rPr>
        <w:t>kontrolovať hladiny fenytoínu.</w:t>
      </w:r>
    </w:p>
    <w:p w:rsidR="00473C76" w:rsidRPr="00A83991" w:rsidRDefault="00473C76" w:rsidP="00193E69">
      <w:pPr>
        <w:rPr>
          <w:sz w:val="22"/>
          <w:szCs w:val="22"/>
          <w:lang w:val="sk-SK"/>
        </w:rPr>
      </w:pPr>
    </w:p>
    <w:p w:rsidR="00473C76" w:rsidRPr="00A83991" w:rsidRDefault="00473C76" w:rsidP="00193E69">
      <w:pPr>
        <w:rPr>
          <w:sz w:val="22"/>
          <w:szCs w:val="22"/>
          <w:lang w:val="sk-SK"/>
        </w:rPr>
      </w:pPr>
      <w:r w:rsidRPr="00A83991">
        <w:rPr>
          <w:sz w:val="22"/>
          <w:szCs w:val="22"/>
          <w:lang w:val="sk-SK"/>
        </w:rPr>
        <w:t>Farmakokinetická interakčná štúdia u pacientov s epilepsiou preukázala, že pridanie topiramátu k</w:t>
      </w:r>
      <w:r w:rsidR="007E2597" w:rsidRPr="00A83991">
        <w:rPr>
          <w:sz w:val="22"/>
          <w:szCs w:val="22"/>
          <w:lang w:val="sk-SK"/>
        </w:rPr>
        <w:t> </w:t>
      </w:r>
      <w:r w:rsidRPr="00A83991">
        <w:rPr>
          <w:sz w:val="22"/>
          <w:szCs w:val="22"/>
          <w:lang w:val="sk-SK"/>
        </w:rPr>
        <w:t xml:space="preserve">lamotrigínu nemalo žiadny vplyv na rovnovážny stav plazmatickej koncentrácie lamotrigínu pri dávke topiramátu 100 až 400 mg/deň. Navyše nedošlo k žiadnej zmene </w:t>
      </w:r>
      <w:r w:rsidR="007E2597" w:rsidRPr="00A83991">
        <w:rPr>
          <w:sz w:val="22"/>
          <w:szCs w:val="22"/>
          <w:lang w:val="sk-SK"/>
        </w:rPr>
        <w:t xml:space="preserve">rovnovážnej </w:t>
      </w:r>
      <w:r w:rsidR="00FC39CF" w:rsidRPr="00A83991">
        <w:rPr>
          <w:sz w:val="22"/>
          <w:szCs w:val="22"/>
          <w:lang w:val="sk-SK"/>
        </w:rPr>
        <w:t>plazmatickej koncentráci</w:t>
      </w:r>
      <w:r w:rsidR="007E2597" w:rsidRPr="00A83991">
        <w:rPr>
          <w:sz w:val="22"/>
          <w:szCs w:val="22"/>
          <w:lang w:val="sk-SK"/>
        </w:rPr>
        <w:t>e</w:t>
      </w:r>
      <w:r w:rsidR="00FC39CF" w:rsidRPr="00A83991">
        <w:rPr>
          <w:sz w:val="22"/>
          <w:szCs w:val="22"/>
          <w:lang w:val="sk-SK"/>
        </w:rPr>
        <w:t xml:space="preserve"> topiramát</w:t>
      </w:r>
      <w:r w:rsidR="007E2597" w:rsidRPr="00A83991">
        <w:rPr>
          <w:sz w:val="22"/>
          <w:szCs w:val="22"/>
          <w:lang w:val="sk-SK"/>
        </w:rPr>
        <w:t>u</w:t>
      </w:r>
      <w:r w:rsidR="00FC39CF" w:rsidRPr="00A83991">
        <w:rPr>
          <w:sz w:val="22"/>
          <w:szCs w:val="22"/>
          <w:lang w:val="sk-SK"/>
        </w:rPr>
        <w:t xml:space="preserve"> </w:t>
      </w:r>
      <w:r w:rsidRPr="00A83991">
        <w:rPr>
          <w:sz w:val="22"/>
          <w:szCs w:val="22"/>
          <w:lang w:val="sk-SK"/>
        </w:rPr>
        <w:t>počas alebo po ukončení liečby lamotrigínom (priemerná dávka 327 mg/deň).</w:t>
      </w:r>
    </w:p>
    <w:p w:rsidR="00FE66F4" w:rsidRPr="00A83991" w:rsidRDefault="00FE66F4" w:rsidP="00193E69">
      <w:pPr>
        <w:rPr>
          <w:sz w:val="22"/>
          <w:szCs w:val="22"/>
          <w:lang w:val="sk-SK"/>
        </w:rPr>
      </w:pPr>
    </w:p>
    <w:p w:rsidR="007E2597" w:rsidRPr="00A83991" w:rsidRDefault="007E2597" w:rsidP="00193E69">
      <w:pPr>
        <w:rPr>
          <w:sz w:val="22"/>
          <w:szCs w:val="22"/>
          <w:lang w:val="sk-SK"/>
        </w:rPr>
      </w:pPr>
      <w:r w:rsidRPr="00A83991">
        <w:rPr>
          <w:sz w:val="22"/>
          <w:szCs w:val="22"/>
          <w:lang w:val="sk-SK"/>
        </w:rPr>
        <w:t xml:space="preserve">Topiramát inhibuje enzým CYP2C19 a môže interferovať s inými látkami, ktoré tento enzým metabolizuje (napr. diazepam, imipramín, moklobemid, proguanil, omeprazol). </w:t>
      </w:r>
    </w:p>
    <w:p w:rsidR="001239C6" w:rsidRPr="00A83991" w:rsidRDefault="001239C6" w:rsidP="00FE66F4">
      <w:pPr>
        <w:rPr>
          <w:rStyle w:val="UnderlineA"/>
          <w:bCs/>
          <w:sz w:val="22"/>
          <w:szCs w:val="22"/>
          <w:lang w:val="sk-SK"/>
        </w:rPr>
      </w:pPr>
    </w:p>
    <w:p w:rsidR="00FE66F4" w:rsidRPr="00A83991" w:rsidRDefault="00FE66F4" w:rsidP="000971FE">
      <w:pPr>
        <w:keepNext/>
        <w:rPr>
          <w:rStyle w:val="UnderlineA"/>
          <w:bCs/>
          <w:sz w:val="22"/>
          <w:szCs w:val="22"/>
          <w:lang w:val="sk-SK"/>
        </w:rPr>
      </w:pPr>
      <w:r w:rsidRPr="00A83991">
        <w:rPr>
          <w:rStyle w:val="UnderlineA"/>
          <w:bCs/>
          <w:sz w:val="22"/>
          <w:szCs w:val="22"/>
          <w:lang w:val="sk-SK"/>
        </w:rPr>
        <w:t xml:space="preserve">Účinky iných antiepileptík na </w:t>
      </w:r>
      <w:r w:rsidR="007E2597" w:rsidRPr="00A83991">
        <w:rPr>
          <w:rStyle w:val="UnderlineA"/>
          <w:bCs/>
          <w:sz w:val="22"/>
          <w:szCs w:val="22"/>
          <w:lang w:val="sk-SK"/>
        </w:rPr>
        <w:t>Talopam</w:t>
      </w:r>
    </w:p>
    <w:p w:rsidR="00FE66F4" w:rsidRPr="00A83991" w:rsidRDefault="00FE66F4" w:rsidP="000971FE">
      <w:pPr>
        <w:keepNext/>
        <w:rPr>
          <w:rStyle w:val="UnderlineA"/>
          <w:bCs/>
          <w:i/>
          <w:sz w:val="22"/>
          <w:szCs w:val="22"/>
          <w:u w:val="none"/>
          <w:lang w:val="sk-SK"/>
        </w:rPr>
      </w:pPr>
    </w:p>
    <w:p w:rsidR="00FE66F4" w:rsidRPr="00A83991" w:rsidRDefault="00FE66F4" w:rsidP="00FE66F4">
      <w:pPr>
        <w:rPr>
          <w:sz w:val="22"/>
          <w:szCs w:val="22"/>
          <w:lang w:val="sk-SK"/>
        </w:rPr>
      </w:pPr>
      <w:r w:rsidRPr="00A83991">
        <w:rPr>
          <w:sz w:val="22"/>
          <w:szCs w:val="22"/>
          <w:lang w:val="sk-SK"/>
        </w:rPr>
        <w:t>Fenytoín a karbamazepín znižujú plazmatické koncentrácie topiramátu. Pridanie alebo vysadenie fenytoínu</w:t>
      </w:r>
      <w:r w:rsidR="008E2689" w:rsidRPr="00A83991">
        <w:rPr>
          <w:sz w:val="22"/>
          <w:szCs w:val="22"/>
          <w:lang w:val="sk-SK"/>
        </w:rPr>
        <w:t xml:space="preserve"> </w:t>
      </w:r>
      <w:r w:rsidRPr="00A83991">
        <w:rPr>
          <w:sz w:val="22"/>
          <w:szCs w:val="22"/>
          <w:lang w:val="sk-SK"/>
        </w:rPr>
        <w:t xml:space="preserve">alebo karbamazepínu počas liečby </w:t>
      </w:r>
      <w:r w:rsidR="007E2597" w:rsidRPr="00A83991">
        <w:rPr>
          <w:sz w:val="22"/>
          <w:szCs w:val="22"/>
          <w:lang w:val="sk-SK"/>
        </w:rPr>
        <w:t>Talopamom</w:t>
      </w:r>
      <w:r w:rsidRPr="00A83991">
        <w:rPr>
          <w:sz w:val="22"/>
          <w:szCs w:val="22"/>
          <w:lang w:val="sk-SK"/>
        </w:rPr>
        <w:t xml:space="preserve"> môže vyžadovať úpravu dávky </w:t>
      </w:r>
      <w:r w:rsidR="008E2689" w:rsidRPr="00A83991">
        <w:rPr>
          <w:sz w:val="22"/>
          <w:szCs w:val="22"/>
          <w:lang w:val="sk-SK"/>
        </w:rPr>
        <w:t xml:space="preserve">druhého lieku. To sa má dosiahnuť titráciou </w:t>
      </w:r>
      <w:r w:rsidRPr="00A83991">
        <w:rPr>
          <w:sz w:val="22"/>
          <w:szCs w:val="22"/>
          <w:lang w:val="sk-SK"/>
        </w:rPr>
        <w:t>až do dosiahnutia klinického účinku. Pridanie alebo vy</w:t>
      </w:r>
      <w:r w:rsidR="008E2689" w:rsidRPr="00A83991">
        <w:rPr>
          <w:sz w:val="22"/>
          <w:szCs w:val="22"/>
          <w:lang w:val="sk-SK"/>
        </w:rPr>
        <w:t>nec</w:t>
      </w:r>
      <w:r w:rsidR="001174EE" w:rsidRPr="00A83991">
        <w:rPr>
          <w:sz w:val="22"/>
          <w:szCs w:val="22"/>
          <w:lang w:val="sk-SK"/>
        </w:rPr>
        <w:t>h</w:t>
      </w:r>
      <w:r w:rsidR="008E2689" w:rsidRPr="00A83991">
        <w:rPr>
          <w:sz w:val="22"/>
          <w:szCs w:val="22"/>
          <w:lang w:val="sk-SK"/>
        </w:rPr>
        <w:t>anie</w:t>
      </w:r>
      <w:r w:rsidRPr="00A83991">
        <w:rPr>
          <w:sz w:val="22"/>
          <w:szCs w:val="22"/>
          <w:lang w:val="sk-SK"/>
        </w:rPr>
        <w:t xml:space="preserve">kyseliny valproovej nevyvoláva klinicky významné zmeny v plazmatických koncentráciách </w:t>
      </w:r>
      <w:r w:rsidR="008E2689" w:rsidRPr="00A83991">
        <w:rPr>
          <w:sz w:val="22"/>
          <w:szCs w:val="22"/>
          <w:lang w:val="sk-SK"/>
        </w:rPr>
        <w:t>Talopamu</w:t>
      </w:r>
      <w:r w:rsidRPr="00A83991">
        <w:rPr>
          <w:sz w:val="22"/>
          <w:szCs w:val="22"/>
          <w:lang w:val="sk-SK"/>
        </w:rPr>
        <w:t xml:space="preserve">, a preto si nevyžaduje úpravu dávky </w:t>
      </w:r>
      <w:r w:rsidR="008E2689" w:rsidRPr="00A83991">
        <w:rPr>
          <w:sz w:val="22"/>
          <w:szCs w:val="22"/>
          <w:lang w:val="sk-SK"/>
        </w:rPr>
        <w:t>Talopamu</w:t>
      </w:r>
      <w:r w:rsidRPr="00A83991">
        <w:rPr>
          <w:sz w:val="22"/>
          <w:szCs w:val="22"/>
          <w:lang w:val="sk-SK"/>
        </w:rPr>
        <w:t xml:space="preserve">. Výsledky týchto interakcií sú zhrnuté </w:t>
      </w:r>
      <w:r w:rsidR="008E2689" w:rsidRPr="00A83991">
        <w:rPr>
          <w:sz w:val="22"/>
          <w:szCs w:val="22"/>
          <w:lang w:val="sk-SK"/>
        </w:rPr>
        <w:t>nižšie</w:t>
      </w:r>
      <w:r w:rsidRPr="00A83991">
        <w:rPr>
          <w:sz w:val="22"/>
          <w:szCs w:val="22"/>
          <w:lang w:val="sk-SK"/>
        </w:rPr>
        <w:t>:</w:t>
      </w:r>
    </w:p>
    <w:p w:rsidR="00FE66F4" w:rsidRPr="00A83991" w:rsidRDefault="00FE66F4" w:rsidP="000971FE">
      <w:pPr>
        <w:keepNext/>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FE66F4" w:rsidRPr="00A83991" w:rsidTr="002868BD">
        <w:tc>
          <w:tcPr>
            <w:tcW w:w="2952" w:type="dxa"/>
          </w:tcPr>
          <w:p w:rsidR="00FE66F4" w:rsidRPr="00A83991" w:rsidRDefault="00FE66F4" w:rsidP="000971FE">
            <w:pPr>
              <w:keepNext/>
              <w:autoSpaceDE w:val="0"/>
              <w:autoSpaceDN w:val="0"/>
              <w:adjustRightInd w:val="0"/>
              <w:rPr>
                <w:bCs/>
                <w:sz w:val="22"/>
                <w:szCs w:val="22"/>
              </w:rPr>
            </w:pPr>
            <w:r w:rsidRPr="00A83991">
              <w:rPr>
                <w:sz w:val="22"/>
                <w:szCs w:val="22"/>
                <w:lang w:val="sk-SK"/>
              </w:rPr>
              <w:t xml:space="preserve">Súbežne podávané AED </w:t>
            </w:r>
          </w:p>
        </w:tc>
        <w:tc>
          <w:tcPr>
            <w:tcW w:w="2952" w:type="dxa"/>
          </w:tcPr>
          <w:p w:rsidR="00FE66F4" w:rsidRPr="00A83991" w:rsidRDefault="00FE66F4" w:rsidP="000971FE">
            <w:pPr>
              <w:keepNext/>
              <w:autoSpaceDE w:val="0"/>
              <w:autoSpaceDN w:val="0"/>
              <w:adjustRightInd w:val="0"/>
              <w:rPr>
                <w:bCs/>
                <w:sz w:val="22"/>
                <w:szCs w:val="22"/>
              </w:rPr>
            </w:pPr>
            <w:r w:rsidRPr="00A83991">
              <w:rPr>
                <w:sz w:val="22"/>
                <w:szCs w:val="22"/>
                <w:lang w:val="sk-SK"/>
              </w:rPr>
              <w:t>Koncentrácia</w:t>
            </w:r>
            <w:r w:rsidRPr="00A83991">
              <w:rPr>
                <w:bCs/>
                <w:sz w:val="22"/>
                <w:szCs w:val="22"/>
              </w:rPr>
              <w:t xml:space="preserve"> AED</w:t>
            </w:r>
          </w:p>
        </w:tc>
        <w:tc>
          <w:tcPr>
            <w:tcW w:w="2952" w:type="dxa"/>
          </w:tcPr>
          <w:p w:rsidR="00FE66F4" w:rsidRPr="00A83991" w:rsidRDefault="00FE66F4" w:rsidP="000971FE">
            <w:pPr>
              <w:keepNext/>
              <w:autoSpaceDE w:val="0"/>
              <w:autoSpaceDN w:val="0"/>
              <w:adjustRightInd w:val="0"/>
              <w:rPr>
                <w:bCs/>
                <w:sz w:val="22"/>
                <w:szCs w:val="22"/>
              </w:rPr>
            </w:pPr>
            <w:r w:rsidRPr="00A83991">
              <w:rPr>
                <w:sz w:val="22"/>
                <w:szCs w:val="22"/>
                <w:lang w:val="sk-SK"/>
              </w:rPr>
              <w:t xml:space="preserve">Koncentrácia </w:t>
            </w:r>
            <w:r w:rsidR="008E2689" w:rsidRPr="00A83991">
              <w:rPr>
                <w:sz w:val="22"/>
                <w:szCs w:val="22"/>
                <w:lang w:val="sk-SK"/>
              </w:rPr>
              <w:t>Talopamu</w:t>
            </w:r>
            <w:r w:rsidRPr="00A83991">
              <w:rPr>
                <w:bCs/>
                <w:sz w:val="22"/>
                <w:szCs w:val="22"/>
              </w:rPr>
              <w:t xml:space="preserve"> </w:t>
            </w:r>
          </w:p>
        </w:tc>
      </w:tr>
      <w:tr w:rsidR="00FE66F4" w:rsidRPr="00A83991" w:rsidTr="002868BD">
        <w:tc>
          <w:tcPr>
            <w:tcW w:w="2952" w:type="dxa"/>
          </w:tcPr>
          <w:p w:rsidR="00FE66F4" w:rsidRPr="00A83991" w:rsidRDefault="00FE66F4" w:rsidP="000971FE">
            <w:pPr>
              <w:keepNext/>
              <w:autoSpaceDE w:val="0"/>
              <w:autoSpaceDN w:val="0"/>
              <w:adjustRightInd w:val="0"/>
              <w:rPr>
                <w:bCs/>
                <w:sz w:val="22"/>
                <w:szCs w:val="22"/>
              </w:rPr>
            </w:pPr>
            <w:r w:rsidRPr="00A83991">
              <w:rPr>
                <w:bCs/>
                <w:sz w:val="22"/>
                <w:szCs w:val="22"/>
              </w:rPr>
              <w:t>Fenytoín</w:t>
            </w:r>
          </w:p>
        </w:tc>
        <w:tc>
          <w:tcPr>
            <w:tcW w:w="2952" w:type="dxa"/>
          </w:tcPr>
          <w:p w:rsidR="00FE66F4" w:rsidRPr="00A83991" w:rsidRDefault="00FE66F4" w:rsidP="000971FE">
            <w:pPr>
              <w:keepNext/>
              <w:autoSpaceDE w:val="0"/>
              <w:autoSpaceDN w:val="0"/>
              <w:adjustRightInd w:val="0"/>
              <w:rPr>
                <w:b/>
                <w:bCs/>
                <w:sz w:val="22"/>
                <w:szCs w:val="22"/>
              </w:rPr>
            </w:pPr>
            <w:r w:rsidRPr="00A83991">
              <w:rPr>
                <w:rFonts w:eastAsia="Gulim"/>
                <w:sz w:val="22"/>
                <w:szCs w:val="22"/>
              </w:rPr>
              <w:t>↔</w:t>
            </w:r>
            <w:r w:rsidRPr="00A83991">
              <w:rPr>
                <w:sz w:val="22"/>
                <w:szCs w:val="22"/>
              </w:rPr>
              <w:t>**</w:t>
            </w:r>
          </w:p>
        </w:tc>
        <w:tc>
          <w:tcPr>
            <w:tcW w:w="2952" w:type="dxa"/>
          </w:tcPr>
          <w:p w:rsidR="00FE66F4" w:rsidRPr="00A83991" w:rsidRDefault="000971FE" w:rsidP="000971FE">
            <w:pPr>
              <w:keepNext/>
              <w:autoSpaceDE w:val="0"/>
              <w:autoSpaceDN w:val="0"/>
              <w:adjustRightInd w:val="0"/>
              <w:rPr>
                <w:b/>
                <w:bCs/>
                <w:sz w:val="22"/>
                <w:szCs w:val="22"/>
              </w:rPr>
            </w:pPr>
            <w:r>
              <w:rPr>
                <w:b/>
                <w:b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8.15pt">
                  <v:imagedata r:id="rId9" o:title=""/>
                </v:shape>
              </w:pict>
            </w:r>
          </w:p>
        </w:tc>
      </w:tr>
      <w:tr w:rsidR="00FE66F4" w:rsidRPr="00A83991" w:rsidTr="002868BD">
        <w:tc>
          <w:tcPr>
            <w:tcW w:w="2952" w:type="dxa"/>
          </w:tcPr>
          <w:p w:rsidR="00FE66F4" w:rsidRPr="00A83991" w:rsidRDefault="00FE66F4" w:rsidP="000971FE">
            <w:pPr>
              <w:keepNext/>
              <w:autoSpaceDE w:val="0"/>
              <w:autoSpaceDN w:val="0"/>
              <w:adjustRightInd w:val="0"/>
              <w:rPr>
                <w:bCs/>
                <w:sz w:val="22"/>
                <w:szCs w:val="22"/>
              </w:rPr>
            </w:pPr>
            <w:r w:rsidRPr="00A83991">
              <w:rPr>
                <w:bCs/>
                <w:sz w:val="22"/>
                <w:szCs w:val="22"/>
              </w:rPr>
              <w:t>Karbamazepín (CBZ)</w:t>
            </w:r>
          </w:p>
        </w:tc>
        <w:tc>
          <w:tcPr>
            <w:tcW w:w="2952" w:type="dxa"/>
          </w:tcPr>
          <w:p w:rsidR="00FE66F4" w:rsidRPr="00A83991" w:rsidRDefault="00FE66F4" w:rsidP="000971FE">
            <w:pPr>
              <w:keepNext/>
              <w:autoSpaceDE w:val="0"/>
              <w:autoSpaceDN w:val="0"/>
              <w:adjustRightInd w:val="0"/>
              <w:rPr>
                <w:b/>
                <w:bCs/>
                <w:sz w:val="22"/>
                <w:szCs w:val="22"/>
              </w:rPr>
            </w:pPr>
            <w:r w:rsidRPr="00A83991">
              <w:rPr>
                <w:rFonts w:eastAsia="Gulim"/>
                <w:sz w:val="22"/>
                <w:szCs w:val="22"/>
              </w:rPr>
              <w:t>↔</w:t>
            </w:r>
          </w:p>
        </w:tc>
        <w:tc>
          <w:tcPr>
            <w:tcW w:w="2952" w:type="dxa"/>
          </w:tcPr>
          <w:p w:rsidR="00FE66F4" w:rsidRPr="00A83991" w:rsidRDefault="000971FE" w:rsidP="000971FE">
            <w:pPr>
              <w:keepNext/>
              <w:autoSpaceDE w:val="0"/>
              <w:autoSpaceDN w:val="0"/>
              <w:adjustRightInd w:val="0"/>
              <w:rPr>
                <w:b/>
                <w:bCs/>
                <w:sz w:val="22"/>
                <w:szCs w:val="22"/>
              </w:rPr>
            </w:pPr>
            <w:r>
              <w:rPr>
                <w:b/>
                <w:bCs/>
                <w:sz w:val="22"/>
                <w:szCs w:val="22"/>
              </w:rPr>
              <w:pict>
                <v:shape id="_x0000_i1026" type="#_x0000_t75" style="width:8.15pt;height:8.15pt">
                  <v:imagedata r:id="rId9" o:title=""/>
                </v:shape>
              </w:pict>
            </w:r>
          </w:p>
        </w:tc>
      </w:tr>
      <w:tr w:rsidR="00FE66F4" w:rsidRPr="00A83991" w:rsidTr="002868BD">
        <w:tc>
          <w:tcPr>
            <w:tcW w:w="2952" w:type="dxa"/>
          </w:tcPr>
          <w:p w:rsidR="00FE66F4" w:rsidRPr="00A83991" w:rsidRDefault="00FE66F4" w:rsidP="000971FE">
            <w:pPr>
              <w:keepNext/>
              <w:autoSpaceDE w:val="0"/>
              <w:autoSpaceDN w:val="0"/>
              <w:adjustRightInd w:val="0"/>
              <w:rPr>
                <w:bCs/>
                <w:sz w:val="22"/>
                <w:szCs w:val="22"/>
              </w:rPr>
            </w:pPr>
            <w:r w:rsidRPr="00A83991">
              <w:rPr>
                <w:bCs/>
                <w:sz w:val="22"/>
                <w:szCs w:val="22"/>
                <w:lang w:val="sk-SK"/>
              </w:rPr>
              <w:t xml:space="preserve">Kyselina valproová </w:t>
            </w:r>
          </w:p>
        </w:tc>
        <w:tc>
          <w:tcPr>
            <w:tcW w:w="2952" w:type="dxa"/>
          </w:tcPr>
          <w:p w:rsidR="00FE66F4" w:rsidRPr="00A83991" w:rsidRDefault="00FE66F4" w:rsidP="000971FE">
            <w:pPr>
              <w:keepNext/>
              <w:autoSpaceDE w:val="0"/>
              <w:autoSpaceDN w:val="0"/>
              <w:adjustRightInd w:val="0"/>
              <w:rPr>
                <w:b/>
                <w:bCs/>
                <w:sz w:val="22"/>
                <w:szCs w:val="22"/>
              </w:rPr>
            </w:pPr>
            <w:r w:rsidRPr="00A83991">
              <w:rPr>
                <w:rFonts w:eastAsia="Gulim"/>
                <w:sz w:val="22"/>
                <w:szCs w:val="22"/>
              </w:rPr>
              <w:t>↔</w:t>
            </w:r>
          </w:p>
        </w:tc>
        <w:tc>
          <w:tcPr>
            <w:tcW w:w="2952" w:type="dxa"/>
          </w:tcPr>
          <w:p w:rsidR="00FE66F4" w:rsidRPr="00A83991" w:rsidRDefault="00FE66F4" w:rsidP="000971FE">
            <w:pPr>
              <w:keepNext/>
              <w:autoSpaceDE w:val="0"/>
              <w:autoSpaceDN w:val="0"/>
              <w:adjustRightInd w:val="0"/>
              <w:rPr>
                <w:b/>
                <w:bCs/>
                <w:sz w:val="22"/>
                <w:szCs w:val="22"/>
              </w:rPr>
            </w:pPr>
            <w:r w:rsidRPr="00A83991">
              <w:rPr>
                <w:rFonts w:eastAsia="Gulim"/>
                <w:sz w:val="22"/>
                <w:szCs w:val="22"/>
              </w:rPr>
              <w:t>↔</w:t>
            </w:r>
          </w:p>
        </w:tc>
      </w:tr>
      <w:tr w:rsidR="00FE66F4" w:rsidRPr="00A83991" w:rsidTr="002868BD">
        <w:tc>
          <w:tcPr>
            <w:tcW w:w="2952" w:type="dxa"/>
          </w:tcPr>
          <w:p w:rsidR="00FE66F4" w:rsidRPr="00A83991" w:rsidRDefault="00FE66F4" w:rsidP="000971FE">
            <w:pPr>
              <w:keepNext/>
              <w:autoSpaceDE w:val="0"/>
              <w:autoSpaceDN w:val="0"/>
              <w:adjustRightInd w:val="0"/>
              <w:rPr>
                <w:bCs/>
                <w:sz w:val="22"/>
                <w:szCs w:val="22"/>
              </w:rPr>
            </w:pPr>
            <w:r w:rsidRPr="00A83991">
              <w:rPr>
                <w:bCs/>
                <w:sz w:val="22"/>
                <w:szCs w:val="22"/>
              </w:rPr>
              <w:t>Lamotrigín</w:t>
            </w:r>
          </w:p>
        </w:tc>
        <w:tc>
          <w:tcPr>
            <w:tcW w:w="2952" w:type="dxa"/>
          </w:tcPr>
          <w:p w:rsidR="00FE66F4" w:rsidRPr="00A83991" w:rsidRDefault="00FE66F4" w:rsidP="000971FE">
            <w:pPr>
              <w:keepNext/>
              <w:autoSpaceDE w:val="0"/>
              <w:autoSpaceDN w:val="0"/>
              <w:adjustRightInd w:val="0"/>
              <w:rPr>
                <w:b/>
                <w:bCs/>
                <w:sz w:val="22"/>
                <w:szCs w:val="22"/>
              </w:rPr>
            </w:pPr>
            <w:r w:rsidRPr="00A83991">
              <w:rPr>
                <w:rFonts w:eastAsia="Gulim"/>
                <w:sz w:val="22"/>
                <w:szCs w:val="22"/>
              </w:rPr>
              <w:t>↔</w:t>
            </w:r>
          </w:p>
        </w:tc>
        <w:tc>
          <w:tcPr>
            <w:tcW w:w="2952" w:type="dxa"/>
          </w:tcPr>
          <w:p w:rsidR="00FE66F4" w:rsidRPr="00A83991" w:rsidRDefault="00FE66F4" w:rsidP="000971FE">
            <w:pPr>
              <w:keepNext/>
              <w:autoSpaceDE w:val="0"/>
              <w:autoSpaceDN w:val="0"/>
              <w:adjustRightInd w:val="0"/>
              <w:rPr>
                <w:b/>
                <w:bCs/>
                <w:sz w:val="22"/>
                <w:szCs w:val="22"/>
              </w:rPr>
            </w:pPr>
            <w:r w:rsidRPr="00A83991">
              <w:rPr>
                <w:rFonts w:eastAsia="Gulim"/>
                <w:sz w:val="22"/>
                <w:szCs w:val="22"/>
              </w:rPr>
              <w:t>↔</w:t>
            </w:r>
          </w:p>
        </w:tc>
      </w:tr>
      <w:tr w:rsidR="00FE66F4" w:rsidRPr="00A83991" w:rsidTr="002868BD">
        <w:tc>
          <w:tcPr>
            <w:tcW w:w="2952" w:type="dxa"/>
          </w:tcPr>
          <w:p w:rsidR="00FE66F4" w:rsidRPr="00A83991" w:rsidRDefault="00FE66F4" w:rsidP="000971FE">
            <w:pPr>
              <w:keepNext/>
              <w:autoSpaceDE w:val="0"/>
              <w:autoSpaceDN w:val="0"/>
              <w:adjustRightInd w:val="0"/>
              <w:rPr>
                <w:bCs/>
                <w:sz w:val="22"/>
                <w:szCs w:val="22"/>
              </w:rPr>
            </w:pPr>
            <w:r w:rsidRPr="00A83991">
              <w:rPr>
                <w:bCs/>
                <w:sz w:val="22"/>
                <w:szCs w:val="22"/>
              </w:rPr>
              <w:t>Fenobarbital</w:t>
            </w:r>
          </w:p>
        </w:tc>
        <w:tc>
          <w:tcPr>
            <w:tcW w:w="2952" w:type="dxa"/>
          </w:tcPr>
          <w:p w:rsidR="00FE66F4" w:rsidRPr="00A83991" w:rsidRDefault="00FE66F4" w:rsidP="000971FE">
            <w:pPr>
              <w:keepNext/>
              <w:autoSpaceDE w:val="0"/>
              <w:autoSpaceDN w:val="0"/>
              <w:adjustRightInd w:val="0"/>
              <w:rPr>
                <w:b/>
                <w:bCs/>
                <w:sz w:val="22"/>
                <w:szCs w:val="22"/>
              </w:rPr>
            </w:pPr>
            <w:r w:rsidRPr="00A83991">
              <w:rPr>
                <w:rFonts w:eastAsia="Gulim"/>
                <w:sz w:val="22"/>
                <w:szCs w:val="22"/>
              </w:rPr>
              <w:t>↔</w:t>
            </w:r>
          </w:p>
        </w:tc>
        <w:tc>
          <w:tcPr>
            <w:tcW w:w="2952" w:type="dxa"/>
          </w:tcPr>
          <w:p w:rsidR="00FE66F4" w:rsidRPr="00A83991" w:rsidRDefault="00FE66F4" w:rsidP="000971FE">
            <w:pPr>
              <w:keepNext/>
              <w:autoSpaceDE w:val="0"/>
              <w:autoSpaceDN w:val="0"/>
              <w:adjustRightInd w:val="0"/>
              <w:rPr>
                <w:b/>
                <w:bCs/>
                <w:sz w:val="22"/>
                <w:szCs w:val="22"/>
              </w:rPr>
            </w:pPr>
            <w:r w:rsidRPr="00A83991">
              <w:rPr>
                <w:sz w:val="22"/>
                <w:szCs w:val="22"/>
              </w:rPr>
              <w:t>NS</w:t>
            </w:r>
          </w:p>
        </w:tc>
      </w:tr>
      <w:tr w:rsidR="00FE66F4" w:rsidRPr="00A83991" w:rsidTr="002868BD">
        <w:tc>
          <w:tcPr>
            <w:tcW w:w="2952" w:type="dxa"/>
          </w:tcPr>
          <w:p w:rsidR="00FE66F4" w:rsidRPr="00A83991" w:rsidRDefault="00FE66F4" w:rsidP="000971FE">
            <w:pPr>
              <w:keepNext/>
              <w:autoSpaceDE w:val="0"/>
              <w:autoSpaceDN w:val="0"/>
              <w:adjustRightInd w:val="0"/>
              <w:rPr>
                <w:bCs/>
                <w:sz w:val="22"/>
                <w:szCs w:val="22"/>
              </w:rPr>
            </w:pPr>
            <w:r w:rsidRPr="00A83991">
              <w:rPr>
                <w:bCs/>
                <w:sz w:val="22"/>
                <w:szCs w:val="22"/>
              </w:rPr>
              <w:t>Primidón</w:t>
            </w:r>
          </w:p>
        </w:tc>
        <w:tc>
          <w:tcPr>
            <w:tcW w:w="2952" w:type="dxa"/>
          </w:tcPr>
          <w:p w:rsidR="00FE66F4" w:rsidRPr="00A83991" w:rsidRDefault="00FE66F4" w:rsidP="000971FE">
            <w:pPr>
              <w:keepNext/>
              <w:autoSpaceDE w:val="0"/>
              <w:autoSpaceDN w:val="0"/>
              <w:adjustRightInd w:val="0"/>
              <w:rPr>
                <w:b/>
                <w:bCs/>
                <w:sz w:val="22"/>
                <w:szCs w:val="22"/>
              </w:rPr>
            </w:pPr>
            <w:r w:rsidRPr="00A83991">
              <w:rPr>
                <w:rFonts w:eastAsia="Gulim"/>
                <w:sz w:val="22"/>
                <w:szCs w:val="22"/>
              </w:rPr>
              <w:t>↔</w:t>
            </w:r>
          </w:p>
        </w:tc>
        <w:tc>
          <w:tcPr>
            <w:tcW w:w="2952" w:type="dxa"/>
          </w:tcPr>
          <w:p w:rsidR="00FE66F4" w:rsidRPr="00A83991" w:rsidRDefault="00FE66F4" w:rsidP="000971FE">
            <w:pPr>
              <w:keepNext/>
              <w:autoSpaceDE w:val="0"/>
              <w:autoSpaceDN w:val="0"/>
              <w:adjustRightInd w:val="0"/>
              <w:rPr>
                <w:b/>
                <w:bCs/>
                <w:sz w:val="22"/>
                <w:szCs w:val="22"/>
              </w:rPr>
            </w:pPr>
            <w:r w:rsidRPr="00A83991">
              <w:rPr>
                <w:sz w:val="22"/>
                <w:szCs w:val="22"/>
              </w:rPr>
              <w:t>NS</w:t>
            </w:r>
          </w:p>
        </w:tc>
      </w:tr>
    </w:tbl>
    <w:p w:rsidR="00FE66F4" w:rsidRPr="00A83991" w:rsidRDefault="00FE66F4" w:rsidP="000971FE">
      <w:pPr>
        <w:keepNext/>
        <w:rPr>
          <w:sz w:val="22"/>
          <w:szCs w:val="22"/>
          <w:lang w:val="sk-SK"/>
        </w:rPr>
      </w:pPr>
      <w:r w:rsidRPr="00A83991">
        <w:rPr>
          <w:sz w:val="22"/>
          <w:szCs w:val="22"/>
          <w:lang w:val="sk-SK"/>
        </w:rPr>
        <w:t>↔</w:t>
      </w:r>
      <w:r w:rsidRPr="00A83991">
        <w:rPr>
          <w:sz w:val="22"/>
          <w:szCs w:val="22"/>
          <w:lang w:val="sk-SK"/>
        </w:rPr>
        <w:tab/>
        <w:t>=</w:t>
      </w:r>
      <w:r w:rsidRPr="00A83991">
        <w:rPr>
          <w:sz w:val="22"/>
          <w:szCs w:val="22"/>
          <w:lang w:val="sk-SK"/>
        </w:rPr>
        <w:tab/>
        <w:t>Žiad</w:t>
      </w:r>
      <w:r w:rsidR="00405DC7" w:rsidRPr="00A83991">
        <w:rPr>
          <w:sz w:val="22"/>
          <w:szCs w:val="22"/>
          <w:lang w:val="sk-SK"/>
        </w:rPr>
        <w:t>ny účinok</w:t>
      </w:r>
      <w:r w:rsidRPr="00A83991">
        <w:rPr>
          <w:sz w:val="22"/>
          <w:szCs w:val="22"/>
          <w:lang w:val="sk-SK"/>
        </w:rPr>
        <w:t xml:space="preserve"> na plazmatickú koncentráciu (</w:t>
      </w:r>
      <w:r w:rsidR="008E2689" w:rsidRPr="00A83991">
        <w:rPr>
          <w:sz w:val="22"/>
          <w:szCs w:val="22"/>
          <w:lang w:val="sk-SK"/>
        </w:rPr>
        <w:t xml:space="preserve"> </w:t>
      </w:r>
      <w:r w:rsidR="008E2689" w:rsidRPr="00A83991">
        <w:rPr>
          <w:sz w:val="22"/>
          <w:szCs w:val="22"/>
          <w:lang w:val="sk-SK"/>
        </w:rPr>
        <w:sym w:font="Symbol" w:char="F0A3"/>
      </w:r>
      <w:r w:rsidR="008E2689" w:rsidRPr="00A83991">
        <w:rPr>
          <w:sz w:val="22"/>
          <w:szCs w:val="22"/>
          <w:lang w:val="sk-SK"/>
        </w:rPr>
        <w:t> </w:t>
      </w:r>
      <w:r w:rsidRPr="00A83991">
        <w:rPr>
          <w:sz w:val="22"/>
          <w:szCs w:val="22"/>
          <w:lang w:val="sk-SK"/>
        </w:rPr>
        <w:t>15</w:t>
      </w:r>
      <w:r w:rsidR="008E2689" w:rsidRPr="00A83991">
        <w:rPr>
          <w:sz w:val="22"/>
          <w:szCs w:val="22"/>
          <w:lang w:val="sk-SK"/>
        </w:rPr>
        <w:t> </w:t>
      </w:r>
      <w:r w:rsidRPr="00A83991">
        <w:rPr>
          <w:sz w:val="22"/>
          <w:szCs w:val="22"/>
          <w:lang w:val="sk-SK"/>
        </w:rPr>
        <w:t>%</w:t>
      </w:r>
      <w:r w:rsidR="00405DC7" w:rsidRPr="00A83991">
        <w:rPr>
          <w:sz w:val="22"/>
          <w:szCs w:val="22"/>
          <w:lang w:val="sk-SK"/>
        </w:rPr>
        <w:t xml:space="preserve"> zmena</w:t>
      </w:r>
      <w:r w:rsidRPr="00A83991">
        <w:rPr>
          <w:sz w:val="22"/>
          <w:szCs w:val="22"/>
          <w:lang w:val="sk-SK"/>
        </w:rPr>
        <w:t>)</w:t>
      </w:r>
    </w:p>
    <w:p w:rsidR="00FE66F4" w:rsidRPr="00A83991" w:rsidRDefault="00FE66F4" w:rsidP="000971FE">
      <w:pPr>
        <w:keepNext/>
        <w:rPr>
          <w:sz w:val="22"/>
          <w:szCs w:val="22"/>
          <w:lang w:val="sk-SK"/>
        </w:rPr>
      </w:pPr>
      <w:r w:rsidRPr="00A83991">
        <w:rPr>
          <w:sz w:val="22"/>
          <w:szCs w:val="22"/>
          <w:lang w:val="sk-SK"/>
        </w:rPr>
        <w:t>**</w:t>
      </w:r>
      <w:r w:rsidRPr="00A83991">
        <w:rPr>
          <w:sz w:val="22"/>
          <w:szCs w:val="22"/>
          <w:lang w:val="sk-SK"/>
        </w:rPr>
        <w:tab/>
        <w:t>=</w:t>
      </w:r>
      <w:r w:rsidRPr="00A83991">
        <w:rPr>
          <w:sz w:val="22"/>
          <w:szCs w:val="22"/>
          <w:lang w:val="sk-SK"/>
        </w:rPr>
        <w:tab/>
      </w:r>
      <w:r w:rsidR="008E2689" w:rsidRPr="00A83991">
        <w:rPr>
          <w:sz w:val="22"/>
          <w:szCs w:val="22"/>
          <w:lang w:val="sk-SK"/>
        </w:rPr>
        <w:t>Zvýšená p</w:t>
      </w:r>
      <w:r w:rsidRPr="00A83991">
        <w:rPr>
          <w:sz w:val="22"/>
          <w:szCs w:val="22"/>
          <w:lang w:val="sk-SK"/>
        </w:rPr>
        <w:t>lazmatická koncentrácia u niektorých pacientov</w:t>
      </w:r>
    </w:p>
    <w:p w:rsidR="00FE66F4" w:rsidRPr="00A83991" w:rsidRDefault="000971FE" w:rsidP="000971FE">
      <w:pPr>
        <w:keepNext/>
        <w:rPr>
          <w:sz w:val="22"/>
          <w:szCs w:val="22"/>
          <w:lang w:val="sk-SK"/>
        </w:rPr>
      </w:pPr>
      <w:r>
        <w:rPr>
          <w:b/>
          <w:bCs/>
          <w:sz w:val="22"/>
          <w:szCs w:val="22"/>
        </w:rPr>
        <w:pict>
          <v:shape id="_x0000_i1027" type="#_x0000_t75" style="width:8.15pt;height:8.15pt">
            <v:imagedata r:id="rId9" o:title=""/>
          </v:shape>
        </w:pict>
      </w:r>
      <w:r w:rsidR="00FE66F4" w:rsidRPr="00A83991">
        <w:rPr>
          <w:b/>
          <w:bCs/>
          <w:sz w:val="22"/>
          <w:szCs w:val="22"/>
          <w:lang w:val="sk-SK"/>
        </w:rPr>
        <w:tab/>
        <w:t>=</w:t>
      </w:r>
      <w:r w:rsidR="00FE66F4" w:rsidRPr="00A83991">
        <w:rPr>
          <w:b/>
          <w:bCs/>
          <w:sz w:val="22"/>
          <w:szCs w:val="22"/>
          <w:lang w:val="sk-SK"/>
        </w:rPr>
        <w:tab/>
      </w:r>
      <w:r w:rsidR="008E2689" w:rsidRPr="00A83991">
        <w:rPr>
          <w:bCs/>
          <w:sz w:val="22"/>
          <w:szCs w:val="22"/>
          <w:lang w:val="sk-SK"/>
        </w:rPr>
        <w:t>Znížená p</w:t>
      </w:r>
      <w:r w:rsidR="00FE66F4" w:rsidRPr="00A83991">
        <w:rPr>
          <w:sz w:val="22"/>
          <w:szCs w:val="22"/>
          <w:lang w:val="sk-SK"/>
        </w:rPr>
        <w:t xml:space="preserve">lazmatická koncentrácia </w:t>
      </w:r>
    </w:p>
    <w:p w:rsidR="00FE66F4" w:rsidRPr="00A83991" w:rsidRDefault="00FE66F4" w:rsidP="000971FE">
      <w:pPr>
        <w:keepNext/>
        <w:rPr>
          <w:sz w:val="22"/>
          <w:szCs w:val="22"/>
          <w:lang w:val="sk-SK"/>
        </w:rPr>
      </w:pPr>
      <w:r w:rsidRPr="00A83991">
        <w:rPr>
          <w:sz w:val="22"/>
          <w:szCs w:val="22"/>
          <w:lang w:val="sk-SK"/>
        </w:rPr>
        <w:t>NS</w:t>
      </w:r>
      <w:r w:rsidRPr="00A83991">
        <w:rPr>
          <w:sz w:val="22"/>
          <w:szCs w:val="22"/>
          <w:lang w:val="sk-SK"/>
        </w:rPr>
        <w:tab/>
        <w:t xml:space="preserve">= </w:t>
      </w:r>
      <w:r w:rsidRPr="00A83991">
        <w:rPr>
          <w:sz w:val="22"/>
          <w:szCs w:val="22"/>
          <w:lang w:val="sk-SK"/>
        </w:rPr>
        <w:tab/>
      </w:r>
      <w:r w:rsidR="008E2689" w:rsidRPr="00A83991">
        <w:rPr>
          <w:sz w:val="22"/>
          <w:szCs w:val="22"/>
          <w:lang w:val="sk-SK"/>
        </w:rPr>
        <w:t>Š</w:t>
      </w:r>
      <w:r w:rsidRPr="00A83991">
        <w:rPr>
          <w:sz w:val="22"/>
          <w:szCs w:val="22"/>
          <w:lang w:val="sk-SK"/>
        </w:rPr>
        <w:t>túdi</w:t>
      </w:r>
      <w:r w:rsidR="008E2689" w:rsidRPr="00A83991">
        <w:rPr>
          <w:sz w:val="22"/>
          <w:szCs w:val="22"/>
          <w:lang w:val="sk-SK"/>
        </w:rPr>
        <w:t>e sa nevykonali</w:t>
      </w:r>
    </w:p>
    <w:p w:rsidR="00FE66F4" w:rsidRPr="00A83991" w:rsidRDefault="00FE66F4" w:rsidP="000971FE">
      <w:pPr>
        <w:keepNext/>
        <w:rPr>
          <w:sz w:val="22"/>
          <w:szCs w:val="22"/>
          <w:lang w:val="sk-SK"/>
        </w:rPr>
      </w:pPr>
      <w:r w:rsidRPr="00A83991">
        <w:rPr>
          <w:sz w:val="22"/>
          <w:szCs w:val="22"/>
          <w:lang w:val="sk-SK"/>
        </w:rPr>
        <w:t xml:space="preserve">AED </w:t>
      </w:r>
      <w:r w:rsidRPr="00A83991">
        <w:rPr>
          <w:sz w:val="22"/>
          <w:szCs w:val="22"/>
          <w:lang w:val="sk-SK"/>
        </w:rPr>
        <w:tab/>
        <w:t xml:space="preserve">= </w:t>
      </w:r>
      <w:r w:rsidRPr="00A83991">
        <w:rPr>
          <w:sz w:val="22"/>
          <w:szCs w:val="22"/>
          <w:lang w:val="sk-SK"/>
        </w:rPr>
        <w:tab/>
        <w:t>Antiepileptikum</w:t>
      </w:r>
    </w:p>
    <w:p w:rsidR="00FE66F4" w:rsidRPr="00A83991" w:rsidRDefault="00FE66F4" w:rsidP="00FE66F4">
      <w:pPr>
        <w:rPr>
          <w:sz w:val="22"/>
          <w:szCs w:val="22"/>
          <w:lang w:val="sk-SK"/>
        </w:rPr>
      </w:pPr>
    </w:p>
    <w:p w:rsidR="00FA696D" w:rsidRPr="00A83991" w:rsidRDefault="00FE66F4" w:rsidP="000971FE">
      <w:pPr>
        <w:keepNext/>
        <w:rPr>
          <w:rStyle w:val="UnderlineA"/>
          <w:bCs/>
          <w:sz w:val="22"/>
          <w:szCs w:val="22"/>
          <w:lang w:val="sk-SK"/>
        </w:rPr>
      </w:pPr>
      <w:r w:rsidRPr="00A83991">
        <w:rPr>
          <w:rStyle w:val="UnderlineA"/>
          <w:bCs/>
          <w:sz w:val="22"/>
          <w:szCs w:val="22"/>
          <w:lang w:val="sk-SK"/>
        </w:rPr>
        <w:t>Interakcie s inými liekmi</w:t>
      </w:r>
    </w:p>
    <w:p w:rsidR="008E2689" w:rsidRPr="00A83991" w:rsidRDefault="008E2689" w:rsidP="000971FE">
      <w:pPr>
        <w:keepNext/>
        <w:rPr>
          <w:bCs/>
          <w:i/>
          <w:sz w:val="22"/>
          <w:szCs w:val="22"/>
          <w:lang w:val="sk-SK"/>
        </w:rPr>
      </w:pPr>
    </w:p>
    <w:p w:rsidR="008E2689" w:rsidRPr="00A83991" w:rsidRDefault="00FA696D" w:rsidP="000971FE">
      <w:pPr>
        <w:keepNext/>
        <w:rPr>
          <w:bCs/>
          <w:i/>
          <w:sz w:val="22"/>
          <w:szCs w:val="22"/>
          <w:lang w:val="sk-SK"/>
        </w:rPr>
      </w:pPr>
      <w:r w:rsidRPr="00A83991">
        <w:rPr>
          <w:bCs/>
          <w:i/>
          <w:sz w:val="22"/>
          <w:szCs w:val="22"/>
          <w:lang w:val="sk-SK"/>
        </w:rPr>
        <w:t>Digoxín</w:t>
      </w:r>
    </w:p>
    <w:p w:rsidR="008E2689" w:rsidRPr="00A83991" w:rsidRDefault="008E2689" w:rsidP="000971FE">
      <w:pPr>
        <w:keepNext/>
        <w:rPr>
          <w:bCs/>
          <w:i/>
          <w:sz w:val="22"/>
          <w:szCs w:val="22"/>
          <w:lang w:val="sk-SK"/>
        </w:rPr>
      </w:pPr>
    </w:p>
    <w:p w:rsidR="000D616F" w:rsidRPr="00A83991" w:rsidRDefault="00FA696D" w:rsidP="000D616F">
      <w:pPr>
        <w:rPr>
          <w:bCs/>
          <w:i/>
          <w:sz w:val="22"/>
          <w:szCs w:val="22"/>
          <w:lang w:val="sk-SK"/>
        </w:rPr>
      </w:pPr>
      <w:r w:rsidRPr="00A83991">
        <w:rPr>
          <w:sz w:val="22"/>
          <w:szCs w:val="22"/>
          <w:lang w:val="sk-SK"/>
        </w:rPr>
        <w:t xml:space="preserve">V štúdii </w:t>
      </w:r>
      <w:r w:rsidR="009732AD" w:rsidRPr="00A83991">
        <w:rPr>
          <w:sz w:val="22"/>
          <w:szCs w:val="22"/>
          <w:lang w:val="sk-SK"/>
        </w:rPr>
        <w:t xml:space="preserve">s </w:t>
      </w:r>
      <w:r w:rsidR="0071724F" w:rsidRPr="00A83991">
        <w:rPr>
          <w:sz w:val="22"/>
          <w:szCs w:val="22"/>
          <w:lang w:val="sk-SK"/>
        </w:rPr>
        <w:t>jednorazovým</w:t>
      </w:r>
      <w:r w:rsidR="009732AD" w:rsidRPr="00A83991">
        <w:rPr>
          <w:sz w:val="22"/>
          <w:szCs w:val="22"/>
          <w:lang w:val="sk-SK"/>
        </w:rPr>
        <w:t xml:space="preserve"> </w:t>
      </w:r>
      <w:r w:rsidRPr="00A83991">
        <w:rPr>
          <w:sz w:val="22"/>
          <w:szCs w:val="22"/>
          <w:lang w:val="sk-SK"/>
        </w:rPr>
        <w:t>podaní</w:t>
      </w:r>
      <w:r w:rsidR="009732AD" w:rsidRPr="00A83991">
        <w:rPr>
          <w:sz w:val="22"/>
          <w:szCs w:val="22"/>
          <w:lang w:val="sk-SK"/>
        </w:rPr>
        <w:t>m</w:t>
      </w:r>
      <w:r w:rsidRPr="00A83991">
        <w:rPr>
          <w:sz w:val="22"/>
          <w:szCs w:val="22"/>
          <w:lang w:val="sk-SK"/>
        </w:rPr>
        <w:t xml:space="preserve"> dávky sa hodnota plochy pod krivkou (AUC) plazmatickej koncentrácie digoxínu v sére znížila o</w:t>
      </w:r>
      <w:r w:rsidR="0001448D">
        <w:rPr>
          <w:sz w:val="22"/>
          <w:szCs w:val="22"/>
          <w:lang w:val="sk-SK"/>
        </w:rPr>
        <w:t> </w:t>
      </w:r>
      <w:r w:rsidRPr="00A83991">
        <w:rPr>
          <w:sz w:val="22"/>
          <w:szCs w:val="22"/>
          <w:lang w:val="sk-SK"/>
        </w:rPr>
        <w:t>12</w:t>
      </w:r>
      <w:r w:rsidR="0001448D">
        <w:rPr>
          <w:sz w:val="22"/>
          <w:szCs w:val="22"/>
          <w:lang w:val="sk-SK"/>
        </w:rPr>
        <w:t> </w:t>
      </w:r>
      <w:r w:rsidRPr="00A83991">
        <w:rPr>
          <w:sz w:val="22"/>
          <w:szCs w:val="22"/>
          <w:lang w:val="sk-SK"/>
        </w:rPr>
        <w:t xml:space="preserve">% v dôsledku súbežného podávania </w:t>
      </w:r>
      <w:r w:rsidR="00FE66F4" w:rsidRPr="00A83991">
        <w:rPr>
          <w:sz w:val="22"/>
          <w:szCs w:val="22"/>
          <w:lang w:val="sk-SK"/>
        </w:rPr>
        <w:t>Talopamu</w:t>
      </w:r>
      <w:r w:rsidRPr="00A83991">
        <w:rPr>
          <w:sz w:val="22"/>
          <w:szCs w:val="22"/>
          <w:lang w:val="sk-SK"/>
        </w:rPr>
        <w:t xml:space="preserve">. </w:t>
      </w:r>
      <w:r w:rsidR="000D616F" w:rsidRPr="00A83991">
        <w:rPr>
          <w:sz w:val="22"/>
          <w:szCs w:val="22"/>
          <w:lang w:val="sk-SK"/>
        </w:rPr>
        <w:t xml:space="preserve">Klinická </w:t>
      </w:r>
      <w:r w:rsidR="0071724F" w:rsidRPr="00A83991">
        <w:rPr>
          <w:sz w:val="22"/>
          <w:szCs w:val="22"/>
          <w:lang w:val="sk-SK"/>
        </w:rPr>
        <w:t xml:space="preserve">relevantnosť </w:t>
      </w:r>
      <w:r w:rsidR="000D616F" w:rsidRPr="00A83991">
        <w:rPr>
          <w:sz w:val="22"/>
          <w:szCs w:val="22"/>
          <w:lang w:val="sk-SK"/>
        </w:rPr>
        <w:t xml:space="preserve">tohto pozorovania nebola stanovená. </w:t>
      </w:r>
      <w:r w:rsidR="0071724F" w:rsidRPr="00A83991">
        <w:rPr>
          <w:sz w:val="22"/>
          <w:szCs w:val="22"/>
          <w:lang w:val="sk-SK"/>
        </w:rPr>
        <w:t xml:space="preserve">Pri pridávaní alebo znižovaní dávky </w:t>
      </w:r>
      <w:r w:rsidR="000D616F" w:rsidRPr="00A83991">
        <w:rPr>
          <w:sz w:val="22"/>
          <w:szCs w:val="22"/>
          <w:lang w:val="sk-SK"/>
        </w:rPr>
        <w:t>Talopam</w:t>
      </w:r>
      <w:r w:rsidR="0071724F" w:rsidRPr="00A83991">
        <w:rPr>
          <w:sz w:val="22"/>
          <w:szCs w:val="22"/>
          <w:lang w:val="sk-SK"/>
        </w:rPr>
        <w:t xml:space="preserve">u </w:t>
      </w:r>
      <w:r w:rsidR="000D616F" w:rsidRPr="00A83991">
        <w:rPr>
          <w:sz w:val="22"/>
          <w:szCs w:val="22"/>
          <w:lang w:val="sk-SK"/>
        </w:rPr>
        <w:t>u</w:t>
      </w:r>
      <w:r w:rsidR="0071724F" w:rsidRPr="00A83991">
        <w:rPr>
          <w:sz w:val="22"/>
          <w:szCs w:val="22"/>
          <w:lang w:val="sk-SK"/>
        </w:rPr>
        <w:t> </w:t>
      </w:r>
      <w:r w:rsidR="000D616F" w:rsidRPr="00A83991">
        <w:rPr>
          <w:sz w:val="22"/>
          <w:szCs w:val="22"/>
          <w:lang w:val="sk-SK"/>
        </w:rPr>
        <w:t>pacientov užívajúcich digoxín, je potrebné venovať starostlivú pozornosť rutinnému monitorovaniu sérovej hladiny digoxínu.</w:t>
      </w:r>
    </w:p>
    <w:p w:rsidR="00FA696D" w:rsidRPr="00A83991" w:rsidRDefault="00FA696D">
      <w:pPr>
        <w:rPr>
          <w:b/>
          <w:sz w:val="22"/>
          <w:szCs w:val="22"/>
          <w:lang w:val="sk-SK"/>
        </w:rPr>
      </w:pPr>
    </w:p>
    <w:p w:rsidR="0071724F" w:rsidRPr="00A83991" w:rsidRDefault="0071724F" w:rsidP="000971FE">
      <w:pPr>
        <w:keepNext/>
        <w:rPr>
          <w:i/>
          <w:sz w:val="22"/>
          <w:szCs w:val="22"/>
          <w:lang w:val="sk-SK"/>
        </w:rPr>
      </w:pPr>
      <w:r w:rsidRPr="00A83991">
        <w:rPr>
          <w:i/>
          <w:sz w:val="22"/>
          <w:szCs w:val="22"/>
          <w:lang w:val="sk-SK"/>
        </w:rPr>
        <w:t xml:space="preserve">Lieky tlmiace </w:t>
      </w:r>
      <w:r w:rsidR="000D616F" w:rsidRPr="00A83991">
        <w:rPr>
          <w:i/>
          <w:sz w:val="22"/>
          <w:szCs w:val="22"/>
          <w:lang w:val="sk-SK"/>
        </w:rPr>
        <w:t>CNS</w:t>
      </w:r>
    </w:p>
    <w:p w:rsidR="0071724F" w:rsidRPr="00A83991" w:rsidRDefault="0071724F" w:rsidP="000971FE">
      <w:pPr>
        <w:keepNext/>
        <w:rPr>
          <w:sz w:val="22"/>
          <w:szCs w:val="22"/>
          <w:lang w:val="sk-SK"/>
        </w:rPr>
      </w:pPr>
    </w:p>
    <w:p w:rsidR="0071724F" w:rsidRPr="00A83991" w:rsidRDefault="005F0CB3" w:rsidP="00B22177">
      <w:pPr>
        <w:rPr>
          <w:rStyle w:val="Underline"/>
          <w:bCs/>
          <w:i/>
          <w:sz w:val="22"/>
          <w:szCs w:val="22"/>
          <w:u w:val="none"/>
          <w:lang w:val="sk-SK"/>
        </w:rPr>
      </w:pPr>
      <w:r w:rsidRPr="00A83991">
        <w:rPr>
          <w:sz w:val="22"/>
          <w:szCs w:val="22"/>
          <w:lang w:val="sk-SK"/>
        </w:rPr>
        <w:t>S</w:t>
      </w:r>
      <w:r w:rsidR="000D616F" w:rsidRPr="00A83991">
        <w:rPr>
          <w:sz w:val="22"/>
          <w:szCs w:val="22"/>
          <w:lang w:val="sk-SK"/>
        </w:rPr>
        <w:t xml:space="preserve">úbežné podávanie Talopamu a alkoholu alebo iných </w:t>
      </w:r>
      <w:r w:rsidR="0071724F" w:rsidRPr="00A83991">
        <w:rPr>
          <w:sz w:val="22"/>
          <w:szCs w:val="22"/>
          <w:lang w:val="sk-SK"/>
        </w:rPr>
        <w:t xml:space="preserve">liekov tlmiacich </w:t>
      </w:r>
      <w:r w:rsidR="000D616F" w:rsidRPr="00A83991">
        <w:rPr>
          <w:sz w:val="22"/>
          <w:szCs w:val="22"/>
          <w:lang w:val="sk-SK"/>
        </w:rPr>
        <w:t xml:space="preserve">CNS </w:t>
      </w:r>
      <w:r w:rsidR="0071724F" w:rsidRPr="00A83991">
        <w:rPr>
          <w:sz w:val="22"/>
          <w:szCs w:val="22"/>
          <w:lang w:val="sk-SK"/>
        </w:rPr>
        <w:t>sa v klinických štúdiách neho</w:t>
      </w:r>
      <w:r w:rsidR="000D616F" w:rsidRPr="00A83991">
        <w:rPr>
          <w:sz w:val="22"/>
          <w:szCs w:val="22"/>
          <w:lang w:val="sk-SK"/>
        </w:rPr>
        <w:t>dnot</w:t>
      </w:r>
      <w:r w:rsidR="0071724F" w:rsidRPr="00A83991">
        <w:rPr>
          <w:sz w:val="22"/>
          <w:szCs w:val="22"/>
          <w:lang w:val="sk-SK"/>
        </w:rPr>
        <w:t>ilo</w:t>
      </w:r>
      <w:r w:rsidR="000D616F" w:rsidRPr="00A83991">
        <w:rPr>
          <w:sz w:val="22"/>
          <w:szCs w:val="22"/>
          <w:lang w:val="sk-SK"/>
        </w:rPr>
        <w:t>.</w:t>
      </w:r>
      <w:r w:rsidR="0071724F" w:rsidRPr="00A83991">
        <w:rPr>
          <w:sz w:val="22"/>
          <w:szCs w:val="22"/>
          <w:lang w:val="sk-SK"/>
        </w:rPr>
        <w:t xml:space="preserve"> Odporúča sa, aby sa Talopam nepodával súčasne </w:t>
      </w:r>
      <w:r w:rsidR="000D616F" w:rsidRPr="00A83991">
        <w:rPr>
          <w:sz w:val="22"/>
          <w:szCs w:val="22"/>
          <w:lang w:val="sk-SK"/>
        </w:rPr>
        <w:t>s alkoholom a</w:t>
      </w:r>
      <w:r w:rsidR="0071724F" w:rsidRPr="00A83991">
        <w:rPr>
          <w:sz w:val="22"/>
          <w:szCs w:val="22"/>
          <w:lang w:val="sk-SK"/>
        </w:rPr>
        <w:t>lebo</w:t>
      </w:r>
      <w:r w:rsidR="000D616F" w:rsidRPr="00A83991">
        <w:rPr>
          <w:sz w:val="22"/>
          <w:szCs w:val="22"/>
          <w:lang w:val="sk-SK"/>
        </w:rPr>
        <w:t xml:space="preserve"> inými </w:t>
      </w:r>
      <w:r w:rsidR="0071724F" w:rsidRPr="00A83991">
        <w:rPr>
          <w:sz w:val="22"/>
          <w:szCs w:val="22"/>
          <w:lang w:val="sk-SK"/>
        </w:rPr>
        <w:t xml:space="preserve">liekmi tlmiacimi </w:t>
      </w:r>
      <w:r w:rsidR="000D616F" w:rsidRPr="00A83991">
        <w:rPr>
          <w:sz w:val="22"/>
          <w:szCs w:val="22"/>
          <w:lang w:val="sk-SK"/>
        </w:rPr>
        <w:t>CNS.</w:t>
      </w:r>
    </w:p>
    <w:p w:rsidR="0071724F" w:rsidRPr="00A83991" w:rsidRDefault="0071724F" w:rsidP="00B22177">
      <w:pPr>
        <w:rPr>
          <w:rStyle w:val="Underline"/>
          <w:bCs/>
          <w:i/>
          <w:sz w:val="22"/>
          <w:szCs w:val="22"/>
          <w:u w:val="none"/>
          <w:lang w:val="sk-SK"/>
        </w:rPr>
      </w:pPr>
    </w:p>
    <w:p w:rsidR="0071724F" w:rsidRPr="00A83991" w:rsidRDefault="0071724F" w:rsidP="000971FE">
      <w:pPr>
        <w:keepNext/>
        <w:rPr>
          <w:rStyle w:val="Underline"/>
          <w:bCs/>
          <w:i/>
          <w:sz w:val="22"/>
          <w:szCs w:val="22"/>
          <w:u w:val="none"/>
          <w:lang w:val="sk-SK"/>
        </w:rPr>
      </w:pPr>
      <w:r w:rsidRPr="00A83991">
        <w:rPr>
          <w:rStyle w:val="Underline"/>
          <w:bCs/>
          <w:i/>
          <w:sz w:val="22"/>
          <w:szCs w:val="22"/>
          <w:u w:val="none"/>
          <w:lang w:val="sk-SK"/>
        </w:rPr>
        <w:t>Ľubovník bodkovaný (Hypericum perforatum)</w:t>
      </w:r>
    </w:p>
    <w:p w:rsidR="0071724F" w:rsidRPr="00A83991" w:rsidRDefault="0071724F" w:rsidP="000971FE">
      <w:pPr>
        <w:keepNext/>
        <w:rPr>
          <w:rStyle w:val="Underline"/>
          <w:bCs/>
          <w:sz w:val="22"/>
          <w:szCs w:val="22"/>
          <w:u w:val="none"/>
          <w:lang w:val="sk-SK"/>
        </w:rPr>
      </w:pPr>
    </w:p>
    <w:p w:rsidR="0071724F" w:rsidRPr="00A83991" w:rsidRDefault="0071724F" w:rsidP="00B22177">
      <w:pPr>
        <w:rPr>
          <w:rStyle w:val="Underline"/>
          <w:bCs/>
          <w:sz w:val="22"/>
          <w:szCs w:val="22"/>
          <w:u w:val="none"/>
          <w:lang w:val="sk-SK"/>
        </w:rPr>
      </w:pPr>
      <w:r w:rsidRPr="00A83991">
        <w:rPr>
          <w:rStyle w:val="Underline"/>
          <w:bCs/>
          <w:sz w:val="22"/>
          <w:szCs w:val="22"/>
          <w:u w:val="none"/>
          <w:lang w:val="sk-SK"/>
        </w:rPr>
        <w:t>Pri súbežnom užívaní topiramátu a ľubovníka bodkovaného sa môže pozorovať riziko zníženia plazmatických koncentrácií</w:t>
      </w:r>
      <w:r w:rsidR="009360A1" w:rsidRPr="00A83991">
        <w:rPr>
          <w:rStyle w:val="Underline"/>
          <w:bCs/>
          <w:sz w:val="22"/>
          <w:szCs w:val="22"/>
          <w:u w:val="none"/>
          <w:lang w:val="sk-SK"/>
        </w:rPr>
        <w:t>, čo môže viesť k strate účinnosti. Nevykonali sa žiadne klinické štúdie, ktoré by hodnotili túto možnú interakciu.</w:t>
      </w:r>
    </w:p>
    <w:p w:rsidR="0071724F" w:rsidRPr="00A83991" w:rsidRDefault="0071724F" w:rsidP="00B22177">
      <w:pPr>
        <w:rPr>
          <w:rStyle w:val="Underline"/>
          <w:bCs/>
          <w:sz w:val="22"/>
          <w:szCs w:val="22"/>
          <w:u w:val="none"/>
          <w:lang w:val="sk-SK"/>
        </w:rPr>
      </w:pPr>
    </w:p>
    <w:p w:rsidR="009360A1" w:rsidRPr="00A83991" w:rsidRDefault="00B22177" w:rsidP="000971FE">
      <w:pPr>
        <w:keepNext/>
        <w:rPr>
          <w:rStyle w:val="Underline"/>
          <w:bCs/>
          <w:i/>
          <w:sz w:val="22"/>
          <w:szCs w:val="22"/>
          <w:u w:val="none"/>
          <w:lang w:val="sk-SK"/>
        </w:rPr>
      </w:pPr>
      <w:r w:rsidRPr="00A83991">
        <w:rPr>
          <w:rStyle w:val="Underline"/>
          <w:bCs/>
          <w:i/>
          <w:sz w:val="22"/>
          <w:szCs w:val="22"/>
          <w:u w:val="none"/>
          <w:lang w:val="sk-SK"/>
        </w:rPr>
        <w:t>Perorálne kontraceptíva</w:t>
      </w:r>
    </w:p>
    <w:p w:rsidR="009360A1" w:rsidRPr="00A83991" w:rsidRDefault="009360A1" w:rsidP="000971FE">
      <w:pPr>
        <w:keepNext/>
        <w:rPr>
          <w:rStyle w:val="Underline"/>
          <w:bCs/>
          <w:i/>
          <w:sz w:val="22"/>
          <w:szCs w:val="22"/>
          <w:u w:val="none"/>
          <w:lang w:val="sk-SK"/>
        </w:rPr>
      </w:pPr>
    </w:p>
    <w:p w:rsidR="009360A1" w:rsidRPr="00A83991" w:rsidRDefault="009360A1" w:rsidP="009360A1">
      <w:pPr>
        <w:suppressAutoHyphens/>
        <w:ind w:right="-369"/>
        <w:rPr>
          <w:sz w:val="22"/>
          <w:szCs w:val="22"/>
          <w:lang w:val="sk-SK"/>
        </w:rPr>
      </w:pPr>
      <w:r w:rsidRPr="00A83991">
        <w:rPr>
          <w:sz w:val="22"/>
          <w:szCs w:val="22"/>
          <w:lang w:val="sk-SK"/>
        </w:rPr>
        <w:t xml:space="preserve">Vo farmakokinetickej štúdii zameranej na sledovanie interakcií na zdravých dobrovoľníčkach, ktoré užívali perorálne kontraceptívum obsahujúce 1 mg noretisterónu (NET) a 35 µg etinylestradiolu (EE), podávanie Talopamu v dávkach od 50 do 200 mg/deň pri absencii ďalšej medikácie, nebolo spojené so štatisticky významnými zmenami plochy pod krivkou (AUC) žiadnej zložky perorálneho kontraceptíva. V inej štúdii bolo zaznamenané štatisticky signifikantné zníženie expozície EE pri dávkach topiramátu 200, 400 a 800 mg/deň (o 18 %, 21 % a 30 %) pri doplnkovej liečbe u pacientok s epilepsiou užívajúcich kyselinu valproovú. V obidvoch štúdiách Talopam (50 až 200 mg/deň u zdravých dobrovoľníčok a 200 až 800 mg/deň u pacientok s epilepsiou) signifikantne neovplyvnil expozíciu NET. Hoci pri dávkach 200 až 800 mg/deň sa pozorovalo na dávke závislé zníženie expozície EE (u pacientok s epilepsiou), pri dávkach 50 až 200 mg/deň sa nepozorovali signifikantné zmeny expozície EE (u zdravých dobrovoľníčok). Klinický význam pozorovaných zmien nie je známy. Je potrebné brať do úvahy možnosť zníženia antikoncepčnej účinnosti a zvýšenie možnosti </w:t>
      </w:r>
      <w:r w:rsidR="002C3E9A" w:rsidRPr="00A83991">
        <w:rPr>
          <w:sz w:val="22"/>
          <w:szCs w:val="22"/>
          <w:lang w:val="sk-SK"/>
        </w:rPr>
        <w:t>medzi</w:t>
      </w:r>
      <w:r w:rsidRPr="00A83991">
        <w:rPr>
          <w:sz w:val="22"/>
          <w:szCs w:val="22"/>
          <w:lang w:val="sk-SK"/>
        </w:rPr>
        <w:t>menštruačného krvácania u pacientok užívajúcich kombinované perorálne kontraceptíva spolu s T</w:t>
      </w:r>
      <w:r w:rsidR="002C3E9A" w:rsidRPr="00A83991">
        <w:rPr>
          <w:sz w:val="22"/>
          <w:szCs w:val="22"/>
          <w:lang w:val="sk-SK"/>
        </w:rPr>
        <w:t>alopamom</w:t>
      </w:r>
      <w:r w:rsidRPr="00A83991">
        <w:rPr>
          <w:sz w:val="22"/>
          <w:szCs w:val="22"/>
          <w:lang w:val="sk-SK"/>
        </w:rPr>
        <w:t>. Pacientky užívajúce perorálne kontraceptíva s obsahom estrogénu</w:t>
      </w:r>
      <w:r w:rsidR="002C3E9A" w:rsidRPr="00A83991">
        <w:rPr>
          <w:sz w:val="22"/>
          <w:szCs w:val="22"/>
          <w:lang w:val="sk-SK"/>
        </w:rPr>
        <w:t xml:space="preserve"> sa </w:t>
      </w:r>
      <w:r w:rsidRPr="00A83991">
        <w:rPr>
          <w:sz w:val="22"/>
          <w:szCs w:val="22"/>
          <w:lang w:val="sk-SK"/>
        </w:rPr>
        <w:t>majú oboznám</w:t>
      </w:r>
      <w:r w:rsidR="002C3E9A" w:rsidRPr="00A83991">
        <w:rPr>
          <w:sz w:val="22"/>
          <w:szCs w:val="22"/>
          <w:lang w:val="sk-SK"/>
        </w:rPr>
        <w:t xml:space="preserve">iť, aby </w:t>
      </w:r>
      <w:r w:rsidRPr="00A83991">
        <w:rPr>
          <w:sz w:val="22"/>
          <w:szCs w:val="22"/>
          <w:lang w:val="sk-SK"/>
        </w:rPr>
        <w:t>akékoľvek zmeny menštruačného cyklu okamžite oznámi</w:t>
      </w:r>
      <w:r w:rsidR="002C3E9A" w:rsidRPr="00A83991">
        <w:rPr>
          <w:sz w:val="22"/>
          <w:szCs w:val="22"/>
          <w:lang w:val="sk-SK"/>
        </w:rPr>
        <w:t>li</w:t>
      </w:r>
      <w:r w:rsidRPr="00A83991">
        <w:rPr>
          <w:sz w:val="22"/>
          <w:szCs w:val="22"/>
          <w:lang w:val="sk-SK"/>
        </w:rPr>
        <w:t xml:space="preserve"> svojmu lekárovi. Antikoncepčná účinnosť môže byť znížená aj pri absencii </w:t>
      </w:r>
      <w:r w:rsidR="002C3E9A" w:rsidRPr="00A83991">
        <w:rPr>
          <w:sz w:val="22"/>
          <w:szCs w:val="22"/>
          <w:lang w:val="sk-SK"/>
        </w:rPr>
        <w:t>medzi</w:t>
      </w:r>
      <w:r w:rsidRPr="00A83991">
        <w:rPr>
          <w:sz w:val="22"/>
          <w:szCs w:val="22"/>
          <w:lang w:val="sk-SK"/>
        </w:rPr>
        <w:t>menštruačného krvácania.</w:t>
      </w:r>
    </w:p>
    <w:p w:rsidR="00957569" w:rsidRPr="00A83991" w:rsidRDefault="00957569" w:rsidP="00957569">
      <w:pPr>
        <w:rPr>
          <w:b/>
          <w:bCs/>
          <w:i/>
          <w:sz w:val="22"/>
          <w:szCs w:val="22"/>
          <w:lang w:val="sk-SK"/>
        </w:rPr>
      </w:pPr>
    </w:p>
    <w:p w:rsidR="002C3E9A" w:rsidRPr="00A83991" w:rsidRDefault="00957569" w:rsidP="000971FE">
      <w:pPr>
        <w:keepNext/>
        <w:rPr>
          <w:bCs/>
          <w:i/>
          <w:sz w:val="22"/>
          <w:szCs w:val="22"/>
          <w:lang w:val="sk-SK"/>
        </w:rPr>
      </w:pPr>
      <w:r w:rsidRPr="00A83991">
        <w:rPr>
          <w:bCs/>
          <w:i/>
          <w:sz w:val="22"/>
          <w:szCs w:val="22"/>
          <w:lang w:val="sk-SK"/>
        </w:rPr>
        <w:t>Lítium</w:t>
      </w:r>
    </w:p>
    <w:p w:rsidR="002C3E9A" w:rsidRPr="00A83991" w:rsidRDefault="002C3E9A" w:rsidP="000971FE">
      <w:pPr>
        <w:keepNext/>
        <w:rPr>
          <w:bCs/>
          <w:i/>
          <w:sz w:val="22"/>
          <w:szCs w:val="22"/>
          <w:lang w:val="sk-SK"/>
        </w:rPr>
      </w:pPr>
    </w:p>
    <w:p w:rsidR="00957569" w:rsidRPr="00A83991" w:rsidRDefault="00957569" w:rsidP="00957569">
      <w:pPr>
        <w:rPr>
          <w:sz w:val="22"/>
          <w:szCs w:val="22"/>
          <w:lang w:val="sk-SK"/>
        </w:rPr>
      </w:pPr>
      <w:r w:rsidRPr="00A83991">
        <w:rPr>
          <w:sz w:val="22"/>
          <w:szCs w:val="22"/>
          <w:lang w:val="sk-SK"/>
        </w:rPr>
        <w:t>P</w:t>
      </w:r>
      <w:r w:rsidR="002C3E9A" w:rsidRPr="00A83991">
        <w:rPr>
          <w:sz w:val="22"/>
          <w:szCs w:val="22"/>
          <w:lang w:val="sk-SK"/>
        </w:rPr>
        <w:t xml:space="preserve">ri </w:t>
      </w:r>
      <w:r w:rsidRPr="00A83991">
        <w:rPr>
          <w:sz w:val="22"/>
          <w:szCs w:val="22"/>
          <w:lang w:val="sk-SK"/>
        </w:rPr>
        <w:t>súbežn</w:t>
      </w:r>
      <w:r w:rsidR="002C3E9A" w:rsidRPr="00A83991">
        <w:rPr>
          <w:sz w:val="22"/>
          <w:szCs w:val="22"/>
          <w:lang w:val="sk-SK"/>
        </w:rPr>
        <w:t>om</w:t>
      </w:r>
      <w:r w:rsidRPr="00A83991">
        <w:rPr>
          <w:sz w:val="22"/>
          <w:szCs w:val="22"/>
          <w:lang w:val="sk-SK"/>
        </w:rPr>
        <w:t xml:space="preserve"> podávan</w:t>
      </w:r>
      <w:r w:rsidR="002C3E9A" w:rsidRPr="00A83991">
        <w:rPr>
          <w:sz w:val="22"/>
          <w:szCs w:val="22"/>
          <w:lang w:val="sk-SK"/>
        </w:rPr>
        <w:t xml:space="preserve">í </w:t>
      </w:r>
      <w:r w:rsidRPr="00A83991">
        <w:rPr>
          <w:sz w:val="22"/>
          <w:szCs w:val="22"/>
          <w:lang w:val="sk-SK"/>
        </w:rPr>
        <w:t>topiramát</w:t>
      </w:r>
      <w:r w:rsidR="002C3E9A" w:rsidRPr="00A83991">
        <w:rPr>
          <w:sz w:val="22"/>
          <w:szCs w:val="22"/>
          <w:lang w:val="sk-SK"/>
        </w:rPr>
        <w:t>u</w:t>
      </w:r>
      <w:r w:rsidRPr="00A83991">
        <w:rPr>
          <w:sz w:val="22"/>
          <w:szCs w:val="22"/>
          <w:lang w:val="sk-SK"/>
        </w:rPr>
        <w:t xml:space="preserve"> v dávke 200 mg/deň zdravý</w:t>
      </w:r>
      <w:r w:rsidR="002C3E9A" w:rsidRPr="00A83991">
        <w:rPr>
          <w:sz w:val="22"/>
          <w:szCs w:val="22"/>
          <w:lang w:val="sk-SK"/>
        </w:rPr>
        <w:t>m</w:t>
      </w:r>
      <w:r w:rsidRPr="00A83991">
        <w:rPr>
          <w:sz w:val="22"/>
          <w:szCs w:val="22"/>
          <w:lang w:val="sk-SK"/>
        </w:rPr>
        <w:t xml:space="preserve"> dobrovoľníko</w:t>
      </w:r>
      <w:r w:rsidR="002C3E9A" w:rsidRPr="00A83991">
        <w:rPr>
          <w:sz w:val="22"/>
          <w:szCs w:val="22"/>
          <w:lang w:val="sk-SK"/>
        </w:rPr>
        <w:t xml:space="preserve">m </w:t>
      </w:r>
      <w:r w:rsidRPr="00A83991">
        <w:rPr>
          <w:sz w:val="22"/>
          <w:szCs w:val="22"/>
          <w:lang w:val="sk-SK"/>
        </w:rPr>
        <w:t>sa pozorovalo zníženie systémovej expozície líti</w:t>
      </w:r>
      <w:r w:rsidR="00040ADE" w:rsidRPr="00A83991">
        <w:rPr>
          <w:sz w:val="22"/>
          <w:szCs w:val="22"/>
          <w:lang w:val="sk-SK"/>
        </w:rPr>
        <w:t>a</w:t>
      </w:r>
      <w:r w:rsidRPr="00A83991">
        <w:rPr>
          <w:sz w:val="22"/>
          <w:szCs w:val="22"/>
          <w:lang w:val="sk-SK"/>
        </w:rPr>
        <w:t xml:space="preserve"> (18 %</w:t>
      </w:r>
      <w:r w:rsidR="002C3E9A" w:rsidRPr="00A83991">
        <w:rPr>
          <w:sz w:val="22"/>
          <w:szCs w:val="22"/>
          <w:lang w:val="sk-SK"/>
        </w:rPr>
        <w:t xml:space="preserve"> AUC</w:t>
      </w:r>
      <w:r w:rsidRPr="00A83991">
        <w:rPr>
          <w:sz w:val="22"/>
          <w:szCs w:val="22"/>
          <w:lang w:val="sk-SK"/>
        </w:rPr>
        <w:t>). U pacientov s bipolárnou poruchou nebola farmakokinetika lítia ovplyvnená počas liečby topiramátom v dávke 200 mg/deň, avšak po podaní topiramátu v dávkach až do 600 mg/deň sa pozorovalo zvýšenie systémovej expozície (</w:t>
      </w:r>
      <w:r w:rsidR="002C3E9A" w:rsidRPr="00A83991">
        <w:rPr>
          <w:sz w:val="22"/>
          <w:szCs w:val="22"/>
          <w:lang w:val="sk-SK"/>
        </w:rPr>
        <w:t> </w:t>
      </w:r>
      <w:r w:rsidRPr="00A83991">
        <w:rPr>
          <w:sz w:val="22"/>
          <w:szCs w:val="22"/>
          <w:lang w:val="sk-SK"/>
        </w:rPr>
        <w:t>26</w:t>
      </w:r>
      <w:r w:rsidR="002C3E9A" w:rsidRPr="00A83991">
        <w:rPr>
          <w:sz w:val="22"/>
          <w:szCs w:val="22"/>
          <w:lang w:val="sk-SK"/>
        </w:rPr>
        <w:t> </w:t>
      </w:r>
      <w:r w:rsidRPr="00A83991">
        <w:rPr>
          <w:sz w:val="22"/>
          <w:szCs w:val="22"/>
          <w:lang w:val="sk-SK"/>
        </w:rPr>
        <w:t>%</w:t>
      </w:r>
      <w:r w:rsidR="002C3E9A" w:rsidRPr="00A83991">
        <w:rPr>
          <w:sz w:val="22"/>
          <w:szCs w:val="22"/>
          <w:lang w:val="sk-SK"/>
        </w:rPr>
        <w:t xml:space="preserve"> AUC</w:t>
      </w:r>
      <w:r w:rsidRPr="00A83991">
        <w:rPr>
          <w:sz w:val="22"/>
          <w:szCs w:val="22"/>
          <w:lang w:val="sk-SK"/>
        </w:rPr>
        <w:t xml:space="preserve">). Ak sa lítium podáva súbežne s topiramátom, je potrebné monitorovať hladiny lítia. </w:t>
      </w:r>
    </w:p>
    <w:p w:rsidR="00B22177" w:rsidRPr="00A83991" w:rsidRDefault="00B22177" w:rsidP="00B22177">
      <w:pPr>
        <w:rPr>
          <w:sz w:val="22"/>
          <w:szCs w:val="22"/>
          <w:lang w:val="sk-SK"/>
        </w:rPr>
      </w:pPr>
    </w:p>
    <w:p w:rsidR="002C3E9A" w:rsidRPr="00A83991" w:rsidRDefault="00584142" w:rsidP="000971FE">
      <w:pPr>
        <w:keepNext/>
        <w:rPr>
          <w:bCs/>
          <w:i/>
          <w:sz w:val="22"/>
          <w:szCs w:val="22"/>
          <w:lang w:val="sk-SK"/>
        </w:rPr>
      </w:pPr>
      <w:r w:rsidRPr="00A83991">
        <w:rPr>
          <w:bCs/>
          <w:i/>
          <w:sz w:val="22"/>
          <w:szCs w:val="22"/>
          <w:lang w:val="sk-SK"/>
        </w:rPr>
        <w:t>Risperidón</w:t>
      </w:r>
    </w:p>
    <w:p w:rsidR="002C3E9A" w:rsidRPr="00A83991" w:rsidRDefault="002C3E9A" w:rsidP="000971FE">
      <w:pPr>
        <w:keepNext/>
        <w:rPr>
          <w:bCs/>
          <w:i/>
          <w:sz w:val="22"/>
          <w:szCs w:val="22"/>
          <w:lang w:val="sk-SK"/>
        </w:rPr>
      </w:pPr>
    </w:p>
    <w:p w:rsidR="00561DEC" w:rsidRPr="00A83991" w:rsidRDefault="00137CBA" w:rsidP="00561DEC">
      <w:pPr>
        <w:pStyle w:val="Default"/>
        <w:keepNext/>
        <w:rPr>
          <w:spacing w:val="-3"/>
          <w:sz w:val="22"/>
          <w:szCs w:val="22"/>
          <w:lang w:val="sk-SK"/>
        </w:rPr>
      </w:pPr>
      <w:r w:rsidRPr="00A83991">
        <w:rPr>
          <w:sz w:val="22"/>
          <w:szCs w:val="22"/>
          <w:lang w:val="sk-SK"/>
        </w:rPr>
        <w:t>Štúdi</w:t>
      </w:r>
      <w:r w:rsidR="00C771E5" w:rsidRPr="00A83991">
        <w:rPr>
          <w:sz w:val="22"/>
          <w:szCs w:val="22"/>
          <w:lang w:val="sk-SK"/>
        </w:rPr>
        <w:t>e</w:t>
      </w:r>
      <w:r w:rsidRPr="00A83991">
        <w:rPr>
          <w:sz w:val="22"/>
          <w:szCs w:val="22"/>
          <w:lang w:val="sk-SK"/>
        </w:rPr>
        <w:t xml:space="preserve"> liekových interakcií </w:t>
      </w:r>
      <w:r w:rsidR="00584142" w:rsidRPr="00A83991">
        <w:rPr>
          <w:bCs/>
          <w:sz w:val="22"/>
          <w:szCs w:val="22"/>
          <w:lang w:val="sk-SK"/>
        </w:rPr>
        <w:t>p</w:t>
      </w:r>
      <w:r w:rsidR="00C771E5" w:rsidRPr="00A83991">
        <w:rPr>
          <w:bCs/>
          <w:sz w:val="22"/>
          <w:szCs w:val="22"/>
          <w:lang w:val="sk-SK"/>
        </w:rPr>
        <w:t>o</w:t>
      </w:r>
      <w:r w:rsidR="00584142" w:rsidRPr="00A83991">
        <w:rPr>
          <w:bCs/>
          <w:sz w:val="22"/>
          <w:szCs w:val="22"/>
          <w:lang w:val="sk-SK"/>
        </w:rPr>
        <w:t xml:space="preserve"> jednorazov</w:t>
      </w:r>
      <w:r w:rsidR="00C771E5" w:rsidRPr="00A83991">
        <w:rPr>
          <w:bCs/>
          <w:sz w:val="22"/>
          <w:szCs w:val="22"/>
          <w:lang w:val="sk-SK"/>
        </w:rPr>
        <w:t xml:space="preserve">om podaní </w:t>
      </w:r>
      <w:r w:rsidR="00584142" w:rsidRPr="00A83991">
        <w:rPr>
          <w:bCs/>
          <w:sz w:val="22"/>
          <w:szCs w:val="22"/>
          <w:lang w:val="sk-SK"/>
        </w:rPr>
        <w:t>zdravý</w:t>
      </w:r>
      <w:r w:rsidR="00C771E5" w:rsidRPr="00A83991">
        <w:rPr>
          <w:bCs/>
          <w:sz w:val="22"/>
          <w:szCs w:val="22"/>
          <w:lang w:val="sk-SK"/>
        </w:rPr>
        <w:t>m</w:t>
      </w:r>
      <w:r w:rsidR="00584142" w:rsidRPr="00A83991">
        <w:rPr>
          <w:bCs/>
          <w:sz w:val="22"/>
          <w:szCs w:val="22"/>
          <w:lang w:val="sk-SK"/>
        </w:rPr>
        <w:t xml:space="preserve"> dobrovoľníko</w:t>
      </w:r>
      <w:r w:rsidR="00C771E5" w:rsidRPr="00A83991">
        <w:rPr>
          <w:bCs/>
          <w:sz w:val="22"/>
          <w:szCs w:val="22"/>
          <w:lang w:val="sk-SK"/>
        </w:rPr>
        <w:t>m</w:t>
      </w:r>
      <w:r w:rsidR="00584142" w:rsidRPr="00A83991">
        <w:rPr>
          <w:bCs/>
          <w:sz w:val="22"/>
          <w:szCs w:val="22"/>
          <w:lang w:val="sk-SK"/>
        </w:rPr>
        <w:t xml:space="preserve"> a</w:t>
      </w:r>
      <w:r w:rsidR="00C771E5" w:rsidRPr="00A83991">
        <w:rPr>
          <w:bCs/>
          <w:sz w:val="22"/>
          <w:szCs w:val="22"/>
          <w:lang w:val="sk-SK"/>
        </w:rPr>
        <w:t xml:space="preserve"> opakovanom podaní </w:t>
      </w:r>
      <w:r w:rsidR="00584142" w:rsidRPr="00A83991">
        <w:rPr>
          <w:bCs/>
          <w:sz w:val="22"/>
          <w:szCs w:val="22"/>
          <w:lang w:val="sk-SK"/>
        </w:rPr>
        <w:t>paciento</w:t>
      </w:r>
      <w:r w:rsidR="00C771E5" w:rsidRPr="00A83991">
        <w:rPr>
          <w:bCs/>
          <w:sz w:val="22"/>
          <w:szCs w:val="22"/>
          <w:lang w:val="sk-SK"/>
        </w:rPr>
        <w:t>m</w:t>
      </w:r>
      <w:r w:rsidR="00584142" w:rsidRPr="00A83991">
        <w:rPr>
          <w:bCs/>
          <w:sz w:val="22"/>
          <w:szCs w:val="22"/>
          <w:lang w:val="sk-SK"/>
        </w:rPr>
        <w:t xml:space="preserve"> s bipolárnou poruchou </w:t>
      </w:r>
      <w:r w:rsidR="00C771E5" w:rsidRPr="00A83991">
        <w:rPr>
          <w:bCs/>
          <w:sz w:val="22"/>
          <w:szCs w:val="22"/>
          <w:lang w:val="sk-SK"/>
        </w:rPr>
        <w:t xml:space="preserve">viedli k </w:t>
      </w:r>
      <w:r w:rsidR="00584142" w:rsidRPr="00A83991">
        <w:rPr>
          <w:bCs/>
          <w:sz w:val="22"/>
          <w:szCs w:val="22"/>
          <w:lang w:val="sk-SK"/>
        </w:rPr>
        <w:t>podobn</w:t>
      </w:r>
      <w:r w:rsidR="00C771E5" w:rsidRPr="00A83991">
        <w:rPr>
          <w:bCs/>
          <w:sz w:val="22"/>
          <w:szCs w:val="22"/>
          <w:lang w:val="sk-SK"/>
        </w:rPr>
        <w:t>ým</w:t>
      </w:r>
      <w:r w:rsidR="00584142" w:rsidRPr="00A83991">
        <w:rPr>
          <w:bCs/>
          <w:sz w:val="22"/>
          <w:szCs w:val="22"/>
          <w:lang w:val="sk-SK"/>
        </w:rPr>
        <w:t xml:space="preserve"> výsledk</w:t>
      </w:r>
      <w:r w:rsidR="00C771E5" w:rsidRPr="00A83991">
        <w:rPr>
          <w:bCs/>
          <w:sz w:val="22"/>
          <w:szCs w:val="22"/>
          <w:lang w:val="sk-SK"/>
        </w:rPr>
        <w:t>om</w:t>
      </w:r>
      <w:r w:rsidR="00584142" w:rsidRPr="00A83991">
        <w:rPr>
          <w:bCs/>
          <w:sz w:val="22"/>
          <w:szCs w:val="22"/>
          <w:lang w:val="sk-SK"/>
        </w:rPr>
        <w:t xml:space="preserve">. </w:t>
      </w:r>
      <w:r w:rsidR="00584142" w:rsidRPr="00A83991">
        <w:rPr>
          <w:sz w:val="22"/>
          <w:szCs w:val="22"/>
          <w:lang w:val="sk-SK"/>
        </w:rPr>
        <w:t xml:space="preserve">Pri súbežnom podávaní </w:t>
      </w:r>
      <w:r w:rsidR="00C771E5" w:rsidRPr="00A83991">
        <w:rPr>
          <w:sz w:val="22"/>
          <w:szCs w:val="22"/>
          <w:lang w:val="sk-SK"/>
        </w:rPr>
        <w:t xml:space="preserve">s topiramátom vo zvyšujúcich sa dávkach </w:t>
      </w:r>
      <w:r w:rsidR="00D3218A" w:rsidRPr="00A83991">
        <w:rPr>
          <w:sz w:val="22"/>
          <w:szCs w:val="22"/>
          <w:lang w:val="sk-SK"/>
        </w:rPr>
        <w:t>1</w:t>
      </w:r>
      <w:r w:rsidR="00584142" w:rsidRPr="00A83991">
        <w:rPr>
          <w:sz w:val="22"/>
          <w:szCs w:val="22"/>
          <w:lang w:val="sk-SK"/>
        </w:rPr>
        <w:t>00</w:t>
      </w:r>
      <w:r w:rsidR="00CF11D5" w:rsidRPr="00A83991">
        <w:rPr>
          <w:sz w:val="22"/>
          <w:szCs w:val="22"/>
          <w:lang w:val="sk-SK"/>
        </w:rPr>
        <w:t xml:space="preserve">, </w:t>
      </w:r>
      <w:smartTag w:uri="urn:schemas-microsoft-com:office:smarttags" w:element="metricconverter">
        <w:smartTagPr>
          <w:attr w:name="ProductID" w:val="250 a"/>
        </w:smartTagPr>
        <w:r w:rsidR="00CF11D5" w:rsidRPr="00A83991">
          <w:rPr>
            <w:sz w:val="22"/>
            <w:szCs w:val="22"/>
            <w:lang w:val="sk-SK"/>
          </w:rPr>
          <w:t>250 a</w:t>
        </w:r>
      </w:smartTag>
      <w:r w:rsidR="00C771E5" w:rsidRPr="00A83991">
        <w:rPr>
          <w:sz w:val="22"/>
          <w:szCs w:val="22"/>
          <w:lang w:val="sk-SK"/>
        </w:rPr>
        <w:t xml:space="preserve"> </w:t>
      </w:r>
      <w:r w:rsidR="00584142" w:rsidRPr="00A83991">
        <w:rPr>
          <w:sz w:val="22"/>
          <w:szCs w:val="22"/>
          <w:lang w:val="sk-SK"/>
        </w:rPr>
        <w:t>400 mg/deň sa pozorovalo zníženie systémovej expozície</w:t>
      </w:r>
      <w:r w:rsidR="00C771E5" w:rsidRPr="00A83991">
        <w:rPr>
          <w:sz w:val="22"/>
          <w:szCs w:val="22"/>
          <w:lang w:val="sk-SK"/>
        </w:rPr>
        <w:t xml:space="preserve"> </w:t>
      </w:r>
      <w:r w:rsidR="00584142" w:rsidRPr="00A83991">
        <w:rPr>
          <w:sz w:val="22"/>
          <w:szCs w:val="22"/>
          <w:lang w:val="sk-SK"/>
        </w:rPr>
        <w:t>(</w:t>
      </w:r>
      <w:r w:rsidR="00C771E5" w:rsidRPr="00A83991">
        <w:rPr>
          <w:sz w:val="22"/>
          <w:szCs w:val="22"/>
          <w:lang w:val="sk-SK"/>
        </w:rPr>
        <w:t> </w:t>
      </w:r>
      <w:r w:rsidR="00584142" w:rsidRPr="00A83991">
        <w:rPr>
          <w:sz w:val="22"/>
          <w:szCs w:val="22"/>
          <w:lang w:val="sk-SK"/>
        </w:rPr>
        <w:t>16</w:t>
      </w:r>
      <w:r w:rsidR="00C771E5" w:rsidRPr="00A83991">
        <w:rPr>
          <w:sz w:val="22"/>
          <w:szCs w:val="22"/>
          <w:lang w:val="sk-SK"/>
        </w:rPr>
        <w:t> </w:t>
      </w:r>
      <w:r w:rsidR="00584142" w:rsidRPr="00A83991">
        <w:rPr>
          <w:sz w:val="22"/>
          <w:szCs w:val="22"/>
          <w:lang w:val="sk-SK"/>
        </w:rPr>
        <w:t xml:space="preserve">% </w:t>
      </w:r>
      <w:r w:rsidR="00C771E5" w:rsidRPr="00A83991">
        <w:rPr>
          <w:sz w:val="22"/>
          <w:szCs w:val="22"/>
          <w:lang w:val="sk-SK"/>
        </w:rPr>
        <w:t xml:space="preserve">a 33 % pre rovnovážny stav AUC </w:t>
      </w:r>
      <w:r w:rsidR="00584142" w:rsidRPr="00A83991">
        <w:rPr>
          <w:sz w:val="22"/>
          <w:szCs w:val="22"/>
          <w:lang w:val="sk-SK"/>
        </w:rPr>
        <w:t>pri dávk</w:t>
      </w:r>
      <w:r w:rsidR="00C771E5" w:rsidRPr="00A83991">
        <w:rPr>
          <w:sz w:val="22"/>
          <w:szCs w:val="22"/>
          <w:lang w:val="sk-SK"/>
        </w:rPr>
        <w:t xml:space="preserve">ach </w:t>
      </w:r>
      <w:r w:rsidR="00584142" w:rsidRPr="00A83991">
        <w:rPr>
          <w:sz w:val="22"/>
          <w:szCs w:val="22"/>
          <w:lang w:val="sk-SK"/>
        </w:rPr>
        <w:t>250 mg/deň a</w:t>
      </w:r>
      <w:r w:rsidR="00C771E5" w:rsidRPr="00A83991">
        <w:rPr>
          <w:sz w:val="22"/>
          <w:szCs w:val="22"/>
          <w:lang w:val="sk-SK"/>
        </w:rPr>
        <w:t> </w:t>
      </w:r>
      <w:r w:rsidR="00584142" w:rsidRPr="00A83991">
        <w:rPr>
          <w:sz w:val="22"/>
          <w:szCs w:val="22"/>
          <w:lang w:val="sk-SK"/>
        </w:rPr>
        <w:t>400 mg/deň)</w:t>
      </w:r>
      <w:r w:rsidR="00C771E5" w:rsidRPr="00A83991">
        <w:rPr>
          <w:sz w:val="22"/>
          <w:szCs w:val="22"/>
          <w:lang w:val="sk-SK"/>
        </w:rPr>
        <w:t xml:space="preserve"> risper</w:t>
      </w:r>
      <w:r w:rsidR="005111D9" w:rsidRPr="00A83991">
        <w:rPr>
          <w:sz w:val="22"/>
          <w:szCs w:val="22"/>
          <w:lang w:val="sk-SK"/>
        </w:rPr>
        <w:t>i</w:t>
      </w:r>
      <w:r w:rsidR="00C771E5" w:rsidRPr="00A83991">
        <w:rPr>
          <w:sz w:val="22"/>
          <w:szCs w:val="22"/>
          <w:lang w:val="sk-SK"/>
        </w:rPr>
        <w:t>dónu (podávaného v dávkach od 1 do 6 mg denne)</w:t>
      </w:r>
      <w:r w:rsidR="00584142" w:rsidRPr="00A83991">
        <w:rPr>
          <w:sz w:val="22"/>
          <w:szCs w:val="22"/>
          <w:lang w:val="sk-SK"/>
        </w:rPr>
        <w:t xml:space="preserve">. </w:t>
      </w:r>
      <w:r w:rsidR="00C771E5" w:rsidRPr="00A83991">
        <w:rPr>
          <w:sz w:val="22"/>
          <w:szCs w:val="22"/>
          <w:lang w:val="sk-SK"/>
        </w:rPr>
        <w:t xml:space="preserve">Rozdiely v AUC celkovej účinnej frakcie liečiva pri liečbe samotným risperidónom a kombinovanou liečbou s topiramátom neboli však štatisticky signifikantné. Pozorovala sa </w:t>
      </w:r>
      <w:r w:rsidR="00584142" w:rsidRPr="00A83991">
        <w:rPr>
          <w:sz w:val="22"/>
          <w:szCs w:val="22"/>
          <w:lang w:val="sk-SK"/>
        </w:rPr>
        <w:t>len minimáln</w:t>
      </w:r>
      <w:r w:rsidR="00561DEC" w:rsidRPr="00A83991">
        <w:rPr>
          <w:sz w:val="22"/>
          <w:szCs w:val="22"/>
          <w:lang w:val="sk-SK"/>
        </w:rPr>
        <w:t>a</w:t>
      </w:r>
      <w:r w:rsidR="00584142" w:rsidRPr="00A83991">
        <w:rPr>
          <w:sz w:val="22"/>
          <w:szCs w:val="22"/>
          <w:lang w:val="sk-SK"/>
        </w:rPr>
        <w:t xml:space="preserve"> zmen</w:t>
      </w:r>
      <w:r w:rsidR="00561DEC" w:rsidRPr="00A83991">
        <w:rPr>
          <w:sz w:val="22"/>
          <w:szCs w:val="22"/>
          <w:lang w:val="sk-SK"/>
        </w:rPr>
        <w:t>a</w:t>
      </w:r>
      <w:r w:rsidR="00584142" w:rsidRPr="00A83991">
        <w:rPr>
          <w:sz w:val="22"/>
          <w:szCs w:val="22"/>
          <w:lang w:val="sk-SK"/>
        </w:rPr>
        <w:t xml:space="preserve"> farmakokineti</w:t>
      </w:r>
      <w:r w:rsidR="00561DEC" w:rsidRPr="00A83991">
        <w:rPr>
          <w:sz w:val="22"/>
          <w:szCs w:val="22"/>
          <w:lang w:val="sk-SK"/>
        </w:rPr>
        <w:t xml:space="preserve">ky </w:t>
      </w:r>
      <w:r w:rsidR="00584142" w:rsidRPr="00A83991">
        <w:rPr>
          <w:sz w:val="22"/>
          <w:szCs w:val="22"/>
          <w:lang w:val="sk-SK"/>
        </w:rPr>
        <w:t xml:space="preserve">celkovej </w:t>
      </w:r>
      <w:r w:rsidR="00561DEC" w:rsidRPr="00A83991">
        <w:rPr>
          <w:sz w:val="22"/>
          <w:szCs w:val="22"/>
          <w:lang w:val="sk-SK"/>
        </w:rPr>
        <w:t>účinnej frakcie liečiva</w:t>
      </w:r>
      <w:r w:rsidR="00584142" w:rsidRPr="00A83991">
        <w:rPr>
          <w:sz w:val="22"/>
          <w:szCs w:val="22"/>
          <w:lang w:val="sk-SK"/>
        </w:rPr>
        <w:t xml:space="preserve"> (risperidón plus 9-hydroxyrisperidón) a žiadne zmeny u 9-hydroxyrisperidónu. Ne</w:t>
      </w:r>
      <w:r w:rsidR="00561DEC" w:rsidRPr="00A83991">
        <w:rPr>
          <w:sz w:val="22"/>
          <w:szCs w:val="22"/>
          <w:lang w:val="sk-SK"/>
        </w:rPr>
        <w:t xml:space="preserve">zaznamenali sa žiadne signifikantné </w:t>
      </w:r>
      <w:r w:rsidR="00584142" w:rsidRPr="00A83991">
        <w:rPr>
          <w:sz w:val="22"/>
          <w:szCs w:val="22"/>
          <w:lang w:val="sk-SK"/>
        </w:rPr>
        <w:t xml:space="preserve">zmeny v systémovej expozícii </w:t>
      </w:r>
      <w:r w:rsidR="00561DEC" w:rsidRPr="00A83991">
        <w:rPr>
          <w:sz w:val="22"/>
          <w:szCs w:val="22"/>
          <w:lang w:val="sk-SK"/>
        </w:rPr>
        <w:t xml:space="preserve">celkovej účinnej frakcie </w:t>
      </w:r>
      <w:r w:rsidR="00584142" w:rsidRPr="00A83991">
        <w:rPr>
          <w:sz w:val="22"/>
          <w:szCs w:val="22"/>
          <w:lang w:val="sk-SK"/>
        </w:rPr>
        <w:t>risperidónu alebo topiramátu.</w:t>
      </w:r>
      <w:r w:rsidR="00561DEC" w:rsidRPr="00A83991">
        <w:rPr>
          <w:sz w:val="22"/>
          <w:szCs w:val="22"/>
          <w:lang w:val="sk-SK"/>
        </w:rPr>
        <w:t xml:space="preserve"> </w:t>
      </w:r>
      <w:r w:rsidR="00561DEC" w:rsidRPr="00A83991">
        <w:rPr>
          <w:spacing w:val="-3"/>
          <w:sz w:val="22"/>
          <w:szCs w:val="22"/>
          <w:lang w:val="sk-SK"/>
        </w:rPr>
        <w:t xml:space="preserve">Po pridaní topiramátu k liečbe risperidónom (1 - 6 mg/deň) sa vyskytovali nežiaduce účinky častejšie (90 % a 54 %) ako pred pridaním topiramátu (250 - 400 mg/deň). Najčastejšie hlásené nežiaduce účinky po pridaní topiramátu k liečbe risperidónom boli: somnolencia (27 % a 12 %), parestézia (22 % a 0 %) a nauzea (18 % a 9 %). </w:t>
      </w:r>
    </w:p>
    <w:p w:rsidR="00584142" w:rsidRPr="00A83991" w:rsidRDefault="00584142" w:rsidP="00584142">
      <w:pPr>
        <w:rPr>
          <w:sz w:val="22"/>
          <w:szCs w:val="22"/>
          <w:lang w:val="sk-SK"/>
        </w:rPr>
      </w:pPr>
    </w:p>
    <w:p w:rsidR="00561DEC" w:rsidRPr="00A83991" w:rsidRDefault="004100AD" w:rsidP="000971FE">
      <w:pPr>
        <w:keepNext/>
        <w:rPr>
          <w:sz w:val="22"/>
          <w:szCs w:val="22"/>
          <w:lang w:val="sk-SK"/>
        </w:rPr>
      </w:pPr>
      <w:r w:rsidRPr="00A83991">
        <w:rPr>
          <w:i/>
          <w:sz w:val="22"/>
          <w:szCs w:val="22"/>
          <w:lang w:val="sk-SK"/>
        </w:rPr>
        <w:t>Hydrochlorotiazid (HCTZ)</w:t>
      </w:r>
    </w:p>
    <w:p w:rsidR="00561DEC" w:rsidRPr="00A83991" w:rsidRDefault="00561DEC" w:rsidP="000971FE">
      <w:pPr>
        <w:keepNext/>
        <w:rPr>
          <w:sz w:val="22"/>
          <w:szCs w:val="22"/>
          <w:lang w:val="sk-SK"/>
        </w:rPr>
      </w:pPr>
    </w:p>
    <w:p w:rsidR="00584142" w:rsidRPr="00A83991" w:rsidRDefault="00137CBA" w:rsidP="000971FE">
      <w:pPr>
        <w:keepNext/>
        <w:rPr>
          <w:sz w:val="22"/>
          <w:szCs w:val="22"/>
          <w:lang w:val="sk-SK"/>
        </w:rPr>
      </w:pPr>
      <w:r w:rsidRPr="00A83991">
        <w:rPr>
          <w:sz w:val="22"/>
          <w:szCs w:val="22"/>
          <w:lang w:val="sk-SK"/>
        </w:rPr>
        <w:t xml:space="preserve">Štúdia liekových interakcií </w:t>
      </w:r>
      <w:r w:rsidR="004100AD" w:rsidRPr="00A83991">
        <w:rPr>
          <w:sz w:val="22"/>
          <w:szCs w:val="22"/>
          <w:lang w:val="sk-SK"/>
        </w:rPr>
        <w:t>uskutočnená u zdravých dobrovoľníkov hodnotila farmakokinetik</w:t>
      </w:r>
      <w:r w:rsidR="00561DEC" w:rsidRPr="00A83991">
        <w:rPr>
          <w:sz w:val="22"/>
          <w:szCs w:val="22"/>
          <w:lang w:val="sk-SK"/>
        </w:rPr>
        <w:t>u</w:t>
      </w:r>
      <w:r w:rsidR="004100AD" w:rsidRPr="00A83991">
        <w:rPr>
          <w:sz w:val="22"/>
          <w:szCs w:val="22"/>
          <w:lang w:val="sk-SK"/>
        </w:rPr>
        <w:t xml:space="preserve"> HCTZ (25 mg</w:t>
      </w:r>
      <w:r w:rsidR="00561DEC" w:rsidRPr="00A83991">
        <w:rPr>
          <w:sz w:val="22"/>
          <w:szCs w:val="22"/>
          <w:lang w:val="sk-SK"/>
        </w:rPr>
        <w:t>/</w:t>
      </w:r>
      <w:r w:rsidR="004100AD" w:rsidRPr="00A83991">
        <w:rPr>
          <w:sz w:val="22"/>
          <w:szCs w:val="22"/>
          <w:lang w:val="sk-SK"/>
        </w:rPr>
        <w:t>24</w:t>
      </w:r>
      <w:r w:rsidR="00561DEC" w:rsidRPr="00A83991">
        <w:rPr>
          <w:sz w:val="22"/>
          <w:szCs w:val="22"/>
          <w:lang w:val="sk-SK"/>
        </w:rPr>
        <w:t xml:space="preserve"> </w:t>
      </w:r>
      <w:r w:rsidR="004100AD" w:rsidRPr="00A83991">
        <w:rPr>
          <w:sz w:val="22"/>
          <w:szCs w:val="22"/>
          <w:lang w:val="sk-SK"/>
        </w:rPr>
        <w:t>h</w:t>
      </w:r>
      <w:r w:rsidR="00561DEC" w:rsidRPr="00A83991">
        <w:rPr>
          <w:sz w:val="22"/>
          <w:szCs w:val="22"/>
          <w:lang w:val="sk-SK"/>
        </w:rPr>
        <w:t>od</w:t>
      </w:r>
      <w:r w:rsidR="004100AD" w:rsidRPr="00A83991">
        <w:rPr>
          <w:sz w:val="22"/>
          <w:szCs w:val="22"/>
          <w:lang w:val="sk-SK"/>
        </w:rPr>
        <w:t>) a topiramátu (96 mg</w:t>
      </w:r>
      <w:r w:rsidR="00561DEC" w:rsidRPr="00A83991">
        <w:rPr>
          <w:sz w:val="22"/>
          <w:szCs w:val="22"/>
          <w:lang w:val="sk-SK"/>
        </w:rPr>
        <w:t>/</w:t>
      </w:r>
      <w:r w:rsidR="004100AD" w:rsidRPr="00A83991">
        <w:rPr>
          <w:sz w:val="22"/>
          <w:szCs w:val="22"/>
          <w:lang w:val="sk-SK"/>
        </w:rPr>
        <w:t>12</w:t>
      </w:r>
      <w:r w:rsidR="00561DEC" w:rsidRPr="00A83991">
        <w:rPr>
          <w:sz w:val="22"/>
          <w:szCs w:val="22"/>
          <w:lang w:val="sk-SK"/>
        </w:rPr>
        <w:t xml:space="preserve"> </w:t>
      </w:r>
      <w:r w:rsidR="004100AD" w:rsidRPr="00A83991">
        <w:rPr>
          <w:sz w:val="22"/>
          <w:szCs w:val="22"/>
          <w:lang w:val="sk-SK"/>
        </w:rPr>
        <w:t>h</w:t>
      </w:r>
      <w:r w:rsidR="00561DEC" w:rsidRPr="00A83991">
        <w:rPr>
          <w:sz w:val="22"/>
          <w:szCs w:val="22"/>
          <w:lang w:val="sk-SK"/>
        </w:rPr>
        <w:t>od</w:t>
      </w:r>
      <w:r w:rsidR="004100AD" w:rsidRPr="00A83991">
        <w:rPr>
          <w:sz w:val="22"/>
          <w:szCs w:val="22"/>
          <w:lang w:val="sk-SK"/>
        </w:rPr>
        <w:t>)</w:t>
      </w:r>
      <w:r w:rsidR="00561DEC" w:rsidRPr="00A83991">
        <w:rPr>
          <w:sz w:val="22"/>
          <w:szCs w:val="22"/>
          <w:lang w:val="sk-SK"/>
        </w:rPr>
        <w:t xml:space="preserve"> v rovnovážnom stave po </w:t>
      </w:r>
      <w:r w:rsidR="004100AD" w:rsidRPr="00A83991">
        <w:rPr>
          <w:sz w:val="22"/>
          <w:szCs w:val="22"/>
          <w:lang w:val="sk-SK"/>
        </w:rPr>
        <w:t>samostatn</w:t>
      </w:r>
      <w:r w:rsidR="00561DEC" w:rsidRPr="00A83991">
        <w:rPr>
          <w:sz w:val="22"/>
          <w:szCs w:val="22"/>
          <w:lang w:val="sk-SK"/>
        </w:rPr>
        <w:t xml:space="preserve">om </w:t>
      </w:r>
      <w:r w:rsidR="00200268" w:rsidRPr="00A83991">
        <w:rPr>
          <w:sz w:val="22"/>
          <w:szCs w:val="22"/>
          <w:lang w:val="sk-SK"/>
        </w:rPr>
        <w:t xml:space="preserve">podaní </w:t>
      </w:r>
      <w:r w:rsidR="00561DEC" w:rsidRPr="00A83991">
        <w:rPr>
          <w:sz w:val="22"/>
          <w:szCs w:val="22"/>
          <w:lang w:val="sk-SK"/>
        </w:rPr>
        <w:t xml:space="preserve">a po ich súbežnom podaní. </w:t>
      </w:r>
      <w:r w:rsidR="004100AD" w:rsidRPr="00A83991">
        <w:rPr>
          <w:sz w:val="22"/>
          <w:szCs w:val="22"/>
          <w:lang w:val="sk-SK"/>
        </w:rPr>
        <w:t xml:space="preserve">Výsledky tejto štúdie </w:t>
      </w:r>
      <w:r w:rsidR="00561DEC" w:rsidRPr="00A83991">
        <w:rPr>
          <w:sz w:val="22"/>
          <w:szCs w:val="22"/>
          <w:lang w:val="sk-SK"/>
        </w:rPr>
        <w:t xml:space="preserve">preukázali zvýšenie </w:t>
      </w:r>
      <w:r w:rsidR="004100AD" w:rsidRPr="00A83991">
        <w:rPr>
          <w:sz w:val="22"/>
          <w:szCs w:val="22"/>
          <w:lang w:val="sk-SK"/>
        </w:rPr>
        <w:t>C</w:t>
      </w:r>
      <w:r w:rsidR="004100AD" w:rsidRPr="00A83991">
        <w:rPr>
          <w:sz w:val="22"/>
          <w:szCs w:val="22"/>
          <w:vertAlign w:val="subscript"/>
          <w:lang w:val="sk-SK"/>
        </w:rPr>
        <w:t>max</w:t>
      </w:r>
      <w:r w:rsidR="004100AD" w:rsidRPr="00A83991">
        <w:rPr>
          <w:sz w:val="22"/>
          <w:szCs w:val="22"/>
          <w:lang w:val="sk-SK"/>
        </w:rPr>
        <w:t xml:space="preserve"> topiramátu </w:t>
      </w:r>
      <w:r w:rsidR="00452CA4" w:rsidRPr="00A83991">
        <w:rPr>
          <w:sz w:val="22"/>
          <w:szCs w:val="22"/>
          <w:lang w:val="sk-SK"/>
        </w:rPr>
        <w:t>o </w:t>
      </w:r>
      <w:r w:rsidR="004100AD" w:rsidRPr="00A83991">
        <w:rPr>
          <w:sz w:val="22"/>
          <w:szCs w:val="22"/>
          <w:lang w:val="sk-SK"/>
        </w:rPr>
        <w:t>27</w:t>
      </w:r>
      <w:r w:rsidR="00452CA4" w:rsidRPr="00A83991">
        <w:rPr>
          <w:sz w:val="22"/>
          <w:szCs w:val="22"/>
          <w:lang w:val="sk-SK"/>
        </w:rPr>
        <w:t> </w:t>
      </w:r>
      <w:r w:rsidR="004100AD" w:rsidRPr="00A83991">
        <w:rPr>
          <w:sz w:val="22"/>
          <w:szCs w:val="22"/>
          <w:lang w:val="sk-SK"/>
        </w:rPr>
        <w:t>% a</w:t>
      </w:r>
      <w:r w:rsidR="00452CA4" w:rsidRPr="00A83991">
        <w:rPr>
          <w:sz w:val="22"/>
          <w:szCs w:val="22"/>
          <w:lang w:val="sk-SK"/>
        </w:rPr>
        <w:t xml:space="preserve"> zvýšenie </w:t>
      </w:r>
      <w:r w:rsidR="004100AD" w:rsidRPr="00A83991">
        <w:rPr>
          <w:sz w:val="22"/>
          <w:szCs w:val="22"/>
          <w:lang w:val="sk-SK"/>
        </w:rPr>
        <w:t>AUC o</w:t>
      </w:r>
      <w:r w:rsidR="00452CA4" w:rsidRPr="00A83991">
        <w:rPr>
          <w:sz w:val="22"/>
          <w:szCs w:val="22"/>
          <w:lang w:val="sk-SK"/>
        </w:rPr>
        <w:t> </w:t>
      </w:r>
      <w:r w:rsidR="004100AD" w:rsidRPr="00A83991">
        <w:rPr>
          <w:sz w:val="22"/>
          <w:szCs w:val="22"/>
          <w:lang w:val="sk-SK"/>
        </w:rPr>
        <w:t>29</w:t>
      </w:r>
      <w:r w:rsidR="00452CA4" w:rsidRPr="00A83991">
        <w:rPr>
          <w:sz w:val="22"/>
          <w:szCs w:val="22"/>
          <w:lang w:val="sk-SK"/>
        </w:rPr>
        <w:t> </w:t>
      </w:r>
      <w:r w:rsidR="004100AD" w:rsidRPr="00A83991">
        <w:rPr>
          <w:sz w:val="22"/>
          <w:szCs w:val="22"/>
          <w:lang w:val="sk-SK"/>
        </w:rPr>
        <w:t xml:space="preserve">%, keď </w:t>
      </w:r>
      <w:r w:rsidR="00452CA4" w:rsidRPr="00A83991">
        <w:rPr>
          <w:sz w:val="22"/>
          <w:szCs w:val="22"/>
          <w:lang w:val="sk-SK"/>
        </w:rPr>
        <w:t xml:space="preserve">sa </w:t>
      </w:r>
      <w:r w:rsidR="004100AD" w:rsidRPr="00A83991">
        <w:rPr>
          <w:sz w:val="22"/>
          <w:szCs w:val="22"/>
          <w:lang w:val="sk-SK"/>
        </w:rPr>
        <w:t>HCTZ prid</w:t>
      </w:r>
      <w:r w:rsidR="00452CA4" w:rsidRPr="00A83991">
        <w:rPr>
          <w:sz w:val="22"/>
          <w:szCs w:val="22"/>
          <w:lang w:val="sk-SK"/>
        </w:rPr>
        <w:t>al</w:t>
      </w:r>
      <w:r w:rsidR="004100AD" w:rsidRPr="00A83991">
        <w:rPr>
          <w:sz w:val="22"/>
          <w:szCs w:val="22"/>
          <w:lang w:val="sk-SK"/>
        </w:rPr>
        <w:t xml:space="preserve"> k topiramátu. Klinický význam t</w:t>
      </w:r>
      <w:r w:rsidR="00452CA4" w:rsidRPr="00A83991">
        <w:rPr>
          <w:sz w:val="22"/>
          <w:szCs w:val="22"/>
          <w:lang w:val="sk-SK"/>
        </w:rPr>
        <w:t xml:space="preserve">ejto </w:t>
      </w:r>
      <w:r w:rsidR="004100AD" w:rsidRPr="00A83991">
        <w:rPr>
          <w:sz w:val="22"/>
          <w:szCs w:val="22"/>
          <w:lang w:val="sk-SK"/>
        </w:rPr>
        <w:t>zm</w:t>
      </w:r>
      <w:r w:rsidR="00452CA4" w:rsidRPr="00A83991">
        <w:rPr>
          <w:sz w:val="22"/>
          <w:szCs w:val="22"/>
          <w:lang w:val="sk-SK"/>
        </w:rPr>
        <w:t xml:space="preserve">eny </w:t>
      </w:r>
      <w:r w:rsidR="004100AD" w:rsidRPr="00A83991">
        <w:rPr>
          <w:sz w:val="22"/>
          <w:szCs w:val="22"/>
          <w:lang w:val="sk-SK"/>
        </w:rPr>
        <w:t xml:space="preserve">nie je známy. Pridanie </w:t>
      </w:r>
      <w:r w:rsidR="00452CA4" w:rsidRPr="00A83991">
        <w:rPr>
          <w:sz w:val="22"/>
          <w:szCs w:val="22"/>
          <w:lang w:val="sk-SK"/>
        </w:rPr>
        <w:t>HCTZ</w:t>
      </w:r>
      <w:r w:rsidR="004100AD" w:rsidRPr="00A83991">
        <w:rPr>
          <w:sz w:val="22"/>
          <w:szCs w:val="22"/>
          <w:lang w:val="sk-SK"/>
        </w:rPr>
        <w:t xml:space="preserve"> k liečbe topiramátom si môže vyžadovať úpravu dávky topiramátu. Farmakokinetika</w:t>
      </w:r>
      <w:r w:rsidR="00452CA4" w:rsidRPr="00A83991">
        <w:rPr>
          <w:sz w:val="22"/>
          <w:szCs w:val="22"/>
          <w:lang w:val="sk-SK"/>
        </w:rPr>
        <w:t xml:space="preserve"> rovnovážneho </w:t>
      </w:r>
      <w:r w:rsidR="00452CA4" w:rsidRPr="00A83991">
        <w:rPr>
          <w:sz w:val="22"/>
          <w:szCs w:val="22"/>
          <w:lang w:val="sk-SK"/>
        </w:rPr>
        <w:lastRenderedPageBreak/>
        <w:t xml:space="preserve">stavu HCTZ </w:t>
      </w:r>
      <w:r w:rsidR="004100AD" w:rsidRPr="00A83991">
        <w:rPr>
          <w:sz w:val="22"/>
          <w:szCs w:val="22"/>
          <w:lang w:val="sk-SK"/>
        </w:rPr>
        <w:t>n</w:t>
      </w:r>
      <w:r w:rsidR="00452CA4" w:rsidRPr="00A83991">
        <w:rPr>
          <w:sz w:val="22"/>
          <w:szCs w:val="22"/>
          <w:lang w:val="sk-SK"/>
        </w:rPr>
        <w:t xml:space="preserve">ebola </w:t>
      </w:r>
      <w:r w:rsidR="004100AD" w:rsidRPr="00A83991">
        <w:rPr>
          <w:sz w:val="22"/>
          <w:szCs w:val="22"/>
          <w:lang w:val="sk-SK"/>
        </w:rPr>
        <w:t>významne ovplyvnená súbežným podávaním topiramátu. Klinické laboratórne výsledky naznač</w:t>
      </w:r>
      <w:r w:rsidR="00452CA4" w:rsidRPr="00A83991">
        <w:rPr>
          <w:sz w:val="22"/>
          <w:szCs w:val="22"/>
          <w:lang w:val="sk-SK"/>
        </w:rPr>
        <w:t>ovali</w:t>
      </w:r>
      <w:r w:rsidR="004100AD" w:rsidRPr="00A83991">
        <w:rPr>
          <w:sz w:val="22"/>
          <w:szCs w:val="22"/>
          <w:lang w:val="sk-SK"/>
        </w:rPr>
        <w:t xml:space="preserve"> pokles sérovej hladiny draslíka po podaní topiramátu alebo </w:t>
      </w:r>
      <w:r w:rsidR="00452CA4" w:rsidRPr="00A83991">
        <w:rPr>
          <w:sz w:val="22"/>
          <w:szCs w:val="22"/>
          <w:lang w:val="sk-SK"/>
        </w:rPr>
        <w:t>HCTZ</w:t>
      </w:r>
      <w:r w:rsidR="004100AD" w:rsidRPr="00A83991">
        <w:rPr>
          <w:sz w:val="22"/>
          <w:szCs w:val="22"/>
          <w:lang w:val="sk-SK"/>
        </w:rPr>
        <w:t xml:space="preserve">, ktorý bol výraznejší, ak sa </w:t>
      </w:r>
      <w:r w:rsidR="00452CA4" w:rsidRPr="00A83991">
        <w:rPr>
          <w:sz w:val="22"/>
          <w:szCs w:val="22"/>
          <w:lang w:val="sk-SK"/>
        </w:rPr>
        <w:t>HCTZ</w:t>
      </w:r>
      <w:r w:rsidR="004100AD" w:rsidRPr="00A83991">
        <w:rPr>
          <w:sz w:val="22"/>
          <w:szCs w:val="22"/>
          <w:lang w:val="sk-SK"/>
        </w:rPr>
        <w:t xml:space="preserve"> a topiramát podávali v kombinácii.</w:t>
      </w:r>
    </w:p>
    <w:p w:rsidR="004100AD" w:rsidRPr="00A83991" w:rsidRDefault="004100AD" w:rsidP="00584142">
      <w:pPr>
        <w:rPr>
          <w:sz w:val="22"/>
          <w:szCs w:val="22"/>
          <w:lang w:val="sk-SK"/>
        </w:rPr>
      </w:pPr>
    </w:p>
    <w:p w:rsidR="00452CA4" w:rsidRPr="00A83991" w:rsidRDefault="00B05436" w:rsidP="000971FE">
      <w:pPr>
        <w:keepNext/>
        <w:rPr>
          <w:bCs/>
          <w:i/>
          <w:sz w:val="22"/>
          <w:szCs w:val="22"/>
          <w:lang w:val="sk-SK"/>
        </w:rPr>
      </w:pPr>
      <w:r w:rsidRPr="00A83991">
        <w:rPr>
          <w:bCs/>
          <w:i/>
          <w:sz w:val="22"/>
          <w:szCs w:val="22"/>
          <w:lang w:val="sk-SK"/>
        </w:rPr>
        <w:t>Metformín</w:t>
      </w:r>
    </w:p>
    <w:p w:rsidR="00452CA4" w:rsidRPr="00A83991" w:rsidRDefault="00452CA4" w:rsidP="000971FE">
      <w:pPr>
        <w:keepNext/>
        <w:rPr>
          <w:sz w:val="22"/>
          <w:szCs w:val="22"/>
          <w:lang w:val="sk-SK"/>
        </w:rPr>
      </w:pPr>
    </w:p>
    <w:p w:rsidR="00937B29" w:rsidRPr="00A83991" w:rsidRDefault="00E75019" w:rsidP="00B05436">
      <w:pPr>
        <w:rPr>
          <w:sz w:val="22"/>
          <w:szCs w:val="22"/>
          <w:lang w:val="sk-SK"/>
        </w:rPr>
      </w:pPr>
      <w:r w:rsidRPr="00A83991">
        <w:rPr>
          <w:sz w:val="22"/>
          <w:szCs w:val="22"/>
          <w:lang w:val="sk-SK"/>
        </w:rPr>
        <w:t>Štúdia liekových interakcií</w:t>
      </w:r>
      <w:r w:rsidR="00B05436" w:rsidRPr="00A83991">
        <w:rPr>
          <w:sz w:val="22"/>
          <w:szCs w:val="22"/>
          <w:lang w:val="sk-SK"/>
        </w:rPr>
        <w:t xml:space="preserve"> </w:t>
      </w:r>
      <w:r w:rsidR="00452CA4" w:rsidRPr="00A83991">
        <w:rPr>
          <w:sz w:val="22"/>
          <w:szCs w:val="22"/>
          <w:lang w:val="sk-SK"/>
        </w:rPr>
        <w:t xml:space="preserve">uskutočnená </w:t>
      </w:r>
      <w:r w:rsidR="00B05436" w:rsidRPr="00A83991">
        <w:rPr>
          <w:sz w:val="22"/>
          <w:szCs w:val="22"/>
          <w:lang w:val="sk-SK"/>
        </w:rPr>
        <w:t xml:space="preserve">u zdravých dobrovoľníkov hodnotila farmakokinetiku metformínu </w:t>
      </w:r>
      <w:r w:rsidR="00EE1E66" w:rsidRPr="00A83991">
        <w:rPr>
          <w:sz w:val="22"/>
          <w:szCs w:val="22"/>
          <w:lang w:val="sk-SK"/>
        </w:rPr>
        <w:t xml:space="preserve">a topiramátu v plazme, pri samostatnom podaní metformínu </w:t>
      </w:r>
      <w:r w:rsidR="00BC10FB">
        <w:rPr>
          <w:sz w:val="22"/>
          <w:szCs w:val="22"/>
          <w:lang w:val="sk-SK"/>
        </w:rPr>
        <w:t xml:space="preserve">, </w:t>
      </w:r>
      <w:r w:rsidR="00EE1E66" w:rsidRPr="00A83991">
        <w:rPr>
          <w:sz w:val="22"/>
          <w:szCs w:val="22"/>
          <w:lang w:val="sk-SK"/>
        </w:rPr>
        <w:t>a</w:t>
      </w:r>
      <w:r w:rsidR="00991919" w:rsidRPr="00A83991">
        <w:rPr>
          <w:sz w:val="22"/>
          <w:szCs w:val="22"/>
          <w:lang w:val="sk-SK"/>
        </w:rPr>
        <w:t xml:space="preserve">ko aj </w:t>
      </w:r>
      <w:r w:rsidR="00EE1E66" w:rsidRPr="00A83991">
        <w:rPr>
          <w:sz w:val="22"/>
          <w:szCs w:val="22"/>
          <w:lang w:val="sk-SK"/>
        </w:rPr>
        <w:t>súbežnom podávaní metformínu a topiramátu.</w:t>
      </w:r>
      <w:r w:rsidR="00B05436" w:rsidRPr="00A83991">
        <w:rPr>
          <w:sz w:val="22"/>
          <w:szCs w:val="22"/>
          <w:lang w:val="sk-SK"/>
        </w:rPr>
        <w:t xml:space="preserve"> Výsledky tejto štúdie ukázali, že priemerná hodnota C</w:t>
      </w:r>
      <w:r w:rsidR="00B05436" w:rsidRPr="00A83991">
        <w:rPr>
          <w:sz w:val="22"/>
          <w:szCs w:val="22"/>
          <w:vertAlign w:val="subscript"/>
          <w:lang w:val="sk-SK"/>
        </w:rPr>
        <w:t>max</w:t>
      </w:r>
      <w:r w:rsidR="00B05436" w:rsidRPr="00A83991">
        <w:rPr>
          <w:sz w:val="22"/>
          <w:szCs w:val="22"/>
          <w:lang w:val="sk-SK"/>
        </w:rPr>
        <w:t xml:space="preserve"> metformínu sa zvýšila o</w:t>
      </w:r>
      <w:r w:rsidR="00452CA4" w:rsidRPr="00A83991">
        <w:rPr>
          <w:sz w:val="22"/>
          <w:szCs w:val="22"/>
          <w:lang w:val="sk-SK"/>
        </w:rPr>
        <w:t> </w:t>
      </w:r>
      <w:r w:rsidR="00B05436" w:rsidRPr="00A83991">
        <w:rPr>
          <w:sz w:val="22"/>
          <w:szCs w:val="22"/>
          <w:lang w:val="sk-SK"/>
        </w:rPr>
        <w:t>18</w:t>
      </w:r>
      <w:r w:rsidR="00452CA4" w:rsidRPr="00A83991">
        <w:rPr>
          <w:sz w:val="22"/>
          <w:szCs w:val="22"/>
          <w:lang w:val="sk-SK"/>
        </w:rPr>
        <w:t> </w:t>
      </w:r>
      <w:r w:rsidR="00B05436" w:rsidRPr="00A83991">
        <w:rPr>
          <w:sz w:val="22"/>
          <w:szCs w:val="22"/>
          <w:lang w:val="sk-SK"/>
        </w:rPr>
        <w:t>% a priemerná hodnota AUC</w:t>
      </w:r>
      <w:r w:rsidR="00B05436" w:rsidRPr="00A83991">
        <w:rPr>
          <w:sz w:val="22"/>
          <w:szCs w:val="22"/>
          <w:vertAlign w:val="subscript"/>
          <w:lang w:val="sk-SK"/>
        </w:rPr>
        <w:t>0-12h</w:t>
      </w:r>
      <w:r w:rsidR="00B05436" w:rsidRPr="00A83991">
        <w:rPr>
          <w:sz w:val="22"/>
          <w:szCs w:val="22"/>
          <w:lang w:val="sk-SK"/>
        </w:rPr>
        <w:t xml:space="preserve"> metformínu sa zvýšila o</w:t>
      </w:r>
      <w:r w:rsidR="00452CA4" w:rsidRPr="00A83991">
        <w:rPr>
          <w:sz w:val="22"/>
          <w:szCs w:val="22"/>
          <w:lang w:val="sk-SK"/>
        </w:rPr>
        <w:t> </w:t>
      </w:r>
      <w:r w:rsidR="00B05436" w:rsidRPr="00A83991">
        <w:rPr>
          <w:sz w:val="22"/>
          <w:szCs w:val="22"/>
          <w:lang w:val="sk-SK"/>
        </w:rPr>
        <w:t>25</w:t>
      </w:r>
      <w:r w:rsidR="00452CA4" w:rsidRPr="00A83991">
        <w:rPr>
          <w:sz w:val="22"/>
          <w:szCs w:val="22"/>
          <w:lang w:val="sk-SK"/>
        </w:rPr>
        <w:t> </w:t>
      </w:r>
      <w:r w:rsidR="00B05436" w:rsidRPr="00A83991">
        <w:rPr>
          <w:sz w:val="22"/>
          <w:szCs w:val="22"/>
          <w:lang w:val="sk-SK"/>
        </w:rPr>
        <w:t>%, zatiaľ čo priemerná hodnota CL/F sa znížila o</w:t>
      </w:r>
      <w:r w:rsidR="00452CA4" w:rsidRPr="00A83991">
        <w:rPr>
          <w:sz w:val="22"/>
          <w:szCs w:val="22"/>
          <w:lang w:val="sk-SK"/>
        </w:rPr>
        <w:t> </w:t>
      </w:r>
      <w:r w:rsidR="00B05436" w:rsidRPr="00A83991">
        <w:rPr>
          <w:sz w:val="22"/>
          <w:szCs w:val="22"/>
          <w:lang w:val="sk-SK"/>
        </w:rPr>
        <w:t>20</w:t>
      </w:r>
      <w:r w:rsidR="00452CA4" w:rsidRPr="00A83991">
        <w:rPr>
          <w:sz w:val="22"/>
          <w:szCs w:val="22"/>
          <w:lang w:val="sk-SK"/>
        </w:rPr>
        <w:t> </w:t>
      </w:r>
      <w:r w:rsidR="00B05436" w:rsidRPr="00A83991">
        <w:rPr>
          <w:sz w:val="22"/>
          <w:szCs w:val="22"/>
          <w:lang w:val="sk-SK"/>
        </w:rPr>
        <w:t xml:space="preserve">%, keď sa metformín podával spolu s topiramátom. Klinický význam vplyvu topiramátu na farmakokinetiku metformínu nie je jasný. Plazmatický klírens topiramátu </w:t>
      </w:r>
      <w:r w:rsidR="00BC10FB">
        <w:rPr>
          <w:sz w:val="22"/>
          <w:szCs w:val="22"/>
          <w:lang w:val="sk-SK"/>
        </w:rPr>
        <w:t xml:space="preserve">sa </w:t>
      </w:r>
      <w:r w:rsidR="00B05436" w:rsidRPr="00A83991">
        <w:rPr>
          <w:sz w:val="22"/>
          <w:szCs w:val="22"/>
          <w:lang w:val="sk-SK"/>
        </w:rPr>
        <w:t>po perorálnom podaní</w:t>
      </w:r>
      <w:r w:rsidR="00BC10FB">
        <w:rPr>
          <w:sz w:val="22"/>
          <w:szCs w:val="22"/>
          <w:lang w:val="sk-SK"/>
        </w:rPr>
        <w:t xml:space="preserve"> </w:t>
      </w:r>
      <w:r w:rsidR="00937B29" w:rsidRPr="00A83991">
        <w:rPr>
          <w:sz w:val="22"/>
          <w:szCs w:val="22"/>
          <w:lang w:val="sk-SK"/>
        </w:rPr>
        <w:t>znižuje</w:t>
      </w:r>
      <w:r w:rsidR="00B05436" w:rsidRPr="00A83991">
        <w:rPr>
          <w:sz w:val="22"/>
          <w:szCs w:val="22"/>
          <w:lang w:val="sk-SK"/>
        </w:rPr>
        <w:t xml:space="preserve">, keď sa podáva spolu s metformínom. Rozsah zmeny klírensu nie je známy. Klinický význam vplyvu metformínu na farmakokinetiku topiramátu nie je jasný. </w:t>
      </w:r>
    </w:p>
    <w:p w:rsidR="00937B29" w:rsidRPr="00A83991" w:rsidRDefault="00937B29" w:rsidP="00B05436">
      <w:pPr>
        <w:rPr>
          <w:sz w:val="22"/>
          <w:szCs w:val="22"/>
          <w:lang w:val="sk-SK"/>
        </w:rPr>
      </w:pPr>
    </w:p>
    <w:p w:rsidR="00B05436" w:rsidRPr="00A83991" w:rsidRDefault="00B05436" w:rsidP="00B05436">
      <w:pPr>
        <w:rPr>
          <w:bCs/>
          <w:i/>
          <w:sz w:val="22"/>
          <w:szCs w:val="22"/>
          <w:lang w:val="sk-SK"/>
        </w:rPr>
      </w:pPr>
      <w:r w:rsidRPr="00A83991">
        <w:rPr>
          <w:sz w:val="22"/>
          <w:szCs w:val="22"/>
          <w:lang w:val="sk-SK"/>
        </w:rPr>
        <w:t xml:space="preserve">Ak sa </w:t>
      </w:r>
      <w:r w:rsidR="00937B29" w:rsidRPr="00A83991">
        <w:rPr>
          <w:sz w:val="22"/>
          <w:szCs w:val="22"/>
          <w:lang w:val="sk-SK"/>
        </w:rPr>
        <w:t>Talopam</w:t>
      </w:r>
      <w:r w:rsidRPr="00A83991">
        <w:rPr>
          <w:sz w:val="22"/>
          <w:szCs w:val="22"/>
          <w:lang w:val="sk-SK"/>
        </w:rPr>
        <w:t xml:space="preserve"> pridáva alebo vysadí u pacientov liečených metformínom, je potrebné venovať zvýšenú pozornosť bežnému monitorovaniu pacienta, aby sa zabezpečila adekvátna kontrola stavu</w:t>
      </w:r>
      <w:r w:rsidR="00372D1B" w:rsidRPr="00A83991">
        <w:rPr>
          <w:sz w:val="22"/>
          <w:szCs w:val="22"/>
          <w:lang w:val="sk-SK"/>
        </w:rPr>
        <w:t xml:space="preserve"> ich</w:t>
      </w:r>
      <w:r w:rsidRPr="00A83991">
        <w:rPr>
          <w:sz w:val="22"/>
          <w:szCs w:val="22"/>
          <w:lang w:val="sk-SK"/>
        </w:rPr>
        <w:t xml:space="preserve"> diabetu</w:t>
      </w:r>
      <w:r w:rsidR="00372D1B" w:rsidRPr="00A83991">
        <w:rPr>
          <w:sz w:val="22"/>
          <w:szCs w:val="22"/>
          <w:lang w:val="sk-SK"/>
        </w:rPr>
        <w:t xml:space="preserve">. </w:t>
      </w:r>
    </w:p>
    <w:p w:rsidR="004100AD" w:rsidRPr="00A83991" w:rsidRDefault="004100AD" w:rsidP="00584142">
      <w:pPr>
        <w:rPr>
          <w:sz w:val="22"/>
          <w:szCs w:val="22"/>
          <w:lang w:val="sk-SK"/>
        </w:rPr>
      </w:pPr>
    </w:p>
    <w:p w:rsidR="00937B29" w:rsidRPr="00A83991" w:rsidRDefault="00370B6D" w:rsidP="000971FE">
      <w:pPr>
        <w:keepNext/>
        <w:rPr>
          <w:bCs/>
          <w:i/>
          <w:sz w:val="22"/>
          <w:szCs w:val="22"/>
          <w:lang w:val="sk-SK"/>
        </w:rPr>
      </w:pPr>
      <w:r w:rsidRPr="00A83991">
        <w:rPr>
          <w:bCs/>
          <w:i/>
          <w:sz w:val="22"/>
          <w:szCs w:val="22"/>
          <w:lang w:val="sk-SK"/>
        </w:rPr>
        <w:t>Pioglitazón</w:t>
      </w:r>
    </w:p>
    <w:p w:rsidR="00937B29" w:rsidRPr="00A83991" w:rsidRDefault="00937B29" w:rsidP="000971FE">
      <w:pPr>
        <w:keepNext/>
        <w:rPr>
          <w:bCs/>
          <w:i/>
          <w:sz w:val="22"/>
          <w:szCs w:val="22"/>
          <w:lang w:val="sk-SK"/>
        </w:rPr>
      </w:pPr>
    </w:p>
    <w:p w:rsidR="00B97851" w:rsidRPr="00A83991" w:rsidRDefault="00372D1B" w:rsidP="00370B6D">
      <w:pPr>
        <w:rPr>
          <w:sz w:val="22"/>
          <w:szCs w:val="22"/>
          <w:lang w:val="sk-SK"/>
        </w:rPr>
      </w:pPr>
      <w:r w:rsidRPr="00A83991">
        <w:rPr>
          <w:sz w:val="22"/>
          <w:szCs w:val="22"/>
          <w:lang w:val="sk-SK"/>
        </w:rPr>
        <w:t xml:space="preserve">Štúdia liekových interakcií </w:t>
      </w:r>
      <w:r w:rsidR="00937B29" w:rsidRPr="00A83991">
        <w:rPr>
          <w:sz w:val="22"/>
          <w:szCs w:val="22"/>
          <w:lang w:val="sk-SK"/>
        </w:rPr>
        <w:t xml:space="preserve">uskutočnená </w:t>
      </w:r>
      <w:r w:rsidR="00370B6D" w:rsidRPr="00A83991">
        <w:rPr>
          <w:sz w:val="22"/>
          <w:szCs w:val="22"/>
          <w:lang w:val="sk-SK"/>
        </w:rPr>
        <w:t>u zdravých dobrovoľníkov hodnotila farmakokinetik</w:t>
      </w:r>
      <w:r w:rsidR="00937B29" w:rsidRPr="00A83991">
        <w:rPr>
          <w:sz w:val="22"/>
          <w:szCs w:val="22"/>
          <w:lang w:val="sk-SK"/>
        </w:rPr>
        <w:t>u</w:t>
      </w:r>
      <w:r w:rsidR="00370B6D" w:rsidRPr="00A83991">
        <w:rPr>
          <w:sz w:val="22"/>
          <w:szCs w:val="22"/>
          <w:lang w:val="sk-SK"/>
        </w:rPr>
        <w:t xml:space="preserve"> topiramátu a pioglitazónu </w:t>
      </w:r>
      <w:r w:rsidR="00937B29" w:rsidRPr="00A83991">
        <w:rPr>
          <w:sz w:val="22"/>
          <w:szCs w:val="22"/>
          <w:lang w:val="sk-SK"/>
        </w:rPr>
        <w:t xml:space="preserve">v rovnovážnom stave, </w:t>
      </w:r>
      <w:r w:rsidR="00370B6D" w:rsidRPr="00A83991">
        <w:rPr>
          <w:sz w:val="22"/>
          <w:szCs w:val="22"/>
          <w:lang w:val="sk-SK"/>
        </w:rPr>
        <w:t>pri ich jednotlivom a súbežnom podávaní. Pozoroval sa pokles AUC</w:t>
      </w:r>
      <w:r w:rsidR="00370B6D" w:rsidRPr="00A83991">
        <w:rPr>
          <w:sz w:val="22"/>
          <w:szCs w:val="22"/>
          <w:vertAlign w:val="subscript"/>
          <w:lang w:val="sk-SK"/>
        </w:rPr>
        <w:t>τ</w:t>
      </w:r>
      <w:r w:rsidR="00937B29" w:rsidRPr="00A83991">
        <w:rPr>
          <w:sz w:val="22"/>
          <w:szCs w:val="22"/>
          <w:vertAlign w:val="subscript"/>
          <w:lang w:val="sk-SK"/>
        </w:rPr>
        <w:t>,</w:t>
      </w:r>
      <w:r w:rsidR="00370B6D" w:rsidRPr="00A83991">
        <w:rPr>
          <w:sz w:val="22"/>
          <w:szCs w:val="22"/>
          <w:vertAlign w:val="subscript"/>
          <w:lang w:val="sk-SK"/>
        </w:rPr>
        <w:t>ss</w:t>
      </w:r>
      <w:r w:rsidR="00370B6D" w:rsidRPr="00A83991">
        <w:rPr>
          <w:sz w:val="22"/>
          <w:szCs w:val="22"/>
          <w:lang w:val="sk-SK"/>
        </w:rPr>
        <w:t xml:space="preserve"> pioglitazónu o</w:t>
      </w:r>
      <w:r w:rsidR="00937B29" w:rsidRPr="00A83991">
        <w:rPr>
          <w:sz w:val="22"/>
          <w:szCs w:val="22"/>
          <w:lang w:val="sk-SK"/>
        </w:rPr>
        <w:t> </w:t>
      </w:r>
      <w:r w:rsidR="00370B6D" w:rsidRPr="00A83991">
        <w:rPr>
          <w:sz w:val="22"/>
          <w:szCs w:val="22"/>
          <w:lang w:val="sk-SK"/>
        </w:rPr>
        <w:t>15</w:t>
      </w:r>
      <w:r w:rsidR="00937B29" w:rsidRPr="00A83991">
        <w:rPr>
          <w:sz w:val="22"/>
          <w:szCs w:val="22"/>
          <w:lang w:val="sk-SK"/>
        </w:rPr>
        <w:t> </w:t>
      </w:r>
      <w:r w:rsidR="00370B6D" w:rsidRPr="00A83991">
        <w:rPr>
          <w:sz w:val="22"/>
          <w:szCs w:val="22"/>
          <w:lang w:val="sk-SK"/>
        </w:rPr>
        <w:t>% bez zmeny C</w:t>
      </w:r>
      <w:r w:rsidR="00937B29" w:rsidRPr="00A83991">
        <w:rPr>
          <w:sz w:val="22"/>
          <w:szCs w:val="22"/>
          <w:vertAlign w:val="subscript"/>
          <w:lang w:val="sk-SK"/>
        </w:rPr>
        <w:t>max,ss</w:t>
      </w:r>
      <w:r w:rsidR="00937B29" w:rsidRPr="00A83991">
        <w:rPr>
          <w:sz w:val="22"/>
          <w:szCs w:val="22"/>
          <w:lang w:val="sk-SK"/>
        </w:rPr>
        <w:t xml:space="preserve">. </w:t>
      </w:r>
      <w:r w:rsidR="00370B6D" w:rsidRPr="00A83991">
        <w:rPr>
          <w:sz w:val="22"/>
          <w:szCs w:val="22"/>
          <w:lang w:val="sk-SK"/>
        </w:rPr>
        <w:t>T</w:t>
      </w:r>
      <w:r w:rsidR="00937B29" w:rsidRPr="00A83991">
        <w:rPr>
          <w:sz w:val="22"/>
          <w:szCs w:val="22"/>
          <w:lang w:val="sk-SK"/>
        </w:rPr>
        <w:t>oto zistenie</w:t>
      </w:r>
      <w:r w:rsidR="00370B6D" w:rsidRPr="00A83991">
        <w:rPr>
          <w:sz w:val="22"/>
          <w:szCs w:val="22"/>
          <w:lang w:val="sk-SK"/>
        </w:rPr>
        <w:t xml:space="preserve"> nebol</w:t>
      </w:r>
      <w:r w:rsidR="00937B29" w:rsidRPr="00A83991">
        <w:rPr>
          <w:sz w:val="22"/>
          <w:szCs w:val="22"/>
          <w:lang w:val="sk-SK"/>
        </w:rPr>
        <w:t>o</w:t>
      </w:r>
      <w:r w:rsidR="00370B6D" w:rsidRPr="00A83991">
        <w:rPr>
          <w:sz w:val="22"/>
          <w:szCs w:val="22"/>
          <w:lang w:val="sk-SK"/>
        </w:rPr>
        <w:t xml:space="preserve"> štatisticky významné. </w:t>
      </w:r>
      <w:r w:rsidR="00937B29" w:rsidRPr="00A83991">
        <w:rPr>
          <w:sz w:val="22"/>
          <w:szCs w:val="22"/>
          <w:lang w:val="sk-SK"/>
        </w:rPr>
        <w:t xml:space="preserve">Okrem toho </w:t>
      </w:r>
      <w:r w:rsidR="00370B6D" w:rsidRPr="00A83991">
        <w:rPr>
          <w:sz w:val="22"/>
          <w:szCs w:val="22"/>
          <w:lang w:val="sk-SK"/>
        </w:rPr>
        <w:t>sa pozoroval pokles C</w:t>
      </w:r>
      <w:r w:rsidR="00937B29" w:rsidRPr="00A83991">
        <w:rPr>
          <w:sz w:val="22"/>
          <w:szCs w:val="22"/>
          <w:vertAlign w:val="subscript"/>
          <w:lang w:val="sk-SK"/>
        </w:rPr>
        <w:t>max,ss</w:t>
      </w:r>
      <w:r w:rsidR="00937B29" w:rsidRPr="00A83991">
        <w:rPr>
          <w:sz w:val="22"/>
          <w:szCs w:val="22"/>
          <w:lang w:val="sk-SK"/>
        </w:rPr>
        <w:t xml:space="preserve"> </w:t>
      </w:r>
      <w:r w:rsidR="00370B6D" w:rsidRPr="00A83991">
        <w:rPr>
          <w:sz w:val="22"/>
          <w:szCs w:val="22"/>
          <w:lang w:val="sk-SK"/>
        </w:rPr>
        <w:t>a AUC</w:t>
      </w:r>
      <w:r w:rsidR="00370B6D" w:rsidRPr="00A83991">
        <w:rPr>
          <w:sz w:val="22"/>
          <w:szCs w:val="22"/>
          <w:vertAlign w:val="subscript"/>
          <w:lang w:val="sk-SK"/>
        </w:rPr>
        <w:t>τ ,ss</w:t>
      </w:r>
      <w:r w:rsidR="00937B29" w:rsidRPr="00A83991">
        <w:rPr>
          <w:sz w:val="22"/>
          <w:szCs w:val="22"/>
          <w:vertAlign w:val="subscript"/>
          <w:lang w:val="sk-SK"/>
        </w:rPr>
        <w:t xml:space="preserve"> </w:t>
      </w:r>
      <w:r w:rsidR="00370B6D" w:rsidRPr="00A83991">
        <w:rPr>
          <w:sz w:val="22"/>
          <w:szCs w:val="22"/>
          <w:lang w:val="sk-SK"/>
        </w:rPr>
        <w:t>aktívn</w:t>
      </w:r>
      <w:r w:rsidR="00937B29" w:rsidRPr="00A83991">
        <w:rPr>
          <w:sz w:val="22"/>
          <w:szCs w:val="22"/>
          <w:lang w:val="sk-SK"/>
        </w:rPr>
        <w:t>eho</w:t>
      </w:r>
      <w:r w:rsidR="00370B6D" w:rsidRPr="00A83991">
        <w:rPr>
          <w:sz w:val="22"/>
          <w:szCs w:val="22"/>
          <w:lang w:val="sk-SK"/>
        </w:rPr>
        <w:t xml:space="preserve"> hydroxymetabolit</w:t>
      </w:r>
      <w:r w:rsidR="00937B29" w:rsidRPr="00A83991">
        <w:rPr>
          <w:sz w:val="22"/>
          <w:szCs w:val="22"/>
          <w:lang w:val="sk-SK"/>
        </w:rPr>
        <w:t xml:space="preserve">u </w:t>
      </w:r>
      <w:r w:rsidR="00370B6D" w:rsidRPr="00A83991">
        <w:rPr>
          <w:sz w:val="22"/>
          <w:szCs w:val="22"/>
          <w:lang w:val="sk-SK"/>
        </w:rPr>
        <w:t>(C</w:t>
      </w:r>
      <w:r w:rsidR="00370B6D" w:rsidRPr="00A83991">
        <w:rPr>
          <w:sz w:val="22"/>
          <w:szCs w:val="22"/>
          <w:vertAlign w:val="subscript"/>
          <w:lang w:val="sk-SK"/>
        </w:rPr>
        <w:t xml:space="preserve">max,ss </w:t>
      </w:r>
      <w:r w:rsidR="00370B6D" w:rsidRPr="00A83991">
        <w:rPr>
          <w:sz w:val="22"/>
          <w:szCs w:val="22"/>
          <w:lang w:val="sk-SK"/>
        </w:rPr>
        <w:t>o</w:t>
      </w:r>
      <w:r w:rsidR="00937B29" w:rsidRPr="00A83991">
        <w:rPr>
          <w:sz w:val="22"/>
          <w:szCs w:val="22"/>
          <w:lang w:val="sk-SK"/>
        </w:rPr>
        <w:t> </w:t>
      </w:r>
      <w:r w:rsidR="00370B6D" w:rsidRPr="00A83991">
        <w:rPr>
          <w:sz w:val="22"/>
          <w:szCs w:val="22"/>
          <w:lang w:val="sk-SK"/>
        </w:rPr>
        <w:t>13</w:t>
      </w:r>
      <w:r w:rsidR="00937B29" w:rsidRPr="00A83991">
        <w:rPr>
          <w:sz w:val="22"/>
          <w:szCs w:val="22"/>
          <w:lang w:val="sk-SK"/>
        </w:rPr>
        <w:t> </w:t>
      </w:r>
      <w:r w:rsidR="00370B6D" w:rsidRPr="00A83991">
        <w:rPr>
          <w:sz w:val="22"/>
          <w:szCs w:val="22"/>
          <w:lang w:val="sk-SK"/>
        </w:rPr>
        <w:t xml:space="preserve">% </w:t>
      </w:r>
    </w:p>
    <w:p w:rsidR="00370B6D" w:rsidRPr="00A83991" w:rsidRDefault="00370B6D" w:rsidP="00370B6D">
      <w:pPr>
        <w:rPr>
          <w:sz w:val="22"/>
          <w:szCs w:val="22"/>
          <w:lang w:val="sk-SK"/>
        </w:rPr>
      </w:pPr>
      <w:r w:rsidRPr="00A83991">
        <w:rPr>
          <w:sz w:val="22"/>
          <w:szCs w:val="22"/>
          <w:lang w:val="sk-SK"/>
        </w:rPr>
        <w:t>a</w:t>
      </w:r>
      <w:r w:rsidR="00B97851" w:rsidRPr="00A83991">
        <w:rPr>
          <w:sz w:val="22"/>
          <w:szCs w:val="22"/>
          <w:lang w:val="sk-SK"/>
        </w:rPr>
        <w:t> AUC</w:t>
      </w:r>
      <w:r w:rsidR="00B97851" w:rsidRPr="00A83991">
        <w:rPr>
          <w:sz w:val="22"/>
          <w:szCs w:val="22"/>
          <w:vertAlign w:val="subscript"/>
          <w:lang w:val="sk-SK"/>
        </w:rPr>
        <w:t xml:space="preserve">τ,ss </w:t>
      </w:r>
      <w:r w:rsidRPr="00A83991">
        <w:rPr>
          <w:sz w:val="22"/>
          <w:szCs w:val="22"/>
          <w:lang w:val="sk-SK"/>
        </w:rPr>
        <w:t>o</w:t>
      </w:r>
      <w:r w:rsidR="00B97851" w:rsidRPr="00A83991">
        <w:rPr>
          <w:sz w:val="22"/>
          <w:szCs w:val="22"/>
          <w:lang w:val="sk-SK"/>
        </w:rPr>
        <w:t> </w:t>
      </w:r>
      <w:r w:rsidRPr="00A83991">
        <w:rPr>
          <w:sz w:val="22"/>
          <w:szCs w:val="22"/>
          <w:lang w:val="sk-SK"/>
        </w:rPr>
        <w:t>16</w:t>
      </w:r>
      <w:r w:rsidR="00B97851" w:rsidRPr="00A83991">
        <w:rPr>
          <w:sz w:val="22"/>
          <w:szCs w:val="22"/>
          <w:lang w:val="sk-SK"/>
        </w:rPr>
        <w:t> </w:t>
      </w:r>
      <w:r w:rsidRPr="00A83991">
        <w:rPr>
          <w:sz w:val="22"/>
          <w:szCs w:val="22"/>
          <w:lang w:val="sk-SK"/>
        </w:rPr>
        <w:t>% ), ako aj 60</w:t>
      </w:r>
      <w:r w:rsidR="00B97851" w:rsidRPr="00A83991">
        <w:rPr>
          <w:sz w:val="22"/>
          <w:szCs w:val="22"/>
          <w:lang w:val="sk-SK"/>
        </w:rPr>
        <w:t> </w:t>
      </w:r>
      <w:r w:rsidRPr="00A83991">
        <w:rPr>
          <w:sz w:val="22"/>
          <w:szCs w:val="22"/>
          <w:lang w:val="sk-SK"/>
        </w:rPr>
        <w:t>% pokles C</w:t>
      </w:r>
      <w:r w:rsidRPr="00A83991">
        <w:rPr>
          <w:sz w:val="22"/>
          <w:szCs w:val="22"/>
          <w:vertAlign w:val="subscript"/>
          <w:lang w:val="sk-SK"/>
        </w:rPr>
        <w:t xml:space="preserve">max,ss </w:t>
      </w:r>
      <w:r w:rsidRPr="00A83991">
        <w:rPr>
          <w:sz w:val="22"/>
          <w:szCs w:val="22"/>
          <w:lang w:val="sk-SK"/>
        </w:rPr>
        <w:t xml:space="preserve">a </w:t>
      </w:r>
      <w:r w:rsidR="00B97851" w:rsidRPr="00A83991">
        <w:rPr>
          <w:sz w:val="22"/>
          <w:szCs w:val="22"/>
          <w:lang w:val="sk-SK"/>
        </w:rPr>
        <w:t>AUC</w:t>
      </w:r>
      <w:r w:rsidR="00B97851" w:rsidRPr="00A83991">
        <w:rPr>
          <w:sz w:val="22"/>
          <w:szCs w:val="22"/>
          <w:vertAlign w:val="subscript"/>
          <w:lang w:val="sk-SK"/>
        </w:rPr>
        <w:t xml:space="preserve">τ,ss </w:t>
      </w:r>
      <w:r w:rsidRPr="00A83991">
        <w:rPr>
          <w:sz w:val="22"/>
          <w:szCs w:val="22"/>
          <w:lang w:val="sk-SK"/>
        </w:rPr>
        <w:t>aktívn</w:t>
      </w:r>
      <w:r w:rsidR="00B97851" w:rsidRPr="00A83991">
        <w:rPr>
          <w:sz w:val="22"/>
          <w:szCs w:val="22"/>
          <w:lang w:val="sk-SK"/>
        </w:rPr>
        <w:t>eho</w:t>
      </w:r>
      <w:r w:rsidRPr="00A83991">
        <w:rPr>
          <w:sz w:val="22"/>
          <w:szCs w:val="22"/>
          <w:lang w:val="sk-SK"/>
        </w:rPr>
        <w:t xml:space="preserve"> ketometabolit</w:t>
      </w:r>
      <w:r w:rsidR="00B97851" w:rsidRPr="00A83991">
        <w:rPr>
          <w:sz w:val="22"/>
          <w:szCs w:val="22"/>
          <w:lang w:val="sk-SK"/>
        </w:rPr>
        <w:t xml:space="preserve">u. </w:t>
      </w:r>
      <w:r w:rsidRPr="00A83991">
        <w:rPr>
          <w:sz w:val="22"/>
          <w:szCs w:val="22"/>
          <w:lang w:val="sk-SK"/>
        </w:rPr>
        <w:t>Klinick</w:t>
      </w:r>
      <w:r w:rsidR="00B97851" w:rsidRPr="00A83991">
        <w:rPr>
          <w:sz w:val="22"/>
          <w:szCs w:val="22"/>
          <w:lang w:val="sk-SK"/>
        </w:rPr>
        <w:t>ý</w:t>
      </w:r>
      <w:r w:rsidRPr="00A83991">
        <w:rPr>
          <w:sz w:val="22"/>
          <w:szCs w:val="22"/>
          <w:lang w:val="sk-SK"/>
        </w:rPr>
        <w:t xml:space="preserve"> význam týchto </w:t>
      </w:r>
      <w:r w:rsidR="00B97851" w:rsidRPr="00A83991">
        <w:rPr>
          <w:sz w:val="22"/>
          <w:szCs w:val="22"/>
          <w:lang w:val="sk-SK"/>
        </w:rPr>
        <w:t xml:space="preserve">zistení </w:t>
      </w:r>
      <w:r w:rsidRPr="00A83991">
        <w:rPr>
          <w:sz w:val="22"/>
          <w:szCs w:val="22"/>
          <w:lang w:val="sk-SK"/>
        </w:rPr>
        <w:t>nie je znám</w:t>
      </w:r>
      <w:r w:rsidR="00B97851" w:rsidRPr="00A83991">
        <w:rPr>
          <w:sz w:val="22"/>
          <w:szCs w:val="22"/>
          <w:lang w:val="sk-SK"/>
        </w:rPr>
        <w:t>y</w:t>
      </w:r>
      <w:r w:rsidRPr="00A83991">
        <w:rPr>
          <w:sz w:val="22"/>
          <w:szCs w:val="22"/>
          <w:lang w:val="sk-SK"/>
        </w:rPr>
        <w:t xml:space="preserve">. Ak sa </w:t>
      </w:r>
      <w:r w:rsidR="00B97851" w:rsidRPr="00A83991">
        <w:rPr>
          <w:sz w:val="22"/>
          <w:szCs w:val="22"/>
          <w:lang w:val="sk-SK"/>
        </w:rPr>
        <w:t xml:space="preserve">Talopam </w:t>
      </w:r>
      <w:r w:rsidRPr="00A83991">
        <w:rPr>
          <w:sz w:val="22"/>
          <w:szCs w:val="22"/>
          <w:lang w:val="sk-SK"/>
        </w:rPr>
        <w:t>pridáva</w:t>
      </w:r>
      <w:r w:rsidR="00B97851" w:rsidRPr="00A83991">
        <w:rPr>
          <w:sz w:val="22"/>
          <w:szCs w:val="22"/>
          <w:lang w:val="sk-SK"/>
        </w:rPr>
        <w:t xml:space="preserve"> k </w:t>
      </w:r>
      <w:r w:rsidRPr="00A83991">
        <w:rPr>
          <w:sz w:val="22"/>
          <w:szCs w:val="22"/>
          <w:lang w:val="sk-SK"/>
        </w:rPr>
        <w:t>liečbe</w:t>
      </w:r>
      <w:r w:rsidR="00B97851" w:rsidRPr="00A83991">
        <w:rPr>
          <w:sz w:val="22"/>
          <w:szCs w:val="22"/>
          <w:lang w:val="sk-SK"/>
        </w:rPr>
        <w:t xml:space="preserve"> pioglitazónom alebo pioglitazón k liečbe Talopamom</w:t>
      </w:r>
      <w:r w:rsidRPr="00A83991">
        <w:rPr>
          <w:sz w:val="22"/>
          <w:szCs w:val="22"/>
          <w:lang w:val="sk-SK"/>
        </w:rPr>
        <w:t>, je potrebné venovať starostlivú pozornosť rutinnému monitorovaniu pacientov za účelom adekvátnej kontroly ich diabetu.</w:t>
      </w:r>
    </w:p>
    <w:p w:rsidR="00B22177" w:rsidRPr="00A83991" w:rsidRDefault="00B22177" w:rsidP="00B22177">
      <w:pPr>
        <w:rPr>
          <w:rStyle w:val="Underline"/>
          <w:bCs/>
          <w:i/>
          <w:sz w:val="22"/>
          <w:szCs w:val="22"/>
          <w:u w:val="none"/>
          <w:lang w:val="sk-SK"/>
        </w:rPr>
      </w:pPr>
    </w:p>
    <w:p w:rsidR="00B97851" w:rsidRPr="00A83991" w:rsidRDefault="00007C59" w:rsidP="000971FE">
      <w:pPr>
        <w:keepNext/>
        <w:rPr>
          <w:bCs/>
          <w:i/>
          <w:sz w:val="22"/>
          <w:szCs w:val="22"/>
          <w:lang w:val="sk-SK"/>
        </w:rPr>
      </w:pPr>
      <w:r w:rsidRPr="00A83991">
        <w:rPr>
          <w:bCs/>
          <w:i/>
          <w:sz w:val="22"/>
          <w:szCs w:val="22"/>
          <w:lang w:val="sk-SK"/>
        </w:rPr>
        <w:t>Glibenklamid</w:t>
      </w:r>
    </w:p>
    <w:p w:rsidR="00B97851" w:rsidRPr="00A83991" w:rsidRDefault="00B97851" w:rsidP="000971FE">
      <w:pPr>
        <w:keepNext/>
        <w:rPr>
          <w:bCs/>
          <w:i/>
          <w:sz w:val="22"/>
          <w:szCs w:val="22"/>
          <w:lang w:val="sk-SK"/>
        </w:rPr>
      </w:pPr>
    </w:p>
    <w:p w:rsidR="00DF6508" w:rsidRPr="00A83991" w:rsidRDefault="00B43AB9" w:rsidP="00007C59">
      <w:pPr>
        <w:rPr>
          <w:bCs/>
          <w:sz w:val="22"/>
          <w:szCs w:val="22"/>
          <w:lang w:val="sk-SK"/>
        </w:rPr>
      </w:pPr>
      <w:r w:rsidRPr="00A83991">
        <w:rPr>
          <w:sz w:val="22"/>
          <w:szCs w:val="22"/>
          <w:lang w:val="sk-SK"/>
        </w:rPr>
        <w:t xml:space="preserve">Štúdia liekových interakcií </w:t>
      </w:r>
      <w:r w:rsidR="00B97851" w:rsidRPr="00A83991">
        <w:rPr>
          <w:sz w:val="22"/>
          <w:szCs w:val="22"/>
          <w:lang w:val="sk-SK"/>
        </w:rPr>
        <w:t xml:space="preserve">uskutočnená </w:t>
      </w:r>
      <w:r w:rsidR="00007C59" w:rsidRPr="00A83991">
        <w:rPr>
          <w:bCs/>
          <w:sz w:val="22"/>
          <w:szCs w:val="22"/>
          <w:lang w:val="sk-SK"/>
        </w:rPr>
        <w:t>u pacientov s</w:t>
      </w:r>
      <w:r w:rsidR="00B97851" w:rsidRPr="00A83991">
        <w:rPr>
          <w:bCs/>
          <w:sz w:val="22"/>
          <w:szCs w:val="22"/>
          <w:lang w:val="sk-SK"/>
        </w:rPr>
        <w:t> </w:t>
      </w:r>
      <w:r w:rsidR="00007C59" w:rsidRPr="00A83991">
        <w:rPr>
          <w:bCs/>
          <w:sz w:val="22"/>
          <w:szCs w:val="22"/>
          <w:lang w:val="sk-SK"/>
        </w:rPr>
        <w:t>diabet</w:t>
      </w:r>
      <w:r w:rsidR="00B97851" w:rsidRPr="00A83991">
        <w:rPr>
          <w:bCs/>
          <w:sz w:val="22"/>
          <w:szCs w:val="22"/>
          <w:lang w:val="sk-SK"/>
        </w:rPr>
        <w:t xml:space="preserve">om </w:t>
      </w:r>
      <w:r w:rsidR="00007C59" w:rsidRPr="00A83991">
        <w:rPr>
          <w:bCs/>
          <w:sz w:val="22"/>
          <w:szCs w:val="22"/>
          <w:lang w:val="sk-SK"/>
        </w:rPr>
        <w:t>mellitus typ</w:t>
      </w:r>
      <w:r w:rsidR="00B97851" w:rsidRPr="00A83991">
        <w:rPr>
          <w:bCs/>
          <w:sz w:val="22"/>
          <w:szCs w:val="22"/>
          <w:lang w:val="sk-SK"/>
        </w:rPr>
        <w:t xml:space="preserve">u 2 </w:t>
      </w:r>
      <w:r w:rsidR="00007C59" w:rsidRPr="00A83991">
        <w:rPr>
          <w:bCs/>
          <w:sz w:val="22"/>
          <w:szCs w:val="22"/>
          <w:lang w:val="sk-SK"/>
        </w:rPr>
        <w:t>hodnotil</w:t>
      </w:r>
      <w:r w:rsidR="00857B2A" w:rsidRPr="00A83991">
        <w:rPr>
          <w:bCs/>
          <w:sz w:val="22"/>
          <w:szCs w:val="22"/>
          <w:lang w:val="sk-SK"/>
        </w:rPr>
        <w:t>a</w:t>
      </w:r>
      <w:r w:rsidR="00DF6508" w:rsidRPr="00A83991">
        <w:rPr>
          <w:bCs/>
          <w:sz w:val="22"/>
          <w:szCs w:val="22"/>
          <w:lang w:val="sk-SK"/>
        </w:rPr>
        <w:t xml:space="preserve"> farmakokinetiku </w:t>
      </w:r>
      <w:r w:rsidR="00007C59" w:rsidRPr="00A83991">
        <w:rPr>
          <w:bCs/>
          <w:sz w:val="22"/>
          <w:szCs w:val="22"/>
          <w:lang w:val="sk-SK"/>
        </w:rPr>
        <w:t>rovnovážn</w:t>
      </w:r>
      <w:r w:rsidR="00DF6508" w:rsidRPr="00A83991">
        <w:rPr>
          <w:bCs/>
          <w:sz w:val="22"/>
          <w:szCs w:val="22"/>
          <w:lang w:val="sk-SK"/>
        </w:rPr>
        <w:t xml:space="preserve">eho stavu samotného </w:t>
      </w:r>
      <w:r w:rsidR="00007C59" w:rsidRPr="00A83991">
        <w:rPr>
          <w:bCs/>
          <w:sz w:val="22"/>
          <w:szCs w:val="22"/>
          <w:lang w:val="sk-SK"/>
        </w:rPr>
        <w:t>glibe</w:t>
      </w:r>
      <w:r w:rsidR="00DF6508" w:rsidRPr="00A83991">
        <w:rPr>
          <w:bCs/>
          <w:sz w:val="22"/>
          <w:szCs w:val="22"/>
          <w:lang w:val="sk-SK"/>
        </w:rPr>
        <w:t>n</w:t>
      </w:r>
      <w:r w:rsidR="00007C59" w:rsidRPr="00A83991">
        <w:rPr>
          <w:bCs/>
          <w:sz w:val="22"/>
          <w:szCs w:val="22"/>
          <w:lang w:val="sk-SK"/>
        </w:rPr>
        <w:t>k</w:t>
      </w:r>
      <w:r w:rsidR="00DF6508" w:rsidRPr="00A83991">
        <w:rPr>
          <w:bCs/>
          <w:sz w:val="22"/>
          <w:szCs w:val="22"/>
          <w:lang w:val="sk-SK"/>
        </w:rPr>
        <w:t>l</w:t>
      </w:r>
      <w:r w:rsidR="00007C59" w:rsidRPr="00A83991">
        <w:rPr>
          <w:bCs/>
          <w:sz w:val="22"/>
          <w:szCs w:val="22"/>
          <w:lang w:val="sk-SK"/>
        </w:rPr>
        <w:t>amidu (5 mg/deň) a</w:t>
      </w:r>
      <w:r w:rsidR="00DF6508" w:rsidRPr="00A83991">
        <w:rPr>
          <w:bCs/>
          <w:sz w:val="22"/>
          <w:szCs w:val="22"/>
          <w:lang w:val="sk-SK"/>
        </w:rPr>
        <w:t> </w:t>
      </w:r>
      <w:r w:rsidR="00007C59" w:rsidRPr="00A83991">
        <w:rPr>
          <w:bCs/>
          <w:sz w:val="22"/>
          <w:szCs w:val="22"/>
          <w:lang w:val="sk-SK"/>
        </w:rPr>
        <w:t>pod</w:t>
      </w:r>
      <w:r w:rsidR="00DF6508" w:rsidRPr="00A83991">
        <w:rPr>
          <w:bCs/>
          <w:sz w:val="22"/>
          <w:szCs w:val="22"/>
          <w:lang w:val="sk-SK"/>
        </w:rPr>
        <w:t xml:space="preserve">ávaného </w:t>
      </w:r>
      <w:r w:rsidR="00007C59" w:rsidRPr="00A83991">
        <w:rPr>
          <w:bCs/>
          <w:sz w:val="22"/>
          <w:szCs w:val="22"/>
          <w:lang w:val="sk-SK"/>
        </w:rPr>
        <w:t xml:space="preserve">súbežne s topiramátom (150 mg/deň). </w:t>
      </w:r>
      <w:r w:rsidR="00DF6508" w:rsidRPr="00A83991">
        <w:rPr>
          <w:bCs/>
          <w:sz w:val="22"/>
          <w:szCs w:val="22"/>
          <w:lang w:val="sk-SK"/>
        </w:rPr>
        <w:t xml:space="preserve">Počas podávania topiramátu sa zaznamenalo </w:t>
      </w:r>
      <w:r w:rsidR="00007C59" w:rsidRPr="00A83991">
        <w:rPr>
          <w:bCs/>
          <w:sz w:val="22"/>
          <w:szCs w:val="22"/>
          <w:lang w:val="sk-SK"/>
        </w:rPr>
        <w:t>25</w:t>
      </w:r>
      <w:r w:rsidR="00DF6508" w:rsidRPr="00A83991">
        <w:rPr>
          <w:bCs/>
          <w:sz w:val="22"/>
          <w:szCs w:val="22"/>
          <w:lang w:val="sk-SK"/>
        </w:rPr>
        <w:t> </w:t>
      </w:r>
      <w:r w:rsidR="00007C59" w:rsidRPr="00A83991">
        <w:rPr>
          <w:bCs/>
          <w:sz w:val="22"/>
          <w:szCs w:val="22"/>
          <w:lang w:val="sk-SK"/>
        </w:rPr>
        <w:t>% zníženie AUC</w:t>
      </w:r>
      <w:r w:rsidR="00007C59" w:rsidRPr="00A83991">
        <w:rPr>
          <w:bCs/>
          <w:sz w:val="22"/>
          <w:szCs w:val="22"/>
          <w:vertAlign w:val="subscript"/>
          <w:lang w:val="sk-SK"/>
        </w:rPr>
        <w:t>24</w:t>
      </w:r>
      <w:r w:rsidR="00DF6508" w:rsidRPr="00A83991">
        <w:rPr>
          <w:bCs/>
          <w:sz w:val="22"/>
          <w:szCs w:val="22"/>
          <w:lang w:val="sk-SK"/>
        </w:rPr>
        <w:t xml:space="preserve"> glibenklamidu</w:t>
      </w:r>
      <w:r w:rsidR="00007C59" w:rsidRPr="00A83991">
        <w:rPr>
          <w:bCs/>
          <w:sz w:val="22"/>
          <w:szCs w:val="22"/>
          <w:lang w:val="sk-SK"/>
        </w:rPr>
        <w:t>.</w:t>
      </w:r>
      <w:r w:rsidR="00DF6508" w:rsidRPr="00A83991">
        <w:rPr>
          <w:bCs/>
          <w:sz w:val="22"/>
          <w:szCs w:val="22"/>
          <w:lang w:val="sk-SK"/>
        </w:rPr>
        <w:t xml:space="preserve"> </w:t>
      </w:r>
      <w:r w:rsidR="00007C59" w:rsidRPr="00A83991">
        <w:rPr>
          <w:bCs/>
          <w:sz w:val="22"/>
          <w:szCs w:val="22"/>
          <w:lang w:val="sk-SK"/>
        </w:rPr>
        <w:t>Systémová expozícia aktívny</w:t>
      </w:r>
      <w:r w:rsidR="00DF6508" w:rsidRPr="00A83991">
        <w:rPr>
          <w:bCs/>
          <w:sz w:val="22"/>
          <w:szCs w:val="22"/>
          <w:lang w:val="sk-SK"/>
        </w:rPr>
        <w:t>ch</w:t>
      </w:r>
      <w:r w:rsidR="00007C59" w:rsidRPr="00A83991">
        <w:rPr>
          <w:bCs/>
          <w:sz w:val="22"/>
          <w:szCs w:val="22"/>
          <w:lang w:val="sk-SK"/>
        </w:rPr>
        <w:t xml:space="preserve"> metabolitov </w:t>
      </w:r>
      <w:r w:rsidR="00E00D50" w:rsidRPr="00A83991">
        <w:rPr>
          <w:bCs/>
          <w:sz w:val="22"/>
          <w:szCs w:val="22"/>
          <w:lang w:val="sk-SK"/>
        </w:rPr>
        <w:t>bola znížená o</w:t>
      </w:r>
      <w:r w:rsidR="00DF6508" w:rsidRPr="00A83991">
        <w:rPr>
          <w:bCs/>
          <w:sz w:val="22"/>
          <w:szCs w:val="22"/>
          <w:lang w:val="sk-SK"/>
        </w:rPr>
        <w:t> </w:t>
      </w:r>
      <w:r w:rsidR="00E00D50" w:rsidRPr="00A83991">
        <w:rPr>
          <w:bCs/>
          <w:sz w:val="22"/>
          <w:szCs w:val="22"/>
          <w:lang w:val="sk-SK"/>
        </w:rPr>
        <w:t>13</w:t>
      </w:r>
      <w:r w:rsidR="00DF6508" w:rsidRPr="00A83991">
        <w:rPr>
          <w:bCs/>
          <w:sz w:val="22"/>
          <w:szCs w:val="22"/>
          <w:lang w:val="sk-SK"/>
        </w:rPr>
        <w:t> </w:t>
      </w:r>
      <w:r w:rsidR="00E00D50" w:rsidRPr="00A83991">
        <w:rPr>
          <w:bCs/>
          <w:sz w:val="22"/>
          <w:szCs w:val="22"/>
          <w:lang w:val="sk-SK"/>
        </w:rPr>
        <w:t>% u</w:t>
      </w:r>
      <w:r w:rsidR="00DF6508" w:rsidRPr="00A83991">
        <w:rPr>
          <w:bCs/>
          <w:sz w:val="22"/>
          <w:szCs w:val="22"/>
          <w:lang w:val="sk-SK"/>
        </w:rPr>
        <w:t> </w:t>
      </w:r>
      <w:r w:rsidR="00007C59" w:rsidRPr="00A83991">
        <w:rPr>
          <w:bCs/>
          <w:sz w:val="22"/>
          <w:szCs w:val="22"/>
          <w:lang w:val="sk-SK"/>
        </w:rPr>
        <w:t>4</w:t>
      </w:r>
      <w:r w:rsidR="00DF6508" w:rsidRPr="00A83991">
        <w:rPr>
          <w:bCs/>
          <w:sz w:val="22"/>
          <w:szCs w:val="22"/>
          <w:lang w:val="sk-SK"/>
        </w:rPr>
        <w:noBreakHyphen/>
      </w:r>
      <w:r w:rsidR="00DF6508" w:rsidRPr="00A83991">
        <w:rPr>
          <w:bCs/>
          <w:i/>
          <w:sz w:val="22"/>
          <w:szCs w:val="22"/>
          <w:lang w:val="sk-SK"/>
        </w:rPr>
        <w:t>trans</w:t>
      </w:r>
      <w:r w:rsidR="00DF6508" w:rsidRPr="00A83991">
        <w:rPr>
          <w:bCs/>
          <w:i/>
          <w:sz w:val="22"/>
          <w:szCs w:val="22"/>
          <w:lang w:val="sk-SK"/>
        </w:rPr>
        <w:noBreakHyphen/>
      </w:r>
      <w:r w:rsidR="00007C59" w:rsidRPr="00A83991">
        <w:rPr>
          <w:bCs/>
          <w:sz w:val="22"/>
          <w:szCs w:val="22"/>
          <w:lang w:val="sk-SK"/>
        </w:rPr>
        <w:t>hydroxyglibenklamid</w:t>
      </w:r>
      <w:r w:rsidR="00DF6508" w:rsidRPr="00A83991">
        <w:rPr>
          <w:bCs/>
          <w:sz w:val="22"/>
          <w:szCs w:val="22"/>
          <w:lang w:val="sk-SK"/>
        </w:rPr>
        <w:t>u</w:t>
      </w:r>
      <w:r w:rsidR="00007C59" w:rsidRPr="00A83991">
        <w:rPr>
          <w:bCs/>
          <w:sz w:val="22"/>
          <w:szCs w:val="22"/>
          <w:lang w:val="sk-SK"/>
        </w:rPr>
        <w:t xml:space="preserve"> (M1) </w:t>
      </w:r>
      <w:r w:rsidR="00E00D50" w:rsidRPr="00A83991">
        <w:rPr>
          <w:bCs/>
          <w:sz w:val="22"/>
          <w:szCs w:val="22"/>
          <w:lang w:val="sk-SK"/>
        </w:rPr>
        <w:t>a</w:t>
      </w:r>
      <w:r w:rsidR="00DF6508" w:rsidRPr="00A83991">
        <w:rPr>
          <w:bCs/>
          <w:sz w:val="22"/>
          <w:szCs w:val="22"/>
          <w:lang w:val="sk-SK"/>
        </w:rPr>
        <w:t> o </w:t>
      </w:r>
      <w:r w:rsidR="00E00D50" w:rsidRPr="00A83991">
        <w:rPr>
          <w:bCs/>
          <w:sz w:val="22"/>
          <w:szCs w:val="22"/>
          <w:lang w:val="sk-SK"/>
        </w:rPr>
        <w:t>15</w:t>
      </w:r>
      <w:r w:rsidR="00DF6508" w:rsidRPr="00A83991">
        <w:rPr>
          <w:bCs/>
          <w:sz w:val="22"/>
          <w:szCs w:val="22"/>
          <w:lang w:val="sk-SK"/>
        </w:rPr>
        <w:t> </w:t>
      </w:r>
      <w:r w:rsidR="00E00D50" w:rsidRPr="00A83991">
        <w:rPr>
          <w:bCs/>
          <w:sz w:val="22"/>
          <w:szCs w:val="22"/>
          <w:lang w:val="sk-SK"/>
        </w:rPr>
        <w:t>% u</w:t>
      </w:r>
      <w:r w:rsidR="00DF6508" w:rsidRPr="00A83991">
        <w:rPr>
          <w:bCs/>
          <w:sz w:val="22"/>
          <w:szCs w:val="22"/>
          <w:lang w:val="sk-SK"/>
        </w:rPr>
        <w:t> </w:t>
      </w:r>
      <w:r w:rsidR="00007C59" w:rsidRPr="00A83991">
        <w:rPr>
          <w:bCs/>
          <w:sz w:val="22"/>
          <w:szCs w:val="22"/>
          <w:lang w:val="sk-SK"/>
        </w:rPr>
        <w:t>3</w:t>
      </w:r>
      <w:r w:rsidR="00DF6508" w:rsidRPr="00A83991">
        <w:rPr>
          <w:bCs/>
          <w:sz w:val="22"/>
          <w:szCs w:val="22"/>
          <w:lang w:val="sk-SK"/>
        </w:rPr>
        <w:noBreakHyphen/>
      </w:r>
      <w:r w:rsidR="00007C59" w:rsidRPr="00A83991">
        <w:rPr>
          <w:bCs/>
          <w:sz w:val="22"/>
          <w:szCs w:val="22"/>
          <w:lang w:val="sk-SK"/>
        </w:rPr>
        <w:t>cis</w:t>
      </w:r>
      <w:r w:rsidR="00DF6508" w:rsidRPr="00A83991">
        <w:rPr>
          <w:bCs/>
          <w:sz w:val="22"/>
          <w:szCs w:val="22"/>
          <w:lang w:val="sk-SK"/>
        </w:rPr>
        <w:noBreakHyphen/>
      </w:r>
      <w:r w:rsidR="00007C59" w:rsidRPr="00A83991">
        <w:rPr>
          <w:bCs/>
          <w:sz w:val="22"/>
          <w:szCs w:val="22"/>
          <w:lang w:val="sk-SK"/>
        </w:rPr>
        <w:t>hydroxyglibenklamid (M2)</w:t>
      </w:r>
      <w:r w:rsidR="00DF6508" w:rsidRPr="00A83991">
        <w:rPr>
          <w:bCs/>
          <w:sz w:val="22"/>
          <w:szCs w:val="22"/>
          <w:lang w:val="sk-SK"/>
        </w:rPr>
        <w:t xml:space="preserve">. Pri súbežnom podávaní glibenklamidu </w:t>
      </w:r>
      <w:r w:rsidR="00007C59" w:rsidRPr="00A83991">
        <w:rPr>
          <w:bCs/>
          <w:sz w:val="22"/>
          <w:szCs w:val="22"/>
          <w:lang w:val="sk-SK"/>
        </w:rPr>
        <w:t xml:space="preserve">nebol </w:t>
      </w:r>
      <w:r w:rsidR="00DF6508" w:rsidRPr="00A83991">
        <w:rPr>
          <w:bCs/>
          <w:sz w:val="22"/>
          <w:szCs w:val="22"/>
          <w:lang w:val="sk-SK"/>
        </w:rPr>
        <w:t xml:space="preserve">rovnovážny stav farmakokinetiky topiramátu ovplyvnený. </w:t>
      </w:r>
    </w:p>
    <w:p w:rsidR="00DF6508" w:rsidRPr="00A83991" w:rsidRDefault="00DF6508" w:rsidP="00007C59">
      <w:pPr>
        <w:rPr>
          <w:bCs/>
          <w:sz w:val="22"/>
          <w:szCs w:val="22"/>
          <w:lang w:val="sk-SK"/>
        </w:rPr>
      </w:pPr>
    </w:p>
    <w:p w:rsidR="00007C59" w:rsidRPr="00A83991" w:rsidRDefault="00007C59" w:rsidP="00007C59">
      <w:pPr>
        <w:rPr>
          <w:bCs/>
          <w:sz w:val="22"/>
          <w:szCs w:val="22"/>
          <w:lang w:val="sk-SK"/>
        </w:rPr>
      </w:pPr>
      <w:r w:rsidRPr="00A83991">
        <w:rPr>
          <w:bCs/>
          <w:sz w:val="22"/>
          <w:szCs w:val="22"/>
          <w:lang w:val="sk-SK"/>
        </w:rPr>
        <w:t>Ak sa topiramát pridá</w:t>
      </w:r>
      <w:r w:rsidR="00E12025" w:rsidRPr="00A83991">
        <w:rPr>
          <w:bCs/>
          <w:sz w:val="22"/>
          <w:szCs w:val="22"/>
          <w:lang w:val="sk-SK"/>
        </w:rPr>
        <w:t>va</w:t>
      </w:r>
      <w:r w:rsidRPr="00A83991">
        <w:rPr>
          <w:bCs/>
          <w:sz w:val="22"/>
          <w:szCs w:val="22"/>
          <w:lang w:val="sk-SK"/>
        </w:rPr>
        <w:t xml:space="preserve"> k</w:t>
      </w:r>
      <w:r w:rsidR="00E12025" w:rsidRPr="00A83991">
        <w:rPr>
          <w:bCs/>
          <w:sz w:val="22"/>
          <w:szCs w:val="22"/>
          <w:lang w:val="sk-SK"/>
        </w:rPr>
        <w:t> </w:t>
      </w:r>
      <w:r w:rsidR="00075AA7" w:rsidRPr="00A83991">
        <w:rPr>
          <w:bCs/>
          <w:sz w:val="22"/>
          <w:szCs w:val="22"/>
          <w:lang w:val="sk-SK"/>
        </w:rPr>
        <w:t>liečbe</w:t>
      </w:r>
      <w:r w:rsidR="00E12025" w:rsidRPr="00A83991">
        <w:rPr>
          <w:bCs/>
          <w:sz w:val="22"/>
          <w:szCs w:val="22"/>
          <w:lang w:val="sk-SK"/>
        </w:rPr>
        <w:t xml:space="preserve"> </w:t>
      </w:r>
      <w:r w:rsidRPr="00A83991">
        <w:rPr>
          <w:bCs/>
          <w:sz w:val="22"/>
          <w:szCs w:val="22"/>
          <w:lang w:val="sk-SK"/>
        </w:rPr>
        <w:t>glibenklamid</w:t>
      </w:r>
      <w:r w:rsidR="00075AA7" w:rsidRPr="00A83991">
        <w:rPr>
          <w:bCs/>
          <w:sz w:val="22"/>
          <w:szCs w:val="22"/>
          <w:lang w:val="sk-SK"/>
        </w:rPr>
        <w:t>om</w:t>
      </w:r>
      <w:r w:rsidRPr="00A83991">
        <w:rPr>
          <w:bCs/>
          <w:sz w:val="22"/>
          <w:szCs w:val="22"/>
          <w:lang w:val="sk-SK"/>
        </w:rPr>
        <w:t xml:space="preserve"> alebo sa glibenklamid pridá</w:t>
      </w:r>
      <w:r w:rsidR="00E12025" w:rsidRPr="00A83991">
        <w:rPr>
          <w:bCs/>
          <w:sz w:val="22"/>
          <w:szCs w:val="22"/>
          <w:lang w:val="sk-SK"/>
        </w:rPr>
        <w:t>va</w:t>
      </w:r>
      <w:r w:rsidRPr="00A83991">
        <w:rPr>
          <w:bCs/>
          <w:sz w:val="22"/>
          <w:szCs w:val="22"/>
          <w:lang w:val="sk-SK"/>
        </w:rPr>
        <w:t xml:space="preserve"> </w:t>
      </w:r>
      <w:r w:rsidR="00E12025" w:rsidRPr="00A83991">
        <w:rPr>
          <w:bCs/>
          <w:sz w:val="22"/>
          <w:szCs w:val="22"/>
          <w:lang w:val="sk-SK"/>
        </w:rPr>
        <w:t>k</w:t>
      </w:r>
      <w:r w:rsidRPr="00A83991">
        <w:rPr>
          <w:bCs/>
          <w:sz w:val="22"/>
          <w:szCs w:val="22"/>
          <w:lang w:val="sk-SK"/>
        </w:rPr>
        <w:t xml:space="preserve"> existujúcej liečbe topiramátom, je </w:t>
      </w:r>
      <w:r w:rsidR="00075AA7" w:rsidRPr="00A83991">
        <w:rPr>
          <w:bCs/>
          <w:sz w:val="22"/>
          <w:szCs w:val="22"/>
          <w:lang w:val="sk-SK"/>
        </w:rPr>
        <w:t xml:space="preserve">potrebné </w:t>
      </w:r>
      <w:r w:rsidRPr="00A83991">
        <w:rPr>
          <w:bCs/>
          <w:sz w:val="22"/>
          <w:szCs w:val="22"/>
          <w:lang w:val="sk-SK"/>
        </w:rPr>
        <w:t>starostliv</w:t>
      </w:r>
      <w:r w:rsidR="00075AA7" w:rsidRPr="00A83991">
        <w:rPr>
          <w:bCs/>
          <w:sz w:val="22"/>
          <w:szCs w:val="22"/>
          <w:lang w:val="sk-SK"/>
        </w:rPr>
        <w:t>o</w:t>
      </w:r>
      <w:r w:rsidRPr="00A83991">
        <w:rPr>
          <w:bCs/>
          <w:sz w:val="22"/>
          <w:szCs w:val="22"/>
          <w:lang w:val="sk-SK"/>
        </w:rPr>
        <w:t xml:space="preserve"> monitorova</w:t>
      </w:r>
      <w:r w:rsidR="00075AA7" w:rsidRPr="00A83991">
        <w:rPr>
          <w:bCs/>
          <w:sz w:val="22"/>
          <w:szCs w:val="22"/>
          <w:lang w:val="sk-SK"/>
        </w:rPr>
        <w:t>ť</w:t>
      </w:r>
      <w:r w:rsidR="006E4CDB" w:rsidRPr="00A83991">
        <w:rPr>
          <w:bCs/>
          <w:sz w:val="22"/>
          <w:szCs w:val="22"/>
          <w:lang w:val="sk-SK"/>
        </w:rPr>
        <w:t xml:space="preserve"> pacientov</w:t>
      </w:r>
      <w:r w:rsidRPr="00A83991">
        <w:rPr>
          <w:bCs/>
          <w:sz w:val="22"/>
          <w:szCs w:val="22"/>
          <w:lang w:val="sk-SK"/>
        </w:rPr>
        <w:t xml:space="preserve"> za účelom zabezpečenia adekvátnej kontroly </w:t>
      </w:r>
      <w:r w:rsidR="004003A6" w:rsidRPr="00A83991">
        <w:rPr>
          <w:bCs/>
          <w:sz w:val="22"/>
          <w:szCs w:val="22"/>
          <w:lang w:val="sk-SK"/>
        </w:rPr>
        <w:t xml:space="preserve">ich </w:t>
      </w:r>
      <w:r w:rsidRPr="00A83991">
        <w:rPr>
          <w:bCs/>
          <w:sz w:val="22"/>
          <w:szCs w:val="22"/>
          <w:lang w:val="sk-SK"/>
        </w:rPr>
        <w:t>diabet</w:t>
      </w:r>
      <w:r w:rsidR="004003A6" w:rsidRPr="00A83991">
        <w:rPr>
          <w:bCs/>
          <w:sz w:val="22"/>
          <w:szCs w:val="22"/>
          <w:lang w:val="sk-SK"/>
        </w:rPr>
        <w:t>u</w:t>
      </w:r>
      <w:r w:rsidRPr="00A83991">
        <w:rPr>
          <w:bCs/>
          <w:sz w:val="22"/>
          <w:szCs w:val="22"/>
          <w:lang w:val="sk-SK"/>
        </w:rPr>
        <w:t>.</w:t>
      </w:r>
    </w:p>
    <w:p w:rsidR="00EC3B69" w:rsidRPr="00A83991" w:rsidRDefault="00EC3B69" w:rsidP="00007C59">
      <w:pPr>
        <w:rPr>
          <w:bCs/>
          <w:sz w:val="22"/>
          <w:szCs w:val="22"/>
          <w:lang w:val="sk-SK"/>
        </w:rPr>
      </w:pPr>
    </w:p>
    <w:p w:rsidR="00EC3B69" w:rsidRPr="00A83991" w:rsidRDefault="00EC3B69" w:rsidP="000971FE">
      <w:pPr>
        <w:keepNext/>
        <w:rPr>
          <w:bCs/>
          <w:sz w:val="22"/>
          <w:szCs w:val="22"/>
          <w:u w:val="single"/>
          <w:lang w:val="sk-SK"/>
        </w:rPr>
      </w:pPr>
      <w:r w:rsidRPr="00A83991">
        <w:rPr>
          <w:bCs/>
          <w:sz w:val="22"/>
          <w:szCs w:val="22"/>
          <w:u w:val="single"/>
          <w:lang w:val="sk-SK"/>
        </w:rPr>
        <w:t xml:space="preserve">Iné </w:t>
      </w:r>
      <w:r w:rsidR="00E12025" w:rsidRPr="00A83991">
        <w:rPr>
          <w:bCs/>
          <w:sz w:val="22"/>
          <w:szCs w:val="22"/>
          <w:u w:val="single"/>
          <w:lang w:val="sk-SK"/>
        </w:rPr>
        <w:t xml:space="preserve">formy </w:t>
      </w:r>
      <w:r w:rsidRPr="00A83991">
        <w:rPr>
          <w:bCs/>
          <w:sz w:val="22"/>
          <w:szCs w:val="22"/>
          <w:u w:val="single"/>
          <w:lang w:val="sk-SK"/>
        </w:rPr>
        <w:t>interakci</w:t>
      </w:r>
      <w:r w:rsidR="00E12025" w:rsidRPr="00A83991">
        <w:rPr>
          <w:bCs/>
          <w:sz w:val="22"/>
          <w:szCs w:val="22"/>
          <w:u w:val="single"/>
          <w:lang w:val="sk-SK"/>
        </w:rPr>
        <w:t>í</w:t>
      </w:r>
    </w:p>
    <w:p w:rsidR="00007C59" w:rsidRPr="00A83991" w:rsidRDefault="00007C59" w:rsidP="000971FE">
      <w:pPr>
        <w:keepNext/>
        <w:rPr>
          <w:rStyle w:val="Underline"/>
          <w:bCs/>
          <w:sz w:val="22"/>
          <w:szCs w:val="22"/>
          <w:u w:val="none"/>
          <w:lang w:val="sk-SK"/>
        </w:rPr>
      </w:pPr>
    </w:p>
    <w:p w:rsidR="00EC3B69" w:rsidRPr="00A83991" w:rsidRDefault="00EC3B69" w:rsidP="000971FE">
      <w:pPr>
        <w:keepNext/>
        <w:rPr>
          <w:rStyle w:val="Underline"/>
          <w:bCs/>
          <w:i/>
          <w:sz w:val="22"/>
          <w:szCs w:val="22"/>
          <w:u w:val="none"/>
          <w:lang w:val="sk-SK"/>
        </w:rPr>
      </w:pPr>
      <w:r w:rsidRPr="00A83991">
        <w:rPr>
          <w:rStyle w:val="Underline"/>
          <w:bCs/>
          <w:i/>
          <w:sz w:val="22"/>
          <w:szCs w:val="22"/>
          <w:u w:val="none"/>
          <w:lang w:val="sk-SK"/>
        </w:rPr>
        <w:t>L</w:t>
      </w:r>
      <w:r w:rsidR="00E12025" w:rsidRPr="00A83991">
        <w:rPr>
          <w:rStyle w:val="Underline"/>
          <w:bCs/>
          <w:i/>
          <w:sz w:val="22"/>
          <w:szCs w:val="22"/>
          <w:u w:val="none"/>
          <w:lang w:val="sk-SK"/>
        </w:rPr>
        <w:t xml:space="preserve">ieky prispievajúce k </w:t>
      </w:r>
      <w:r w:rsidR="00A35527" w:rsidRPr="00A83991">
        <w:rPr>
          <w:rStyle w:val="Underline"/>
          <w:bCs/>
          <w:i/>
          <w:sz w:val="22"/>
          <w:szCs w:val="22"/>
          <w:u w:val="none"/>
          <w:lang w:val="sk-SK"/>
        </w:rPr>
        <w:t>nefrolitiáz</w:t>
      </w:r>
      <w:r w:rsidR="00E12025" w:rsidRPr="00A83991">
        <w:rPr>
          <w:rStyle w:val="Underline"/>
          <w:bCs/>
          <w:i/>
          <w:sz w:val="22"/>
          <w:szCs w:val="22"/>
          <w:u w:val="none"/>
          <w:lang w:val="sk-SK"/>
        </w:rPr>
        <w:t>e</w:t>
      </w:r>
    </w:p>
    <w:p w:rsidR="00EC3B69" w:rsidRPr="00A83991" w:rsidRDefault="00EC3B69" w:rsidP="000971FE">
      <w:pPr>
        <w:keepNext/>
        <w:rPr>
          <w:rStyle w:val="Underline"/>
          <w:bCs/>
          <w:sz w:val="22"/>
          <w:szCs w:val="22"/>
          <w:u w:val="none"/>
          <w:lang w:val="sk-SK"/>
        </w:rPr>
      </w:pPr>
    </w:p>
    <w:p w:rsidR="00EC3B69" w:rsidRPr="00A83991" w:rsidRDefault="00EC3B69" w:rsidP="00EC3B69">
      <w:pPr>
        <w:rPr>
          <w:sz w:val="22"/>
          <w:szCs w:val="22"/>
          <w:lang w:val="sk-SK"/>
        </w:rPr>
      </w:pPr>
      <w:r w:rsidRPr="00A83991">
        <w:rPr>
          <w:sz w:val="22"/>
          <w:szCs w:val="22"/>
          <w:lang w:val="sk-SK"/>
        </w:rPr>
        <w:t xml:space="preserve">Riziko nefrolitiázy sa môže zvýšiť, ak sa </w:t>
      </w:r>
      <w:r w:rsidR="00107615" w:rsidRPr="00A83991">
        <w:rPr>
          <w:sz w:val="22"/>
          <w:szCs w:val="22"/>
          <w:lang w:val="sk-SK"/>
        </w:rPr>
        <w:t>Talopam</w:t>
      </w:r>
      <w:r w:rsidRPr="00A83991">
        <w:rPr>
          <w:sz w:val="22"/>
          <w:szCs w:val="22"/>
          <w:lang w:val="sk-SK"/>
        </w:rPr>
        <w:t xml:space="preserve"> podáva súbežne s inými liekmi, ktoré predisponujú k </w:t>
      </w:r>
      <w:r w:rsidR="008253AB" w:rsidRPr="00A83991">
        <w:rPr>
          <w:sz w:val="22"/>
          <w:szCs w:val="22"/>
          <w:lang w:val="sk-SK"/>
        </w:rPr>
        <w:t xml:space="preserve">vzniku </w:t>
      </w:r>
      <w:r w:rsidR="008253AB" w:rsidRPr="00A83991">
        <w:rPr>
          <w:rStyle w:val="Underline"/>
          <w:bCs/>
          <w:sz w:val="22"/>
          <w:szCs w:val="22"/>
          <w:u w:val="none"/>
          <w:lang w:val="sk-SK"/>
        </w:rPr>
        <w:t>nefrolitiázy</w:t>
      </w:r>
      <w:r w:rsidRPr="00A83991">
        <w:rPr>
          <w:sz w:val="22"/>
          <w:szCs w:val="22"/>
          <w:lang w:val="sk-SK"/>
        </w:rPr>
        <w:t xml:space="preserve">. Počas užívania </w:t>
      </w:r>
      <w:r w:rsidR="00107615" w:rsidRPr="00A83991">
        <w:rPr>
          <w:sz w:val="22"/>
          <w:szCs w:val="22"/>
          <w:lang w:val="sk-SK"/>
        </w:rPr>
        <w:t>Talopamu</w:t>
      </w:r>
      <w:r w:rsidRPr="00A83991">
        <w:rPr>
          <w:sz w:val="22"/>
          <w:szCs w:val="22"/>
          <w:lang w:val="sk-SK"/>
        </w:rPr>
        <w:t xml:space="preserve"> je preto potrebné sa takýmto liekom vyhnúť, nakoľko môžu vytvoriť fyziologické prostredie, ktoré zvyšuje riziko vzniku obličkových kameňov</w:t>
      </w:r>
      <w:r w:rsidR="00C34279" w:rsidRPr="00A83991">
        <w:rPr>
          <w:sz w:val="22"/>
          <w:szCs w:val="22"/>
          <w:lang w:val="sk-SK"/>
        </w:rPr>
        <w:t>.</w:t>
      </w:r>
    </w:p>
    <w:p w:rsidR="00EC3B69" w:rsidRPr="00A83991" w:rsidRDefault="00EC3B69" w:rsidP="00B22177">
      <w:pPr>
        <w:rPr>
          <w:rStyle w:val="Underline"/>
          <w:bCs/>
          <w:sz w:val="22"/>
          <w:szCs w:val="22"/>
          <w:u w:val="none"/>
          <w:lang w:val="sk-SK"/>
        </w:rPr>
      </w:pPr>
    </w:p>
    <w:p w:rsidR="00C34279" w:rsidRPr="00A83991" w:rsidRDefault="00107615" w:rsidP="000971FE">
      <w:pPr>
        <w:keepNext/>
        <w:rPr>
          <w:bCs/>
          <w:sz w:val="22"/>
          <w:szCs w:val="22"/>
          <w:lang w:val="sk-SK"/>
        </w:rPr>
      </w:pPr>
      <w:r w:rsidRPr="00A83991">
        <w:rPr>
          <w:bCs/>
          <w:i/>
          <w:sz w:val="22"/>
          <w:szCs w:val="22"/>
          <w:lang w:val="sk-SK"/>
        </w:rPr>
        <w:t>Kyselina valproová</w:t>
      </w:r>
    </w:p>
    <w:p w:rsidR="00C34279" w:rsidRPr="00A83991" w:rsidRDefault="00C34279" w:rsidP="000971FE">
      <w:pPr>
        <w:keepNext/>
        <w:rPr>
          <w:bCs/>
          <w:sz w:val="22"/>
          <w:szCs w:val="22"/>
          <w:lang w:val="sk-SK"/>
        </w:rPr>
      </w:pPr>
    </w:p>
    <w:p w:rsidR="00107615" w:rsidRPr="00A83991" w:rsidRDefault="00107615" w:rsidP="00B22177">
      <w:pPr>
        <w:rPr>
          <w:rStyle w:val="Underline"/>
          <w:bCs/>
          <w:sz w:val="22"/>
          <w:szCs w:val="22"/>
          <w:u w:val="none"/>
          <w:lang w:val="sk-SK"/>
        </w:rPr>
      </w:pPr>
      <w:r w:rsidRPr="00A83991">
        <w:rPr>
          <w:bCs/>
          <w:sz w:val="22"/>
          <w:szCs w:val="22"/>
          <w:lang w:val="sk-SK"/>
        </w:rPr>
        <w:t>Súbežné podávanie topiramátu a kyseliny valproovej bolo spojené s hyperamonémiou s</w:t>
      </w:r>
      <w:r w:rsidR="00D610DC" w:rsidRPr="00A83991">
        <w:rPr>
          <w:bCs/>
          <w:sz w:val="22"/>
          <w:szCs w:val="22"/>
          <w:lang w:val="sk-SK"/>
        </w:rPr>
        <w:t xml:space="preserve"> encefalopatiou </w:t>
      </w:r>
      <w:r w:rsidRPr="00A83991">
        <w:rPr>
          <w:bCs/>
          <w:sz w:val="22"/>
          <w:szCs w:val="22"/>
          <w:lang w:val="sk-SK"/>
        </w:rPr>
        <w:t xml:space="preserve">alebo bez </w:t>
      </w:r>
      <w:r w:rsidR="00C34279" w:rsidRPr="00A83991">
        <w:rPr>
          <w:bCs/>
          <w:sz w:val="22"/>
          <w:szCs w:val="22"/>
          <w:lang w:val="sk-SK"/>
        </w:rPr>
        <w:t>nej</w:t>
      </w:r>
      <w:r w:rsidRPr="00A83991">
        <w:rPr>
          <w:bCs/>
          <w:sz w:val="22"/>
          <w:szCs w:val="22"/>
          <w:lang w:val="sk-SK"/>
        </w:rPr>
        <w:t xml:space="preserve"> u pacientov, ktorí tolerovali </w:t>
      </w:r>
      <w:r w:rsidR="00C34279" w:rsidRPr="00A83991">
        <w:rPr>
          <w:bCs/>
          <w:sz w:val="22"/>
          <w:szCs w:val="22"/>
          <w:lang w:val="sk-SK"/>
        </w:rPr>
        <w:t xml:space="preserve">každý </w:t>
      </w:r>
      <w:r w:rsidRPr="00A83991">
        <w:rPr>
          <w:bCs/>
          <w:sz w:val="22"/>
          <w:szCs w:val="22"/>
          <w:lang w:val="sk-SK"/>
        </w:rPr>
        <w:t>liek</w:t>
      </w:r>
      <w:r w:rsidR="00C34279" w:rsidRPr="00A83991">
        <w:rPr>
          <w:bCs/>
          <w:sz w:val="22"/>
          <w:szCs w:val="22"/>
          <w:lang w:val="sk-SK"/>
        </w:rPr>
        <w:t xml:space="preserve"> </w:t>
      </w:r>
      <w:r w:rsidR="0047711F" w:rsidRPr="00A83991">
        <w:rPr>
          <w:bCs/>
          <w:sz w:val="22"/>
          <w:szCs w:val="22"/>
          <w:lang w:val="sk-SK"/>
        </w:rPr>
        <w:t>samostatne</w:t>
      </w:r>
      <w:r w:rsidRPr="00A83991">
        <w:rPr>
          <w:bCs/>
          <w:sz w:val="22"/>
          <w:szCs w:val="22"/>
          <w:lang w:val="sk-SK"/>
        </w:rPr>
        <w:t xml:space="preserve">. Vo väčšine prípadov </w:t>
      </w:r>
      <w:r w:rsidR="00C34279" w:rsidRPr="00A83991">
        <w:rPr>
          <w:bCs/>
          <w:sz w:val="22"/>
          <w:szCs w:val="22"/>
          <w:lang w:val="sk-SK"/>
        </w:rPr>
        <w:t xml:space="preserve">symptómy a </w:t>
      </w:r>
      <w:r w:rsidRPr="00A83991">
        <w:rPr>
          <w:bCs/>
          <w:sz w:val="22"/>
          <w:szCs w:val="22"/>
          <w:lang w:val="sk-SK"/>
        </w:rPr>
        <w:t xml:space="preserve">príznaky </w:t>
      </w:r>
      <w:r w:rsidR="00C34279" w:rsidRPr="00A83991">
        <w:rPr>
          <w:bCs/>
          <w:sz w:val="22"/>
          <w:szCs w:val="22"/>
          <w:lang w:val="sk-SK"/>
        </w:rPr>
        <w:t>ustúpili</w:t>
      </w:r>
      <w:r w:rsidRPr="00A83991">
        <w:rPr>
          <w:bCs/>
          <w:sz w:val="22"/>
          <w:szCs w:val="22"/>
          <w:lang w:val="sk-SK"/>
        </w:rPr>
        <w:t xml:space="preserve"> po </w:t>
      </w:r>
      <w:r w:rsidR="00C34279" w:rsidRPr="00A83991">
        <w:rPr>
          <w:bCs/>
          <w:sz w:val="22"/>
          <w:szCs w:val="22"/>
          <w:lang w:val="sk-SK"/>
        </w:rPr>
        <w:t>prerušení podávania každého lieku</w:t>
      </w:r>
      <w:r w:rsidRPr="00A83991">
        <w:rPr>
          <w:bCs/>
          <w:sz w:val="22"/>
          <w:szCs w:val="22"/>
          <w:lang w:val="sk-SK"/>
        </w:rPr>
        <w:t>. T</w:t>
      </w:r>
      <w:r w:rsidR="00A27BD3">
        <w:rPr>
          <w:bCs/>
          <w:sz w:val="22"/>
          <w:szCs w:val="22"/>
          <w:lang w:val="sk-SK"/>
        </w:rPr>
        <w:t xml:space="preserve">áto </w:t>
      </w:r>
      <w:r w:rsidRPr="00A83991">
        <w:rPr>
          <w:bCs/>
          <w:sz w:val="22"/>
          <w:szCs w:val="22"/>
          <w:lang w:val="sk-SK"/>
        </w:rPr>
        <w:t>nežiaduc</w:t>
      </w:r>
      <w:r w:rsidR="00C34279" w:rsidRPr="00A83991">
        <w:rPr>
          <w:bCs/>
          <w:sz w:val="22"/>
          <w:szCs w:val="22"/>
          <w:lang w:val="sk-SK"/>
        </w:rPr>
        <w:t>a reakcia</w:t>
      </w:r>
      <w:r w:rsidRPr="00A83991">
        <w:rPr>
          <w:bCs/>
          <w:sz w:val="22"/>
          <w:szCs w:val="22"/>
          <w:lang w:val="sk-SK"/>
        </w:rPr>
        <w:t xml:space="preserve"> </w:t>
      </w:r>
      <w:r w:rsidR="00C34279" w:rsidRPr="00A83991">
        <w:rPr>
          <w:bCs/>
          <w:sz w:val="22"/>
          <w:szCs w:val="22"/>
          <w:lang w:val="sk-SK"/>
        </w:rPr>
        <w:t xml:space="preserve">nie je následkom </w:t>
      </w:r>
      <w:r w:rsidRPr="00A83991">
        <w:rPr>
          <w:bCs/>
          <w:sz w:val="22"/>
          <w:szCs w:val="22"/>
          <w:lang w:val="sk-SK"/>
        </w:rPr>
        <w:lastRenderedPageBreak/>
        <w:t>farmakokinetick</w:t>
      </w:r>
      <w:r w:rsidR="00C34279" w:rsidRPr="00A83991">
        <w:rPr>
          <w:bCs/>
          <w:sz w:val="22"/>
          <w:szCs w:val="22"/>
          <w:lang w:val="sk-SK"/>
        </w:rPr>
        <w:t>ej</w:t>
      </w:r>
      <w:r w:rsidRPr="00A83991">
        <w:rPr>
          <w:bCs/>
          <w:sz w:val="22"/>
          <w:szCs w:val="22"/>
          <w:lang w:val="sk-SK"/>
        </w:rPr>
        <w:t xml:space="preserve"> interakci</w:t>
      </w:r>
      <w:r w:rsidR="00C34279" w:rsidRPr="00A83991">
        <w:rPr>
          <w:bCs/>
          <w:sz w:val="22"/>
          <w:szCs w:val="22"/>
          <w:lang w:val="sk-SK"/>
        </w:rPr>
        <w:t>e</w:t>
      </w:r>
      <w:r w:rsidRPr="00A83991">
        <w:rPr>
          <w:bCs/>
          <w:sz w:val="22"/>
          <w:szCs w:val="22"/>
          <w:lang w:val="sk-SK"/>
        </w:rPr>
        <w:t xml:space="preserve">. </w:t>
      </w:r>
      <w:r w:rsidR="00C34279" w:rsidRPr="00A83991">
        <w:rPr>
          <w:bCs/>
          <w:sz w:val="22"/>
          <w:szCs w:val="22"/>
          <w:lang w:val="sk-SK"/>
        </w:rPr>
        <w:t xml:space="preserve">Súvis </w:t>
      </w:r>
      <w:r w:rsidRPr="00A83991">
        <w:rPr>
          <w:bCs/>
          <w:sz w:val="22"/>
          <w:szCs w:val="22"/>
          <w:lang w:val="sk-SK"/>
        </w:rPr>
        <w:t>hyperamonémie s monoterapiou topiramát</w:t>
      </w:r>
      <w:r w:rsidR="00C34279" w:rsidRPr="00A83991">
        <w:rPr>
          <w:bCs/>
          <w:sz w:val="22"/>
          <w:szCs w:val="22"/>
          <w:lang w:val="sk-SK"/>
        </w:rPr>
        <w:t>om</w:t>
      </w:r>
      <w:r w:rsidRPr="00A83991">
        <w:rPr>
          <w:bCs/>
          <w:sz w:val="22"/>
          <w:szCs w:val="22"/>
          <w:lang w:val="sk-SK"/>
        </w:rPr>
        <w:t xml:space="preserve"> alebo so súbežnou liečbou inými antiepileptikami </w:t>
      </w:r>
      <w:r w:rsidR="00C34279" w:rsidRPr="00A83991">
        <w:rPr>
          <w:bCs/>
          <w:sz w:val="22"/>
          <w:szCs w:val="22"/>
          <w:lang w:val="sk-SK"/>
        </w:rPr>
        <w:t>sa nezistil</w:t>
      </w:r>
      <w:r w:rsidRPr="00A83991">
        <w:rPr>
          <w:bCs/>
          <w:sz w:val="22"/>
          <w:szCs w:val="22"/>
          <w:lang w:val="sk-SK"/>
        </w:rPr>
        <w:t>.</w:t>
      </w:r>
    </w:p>
    <w:p w:rsidR="00107615" w:rsidRPr="00A83991" w:rsidRDefault="00107615" w:rsidP="00B22177">
      <w:pPr>
        <w:rPr>
          <w:rStyle w:val="Underline"/>
          <w:bCs/>
          <w:sz w:val="22"/>
          <w:szCs w:val="22"/>
          <w:u w:val="none"/>
          <w:lang w:val="sk-SK"/>
        </w:rPr>
      </w:pPr>
    </w:p>
    <w:p w:rsidR="00A27BD3" w:rsidRDefault="00A27BD3" w:rsidP="0075534D">
      <w:pPr>
        <w:rPr>
          <w:bCs/>
          <w:sz w:val="22"/>
          <w:szCs w:val="22"/>
          <w:lang w:val="sk-SK"/>
        </w:rPr>
      </w:pPr>
      <w:r>
        <w:rPr>
          <w:bCs/>
          <w:sz w:val="22"/>
          <w:szCs w:val="22"/>
          <w:lang w:val="sk-SK"/>
        </w:rPr>
        <w:t>Hypotermia</w:t>
      </w:r>
      <w:r w:rsidRPr="00A27BD3">
        <w:rPr>
          <w:bCs/>
          <w:sz w:val="22"/>
          <w:szCs w:val="22"/>
          <w:lang w:val="sk-SK"/>
        </w:rPr>
        <w:t>, definovan</w:t>
      </w:r>
      <w:r>
        <w:rPr>
          <w:bCs/>
          <w:sz w:val="22"/>
          <w:szCs w:val="22"/>
          <w:lang w:val="sk-SK"/>
        </w:rPr>
        <w:t>á</w:t>
      </w:r>
      <w:r w:rsidRPr="00A27BD3">
        <w:rPr>
          <w:bCs/>
          <w:sz w:val="22"/>
          <w:szCs w:val="22"/>
          <w:lang w:val="sk-SK"/>
        </w:rPr>
        <w:t xml:space="preserve"> ako neúmyseln</w:t>
      </w:r>
      <w:r>
        <w:rPr>
          <w:bCs/>
          <w:sz w:val="22"/>
          <w:szCs w:val="22"/>
          <w:lang w:val="sk-SK"/>
        </w:rPr>
        <w:t>ý</w:t>
      </w:r>
      <w:r w:rsidRPr="00A27BD3">
        <w:rPr>
          <w:bCs/>
          <w:sz w:val="22"/>
          <w:szCs w:val="22"/>
          <w:lang w:val="sk-SK"/>
        </w:rPr>
        <w:t xml:space="preserve"> pokles </w:t>
      </w:r>
      <w:r>
        <w:rPr>
          <w:bCs/>
          <w:sz w:val="22"/>
          <w:szCs w:val="22"/>
          <w:lang w:val="sk-SK"/>
        </w:rPr>
        <w:t xml:space="preserve">telesnej teploty </w:t>
      </w:r>
      <w:r w:rsidRPr="00A27BD3">
        <w:rPr>
          <w:bCs/>
          <w:sz w:val="22"/>
          <w:szCs w:val="22"/>
          <w:lang w:val="sk-SK"/>
        </w:rPr>
        <w:t xml:space="preserve">na </w:t>
      </w:r>
      <w:r>
        <w:rPr>
          <w:bCs/>
          <w:sz w:val="22"/>
          <w:szCs w:val="22"/>
          <w:lang w:val="sk-SK"/>
        </w:rPr>
        <w:t xml:space="preserve">menej ako </w:t>
      </w:r>
      <w:r w:rsidRPr="00A27BD3">
        <w:rPr>
          <w:bCs/>
          <w:sz w:val="22"/>
          <w:szCs w:val="22"/>
          <w:lang w:val="sk-SK"/>
        </w:rPr>
        <w:t>&lt;</w:t>
      </w:r>
      <w:r w:rsidR="00B5687D">
        <w:rPr>
          <w:bCs/>
          <w:sz w:val="22"/>
          <w:szCs w:val="22"/>
          <w:lang w:val="sk-SK"/>
        </w:rPr>
        <w:t> </w:t>
      </w:r>
      <w:smartTag w:uri="urn:schemas-microsoft-com:office:smarttags" w:element="metricconverter">
        <w:smartTagPr>
          <w:attr w:name="ProductID" w:val="35 °C"/>
        </w:smartTagPr>
        <w:r w:rsidRPr="00A27BD3">
          <w:rPr>
            <w:bCs/>
            <w:sz w:val="22"/>
            <w:szCs w:val="22"/>
            <w:lang w:val="sk-SK"/>
          </w:rPr>
          <w:t>35 °C</w:t>
        </w:r>
      </w:smartTag>
      <w:r w:rsidRPr="00A27BD3">
        <w:rPr>
          <w:bCs/>
          <w:sz w:val="22"/>
          <w:szCs w:val="22"/>
          <w:lang w:val="sk-SK"/>
        </w:rPr>
        <w:t>, bola hlásená v</w:t>
      </w:r>
      <w:r w:rsidR="00B5687D">
        <w:rPr>
          <w:bCs/>
          <w:sz w:val="22"/>
          <w:szCs w:val="22"/>
          <w:lang w:val="sk-SK"/>
        </w:rPr>
        <w:t> </w:t>
      </w:r>
      <w:r w:rsidRPr="00A27BD3">
        <w:rPr>
          <w:bCs/>
          <w:sz w:val="22"/>
          <w:szCs w:val="22"/>
          <w:lang w:val="sk-SK"/>
        </w:rPr>
        <w:t xml:space="preserve">súvislosti so súčasným užívaním topiramátu a kyseliny valproovej (VPA), a to </w:t>
      </w:r>
      <w:r>
        <w:rPr>
          <w:bCs/>
          <w:sz w:val="22"/>
          <w:szCs w:val="22"/>
          <w:lang w:val="sk-SK"/>
        </w:rPr>
        <w:t xml:space="preserve">aj </w:t>
      </w:r>
      <w:r w:rsidRPr="00A27BD3">
        <w:rPr>
          <w:bCs/>
          <w:sz w:val="22"/>
          <w:szCs w:val="22"/>
          <w:lang w:val="sk-SK"/>
        </w:rPr>
        <w:t>v</w:t>
      </w:r>
      <w:r>
        <w:rPr>
          <w:bCs/>
          <w:sz w:val="22"/>
          <w:szCs w:val="22"/>
          <w:lang w:val="sk-SK"/>
        </w:rPr>
        <w:t> </w:t>
      </w:r>
      <w:r w:rsidRPr="00A27BD3">
        <w:rPr>
          <w:bCs/>
          <w:sz w:val="22"/>
          <w:szCs w:val="22"/>
          <w:lang w:val="sk-SK"/>
        </w:rPr>
        <w:t>spojení</w:t>
      </w:r>
      <w:r>
        <w:rPr>
          <w:bCs/>
          <w:sz w:val="22"/>
          <w:szCs w:val="22"/>
          <w:lang w:val="sk-SK"/>
        </w:rPr>
        <w:t xml:space="preserve"> </w:t>
      </w:r>
      <w:r w:rsidRPr="00A27BD3">
        <w:rPr>
          <w:bCs/>
          <w:sz w:val="22"/>
          <w:szCs w:val="22"/>
          <w:lang w:val="sk-SK"/>
        </w:rPr>
        <w:t>s</w:t>
      </w:r>
      <w:r w:rsidR="00B5687D">
        <w:rPr>
          <w:bCs/>
          <w:sz w:val="22"/>
          <w:szCs w:val="22"/>
          <w:lang w:val="sk-SK"/>
        </w:rPr>
        <w:t> </w:t>
      </w:r>
      <w:r w:rsidRPr="00A27BD3">
        <w:rPr>
          <w:bCs/>
          <w:sz w:val="22"/>
          <w:szCs w:val="22"/>
          <w:lang w:val="sk-SK"/>
        </w:rPr>
        <w:t>hyperamonémi</w:t>
      </w:r>
      <w:r w:rsidR="00503D68">
        <w:rPr>
          <w:bCs/>
          <w:sz w:val="22"/>
          <w:szCs w:val="22"/>
          <w:lang w:val="sk-SK"/>
        </w:rPr>
        <w:t>ou</w:t>
      </w:r>
      <w:r w:rsidRPr="00A27BD3">
        <w:rPr>
          <w:bCs/>
          <w:sz w:val="22"/>
          <w:szCs w:val="22"/>
          <w:lang w:val="sk-SK"/>
        </w:rPr>
        <w:t xml:space="preserve"> a</w:t>
      </w:r>
      <w:r>
        <w:rPr>
          <w:bCs/>
          <w:sz w:val="22"/>
          <w:szCs w:val="22"/>
          <w:lang w:val="sk-SK"/>
        </w:rPr>
        <w:t xml:space="preserve">ko aj </w:t>
      </w:r>
      <w:r w:rsidRPr="00A27BD3">
        <w:rPr>
          <w:bCs/>
          <w:sz w:val="22"/>
          <w:szCs w:val="22"/>
          <w:lang w:val="sk-SK"/>
        </w:rPr>
        <w:t>pri absencii hyperamonémi</w:t>
      </w:r>
      <w:r>
        <w:rPr>
          <w:bCs/>
          <w:sz w:val="22"/>
          <w:szCs w:val="22"/>
          <w:lang w:val="sk-SK"/>
        </w:rPr>
        <w:t>e</w:t>
      </w:r>
      <w:r w:rsidRPr="00A27BD3">
        <w:rPr>
          <w:bCs/>
          <w:sz w:val="22"/>
          <w:szCs w:val="22"/>
          <w:lang w:val="sk-SK"/>
        </w:rPr>
        <w:t xml:space="preserve">. </w:t>
      </w:r>
      <w:r w:rsidRPr="00A83991">
        <w:rPr>
          <w:bCs/>
          <w:sz w:val="22"/>
          <w:szCs w:val="22"/>
          <w:lang w:val="sk-SK"/>
        </w:rPr>
        <w:t>T</w:t>
      </w:r>
      <w:r>
        <w:rPr>
          <w:bCs/>
          <w:sz w:val="22"/>
          <w:szCs w:val="22"/>
          <w:lang w:val="sk-SK"/>
        </w:rPr>
        <w:t xml:space="preserve">áto </w:t>
      </w:r>
      <w:r w:rsidRPr="00A83991">
        <w:rPr>
          <w:bCs/>
          <w:sz w:val="22"/>
          <w:szCs w:val="22"/>
          <w:lang w:val="sk-SK"/>
        </w:rPr>
        <w:t xml:space="preserve">nežiaduca reakcia </w:t>
      </w:r>
      <w:r w:rsidRPr="00A27BD3">
        <w:rPr>
          <w:bCs/>
          <w:sz w:val="22"/>
          <w:szCs w:val="22"/>
          <w:lang w:val="sk-SK"/>
        </w:rPr>
        <w:t>u pacientov užívajúcich súčasne topiramátu a kyselin</w:t>
      </w:r>
      <w:r>
        <w:rPr>
          <w:bCs/>
          <w:sz w:val="22"/>
          <w:szCs w:val="22"/>
          <w:lang w:val="sk-SK"/>
        </w:rPr>
        <w:t>u</w:t>
      </w:r>
      <w:r w:rsidRPr="00A27BD3">
        <w:rPr>
          <w:bCs/>
          <w:sz w:val="22"/>
          <w:szCs w:val="22"/>
          <w:lang w:val="sk-SK"/>
        </w:rPr>
        <w:t xml:space="preserve"> valproov</w:t>
      </w:r>
      <w:r>
        <w:rPr>
          <w:bCs/>
          <w:sz w:val="22"/>
          <w:szCs w:val="22"/>
          <w:lang w:val="sk-SK"/>
        </w:rPr>
        <w:t xml:space="preserve">ú </w:t>
      </w:r>
      <w:r w:rsidRPr="00A27BD3">
        <w:rPr>
          <w:bCs/>
          <w:sz w:val="22"/>
          <w:szCs w:val="22"/>
          <w:lang w:val="sk-SK"/>
        </w:rPr>
        <w:t>môže nastať po začatí liečby topiramátom alebo po zvýšení dennej dávky topiramátu.</w:t>
      </w:r>
    </w:p>
    <w:p w:rsidR="00A27BD3" w:rsidRDefault="00A27BD3" w:rsidP="0075534D">
      <w:pPr>
        <w:rPr>
          <w:bCs/>
          <w:sz w:val="22"/>
          <w:szCs w:val="22"/>
          <w:lang w:val="sk-SK"/>
        </w:rPr>
      </w:pPr>
    </w:p>
    <w:p w:rsidR="00C34279" w:rsidRPr="00A27BD3" w:rsidRDefault="00C34279" w:rsidP="000971FE">
      <w:pPr>
        <w:keepNext/>
        <w:rPr>
          <w:bCs/>
          <w:sz w:val="22"/>
          <w:szCs w:val="22"/>
          <w:u w:val="single"/>
          <w:lang w:val="sk-SK"/>
        </w:rPr>
      </w:pPr>
      <w:r w:rsidRPr="00A27BD3">
        <w:rPr>
          <w:bCs/>
          <w:sz w:val="22"/>
          <w:szCs w:val="22"/>
          <w:u w:val="single"/>
          <w:lang w:val="sk-SK"/>
        </w:rPr>
        <w:t xml:space="preserve">Ďalšie </w:t>
      </w:r>
      <w:r w:rsidR="0075534D" w:rsidRPr="00A27BD3">
        <w:rPr>
          <w:bCs/>
          <w:sz w:val="22"/>
          <w:szCs w:val="22"/>
          <w:u w:val="single"/>
          <w:lang w:val="sk-SK"/>
        </w:rPr>
        <w:t>farmakokinetiké štúdie liekových interakcií</w:t>
      </w:r>
    </w:p>
    <w:p w:rsidR="00C34279" w:rsidRPr="00A83991" w:rsidRDefault="00C34279" w:rsidP="000971FE">
      <w:pPr>
        <w:keepNext/>
        <w:rPr>
          <w:bCs/>
          <w:i/>
          <w:sz w:val="22"/>
          <w:szCs w:val="22"/>
          <w:lang w:val="sk-SK"/>
        </w:rPr>
      </w:pPr>
    </w:p>
    <w:p w:rsidR="0075534D" w:rsidRPr="00A83991" w:rsidRDefault="0075534D" w:rsidP="0075534D">
      <w:pPr>
        <w:rPr>
          <w:bCs/>
          <w:sz w:val="22"/>
          <w:szCs w:val="22"/>
          <w:lang w:val="sk-SK"/>
        </w:rPr>
      </w:pPr>
      <w:r w:rsidRPr="00A83991">
        <w:rPr>
          <w:bCs/>
          <w:sz w:val="22"/>
          <w:szCs w:val="22"/>
          <w:lang w:val="sk-SK"/>
        </w:rPr>
        <w:t>Vykonali sa klinické štúdie</w:t>
      </w:r>
      <w:r w:rsidR="00ED45BE" w:rsidRPr="00A83991">
        <w:rPr>
          <w:bCs/>
          <w:sz w:val="22"/>
          <w:szCs w:val="22"/>
          <w:lang w:val="sk-SK"/>
        </w:rPr>
        <w:t xml:space="preserve">, aby sa zistili potenciálne </w:t>
      </w:r>
      <w:r w:rsidRPr="00A83991">
        <w:rPr>
          <w:bCs/>
          <w:sz w:val="22"/>
          <w:szCs w:val="22"/>
          <w:lang w:val="sk-SK"/>
        </w:rPr>
        <w:t>farmakokinetick</w:t>
      </w:r>
      <w:r w:rsidR="00ED45BE" w:rsidRPr="00A83991">
        <w:rPr>
          <w:bCs/>
          <w:sz w:val="22"/>
          <w:szCs w:val="22"/>
          <w:lang w:val="sk-SK"/>
        </w:rPr>
        <w:t>é</w:t>
      </w:r>
      <w:r w:rsidRPr="00A83991">
        <w:rPr>
          <w:bCs/>
          <w:sz w:val="22"/>
          <w:szCs w:val="22"/>
          <w:lang w:val="sk-SK"/>
        </w:rPr>
        <w:t xml:space="preserve"> liekov</w:t>
      </w:r>
      <w:r w:rsidR="00ED45BE" w:rsidRPr="00A83991">
        <w:rPr>
          <w:bCs/>
          <w:sz w:val="22"/>
          <w:szCs w:val="22"/>
          <w:lang w:val="sk-SK"/>
        </w:rPr>
        <w:t>é</w:t>
      </w:r>
      <w:r w:rsidRPr="00A83991">
        <w:rPr>
          <w:bCs/>
          <w:sz w:val="22"/>
          <w:szCs w:val="22"/>
          <w:lang w:val="sk-SK"/>
        </w:rPr>
        <w:t xml:space="preserve"> interakci</w:t>
      </w:r>
      <w:r w:rsidR="00ED45BE" w:rsidRPr="00A83991">
        <w:rPr>
          <w:bCs/>
          <w:sz w:val="22"/>
          <w:szCs w:val="22"/>
          <w:lang w:val="sk-SK"/>
        </w:rPr>
        <w:t>e</w:t>
      </w:r>
      <w:r w:rsidRPr="00A83991">
        <w:rPr>
          <w:bCs/>
          <w:sz w:val="22"/>
          <w:szCs w:val="22"/>
          <w:lang w:val="sk-SK"/>
        </w:rPr>
        <w:t xml:space="preserve"> medzi topiramátom a inými liekmi. Zmeny C</w:t>
      </w:r>
      <w:r w:rsidRPr="00A83991">
        <w:rPr>
          <w:bCs/>
          <w:sz w:val="22"/>
          <w:szCs w:val="22"/>
          <w:vertAlign w:val="subscript"/>
          <w:lang w:val="sk-SK"/>
        </w:rPr>
        <w:t>max</w:t>
      </w:r>
      <w:r w:rsidRPr="00A83991">
        <w:rPr>
          <w:bCs/>
          <w:sz w:val="22"/>
          <w:szCs w:val="22"/>
          <w:lang w:val="sk-SK"/>
        </w:rPr>
        <w:t xml:space="preserve"> alebo AUC ako dôsledok týchto interakcií sú zhrnuté </w:t>
      </w:r>
      <w:r w:rsidR="00ED45BE" w:rsidRPr="00A83991">
        <w:rPr>
          <w:bCs/>
          <w:sz w:val="22"/>
          <w:szCs w:val="22"/>
          <w:lang w:val="sk-SK"/>
        </w:rPr>
        <w:t xml:space="preserve">nižšie. </w:t>
      </w:r>
      <w:r w:rsidRPr="00A83991">
        <w:rPr>
          <w:bCs/>
          <w:sz w:val="22"/>
          <w:szCs w:val="22"/>
          <w:lang w:val="sk-SK"/>
        </w:rPr>
        <w:t xml:space="preserve">Druhý stĺpec (koncentrácia </w:t>
      </w:r>
      <w:r w:rsidR="00ED45BE" w:rsidRPr="00A83991">
        <w:rPr>
          <w:bCs/>
          <w:sz w:val="22"/>
          <w:szCs w:val="22"/>
          <w:lang w:val="sk-SK"/>
        </w:rPr>
        <w:t xml:space="preserve">súčasne podaného </w:t>
      </w:r>
      <w:r w:rsidRPr="00A83991">
        <w:rPr>
          <w:bCs/>
          <w:sz w:val="22"/>
          <w:szCs w:val="22"/>
          <w:lang w:val="sk-SK"/>
        </w:rPr>
        <w:t>liek</w:t>
      </w:r>
      <w:r w:rsidR="00ED45BE" w:rsidRPr="00A83991">
        <w:rPr>
          <w:bCs/>
          <w:sz w:val="22"/>
          <w:szCs w:val="22"/>
          <w:lang w:val="sk-SK"/>
        </w:rPr>
        <w:t>u</w:t>
      </w:r>
      <w:r w:rsidRPr="00A83991">
        <w:rPr>
          <w:bCs/>
          <w:sz w:val="22"/>
          <w:szCs w:val="22"/>
          <w:lang w:val="sk-SK"/>
        </w:rPr>
        <w:t xml:space="preserve">) zobrazuje, čo sa stane s koncentráciou </w:t>
      </w:r>
      <w:r w:rsidR="00EF2E99" w:rsidRPr="00A83991">
        <w:rPr>
          <w:bCs/>
          <w:sz w:val="22"/>
          <w:szCs w:val="22"/>
          <w:lang w:val="sk-SK"/>
        </w:rPr>
        <w:t xml:space="preserve">súbežne </w:t>
      </w:r>
      <w:r w:rsidRPr="00A83991">
        <w:rPr>
          <w:bCs/>
          <w:sz w:val="22"/>
          <w:szCs w:val="22"/>
          <w:lang w:val="sk-SK"/>
        </w:rPr>
        <w:t>používan</w:t>
      </w:r>
      <w:r w:rsidR="00ED45BE" w:rsidRPr="00A83991">
        <w:rPr>
          <w:bCs/>
          <w:sz w:val="22"/>
          <w:szCs w:val="22"/>
          <w:lang w:val="sk-SK"/>
        </w:rPr>
        <w:t xml:space="preserve">ého </w:t>
      </w:r>
      <w:r w:rsidRPr="00A83991">
        <w:rPr>
          <w:bCs/>
          <w:sz w:val="22"/>
          <w:szCs w:val="22"/>
          <w:lang w:val="sk-SK"/>
        </w:rPr>
        <w:t>liek</w:t>
      </w:r>
      <w:r w:rsidR="00ED45BE" w:rsidRPr="00A83991">
        <w:rPr>
          <w:bCs/>
          <w:sz w:val="22"/>
          <w:szCs w:val="22"/>
          <w:lang w:val="sk-SK"/>
        </w:rPr>
        <w:t>u uvedeného</w:t>
      </w:r>
      <w:r w:rsidRPr="00A83991">
        <w:rPr>
          <w:bCs/>
          <w:sz w:val="22"/>
          <w:szCs w:val="22"/>
          <w:lang w:val="sk-SK"/>
        </w:rPr>
        <w:t xml:space="preserve"> v prvom stĺpci, ak sa pridá topiramát. Tretí stĺpec (koncentrácia topiramátu) zobrazuje</w:t>
      </w:r>
      <w:r w:rsidR="00ED45BE" w:rsidRPr="00A83991">
        <w:rPr>
          <w:bCs/>
          <w:sz w:val="22"/>
          <w:szCs w:val="22"/>
          <w:lang w:val="sk-SK"/>
        </w:rPr>
        <w:t xml:space="preserve">, </w:t>
      </w:r>
      <w:r w:rsidRPr="00A83991">
        <w:rPr>
          <w:bCs/>
          <w:sz w:val="22"/>
          <w:szCs w:val="22"/>
          <w:lang w:val="sk-SK"/>
        </w:rPr>
        <w:t>ako súbežné použitie liek</w:t>
      </w:r>
      <w:r w:rsidR="00ED45BE" w:rsidRPr="00A83991">
        <w:rPr>
          <w:bCs/>
          <w:sz w:val="22"/>
          <w:szCs w:val="22"/>
          <w:lang w:val="sk-SK"/>
        </w:rPr>
        <w:t xml:space="preserve">u uvedeného </w:t>
      </w:r>
      <w:r w:rsidRPr="00A83991">
        <w:rPr>
          <w:bCs/>
          <w:sz w:val="22"/>
          <w:szCs w:val="22"/>
          <w:lang w:val="sk-SK"/>
        </w:rPr>
        <w:t>v prvom stĺpci modifikuje koncentráciu topiramátu.</w:t>
      </w:r>
    </w:p>
    <w:p w:rsidR="00A37CF4" w:rsidRPr="00A83991" w:rsidRDefault="00A37CF4" w:rsidP="0075534D">
      <w:pPr>
        <w:rPr>
          <w:b/>
          <w:bCs/>
          <w:sz w:val="22"/>
          <w:szCs w:val="22"/>
          <w:lang w:val="sk-SK"/>
        </w:rPr>
      </w:pPr>
    </w:p>
    <w:p w:rsidR="0075534D" w:rsidRPr="00A83991" w:rsidRDefault="00ED45BE" w:rsidP="000971FE">
      <w:pPr>
        <w:keepNext/>
        <w:keepLines/>
        <w:rPr>
          <w:b/>
          <w:bCs/>
          <w:sz w:val="22"/>
          <w:szCs w:val="22"/>
          <w:lang w:val="sk-SK"/>
        </w:rPr>
      </w:pPr>
      <w:r w:rsidRPr="00A83991">
        <w:rPr>
          <w:b/>
          <w:bCs/>
          <w:sz w:val="22"/>
          <w:szCs w:val="22"/>
          <w:lang w:val="sk-SK"/>
        </w:rPr>
        <w:t xml:space="preserve">Súhrn </w:t>
      </w:r>
      <w:r w:rsidR="0075534D" w:rsidRPr="00A83991">
        <w:rPr>
          <w:b/>
          <w:bCs/>
          <w:sz w:val="22"/>
          <w:szCs w:val="22"/>
          <w:lang w:val="sk-SK"/>
        </w:rPr>
        <w:t xml:space="preserve">výsledkov </w:t>
      </w:r>
      <w:r w:rsidRPr="00A83991">
        <w:rPr>
          <w:b/>
          <w:bCs/>
          <w:sz w:val="22"/>
          <w:szCs w:val="22"/>
          <w:lang w:val="sk-SK"/>
        </w:rPr>
        <w:t xml:space="preserve">ďalších </w:t>
      </w:r>
      <w:r w:rsidR="0075534D" w:rsidRPr="00A83991">
        <w:rPr>
          <w:b/>
          <w:bCs/>
          <w:sz w:val="22"/>
          <w:szCs w:val="22"/>
          <w:lang w:val="sk-SK"/>
        </w:rPr>
        <w:t>farmakokinetických štúdií liekových interakcií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75534D" w:rsidRPr="00A83991" w:rsidTr="002868BD">
        <w:tc>
          <w:tcPr>
            <w:tcW w:w="2952" w:type="dxa"/>
          </w:tcPr>
          <w:p w:rsidR="0075534D" w:rsidRPr="00A83991" w:rsidRDefault="0075534D" w:rsidP="000971FE">
            <w:pPr>
              <w:keepNext/>
              <w:keepLines/>
              <w:rPr>
                <w:bCs/>
                <w:sz w:val="22"/>
                <w:szCs w:val="22"/>
              </w:rPr>
            </w:pPr>
            <w:r w:rsidRPr="00A83991">
              <w:rPr>
                <w:bCs/>
                <w:sz w:val="22"/>
                <w:szCs w:val="22"/>
                <w:lang w:val="sk-SK"/>
              </w:rPr>
              <w:t xml:space="preserve">Súbežne užívaný liek </w:t>
            </w:r>
          </w:p>
        </w:tc>
        <w:tc>
          <w:tcPr>
            <w:tcW w:w="2952" w:type="dxa"/>
          </w:tcPr>
          <w:p w:rsidR="0075534D" w:rsidRPr="00A83991" w:rsidRDefault="0075534D" w:rsidP="000971FE">
            <w:pPr>
              <w:keepNext/>
              <w:keepLines/>
              <w:rPr>
                <w:bCs/>
                <w:sz w:val="22"/>
                <w:szCs w:val="22"/>
              </w:rPr>
            </w:pPr>
            <w:r w:rsidRPr="00A83991">
              <w:rPr>
                <w:bCs/>
                <w:sz w:val="22"/>
                <w:szCs w:val="22"/>
                <w:lang w:val="sk-SK"/>
              </w:rPr>
              <w:t>Koncentrácia súbežne užívaného lieku</w:t>
            </w:r>
            <w:r w:rsidRPr="00A83991">
              <w:rPr>
                <w:bCs/>
                <w:sz w:val="22"/>
                <w:szCs w:val="22"/>
                <w:vertAlign w:val="superscript"/>
              </w:rPr>
              <w:t>a</w:t>
            </w:r>
          </w:p>
        </w:tc>
        <w:tc>
          <w:tcPr>
            <w:tcW w:w="2952" w:type="dxa"/>
          </w:tcPr>
          <w:p w:rsidR="0075534D" w:rsidRPr="00A83991" w:rsidRDefault="0075534D" w:rsidP="000971FE">
            <w:pPr>
              <w:keepNext/>
              <w:keepLines/>
              <w:rPr>
                <w:bCs/>
                <w:sz w:val="22"/>
                <w:szCs w:val="22"/>
              </w:rPr>
            </w:pPr>
            <w:r w:rsidRPr="00A83991">
              <w:rPr>
                <w:bCs/>
                <w:sz w:val="22"/>
                <w:szCs w:val="22"/>
                <w:lang w:val="sk-SK"/>
              </w:rPr>
              <w:t xml:space="preserve">Koncentrácia </w:t>
            </w:r>
            <w:r w:rsidR="00ED45BE" w:rsidRPr="00A83991">
              <w:rPr>
                <w:bCs/>
                <w:sz w:val="22"/>
                <w:szCs w:val="22"/>
                <w:lang w:val="sk-SK"/>
              </w:rPr>
              <w:t>t</w:t>
            </w:r>
            <w:r w:rsidRPr="00A83991">
              <w:rPr>
                <w:bCs/>
                <w:sz w:val="22"/>
                <w:szCs w:val="22"/>
                <w:lang w:val="sk-SK"/>
              </w:rPr>
              <w:t>opiramátu</w:t>
            </w:r>
            <w:r w:rsidRPr="00A83991">
              <w:rPr>
                <w:bCs/>
                <w:sz w:val="22"/>
                <w:szCs w:val="22"/>
                <w:vertAlign w:val="superscript"/>
              </w:rPr>
              <w:t>a</w:t>
            </w:r>
          </w:p>
        </w:tc>
      </w:tr>
      <w:tr w:rsidR="0075534D" w:rsidRPr="00A83991" w:rsidTr="002868BD">
        <w:tc>
          <w:tcPr>
            <w:tcW w:w="2952" w:type="dxa"/>
          </w:tcPr>
          <w:p w:rsidR="0075534D" w:rsidRPr="00A83991" w:rsidRDefault="0075552F" w:rsidP="000971FE">
            <w:pPr>
              <w:keepLines/>
              <w:rPr>
                <w:bCs/>
                <w:sz w:val="22"/>
                <w:szCs w:val="22"/>
              </w:rPr>
            </w:pPr>
            <w:r w:rsidRPr="00A83991">
              <w:rPr>
                <w:bCs/>
                <w:sz w:val="22"/>
                <w:szCs w:val="22"/>
                <w:lang w:val="sk-SK"/>
              </w:rPr>
              <w:t xml:space="preserve">Amitriptylín </w:t>
            </w:r>
          </w:p>
        </w:tc>
        <w:tc>
          <w:tcPr>
            <w:tcW w:w="2952" w:type="dxa"/>
          </w:tcPr>
          <w:p w:rsidR="0075534D" w:rsidRPr="00A83991" w:rsidRDefault="0075534D" w:rsidP="000971FE">
            <w:pPr>
              <w:keepLines/>
              <w:rPr>
                <w:bCs/>
                <w:sz w:val="22"/>
                <w:szCs w:val="22"/>
              </w:rPr>
            </w:pPr>
            <w:r w:rsidRPr="00A83991">
              <w:rPr>
                <w:bCs/>
                <w:sz w:val="22"/>
                <w:szCs w:val="22"/>
              </w:rPr>
              <w:t>↔</w:t>
            </w:r>
            <w:r w:rsidR="00ED45BE" w:rsidRPr="00A83991">
              <w:rPr>
                <w:bCs/>
                <w:sz w:val="22"/>
                <w:szCs w:val="22"/>
              </w:rPr>
              <w:t xml:space="preserve"> </w:t>
            </w:r>
            <w:r w:rsidR="0075552F" w:rsidRPr="00A83991">
              <w:rPr>
                <w:bCs/>
                <w:sz w:val="22"/>
                <w:szCs w:val="22"/>
                <w:lang w:val="sk-SK"/>
              </w:rPr>
              <w:t>20</w:t>
            </w:r>
            <w:r w:rsidR="00ED45BE" w:rsidRPr="00A83991">
              <w:rPr>
                <w:bCs/>
                <w:sz w:val="22"/>
                <w:szCs w:val="22"/>
                <w:lang w:val="sk-SK"/>
              </w:rPr>
              <w:t> </w:t>
            </w:r>
            <w:r w:rsidR="0075552F" w:rsidRPr="00A83991">
              <w:rPr>
                <w:bCs/>
                <w:sz w:val="22"/>
                <w:szCs w:val="22"/>
                <w:lang w:val="sk-SK"/>
              </w:rPr>
              <w:t>% zvýšenie C</w:t>
            </w:r>
            <w:r w:rsidR="0075552F" w:rsidRPr="00A83991">
              <w:rPr>
                <w:bCs/>
                <w:sz w:val="22"/>
                <w:szCs w:val="22"/>
                <w:vertAlign w:val="subscript"/>
                <w:lang w:val="sk-SK"/>
              </w:rPr>
              <w:t>max</w:t>
            </w:r>
            <w:r w:rsidR="0075552F" w:rsidRPr="00A83991">
              <w:rPr>
                <w:bCs/>
                <w:sz w:val="22"/>
                <w:szCs w:val="22"/>
                <w:lang w:val="sk-SK"/>
              </w:rPr>
              <w:t xml:space="preserve"> a AUC metabolitu</w:t>
            </w:r>
            <w:r w:rsidR="00ED45BE" w:rsidRPr="00A83991">
              <w:rPr>
                <w:bCs/>
                <w:sz w:val="22"/>
                <w:szCs w:val="22"/>
                <w:lang w:val="sk-SK"/>
              </w:rPr>
              <w:t>-</w:t>
            </w:r>
            <w:r w:rsidR="0075552F" w:rsidRPr="00A83991">
              <w:rPr>
                <w:bCs/>
                <w:sz w:val="22"/>
                <w:szCs w:val="22"/>
                <w:lang w:val="sk-SK"/>
              </w:rPr>
              <w:t xml:space="preserve">nortriptylínu </w:t>
            </w:r>
          </w:p>
          <w:p w:rsidR="0075534D" w:rsidRPr="00A83991" w:rsidRDefault="0075534D" w:rsidP="000971FE">
            <w:pPr>
              <w:keepLines/>
              <w:rPr>
                <w:bCs/>
                <w:sz w:val="22"/>
                <w:szCs w:val="22"/>
              </w:rPr>
            </w:pPr>
          </w:p>
        </w:tc>
        <w:tc>
          <w:tcPr>
            <w:tcW w:w="2952" w:type="dxa"/>
          </w:tcPr>
          <w:p w:rsidR="0075534D" w:rsidRPr="00A83991" w:rsidRDefault="0075534D" w:rsidP="000971FE">
            <w:pPr>
              <w:keepLines/>
              <w:rPr>
                <w:bCs/>
                <w:sz w:val="22"/>
                <w:szCs w:val="22"/>
              </w:rPr>
            </w:pPr>
            <w:r w:rsidRPr="00A83991">
              <w:rPr>
                <w:bCs/>
                <w:sz w:val="22"/>
                <w:szCs w:val="22"/>
              </w:rPr>
              <w:t>NS</w:t>
            </w:r>
          </w:p>
          <w:p w:rsidR="0075534D" w:rsidRPr="00A83991" w:rsidRDefault="0075534D" w:rsidP="000971FE">
            <w:pPr>
              <w:keepLines/>
              <w:rPr>
                <w:bCs/>
                <w:sz w:val="22"/>
                <w:szCs w:val="22"/>
              </w:rPr>
            </w:pPr>
          </w:p>
        </w:tc>
      </w:tr>
      <w:tr w:rsidR="0075534D" w:rsidRPr="00A83991" w:rsidTr="002868BD">
        <w:tc>
          <w:tcPr>
            <w:tcW w:w="2952" w:type="dxa"/>
          </w:tcPr>
          <w:p w:rsidR="0075534D" w:rsidRPr="00A83991" w:rsidRDefault="0075552F" w:rsidP="000971FE">
            <w:pPr>
              <w:keepLines/>
              <w:rPr>
                <w:bCs/>
                <w:sz w:val="22"/>
                <w:szCs w:val="22"/>
              </w:rPr>
            </w:pPr>
            <w:r w:rsidRPr="00A83991">
              <w:rPr>
                <w:bCs/>
                <w:sz w:val="22"/>
                <w:szCs w:val="22"/>
                <w:lang w:val="sk-SK"/>
              </w:rPr>
              <w:t>Dihydroergotamín (</w:t>
            </w:r>
            <w:r w:rsidR="00A37CF4" w:rsidRPr="00A83991">
              <w:rPr>
                <w:bCs/>
                <w:sz w:val="22"/>
                <w:szCs w:val="22"/>
                <w:lang w:val="sk-SK"/>
              </w:rPr>
              <w:t>peror</w:t>
            </w:r>
            <w:r w:rsidRPr="00A83991">
              <w:rPr>
                <w:bCs/>
                <w:sz w:val="22"/>
                <w:szCs w:val="22"/>
                <w:lang w:val="sk-SK"/>
              </w:rPr>
              <w:t>álny a</w:t>
            </w:r>
            <w:r w:rsidR="00A37CF4" w:rsidRPr="00A83991">
              <w:rPr>
                <w:bCs/>
                <w:sz w:val="22"/>
                <w:szCs w:val="22"/>
                <w:lang w:val="sk-SK"/>
              </w:rPr>
              <w:t> s</w:t>
            </w:r>
            <w:r w:rsidRPr="00A83991">
              <w:rPr>
                <w:bCs/>
                <w:sz w:val="22"/>
                <w:szCs w:val="22"/>
                <w:lang w:val="sk-SK"/>
              </w:rPr>
              <w:t xml:space="preserve">ubkutánny) </w:t>
            </w:r>
          </w:p>
          <w:p w:rsidR="0075534D" w:rsidRPr="00A83991" w:rsidRDefault="0075534D" w:rsidP="000971FE">
            <w:pPr>
              <w:keepLines/>
              <w:rPr>
                <w:bCs/>
                <w:sz w:val="22"/>
                <w:szCs w:val="22"/>
              </w:rPr>
            </w:pPr>
          </w:p>
        </w:tc>
        <w:tc>
          <w:tcPr>
            <w:tcW w:w="2952" w:type="dxa"/>
          </w:tcPr>
          <w:p w:rsidR="0075534D" w:rsidRPr="00A83991" w:rsidRDefault="0075534D" w:rsidP="000971FE">
            <w:pPr>
              <w:keepLines/>
              <w:rPr>
                <w:bCs/>
                <w:sz w:val="22"/>
                <w:szCs w:val="22"/>
              </w:rPr>
            </w:pPr>
            <w:r w:rsidRPr="00A83991">
              <w:rPr>
                <w:bCs/>
                <w:sz w:val="22"/>
                <w:szCs w:val="22"/>
              </w:rPr>
              <w:t>↔</w:t>
            </w:r>
          </w:p>
          <w:p w:rsidR="0075534D" w:rsidRPr="00A83991" w:rsidRDefault="0075534D" w:rsidP="000971FE">
            <w:pPr>
              <w:keepLines/>
              <w:rPr>
                <w:bCs/>
                <w:sz w:val="22"/>
                <w:szCs w:val="22"/>
              </w:rPr>
            </w:pPr>
          </w:p>
        </w:tc>
        <w:tc>
          <w:tcPr>
            <w:tcW w:w="2952" w:type="dxa"/>
          </w:tcPr>
          <w:p w:rsidR="0075534D" w:rsidRPr="00A83991" w:rsidRDefault="0075534D" w:rsidP="000971FE">
            <w:pPr>
              <w:keepLines/>
              <w:rPr>
                <w:bCs/>
                <w:sz w:val="22"/>
                <w:szCs w:val="22"/>
              </w:rPr>
            </w:pPr>
            <w:r w:rsidRPr="00A83991">
              <w:rPr>
                <w:bCs/>
                <w:sz w:val="22"/>
                <w:szCs w:val="22"/>
              </w:rPr>
              <w:t>↔</w:t>
            </w:r>
          </w:p>
          <w:p w:rsidR="0075534D" w:rsidRPr="00A83991" w:rsidRDefault="0075534D" w:rsidP="000971FE">
            <w:pPr>
              <w:keepLines/>
              <w:rPr>
                <w:bCs/>
                <w:sz w:val="22"/>
                <w:szCs w:val="22"/>
              </w:rPr>
            </w:pPr>
          </w:p>
        </w:tc>
      </w:tr>
      <w:tr w:rsidR="0075534D" w:rsidRPr="00A83991" w:rsidTr="002868BD">
        <w:tc>
          <w:tcPr>
            <w:tcW w:w="2952" w:type="dxa"/>
          </w:tcPr>
          <w:p w:rsidR="0075534D" w:rsidRPr="00A83991" w:rsidRDefault="0075534D" w:rsidP="000971FE">
            <w:pPr>
              <w:keepLines/>
              <w:rPr>
                <w:bCs/>
                <w:sz w:val="22"/>
                <w:szCs w:val="22"/>
              </w:rPr>
            </w:pPr>
            <w:r w:rsidRPr="00A83991">
              <w:rPr>
                <w:bCs/>
                <w:sz w:val="22"/>
                <w:szCs w:val="22"/>
              </w:rPr>
              <w:t>Haloperidol</w:t>
            </w:r>
          </w:p>
        </w:tc>
        <w:tc>
          <w:tcPr>
            <w:tcW w:w="2952" w:type="dxa"/>
          </w:tcPr>
          <w:p w:rsidR="0075534D" w:rsidRPr="00A83991" w:rsidRDefault="0075534D" w:rsidP="000971FE">
            <w:pPr>
              <w:keepLines/>
              <w:rPr>
                <w:bCs/>
                <w:sz w:val="22"/>
                <w:szCs w:val="22"/>
              </w:rPr>
            </w:pPr>
            <w:r w:rsidRPr="00A83991">
              <w:rPr>
                <w:bCs/>
                <w:sz w:val="22"/>
                <w:szCs w:val="22"/>
              </w:rPr>
              <w:t>↔</w:t>
            </w:r>
            <w:r w:rsidR="00A37CF4" w:rsidRPr="00A83991">
              <w:rPr>
                <w:bCs/>
                <w:sz w:val="22"/>
                <w:szCs w:val="22"/>
              </w:rPr>
              <w:t xml:space="preserve"> </w:t>
            </w:r>
            <w:r w:rsidR="0075552F" w:rsidRPr="00A83991">
              <w:rPr>
                <w:bCs/>
                <w:sz w:val="22"/>
                <w:szCs w:val="22"/>
                <w:lang w:val="sk-SK"/>
              </w:rPr>
              <w:t>31</w:t>
            </w:r>
            <w:r w:rsidR="00A37CF4" w:rsidRPr="00A83991">
              <w:rPr>
                <w:bCs/>
                <w:sz w:val="22"/>
                <w:szCs w:val="22"/>
                <w:lang w:val="sk-SK"/>
              </w:rPr>
              <w:t> </w:t>
            </w:r>
            <w:r w:rsidR="0075552F" w:rsidRPr="00A83991">
              <w:rPr>
                <w:bCs/>
                <w:sz w:val="22"/>
                <w:szCs w:val="22"/>
                <w:lang w:val="sk-SK"/>
              </w:rPr>
              <w:t xml:space="preserve">% zvýšenie AUC redukovaného metabolitu </w:t>
            </w:r>
          </w:p>
        </w:tc>
        <w:tc>
          <w:tcPr>
            <w:tcW w:w="2952" w:type="dxa"/>
          </w:tcPr>
          <w:p w:rsidR="0075534D" w:rsidRPr="00A83991" w:rsidRDefault="0075534D" w:rsidP="000971FE">
            <w:pPr>
              <w:keepLines/>
              <w:rPr>
                <w:bCs/>
                <w:sz w:val="22"/>
                <w:szCs w:val="22"/>
              </w:rPr>
            </w:pPr>
            <w:r w:rsidRPr="00A83991">
              <w:rPr>
                <w:bCs/>
                <w:sz w:val="22"/>
                <w:szCs w:val="22"/>
              </w:rPr>
              <w:t>NS</w:t>
            </w:r>
          </w:p>
          <w:p w:rsidR="0075534D" w:rsidRPr="00A83991" w:rsidRDefault="0075534D" w:rsidP="000971FE">
            <w:pPr>
              <w:keepLines/>
              <w:rPr>
                <w:bCs/>
                <w:sz w:val="22"/>
                <w:szCs w:val="22"/>
              </w:rPr>
            </w:pPr>
          </w:p>
        </w:tc>
      </w:tr>
      <w:tr w:rsidR="0075534D" w:rsidRPr="00A83991" w:rsidTr="002868BD">
        <w:tc>
          <w:tcPr>
            <w:tcW w:w="2952" w:type="dxa"/>
          </w:tcPr>
          <w:p w:rsidR="0075534D" w:rsidRPr="00A83991" w:rsidRDefault="0075534D" w:rsidP="000971FE">
            <w:pPr>
              <w:keepLines/>
              <w:rPr>
                <w:bCs/>
                <w:sz w:val="22"/>
                <w:szCs w:val="22"/>
              </w:rPr>
            </w:pPr>
            <w:r w:rsidRPr="00A83991">
              <w:rPr>
                <w:bCs/>
                <w:sz w:val="22"/>
                <w:szCs w:val="22"/>
              </w:rPr>
              <w:t>Propranolol</w:t>
            </w:r>
          </w:p>
        </w:tc>
        <w:tc>
          <w:tcPr>
            <w:tcW w:w="2952" w:type="dxa"/>
          </w:tcPr>
          <w:p w:rsidR="00A37CF4" w:rsidRPr="00A83991" w:rsidRDefault="0075534D" w:rsidP="000971FE">
            <w:pPr>
              <w:keepLines/>
              <w:rPr>
                <w:bCs/>
                <w:sz w:val="22"/>
                <w:szCs w:val="22"/>
                <w:lang w:val="sk-SK"/>
              </w:rPr>
            </w:pPr>
            <w:r w:rsidRPr="00A83991">
              <w:rPr>
                <w:bCs/>
                <w:sz w:val="22"/>
                <w:szCs w:val="22"/>
              </w:rPr>
              <w:t>↔</w:t>
            </w:r>
            <w:r w:rsidR="00A37CF4" w:rsidRPr="00A83991">
              <w:rPr>
                <w:bCs/>
                <w:sz w:val="22"/>
                <w:szCs w:val="22"/>
              </w:rPr>
              <w:t xml:space="preserve"> </w:t>
            </w:r>
            <w:r w:rsidR="0075552F" w:rsidRPr="00A83991">
              <w:rPr>
                <w:bCs/>
                <w:sz w:val="22"/>
                <w:szCs w:val="22"/>
                <w:lang w:val="sk-SK"/>
              </w:rPr>
              <w:t>17</w:t>
            </w:r>
            <w:r w:rsidR="00A37CF4" w:rsidRPr="00A83991">
              <w:rPr>
                <w:bCs/>
                <w:sz w:val="22"/>
                <w:szCs w:val="22"/>
                <w:lang w:val="sk-SK"/>
              </w:rPr>
              <w:t> </w:t>
            </w:r>
            <w:r w:rsidR="0075552F" w:rsidRPr="00A83991">
              <w:rPr>
                <w:bCs/>
                <w:sz w:val="22"/>
                <w:szCs w:val="22"/>
                <w:lang w:val="sk-SK"/>
              </w:rPr>
              <w:t xml:space="preserve">% </w:t>
            </w:r>
            <w:r w:rsidR="00A37CF4" w:rsidRPr="00A83991">
              <w:rPr>
                <w:bCs/>
                <w:sz w:val="22"/>
                <w:szCs w:val="22"/>
                <w:lang w:val="sk-SK"/>
              </w:rPr>
              <w:t>z</w:t>
            </w:r>
            <w:r w:rsidR="0075552F" w:rsidRPr="00A83991">
              <w:rPr>
                <w:bCs/>
                <w:sz w:val="22"/>
                <w:szCs w:val="22"/>
                <w:lang w:val="sk-SK"/>
              </w:rPr>
              <w:t>výšenie C</w:t>
            </w:r>
            <w:r w:rsidR="0075552F" w:rsidRPr="00A83991">
              <w:rPr>
                <w:bCs/>
                <w:sz w:val="22"/>
                <w:szCs w:val="22"/>
                <w:vertAlign w:val="subscript"/>
                <w:lang w:val="sk-SK"/>
              </w:rPr>
              <w:t>max</w:t>
            </w:r>
            <w:r w:rsidR="0075552F" w:rsidRPr="00A83991">
              <w:rPr>
                <w:bCs/>
                <w:sz w:val="22"/>
                <w:szCs w:val="22"/>
                <w:lang w:val="sk-SK"/>
              </w:rPr>
              <w:t xml:space="preserve"> </w:t>
            </w:r>
          </w:p>
          <w:p w:rsidR="00A37CF4" w:rsidRPr="00A83991" w:rsidRDefault="0075552F" w:rsidP="000971FE">
            <w:pPr>
              <w:keepLines/>
              <w:rPr>
                <w:bCs/>
                <w:sz w:val="22"/>
                <w:szCs w:val="22"/>
                <w:lang w:val="sk-SK"/>
              </w:rPr>
            </w:pPr>
            <w:r w:rsidRPr="00A83991">
              <w:rPr>
                <w:bCs/>
                <w:sz w:val="22"/>
                <w:szCs w:val="22"/>
                <w:lang w:val="sk-SK"/>
              </w:rPr>
              <w:t xml:space="preserve">4-OH propranololu </w:t>
            </w:r>
          </w:p>
          <w:p w:rsidR="0075534D" w:rsidRPr="00A83991" w:rsidRDefault="0075552F" w:rsidP="000971FE">
            <w:pPr>
              <w:keepLines/>
              <w:rPr>
                <w:bCs/>
                <w:sz w:val="22"/>
                <w:szCs w:val="22"/>
              </w:rPr>
            </w:pPr>
            <w:r w:rsidRPr="00A83991">
              <w:rPr>
                <w:bCs/>
                <w:sz w:val="22"/>
                <w:szCs w:val="22"/>
                <w:lang w:val="sk-SK"/>
              </w:rPr>
              <w:t>(TPM 50 mg/12 h</w:t>
            </w:r>
            <w:r w:rsidR="00A37CF4" w:rsidRPr="00A83991">
              <w:rPr>
                <w:bCs/>
                <w:sz w:val="22"/>
                <w:szCs w:val="22"/>
                <w:lang w:val="sk-SK"/>
              </w:rPr>
              <w:t>od</w:t>
            </w:r>
            <w:r w:rsidRPr="00A83991">
              <w:rPr>
                <w:bCs/>
                <w:sz w:val="22"/>
                <w:szCs w:val="22"/>
                <w:lang w:val="sk-SK"/>
              </w:rPr>
              <w:t xml:space="preserve">) </w:t>
            </w:r>
          </w:p>
        </w:tc>
        <w:tc>
          <w:tcPr>
            <w:tcW w:w="2952" w:type="dxa"/>
          </w:tcPr>
          <w:p w:rsidR="0075534D" w:rsidRPr="00A83991" w:rsidRDefault="00A37CF4" w:rsidP="000971FE">
            <w:pPr>
              <w:keepLines/>
              <w:rPr>
                <w:bCs/>
                <w:sz w:val="22"/>
                <w:szCs w:val="22"/>
                <w:lang w:val="pl-PL"/>
              </w:rPr>
            </w:pPr>
            <w:r w:rsidRPr="00A83991">
              <w:rPr>
                <w:bCs/>
                <w:sz w:val="22"/>
                <w:szCs w:val="22"/>
                <w:lang w:val="sk-SK"/>
              </w:rPr>
              <w:t>9 % a </w:t>
            </w:r>
            <w:r w:rsidR="0075552F" w:rsidRPr="00A83991">
              <w:rPr>
                <w:bCs/>
                <w:sz w:val="22"/>
                <w:szCs w:val="22"/>
                <w:lang w:val="sk-SK"/>
              </w:rPr>
              <w:t>16</w:t>
            </w:r>
            <w:r w:rsidRPr="00A83991">
              <w:rPr>
                <w:bCs/>
                <w:sz w:val="22"/>
                <w:szCs w:val="22"/>
                <w:lang w:val="sk-SK"/>
              </w:rPr>
              <w:t> </w:t>
            </w:r>
            <w:r w:rsidR="0075552F" w:rsidRPr="00A83991">
              <w:rPr>
                <w:bCs/>
                <w:sz w:val="22"/>
                <w:szCs w:val="22"/>
                <w:lang w:val="sk-SK"/>
              </w:rPr>
              <w:t>% zvýšenie C</w:t>
            </w:r>
            <w:r w:rsidR="0075552F" w:rsidRPr="00A83991">
              <w:rPr>
                <w:bCs/>
                <w:sz w:val="22"/>
                <w:szCs w:val="22"/>
                <w:vertAlign w:val="subscript"/>
                <w:lang w:val="sk-SK"/>
              </w:rPr>
              <w:t>max</w:t>
            </w:r>
            <w:r w:rsidR="0075552F" w:rsidRPr="00A83991">
              <w:rPr>
                <w:bCs/>
                <w:sz w:val="22"/>
                <w:szCs w:val="22"/>
                <w:lang w:val="sk-SK"/>
              </w:rPr>
              <w:t xml:space="preserve">, </w:t>
            </w:r>
            <w:r w:rsidRPr="00A83991">
              <w:rPr>
                <w:bCs/>
                <w:sz w:val="22"/>
                <w:szCs w:val="22"/>
                <w:lang w:val="sk-SK"/>
              </w:rPr>
              <w:t>9 % a </w:t>
            </w:r>
            <w:r w:rsidR="0075552F" w:rsidRPr="00A83991">
              <w:rPr>
                <w:bCs/>
                <w:sz w:val="22"/>
                <w:szCs w:val="22"/>
                <w:lang w:val="sk-SK"/>
              </w:rPr>
              <w:t>17</w:t>
            </w:r>
            <w:r w:rsidRPr="00A83991">
              <w:rPr>
                <w:bCs/>
                <w:sz w:val="22"/>
                <w:szCs w:val="22"/>
                <w:lang w:val="sk-SK"/>
              </w:rPr>
              <w:t> </w:t>
            </w:r>
            <w:r w:rsidR="0075552F" w:rsidRPr="00A83991">
              <w:rPr>
                <w:bCs/>
                <w:sz w:val="22"/>
                <w:szCs w:val="22"/>
                <w:lang w:val="sk-SK"/>
              </w:rPr>
              <w:t>% zvýšenie AUC (</w:t>
            </w:r>
            <w:r w:rsidRPr="00A83991">
              <w:rPr>
                <w:bCs/>
                <w:sz w:val="22"/>
                <w:szCs w:val="22"/>
                <w:lang w:val="sk-SK"/>
              </w:rPr>
              <w:t>40</w:t>
            </w:r>
            <w:r w:rsidR="0075552F" w:rsidRPr="00A83991">
              <w:rPr>
                <w:bCs/>
                <w:sz w:val="22"/>
                <w:szCs w:val="22"/>
                <w:lang w:val="sk-SK"/>
              </w:rPr>
              <w:t xml:space="preserve"> </w:t>
            </w:r>
            <w:r w:rsidRPr="00A83991">
              <w:rPr>
                <w:bCs/>
                <w:sz w:val="22"/>
                <w:szCs w:val="22"/>
                <w:lang w:val="sk-SK"/>
              </w:rPr>
              <w:t xml:space="preserve">a 80 mg </w:t>
            </w:r>
            <w:r w:rsidR="0075552F" w:rsidRPr="00A83991">
              <w:rPr>
                <w:bCs/>
                <w:sz w:val="22"/>
                <w:szCs w:val="22"/>
                <w:lang w:val="sk-SK"/>
              </w:rPr>
              <w:t>propranolol/12 h</w:t>
            </w:r>
            <w:r w:rsidRPr="00A83991">
              <w:rPr>
                <w:bCs/>
                <w:sz w:val="22"/>
                <w:szCs w:val="22"/>
                <w:lang w:val="sk-SK"/>
              </w:rPr>
              <w:t>od</w:t>
            </w:r>
            <w:r w:rsidR="0075552F" w:rsidRPr="00A83991">
              <w:rPr>
                <w:bCs/>
                <w:sz w:val="22"/>
                <w:szCs w:val="22"/>
                <w:lang w:val="sk-SK"/>
              </w:rPr>
              <w:t>)</w:t>
            </w:r>
            <w:r w:rsidR="0075552F" w:rsidRPr="00A83991">
              <w:rPr>
                <w:bCs/>
                <w:sz w:val="22"/>
                <w:szCs w:val="22"/>
                <w:lang w:val="sk-SK"/>
              </w:rPr>
              <w:br/>
            </w:r>
          </w:p>
        </w:tc>
      </w:tr>
      <w:tr w:rsidR="0075534D" w:rsidRPr="00A83991" w:rsidTr="002868BD">
        <w:tc>
          <w:tcPr>
            <w:tcW w:w="2952" w:type="dxa"/>
          </w:tcPr>
          <w:p w:rsidR="0075534D" w:rsidRPr="00A83991" w:rsidRDefault="0075552F" w:rsidP="000971FE">
            <w:pPr>
              <w:keepLines/>
              <w:rPr>
                <w:bCs/>
                <w:sz w:val="22"/>
                <w:szCs w:val="22"/>
              </w:rPr>
            </w:pPr>
            <w:r w:rsidRPr="00A83991">
              <w:rPr>
                <w:bCs/>
                <w:sz w:val="22"/>
                <w:szCs w:val="22"/>
                <w:lang w:val="sk-SK"/>
              </w:rPr>
              <w:t>Sumatriptan (</w:t>
            </w:r>
            <w:r w:rsidR="00A37CF4" w:rsidRPr="00A83991">
              <w:rPr>
                <w:bCs/>
                <w:sz w:val="22"/>
                <w:szCs w:val="22"/>
                <w:lang w:val="sk-SK"/>
              </w:rPr>
              <w:t>perorálny</w:t>
            </w:r>
            <w:r w:rsidRPr="00A83991">
              <w:rPr>
                <w:bCs/>
                <w:sz w:val="22"/>
                <w:szCs w:val="22"/>
                <w:lang w:val="sk-SK"/>
              </w:rPr>
              <w:t xml:space="preserve"> a</w:t>
            </w:r>
            <w:r w:rsidR="00A37CF4" w:rsidRPr="00A83991">
              <w:rPr>
                <w:bCs/>
                <w:sz w:val="22"/>
                <w:szCs w:val="22"/>
                <w:lang w:val="sk-SK"/>
              </w:rPr>
              <w:t> s</w:t>
            </w:r>
            <w:r w:rsidRPr="00A83991">
              <w:rPr>
                <w:bCs/>
                <w:sz w:val="22"/>
                <w:szCs w:val="22"/>
                <w:lang w:val="sk-SK"/>
              </w:rPr>
              <w:t xml:space="preserve">ubkutánny) </w:t>
            </w:r>
          </w:p>
          <w:p w:rsidR="0075534D" w:rsidRPr="00A83991" w:rsidRDefault="0075534D" w:rsidP="000971FE">
            <w:pPr>
              <w:keepLines/>
              <w:rPr>
                <w:bCs/>
                <w:sz w:val="22"/>
                <w:szCs w:val="22"/>
              </w:rPr>
            </w:pPr>
          </w:p>
        </w:tc>
        <w:tc>
          <w:tcPr>
            <w:tcW w:w="2952" w:type="dxa"/>
          </w:tcPr>
          <w:p w:rsidR="0075534D" w:rsidRPr="00A83991" w:rsidRDefault="0075534D" w:rsidP="000971FE">
            <w:pPr>
              <w:keepLines/>
              <w:rPr>
                <w:bCs/>
                <w:sz w:val="22"/>
                <w:szCs w:val="22"/>
              </w:rPr>
            </w:pPr>
            <w:r w:rsidRPr="00A83991">
              <w:rPr>
                <w:bCs/>
                <w:sz w:val="22"/>
                <w:szCs w:val="22"/>
              </w:rPr>
              <w:t>↔</w:t>
            </w:r>
          </w:p>
          <w:p w:rsidR="0075534D" w:rsidRPr="00A83991" w:rsidRDefault="0075534D" w:rsidP="000971FE">
            <w:pPr>
              <w:keepLines/>
              <w:rPr>
                <w:bCs/>
                <w:sz w:val="22"/>
                <w:szCs w:val="22"/>
              </w:rPr>
            </w:pPr>
          </w:p>
        </w:tc>
        <w:tc>
          <w:tcPr>
            <w:tcW w:w="2952" w:type="dxa"/>
          </w:tcPr>
          <w:p w:rsidR="0075534D" w:rsidRPr="00A83991" w:rsidRDefault="0075534D" w:rsidP="000971FE">
            <w:pPr>
              <w:keepLines/>
              <w:rPr>
                <w:bCs/>
                <w:sz w:val="22"/>
                <w:szCs w:val="22"/>
              </w:rPr>
            </w:pPr>
            <w:r w:rsidRPr="00A83991">
              <w:rPr>
                <w:bCs/>
                <w:sz w:val="22"/>
                <w:szCs w:val="22"/>
              </w:rPr>
              <w:t>NS</w:t>
            </w:r>
          </w:p>
          <w:p w:rsidR="0075534D" w:rsidRPr="00A83991" w:rsidRDefault="0075534D" w:rsidP="000971FE">
            <w:pPr>
              <w:keepLines/>
              <w:rPr>
                <w:bCs/>
                <w:sz w:val="22"/>
                <w:szCs w:val="22"/>
              </w:rPr>
            </w:pPr>
          </w:p>
        </w:tc>
      </w:tr>
      <w:tr w:rsidR="0075534D" w:rsidRPr="00A83991" w:rsidTr="002868BD">
        <w:tc>
          <w:tcPr>
            <w:tcW w:w="2952" w:type="dxa"/>
          </w:tcPr>
          <w:p w:rsidR="0075534D" w:rsidRPr="00A83991" w:rsidRDefault="0075534D" w:rsidP="000971FE">
            <w:pPr>
              <w:keepLines/>
              <w:rPr>
                <w:bCs/>
                <w:sz w:val="22"/>
                <w:szCs w:val="22"/>
              </w:rPr>
            </w:pPr>
            <w:r w:rsidRPr="00A83991">
              <w:rPr>
                <w:bCs/>
                <w:sz w:val="22"/>
                <w:szCs w:val="22"/>
              </w:rPr>
              <w:t>Pizotif</w:t>
            </w:r>
            <w:r w:rsidR="0075552F" w:rsidRPr="00A83991">
              <w:rPr>
                <w:bCs/>
                <w:sz w:val="22"/>
                <w:szCs w:val="22"/>
              </w:rPr>
              <w:t>é</w:t>
            </w:r>
            <w:r w:rsidRPr="00A83991">
              <w:rPr>
                <w:bCs/>
                <w:sz w:val="22"/>
                <w:szCs w:val="22"/>
              </w:rPr>
              <w:t>n</w:t>
            </w:r>
          </w:p>
        </w:tc>
        <w:tc>
          <w:tcPr>
            <w:tcW w:w="2952" w:type="dxa"/>
          </w:tcPr>
          <w:p w:rsidR="0075534D" w:rsidRPr="00A83991" w:rsidRDefault="0075534D" w:rsidP="000971FE">
            <w:pPr>
              <w:keepLines/>
              <w:rPr>
                <w:bCs/>
                <w:sz w:val="22"/>
                <w:szCs w:val="22"/>
              </w:rPr>
            </w:pPr>
            <w:r w:rsidRPr="00A83991">
              <w:rPr>
                <w:bCs/>
                <w:sz w:val="22"/>
                <w:szCs w:val="22"/>
              </w:rPr>
              <w:t>↔</w:t>
            </w:r>
          </w:p>
          <w:p w:rsidR="0075534D" w:rsidRPr="00A83991" w:rsidRDefault="0075534D" w:rsidP="000971FE">
            <w:pPr>
              <w:keepLines/>
              <w:rPr>
                <w:bCs/>
                <w:sz w:val="22"/>
                <w:szCs w:val="22"/>
              </w:rPr>
            </w:pPr>
          </w:p>
        </w:tc>
        <w:tc>
          <w:tcPr>
            <w:tcW w:w="2952" w:type="dxa"/>
          </w:tcPr>
          <w:p w:rsidR="0075534D" w:rsidRPr="00A83991" w:rsidRDefault="0075534D" w:rsidP="000971FE">
            <w:pPr>
              <w:keepLines/>
              <w:rPr>
                <w:bCs/>
                <w:sz w:val="22"/>
                <w:szCs w:val="22"/>
              </w:rPr>
            </w:pPr>
            <w:r w:rsidRPr="00A83991">
              <w:rPr>
                <w:bCs/>
                <w:sz w:val="22"/>
                <w:szCs w:val="22"/>
              </w:rPr>
              <w:t>↔</w:t>
            </w:r>
          </w:p>
          <w:p w:rsidR="0075534D" w:rsidRPr="00A83991" w:rsidRDefault="0075534D" w:rsidP="000971FE">
            <w:pPr>
              <w:keepLines/>
              <w:rPr>
                <w:bCs/>
                <w:sz w:val="22"/>
                <w:szCs w:val="22"/>
              </w:rPr>
            </w:pPr>
          </w:p>
        </w:tc>
      </w:tr>
      <w:tr w:rsidR="00A37CF4" w:rsidRPr="00A83991" w:rsidTr="002868BD">
        <w:tc>
          <w:tcPr>
            <w:tcW w:w="2952" w:type="dxa"/>
          </w:tcPr>
          <w:p w:rsidR="00A37CF4" w:rsidRPr="00A83991" w:rsidRDefault="00A37CF4" w:rsidP="000971FE">
            <w:pPr>
              <w:keepLines/>
              <w:rPr>
                <w:bCs/>
                <w:sz w:val="22"/>
                <w:szCs w:val="22"/>
              </w:rPr>
            </w:pPr>
            <w:r w:rsidRPr="00A83991">
              <w:rPr>
                <w:bCs/>
                <w:sz w:val="22"/>
                <w:szCs w:val="22"/>
              </w:rPr>
              <w:t>Diltiazem</w:t>
            </w:r>
          </w:p>
        </w:tc>
        <w:tc>
          <w:tcPr>
            <w:tcW w:w="2952" w:type="dxa"/>
          </w:tcPr>
          <w:p w:rsidR="00A37CF4" w:rsidRPr="00A83991" w:rsidRDefault="00A37CF4" w:rsidP="000971FE">
            <w:pPr>
              <w:keepLines/>
              <w:rPr>
                <w:bCs/>
                <w:sz w:val="22"/>
                <w:szCs w:val="22"/>
                <w:lang w:val="pl-PL"/>
              </w:rPr>
            </w:pPr>
            <w:r w:rsidRPr="00A83991">
              <w:rPr>
                <w:bCs/>
                <w:sz w:val="22"/>
                <w:szCs w:val="22"/>
                <w:lang w:val="pl-PL"/>
              </w:rPr>
              <w:t>25 % zníženie AUC diltiazemu a 18 % zníženie DEA a ↔ pre DEM*</w:t>
            </w:r>
          </w:p>
        </w:tc>
        <w:tc>
          <w:tcPr>
            <w:tcW w:w="2952" w:type="dxa"/>
          </w:tcPr>
          <w:p w:rsidR="00A37CF4" w:rsidRPr="00A83991" w:rsidRDefault="00A37CF4" w:rsidP="000971FE">
            <w:pPr>
              <w:keepLines/>
              <w:rPr>
                <w:sz w:val="22"/>
                <w:szCs w:val="22"/>
              </w:rPr>
            </w:pPr>
            <w:r w:rsidRPr="00A83991">
              <w:rPr>
                <w:bCs/>
                <w:sz w:val="22"/>
                <w:szCs w:val="22"/>
              </w:rPr>
              <w:t>20 </w:t>
            </w:r>
            <w:r w:rsidRPr="00A83991">
              <w:rPr>
                <w:sz w:val="22"/>
                <w:szCs w:val="22"/>
              </w:rPr>
              <w:t>% zvýšenie AUC</w:t>
            </w:r>
          </w:p>
        </w:tc>
      </w:tr>
      <w:tr w:rsidR="00A37CF4" w:rsidRPr="00A83991" w:rsidTr="002868BD">
        <w:tc>
          <w:tcPr>
            <w:tcW w:w="2952" w:type="dxa"/>
          </w:tcPr>
          <w:p w:rsidR="00A37CF4" w:rsidRPr="00A83991" w:rsidRDefault="00A37CF4" w:rsidP="000971FE">
            <w:pPr>
              <w:keepLines/>
              <w:rPr>
                <w:bCs/>
                <w:sz w:val="22"/>
                <w:szCs w:val="22"/>
              </w:rPr>
            </w:pPr>
            <w:r w:rsidRPr="00A83991">
              <w:rPr>
                <w:bCs/>
                <w:sz w:val="22"/>
                <w:szCs w:val="22"/>
              </w:rPr>
              <w:t>Venlafaxín</w:t>
            </w:r>
          </w:p>
        </w:tc>
        <w:tc>
          <w:tcPr>
            <w:tcW w:w="2952" w:type="dxa"/>
          </w:tcPr>
          <w:p w:rsidR="00A37CF4" w:rsidRPr="00A83991" w:rsidRDefault="00A37CF4" w:rsidP="000971FE">
            <w:pPr>
              <w:keepLines/>
              <w:rPr>
                <w:bCs/>
                <w:sz w:val="22"/>
                <w:szCs w:val="22"/>
              </w:rPr>
            </w:pPr>
            <w:r w:rsidRPr="00A83991">
              <w:rPr>
                <w:bCs/>
                <w:sz w:val="22"/>
                <w:szCs w:val="22"/>
              </w:rPr>
              <w:t>↔</w:t>
            </w:r>
          </w:p>
        </w:tc>
        <w:tc>
          <w:tcPr>
            <w:tcW w:w="2952" w:type="dxa"/>
          </w:tcPr>
          <w:p w:rsidR="00A37CF4" w:rsidRPr="00A83991" w:rsidRDefault="00A37CF4" w:rsidP="000971FE">
            <w:pPr>
              <w:keepLines/>
              <w:rPr>
                <w:bCs/>
                <w:sz w:val="22"/>
                <w:szCs w:val="22"/>
              </w:rPr>
            </w:pPr>
            <w:r w:rsidRPr="00A83991">
              <w:rPr>
                <w:bCs/>
                <w:sz w:val="22"/>
                <w:szCs w:val="22"/>
              </w:rPr>
              <w:t>↔</w:t>
            </w:r>
          </w:p>
        </w:tc>
      </w:tr>
      <w:tr w:rsidR="00A37CF4" w:rsidRPr="00A83991" w:rsidTr="002868BD">
        <w:tc>
          <w:tcPr>
            <w:tcW w:w="2952" w:type="dxa"/>
          </w:tcPr>
          <w:p w:rsidR="00A37CF4" w:rsidRPr="00A83991" w:rsidRDefault="00A37CF4" w:rsidP="000971FE">
            <w:pPr>
              <w:keepLines/>
              <w:rPr>
                <w:bCs/>
                <w:sz w:val="22"/>
                <w:szCs w:val="22"/>
              </w:rPr>
            </w:pPr>
            <w:r w:rsidRPr="00A83991">
              <w:rPr>
                <w:bCs/>
                <w:sz w:val="22"/>
                <w:szCs w:val="22"/>
              </w:rPr>
              <w:t>Flunarizín</w:t>
            </w:r>
          </w:p>
        </w:tc>
        <w:tc>
          <w:tcPr>
            <w:tcW w:w="2952" w:type="dxa"/>
          </w:tcPr>
          <w:p w:rsidR="00A37CF4" w:rsidRPr="00A83991" w:rsidRDefault="00A37CF4" w:rsidP="000971FE">
            <w:pPr>
              <w:keepLines/>
              <w:rPr>
                <w:bCs/>
                <w:sz w:val="22"/>
                <w:szCs w:val="22"/>
              </w:rPr>
            </w:pPr>
            <w:r w:rsidRPr="00A83991">
              <w:rPr>
                <w:bCs/>
                <w:sz w:val="22"/>
                <w:szCs w:val="22"/>
              </w:rPr>
              <w:t>16 % zvýšenie AUC</w:t>
            </w:r>
          </w:p>
          <w:p w:rsidR="00A37CF4" w:rsidRPr="00A83991" w:rsidRDefault="00A37CF4" w:rsidP="000971FE">
            <w:pPr>
              <w:keepLines/>
              <w:rPr>
                <w:bCs/>
                <w:sz w:val="22"/>
                <w:szCs w:val="22"/>
              </w:rPr>
            </w:pPr>
            <w:r w:rsidRPr="00A83991">
              <w:rPr>
                <w:bCs/>
                <w:sz w:val="22"/>
                <w:szCs w:val="22"/>
              </w:rPr>
              <w:t>(TPM 50 mg/12 hod)</w:t>
            </w:r>
          </w:p>
        </w:tc>
        <w:tc>
          <w:tcPr>
            <w:tcW w:w="2952" w:type="dxa"/>
          </w:tcPr>
          <w:p w:rsidR="00A37CF4" w:rsidRPr="00A83991" w:rsidRDefault="00A37CF4" w:rsidP="000971FE">
            <w:pPr>
              <w:keepLines/>
              <w:rPr>
                <w:bCs/>
                <w:sz w:val="22"/>
                <w:szCs w:val="22"/>
              </w:rPr>
            </w:pPr>
            <w:r w:rsidRPr="00A83991">
              <w:rPr>
                <w:bCs/>
                <w:sz w:val="22"/>
                <w:szCs w:val="22"/>
              </w:rPr>
              <w:t>↔</w:t>
            </w:r>
          </w:p>
          <w:p w:rsidR="00A37CF4" w:rsidRPr="00A83991" w:rsidRDefault="00A37CF4" w:rsidP="000971FE">
            <w:pPr>
              <w:keepLines/>
              <w:rPr>
                <w:bCs/>
                <w:sz w:val="22"/>
                <w:szCs w:val="22"/>
              </w:rPr>
            </w:pPr>
          </w:p>
        </w:tc>
      </w:tr>
    </w:tbl>
    <w:p w:rsidR="00977765" w:rsidRPr="00A83991" w:rsidRDefault="0075552F" w:rsidP="000971FE">
      <w:pPr>
        <w:keepLines/>
        <w:rPr>
          <w:bCs/>
          <w:sz w:val="22"/>
          <w:szCs w:val="22"/>
          <w:lang w:val="sk-SK"/>
        </w:rPr>
      </w:pPr>
      <w:r w:rsidRPr="00A83991">
        <w:rPr>
          <w:bCs/>
          <w:sz w:val="22"/>
          <w:szCs w:val="22"/>
          <w:vertAlign w:val="superscript"/>
          <w:lang w:val="sk-SK"/>
        </w:rPr>
        <w:t>a</w:t>
      </w:r>
      <w:r w:rsidR="00A37CF4" w:rsidRPr="00A83991">
        <w:rPr>
          <w:bCs/>
          <w:sz w:val="22"/>
          <w:szCs w:val="22"/>
          <w:lang w:val="sk-SK"/>
        </w:rPr>
        <w:t> </w:t>
      </w:r>
      <w:r w:rsidR="00405DC7" w:rsidRPr="00A83991">
        <w:rPr>
          <w:bCs/>
          <w:sz w:val="22"/>
          <w:szCs w:val="22"/>
          <w:lang w:val="sk-SK"/>
        </w:rPr>
        <w:t>H</w:t>
      </w:r>
      <w:r w:rsidR="00A37CF4" w:rsidRPr="00A83991">
        <w:rPr>
          <w:bCs/>
          <w:sz w:val="22"/>
          <w:szCs w:val="22"/>
          <w:lang w:val="sk-SK"/>
        </w:rPr>
        <w:t xml:space="preserve">odnoty v </w:t>
      </w:r>
      <w:r w:rsidR="00977765" w:rsidRPr="00A83991">
        <w:rPr>
          <w:bCs/>
          <w:sz w:val="22"/>
          <w:szCs w:val="22"/>
          <w:lang w:val="sk-SK"/>
        </w:rPr>
        <w:t xml:space="preserve">% sú </w:t>
      </w:r>
      <w:r w:rsidR="00405DC7" w:rsidRPr="00A83991">
        <w:rPr>
          <w:bCs/>
          <w:sz w:val="22"/>
          <w:szCs w:val="22"/>
          <w:lang w:val="sk-SK"/>
        </w:rPr>
        <w:t xml:space="preserve">priemerné </w:t>
      </w:r>
      <w:r w:rsidR="00977765" w:rsidRPr="00A83991">
        <w:rPr>
          <w:bCs/>
          <w:sz w:val="22"/>
          <w:szCs w:val="22"/>
          <w:lang w:val="sk-SK"/>
        </w:rPr>
        <w:t>zmeny C</w:t>
      </w:r>
      <w:r w:rsidR="00977765" w:rsidRPr="00A83991">
        <w:rPr>
          <w:bCs/>
          <w:sz w:val="22"/>
          <w:szCs w:val="22"/>
          <w:vertAlign w:val="subscript"/>
          <w:lang w:val="sk-SK"/>
        </w:rPr>
        <w:t>max</w:t>
      </w:r>
      <w:r w:rsidR="00977765" w:rsidRPr="00A83991">
        <w:rPr>
          <w:bCs/>
          <w:sz w:val="22"/>
          <w:szCs w:val="22"/>
          <w:lang w:val="sk-SK"/>
        </w:rPr>
        <w:t xml:space="preserve"> alebo AUC pri monoterapi</w:t>
      </w:r>
      <w:r w:rsidR="00405DC7" w:rsidRPr="00A83991">
        <w:rPr>
          <w:bCs/>
          <w:sz w:val="22"/>
          <w:szCs w:val="22"/>
          <w:lang w:val="sk-SK"/>
        </w:rPr>
        <w:t>i</w:t>
      </w:r>
    </w:p>
    <w:p w:rsidR="0075534D" w:rsidRPr="00A83991" w:rsidRDefault="0075534D" w:rsidP="000971FE">
      <w:pPr>
        <w:keepLines/>
        <w:rPr>
          <w:bCs/>
          <w:sz w:val="22"/>
          <w:szCs w:val="22"/>
          <w:lang w:val="sk-SK"/>
        </w:rPr>
      </w:pPr>
      <w:r w:rsidRPr="00A83991">
        <w:rPr>
          <w:bCs/>
          <w:sz w:val="22"/>
          <w:szCs w:val="22"/>
          <w:lang w:val="sk-SK"/>
        </w:rPr>
        <w:t>↔</w:t>
      </w:r>
      <w:r w:rsidR="00405DC7" w:rsidRPr="00A83991">
        <w:rPr>
          <w:bCs/>
          <w:sz w:val="22"/>
          <w:szCs w:val="22"/>
          <w:lang w:val="sk-SK"/>
        </w:rPr>
        <w:t xml:space="preserve"> </w:t>
      </w:r>
      <w:r w:rsidR="00977765" w:rsidRPr="00A83991">
        <w:rPr>
          <w:bCs/>
          <w:sz w:val="22"/>
          <w:szCs w:val="22"/>
          <w:lang w:val="sk-SK"/>
        </w:rPr>
        <w:t>=</w:t>
      </w:r>
      <w:r w:rsidR="00405DC7" w:rsidRPr="00A83991">
        <w:rPr>
          <w:bCs/>
          <w:sz w:val="22"/>
          <w:szCs w:val="22"/>
          <w:lang w:val="sk-SK"/>
        </w:rPr>
        <w:t xml:space="preserve"> </w:t>
      </w:r>
      <w:r w:rsidR="00977765" w:rsidRPr="00A83991">
        <w:rPr>
          <w:bCs/>
          <w:sz w:val="22"/>
          <w:szCs w:val="22"/>
          <w:lang w:val="sk-SK"/>
        </w:rPr>
        <w:t>Žiad</w:t>
      </w:r>
      <w:r w:rsidR="00405DC7" w:rsidRPr="00A83991">
        <w:rPr>
          <w:bCs/>
          <w:sz w:val="22"/>
          <w:szCs w:val="22"/>
          <w:lang w:val="sk-SK"/>
        </w:rPr>
        <w:t>ny účinok</w:t>
      </w:r>
      <w:r w:rsidR="00977765" w:rsidRPr="00A83991">
        <w:rPr>
          <w:bCs/>
          <w:sz w:val="22"/>
          <w:szCs w:val="22"/>
          <w:lang w:val="sk-SK"/>
        </w:rPr>
        <w:t xml:space="preserve"> na C</w:t>
      </w:r>
      <w:r w:rsidR="00977765" w:rsidRPr="00A83991">
        <w:rPr>
          <w:bCs/>
          <w:sz w:val="22"/>
          <w:szCs w:val="22"/>
          <w:vertAlign w:val="subscript"/>
          <w:lang w:val="sk-SK"/>
        </w:rPr>
        <w:t>max</w:t>
      </w:r>
      <w:r w:rsidR="00977765" w:rsidRPr="00A83991">
        <w:rPr>
          <w:bCs/>
          <w:sz w:val="22"/>
          <w:szCs w:val="22"/>
          <w:lang w:val="sk-SK"/>
        </w:rPr>
        <w:t xml:space="preserve"> a AUC (</w:t>
      </w:r>
      <w:r w:rsidR="00405DC7" w:rsidRPr="00A83991">
        <w:rPr>
          <w:bCs/>
          <w:sz w:val="22"/>
          <w:szCs w:val="22"/>
          <w:lang w:val="sk-SK"/>
        </w:rPr>
        <w:sym w:font="Symbol" w:char="F0A3"/>
      </w:r>
      <w:r w:rsidR="00977765" w:rsidRPr="00A83991">
        <w:rPr>
          <w:bCs/>
          <w:sz w:val="22"/>
          <w:szCs w:val="22"/>
          <w:lang w:val="sk-SK"/>
        </w:rPr>
        <w:t xml:space="preserve"> 15% zmen</w:t>
      </w:r>
      <w:r w:rsidR="00405DC7" w:rsidRPr="00A83991">
        <w:rPr>
          <w:bCs/>
          <w:sz w:val="22"/>
          <w:szCs w:val="22"/>
          <w:lang w:val="sk-SK"/>
        </w:rPr>
        <w:t>a</w:t>
      </w:r>
      <w:r w:rsidR="00977765" w:rsidRPr="00A83991">
        <w:rPr>
          <w:bCs/>
          <w:sz w:val="22"/>
          <w:szCs w:val="22"/>
          <w:lang w:val="sk-SK"/>
        </w:rPr>
        <w:t>) pôvodnej zlúčeniny</w:t>
      </w:r>
      <w:r w:rsidR="00977765" w:rsidRPr="00A83991">
        <w:rPr>
          <w:bCs/>
          <w:sz w:val="22"/>
          <w:szCs w:val="22"/>
          <w:lang w:val="sk-SK"/>
        </w:rPr>
        <w:br/>
        <w:t>NS</w:t>
      </w:r>
      <w:r w:rsidR="00405DC7" w:rsidRPr="00A83991">
        <w:rPr>
          <w:bCs/>
          <w:sz w:val="22"/>
          <w:szCs w:val="22"/>
          <w:lang w:val="sk-SK"/>
        </w:rPr>
        <w:t xml:space="preserve"> </w:t>
      </w:r>
      <w:r w:rsidR="00977765" w:rsidRPr="00A83991">
        <w:rPr>
          <w:bCs/>
          <w:sz w:val="22"/>
          <w:szCs w:val="22"/>
          <w:lang w:val="sk-SK"/>
        </w:rPr>
        <w:t>=</w:t>
      </w:r>
      <w:r w:rsidR="00405DC7" w:rsidRPr="00A83991">
        <w:rPr>
          <w:bCs/>
          <w:sz w:val="22"/>
          <w:szCs w:val="22"/>
          <w:lang w:val="sk-SK"/>
        </w:rPr>
        <w:t xml:space="preserve"> Štúdie sa ne</w:t>
      </w:r>
      <w:r w:rsidR="00977765" w:rsidRPr="00A83991">
        <w:rPr>
          <w:bCs/>
          <w:sz w:val="22"/>
          <w:szCs w:val="22"/>
          <w:lang w:val="sk-SK"/>
        </w:rPr>
        <w:t>vykona</w:t>
      </w:r>
      <w:r w:rsidR="00405DC7" w:rsidRPr="00A83991">
        <w:rPr>
          <w:bCs/>
          <w:sz w:val="22"/>
          <w:szCs w:val="22"/>
          <w:lang w:val="sk-SK"/>
        </w:rPr>
        <w:t>li</w:t>
      </w:r>
    </w:p>
    <w:p w:rsidR="00405DC7" w:rsidRPr="00A83991" w:rsidRDefault="00405DC7" w:rsidP="000971FE">
      <w:pPr>
        <w:keepLines/>
        <w:rPr>
          <w:bCs/>
          <w:sz w:val="22"/>
          <w:szCs w:val="22"/>
          <w:lang w:val="sk-SK"/>
        </w:rPr>
      </w:pPr>
      <w:r w:rsidRPr="00A83991">
        <w:rPr>
          <w:bCs/>
          <w:sz w:val="22"/>
          <w:szCs w:val="22"/>
          <w:lang w:val="sk-SK"/>
        </w:rPr>
        <w:t>*DEA = desacetyldiltiazem, DEM = demetyldiltiazem</w:t>
      </w:r>
    </w:p>
    <w:p w:rsidR="00405DC7" w:rsidRPr="00A83991" w:rsidRDefault="00405DC7" w:rsidP="000971FE">
      <w:pPr>
        <w:keepLines/>
        <w:rPr>
          <w:bCs/>
          <w:sz w:val="22"/>
          <w:szCs w:val="22"/>
          <w:lang w:val="sk-SK"/>
        </w:rPr>
      </w:pPr>
      <w:r w:rsidRPr="00A83991">
        <w:rPr>
          <w:bCs/>
          <w:sz w:val="22"/>
          <w:szCs w:val="22"/>
          <w:vertAlign w:val="superscript"/>
          <w:lang w:val="sk-SK"/>
        </w:rPr>
        <w:t xml:space="preserve">b </w:t>
      </w:r>
      <w:r w:rsidRPr="00A83991">
        <w:rPr>
          <w:bCs/>
          <w:sz w:val="22"/>
          <w:szCs w:val="22"/>
          <w:lang w:val="sk-SK"/>
        </w:rPr>
        <w:t xml:space="preserve">Zvýšenie AUC flunarizínu o 14 % u osôb, ktoré užívali flunarizín samostatne. Zvýšenie expozície môže súvisieť s akumuláciou počas dosiahnutia rovnovážneho stavu. </w:t>
      </w:r>
    </w:p>
    <w:p w:rsidR="00977765" w:rsidRPr="00A83991" w:rsidRDefault="00977765" w:rsidP="0075534D">
      <w:pPr>
        <w:rPr>
          <w:bCs/>
          <w:sz w:val="22"/>
          <w:szCs w:val="22"/>
          <w:lang w:val="sk-SK"/>
        </w:rPr>
      </w:pPr>
    </w:p>
    <w:p w:rsidR="00FA696D" w:rsidRPr="00A83991" w:rsidRDefault="00FA696D" w:rsidP="000971FE">
      <w:pPr>
        <w:keepNext/>
        <w:tabs>
          <w:tab w:val="left" w:pos="567"/>
        </w:tabs>
        <w:rPr>
          <w:b/>
          <w:sz w:val="22"/>
          <w:szCs w:val="22"/>
          <w:lang w:val="sk-SK"/>
        </w:rPr>
      </w:pPr>
      <w:r w:rsidRPr="00A83991">
        <w:rPr>
          <w:rStyle w:val="EmphasisA"/>
          <w:rFonts w:ascii="Times New Roman" w:eastAsia="Times New Roman" w:hAnsi="Times New Roman"/>
          <w:sz w:val="22"/>
          <w:szCs w:val="22"/>
          <w:lang w:val="sk-SK"/>
        </w:rPr>
        <w:lastRenderedPageBreak/>
        <w:t>4.6</w:t>
      </w:r>
      <w:r w:rsidR="00405DC7" w:rsidRPr="00A83991">
        <w:rPr>
          <w:rStyle w:val="EmphasisA"/>
          <w:rFonts w:ascii="Times New Roman" w:eastAsia="Times New Roman" w:hAnsi="Times New Roman"/>
          <w:sz w:val="22"/>
          <w:szCs w:val="22"/>
          <w:lang w:val="sk-SK"/>
        </w:rPr>
        <w:tab/>
        <w:t>Fertilita, g</w:t>
      </w:r>
      <w:r w:rsidRPr="00A83991">
        <w:rPr>
          <w:b/>
          <w:sz w:val="22"/>
          <w:szCs w:val="22"/>
          <w:lang w:val="sk-SK"/>
        </w:rPr>
        <w:t>ravidita a laktácia</w:t>
      </w:r>
    </w:p>
    <w:p w:rsidR="00FA696D" w:rsidRPr="00A83991" w:rsidRDefault="00FA696D" w:rsidP="000971FE">
      <w:pPr>
        <w:keepNext/>
        <w:rPr>
          <w:rStyle w:val="UnderlineA"/>
          <w:i/>
          <w:sz w:val="22"/>
          <w:szCs w:val="22"/>
          <w:lang w:val="sk-SK"/>
        </w:rPr>
      </w:pPr>
    </w:p>
    <w:p w:rsidR="00FA696D" w:rsidRPr="00A83991" w:rsidRDefault="00B638E3" w:rsidP="000971FE">
      <w:pPr>
        <w:keepNext/>
        <w:rPr>
          <w:rStyle w:val="UnderlineA"/>
          <w:bCs/>
          <w:sz w:val="22"/>
          <w:szCs w:val="22"/>
          <w:lang w:val="sk-SK"/>
        </w:rPr>
      </w:pPr>
      <w:r w:rsidRPr="00A83991">
        <w:rPr>
          <w:rStyle w:val="UnderlineA"/>
          <w:bCs/>
          <w:sz w:val="22"/>
          <w:szCs w:val="22"/>
          <w:lang w:val="sk-SK"/>
        </w:rPr>
        <w:t>Gravidita</w:t>
      </w:r>
    </w:p>
    <w:p w:rsidR="00B638E3" w:rsidRPr="00A83991" w:rsidRDefault="00B638E3" w:rsidP="000971FE">
      <w:pPr>
        <w:keepNext/>
        <w:rPr>
          <w:rStyle w:val="UnderlineA"/>
          <w:bCs/>
          <w:sz w:val="22"/>
          <w:szCs w:val="22"/>
          <w:u w:val="none"/>
          <w:lang w:val="sk-SK"/>
        </w:rPr>
      </w:pPr>
    </w:p>
    <w:p w:rsidR="00405DC7" w:rsidRPr="00A83991" w:rsidRDefault="00405DC7">
      <w:pPr>
        <w:rPr>
          <w:rStyle w:val="UnderlineA"/>
          <w:bCs/>
          <w:sz w:val="22"/>
          <w:szCs w:val="22"/>
          <w:u w:val="none"/>
          <w:lang w:val="sk-SK"/>
        </w:rPr>
      </w:pPr>
      <w:r w:rsidRPr="00A83991">
        <w:rPr>
          <w:rStyle w:val="UnderlineA"/>
          <w:bCs/>
          <w:sz w:val="22"/>
          <w:szCs w:val="22"/>
          <w:u w:val="none"/>
          <w:lang w:val="sk-SK"/>
        </w:rPr>
        <w:t>Topiramát bol teratogénny u myší, potkanov a</w:t>
      </w:r>
      <w:r w:rsidR="00E965F0" w:rsidRPr="00A83991">
        <w:rPr>
          <w:rStyle w:val="UnderlineA"/>
          <w:bCs/>
          <w:sz w:val="22"/>
          <w:szCs w:val="22"/>
          <w:u w:val="none"/>
          <w:lang w:val="sk-SK"/>
        </w:rPr>
        <w:t> </w:t>
      </w:r>
      <w:r w:rsidRPr="00A83991">
        <w:rPr>
          <w:rStyle w:val="UnderlineA"/>
          <w:bCs/>
          <w:sz w:val="22"/>
          <w:szCs w:val="22"/>
          <w:u w:val="none"/>
          <w:lang w:val="sk-SK"/>
        </w:rPr>
        <w:t>králikov</w:t>
      </w:r>
      <w:r w:rsidR="00E965F0" w:rsidRPr="00A83991">
        <w:rPr>
          <w:rStyle w:val="UnderlineA"/>
          <w:bCs/>
          <w:sz w:val="22"/>
          <w:szCs w:val="22"/>
          <w:u w:val="none"/>
          <w:lang w:val="sk-SK"/>
        </w:rPr>
        <w:t>. U potkanov topiramát prechádzal placentárnou bariérou.</w:t>
      </w:r>
      <w:r w:rsidRPr="00A83991">
        <w:rPr>
          <w:rStyle w:val="UnderlineA"/>
          <w:bCs/>
          <w:sz w:val="22"/>
          <w:szCs w:val="22"/>
          <w:u w:val="none"/>
          <w:lang w:val="sk-SK"/>
        </w:rPr>
        <w:t xml:space="preserve"> </w:t>
      </w:r>
    </w:p>
    <w:p w:rsidR="00405DC7" w:rsidRDefault="00405DC7">
      <w:pPr>
        <w:rPr>
          <w:rStyle w:val="UnderlineA"/>
          <w:bCs/>
          <w:sz w:val="22"/>
          <w:szCs w:val="22"/>
          <w:u w:val="none"/>
          <w:lang w:val="sk-SK"/>
        </w:rPr>
      </w:pPr>
    </w:p>
    <w:p w:rsidR="00FB3884" w:rsidRDefault="00FB3884">
      <w:pPr>
        <w:rPr>
          <w:rStyle w:val="UnderlineA"/>
          <w:bCs/>
          <w:sz w:val="22"/>
          <w:szCs w:val="22"/>
          <w:u w:val="none"/>
          <w:lang w:val="sk-SK"/>
        </w:rPr>
      </w:pPr>
      <w:r>
        <w:rPr>
          <w:rStyle w:val="UnderlineA"/>
          <w:bCs/>
          <w:sz w:val="22"/>
          <w:szCs w:val="22"/>
          <w:u w:val="none"/>
          <w:lang w:val="sk-SK"/>
        </w:rPr>
        <w:t>U ľudí prechádza topiramát placentou a v pupočnej šnúre a v krvi matky boli hlásené podobné koncentrácie.</w:t>
      </w:r>
    </w:p>
    <w:p w:rsidR="00FB3884" w:rsidRPr="00A83991" w:rsidRDefault="00FB3884">
      <w:pPr>
        <w:rPr>
          <w:rStyle w:val="UnderlineA"/>
          <w:bCs/>
          <w:sz w:val="22"/>
          <w:szCs w:val="22"/>
          <w:u w:val="none"/>
          <w:lang w:val="sk-SK"/>
        </w:rPr>
      </w:pPr>
    </w:p>
    <w:p w:rsidR="00FB3884" w:rsidRPr="000971FE" w:rsidRDefault="00E965F0">
      <w:pPr>
        <w:rPr>
          <w:rStyle w:val="UnderlineA"/>
          <w:bCs/>
          <w:color w:val="auto"/>
          <w:sz w:val="22"/>
          <w:szCs w:val="22"/>
          <w:u w:val="none"/>
          <w:lang w:val="sk-SK"/>
        </w:rPr>
      </w:pPr>
      <w:r w:rsidRPr="00A83991">
        <w:rPr>
          <w:rStyle w:val="UnderlineA"/>
          <w:bCs/>
          <w:sz w:val="22"/>
          <w:szCs w:val="22"/>
          <w:u w:val="none"/>
          <w:lang w:val="sk-SK"/>
        </w:rPr>
        <w:t xml:space="preserve">Údaje z tehotenského registra UK a z tehotenského registra North American Antiepileptic Drug (NAAED) naznačujú, že u detí vystavených monoterapii topiramátom v prvom trimestri existuje zvýšené riziko vrodených malformácií (napr. kraniofaciálne poruchy, ako rázštep pery/podnebia, hypospádia a anomálie týkajúce sa rozličných orgánových systémov). </w:t>
      </w:r>
    </w:p>
    <w:p w:rsidR="00FB3884" w:rsidRPr="000971FE" w:rsidRDefault="00FB3884">
      <w:pPr>
        <w:rPr>
          <w:rStyle w:val="UnderlineA"/>
          <w:bCs/>
          <w:color w:val="auto"/>
          <w:sz w:val="22"/>
          <w:szCs w:val="22"/>
          <w:u w:val="none"/>
          <w:lang w:val="sk-SK"/>
        </w:rPr>
      </w:pPr>
    </w:p>
    <w:p w:rsidR="00405DC7" w:rsidRPr="00A83991" w:rsidRDefault="00E965F0">
      <w:pPr>
        <w:rPr>
          <w:rStyle w:val="UnderlineA"/>
          <w:bCs/>
          <w:sz w:val="22"/>
          <w:szCs w:val="22"/>
          <w:u w:val="none"/>
          <w:lang w:val="sk-SK"/>
        </w:rPr>
      </w:pPr>
      <w:r w:rsidRPr="00A83991">
        <w:rPr>
          <w:rStyle w:val="UnderlineA"/>
          <w:bCs/>
          <w:sz w:val="22"/>
          <w:szCs w:val="22"/>
          <w:u w:val="none"/>
          <w:lang w:val="sk-SK"/>
        </w:rPr>
        <w:t xml:space="preserve">Údaje pre monoterapiu topiramátom z tehotenského registra NAAED preukázali probližne 3-násobne vyššiu </w:t>
      </w:r>
      <w:r w:rsidR="00FB3884">
        <w:rPr>
          <w:rStyle w:val="UnderlineA"/>
          <w:bCs/>
          <w:sz w:val="22"/>
          <w:szCs w:val="22"/>
          <w:u w:val="none"/>
          <w:lang w:val="sk-SK"/>
        </w:rPr>
        <w:t>prevalenciu</w:t>
      </w:r>
      <w:r w:rsidRPr="00A83991">
        <w:rPr>
          <w:rStyle w:val="UnderlineA"/>
          <w:bCs/>
          <w:sz w:val="22"/>
          <w:szCs w:val="22"/>
          <w:u w:val="none"/>
          <w:lang w:val="sk-SK"/>
        </w:rPr>
        <w:t xml:space="preserve"> závažných vrodených malformácií </w:t>
      </w:r>
      <w:r w:rsidR="00FB3884">
        <w:rPr>
          <w:rStyle w:val="UnderlineA"/>
          <w:bCs/>
          <w:sz w:val="22"/>
          <w:szCs w:val="22"/>
          <w:u w:val="none"/>
          <w:lang w:val="sk-SK"/>
        </w:rPr>
        <w:t xml:space="preserve">(4,3 %) </w:t>
      </w:r>
      <w:r w:rsidRPr="00A83991">
        <w:rPr>
          <w:rStyle w:val="UnderlineA"/>
          <w:bCs/>
          <w:sz w:val="22"/>
          <w:szCs w:val="22"/>
          <w:u w:val="none"/>
          <w:lang w:val="sk-SK"/>
        </w:rPr>
        <w:t>v porovnaní s referenčnou skupinou, ktorá neužívala antiepileptiká</w:t>
      </w:r>
      <w:r w:rsidR="00FB3884">
        <w:rPr>
          <w:rStyle w:val="UnderlineA"/>
          <w:bCs/>
          <w:sz w:val="22"/>
          <w:szCs w:val="22"/>
          <w:u w:val="none"/>
          <w:lang w:val="sk-SK"/>
        </w:rPr>
        <w:t xml:space="preserve"> (1,4 %)</w:t>
      </w:r>
      <w:r w:rsidRPr="00A83991">
        <w:rPr>
          <w:rStyle w:val="UnderlineA"/>
          <w:bCs/>
          <w:sz w:val="22"/>
          <w:szCs w:val="22"/>
          <w:u w:val="none"/>
          <w:lang w:val="sk-SK"/>
        </w:rPr>
        <w:t xml:space="preserve">. Okrem toho sa po liečbe topiramátom pozoroval vyšší výskyt nízkej pôrodnej hmotnosti (&lt; 2 500 g) ako v referenčnej skupine. </w:t>
      </w:r>
    </w:p>
    <w:p w:rsidR="00E965F0" w:rsidRPr="00A83991" w:rsidRDefault="00E965F0">
      <w:pPr>
        <w:rPr>
          <w:rStyle w:val="UnderlineA"/>
          <w:bCs/>
          <w:sz w:val="22"/>
          <w:szCs w:val="22"/>
          <w:u w:val="none"/>
          <w:lang w:val="sk-SK"/>
        </w:rPr>
      </w:pPr>
    </w:p>
    <w:p w:rsidR="00890AB3" w:rsidRPr="00A83991" w:rsidRDefault="00E965F0">
      <w:pPr>
        <w:rPr>
          <w:sz w:val="22"/>
          <w:szCs w:val="22"/>
          <w:lang w:val="sk-SK"/>
        </w:rPr>
      </w:pPr>
      <w:r w:rsidRPr="00A83991">
        <w:rPr>
          <w:sz w:val="22"/>
          <w:szCs w:val="22"/>
          <w:lang w:val="sk-SK"/>
        </w:rPr>
        <w:t>Navyše, údaje z týchto registrov a ostatné štúdie ukázali, že v porovnaní s monoterapiou môže byť zvýšené r</w:t>
      </w:r>
      <w:r w:rsidR="00B5687D">
        <w:rPr>
          <w:sz w:val="22"/>
          <w:szCs w:val="22"/>
          <w:lang w:val="sk-SK"/>
        </w:rPr>
        <w:t>i</w:t>
      </w:r>
      <w:r w:rsidRPr="00A83991">
        <w:rPr>
          <w:sz w:val="22"/>
          <w:szCs w:val="22"/>
          <w:lang w:val="sk-SK"/>
        </w:rPr>
        <w:t>ziko teratogénnych účinkov</w:t>
      </w:r>
      <w:r w:rsidR="00890AB3" w:rsidRPr="00A83991">
        <w:rPr>
          <w:sz w:val="22"/>
          <w:szCs w:val="22"/>
          <w:lang w:val="sk-SK"/>
        </w:rPr>
        <w:t xml:space="preserve"> spojených s použitím antiepileptík v kombinovanej liečbe.</w:t>
      </w:r>
      <w:r w:rsidR="00FB3884">
        <w:rPr>
          <w:sz w:val="22"/>
          <w:szCs w:val="22"/>
          <w:lang w:val="sk-SK"/>
        </w:rPr>
        <w:t xml:space="preserve"> Riziko bolo hlásené ako na dávke závislé; účinky boli pozorované pri všetkých dávkach. U žien liečených topiramátom, ktoré mali dieťa s vrodenou malformáciou, sa objavuje zvýšené riziko malformácií v ďalších graviditách, keď sú vystavené vplyvu topiramátu.</w:t>
      </w:r>
    </w:p>
    <w:p w:rsidR="00FA696D" w:rsidRPr="00A83991" w:rsidRDefault="00FA696D">
      <w:pPr>
        <w:rPr>
          <w:sz w:val="22"/>
          <w:szCs w:val="22"/>
          <w:lang w:val="sk-SK"/>
        </w:rPr>
      </w:pPr>
    </w:p>
    <w:p w:rsidR="00FA696D" w:rsidRPr="001308BA" w:rsidRDefault="00890AB3" w:rsidP="006A1EF8">
      <w:pPr>
        <w:pStyle w:val="Nadpis3"/>
        <w:rPr>
          <w:b w:val="0"/>
          <w:szCs w:val="22"/>
          <w:lang w:val="sk-SK"/>
        </w:rPr>
      </w:pPr>
      <w:r w:rsidRPr="001308BA">
        <w:rPr>
          <w:b w:val="0"/>
          <w:szCs w:val="22"/>
          <w:lang w:val="sk-SK"/>
        </w:rPr>
        <w:t>Indik</w:t>
      </w:r>
      <w:r w:rsidR="009C5315" w:rsidRPr="001308BA">
        <w:rPr>
          <w:b w:val="0"/>
          <w:szCs w:val="22"/>
          <w:lang w:val="sk-SK"/>
        </w:rPr>
        <w:t>ácia e</w:t>
      </w:r>
      <w:r w:rsidR="00FA696D" w:rsidRPr="001308BA">
        <w:rPr>
          <w:b w:val="0"/>
          <w:szCs w:val="22"/>
          <w:lang w:val="sk-SK"/>
        </w:rPr>
        <w:t>pilepsi</w:t>
      </w:r>
      <w:r w:rsidR="009C5315" w:rsidRPr="001308BA">
        <w:rPr>
          <w:b w:val="0"/>
          <w:szCs w:val="22"/>
          <w:lang w:val="sk-SK"/>
        </w:rPr>
        <w:t>e</w:t>
      </w:r>
    </w:p>
    <w:p w:rsidR="00890AB3" w:rsidRPr="00A83991" w:rsidRDefault="00890AB3" w:rsidP="000971FE">
      <w:pPr>
        <w:keepNext/>
        <w:rPr>
          <w:sz w:val="22"/>
          <w:szCs w:val="22"/>
          <w:lang w:val="sk-SK"/>
        </w:rPr>
      </w:pPr>
    </w:p>
    <w:p w:rsidR="00B81802" w:rsidRPr="00A83991" w:rsidRDefault="009C5315" w:rsidP="00B81802">
      <w:pPr>
        <w:rPr>
          <w:sz w:val="22"/>
          <w:szCs w:val="22"/>
          <w:lang w:val="sk-SK"/>
        </w:rPr>
      </w:pPr>
      <w:r w:rsidRPr="00A83991">
        <w:rPr>
          <w:sz w:val="22"/>
          <w:szCs w:val="22"/>
          <w:lang w:val="sk-SK"/>
        </w:rPr>
        <w:t>Počas gravidity sa má topiramát predpisovať po úplnom oboznámení ženy vzhľadom na známe riziko nebezpečenstva neliečenej epilepsie pre graviditu a potenciálneho rizika lieku na plod.</w:t>
      </w:r>
      <w:r w:rsidR="00B81802" w:rsidRPr="00A83991">
        <w:rPr>
          <w:sz w:val="22"/>
          <w:szCs w:val="22"/>
          <w:lang w:val="sk-SK"/>
        </w:rPr>
        <w:t xml:space="preserve"> </w:t>
      </w:r>
    </w:p>
    <w:p w:rsidR="00B81802" w:rsidRPr="001308BA" w:rsidRDefault="00B81802" w:rsidP="00B81802">
      <w:pPr>
        <w:rPr>
          <w:i/>
          <w:sz w:val="22"/>
          <w:szCs w:val="22"/>
          <w:lang w:val="sk-SK"/>
        </w:rPr>
      </w:pPr>
    </w:p>
    <w:p w:rsidR="00FA696D" w:rsidRPr="001308BA" w:rsidRDefault="009C5315" w:rsidP="006A1EF8">
      <w:pPr>
        <w:pStyle w:val="Nadpis3"/>
        <w:rPr>
          <w:b w:val="0"/>
          <w:szCs w:val="22"/>
          <w:lang w:val="sk-SK"/>
        </w:rPr>
      </w:pPr>
      <w:r w:rsidRPr="001308BA">
        <w:rPr>
          <w:b w:val="0"/>
          <w:szCs w:val="22"/>
          <w:lang w:val="sk-SK"/>
        </w:rPr>
        <w:t>Indikácia p</w:t>
      </w:r>
      <w:r w:rsidR="00B81802" w:rsidRPr="001308BA">
        <w:rPr>
          <w:b w:val="0"/>
          <w:szCs w:val="22"/>
          <w:lang w:val="sk-SK"/>
        </w:rPr>
        <w:t>rofylaxi</w:t>
      </w:r>
      <w:r w:rsidRPr="001308BA">
        <w:rPr>
          <w:b w:val="0"/>
          <w:szCs w:val="22"/>
          <w:lang w:val="sk-SK"/>
        </w:rPr>
        <w:t>e</w:t>
      </w:r>
      <w:r w:rsidR="00B81802" w:rsidRPr="001308BA">
        <w:rPr>
          <w:b w:val="0"/>
          <w:szCs w:val="22"/>
          <w:lang w:val="sk-SK"/>
        </w:rPr>
        <w:t xml:space="preserve"> m</w:t>
      </w:r>
      <w:r w:rsidR="00FA696D" w:rsidRPr="001308BA">
        <w:rPr>
          <w:b w:val="0"/>
          <w:szCs w:val="22"/>
          <w:lang w:val="sk-SK"/>
        </w:rPr>
        <w:t>igrén</w:t>
      </w:r>
      <w:r w:rsidR="00B81802" w:rsidRPr="001308BA">
        <w:rPr>
          <w:b w:val="0"/>
          <w:szCs w:val="22"/>
          <w:lang w:val="sk-SK"/>
        </w:rPr>
        <w:t>y</w:t>
      </w:r>
    </w:p>
    <w:p w:rsidR="00660A67" w:rsidRPr="00A83991" w:rsidRDefault="00660A67" w:rsidP="000971FE">
      <w:pPr>
        <w:keepNext/>
        <w:rPr>
          <w:sz w:val="22"/>
          <w:szCs w:val="22"/>
          <w:lang w:val="sk-SK"/>
        </w:rPr>
      </w:pPr>
    </w:p>
    <w:p w:rsidR="00FA696D" w:rsidRPr="00A83991" w:rsidRDefault="00FA696D">
      <w:pPr>
        <w:rPr>
          <w:sz w:val="22"/>
          <w:szCs w:val="22"/>
          <w:lang w:val="sk-SK"/>
        </w:rPr>
      </w:pPr>
      <w:r w:rsidRPr="00A83991">
        <w:rPr>
          <w:sz w:val="22"/>
          <w:szCs w:val="22"/>
          <w:lang w:val="sk-SK"/>
        </w:rPr>
        <w:t>Profylaktická liečba migrény topiramátom je kontraindikovaná počas tehotenstva a u žien vo fertilnom veku, ak nepoužívajú účinný spôsob antikoncepcie (pozri časť 4.3</w:t>
      </w:r>
      <w:r w:rsidR="009C5315" w:rsidRPr="00A83991">
        <w:rPr>
          <w:sz w:val="22"/>
          <w:szCs w:val="22"/>
          <w:lang w:val="sk-SK"/>
        </w:rPr>
        <w:t xml:space="preserve"> a 4.5</w:t>
      </w:r>
      <w:r w:rsidRPr="00A83991">
        <w:rPr>
          <w:sz w:val="22"/>
          <w:szCs w:val="22"/>
          <w:lang w:val="sk-SK"/>
        </w:rPr>
        <w:t>).</w:t>
      </w:r>
    </w:p>
    <w:p w:rsidR="00FA696D" w:rsidRPr="00A83991" w:rsidRDefault="00FA696D">
      <w:pPr>
        <w:rPr>
          <w:sz w:val="22"/>
          <w:szCs w:val="22"/>
          <w:lang w:val="sk-SK"/>
        </w:rPr>
      </w:pPr>
    </w:p>
    <w:p w:rsidR="00FA696D" w:rsidRPr="00A83991" w:rsidRDefault="00B5687D" w:rsidP="000971FE">
      <w:pPr>
        <w:keepNext/>
        <w:rPr>
          <w:rStyle w:val="UnderlineA"/>
          <w:bCs/>
          <w:sz w:val="22"/>
          <w:szCs w:val="22"/>
          <w:lang w:val="sk-SK"/>
        </w:rPr>
      </w:pPr>
      <w:r>
        <w:rPr>
          <w:rStyle w:val="UnderlineA"/>
          <w:bCs/>
          <w:sz w:val="22"/>
          <w:szCs w:val="22"/>
          <w:lang w:val="sk-SK"/>
        </w:rPr>
        <w:t>Dojčenie</w:t>
      </w:r>
    </w:p>
    <w:p w:rsidR="009C5315" w:rsidRPr="00A83991" w:rsidRDefault="009C5315" w:rsidP="000971FE">
      <w:pPr>
        <w:keepNext/>
        <w:rPr>
          <w:sz w:val="22"/>
          <w:szCs w:val="22"/>
          <w:lang w:val="sk-SK"/>
        </w:rPr>
      </w:pPr>
    </w:p>
    <w:p w:rsidR="00F945A2" w:rsidRPr="00A83991" w:rsidRDefault="009C5315" w:rsidP="00F945A2">
      <w:pPr>
        <w:pStyle w:val="BodyText12"/>
        <w:spacing w:after="0" w:line="240" w:lineRule="auto"/>
        <w:ind w:left="0"/>
        <w:jc w:val="left"/>
        <w:rPr>
          <w:sz w:val="22"/>
          <w:szCs w:val="22"/>
          <w:lang w:val="sk-SK"/>
        </w:rPr>
      </w:pPr>
      <w:r w:rsidRPr="00A83991">
        <w:rPr>
          <w:sz w:val="22"/>
          <w:szCs w:val="22"/>
          <w:lang w:val="sk-SK"/>
        </w:rPr>
        <w:t>Štúdie na zvieratách preukázali vylučovanie topiramátu do mlieka. Vylučovanie topiramátu do materského mlieka u ľudí sa v kontrolovaných štúdiách nehodnotilo.</w:t>
      </w:r>
      <w:r w:rsidR="00F945A2" w:rsidRPr="00A83991">
        <w:rPr>
          <w:sz w:val="22"/>
          <w:szCs w:val="22"/>
          <w:lang w:val="sk-SK"/>
        </w:rPr>
        <w:t xml:space="preserve"> Obmedzené pozorovania u pacientov naznačujú značné vylučovanie topiramátu do materského mlieka. </w:t>
      </w:r>
      <w:r w:rsidR="00FB3884">
        <w:rPr>
          <w:sz w:val="22"/>
          <w:szCs w:val="22"/>
          <w:lang w:val="sk-SK"/>
        </w:rPr>
        <w:t>Účinky, ktoré boli pozorované u dojčených novorodencov/detí liečených matiek, zahŕňajú hnačku, ospalosť, podráždenosť a nedostatočný prírastok na hmotnosti. Z toho dôvodu</w:t>
      </w:r>
      <w:r w:rsidR="00F945A2" w:rsidRPr="00A83991">
        <w:rPr>
          <w:sz w:val="22"/>
          <w:szCs w:val="22"/>
          <w:lang w:val="sk-SK"/>
        </w:rPr>
        <w:t xml:space="preserve"> je nutné zvážiť, či ukončiť </w:t>
      </w:r>
      <w:r w:rsidR="00B5687D">
        <w:rPr>
          <w:sz w:val="22"/>
          <w:szCs w:val="22"/>
          <w:lang w:val="sk-SK"/>
        </w:rPr>
        <w:t>dojčenie</w:t>
      </w:r>
      <w:r w:rsidR="00F945A2" w:rsidRPr="00A83991">
        <w:rPr>
          <w:sz w:val="22"/>
          <w:szCs w:val="22"/>
          <w:lang w:val="sk-SK"/>
        </w:rPr>
        <w:t xml:space="preserve"> alebo prerušiť/ukončiť liečbu topiramátom, pričom treba vziať do úvahy </w:t>
      </w:r>
      <w:r w:rsidR="002A38B5">
        <w:rPr>
          <w:sz w:val="22"/>
          <w:szCs w:val="22"/>
          <w:lang w:val="sk-SK"/>
        </w:rPr>
        <w:t>prínos</w:t>
      </w:r>
      <w:r w:rsidR="00F945A2" w:rsidRPr="00A83991">
        <w:rPr>
          <w:sz w:val="22"/>
          <w:szCs w:val="22"/>
          <w:lang w:val="sk-SK"/>
        </w:rPr>
        <w:t xml:space="preserve"> lieku pre matku (pozri časť 4.4).</w:t>
      </w:r>
    </w:p>
    <w:p w:rsidR="00FA696D" w:rsidRPr="00A83991" w:rsidRDefault="00FA696D">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4.7</w:t>
      </w:r>
      <w:r w:rsidR="00F945A2"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Ovplyvnenie schopnosti viesť vozidlá a obsluhovať stroje</w:t>
      </w:r>
    </w:p>
    <w:p w:rsidR="00FA696D" w:rsidRPr="00A83991" w:rsidRDefault="00FA696D" w:rsidP="000971FE">
      <w:pPr>
        <w:keepNext/>
        <w:rPr>
          <w:sz w:val="22"/>
          <w:szCs w:val="22"/>
          <w:lang w:val="sk-SK"/>
        </w:rPr>
      </w:pPr>
    </w:p>
    <w:p w:rsidR="00F945A2" w:rsidRPr="00A83991" w:rsidRDefault="00FA696D">
      <w:pPr>
        <w:rPr>
          <w:sz w:val="22"/>
          <w:szCs w:val="22"/>
          <w:lang w:val="sk-SK"/>
        </w:rPr>
      </w:pPr>
      <w:r w:rsidRPr="00A83991">
        <w:rPr>
          <w:sz w:val="22"/>
          <w:szCs w:val="22"/>
          <w:lang w:val="sk-SK"/>
        </w:rPr>
        <w:t>T</w:t>
      </w:r>
      <w:r w:rsidR="00173E04">
        <w:rPr>
          <w:sz w:val="22"/>
          <w:szCs w:val="22"/>
          <w:lang w:val="sk-SK"/>
        </w:rPr>
        <w:t>alopam</w:t>
      </w:r>
      <w:r w:rsidRPr="00A83991">
        <w:rPr>
          <w:sz w:val="22"/>
          <w:szCs w:val="22"/>
          <w:lang w:val="sk-SK"/>
        </w:rPr>
        <w:t xml:space="preserve"> </w:t>
      </w:r>
      <w:r w:rsidR="002457D9" w:rsidRPr="00A83991">
        <w:rPr>
          <w:sz w:val="22"/>
          <w:szCs w:val="22"/>
          <w:lang w:val="sk-SK"/>
        </w:rPr>
        <w:t>má</w:t>
      </w:r>
      <w:r w:rsidRPr="00A83991">
        <w:rPr>
          <w:sz w:val="22"/>
          <w:szCs w:val="22"/>
          <w:lang w:val="sk-SK"/>
        </w:rPr>
        <w:t xml:space="preserve"> </w:t>
      </w:r>
      <w:r w:rsidR="00F945A2" w:rsidRPr="00A83991">
        <w:rPr>
          <w:sz w:val="22"/>
          <w:szCs w:val="22"/>
          <w:lang w:val="sk-SK"/>
        </w:rPr>
        <w:t xml:space="preserve">malý alebo mierny </w:t>
      </w:r>
      <w:r w:rsidRPr="00A83991">
        <w:rPr>
          <w:sz w:val="22"/>
          <w:szCs w:val="22"/>
          <w:lang w:val="sk-SK"/>
        </w:rPr>
        <w:t>vplyv na schopnosť viesť vozidlá a obsluhovať stroje. Topiramát pôsobí na centrálny nervový systém a môže vyvolávať ospalosť, závraty a iné súvisiace príznaky</w:t>
      </w:r>
      <w:r w:rsidR="00F945A2" w:rsidRPr="00A83991">
        <w:rPr>
          <w:sz w:val="22"/>
          <w:szCs w:val="22"/>
          <w:lang w:val="sk-SK"/>
        </w:rPr>
        <w:t xml:space="preserve">. Môže tiež spôsobiť poruchy videnia a/alebo rozmazané videnie. </w:t>
      </w:r>
      <w:r w:rsidR="00FF3F62" w:rsidRPr="00A83991">
        <w:rPr>
          <w:sz w:val="22"/>
          <w:szCs w:val="22"/>
          <w:lang w:val="sk-SK"/>
        </w:rPr>
        <w:t>T</w:t>
      </w:r>
      <w:r w:rsidR="00F945A2" w:rsidRPr="00A83991">
        <w:rPr>
          <w:sz w:val="22"/>
          <w:szCs w:val="22"/>
          <w:lang w:val="sk-SK"/>
        </w:rPr>
        <w:t>ieto nežiaduce reakcie môžu byť potenciálne nebezpečné u pacientov, ktorí vedú vozidl</w:t>
      </w:r>
      <w:r w:rsidR="00977958" w:rsidRPr="00A83991">
        <w:rPr>
          <w:sz w:val="22"/>
          <w:szCs w:val="22"/>
          <w:lang w:val="sk-SK"/>
        </w:rPr>
        <w:t>á</w:t>
      </w:r>
      <w:r w:rsidR="00F945A2" w:rsidRPr="00A83991">
        <w:rPr>
          <w:sz w:val="22"/>
          <w:szCs w:val="22"/>
          <w:lang w:val="sk-SK"/>
        </w:rPr>
        <w:t xml:space="preserve"> alebo obsluhujú stroje, najmä v období, kým pacient nenadobudne s liekom skúsenosti.</w:t>
      </w:r>
    </w:p>
    <w:p w:rsidR="00F945A2" w:rsidRPr="00A83991" w:rsidRDefault="00F945A2">
      <w:pPr>
        <w:rPr>
          <w:sz w:val="22"/>
          <w:szCs w:val="22"/>
          <w:lang w:val="sk-SK"/>
        </w:rPr>
      </w:pPr>
    </w:p>
    <w:p w:rsidR="00FA696D" w:rsidRPr="00A83991" w:rsidRDefault="00F945A2">
      <w:pPr>
        <w:rPr>
          <w:sz w:val="22"/>
          <w:szCs w:val="22"/>
          <w:lang w:val="sk-SK"/>
        </w:rPr>
      </w:pPr>
      <w:r w:rsidRPr="00A83991">
        <w:rPr>
          <w:sz w:val="22"/>
          <w:szCs w:val="22"/>
          <w:lang w:val="sk-SK"/>
        </w:rPr>
        <w:t>Neuskutočnili sa žiadne štúdie o účinkoch na schopnosť viesť vozidlá a obsluhovať stroje.</w:t>
      </w:r>
    </w:p>
    <w:p w:rsidR="00FA696D" w:rsidRPr="00A83991" w:rsidRDefault="00FA696D">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lastRenderedPageBreak/>
        <w:t>4.8</w:t>
      </w:r>
      <w:r w:rsidR="00F945A2"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Nežiaduce účinky</w:t>
      </w:r>
    </w:p>
    <w:p w:rsidR="00FA696D" w:rsidRPr="00A83991" w:rsidRDefault="00FA696D" w:rsidP="000971FE">
      <w:pPr>
        <w:keepNext/>
        <w:rPr>
          <w:sz w:val="22"/>
          <w:szCs w:val="22"/>
          <w:lang w:val="sk-SK"/>
        </w:rPr>
      </w:pPr>
    </w:p>
    <w:p w:rsidR="00F945A2" w:rsidRPr="00A83991" w:rsidRDefault="00F945A2" w:rsidP="00F945A2">
      <w:pPr>
        <w:autoSpaceDE w:val="0"/>
        <w:autoSpaceDN w:val="0"/>
        <w:adjustRightInd w:val="0"/>
        <w:rPr>
          <w:sz w:val="22"/>
          <w:szCs w:val="22"/>
          <w:lang w:val="sk-SK"/>
        </w:rPr>
      </w:pPr>
      <w:r w:rsidRPr="00A83991">
        <w:rPr>
          <w:sz w:val="22"/>
          <w:szCs w:val="22"/>
          <w:lang w:val="sk-SK"/>
        </w:rPr>
        <w:t xml:space="preserve">Bezpečnosť topiramátu bola hodnotená z databázy klinických štúdií pozostávajúcej z 4 111 pacientov (3 182 užívajúcich topiramát a 929 placebo), ktorí sa zúčastnili 20 dvojito-zaslepených štúdií a z 2 847 pacientov, ktorí sa zúčastnili 34 nezaslepených štúdií s topiramátom v prídavnej </w:t>
      </w:r>
      <w:r w:rsidR="00B5687D">
        <w:rPr>
          <w:sz w:val="22"/>
          <w:szCs w:val="22"/>
          <w:lang w:val="sk-SK"/>
        </w:rPr>
        <w:t>liečbe</w:t>
      </w:r>
      <w:r w:rsidRPr="00A83991">
        <w:rPr>
          <w:sz w:val="22"/>
          <w:szCs w:val="22"/>
          <w:lang w:val="sk-SK"/>
        </w:rPr>
        <w:t xml:space="preserve"> primárnych generalizovaných tonicko-klonických záchvatov, parciálnych záchvatov, záchvatov spojených s Lennoxovým-Gastautovým syndrómom, v monoterapii novo alebo nedávno diagnostikovanej epilepsie alebo profylaxie migrény. Väčšina nežiaducich reakcií bola mierne až stredne závažná. Nežiaduce reakcie identifikované v klinických štúdiách a</w:t>
      </w:r>
      <w:r w:rsidR="00942242" w:rsidRPr="00A83991">
        <w:rPr>
          <w:sz w:val="22"/>
          <w:szCs w:val="22"/>
          <w:lang w:val="sk-SK"/>
        </w:rPr>
        <w:t> </w:t>
      </w:r>
      <w:r w:rsidRPr="00A83991">
        <w:rPr>
          <w:sz w:val="22"/>
          <w:szCs w:val="22"/>
          <w:lang w:val="sk-SK"/>
        </w:rPr>
        <w:t>po</w:t>
      </w:r>
      <w:r w:rsidR="00942242" w:rsidRPr="00A83991">
        <w:rPr>
          <w:sz w:val="22"/>
          <w:szCs w:val="22"/>
          <w:lang w:val="sk-SK"/>
        </w:rPr>
        <w:t xml:space="preserve"> uvedení lieku na trh </w:t>
      </w:r>
      <w:r w:rsidRPr="00A83991">
        <w:rPr>
          <w:sz w:val="22"/>
          <w:szCs w:val="22"/>
          <w:lang w:val="sk-SK"/>
        </w:rPr>
        <w:t>(označené</w:t>
      </w:r>
      <w:r w:rsidR="00942242" w:rsidRPr="00A83991">
        <w:rPr>
          <w:sz w:val="22"/>
          <w:szCs w:val="22"/>
          <w:lang w:val="sk-SK"/>
        </w:rPr>
        <w:t xml:space="preserve"> ako</w:t>
      </w:r>
      <w:r w:rsidRPr="00A83991">
        <w:rPr>
          <w:sz w:val="22"/>
          <w:szCs w:val="22"/>
          <w:lang w:val="sk-SK"/>
        </w:rPr>
        <w:t xml:space="preserve"> „*“) sú uvedené podľa výskytu v klinických štúdiách v tabuľke 1. Frekvencie sú určené nasledovne:</w:t>
      </w:r>
    </w:p>
    <w:p w:rsidR="00F945A2" w:rsidRPr="00A83991" w:rsidRDefault="00F945A2" w:rsidP="00F945A2">
      <w:pPr>
        <w:autoSpaceDE w:val="0"/>
        <w:autoSpaceDN w:val="0"/>
        <w:adjustRightInd w:val="0"/>
        <w:rPr>
          <w:sz w:val="22"/>
          <w:szCs w:val="22"/>
          <w:lang w:val="sk-SK"/>
        </w:rPr>
      </w:pPr>
    </w:p>
    <w:p w:rsidR="00F945A2" w:rsidRPr="00A83991" w:rsidRDefault="00F945A2" w:rsidP="00F945A2">
      <w:pPr>
        <w:pStyle w:val="BodyText12"/>
        <w:spacing w:after="0" w:line="240" w:lineRule="auto"/>
        <w:ind w:left="0"/>
        <w:rPr>
          <w:sz w:val="22"/>
          <w:szCs w:val="22"/>
          <w:lang w:val="sk-SK"/>
        </w:rPr>
      </w:pPr>
      <w:r w:rsidRPr="00A83991">
        <w:rPr>
          <w:sz w:val="22"/>
          <w:szCs w:val="22"/>
          <w:lang w:val="sk-SK"/>
        </w:rPr>
        <w:t>Veľmi časté</w:t>
      </w:r>
      <w:r w:rsidRPr="00A83991">
        <w:rPr>
          <w:sz w:val="22"/>
          <w:szCs w:val="22"/>
          <w:lang w:val="sk-SK"/>
        </w:rPr>
        <w:tab/>
      </w:r>
      <w:r w:rsidRPr="00A83991">
        <w:rPr>
          <w:sz w:val="22"/>
          <w:szCs w:val="22"/>
          <w:lang w:val="sk-SK"/>
        </w:rPr>
        <w:tab/>
        <w:t>≥ 1/10</w:t>
      </w:r>
    </w:p>
    <w:p w:rsidR="00F945A2" w:rsidRPr="00A83991" w:rsidRDefault="00F945A2" w:rsidP="00F945A2">
      <w:pPr>
        <w:pStyle w:val="BodyText12"/>
        <w:spacing w:after="0" w:line="240" w:lineRule="auto"/>
        <w:ind w:left="0"/>
        <w:rPr>
          <w:sz w:val="22"/>
          <w:szCs w:val="22"/>
          <w:lang w:val="sk-SK"/>
        </w:rPr>
      </w:pPr>
      <w:r w:rsidRPr="00A83991">
        <w:rPr>
          <w:sz w:val="22"/>
          <w:szCs w:val="22"/>
          <w:lang w:val="sk-SK"/>
        </w:rPr>
        <w:t>Časté</w:t>
      </w:r>
      <w:r w:rsidRPr="00A83991">
        <w:rPr>
          <w:sz w:val="22"/>
          <w:szCs w:val="22"/>
          <w:lang w:val="sk-SK"/>
        </w:rPr>
        <w:tab/>
      </w:r>
      <w:r w:rsidRPr="00A83991">
        <w:rPr>
          <w:sz w:val="22"/>
          <w:szCs w:val="22"/>
          <w:lang w:val="sk-SK"/>
        </w:rPr>
        <w:tab/>
      </w:r>
      <w:r w:rsidRPr="00A83991">
        <w:rPr>
          <w:sz w:val="22"/>
          <w:szCs w:val="22"/>
          <w:lang w:val="sk-SK"/>
        </w:rPr>
        <w:tab/>
        <w:t>≥ 1/100 až &lt; 1/10</w:t>
      </w:r>
    </w:p>
    <w:p w:rsidR="00F945A2" w:rsidRPr="00A83991" w:rsidRDefault="00F945A2" w:rsidP="00F945A2">
      <w:pPr>
        <w:pStyle w:val="BodyText12"/>
        <w:spacing w:after="0" w:line="240" w:lineRule="auto"/>
        <w:ind w:left="0"/>
        <w:rPr>
          <w:sz w:val="22"/>
          <w:szCs w:val="22"/>
          <w:lang w:val="sk-SK"/>
        </w:rPr>
      </w:pPr>
      <w:r w:rsidRPr="00A83991">
        <w:rPr>
          <w:sz w:val="22"/>
          <w:szCs w:val="22"/>
          <w:lang w:val="sk-SK"/>
        </w:rPr>
        <w:t>Menej časté</w:t>
      </w:r>
      <w:r w:rsidRPr="00A83991">
        <w:rPr>
          <w:sz w:val="22"/>
          <w:szCs w:val="22"/>
          <w:lang w:val="sk-SK"/>
        </w:rPr>
        <w:tab/>
      </w:r>
      <w:r w:rsidRPr="00A83991">
        <w:rPr>
          <w:sz w:val="22"/>
          <w:szCs w:val="22"/>
          <w:lang w:val="sk-SK"/>
        </w:rPr>
        <w:tab/>
        <w:t>≥ 1/1 000 až &lt; 1/100</w:t>
      </w:r>
    </w:p>
    <w:p w:rsidR="00F945A2" w:rsidRPr="00A83991" w:rsidRDefault="00F945A2" w:rsidP="00F945A2">
      <w:pPr>
        <w:pStyle w:val="BodyText12"/>
        <w:spacing w:after="0" w:line="240" w:lineRule="auto"/>
        <w:ind w:left="0"/>
        <w:rPr>
          <w:sz w:val="22"/>
          <w:szCs w:val="22"/>
          <w:lang w:val="sk-SK"/>
        </w:rPr>
      </w:pPr>
      <w:r w:rsidRPr="00A83991">
        <w:rPr>
          <w:sz w:val="22"/>
          <w:szCs w:val="22"/>
          <w:lang w:val="sk-SK"/>
        </w:rPr>
        <w:t>Zriedkavé</w:t>
      </w:r>
      <w:r w:rsidRPr="00A83991">
        <w:rPr>
          <w:sz w:val="22"/>
          <w:szCs w:val="22"/>
          <w:lang w:val="sk-SK"/>
        </w:rPr>
        <w:tab/>
      </w:r>
      <w:r w:rsidRPr="00A83991">
        <w:rPr>
          <w:sz w:val="22"/>
          <w:szCs w:val="22"/>
          <w:lang w:val="sk-SK"/>
        </w:rPr>
        <w:tab/>
        <w:t xml:space="preserve">≥ 1/10 000 až &lt; 1/1 000 </w:t>
      </w:r>
    </w:p>
    <w:p w:rsidR="00F945A2" w:rsidRPr="00A83991" w:rsidRDefault="00C60396" w:rsidP="00F945A2">
      <w:pPr>
        <w:pStyle w:val="BodyText12"/>
        <w:spacing w:after="0" w:line="240" w:lineRule="auto"/>
        <w:ind w:left="0"/>
        <w:rPr>
          <w:sz w:val="22"/>
          <w:szCs w:val="22"/>
          <w:lang w:val="sk-SK"/>
        </w:rPr>
      </w:pPr>
      <w:r>
        <w:rPr>
          <w:sz w:val="22"/>
          <w:szCs w:val="22"/>
          <w:lang w:val="sk-SK"/>
        </w:rPr>
        <w:t>Neznáme</w:t>
      </w:r>
      <w:r w:rsidR="00B5687D">
        <w:rPr>
          <w:sz w:val="22"/>
          <w:szCs w:val="22"/>
          <w:lang w:val="sk-SK"/>
        </w:rPr>
        <w:tab/>
      </w:r>
      <w:r w:rsidR="00F945A2" w:rsidRPr="00A83991">
        <w:rPr>
          <w:sz w:val="22"/>
          <w:szCs w:val="22"/>
          <w:lang w:val="sk-SK"/>
        </w:rPr>
        <w:tab/>
        <w:t>nemožno určiť z dostupných údajov</w:t>
      </w:r>
    </w:p>
    <w:p w:rsidR="00F945A2" w:rsidRPr="00A83991" w:rsidRDefault="00F945A2" w:rsidP="00F945A2">
      <w:pPr>
        <w:autoSpaceDE w:val="0"/>
        <w:autoSpaceDN w:val="0"/>
        <w:adjustRightInd w:val="0"/>
        <w:rPr>
          <w:sz w:val="22"/>
          <w:szCs w:val="22"/>
          <w:lang w:val="sk-SK"/>
        </w:rPr>
      </w:pPr>
    </w:p>
    <w:p w:rsidR="00F945A2" w:rsidRPr="00A83991" w:rsidRDefault="00F945A2" w:rsidP="00F945A2">
      <w:pPr>
        <w:autoSpaceDE w:val="0"/>
        <w:autoSpaceDN w:val="0"/>
        <w:adjustRightInd w:val="0"/>
        <w:rPr>
          <w:sz w:val="22"/>
          <w:szCs w:val="22"/>
          <w:lang w:val="sk-SK"/>
        </w:rPr>
      </w:pPr>
      <w:r w:rsidRPr="00A83991">
        <w:rPr>
          <w:sz w:val="22"/>
          <w:szCs w:val="22"/>
          <w:lang w:val="sk-SK"/>
        </w:rPr>
        <w:t xml:space="preserve">Najčastejšie nežiaduce reakcie (s výskytom &gt; 5 % a vyšším ako bolo pozorované u placeba v minimálne </w:t>
      </w:r>
      <w:r w:rsidR="00942242" w:rsidRPr="00A83991">
        <w:rPr>
          <w:sz w:val="22"/>
          <w:szCs w:val="22"/>
          <w:lang w:val="sk-SK"/>
        </w:rPr>
        <w:t xml:space="preserve">jednej </w:t>
      </w:r>
      <w:r w:rsidRPr="00A83991">
        <w:rPr>
          <w:sz w:val="22"/>
          <w:szCs w:val="22"/>
          <w:lang w:val="sk-SK"/>
        </w:rPr>
        <w:t xml:space="preserve">indikácii v dvojito zaslepených, kontrolovaných štúdiách s topiramátom) zahŕňajú: anorexiu, zníženú chuť do jedla, bradyfréniu, depresiu, ťažkosti s vyjadrovaním, insomniu, abnormálnu koordináciu, poruchy pozornosti, závraty, dysartriu, dysgeúziu, hypestéziu, letargiu, poruchy pamäti, nystagmus, parestéziu, somnolenciu, tremor, diplopiu, rozmazané videnie, </w:t>
      </w:r>
      <w:r w:rsidR="00942242" w:rsidRPr="00A83991">
        <w:rPr>
          <w:sz w:val="22"/>
          <w:szCs w:val="22"/>
          <w:lang w:val="sk-SK"/>
        </w:rPr>
        <w:t>hnačku</w:t>
      </w:r>
      <w:r w:rsidRPr="00A83991">
        <w:rPr>
          <w:sz w:val="22"/>
          <w:szCs w:val="22"/>
          <w:lang w:val="sk-SK"/>
        </w:rPr>
        <w:t>, nauzeu, únavu, podráždenosť a zníženie hmotnosti.</w:t>
      </w:r>
    </w:p>
    <w:p w:rsidR="00F945A2" w:rsidRPr="00A83991" w:rsidRDefault="00F945A2" w:rsidP="00F945A2">
      <w:pPr>
        <w:autoSpaceDE w:val="0"/>
        <w:autoSpaceDN w:val="0"/>
        <w:adjustRightInd w:val="0"/>
        <w:rPr>
          <w:sz w:val="22"/>
          <w:szCs w:val="22"/>
          <w:lang w:val="sk-SK"/>
        </w:rPr>
      </w:pPr>
    </w:p>
    <w:p w:rsidR="00942242" w:rsidRPr="00A83991" w:rsidRDefault="00333BFC" w:rsidP="000971FE">
      <w:pPr>
        <w:keepNext/>
        <w:autoSpaceDE w:val="0"/>
        <w:autoSpaceDN w:val="0"/>
        <w:adjustRightInd w:val="0"/>
        <w:rPr>
          <w:sz w:val="22"/>
          <w:szCs w:val="22"/>
          <w:u w:val="single"/>
          <w:lang w:val="sk-SK"/>
        </w:rPr>
      </w:pPr>
      <w:r>
        <w:rPr>
          <w:sz w:val="22"/>
          <w:szCs w:val="22"/>
          <w:u w:val="single"/>
          <w:lang w:val="sk-SK"/>
        </w:rPr>
        <w:t>Pediatrická populácia</w:t>
      </w:r>
    </w:p>
    <w:p w:rsidR="00942242" w:rsidRPr="00A83991" w:rsidRDefault="00942242" w:rsidP="000971FE">
      <w:pPr>
        <w:keepNext/>
        <w:autoSpaceDE w:val="0"/>
        <w:autoSpaceDN w:val="0"/>
        <w:adjustRightInd w:val="0"/>
        <w:rPr>
          <w:sz w:val="22"/>
          <w:szCs w:val="22"/>
          <w:lang w:val="sk-SK"/>
        </w:rPr>
      </w:pPr>
    </w:p>
    <w:p w:rsidR="00471226" w:rsidRPr="00A83991" w:rsidRDefault="00942242" w:rsidP="00942242">
      <w:pPr>
        <w:pStyle w:val="EMEAEnBodyText"/>
        <w:autoSpaceDE w:val="0"/>
        <w:autoSpaceDN w:val="0"/>
        <w:adjustRightInd w:val="0"/>
        <w:spacing w:before="0" w:after="0"/>
        <w:jc w:val="left"/>
        <w:rPr>
          <w:szCs w:val="22"/>
          <w:lang w:val="sk-SK"/>
        </w:rPr>
      </w:pPr>
      <w:r w:rsidRPr="00A83991">
        <w:rPr>
          <w:szCs w:val="22"/>
          <w:lang w:val="sk-SK"/>
        </w:rPr>
        <w:t>Nežiaduce reakcie zaznamenané častejšie (</w:t>
      </w:r>
      <w:r w:rsidRPr="00A83991">
        <w:rPr>
          <w:szCs w:val="22"/>
          <w:lang w:val="sk-SK"/>
        </w:rPr>
        <w:sym w:font="Symbol" w:char="F0B3"/>
      </w:r>
      <w:r w:rsidRPr="00A83991">
        <w:rPr>
          <w:szCs w:val="22"/>
          <w:lang w:val="sk-SK"/>
        </w:rPr>
        <w:t xml:space="preserve"> 2-násobne) u detí ako u dospelých v dvojito zaslepených, kontrolovaných štúdiách zahŕňajú: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znížen</w:t>
      </w:r>
      <w:r w:rsidR="001174EE" w:rsidRPr="00A83991">
        <w:rPr>
          <w:szCs w:val="22"/>
          <w:lang w:val="sk-SK"/>
        </w:rPr>
        <w:t>á chuť do jedla</w:t>
      </w:r>
      <w:r w:rsidR="00942242" w:rsidRPr="00A83991">
        <w:rPr>
          <w:szCs w:val="22"/>
          <w:lang w:val="sk-SK"/>
        </w:rPr>
        <w:t xml:space="preserv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zvýšen</w:t>
      </w:r>
      <w:r w:rsidR="001174EE" w:rsidRPr="00A83991">
        <w:rPr>
          <w:szCs w:val="22"/>
          <w:lang w:val="sk-SK"/>
        </w:rPr>
        <w:t>á chuť do jedla</w:t>
      </w:r>
      <w:r w:rsidR="00942242" w:rsidRPr="00A83991">
        <w:rPr>
          <w:szCs w:val="22"/>
          <w:lang w:val="sk-SK"/>
        </w:rPr>
        <w:t xml:space="preserv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hyperchloremick</w:t>
      </w:r>
      <w:r w:rsidRPr="00A83991">
        <w:rPr>
          <w:szCs w:val="22"/>
          <w:lang w:val="sk-SK"/>
        </w:rPr>
        <w:t>á</w:t>
      </w:r>
      <w:r w:rsidR="00942242" w:rsidRPr="00A83991">
        <w:rPr>
          <w:szCs w:val="22"/>
          <w:lang w:val="sk-SK"/>
        </w:rPr>
        <w:t xml:space="preserve"> acidóz</w:t>
      </w:r>
      <w:r w:rsidRPr="00A83991">
        <w:rPr>
          <w:szCs w:val="22"/>
          <w:lang w:val="sk-SK"/>
        </w:rPr>
        <w:t>a</w:t>
      </w:r>
      <w:r w:rsidR="00942242" w:rsidRPr="00A83991">
        <w:rPr>
          <w:szCs w:val="22"/>
          <w:lang w:val="sk-SK"/>
        </w:rPr>
        <w:t>,</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hypokaliémi</w:t>
      </w:r>
      <w:r w:rsidRPr="00A83991">
        <w:rPr>
          <w:szCs w:val="22"/>
          <w:lang w:val="sk-SK"/>
        </w:rPr>
        <w:t>a</w:t>
      </w:r>
      <w:r w:rsidR="00942242" w:rsidRPr="00A83991">
        <w:rPr>
          <w:szCs w:val="22"/>
          <w:lang w:val="sk-SK"/>
        </w:rPr>
        <w:t xml:space="preserv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abnormálne správanie,</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agresivit</w:t>
      </w:r>
      <w:r w:rsidRPr="00A83991">
        <w:rPr>
          <w:szCs w:val="22"/>
          <w:lang w:val="sk-SK"/>
        </w:rPr>
        <w:t>a</w:t>
      </w:r>
      <w:r w:rsidR="00942242" w:rsidRPr="00A83991">
        <w:rPr>
          <w:szCs w:val="22"/>
          <w:lang w:val="sk-SK"/>
        </w:rPr>
        <w:t xml:space="preserv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apati</w:t>
      </w:r>
      <w:r w:rsidRPr="00A83991">
        <w:rPr>
          <w:szCs w:val="22"/>
          <w:lang w:val="sk-SK"/>
        </w:rPr>
        <w:t>a</w:t>
      </w:r>
      <w:r w:rsidR="00942242" w:rsidRPr="00A83991">
        <w:rPr>
          <w:szCs w:val="22"/>
          <w:lang w:val="sk-SK"/>
        </w:rPr>
        <w:t xml:space="preserv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t xml:space="preserve">začiatočná </w:t>
      </w:r>
      <w:r w:rsidR="00942242" w:rsidRPr="00A83991">
        <w:rPr>
          <w:szCs w:val="22"/>
          <w:lang w:val="sk-SK"/>
        </w:rPr>
        <w:t>insomni</w:t>
      </w:r>
      <w:r w:rsidRPr="00A83991">
        <w:rPr>
          <w:szCs w:val="22"/>
          <w:lang w:val="sk-SK"/>
        </w:rPr>
        <w:t>a</w:t>
      </w:r>
      <w:r w:rsidR="00942242" w:rsidRPr="00A83991">
        <w:rPr>
          <w:szCs w:val="22"/>
          <w:lang w:val="sk-SK"/>
        </w:rPr>
        <w:t xml:space="preserv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 xml:space="preserve">samovražedné </w:t>
      </w:r>
      <w:r w:rsidR="00745C6A" w:rsidRPr="00A83991">
        <w:rPr>
          <w:szCs w:val="22"/>
          <w:lang w:val="sk-SK"/>
        </w:rPr>
        <w:t>myšlienky</w:t>
      </w:r>
      <w:r w:rsidR="00942242" w:rsidRPr="00A83991">
        <w:rPr>
          <w:szCs w:val="22"/>
          <w:lang w:val="sk-SK"/>
        </w:rPr>
        <w:t xml:space="preserv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 xml:space="preserve">poruchy pozornosti,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letargi</w:t>
      </w:r>
      <w:r w:rsidRPr="00A83991">
        <w:rPr>
          <w:szCs w:val="22"/>
          <w:lang w:val="sk-SK"/>
        </w:rPr>
        <w:t>a</w:t>
      </w:r>
      <w:r w:rsidR="00942242" w:rsidRPr="00A83991">
        <w:rPr>
          <w:szCs w:val="22"/>
          <w:lang w:val="sk-SK"/>
        </w:rPr>
        <w:t xml:space="preserv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t xml:space="preserve">každodenné </w:t>
      </w:r>
      <w:r w:rsidR="00942242" w:rsidRPr="00A83991">
        <w:rPr>
          <w:szCs w:val="22"/>
          <w:lang w:val="sk-SK"/>
        </w:rPr>
        <w:t>poruchy spánkového rytmu,</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zl</w:t>
      </w:r>
      <w:r w:rsidRPr="00A83991">
        <w:rPr>
          <w:szCs w:val="22"/>
          <w:lang w:val="sk-SK"/>
        </w:rPr>
        <w:t>á</w:t>
      </w:r>
      <w:r w:rsidR="00942242" w:rsidRPr="00A83991">
        <w:rPr>
          <w:szCs w:val="22"/>
          <w:lang w:val="sk-SK"/>
        </w:rPr>
        <w:t xml:space="preserve"> kvalit</w:t>
      </w:r>
      <w:r w:rsidRPr="00A83991">
        <w:rPr>
          <w:szCs w:val="22"/>
          <w:lang w:val="sk-SK"/>
        </w:rPr>
        <w:t>a</w:t>
      </w:r>
      <w:r w:rsidR="00942242" w:rsidRPr="00A83991">
        <w:rPr>
          <w:szCs w:val="22"/>
          <w:lang w:val="sk-SK"/>
        </w:rPr>
        <w:t xml:space="preserve"> spánku,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 xml:space="preserve">zvýšené slzenie,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sínusov</w:t>
      </w:r>
      <w:r w:rsidRPr="00A83991">
        <w:rPr>
          <w:szCs w:val="22"/>
          <w:lang w:val="sk-SK"/>
        </w:rPr>
        <w:t>á</w:t>
      </w:r>
      <w:r w:rsidR="00942242" w:rsidRPr="00A83991">
        <w:rPr>
          <w:szCs w:val="22"/>
          <w:lang w:val="sk-SK"/>
        </w:rPr>
        <w:t xml:space="preserve"> bradykardi</w:t>
      </w:r>
      <w:r w:rsidRPr="00A83991">
        <w:rPr>
          <w:szCs w:val="22"/>
          <w:lang w:val="sk-SK"/>
        </w:rPr>
        <w:t>a</w:t>
      </w:r>
      <w:r w:rsidR="00942242" w:rsidRPr="00A83991">
        <w:rPr>
          <w:szCs w:val="22"/>
          <w:lang w:val="sk-SK"/>
        </w:rPr>
        <w:t xml:space="preserve">, </w:t>
      </w:r>
    </w:p>
    <w:p w:rsidR="00471226"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abnormálne pocity</w:t>
      </w:r>
      <w:r w:rsidRPr="00A83991">
        <w:rPr>
          <w:szCs w:val="22"/>
          <w:lang w:val="sk-SK"/>
        </w:rPr>
        <w:t>,</w:t>
      </w:r>
    </w:p>
    <w:p w:rsidR="00942242" w:rsidRPr="00A83991" w:rsidRDefault="00471226" w:rsidP="00942242">
      <w:pPr>
        <w:pStyle w:val="EMEAEnBodyText"/>
        <w:autoSpaceDE w:val="0"/>
        <w:autoSpaceDN w:val="0"/>
        <w:adjustRightInd w:val="0"/>
        <w:spacing w:before="0" w:after="0"/>
        <w:jc w:val="left"/>
        <w:rPr>
          <w:szCs w:val="22"/>
          <w:lang w:val="sk-SK"/>
        </w:rPr>
      </w:pPr>
      <w:r w:rsidRPr="00A83991">
        <w:rPr>
          <w:szCs w:val="22"/>
          <w:lang w:val="sk-SK"/>
        </w:rPr>
        <w:t>-</w:t>
      </w:r>
      <w:r w:rsidRPr="00A83991">
        <w:rPr>
          <w:szCs w:val="22"/>
          <w:lang w:val="sk-SK"/>
        </w:rPr>
        <w:tab/>
      </w:r>
      <w:r w:rsidR="00942242" w:rsidRPr="00A83991">
        <w:rPr>
          <w:szCs w:val="22"/>
          <w:lang w:val="sk-SK"/>
        </w:rPr>
        <w:t>poruchy chôdze.</w:t>
      </w:r>
    </w:p>
    <w:p w:rsidR="00942242" w:rsidRPr="00A83991" w:rsidRDefault="00942242" w:rsidP="00942242">
      <w:pPr>
        <w:pStyle w:val="EMEAEnBodyText"/>
        <w:autoSpaceDE w:val="0"/>
        <w:autoSpaceDN w:val="0"/>
        <w:adjustRightInd w:val="0"/>
        <w:spacing w:before="0" w:after="0"/>
        <w:jc w:val="left"/>
        <w:rPr>
          <w:szCs w:val="22"/>
          <w:lang w:val="sk-SK"/>
        </w:rPr>
      </w:pPr>
    </w:p>
    <w:p w:rsidR="00471226" w:rsidRPr="00A83991" w:rsidRDefault="00942242" w:rsidP="00942242">
      <w:pPr>
        <w:autoSpaceDE w:val="0"/>
        <w:autoSpaceDN w:val="0"/>
        <w:adjustRightInd w:val="0"/>
        <w:rPr>
          <w:sz w:val="22"/>
          <w:szCs w:val="22"/>
          <w:lang w:val="sk-SK"/>
        </w:rPr>
      </w:pPr>
      <w:r w:rsidRPr="00A83991">
        <w:rPr>
          <w:sz w:val="22"/>
          <w:szCs w:val="22"/>
          <w:lang w:val="sk-SK"/>
        </w:rPr>
        <w:t xml:space="preserve">Nežiaduce reakcie, ktoré boli zaznamenané u detí ale </w:t>
      </w:r>
      <w:r w:rsidR="00471226" w:rsidRPr="00A83991">
        <w:rPr>
          <w:sz w:val="22"/>
          <w:szCs w:val="22"/>
          <w:lang w:val="sk-SK"/>
        </w:rPr>
        <w:t xml:space="preserve">nevyskytli sa </w:t>
      </w:r>
      <w:r w:rsidRPr="00A83991">
        <w:rPr>
          <w:sz w:val="22"/>
          <w:szCs w:val="22"/>
          <w:lang w:val="sk-SK"/>
        </w:rPr>
        <w:t xml:space="preserve">u dospelých v dvojito zaslepených, kontrolovaných štúdiách zahŕňajú: </w:t>
      </w:r>
    </w:p>
    <w:p w:rsidR="00471226" w:rsidRPr="00A83991" w:rsidRDefault="00471226" w:rsidP="00942242">
      <w:pPr>
        <w:autoSpaceDE w:val="0"/>
        <w:autoSpaceDN w:val="0"/>
        <w:adjustRightInd w:val="0"/>
        <w:rPr>
          <w:sz w:val="22"/>
          <w:szCs w:val="22"/>
          <w:lang w:val="sk-SK"/>
        </w:rPr>
      </w:pPr>
      <w:r w:rsidRPr="00A83991">
        <w:rPr>
          <w:sz w:val="22"/>
          <w:szCs w:val="22"/>
          <w:lang w:val="sk-SK"/>
        </w:rPr>
        <w:t>-</w:t>
      </w:r>
      <w:r w:rsidRPr="00A83991">
        <w:rPr>
          <w:sz w:val="22"/>
          <w:szCs w:val="22"/>
          <w:lang w:val="sk-SK"/>
        </w:rPr>
        <w:tab/>
      </w:r>
      <w:r w:rsidR="00942242" w:rsidRPr="00A83991">
        <w:rPr>
          <w:sz w:val="22"/>
          <w:szCs w:val="22"/>
          <w:lang w:val="sk-SK"/>
        </w:rPr>
        <w:t>eozinofíli</w:t>
      </w:r>
      <w:r w:rsidRPr="00A83991">
        <w:rPr>
          <w:sz w:val="22"/>
          <w:szCs w:val="22"/>
          <w:lang w:val="sk-SK"/>
        </w:rPr>
        <w:t>a</w:t>
      </w:r>
      <w:r w:rsidR="00942242" w:rsidRPr="00A83991">
        <w:rPr>
          <w:sz w:val="22"/>
          <w:szCs w:val="22"/>
          <w:lang w:val="sk-SK"/>
        </w:rPr>
        <w:t xml:space="preserve">, </w:t>
      </w:r>
    </w:p>
    <w:p w:rsidR="00471226" w:rsidRPr="00A83991" w:rsidRDefault="00471226" w:rsidP="00942242">
      <w:pPr>
        <w:autoSpaceDE w:val="0"/>
        <w:autoSpaceDN w:val="0"/>
        <w:adjustRightInd w:val="0"/>
        <w:rPr>
          <w:sz w:val="22"/>
          <w:szCs w:val="22"/>
          <w:lang w:val="sk-SK"/>
        </w:rPr>
      </w:pPr>
      <w:r w:rsidRPr="00A83991">
        <w:rPr>
          <w:sz w:val="22"/>
          <w:szCs w:val="22"/>
          <w:lang w:val="sk-SK"/>
        </w:rPr>
        <w:t>-</w:t>
      </w:r>
      <w:r w:rsidRPr="00A83991">
        <w:rPr>
          <w:sz w:val="22"/>
          <w:szCs w:val="22"/>
          <w:lang w:val="sk-SK"/>
        </w:rPr>
        <w:tab/>
      </w:r>
      <w:r w:rsidR="00942242" w:rsidRPr="00A83991">
        <w:rPr>
          <w:sz w:val="22"/>
          <w:szCs w:val="22"/>
          <w:lang w:val="sk-SK"/>
        </w:rPr>
        <w:t>psychomotorick</w:t>
      </w:r>
      <w:r w:rsidRPr="00A83991">
        <w:rPr>
          <w:sz w:val="22"/>
          <w:szCs w:val="22"/>
          <w:lang w:val="sk-SK"/>
        </w:rPr>
        <w:t>á</w:t>
      </w:r>
      <w:r w:rsidR="00942242" w:rsidRPr="00A83991">
        <w:rPr>
          <w:sz w:val="22"/>
          <w:szCs w:val="22"/>
          <w:lang w:val="sk-SK"/>
        </w:rPr>
        <w:t xml:space="preserve"> hyperaktivit</w:t>
      </w:r>
      <w:r w:rsidRPr="00A83991">
        <w:rPr>
          <w:sz w:val="22"/>
          <w:szCs w:val="22"/>
          <w:lang w:val="sk-SK"/>
        </w:rPr>
        <w:t>a</w:t>
      </w:r>
      <w:r w:rsidR="00942242" w:rsidRPr="00A83991">
        <w:rPr>
          <w:sz w:val="22"/>
          <w:szCs w:val="22"/>
          <w:lang w:val="sk-SK"/>
        </w:rPr>
        <w:t>,</w:t>
      </w:r>
    </w:p>
    <w:p w:rsidR="00471226" w:rsidRPr="00A83991" w:rsidRDefault="00471226" w:rsidP="00942242">
      <w:pPr>
        <w:autoSpaceDE w:val="0"/>
        <w:autoSpaceDN w:val="0"/>
        <w:adjustRightInd w:val="0"/>
        <w:rPr>
          <w:sz w:val="22"/>
          <w:szCs w:val="22"/>
          <w:lang w:val="sk-SK"/>
        </w:rPr>
      </w:pPr>
      <w:r w:rsidRPr="00A83991">
        <w:rPr>
          <w:sz w:val="22"/>
          <w:szCs w:val="22"/>
          <w:lang w:val="sk-SK"/>
        </w:rPr>
        <w:t>-</w:t>
      </w:r>
      <w:r w:rsidRPr="00A83991">
        <w:rPr>
          <w:sz w:val="22"/>
          <w:szCs w:val="22"/>
          <w:lang w:val="sk-SK"/>
        </w:rPr>
        <w:tab/>
        <w:t>vertigo</w:t>
      </w:r>
      <w:r w:rsidR="00942242" w:rsidRPr="00A83991">
        <w:rPr>
          <w:sz w:val="22"/>
          <w:szCs w:val="22"/>
          <w:lang w:val="sk-SK"/>
        </w:rPr>
        <w:t>,</w:t>
      </w:r>
    </w:p>
    <w:p w:rsidR="00471226" w:rsidRPr="00A83991" w:rsidRDefault="00471226" w:rsidP="00942242">
      <w:pPr>
        <w:autoSpaceDE w:val="0"/>
        <w:autoSpaceDN w:val="0"/>
        <w:adjustRightInd w:val="0"/>
        <w:rPr>
          <w:sz w:val="22"/>
          <w:szCs w:val="22"/>
          <w:lang w:val="sk-SK"/>
        </w:rPr>
      </w:pPr>
      <w:r w:rsidRPr="00A83991">
        <w:rPr>
          <w:sz w:val="22"/>
          <w:szCs w:val="22"/>
          <w:lang w:val="sk-SK"/>
        </w:rPr>
        <w:t>-</w:t>
      </w:r>
      <w:r w:rsidRPr="00A83991">
        <w:rPr>
          <w:sz w:val="22"/>
          <w:szCs w:val="22"/>
          <w:lang w:val="sk-SK"/>
        </w:rPr>
        <w:tab/>
      </w:r>
      <w:r w:rsidR="00942242" w:rsidRPr="00A83991">
        <w:rPr>
          <w:sz w:val="22"/>
          <w:szCs w:val="22"/>
          <w:lang w:val="sk-SK"/>
        </w:rPr>
        <w:t xml:space="preserve">vracanie, </w:t>
      </w:r>
    </w:p>
    <w:p w:rsidR="00471226" w:rsidRPr="00A83991" w:rsidRDefault="00471226" w:rsidP="00942242">
      <w:pPr>
        <w:autoSpaceDE w:val="0"/>
        <w:autoSpaceDN w:val="0"/>
        <w:adjustRightInd w:val="0"/>
        <w:rPr>
          <w:sz w:val="22"/>
          <w:szCs w:val="22"/>
          <w:lang w:val="sk-SK"/>
        </w:rPr>
      </w:pPr>
      <w:r w:rsidRPr="00A83991">
        <w:rPr>
          <w:sz w:val="22"/>
          <w:szCs w:val="22"/>
          <w:lang w:val="sk-SK"/>
        </w:rPr>
        <w:t>-</w:t>
      </w:r>
      <w:r w:rsidRPr="00A83991">
        <w:rPr>
          <w:sz w:val="22"/>
          <w:szCs w:val="22"/>
          <w:lang w:val="sk-SK"/>
        </w:rPr>
        <w:tab/>
      </w:r>
      <w:r w:rsidR="00942242" w:rsidRPr="00A83991">
        <w:rPr>
          <w:sz w:val="22"/>
          <w:szCs w:val="22"/>
          <w:lang w:val="sk-SK"/>
        </w:rPr>
        <w:t>hypertermi</w:t>
      </w:r>
      <w:r w:rsidRPr="00A83991">
        <w:rPr>
          <w:sz w:val="22"/>
          <w:szCs w:val="22"/>
          <w:lang w:val="sk-SK"/>
        </w:rPr>
        <w:t>a</w:t>
      </w:r>
      <w:r w:rsidR="00942242" w:rsidRPr="00A83991">
        <w:rPr>
          <w:sz w:val="22"/>
          <w:szCs w:val="22"/>
          <w:lang w:val="sk-SK"/>
        </w:rPr>
        <w:t xml:space="preserve">, </w:t>
      </w:r>
    </w:p>
    <w:p w:rsidR="00471226" w:rsidRPr="00A83991" w:rsidRDefault="00471226" w:rsidP="00942242">
      <w:pPr>
        <w:autoSpaceDE w:val="0"/>
        <w:autoSpaceDN w:val="0"/>
        <w:adjustRightInd w:val="0"/>
        <w:rPr>
          <w:sz w:val="22"/>
          <w:szCs w:val="22"/>
          <w:lang w:val="sk-SK"/>
        </w:rPr>
      </w:pPr>
      <w:r w:rsidRPr="00A83991">
        <w:rPr>
          <w:sz w:val="22"/>
          <w:szCs w:val="22"/>
          <w:lang w:val="sk-SK"/>
        </w:rPr>
        <w:t>-</w:t>
      </w:r>
      <w:r w:rsidRPr="00A83991">
        <w:rPr>
          <w:sz w:val="22"/>
          <w:szCs w:val="22"/>
          <w:lang w:val="sk-SK"/>
        </w:rPr>
        <w:tab/>
      </w:r>
      <w:r w:rsidR="00942242" w:rsidRPr="00A83991">
        <w:rPr>
          <w:sz w:val="22"/>
          <w:szCs w:val="22"/>
          <w:lang w:val="sk-SK"/>
        </w:rPr>
        <w:t>pyrexi</w:t>
      </w:r>
      <w:r w:rsidRPr="00A83991">
        <w:rPr>
          <w:sz w:val="22"/>
          <w:szCs w:val="22"/>
          <w:lang w:val="sk-SK"/>
        </w:rPr>
        <w:t>a,</w:t>
      </w:r>
    </w:p>
    <w:p w:rsidR="00942242" w:rsidRPr="00A83991" w:rsidRDefault="00471226" w:rsidP="00942242">
      <w:pPr>
        <w:autoSpaceDE w:val="0"/>
        <w:autoSpaceDN w:val="0"/>
        <w:adjustRightInd w:val="0"/>
        <w:rPr>
          <w:sz w:val="22"/>
          <w:szCs w:val="22"/>
          <w:lang w:val="sk-SK"/>
        </w:rPr>
      </w:pPr>
      <w:r w:rsidRPr="00A83991">
        <w:rPr>
          <w:sz w:val="22"/>
          <w:szCs w:val="22"/>
          <w:lang w:val="sk-SK"/>
        </w:rPr>
        <w:t>-</w:t>
      </w:r>
      <w:r w:rsidRPr="00A83991">
        <w:rPr>
          <w:sz w:val="22"/>
          <w:szCs w:val="22"/>
          <w:lang w:val="sk-SK"/>
        </w:rPr>
        <w:tab/>
      </w:r>
      <w:r w:rsidR="00942242" w:rsidRPr="00A83991">
        <w:rPr>
          <w:sz w:val="22"/>
          <w:szCs w:val="22"/>
          <w:lang w:val="sk-SK"/>
        </w:rPr>
        <w:t>neschopnosť učenia.</w:t>
      </w:r>
    </w:p>
    <w:p w:rsidR="00471226" w:rsidRPr="00A83991" w:rsidRDefault="00471226" w:rsidP="00942242">
      <w:pPr>
        <w:autoSpaceDE w:val="0"/>
        <w:autoSpaceDN w:val="0"/>
        <w:adjustRightInd w:val="0"/>
        <w:rPr>
          <w:sz w:val="22"/>
          <w:szCs w:val="22"/>
          <w:lang w:val="sk-SK"/>
        </w:rPr>
      </w:pPr>
    </w:p>
    <w:tbl>
      <w:tblPr>
        <w:tblW w:w="9015" w:type="dxa"/>
        <w:tblInd w:w="108" w:type="dxa"/>
        <w:tblLayout w:type="fixed"/>
        <w:tblLook w:val="0000" w:firstRow="0" w:lastRow="0" w:firstColumn="0" w:lastColumn="0" w:noHBand="0" w:noVBand="0"/>
      </w:tblPr>
      <w:tblGrid>
        <w:gridCol w:w="9015"/>
      </w:tblGrid>
      <w:tr w:rsidR="00471226" w:rsidRPr="00A83991" w:rsidTr="007A5C61">
        <w:trPr>
          <w:trHeight w:val="149"/>
        </w:trPr>
        <w:tc>
          <w:tcPr>
            <w:tcW w:w="9015" w:type="dxa"/>
            <w:tcBorders>
              <w:bottom w:val="single" w:sz="4" w:space="0" w:color="auto"/>
            </w:tcBorders>
          </w:tcPr>
          <w:tbl>
            <w:tblPr>
              <w:tblW w:w="9051" w:type="dxa"/>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245"/>
              <w:gridCol w:w="1338"/>
              <w:gridCol w:w="1439"/>
              <w:gridCol w:w="2035"/>
              <w:gridCol w:w="1388"/>
              <w:gridCol w:w="1606"/>
            </w:tblGrid>
            <w:tr w:rsidR="00471226" w:rsidRPr="00A83991" w:rsidTr="0024509D">
              <w:trPr>
                <w:trHeight w:val="346"/>
                <w:tblCellSpacing w:w="0" w:type="dxa"/>
              </w:trPr>
              <w:tc>
                <w:tcPr>
                  <w:tcW w:w="5000" w:type="pct"/>
                  <w:gridSpan w:val="6"/>
                  <w:tcBorders>
                    <w:top w:val="outset" w:sz="6" w:space="0" w:color="auto"/>
                    <w:left w:val="outset" w:sz="6" w:space="0" w:color="auto"/>
                    <w:bottom w:val="outset" w:sz="6" w:space="0" w:color="auto"/>
                    <w:right w:val="outset" w:sz="6" w:space="0" w:color="auto"/>
                  </w:tcBorders>
                </w:tcPr>
                <w:p w:rsidR="00471226" w:rsidRPr="00A83991" w:rsidRDefault="00471226" w:rsidP="003F47FE">
                  <w:pPr>
                    <w:spacing w:before="100" w:beforeAutospacing="1" w:after="75"/>
                    <w:rPr>
                      <w:color w:val="000000"/>
                      <w:sz w:val="22"/>
                      <w:szCs w:val="22"/>
                    </w:rPr>
                  </w:pPr>
                  <w:r w:rsidRPr="00A83991">
                    <w:rPr>
                      <w:b/>
                      <w:bCs/>
                      <w:color w:val="000000"/>
                      <w:sz w:val="22"/>
                      <w:szCs w:val="22"/>
                    </w:rPr>
                    <w:lastRenderedPageBreak/>
                    <w:t>Tab</w:t>
                  </w:r>
                  <w:r w:rsidR="003F47FE" w:rsidRPr="00A83991">
                    <w:rPr>
                      <w:b/>
                      <w:bCs/>
                      <w:color w:val="000000"/>
                      <w:sz w:val="22"/>
                      <w:szCs w:val="22"/>
                    </w:rPr>
                    <w:t>uľka</w:t>
                  </w:r>
                  <w:r w:rsidRPr="00A83991">
                    <w:rPr>
                      <w:b/>
                      <w:bCs/>
                      <w:color w:val="000000"/>
                      <w:sz w:val="22"/>
                      <w:szCs w:val="22"/>
                    </w:rPr>
                    <w:t xml:space="preserve"> 1:</w:t>
                  </w:r>
                  <w:r w:rsidRPr="00A83991">
                    <w:rPr>
                      <w:color w:val="000000"/>
                      <w:sz w:val="22"/>
                      <w:szCs w:val="22"/>
                    </w:rPr>
                    <w:t xml:space="preserve"> </w:t>
                  </w:r>
                  <w:r w:rsidR="005C5D73" w:rsidRPr="00A83991">
                    <w:rPr>
                      <w:color w:val="000000"/>
                      <w:sz w:val="22"/>
                      <w:szCs w:val="22"/>
                    </w:rPr>
                    <w:t>Nežiaduce reakcie t</w:t>
                  </w:r>
                  <w:r w:rsidRPr="00A83991">
                    <w:rPr>
                      <w:color w:val="000000"/>
                      <w:sz w:val="22"/>
                      <w:szCs w:val="22"/>
                    </w:rPr>
                    <w:t>opiram</w:t>
                  </w:r>
                  <w:r w:rsidR="005C5D73" w:rsidRPr="00A83991">
                    <w:rPr>
                      <w:color w:val="000000"/>
                      <w:sz w:val="22"/>
                      <w:szCs w:val="22"/>
                    </w:rPr>
                    <w:t>átu</w:t>
                  </w:r>
                  <w:r w:rsidRPr="00A83991">
                    <w:rPr>
                      <w:color w:val="000000"/>
                      <w:sz w:val="22"/>
                      <w:szCs w:val="22"/>
                    </w:rPr>
                    <w:t xml:space="preserve"> </w:t>
                  </w:r>
                </w:p>
              </w:tc>
            </w:tr>
            <w:tr w:rsidR="007A5C61" w:rsidRPr="00A83991" w:rsidTr="0024509D">
              <w:trPr>
                <w:trHeight w:val="870"/>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5C5D73" w:rsidP="005C5D73">
                  <w:pPr>
                    <w:spacing w:before="100" w:beforeAutospacing="1" w:after="75"/>
                    <w:rPr>
                      <w:color w:val="000000"/>
                      <w:sz w:val="22"/>
                      <w:szCs w:val="22"/>
                    </w:rPr>
                  </w:pPr>
                  <w:r w:rsidRPr="00A83991">
                    <w:rPr>
                      <w:b/>
                      <w:bCs/>
                      <w:color w:val="000000"/>
                      <w:sz w:val="22"/>
                      <w:szCs w:val="22"/>
                    </w:rPr>
                    <w:t>Trieda orgánových systémov</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spacing w:before="100" w:beforeAutospacing="1" w:after="75"/>
                    <w:rPr>
                      <w:color w:val="000000"/>
                      <w:sz w:val="22"/>
                      <w:szCs w:val="22"/>
                    </w:rPr>
                  </w:pPr>
                  <w:r w:rsidRPr="00A83991">
                    <w:rPr>
                      <w:b/>
                      <w:bCs/>
                      <w:color w:val="000000"/>
                      <w:sz w:val="22"/>
                      <w:szCs w:val="22"/>
                    </w:rPr>
                    <w:t>V</w:t>
                  </w:r>
                  <w:r w:rsidR="005C5D73" w:rsidRPr="00A83991">
                    <w:rPr>
                      <w:b/>
                      <w:bCs/>
                      <w:color w:val="000000"/>
                      <w:sz w:val="22"/>
                      <w:szCs w:val="22"/>
                    </w:rPr>
                    <w:t>eľmi časté</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5C5D73" w:rsidP="005C5D73">
                  <w:pPr>
                    <w:spacing w:before="100" w:beforeAutospacing="1" w:after="75"/>
                    <w:rPr>
                      <w:color w:val="000000"/>
                      <w:sz w:val="22"/>
                      <w:szCs w:val="22"/>
                    </w:rPr>
                  </w:pPr>
                  <w:r w:rsidRPr="00A83991">
                    <w:rPr>
                      <w:b/>
                      <w:bCs/>
                      <w:color w:val="000000"/>
                      <w:sz w:val="22"/>
                      <w:szCs w:val="22"/>
                    </w:rPr>
                    <w:t>Časté</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5C5D73" w:rsidP="005C5D73">
                  <w:pPr>
                    <w:spacing w:before="100" w:beforeAutospacing="1" w:after="75"/>
                    <w:rPr>
                      <w:color w:val="000000"/>
                      <w:sz w:val="22"/>
                      <w:szCs w:val="22"/>
                    </w:rPr>
                  </w:pPr>
                  <w:r w:rsidRPr="00A83991">
                    <w:rPr>
                      <w:b/>
                      <w:bCs/>
                      <w:color w:val="000000"/>
                      <w:sz w:val="22"/>
                      <w:szCs w:val="22"/>
                    </w:rPr>
                    <w:t>Menej časté</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5C5D73" w:rsidP="005C5D73">
                  <w:pPr>
                    <w:spacing w:before="100" w:beforeAutospacing="1" w:after="75"/>
                    <w:rPr>
                      <w:color w:val="000000"/>
                      <w:sz w:val="22"/>
                      <w:szCs w:val="22"/>
                    </w:rPr>
                  </w:pPr>
                  <w:r w:rsidRPr="00A83991">
                    <w:rPr>
                      <w:b/>
                      <w:bCs/>
                      <w:color w:val="000000"/>
                      <w:sz w:val="22"/>
                      <w:szCs w:val="22"/>
                    </w:rPr>
                    <w:t>Zriedkavé</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spacing w:before="100" w:beforeAutospacing="1" w:after="75"/>
                    <w:rPr>
                      <w:color w:val="000000"/>
                      <w:sz w:val="22"/>
                      <w:szCs w:val="22"/>
                    </w:rPr>
                  </w:pPr>
                  <w:r w:rsidRPr="00A83991">
                    <w:rPr>
                      <w:b/>
                      <w:bCs/>
                      <w:color w:val="000000"/>
                      <w:sz w:val="22"/>
                      <w:szCs w:val="22"/>
                    </w:rPr>
                    <w:t>N</w:t>
                  </w:r>
                  <w:r w:rsidR="005C5D73" w:rsidRPr="00A83991">
                    <w:rPr>
                      <w:b/>
                      <w:bCs/>
                      <w:color w:val="000000"/>
                      <w:sz w:val="22"/>
                      <w:szCs w:val="22"/>
                    </w:rPr>
                    <w:t>eznáme</w:t>
                  </w:r>
                </w:p>
              </w:tc>
            </w:tr>
            <w:tr w:rsidR="007A5C61" w:rsidRPr="00A83991" w:rsidTr="0024509D">
              <w:trPr>
                <w:trHeight w:val="603"/>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471226" w:rsidP="003F47FE">
                  <w:pPr>
                    <w:spacing w:before="100" w:beforeAutospacing="1" w:after="75"/>
                    <w:rPr>
                      <w:color w:val="000000"/>
                      <w:sz w:val="22"/>
                      <w:szCs w:val="22"/>
                    </w:rPr>
                  </w:pPr>
                  <w:r w:rsidRPr="00A83991">
                    <w:rPr>
                      <w:color w:val="000000"/>
                      <w:sz w:val="22"/>
                      <w:szCs w:val="22"/>
                    </w:rPr>
                    <w:t>Infe</w:t>
                  </w:r>
                  <w:r w:rsidR="003F47FE" w:rsidRPr="00A83991">
                    <w:rPr>
                      <w:color w:val="000000"/>
                      <w:sz w:val="22"/>
                      <w:szCs w:val="22"/>
                    </w:rPr>
                    <w:t>kcie a nákazy</w:t>
                  </w:r>
                  <w:r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2A38B5" w:rsidP="001308BA">
                  <w:pPr>
                    <w:spacing w:before="100" w:beforeAutospacing="1" w:after="75"/>
                    <w:rPr>
                      <w:color w:val="000000"/>
                      <w:sz w:val="22"/>
                      <w:szCs w:val="22"/>
                    </w:rPr>
                  </w:pPr>
                  <w:r>
                    <w:rPr>
                      <w:color w:val="000000"/>
                      <w:sz w:val="22"/>
                      <w:szCs w:val="22"/>
                    </w:rPr>
                    <w:t>n</w:t>
                  </w:r>
                  <w:r w:rsidR="00471226" w:rsidRPr="00A83991">
                    <w:rPr>
                      <w:color w:val="000000"/>
                      <w:sz w:val="22"/>
                      <w:szCs w:val="22"/>
                    </w:rPr>
                    <w:t>a</w:t>
                  </w:r>
                  <w:r w:rsidR="003F47FE" w:rsidRPr="00A83991">
                    <w:rPr>
                      <w:color w:val="000000"/>
                      <w:sz w:val="22"/>
                      <w:szCs w:val="22"/>
                    </w:rPr>
                    <w:t>z</w:t>
                  </w:r>
                  <w:r w:rsidR="00471226" w:rsidRPr="00A83991">
                    <w:rPr>
                      <w:color w:val="000000"/>
                      <w:sz w:val="22"/>
                      <w:szCs w:val="22"/>
                    </w:rPr>
                    <w:t>o</w:t>
                  </w:r>
                  <w:r w:rsidR="003F47FE" w:rsidRPr="00A83991">
                    <w:rPr>
                      <w:color w:val="000000"/>
                      <w:sz w:val="22"/>
                      <w:szCs w:val="22"/>
                    </w:rPr>
                    <w:t>faryngi</w:t>
                  </w:r>
                  <w:r>
                    <w:rPr>
                      <w:color w:val="000000"/>
                      <w:sz w:val="22"/>
                      <w:szCs w:val="22"/>
                    </w:rPr>
                    <w:t>-</w:t>
                  </w:r>
                  <w:r w:rsidR="003F47FE" w:rsidRPr="00A83991">
                    <w:rPr>
                      <w:color w:val="000000"/>
                      <w:sz w:val="22"/>
                      <w:szCs w:val="22"/>
                    </w:rPr>
                    <w:t>tída</w:t>
                  </w:r>
                  <w:r w:rsidR="00471226" w:rsidRPr="00A83991">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126"/>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3F47FE" w:rsidP="003F47FE">
                  <w:pPr>
                    <w:spacing w:before="100" w:beforeAutospacing="1" w:after="75"/>
                    <w:rPr>
                      <w:color w:val="000000"/>
                      <w:sz w:val="22"/>
                      <w:szCs w:val="22"/>
                    </w:rPr>
                  </w:pPr>
                  <w:r w:rsidRPr="00A83991">
                    <w:rPr>
                      <w:color w:val="000000"/>
                      <w:sz w:val="22"/>
                      <w:szCs w:val="22"/>
                    </w:rPr>
                    <w:t>Poruchy krvi a lymfatické</w:t>
                  </w:r>
                  <w:r w:rsidR="002A38B5">
                    <w:rPr>
                      <w:color w:val="000000"/>
                      <w:sz w:val="22"/>
                      <w:szCs w:val="22"/>
                    </w:rPr>
                    <w:t>-</w:t>
                  </w:r>
                  <w:r w:rsidRPr="00A83991">
                    <w:rPr>
                      <w:color w:val="000000"/>
                      <w:sz w:val="22"/>
                      <w:szCs w:val="22"/>
                    </w:rPr>
                    <w:t>ho systému</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3F47FE" w:rsidP="003F47FE">
                  <w:pPr>
                    <w:spacing w:before="100" w:beforeAutospacing="1" w:after="75"/>
                    <w:rPr>
                      <w:color w:val="000000"/>
                      <w:sz w:val="22"/>
                      <w:szCs w:val="22"/>
                    </w:rPr>
                  </w:pPr>
                  <w:r w:rsidRPr="00A83991">
                    <w:rPr>
                      <w:color w:val="000000"/>
                      <w:sz w:val="22"/>
                      <w:szCs w:val="22"/>
                    </w:rPr>
                    <w:t>a</w:t>
                  </w:r>
                  <w:r w:rsidR="00471226" w:rsidRPr="00A83991">
                    <w:rPr>
                      <w:color w:val="000000"/>
                      <w:sz w:val="22"/>
                      <w:szCs w:val="22"/>
                    </w:rPr>
                    <w:t>n</w:t>
                  </w:r>
                  <w:r w:rsidRPr="00A83991">
                    <w:rPr>
                      <w:color w:val="000000"/>
                      <w:sz w:val="22"/>
                      <w:szCs w:val="22"/>
                    </w:rPr>
                    <w:t>émia</w:t>
                  </w:r>
                  <w:r w:rsidR="00471226" w:rsidRPr="00A83991">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3F47FE" w:rsidP="003F47FE">
                  <w:pPr>
                    <w:spacing w:before="100" w:beforeAutospacing="1" w:after="75"/>
                    <w:rPr>
                      <w:color w:val="000000"/>
                      <w:sz w:val="22"/>
                      <w:szCs w:val="22"/>
                    </w:rPr>
                  </w:pPr>
                  <w:r w:rsidRPr="00A83991">
                    <w:rPr>
                      <w:color w:val="000000"/>
                      <w:sz w:val="22"/>
                      <w:szCs w:val="22"/>
                    </w:rPr>
                    <w:t>l</w:t>
                  </w:r>
                  <w:r w:rsidR="00471226" w:rsidRPr="00A83991">
                    <w:rPr>
                      <w:color w:val="000000"/>
                      <w:sz w:val="22"/>
                      <w:szCs w:val="22"/>
                    </w:rPr>
                    <w:t>eu</w:t>
                  </w:r>
                  <w:r w:rsidRPr="00A83991">
                    <w:rPr>
                      <w:color w:val="000000"/>
                      <w:sz w:val="22"/>
                      <w:szCs w:val="22"/>
                    </w:rPr>
                    <w:t>k</w:t>
                  </w:r>
                  <w:r w:rsidR="00471226" w:rsidRPr="00A83991">
                    <w:rPr>
                      <w:color w:val="000000"/>
                      <w:sz w:val="22"/>
                      <w:szCs w:val="22"/>
                    </w:rPr>
                    <w:t>op</w:t>
                  </w:r>
                  <w:r w:rsidRPr="00A83991">
                    <w:rPr>
                      <w:color w:val="000000"/>
                      <w:sz w:val="22"/>
                      <w:szCs w:val="22"/>
                    </w:rPr>
                    <w:t>é</w:t>
                  </w:r>
                  <w:r w:rsidR="00471226" w:rsidRPr="00A83991">
                    <w:rPr>
                      <w:color w:val="000000"/>
                      <w:sz w:val="22"/>
                      <w:szCs w:val="22"/>
                    </w:rPr>
                    <w:t>nia, trombocytop</w:t>
                  </w:r>
                  <w:r w:rsidRPr="00A83991">
                    <w:rPr>
                      <w:color w:val="000000"/>
                      <w:sz w:val="22"/>
                      <w:szCs w:val="22"/>
                    </w:rPr>
                    <w:t>é</w:t>
                  </w:r>
                  <w:r w:rsidR="00471226" w:rsidRPr="00A83991">
                    <w:rPr>
                      <w:color w:val="000000"/>
                      <w:sz w:val="22"/>
                      <w:szCs w:val="22"/>
                    </w:rPr>
                    <w:t>nia lym</w:t>
                  </w:r>
                  <w:r w:rsidRPr="00A83991">
                    <w:rPr>
                      <w:color w:val="000000"/>
                      <w:sz w:val="22"/>
                      <w:szCs w:val="22"/>
                    </w:rPr>
                    <w:t>fad</w:t>
                  </w:r>
                  <w:r w:rsidR="00471226" w:rsidRPr="00A83991">
                    <w:rPr>
                      <w:color w:val="000000"/>
                      <w:sz w:val="22"/>
                      <w:szCs w:val="22"/>
                    </w:rPr>
                    <w:t>enop</w:t>
                  </w:r>
                  <w:r w:rsidRPr="00A83991">
                    <w:rPr>
                      <w:color w:val="000000"/>
                      <w:sz w:val="22"/>
                      <w:szCs w:val="22"/>
                    </w:rPr>
                    <w:t>atia</w:t>
                  </w:r>
                  <w:r w:rsidR="00471226" w:rsidRPr="00A83991">
                    <w:rPr>
                      <w:color w:val="000000"/>
                      <w:sz w:val="22"/>
                      <w:szCs w:val="22"/>
                    </w:rPr>
                    <w:t>, eo</w:t>
                  </w:r>
                  <w:r w:rsidRPr="00A83991">
                    <w:rPr>
                      <w:color w:val="000000"/>
                      <w:sz w:val="22"/>
                      <w:szCs w:val="22"/>
                    </w:rPr>
                    <w:t>zinofília</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3F47FE" w:rsidP="003F47FE">
                  <w:pPr>
                    <w:spacing w:before="100" w:beforeAutospacing="1" w:after="75"/>
                    <w:rPr>
                      <w:color w:val="000000"/>
                      <w:sz w:val="22"/>
                      <w:szCs w:val="22"/>
                    </w:rPr>
                  </w:pPr>
                  <w:r w:rsidRPr="00A83991">
                    <w:rPr>
                      <w:color w:val="000000"/>
                      <w:sz w:val="22"/>
                      <w:szCs w:val="22"/>
                    </w:rPr>
                    <w:t>n</w:t>
                  </w:r>
                  <w:r w:rsidR="00471226" w:rsidRPr="00A83991">
                    <w:rPr>
                      <w:color w:val="000000"/>
                      <w:sz w:val="22"/>
                      <w:szCs w:val="22"/>
                    </w:rPr>
                    <w:t>eutrop</w:t>
                  </w:r>
                  <w:r w:rsidRPr="00A83991">
                    <w:rPr>
                      <w:color w:val="000000"/>
                      <w:sz w:val="22"/>
                      <w:szCs w:val="22"/>
                    </w:rPr>
                    <w:t>é</w:t>
                  </w:r>
                  <w:r w:rsidR="00471226" w:rsidRPr="00A83991">
                    <w:rPr>
                      <w:color w:val="000000"/>
                      <w:sz w:val="22"/>
                      <w:szCs w:val="22"/>
                    </w:rPr>
                    <w:t xml:space="preserve">nia*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870"/>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BA1CB6" w:rsidP="00BA1CB6">
                  <w:pPr>
                    <w:spacing w:before="100" w:beforeAutospacing="1" w:after="75"/>
                    <w:rPr>
                      <w:color w:val="000000"/>
                      <w:sz w:val="22"/>
                      <w:szCs w:val="22"/>
                    </w:rPr>
                  </w:pPr>
                  <w:r w:rsidRPr="00A83991">
                    <w:rPr>
                      <w:color w:val="000000"/>
                      <w:sz w:val="22"/>
                      <w:szCs w:val="22"/>
                    </w:rPr>
                    <w:t>Poruchy imunitného systému</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2A38B5" w:rsidP="001308BA">
                  <w:pPr>
                    <w:spacing w:before="100" w:beforeAutospacing="1" w:after="75"/>
                    <w:rPr>
                      <w:color w:val="000000"/>
                      <w:sz w:val="22"/>
                      <w:szCs w:val="22"/>
                    </w:rPr>
                  </w:pPr>
                  <w:r>
                    <w:rPr>
                      <w:color w:val="000000"/>
                      <w:sz w:val="22"/>
                      <w:szCs w:val="22"/>
                    </w:rPr>
                    <w:t>h</w:t>
                  </w:r>
                  <w:r w:rsidR="00471226" w:rsidRPr="00A83991">
                    <w:rPr>
                      <w:color w:val="000000"/>
                      <w:sz w:val="22"/>
                      <w:szCs w:val="22"/>
                    </w:rPr>
                    <w:t>ypersen</w:t>
                  </w:r>
                  <w:r w:rsidR="00BA1CB6" w:rsidRPr="00A83991">
                    <w:rPr>
                      <w:color w:val="000000"/>
                      <w:sz w:val="22"/>
                      <w:szCs w:val="22"/>
                    </w:rPr>
                    <w:t>ziti</w:t>
                  </w:r>
                  <w:r>
                    <w:rPr>
                      <w:color w:val="000000"/>
                      <w:sz w:val="22"/>
                      <w:szCs w:val="22"/>
                    </w:rPr>
                    <w:t>-</w:t>
                  </w:r>
                  <w:r w:rsidR="00BA1CB6" w:rsidRPr="00A83991">
                    <w:rPr>
                      <w:color w:val="000000"/>
                      <w:sz w:val="22"/>
                      <w:szCs w:val="22"/>
                    </w:rPr>
                    <w:t>vita</w:t>
                  </w:r>
                  <w:r w:rsidR="00471226" w:rsidRPr="00A83991">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BA1CB6" w:rsidP="00BA1CB6">
                  <w:pPr>
                    <w:spacing w:before="100" w:beforeAutospacing="1" w:after="75"/>
                    <w:rPr>
                      <w:color w:val="000000"/>
                      <w:sz w:val="22"/>
                      <w:szCs w:val="22"/>
                    </w:rPr>
                  </w:pPr>
                  <w:r w:rsidRPr="00A83991">
                    <w:rPr>
                      <w:color w:val="000000"/>
                      <w:sz w:val="22"/>
                      <w:szCs w:val="22"/>
                    </w:rPr>
                    <w:t>a</w:t>
                  </w:r>
                  <w:r w:rsidR="00471226" w:rsidRPr="00A83991">
                    <w:rPr>
                      <w:color w:val="000000"/>
                      <w:sz w:val="22"/>
                      <w:szCs w:val="22"/>
                    </w:rPr>
                    <w:t>lergic</w:t>
                  </w:r>
                  <w:r w:rsidRPr="00A83991">
                    <w:rPr>
                      <w:color w:val="000000"/>
                      <w:sz w:val="22"/>
                      <w:szCs w:val="22"/>
                    </w:rPr>
                    <w:t>ký edém</w:t>
                  </w:r>
                  <w:r w:rsidR="00471226" w:rsidRPr="00A83991">
                    <w:rPr>
                      <w:color w:val="000000"/>
                      <w:sz w:val="22"/>
                      <w:szCs w:val="22"/>
                    </w:rPr>
                    <w:t xml:space="preserve">*, </w:t>
                  </w:r>
                  <w:r w:rsidRPr="00A83991">
                    <w:rPr>
                      <w:color w:val="000000"/>
                      <w:sz w:val="22"/>
                      <w:szCs w:val="22"/>
                    </w:rPr>
                    <w:t>edém spojovky</w:t>
                  </w:r>
                  <w:r w:rsidR="00471226" w:rsidRPr="00A83991">
                    <w:rPr>
                      <w:color w:val="000000"/>
                      <w:sz w:val="22"/>
                      <w:szCs w:val="22"/>
                    </w:rPr>
                    <w:t xml:space="preserve">* </w:t>
                  </w:r>
                </w:p>
              </w:tc>
            </w:tr>
            <w:tr w:rsidR="007A5C61" w:rsidRPr="00A83991" w:rsidTr="0024509D">
              <w:trPr>
                <w:trHeight w:val="1382"/>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BA1CB6" w:rsidP="00BA1CB6">
                  <w:pPr>
                    <w:spacing w:before="100" w:beforeAutospacing="1" w:after="75"/>
                    <w:rPr>
                      <w:color w:val="000000"/>
                      <w:sz w:val="22"/>
                      <w:szCs w:val="22"/>
                    </w:rPr>
                  </w:pPr>
                  <w:r w:rsidRPr="00A83991">
                    <w:rPr>
                      <w:color w:val="000000"/>
                      <w:sz w:val="22"/>
                      <w:szCs w:val="22"/>
                    </w:rPr>
                    <w:t>Poruchy metaboli</w:t>
                  </w:r>
                  <w:r w:rsidR="002A38B5">
                    <w:rPr>
                      <w:color w:val="000000"/>
                      <w:sz w:val="22"/>
                      <w:szCs w:val="22"/>
                    </w:rPr>
                    <w:t>z-</w:t>
                  </w:r>
                  <w:r w:rsidRPr="00A83991">
                    <w:rPr>
                      <w:color w:val="000000"/>
                      <w:sz w:val="22"/>
                      <w:szCs w:val="22"/>
                    </w:rPr>
                    <w:t>mu a výživy</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BA1CB6" w:rsidP="00BA1CB6">
                  <w:pPr>
                    <w:spacing w:before="100" w:beforeAutospacing="1" w:after="75"/>
                    <w:rPr>
                      <w:color w:val="000000"/>
                      <w:sz w:val="22"/>
                      <w:szCs w:val="22"/>
                      <w:lang w:val="pl-PL"/>
                    </w:rPr>
                  </w:pPr>
                  <w:r w:rsidRPr="00A83991">
                    <w:rPr>
                      <w:color w:val="000000"/>
                      <w:sz w:val="22"/>
                      <w:szCs w:val="22"/>
                      <w:lang w:val="pl-PL"/>
                    </w:rPr>
                    <w:t>a</w:t>
                  </w:r>
                  <w:r w:rsidR="00471226" w:rsidRPr="00A83991">
                    <w:rPr>
                      <w:color w:val="000000"/>
                      <w:sz w:val="22"/>
                      <w:szCs w:val="22"/>
                      <w:lang w:val="pl-PL"/>
                    </w:rPr>
                    <w:t xml:space="preserve">norexia, </w:t>
                  </w:r>
                  <w:r w:rsidRPr="00A83991">
                    <w:rPr>
                      <w:color w:val="000000"/>
                      <w:sz w:val="22"/>
                      <w:szCs w:val="22"/>
                      <w:lang w:val="pl-PL"/>
                    </w:rPr>
                    <w:t>znížená chuť do jedla</w:t>
                  </w:r>
                  <w:r w:rsidR="00471226" w:rsidRPr="00A83991">
                    <w:rPr>
                      <w:color w:val="000000"/>
                      <w:sz w:val="22"/>
                      <w:szCs w:val="22"/>
                      <w:lang w:val="pl-PL"/>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BA1CB6" w:rsidP="00BA1CB6">
                  <w:pPr>
                    <w:spacing w:before="100" w:beforeAutospacing="1" w:after="75"/>
                    <w:rPr>
                      <w:color w:val="000000"/>
                      <w:sz w:val="22"/>
                      <w:szCs w:val="22"/>
                      <w:lang w:val="pl-PL"/>
                    </w:rPr>
                  </w:pPr>
                  <w:r w:rsidRPr="00A83991">
                    <w:rPr>
                      <w:color w:val="000000"/>
                      <w:sz w:val="22"/>
                      <w:szCs w:val="22"/>
                      <w:lang w:val="pl-PL"/>
                    </w:rPr>
                    <w:t>m</w:t>
                  </w:r>
                  <w:r w:rsidR="00471226" w:rsidRPr="00A83991">
                    <w:rPr>
                      <w:color w:val="000000"/>
                      <w:sz w:val="22"/>
                      <w:szCs w:val="22"/>
                      <w:lang w:val="pl-PL"/>
                    </w:rPr>
                    <w:t>etabolic</w:t>
                  </w:r>
                  <w:r w:rsidRPr="00A83991">
                    <w:rPr>
                      <w:color w:val="000000"/>
                      <w:sz w:val="22"/>
                      <w:szCs w:val="22"/>
                      <w:lang w:val="pl-PL"/>
                    </w:rPr>
                    <w:t>ká</w:t>
                  </w:r>
                  <w:r w:rsidR="00471226" w:rsidRPr="00A83991">
                    <w:rPr>
                      <w:color w:val="000000"/>
                      <w:sz w:val="22"/>
                      <w:szCs w:val="22"/>
                      <w:lang w:val="pl-PL"/>
                    </w:rPr>
                    <w:t xml:space="preserve"> acid</w:t>
                  </w:r>
                  <w:r w:rsidRPr="00A83991">
                    <w:rPr>
                      <w:color w:val="000000"/>
                      <w:sz w:val="22"/>
                      <w:szCs w:val="22"/>
                      <w:lang w:val="pl-PL"/>
                    </w:rPr>
                    <w:t>óza</w:t>
                  </w:r>
                  <w:r w:rsidR="00471226" w:rsidRPr="00A83991">
                    <w:rPr>
                      <w:color w:val="000000"/>
                      <w:sz w:val="22"/>
                      <w:szCs w:val="22"/>
                      <w:lang w:val="pl-PL"/>
                    </w:rPr>
                    <w:t xml:space="preserve">, </w:t>
                  </w:r>
                  <w:r w:rsidRPr="00A83991">
                    <w:rPr>
                      <w:color w:val="000000"/>
                      <w:sz w:val="22"/>
                      <w:szCs w:val="22"/>
                      <w:lang w:val="pl-PL"/>
                    </w:rPr>
                    <w:t>h</w:t>
                  </w:r>
                  <w:r w:rsidR="00471226" w:rsidRPr="00A83991">
                    <w:rPr>
                      <w:color w:val="000000"/>
                      <w:sz w:val="22"/>
                      <w:szCs w:val="22"/>
                      <w:lang w:val="pl-PL"/>
                    </w:rPr>
                    <w:t>ypokal</w:t>
                  </w:r>
                  <w:r w:rsidRPr="00A83991">
                    <w:rPr>
                      <w:color w:val="000000"/>
                      <w:sz w:val="22"/>
                      <w:szCs w:val="22"/>
                      <w:lang w:val="pl-PL"/>
                    </w:rPr>
                    <w:t>iémia</w:t>
                  </w:r>
                  <w:r w:rsidR="00471226" w:rsidRPr="00A83991">
                    <w:rPr>
                      <w:color w:val="000000"/>
                      <w:sz w:val="22"/>
                      <w:szCs w:val="22"/>
                      <w:lang w:val="pl-PL"/>
                    </w:rPr>
                    <w:t xml:space="preserve"> </w:t>
                  </w:r>
                  <w:r w:rsidRPr="00A83991">
                    <w:rPr>
                      <w:color w:val="000000"/>
                      <w:sz w:val="22"/>
                      <w:szCs w:val="22"/>
                      <w:lang w:val="pl-PL"/>
                    </w:rPr>
                    <w:t>zvýšená chuť do jedla</w:t>
                  </w:r>
                  <w:r w:rsidR="00471226" w:rsidRPr="00A83991">
                    <w:rPr>
                      <w:color w:val="000000"/>
                      <w:sz w:val="22"/>
                      <w:szCs w:val="22"/>
                      <w:lang w:val="pl-PL"/>
                    </w:rPr>
                    <w:t xml:space="preserve">, polydipsia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2A38B5" w:rsidP="001308BA">
                  <w:pPr>
                    <w:spacing w:before="100" w:beforeAutospacing="1" w:after="75"/>
                    <w:rPr>
                      <w:color w:val="000000"/>
                      <w:sz w:val="22"/>
                      <w:szCs w:val="22"/>
                    </w:rPr>
                  </w:pPr>
                  <w:r>
                    <w:rPr>
                      <w:color w:val="000000"/>
                      <w:sz w:val="22"/>
                      <w:szCs w:val="22"/>
                    </w:rPr>
                    <w:t>h</w:t>
                  </w:r>
                  <w:r w:rsidR="00BA1CB6" w:rsidRPr="00A83991">
                    <w:rPr>
                      <w:color w:val="000000"/>
                      <w:sz w:val="22"/>
                      <w:szCs w:val="22"/>
                    </w:rPr>
                    <w:t>yperchlore</w:t>
                  </w:r>
                  <w:r>
                    <w:rPr>
                      <w:color w:val="000000"/>
                      <w:sz w:val="22"/>
                      <w:szCs w:val="22"/>
                    </w:rPr>
                    <w:t>-</w:t>
                  </w:r>
                  <w:r w:rsidR="00BA1CB6" w:rsidRPr="00A83991">
                    <w:rPr>
                      <w:color w:val="000000"/>
                      <w:sz w:val="22"/>
                      <w:szCs w:val="22"/>
                    </w:rPr>
                    <w:t>mická acidóza</w:t>
                  </w:r>
                  <w:r w:rsidR="00471226" w:rsidRPr="00A83991">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2841"/>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471226" w:rsidP="00BA1CB6">
                  <w:pPr>
                    <w:spacing w:before="100" w:beforeAutospacing="1" w:after="75"/>
                    <w:rPr>
                      <w:color w:val="000000"/>
                      <w:sz w:val="22"/>
                      <w:szCs w:val="22"/>
                    </w:rPr>
                  </w:pPr>
                  <w:r w:rsidRPr="00A83991">
                    <w:rPr>
                      <w:color w:val="000000"/>
                      <w:sz w:val="22"/>
                      <w:szCs w:val="22"/>
                    </w:rPr>
                    <w:t>Psychi</w:t>
                  </w:r>
                  <w:r w:rsidR="00BA1CB6" w:rsidRPr="00A83991">
                    <w:rPr>
                      <w:color w:val="000000"/>
                      <w:sz w:val="22"/>
                      <w:szCs w:val="22"/>
                    </w:rPr>
                    <w:t>cké poruchy</w:t>
                  </w:r>
                  <w:r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BA1CB6" w:rsidP="00BA1CB6">
                  <w:pPr>
                    <w:spacing w:before="100" w:beforeAutospacing="1" w:after="75"/>
                    <w:rPr>
                      <w:color w:val="000000"/>
                      <w:sz w:val="22"/>
                      <w:szCs w:val="22"/>
                    </w:rPr>
                  </w:pPr>
                  <w:r w:rsidRPr="00A83991">
                    <w:rPr>
                      <w:color w:val="000000"/>
                      <w:sz w:val="22"/>
                      <w:szCs w:val="22"/>
                    </w:rPr>
                    <w:t>d</w:t>
                  </w:r>
                  <w:r w:rsidR="00471226" w:rsidRPr="00A83991">
                    <w:rPr>
                      <w:color w:val="000000"/>
                      <w:sz w:val="22"/>
                      <w:szCs w:val="22"/>
                    </w:rPr>
                    <w:t>epres</w:t>
                  </w:r>
                  <w:r w:rsidRPr="00A83991">
                    <w:rPr>
                      <w:color w:val="000000"/>
                      <w:sz w:val="22"/>
                      <w:szCs w:val="22"/>
                    </w:rPr>
                    <w:t>ia</w:t>
                  </w:r>
                  <w:r w:rsidR="00471226" w:rsidRPr="00A83991">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BA1CB6" w:rsidP="00BA1CB6">
                  <w:pPr>
                    <w:spacing w:before="100" w:beforeAutospacing="1" w:after="75"/>
                    <w:rPr>
                      <w:color w:val="000000"/>
                      <w:sz w:val="22"/>
                      <w:szCs w:val="22"/>
                    </w:rPr>
                  </w:pPr>
                  <w:r w:rsidRPr="00A83991">
                    <w:rPr>
                      <w:color w:val="000000"/>
                      <w:sz w:val="22"/>
                      <w:szCs w:val="22"/>
                    </w:rPr>
                    <w:t>b</w:t>
                  </w:r>
                  <w:r w:rsidR="00471226" w:rsidRPr="00A83991">
                    <w:rPr>
                      <w:color w:val="000000"/>
                      <w:sz w:val="22"/>
                      <w:szCs w:val="22"/>
                    </w:rPr>
                    <w:t>rady</w:t>
                  </w:r>
                  <w:r w:rsidRPr="00A83991">
                    <w:rPr>
                      <w:color w:val="000000"/>
                      <w:sz w:val="22"/>
                      <w:szCs w:val="22"/>
                    </w:rPr>
                    <w:t>frénia</w:t>
                  </w:r>
                  <w:r w:rsidR="00471226" w:rsidRPr="00A83991">
                    <w:rPr>
                      <w:color w:val="000000"/>
                      <w:sz w:val="22"/>
                      <w:szCs w:val="22"/>
                    </w:rPr>
                    <w:t xml:space="preserve">, insomnia, </w:t>
                  </w:r>
                  <w:r w:rsidRPr="00A83991">
                    <w:rPr>
                      <w:color w:val="000000"/>
                      <w:sz w:val="22"/>
                      <w:szCs w:val="22"/>
                    </w:rPr>
                    <w:t>poruchy vyjadrovania</w:t>
                  </w:r>
                  <w:r w:rsidR="00471226" w:rsidRPr="00A83991">
                    <w:rPr>
                      <w:color w:val="000000"/>
                      <w:sz w:val="22"/>
                      <w:szCs w:val="22"/>
                    </w:rPr>
                    <w:t>, anxiet</w:t>
                  </w:r>
                  <w:r w:rsidRPr="00A83991">
                    <w:rPr>
                      <w:color w:val="000000"/>
                      <w:sz w:val="22"/>
                      <w:szCs w:val="22"/>
                    </w:rPr>
                    <w:t>a</w:t>
                  </w:r>
                  <w:r w:rsidR="00471226" w:rsidRPr="00A83991">
                    <w:rPr>
                      <w:color w:val="000000"/>
                      <w:sz w:val="22"/>
                      <w:szCs w:val="22"/>
                    </w:rPr>
                    <w:t xml:space="preserve">, </w:t>
                  </w:r>
                  <w:r w:rsidRPr="00A83991">
                    <w:rPr>
                      <w:color w:val="000000"/>
                      <w:sz w:val="22"/>
                      <w:szCs w:val="22"/>
                    </w:rPr>
                    <w:t>stav zmätenosti</w:t>
                  </w:r>
                  <w:r w:rsidR="00471226" w:rsidRPr="00A83991">
                    <w:rPr>
                      <w:color w:val="000000"/>
                      <w:sz w:val="22"/>
                      <w:szCs w:val="22"/>
                    </w:rPr>
                    <w:t>, d</w:t>
                  </w:r>
                  <w:r w:rsidRPr="00A83991">
                    <w:rPr>
                      <w:color w:val="000000"/>
                      <w:sz w:val="22"/>
                      <w:szCs w:val="22"/>
                    </w:rPr>
                    <w:t>ezorientácia</w:t>
                  </w:r>
                  <w:r w:rsidR="00471226" w:rsidRPr="00A83991">
                    <w:rPr>
                      <w:color w:val="000000"/>
                      <w:sz w:val="22"/>
                      <w:szCs w:val="22"/>
                    </w:rPr>
                    <w:t>, ag</w:t>
                  </w:r>
                  <w:r w:rsidRPr="00A83991">
                    <w:rPr>
                      <w:color w:val="000000"/>
                      <w:sz w:val="22"/>
                      <w:szCs w:val="22"/>
                    </w:rPr>
                    <w:t>resivita</w:t>
                  </w:r>
                  <w:r w:rsidR="00471226" w:rsidRPr="00A83991">
                    <w:rPr>
                      <w:color w:val="000000"/>
                      <w:sz w:val="22"/>
                      <w:szCs w:val="22"/>
                    </w:rPr>
                    <w:t>,</w:t>
                  </w:r>
                  <w:r w:rsidRPr="00A83991">
                    <w:rPr>
                      <w:color w:val="000000"/>
                      <w:sz w:val="22"/>
                      <w:szCs w:val="22"/>
                    </w:rPr>
                    <w:t xml:space="preserve"> zmeny nálady</w:t>
                  </w:r>
                  <w:r w:rsidR="00471226" w:rsidRPr="00A83991">
                    <w:rPr>
                      <w:color w:val="000000"/>
                      <w:sz w:val="22"/>
                      <w:szCs w:val="22"/>
                    </w:rPr>
                    <w:t>, agit</w:t>
                  </w:r>
                  <w:r w:rsidRPr="00A83991">
                    <w:rPr>
                      <w:color w:val="000000"/>
                      <w:sz w:val="22"/>
                      <w:szCs w:val="22"/>
                    </w:rPr>
                    <w:t>ácia</w:t>
                  </w:r>
                  <w:r w:rsidR="00471226" w:rsidRPr="00A83991">
                    <w:rPr>
                      <w:color w:val="000000"/>
                      <w:sz w:val="22"/>
                      <w:szCs w:val="22"/>
                    </w:rPr>
                    <w:t xml:space="preserve">, </w:t>
                  </w:r>
                  <w:r w:rsidRPr="00A83991">
                    <w:rPr>
                      <w:color w:val="000000"/>
                      <w:sz w:val="22"/>
                      <w:szCs w:val="22"/>
                    </w:rPr>
                    <w:t>striedanie nálady</w:t>
                  </w:r>
                  <w:r w:rsidR="00471226" w:rsidRPr="00A83991">
                    <w:rPr>
                      <w:color w:val="000000"/>
                      <w:sz w:val="22"/>
                      <w:szCs w:val="22"/>
                    </w:rPr>
                    <w:t>, depres</w:t>
                  </w:r>
                  <w:r w:rsidRPr="00A83991">
                    <w:rPr>
                      <w:color w:val="000000"/>
                      <w:sz w:val="22"/>
                      <w:szCs w:val="22"/>
                    </w:rPr>
                    <w:t>ívna nálada</w:t>
                  </w:r>
                  <w:r w:rsidR="00471226" w:rsidRPr="00A83991">
                    <w:rPr>
                      <w:color w:val="000000"/>
                      <w:sz w:val="22"/>
                      <w:szCs w:val="22"/>
                    </w:rPr>
                    <w:t>,</w:t>
                  </w:r>
                  <w:r w:rsidRPr="00A83991">
                    <w:rPr>
                      <w:color w:val="000000"/>
                      <w:sz w:val="22"/>
                      <w:szCs w:val="22"/>
                    </w:rPr>
                    <w:t xml:space="preserve"> hnev</w:t>
                  </w:r>
                  <w:r w:rsidR="00471226" w:rsidRPr="00A83991">
                    <w:rPr>
                      <w:color w:val="000000"/>
                      <w:sz w:val="22"/>
                      <w:szCs w:val="22"/>
                    </w:rPr>
                    <w:t xml:space="preserve">, </w:t>
                  </w:r>
                  <w:r w:rsidRPr="00A83991">
                    <w:rPr>
                      <w:color w:val="000000"/>
                      <w:sz w:val="22"/>
                      <w:szCs w:val="22"/>
                    </w:rPr>
                    <w:t>zmeny správania</w:t>
                  </w:r>
                  <w:r w:rsidR="00471226" w:rsidRPr="00A83991">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F11700" w:rsidP="000A307C">
                  <w:pPr>
                    <w:spacing w:before="100" w:beforeAutospacing="1" w:after="75"/>
                    <w:rPr>
                      <w:color w:val="000000"/>
                      <w:sz w:val="22"/>
                      <w:szCs w:val="22"/>
                    </w:rPr>
                  </w:pPr>
                  <w:r w:rsidRPr="00A83991">
                    <w:rPr>
                      <w:color w:val="000000"/>
                      <w:sz w:val="22"/>
                      <w:szCs w:val="22"/>
                    </w:rPr>
                    <w:t xml:space="preserve">samovražedné </w:t>
                  </w:r>
                  <w:r w:rsidR="003D546A" w:rsidRPr="00A83991">
                    <w:rPr>
                      <w:color w:val="000000"/>
                      <w:sz w:val="22"/>
                      <w:szCs w:val="22"/>
                    </w:rPr>
                    <w:t>myšlienky</w:t>
                  </w:r>
                  <w:r w:rsidR="00471226" w:rsidRPr="00A83991">
                    <w:rPr>
                      <w:color w:val="000000"/>
                      <w:sz w:val="22"/>
                      <w:szCs w:val="22"/>
                    </w:rPr>
                    <w:t xml:space="preserve">, </w:t>
                  </w:r>
                  <w:r w:rsidRPr="00A83991">
                    <w:rPr>
                      <w:color w:val="000000"/>
                      <w:sz w:val="22"/>
                      <w:szCs w:val="22"/>
                    </w:rPr>
                    <w:t>samovražedné pokysy</w:t>
                  </w:r>
                  <w:r w:rsidR="00471226" w:rsidRPr="00A83991">
                    <w:rPr>
                      <w:color w:val="000000"/>
                      <w:sz w:val="22"/>
                      <w:szCs w:val="22"/>
                    </w:rPr>
                    <w:t>, halucin</w:t>
                  </w:r>
                  <w:r w:rsidRPr="00A83991">
                    <w:rPr>
                      <w:color w:val="000000"/>
                      <w:sz w:val="22"/>
                      <w:szCs w:val="22"/>
                    </w:rPr>
                    <w:t>ácie</w:t>
                  </w:r>
                  <w:r w:rsidR="00471226" w:rsidRPr="00A83991">
                    <w:rPr>
                      <w:color w:val="000000"/>
                      <w:sz w:val="22"/>
                      <w:szCs w:val="22"/>
                    </w:rPr>
                    <w:t>, psychotic</w:t>
                  </w:r>
                  <w:r w:rsidRPr="00A83991">
                    <w:rPr>
                      <w:color w:val="000000"/>
                      <w:sz w:val="22"/>
                      <w:szCs w:val="22"/>
                    </w:rPr>
                    <w:t>ká porucha</w:t>
                  </w:r>
                  <w:r w:rsidR="00471226" w:rsidRPr="00A83991">
                    <w:rPr>
                      <w:color w:val="000000"/>
                      <w:sz w:val="22"/>
                      <w:szCs w:val="22"/>
                    </w:rPr>
                    <w:t xml:space="preserve">, </w:t>
                  </w:r>
                  <w:r w:rsidRPr="00A83991">
                    <w:rPr>
                      <w:color w:val="000000"/>
                      <w:sz w:val="22"/>
                      <w:szCs w:val="22"/>
                    </w:rPr>
                    <w:t>sluchové halucinácie</w:t>
                  </w:r>
                  <w:r w:rsidR="00471226" w:rsidRPr="00A83991">
                    <w:rPr>
                      <w:color w:val="000000"/>
                      <w:sz w:val="22"/>
                      <w:szCs w:val="22"/>
                    </w:rPr>
                    <w:t xml:space="preserve">, </w:t>
                  </w:r>
                  <w:r w:rsidRPr="00A83991">
                    <w:rPr>
                      <w:color w:val="000000"/>
                      <w:sz w:val="22"/>
                      <w:szCs w:val="22"/>
                    </w:rPr>
                    <w:t>vizuálne halucinácie</w:t>
                  </w:r>
                  <w:r w:rsidR="00471226" w:rsidRPr="00A83991">
                    <w:rPr>
                      <w:color w:val="000000"/>
                      <w:sz w:val="22"/>
                      <w:szCs w:val="22"/>
                    </w:rPr>
                    <w:t>, apat</w:t>
                  </w:r>
                  <w:r w:rsidRPr="00A83991">
                    <w:rPr>
                      <w:color w:val="000000"/>
                      <w:sz w:val="22"/>
                      <w:szCs w:val="22"/>
                    </w:rPr>
                    <w:t>ia</w:t>
                  </w:r>
                  <w:r w:rsidR="00471226" w:rsidRPr="00A83991">
                    <w:rPr>
                      <w:color w:val="000000"/>
                      <w:sz w:val="22"/>
                      <w:szCs w:val="22"/>
                    </w:rPr>
                    <w:t xml:space="preserve">, </w:t>
                  </w:r>
                  <w:r w:rsidRPr="00A83991">
                    <w:rPr>
                      <w:color w:val="000000"/>
                      <w:sz w:val="22"/>
                      <w:szCs w:val="22"/>
                    </w:rPr>
                    <w:t>nedostatok spontánneho rečového prejavu</w:t>
                  </w:r>
                  <w:r w:rsidR="00471226" w:rsidRPr="00A83991">
                    <w:rPr>
                      <w:color w:val="000000"/>
                      <w:sz w:val="22"/>
                      <w:szCs w:val="22"/>
                    </w:rPr>
                    <w:t xml:space="preserve">, </w:t>
                  </w:r>
                  <w:r w:rsidRPr="00A83991">
                    <w:rPr>
                      <w:color w:val="000000"/>
                      <w:sz w:val="22"/>
                      <w:szCs w:val="22"/>
                    </w:rPr>
                    <w:t>poruchy spánku</w:t>
                  </w:r>
                  <w:r w:rsidR="00471226" w:rsidRPr="00A83991">
                    <w:rPr>
                      <w:color w:val="000000"/>
                      <w:sz w:val="22"/>
                      <w:szCs w:val="22"/>
                    </w:rPr>
                    <w:t xml:space="preserve">, </w:t>
                  </w:r>
                  <w:r w:rsidR="00AC5966" w:rsidRPr="00A83991">
                    <w:rPr>
                      <w:color w:val="000000"/>
                      <w:sz w:val="22"/>
                      <w:szCs w:val="22"/>
                    </w:rPr>
                    <w:t>citová labilita</w:t>
                  </w:r>
                  <w:r w:rsidR="00471226" w:rsidRPr="00A83991">
                    <w:rPr>
                      <w:color w:val="000000"/>
                      <w:sz w:val="22"/>
                      <w:szCs w:val="22"/>
                    </w:rPr>
                    <w:t xml:space="preserve">, </w:t>
                  </w:r>
                  <w:r w:rsidR="00AC5966" w:rsidRPr="00A83991">
                    <w:rPr>
                      <w:color w:val="000000"/>
                      <w:sz w:val="22"/>
                      <w:szCs w:val="22"/>
                    </w:rPr>
                    <w:t xml:space="preserve">zníženie </w:t>
                  </w:r>
                  <w:r w:rsidR="009B6E63" w:rsidRPr="00A83991">
                    <w:rPr>
                      <w:color w:val="000000"/>
                      <w:sz w:val="22"/>
                      <w:szCs w:val="22"/>
                    </w:rPr>
                    <w:t>libida</w:t>
                  </w:r>
                  <w:r w:rsidR="00414A05" w:rsidRPr="00A83991">
                    <w:rPr>
                      <w:color w:val="000000"/>
                      <w:sz w:val="22"/>
                      <w:szCs w:val="22"/>
                    </w:rPr>
                    <w:t>,</w:t>
                  </w:r>
                  <w:r w:rsidR="00471226" w:rsidRPr="00A83991">
                    <w:rPr>
                      <w:color w:val="000000"/>
                      <w:sz w:val="22"/>
                      <w:szCs w:val="22"/>
                    </w:rPr>
                    <w:t xml:space="preserve"> </w:t>
                  </w:r>
                  <w:r w:rsidR="00414A05" w:rsidRPr="00A83991">
                    <w:rPr>
                      <w:color w:val="000000"/>
                      <w:sz w:val="22"/>
                      <w:szCs w:val="22"/>
                    </w:rPr>
                    <w:t>roztržitosť, plač</w:t>
                  </w:r>
                  <w:r w:rsidR="00471226" w:rsidRPr="00A83991">
                    <w:rPr>
                      <w:color w:val="000000"/>
                      <w:sz w:val="22"/>
                      <w:szCs w:val="22"/>
                    </w:rPr>
                    <w:t>, dys</w:t>
                  </w:r>
                  <w:r w:rsidR="00414A05" w:rsidRPr="00A83991">
                    <w:rPr>
                      <w:color w:val="000000"/>
                      <w:sz w:val="22"/>
                      <w:szCs w:val="22"/>
                    </w:rPr>
                    <w:t>fémia</w:t>
                  </w:r>
                  <w:r w:rsidR="00471226" w:rsidRPr="00A83991">
                    <w:rPr>
                      <w:color w:val="000000"/>
                      <w:sz w:val="22"/>
                      <w:szCs w:val="22"/>
                    </w:rPr>
                    <w:t>, eu</w:t>
                  </w:r>
                  <w:r w:rsidR="00C652B8" w:rsidRPr="00A83991">
                    <w:rPr>
                      <w:color w:val="000000"/>
                      <w:sz w:val="22"/>
                      <w:szCs w:val="22"/>
                    </w:rPr>
                    <w:t>forická nálada</w:t>
                  </w:r>
                  <w:r w:rsidR="00471226" w:rsidRPr="00A83991">
                    <w:rPr>
                      <w:color w:val="000000"/>
                      <w:sz w:val="22"/>
                      <w:szCs w:val="22"/>
                    </w:rPr>
                    <w:t>, parano</w:t>
                  </w:r>
                  <w:r w:rsidR="00C652B8" w:rsidRPr="00A83991">
                    <w:rPr>
                      <w:color w:val="000000"/>
                      <w:sz w:val="22"/>
                      <w:szCs w:val="22"/>
                    </w:rPr>
                    <w:t>ja</w:t>
                  </w:r>
                  <w:r w:rsidR="00471226" w:rsidRPr="00A83991">
                    <w:rPr>
                      <w:color w:val="000000"/>
                      <w:sz w:val="22"/>
                      <w:szCs w:val="22"/>
                    </w:rPr>
                    <w:t xml:space="preserve">, </w:t>
                  </w:r>
                  <w:r w:rsidR="00C652B8" w:rsidRPr="00A83991">
                    <w:rPr>
                      <w:color w:val="000000"/>
                      <w:sz w:val="22"/>
                      <w:szCs w:val="22"/>
                    </w:rPr>
                    <w:t>zanovitosť</w:t>
                  </w:r>
                  <w:r w:rsidR="00471226" w:rsidRPr="00A83991">
                    <w:rPr>
                      <w:color w:val="000000"/>
                      <w:sz w:val="22"/>
                      <w:szCs w:val="22"/>
                    </w:rPr>
                    <w:t xml:space="preserve">, </w:t>
                  </w:r>
                  <w:r w:rsidR="00C652B8" w:rsidRPr="00A83991">
                    <w:rPr>
                      <w:color w:val="000000"/>
                      <w:sz w:val="22"/>
                      <w:szCs w:val="22"/>
                    </w:rPr>
                    <w:t>záchvaty paniky</w:t>
                  </w:r>
                  <w:r w:rsidR="00471226" w:rsidRPr="00A83991">
                    <w:rPr>
                      <w:color w:val="000000"/>
                      <w:sz w:val="22"/>
                      <w:szCs w:val="22"/>
                    </w:rPr>
                    <w:t xml:space="preserve">, </w:t>
                  </w:r>
                  <w:r w:rsidR="00C652B8" w:rsidRPr="00A83991">
                    <w:rPr>
                      <w:color w:val="000000"/>
                      <w:sz w:val="22"/>
                      <w:szCs w:val="22"/>
                    </w:rPr>
                    <w:t>plačlivosť</w:t>
                  </w:r>
                  <w:r w:rsidR="00471226" w:rsidRPr="00A83991">
                    <w:rPr>
                      <w:color w:val="000000"/>
                      <w:sz w:val="22"/>
                      <w:szCs w:val="22"/>
                    </w:rPr>
                    <w:t xml:space="preserve">, </w:t>
                  </w:r>
                  <w:r w:rsidR="00C652B8" w:rsidRPr="00A83991">
                    <w:rPr>
                      <w:color w:val="000000"/>
                      <w:sz w:val="22"/>
                      <w:szCs w:val="22"/>
                    </w:rPr>
                    <w:t>poruchy čítania</w:t>
                  </w:r>
                  <w:r w:rsidR="00471226" w:rsidRPr="00A83991">
                    <w:rPr>
                      <w:color w:val="000000"/>
                      <w:sz w:val="22"/>
                      <w:szCs w:val="22"/>
                    </w:rPr>
                    <w:t xml:space="preserve">, </w:t>
                  </w:r>
                  <w:r w:rsidR="00C652B8" w:rsidRPr="00A83991">
                    <w:rPr>
                      <w:color w:val="000000"/>
                      <w:sz w:val="22"/>
                      <w:szCs w:val="22"/>
                    </w:rPr>
                    <w:t>začiatočná nespavosť</w:t>
                  </w:r>
                  <w:r w:rsidR="00471226" w:rsidRPr="00A83991">
                    <w:rPr>
                      <w:color w:val="000000"/>
                      <w:sz w:val="22"/>
                      <w:szCs w:val="22"/>
                    </w:rPr>
                    <w:t xml:space="preserve">, </w:t>
                  </w:r>
                  <w:r w:rsidR="00C652B8" w:rsidRPr="00A83991">
                    <w:rPr>
                      <w:color w:val="000000"/>
                      <w:sz w:val="22"/>
                      <w:szCs w:val="22"/>
                    </w:rPr>
                    <w:t>ľahostajnosť</w:t>
                  </w:r>
                  <w:r w:rsidR="00471226" w:rsidRPr="00A83991">
                    <w:rPr>
                      <w:color w:val="000000"/>
                      <w:sz w:val="22"/>
                      <w:szCs w:val="22"/>
                    </w:rPr>
                    <w:t xml:space="preserve">, </w:t>
                  </w:r>
                  <w:r w:rsidR="00C652B8" w:rsidRPr="00A83991">
                    <w:rPr>
                      <w:color w:val="000000"/>
                      <w:sz w:val="22"/>
                      <w:szCs w:val="22"/>
                    </w:rPr>
                    <w:t>abnormálne myslenie, strata libida</w:t>
                  </w:r>
                  <w:r w:rsidR="00471226" w:rsidRPr="00A83991">
                    <w:rPr>
                      <w:color w:val="000000"/>
                      <w:sz w:val="22"/>
                      <w:szCs w:val="22"/>
                    </w:rPr>
                    <w:t xml:space="preserve">, </w:t>
                  </w:r>
                  <w:r w:rsidR="00C652B8" w:rsidRPr="00A83991">
                    <w:rPr>
                      <w:color w:val="000000"/>
                      <w:sz w:val="22"/>
                      <w:szCs w:val="22"/>
                    </w:rPr>
                    <w:t>malátnosť</w:t>
                  </w:r>
                  <w:r w:rsidR="00471226" w:rsidRPr="00A83991">
                    <w:rPr>
                      <w:color w:val="000000"/>
                      <w:sz w:val="22"/>
                      <w:szCs w:val="22"/>
                    </w:rPr>
                    <w:t xml:space="preserve">, </w:t>
                  </w:r>
                  <w:r w:rsidR="00C652B8" w:rsidRPr="00A83991">
                    <w:rPr>
                      <w:color w:val="000000"/>
                      <w:sz w:val="22"/>
                      <w:szCs w:val="22"/>
                    </w:rPr>
                    <w:t>stredná nespavosť</w:t>
                  </w:r>
                  <w:r w:rsidR="00471226" w:rsidRPr="00A83991">
                    <w:rPr>
                      <w:color w:val="000000"/>
                      <w:sz w:val="22"/>
                      <w:szCs w:val="22"/>
                    </w:rPr>
                    <w:t xml:space="preserve">, </w:t>
                  </w:r>
                  <w:r w:rsidR="000A307C" w:rsidRPr="00A83991">
                    <w:rPr>
                      <w:color w:val="000000"/>
                      <w:sz w:val="22"/>
                      <w:szCs w:val="22"/>
                    </w:rPr>
                    <w:t>roztržitosť</w:t>
                  </w:r>
                  <w:r w:rsidR="00471226" w:rsidRPr="00A83991">
                    <w:rPr>
                      <w:color w:val="000000"/>
                      <w:sz w:val="22"/>
                      <w:szCs w:val="22"/>
                    </w:rPr>
                    <w:t>,</w:t>
                  </w:r>
                  <w:r w:rsidR="000A307C" w:rsidRPr="00A83991">
                    <w:rPr>
                      <w:color w:val="000000"/>
                      <w:sz w:val="22"/>
                      <w:szCs w:val="22"/>
                    </w:rPr>
                    <w:t xml:space="preserve"> včasné ranné prebúdzanie</w:t>
                  </w:r>
                  <w:r w:rsidR="00471226" w:rsidRPr="00A83991">
                    <w:rPr>
                      <w:color w:val="000000"/>
                      <w:sz w:val="22"/>
                      <w:szCs w:val="22"/>
                    </w:rPr>
                    <w:t xml:space="preserve">, </w:t>
                  </w:r>
                  <w:r w:rsidR="000A307C" w:rsidRPr="00A83991">
                    <w:rPr>
                      <w:color w:val="000000"/>
                      <w:sz w:val="22"/>
                      <w:szCs w:val="22"/>
                    </w:rPr>
                    <w:t>panická reakcia</w:t>
                  </w:r>
                  <w:r w:rsidR="00471226" w:rsidRPr="00A83991">
                    <w:rPr>
                      <w:color w:val="000000"/>
                      <w:sz w:val="22"/>
                      <w:szCs w:val="22"/>
                    </w:rPr>
                    <w:t xml:space="preserve">, </w:t>
                  </w:r>
                  <w:r w:rsidR="000A307C" w:rsidRPr="00A83991">
                    <w:rPr>
                      <w:color w:val="000000"/>
                      <w:sz w:val="22"/>
                      <w:szCs w:val="22"/>
                    </w:rPr>
                    <w:t>povznesená nálada</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BA1CB6" w:rsidP="00F11700">
                  <w:pPr>
                    <w:spacing w:before="100" w:beforeAutospacing="1" w:after="75"/>
                    <w:rPr>
                      <w:color w:val="000000"/>
                      <w:sz w:val="22"/>
                      <w:szCs w:val="22"/>
                    </w:rPr>
                  </w:pPr>
                  <w:r w:rsidRPr="00A83991">
                    <w:rPr>
                      <w:color w:val="000000"/>
                      <w:sz w:val="22"/>
                      <w:szCs w:val="22"/>
                    </w:rPr>
                    <w:t>má</w:t>
                  </w:r>
                  <w:r w:rsidR="00471226" w:rsidRPr="00A83991">
                    <w:rPr>
                      <w:color w:val="000000"/>
                      <w:sz w:val="22"/>
                      <w:szCs w:val="22"/>
                    </w:rPr>
                    <w:t>nia, panic</w:t>
                  </w:r>
                  <w:r w:rsidRPr="00A83991">
                    <w:rPr>
                      <w:color w:val="000000"/>
                      <w:sz w:val="22"/>
                      <w:szCs w:val="22"/>
                    </w:rPr>
                    <w:t>k</w:t>
                  </w:r>
                  <w:r w:rsidR="00F11700" w:rsidRPr="00A83991">
                    <w:rPr>
                      <w:color w:val="000000"/>
                      <w:sz w:val="22"/>
                      <w:szCs w:val="22"/>
                    </w:rPr>
                    <w:t>á</w:t>
                  </w:r>
                  <w:r w:rsidRPr="00A83991">
                    <w:rPr>
                      <w:color w:val="000000"/>
                      <w:sz w:val="22"/>
                      <w:szCs w:val="22"/>
                    </w:rPr>
                    <w:t xml:space="preserve"> porucha</w:t>
                  </w:r>
                  <w:r w:rsidR="00471226" w:rsidRPr="00A83991">
                    <w:rPr>
                      <w:color w:val="000000"/>
                      <w:sz w:val="22"/>
                      <w:szCs w:val="22"/>
                    </w:rPr>
                    <w:t xml:space="preserve">, </w:t>
                  </w:r>
                  <w:r w:rsidRPr="00A83991">
                    <w:rPr>
                      <w:color w:val="000000"/>
                      <w:sz w:val="22"/>
                      <w:szCs w:val="22"/>
                    </w:rPr>
                    <w:t>pocit zúfalstva</w:t>
                  </w:r>
                  <w:r w:rsidR="00471226" w:rsidRPr="00A83991">
                    <w:rPr>
                      <w:color w:val="000000"/>
                      <w:sz w:val="22"/>
                      <w:szCs w:val="22"/>
                    </w:rPr>
                    <w:t>*, hypom</w:t>
                  </w:r>
                  <w:r w:rsidR="00F11700" w:rsidRPr="00A83991">
                    <w:rPr>
                      <w:color w:val="000000"/>
                      <w:sz w:val="22"/>
                      <w:szCs w:val="22"/>
                    </w:rPr>
                    <w:t>á</w:t>
                  </w:r>
                  <w:r w:rsidR="00471226" w:rsidRPr="00A83991">
                    <w:rPr>
                      <w:color w:val="000000"/>
                      <w:sz w:val="22"/>
                      <w:szCs w:val="22"/>
                    </w:rPr>
                    <w:t xml:space="preserve">nia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0A307C" w:rsidP="000A307C">
                  <w:pPr>
                    <w:spacing w:before="100" w:beforeAutospacing="1" w:after="75"/>
                    <w:rPr>
                      <w:color w:val="000000"/>
                      <w:sz w:val="22"/>
                      <w:szCs w:val="22"/>
                    </w:rPr>
                  </w:pPr>
                  <w:r w:rsidRPr="00A83991">
                    <w:rPr>
                      <w:color w:val="000000"/>
                      <w:sz w:val="22"/>
                      <w:szCs w:val="22"/>
                    </w:rPr>
                    <w:lastRenderedPageBreak/>
                    <w:t>Poruchy nervového systému</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0A307C" w:rsidP="000A307C">
                  <w:pPr>
                    <w:spacing w:before="100" w:beforeAutospacing="1" w:after="75"/>
                    <w:rPr>
                      <w:color w:val="000000"/>
                      <w:sz w:val="22"/>
                      <w:szCs w:val="22"/>
                    </w:rPr>
                  </w:pPr>
                  <w:r w:rsidRPr="00A83991">
                    <w:rPr>
                      <w:color w:val="000000"/>
                      <w:sz w:val="22"/>
                      <w:szCs w:val="22"/>
                    </w:rPr>
                    <w:t>p</w:t>
                  </w:r>
                  <w:r w:rsidR="00471226" w:rsidRPr="00A83991">
                    <w:rPr>
                      <w:color w:val="000000"/>
                      <w:sz w:val="22"/>
                      <w:szCs w:val="22"/>
                    </w:rPr>
                    <w:t>arest</w:t>
                  </w:r>
                  <w:r w:rsidRPr="00A83991">
                    <w:rPr>
                      <w:color w:val="000000"/>
                      <w:sz w:val="22"/>
                      <w:szCs w:val="22"/>
                    </w:rPr>
                    <w:t>ézia</w:t>
                  </w:r>
                  <w:r w:rsidR="00471226" w:rsidRPr="00A83991">
                    <w:rPr>
                      <w:color w:val="000000"/>
                      <w:sz w:val="22"/>
                      <w:szCs w:val="22"/>
                    </w:rPr>
                    <w:t>, somnolenc</w:t>
                  </w:r>
                  <w:r w:rsidRPr="00A83991">
                    <w:rPr>
                      <w:color w:val="000000"/>
                      <w:sz w:val="22"/>
                      <w:szCs w:val="22"/>
                    </w:rPr>
                    <w:t>ia,</w:t>
                  </w:r>
                  <w:r w:rsidR="00471226" w:rsidRPr="00A83991">
                    <w:rPr>
                      <w:color w:val="000000"/>
                      <w:sz w:val="22"/>
                      <w:szCs w:val="22"/>
                    </w:rPr>
                    <w:t xml:space="preserve"> </w:t>
                  </w:r>
                  <w:r w:rsidRPr="00A83991">
                    <w:rPr>
                      <w:color w:val="000000"/>
                      <w:sz w:val="22"/>
                      <w:szCs w:val="22"/>
                    </w:rPr>
                    <w:t>závraty</w:t>
                  </w:r>
                  <w:r w:rsidR="00471226" w:rsidRPr="00A83991">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0A307C" w:rsidP="000A307C">
                  <w:pPr>
                    <w:spacing w:before="100" w:beforeAutospacing="1" w:after="75"/>
                    <w:rPr>
                      <w:color w:val="000000"/>
                      <w:sz w:val="22"/>
                      <w:szCs w:val="22"/>
                    </w:rPr>
                  </w:pPr>
                  <w:r w:rsidRPr="00A83991">
                    <w:rPr>
                      <w:color w:val="000000"/>
                      <w:sz w:val="22"/>
                      <w:szCs w:val="22"/>
                    </w:rPr>
                    <w:t>poruchy pozornosti</w:t>
                  </w:r>
                  <w:r w:rsidR="00471226" w:rsidRPr="00A83991">
                    <w:rPr>
                      <w:color w:val="000000"/>
                      <w:sz w:val="22"/>
                      <w:szCs w:val="22"/>
                    </w:rPr>
                    <w:t xml:space="preserve">, </w:t>
                  </w:r>
                  <w:r w:rsidRPr="00A83991">
                    <w:rPr>
                      <w:color w:val="000000"/>
                      <w:sz w:val="22"/>
                      <w:szCs w:val="22"/>
                    </w:rPr>
                    <w:t>poruchy pamäti</w:t>
                  </w:r>
                  <w:r w:rsidR="00471226" w:rsidRPr="00A83991">
                    <w:rPr>
                      <w:color w:val="000000"/>
                      <w:sz w:val="22"/>
                      <w:szCs w:val="22"/>
                    </w:rPr>
                    <w:t>, amn</w:t>
                  </w:r>
                  <w:r w:rsidRPr="00A83991">
                    <w:rPr>
                      <w:color w:val="000000"/>
                      <w:sz w:val="22"/>
                      <w:szCs w:val="22"/>
                    </w:rPr>
                    <w:t>ézia</w:t>
                  </w:r>
                  <w:r w:rsidR="00471226" w:rsidRPr="00A83991">
                    <w:rPr>
                      <w:color w:val="000000"/>
                      <w:sz w:val="22"/>
                      <w:szCs w:val="22"/>
                    </w:rPr>
                    <w:t xml:space="preserve">, </w:t>
                  </w:r>
                  <w:r w:rsidRPr="00A83991">
                    <w:rPr>
                      <w:color w:val="000000"/>
                      <w:sz w:val="22"/>
                      <w:szCs w:val="22"/>
                    </w:rPr>
                    <w:t>kognitívne poruchy</w:t>
                  </w:r>
                  <w:r w:rsidR="00471226" w:rsidRPr="00A83991">
                    <w:rPr>
                      <w:color w:val="000000"/>
                      <w:sz w:val="22"/>
                      <w:szCs w:val="22"/>
                    </w:rPr>
                    <w:t xml:space="preserve">, </w:t>
                  </w:r>
                  <w:r w:rsidRPr="00A83991">
                    <w:rPr>
                      <w:color w:val="000000"/>
                      <w:sz w:val="22"/>
                      <w:szCs w:val="22"/>
                    </w:rPr>
                    <w:t>mentálne poruchy</w:t>
                  </w:r>
                  <w:r w:rsidR="00471226" w:rsidRPr="00A83991">
                    <w:rPr>
                      <w:color w:val="000000"/>
                      <w:sz w:val="22"/>
                      <w:szCs w:val="22"/>
                    </w:rPr>
                    <w:t xml:space="preserve">, </w:t>
                  </w:r>
                  <w:r w:rsidRPr="00A83991">
                    <w:rPr>
                      <w:color w:val="000000"/>
                      <w:sz w:val="22"/>
                      <w:szCs w:val="22"/>
                    </w:rPr>
                    <w:t xml:space="preserve">poruchy </w:t>
                  </w:r>
                  <w:r w:rsidR="0024509D" w:rsidRPr="00A83991">
                    <w:rPr>
                      <w:color w:val="000000"/>
                      <w:sz w:val="22"/>
                      <w:szCs w:val="22"/>
                    </w:rPr>
                    <w:t>psychomoto-</w:t>
                  </w:r>
                  <w:r w:rsidRPr="00A83991">
                    <w:rPr>
                      <w:color w:val="000000"/>
                      <w:sz w:val="22"/>
                      <w:szCs w:val="22"/>
                    </w:rPr>
                    <w:t>ri</w:t>
                  </w:r>
                  <w:r w:rsidR="00637F7C" w:rsidRPr="00A83991">
                    <w:rPr>
                      <w:color w:val="000000"/>
                      <w:sz w:val="22"/>
                      <w:szCs w:val="22"/>
                    </w:rPr>
                    <w:t>c</w:t>
                  </w:r>
                  <w:r w:rsidRPr="00A83991">
                    <w:rPr>
                      <w:color w:val="000000"/>
                      <w:sz w:val="22"/>
                      <w:szCs w:val="22"/>
                    </w:rPr>
                    <w:t>kých zručností</w:t>
                  </w:r>
                  <w:r w:rsidR="00471226" w:rsidRPr="00A83991">
                    <w:rPr>
                      <w:color w:val="000000"/>
                      <w:sz w:val="22"/>
                      <w:szCs w:val="22"/>
                    </w:rPr>
                    <w:t xml:space="preserve">, </w:t>
                  </w:r>
                  <w:r w:rsidRPr="00A83991">
                    <w:rPr>
                      <w:color w:val="000000"/>
                      <w:sz w:val="22"/>
                      <w:szCs w:val="22"/>
                    </w:rPr>
                    <w:t>záchvat</w:t>
                  </w:r>
                  <w:r w:rsidR="00471226" w:rsidRPr="00A83991">
                    <w:rPr>
                      <w:color w:val="000000"/>
                      <w:sz w:val="22"/>
                      <w:szCs w:val="22"/>
                    </w:rPr>
                    <w:t xml:space="preserve">, </w:t>
                  </w:r>
                  <w:r w:rsidRPr="00A83991">
                    <w:rPr>
                      <w:color w:val="000000"/>
                      <w:sz w:val="22"/>
                      <w:szCs w:val="22"/>
                    </w:rPr>
                    <w:t>abnormálna koordinácia</w:t>
                  </w:r>
                  <w:r w:rsidR="00471226" w:rsidRPr="00A83991">
                    <w:rPr>
                      <w:color w:val="000000"/>
                      <w:sz w:val="22"/>
                      <w:szCs w:val="22"/>
                    </w:rPr>
                    <w:t>, tremor, letarg</w:t>
                  </w:r>
                  <w:r w:rsidRPr="00A83991">
                    <w:rPr>
                      <w:color w:val="000000"/>
                      <w:sz w:val="22"/>
                      <w:szCs w:val="22"/>
                    </w:rPr>
                    <w:t>ia</w:t>
                  </w:r>
                  <w:r w:rsidR="00471226" w:rsidRPr="00A83991">
                    <w:rPr>
                      <w:color w:val="000000"/>
                      <w:sz w:val="22"/>
                      <w:szCs w:val="22"/>
                    </w:rPr>
                    <w:t>, hypost</w:t>
                  </w:r>
                  <w:r w:rsidRPr="00A83991">
                    <w:rPr>
                      <w:color w:val="000000"/>
                      <w:sz w:val="22"/>
                      <w:szCs w:val="22"/>
                    </w:rPr>
                    <w:t>ézia</w:t>
                  </w:r>
                  <w:r w:rsidR="00471226" w:rsidRPr="00A83991">
                    <w:rPr>
                      <w:color w:val="000000"/>
                      <w:sz w:val="22"/>
                      <w:szCs w:val="22"/>
                    </w:rPr>
                    <w:t>, nystagmus, dysge</w:t>
                  </w:r>
                  <w:r w:rsidRPr="00A83991">
                    <w:rPr>
                      <w:color w:val="000000"/>
                      <w:sz w:val="22"/>
                      <w:szCs w:val="22"/>
                    </w:rPr>
                    <w:t>úzia</w:t>
                  </w:r>
                  <w:r w:rsidR="00471226" w:rsidRPr="00A83991">
                    <w:rPr>
                      <w:color w:val="000000"/>
                      <w:sz w:val="22"/>
                      <w:szCs w:val="22"/>
                    </w:rPr>
                    <w:t xml:space="preserve">, </w:t>
                  </w:r>
                  <w:r w:rsidRPr="00A83991">
                    <w:rPr>
                      <w:color w:val="000000"/>
                      <w:sz w:val="22"/>
                      <w:szCs w:val="22"/>
                    </w:rPr>
                    <w:t>poruchy rovnováhy</w:t>
                  </w:r>
                  <w:r w:rsidR="00471226" w:rsidRPr="00A83991">
                    <w:rPr>
                      <w:color w:val="000000"/>
                      <w:sz w:val="22"/>
                      <w:szCs w:val="22"/>
                    </w:rPr>
                    <w:t>, dysartria, inten</w:t>
                  </w:r>
                  <w:r w:rsidRPr="00A83991">
                    <w:rPr>
                      <w:color w:val="000000"/>
                      <w:sz w:val="22"/>
                      <w:szCs w:val="22"/>
                    </w:rPr>
                    <w:t xml:space="preserve">čný </w:t>
                  </w:r>
                  <w:r w:rsidR="00471226" w:rsidRPr="00A83991">
                    <w:rPr>
                      <w:color w:val="000000"/>
                      <w:sz w:val="22"/>
                      <w:szCs w:val="22"/>
                    </w:rPr>
                    <w:t>tremor, sed</w:t>
                  </w:r>
                  <w:r w:rsidRPr="00A83991">
                    <w:rPr>
                      <w:color w:val="000000"/>
                      <w:sz w:val="22"/>
                      <w:szCs w:val="22"/>
                    </w:rPr>
                    <w:t>ácia</w:t>
                  </w:r>
                  <w:r w:rsidR="00471226" w:rsidRPr="00A83991">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B0513D" w:rsidP="00A94381">
                  <w:pPr>
                    <w:spacing w:before="100" w:beforeAutospacing="1" w:after="75"/>
                    <w:rPr>
                      <w:color w:val="000000"/>
                      <w:sz w:val="22"/>
                      <w:szCs w:val="22"/>
                    </w:rPr>
                  </w:pPr>
                  <w:r w:rsidRPr="00A83991">
                    <w:rPr>
                      <w:color w:val="000000"/>
                      <w:sz w:val="22"/>
                      <w:szCs w:val="22"/>
                    </w:rPr>
                    <w:t>znížená úroveň vedomia</w:t>
                  </w:r>
                  <w:r w:rsidR="00471226" w:rsidRPr="00A83991">
                    <w:rPr>
                      <w:color w:val="000000"/>
                      <w:sz w:val="22"/>
                      <w:szCs w:val="22"/>
                    </w:rPr>
                    <w:t xml:space="preserve">, </w:t>
                  </w:r>
                  <w:r w:rsidRPr="00A83991">
                    <w:rPr>
                      <w:color w:val="000000"/>
                      <w:sz w:val="22"/>
                      <w:szCs w:val="22"/>
                    </w:rPr>
                    <w:t xml:space="preserve">konvulsie typu </w:t>
                  </w:r>
                  <w:r w:rsidR="00471226" w:rsidRPr="00A83991">
                    <w:rPr>
                      <w:color w:val="000000"/>
                      <w:sz w:val="22"/>
                      <w:szCs w:val="22"/>
                    </w:rPr>
                    <w:t xml:space="preserve">grand mal, </w:t>
                  </w:r>
                  <w:r w:rsidRPr="00A83991">
                    <w:rPr>
                      <w:color w:val="000000"/>
                      <w:sz w:val="22"/>
                      <w:szCs w:val="22"/>
                    </w:rPr>
                    <w:t>porucha zorného poľa</w:t>
                  </w:r>
                  <w:r w:rsidR="00471226" w:rsidRPr="00A83991">
                    <w:rPr>
                      <w:color w:val="000000"/>
                      <w:sz w:val="22"/>
                      <w:szCs w:val="22"/>
                    </w:rPr>
                    <w:t xml:space="preserve">, </w:t>
                  </w:r>
                  <w:r w:rsidRPr="00A83991">
                    <w:rPr>
                      <w:color w:val="000000"/>
                      <w:sz w:val="22"/>
                      <w:szCs w:val="22"/>
                    </w:rPr>
                    <w:t>komplexné parciálne záchvaty</w:t>
                  </w:r>
                  <w:r w:rsidR="00471226" w:rsidRPr="00A83991">
                    <w:rPr>
                      <w:color w:val="000000"/>
                      <w:sz w:val="22"/>
                      <w:szCs w:val="22"/>
                    </w:rPr>
                    <w:t>,</w:t>
                  </w:r>
                  <w:r w:rsidRPr="00A83991">
                    <w:rPr>
                      <w:color w:val="000000"/>
                      <w:sz w:val="22"/>
                      <w:szCs w:val="22"/>
                    </w:rPr>
                    <w:t xml:space="preserve"> poruchy reči</w:t>
                  </w:r>
                  <w:r w:rsidR="00471226" w:rsidRPr="00A83991">
                    <w:rPr>
                      <w:color w:val="000000"/>
                      <w:sz w:val="22"/>
                      <w:szCs w:val="22"/>
                    </w:rPr>
                    <w:t>, psychomotor</w:t>
                  </w:r>
                  <w:r w:rsidRPr="00A83991">
                    <w:rPr>
                      <w:color w:val="000000"/>
                      <w:sz w:val="22"/>
                      <w:szCs w:val="22"/>
                    </w:rPr>
                    <w:t>ická</w:t>
                  </w:r>
                  <w:r w:rsidR="00471226" w:rsidRPr="00A83991">
                    <w:rPr>
                      <w:color w:val="000000"/>
                      <w:sz w:val="22"/>
                      <w:szCs w:val="22"/>
                    </w:rPr>
                    <w:t xml:space="preserve"> hypera</w:t>
                  </w:r>
                  <w:r w:rsidRPr="00A83991">
                    <w:rPr>
                      <w:color w:val="000000"/>
                      <w:sz w:val="22"/>
                      <w:szCs w:val="22"/>
                    </w:rPr>
                    <w:t>k</w:t>
                  </w:r>
                  <w:r w:rsidR="00471226" w:rsidRPr="00A83991">
                    <w:rPr>
                      <w:color w:val="000000"/>
                      <w:sz w:val="22"/>
                      <w:szCs w:val="22"/>
                    </w:rPr>
                    <w:t>tivity, syn</w:t>
                  </w:r>
                  <w:r w:rsidRPr="00A83991">
                    <w:rPr>
                      <w:color w:val="000000"/>
                      <w:sz w:val="22"/>
                      <w:szCs w:val="22"/>
                    </w:rPr>
                    <w:t>kopa</w:t>
                  </w:r>
                  <w:r w:rsidR="00471226" w:rsidRPr="00A83991">
                    <w:rPr>
                      <w:color w:val="000000"/>
                      <w:sz w:val="22"/>
                      <w:szCs w:val="22"/>
                    </w:rPr>
                    <w:t xml:space="preserve">, </w:t>
                  </w:r>
                  <w:r w:rsidRPr="00A83991">
                    <w:rPr>
                      <w:color w:val="000000"/>
                      <w:sz w:val="22"/>
                      <w:szCs w:val="22"/>
                    </w:rPr>
                    <w:t>porucha zmyslového vnímania</w:t>
                  </w:r>
                  <w:r w:rsidR="00471226" w:rsidRPr="00A83991">
                    <w:rPr>
                      <w:color w:val="000000"/>
                      <w:sz w:val="22"/>
                      <w:szCs w:val="22"/>
                    </w:rPr>
                    <w:t xml:space="preserve">, </w:t>
                  </w:r>
                  <w:r w:rsidRPr="00A83991">
                    <w:rPr>
                      <w:color w:val="000000"/>
                      <w:sz w:val="22"/>
                      <w:szCs w:val="22"/>
                    </w:rPr>
                    <w:t>slinenie</w:t>
                  </w:r>
                  <w:r w:rsidR="00471226" w:rsidRPr="00A83991">
                    <w:rPr>
                      <w:color w:val="000000"/>
                      <w:sz w:val="22"/>
                      <w:szCs w:val="22"/>
                    </w:rPr>
                    <w:t>, hypersomnia, a</w:t>
                  </w:r>
                  <w:r w:rsidRPr="00A83991">
                    <w:rPr>
                      <w:color w:val="000000"/>
                      <w:sz w:val="22"/>
                      <w:szCs w:val="22"/>
                    </w:rPr>
                    <w:t>fázia</w:t>
                  </w:r>
                  <w:r w:rsidR="00471226" w:rsidRPr="00A83991">
                    <w:rPr>
                      <w:color w:val="000000"/>
                      <w:sz w:val="22"/>
                      <w:szCs w:val="22"/>
                    </w:rPr>
                    <w:t xml:space="preserve">, </w:t>
                  </w:r>
                  <w:r w:rsidRPr="00A83991">
                    <w:rPr>
                      <w:color w:val="000000"/>
                      <w:sz w:val="22"/>
                      <w:szCs w:val="22"/>
                    </w:rPr>
                    <w:t>opakujúca sa reč</w:t>
                  </w:r>
                  <w:r w:rsidR="00471226" w:rsidRPr="00A83991">
                    <w:rPr>
                      <w:color w:val="000000"/>
                      <w:sz w:val="22"/>
                      <w:szCs w:val="22"/>
                    </w:rPr>
                    <w:t>, hypokin</w:t>
                  </w:r>
                  <w:r w:rsidRPr="00A83991">
                    <w:rPr>
                      <w:color w:val="000000"/>
                      <w:sz w:val="22"/>
                      <w:szCs w:val="22"/>
                    </w:rPr>
                    <w:t>éza</w:t>
                  </w:r>
                  <w:r w:rsidR="00471226" w:rsidRPr="00A83991">
                    <w:rPr>
                      <w:color w:val="000000"/>
                      <w:sz w:val="22"/>
                      <w:szCs w:val="22"/>
                    </w:rPr>
                    <w:t>, dyskin</w:t>
                  </w:r>
                  <w:r w:rsidRPr="00A83991">
                    <w:rPr>
                      <w:color w:val="000000"/>
                      <w:sz w:val="22"/>
                      <w:szCs w:val="22"/>
                    </w:rPr>
                    <w:t>éza</w:t>
                  </w:r>
                  <w:r w:rsidR="00471226" w:rsidRPr="00A83991">
                    <w:rPr>
                      <w:color w:val="000000"/>
                      <w:sz w:val="22"/>
                      <w:szCs w:val="22"/>
                    </w:rPr>
                    <w:t>, postur</w:t>
                  </w:r>
                  <w:r w:rsidRPr="00A83991">
                    <w:rPr>
                      <w:color w:val="000000"/>
                      <w:sz w:val="22"/>
                      <w:szCs w:val="22"/>
                    </w:rPr>
                    <w:t>álne záchvaty</w:t>
                  </w:r>
                  <w:r w:rsidR="00471226" w:rsidRPr="00A83991">
                    <w:rPr>
                      <w:color w:val="000000"/>
                      <w:sz w:val="22"/>
                      <w:szCs w:val="22"/>
                    </w:rPr>
                    <w:t>,</w:t>
                  </w:r>
                  <w:r w:rsidRPr="00A83991">
                    <w:rPr>
                      <w:color w:val="000000"/>
                      <w:sz w:val="22"/>
                      <w:szCs w:val="22"/>
                    </w:rPr>
                    <w:t xml:space="preserve"> zlá kvalita spánku</w:t>
                  </w:r>
                  <w:r w:rsidR="00471226" w:rsidRPr="00A83991">
                    <w:rPr>
                      <w:color w:val="000000"/>
                      <w:sz w:val="22"/>
                      <w:szCs w:val="22"/>
                    </w:rPr>
                    <w:t xml:space="preserve">, </w:t>
                  </w:r>
                  <w:r w:rsidRPr="00A83991">
                    <w:rPr>
                      <w:color w:val="000000"/>
                      <w:sz w:val="22"/>
                      <w:szCs w:val="22"/>
                    </w:rPr>
                    <w:t>pocit pálenia</w:t>
                  </w:r>
                  <w:r w:rsidR="00471226" w:rsidRPr="00A83991">
                    <w:rPr>
                      <w:color w:val="000000"/>
                      <w:sz w:val="22"/>
                      <w:szCs w:val="22"/>
                    </w:rPr>
                    <w:t xml:space="preserve">, </w:t>
                  </w:r>
                  <w:r w:rsidRPr="00A83991">
                    <w:rPr>
                      <w:color w:val="000000"/>
                      <w:sz w:val="22"/>
                      <w:szCs w:val="22"/>
                    </w:rPr>
                    <w:t>strata zmyslového vnímania</w:t>
                  </w:r>
                  <w:r w:rsidR="00471226" w:rsidRPr="00A83991">
                    <w:rPr>
                      <w:color w:val="000000"/>
                      <w:sz w:val="22"/>
                      <w:szCs w:val="22"/>
                    </w:rPr>
                    <w:t>, parosmia, cereb</w:t>
                  </w:r>
                  <w:r w:rsidR="00A94381" w:rsidRPr="00A83991">
                    <w:rPr>
                      <w:color w:val="000000"/>
                      <w:sz w:val="22"/>
                      <w:szCs w:val="22"/>
                    </w:rPr>
                    <w:t xml:space="preserve">rálny </w:t>
                  </w:r>
                  <w:r w:rsidR="00471226" w:rsidRPr="00A83991">
                    <w:rPr>
                      <w:color w:val="000000"/>
                      <w:sz w:val="22"/>
                      <w:szCs w:val="22"/>
                    </w:rPr>
                    <w:t>syndr</w:t>
                  </w:r>
                  <w:r w:rsidR="00A94381" w:rsidRPr="00A83991">
                    <w:rPr>
                      <w:color w:val="000000"/>
                      <w:sz w:val="22"/>
                      <w:szCs w:val="22"/>
                    </w:rPr>
                    <w:t>óm</w:t>
                  </w:r>
                  <w:r w:rsidR="00471226" w:rsidRPr="00A83991">
                    <w:rPr>
                      <w:color w:val="000000"/>
                      <w:sz w:val="22"/>
                      <w:szCs w:val="22"/>
                    </w:rPr>
                    <w:t>, dysest</w:t>
                  </w:r>
                  <w:r w:rsidR="00A94381" w:rsidRPr="00A83991">
                    <w:rPr>
                      <w:color w:val="000000"/>
                      <w:sz w:val="22"/>
                      <w:szCs w:val="22"/>
                    </w:rPr>
                    <w:t>éz</w:t>
                  </w:r>
                  <w:r w:rsidR="00471226" w:rsidRPr="00A83991">
                    <w:rPr>
                      <w:color w:val="000000"/>
                      <w:sz w:val="22"/>
                      <w:szCs w:val="22"/>
                    </w:rPr>
                    <w:t>ia, hypoge</w:t>
                  </w:r>
                  <w:r w:rsidR="00A94381" w:rsidRPr="00A83991">
                    <w:rPr>
                      <w:color w:val="000000"/>
                      <w:sz w:val="22"/>
                      <w:szCs w:val="22"/>
                    </w:rPr>
                    <w:t>úzia</w:t>
                  </w:r>
                  <w:r w:rsidR="00471226" w:rsidRPr="00A83991">
                    <w:rPr>
                      <w:color w:val="000000"/>
                      <w:sz w:val="22"/>
                      <w:szCs w:val="22"/>
                    </w:rPr>
                    <w:t xml:space="preserve">, stupor, </w:t>
                  </w:r>
                  <w:r w:rsidR="00A94381" w:rsidRPr="00A83991">
                    <w:rPr>
                      <w:color w:val="000000"/>
                      <w:sz w:val="22"/>
                      <w:szCs w:val="22"/>
                    </w:rPr>
                    <w:t>nemotornosť</w:t>
                  </w:r>
                  <w:r w:rsidR="00471226" w:rsidRPr="00A83991">
                    <w:rPr>
                      <w:color w:val="000000"/>
                      <w:sz w:val="22"/>
                      <w:szCs w:val="22"/>
                    </w:rPr>
                    <w:t>, aura, age</w:t>
                  </w:r>
                  <w:r w:rsidR="00A94381" w:rsidRPr="00A83991">
                    <w:rPr>
                      <w:color w:val="000000"/>
                      <w:sz w:val="22"/>
                      <w:szCs w:val="22"/>
                    </w:rPr>
                    <w:t>úzia</w:t>
                  </w:r>
                  <w:r w:rsidR="00471226" w:rsidRPr="00A83991">
                    <w:rPr>
                      <w:color w:val="000000"/>
                      <w:sz w:val="22"/>
                      <w:szCs w:val="22"/>
                    </w:rPr>
                    <w:t>, dysgra</w:t>
                  </w:r>
                  <w:r w:rsidR="00A94381" w:rsidRPr="00A83991">
                    <w:rPr>
                      <w:color w:val="000000"/>
                      <w:sz w:val="22"/>
                      <w:szCs w:val="22"/>
                    </w:rPr>
                    <w:t>fia</w:t>
                  </w:r>
                  <w:r w:rsidR="00471226" w:rsidRPr="00A83991">
                    <w:rPr>
                      <w:color w:val="000000"/>
                      <w:sz w:val="22"/>
                      <w:szCs w:val="22"/>
                    </w:rPr>
                    <w:t>, dys</w:t>
                  </w:r>
                  <w:r w:rsidR="00A94381" w:rsidRPr="00A83991">
                    <w:rPr>
                      <w:color w:val="000000"/>
                      <w:sz w:val="22"/>
                      <w:szCs w:val="22"/>
                    </w:rPr>
                    <w:t>fáz</w:t>
                  </w:r>
                  <w:r w:rsidR="00471226" w:rsidRPr="00A83991">
                    <w:rPr>
                      <w:color w:val="000000"/>
                      <w:sz w:val="22"/>
                      <w:szCs w:val="22"/>
                    </w:rPr>
                    <w:t>ia, peri</w:t>
                  </w:r>
                  <w:r w:rsidR="00A94381" w:rsidRPr="00A83991">
                    <w:rPr>
                      <w:color w:val="000000"/>
                      <w:sz w:val="22"/>
                      <w:szCs w:val="22"/>
                    </w:rPr>
                    <w:t>férna neuropatia</w:t>
                  </w:r>
                  <w:r w:rsidR="00471226" w:rsidRPr="00A83991">
                    <w:rPr>
                      <w:color w:val="000000"/>
                      <w:sz w:val="22"/>
                      <w:szCs w:val="22"/>
                    </w:rPr>
                    <w:t>, presyn</w:t>
                  </w:r>
                  <w:r w:rsidR="00A94381" w:rsidRPr="00A83991">
                    <w:rPr>
                      <w:color w:val="000000"/>
                      <w:sz w:val="22"/>
                      <w:szCs w:val="22"/>
                    </w:rPr>
                    <w:t>k</w:t>
                  </w:r>
                  <w:r w:rsidR="00471226" w:rsidRPr="00A83991">
                    <w:rPr>
                      <w:color w:val="000000"/>
                      <w:sz w:val="22"/>
                      <w:szCs w:val="22"/>
                    </w:rPr>
                    <w:t>op</w:t>
                  </w:r>
                  <w:r w:rsidR="00A94381" w:rsidRPr="00A83991">
                    <w:rPr>
                      <w:color w:val="000000"/>
                      <w:sz w:val="22"/>
                      <w:szCs w:val="22"/>
                    </w:rPr>
                    <w:t>a</w:t>
                  </w:r>
                  <w:r w:rsidR="00471226" w:rsidRPr="00A83991">
                    <w:rPr>
                      <w:color w:val="000000"/>
                      <w:sz w:val="22"/>
                      <w:szCs w:val="22"/>
                    </w:rPr>
                    <w:t>, dyst</w:t>
                  </w:r>
                  <w:r w:rsidR="00A94381" w:rsidRPr="00A83991">
                    <w:rPr>
                      <w:color w:val="000000"/>
                      <w:sz w:val="22"/>
                      <w:szCs w:val="22"/>
                    </w:rPr>
                    <w:t>ónia, mravčenie</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0A307C" w:rsidP="00691F23">
                  <w:pPr>
                    <w:spacing w:before="100" w:beforeAutospacing="1" w:after="75"/>
                    <w:rPr>
                      <w:color w:val="000000"/>
                      <w:sz w:val="22"/>
                      <w:szCs w:val="22"/>
                    </w:rPr>
                  </w:pPr>
                  <w:r w:rsidRPr="00A83991">
                    <w:rPr>
                      <w:color w:val="000000"/>
                      <w:sz w:val="22"/>
                      <w:szCs w:val="22"/>
                    </w:rPr>
                    <w:t>a</w:t>
                  </w:r>
                  <w:r w:rsidR="00471226" w:rsidRPr="00A83991">
                    <w:rPr>
                      <w:color w:val="000000"/>
                      <w:sz w:val="22"/>
                      <w:szCs w:val="22"/>
                    </w:rPr>
                    <w:t xml:space="preserve">praxia, </w:t>
                  </w:r>
                  <w:r w:rsidRPr="00A83991">
                    <w:rPr>
                      <w:color w:val="000000"/>
                      <w:sz w:val="22"/>
                      <w:szCs w:val="22"/>
                    </w:rPr>
                    <w:t>každodenná porucha spánkového rytmu</w:t>
                  </w:r>
                  <w:r w:rsidR="00471226" w:rsidRPr="00A83991">
                    <w:rPr>
                      <w:color w:val="000000"/>
                      <w:sz w:val="22"/>
                      <w:szCs w:val="22"/>
                    </w:rPr>
                    <w:t>, hyperes</w:t>
                  </w:r>
                  <w:r w:rsidR="00B0513D" w:rsidRPr="00A83991">
                    <w:rPr>
                      <w:color w:val="000000"/>
                      <w:sz w:val="22"/>
                      <w:szCs w:val="22"/>
                    </w:rPr>
                    <w:t>tézia</w:t>
                  </w:r>
                  <w:r w:rsidR="00471226" w:rsidRPr="00A83991">
                    <w:rPr>
                      <w:color w:val="000000"/>
                      <w:sz w:val="22"/>
                      <w:szCs w:val="22"/>
                    </w:rPr>
                    <w:t>, hyposmia, anosmia, esen</w:t>
                  </w:r>
                  <w:r w:rsidR="00B0513D" w:rsidRPr="00A83991">
                    <w:rPr>
                      <w:color w:val="000000"/>
                      <w:sz w:val="22"/>
                      <w:szCs w:val="22"/>
                    </w:rPr>
                    <w:t>ciálny t</w:t>
                  </w:r>
                  <w:r w:rsidR="00471226" w:rsidRPr="00A83991">
                    <w:rPr>
                      <w:color w:val="000000"/>
                      <w:sz w:val="22"/>
                      <w:szCs w:val="22"/>
                    </w:rPr>
                    <w:t>remor, akin</w:t>
                  </w:r>
                  <w:r w:rsidR="00B0513D" w:rsidRPr="00A83991">
                    <w:rPr>
                      <w:color w:val="000000"/>
                      <w:sz w:val="22"/>
                      <w:szCs w:val="22"/>
                    </w:rPr>
                    <w:t>éza</w:t>
                  </w:r>
                  <w:r w:rsidR="00471226" w:rsidRPr="00A83991">
                    <w:rPr>
                      <w:color w:val="000000"/>
                      <w:sz w:val="22"/>
                      <w:szCs w:val="22"/>
                    </w:rPr>
                    <w:t xml:space="preserve">, </w:t>
                  </w:r>
                  <w:r w:rsidR="00B0513D" w:rsidRPr="00A83991">
                    <w:rPr>
                      <w:color w:val="000000"/>
                      <w:sz w:val="22"/>
                      <w:szCs w:val="22"/>
                    </w:rPr>
                    <w:t xml:space="preserve">nereagovanie na </w:t>
                  </w:r>
                  <w:r w:rsidR="00471226" w:rsidRPr="00A83991">
                    <w:rPr>
                      <w:color w:val="000000"/>
                      <w:sz w:val="22"/>
                      <w:szCs w:val="22"/>
                    </w:rPr>
                    <w:t>stimul</w:t>
                  </w:r>
                  <w:r w:rsidR="00B0513D" w:rsidRPr="00A83991">
                    <w:rPr>
                      <w:color w:val="000000"/>
                      <w:sz w:val="22"/>
                      <w:szCs w:val="22"/>
                    </w:rPr>
                    <w:t>y</w:t>
                  </w:r>
                  <w:r w:rsidR="00471226" w:rsidRPr="00A83991">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A94381" w:rsidP="00A94381">
                  <w:pPr>
                    <w:spacing w:before="100" w:beforeAutospacing="1" w:after="75"/>
                    <w:rPr>
                      <w:color w:val="000000"/>
                      <w:sz w:val="22"/>
                      <w:szCs w:val="22"/>
                    </w:rPr>
                  </w:pPr>
                  <w:r w:rsidRPr="00A83991">
                    <w:rPr>
                      <w:color w:val="000000"/>
                      <w:sz w:val="22"/>
                      <w:szCs w:val="22"/>
                    </w:rPr>
                    <w:t>Poruchy oka</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A94381" w:rsidP="00A94381">
                  <w:pPr>
                    <w:spacing w:before="100" w:beforeAutospacing="1" w:after="75"/>
                    <w:rPr>
                      <w:color w:val="000000"/>
                      <w:sz w:val="22"/>
                      <w:szCs w:val="22"/>
                      <w:lang w:val="pl-PL"/>
                    </w:rPr>
                  </w:pPr>
                  <w:r w:rsidRPr="00A83991">
                    <w:rPr>
                      <w:color w:val="000000"/>
                      <w:sz w:val="22"/>
                      <w:szCs w:val="22"/>
                      <w:lang w:val="pl-PL"/>
                    </w:rPr>
                    <w:t>rozmazané videnie</w:t>
                  </w:r>
                  <w:r w:rsidR="00471226" w:rsidRPr="00A83991">
                    <w:rPr>
                      <w:color w:val="000000"/>
                      <w:sz w:val="22"/>
                      <w:szCs w:val="22"/>
                      <w:lang w:val="pl-PL"/>
                    </w:rPr>
                    <w:t xml:space="preserve">, diplopia, </w:t>
                  </w:r>
                  <w:r w:rsidRPr="00A83991">
                    <w:rPr>
                      <w:color w:val="000000"/>
                      <w:sz w:val="22"/>
                      <w:szCs w:val="22"/>
                      <w:lang w:val="pl-PL"/>
                    </w:rPr>
                    <w:t>poruchy zraku</w:t>
                  </w:r>
                  <w:r w:rsidR="00471226" w:rsidRPr="00A83991">
                    <w:rPr>
                      <w:color w:val="000000"/>
                      <w:sz w:val="22"/>
                      <w:szCs w:val="22"/>
                      <w:lang w:val="pl-PL"/>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A94381" w:rsidP="001174EE">
                  <w:pPr>
                    <w:spacing w:before="100" w:beforeAutospacing="1" w:after="75"/>
                    <w:rPr>
                      <w:color w:val="000000"/>
                      <w:sz w:val="22"/>
                      <w:szCs w:val="22"/>
                      <w:lang w:val="pl-PL"/>
                    </w:rPr>
                  </w:pPr>
                  <w:r w:rsidRPr="00A83991">
                    <w:rPr>
                      <w:color w:val="000000"/>
                      <w:sz w:val="22"/>
                      <w:szCs w:val="22"/>
                      <w:lang w:val="pl-PL"/>
                    </w:rPr>
                    <w:t>znížená zraková ostrosť</w:t>
                  </w:r>
                  <w:r w:rsidR="00471226" w:rsidRPr="00A83991">
                    <w:rPr>
                      <w:color w:val="000000"/>
                      <w:sz w:val="22"/>
                      <w:szCs w:val="22"/>
                      <w:lang w:val="pl-PL"/>
                    </w:rPr>
                    <w:t>, s</w:t>
                  </w:r>
                  <w:r w:rsidRPr="00A83991">
                    <w:rPr>
                      <w:color w:val="000000"/>
                      <w:sz w:val="22"/>
                      <w:szCs w:val="22"/>
                      <w:lang w:val="pl-PL"/>
                    </w:rPr>
                    <w:t>k</w:t>
                  </w:r>
                  <w:r w:rsidR="00471226" w:rsidRPr="00A83991">
                    <w:rPr>
                      <w:color w:val="000000"/>
                      <w:sz w:val="22"/>
                      <w:szCs w:val="22"/>
                      <w:lang w:val="pl-PL"/>
                    </w:rPr>
                    <w:t>ot</w:t>
                  </w:r>
                  <w:r w:rsidRPr="00A83991">
                    <w:rPr>
                      <w:color w:val="000000"/>
                      <w:sz w:val="22"/>
                      <w:szCs w:val="22"/>
                      <w:lang w:val="pl-PL"/>
                    </w:rPr>
                    <w:t>ó</w:t>
                  </w:r>
                  <w:r w:rsidR="00471226" w:rsidRPr="00A83991">
                    <w:rPr>
                      <w:color w:val="000000"/>
                      <w:sz w:val="22"/>
                      <w:szCs w:val="22"/>
                      <w:lang w:val="pl-PL"/>
                    </w:rPr>
                    <w:t>m, myopia*, abnorm</w:t>
                  </w:r>
                  <w:r w:rsidR="001174EE" w:rsidRPr="00A83991">
                    <w:rPr>
                      <w:color w:val="000000"/>
                      <w:sz w:val="22"/>
                      <w:szCs w:val="22"/>
                      <w:lang w:val="pl-PL"/>
                    </w:rPr>
                    <w:t>á</w:t>
                  </w:r>
                  <w:r w:rsidR="00471226" w:rsidRPr="00A83991">
                    <w:rPr>
                      <w:color w:val="000000"/>
                      <w:sz w:val="22"/>
                      <w:szCs w:val="22"/>
                      <w:lang w:val="pl-PL"/>
                    </w:rPr>
                    <w:t>l</w:t>
                  </w:r>
                  <w:r w:rsidRPr="00A83991">
                    <w:rPr>
                      <w:color w:val="000000"/>
                      <w:sz w:val="22"/>
                      <w:szCs w:val="22"/>
                      <w:lang w:val="pl-PL"/>
                    </w:rPr>
                    <w:t>ny</w:t>
                  </w:r>
                  <w:r w:rsidR="00471226" w:rsidRPr="00A83991">
                    <w:rPr>
                      <w:color w:val="000000"/>
                      <w:sz w:val="22"/>
                      <w:szCs w:val="22"/>
                      <w:lang w:val="pl-PL"/>
                    </w:rPr>
                    <w:t xml:space="preserve"> </w:t>
                  </w:r>
                  <w:r w:rsidRPr="00A83991">
                    <w:rPr>
                      <w:color w:val="000000"/>
                      <w:sz w:val="22"/>
                      <w:szCs w:val="22"/>
                      <w:lang w:val="pl-PL"/>
                    </w:rPr>
                    <w:t>pocit v oku</w:t>
                  </w:r>
                  <w:r w:rsidR="00471226" w:rsidRPr="00A83991">
                    <w:rPr>
                      <w:color w:val="000000"/>
                      <w:sz w:val="22"/>
                      <w:szCs w:val="22"/>
                      <w:lang w:val="pl-PL"/>
                    </w:rPr>
                    <w:t xml:space="preserve">*, </w:t>
                  </w:r>
                  <w:r w:rsidRPr="00A83991">
                    <w:rPr>
                      <w:color w:val="000000"/>
                      <w:sz w:val="22"/>
                      <w:szCs w:val="22"/>
                      <w:lang w:val="pl-PL"/>
                    </w:rPr>
                    <w:t>suché oči</w:t>
                  </w:r>
                  <w:r w:rsidR="00471226" w:rsidRPr="00A83991">
                    <w:rPr>
                      <w:color w:val="000000"/>
                      <w:sz w:val="22"/>
                      <w:szCs w:val="22"/>
                      <w:lang w:val="pl-PL"/>
                    </w:rPr>
                    <w:t xml:space="preserve">, </w:t>
                  </w:r>
                  <w:r w:rsidRPr="00A83991">
                    <w:rPr>
                      <w:color w:val="000000"/>
                      <w:sz w:val="22"/>
                      <w:szCs w:val="22"/>
                      <w:lang w:val="pl-PL"/>
                    </w:rPr>
                    <w:t>f</w:t>
                  </w:r>
                  <w:r w:rsidR="00471226" w:rsidRPr="00A83991">
                    <w:rPr>
                      <w:color w:val="000000"/>
                      <w:sz w:val="22"/>
                      <w:szCs w:val="22"/>
                      <w:lang w:val="pl-PL"/>
                    </w:rPr>
                    <w:t>oto</w:t>
                  </w:r>
                  <w:r w:rsidRPr="00A83991">
                    <w:rPr>
                      <w:color w:val="000000"/>
                      <w:sz w:val="22"/>
                      <w:szCs w:val="22"/>
                      <w:lang w:val="pl-PL"/>
                    </w:rPr>
                    <w:t>fóbia</w:t>
                  </w:r>
                  <w:r w:rsidR="00471226" w:rsidRPr="00A83991">
                    <w:rPr>
                      <w:color w:val="000000"/>
                      <w:sz w:val="22"/>
                      <w:szCs w:val="22"/>
                      <w:lang w:val="pl-PL"/>
                    </w:rPr>
                    <w:t>, ble</w:t>
                  </w:r>
                  <w:r w:rsidRPr="00A83991">
                    <w:rPr>
                      <w:color w:val="000000"/>
                      <w:sz w:val="22"/>
                      <w:szCs w:val="22"/>
                      <w:lang w:val="pl-PL"/>
                    </w:rPr>
                    <w:t>f</w:t>
                  </w:r>
                  <w:r w:rsidR="00471226" w:rsidRPr="00A83991">
                    <w:rPr>
                      <w:color w:val="000000"/>
                      <w:sz w:val="22"/>
                      <w:szCs w:val="22"/>
                      <w:lang w:val="pl-PL"/>
                    </w:rPr>
                    <w:t>arospa</w:t>
                  </w:r>
                  <w:r w:rsidRPr="00A83991">
                    <w:rPr>
                      <w:color w:val="000000"/>
                      <w:sz w:val="22"/>
                      <w:szCs w:val="22"/>
                      <w:lang w:val="pl-PL"/>
                    </w:rPr>
                    <w:t>zmus,</w:t>
                  </w:r>
                  <w:r w:rsidR="00471226" w:rsidRPr="00A83991">
                    <w:rPr>
                      <w:color w:val="000000"/>
                      <w:sz w:val="22"/>
                      <w:szCs w:val="22"/>
                      <w:lang w:val="pl-PL"/>
                    </w:rPr>
                    <w:t xml:space="preserve"> </w:t>
                  </w:r>
                  <w:r w:rsidRPr="00A83991">
                    <w:rPr>
                      <w:color w:val="000000"/>
                      <w:sz w:val="22"/>
                      <w:szCs w:val="22"/>
                      <w:lang w:val="pl-PL"/>
                    </w:rPr>
                    <w:t>zvýšené slzenie</w:t>
                  </w:r>
                  <w:r w:rsidR="00471226" w:rsidRPr="00A83991">
                    <w:rPr>
                      <w:color w:val="000000"/>
                      <w:sz w:val="22"/>
                      <w:szCs w:val="22"/>
                      <w:lang w:val="pl-PL"/>
                    </w:rPr>
                    <w:t xml:space="preserve">, </w:t>
                  </w:r>
                  <w:r w:rsidRPr="00A83991">
                    <w:rPr>
                      <w:color w:val="000000"/>
                      <w:sz w:val="22"/>
                      <w:szCs w:val="22"/>
                      <w:lang w:val="pl-PL"/>
                    </w:rPr>
                    <w:t>f</w:t>
                  </w:r>
                  <w:r w:rsidR="00471226" w:rsidRPr="00A83991">
                    <w:rPr>
                      <w:color w:val="000000"/>
                      <w:sz w:val="22"/>
                      <w:szCs w:val="22"/>
                      <w:lang w:val="pl-PL"/>
                    </w:rPr>
                    <w:t>otopsia, mydri</w:t>
                  </w:r>
                  <w:r w:rsidRPr="00A83991">
                    <w:rPr>
                      <w:color w:val="000000"/>
                      <w:sz w:val="22"/>
                      <w:szCs w:val="22"/>
                      <w:lang w:val="pl-PL"/>
                    </w:rPr>
                    <w:t>áza</w:t>
                  </w:r>
                  <w:r w:rsidR="00471226" w:rsidRPr="00A83991">
                    <w:rPr>
                      <w:color w:val="000000"/>
                      <w:sz w:val="22"/>
                      <w:szCs w:val="22"/>
                      <w:lang w:val="pl-PL"/>
                    </w:rPr>
                    <w:t xml:space="preserve">, presbyopia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A94381" w:rsidP="00744780">
                  <w:pPr>
                    <w:spacing w:before="100" w:beforeAutospacing="1" w:after="75"/>
                    <w:rPr>
                      <w:color w:val="000000"/>
                      <w:sz w:val="22"/>
                      <w:szCs w:val="22"/>
                      <w:lang w:val="pl-PL"/>
                    </w:rPr>
                  </w:pPr>
                  <w:r w:rsidRPr="00A83991">
                    <w:rPr>
                      <w:color w:val="000000"/>
                      <w:sz w:val="22"/>
                      <w:szCs w:val="22"/>
                      <w:lang w:val="pl-PL"/>
                    </w:rPr>
                    <w:t>jednostranná slepota</w:t>
                  </w:r>
                  <w:r w:rsidR="00471226" w:rsidRPr="00A83991">
                    <w:rPr>
                      <w:color w:val="000000"/>
                      <w:sz w:val="22"/>
                      <w:szCs w:val="22"/>
                      <w:lang w:val="pl-PL"/>
                    </w:rPr>
                    <w:t xml:space="preserve">, </w:t>
                  </w:r>
                  <w:r w:rsidRPr="00A83991">
                    <w:rPr>
                      <w:color w:val="000000"/>
                      <w:sz w:val="22"/>
                      <w:szCs w:val="22"/>
                      <w:lang w:val="pl-PL"/>
                    </w:rPr>
                    <w:t>prechodná slepota</w:t>
                  </w:r>
                  <w:r w:rsidR="00471226" w:rsidRPr="00A83991">
                    <w:rPr>
                      <w:color w:val="000000"/>
                      <w:sz w:val="22"/>
                      <w:szCs w:val="22"/>
                      <w:lang w:val="pl-PL"/>
                    </w:rPr>
                    <w:t>, glau</w:t>
                  </w:r>
                  <w:r w:rsidRPr="00A83991">
                    <w:rPr>
                      <w:color w:val="000000"/>
                      <w:sz w:val="22"/>
                      <w:szCs w:val="22"/>
                      <w:lang w:val="pl-PL"/>
                    </w:rPr>
                    <w:t>kóm</w:t>
                  </w:r>
                  <w:r w:rsidR="00471226" w:rsidRPr="00A83991">
                    <w:rPr>
                      <w:color w:val="000000"/>
                      <w:sz w:val="22"/>
                      <w:szCs w:val="22"/>
                      <w:lang w:val="pl-PL"/>
                    </w:rPr>
                    <w:t xml:space="preserve">, </w:t>
                  </w:r>
                  <w:r w:rsidRPr="00A83991">
                    <w:rPr>
                      <w:color w:val="000000"/>
                      <w:sz w:val="22"/>
                      <w:szCs w:val="22"/>
                      <w:lang w:val="pl-PL"/>
                    </w:rPr>
                    <w:t>poruchy akomodácie</w:t>
                  </w:r>
                  <w:r w:rsidR="00471226" w:rsidRPr="00A83991">
                    <w:rPr>
                      <w:color w:val="000000"/>
                      <w:sz w:val="22"/>
                      <w:szCs w:val="22"/>
                      <w:lang w:val="pl-PL"/>
                    </w:rPr>
                    <w:t xml:space="preserve">, </w:t>
                  </w:r>
                  <w:r w:rsidR="00744780" w:rsidRPr="00A83991">
                    <w:rPr>
                      <w:color w:val="000000"/>
                      <w:sz w:val="22"/>
                      <w:szCs w:val="22"/>
                      <w:lang w:val="pl-PL"/>
                    </w:rPr>
                    <w:t>zmenené vizuálne vnímanie hĺbky</w:t>
                  </w:r>
                  <w:r w:rsidR="00471226" w:rsidRPr="00A83991">
                    <w:rPr>
                      <w:color w:val="000000"/>
                      <w:sz w:val="22"/>
                      <w:szCs w:val="22"/>
                      <w:lang w:val="pl-PL"/>
                    </w:rPr>
                    <w:t xml:space="preserve">, </w:t>
                  </w:r>
                  <w:r w:rsidR="00744780" w:rsidRPr="00A83991">
                    <w:rPr>
                      <w:color w:val="000000"/>
                      <w:sz w:val="22"/>
                      <w:szCs w:val="22"/>
                      <w:lang w:val="pl-PL"/>
                    </w:rPr>
                    <w:t>mihotavý skotóm</w:t>
                  </w:r>
                  <w:r w:rsidR="00471226" w:rsidRPr="00A83991">
                    <w:rPr>
                      <w:color w:val="000000"/>
                      <w:sz w:val="22"/>
                      <w:szCs w:val="22"/>
                      <w:lang w:val="pl-PL"/>
                    </w:rPr>
                    <w:t>,</w:t>
                  </w:r>
                  <w:r w:rsidR="00744780" w:rsidRPr="00A83991">
                    <w:rPr>
                      <w:color w:val="000000"/>
                      <w:sz w:val="22"/>
                      <w:szCs w:val="22"/>
                      <w:lang w:val="pl-PL"/>
                    </w:rPr>
                    <w:t xml:space="preserve"> opuch očného viečka</w:t>
                  </w:r>
                  <w:r w:rsidR="00471226" w:rsidRPr="00A83991">
                    <w:rPr>
                      <w:color w:val="000000"/>
                      <w:sz w:val="22"/>
                      <w:szCs w:val="22"/>
                      <w:lang w:val="pl-PL"/>
                    </w:rPr>
                    <w:t>*, n</w:t>
                  </w:r>
                  <w:r w:rsidR="00744780" w:rsidRPr="00A83991">
                    <w:rPr>
                      <w:color w:val="000000"/>
                      <w:sz w:val="22"/>
                      <w:szCs w:val="22"/>
                      <w:lang w:val="pl-PL"/>
                    </w:rPr>
                    <w:t>očná slepota</w:t>
                  </w:r>
                  <w:r w:rsidR="00471226" w:rsidRPr="00A83991">
                    <w:rPr>
                      <w:color w:val="000000"/>
                      <w:sz w:val="22"/>
                      <w:szCs w:val="22"/>
                      <w:lang w:val="pl-PL"/>
                    </w:rPr>
                    <w:t xml:space="preserve">, amblyopia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744780" w:rsidP="001174EE">
                  <w:pPr>
                    <w:spacing w:before="100" w:beforeAutospacing="1" w:after="75"/>
                    <w:rPr>
                      <w:color w:val="000000"/>
                      <w:sz w:val="22"/>
                      <w:szCs w:val="22"/>
                      <w:lang w:val="pl-PL"/>
                    </w:rPr>
                  </w:pPr>
                  <w:r w:rsidRPr="00A83991">
                    <w:rPr>
                      <w:color w:val="000000"/>
                      <w:sz w:val="22"/>
                      <w:szCs w:val="22"/>
                      <w:lang w:val="pl-PL"/>
                    </w:rPr>
                    <w:t>glaukóm s uzavretým uhlom</w:t>
                  </w:r>
                  <w:r w:rsidR="00471226" w:rsidRPr="00A83991">
                    <w:rPr>
                      <w:color w:val="000000"/>
                      <w:sz w:val="22"/>
                      <w:szCs w:val="22"/>
                      <w:lang w:val="pl-PL"/>
                    </w:rPr>
                    <w:t xml:space="preserve">*, </w:t>
                  </w:r>
                  <w:r w:rsidRPr="00A83991">
                    <w:rPr>
                      <w:color w:val="000000"/>
                      <w:sz w:val="22"/>
                      <w:szCs w:val="22"/>
                      <w:lang w:val="pl-PL"/>
                    </w:rPr>
                    <w:t>m</w:t>
                  </w:r>
                  <w:r w:rsidR="00471226" w:rsidRPr="00A83991">
                    <w:rPr>
                      <w:color w:val="000000"/>
                      <w:sz w:val="22"/>
                      <w:szCs w:val="22"/>
                      <w:lang w:val="pl-PL"/>
                    </w:rPr>
                    <w:t>a</w:t>
                  </w:r>
                  <w:r w:rsidRPr="00A83991">
                    <w:rPr>
                      <w:color w:val="000000"/>
                      <w:sz w:val="22"/>
                      <w:szCs w:val="22"/>
                      <w:lang w:val="pl-PL"/>
                    </w:rPr>
                    <w:t>k</w:t>
                  </w:r>
                  <w:r w:rsidR="00471226" w:rsidRPr="00A83991">
                    <w:rPr>
                      <w:color w:val="000000"/>
                      <w:sz w:val="22"/>
                      <w:szCs w:val="22"/>
                      <w:lang w:val="pl-PL"/>
                    </w:rPr>
                    <w:t>ulopat</w:t>
                  </w:r>
                  <w:r w:rsidRPr="00A83991">
                    <w:rPr>
                      <w:color w:val="000000"/>
                      <w:sz w:val="22"/>
                      <w:szCs w:val="22"/>
                      <w:lang w:val="pl-PL"/>
                    </w:rPr>
                    <w:t>ia</w:t>
                  </w:r>
                  <w:r w:rsidR="00471226" w:rsidRPr="00A83991">
                    <w:rPr>
                      <w:color w:val="000000"/>
                      <w:sz w:val="22"/>
                      <w:szCs w:val="22"/>
                      <w:lang w:val="pl-PL"/>
                    </w:rPr>
                    <w:t xml:space="preserve">*, </w:t>
                  </w:r>
                  <w:r w:rsidRPr="00A83991">
                    <w:rPr>
                      <w:color w:val="000000"/>
                      <w:sz w:val="22"/>
                      <w:szCs w:val="22"/>
                      <w:lang w:val="pl-PL"/>
                    </w:rPr>
                    <w:t>porucha pohyb</w:t>
                  </w:r>
                  <w:r w:rsidR="001174EE" w:rsidRPr="00A83991">
                    <w:rPr>
                      <w:color w:val="000000"/>
                      <w:sz w:val="22"/>
                      <w:szCs w:val="22"/>
                      <w:lang w:val="pl-PL"/>
                    </w:rPr>
                    <w:t>ov</w:t>
                  </w:r>
                  <w:r w:rsidRPr="00A83991">
                    <w:rPr>
                      <w:color w:val="000000"/>
                      <w:sz w:val="22"/>
                      <w:szCs w:val="22"/>
                      <w:lang w:val="pl-PL"/>
                    </w:rPr>
                    <w:t xml:space="preserve"> oka</w:t>
                  </w:r>
                  <w:r w:rsidR="00471226" w:rsidRPr="00A83991">
                    <w:rPr>
                      <w:color w:val="000000"/>
                      <w:sz w:val="22"/>
                      <w:szCs w:val="22"/>
                      <w:lang w:val="pl-PL"/>
                    </w:rPr>
                    <w:t xml:space="preserve">*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1174EE" w:rsidP="001174EE">
                  <w:pPr>
                    <w:spacing w:before="100" w:beforeAutospacing="1" w:after="75"/>
                    <w:rPr>
                      <w:color w:val="000000"/>
                      <w:sz w:val="22"/>
                      <w:szCs w:val="22"/>
                    </w:rPr>
                  </w:pPr>
                  <w:r w:rsidRPr="00A83991">
                    <w:rPr>
                      <w:color w:val="000000"/>
                      <w:sz w:val="22"/>
                      <w:szCs w:val="22"/>
                    </w:rPr>
                    <w:t>Poruchy ucha a labyrintu</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1174EE" w:rsidP="001174EE">
                  <w:pPr>
                    <w:spacing w:before="100" w:beforeAutospacing="1" w:after="75"/>
                    <w:rPr>
                      <w:color w:val="000000"/>
                      <w:sz w:val="22"/>
                      <w:szCs w:val="22"/>
                    </w:rPr>
                  </w:pPr>
                  <w:r w:rsidRPr="00A83991">
                    <w:rPr>
                      <w:color w:val="000000"/>
                      <w:sz w:val="22"/>
                      <w:szCs w:val="22"/>
                    </w:rPr>
                    <w:t>v</w:t>
                  </w:r>
                  <w:r w:rsidR="00471226" w:rsidRPr="00A83991">
                    <w:rPr>
                      <w:color w:val="000000"/>
                      <w:sz w:val="22"/>
                      <w:szCs w:val="22"/>
                    </w:rPr>
                    <w:t xml:space="preserve">ertigo, tinnitus, </w:t>
                  </w:r>
                  <w:r w:rsidRPr="00A83991">
                    <w:rPr>
                      <w:color w:val="000000"/>
                      <w:sz w:val="22"/>
                      <w:szCs w:val="22"/>
                    </w:rPr>
                    <w:t>bolesť ucha</w:t>
                  </w:r>
                  <w:r w:rsidR="00471226" w:rsidRPr="00A83991">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1174EE" w:rsidP="001174EE">
                  <w:pPr>
                    <w:spacing w:before="100" w:beforeAutospacing="1" w:after="75"/>
                    <w:rPr>
                      <w:color w:val="000000"/>
                      <w:sz w:val="22"/>
                      <w:szCs w:val="22"/>
                    </w:rPr>
                  </w:pPr>
                  <w:r w:rsidRPr="00A83991">
                    <w:rPr>
                      <w:color w:val="000000"/>
                      <w:sz w:val="22"/>
                      <w:szCs w:val="22"/>
                    </w:rPr>
                    <w:t>hluchota</w:t>
                  </w:r>
                  <w:r w:rsidR="00471226" w:rsidRPr="00A83991">
                    <w:rPr>
                      <w:color w:val="000000"/>
                      <w:sz w:val="22"/>
                      <w:szCs w:val="22"/>
                    </w:rPr>
                    <w:t xml:space="preserve">, </w:t>
                  </w:r>
                  <w:r w:rsidRPr="00A83991">
                    <w:rPr>
                      <w:color w:val="000000"/>
                      <w:sz w:val="22"/>
                      <w:szCs w:val="22"/>
                    </w:rPr>
                    <w:t>jednostranná hluchota</w:t>
                  </w:r>
                  <w:r w:rsidR="00471226" w:rsidRPr="00A83991">
                    <w:rPr>
                      <w:color w:val="000000"/>
                      <w:sz w:val="22"/>
                      <w:szCs w:val="22"/>
                    </w:rPr>
                    <w:t>,</w:t>
                  </w:r>
                  <w:r w:rsidRPr="00A83991">
                    <w:rPr>
                      <w:color w:val="000000"/>
                      <w:sz w:val="22"/>
                      <w:szCs w:val="22"/>
                    </w:rPr>
                    <w:t xml:space="preserve"> </w:t>
                  </w:r>
                  <w:r w:rsidR="00471226" w:rsidRPr="00A83991">
                    <w:rPr>
                      <w:color w:val="000000"/>
                      <w:sz w:val="22"/>
                      <w:szCs w:val="22"/>
                    </w:rPr>
                    <w:t>neurosen</w:t>
                  </w:r>
                  <w:r w:rsidRPr="00A83991">
                    <w:rPr>
                      <w:color w:val="000000"/>
                      <w:sz w:val="22"/>
                      <w:szCs w:val="22"/>
                    </w:rPr>
                    <w:t>zorická hluchota</w:t>
                  </w:r>
                  <w:r w:rsidR="00471226" w:rsidRPr="00A83991">
                    <w:rPr>
                      <w:color w:val="000000"/>
                      <w:sz w:val="22"/>
                      <w:szCs w:val="22"/>
                    </w:rPr>
                    <w:t>,</w:t>
                  </w:r>
                  <w:r w:rsidRPr="00A83991">
                    <w:rPr>
                      <w:color w:val="000000"/>
                      <w:sz w:val="22"/>
                      <w:szCs w:val="22"/>
                    </w:rPr>
                    <w:t xml:space="preserve"> ušný dyskomfort, porucha </w:t>
                  </w:r>
                  <w:r w:rsidRPr="00A83991">
                    <w:rPr>
                      <w:color w:val="000000"/>
                      <w:sz w:val="22"/>
                      <w:szCs w:val="22"/>
                    </w:rPr>
                    <w:lastRenderedPageBreak/>
                    <w:t>sluchu</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lastRenderedPageBreak/>
                    <w:t>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1174EE" w:rsidP="001174EE">
                  <w:pPr>
                    <w:spacing w:before="100" w:beforeAutospacing="1" w:after="75"/>
                    <w:rPr>
                      <w:color w:val="000000"/>
                      <w:sz w:val="22"/>
                      <w:szCs w:val="22"/>
                      <w:lang w:val="pl-PL"/>
                    </w:rPr>
                  </w:pPr>
                  <w:r w:rsidRPr="00A83991">
                    <w:rPr>
                      <w:color w:val="000000"/>
                      <w:sz w:val="22"/>
                      <w:szCs w:val="22"/>
                      <w:lang w:val="pl-PL"/>
                    </w:rPr>
                    <w:lastRenderedPageBreak/>
                    <w:t>Poruchy srdca a srdcovej činnosti</w:t>
                  </w:r>
                  <w:r w:rsidR="00471226" w:rsidRPr="00A83991">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pl-PL"/>
                    </w:rPr>
                  </w:pPr>
                  <w:r w:rsidRPr="00A83991">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pl-PL"/>
                    </w:rPr>
                  </w:pPr>
                  <w:r w:rsidRPr="00A83991">
                    <w:rPr>
                      <w:color w:val="000000"/>
                      <w:sz w:val="22"/>
                      <w:szCs w:val="22"/>
                      <w:lang w:val="pl-PL"/>
                    </w:rPr>
                    <w:t>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1174EE" w:rsidP="001174EE">
                  <w:pPr>
                    <w:spacing w:before="100" w:beforeAutospacing="1" w:after="75"/>
                    <w:rPr>
                      <w:color w:val="000000"/>
                      <w:sz w:val="22"/>
                      <w:szCs w:val="22"/>
                    </w:rPr>
                  </w:pPr>
                  <w:r w:rsidRPr="00A83991">
                    <w:rPr>
                      <w:color w:val="000000"/>
                      <w:sz w:val="22"/>
                      <w:szCs w:val="22"/>
                    </w:rPr>
                    <w:t>b</w:t>
                  </w:r>
                  <w:r w:rsidR="00471226" w:rsidRPr="00A83991">
                    <w:rPr>
                      <w:color w:val="000000"/>
                      <w:sz w:val="22"/>
                      <w:szCs w:val="22"/>
                    </w:rPr>
                    <w:t>rady</w:t>
                  </w:r>
                  <w:r w:rsidRPr="00A83991">
                    <w:rPr>
                      <w:color w:val="000000"/>
                      <w:sz w:val="22"/>
                      <w:szCs w:val="22"/>
                    </w:rPr>
                    <w:t>k</w:t>
                  </w:r>
                  <w:r w:rsidR="00471226" w:rsidRPr="00A83991">
                    <w:rPr>
                      <w:color w:val="000000"/>
                      <w:sz w:val="22"/>
                      <w:szCs w:val="22"/>
                    </w:rPr>
                    <w:t>ardia, s</w:t>
                  </w:r>
                  <w:r w:rsidRPr="00A83991">
                    <w:rPr>
                      <w:color w:val="000000"/>
                      <w:sz w:val="22"/>
                      <w:szCs w:val="22"/>
                    </w:rPr>
                    <w:t>í</w:t>
                  </w:r>
                  <w:r w:rsidR="00471226" w:rsidRPr="00A83991">
                    <w:rPr>
                      <w:color w:val="000000"/>
                      <w:sz w:val="22"/>
                      <w:szCs w:val="22"/>
                    </w:rPr>
                    <w:t>nus</w:t>
                  </w:r>
                  <w:r w:rsidRPr="00A83991">
                    <w:rPr>
                      <w:color w:val="000000"/>
                      <w:sz w:val="22"/>
                      <w:szCs w:val="22"/>
                    </w:rPr>
                    <w:t>ová bradykardia</w:t>
                  </w:r>
                  <w:r w:rsidR="00471226" w:rsidRPr="00A83991">
                    <w:rPr>
                      <w:color w:val="000000"/>
                      <w:sz w:val="22"/>
                      <w:szCs w:val="22"/>
                    </w:rPr>
                    <w:t>, palpit</w:t>
                  </w:r>
                  <w:r w:rsidRPr="00A83991">
                    <w:rPr>
                      <w:color w:val="000000"/>
                      <w:sz w:val="22"/>
                      <w:szCs w:val="22"/>
                    </w:rPr>
                    <w:t>ácie</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1758D1" w:rsidP="001758D1">
                  <w:pPr>
                    <w:spacing w:before="100" w:beforeAutospacing="1" w:after="75"/>
                    <w:rPr>
                      <w:color w:val="000000"/>
                      <w:sz w:val="22"/>
                      <w:szCs w:val="22"/>
                    </w:rPr>
                  </w:pPr>
                  <w:r w:rsidRPr="00A83991">
                    <w:rPr>
                      <w:color w:val="000000"/>
                      <w:sz w:val="22"/>
                      <w:szCs w:val="22"/>
                    </w:rPr>
                    <w:t>Poruchy ciev</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1758D1" w:rsidP="001758D1">
                  <w:pPr>
                    <w:spacing w:before="100" w:beforeAutospacing="1" w:after="75"/>
                    <w:rPr>
                      <w:color w:val="000000"/>
                      <w:sz w:val="22"/>
                      <w:szCs w:val="22"/>
                    </w:rPr>
                  </w:pPr>
                  <w:r w:rsidRPr="00A83991">
                    <w:rPr>
                      <w:color w:val="000000"/>
                      <w:sz w:val="22"/>
                      <w:szCs w:val="22"/>
                    </w:rPr>
                    <w:t>h</w:t>
                  </w:r>
                  <w:r w:rsidR="00471226" w:rsidRPr="00A83991">
                    <w:rPr>
                      <w:color w:val="000000"/>
                      <w:sz w:val="22"/>
                      <w:szCs w:val="22"/>
                    </w:rPr>
                    <w:t>ypoten</w:t>
                  </w:r>
                  <w:r w:rsidRPr="00A83991">
                    <w:rPr>
                      <w:color w:val="000000"/>
                      <w:sz w:val="22"/>
                      <w:szCs w:val="22"/>
                    </w:rPr>
                    <w:t>zia</w:t>
                  </w:r>
                  <w:r w:rsidR="00471226" w:rsidRPr="00A83991">
                    <w:rPr>
                      <w:color w:val="000000"/>
                      <w:sz w:val="22"/>
                      <w:szCs w:val="22"/>
                    </w:rPr>
                    <w:t>, ortostatic</w:t>
                  </w:r>
                  <w:r w:rsidRPr="00A83991">
                    <w:rPr>
                      <w:color w:val="000000"/>
                      <w:sz w:val="22"/>
                      <w:szCs w:val="22"/>
                    </w:rPr>
                    <w:t>ká hypotenzia</w:t>
                  </w:r>
                  <w:r w:rsidR="00471226" w:rsidRPr="00A83991">
                    <w:rPr>
                      <w:color w:val="000000"/>
                      <w:sz w:val="22"/>
                      <w:szCs w:val="22"/>
                    </w:rPr>
                    <w:t xml:space="preserve"> </w:t>
                  </w:r>
                  <w:r w:rsidRPr="00A83991">
                    <w:rPr>
                      <w:color w:val="000000"/>
                      <w:sz w:val="22"/>
                      <w:szCs w:val="22"/>
                    </w:rPr>
                    <w:t>sčervenanie, návaly horúčavy</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1758D1">
                  <w:pPr>
                    <w:spacing w:before="100" w:beforeAutospacing="1" w:after="75"/>
                    <w:rPr>
                      <w:color w:val="000000"/>
                      <w:sz w:val="22"/>
                      <w:szCs w:val="22"/>
                    </w:rPr>
                  </w:pPr>
                  <w:r w:rsidRPr="00A83991">
                    <w:rPr>
                      <w:color w:val="000000"/>
                      <w:sz w:val="22"/>
                      <w:szCs w:val="22"/>
                    </w:rPr>
                    <w:t>Rayn</w:t>
                  </w:r>
                  <w:r w:rsidR="001758D1" w:rsidRPr="00A83991">
                    <w:rPr>
                      <w:color w:val="000000"/>
                      <w:sz w:val="22"/>
                      <w:szCs w:val="22"/>
                    </w:rPr>
                    <w:t>audov fenomén</w:t>
                  </w:r>
                  <w:r w:rsidRPr="00A83991">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1758D1" w:rsidP="001758D1">
                  <w:pPr>
                    <w:spacing w:before="100" w:beforeAutospacing="1" w:after="75"/>
                    <w:rPr>
                      <w:color w:val="000000"/>
                      <w:sz w:val="22"/>
                      <w:szCs w:val="22"/>
                    </w:rPr>
                  </w:pPr>
                  <w:r w:rsidRPr="00A83991">
                    <w:rPr>
                      <w:color w:val="000000"/>
                      <w:sz w:val="22"/>
                      <w:szCs w:val="22"/>
                    </w:rPr>
                    <w:t>Poruchy dýchacej sústavy, hrudníka a mediastína</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1758D1" w:rsidP="001758D1">
                  <w:pPr>
                    <w:spacing w:before="100" w:beforeAutospacing="1" w:after="75"/>
                    <w:rPr>
                      <w:color w:val="000000"/>
                      <w:sz w:val="22"/>
                      <w:szCs w:val="22"/>
                      <w:lang w:val="es-ES_tradnl"/>
                    </w:rPr>
                  </w:pPr>
                  <w:r w:rsidRPr="00A83991">
                    <w:rPr>
                      <w:color w:val="000000"/>
                      <w:sz w:val="22"/>
                      <w:szCs w:val="22"/>
                      <w:lang w:val="es-ES_tradnl"/>
                    </w:rPr>
                    <w:t>d</w:t>
                  </w:r>
                  <w:r w:rsidR="00471226" w:rsidRPr="00A83991">
                    <w:rPr>
                      <w:color w:val="000000"/>
                      <w:sz w:val="22"/>
                      <w:szCs w:val="22"/>
                      <w:lang w:val="es-ES_tradnl"/>
                    </w:rPr>
                    <w:t>yspnoe, epistax</w:t>
                  </w:r>
                  <w:r w:rsidRPr="00A83991">
                    <w:rPr>
                      <w:color w:val="000000"/>
                      <w:sz w:val="22"/>
                      <w:szCs w:val="22"/>
                      <w:lang w:val="es-ES_tradnl"/>
                    </w:rPr>
                    <w:t>a</w:t>
                  </w:r>
                  <w:r w:rsidR="00471226" w:rsidRPr="00A83991">
                    <w:rPr>
                      <w:color w:val="000000"/>
                      <w:sz w:val="22"/>
                      <w:szCs w:val="22"/>
                      <w:lang w:val="es-ES_tradnl"/>
                    </w:rPr>
                    <w:t xml:space="preserve">, </w:t>
                  </w:r>
                  <w:r w:rsidRPr="00A83991">
                    <w:rPr>
                      <w:color w:val="000000"/>
                      <w:sz w:val="22"/>
                      <w:szCs w:val="22"/>
                      <w:lang w:val="es-ES_tradnl"/>
                    </w:rPr>
                    <w:t>upchanie nosa</w:t>
                  </w:r>
                  <w:r w:rsidR="00471226" w:rsidRPr="00A83991">
                    <w:rPr>
                      <w:color w:val="000000"/>
                      <w:sz w:val="22"/>
                      <w:szCs w:val="22"/>
                      <w:lang w:val="es-ES_tradnl"/>
                    </w:rPr>
                    <w:t>, rinor</w:t>
                  </w:r>
                  <w:r w:rsidRPr="00A83991">
                    <w:rPr>
                      <w:color w:val="000000"/>
                      <w:sz w:val="22"/>
                      <w:szCs w:val="22"/>
                      <w:lang w:val="es-ES_tradnl"/>
                    </w:rPr>
                    <w:t>ea</w:t>
                  </w:r>
                  <w:r w:rsidR="00471226" w:rsidRPr="00A83991">
                    <w:rPr>
                      <w:color w:val="000000"/>
                      <w:sz w:val="22"/>
                      <w:szCs w:val="22"/>
                      <w:lang w:val="es-ES_tradnl"/>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1758D1" w:rsidP="001758D1">
                  <w:pPr>
                    <w:spacing w:before="100" w:beforeAutospacing="1" w:after="75"/>
                    <w:rPr>
                      <w:color w:val="000000"/>
                      <w:sz w:val="22"/>
                      <w:szCs w:val="22"/>
                      <w:lang w:val="es-ES_tradnl"/>
                    </w:rPr>
                  </w:pPr>
                  <w:r w:rsidRPr="00A83991">
                    <w:rPr>
                      <w:color w:val="000000"/>
                      <w:sz w:val="22"/>
                      <w:szCs w:val="22"/>
                      <w:lang w:val="es-ES_tradnl"/>
                    </w:rPr>
                    <w:t>námahové d</w:t>
                  </w:r>
                  <w:r w:rsidR="00471226" w:rsidRPr="00A83991">
                    <w:rPr>
                      <w:color w:val="000000"/>
                      <w:sz w:val="22"/>
                      <w:szCs w:val="22"/>
                      <w:lang w:val="es-ES_tradnl"/>
                    </w:rPr>
                    <w:t xml:space="preserve">yspnoe, </w:t>
                  </w:r>
                  <w:r w:rsidRPr="00A83991">
                    <w:rPr>
                      <w:color w:val="000000"/>
                      <w:sz w:val="22"/>
                      <w:szCs w:val="22"/>
                      <w:lang w:val="es-ES_tradnl"/>
                    </w:rPr>
                    <w:t>hypersekrécia paranazálnych dutín</w:t>
                  </w:r>
                  <w:r w:rsidR="00471226" w:rsidRPr="00A83991">
                    <w:rPr>
                      <w:color w:val="000000"/>
                      <w:sz w:val="22"/>
                      <w:szCs w:val="22"/>
                      <w:lang w:val="es-ES_tradnl"/>
                    </w:rPr>
                    <w:t>, dys</w:t>
                  </w:r>
                  <w:r w:rsidRPr="00A83991">
                    <w:rPr>
                      <w:color w:val="000000"/>
                      <w:sz w:val="22"/>
                      <w:szCs w:val="22"/>
                      <w:lang w:val="es-ES_tradnl"/>
                    </w:rPr>
                    <w:t>fónia</w:t>
                  </w:r>
                  <w:r w:rsidR="00471226" w:rsidRPr="00A83991">
                    <w:rPr>
                      <w:color w:val="000000"/>
                      <w:sz w:val="22"/>
                      <w:szCs w:val="22"/>
                      <w:lang w:val="es-ES_tradnl"/>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es-ES_tradnl"/>
                    </w:rPr>
                  </w:pPr>
                  <w:r w:rsidRPr="00A83991">
                    <w:rPr>
                      <w:color w:val="000000"/>
                      <w:sz w:val="22"/>
                      <w:szCs w:val="22"/>
                      <w:lang w:val="es-ES_tradnl"/>
                    </w:rPr>
                    <w:t>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6E3505" w:rsidP="005C5D73">
                  <w:pPr>
                    <w:rPr>
                      <w:color w:val="000000"/>
                      <w:sz w:val="22"/>
                      <w:szCs w:val="22"/>
                      <w:lang w:val="es-ES_tradnl"/>
                    </w:rPr>
                  </w:pPr>
                  <w:r>
                    <w:rPr>
                      <w:color w:val="000000"/>
                      <w:sz w:val="22"/>
                      <w:szCs w:val="22"/>
                      <w:lang w:val="es-ES_tradnl"/>
                    </w:rPr>
                    <w:t>kašeľ</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1758D1" w:rsidP="001758D1">
                  <w:pPr>
                    <w:spacing w:before="100" w:beforeAutospacing="1" w:after="75"/>
                    <w:rPr>
                      <w:color w:val="000000"/>
                      <w:sz w:val="22"/>
                      <w:szCs w:val="22"/>
                    </w:rPr>
                  </w:pPr>
                  <w:r w:rsidRPr="00A83991">
                    <w:rPr>
                      <w:color w:val="000000"/>
                      <w:sz w:val="22"/>
                      <w:szCs w:val="22"/>
                    </w:rPr>
                    <w:t>Poruchy gastrointes</w:t>
                  </w:r>
                  <w:r w:rsidR="000E1BA9" w:rsidRPr="00A83991">
                    <w:rPr>
                      <w:color w:val="000000"/>
                      <w:sz w:val="22"/>
                      <w:szCs w:val="22"/>
                    </w:rPr>
                    <w:t>-</w:t>
                  </w:r>
                  <w:r w:rsidRPr="00A83991">
                    <w:rPr>
                      <w:color w:val="000000"/>
                      <w:sz w:val="22"/>
                      <w:szCs w:val="22"/>
                    </w:rPr>
                    <w:t>tinálneho traktu</w:t>
                  </w:r>
                  <w:r w:rsidR="00471226" w:rsidRPr="00A83991">
                    <w:rPr>
                      <w:color w:val="000000"/>
                      <w:sz w:val="22"/>
                      <w:szCs w:val="22"/>
                    </w:rPr>
                    <w:t xml:space="preserve"> disorders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1758D1" w:rsidP="001758D1">
                  <w:pPr>
                    <w:spacing w:before="100" w:beforeAutospacing="1" w:after="75"/>
                    <w:rPr>
                      <w:color w:val="000000"/>
                      <w:sz w:val="22"/>
                      <w:szCs w:val="22"/>
                    </w:rPr>
                  </w:pPr>
                  <w:r w:rsidRPr="00A83991">
                    <w:rPr>
                      <w:color w:val="000000"/>
                      <w:sz w:val="22"/>
                      <w:szCs w:val="22"/>
                    </w:rPr>
                    <w:t>n</w:t>
                  </w:r>
                  <w:r w:rsidR="00471226" w:rsidRPr="00A83991">
                    <w:rPr>
                      <w:color w:val="000000"/>
                      <w:sz w:val="22"/>
                      <w:szCs w:val="22"/>
                    </w:rPr>
                    <w:t>ausea,</w:t>
                  </w:r>
                  <w:r w:rsidRPr="00A83991">
                    <w:rPr>
                      <w:color w:val="000000"/>
                      <w:sz w:val="22"/>
                      <w:szCs w:val="22"/>
                    </w:rPr>
                    <w:t xml:space="preserve"> hnačka</w:t>
                  </w:r>
                  <w:r w:rsidR="00471226" w:rsidRPr="00A83991">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1758D1" w:rsidP="00D253B5">
                  <w:pPr>
                    <w:spacing w:before="100" w:beforeAutospacing="1" w:after="75"/>
                    <w:rPr>
                      <w:color w:val="000000"/>
                      <w:sz w:val="22"/>
                      <w:szCs w:val="22"/>
                    </w:rPr>
                  </w:pPr>
                  <w:r w:rsidRPr="00A83991">
                    <w:rPr>
                      <w:color w:val="000000"/>
                      <w:sz w:val="22"/>
                      <w:szCs w:val="22"/>
                    </w:rPr>
                    <w:t>vracanie</w:t>
                  </w:r>
                  <w:r w:rsidR="00471226" w:rsidRPr="00A83991">
                    <w:rPr>
                      <w:color w:val="000000"/>
                      <w:sz w:val="22"/>
                      <w:szCs w:val="22"/>
                    </w:rPr>
                    <w:t xml:space="preserve">, </w:t>
                  </w:r>
                  <w:r w:rsidRPr="00A83991">
                    <w:rPr>
                      <w:color w:val="000000"/>
                      <w:sz w:val="22"/>
                      <w:szCs w:val="22"/>
                    </w:rPr>
                    <w:t>zápcha</w:t>
                  </w:r>
                  <w:r w:rsidR="00471226" w:rsidRPr="00A83991">
                    <w:rPr>
                      <w:color w:val="000000"/>
                      <w:sz w:val="22"/>
                      <w:szCs w:val="22"/>
                    </w:rPr>
                    <w:t>,</w:t>
                  </w:r>
                  <w:r w:rsidRPr="00A83991">
                    <w:rPr>
                      <w:color w:val="000000"/>
                      <w:sz w:val="22"/>
                      <w:szCs w:val="22"/>
                    </w:rPr>
                    <w:t xml:space="preserve"> bolesť v hornej </w:t>
                  </w:r>
                  <w:r w:rsidR="00D253B5" w:rsidRPr="00A83991">
                    <w:rPr>
                      <w:color w:val="000000"/>
                      <w:sz w:val="22"/>
                      <w:szCs w:val="22"/>
                    </w:rPr>
                    <w:t>č</w:t>
                  </w:r>
                  <w:r w:rsidRPr="00A83991">
                    <w:rPr>
                      <w:color w:val="000000"/>
                      <w:sz w:val="22"/>
                      <w:szCs w:val="22"/>
                    </w:rPr>
                    <w:t>asti brucha</w:t>
                  </w:r>
                  <w:r w:rsidR="00471226" w:rsidRPr="00A83991">
                    <w:rPr>
                      <w:color w:val="000000"/>
                      <w:sz w:val="22"/>
                      <w:szCs w:val="22"/>
                    </w:rPr>
                    <w:t xml:space="preserve">, dyspepsia, </w:t>
                  </w:r>
                  <w:r w:rsidRPr="00A83991">
                    <w:rPr>
                      <w:color w:val="000000"/>
                      <w:sz w:val="22"/>
                      <w:szCs w:val="22"/>
                    </w:rPr>
                    <w:t>bolesť brucha</w:t>
                  </w:r>
                  <w:r w:rsidR="00471226" w:rsidRPr="00A83991">
                    <w:rPr>
                      <w:color w:val="000000"/>
                      <w:sz w:val="22"/>
                      <w:szCs w:val="22"/>
                    </w:rPr>
                    <w:t xml:space="preserve">, </w:t>
                  </w:r>
                  <w:r w:rsidR="00D253B5" w:rsidRPr="00A83991">
                    <w:rPr>
                      <w:color w:val="000000"/>
                      <w:sz w:val="22"/>
                      <w:szCs w:val="22"/>
                    </w:rPr>
                    <w:t>sucho v ústach</w:t>
                  </w:r>
                  <w:r w:rsidR="00471226" w:rsidRPr="00A83991">
                    <w:rPr>
                      <w:color w:val="000000"/>
                      <w:sz w:val="22"/>
                      <w:szCs w:val="22"/>
                    </w:rPr>
                    <w:t xml:space="preserve">, </w:t>
                  </w:r>
                  <w:r w:rsidR="00D253B5" w:rsidRPr="00A83991">
                    <w:rPr>
                      <w:color w:val="000000"/>
                      <w:sz w:val="22"/>
                      <w:szCs w:val="22"/>
                    </w:rPr>
                    <w:t>žalúdočný dyskomfort</w:t>
                  </w:r>
                  <w:r w:rsidR="00471226" w:rsidRPr="00A83991">
                    <w:rPr>
                      <w:color w:val="000000"/>
                      <w:sz w:val="22"/>
                      <w:szCs w:val="22"/>
                    </w:rPr>
                    <w:t xml:space="preserve">, </w:t>
                  </w:r>
                  <w:r w:rsidR="00D253B5" w:rsidRPr="00A83991">
                    <w:rPr>
                      <w:color w:val="000000"/>
                      <w:sz w:val="22"/>
                      <w:szCs w:val="22"/>
                    </w:rPr>
                    <w:t xml:space="preserve">orálna </w:t>
                  </w:r>
                  <w:r w:rsidR="00471226" w:rsidRPr="00A83991">
                    <w:rPr>
                      <w:color w:val="000000"/>
                      <w:sz w:val="22"/>
                      <w:szCs w:val="22"/>
                    </w:rPr>
                    <w:t>par</w:t>
                  </w:r>
                  <w:r w:rsidR="00D253B5" w:rsidRPr="00A83991">
                    <w:rPr>
                      <w:color w:val="000000"/>
                      <w:sz w:val="22"/>
                      <w:szCs w:val="22"/>
                    </w:rPr>
                    <w:t>estézia,</w:t>
                  </w:r>
                  <w:r w:rsidR="00471226" w:rsidRPr="00A83991">
                    <w:rPr>
                      <w:color w:val="000000"/>
                      <w:sz w:val="22"/>
                      <w:szCs w:val="22"/>
                    </w:rPr>
                    <w:t xml:space="preserve"> gastrit</w:t>
                  </w:r>
                  <w:r w:rsidR="00D253B5" w:rsidRPr="00A83991">
                    <w:rPr>
                      <w:color w:val="000000"/>
                      <w:sz w:val="22"/>
                      <w:szCs w:val="22"/>
                    </w:rPr>
                    <w:t>ída</w:t>
                  </w:r>
                  <w:r w:rsidR="00471226" w:rsidRPr="00A83991">
                    <w:rPr>
                      <w:color w:val="000000"/>
                      <w:sz w:val="22"/>
                      <w:szCs w:val="22"/>
                    </w:rPr>
                    <w:t xml:space="preserve">, </w:t>
                  </w:r>
                  <w:r w:rsidR="00D253B5" w:rsidRPr="00A83991">
                    <w:rPr>
                      <w:color w:val="000000"/>
                      <w:sz w:val="22"/>
                      <w:szCs w:val="22"/>
                    </w:rPr>
                    <w:t xml:space="preserve">abdominálny dyskomfort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D253B5" w:rsidP="004D2F69">
                  <w:pPr>
                    <w:spacing w:before="100" w:beforeAutospacing="1" w:after="75"/>
                    <w:rPr>
                      <w:color w:val="000000"/>
                      <w:sz w:val="22"/>
                      <w:szCs w:val="22"/>
                    </w:rPr>
                  </w:pPr>
                  <w:r w:rsidRPr="00A83991">
                    <w:rPr>
                      <w:color w:val="000000"/>
                      <w:sz w:val="22"/>
                      <w:szCs w:val="22"/>
                    </w:rPr>
                    <w:t>p</w:t>
                  </w:r>
                  <w:r w:rsidR="00471226" w:rsidRPr="00A83991">
                    <w:rPr>
                      <w:color w:val="000000"/>
                      <w:sz w:val="22"/>
                      <w:szCs w:val="22"/>
                    </w:rPr>
                    <w:t>an</w:t>
                  </w:r>
                  <w:r w:rsidRPr="00A83991">
                    <w:rPr>
                      <w:color w:val="000000"/>
                      <w:sz w:val="22"/>
                      <w:szCs w:val="22"/>
                    </w:rPr>
                    <w:t>k</w:t>
                  </w:r>
                  <w:r w:rsidR="00471226" w:rsidRPr="00A83991">
                    <w:rPr>
                      <w:color w:val="000000"/>
                      <w:sz w:val="22"/>
                      <w:szCs w:val="22"/>
                    </w:rPr>
                    <w:t>reatit</w:t>
                  </w:r>
                  <w:r w:rsidRPr="00A83991">
                    <w:rPr>
                      <w:color w:val="000000"/>
                      <w:sz w:val="22"/>
                      <w:szCs w:val="22"/>
                    </w:rPr>
                    <w:t>ída</w:t>
                  </w:r>
                  <w:r w:rsidR="00471226" w:rsidRPr="00A83991">
                    <w:rPr>
                      <w:color w:val="000000"/>
                      <w:sz w:val="22"/>
                      <w:szCs w:val="22"/>
                    </w:rPr>
                    <w:t>, flatulenc</w:t>
                  </w:r>
                  <w:r w:rsidRPr="00A83991">
                    <w:rPr>
                      <w:color w:val="000000"/>
                      <w:sz w:val="22"/>
                      <w:szCs w:val="22"/>
                    </w:rPr>
                    <w:t>ia</w:t>
                  </w:r>
                  <w:r w:rsidR="00471226" w:rsidRPr="00A83991">
                    <w:rPr>
                      <w:color w:val="000000"/>
                      <w:sz w:val="22"/>
                      <w:szCs w:val="22"/>
                    </w:rPr>
                    <w:t>, gastro</w:t>
                  </w:r>
                  <w:r w:rsidRPr="00A83991">
                    <w:rPr>
                      <w:color w:val="000000"/>
                      <w:sz w:val="22"/>
                      <w:szCs w:val="22"/>
                    </w:rPr>
                    <w:t>ezofageálny</w:t>
                  </w:r>
                  <w:r w:rsidR="00471226" w:rsidRPr="00A83991">
                    <w:rPr>
                      <w:color w:val="000000"/>
                      <w:sz w:val="22"/>
                      <w:szCs w:val="22"/>
                    </w:rPr>
                    <w:t xml:space="preserve"> reflux,</w:t>
                  </w:r>
                  <w:r w:rsidRPr="00A83991">
                    <w:rPr>
                      <w:color w:val="000000"/>
                      <w:sz w:val="22"/>
                      <w:szCs w:val="22"/>
                    </w:rPr>
                    <w:t xml:space="preserve"> bolesť v dolnej časti brucha</w:t>
                  </w:r>
                  <w:r w:rsidR="00471226" w:rsidRPr="00A83991">
                    <w:rPr>
                      <w:color w:val="000000"/>
                      <w:sz w:val="22"/>
                      <w:szCs w:val="22"/>
                    </w:rPr>
                    <w:t xml:space="preserve">, </w:t>
                  </w:r>
                  <w:r w:rsidRPr="00A83991">
                    <w:rPr>
                      <w:color w:val="000000"/>
                      <w:sz w:val="22"/>
                      <w:szCs w:val="22"/>
                    </w:rPr>
                    <w:t xml:space="preserve">orálna </w:t>
                  </w:r>
                  <w:r w:rsidR="00471226" w:rsidRPr="00A83991">
                    <w:rPr>
                      <w:color w:val="000000"/>
                      <w:sz w:val="22"/>
                      <w:szCs w:val="22"/>
                    </w:rPr>
                    <w:t>hypest</w:t>
                  </w:r>
                  <w:r w:rsidRPr="00A83991">
                    <w:rPr>
                      <w:color w:val="000000"/>
                      <w:sz w:val="22"/>
                      <w:szCs w:val="22"/>
                    </w:rPr>
                    <w:t>ézia</w:t>
                  </w:r>
                  <w:r w:rsidR="00471226" w:rsidRPr="00A83991">
                    <w:rPr>
                      <w:color w:val="000000"/>
                      <w:sz w:val="22"/>
                      <w:szCs w:val="22"/>
                    </w:rPr>
                    <w:t xml:space="preserve">, </w:t>
                  </w:r>
                  <w:r w:rsidRPr="00A83991">
                    <w:rPr>
                      <w:color w:val="000000"/>
                      <w:sz w:val="22"/>
                      <w:szCs w:val="22"/>
                    </w:rPr>
                    <w:t>krvácanie ďasien</w:t>
                  </w:r>
                  <w:r w:rsidR="00471226" w:rsidRPr="00A83991">
                    <w:rPr>
                      <w:color w:val="000000"/>
                      <w:sz w:val="22"/>
                      <w:szCs w:val="22"/>
                    </w:rPr>
                    <w:t>, abdominal</w:t>
                  </w:r>
                  <w:r w:rsidRPr="00A83991">
                    <w:rPr>
                      <w:color w:val="000000"/>
                      <w:sz w:val="22"/>
                      <w:szCs w:val="22"/>
                    </w:rPr>
                    <w:t>na distenzia</w:t>
                  </w:r>
                  <w:r w:rsidR="00471226" w:rsidRPr="00A83991">
                    <w:rPr>
                      <w:color w:val="000000"/>
                      <w:sz w:val="22"/>
                      <w:szCs w:val="22"/>
                    </w:rPr>
                    <w:t>, epigastric</w:t>
                  </w:r>
                  <w:r w:rsidRPr="00A83991">
                    <w:rPr>
                      <w:color w:val="000000"/>
                      <w:sz w:val="22"/>
                      <w:szCs w:val="22"/>
                    </w:rPr>
                    <w:t>ký dyskomfort</w:t>
                  </w:r>
                  <w:r w:rsidR="00471226" w:rsidRPr="00A83991">
                    <w:rPr>
                      <w:color w:val="000000"/>
                      <w:sz w:val="22"/>
                      <w:szCs w:val="22"/>
                    </w:rPr>
                    <w:t>,</w:t>
                  </w:r>
                  <w:r w:rsidRPr="00A83991">
                    <w:rPr>
                      <w:color w:val="000000"/>
                      <w:sz w:val="22"/>
                      <w:szCs w:val="22"/>
                    </w:rPr>
                    <w:t xml:space="preserve"> citlivosť brucha</w:t>
                  </w:r>
                  <w:r w:rsidR="00471226" w:rsidRPr="00A83991">
                    <w:rPr>
                      <w:color w:val="000000"/>
                      <w:sz w:val="22"/>
                      <w:szCs w:val="22"/>
                    </w:rPr>
                    <w:t>, hyperse</w:t>
                  </w:r>
                  <w:r w:rsidR="004D2F69" w:rsidRPr="00A83991">
                    <w:rPr>
                      <w:color w:val="000000"/>
                      <w:sz w:val="22"/>
                      <w:szCs w:val="22"/>
                    </w:rPr>
                    <w:t>krécia slín</w:t>
                  </w:r>
                  <w:r w:rsidR="00471226" w:rsidRPr="00A83991">
                    <w:rPr>
                      <w:color w:val="000000"/>
                      <w:sz w:val="22"/>
                      <w:szCs w:val="22"/>
                    </w:rPr>
                    <w:t xml:space="preserve">, </w:t>
                  </w:r>
                  <w:r w:rsidR="004D2F69" w:rsidRPr="00A83991">
                    <w:rPr>
                      <w:color w:val="000000"/>
                      <w:sz w:val="22"/>
                      <w:szCs w:val="22"/>
                    </w:rPr>
                    <w:t>bolesť v ústach</w:t>
                  </w:r>
                  <w:r w:rsidR="00471226" w:rsidRPr="00A83991">
                    <w:rPr>
                      <w:color w:val="000000"/>
                      <w:sz w:val="22"/>
                      <w:szCs w:val="22"/>
                    </w:rPr>
                    <w:t xml:space="preserve">, </w:t>
                  </w:r>
                  <w:r w:rsidR="004D2F69" w:rsidRPr="00A83991">
                    <w:rPr>
                      <w:color w:val="000000"/>
                      <w:sz w:val="22"/>
                      <w:szCs w:val="22"/>
                    </w:rPr>
                    <w:t>zapáchajúci dych</w:t>
                  </w:r>
                  <w:r w:rsidR="00471226" w:rsidRPr="00A83991">
                    <w:rPr>
                      <w:color w:val="000000"/>
                      <w:sz w:val="22"/>
                      <w:szCs w:val="22"/>
                    </w:rPr>
                    <w:t>, glosod</w:t>
                  </w:r>
                  <w:r w:rsidR="004D2F69" w:rsidRPr="00A83991">
                    <w:rPr>
                      <w:color w:val="000000"/>
                      <w:sz w:val="22"/>
                      <w:szCs w:val="22"/>
                    </w:rPr>
                    <w:t>ý</w:t>
                  </w:r>
                  <w:r w:rsidR="00471226" w:rsidRPr="00A83991">
                    <w:rPr>
                      <w:color w:val="000000"/>
                      <w:sz w:val="22"/>
                      <w:szCs w:val="22"/>
                    </w:rPr>
                    <w:t xml:space="preserve">nia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4D2F69" w:rsidP="004D2F69">
                  <w:pPr>
                    <w:spacing w:before="100" w:beforeAutospacing="1" w:after="75"/>
                    <w:rPr>
                      <w:color w:val="000000"/>
                      <w:sz w:val="22"/>
                      <w:szCs w:val="22"/>
                      <w:lang w:val="pl-PL"/>
                    </w:rPr>
                  </w:pPr>
                  <w:r w:rsidRPr="00A83991">
                    <w:rPr>
                      <w:color w:val="000000"/>
                      <w:sz w:val="22"/>
                      <w:szCs w:val="22"/>
                      <w:lang w:val="pl-PL"/>
                    </w:rPr>
                    <w:t>Poruchy pečene a žlčových ciest</w:t>
                  </w:r>
                  <w:r w:rsidR="00471226" w:rsidRPr="00A83991">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pl-PL"/>
                    </w:rPr>
                  </w:pPr>
                  <w:r w:rsidRPr="00A83991">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pl-PL"/>
                    </w:rPr>
                  </w:pPr>
                  <w:r w:rsidRPr="00A83991">
                    <w:rPr>
                      <w:color w:val="000000"/>
                      <w:sz w:val="22"/>
                      <w:szCs w:val="22"/>
                      <w:lang w:val="pl-PL"/>
                    </w:rPr>
                    <w:t>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pl-PL"/>
                    </w:rPr>
                  </w:pPr>
                  <w:r w:rsidRPr="00A83991">
                    <w:rPr>
                      <w:color w:val="000000"/>
                      <w:sz w:val="22"/>
                      <w:szCs w:val="22"/>
                      <w:lang w:val="pl-PL"/>
                    </w:rPr>
                    <w:t>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D2F69" w:rsidP="004D2F69">
                  <w:pPr>
                    <w:spacing w:before="100" w:beforeAutospacing="1" w:after="75"/>
                    <w:rPr>
                      <w:color w:val="000000"/>
                      <w:sz w:val="22"/>
                      <w:szCs w:val="22"/>
                    </w:rPr>
                  </w:pPr>
                  <w:r w:rsidRPr="00A83991">
                    <w:rPr>
                      <w:color w:val="000000"/>
                      <w:sz w:val="22"/>
                      <w:szCs w:val="22"/>
                    </w:rPr>
                    <w:t>h</w:t>
                  </w:r>
                  <w:r w:rsidR="00471226" w:rsidRPr="00A83991">
                    <w:rPr>
                      <w:color w:val="000000"/>
                      <w:sz w:val="22"/>
                      <w:szCs w:val="22"/>
                    </w:rPr>
                    <w:t>epatit</w:t>
                  </w:r>
                  <w:r w:rsidRPr="00A83991">
                    <w:rPr>
                      <w:color w:val="000000"/>
                      <w:sz w:val="22"/>
                      <w:szCs w:val="22"/>
                    </w:rPr>
                    <w:t>ída</w:t>
                  </w:r>
                  <w:r w:rsidR="00471226" w:rsidRPr="00A83991">
                    <w:rPr>
                      <w:color w:val="000000"/>
                      <w:sz w:val="22"/>
                      <w:szCs w:val="22"/>
                    </w:rPr>
                    <w:t xml:space="preserve">, </w:t>
                  </w:r>
                  <w:r w:rsidRPr="00A83991">
                    <w:rPr>
                      <w:color w:val="000000"/>
                      <w:sz w:val="22"/>
                      <w:szCs w:val="22"/>
                    </w:rPr>
                    <w:t>zlyhanie pečene</w:t>
                  </w:r>
                  <w:r w:rsidR="00471226" w:rsidRPr="00A83991">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4D2F69" w:rsidP="004D2F69">
                  <w:pPr>
                    <w:spacing w:before="100" w:beforeAutospacing="1" w:after="75"/>
                    <w:rPr>
                      <w:color w:val="000000"/>
                      <w:sz w:val="22"/>
                      <w:szCs w:val="22"/>
                      <w:lang w:val="pl-PL"/>
                    </w:rPr>
                  </w:pPr>
                  <w:r w:rsidRPr="00A83991">
                    <w:rPr>
                      <w:color w:val="000000"/>
                      <w:sz w:val="22"/>
                      <w:szCs w:val="22"/>
                      <w:lang w:val="pl-PL"/>
                    </w:rPr>
                    <w:t>Poruchy kože a podkožného tkaniva</w:t>
                  </w:r>
                  <w:r w:rsidR="00471226" w:rsidRPr="00A83991">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pl-PL"/>
                    </w:rPr>
                  </w:pPr>
                  <w:r w:rsidRPr="00A83991">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4D2F69" w:rsidP="004D2F69">
                  <w:pPr>
                    <w:spacing w:before="100" w:beforeAutospacing="1" w:after="75"/>
                    <w:rPr>
                      <w:color w:val="000000"/>
                      <w:sz w:val="22"/>
                      <w:szCs w:val="22"/>
                    </w:rPr>
                  </w:pPr>
                  <w:r w:rsidRPr="00A83991">
                    <w:rPr>
                      <w:color w:val="000000"/>
                      <w:sz w:val="22"/>
                      <w:szCs w:val="22"/>
                    </w:rPr>
                    <w:t>a</w:t>
                  </w:r>
                  <w:r w:rsidR="00471226" w:rsidRPr="00A83991">
                    <w:rPr>
                      <w:color w:val="000000"/>
                      <w:sz w:val="22"/>
                      <w:szCs w:val="22"/>
                    </w:rPr>
                    <w:t>lop</w:t>
                  </w:r>
                  <w:r w:rsidRPr="00A83991">
                    <w:rPr>
                      <w:color w:val="000000"/>
                      <w:sz w:val="22"/>
                      <w:szCs w:val="22"/>
                    </w:rPr>
                    <w:t>é</w:t>
                  </w:r>
                  <w:r w:rsidR="00471226" w:rsidRPr="00A83991">
                    <w:rPr>
                      <w:color w:val="000000"/>
                      <w:sz w:val="22"/>
                      <w:szCs w:val="22"/>
                    </w:rPr>
                    <w:t xml:space="preserve">cia, </w:t>
                  </w:r>
                  <w:r w:rsidRPr="00A83991">
                    <w:rPr>
                      <w:color w:val="000000"/>
                      <w:sz w:val="22"/>
                      <w:szCs w:val="22"/>
                    </w:rPr>
                    <w:t>vyrážka</w:t>
                  </w:r>
                  <w:r w:rsidR="00471226" w:rsidRPr="00A83991">
                    <w:rPr>
                      <w:color w:val="000000"/>
                      <w:sz w:val="22"/>
                      <w:szCs w:val="22"/>
                    </w:rPr>
                    <w:t xml:space="preserve">, pruritus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4D2F69" w:rsidP="004D2F69">
                  <w:pPr>
                    <w:spacing w:before="100" w:beforeAutospacing="1" w:after="75"/>
                    <w:rPr>
                      <w:color w:val="000000"/>
                      <w:sz w:val="22"/>
                      <w:szCs w:val="22"/>
                    </w:rPr>
                  </w:pPr>
                  <w:r w:rsidRPr="00A83991">
                    <w:rPr>
                      <w:color w:val="000000"/>
                      <w:sz w:val="22"/>
                      <w:szCs w:val="22"/>
                    </w:rPr>
                    <w:t>a</w:t>
                  </w:r>
                  <w:r w:rsidR="00471226" w:rsidRPr="00A83991">
                    <w:rPr>
                      <w:color w:val="000000"/>
                      <w:sz w:val="22"/>
                      <w:szCs w:val="22"/>
                    </w:rPr>
                    <w:t>nh</w:t>
                  </w:r>
                  <w:r w:rsidRPr="00A83991">
                    <w:rPr>
                      <w:color w:val="000000"/>
                      <w:sz w:val="22"/>
                      <w:szCs w:val="22"/>
                    </w:rPr>
                    <w:t>y</w:t>
                  </w:r>
                  <w:r w:rsidR="00471226" w:rsidRPr="00A83991">
                    <w:rPr>
                      <w:color w:val="000000"/>
                      <w:sz w:val="22"/>
                      <w:szCs w:val="22"/>
                    </w:rPr>
                    <w:t>dr</w:t>
                  </w:r>
                  <w:r w:rsidRPr="00A83991">
                    <w:rPr>
                      <w:color w:val="000000"/>
                      <w:sz w:val="22"/>
                      <w:szCs w:val="22"/>
                    </w:rPr>
                    <w:t>óza</w:t>
                  </w:r>
                  <w:r w:rsidR="00471226" w:rsidRPr="00A83991">
                    <w:rPr>
                      <w:color w:val="000000"/>
                      <w:sz w:val="22"/>
                      <w:szCs w:val="22"/>
                    </w:rPr>
                    <w:t>, hypest</w:t>
                  </w:r>
                  <w:r w:rsidRPr="00A83991">
                    <w:rPr>
                      <w:color w:val="000000"/>
                      <w:sz w:val="22"/>
                      <w:szCs w:val="22"/>
                    </w:rPr>
                    <w:t>ézia tváre</w:t>
                  </w:r>
                  <w:r w:rsidR="00471226" w:rsidRPr="00A83991">
                    <w:rPr>
                      <w:color w:val="000000"/>
                      <w:sz w:val="22"/>
                      <w:szCs w:val="22"/>
                    </w:rPr>
                    <w:t xml:space="preserve">, </w:t>
                  </w:r>
                  <w:r w:rsidRPr="00A83991">
                    <w:rPr>
                      <w:color w:val="000000"/>
                      <w:sz w:val="22"/>
                      <w:szCs w:val="22"/>
                    </w:rPr>
                    <w:t>žihľavka</w:t>
                  </w:r>
                  <w:r w:rsidR="00471226" w:rsidRPr="00A83991">
                    <w:rPr>
                      <w:color w:val="000000"/>
                      <w:sz w:val="22"/>
                      <w:szCs w:val="22"/>
                    </w:rPr>
                    <w:t>, eryt</w:t>
                  </w:r>
                  <w:r w:rsidRPr="00A83991">
                    <w:rPr>
                      <w:color w:val="000000"/>
                      <w:sz w:val="22"/>
                      <w:szCs w:val="22"/>
                    </w:rPr>
                    <w:t>ém</w:t>
                  </w:r>
                  <w:r w:rsidR="00471226" w:rsidRPr="00A83991">
                    <w:rPr>
                      <w:color w:val="000000"/>
                      <w:sz w:val="22"/>
                      <w:szCs w:val="22"/>
                    </w:rPr>
                    <w:t xml:space="preserve">, </w:t>
                  </w:r>
                  <w:r w:rsidRPr="00A83991">
                    <w:rPr>
                      <w:color w:val="000000"/>
                      <w:sz w:val="22"/>
                      <w:szCs w:val="22"/>
                    </w:rPr>
                    <w:t xml:space="preserve">generalizovaný </w:t>
                  </w:r>
                  <w:r w:rsidR="00471226" w:rsidRPr="00A83991">
                    <w:rPr>
                      <w:color w:val="000000"/>
                      <w:sz w:val="22"/>
                      <w:szCs w:val="22"/>
                    </w:rPr>
                    <w:t xml:space="preserve">pruritus, </w:t>
                  </w:r>
                  <w:r w:rsidRPr="00A83991">
                    <w:rPr>
                      <w:color w:val="000000"/>
                      <w:sz w:val="22"/>
                      <w:szCs w:val="22"/>
                    </w:rPr>
                    <w:t>makulárna vyrážka</w:t>
                  </w:r>
                  <w:r w:rsidR="00471226" w:rsidRPr="00A83991">
                    <w:rPr>
                      <w:color w:val="000000"/>
                      <w:sz w:val="22"/>
                      <w:szCs w:val="22"/>
                    </w:rPr>
                    <w:t xml:space="preserve">, </w:t>
                  </w:r>
                  <w:r w:rsidRPr="00A83991">
                    <w:rPr>
                      <w:color w:val="000000"/>
                      <w:sz w:val="22"/>
                      <w:szCs w:val="22"/>
                    </w:rPr>
                    <w:t>zmena farby kože</w:t>
                  </w:r>
                  <w:r w:rsidR="00471226" w:rsidRPr="00A83991">
                    <w:rPr>
                      <w:color w:val="000000"/>
                      <w:sz w:val="22"/>
                      <w:szCs w:val="22"/>
                    </w:rPr>
                    <w:t xml:space="preserve">, </w:t>
                  </w:r>
                  <w:r w:rsidRPr="00A83991">
                    <w:rPr>
                      <w:color w:val="000000"/>
                      <w:sz w:val="22"/>
                      <w:szCs w:val="22"/>
                    </w:rPr>
                    <w:t>alergická dermatitída</w:t>
                  </w:r>
                  <w:r w:rsidR="00471226" w:rsidRPr="00A83991">
                    <w:rPr>
                      <w:color w:val="000000"/>
                      <w:sz w:val="22"/>
                      <w:szCs w:val="22"/>
                    </w:rPr>
                    <w:t xml:space="preserve">, </w:t>
                  </w:r>
                  <w:r w:rsidRPr="00A83991">
                    <w:rPr>
                      <w:color w:val="000000"/>
                      <w:sz w:val="22"/>
                      <w:szCs w:val="22"/>
                    </w:rPr>
                    <w:t>opuch tváre</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4D2F69">
                  <w:pPr>
                    <w:spacing w:before="100" w:beforeAutospacing="1" w:after="75"/>
                    <w:rPr>
                      <w:color w:val="000000"/>
                      <w:sz w:val="22"/>
                      <w:szCs w:val="22"/>
                    </w:rPr>
                  </w:pPr>
                  <w:r w:rsidRPr="00A83991">
                    <w:rPr>
                      <w:color w:val="000000"/>
                      <w:sz w:val="22"/>
                      <w:szCs w:val="22"/>
                    </w:rPr>
                    <w:t>Stevens</w:t>
                  </w:r>
                  <w:r w:rsidR="004D2F69" w:rsidRPr="00A83991">
                    <w:rPr>
                      <w:color w:val="000000"/>
                      <w:sz w:val="22"/>
                      <w:szCs w:val="22"/>
                    </w:rPr>
                    <w:t>ov</w:t>
                  </w:r>
                  <w:r w:rsidRPr="00A83991">
                    <w:rPr>
                      <w:color w:val="000000"/>
                      <w:sz w:val="22"/>
                      <w:szCs w:val="22"/>
                    </w:rPr>
                    <w:t>-Johnson</w:t>
                  </w:r>
                  <w:r w:rsidR="004D2F69" w:rsidRPr="00A83991">
                    <w:rPr>
                      <w:color w:val="000000"/>
                      <w:sz w:val="22"/>
                      <w:szCs w:val="22"/>
                    </w:rPr>
                    <w:t>ov</w:t>
                  </w:r>
                  <w:r w:rsidRPr="00A83991">
                    <w:rPr>
                      <w:color w:val="000000"/>
                      <w:sz w:val="22"/>
                      <w:szCs w:val="22"/>
                    </w:rPr>
                    <w:t xml:space="preserve"> syndr</w:t>
                  </w:r>
                  <w:r w:rsidR="004D2F69" w:rsidRPr="00A83991">
                    <w:rPr>
                      <w:color w:val="000000"/>
                      <w:sz w:val="22"/>
                      <w:szCs w:val="22"/>
                    </w:rPr>
                    <w:t>óm</w:t>
                  </w:r>
                  <w:r w:rsidRPr="00A83991">
                    <w:rPr>
                      <w:color w:val="000000"/>
                      <w:sz w:val="22"/>
                      <w:szCs w:val="22"/>
                    </w:rPr>
                    <w:t xml:space="preserve">* </w:t>
                  </w:r>
                  <w:r w:rsidR="004D2F69" w:rsidRPr="00A83991">
                    <w:rPr>
                      <w:color w:val="000000"/>
                      <w:sz w:val="22"/>
                      <w:szCs w:val="22"/>
                    </w:rPr>
                    <w:t>multiformný erytém</w:t>
                  </w:r>
                  <w:r w:rsidRPr="00A83991">
                    <w:rPr>
                      <w:color w:val="000000"/>
                      <w:sz w:val="22"/>
                      <w:szCs w:val="22"/>
                    </w:rPr>
                    <w:t>*,</w:t>
                  </w:r>
                  <w:r w:rsidR="004D2F69" w:rsidRPr="00A83991">
                    <w:rPr>
                      <w:color w:val="000000"/>
                      <w:sz w:val="22"/>
                      <w:szCs w:val="22"/>
                    </w:rPr>
                    <w:t xml:space="preserve"> abnormálny pach kože</w:t>
                  </w:r>
                  <w:r w:rsidRPr="00A83991">
                    <w:rPr>
                      <w:color w:val="000000"/>
                      <w:sz w:val="22"/>
                      <w:szCs w:val="22"/>
                    </w:rPr>
                    <w:t>, periorbit</w:t>
                  </w:r>
                  <w:r w:rsidR="004D2F69" w:rsidRPr="00A83991">
                    <w:rPr>
                      <w:color w:val="000000"/>
                      <w:sz w:val="22"/>
                      <w:szCs w:val="22"/>
                    </w:rPr>
                    <w:t>álny edém</w:t>
                  </w:r>
                  <w:r w:rsidRPr="00A83991">
                    <w:rPr>
                      <w:color w:val="000000"/>
                      <w:sz w:val="22"/>
                      <w:szCs w:val="22"/>
                    </w:rPr>
                    <w:t xml:space="preserve">*, </w:t>
                  </w:r>
                  <w:r w:rsidR="004D2F69" w:rsidRPr="00A83991">
                    <w:rPr>
                      <w:color w:val="000000"/>
                      <w:sz w:val="22"/>
                      <w:szCs w:val="22"/>
                    </w:rPr>
                    <w:t>lokalizovaná žihľavka</w:t>
                  </w:r>
                  <w:r w:rsidRPr="00A83991">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D2F69" w:rsidP="004D2F69">
                  <w:pPr>
                    <w:spacing w:before="100" w:beforeAutospacing="1" w:after="75"/>
                    <w:rPr>
                      <w:color w:val="000000"/>
                      <w:sz w:val="22"/>
                      <w:szCs w:val="22"/>
                    </w:rPr>
                  </w:pPr>
                  <w:r w:rsidRPr="00A83991">
                    <w:rPr>
                      <w:color w:val="000000"/>
                      <w:sz w:val="22"/>
                      <w:szCs w:val="22"/>
                    </w:rPr>
                    <w:t>t</w:t>
                  </w:r>
                  <w:r w:rsidR="00471226" w:rsidRPr="00A83991">
                    <w:rPr>
                      <w:color w:val="000000"/>
                      <w:sz w:val="22"/>
                      <w:szCs w:val="22"/>
                    </w:rPr>
                    <w:t>oxic</w:t>
                  </w:r>
                  <w:r w:rsidRPr="00A83991">
                    <w:rPr>
                      <w:color w:val="000000"/>
                      <w:sz w:val="22"/>
                      <w:szCs w:val="22"/>
                    </w:rPr>
                    <w:t>ká</w:t>
                  </w:r>
                  <w:r w:rsidR="00471226" w:rsidRPr="00A83991">
                    <w:rPr>
                      <w:color w:val="000000"/>
                      <w:sz w:val="22"/>
                      <w:szCs w:val="22"/>
                    </w:rPr>
                    <w:t xml:space="preserve"> epiderm</w:t>
                  </w:r>
                  <w:r w:rsidRPr="00A83991">
                    <w:rPr>
                      <w:color w:val="000000"/>
                      <w:sz w:val="22"/>
                      <w:szCs w:val="22"/>
                    </w:rPr>
                    <w:t>álna</w:t>
                  </w:r>
                  <w:r w:rsidR="00471226" w:rsidRPr="00A83991">
                    <w:rPr>
                      <w:color w:val="000000"/>
                      <w:sz w:val="22"/>
                      <w:szCs w:val="22"/>
                    </w:rPr>
                    <w:t xml:space="preserve"> ne</w:t>
                  </w:r>
                  <w:r w:rsidRPr="00A83991">
                    <w:rPr>
                      <w:color w:val="000000"/>
                      <w:sz w:val="22"/>
                      <w:szCs w:val="22"/>
                    </w:rPr>
                    <w:t>k</w:t>
                  </w:r>
                  <w:r w:rsidR="00471226" w:rsidRPr="00A83991">
                    <w:rPr>
                      <w:color w:val="000000"/>
                      <w:sz w:val="22"/>
                      <w:szCs w:val="22"/>
                    </w:rPr>
                    <w:t>rol</w:t>
                  </w:r>
                  <w:r w:rsidRPr="00A83991">
                    <w:rPr>
                      <w:color w:val="000000"/>
                      <w:sz w:val="22"/>
                      <w:szCs w:val="22"/>
                    </w:rPr>
                    <w:t>ýza</w:t>
                  </w:r>
                  <w:r w:rsidR="00471226" w:rsidRPr="00A83991">
                    <w:rPr>
                      <w:color w:val="000000"/>
                      <w:sz w:val="22"/>
                      <w:szCs w:val="22"/>
                    </w:rPr>
                    <w:t xml:space="preserve">*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A9470A" w:rsidP="00A9470A">
                  <w:pPr>
                    <w:spacing w:before="100" w:beforeAutospacing="1" w:after="75"/>
                    <w:rPr>
                      <w:color w:val="000000"/>
                      <w:sz w:val="22"/>
                      <w:szCs w:val="22"/>
                    </w:rPr>
                  </w:pPr>
                  <w:r w:rsidRPr="00A83991">
                    <w:rPr>
                      <w:color w:val="000000"/>
                      <w:sz w:val="22"/>
                      <w:szCs w:val="22"/>
                    </w:rPr>
                    <w:t xml:space="preserve">Poruchy kostrovej a svalovej sústavy a </w:t>
                  </w:r>
                  <w:r w:rsidRPr="00A83991">
                    <w:rPr>
                      <w:color w:val="000000"/>
                      <w:sz w:val="22"/>
                      <w:szCs w:val="22"/>
                    </w:rPr>
                    <w:lastRenderedPageBreak/>
                    <w:t>spojivového tkaniva</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lastRenderedPageBreak/>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A9470A" w:rsidP="00A9470A">
                  <w:pPr>
                    <w:spacing w:before="100" w:beforeAutospacing="1" w:after="75"/>
                    <w:rPr>
                      <w:color w:val="000000"/>
                      <w:sz w:val="22"/>
                      <w:szCs w:val="22"/>
                    </w:rPr>
                  </w:pPr>
                  <w:r w:rsidRPr="00A83991">
                    <w:rPr>
                      <w:color w:val="000000"/>
                      <w:sz w:val="22"/>
                      <w:szCs w:val="22"/>
                    </w:rPr>
                    <w:t>a</w:t>
                  </w:r>
                  <w:r w:rsidR="00471226" w:rsidRPr="00A83991">
                    <w:rPr>
                      <w:color w:val="000000"/>
                      <w:sz w:val="22"/>
                      <w:szCs w:val="22"/>
                    </w:rPr>
                    <w:t xml:space="preserve">rtralgia, </w:t>
                  </w:r>
                  <w:r w:rsidRPr="00A83991">
                    <w:rPr>
                      <w:color w:val="000000"/>
                      <w:sz w:val="22"/>
                      <w:szCs w:val="22"/>
                    </w:rPr>
                    <w:t>svalové kŕče</w:t>
                  </w:r>
                  <w:r w:rsidR="00471226" w:rsidRPr="00A83991">
                    <w:rPr>
                      <w:color w:val="000000"/>
                      <w:sz w:val="22"/>
                      <w:szCs w:val="22"/>
                    </w:rPr>
                    <w:t xml:space="preserve">, myalgia, </w:t>
                  </w:r>
                  <w:r w:rsidR="009862DB" w:rsidRPr="00A83991">
                    <w:rPr>
                      <w:color w:val="000000"/>
                      <w:sz w:val="22"/>
                      <w:szCs w:val="22"/>
                    </w:rPr>
                    <w:t>zášklby</w:t>
                  </w:r>
                  <w:r w:rsidRPr="00A83991">
                    <w:rPr>
                      <w:color w:val="000000"/>
                      <w:sz w:val="22"/>
                      <w:szCs w:val="22"/>
                    </w:rPr>
                    <w:t xml:space="preserve"> </w:t>
                  </w:r>
                  <w:r w:rsidRPr="00A83991">
                    <w:rPr>
                      <w:color w:val="000000"/>
                      <w:sz w:val="22"/>
                      <w:szCs w:val="22"/>
                    </w:rPr>
                    <w:lastRenderedPageBreak/>
                    <w:t>svalov</w:t>
                  </w:r>
                  <w:r w:rsidR="00471226" w:rsidRPr="00A83991">
                    <w:rPr>
                      <w:color w:val="000000"/>
                      <w:sz w:val="22"/>
                      <w:szCs w:val="22"/>
                    </w:rPr>
                    <w:t xml:space="preserve">, </w:t>
                  </w:r>
                  <w:r w:rsidRPr="00A83991">
                    <w:rPr>
                      <w:color w:val="000000"/>
                      <w:sz w:val="22"/>
                      <w:szCs w:val="22"/>
                    </w:rPr>
                    <w:t>svalová slabosť</w:t>
                  </w:r>
                  <w:r w:rsidR="00471226" w:rsidRPr="00A83991">
                    <w:rPr>
                      <w:color w:val="000000"/>
                      <w:sz w:val="22"/>
                      <w:szCs w:val="22"/>
                    </w:rPr>
                    <w:t xml:space="preserve">, </w:t>
                  </w:r>
                  <w:r w:rsidRPr="00A83991">
                    <w:rPr>
                      <w:color w:val="000000"/>
                      <w:sz w:val="22"/>
                      <w:szCs w:val="22"/>
                    </w:rPr>
                    <w:t>muskuloskele-tálna</w:t>
                  </w:r>
                  <w:r w:rsidR="00471226" w:rsidRPr="00A83991">
                    <w:rPr>
                      <w:color w:val="000000"/>
                      <w:sz w:val="22"/>
                      <w:szCs w:val="22"/>
                    </w:rPr>
                    <w:t xml:space="preserve"> </w:t>
                  </w:r>
                  <w:r w:rsidRPr="00A83991">
                    <w:rPr>
                      <w:color w:val="000000"/>
                      <w:sz w:val="22"/>
                      <w:szCs w:val="22"/>
                    </w:rPr>
                    <w:t>bolesť</w:t>
                  </w:r>
                  <w:r w:rsidR="00471226" w:rsidRPr="00A83991">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A9470A" w:rsidP="00A9470A">
                  <w:pPr>
                    <w:spacing w:before="100" w:beforeAutospacing="1" w:after="75"/>
                    <w:rPr>
                      <w:color w:val="000000"/>
                      <w:sz w:val="22"/>
                      <w:szCs w:val="22"/>
                    </w:rPr>
                  </w:pPr>
                  <w:r w:rsidRPr="00A83991">
                    <w:rPr>
                      <w:color w:val="000000"/>
                      <w:sz w:val="22"/>
                      <w:szCs w:val="22"/>
                    </w:rPr>
                    <w:lastRenderedPageBreak/>
                    <w:t>opuch kĺbov</w:t>
                  </w:r>
                  <w:r w:rsidR="00471226" w:rsidRPr="00A83991">
                    <w:rPr>
                      <w:color w:val="000000"/>
                      <w:sz w:val="22"/>
                      <w:szCs w:val="22"/>
                    </w:rPr>
                    <w:t>*, mus</w:t>
                  </w:r>
                  <w:r w:rsidRPr="00A83991">
                    <w:rPr>
                      <w:color w:val="000000"/>
                      <w:sz w:val="22"/>
                      <w:szCs w:val="22"/>
                    </w:rPr>
                    <w:t>k</w:t>
                  </w:r>
                  <w:r w:rsidR="00471226" w:rsidRPr="00A83991">
                    <w:rPr>
                      <w:color w:val="000000"/>
                      <w:sz w:val="22"/>
                      <w:szCs w:val="22"/>
                    </w:rPr>
                    <w:t>uloskelet</w:t>
                  </w:r>
                  <w:r w:rsidRPr="00A83991">
                    <w:rPr>
                      <w:color w:val="000000"/>
                      <w:sz w:val="22"/>
                      <w:szCs w:val="22"/>
                    </w:rPr>
                    <w:t>álna</w:t>
                  </w:r>
                  <w:r w:rsidR="00471226" w:rsidRPr="00A83991">
                    <w:rPr>
                      <w:color w:val="000000"/>
                      <w:sz w:val="22"/>
                      <w:szCs w:val="22"/>
                    </w:rPr>
                    <w:t xml:space="preserve"> </w:t>
                  </w:r>
                  <w:r w:rsidRPr="00A83991">
                    <w:rPr>
                      <w:color w:val="000000"/>
                      <w:sz w:val="22"/>
                      <w:szCs w:val="22"/>
                    </w:rPr>
                    <w:t>strnulosť</w:t>
                  </w:r>
                  <w:r w:rsidR="00471226" w:rsidRPr="00A83991">
                    <w:rPr>
                      <w:color w:val="000000"/>
                      <w:sz w:val="22"/>
                      <w:szCs w:val="22"/>
                    </w:rPr>
                    <w:t xml:space="preserve">, </w:t>
                  </w:r>
                  <w:r w:rsidRPr="00A83991">
                    <w:rPr>
                      <w:color w:val="000000"/>
                      <w:sz w:val="22"/>
                      <w:szCs w:val="22"/>
                    </w:rPr>
                    <w:t xml:space="preserve">bolesť v </w:t>
                  </w:r>
                  <w:r w:rsidRPr="00A83991">
                    <w:rPr>
                      <w:color w:val="000000"/>
                      <w:sz w:val="22"/>
                      <w:szCs w:val="22"/>
                    </w:rPr>
                    <w:lastRenderedPageBreak/>
                    <w:t>boku</w:t>
                  </w:r>
                  <w:r w:rsidR="00471226" w:rsidRPr="00A83991">
                    <w:rPr>
                      <w:color w:val="000000"/>
                      <w:sz w:val="22"/>
                      <w:szCs w:val="22"/>
                    </w:rPr>
                    <w:t xml:space="preserve">, </w:t>
                  </w:r>
                  <w:r w:rsidRPr="00A83991">
                    <w:rPr>
                      <w:color w:val="000000"/>
                      <w:sz w:val="22"/>
                      <w:szCs w:val="22"/>
                    </w:rPr>
                    <w:t>svalová únava</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A9470A" w:rsidP="00A9470A">
                  <w:pPr>
                    <w:spacing w:before="100" w:beforeAutospacing="1" w:after="75"/>
                    <w:rPr>
                      <w:color w:val="000000"/>
                      <w:sz w:val="22"/>
                      <w:szCs w:val="22"/>
                    </w:rPr>
                  </w:pPr>
                  <w:r w:rsidRPr="00A83991">
                    <w:rPr>
                      <w:color w:val="000000"/>
                      <w:sz w:val="22"/>
                      <w:szCs w:val="22"/>
                    </w:rPr>
                    <w:lastRenderedPageBreak/>
                    <w:t>dyskomfort končatín</w:t>
                  </w:r>
                  <w:r w:rsidR="00471226" w:rsidRPr="00A83991">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A9470A" w:rsidP="00177644">
                  <w:pPr>
                    <w:spacing w:before="100" w:beforeAutospacing="1" w:after="75"/>
                    <w:rPr>
                      <w:color w:val="000000"/>
                      <w:sz w:val="22"/>
                      <w:szCs w:val="22"/>
                      <w:lang w:val="pl-PL"/>
                    </w:rPr>
                  </w:pPr>
                  <w:r w:rsidRPr="00A83991">
                    <w:rPr>
                      <w:color w:val="000000"/>
                      <w:sz w:val="22"/>
                      <w:szCs w:val="22"/>
                      <w:lang w:val="pl-PL"/>
                    </w:rPr>
                    <w:lastRenderedPageBreak/>
                    <w:t xml:space="preserve">Poruchy obličiek </w:t>
                  </w:r>
                  <w:r w:rsidR="00177644" w:rsidRPr="00A83991">
                    <w:rPr>
                      <w:color w:val="000000"/>
                      <w:sz w:val="22"/>
                      <w:szCs w:val="22"/>
                      <w:lang w:val="pl-PL"/>
                    </w:rPr>
                    <w:t>a močových ciest</w:t>
                  </w:r>
                  <w:r w:rsidR="00471226" w:rsidRPr="00A83991">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pl-PL"/>
                    </w:rPr>
                  </w:pPr>
                  <w:r w:rsidRPr="00A83991">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177644" w:rsidP="00177644">
                  <w:pPr>
                    <w:spacing w:before="100" w:beforeAutospacing="1" w:after="75"/>
                    <w:rPr>
                      <w:color w:val="000000"/>
                      <w:sz w:val="22"/>
                      <w:szCs w:val="22"/>
                    </w:rPr>
                  </w:pPr>
                  <w:r w:rsidRPr="00A83991">
                    <w:rPr>
                      <w:color w:val="000000"/>
                      <w:sz w:val="22"/>
                      <w:szCs w:val="22"/>
                    </w:rPr>
                    <w:t>n</w:t>
                  </w:r>
                  <w:r w:rsidR="00471226" w:rsidRPr="00A83991">
                    <w:rPr>
                      <w:color w:val="000000"/>
                      <w:sz w:val="22"/>
                      <w:szCs w:val="22"/>
                    </w:rPr>
                    <w:t>e</w:t>
                  </w:r>
                  <w:r w:rsidRPr="00A83991">
                    <w:rPr>
                      <w:color w:val="000000"/>
                      <w:sz w:val="22"/>
                      <w:szCs w:val="22"/>
                    </w:rPr>
                    <w:t>frolitiáza</w:t>
                  </w:r>
                  <w:r w:rsidR="00471226" w:rsidRPr="00A83991">
                    <w:rPr>
                      <w:color w:val="000000"/>
                      <w:sz w:val="22"/>
                      <w:szCs w:val="22"/>
                    </w:rPr>
                    <w:t>, polaki</w:t>
                  </w:r>
                  <w:r w:rsidRPr="00A83991">
                    <w:rPr>
                      <w:color w:val="000000"/>
                      <w:sz w:val="22"/>
                      <w:szCs w:val="22"/>
                    </w:rPr>
                    <w:t>zúria</w:t>
                  </w:r>
                  <w:r w:rsidR="00471226" w:rsidRPr="00A83991">
                    <w:rPr>
                      <w:color w:val="000000"/>
                      <w:sz w:val="22"/>
                      <w:szCs w:val="22"/>
                    </w:rPr>
                    <w:t>, dy</w:t>
                  </w:r>
                  <w:r w:rsidRPr="00A83991">
                    <w:rPr>
                      <w:color w:val="000000"/>
                      <w:sz w:val="22"/>
                      <w:szCs w:val="22"/>
                    </w:rPr>
                    <w:t>zúria</w:t>
                  </w:r>
                  <w:r w:rsidR="00471226" w:rsidRPr="00A83991">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177644" w:rsidP="00177644">
                  <w:pPr>
                    <w:spacing w:before="100" w:beforeAutospacing="1" w:after="75"/>
                    <w:rPr>
                      <w:color w:val="000000"/>
                      <w:sz w:val="22"/>
                      <w:szCs w:val="22"/>
                    </w:rPr>
                  </w:pPr>
                  <w:r w:rsidRPr="00A83991">
                    <w:rPr>
                      <w:color w:val="000000"/>
                      <w:sz w:val="22"/>
                      <w:szCs w:val="22"/>
                    </w:rPr>
                    <w:t>močové kamene</w:t>
                  </w:r>
                  <w:r w:rsidR="00471226" w:rsidRPr="00A83991">
                    <w:rPr>
                      <w:color w:val="000000"/>
                      <w:sz w:val="22"/>
                      <w:szCs w:val="22"/>
                    </w:rPr>
                    <w:t xml:space="preserve">, </w:t>
                  </w:r>
                  <w:r w:rsidRPr="00A83991">
                    <w:rPr>
                      <w:color w:val="000000"/>
                      <w:sz w:val="22"/>
                      <w:szCs w:val="22"/>
                    </w:rPr>
                    <w:t>inkontencia moču</w:t>
                  </w:r>
                  <w:r w:rsidR="00471226" w:rsidRPr="00A83991">
                    <w:rPr>
                      <w:color w:val="000000"/>
                      <w:sz w:val="22"/>
                      <w:szCs w:val="22"/>
                    </w:rPr>
                    <w:t>, hemat</w:t>
                  </w:r>
                  <w:r w:rsidRPr="00A83991">
                    <w:rPr>
                      <w:color w:val="000000"/>
                      <w:sz w:val="22"/>
                      <w:szCs w:val="22"/>
                    </w:rPr>
                    <w:t>úria</w:t>
                  </w:r>
                  <w:r w:rsidR="00471226" w:rsidRPr="00A83991">
                    <w:rPr>
                      <w:color w:val="000000"/>
                      <w:sz w:val="22"/>
                      <w:szCs w:val="22"/>
                    </w:rPr>
                    <w:t>, in</w:t>
                  </w:r>
                  <w:r w:rsidRPr="00A83991">
                    <w:rPr>
                      <w:color w:val="000000"/>
                      <w:sz w:val="22"/>
                      <w:szCs w:val="22"/>
                    </w:rPr>
                    <w:t>kontinencia</w:t>
                  </w:r>
                  <w:r w:rsidR="00471226" w:rsidRPr="00A83991">
                    <w:rPr>
                      <w:color w:val="000000"/>
                      <w:sz w:val="22"/>
                      <w:szCs w:val="22"/>
                    </w:rPr>
                    <w:t xml:space="preserve">, </w:t>
                  </w:r>
                  <w:r w:rsidRPr="00A83991">
                    <w:rPr>
                      <w:color w:val="000000"/>
                      <w:sz w:val="22"/>
                      <w:szCs w:val="22"/>
                    </w:rPr>
                    <w:t>nutkanie na močenie</w:t>
                  </w:r>
                  <w:r w:rsidR="00471226" w:rsidRPr="00A83991">
                    <w:rPr>
                      <w:color w:val="000000"/>
                      <w:sz w:val="22"/>
                      <w:szCs w:val="22"/>
                    </w:rPr>
                    <w:t xml:space="preserve">, </w:t>
                  </w:r>
                  <w:r w:rsidRPr="00A83991">
                    <w:rPr>
                      <w:color w:val="000000"/>
                      <w:sz w:val="22"/>
                      <w:szCs w:val="22"/>
                    </w:rPr>
                    <w:t>renálna kolika</w:t>
                  </w:r>
                  <w:r w:rsidR="00471226" w:rsidRPr="00A83991">
                    <w:rPr>
                      <w:color w:val="000000"/>
                      <w:sz w:val="22"/>
                      <w:szCs w:val="22"/>
                    </w:rPr>
                    <w:t>, ren</w:t>
                  </w:r>
                  <w:r w:rsidRPr="00A83991">
                    <w:rPr>
                      <w:color w:val="000000"/>
                      <w:sz w:val="22"/>
                      <w:szCs w:val="22"/>
                    </w:rPr>
                    <w:t>álna bolesť</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177644" w:rsidP="00177644">
                  <w:pPr>
                    <w:autoSpaceDE w:val="0"/>
                    <w:autoSpaceDN w:val="0"/>
                    <w:adjustRightInd w:val="0"/>
                    <w:spacing w:before="100" w:beforeAutospacing="1" w:after="75"/>
                    <w:rPr>
                      <w:color w:val="000000"/>
                      <w:sz w:val="22"/>
                      <w:szCs w:val="22"/>
                    </w:rPr>
                  </w:pPr>
                  <w:r w:rsidRPr="00A83991">
                    <w:rPr>
                      <w:color w:val="000000"/>
                      <w:sz w:val="22"/>
                      <w:szCs w:val="22"/>
                    </w:rPr>
                    <w:t>uretrálne kamene</w:t>
                  </w:r>
                  <w:r w:rsidR="00471226" w:rsidRPr="00A83991">
                    <w:rPr>
                      <w:color w:val="000000"/>
                      <w:sz w:val="22"/>
                      <w:szCs w:val="22"/>
                    </w:rPr>
                    <w:t>, ren</w:t>
                  </w:r>
                  <w:r w:rsidRPr="00A83991">
                    <w:rPr>
                      <w:color w:val="000000"/>
                      <w:sz w:val="22"/>
                      <w:szCs w:val="22"/>
                    </w:rPr>
                    <w:t xml:space="preserve">álna </w:t>
                  </w:r>
                  <w:r w:rsidR="00471226" w:rsidRPr="00A83991">
                    <w:rPr>
                      <w:color w:val="000000"/>
                      <w:sz w:val="22"/>
                      <w:szCs w:val="22"/>
                    </w:rPr>
                    <w:t>tubul</w:t>
                  </w:r>
                  <w:r w:rsidRPr="00A83991">
                    <w:rPr>
                      <w:color w:val="000000"/>
                      <w:sz w:val="22"/>
                      <w:szCs w:val="22"/>
                    </w:rPr>
                    <w:t xml:space="preserve">árna </w:t>
                  </w:r>
                  <w:r w:rsidR="00471226" w:rsidRPr="00A83991">
                    <w:rPr>
                      <w:color w:val="000000"/>
                      <w:sz w:val="22"/>
                      <w:szCs w:val="22"/>
                    </w:rPr>
                    <w:t>acid</w:t>
                  </w:r>
                  <w:r w:rsidRPr="00A83991">
                    <w:rPr>
                      <w:color w:val="000000"/>
                      <w:sz w:val="22"/>
                      <w:szCs w:val="22"/>
                    </w:rPr>
                    <w:t>óza</w:t>
                  </w:r>
                  <w:r w:rsidR="00471226" w:rsidRPr="00A83991">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autoSpaceDE w:val="0"/>
                    <w:autoSpaceDN w:val="0"/>
                    <w:adjustRightInd w:val="0"/>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7B7F10" w:rsidP="007B7F10">
                  <w:pPr>
                    <w:spacing w:before="100" w:beforeAutospacing="1" w:after="75"/>
                    <w:rPr>
                      <w:color w:val="000000"/>
                      <w:sz w:val="22"/>
                      <w:szCs w:val="22"/>
                      <w:lang w:val="pl-PL"/>
                    </w:rPr>
                  </w:pPr>
                  <w:r w:rsidRPr="00A83991">
                    <w:rPr>
                      <w:color w:val="000000"/>
                      <w:sz w:val="22"/>
                      <w:szCs w:val="22"/>
                      <w:lang w:val="pl-PL"/>
                    </w:rPr>
                    <w:t>Poruchy reprodukčného system a prsníkov</w:t>
                  </w:r>
                  <w:r w:rsidR="00471226" w:rsidRPr="00A83991">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pl-PL"/>
                    </w:rPr>
                  </w:pPr>
                  <w:r w:rsidRPr="00A83991">
                    <w:rPr>
                      <w:color w:val="000000"/>
                      <w:sz w:val="22"/>
                      <w:szCs w:val="22"/>
                      <w:lang w:val="pl-PL"/>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lang w:val="pl-PL"/>
                    </w:rPr>
                  </w:pPr>
                  <w:r w:rsidRPr="00A83991">
                    <w:rPr>
                      <w:color w:val="000000"/>
                      <w:sz w:val="22"/>
                      <w:szCs w:val="22"/>
                      <w:lang w:val="pl-PL"/>
                    </w:rPr>
                    <w:t>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7B7F10" w:rsidP="007B7F10">
                  <w:pPr>
                    <w:spacing w:before="100" w:beforeAutospacing="1" w:after="75"/>
                    <w:rPr>
                      <w:color w:val="000000"/>
                      <w:sz w:val="22"/>
                      <w:szCs w:val="22"/>
                    </w:rPr>
                  </w:pPr>
                  <w:r w:rsidRPr="00A83991">
                    <w:rPr>
                      <w:color w:val="000000"/>
                      <w:sz w:val="22"/>
                      <w:szCs w:val="22"/>
                    </w:rPr>
                    <w:t>e</w:t>
                  </w:r>
                  <w:r w:rsidR="00471226" w:rsidRPr="00A83991">
                    <w:rPr>
                      <w:color w:val="000000"/>
                      <w:sz w:val="22"/>
                      <w:szCs w:val="22"/>
                    </w:rPr>
                    <w:t>re</w:t>
                  </w:r>
                  <w:r w:rsidRPr="00A83991">
                    <w:rPr>
                      <w:color w:val="000000"/>
                      <w:sz w:val="22"/>
                      <w:szCs w:val="22"/>
                    </w:rPr>
                    <w:t>k</w:t>
                  </w:r>
                  <w:r w:rsidR="00471226" w:rsidRPr="00A83991">
                    <w:rPr>
                      <w:color w:val="000000"/>
                      <w:sz w:val="22"/>
                      <w:szCs w:val="22"/>
                    </w:rPr>
                    <w:t>til</w:t>
                  </w:r>
                  <w:r w:rsidRPr="00A83991">
                    <w:rPr>
                      <w:color w:val="000000"/>
                      <w:sz w:val="22"/>
                      <w:szCs w:val="22"/>
                    </w:rPr>
                    <w:t>ná</w:t>
                  </w:r>
                  <w:r w:rsidR="00471226" w:rsidRPr="00A83991">
                    <w:rPr>
                      <w:color w:val="000000"/>
                      <w:sz w:val="22"/>
                      <w:szCs w:val="22"/>
                    </w:rPr>
                    <w:t xml:space="preserve"> dysfun</w:t>
                  </w:r>
                  <w:r w:rsidRPr="00A83991">
                    <w:rPr>
                      <w:color w:val="000000"/>
                      <w:sz w:val="22"/>
                      <w:szCs w:val="22"/>
                    </w:rPr>
                    <w:t>kcia</w:t>
                  </w:r>
                  <w:r w:rsidR="00471226" w:rsidRPr="00A83991">
                    <w:rPr>
                      <w:color w:val="000000"/>
                      <w:sz w:val="22"/>
                      <w:szCs w:val="22"/>
                    </w:rPr>
                    <w:t>, sexu</w:t>
                  </w:r>
                  <w:r w:rsidRPr="00A83991">
                    <w:rPr>
                      <w:color w:val="000000"/>
                      <w:sz w:val="22"/>
                      <w:szCs w:val="22"/>
                    </w:rPr>
                    <w:t>álna dysfunkcia</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575187" w:rsidP="00575187">
                  <w:pPr>
                    <w:spacing w:before="100" w:beforeAutospacing="1" w:after="75"/>
                    <w:rPr>
                      <w:color w:val="000000"/>
                      <w:sz w:val="22"/>
                      <w:szCs w:val="22"/>
                      <w:lang w:val="pl-PL"/>
                    </w:rPr>
                  </w:pPr>
                  <w:r w:rsidRPr="00A83991">
                    <w:rPr>
                      <w:color w:val="000000"/>
                      <w:sz w:val="22"/>
                      <w:szCs w:val="22"/>
                      <w:lang w:val="pl-PL"/>
                    </w:rPr>
                    <w:t>Celkové poruchy a reakcie v mieste podania</w:t>
                  </w:r>
                  <w:r w:rsidR="00471226" w:rsidRPr="00A83991">
                    <w:rPr>
                      <w:color w:val="000000"/>
                      <w:sz w:val="22"/>
                      <w:szCs w:val="22"/>
                      <w:lang w:val="pl-PL"/>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575187" w:rsidP="00575187">
                  <w:pPr>
                    <w:spacing w:before="100" w:beforeAutospacing="1" w:after="75"/>
                    <w:rPr>
                      <w:color w:val="000000"/>
                      <w:sz w:val="22"/>
                      <w:szCs w:val="22"/>
                    </w:rPr>
                  </w:pPr>
                  <w:r w:rsidRPr="00A83991">
                    <w:rPr>
                      <w:color w:val="000000"/>
                      <w:sz w:val="22"/>
                      <w:szCs w:val="22"/>
                    </w:rPr>
                    <w:t>únava</w:t>
                  </w:r>
                  <w:r w:rsidR="00471226" w:rsidRPr="00A83991">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575187" w:rsidP="00575187">
                  <w:pPr>
                    <w:spacing w:before="100" w:beforeAutospacing="1" w:after="75"/>
                    <w:rPr>
                      <w:color w:val="000000"/>
                      <w:sz w:val="22"/>
                      <w:szCs w:val="22"/>
                    </w:rPr>
                  </w:pPr>
                  <w:r w:rsidRPr="00A83991">
                    <w:rPr>
                      <w:color w:val="000000"/>
                      <w:sz w:val="22"/>
                      <w:szCs w:val="22"/>
                    </w:rPr>
                    <w:t>p</w:t>
                  </w:r>
                  <w:r w:rsidR="00471226" w:rsidRPr="00A83991">
                    <w:rPr>
                      <w:color w:val="000000"/>
                      <w:sz w:val="22"/>
                      <w:szCs w:val="22"/>
                    </w:rPr>
                    <w:t>yrexia, ast</w:t>
                  </w:r>
                  <w:r w:rsidRPr="00A83991">
                    <w:rPr>
                      <w:color w:val="000000"/>
                      <w:sz w:val="22"/>
                      <w:szCs w:val="22"/>
                    </w:rPr>
                    <w:t>é</w:t>
                  </w:r>
                  <w:r w:rsidR="00471226" w:rsidRPr="00A83991">
                    <w:rPr>
                      <w:color w:val="000000"/>
                      <w:sz w:val="22"/>
                      <w:szCs w:val="22"/>
                    </w:rPr>
                    <w:t xml:space="preserve">nia, </w:t>
                  </w:r>
                  <w:r w:rsidRPr="00A83991">
                    <w:rPr>
                      <w:color w:val="000000"/>
                      <w:sz w:val="22"/>
                      <w:szCs w:val="22"/>
                    </w:rPr>
                    <w:t>podráždenosť</w:t>
                  </w:r>
                  <w:r w:rsidR="00471226" w:rsidRPr="00A83991">
                    <w:rPr>
                      <w:color w:val="000000"/>
                      <w:sz w:val="22"/>
                      <w:szCs w:val="22"/>
                    </w:rPr>
                    <w:t xml:space="preserve">, </w:t>
                  </w:r>
                  <w:r w:rsidRPr="00A83991">
                    <w:rPr>
                      <w:color w:val="000000"/>
                      <w:sz w:val="22"/>
                      <w:szCs w:val="22"/>
                    </w:rPr>
                    <w:t>poruchy chôdze</w:t>
                  </w:r>
                  <w:r w:rsidR="00471226" w:rsidRPr="00A83991">
                    <w:rPr>
                      <w:color w:val="000000"/>
                      <w:sz w:val="22"/>
                      <w:szCs w:val="22"/>
                    </w:rPr>
                    <w:t xml:space="preserve">, </w:t>
                  </w:r>
                  <w:r w:rsidRPr="00A83991">
                    <w:rPr>
                      <w:color w:val="000000"/>
                      <w:sz w:val="22"/>
                      <w:szCs w:val="22"/>
                    </w:rPr>
                    <w:t>abnormálny pocit, malátnosť</w:t>
                  </w:r>
                  <w:r w:rsidR="00471226" w:rsidRPr="00A83991">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575187" w:rsidP="00575187">
                  <w:pPr>
                    <w:spacing w:before="100" w:beforeAutospacing="1" w:after="75"/>
                    <w:rPr>
                      <w:color w:val="000000"/>
                      <w:sz w:val="22"/>
                      <w:szCs w:val="22"/>
                    </w:rPr>
                  </w:pPr>
                  <w:r w:rsidRPr="00A83991">
                    <w:rPr>
                      <w:color w:val="000000"/>
                      <w:sz w:val="22"/>
                      <w:szCs w:val="22"/>
                    </w:rPr>
                    <w:t>h</w:t>
                  </w:r>
                  <w:r w:rsidR="00471226" w:rsidRPr="00A83991">
                    <w:rPr>
                      <w:color w:val="000000"/>
                      <w:sz w:val="22"/>
                      <w:szCs w:val="22"/>
                    </w:rPr>
                    <w:t xml:space="preserve">ypertermia, </w:t>
                  </w:r>
                  <w:r w:rsidRPr="00A83991">
                    <w:rPr>
                      <w:color w:val="000000"/>
                      <w:sz w:val="22"/>
                      <w:szCs w:val="22"/>
                    </w:rPr>
                    <w:t>smäd</w:t>
                  </w:r>
                  <w:r w:rsidR="00471226" w:rsidRPr="00A83991">
                    <w:rPr>
                      <w:color w:val="000000"/>
                      <w:sz w:val="22"/>
                      <w:szCs w:val="22"/>
                    </w:rPr>
                    <w:t xml:space="preserve">, </w:t>
                  </w:r>
                  <w:r w:rsidRPr="00A83991">
                    <w:rPr>
                      <w:color w:val="000000"/>
                      <w:sz w:val="22"/>
                      <w:szCs w:val="22"/>
                    </w:rPr>
                    <w:t>ochorenie podobné chrípke</w:t>
                  </w:r>
                  <w:r w:rsidR="00471226" w:rsidRPr="00A83991">
                    <w:rPr>
                      <w:color w:val="000000"/>
                      <w:sz w:val="22"/>
                      <w:szCs w:val="22"/>
                    </w:rPr>
                    <w:t xml:space="preserve">*, </w:t>
                  </w:r>
                  <w:r w:rsidRPr="00A83991">
                    <w:rPr>
                      <w:color w:val="000000"/>
                      <w:sz w:val="22"/>
                      <w:szCs w:val="22"/>
                    </w:rPr>
                    <w:t>pomalosť</w:t>
                  </w:r>
                  <w:r w:rsidR="00471226" w:rsidRPr="00A83991">
                    <w:rPr>
                      <w:color w:val="000000"/>
                      <w:sz w:val="22"/>
                      <w:szCs w:val="22"/>
                    </w:rPr>
                    <w:t>, peri</w:t>
                  </w:r>
                  <w:r w:rsidRPr="00A83991">
                    <w:rPr>
                      <w:color w:val="000000"/>
                      <w:sz w:val="22"/>
                      <w:szCs w:val="22"/>
                    </w:rPr>
                    <w:t>férny chlad</w:t>
                  </w:r>
                  <w:r w:rsidR="00471226" w:rsidRPr="00A83991">
                    <w:rPr>
                      <w:color w:val="000000"/>
                      <w:sz w:val="22"/>
                      <w:szCs w:val="22"/>
                    </w:rPr>
                    <w:t xml:space="preserve">, </w:t>
                  </w:r>
                  <w:r w:rsidRPr="00A83991">
                    <w:rPr>
                      <w:color w:val="000000"/>
                      <w:sz w:val="22"/>
                      <w:szCs w:val="22"/>
                    </w:rPr>
                    <w:t>pocit opitosti</w:t>
                  </w:r>
                  <w:r w:rsidR="00471226" w:rsidRPr="00A83991">
                    <w:rPr>
                      <w:color w:val="000000"/>
                      <w:sz w:val="22"/>
                      <w:szCs w:val="22"/>
                    </w:rPr>
                    <w:t xml:space="preserve">, </w:t>
                  </w:r>
                  <w:r w:rsidRPr="00A83991">
                    <w:rPr>
                      <w:color w:val="000000"/>
                      <w:sz w:val="22"/>
                      <w:szCs w:val="22"/>
                    </w:rPr>
                    <w:t>pocit nervozity</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575187" w:rsidP="00575187">
                  <w:pPr>
                    <w:spacing w:before="100" w:beforeAutospacing="1" w:after="75"/>
                    <w:rPr>
                      <w:color w:val="000000"/>
                      <w:sz w:val="22"/>
                      <w:szCs w:val="22"/>
                    </w:rPr>
                  </w:pPr>
                  <w:r w:rsidRPr="00A83991">
                    <w:rPr>
                      <w:color w:val="000000"/>
                      <w:sz w:val="22"/>
                      <w:szCs w:val="22"/>
                    </w:rPr>
                    <w:t>edém tváre</w:t>
                  </w:r>
                  <w:r w:rsidR="00471226" w:rsidRPr="00A83991">
                    <w:rPr>
                      <w:color w:val="000000"/>
                      <w:sz w:val="22"/>
                      <w:szCs w:val="22"/>
                    </w:rPr>
                    <w:t xml:space="preserve">, </w:t>
                  </w:r>
                  <w:r w:rsidRPr="00A83991">
                    <w:rPr>
                      <w:color w:val="000000"/>
                      <w:sz w:val="22"/>
                      <w:szCs w:val="22"/>
                    </w:rPr>
                    <w:t>kalcinóza</w:t>
                  </w:r>
                  <w:r w:rsidR="00471226" w:rsidRPr="00A83991">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575187" w:rsidP="004377EB">
                  <w:pPr>
                    <w:spacing w:before="100" w:beforeAutospacing="1" w:after="75"/>
                    <w:rPr>
                      <w:color w:val="000000"/>
                      <w:sz w:val="22"/>
                      <w:szCs w:val="22"/>
                    </w:rPr>
                  </w:pPr>
                  <w:r w:rsidRPr="00A83991">
                    <w:rPr>
                      <w:color w:val="000000"/>
                      <w:sz w:val="22"/>
                      <w:szCs w:val="22"/>
                    </w:rPr>
                    <w:t>Laborat</w:t>
                  </w:r>
                  <w:r w:rsidR="004377EB" w:rsidRPr="00A83991">
                    <w:rPr>
                      <w:color w:val="000000"/>
                      <w:sz w:val="22"/>
                      <w:szCs w:val="22"/>
                    </w:rPr>
                    <w:t>ó</w:t>
                  </w:r>
                  <w:r w:rsidRPr="00A83991">
                    <w:rPr>
                      <w:color w:val="000000"/>
                      <w:sz w:val="22"/>
                      <w:szCs w:val="22"/>
                    </w:rPr>
                    <w:t>rne a funkčné vyšetrenia</w:t>
                  </w:r>
                  <w:r w:rsidR="00471226"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377EB" w:rsidP="004377EB">
                  <w:pPr>
                    <w:spacing w:before="100" w:beforeAutospacing="1" w:after="75"/>
                    <w:rPr>
                      <w:color w:val="000000"/>
                      <w:sz w:val="22"/>
                      <w:szCs w:val="22"/>
                    </w:rPr>
                  </w:pPr>
                  <w:r w:rsidRPr="00A83991">
                    <w:rPr>
                      <w:color w:val="000000"/>
                      <w:sz w:val="22"/>
                      <w:szCs w:val="22"/>
                    </w:rPr>
                    <w:t>zníženie hmotnosti</w:t>
                  </w:r>
                  <w:r w:rsidR="00471226" w:rsidRPr="00A83991">
                    <w:rPr>
                      <w:color w:val="000000"/>
                      <w:sz w:val="22"/>
                      <w:szCs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4377EB" w:rsidP="004377EB">
                  <w:pPr>
                    <w:spacing w:before="100" w:beforeAutospacing="1" w:after="75"/>
                    <w:rPr>
                      <w:color w:val="000000"/>
                      <w:sz w:val="22"/>
                      <w:szCs w:val="22"/>
                    </w:rPr>
                  </w:pPr>
                  <w:r w:rsidRPr="00A83991">
                    <w:rPr>
                      <w:color w:val="000000"/>
                      <w:sz w:val="22"/>
                      <w:szCs w:val="22"/>
                    </w:rPr>
                    <w:t>zvýšenie hmotnosti</w:t>
                  </w:r>
                  <w:r w:rsidR="00471226" w:rsidRPr="00A83991">
                    <w:rPr>
                      <w:color w:val="000000"/>
                      <w:sz w:val="22"/>
                      <w:szCs w:val="22"/>
                    </w:rPr>
                    <w:t xml:space="preserve">*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4377EB" w:rsidP="00CA0904">
                  <w:pPr>
                    <w:spacing w:before="100" w:beforeAutospacing="1" w:after="75"/>
                    <w:rPr>
                      <w:color w:val="000000"/>
                      <w:sz w:val="22"/>
                      <w:szCs w:val="22"/>
                    </w:rPr>
                  </w:pPr>
                  <w:r w:rsidRPr="00A83991">
                    <w:rPr>
                      <w:color w:val="000000"/>
                      <w:sz w:val="22"/>
                      <w:szCs w:val="22"/>
                    </w:rPr>
                    <w:t>prítomnosť kryštálov v moči</w:t>
                  </w:r>
                  <w:r w:rsidR="00471226" w:rsidRPr="00A83991">
                    <w:rPr>
                      <w:color w:val="000000"/>
                      <w:sz w:val="22"/>
                      <w:szCs w:val="22"/>
                    </w:rPr>
                    <w:t xml:space="preserve">, </w:t>
                  </w:r>
                  <w:r w:rsidRPr="00A83991">
                    <w:rPr>
                      <w:color w:val="000000"/>
                      <w:sz w:val="22"/>
                      <w:szCs w:val="22"/>
                    </w:rPr>
                    <w:t>abnormálny test chôdze po čiare</w:t>
                  </w:r>
                  <w:r w:rsidR="00471226" w:rsidRPr="00A83991">
                    <w:rPr>
                      <w:color w:val="000000"/>
                      <w:sz w:val="22"/>
                      <w:szCs w:val="22"/>
                    </w:rPr>
                    <w:t xml:space="preserve">, </w:t>
                  </w:r>
                  <w:r w:rsidRPr="00A83991">
                    <w:rPr>
                      <w:color w:val="000000"/>
                      <w:sz w:val="22"/>
                      <w:szCs w:val="22"/>
                    </w:rPr>
                    <w:t>zníženie počtu bielych krviniek</w:t>
                  </w:r>
                  <w:r w:rsidR="00471226" w:rsidRPr="00A83991">
                    <w:rPr>
                      <w:color w:val="000000"/>
                      <w:sz w:val="22"/>
                      <w:szCs w:val="22"/>
                    </w:rPr>
                    <w:t xml:space="preserve">, </w:t>
                  </w:r>
                  <w:r w:rsidRPr="00A83991">
                    <w:rPr>
                      <w:color w:val="000000"/>
                      <w:sz w:val="22"/>
                      <w:szCs w:val="22"/>
                    </w:rPr>
                    <w:t>zvýšenie hladiny pečeňových e</w:t>
                  </w:r>
                  <w:r w:rsidR="00CA0904">
                    <w:rPr>
                      <w:color w:val="000000"/>
                      <w:sz w:val="22"/>
                      <w:szCs w:val="22"/>
                    </w:rPr>
                    <w:t>n</w:t>
                  </w:r>
                  <w:r w:rsidRPr="00A83991">
                    <w:rPr>
                      <w:color w:val="000000"/>
                      <w:sz w:val="22"/>
                      <w:szCs w:val="22"/>
                    </w:rPr>
                    <w:t>zýmov</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377EB" w:rsidP="004377EB">
                  <w:pPr>
                    <w:spacing w:before="100" w:beforeAutospacing="1" w:after="75"/>
                    <w:rPr>
                      <w:color w:val="000000"/>
                      <w:sz w:val="22"/>
                      <w:szCs w:val="22"/>
                    </w:rPr>
                  </w:pPr>
                  <w:r w:rsidRPr="00A83991">
                    <w:rPr>
                      <w:color w:val="000000"/>
                      <w:sz w:val="22"/>
                      <w:szCs w:val="22"/>
                    </w:rPr>
                    <w:t>zníženie hladiny bikarbonátov v krvi</w:t>
                  </w:r>
                  <w:r w:rsidR="00471226" w:rsidRPr="00A83991">
                    <w:rPr>
                      <w:color w:val="000000"/>
                      <w:sz w:val="22"/>
                      <w:szCs w:val="22"/>
                    </w:rPr>
                    <w:t xml:space="preserve">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7A5C61" w:rsidRPr="00A83991" w:rsidTr="0024509D">
              <w:trPr>
                <w:trHeight w:val="147"/>
                <w:tblCellSpacing w:w="0" w:type="dxa"/>
              </w:trPr>
              <w:tc>
                <w:tcPr>
                  <w:tcW w:w="688" w:type="pct"/>
                  <w:tcBorders>
                    <w:top w:val="outset" w:sz="6" w:space="0" w:color="auto"/>
                    <w:left w:val="outset" w:sz="6" w:space="0" w:color="auto"/>
                    <w:bottom w:val="outset" w:sz="6" w:space="0" w:color="auto"/>
                    <w:right w:val="outset" w:sz="6" w:space="0" w:color="auto"/>
                  </w:tcBorders>
                </w:tcPr>
                <w:p w:rsidR="00471226" w:rsidRPr="00A83991" w:rsidRDefault="00471226" w:rsidP="004377EB">
                  <w:pPr>
                    <w:spacing w:before="100" w:beforeAutospacing="1" w:after="75"/>
                    <w:rPr>
                      <w:color w:val="000000"/>
                      <w:sz w:val="22"/>
                      <w:szCs w:val="22"/>
                    </w:rPr>
                  </w:pPr>
                  <w:r w:rsidRPr="00A83991">
                    <w:rPr>
                      <w:color w:val="000000"/>
                      <w:sz w:val="22"/>
                      <w:szCs w:val="22"/>
                    </w:rPr>
                    <w:t>Soci</w:t>
                  </w:r>
                  <w:r w:rsidR="004377EB" w:rsidRPr="00A83991">
                    <w:rPr>
                      <w:color w:val="000000"/>
                      <w:sz w:val="22"/>
                      <w:szCs w:val="22"/>
                    </w:rPr>
                    <w:t>álne podmienky</w:t>
                  </w:r>
                  <w:r w:rsidRPr="00A83991">
                    <w:rPr>
                      <w:color w:val="000000"/>
                      <w:sz w:val="22"/>
                      <w:szCs w:val="22"/>
                    </w:rPr>
                    <w:t xml:space="preserve"> </w:t>
                  </w:r>
                </w:p>
              </w:tc>
              <w:tc>
                <w:tcPr>
                  <w:tcW w:w="739"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795"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1124" w:type="pct"/>
                  <w:tcBorders>
                    <w:top w:val="outset" w:sz="6" w:space="0" w:color="auto"/>
                    <w:left w:val="outset" w:sz="6" w:space="0" w:color="auto"/>
                    <w:bottom w:val="outset" w:sz="6" w:space="0" w:color="auto"/>
                    <w:right w:val="outset" w:sz="6" w:space="0" w:color="auto"/>
                  </w:tcBorders>
                </w:tcPr>
                <w:p w:rsidR="00471226" w:rsidRPr="00A83991" w:rsidRDefault="004377EB" w:rsidP="004377EB">
                  <w:pPr>
                    <w:spacing w:before="100" w:beforeAutospacing="1" w:after="75"/>
                    <w:rPr>
                      <w:color w:val="000000"/>
                      <w:sz w:val="22"/>
                      <w:szCs w:val="22"/>
                    </w:rPr>
                  </w:pPr>
                  <w:r w:rsidRPr="00A83991">
                    <w:rPr>
                      <w:color w:val="000000"/>
                      <w:sz w:val="22"/>
                      <w:szCs w:val="22"/>
                    </w:rPr>
                    <w:t>neschopnosť učiť sa</w:t>
                  </w:r>
                  <w:r w:rsidR="00471226" w:rsidRPr="00A83991">
                    <w:rPr>
                      <w:color w:val="000000"/>
                      <w:sz w:val="22"/>
                      <w:szCs w:val="22"/>
                    </w:rPr>
                    <w:t xml:space="preserve"> </w:t>
                  </w:r>
                </w:p>
              </w:tc>
              <w:tc>
                <w:tcPr>
                  <w:tcW w:w="767"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c>
                <w:tcPr>
                  <w:tcW w:w="888" w:type="pct"/>
                  <w:tcBorders>
                    <w:top w:val="outset" w:sz="6" w:space="0" w:color="auto"/>
                    <w:left w:val="outset" w:sz="6" w:space="0" w:color="auto"/>
                    <w:bottom w:val="outset" w:sz="6" w:space="0" w:color="auto"/>
                    <w:right w:val="outset" w:sz="6" w:space="0" w:color="auto"/>
                  </w:tcBorders>
                </w:tcPr>
                <w:p w:rsidR="00471226" w:rsidRPr="00A83991" w:rsidRDefault="00471226" w:rsidP="005C5D73">
                  <w:pPr>
                    <w:rPr>
                      <w:color w:val="000000"/>
                      <w:sz w:val="22"/>
                      <w:szCs w:val="22"/>
                    </w:rPr>
                  </w:pPr>
                  <w:r w:rsidRPr="00A83991">
                    <w:rPr>
                      <w:color w:val="000000"/>
                      <w:sz w:val="22"/>
                      <w:szCs w:val="22"/>
                    </w:rPr>
                    <w:t> </w:t>
                  </w:r>
                </w:p>
              </w:tc>
            </w:tr>
            <w:tr w:rsidR="00471226" w:rsidRPr="00A83991" w:rsidTr="0024509D">
              <w:trPr>
                <w:trHeight w:val="147"/>
                <w:tblCellSpacing w:w="0" w:type="dxa"/>
              </w:trPr>
              <w:tc>
                <w:tcPr>
                  <w:tcW w:w="5000" w:type="pct"/>
                  <w:gridSpan w:val="6"/>
                  <w:tcBorders>
                    <w:top w:val="outset" w:sz="6" w:space="0" w:color="auto"/>
                    <w:left w:val="outset" w:sz="6" w:space="0" w:color="auto"/>
                    <w:bottom w:val="outset" w:sz="6" w:space="0" w:color="auto"/>
                    <w:right w:val="outset" w:sz="6" w:space="0" w:color="auto"/>
                  </w:tcBorders>
                </w:tcPr>
                <w:p w:rsidR="00471226" w:rsidRPr="00A83991" w:rsidRDefault="00471226" w:rsidP="004377EB">
                  <w:pPr>
                    <w:spacing w:before="100" w:beforeAutospacing="1" w:after="75"/>
                    <w:rPr>
                      <w:color w:val="000000"/>
                      <w:sz w:val="22"/>
                      <w:szCs w:val="22"/>
                    </w:rPr>
                  </w:pPr>
                  <w:r w:rsidRPr="00A83991">
                    <w:rPr>
                      <w:color w:val="000000"/>
                      <w:sz w:val="22"/>
                      <w:szCs w:val="22"/>
                    </w:rPr>
                    <w:t>* identif</w:t>
                  </w:r>
                  <w:r w:rsidR="004377EB" w:rsidRPr="00A83991">
                    <w:rPr>
                      <w:color w:val="000000"/>
                      <w:sz w:val="22"/>
                      <w:szCs w:val="22"/>
                    </w:rPr>
                    <w:t>ikované ako nežiaduca reakcia zo spontánnych hlásení po uvedení lieku na trh. Ich frekvencia bola vypočítaná na základe údajov z klinických štúdií.</w:t>
                  </w:r>
                  <w:r w:rsidRPr="00A83991">
                    <w:rPr>
                      <w:color w:val="000000"/>
                      <w:sz w:val="22"/>
                      <w:szCs w:val="22"/>
                    </w:rPr>
                    <w:t xml:space="preserve"> </w:t>
                  </w:r>
                </w:p>
              </w:tc>
            </w:tr>
          </w:tbl>
          <w:p w:rsidR="00471226" w:rsidRPr="00A83991" w:rsidRDefault="00471226" w:rsidP="005C5D73">
            <w:pPr>
              <w:autoSpaceDE w:val="0"/>
              <w:autoSpaceDN w:val="0"/>
              <w:adjustRightInd w:val="0"/>
              <w:jc w:val="center"/>
              <w:rPr>
                <w:color w:val="000000"/>
                <w:sz w:val="22"/>
                <w:szCs w:val="22"/>
                <w:lang w:eastAsia="is-IS"/>
              </w:rPr>
            </w:pPr>
          </w:p>
        </w:tc>
      </w:tr>
    </w:tbl>
    <w:p w:rsidR="00FA696D" w:rsidRPr="00A83991" w:rsidRDefault="00FA696D">
      <w:pPr>
        <w:rPr>
          <w:sz w:val="22"/>
          <w:szCs w:val="22"/>
          <w:lang w:val="sk-SK"/>
        </w:rPr>
      </w:pPr>
    </w:p>
    <w:p w:rsidR="00FB3884" w:rsidRPr="000971FE" w:rsidRDefault="00FB3884" w:rsidP="00412874">
      <w:pPr>
        <w:tabs>
          <w:tab w:val="left" w:pos="567"/>
        </w:tabs>
        <w:rPr>
          <w:rStyle w:val="EmphasisA"/>
          <w:rFonts w:ascii="Times New Roman" w:eastAsia="Times New Roman" w:hAnsi="Times New Roman"/>
          <w:b w:val="0"/>
          <w:sz w:val="22"/>
          <w:szCs w:val="22"/>
          <w:lang w:val="sk-SK"/>
        </w:rPr>
      </w:pPr>
      <w:r>
        <w:rPr>
          <w:rStyle w:val="EmphasisA"/>
          <w:rFonts w:ascii="Times New Roman" w:eastAsia="Times New Roman" w:hAnsi="Times New Roman"/>
          <w:b w:val="0"/>
          <w:sz w:val="22"/>
          <w:szCs w:val="22"/>
          <w:lang w:val="sk-SK"/>
        </w:rPr>
        <w:t>Vrodené malformácie a obmedzenia rastu plodu (</w:t>
      </w:r>
      <w:r w:rsidR="00864379">
        <w:rPr>
          <w:rStyle w:val="EmphasisA"/>
          <w:rFonts w:ascii="Times New Roman" w:eastAsia="Times New Roman" w:hAnsi="Times New Roman"/>
          <w:b w:val="0"/>
          <w:sz w:val="22"/>
          <w:szCs w:val="22"/>
          <w:lang w:val="sk-SK"/>
        </w:rPr>
        <w:t>pozri časť 4.4 a časť 4.6).</w:t>
      </w:r>
    </w:p>
    <w:p w:rsidR="00FB3884" w:rsidRDefault="00FB3884" w:rsidP="00412874">
      <w:pPr>
        <w:tabs>
          <w:tab w:val="left" w:pos="567"/>
        </w:tabs>
        <w:rPr>
          <w:rStyle w:val="EmphasisA"/>
          <w:rFonts w:ascii="Times New Roman" w:eastAsia="Times New Roman" w:hAnsi="Times New Roman"/>
          <w:b w:val="0"/>
          <w:sz w:val="22"/>
          <w:szCs w:val="22"/>
          <w:u w:val="single"/>
          <w:lang w:val="sk-SK"/>
        </w:rPr>
      </w:pPr>
    </w:p>
    <w:p w:rsidR="00412874" w:rsidRPr="00412874" w:rsidRDefault="00412874" w:rsidP="00412874">
      <w:pPr>
        <w:tabs>
          <w:tab w:val="left" w:pos="567"/>
        </w:tabs>
        <w:rPr>
          <w:rStyle w:val="EmphasisA"/>
          <w:rFonts w:ascii="Times New Roman" w:eastAsia="Times New Roman" w:hAnsi="Times New Roman"/>
          <w:b w:val="0"/>
          <w:sz w:val="22"/>
          <w:szCs w:val="22"/>
          <w:u w:val="single"/>
          <w:lang w:val="sk-SK"/>
        </w:rPr>
      </w:pPr>
      <w:r w:rsidRPr="00412874">
        <w:rPr>
          <w:rStyle w:val="EmphasisA"/>
          <w:rFonts w:ascii="Times New Roman" w:eastAsia="Times New Roman" w:hAnsi="Times New Roman"/>
          <w:b w:val="0"/>
          <w:sz w:val="22"/>
          <w:szCs w:val="22"/>
          <w:u w:val="single"/>
          <w:lang w:val="sk-SK"/>
        </w:rPr>
        <w:t>Hlásenie podozrení na nežiaduce reakcie</w:t>
      </w:r>
    </w:p>
    <w:p w:rsidR="00412874" w:rsidRPr="00412874" w:rsidRDefault="00412874" w:rsidP="00412874">
      <w:pPr>
        <w:tabs>
          <w:tab w:val="left" w:pos="567"/>
        </w:tabs>
        <w:rPr>
          <w:rStyle w:val="EmphasisA"/>
          <w:rFonts w:ascii="Times New Roman" w:eastAsia="Times New Roman" w:hAnsi="Times New Roman"/>
          <w:b w:val="0"/>
          <w:sz w:val="22"/>
          <w:szCs w:val="22"/>
          <w:lang w:val="sk-SK"/>
        </w:rPr>
      </w:pPr>
      <w:r w:rsidRPr="00412874">
        <w:rPr>
          <w:rStyle w:val="EmphasisA"/>
          <w:rFonts w:ascii="Times New Roman" w:eastAsia="Times New Roman" w:hAnsi="Times New Roman"/>
          <w:b w:val="0"/>
          <w:sz w:val="22"/>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w:t>
      </w:r>
      <w:r w:rsidR="00C60396">
        <w:rPr>
          <w:rStyle w:val="EmphasisA"/>
          <w:rFonts w:ascii="Times New Roman" w:eastAsia="Times New Roman" w:hAnsi="Times New Roman"/>
          <w:b w:val="0"/>
          <w:sz w:val="22"/>
          <w:szCs w:val="22"/>
          <w:lang w:val="sk-SK"/>
        </w:rPr>
        <w:t xml:space="preserve"> na </w:t>
      </w:r>
      <w:r w:rsidRPr="00412874">
        <w:rPr>
          <w:rStyle w:val="EmphasisA"/>
          <w:rFonts w:ascii="Times New Roman" w:eastAsia="Times New Roman" w:hAnsi="Times New Roman"/>
          <w:b w:val="0"/>
          <w:sz w:val="22"/>
          <w:szCs w:val="22"/>
          <w:highlight w:val="lightGray"/>
          <w:lang w:val="sk-SK"/>
        </w:rPr>
        <w:t>národné</w:t>
      </w:r>
      <w:r w:rsidR="00C60396">
        <w:rPr>
          <w:rStyle w:val="EmphasisA"/>
          <w:rFonts w:ascii="Times New Roman" w:eastAsia="Times New Roman" w:hAnsi="Times New Roman"/>
          <w:b w:val="0"/>
          <w:sz w:val="22"/>
          <w:szCs w:val="22"/>
          <w:highlight w:val="lightGray"/>
          <w:lang w:val="sk-SK"/>
        </w:rPr>
        <w:t xml:space="preserve"> centrum </w:t>
      </w:r>
      <w:r w:rsidRPr="00412874">
        <w:rPr>
          <w:rStyle w:val="EmphasisA"/>
          <w:rFonts w:ascii="Times New Roman" w:eastAsia="Times New Roman" w:hAnsi="Times New Roman"/>
          <w:b w:val="0"/>
          <w:sz w:val="22"/>
          <w:szCs w:val="22"/>
          <w:highlight w:val="lightGray"/>
          <w:lang w:val="sk-SK"/>
        </w:rPr>
        <w:t>hlásenia uvedené v Prílohe V.</w:t>
      </w:r>
    </w:p>
    <w:p w:rsidR="00412874" w:rsidRDefault="00412874" w:rsidP="004377EB">
      <w:pPr>
        <w:tabs>
          <w:tab w:val="left" w:pos="567"/>
        </w:tabs>
        <w:rPr>
          <w:rStyle w:val="EmphasisA"/>
          <w:rFonts w:ascii="Times New Roman" w:eastAsia="Times New Roman" w:hAnsi="Times New Roman"/>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4.9</w:t>
      </w:r>
      <w:r w:rsidR="004377EB"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 xml:space="preserve">Predávkovanie </w:t>
      </w:r>
    </w:p>
    <w:p w:rsidR="00FA696D" w:rsidRPr="00A83991" w:rsidRDefault="00FA696D" w:rsidP="000971FE">
      <w:pPr>
        <w:keepNext/>
        <w:rPr>
          <w:sz w:val="22"/>
          <w:szCs w:val="22"/>
          <w:lang w:val="sk-SK"/>
        </w:rPr>
      </w:pPr>
    </w:p>
    <w:p w:rsidR="00FA696D" w:rsidRPr="00A83991" w:rsidRDefault="00D2612D">
      <w:pPr>
        <w:rPr>
          <w:bCs/>
          <w:sz w:val="22"/>
          <w:szCs w:val="22"/>
          <w:u w:val="single"/>
          <w:lang w:val="sk-SK"/>
        </w:rPr>
      </w:pPr>
      <w:r w:rsidRPr="00A83991">
        <w:rPr>
          <w:bCs/>
          <w:sz w:val="22"/>
          <w:szCs w:val="22"/>
          <w:u w:val="single"/>
          <w:lang w:val="sk-SK"/>
        </w:rPr>
        <w:t>Pr</w:t>
      </w:r>
      <w:r w:rsidR="004377EB" w:rsidRPr="00A83991">
        <w:rPr>
          <w:bCs/>
          <w:sz w:val="22"/>
          <w:szCs w:val="22"/>
          <w:u w:val="single"/>
          <w:lang w:val="sk-SK"/>
        </w:rPr>
        <w:t>íznaky a symptómy </w:t>
      </w:r>
    </w:p>
    <w:p w:rsidR="004377EB" w:rsidRPr="00A83991" w:rsidRDefault="004377EB">
      <w:pPr>
        <w:rPr>
          <w:bCs/>
          <w:sz w:val="22"/>
          <w:szCs w:val="22"/>
          <w:u w:val="single"/>
          <w:lang w:val="sk-SK"/>
        </w:rPr>
      </w:pPr>
    </w:p>
    <w:p w:rsidR="004377EB" w:rsidRPr="00A83991" w:rsidRDefault="004377EB" w:rsidP="004377EB">
      <w:pPr>
        <w:pStyle w:val="Oznaitext"/>
        <w:keepNext/>
        <w:ind w:left="0"/>
        <w:jc w:val="left"/>
        <w:rPr>
          <w:rFonts w:ascii="Times New Roman" w:hAnsi="Times New Roman"/>
          <w:strike w:val="0"/>
          <w:color w:val="000000"/>
          <w:sz w:val="22"/>
          <w:szCs w:val="22"/>
        </w:rPr>
      </w:pPr>
      <w:r w:rsidRPr="00A83991">
        <w:rPr>
          <w:rFonts w:ascii="Times New Roman" w:hAnsi="Times New Roman"/>
          <w:strike w:val="0"/>
          <w:color w:val="000000"/>
          <w:sz w:val="22"/>
          <w:szCs w:val="22"/>
        </w:rPr>
        <w:t xml:space="preserve">Zaznamenali sa prípady predávkovania topiramátom. Príznaky a symptómy zahŕňali kŕče, ospanlivosť, poruchy reči, rozmazané videnie, diplopiu, zhoršenie duševnej činnosti, letargiu, abnormálnu koordináciu, </w:t>
      </w:r>
      <w:r w:rsidRPr="00A83991">
        <w:rPr>
          <w:rFonts w:ascii="Times New Roman" w:hAnsi="Times New Roman"/>
          <w:strike w:val="0"/>
          <w:color w:val="000000"/>
          <w:sz w:val="22"/>
          <w:szCs w:val="22"/>
        </w:rPr>
        <w:lastRenderedPageBreak/>
        <w:t>stupor, hypotenziu, abdominálnu bolesť, nepokoj, závraty a depresiu. Klinické následky vo väčšine prípadov neboli závažné, avšak po predávkovaní viacerými liekmi súčasne, vrátane topiramátu, boli zaznamenané úmrtia.</w:t>
      </w:r>
    </w:p>
    <w:p w:rsidR="004377EB" w:rsidRPr="00A83991" w:rsidRDefault="004377EB" w:rsidP="004377EB">
      <w:pPr>
        <w:pStyle w:val="Oznaitext"/>
        <w:ind w:left="0"/>
        <w:jc w:val="left"/>
        <w:rPr>
          <w:rFonts w:ascii="Times New Roman" w:hAnsi="Times New Roman"/>
          <w:strike w:val="0"/>
          <w:color w:val="000000"/>
          <w:sz w:val="22"/>
          <w:szCs w:val="22"/>
        </w:rPr>
      </w:pPr>
    </w:p>
    <w:p w:rsidR="004377EB" w:rsidRPr="00A83991" w:rsidRDefault="004377EB" w:rsidP="004377EB">
      <w:pPr>
        <w:pStyle w:val="Oznaitext"/>
        <w:ind w:left="0"/>
        <w:rPr>
          <w:rFonts w:ascii="Times New Roman" w:hAnsi="Times New Roman"/>
          <w:strike w:val="0"/>
          <w:color w:val="000000"/>
          <w:sz w:val="22"/>
          <w:szCs w:val="22"/>
        </w:rPr>
      </w:pPr>
      <w:r w:rsidRPr="00A83991">
        <w:rPr>
          <w:rFonts w:ascii="Times New Roman" w:hAnsi="Times New Roman"/>
          <w:strike w:val="0"/>
          <w:color w:val="000000"/>
          <w:sz w:val="22"/>
          <w:szCs w:val="22"/>
        </w:rPr>
        <w:t>Predávkovanie topiramátom môže viesť k závažnej metabolickej acidóze (pozri časť 4.4).</w:t>
      </w:r>
    </w:p>
    <w:p w:rsidR="004377EB" w:rsidRPr="00A83991" w:rsidRDefault="004377EB" w:rsidP="004377EB">
      <w:pPr>
        <w:pStyle w:val="Default"/>
        <w:tabs>
          <w:tab w:val="left" w:pos="567"/>
        </w:tabs>
        <w:rPr>
          <w:sz w:val="22"/>
          <w:szCs w:val="22"/>
          <w:u w:val="single"/>
          <w:lang w:val="sk-SK"/>
        </w:rPr>
      </w:pPr>
    </w:p>
    <w:p w:rsidR="004377EB" w:rsidRPr="00A83991" w:rsidRDefault="004377EB" w:rsidP="000971FE">
      <w:pPr>
        <w:pStyle w:val="Default"/>
        <w:keepNext/>
        <w:tabs>
          <w:tab w:val="left" w:pos="567"/>
        </w:tabs>
        <w:rPr>
          <w:sz w:val="22"/>
          <w:szCs w:val="22"/>
          <w:u w:val="single"/>
          <w:lang w:val="sk-SK"/>
        </w:rPr>
      </w:pPr>
      <w:r w:rsidRPr="00A83991">
        <w:rPr>
          <w:sz w:val="22"/>
          <w:szCs w:val="22"/>
          <w:u w:val="single"/>
          <w:lang w:val="sk-SK"/>
        </w:rPr>
        <w:t>Liečba</w:t>
      </w:r>
    </w:p>
    <w:p w:rsidR="004377EB" w:rsidRPr="00A83991" w:rsidRDefault="004377EB" w:rsidP="000971FE">
      <w:pPr>
        <w:pStyle w:val="Default"/>
        <w:keepNext/>
        <w:tabs>
          <w:tab w:val="left" w:pos="567"/>
        </w:tabs>
        <w:rPr>
          <w:sz w:val="22"/>
          <w:szCs w:val="22"/>
          <w:lang w:val="sk-SK"/>
        </w:rPr>
      </w:pPr>
    </w:p>
    <w:p w:rsidR="004377EB" w:rsidRPr="00A83991" w:rsidRDefault="004377EB" w:rsidP="004377EB">
      <w:pPr>
        <w:pStyle w:val="Default"/>
        <w:tabs>
          <w:tab w:val="left" w:pos="567"/>
        </w:tabs>
        <w:rPr>
          <w:sz w:val="22"/>
          <w:szCs w:val="22"/>
          <w:lang w:val="sk-SK"/>
        </w:rPr>
      </w:pPr>
      <w:r w:rsidRPr="00A83991">
        <w:rPr>
          <w:color w:val="000000"/>
          <w:sz w:val="22"/>
          <w:szCs w:val="22"/>
          <w:lang w:val="sk-SK"/>
        </w:rPr>
        <w:t xml:space="preserve">Pri akútnom predávkovaní topiramátom, ak bol liek užitý nedávno, má byť žalúdok ihneď vyprázdnený lavážou alebo vyvolaním vracania. Ukázalo sa, že aktívne uhlie adsorbuje topiramát </w:t>
      </w:r>
      <w:r w:rsidR="00EF130F" w:rsidRPr="00A83991">
        <w:rPr>
          <w:i/>
          <w:color w:val="000000"/>
          <w:sz w:val="22"/>
          <w:szCs w:val="22"/>
          <w:lang w:val="sk-SK"/>
        </w:rPr>
        <w:t>in</w:t>
      </w:r>
      <w:r w:rsidR="00E218C6" w:rsidRPr="00A83991">
        <w:rPr>
          <w:i/>
          <w:color w:val="000000"/>
          <w:sz w:val="22"/>
          <w:szCs w:val="22"/>
          <w:lang w:val="sk-SK"/>
        </w:rPr>
        <w:t> vitro</w:t>
      </w:r>
      <w:r w:rsidRPr="00A83991">
        <w:rPr>
          <w:color w:val="000000"/>
          <w:sz w:val="22"/>
          <w:szCs w:val="22"/>
          <w:lang w:val="sk-SK"/>
        </w:rPr>
        <w:t>. Liečba má byť podporná a p</w:t>
      </w:r>
      <w:r w:rsidRPr="00A83991">
        <w:rPr>
          <w:sz w:val="22"/>
          <w:szCs w:val="22"/>
          <w:lang w:val="sk-SK"/>
        </w:rPr>
        <w:t>acient má byť dostatočne hydratovaný</w:t>
      </w:r>
      <w:r w:rsidRPr="00A83991">
        <w:rPr>
          <w:color w:val="000000"/>
          <w:sz w:val="22"/>
          <w:szCs w:val="22"/>
          <w:lang w:val="sk-SK"/>
        </w:rPr>
        <w:t>.</w:t>
      </w:r>
      <w:r w:rsidRPr="00A83991">
        <w:rPr>
          <w:sz w:val="22"/>
          <w:szCs w:val="22"/>
          <w:lang w:val="sk-SK"/>
        </w:rPr>
        <w:t xml:space="preserve"> Hemodialýza je efektívny prostriedok na odstránenie topiramátu z organizmu.</w:t>
      </w:r>
    </w:p>
    <w:p w:rsidR="004377EB" w:rsidRPr="00A83991" w:rsidRDefault="004377EB">
      <w:pPr>
        <w:rPr>
          <w:bCs/>
          <w:sz w:val="22"/>
          <w:szCs w:val="22"/>
          <w:u w:val="single"/>
          <w:lang w:val="sk-SK"/>
        </w:rPr>
      </w:pPr>
    </w:p>
    <w:p w:rsidR="00FA696D" w:rsidRPr="00A83991" w:rsidRDefault="00FA696D">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5.</w:t>
      </w:r>
      <w:r w:rsidR="00E218C6"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FARMAKOLOGICKÉ VLASTNOSTI</w:t>
      </w:r>
    </w:p>
    <w:p w:rsidR="00FA696D" w:rsidRPr="00A83991" w:rsidRDefault="00FA696D" w:rsidP="000971FE">
      <w:pPr>
        <w:keepNext/>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5.1</w:t>
      </w:r>
      <w:r w:rsidR="00E218C6"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 xml:space="preserve">Farmakodynamické vlastnosti </w:t>
      </w:r>
    </w:p>
    <w:p w:rsidR="00FA696D" w:rsidRPr="00A83991" w:rsidRDefault="00FA696D" w:rsidP="000971FE">
      <w:pPr>
        <w:keepNext/>
        <w:rPr>
          <w:sz w:val="22"/>
          <w:szCs w:val="22"/>
          <w:lang w:val="sk-SK"/>
        </w:rPr>
      </w:pPr>
    </w:p>
    <w:p w:rsidR="00FA696D" w:rsidRPr="00A83991" w:rsidRDefault="00FA696D">
      <w:pPr>
        <w:rPr>
          <w:sz w:val="22"/>
          <w:szCs w:val="22"/>
          <w:lang w:val="sk-SK"/>
        </w:rPr>
      </w:pPr>
      <w:r w:rsidRPr="00A83991">
        <w:rPr>
          <w:bCs/>
          <w:sz w:val="22"/>
          <w:szCs w:val="22"/>
          <w:lang w:val="sk-SK"/>
        </w:rPr>
        <w:t>Farmakoterapeutická skupina:</w:t>
      </w:r>
      <w:r w:rsidRPr="00A83991">
        <w:rPr>
          <w:sz w:val="22"/>
          <w:szCs w:val="22"/>
          <w:lang w:val="sk-SK"/>
        </w:rPr>
        <w:t xml:space="preserve"> Iné antiepileptiká</w:t>
      </w:r>
      <w:r w:rsidR="009745B8">
        <w:rPr>
          <w:sz w:val="22"/>
          <w:szCs w:val="22"/>
          <w:lang w:val="sk-SK"/>
        </w:rPr>
        <w:t xml:space="preserve">, </w:t>
      </w:r>
      <w:r w:rsidRPr="00A83991">
        <w:rPr>
          <w:bCs/>
          <w:sz w:val="22"/>
          <w:szCs w:val="22"/>
          <w:lang w:val="sk-SK"/>
        </w:rPr>
        <w:t>ATC kód:</w:t>
      </w:r>
      <w:r w:rsidRPr="00A83991">
        <w:rPr>
          <w:sz w:val="22"/>
          <w:szCs w:val="22"/>
          <w:lang w:val="sk-SK"/>
        </w:rPr>
        <w:t xml:space="preserve"> N03AX11</w:t>
      </w:r>
    </w:p>
    <w:p w:rsidR="00FA696D" w:rsidRPr="00A83991" w:rsidRDefault="00FA696D">
      <w:pPr>
        <w:rPr>
          <w:sz w:val="22"/>
          <w:szCs w:val="22"/>
          <w:lang w:val="sk-SK"/>
        </w:rPr>
      </w:pPr>
    </w:p>
    <w:p w:rsidR="00E218C6" w:rsidRPr="00A83991" w:rsidRDefault="00E218C6" w:rsidP="00E218C6">
      <w:pPr>
        <w:suppressAutoHyphens/>
        <w:ind w:right="-369"/>
        <w:rPr>
          <w:sz w:val="22"/>
          <w:szCs w:val="22"/>
          <w:lang w:val="sk-SK"/>
        </w:rPr>
      </w:pPr>
      <w:r w:rsidRPr="00A83991">
        <w:rPr>
          <w:sz w:val="22"/>
          <w:szCs w:val="22"/>
          <w:lang w:val="sk-SK"/>
        </w:rPr>
        <w:t xml:space="preserve">Topiramát je klasifikovaný ako monosacharid substituovaný sulfamátom. Presný mechanizmus, akým topiramát uplatňuje svoje účinky proti záchvatom a na profylaxiu migrény, nie je známy. Elektrofyziologickými a biochemickými štúdiami na tkanivových kultúrach neurónov sa zistili tri vlastnosti, ktoré prispievajú k antiepileptickému účinku topiramátu. </w:t>
      </w:r>
    </w:p>
    <w:p w:rsidR="00E218C6" w:rsidRPr="00A83991" w:rsidRDefault="00E218C6" w:rsidP="00E218C6">
      <w:pPr>
        <w:pStyle w:val="Default"/>
        <w:rPr>
          <w:sz w:val="22"/>
          <w:szCs w:val="22"/>
          <w:lang w:val="sk-SK"/>
        </w:rPr>
      </w:pPr>
    </w:p>
    <w:p w:rsidR="00E218C6" w:rsidRPr="00A83991" w:rsidRDefault="00E218C6" w:rsidP="00E218C6">
      <w:pPr>
        <w:pStyle w:val="Default"/>
        <w:rPr>
          <w:sz w:val="22"/>
          <w:szCs w:val="22"/>
          <w:lang w:val="sk-SK"/>
        </w:rPr>
      </w:pPr>
      <w:r w:rsidRPr="00A83991">
        <w:rPr>
          <w:sz w:val="22"/>
          <w:szCs w:val="22"/>
          <w:lang w:val="sk-SK"/>
        </w:rPr>
        <w:t>Akčné potenciály, ktoré opakovane vznikajú počas pretrvávajúcej depolarizácie neurónov, boli topiramátom blokované v závislosti od času, čo pripomína blokádu napäťovo závislých sodíkových kanálov. Topiramát zvyšuje frekvenciu, ktorou kyselina γ-aminomaslová (GABA) aktivuje GABA</w:t>
      </w:r>
      <w:r w:rsidRPr="00A83991">
        <w:rPr>
          <w:sz w:val="22"/>
          <w:szCs w:val="22"/>
          <w:vertAlign w:val="subscript"/>
          <w:lang w:val="sk-SK"/>
        </w:rPr>
        <w:t>A</w:t>
      </w:r>
      <w:r w:rsidRPr="00A83991">
        <w:rPr>
          <w:sz w:val="22"/>
          <w:szCs w:val="22"/>
          <w:lang w:val="sk-SK"/>
        </w:rPr>
        <w:t xml:space="preserve"> receptory a zvyšuje schopnosť GABA indukovať tok chloridových iónov do neurónov, čo naznačuje, že topiramát potencuje aktivitu tohto inhibičného neurotransmitera.</w:t>
      </w:r>
    </w:p>
    <w:p w:rsidR="00E218C6" w:rsidRPr="00A83991" w:rsidRDefault="00E218C6" w:rsidP="00E218C6">
      <w:pPr>
        <w:pStyle w:val="Default"/>
        <w:rPr>
          <w:sz w:val="22"/>
          <w:szCs w:val="22"/>
          <w:lang w:val="sk-SK"/>
        </w:rPr>
      </w:pPr>
    </w:p>
    <w:p w:rsidR="00E218C6" w:rsidRPr="00A83991" w:rsidRDefault="00E218C6" w:rsidP="00E218C6">
      <w:pPr>
        <w:pStyle w:val="Default"/>
        <w:rPr>
          <w:sz w:val="22"/>
          <w:szCs w:val="22"/>
          <w:lang w:val="sk-SK"/>
        </w:rPr>
      </w:pPr>
      <w:r w:rsidRPr="00A83991">
        <w:rPr>
          <w:sz w:val="22"/>
          <w:szCs w:val="22"/>
          <w:lang w:val="sk-SK"/>
        </w:rPr>
        <w:t>Tento účinok nebol blokovaný flumazenilom, benzodiazepínovým antagonistom</w:t>
      </w:r>
      <w:r w:rsidR="00A11FE5" w:rsidRPr="00A83991">
        <w:rPr>
          <w:sz w:val="22"/>
          <w:szCs w:val="22"/>
          <w:lang w:val="sk-SK"/>
        </w:rPr>
        <w:t xml:space="preserve"> </w:t>
      </w:r>
      <w:r w:rsidRPr="00A83991">
        <w:rPr>
          <w:sz w:val="22"/>
          <w:szCs w:val="22"/>
          <w:lang w:val="sk-SK"/>
        </w:rPr>
        <w:t>a topiramát ani nepredlžoval čas otvorenia kanála, čo odlišuje topiramát od barbiturátov, ktoré modulujú GABA</w:t>
      </w:r>
      <w:r w:rsidRPr="00A83991">
        <w:rPr>
          <w:sz w:val="22"/>
          <w:szCs w:val="22"/>
          <w:vertAlign w:val="subscript"/>
          <w:lang w:val="sk-SK"/>
        </w:rPr>
        <w:t xml:space="preserve">A </w:t>
      </w:r>
      <w:r w:rsidRPr="00A83991">
        <w:rPr>
          <w:sz w:val="22"/>
          <w:szCs w:val="22"/>
          <w:lang w:val="sk-SK"/>
        </w:rPr>
        <w:t>receptory.</w:t>
      </w:r>
    </w:p>
    <w:p w:rsidR="00E218C6" w:rsidRPr="00A83991" w:rsidRDefault="00E218C6" w:rsidP="00E218C6">
      <w:pPr>
        <w:pStyle w:val="Default"/>
        <w:rPr>
          <w:sz w:val="22"/>
          <w:szCs w:val="22"/>
          <w:lang w:val="sk-SK"/>
        </w:rPr>
      </w:pPr>
    </w:p>
    <w:p w:rsidR="00E218C6" w:rsidRPr="00A83991" w:rsidRDefault="00E218C6" w:rsidP="00E218C6">
      <w:pPr>
        <w:pStyle w:val="Default"/>
        <w:rPr>
          <w:sz w:val="22"/>
          <w:szCs w:val="22"/>
          <w:lang w:val="sk-SK"/>
        </w:rPr>
      </w:pPr>
      <w:r w:rsidRPr="00A83991">
        <w:rPr>
          <w:sz w:val="22"/>
          <w:szCs w:val="22"/>
          <w:lang w:val="sk-SK"/>
        </w:rPr>
        <w:t>Pretože sa antiepileptický účinok topiramátu výrazne odlišuje od účinku benzodiazepínov, predpokladá sa účinok pôsobením na podtyp GABA</w:t>
      </w:r>
      <w:r w:rsidRPr="00A83991">
        <w:rPr>
          <w:sz w:val="22"/>
          <w:szCs w:val="22"/>
          <w:vertAlign w:val="subscript"/>
          <w:lang w:val="sk-SK"/>
        </w:rPr>
        <w:t>A</w:t>
      </w:r>
      <w:r w:rsidRPr="00A83991">
        <w:rPr>
          <w:sz w:val="22"/>
          <w:szCs w:val="22"/>
          <w:lang w:val="sk-SK"/>
        </w:rPr>
        <w:t xml:space="preserve"> receptora, ktorý nie je citlivý na benzodiazepíny. Topiramát antagonizuje schopnosť kainátu aktivovať kainát/AMPA (</w:t>
      </w:r>
      <w:r w:rsidRPr="00A83991">
        <w:rPr>
          <w:sz w:val="22"/>
          <w:szCs w:val="22"/>
          <w:lang w:val="sk-SK"/>
        </w:rPr>
        <w:sym w:font="Symbol" w:char="F061"/>
      </w:r>
      <w:r w:rsidRPr="00A83991">
        <w:rPr>
          <w:sz w:val="22"/>
          <w:szCs w:val="22"/>
          <w:lang w:val="sk-SK"/>
        </w:rPr>
        <w:t>-amino-3-hydoxy-5-metylizoxazol-4-propionová kyselina) podtyp receptorov pre excitačné aminokyseliny (glutamát), ale nemá vplyv na aktivitu N-metyl-D-aspartátu (NMDA) na NMDA podtype receptora. Tieto účinky topiramátu boli závislé od koncentrácie v rozsahu od 1 do 200 μmol, pri minimálnom účinku pozorovanom od 1 do 10 μmol.</w:t>
      </w:r>
    </w:p>
    <w:p w:rsidR="00E218C6" w:rsidRPr="00A83991" w:rsidRDefault="00E218C6" w:rsidP="00E218C6">
      <w:pPr>
        <w:pStyle w:val="Default"/>
        <w:rPr>
          <w:sz w:val="22"/>
          <w:szCs w:val="22"/>
          <w:lang w:val="sk-SK"/>
        </w:rPr>
      </w:pPr>
    </w:p>
    <w:p w:rsidR="00E218C6" w:rsidRPr="00A83991" w:rsidRDefault="00E218C6" w:rsidP="00E218C6">
      <w:pPr>
        <w:suppressAutoHyphens/>
        <w:ind w:right="-369"/>
        <w:rPr>
          <w:sz w:val="22"/>
          <w:szCs w:val="22"/>
          <w:lang w:val="sk-SK"/>
        </w:rPr>
      </w:pPr>
      <w:r w:rsidRPr="00A83991">
        <w:rPr>
          <w:sz w:val="22"/>
          <w:szCs w:val="22"/>
          <w:lang w:val="sk-SK"/>
        </w:rPr>
        <w:t>Topiramát navyše inhibuje niektoré izoenzýmy karboanhydrázy. Tento farmakokinetický účinok je oveľa slabší v porovnaní s acetazolamidom, známym inhibítorom karboanhydrázy, a nepovažuje sa za hlavnú zložku antiepileptického účinku topiramátu.</w:t>
      </w:r>
    </w:p>
    <w:p w:rsidR="00E218C6" w:rsidRPr="00A83991" w:rsidRDefault="00E218C6" w:rsidP="00E218C6">
      <w:pPr>
        <w:suppressAutoHyphens/>
        <w:ind w:right="-369"/>
        <w:rPr>
          <w:sz w:val="22"/>
          <w:szCs w:val="22"/>
          <w:lang w:val="sk-SK"/>
        </w:rPr>
      </w:pPr>
    </w:p>
    <w:p w:rsidR="00E218C6" w:rsidRPr="00A83991" w:rsidRDefault="00E218C6" w:rsidP="00E218C6">
      <w:pPr>
        <w:suppressAutoHyphens/>
        <w:ind w:right="-369"/>
        <w:rPr>
          <w:sz w:val="22"/>
          <w:szCs w:val="22"/>
          <w:lang w:val="sk-SK"/>
        </w:rPr>
      </w:pPr>
      <w:r w:rsidRPr="00A83991">
        <w:rPr>
          <w:sz w:val="22"/>
          <w:szCs w:val="22"/>
          <w:lang w:val="sk-SK"/>
        </w:rPr>
        <w:t>V štúdiách na zvieratách topiramát vykazoval antikonvulzívny účinok u potkanov a myší pri teste so záchvatmi vyvolanými maximálnym elektrošokom (MES – maximal electroshock seizure) a je účinný u hlodavcov s epilepsiou, ktorá zahŕňa tonické kŕče a záchvaty podobné absencii u potkanov so spontánnou epilepsiou (SER – spontaneous epileptic rat) a u potkanov s tonickými a klonickými kŕčmi vyvolanými dráždením amygdaly alebo celkovou ischémiou. Topiramát je len slabo účinný v blokovaní klonických kŕčov vyvolaných antagonistom GABA</w:t>
      </w:r>
      <w:r w:rsidRPr="00A83991">
        <w:rPr>
          <w:sz w:val="22"/>
          <w:szCs w:val="22"/>
          <w:vertAlign w:val="subscript"/>
          <w:lang w:val="sk-SK"/>
        </w:rPr>
        <w:t>A</w:t>
      </w:r>
      <w:r w:rsidRPr="00A83991">
        <w:rPr>
          <w:sz w:val="22"/>
          <w:szCs w:val="22"/>
          <w:lang w:val="sk-SK"/>
        </w:rPr>
        <w:t xml:space="preserve"> receptorov, pentetrazolom.</w:t>
      </w:r>
    </w:p>
    <w:p w:rsidR="00E218C6" w:rsidRPr="00A83991" w:rsidRDefault="00E218C6" w:rsidP="00E218C6">
      <w:pPr>
        <w:pStyle w:val="Default"/>
        <w:rPr>
          <w:sz w:val="22"/>
          <w:szCs w:val="22"/>
          <w:lang w:val="sk-SK"/>
        </w:rPr>
      </w:pPr>
    </w:p>
    <w:p w:rsidR="00E218C6" w:rsidRPr="00A83991" w:rsidRDefault="00E218C6" w:rsidP="00E218C6">
      <w:pPr>
        <w:pStyle w:val="Default"/>
        <w:rPr>
          <w:sz w:val="22"/>
          <w:szCs w:val="22"/>
          <w:lang w:val="sk-SK"/>
        </w:rPr>
      </w:pPr>
      <w:r w:rsidRPr="00A83991">
        <w:rPr>
          <w:sz w:val="22"/>
          <w:szCs w:val="22"/>
          <w:lang w:val="sk-SK"/>
        </w:rPr>
        <w:t xml:space="preserve">Štúdie na myšiach, ktorým sa súčasne podával topiramát a karbamazepín alebo fenobarbital, vykazovali synergickú antikonvulzívnu aktivitu, zatiaľ čo kombinácia s fenytoínom vykázala aditívnu antikonvulzívnu aktivitu. V kontrolovaných štúdiách s prídavnou terapiou topiramátom sa </w:t>
      </w:r>
      <w:r w:rsidRPr="00A83991">
        <w:rPr>
          <w:sz w:val="22"/>
          <w:szCs w:val="22"/>
          <w:lang w:val="sk-SK"/>
        </w:rPr>
        <w:lastRenderedPageBreak/>
        <w:t>nepreukázala žiadna korelácia medzi plazmatickými hladinami topiramátu na konci dávkového intervalu a jeho klinickou účinnosťou. U ľudí sa nepreukázal žiadny vývoj tolerancie voči topiramátu.</w:t>
      </w:r>
    </w:p>
    <w:p w:rsidR="00E218C6" w:rsidRPr="00A83991" w:rsidRDefault="00E218C6">
      <w:pPr>
        <w:rPr>
          <w:sz w:val="22"/>
          <w:szCs w:val="22"/>
          <w:lang w:val="sk-SK"/>
        </w:rPr>
      </w:pPr>
    </w:p>
    <w:p w:rsidR="00A11FE5" w:rsidRPr="00A83991" w:rsidRDefault="00A11FE5">
      <w:pPr>
        <w:rPr>
          <w:sz w:val="22"/>
          <w:szCs w:val="22"/>
          <w:u w:val="single"/>
          <w:lang w:val="sk-SK"/>
        </w:rPr>
      </w:pPr>
      <w:r w:rsidRPr="00A83991">
        <w:rPr>
          <w:sz w:val="22"/>
          <w:szCs w:val="22"/>
          <w:u w:val="single"/>
          <w:lang w:val="sk-SK"/>
        </w:rPr>
        <w:t>Neprítomnosť záchvatov</w:t>
      </w:r>
    </w:p>
    <w:p w:rsidR="00A11FE5" w:rsidRPr="00A83991" w:rsidRDefault="00A11FE5">
      <w:pPr>
        <w:rPr>
          <w:sz w:val="22"/>
          <w:szCs w:val="22"/>
          <w:lang w:val="sk-SK"/>
        </w:rPr>
      </w:pPr>
      <w:r w:rsidRPr="00A83991">
        <w:rPr>
          <w:sz w:val="22"/>
          <w:szCs w:val="22"/>
          <w:lang w:val="sk-SK"/>
        </w:rPr>
        <w:t>Výsledky z dvoch štúdií (CAPSS-326 a TOPMAT-ABS-001) preukázali, že liečba topiramátom neznižuje frekvenciu neprítomnosti záchvatov.</w:t>
      </w:r>
    </w:p>
    <w:p w:rsidR="00FA696D" w:rsidRPr="00A83991" w:rsidRDefault="00FA696D">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5.2</w:t>
      </w:r>
      <w:r w:rsidR="00C456E3"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 xml:space="preserve">Farmakokinetické vlastnosti </w:t>
      </w:r>
    </w:p>
    <w:p w:rsidR="00FA696D" w:rsidRPr="00A83991" w:rsidRDefault="00FA696D" w:rsidP="000971FE">
      <w:pPr>
        <w:keepNext/>
        <w:rPr>
          <w:sz w:val="22"/>
          <w:szCs w:val="22"/>
          <w:lang w:val="sk-SK"/>
        </w:rPr>
      </w:pPr>
    </w:p>
    <w:p w:rsidR="00A11FE5" w:rsidRPr="00A83991" w:rsidRDefault="00A11FE5" w:rsidP="00A11FE5">
      <w:pPr>
        <w:pStyle w:val="Default"/>
        <w:rPr>
          <w:strike/>
          <w:sz w:val="22"/>
          <w:szCs w:val="22"/>
          <w:lang w:val="sk-SK"/>
        </w:rPr>
      </w:pPr>
      <w:r w:rsidRPr="00A83991">
        <w:rPr>
          <w:sz w:val="22"/>
          <w:szCs w:val="22"/>
          <w:lang w:val="sk-SK"/>
        </w:rPr>
        <w:t>Farmakokinetický profil topiramátu, v porovnaní s inými antiepileptikami, vykazuje dlhý plazmatický polčas, lineárnu farmakokinetiku, prevažne renálny klírens, absenciu signifikantnej väzby na proteíny a neprítomnosť klinicky relevantných aktívnych metabolitov.</w:t>
      </w:r>
    </w:p>
    <w:p w:rsidR="00A11FE5" w:rsidRPr="00A83991" w:rsidRDefault="00A11FE5" w:rsidP="00A11FE5">
      <w:pPr>
        <w:pStyle w:val="Default"/>
        <w:rPr>
          <w:sz w:val="22"/>
          <w:szCs w:val="22"/>
          <w:lang w:val="sk-SK"/>
        </w:rPr>
      </w:pPr>
    </w:p>
    <w:p w:rsidR="00A11FE5" w:rsidRPr="00A83991" w:rsidRDefault="00A11FE5" w:rsidP="00A11FE5">
      <w:pPr>
        <w:pStyle w:val="Default"/>
        <w:rPr>
          <w:sz w:val="22"/>
          <w:szCs w:val="22"/>
          <w:lang w:val="sk-SK"/>
        </w:rPr>
      </w:pPr>
      <w:r w:rsidRPr="00A83991">
        <w:rPr>
          <w:sz w:val="22"/>
          <w:szCs w:val="22"/>
          <w:lang w:val="sk-SK"/>
        </w:rPr>
        <w:t>Topiramát nie je silný induktor enzýmov metabolizujúcich lieky, môže sa podávať bez ohľadu na jedlo a monitorovanie plazmatických hladín topiramátu nie je potrebné. V klinických štúdiách sa nepotvrdila žiadna konzistentná súvislosť medzi plazmatickými hladinami a účinnosťou alebo nežiaducimi účinkami.</w:t>
      </w:r>
    </w:p>
    <w:p w:rsidR="00A11FE5" w:rsidRPr="00A83991" w:rsidRDefault="00A11FE5" w:rsidP="000971FE">
      <w:pPr>
        <w:keepLines/>
        <w:rPr>
          <w:bCs/>
          <w:i/>
          <w:sz w:val="22"/>
          <w:szCs w:val="22"/>
          <w:u w:val="single"/>
          <w:lang w:val="sk-SK"/>
        </w:rPr>
      </w:pPr>
    </w:p>
    <w:p w:rsidR="00FA696D" w:rsidRPr="00A83991" w:rsidRDefault="001E7DB8" w:rsidP="000971FE">
      <w:pPr>
        <w:keepLines/>
        <w:rPr>
          <w:bCs/>
          <w:sz w:val="22"/>
          <w:szCs w:val="22"/>
          <w:u w:val="single"/>
          <w:lang w:val="sk-SK"/>
        </w:rPr>
      </w:pPr>
      <w:r w:rsidRPr="00A83991">
        <w:rPr>
          <w:bCs/>
          <w:sz w:val="22"/>
          <w:szCs w:val="22"/>
          <w:u w:val="single"/>
          <w:lang w:val="sk-SK"/>
        </w:rPr>
        <w:t>Absorpcia</w:t>
      </w:r>
    </w:p>
    <w:p w:rsidR="00C456E3" w:rsidRPr="00A83991" w:rsidRDefault="001E7DB8" w:rsidP="000971FE">
      <w:pPr>
        <w:pStyle w:val="Zarkazkladnhotextu3"/>
        <w:keepLines/>
        <w:tabs>
          <w:tab w:val="left" w:pos="8222"/>
        </w:tabs>
        <w:ind w:left="0" w:right="-369"/>
        <w:rPr>
          <w:sz w:val="22"/>
          <w:szCs w:val="22"/>
          <w:lang w:val="sk-SK"/>
        </w:rPr>
      </w:pPr>
      <w:r w:rsidRPr="00A83991">
        <w:rPr>
          <w:sz w:val="22"/>
          <w:szCs w:val="22"/>
          <w:lang w:val="sk-SK"/>
        </w:rPr>
        <w:t xml:space="preserve">Topiramát sa rýchlo </w:t>
      </w:r>
      <w:r w:rsidR="00C456E3" w:rsidRPr="00A83991">
        <w:rPr>
          <w:sz w:val="22"/>
          <w:szCs w:val="22"/>
          <w:lang w:val="sk-SK"/>
        </w:rPr>
        <w:t xml:space="preserve">a dobre </w:t>
      </w:r>
      <w:r w:rsidRPr="00A83991">
        <w:rPr>
          <w:sz w:val="22"/>
          <w:szCs w:val="22"/>
          <w:lang w:val="sk-SK"/>
        </w:rPr>
        <w:t xml:space="preserve">absorbuje. </w:t>
      </w:r>
      <w:r w:rsidR="00C456E3" w:rsidRPr="00A83991">
        <w:rPr>
          <w:sz w:val="22"/>
          <w:szCs w:val="22"/>
          <w:lang w:val="sk-SK"/>
        </w:rPr>
        <w:t>Po perorálnom podaní 100 mg topiramátu zdravým osobám bola priemerná hodnota maximálnej koncentrácie v plazme (C</w:t>
      </w:r>
      <w:r w:rsidR="00C456E3" w:rsidRPr="00A83991">
        <w:rPr>
          <w:sz w:val="22"/>
          <w:szCs w:val="22"/>
          <w:vertAlign w:val="subscript"/>
          <w:lang w:val="sk-SK"/>
        </w:rPr>
        <w:t>max</w:t>
      </w:r>
      <w:r w:rsidR="00C456E3" w:rsidRPr="00A83991">
        <w:rPr>
          <w:sz w:val="22"/>
          <w:szCs w:val="22"/>
          <w:lang w:val="sk-SK"/>
        </w:rPr>
        <w:t>) 1,5 μg/ml a dosiahla sa za 2 až 3 hodiny (T</w:t>
      </w:r>
      <w:r w:rsidR="00C456E3" w:rsidRPr="00A83991">
        <w:rPr>
          <w:sz w:val="22"/>
          <w:szCs w:val="22"/>
          <w:vertAlign w:val="subscript"/>
          <w:lang w:val="sk-SK"/>
        </w:rPr>
        <w:t>max</w:t>
      </w:r>
      <w:r w:rsidR="00C456E3" w:rsidRPr="00A83991">
        <w:rPr>
          <w:sz w:val="22"/>
          <w:szCs w:val="22"/>
          <w:lang w:val="sk-SK"/>
        </w:rPr>
        <w:t xml:space="preserve">). </w:t>
      </w:r>
    </w:p>
    <w:p w:rsidR="00C456E3" w:rsidRPr="00A83991" w:rsidRDefault="00C456E3" w:rsidP="000971FE">
      <w:pPr>
        <w:pStyle w:val="Zarkazkladnhotextu3"/>
        <w:keepLines/>
        <w:tabs>
          <w:tab w:val="left" w:pos="8222"/>
        </w:tabs>
        <w:ind w:left="0" w:right="-369"/>
        <w:rPr>
          <w:sz w:val="22"/>
          <w:szCs w:val="22"/>
          <w:lang w:val="sk-SK"/>
        </w:rPr>
      </w:pPr>
      <w:r w:rsidRPr="00A83991">
        <w:rPr>
          <w:sz w:val="22"/>
          <w:szCs w:val="22"/>
          <w:lang w:val="sk-SK"/>
        </w:rPr>
        <w:t xml:space="preserve">Na základe merania rádioaktivity moču bol priemerný rozsah absorpcie 100 mg perorálnej dávky </w:t>
      </w:r>
      <w:r w:rsidRPr="00A83991">
        <w:rPr>
          <w:sz w:val="22"/>
          <w:szCs w:val="22"/>
          <w:vertAlign w:val="superscript"/>
          <w:lang w:val="sk-SK"/>
        </w:rPr>
        <w:t>14</w:t>
      </w:r>
      <w:r w:rsidRPr="00A83991">
        <w:rPr>
          <w:sz w:val="22"/>
          <w:szCs w:val="22"/>
          <w:lang w:val="sk-SK"/>
        </w:rPr>
        <w:t>C</w:t>
      </w:r>
      <w:r w:rsidRPr="00A83991">
        <w:rPr>
          <w:sz w:val="22"/>
          <w:szCs w:val="22"/>
          <w:lang w:val="sk-SK"/>
        </w:rPr>
        <w:noBreakHyphen/>
        <w:t xml:space="preserve">topiramátu najmenej 81 %. Jedlo nemá žiadny klinicky významný účinok na biologickú dostupnosť topiramátu. </w:t>
      </w:r>
    </w:p>
    <w:p w:rsidR="00C456E3" w:rsidRPr="00A83991" w:rsidRDefault="00C456E3" w:rsidP="001E7DB8">
      <w:pPr>
        <w:rPr>
          <w:sz w:val="22"/>
          <w:szCs w:val="22"/>
          <w:lang w:val="sk-SK"/>
        </w:rPr>
      </w:pPr>
    </w:p>
    <w:p w:rsidR="00FA696D" w:rsidRPr="00A83991" w:rsidRDefault="001E7DB8" w:rsidP="000971FE">
      <w:pPr>
        <w:keepLines/>
        <w:rPr>
          <w:bCs/>
          <w:sz w:val="22"/>
          <w:szCs w:val="22"/>
          <w:u w:val="single"/>
          <w:lang w:val="sk-SK"/>
        </w:rPr>
      </w:pPr>
      <w:r w:rsidRPr="00A83991">
        <w:rPr>
          <w:bCs/>
          <w:sz w:val="22"/>
          <w:szCs w:val="22"/>
          <w:u w:val="single"/>
          <w:lang w:val="sk-SK"/>
        </w:rPr>
        <w:t>Distribúcia</w:t>
      </w:r>
    </w:p>
    <w:p w:rsidR="00C456E3" w:rsidRPr="00A83991" w:rsidRDefault="00C456E3" w:rsidP="000971FE">
      <w:pPr>
        <w:pStyle w:val="Zarkazkladnhotextu3"/>
        <w:keepLines/>
        <w:tabs>
          <w:tab w:val="left" w:pos="8222"/>
        </w:tabs>
        <w:ind w:left="0" w:right="-369"/>
        <w:rPr>
          <w:sz w:val="22"/>
          <w:szCs w:val="22"/>
          <w:lang w:val="sk-SK"/>
        </w:rPr>
      </w:pPr>
      <w:r w:rsidRPr="00A83991">
        <w:rPr>
          <w:sz w:val="22"/>
          <w:szCs w:val="22"/>
          <w:lang w:val="sk-SK"/>
        </w:rPr>
        <w:t>Všeobecne sa 13</w:t>
      </w:r>
      <w:r w:rsidR="008634B3" w:rsidRPr="00A83991">
        <w:rPr>
          <w:sz w:val="22"/>
          <w:szCs w:val="22"/>
          <w:lang w:val="sk-SK"/>
        </w:rPr>
        <w:t xml:space="preserve"> až </w:t>
      </w:r>
      <w:r w:rsidRPr="00A83991">
        <w:rPr>
          <w:sz w:val="22"/>
          <w:szCs w:val="22"/>
          <w:lang w:val="sk-SK"/>
        </w:rPr>
        <w:t>17 % topiramátu viaže na plazmatické proteíny. Bola pozorovaná nízka väzbová kapacita erytrocytov pre topiramát, ktorá je saturovateľná pri plazmatických koncentráciách vyšších ako 4 μg/ml. Distribučný objem sa, naopak, s dávkou menil. Priemerný zdanlivý distribučný objem bol 0,80 až 0,55 l/kg pre jednorazovú dávku v rozmedzí 100 až 1 200 mg. Zaznamenal sa vplyv pohlavia na distribučný objem, pričom hodnoty pre ženy predstavovali približne 50 % hodnôt pre mužov. Prisudzovalo sa to vyššiemu percentu telesného tuku u pacientok, čo však nemá klinický význam.</w:t>
      </w:r>
    </w:p>
    <w:p w:rsidR="00FA696D" w:rsidRPr="00A83991" w:rsidRDefault="00FA696D">
      <w:pPr>
        <w:rPr>
          <w:sz w:val="22"/>
          <w:szCs w:val="22"/>
          <w:lang w:val="sk-SK"/>
        </w:rPr>
      </w:pPr>
    </w:p>
    <w:p w:rsidR="001E7DB8" w:rsidRPr="00A83991" w:rsidRDefault="008634B3" w:rsidP="001E7DB8">
      <w:pPr>
        <w:rPr>
          <w:bCs/>
          <w:sz w:val="22"/>
          <w:szCs w:val="22"/>
          <w:u w:val="single"/>
          <w:lang w:val="sk-SK"/>
        </w:rPr>
      </w:pPr>
      <w:r w:rsidRPr="00A83991">
        <w:rPr>
          <w:bCs/>
          <w:sz w:val="22"/>
          <w:szCs w:val="22"/>
          <w:u w:val="single"/>
          <w:lang w:val="sk-SK"/>
        </w:rPr>
        <w:t>Biotransformácia</w:t>
      </w:r>
    </w:p>
    <w:p w:rsidR="001E7DB8" w:rsidRPr="00A83991" w:rsidRDefault="001E7DB8" w:rsidP="001E7DB8">
      <w:pPr>
        <w:rPr>
          <w:sz w:val="22"/>
          <w:szCs w:val="22"/>
          <w:lang w:val="sk-SK"/>
        </w:rPr>
      </w:pPr>
      <w:r w:rsidRPr="00A83991">
        <w:rPr>
          <w:sz w:val="22"/>
          <w:szCs w:val="22"/>
          <w:lang w:val="sk-SK"/>
        </w:rPr>
        <w:t xml:space="preserve">U zdravých dobrovoľníkov sa topiramát </w:t>
      </w:r>
      <w:r w:rsidR="003F2CBB" w:rsidRPr="00A83991">
        <w:rPr>
          <w:sz w:val="22"/>
          <w:szCs w:val="22"/>
          <w:lang w:val="sk-SK"/>
        </w:rPr>
        <w:t>ne</w:t>
      </w:r>
      <w:r w:rsidRPr="00A83991">
        <w:rPr>
          <w:sz w:val="22"/>
          <w:szCs w:val="22"/>
          <w:lang w:val="sk-SK"/>
        </w:rPr>
        <w:t>metaboliz</w:t>
      </w:r>
      <w:r w:rsidR="003F2CBB" w:rsidRPr="00A83991">
        <w:rPr>
          <w:sz w:val="22"/>
          <w:szCs w:val="22"/>
          <w:lang w:val="sk-SK"/>
        </w:rPr>
        <w:t>uje extenzívne (</w:t>
      </w:r>
      <w:r w:rsidR="00BC74F0" w:rsidRPr="00A83991">
        <w:rPr>
          <w:sz w:val="22"/>
          <w:szCs w:val="22"/>
          <w:lang w:val="sk-SK"/>
        </w:rPr>
        <w:t>~</w:t>
      </w:r>
      <w:r w:rsidR="003F2CBB" w:rsidRPr="00A83991">
        <w:rPr>
          <w:sz w:val="22"/>
          <w:szCs w:val="22"/>
          <w:lang w:val="sk-SK"/>
        </w:rPr>
        <w:t xml:space="preserve">20 %). </w:t>
      </w:r>
      <w:r w:rsidRPr="00A83991">
        <w:rPr>
          <w:sz w:val="22"/>
          <w:szCs w:val="22"/>
          <w:lang w:val="sk-SK"/>
        </w:rPr>
        <w:t>U pacientov súbežne liečených antiepileptikami</w:t>
      </w:r>
      <w:r w:rsidR="003F2CBB" w:rsidRPr="00A83991">
        <w:rPr>
          <w:sz w:val="22"/>
          <w:szCs w:val="22"/>
          <w:lang w:val="sk-SK"/>
        </w:rPr>
        <w:t xml:space="preserve">, </w:t>
      </w:r>
      <w:r w:rsidRPr="00A83991">
        <w:rPr>
          <w:sz w:val="22"/>
          <w:szCs w:val="22"/>
          <w:lang w:val="sk-SK"/>
        </w:rPr>
        <w:t xml:space="preserve">známymi </w:t>
      </w:r>
      <w:r w:rsidR="003F2CBB" w:rsidRPr="00A83991">
        <w:rPr>
          <w:sz w:val="22"/>
          <w:szCs w:val="22"/>
          <w:lang w:val="sk-SK"/>
        </w:rPr>
        <w:t xml:space="preserve">induktormi </w:t>
      </w:r>
      <w:r w:rsidR="00DC640A" w:rsidRPr="00A83991">
        <w:rPr>
          <w:sz w:val="22"/>
          <w:szCs w:val="22"/>
          <w:lang w:val="sk-SK"/>
        </w:rPr>
        <w:t>enzým</w:t>
      </w:r>
      <w:r w:rsidR="003F2CBB" w:rsidRPr="00A83991">
        <w:rPr>
          <w:sz w:val="22"/>
          <w:szCs w:val="22"/>
          <w:lang w:val="sk-SK"/>
        </w:rPr>
        <w:t xml:space="preserve">ov </w:t>
      </w:r>
      <w:r w:rsidRPr="00A83991">
        <w:rPr>
          <w:sz w:val="22"/>
          <w:szCs w:val="22"/>
          <w:lang w:val="sk-SK"/>
        </w:rPr>
        <w:t>metaboliz</w:t>
      </w:r>
      <w:r w:rsidR="003F2CBB" w:rsidRPr="00A83991">
        <w:rPr>
          <w:sz w:val="22"/>
          <w:szCs w:val="22"/>
          <w:lang w:val="sk-SK"/>
        </w:rPr>
        <w:t xml:space="preserve">ujúcich lieky, sa topiramát metabolizoval až do </w:t>
      </w:r>
      <w:r w:rsidRPr="00A83991">
        <w:rPr>
          <w:sz w:val="22"/>
          <w:szCs w:val="22"/>
          <w:lang w:val="sk-SK"/>
        </w:rPr>
        <w:t>50%.</w:t>
      </w:r>
      <w:r w:rsidR="003F2CBB" w:rsidRPr="00A83991">
        <w:rPr>
          <w:sz w:val="22"/>
          <w:szCs w:val="22"/>
          <w:lang w:val="sk-SK"/>
        </w:rPr>
        <w:t xml:space="preserve"> Šesť metabolitov, ktoré vznikajú hydroxyláciou, hydrolýzou a glukuronidáciou sa izolovalo, charakterizovalo a identifikovalo z ľudskej plazmy, moču a stolice. Každý metabolit predstavuje menej než 3 % celkovej rádioaktivity vylúčenej po podaní </w:t>
      </w:r>
      <w:r w:rsidR="003F2CBB" w:rsidRPr="00A83991">
        <w:rPr>
          <w:sz w:val="22"/>
          <w:szCs w:val="22"/>
          <w:vertAlign w:val="superscript"/>
          <w:lang w:val="sk-SK"/>
        </w:rPr>
        <w:t>14</w:t>
      </w:r>
      <w:r w:rsidR="003F2CBB" w:rsidRPr="00A83991">
        <w:rPr>
          <w:sz w:val="22"/>
          <w:szCs w:val="22"/>
          <w:lang w:val="sk-SK"/>
        </w:rPr>
        <w:t>C</w:t>
      </w:r>
      <w:r w:rsidR="003F2CBB" w:rsidRPr="00A83991">
        <w:rPr>
          <w:sz w:val="22"/>
          <w:szCs w:val="22"/>
          <w:lang w:val="sk-SK"/>
        </w:rPr>
        <w:noBreakHyphen/>
        <w:t>topiramátu. Dva metabolity, ktoré si najviac zachovali štruktúru topiramátu, sa testovali a zistilo sa, že majú malú alebo nemajú žiadnu antikonvulzívnu aktivitu.</w:t>
      </w:r>
    </w:p>
    <w:p w:rsidR="00FA696D" w:rsidRPr="00A83991" w:rsidRDefault="00FA696D">
      <w:pPr>
        <w:rPr>
          <w:sz w:val="22"/>
          <w:szCs w:val="22"/>
          <w:lang w:val="sk-SK"/>
        </w:rPr>
      </w:pPr>
    </w:p>
    <w:p w:rsidR="00FA696D" w:rsidRPr="00A83991" w:rsidRDefault="0018791B">
      <w:pPr>
        <w:rPr>
          <w:bCs/>
          <w:sz w:val="22"/>
          <w:szCs w:val="22"/>
          <w:u w:val="single"/>
          <w:lang w:val="sk-SK"/>
        </w:rPr>
      </w:pPr>
      <w:r w:rsidRPr="00A83991">
        <w:rPr>
          <w:bCs/>
          <w:sz w:val="22"/>
          <w:szCs w:val="22"/>
          <w:u w:val="single"/>
          <w:lang w:val="sk-SK"/>
        </w:rPr>
        <w:t>Eliminácia</w:t>
      </w:r>
    </w:p>
    <w:p w:rsidR="003F2CBB" w:rsidRPr="00A83991" w:rsidRDefault="003F2CBB" w:rsidP="003F2CBB">
      <w:pPr>
        <w:pStyle w:val="Default"/>
        <w:rPr>
          <w:sz w:val="22"/>
          <w:szCs w:val="22"/>
          <w:lang w:val="sk-SK"/>
        </w:rPr>
      </w:pPr>
      <w:r w:rsidRPr="00A83991">
        <w:rPr>
          <w:sz w:val="22"/>
          <w:szCs w:val="22"/>
          <w:lang w:val="sk-SK"/>
        </w:rPr>
        <w:t xml:space="preserve">U ľudí predstavujú obličky hlavnú cestu eliminácie nezmeneného topiramátu a jeho metabolitov (najmenej 81 % dávky). Približne 66 % dávky </w:t>
      </w:r>
      <w:r w:rsidRPr="00A83991">
        <w:rPr>
          <w:sz w:val="22"/>
          <w:szCs w:val="22"/>
          <w:vertAlign w:val="superscript"/>
          <w:lang w:val="sk-SK"/>
        </w:rPr>
        <w:t>14</w:t>
      </w:r>
      <w:r w:rsidRPr="00A83991">
        <w:rPr>
          <w:sz w:val="22"/>
          <w:szCs w:val="22"/>
          <w:lang w:val="sk-SK"/>
        </w:rPr>
        <w:t>C-topiramátu sa vylúčilo v nezmenenej forme močom počas štyroch dní. Po dávke 50 mg a 100 mg topiramátu dvakrát denne bol priemerný renálny klírens približne 18 ml/min a 17 ml/min v tomto poradí. Existuje dôkaz o renálnej tubulárnej reabsorbcii topiramátu. Je podporovaný štúdiami u potkanov, ktorým sa topiramát podával spolu s probenecidom a zaznamenalo sa signifikantné zvýšenie renálneho klírensu topiramátu. Plazmatický klírens je u ľudí po perorálnom podaní približne 20 - 30 ml/min.</w:t>
      </w:r>
    </w:p>
    <w:p w:rsidR="003F2CBB" w:rsidRPr="00A83991" w:rsidRDefault="003F2CBB" w:rsidP="003F2CBB">
      <w:pPr>
        <w:pStyle w:val="Default"/>
        <w:rPr>
          <w:sz w:val="22"/>
          <w:szCs w:val="22"/>
          <w:lang w:val="sk-SK"/>
        </w:rPr>
      </w:pPr>
    </w:p>
    <w:p w:rsidR="003F2CBB" w:rsidRPr="00A83991" w:rsidRDefault="003F2CBB" w:rsidP="003F2CBB">
      <w:pPr>
        <w:pStyle w:val="Default"/>
        <w:rPr>
          <w:sz w:val="22"/>
          <w:szCs w:val="22"/>
          <w:lang w:val="sk-SK"/>
        </w:rPr>
      </w:pPr>
      <w:r w:rsidRPr="00A83991">
        <w:rPr>
          <w:sz w:val="22"/>
          <w:szCs w:val="22"/>
          <w:lang w:val="sk-SK"/>
        </w:rPr>
        <w:t xml:space="preserve">Topiramát vykazuje nízku interindividuálnu variabilitu koncentrácií v plazme, a preto má predvídateľnú farmakokinetiku. Farmakokinetika topiramátu je lineárna, s plazmatickým klírensom, ktorý zostáva konštantný a AUC, ktorá sa zvyšuje proporcionálne vzhľadom na dávku v rozsahu 100 </w:t>
      </w:r>
      <w:r w:rsidRPr="00A83991">
        <w:rPr>
          <w:sz w:val="22"/>
          <w:szCs w:val="22"/>
          <w:lang w:val="sk-SK"/>
        </w:rPr>
        <w:lastRenderedPageBreak/>
        <w:t xml:space="preserve">až 400 mg v jednotlivej perorálnej dávke u zdravých </w:t>
      </w:r>
      <w:r w:rsidR="00187371" w:rsidRPr="00A83991">
        <w:rPr>
          <w:sz w:val="22"/>
          <w:szCs w:val="22"/>
          <w:lang w:val="sk-SK"/>
        </w:rPr>
        <w:t>osôb</w:t>
      </w:r>
      <w:r w:rsidRPr="00A83991">
        <w:rPr>
          <w:sz w:val="22"/>
          <w:szCs w:val="22"/>
          <w:lang w:val="sk-SK"/>
        </w:rPr>
        <w:t>. Pacientom s normálnou funkciou obličiek môže trvať 4 - 8 dní, kým dosiahnu rovnovážne plazmatické koncentrácie. Priemerná hodnota maximálnej koncentrácie C</w:t>
      </w:r>
      <w:r w:rsidRPr="00A83991">
        <w:rPr>
          <w:sz w:val="22"/>
          <w:szCs w:val="22"/>
          <w:vertAlign w:val="subscript"/>
          <w:lang w:val="sk-SK"/>
        </w:rPr>
        <w:t>max</w:t>
      </w:r>
      <w:r w:rsidRPr="00A83991">
        <w:rPr>
          <w:sz w:val="22"/>
          <w:szCs w:val="22"/>
          <w:lang w:val="sk-SK"/>
        </w:rPr>
        <w:t xml:space="preserve"> po opakovaných perorálnych dávkach 100 mg podávaných dvakrát denne zdravým </w:t>
      </w:r>
      <w:r w:rsidR="00187371" w:rsidRPr="00A83991">
        <w:rPr>
          <w:sz w:val="22"/>
          <w:szCs w:val="22"/>
          <w:lang w:val="sk-SK"/>
        </w:rPr>
        <w:t>osobám</w:t>
      </w:r>
      <w:r w:rsidRPr="00A83991">
        <w:rPr>
          <w:sz w:val="22"/>
          <w:szCs w:val="22"/>
          <w:lang w:val="sk-SK"/>
        </w:rPr>
        <w:t xml:space="preserve"> bola 6,76 μg/ml. Po podaní opakovaných dávok 50 mg a 100 mg topiramátu dvakrát denne bol priemerný plazmatický eliminačný polčas približne 21 hodín.</w:t>
      </w:r>
    </w:p>
    <w:p w:rsidR="003F2CBB" w:rsidRPr="00A83991" w:rsidRDefault="003F2CBB" w:rsidP="003F2CBB">
      <w:pPr>
        <w:pStyle w:val="Default"/>
        <w:rPr>
          <w:sz w:val="22"/>
          <w:szCs w:val="22"/>
          <w:lang w:val="sk-SK"/>
        </w:rPr>
      </w:pPr>
    </w:p>
    <w:p w:rsidR="003F2CBB" w:rsidRPr="00A83991" w:rsidRDefault="003F2CBB" w:rsidP="003F2CBB">
      <w:pPr>
        <w:pStyle w:val="Default"/>
        <w:rPr>
          <w:sz w:val="22"/>
          <w:szCs w:val="22"/>
          <w:lang w:val="sk-SK"/>
        </w:rPr>
      </w:pPr>
      <w:r w:rsidRPr="00A83991">
        <w:rPr>
          <w:sz w:val="22"/>
          <w:szCs w:val="22"/>
          <w:lang w:val="sk-SK"/>
        </w:rPr>
        <w:t>Súčasné podávanie opakovaných dávok topiramátu 100 až 400 mg dvakrát denne spolu s fenytoínom alebo karbamazepínom poukazuje na proporcionálne zvýšenie plazmatických koncentrácií topiramátu.</w:t>
      </w:r>
    </w:p>
    <w:p w:rsidR="003F2CBB" w:rsidRPr="00A83991" w:rsidRDefault="003F2CBB" w:rsidP="003F2CBB">
      <w:pPr>
        <w:pStyle w:val="Default"/>
        <w:rPr>
          <w:sz w:val="22"/>
          <w:szCs w:val="22"/>
          <w:lang w:val="sk-SK"/>
        </w:rPr>
      </w:pPr>
    </w:p>
    <w:p w:rsidR="00AA42DC" w:rsidRPr="00A83991" w:rsidRDefault="003F2CBB" w:rsidP="00C07090">
      <w:pPr>
        <w:pStyle w:val="Zarkazkladnhotextu3"/>
        <w:tabs>
          <w:tab w:val="left" w:pos="8222"/>
        </w:tabs>
        <w:spacing w:after="0"/>
        <w:ind w:left="0"/>
        <w:rPr>
          <w:sz w:val="22"/>
          <w:szCs w:val="22"/>
          <w:lang w:val="sk-SK"/>
        </w:rPr>
      </w:pPr>
      <w:r w:rsidRPr="00A83991">
        <w:rPr>
          <w:sz w:val="22"/>
          <w:szCs w:val="22"/>
          <w:lang w:val="sk-SK"/>
        </w:rPr>
        <w:t>Plazmatický a renálny klírens topiramátu sa znižujú u pacientov s</w:t>
      </w:r>
      <w:r w:rsidR="0052111F" w:rsidRPr="00A83991">
        <w:rPr>
          <w:sz w:val="22"/>
          <w:szCs w:val="22"/>
          <w:lang w:val="sk-SK"/>
        </w:rPr>
        <w:t>o stredne ťažkou a</w:t>
      </w:r>
      <w:r w:rsidR="00AA42DC" w:rsidRPr="00A83991">
        <w:rPr>
          <w:sz w:val="22"/>
          <w:szCs w:val="22"/>
          <w:lang w:val="sk-SK"/>
        </w:rPr>
        <w:t xml:space="preserve"> </w:t>
      </w:r>
      <w:r w:rsidR="0052111F" w:rsidRPr="00A83991">
        <w:rPr>
          <w:sz w:val="22"/>
          <w:szCs w:val="22"/>
          <w:lang w:val="sk-SK"/>
        </w:rPr>
        <w:t xml:space="preserve">ťažkou poruchou funkcie </w:t>
      </w:r>
      <w:r w:rsidRPr="00A83991">
        <w:rPr>
          <w:sz w:val="22"/>
          <w:szCs w:val="22"/>
          <w:lang w:val="sk-SK"/>
        </w:rPr>
        <w:t>obličiek (CL</w:t>
      </w:r>
      <w:r w:rsidRPr="00A83991">
        <w:rPr>
          <w:sz w:val="22"/>
          <w:szCs w:val="22"/>
          <w:vertAlign w:val="subscript"/>
          <w:lang w:val="sk-SK"/>
        </w:rPr>
        <w:t>CR</w:t>
      </w:r>
      <w:r w:rsidRPr="00A83991">
        <w:rPr>
          <w:sz w:val="22"/>
          <w:szCs w:val="22"/>
          <w:lang w:val="sk-SK"/>
        </w:rPr>
        <w:t> </w:t>
      </w:r>
      <w:r w:rsidRPr="00F33F73">
        <w:rPr>
          <w:b/>
          <w:sz w:val="22"/>
          <w:szCs w:val="22"/>
          <w:lang w:val="sk-SK"/>
        </w:rPr>
        <w:sym w:font="Symbol" w:char="F0A3"/>
      </w:r>
      <w:r w:rsidRPr="00A83991">
        <w:rPr>
          <w:sz w:val="22"/>
          <w:szCs w:val="22"/>
          <w:lang w:val="sk-SK"/>
        </w:rPr>
        <w:t> </w:t>
      </w:r>
      <w:r w:rsidR="0052111F" w:rsidRPr="00A83991">
        <w:rPr>
          <w:sz w:val="22"/>
          <w:szCs w:val="22"/>
          <w:lang w:val="sk-SK"/>
        </w:rPr>
        <w:t>7</w:t>
      </w:r>
      <w:r w:rsidRPr="00A83991">
        <w:rPr>
          <w:sz w:val="22"/>
          <w:szCs w:val="22"/>
          <w:lang w:val="sk-SK"/>
        </w:rPr>
        <w:t>0 ml/min)</w:t>
      </w:r>
      <w:r w:rsidR="0052111F" w:rsidRPr="00A83991">
        <w:rPr>
          <w:sz w:val="22"/>
          <w:szCs w:val="22"/>
          <w:lang w:val="sk-SK"/>
        </w:rPr>
        <w:t xml:space="preserve">. </w:t>
      </w:r>
      <w:r w:rsidRPr="00A83991">
        <w:rPr>
          <w:sz w:val="22"/>
          <w:szCs w:val="22"/>
          <w:lang w:val="sk-SK"/>
        </w:rPr>
        <w:t xml:space="preserve">U pacientov s poškodenou funkciou obličiek sa po podaní dávky očakávajú vyššie rovnovážne koncentrácie topiramátu v plazme v porovnaní s pacientmi s normálnou funkciou obličiek. </w:t>
      </w:r>
      <w:r w:rsidR="0052111F" w:rsidRPr="00A83991">
        <w:rPr>
          <w:sz w:val="22"/>
          <w:szCs w:val="22"/>
          <w:lang w:val="sk-SK"/>
        </w:rPr>
        <w:t xml:space="preserve">Navyše, u pacientov s poruchou funkcie obličiek sa očakáva dlhšia doba na dosiahnutie rovnovážneho stavu pri každej dávke. U pacientov </w:t>
      </w:r>
      <w:r w:rsidR="00AA42DC" w:rsidRPr="00A83991">
        <w:rPr>
          <w:sz w:val="22"/>
          <w:szCs w:val="22"/>
          <w:lang w:val="sk-SK"/>
        </w:rPr>
        <w:t>so stredne ťažkou a ťažkou poruchou funkcie sa odporúča podanie polovice zvyčajnej začiatočnej a udržiavacej dávky.</w:t>
      </w:r>
    </w:p>
    <w:p w:rsidR="00216DB7" w:rsidRPr="00A83991" w:rsidRDefault="00216DB7" w:rsidP="00C07090">
      <w:pPr>
        <w:pStyle w:val="Zarkazkladnhotextu3"/>
        <w:tabs>
          <w:tab w:val="left" w:pos="8222"/>
        </w:tabs>
        <w:spacing w:after="0"/>
        <w:ind w:left="0"/>
        <w:rPr>
          <w:sz w:val="22"/>
          <w:szCs w:val="22"/>
          <w:lang w:val="sk-SK"/>
        </w:rPr>
      </w:pPr>
    </w:p>
    <w:p w:rsidR="00C07090" w:rsidRPr="00A83991" w:rsidRDefault="00AA42DC" w:rsidP="00C07090">
      <w:pPr>
        <w:pStyle w:val="Zarkazkladnhotextu3"/>
        <w:tabs>
          <w:tab w:val="left" w:pos="8222"/>
        </w:tabs>
        <w:spacing w:after="0"/>
        <w:ind w:left="0"/>
        <w:rPr>
          <w:sz w:val="22"/>
          <w:szCs w:val="22"/>
          <w:lang w:val="sk-SK"/>
        </w:rPr>
      </w:pPr>
      <w:r w:rsidRPr="00A83991">
        <w:rPr>
          <w:sz w:val="22"/>
          <w:szCs w:val="22"/>
          <w:lang w:val="sk-SK"/>
        </w:rPr>
        <w:t>To</w:t>
      </w:r>
      <w:r w:rsidR="003F2CBB" w:rsidRPr="00A83991">
        <w:rPr>
          <w:sz w:val="22"/>
          <w:szCs w:val="22"/>
          <w:lang w:val="sk-SK"/>
        </w:rPr>
        <w:t>piramát sa účinne odstraňuje z plazmy pomocou hemodialýzy.</w:t>
      </w:r>
      <w:r w:rsidRPr="00A83991">
        <w:rPr>
          <w:sz w:val="22"/>
          <w:szCs w:val="22"/>
          <w:lang w:val="sk-SK"/>
        </w:rPr>
        <w:t xml:space="preserve"> Predĺžená doba hemodialýzy môže zapríčiniť, že </w:t>
      </w:r>
      <w:r w:rsidR="00C07090" w:rsidRPr="00A83991">
        <w:rPr>
          <w:sz w:val="22"/>
          <w:szCs w:val="22"/>
          <w:lang w:val="sk-SK"/>
        </w:rPr>
        <w:t>koncentrácia</w:t>
      </w:r>
      <w:r w:rsidRPr="00A83991">
        <w:rPr>
          <w:sz w:val="22"/>
          <w:szCs w:val="22"/>
          <w:lang w:val="sk-SK"/>
        </w:rPr>
        <w:t xml:space="preserve"> topiramátu klesne</w:t>
      </w:r>
      <w:r w:rsidR="00C07090" w:rsidRPr="00A83991">
        <w:rPr>
          <w:sz w:val="22"/>
          <w:szCs w:val="22"/>
          <w:lang w:val="sk-SK"/>
        </w:rPr>
        <w:t xml:space="preserve"> pod hladinu, ktorá je potrebná na udržanie antikonvulzívneho účinku. Aby sa predišlo rapídnemu poklesu plazmatickej koncentrácie topiramátu počas hemodialýzy, môže sa vyžadovať dodatočná dávka topiramátu. Pri skutočnom nastavení dávky je potrebné vziať do úvahy:</w:t>
      </w:r>
    </w:p>
    <w:p w:rsidR="00C07090" w:rsidRPr="00A83991" w:rsidRDefault="00C07090" w:rsidP="00C07090">
      <w:pPr>
        <w:pStyle w:val="Zarkazkladnhotextu3"/>
        <w:tabs>
          <w:tab w:val="left" w:pos="8222"/>
        </w:tabs>
        <w:spacing w:after="0"/>
        <w:ind w:left="0"/>
        <w:rPr>
          <w:sz w:val="22"/>
          <w:szCs w:val="22"/>
          <w:lang w:val="sk-SK"/>
        </w:rPr>
      </w:pPr>
      <w:r w:rsidRPr="00A83991">
        <w:rPr>
          <w:sz w:val="22"/>
          <w:szCs w:val="22"/>
          <w:lang w:val="sk-SK"/>
        </w:rPr>
        <w:t>1. dĺžku trvania hemodialýzy</w:t>
      </w:r>
    </w:p>
    <w:p w:rsidR="00216DB7" w:rsidRPr="00A83991" w:rsidRDefault="00216DB7" w:rsidP="00C07090">
      <w:pPr>
        <w:pStyle w:val="Zarkazkladnhotextu3"/>
        <w:tabs>
          <w:tab w:val="left" w:pos="8222"/>
        </w:tabs>
        <w:spacing w:after="0"/>
        <w:ind w:left="0"/>
        <w:rPr>
          <w:sz w:val="22"/>
          <w:szCs w:val="22"/>
          <w:lang w:val="sk-SK"/>
        </w:rPr>
      </w:pPr>
      <w:r w:rsidRPr="00A83991">
        <w:rPr>
          <w:sz w:val="22"/>
          <w:szCs w:val="22"/>
          <w:lang w:val="sk-SK"/>
        </w:rPr>
        <w:t>2. klírens používaného dialyzačného systému</w:t>
      </w:r>
    </w:p>
    <w:p w:rsidR="00216DB7" w:rsidRPr="00A83991" w:rsidRDefault="00216DB7" w:rsidP="00C07090">
      <w:pPr>
        <w:pStyle w:val="Zarkazkladnhotextu3"/>
        <w:tabs>
          <w:tab w:val="left" w:pos="8222"/>
        </w:tabs>
        <w:spacing w:after="0"/>
        <w:ind w:left="0"/>
        <w:rPr>
          <w:sz w:val="22"/>
          <w:szCs w:val="22"/>
          <w:lang w:val="sk-SK"/>
        </w:rPr>
      </w:pPr>
      <w:r w:rsidRPr="00A83991">
        <w:rPr>
          <w:sz w:val="22"/>
          <w:szCs w:val="22"/>
          <w:lang w:val="sk-SK"/>
        </w:rPr>
        <w:t>3. efektívny renálny klírens topiramátu u dialyzovaných pacientov</w:t>
      </w:r>
    </w:p>
    <w:p w:rsidR="00216DB7" w:rsidRPr="00A83991" w:rsidRDefault="00216DB7" w:rsidP="00C07090">
      <w:pPr>
        <w:pStyle w:val="Zarkazkladnhotextu3"/>
        <w:tabs>
          <w:tab w:val="left" w:pos="8222"/>
        </w:tabs>
        <w:spacing w:after="0"/>
        <w:ind w:left="0"/>
        <w:rPr>
          <w:sz w:val="22"/>
          <w:szCs w:val="22"/>
          <w:lang w:val="sk-SK"/>
        </w:rPr>
      </w:pPr>
    </w:p>
    <w:p w:rsidR="00216DB7" w:rsidRPr="00A83991" w:rsidRDefault="00216DB7" w:rsidP="00C07090">
      <w:pPr>
        <w:pStyle w:val="Zarkazkladnhotextu3"/>
        <w:tabs>
          <w:tab w:val="left" w:pos="8222"/>
        </w:tabs>
        <w:spacing w:after="0"/>
        <w:ind w:left="0"/>
        <w:rPr>
          <w:sz w:val="22"/>
          <w:szCs w:val="22"/>
          <w:lang w:val="sk-SK"/>
        </w:rPr>
      </w:pPr>
      <w:r w:rsidRPr="00A83991">
        <w:rPr>
          <w:sz w:val="22"/>
          <w:szCs w:val="22"/>
          <w:lang w:val="sk-SK"/>
        </w:rPr>
        <w:t xml:space="preserve">Plazmatický klírens topiramátu je redukovaný o 26 % u pacientov so stredne ťažkou a ťažkou poruchou pečene. Preto sa topiramát má u pacientov s poruchou funkcie pečene používať s opatrnosťou. </w:t>
      </w:r>
    </w:p>
    <w:p w:rsidR="003F2CBB" w:rsidRPr="00A83991" w:rsidRDefault="003F2CBB" w:rsidP="00C07090">
      <w:pPr>
        <w:pStyle w:val="Default"/>
        <w:rPr>
          <w:sz w:val="22"/>
          <w:szCs w:val="22"/>
          <w:lang w:val="sk-SK"/>
        </w:rPr>
      </w:pPr>
    </w:p>
    <w:p w:rsidR="003F2CBB" w:rsidRPr="00A83991" w:rsidRDefault="003F2CBB" w:rsidP="00C07090">
      <w:pPr>
        <w:pStyle w:val="Default"/>
        <w:rPr>
          <w:sz w:val="22"/>
          <w:szCs w:val="22"/>
          <w:lang w:val="sk-SK"/>
        </w:rPr>
      </w:pPr>
      <w:r w:rsidRPr="00A83991">
        <w:rPr>
          <w:sz w:val="22"/>
          <w:szCs w:val="22"/>
          <w:lang w:val="sk-SK"/>
        </w:rPr>
        <w:t>Plazmatický klírens topiramátu sa nemení u</w:t>
      </w:r>
      <w:r w:rsidR="00216DB7" w:rsidRPr="00A83991">
        <w:rPr>
          <w:sz w:val="22"/>
          <w:szCs w:val="22"/>
          <w:lang w:val="sk-SK"/>
        </w:rPr>
        <w:t xml:space="preserve"> starších osôb, </w:t>
      </w:r>
      <w:r w:rsidRPr="00A83991">
        <w:rPr>
          <w:sz w:val="22"/>
          <w:szCs w:val="22"/>
          <w:lang w:val="sk-SK"/>
        </w:rPr>
        <w:t>ktorí nemajú obličkové ochorenie.</w:t>
      </w:r>
    </w:p>
    <w:p w:rsidR="0018791B" w:rsidRPr="00A83991" w:rsidRDefault="0018791B" w:rsidP="0018791B">
      <w:pPr>
        <w:rPr>
          <w:sz w:val="22"/>
          <w:szCs w:val="22"/>
          <w:lang w:val="sk-SK"/>
        </w:rPr>
      </w:pPr>
    </w:p>
    <w:p w:rsidR="0018791B" w:rsidRPr="00A83991" w:rsidRDefault="00964A1D" w:rsidP="000971FE">
      <w:pPr>
        <w:keepNext/>
        <w:rPr>
          <w:rStyle w:val="Underline"/>
          <w:bCs/>
          <w:sz w:val="22"/>
          <w:szCs w:val="22"/>
          <w:lang w:val="sk-SK"/>
        </w:rPr>
      </w:pPr>
      <w:r>
        <w:rPr>
          <w:rStyle w:val="Underline"/>
          <w:bCs/>
          <w:sz w:val="22"/>
          <w:szCs w:val="22"/>
          <w:lang w:val="sk-SK"/>
        </w:rPr>
        <w:t>Pediatrická populácia</w:t>
      </w:r>
      <w:r w:rsidR="00216DB7" w:rsidRPr="00A83991">
        <w:rPr>
          <w:rStyle w:val="Underline"/>
          <w:bCs/>
          <w:sz w:val="22"/>
          <w:szCs w:val="22"/>
          <w:lang w:val="sk-SK"/>
        </w:rPr>
        <w:t xml:space="preserve"> (f</w:t>
      </w:r>
      <w:r w:rsidR="004F7099" w:rsidRPr="00A83991">
        <w:rPr>
          <w:rStyle w:val="Underline"/>
          <w:bCs/>
          <w:sz w:val="22"/>
          <w:szCs w:val="22"/>
          <w:lang w:val="sk-SK"/>
        </w:rPr>
        <w:t>armakokinetika</w:t>
      </w:r>
      <w:r w:rsidR="00F80F16" w:rsidRPr="00A83991">
        <w:rPr>
          <w:rStyle w:val="Underline"/>
          <w:bCs/>
          <w:sz w:val="22"/>
          <w:szCs w:val="22"/>
          <w:lang w:val="sk-SK"/>
        </w:rPr>
        <w:t xml:space="preserve">, do </w:t>
      </w:r>
      <w:r w:rsidR="004F7099" w:rsidRPr="00A83991">
        <w:rPr>
          <w:rStyle w:val="Underline"/>
          <w:bCs/>
          <w:sz w:val="22"/>
          <w:szCs w:val="22"/>
          <w:lang w:val="sk-SK"/>
        </w:rPr>
        <w:t>12 rokov</w:t>
      </w:r>
      <w:r w:rsidR="00F80F16" w:rsidRPr="00A83991">
        <w:rPr>
          <w:rStyle w:val="Underline"/>
          <w:bCs/>
          <w:sz w:val="22"/>
          <w:szCs w:val="22"/>
          <w:lang w:val="sk-SK"/>
        </w:rPr>
        <w:t>)</w:t>
      </w:r>
    </w:p>
    <w:p w:rsidR="00F80F16" w:rsidRPr="00A83991" w:rsidRDefault="00F80F16" w:rsidP="000971FE">
      <w:pPr>
        <w:keepNext/>
        <w:rPr>
          <w:sz w:val="22"/>
          <w:szCs w:val="22"/>
          <w:lang w:val="sk-SK"/>
        </w:rPr>
      </w:pPr>
    </w:p>
    <w:p w:rsidR="0018791B" w:rsidRPr="00A83991" w:rsidRDefault="0018791B" w:rsidP="0018791B">
      <w:pPr>
        <w:rPr>
          <w:sz w:val="22"/>
          <w:szCs w:val="22"/>
          <w:lang w:val="sk-SK"/>
        </w:rPr>
      </w:pPr>
      <w:r w:rsidRPr="00A83991">
        <w:rPr>
          <w:sz w:val="22"/>
          <w:szCs w:val="22"/>
          <w:lang w:val="sk-SK"/>
        </w:rPr>
        <w:t xml:space="preserve">Farmakokinetika topiramátu u detí, podobne ako u dospelých pacientov </w:t>
      </w:r>
      <w:r w:rsidR="00F80F16" w:rsidRPr="00A83991">
        <w:rPr>
          <w:sz w:val="22"/>
          <w:szCs w:val="22"/>
          <w:lang w:val="sk-SK"/>
        </w:rPr>
        <w:t>liečených</w:t>
      </w:r>
      <w:r w:rsidRPr="00A83991">
        <w:rPr>
          <w:sz w:val="22"/>
          <w:szCs w:val="22"/>
          <w:lang w:val="sk-SK"/>
        </w:rPr>
        <w:t xml:space="preserve"> prídavn</w:t>
      </w:r>
      <w:r w:rsidR="00F80F16" w:rsidRPr="00A83991">
        <w:rPr>
          <w:sz w:val="22"/>
          <w:szCs w:val="22"/>
          <w:lang w:val="sk-SK"/>
        </w:rPr>
        <w:t>ou</w:t>
      </w:r>
      <w:r w:rsidRPr="00A83991">
        <w:rPr>
          <w:sz w:val="22"/>
          <w:szCs w:val="22"/>
          <w:lang w:val="sk-SK"/>
        </w:rPr>
        <w:t xml:space="preserve"> liečb</w:t>
      </w:r>
      <w:r w:rsidR="00F80F16" w:rsidRPr="00A83991">
        <w:rPr>
          <w:sz w:val="22"/>
          <w:szCs w:val="22"/>
          <w:lang w:val="sk-SK"/>
        </w:rPr>
        <w:t>ou</w:t>
      </w:r>
      <w:r w:rsidRPr="00A83991">
        <w:rPr>
          <w:sz w:val="22"/>
          <w:szCs w:val="22"/>
          <w:lang w:val="sk-SK"/>
        </w:rPr>
        <w:t xml:space="preserve"> topiramátom, je lineárna, pričom klírens je nezávislý od dávky a plazmatické koncentrácie v rovnovážnom stave sa zvyšujú úmerne s dávkou. U detí sa však pozoroval vyšší klírens a kratší polčas eliminácie. Z toho dôvodu môžu byť plazmatické koncentrácie topiramátu po rovnakej dávke v mg/kg nižšie u detí v porovnaní s dospelými. Tak ako u dospelých, antiepileptiká indukujúce pečeňové enzýmy znižujú hodnoty plazmatických koncentrácií v rovnovážnom stave.</w:t>
      </w:r>
    </w:p>
    <w:p w:rsidR="00FA696D" w:rsidRPr="00A83991" w:rsidRDefault="00FA696D">
      <w:pPr>
        <w:rPr>
          <w:sz w:val="22"/>
          <w:szCs w:val="22"/>
          <w:lang w:val="sk-SK"/>
        </w:rPr>
      </w:pPr>
    </w:p>
    <w:p w:rsidR="00FA696D" w:rsidRPr="00A83991" w:rsidRDefault="00FA696D" w:rsidP="000971FE">
      <w:pPr>
        <w:keepNext/>
        <w:tabs>
          <w:tab w:val="left" w:pos="567"/>
        </w:tabs>
        <w:rPr>
          <w:sz w:val="22"/>
          <w:szCs w:val="22"/>
          <w:lang w:val="sk-SK"/>
        </w:rPr>
      </w:pPr>
      <w:r w:rsidRPr="00A83991">
        <w:rPr>
          <w:rStyle w:val="EmphasisA"/>
          <w:rFonts w:ascii="Times New Roman" w:eastAsia="Times New Roman" w:hAnsi="Times New Roman"/>
          <w:sz w:val="22"/>
          <w:szCs w:val="22"/>
          <w:lang w:val="sk-SK"/>
        </w:rPr>
        <w:t>5.3</w:t>
      </w:r>
      <w:r w:rsidR="00F80F16"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Predklinické údaje o bezpečnosti</w:t>
      </w:r>
    </w:p>
    <w:p w:rsidR="00FA696D" w:rsidRPr="00A83991" w:rsidRDefault="00FA696D" w:rsidP="000971FE">
      <w:pPr>
        <w:keepNext/>
        <w:rPr>
          <w:sz w:val="22"/>
          <w:szCs w:val="22"/>
          <w:lang w:val="sk-SK"/>
        </w:rPr>
      </w:pPr>
    </w:p>
    <w:p w:rsidR="00F80F16" w:rsidRPr="00A83991" w:rsidRDefault="00F80F16" w:rsidP="000971FE">
      <w:pPr>
        <w:keepNext/>
        <w:rPr>
          <w:sz w:val="22"/>
          <w:szCs w:val="22"/>
          <w:lang w:val="sk-SK"/>
        </w:rPr>
      </w:pPr>
      <w:bookmarkStart w:id="0" w:name="OLE_LINK11"/>
      <w:r w:rsidRPr="00A83991">
        <w:rPr>
          <w:sz w:val="22"/>
          <w:szCs w:val="22"/>
          <w:lang w:val="sk-SK"/>
        </w:rPr>
        <w:t>V neklinických štúdiách fertility</w:t>
      </w:r>
      <w:r w:rsidR="006F50F6" w:rsidRPr="00A83991">
        <w:rPr>
          <w:sz w:val="22"/>
          <w:szCs w:val="22"/>
          <w:lang w:val="sk-SK"/>
        </w:rPr>
        <w:t>,</w:t>
      </w:r>
      <w:r w:rsidRPr="00A83991">
        <w:rPr>
          <w:sz w:val="22"/>
          <w:szCs w:val="22"/>
          <w:lang w:val="sk-SK"/>
        </w:rPr>
        <w:t xml:space="preserve"> sa napriek maternálnej a paternálnej toxicite už pri nízkej dávke 8 mg/kg/deň, nezaznamenali žiadne účinky na fertilitu samičiek alebo samčekov potkanov po dávkach až do 100 mg/kg/deň. </w:t>
      </w:r>
    </w:p>
    <w:p w:rsidR="00F80F16" w:rsidRPr="00A83991" w:rsidRDefault="00F80F16" w:rsidP="00F80F16">
      <w:pPr>
        <w:rPr>
          <w:sz w:val="22"/>
          <w:szCs w:val="22"/>
          <w:lang w:val="sk-SK"/>
        </w:rPr>
      </w:pPr>
    </w:p>
    <w:p w:rsidR="00F80F16" w:rsidRPr="00A83991" w:rsidRDefault="00F80F16" w:rsidP="00F80F16">
      <w:pPr>
        <w:rPr>
          <w:sz w:val="22"/>
          <w:szCs w:val="22"/>
          <w:lang w:val="sk-SK"/>
        </w:rPr>
      </w:pPr>
      <w:r w:rsidRPr="00A83991">
        <w:rPr>
          <w:sz w:val="22"/>
          <w:szCs w:val="22"/>
          <w:lang w:val="sk-SK"/>
        </w:rPr>
        <w:t>V neklinických štúdiách bol topiramát u skúmaných druhov (myši, potkany a králiky) teratogénny. U myší bolo zaznamenané zníženie hmotnosti plodu a osifikácie skeletu po dávkach 500 mg/kg/deň, súčasne s toxicitou pre matky. Celkový počet malformácií plodu u myší sa zvýšil vo všetkých liečených skupinách (20, 100 a 500 mg/kg/deň).</w:t>
      </w:r>
    </w:p>
    <w:p w:rsidR="00F80F16" w:rsidRPr="00A83991" w:rsidRDefault="00F80F16" w:rsidP="00F80F16">
      <w:pPr>
        <w:rPr>
          <w:sz w:val="22"/>
          <w:szCs w:val="22"/>
          <w:lang w:val="sk-SK"/>
        </w:rPr>
      </w:pPr>
    </w:p>
    <w:p w:rsidR="00F80F16" w:rsidRPr="00A83991" w:rsidRDefault="00F80F16" w:rsidP="00F80F16">
      <w:pPr>
        <w:rPr>
          <w:sz w:val="22"/>
          <w:szCs w:val="22"/>
          <w:lang w:val="sk-SK"/>
        </w:rPr>
      </w:pPr>
      <w:r w:rsidRPr="00A83991">
        <w:rPr>
          <w:sz w:val="22"/>
          <w:szCs w:val="22"/>
          <w:lang w:val="sk-SK"/>
        </w:rPr>
        <w:t>U potkanov sa od dávky závislá toxicita pre matku a embryo/plod (znížená hmotnosť plodu a/alebo osifikácia skeletu) zaznamenala pri dávkach vyšších ako 20 mg/kg/deň a teratogénne účinky (defekty končatín a prstov) pri dávkach 400 mg/kg/deň a vyšších. U králikov sa od dávky závislá toxicita pre matku zaznamenala pri dávkach vyšších ako 10 mg/kg/deň s toxicitou pre embryo/plod (zvýšená letalita) pri dávkach 35 mg/kg/deň a teratogénne účinky (malformácie rebier a chrbtice) pri dávkach 120 mg/kg/deň.</w:t>
      </w:r>
    </w:p>
    <w:p w:rsidR="00F80F16" w:rsidRPr="00A83991" w:rsidRDefault="00F80F16" w:rsidP="00F80F16">
      <w:pPr>
        <w:rPr>
          <w:strike/>
          <w:sz w:val="22"/>
          <w:szCs w:val="22"/>
          <w:lang w:val="sk-SK"/>
        </w:rPr>
      </w:pPr>
    </w:p>
    <w:p w:rsidR="00F80F16" w:rsidRPr="00A83991" w:rsidRDefault="00F80F16" w:rsidP="00F80F16">
      <w:pPr>
        <w:rPr>
          <w:sz w:val="22"/>
          <w:szCs w:val="22"/>
          <w:lang w:val="sk-SK"/>
        </w:rPr>
      </w:pPr>
      <w:r w:rsidRPr="00A83991">
        <w:rPr>
          <w:sz w:val="22"/>
          <w:szCs w:val="22"/>
          <w:lang w:val="sk-SK"/>
        </w:rPr>
        <w:t>Teratogénne účinky, ktoré sa pozorovali u potkanov a králikov, boli podobné ako pri inhibítoroch karboanhydrázy, ktoré sa nedávajú do súvislosti s malformáciami u ľudí. Účinky na rast boli naznačené tiež nižšou pôrodnou hmotnosťou a hmotnosťou počas laktácie u mláďat samíc potkanov, ktorým sa podávali počas gestačného obdobia a obdobia laktácie dávky 20 alebo 100 mg/kg/deň. U potkanov topiramát prechádza placentárnou bariérou.</w:t>
      </w:r>
    </w:p>
    <w:p w:rsidR="00F80F16" w:rsidRPr="00A83991" w:rsidRDefault="00F80F16" w:rsidP="00F80F16">
      <w:pPr>
        <w:rPr>
          <w:sz w:val="22"/>
          <w:szCs w:val="22"/>
          <w:lang w:val="sk-SK"/>
        </w:rPr>
      </w:pPr>
    </w:p>
    <w:p w:rsidR="00F80F16" w:rsidRPr="00A83991" w:rsidRDefault="00F80F16" w:rsidP="00F80F16">
      <w:pPr>
        <w:rPr>
          <w:sz w:val="22"/>
          <w:szCs w:val="22"/>
          <w:lang w:val="sk-SK"/>
        </w:rPr>
      </w:pPr>
      <w:r w:rsidRPr="00A83991">
        <w:rPr>
          <w:sz w:val="22"/>
          <w:szCs w:val="22"/>
          <w:lang w:val="sk-SK"/>
        </w:rPr>
        <w:t>U juvenilných potkanov mala denná dávka topiramátu do 300 mg/kg/deň počas vývojového obdobia zodpovedajúceho detstvu a adolescencii za následok toxicitu ako u dospelých zvierat (pokles v požívaní potravy s poklesom hmotnostného prírastku, centrilobulárna hepatocelulárna hypertrofia). Nezaznamenal sa žiadny vplyv na rast dlhej kosti (tíbia) alebo na minerálnu denzitu kosti (femur), obdobie pred odstavením a reprodukčný vývoj, neurologický vývoj (vrátane posúdenia pamäte a učenia), párenie a fertilitu alebo hysterotomické parametre.</w:t>
      </w:r>
    </w:p>
    <w:p w:rsidR="00F80F16" w:rsidRPr="00A83991" w:rsidRDefault="00F80F16" w:rsidP="00F80F16">
      <w:pPr>
        <w:rPr>
          <w:sz w:val="22"/>
          <w:szCs w:val="22"/>
          <w:lang w:val="sk-SK"/>
        </w:rPr>
      </w:pPr>
    </w:p>
    <w:p w:rsidR="00F80F16" w:rsidRPr="00A83991" w:rsidRDefault="00F80F16" w:rsidP="00F80F16">
      <w:pPr>
        <w:autoSpaceDE w:val="0"/>
        <w:autoSpaceDN w:val="0"/>
        <w:adjustRightInd w:val="0"/>
        <w:rPr>
          <w:sz w:val="22"/>
          <w:szCs w:val="22"/>
          <w:lang w:val="sk-SK"/>
        </w:rPr>
      </w:pPr>
      <w:r w:rsidRPr="00A83991">
        <w:rPr>
          <w:sz w:val="22"/>
          <w:szCs w:val="22"/>
          <w:lang w:val="sk-SK"/>
        </w:rPr>
        <w:t>Pri skúškach na</w:t>
      </w:r>
      <w:r w:rsidRPr="00A83991">
        <w:rPr>
          <w:i/>
          <w:sz w:val="22"/>
          <w:szCs w:val="22"/>
          <w:lang w:val="sk-SK"/>
        </w:rPr>
        <w:t xml:space="preserve"> </w:t>
      </w:r>
      <w:r w:rsidRPr="00A83991">
        <w:rPr>
          <w:sz w:val="22"/>
          <w:szCs w:val="22"/>
          <w:lang w:val="sk-SK"/>
        </w:rPr>
        <w:t xml:space="preserve">mutagenitu </w:t>
      </w:r>
      <w:r w:rsidRPr="00A83991">
        <w:rPr>
          <w:i/>
          <w:sz w:val="22"/>
          <w:szCs w:val="22"/>
          <w:lang w:val="sk-SK"/>
        </w:rPr>
        <w:t xml:space="preserve">in vitro </w:t>
      </w:r>
      <w:r w:rsidRPr="00A83991">
        <w:rPr>
          <w:sz w:val="22"/>
          <w:szCs w:val="22"/>
          <w:lang w:val="sk-SK"/>
        </w:rPr>
        <w:t xml:space="preserve">a </w:t>
      </w:r>
      <w:r w:rsidRPr="00A83991">
        <w:rPr>
          <w:i/>
          <w:sz w:val="22"/>
          <w:szCs w:val="22"/>
          <w:lang w:val="sk-SK"/>
        </w:rPr>
        <w:t xml:space="preserve">in vivo </w:t>
      </w:r>
      <w:r w:rsidRPr="00A83991">
        <w:rPr>
          <w:sz w:val="22"/>
          <w:szCs w:val="22"/>
          <w:lang w:val="sk-SK"/>
        </w:rPr>
        <w:t>topiramát nevykazoval genotoxické účinky.</w:t>
      </w:r>
    </w:p>
    <w:bookmarkEnd w:id="0"/>
    <w:p w:rsidR="00FA696D" w:rsidRPr="00A83991" w:rsidRDefault="00FA696D">
      <w:pPr>
        <w:rPr>
          <w:sz w:val="22"/>
          <w:szCs w:val="22"/>
          <w:lang w:val="sk-SK"/>
        </w:rPr>
      </w:pPr>
    </w:p>
    <w:p w:rsidR="00F80F16" w:rsidRPr="00A83991" w:rsidRDefault="00F80F16">
      <w:pPr>
        <w:rPr>
          <w:sz w:val="22"/>
          <w:szCs w:val="22"/>
          <w:lang w:val="sk-SK"/>
        </w:rPr>
      </w:pPr>
    </w:p>
    <w:p w:rsidR="00FA696D" w:rsidRPr="00A83991" w:rsidRDefault="00FA696D" w:rsidP="000971FE">
      <w:pPr>
        <w:keepNext/>
        <w:tabs>
          <w:tab w:val="left" w:pos="567"/>
        </w:tabs>
        <w:rPr>
          <w:sz w:val="22"/>
          <w:szCs w:val="22"/>
          <w:lang w:val="sk-SK"/>
        </w:rPr>
      </w:pPr>
      <w:r w:rsidRPr="00A83991">
        <w:rPr>
          <w:rStyle w:val="EmphasisA"/>
          <w:rFonts w:ascii="Times New Roman" w:eastAsia="Times New Roman" w:hAnsi="Times New Roman"/>
          <w:sz w:val="22"/>
          <w:szCs w:val="22"/>
          <w:lang w:val="sk-SK"/>
        </w:rPr>
        <w:t>6.</w:t>
      </w:r>
      <w:r w:rsidR="00F80F16"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FARMACEUTICKÉ INFORMÁCIE</w:t>
      </w:r>
    </w:p>
    <w:p w:rsidR="00FA696D" w:rsidRPr="00A83991" w:rsidRDefault="00FA696D" w:rsidP="000971FE">
      <w:pPr>
        <w:keepNext/>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6.1</w:t>
      </w:r>
      <w:r w:rsidR="00F80F16"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Zoznam pomocných látok</w:t>
      </w:r>
    </w:p>
    <w:p w:rsidR="00FA696D" w:rsidRPr="00A83991" w:rsidRDefault="00FA696D" w:rsidP="000971FE">
      <w:pPr>
        <w:keepNext/>
        <w:rPr>
          <w:sz w:val="22"/>
          <w:szCs w:val="22"/>
          <w:lang w:val="sk-SK"/>
        </w:rPr>
      </w:pPr>
    </w:p>
    <w:p w:rsidR="0018791B" w:rsidRPr="00A83991" w:rsidRDefault="0018791B" w:rsidP="0018791B">
      <w:pPr>
        <w:rPr>
          <w:sz w:val="22"/>
          <w:szCs w:val="22"/>
          <w:lang w:val="sk-SK"/>
        </w:rPr>
      </w:pPr>
      <w:r w:rsidRPr="00A83991">
        <w:rPr>
          <w:i/>
          <w:sz w:val="22"/>
          <w:szCs w:val="22"/>
          <w:lang w:val="sk-SK"/>
        </w:rPr>
        <w:t>Jadro tablety:</w:t>
      </w:r>
      <w:r w:rsidRPr="00A83991">
        <w:rPr>
          <w:sz w:val="22"/>
          <w:szCs w:val="22"/>
          <w:lang w:val="sk-SK"/>
        </w:rPr>
        <w:br/>
        <w:t>Manitol (E421)</w:t>
      </w:r>
    </w:p>
    <w:p w:rsidR="0018791B" w:rsidRPr="00A83991" w:rsidRDefault="0018791B" w:rsidP="0018791B">
      <w:pPr>
        <w:rPr>
          <w:sz w:val="22"/>
          <w:szCs w:val="22"/>
          <w:lang w:val="sk-SK"/>
        </w:rPr>
      </w:pPr>
      <w:r w:rsidRPr="00A83991">
        <w:rPr>
          <w:sz w:val="22"/>
          <w:szCs w:val="22"/>
          <w:lang w:val="sk-SK"/>
        </w:rPr>
        <w:t>Predželatinovaný kukuričný škrob,</w:t>
      </w:r>
      <w:r w:rsidRPr="00A83991">
        <w:rPr>
          <w:sz w:val="22"/>
          <w:szCs w:val="22"/>
          <w:lang w:val="sk-SK"/>
        </w:rPr>
        <w:br/>
        <w:t>Mikrokryštalická celulóza</w:t>
      </w:r>
      <w:r w:rsidRPr="00A83991">
        <w:rPr>
          <w:sz w:val="22"/>
          <w:szCs w:val="22"/>
          <w:lang w:val="sk-SK"/>
        </w:rPr>
        <w:br/>
        <w:t xml:space="preserve">Sodná soľ karboxymetylškrobu </w:t>
      </w:r>
    </w:p>
    <w:p w:rsidR="0018791B" w:rsidRPr="00A83991" w:rsidRDefault="0018791B" w:rsidP="0018791B">
      <w:pPr>
        <w:rPr>
          <w:sz w:val="22"/>
          <w:szCs w:val="22"/>
          <w:lang w:val="sk-SK"/>
        </w:rPr>
      </w:pPr>
      <w:r w:rsidRPr="00A83991">
        <w:rPr>
          <w:sz w:val="22"/>
          <w:szCs w:val="22"/>
          <w:lang w:val="sk-SK"/>
        </w:rPr>
        <w:t>Koloidný oxid kremičitý</w:t>
      </w:r>
    </w:p>
    <w:p w:rsidR="0018791B" w:rsidRPr="00A83991" w:rsidRDefault="0018791B" w:rsidP="0018791B">
      <w:pPr>
        <w:rPr>
          <w:sz w:val="22"/>
          <w:szCs w:val="22"/>
          <w:lang w:val="sk-SK"/>
        </w:rPr>
      </w:pPr>
      <w:r w:rsidRPr="00A83991">
        <w:rPr>
          <w:sz w:val="22"/>
          <w:szCs w:val="22"/>
          <w:lang w:val="sk-SK"/>
        </w:rPr>
        <w:t>Magnéziumstearát</w:t>
      </w:r>
    </w:p>
    <w:p w:rsidR="0018791B" w:rsidRPr="00A83991" w:rsidRDefault="0018791B" w:rsidP="0018791B">
      <w:pPr>
        <w:rPr>
          <w:sz w:val="22"/>
          <w:szCs w:val="22"/>
          <w:lang w:val="sk-SK"/>
        </w:rPr>
      </w:pPr>
    </w:p>
    <w:p w:rsidR="0018791B" w:rsidRPr="00A83991" w:rsidRDefault="0018791B" w:rsidP="0018791B">
      <w:pPr>
        <w:rPr>
          <w:sz w:val="22"/>
          <w:szCs w:val="22"/>
          <w:lang w:val="sk-SK"/>
        </w:rPr>
      </w:pPr>
      <w:r w:rsidRPr="00A83991">
        <w:rPr>
          <w:i/>
          <w:sz w:val="22"/>
          <w:szCs w:val="22"/>
          <w:lang w:val="sk-SK"/>
        </w:rPr>
        <w:t xml:space="preserve">Obal tablety </w:t>
      </w:r>
      <w:r w:rsidR="00EC632C" w:rsidRPr="00A83991">
        <w:rPr>
          <w:i/>
          <w:sz w:val="22"/>
          <w:szCs w:val="22"/>
          <w:lang w:val="sk-SK"/>
        </w:rPr>
        <w:t xml:space="preserve">- Talopam </w:t>
      </w:r>
      <w:r w:rsidRPr="00A83991">
        <w:rPr>
          <w:i/>
          <w:sz w:val="22"/>
          <w:szCs w:val="22"/>
          <w:lang w:val="sk-SK"/>
        </w:rPr>
        <w:t>25 mg:</w:t>
      </w:r>
      <w:r w:rsidRPr="00A83991">
        <w:rPr>
          <w:i/>
          <w:sz w:val="22"/>
          <w:szCs w:val="22"/>
          <w:lang w:val="sk-SK"/>
        </w:rPr>
        <w:br/>
      </w:r>
      <w:r w:rsidRPr="00A83991">
        <w:rPr>
          <w:sz w:val="22"/>
          <w:szCs w:val="22"/>
          <w:lang w:val="sk-SK"/>
        </w:rPr>
        <w:t>Opadry II 85F18422 biela</w:t>
      </w:r>
    </w:p>
    <w:p w:rsidR="0018791B" w:rsidRPr="00A83991" w:rsidRDefault="0018791B" w:rsidP="0018791B">
      <w:pPr>
        <w:rPr>
          <w:sz w:val="22"/>
          <w:szCs w:val="22"/>
          <w:lang w:val="sk-SK"/>
        </w:rPr>
      </w:pPr>
      <w:r w:rsidRPr="00A83991">
        <w:rPr>
          <w:sz w:val="22"/>
          <w:szCs w:val="22"/>
          <w:lang w:val="sk-SK"/>
        </w:rPr>
        <w:t>Polyvinyl alkohol</w:t>
      </w:r>
    </w:p>
    <w:p w:rsidR="0018791B" w:rsidRPr="00A83991" w:rsidRDefault="0018791B" w:rsidP="0018791B">
      <w:pPr>
        <w:rPr>
          <w:sz w:val="22"/>
          <w:szCs w:val="22"/>
          <w:lang w:val="sk-SK"/>
        </w:rPr>
      </w:pPr>
      <w:r w:rsidRPr="00A83991">
        <w:rPr>
          <w:sz w:val="22"/>
          <w:szCs w:val="22"/>
          <w:lang w:val="sk-SK"/>
        </w:rPr>
        <w:t>Oxid titaničitý (E171)</w:t>
      </w:r>
    </w:p>
    <w:p w:rsidR="0018791B" w:rsidRPr="00A83991" w:rsidRDefault="0018791B" w:rsidP="0018791B">
      <w:pPr>
        <w:rPr>
          <w:sz w:val="22"/>
          <w:szCs w:val="22"/>
          <w:lang w:val="sk-SK"/>
        </w:rPr>
      </w:pPr>
      <w:r w:rsidRPr="00A83991">
        <w:rPr>
          <w:sz w:val="22"/>
          <w:szCs w:val="22"/>
          <w:lang w:val="sk-SK"/>
        </w:rPr>
        <w:t>Makrogol 3350</w:t>
      </w:r>
      <w:r w:rsidRPr="00A83991">
        <w:rPr>
          <w:sz w:val="22"/>
          <w:szCs w:val="22"/>
          <w:lang w:val="sk-SK"/>
        </w:rPr>
        <w:br/>
        <w:t>Mastenec</w:t>
      </w:r>
    </w:p>
    <w:p w:rsidR="0018791B" w:rsidRPr="00A83991" w:rsidRDefault="0018791B" w:rsidP="0018791B">
      <w:pPr>
        <w:rPr>
          <w:sz w:val="22"/>
          <w:szCs w:val="22"/>
          <w:lang w:val="sk-SK"/>
        </w:rPr>
      </w:pPr>
    </w:p>
    <w:p w:rsidR="0018791B" w:rsidRPr="00A83991" w:rsidRDefault="0018791B" w:rsidP="0018791B">
      <w:pPr>
        <w:rPr>
          <w:sz w:val="22"/>
          <w:szCs w:val="22"/>
          <w:lang w:val="sk-SK"/>
        </w:rPr>
      </w:pPr>
      <w:r w:rsidRPr="00A83991">
        <w:rPr>
          <w:i/>
          <w:sz w:val="22"/>
          <w:szCs w:val="22"/>
          <w:lang w:val="sk-SK"/>
        </w:rPr>
        <w:t>Obal tablety</w:t>
      </w:r>
      <w:r w:rsidR="00EC632C" w:rsidRPr="00A83991">
        <w:rPr>
          <w:i/>
          <w:sz w:val="22"/>
          <w:szCs w:val="22"/>
          <w:lang w:val="sk-SK"/>
        </w:rPr>
        <w:t xml:space="preserve"> - Talopam </w:t>
      </w:r>
      <w:r w:rsidRPr="00A83991">
        <w:rPr>
          <w:i/>
          <w:sz w:val="22"/>
          <w:szCs w:val="22"/>
          <w:lang w:val="sk-SK"/>
        </w:rPr>
        <w:t>50 mg:</w:t>
      </w:r>
      <w:r w:rsidRPr="00A83991">
        <w:rPr>
          <w:sz w:val="22"/>
          <w:szCs w:val="22"/>
          <w:lang w:val="sk-SK"/>
        </w:rPr>
        <w:br/>
        <w:t xml:space="preserve">Opadry II 85G32312 žltá </w:t>
      </w:r>
    </w:p>
    <w:p w:rsidR="0018791B" w:rsidRPr="00A83991" w:rsidRDefault="0018791B" w:rsidP="0018791B">
      <w:pPr>
        <w:rPr>
          <w:sz w:val="22"/>
          <w:szCs w:val="22"/>
          <w:lang w:val="sk-SK"/>
        </w:rPr>
      </w:pPr>
      <w:r w:rsidRPr="00A83991">
        <w:rPr>
          <w:sz w:val="22"/>
          <w:szCs w:val="22"/>
          <w:lang w:val="sk-SK"/>
        </w:rPr>
        <w:t>Polyvinyl alkohol</w:t>
      </w:r>
    </w:p>
    <w:p w:rsidR="0018791B" w:rsidRPr="00A83991" w:rsidRDefault="0018791B" w:rsidP="0018791B">
      <w:pPr>
        <w:rPr>
          <w:sz w:val="22"/>
          <w:szCs w:val="22"/>
          <w:lang w:val="sk-SK"/>
        </w:rPr>
      </w:pPr>
      <w:r w:rsidRPr="00A83991">
        <w:rPr>
          <w:sz w:val="22"/>
          <w:szCs w:val="22"/>
          <w:lang w:val="sk-SK"/>
        </w:rPr>
        <w:t xml:space="preserve">Mastenec </w:t>
      </w:r>
    </w:p>
    <w:p w:rsidR="0018791B" w:rsidRPr="00A83991" w:rsidRDefault="0018791B" w:rsidP="0018791B">
      <w:pPr>
        <w:rPr>
          <w:sz w:val="22"/>
          <w:szCs w:val="22"/>
          <w:lang w:val="sk-SK"/>
        </w:rPr>
      </w:pPr>
      <w:r w:rsidRPr="00A83991">
        <w:rPr>
          <w:sz w:val="22"/>
          <w:szCs w:val="22"/>
          <w:lang w:val="sk-SK"/>
        </w:rPr>
        <w:t>Oxid titaničitý (E171)</w:t>
      </w:r>
    </w:p>
    <w:p w:rsidR="0018791B" w:rsidRPr="00A83991" w:rsidRDefault="0018791B" w:rsidP="0018791B">
      <w:pPr>
        <w:rPr>
          <w:sz w:val="22"/>
          <w:szCs w:val="22"/>
          <w:lang w:val="sk-SK"/>
        </w:rPr>
      </w:pPr>
      <w:r w:rsidRPr="00A83991">
        <w:rPr>
          <w:sz w:val="22"/>
          <w:szCs w:val="22"/>
          <w:lang w:val="sk-SK"/>
        </w:rPr>
        <w:t>Makrogol 3350</w:t>
      </w:r>
      <w:r w:rsidRPr="00A83991">
        <w:rPr>
          <w:sz w:val="22"/>
          <w:szCs w:val="22"/>
          <w:lang w:val="sk-SK"/>
        </w:rPr>
        <w:br/>
        <w:t>Lecitín (sója) (E322)</w:t>
      </w:r>
    </w:p>
    <w:p w:rsidR="0018791B" w:rsidRPr="00A83991" w:rsidRDefault="0018791B" w:rsidP="0018791B">
      <w:pPr>
        <w:rPr>
          <w:sz w:val="22"/>
          <w:szCs w:val="22"/>
          <w:lang w:val="sk-SK"/>
        </w:rPr>
      </w:pPr>
      <w:r w:rsidRPr="00A83991">
        <w:rPr>
          <w:sz w:val="22"/>
          <w:szCs w:val="22"/>
          <w:lang w:val="sk-SK"/>
        </w:rPr>
        <w:t>Žltý oxid železitý (E 172)</w:t>
      </w:r>
    </w:p>
    <w:p w:rsidR="0018791B" w:rsidRPr="00A83991" w:rsidRDefault="0018791B" w:rsidP="0018791B">
      <w:pPr>
        <w:rPr>
          <w:sz w:val="22"/>
          <w:szCs w:val="22"/>
          <w:lang w:val="sk-SK"/>
        </w:rPr>
      </w:pPr>
    </w:p>
    <w:p w:rsidR="0018791B" w:rsidRPr="00A83991" w:rsidRDefault="0018791B" w:rsidP="0018791B">
      <w:pPr>
        <w:rPr>
          <w:sz w:val="22"/>
          <w:szCs w:val="22"/>
          <w:lang w:val="sk-SK"/>
        </w:rPr>
      </w:pPr>
      <w:r w:rsidRPr="00A83991">
        <w:rPr>
          <w:i/>
          <w:sz w:val="22"/>
          <w:szCs w:val="22"/>
          <w:lang w:val="sk-SK"/>
        </w:rPr>
        <w:t>Obal tablety</w:t>
      </w:r>
      <w:r w:rsidR="00EC632C" w:rsidRPr="00A83991">
        <w:rPr>
          <w:i/>
          <w:sz w:val="22"/>
          <w:szCs w:val="22"/>
          <w:lang w:val="sk-SK"/>
        </w:rPr>
        <w:t xml:space="preserve"> – Talopam</w:t>
      </w:r>
      <w:r w:rsidR="002A38B5">
        <w:rPr>
          <w:i/>
          <w:sz w:val="22"/>
          <w:szCs w:val="22"/>
          <w:lang w:val="sk-SK"/>
        </w:rPr>
        <w:t xml:space="preserve"> </w:t>
      </w:r>
      <w:r w:rsidRPr="00A83991">
        <w:rPr>
          <w:i/>
          <w:sz w:val="22"/>
          <w:szCs w:val="22"/>
          <w:lang w:val="sk-SK"/>
        </w:rPr>
        <w:t>100 mg:</w:t>
      </w:r>
      <w:r w:rsidRPr="00A83991">
        <w:rPr>
          <w:sz w:val="22"/>
          <w:szCs w:val="22"/>
          <w:lang w:val="sk-SK"/>
        </w:rPr>
        <w:br/>
        <w:t>Opadry II 85</w:t>
      </w:r>
      <w:r w:rsidR="00FE3C2E" w:rsidRPr="00A83991">
        <w:rPr>
          <w:sz w:val="22"/>
          <w:szCs w:val="22"/>
          <w:lang w:val="sk-SK"/>
        </w:rPr>
        <w:t>G32313</w:t>
      </w:r>
      <w:r w:rsidRPr="00A83991">
        <w:rPr>
          <w:sz w:val="22"/>
          <w:szCs w:val="22"/>
          <w:lang w:val="sk-SK"/>
        </w:rPr>
        <w:t xml:space="preserve"> žltá </w:t>
      </w:r>
    </w:p>
    <w:p w:rsidR="0018791B" w:rsidRPr="00A83991" w:rsidRDefault="0018791B" w:rsidP="0018791B">
      <w:pPr>
        <w:rPr>
          <w:sz w:val="22"/>
          <w:szCs w:val="22"/>
          <w:lang w:val="sk-SK"/>
        </w:rPr>
      </w:pPr>
      <w:r w:rsidRPr="00A83991">
        <w:rPr>
          <w:sz w:val="22"/>
          <w:szCs w:val="22"/>
          <w:lang w:val="sk-SK"/>
        </w:rPr>
        <w:t>Polyvinyl alkohol</w:t>
      </w:r>
    </w:p>
    <w:p w:rsidR="0018791B" w:rsidRPr="00A83991" w:rsidRDefault="0018791B" w:rsidP="0018791B">
      <w:pPr>
        <w:rPr>
          <w:sz w:val="22"/>
          <w:szCs w:val="22"/>
          <w:lang w:val="sk-SK"/>
        </w:rPr>
      </w:pPr>
      <w:r w:rsidRPr="00A83991">
        <w:rPr>
          <w:sz w:val="22"/>
          <w:szCs w:val="22"/>
          <w:lang w:val="sk-SK"/>
        </w:rPr>
        <w:t xml:space="preserve">Mastenec </w:t>
      </w:r>
    </w:p>
    <w:p w:rsidR="0018791B" w:rsidRPr="00A83991" w:rsidRDefault="0018791B" w:rsidP="0018791B">
      <w:pPr>
        <w:rPr>
          <w:sz w:val="22"/>
          <w:szCs w:val="22"/>
          <w:lang w:val="sk-SK"/>
        </w:rPr>
      </w:pPr>
      <w:r w:rsidRPr="00A83991">
        <w:rPr>
          <w:sz w:val="22"/>
          <w:szCs w:val="22"/>
          <w:lang w:val="sk-SK"/>
        </w:rPr>
        <w:t>Oxid titaničitý (E171)</w:t>
      </w:r>
    </w:p>
    <w:p w:rsidR="00FE3C2E" w:rsidRPr="00A83991" w:rsidRDefault="0018791B" w:rsidP="00FE3C2E">
      <w:pPr>
        <w:rPr>
          <w:sz w:val="22"/>
          <w:szCs w:val="22"/>
          <w:lang w:val="sk-SK"/>
        </w:rPr>
      </w:pPr>
      <w:r w:rsidRPr="00A83991">
        <w:rPr>
          <w:sz w:val="22"/>
          <w:szCs w:val="22"/>
          <w:lang w:val="sk-SK"/>
        </w:rPr>
        <w:t>Makrogol 3350</w:t>
      </w:r>
      <w:r w:rsidRPr="00A83991">
        <w:rPr>
          <w:sz w:val="22"/>
          <w:szCs w:val="22"/>
          <w:lang w:val="sk-SK"/>
        </w:rPr>
        <w:br/>
      </w:r>
      <w:r w:rsidR="00FE3C2E" w:rsidRPr="00A83991">
        <w:rPr>
          <w:sz w:val="22"/>
          <w:szCs w:val="22"/>
          <w:lang w:val="sk-SK"/>
        </w:rPr>
        <w:t>Žltý oxid železitý (E 172)</w:t>
      </w:r>
    </w:p>
    <w:p w:rsidR="0018791B" w:rsidRPr="00A83991" w:rsidRDefault="00FE3C2E" w:rsidP="0018791B">
      <w:pPr>
        <w:rPr>
          <w:sz w:val="22"/>
          <w:szCs w:val="22"/>
          <w:lang w:val="sk-SK"/>
        </w:rPr>
      </w:pPr>
      <w:r w:rsidRPr="00A83991">
        <w:rPr>
          <w:sz w:val="22"/>
          <w:szCs w:val="22"/>
          <w:lang w:val="sk-SK"/>
        </w:rPr>
        <w:t>Lecitín (sója) (E322)</w:t>
      </w:r>
    </w:p>
    <w:p w:rsidR="00FE3C2E" w:rsidRPr="00A83991" w:rsidRDefault="00FE3C2E" w:rsidP="00FE3C2E">
      <w:pPr>
        <w:rPr>
          <w:i/>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6.2</w:t>
      </w:r>
      <w:r w:rsidR="00F80F16"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 xml:space="preserve">Inkompatibility </w:t>
      </w:r>
    </w:p>
    <w:p w:rsidR="00FA696D" w:rsidRPr="00A83991" w:rsidRDefault="00FA696D" w:rsidP="000971FE">
      <w:pPr>
        <w:keepNext/>
        <w:rPr>
          <w:sz w:val="22"/>
          <w:szCs w:val="22"/>
          <w:lang w:val="sk-SK"/>
        </w:rPr>
      </w:pPr>
    </w:p>
    <w:p w:rsidR="00FA696D" w:rsidRPr="00A83991" w:rsidRDefault="00FA696D">
      <w:pPr>
        <w:rPr>
          <w:sz w:val="22"/>
          <w:szCs w:val="22"/>
          <w:lang w:val="sk-SK"/>
        </w:rPr>
      </w:pPr>
      <w:r w:rsidRPr="00A83991">
        <w:rPr>
          <w:sz w:val="22"/>
          <w:szCs w:val="22"/>
          <w:lang w:val="sk-SK"/>
        </w:rPr>
        <w:t xml:space="preserve">Neaplikovateľné. </w:t>
      </w:r>
    </w:p>
    <w:p w:rsidR="00FA696D" w:rsidRPr="00A83991" w:rsidRDefault="00FA696D" w:rsidP="000971FE">
      <w:pPr>
        <w:keepNext/>
        <w:tabs>
          <w:tab w:val="left" w:pos="567"/>
        </w:tabs>
        <w:rPr>
          <w:b/>
          <w:sz w:val="22"/>
          <w:szCs w:val="22"/>
          <w:lang w:val="sk-SK"/>
        </w:rPr>
      </w:pPr>
      <w:r w:rsidRPr="00A83991">
        <w:rPr>
          <w:rStyle w:val="EmphasisA"/>
          <w:rFonts w:ascii="Times New Roman" w:eastAsia="Times New Roman" w:hAnsi="Times New Roman"/>
          <w:sz w:val="22"/>
          <w:szCs w:val="22"/>
          <w:lang w:val="sk-SK"/>
        </w:rPr>
        <w:lastRenderedPageBreak/>
        <w:t>6.3</w:t>
      </w:r>
      <w:r w:rsidR="00F80F16" w:rsidRPr="00A83991">
        <w:rPr>
          <w:rStyle w:val="EmphasisA"/>
          <w:rFonts w:ascii="Times New Roman" w:eastAsia="Times New Roman" w:hAnsi="Times New Roman"/>
          <w:sz w:val="22"/>
          <w:szCs w:val="22"/>
          <w:lang w:val="sk-SK"/>
        </w:rPr>
        <w:tab/>
      </w:r>
      <w:r w:rsidRPr="00A83991">
        <w:rPr>
          <w:b/>
          <w:sz w:val="22"/>
          <w:szCs w:val="22"/>
          <w:lang w:val="sk-SK"/>
        </w:rPr>
        <w:t>Čas použiteľnosti</w:t>
      </w:r>
    </w:p>
    <w:p w:rsidR="00FA696D" w:rsidRPr="00A83991" w:rsidRDefault="00FA696D" w:rsidP="000971FE">
      <w:pPr>
        <w:keepNext/>
        <w:rPr>
          <w:sz w:val="22"/>
          <w:szCs w:val="22"/>
          <w:lang w:val="sk-SK"/>
        </w:rPr>
      </w:pPr>
    </w:p>
    <w:p w:rsidR="00FA696D" w:rsidRPr="00A83991" w:rsidRDefault="004B313F">
      <w:pPr>
        <w:rPr>
          <w:sz w:val="22"/>
          <w:szCs w:val="22"/>
          <w:lang w:val="sk-SK"/>
        </w:rPr>
      </w:pPr>
      <w:r w:rsidRPr="00A83991">
        <w:rPr>
          <w:sz w:val="22"/>
          <w:szCs w:val="22"/>
          <w:lang w:val="sk-SK"/>
        </w:rPr>
        <w:t>3</w:t>
      </w:r>
      <w:r w:rsidR="00FA696D" w:rsidRPr="00A83991">
        <w:rPr>
          <w:sz w:val="22"/>
          <w:szCs w:val="22"/>
          <w:lang w:val="sk-SK"/>
        </w:rPr>
        <w:t xml:space="preserve"> roky</w:t>
      </w:r>
    </w:p>
    <w:p w:rsidR="00F80F16" w:rsidRPr="00A83991" w:rsidRDefault="00F80F16">
      <w:pPr>
        <w:rPr>
          <w:sz w:val="22"/>
          <w:szCs w:val="22"/>
          <w:lang w:val="sk-SK"/>
        </w:rPr>
      </w:pPr>
    </w:p>
    <w:p w:rsidR="00F80F16" w:rsidRPr="00A83991" w:rsidRDefault="00F80F16">
      <w:pPr>
        <w:rPr>
          <w:sz w:val="22"/>
          <w:szCs w:val="22"/>
          <w:lang w:val="sk-SK"/>
        </w:rPr>
      </w:pPr>
      <w:r w:rsidRPr="00A83991">
        <w:rPr>
          <w:sz w:val="22"/>
          <w:szCs w:val="22"/>
          <w:lang w:val="sk-SK"/>
        </w:rPr>
        <w:t>Čas použiteľnosti po otvorení: 100 dní (iba plastová fľaša).</w:t>
      </w:r>
    </w:p>
    <w:p w:rsidR="00FA696D" w:rsidRPr="00A83991" w:rsidRDefault="00FA696D">
      <w:pPr>
        <w:rPr>
          <w:sz w:val="22"/>
          <w:szCs w:val="22"/>
          <w:lang w:val="sk-SK"/>
        </w:rPr>
      </w:pPr>
    </w:p>
    <w:p w:rsidR="00FA696D" w:rsidRPr="00A83991" w:rsidRDefault="00FA696D" w:rsidP="000971FE">
      <w:pPr>
        <w:keepNext/>
        <w:tabs>
          <w:tab w:val="left" w:pos="567"/>
        </w:tabs>
        <w:rPr>
          <w:sz w:val="22"/>
          <w:szCs w:val="22"/>
          <w:lang w:val="sk-SK"/>
        </w:rPr>
      </w:pPr>
      <w:r w:rsidRPr="00A83991">
        <w:rPr>
          <w:rStyle w:val="EmphasisA"/>
          <w:rFonts w:ascii="Times New Roman" w:eastAsia="Times New Roman" w:hAnsi="Times New Roman"/>
          <w:sz w:val="22"/>
          <w:szCs w:val="22"/>
          <w:lang w:val="sk-SK"/>
        </w:rPr>
        <w:t>6.4</w:t>
      </w:r>
      <w:r w:rsidR="00D33D08" w:rsidRPr="00A83991">
        <w:rPr>
          <w:rStyle w:val="EmphasisA"/>
          <w:rFonts w:ascii="Times New Roman" w:eastAsia="Times New Roman" w:hAnsi="Times New Roman"/>
          <w:sz w:val="22"/>
          <w:szCs w:val="22"/>
          <w:lang w:val="sk-SK"/>
        </w:rPr>
        <w:tab/>
      </w:r>
      <w:r w:rsidRPr="00A83991">
        <w:rPr>
          <w:b/>
          <w:sz w:val="22"/>
          <w:szCs w:val="22"/>
          <w:lang w:val="sk-SK"/>
        </w:rPr>
        <w:t>Špeciálne upozornenia na uchovávanie</w:t>
      </w:r>
    </w:p>
    <w:p w:rsidR="00FA696D" w:rsidRPr="00A83991" w:rsidRDefault="00FA696D" w:rsidP="000971FE">
      <w:pPr>
        <w:keepNext/>
        <w:rPr>
          <w:sz w:val="22"/>
          <w:szCs w:val="22"/>
          <w:lang w:val="sk-SK"/>
        </w:rPr>
      </w:pPr>
    </w:p>
    <w:p w:rsidR="00FA696D" w:rsidRPr="00A83991" w:rsidRDefault="00462732">
      <w:pPr>
        <w:rPr>
          <w:sz w:val="22"/>
          <w:szCs w:val="22"/>
          <w:lang w:val="sk-SK"/>
        </w:rPr>
      </w:pPr>
      <w:r w:rsidRPr="00A83991">
        <w:rPr>
          <w:sz w:val="22"/>
          <w:szCs w:val="22"/>
          <w:lang w:val="sk-SK"/>
        </w:rPr>
        <w:t> </w:t>
      </w:r>
      <w:r w:rsidR="00F80F16" w:rsidRPr="00A83991">
        <w:rPr>
          <w:sz w:val="22"/>
          <w:szCs w:val="22"/>
          <w:lang w:val="sk-SK"/>
        </w:rPr>
        <w:t>Uchová</w:t>
      </w:r>
      <w:r w:rsidR="00D33D08" w:rsidRPr="00A83991">
        <w:rPr>
          <w:sz w:val="22"/>
          <w:szCs w:val="22"/>
          <w:lang w:val="sk-SK"/>
        </w:rPr>
        <w:t xml:space="preserve">vajte </w:t>
      </w:r>
      <w:r w:rsidR="00F80F16" w:rsidRPr="00A83991">
        <w:rPr>
          <w:sz w:val="22"/>
          <w:szCs w:val="22"/>
          <w:lang w:val="sk-SK"/>
        </w:rPr>
        <w:t xml:space="preserve">pri teplote neprevyšujúcej </w:t>
      </w:r>
      <w:smartTag w:uri="urn:schemas-microsoft-com:office:smarttags" w:element="metricconverter">
        <w:smartTagPr>
          <w:attr w:name="ProductID" w:val="25ﾠﾰC"/>
        </w:smartTagPr>
        <w:r w:rsidR="00F80F16" w:rsidRPr="00A83991">
          <w:rPr>
            <w:sz w:val="22"/>
            <w:szCs w:val="22"/>
            <w:lang w:val="sk-SK"/>
          </w:rPr>
          <w:t>25 °</w:t>
        </w:r>
        <w:r w:rsidR="00D33D08" w:rsidRPr="00A83991">
          <w:rPr>
            <w:sz w:val="22"/>
            <w:szCs w:val="22"/>
            <w:lang w:val="sk-SK"/>
          </w:rPr>
          <w:t>C</w:t>
        </w:r>
      </w:smartTag>
      <w:r w:rsidR="00D33D08" w:rsidRPr="00A83991">
        <w:rPr>
          <w:sz w:val="22"/>
          <w:szCs w:val="22"/>
          <w:lang w:val="sk-SK"/>
        </w:rPr>
        <w:t>.</w:t>
      </w:r>
    </w:p>
    <w:p w:rsidR="00FA696D" w:rsidRPr="00A83991" w:rsidRDefault="00FA696D">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6.5</w:t>
      </w:r>
      <w:r w:rsidR="00D33D08"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Druh obalu a obsah balenia</w:t>
      </w:r>
    </w:p>
    <w:p w:rsidR="00FA696D" w:rsidRPr="00A83991" w:rsidRDefault="00FA696D" w:rsidP="000971FE">
      <w:pPr>
        <w:keepNext/>
        <w:rPr>
          <w:sz w:val="22"/>
          <w:szCs w:val="22"/>
          <w:lang w:val="sk-SK"/>
        </w:rPr>
      </w:pPr>
    </w:p>
    <w:p w:rsidR="00387730" w:rsidRPr="00A83991" w:rsidRDefault="00FE3C2E" w:rsidP="00387730">
      <w:pPr>
        <w:autoSpaceDE w:val="0"/>
        <w:autoSpaceDN w:val="0"/>
        <w:adjustRightInd w:val="0"/>
        <w:rPr>
          <w:bCs/>
          <w:sz w:val="22"/>
          <w:szCs w:val="22"/>
          <w:lang w:val="sk-SK"/>
        </w:rPr>
      </w:pPr>
      <w:r w:rsidRPr="00A83991">
        <w:rPr>
          <w:sz w:val="22"/>
          <w:szCs w:val="22"/>
          <w:lang w:val="sk-SK"/>
        </w:rPr>
        <w:t>Al/Al blistre a HDPE fľaša</w:t>
      </w:r>
      <w:r w:rsidR="00D33D08" w:rsidRPr="00A83991">
        <w:rPr>
          <w:sz w:val="22"/>
          <w:szCs w:val="22"/>
          <w:lang w:val="sk-SK"/>
        </w:rPr>
        <w:t xml:space="preserve"> s obsahom </w:t>
      </w:r>
      <w:r w:rsidRPr="00A83991">
        <w:rPr>
          <w:sz w:val="22"/>
          <w:szCs w:val="22"/>
          <w:lang w:val="sk-SK"/>
        </w:rPr>
        <w:t xml:space="preserve">7, 10, 14, 20, 56 a 60 </w:t>
      </w:r>
      <w:r w:rsidR="00387730" w:rsidRPr="00A83991">
        <w:rPr>
          <w:bCs/>
          <w:sz w:val="22"/>
          <w:szCs w:val="22"/>
          <w:lang w:val="sk-SK"/>
        </w:rPr>
        <w:t>filmom obalených tabliet.</w:t>
      </w:r>
    </w:p>
    <w:p w:rsidR="00FE3C2E" w:rsidRPr="00A83991" w:rsidRDefault="00FE3C2E">
      <w:pPr>
        <w:rPr>
          <w:sz w:val="22"/>
          <w:szCs w:val="22"/>
          <w:lang w:val="sk-SK"/>
        </w:rPr>
      </w:pPr>
    </w:p>
    <w:p w:rsidR="00FA696D" w:rsidRPr="00A83991" w:rsidRDefault="008A6AD4">
      <w:pPr>
        <w:rPr>
          <w:sz w:val="22"/>
          <w:szCs w:val="22"/>
          <w:lang w:val="sk-SK"/>
        </w:rPr>
      </w:pPr>
      <w:r>
        <w:rPr>
          <w:sz w:val="22"/>
          <w:szCs w:val="22"/>
          <w:lang w:val="sk-SK"/>
        </w:rPr>
        <w:t>Na trh nemusia byť uvedené</w:t>
      </w:r>
      <w:r w:rsidRPr="00A83991">
        <w:rPr>
          <w:sz w:val="22"/>
          <w:szCs w:val="22"/>
          <w:lang w:val="sk-SK"/>
        </w:rPr>
        <w:t xml:space="preserve"> </w:t>
      </w:r>
      <w:r w:rsidR="00FA696D" w:rsidRPr="00A83991">
        <w:rPr>
          <w:sz w:val="22"/>
          <w:szCs w:val="22"/>
          <w:lang w:val="sk-SK"/>
        </w:rPr>
        <w:t>všetky veľkosti balenia</w:t>
      </w:r>
      <w:r>
        <w:rPr>
          <w:sz w:val="22"/>
          <w:szCs w:val="22"/>
          <w:lang w:val="sk-SK"/>
        </w:rPr>
        <w:t>.</w:t>
      </w:r>
    </w:p>
    <w:p w:rsidR="00FA696D" w:rsidRPr="00A83991" w:rsidRDefault="00FA696D">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6.6</w:t>
      </w:r>
      <w:r w:rsidR="00D33D08" w:rsidRPr="00A83991">
        <w:rPr>
          <w:rStyle w:val="EmphasisA"/>
          <w:rFonts w:ascii="Times New Roman" w:eastAsia="Times New Roman" w:hAnsi="Times New Roman"/>
          <w:sz w:val="22"/>
          <w:szCs w:val="22"/>
          <w:lang w:val="sk-SK"/>
        </w:rPr>
        <w:tab/>
      </w:r>
      <w:r w:rsidRPr="00A83991">
        <w:rPr>
          <w:b/>
          <w:sz w:val="22"/>
          <w:szCs w:val="22"/>
          <w:lang w:val="sk-SK"/>
        </w:rPr>
        <w:t>Špeciálne opatrenia na likvidáciu</w:t>
      </w:r>
    </w:p>
    <w:p w:rsidR="00FA696D" w:rsidRPr="00A83991" w:rsidRDefault="00FA696D" w:rsidP="000971FE">
      <w:pPr>
        <w:keepNext/>
        <w:rPr>
          <w:sz w:val="22"/>
          <w:szCs w:val="22"/>
          <w:lang w:val="sk-SK"/>
        </w:rPr>
      </w:pPr>
    </w:p>
    <w:p w:rsidR="00FA696D" w:rsidRPr="00A83991" w:rsidRDefault="00FA696D">
      <w:pPr>
        <w:rPr>
          <w:sz w:val="22"/>
          <w:szCs w:val="22"/>
          <w:lang w:val="sk-SK"/>
        </w:rPr>
      </w:pPr>
      <w:r w:rsidRPr="00A83991">
        <w:rPr>
          <w:sz w:val="22"/>
          <w:szCs w:val="22"/>
          <w:lang w:val="sk-SK"/>
        </w:rPr>
        <w:t xml:space="preserve">Žiadne zvláštne požiadavky. </w:t>
      </w:r>
    </w:p>
    <w:p w:rsidR="00FA696D" w:rsidRPr="00A83991" w:rsidRDefault="00FA696D">
      <w:pPr>
        <w:rPr>
          <w:sz w:val="22"/>
          <w:szCs w:val="22"/>
          <w:lang w:val="sk-SK"/>
        </w:rPr>
      </w:pPr>
    </w:p>
    <w:p w:rsidR="00FA696D" w:rsidRPr="00A83991" w:rsidRDefault="00FA696D">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7.</w:t>
      </w:r>
      <w:r w:rsidR="00D33D08"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DRŽITEĽ ROZHODNUTIA O REGISTRÁCII</w:t>
      </w:r>
    </w:p>
    <w:p w:rsidR="00FA696D" w:rsidRPr="00A83991" w:rsidRDefault="00FA696D" w:rsidP="000971FE">
      <w:pPr>
        <w:keepNext/>
        <w:rPr>
          <w:sz w:val="22"/>
          <w:szCs w:val="22"/>
          <w:lang w:val="sk-SK"/>
        </w:rPr>
      </w:pPr>
    </w:p>
    <w:p w:rsidR="00782DDF" w:rsidRDefault="00B0754C">
      <w:pPr>
        <w:rPr>
          <w:sz w:val="22"/>
          <w:szCs w:val="22"/>
          <w:lang w:val="sk-SK"/>
        </w:rPr>
      </w:pPr>
      <w:r w:rsidRPr="00A83991">
        <w:rPr>
          <w:sz w:val="22"/>
          <w:szCs w:val="22"/>
          <w:lang w:val="sk-SK"/>
        </w:rPr>
        <w:t>Actavis Group PTC ehf.</w:t>
      </w:r>
    </w:p>
    <w:p w:rsidR="00702D71" w:rsidRPr="00702D71" w:rsidRDefault="00702D71" w:rsidP="00702D71">
      <w:pPr>
        <w:rPr>
          <w:sz w:val="22"/>
          <w:szCs w:val="22"/>
          <w:lang w:val="sk-SK"/>
        </w:rPr>
      </w:pPr>
      <w:r w:rsidRPr="00702D71">
        <w:rPr>
          <w:sz w:val="22"/>
          <w:szCs w:val="22"/>
          <w:lang w:val="sk-SK"/>
        </w:rPr>
        <w:t>Reykjavíkurvegur 76-78</w:t>
      </w:r>
    </w:p>
    <w:p w:rsidR="00FA696D" w:rsidRDefault="00702D71">
      <w:pPr>
        <w:rPr>
          <w:sz w:val="22"/>
          <w:szCs w:val="22"/>
          <w:lang w:val="sk-SK"/>
        </w:rPr>
      </w:pPr>
      <w:r w:rsidRPr="00702D71">
        <w:rPr>
          <w:sz w:val="22"/>
          <w:szCs w:val="22"/>
          <w:lang w:val="sk-SK"/>
        </w:rPr>
        <w:t>220 Hafnarfjör</w:t>
      </w:r>
      <w:r>
        <w:rPr>
          <w:sz w:val="22"/>
          <w:szCs w:val="22"/>
          <w:lang w:val="sk-SK"/>
        </w:rPr>
        <w:t>d</w:t>
      </w:r>
      <w:r w:rsidRPr="00702D71">
        <w:rPr>
          <w:sz w:val="22"/>
          <w:szCs w:val="22"/>
          <w:lang w:val="sk-SK"/>
        </w:rPr>
        <w:t>ur</w:t>
      </w:r>
    </w:p>
    <w:p w:rsidR="00702D71" w:rsidRPr="00A83991" w:rsidRDefault="00702D71">
      <w:pPr>
        <w:rPr>
          <w:sz w:val="22"/>
          <w:szCs w:val="22"/>
          <w:lang w:val="sk-SK"/>
        </w:rPr>
      </w:pPr>
      <w:r>
        <w:rPr>
          <w:sz w:val="22"/>
          <w:szCs w:val="22"/>
          <w:lang w:val="sk-SK"/>
        </w:rPr>
        <w:t>Island</w:t>
      </w:r>
    </w:p>
    <w:p w:rsidR="00D33D08" w:rsidRDefault="00D33D08">
      <w:pPr>
        <w:rPr>
          <w:sz w:val="22"/>
          <w:szCs w:val="22"/>
          <w:lang w:val="sk-SK"/>
        </w:rPr>
      </w:pPr>
    </w:p>
    <w:p w:rsidR="001F43FB" w:rsidRPr="00A83991" w:rsidRDefault="001F43FB">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8.</w:t>
      </w:r>
      <w:r w:rsidR="00D33D08"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REGISTRAČNÉ ČÍSL</w:t>
      </w:r>
      <w:r w:rsidR="00D33D08" w:rsidRPr="00A83991">
        <w:rPr>
          <w:rStyle w:val="EmphasisA"/>
          <w:rFonts w:ascii="Times New Roman" w:eastAsia="Times New Roman" w:hAnsi="Times New Roman"/>
          <w:sz w:val="22"/>
          <w:szCs w:val="22"/>
          <w:lang w:val="sk-SK"/>
        </w:rPr>
        <w:t>A</w:t>
      </w:r>
    </w:p>
    <w:p w:rsidR="00FA696D" w:rsidRPr="00A83991" w:rsidRDefault="00FA696D" w:rsidP="000971FE">
      <w:pPr>
        <w:keepNext/>
        <w:rPr>
          <w:sz w:val="22"/>
          <w:szCs w:val="22"/>
          <w:lang w:val="sk-SK"/>
        </w:rPr>
      </w:pPr>
    </w:p>
    <w:p w:rsidR="00F479F9" w:rsidRPr="00A83991" w:rsidRDefault="00F479F9">
      <w:pPr>
        <w:rPr>
          <w:sz w:val="22"/>
          <w:szCs w:val="22"/>
          <w:lang w:val="sk-SK"/>
        </w:rPr>
      </w:pPr>
      <w:r w:rsidRPr="00A83991">
        <w:rPr>
          <w:sz w:val="22"/>
          <w:szCs w:val="22"/>
          <w:lang w:val="sk-SK"/>
        </w:rPr>
        <w:t>Talopam 25 mg:</w:t>
      </w:r>
      <w:r w:rsidR="003443B1" w:rsidRPr="00A83991">
        <w:rPr>
          <w:sz w:val="22"/>
          <w:szCs w:val="22"/>
          <w:lang w:val="sk-SK"/>
        </w:rPr>
        <w:t xml:space="preserve"> 21/0755/09-S</w:t>
      </w:r>
    </w:p>
    <w:p w:rsidR="00F479F9" w:rsidRPr="00A83991" w:rsidRDefault="00F479F9">
      <w:pPr>
        <w:rPr>
          <w:sz w:val="22"/>
          <w:szCs w:val="22"/>
          <w:lang w:val="sk-SK"/>
        </w:rPr>
      </w:pPr>
      <w:r w:rsidRPr="00A83991">
        <w:rPr>
          <w:sz w:val="22"/>
          <w:szCs w:val="22"/>
          <w:lang w:val="sk-SK"/>
        </w:rPr>
        <w:t>Talopam 50 mg:</w:t>
      </w:r>
      <w:r w:rsidR="003443B1" w:rsidRPr="00A83991">
        <w:rPr>
          <w:sz w:val="22"/>
          <w:szCs w:val="22"/>
          <w:lang w:val="sk-SK"/>
        </w:rPr>
        <w:t xml:space="preserve"> 21/0756/09-S</w:t>
      </w:r>
    </w:p>
    <w:p w:rsidR="00F479F9" w:rsidRPr="00A83991" w:rsidRDefault="00F479F9">
      <w:pPr>
        <w:rPr>
          <w:sz w:val="22"/>
          <w:szCs w:val="22"/>
          <w:lang w:val="sk-SK"/>
        </w:rPr>
      </w:pPr>
      <w:r w:rsidRPr="00A83991">
        <w:rPr>
          <w:sz w:val="22"/>
          <w:szCs w:val="22"/>
          <w:lang w:val="sk-SK"/>
        </w:rPr>
        <w:t xml:space="preserve">Talopam 100 mg: </w:t>
      </w:r>
      <w:r w:rsidR="003443B1" w:rsidRPr="00A83991">
        <w:rPr>
          <w:sz w:val="22"/>
          <w:szCs w:val="22"/>
          <w:lang w:val="sk-SK"/>
        </w:rPr>
        <w:t>21/0757/09-S</w:t>
      </w:r>
    </w:p>
    <w:p w:rsidR="00F479F9" w:rsidRPr="00A83991" w:rsidRDefault="00F479F9">
      <w:pPr>
        <w:rPr>
          <w:sz w:val="22"/>
          <w:szCs w:val="22"/>
          <w:lang w:val="sk-SK"/>
        </w:rPr>
      </w:pPr>
    </w:p>
    <w:p w:rsidR="00FA696D" w:rsidRPr="00A83991" w:rsidRDefault="00FA696D">
      <w:pPr>
        <w:rPr>
          <w:sz w:val="22"/>
          <w:szCs w:val="22"/>
          <w:lang w:val="sk-SK"/>
        </w:rPr>
      </w:pPr>
      <w:bookmarkStart w:id="1" w:name="_GoBack"/>
      <w:bookmarkEnd w:id="1"/>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9.</w:t>
      </w:r>
      <w:r w:rsidR="00D33D08"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DÁTUM PRVEJ REGISTRÁCIE / PREDĹŽENIA REGISTRÁCIE</w:t>
      </w:r>
    </w:p>
    <w:p w:rsidR="00FA696D" w:rsidRPr="00A83991" w:rsidRDefault="00FA696D" w:rsidP="000971FE">
      <w:pPr>
        <w:keepNext/>
        <w:rPr>
          <w:sz w:val="22"/>
          <w:szCs w:val="22"/>
          <w:lang w:val="sk-SK"/>
        </w:rPr>
      </w:pPr>
    </w:p>
    <w:p w:rsidR="00FA696D" w:rsidRPr="00A83991" w:rsidRDefault="00D33D08">
      <w:pPr>
        <w:rPr>
          <w:sz w:val="22"/>
          <w:szCs w:val="22"/>
          <w:lang w:val="sk-SK"/>
        </w:rPr>
      </w:pPr>
      <w:r w:rsidRPr="00A83991">
        <w:rPr>
          <w:sz w:val="22"/>
          <w:szCs w:val="22"/>
          <w:lang w:val="sk-SK"/>
        </w:rPr>
        <w:t>Dátum prvej registrácie: 30. novembr</w:t>
      </w:r>
      <w:r w:rsidR="00173E04">
        <w:rPr>
          <w:sz w:val="22"/>
          <w:szCs w:val="22"/>
          <w:lang w:val="sk-SK"/>
        </w:rPr>
        <w:t>a</w:t>
      </w:r>
      <w:r w:rsidRPr="00A83991">
        <w:rPr>
          <w:sz w:val="22"/>
          <w:szCs w:val="22"/>
          <w:lang w:val="sk-SK"/>
        </w:rPr>
        <w:t xml:space="preserve"> 2009</w:t>
      </w:r>
    </w:p>
    <w:p w:rsidR="00D33D08" w:rsidRPr="00A83991" w:rsidRDefault="00D33D08">
      <w:pPr>
        <w:rPr>
          <w:sz w:val="22"/>
          <w:szCs w:val="22"/>
          <w:lang w:val="sk-SK"/>
        </w:rPr>
      </w:pPr>
      <w:r w:rsidRPr="00A83991">
        <w:rPr>
          <w:sz w:val="22"/>
          <w:szCs w:val="22"/>
          <w:lang w:val="sk-SK"/>
        </w:rPr>
        <w:t>Dátum posledného predĺženia:</w:t>
      </w:r>
      <w:r w:rsidR="008A6AD4">
        <w:rPr>
          <w:sz w:val="22"/>
          <w:szCs w:val="22"/>
          <w:lang w:val="sk-SK"/>
        </w:rPr>
        <w:t xml:space="preserve"> </w:t>
      </w:r>
      <w:r w:rsidR="00C0293B">
        <w:rPr>
          <w:sz w:val="22"/>
          <w:szCs w:val="22"/>
          <w:lang w:val="sk-SK"/>
        </w:rPr>
        <w:t>30.</w:t>
      </w:r>
      <w:r w:rsidR="00173E04">
        <w:rPr>
          <w:sz w:val="22"/>
          <w:szCs w:val="22"/>
          <w:lang w:val="sk-SK"/>
        </w:rPr>
        <w:t xml:space="preserve"> novembra </w:t>
      </w:r>
      <w:r w:rsidR="00C0293B">
        <w:rPr>
          <w:sz w:val="22"/>
          <w:szCs w:val="22"/>
          <w:lang w:val="sk-SK"/>
        </w:rPr>
        <w:t>2012</w:t>
      </w:r>
    </w:p>
    <w:p w:rsidR="00FA696D" w:rsidRPr="00A83991" w:rsidRDefault="00FA696D">
      <w:pPr>
        <w:rPr>
          <w:sz w:val="22"/>
          <w:szCs w:val="22"/>
          <w:lang w:val="sk-SK"/>
        </w:rPr>
      </w:pPr>
    </w:p>
    <w:p w:rsidR="00D33D08" w:rsidRPr="00A83991" w:rsidRDefault="00D33D08">
      <w:pPr>
        <w:rPr>
          <w:sz w:val="22"/>
          <w:szCs w:val="22"/>
          <w:lang w:val="sk-SK"/>
        </w:rPr>
      </w:pPr>
    </w:p>
    <w:p w:rsidR="00FA696D" w:rsidRPr="00A83991" w:rsidRDefault="00FA696D" w:rsidP="000971FE">
      <w:pPr>
        <w:keepNext/>
        <w:tabs>
          <w:tab w:val="left" w:pos="567"/>
        </w:tabs>
        <w:rPr>
          <w:rStyle w:val="EmphasisA"/>
          <w:rFonts w:ascii="Times New Roman" w:eastAsia="Times New Roman" w:hAnsi="Times New Roman"/>
          <w:sz w:val="22"/>
          <w:szCs w:val="22"/>
          <w:lang w:val="sk-SK"/>
        </w:rPr>
      </w:pPr>
      <w:r w:rsidRPr="00A83991">
        <w:rPr>
          <w:rStyle w:val="EmphasisA"/>
          <w:rFonts w:ascii="Times New Roman" w:eastAsia="Times New Roman" w:hAnsi="Times New Roman"/>
          <w:sz w:val="22"/>
          <w:szCs w:val="22"/>
          <w:lang w:val="sk-SK"/>
        </w:rPr>
        <w:t>10.</w:t>
      </w:r>
      <w:r w:rsidR="007C4E2F" w:rsidRPr="00A83991">
        <w:rPr>
          <w:rStyle w:val="EmphasisA"/>
          <w:rFonts w:ascii="Times New Roman" w:eastAsia="Times New Roman" w:hAnsi="Times New Roman"/>
          <w:sz w:val="22"/>
          <w:szCs w:val="22"/>
          <w:lang w:val="sk-SK"/>
        </w:rPr>
        <w:tab/>
      </w:r>
      <w:r w:rsidRPr="00A83991">
        <w:rPr>
          <w:rStyle w:val="EmphasisA"/>
          <w:rFonts w:ascii="Times New Roman" w:eastAsia="Times New Roman" w:hAnsi="Times New Roman"/>
          <w:sz w:val="22"/>
          <w:szCs w:val="22"/>
          <w:lang w:val="sk-SK"/>
        </w:rPr>
        <w:t>DÁTUM REVÍZIE TEXTU</w:t>
      </w:r>
    </w:p>
    <w:p w:rsidR="00FA696D" w:rsidRDefault="00FA696D" w:rsidP="000971FE">
      <w:pPr>
        <w:keepNext/>
        <w:rPr>
          <w:sz w:val="22"/>
          <w:szCs w:val="22"/>
          <w:lang w:val="sk-SK"/>
        </w:rPr>
      </w:pPr>
    </w:p>
    <w:p w:rsidR="0078703D" w:rsidRPr="006D0069" w:rsidRDefault="006A1EF8">
      <w:pPr>
        <w:rPr>
          <w:sz w:val="22"/>
          <w:szCs w:val="22"/>
          <w:lang w:val="sk-SK"/>
        </w:rPr>
      </w:pPr>
      <w:r>
        <w:rPr>
          <w:sz w:val="22"/>
          <w:szCs w:val="22"/>
          <w:lang w:val="sk-SK"/>
        </w:rPr>
        <w:t xml:space="preserve">Máj 2018 </w:t>
      </w:r>
    </w:p>
    <w:sectPr w:rsidR="0078703D" w:rsidRPr="006D0069" w:rsidSect="000971FE">
      <w:headerReference w:type="default" r:id="rId10"/>
      <w:footerReference w:type="even" r:id="rId11"/>
      <w:footerReference w:type="default" r:id="rId12"/>
      <w:headerReference w:type="first" r:id="rId13"/>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09" w:rsidRDefault="00682609">
      <w:r>
        <w:separator/>
      </w:r>
    </w:p>
  </w:endnote>
  <w:endnote w:type="continuationSeparator" w:id="0">
    <w:p w:rsidR="00682609" w:rsidRDefault="00682609">
      <w:r>
        <w:continuationSeparator/>
      </w:r>
    </w:p>
  </w:endnote>
  <w:endnote w:type="continuationNotice" w:id="1">
    <w:p w:rsidR="00682609" w:rsidRDefault="00682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Grande">
    <w:charset w:val="0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13" w:rsidRDefault="008A3C1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8A3C13" w:rsidRDefault="008A3C1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13" w:rsidRDefault="008A3C13">
    <w:pPr>
      <w:pStyle w:val="Pta"/>
      <w:framePr w:w="718" w:wrap="around" w:vAnchor="text" w:hAnchor="page" w:x="10058" w:y="147"/>
      <w:rPr>
        <w:rStyle w:val="slostrany"/>
        <w:sz w:val="20"/>
      </w:rPr>
    </w:pPr>
    <w:r>
      <w:rPr>
        <w:rStyle w:val="slostrany"/>
        <w:sz w:val="20"/>
      </w:rPr>
      <w:fldChar w:fldCharType="begin"/>
    </w:r>
    <w:r>
      <w:rPr>
        <w:rStyle w:val="slostrany"/>
        <w:sz w:val="20"/>
      </w:rPr>
      <w:instrText xml:space="preserve">PAGE  </w:instrText>
    </w:r>
    <w:r>
      <w:rPr>
        <w:rStyle w:val="slostrany"/>
        <w:sz w:val="20"/>
      </w:rPr>
      <w:fldChar w:fldCharType="separate"/>
    </w:r>
    <w:r w:rsidR="000971FE">
      <w:rPr>
        <w:rStyle w:val="slostrany"/>
        <w:noProof/>
        <w:sz w:val="20"/>
      </w:rPr>
      <w:t>21</w:t>
    </w:r>
    <w:r>
      <w:rPr>
        <w:rStyle w:val="slostrany"/>
        <w:sz w:val="20"/>
      </w:rPr>
      <w:fldChar w:fldCharType="end"/>
    </w:r>
    <w:r>
      <w:rPr>
        <w:rStyle w:val="slostrany"/>
        <w:sz w:val="20"/>
      </w:rPr>
      <w:t>/</w:t>
    </w:r>
    <w:r>
      <w:rPr>
        <w:rStyle w:val="slostrany"/>
        <w:sz w:val="20"/>
      </w:rPr>
      <w:fldChar w:fldCharType="begin"/>
    </w:r>
    <w:r>
      <w:rPr>
        <w:rStyle w:val="slostrany"/>
        <w:sz w:val="20"/>
      </w:rPr>
      <w:instrText xml:space="preserve"> NUMPAGES </w:instrText>
    </w:r>
    <w:r>
      <w:rPr>
        <w:rStyle w:val="slostrany"/>
        <w:sz w:val="20"/>
      </w:rPr>
      <w:fldChar w:fldCharType="separate"/>
    </w:r>
    <w:r w:rsidR="000971FE">
      <w:rPr>
        <w:rStyle w:val="slostrany"/>
        <w:noProof/>
        <w:sz w:val="20"/>
      </w:rPr>
      <w:t>21</w:t>
    </w:r>
    <w:r>
      <w:rPr>
        <w:rStyle w:val="slostrany"/>
        <w:sz w:val="20"/>
      </w:rPr>
      <w:fldChar w:fldCharType="end"/>
    </w:r>
  </w:p>
  <w:p w:rsidR="008A3C13" w:rsidRDefault="008A3C13">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09" w:rsidRDefault="00682609">
      <w:r>
        <w:separator/>
      </w:r>
    </w:p>
  </w:footnote>
  <w:footnote w:type="continuationSeparator" w:id="0">
    <w:p w:rsidR="00682609" w:rsidRDefault="00682609">
      <w:r>
        <w:continuationSeparator/>
      </w:r>
    </w:p>
  </w:footnote>
  <w:footnote w:type="continuationNotice" w:id="1">
    <w:p w:rsidR="00682609" w:rsidRDefault="006826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5F1" w:rsidRDefault="007065F1" w:rsidP="007065F1">
    <w:pPr>
      <w:autoSpaceDE w:val="0"/>
      <w:autoSpaceDN w:val="0"/>
      <w:adjustRightInd w:val="0"/>
      <w:rPr>
        <w:sz w:val="18"/>
        <w:szCs w:val="18"/>
      </w:rPr>
    </w:pPr>
    <w:r>
      <w:rPr>
        <w:sz w:val="18"/>
        <w:szCs w:val="18"/>
      </w:rPr>
      <w:t>Príloha č. 1</w:t>
    </w:r>
    <w:r w:rsidRPr="002B1B2E">
      <w:rPr>
        <w:sz w:val="18"/>
        <w:szCs w:val="18"/>
      </w:rPr>
      <w:t xml:space="preserve"> k notifikácii </w:t>
    </w:r>
    <w:r>
      <w:rPr>
        <w:sz w:val="18"/>
        <w:szCs w:val="18"/>
      </w:rPr>
      <w:t xml:space="preserve">o </w:t>
    </w:r>
    <w:r w:rsidRPr="002B1B2E">
      <w:rPr>
        <w:sz w:val="18"/>
        <w:szCs w:val="18"/>
      </w:rPr>
      <w:t>zmen</w:t>
    </w:r>
    <w:r>
      <w:rPr>
        <w:sz w:val="18"/>
        <w:szCs w:val="18"/>
      </w:rPr>
      <w:t>e,</w:t>
    </w:r>
    <w:r w:rsidRPr="002B1B2E">
      <w:rPr>
        <w:sz w:val="18"/>
        <w:szCs w:val="18"/>
      </w:rPr>
      <w:t xml:space="preserve"> ev.</w:t>
    </w:r>
    <w:r w:rsidR="001A2654">
      <w:rPr>
        <w:sz w:val="18"/>
        <w:szCs w:val="18"/>
      </w:rPr>
      <w:t xml:space="preserve"> </w:t>
    </w:r>
    <w:r w:rsidRPr="002B1B2E">
      <w:rPr>
        <w:sz w:val="18"/>
        <w:szCs w:val="18"/>
      </w:rPr>
      <w:t xml:space="preserve">č.: </w:t>
    </w:r>
    <w:r w:rsidRPr="007065F1">
      <w:rPr>
        <w:sz w:val="18"/>
        <w:szCs w:val="18"/>
      </w:rPr>
      <w:t>2017/06993-Z1B</w:t>
    </w:r>
  </w:p>
  <w:p w:rsidR="007065F1" w:rsidRDefault="007065F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C6E" w:rsidRDefault="00916C6E" w:rsidP="00916C6E">
    <w:pPr>
      <w:autoSpaceDE w:val="0"/>
      <w:autoSpaceDN w:val="0"/>
      <w:adjustRightInd w:val="0"/>
      <w:rPr>
        <w:sz w:val="18"/>
        <w:szCs w:val="18"/>
      </w:rPr>
    </w:pPr>
    <w:r>
      <w:rPr>
        <w:sz w:val="18"/>
        <w:szCs w:val="18"/>
      </w:rPr>
      <w:t>Príloha č. 1</w:t>
    </w:r>
    <w:r w:rsidRPr="002B1B2E">
      <w:rPr>
        <w:sz w:val="18"/>
        <w:szCs w:val="18"/>
      </w:rPr>
      <w:t xml:space="preserve"> k notifikácii </w:t>
    </w:r>
    <w:r>
      <w:rPr>
        <w:sz w:val="18"/>
        <w:szCs w:val="18"/>
      </w:rPr>
      <w:t xml:space="preserve">o </w:t>
    </w:r>
    <w:r w:rsidRPr="002B1B2E">
      <w:rPr>
        <w:sz w:val="18"/>
        <w:szCs w:val="18"/>
      </w:rPr>
      <w:t>zmen</w:t>
    </w:r>
    <w:r>
      <w:rPr>
        <w:sz w:val="18"/>
        <w:szCs w:val="18"/>
      </w:rPr>
      <w:t>e,</w:t>
    </w:r>
    <w:r w:rsidRPr="002B1B2E">
      <w:rPr>
        <w:sz w:val="18"/>
        <w:szCs w:val="18"/>
      </w:rPr>
      <w:t xml:space="preserve"> </w:t>
    </w:r>
    <w:proofErr w:type="gramStart"/>
    <w:r w:rsidRPr="002B1B2E">
      <w:rPr>
        <w:sz w:val="18"/>
        <w:szCs w:val="18"/>
      </w:rPr>
      <w:t>ev</w:t>
    </w:r>
    <w:r>
      <w:rPr>
        <w:sz w:val="18"/>
        <w:szCs w:val="18"/>
      </w:rPr>
      <w:t>id</w:t>
    </w:r>
    <w:r w:rsidRPr="002B1B2E">
      <w:rPr>
        <w:sz w:val="18"/>
        <w:szCs w:val="18"/>
      </w:rPr>
      <w:t>.č.:</w:t>
    </w:r>
    <w:proofErr w:type="gramEnd"/>
    <w:r w:rsidRPr="002B1B2E">
      <w:rPr>
        <w:sz w:val="18"/>
        <w:szCs w:val="18"/>
      </w:rPr>
      <w:t xml:space="preserve"> </w:t>
    </w:r>
    <w:r w:rsidR="00682609">
      <w:rPr>
        <w:sz w:val="18"/>
        <w:szCs w:val="18"/>
      </w:rPr>
      <w:t>2017/06993-ZIB</w:t>
    </w:r>
  </w:p>
  <w:p w:rsidR="00682609" w:rsidRDefault="0068260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5151"/>
    <w:multiLevelType w:val="hybridMultilevel"/>
    <w:tmpl w:val="65D2A8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74F2F6B"/>
    <w:multiLevelType w:val="hybridMultilevel"/>
    <w:tmpl w:val="74D6AF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3E63F09"/>
    <w:multiLevelType w:val="hybridMultilevel"/>
    <w:tmpl w:val="C8D633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5CD46B86"/>
    <w:multiLevelType w:val="hybridMultilevel"/>
    <w:tmpl w:val="93CC83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7C74"/>
    <w:rsid w:val="0000063D"/>
    <w:rsid w:val="0000391E"/>
    <w:rsid w:val="00004D37"/>
    <w:rsid w:val="00005403"/>
    <w:rsid w:val="00007C59"/>
    <w:rsid w:val="0001448D"/>
    <w:rsid w:val="00015556"/>
    <w:rsid w:val="000235F9"/>
    <w:rsid w:val="00023EC4"/>
    <w:rsid w:val="000271FF"/>
    <w:rsid w:val="000275A7"/>
    <w:rsid w:val="00032953"/>
    <w:rsid w:val="000346A7"/>
    <w:rsid w:val="0004096E"/>
    <w:rsid w:val="00040ADE"/>
    <w:rsid w:val="00044DDF"/>
    <w:rsid w:val="0005183D"/>
    <w:rsid w:val="00055286"/>
    <w:rsid w:val="000557B6"/>
    <w:rsid w:val="0005768B"/>
    <w:rsid w:val="00060FE1"/>
    <w:rsid w:val="00061365"/>
    <w:rsid w:val="00063034"/>
    <w:rsid w:val="00065284"/>
    <w:rsid w:val="000722D6"/>
    <w:rsid w:val="00073417"/>
    <w:rsid w:val="00075AA7"/>
    <w:rsid w:val="0007744D"/>
    <w:rsid w:val="0007767F"/>
    <w:rsid w:val="00077777"/>
    <w:rsid w:val="00080956"/>
    <w:rsid w:val="00080B54"/>
    <w:rsid w:val="00080D8A"/>
    <w:rsid w:val="00081924"/>
    <w:rsid w:val="00083371"/>
    <w:rsid w:val="000844B3"/>
    <w:rsid w:val="00085884"/>
    <w:rsid w:val="000940EE"/>
    <w:rsid w:val="000971FE"/>
    <w:rsid w:val="000A307C"/>
    <w:rsid w:val="000A3AC9"/>
    <w:rsid w:val="000B12D2"/>
    <w:rsid w:val="000B2C3B"/>
    <w:rsid w:val="000B56F8"/>
    <w:rsid w:val="000C2484"/>
    <w:rsid w:val="000C24BD"/>
    <w:rsid w:val="000C4C3F"/>
    <w:rsid w:val="000C7FDD"/>
    <w:rsid w:val="000D31D2"/>
    <w:rsid w:val="000D4093"/>
    <w:rsid w:val="000D616F"/>
    <w:rsid w:val="000E1032"/>
    <w:rsid w:val="000E19FA"/>
    <w:rsid w:val="000E1BA9"/>
    <w:rsid w:val="000E21E0"/>
    <w:rsid w:val="000E2EC5"/>
    <w:rsid w:val="001011A8"/>
    <w:rsid w:val="001021FB"/>
    <w:rsid w:val="00107615"/>
    <w:rsid w:val="00115132"/>
    <w:rsid w:val="001174EE"/>
    <w:rsid w:val="00117B54"/>
    <w:rsid w:val="00120CF3"/>
    <w:rsid w:val="001239C6"/>
    <w:rsid w:val="0012587C"/>
    <w:rsid w:val="001308BA"/>
    <w:rsid w:val="00132504"/>
    <w:rsid w:val="001343F9"/>
    <w:rsid w:val="001359E8"/>
    <w:rsid w:val="00137CBA"/>
    <w:rsid w:val="00137DE5"/>
    <w:rsid w:val="00137E7C"/>
    <w:rsid w:val="00140879"/>
    <w:rsid w:val="0015017E"/>
    <w:rsid w:val="001511D2"/>
    <w:rsid w:val="00153B08"/>
    <w:rsid w:val="00153B55"/>
    <w:rsid w:val="00154FD5"/>
    <w:rsid w:val="00155BA9"/>
    <w:rsid w:val="001572E5"/>
    <w:rsid w:val="001605AB"/>
    <w:rsid w:val="0016669E"/>
    <w:rsid w:val="00166AA4"/>
    <w:rsid w:val="001736F6"/>
    <w:rsid w:val="0017371B"/>
    <w:rsid w:val="00173E04"/>
    <w:rsid w:val="001758D1"/>
    <w:rsid w:val="00175BF9"/>
    <w:rsid w:val="00177644"/>
    <w:rsid w:val="00177A4F"/>
    <w:rsid w:val="001831CC"/>
    <w:rsid w:val="00187371"/>
    <w:rsid w:val="0018748F"/>
    <w:rsid w:val="0018791B"/>
    <w:rsid w:val="0019268E"/>
    <w:rsid w:val="00192B89"/>
    <w:rsid w:val="00193E69"/>
    <w:rsid w:val="001A03A7"/>
    <w:rsid w:val="001A0BDE"/>
    <w:rsid w:val="001A0C58"/>
    <w:rsid w:val="001A2654"/>
    <w:rsid w:val="001A5D1F"/>
    <w:rsid w:val="001A6C8C"/>
    <w:rsid w:val="001A7849"/>
    <w:rsid w:val="001B11FC"/>
    <w:rsid w:val="001B1A16"/>
    <w:rsid w:val="001B320E"/>
    <w:rsid w:val="001C0258"/>
    <w:rsid w:val="001C4825"/>
    <w:rsid w:val="001C4EDF"/>
    <w:rsid w:val="001D3976"/>
    <w:rsid w:val="001D4C10"/>
    <w:rsid w:val="001E1270"/>
    <w:rsid w:val="001E7DB8"/>
    <w:rsid w:val="001F1CB5"/>
    <w:rsid w:val="001F391B"/>
    <w:rsid w:val="001F43FB"/>
    <w:rsid w:val="001F73A8"/>
    <w:rsid w:val="00200268"/>
    <w:rsid w:val="00201620"/>
    <w:rsid w:val="00204F00"/>
    <w:rsid w:val="00210968"/>
    <w:rsid w:val="0021252F"/>
    <w:rsid w:val="00213DF5"/>
    <w:rsid w:val="00216D59"/>
    <w:rsid w:val="00216DB7"/>
    <w:rsid w:val="002179EF"/>
    <w:rsid w:val="00217D75"/>
    <w:rsid w:val="00221094"/>
    <w:rsid w:val="002228EB"/>
    <w:rsid w:val="00226575"/>
    <w:rsid w:val="0023162A"/>
    <w:rsid w:val="00237C0C"/>
    <w:rsid w:val="00240262"/>
    <w:rsid w:val="00241DC1"/>
    <w:rsid w:val="0024349B"/>
    <w:rsid w:val="00243BED"/>
    <w:rsid w:val="00244320"/>
    <w:rsid w:val="0024509D"/>
    <w:rsid w:val="002457D9"/>
    <w:rsid w:val="002465A4"/>
    <w:rsid w:val="002517BD"/>
    <w:rsid w:val="00251A74"/>
    <w:rsid w:val="0025465E"/>
    <w:rsid w:val="00254FD6"/>
    <w:rsid w:val="00256BF9"/>
    <w:rsid w:val="0025754D"/>
    <w:rsid w:val="002615BA"/>
    <w:rsid w:val="00261FE3"/>
    <w:rsid w:val="00262FF9"/>
    <w:rsid w:val="002630FB"/>
    <w:rsid w:val="00263356"/>
    <w:rsid w:val="00267C6C"/>
    <w:rsid w:val="0027043E"/>
    <w:rsid w:val="002717B0"/>
    <w:rsid w:val="00272C8F"/>
    <w:rsid w:val="0027317A"/>
    <w:rsid w:val="00275445"/>
    <w:rsid w:val="00276595"/>
    <w:rsid w:val="002800BD"/>
    <w:rsid w:val="002811F9"/>
    <w:rsid w:val="0028148F"/>
    <w:rsid w:val="0028154C"/>
    <w:rsid w:val="00283970"/>
    <w:rsid w:val="002868BD"/>
    <w:rsid w:val="00291A7F"/>
    <w:rsid w:val="00292651"/>
    <w:rsid w:val="00295EE4"/>
    <w:rsid w:val="002A32BA"/>
    <w:rsid w:val="002A38B5"/>
    <w:rsid w:val="002A467B"/>
    <w:rsid w:val="002A53D0"/>
    <w:rsid w:val="002A6613"/>
    <w:rsid w:val="002B023F"/>
    <w:rsid w:val="002B0D31"/>
    <w:rsid w:val="002B16B4"/>
    <w:rsid w:val="002B5341"/>
    <w:rsid w:val="002B70D0"/>
    <w:rsid w:val="002C007D"/>
    <w:rsid w:val="002C0A9B"/>
    <w:rsid w:val="002C0C98"/>
    <w:rsid w:val="002C2975"/>
    <w:rsid w:val="002C3247"/>
    <w:rsid w:val="002C3E9A"/>
    <w:rsid w:val="002C45AB"/>
    <w:rsid w:val="002C68F6"/>
    <w:rsid w:val="002C7F1D"/>
    <w:rsid w:val="002D1EAB"/>
    <w:rsid w:val="002D31DC"/>
    <w:rsid w:val="002D3C08"/>
    <w:rsid w:val="002E0F9F"/>
    <w:rsid w:val="002E1F61"/>
    <w:rsid w:val="002E2D35"/>
    <w:rsid w:val="002E3538"/>
    <w:rsid w:val="002E4F93"/>
    <w:rsid w:val="002E55F5"/>
    <w:rsid w:val="002E5FFC"/>
    <w:rsid w:val="002E5FFF"/>
    <w:rsid w:val="002F449F"/>
    <w:rsid w:val="00313DC9"/>
    <w:rsid w:val="0031562A"/>
    <w:rsid w:val="00315B3F"/>
    <w:rsid w:val="003203DD"/>
    <w:rsid w:val="00321ACE"/>
    <w:rsid w:val="0032202F"/>
    <w:rsid w:val="00324213"/>
    <w:rsid w:val="00326F50"/>
    <w:rsid w:val="00327107"/>
    <w:rsid w:val="0033205B"/>
    <w:rsid w:val="00333242"/>
    <w:rsid w:val="00333BFC"/>
    <w:rsid w:val="003351B3"/>
    <w:rsid w:val="00341E08"/>
    <w:rsid w:val="003443B1"/>
    <w:rsid w:val="00346C08"/>
    <w:rsid w:val="00353E73"/>
    <w:rsid w:val="00355836"/>
    <w:rsid w:val="00356597"/>
    <w:rsid w:val="00356FAE"/>
    <w:rsid w:val="00360CA1"/>
    <w:rsid w:val="003619B9"/>
    <w:rsid w:val="0036203A"/>
    <w:rsid w:val="00362BB8"/>
    <w:rsid w:val="00367070"/>
    <w:rsid w:val="00370B6D"/>
    <w:rsid w:val="00372D1B"/>
    <w:rsid w:val="00381448"/>
    <w:rsid w:val="00387730"/>
    <w:rsid w:val="003922B7"/>
    <w:rsid w:val="003943DF"/>
    <w:rsid w:val="00394461"/>
    <w:rsid w:val="0039503E"/>
    <w:rsid w:val="003A3866"/>
    <w:rsid w:val="003A4C75"/>
    <w:rsid w:val="003A510C"/>
    <w:rsid w:val="003B2AE5"/>
    <w:rsid w:val="003B41ED"/>
    <w:rsid w:val="003C0BA2"/>
    <w:rsid w:val="003C13EF"/>
    <w:rsid w:val="003C4F67"/>
    <w:rsid w:val="003C68A4"/>
    <w:rsid w:val="003D1BFA"/>
    <w:rsid w:val="003D1FD3"/>
    <w:rsid w:val="003D546A"/>
    <w:rsid w:val="003E6D8B"/>
    <w:rsid w:val="003F2CBB"/>
    <w:rsid w:val="003F3724"/>
    <w:rsid w:val="003F47FE"/>
    <w:rsid w:val="004003A6"/>
    <w:rsid w:val="00401A43"/>
    <w:rsid w:val="00405DC7"/>
    <w:rsid w:val="004100AD"/>
    <w:rsid w:val="00412874"/>
    <w:rsid w:val="00414A05"/>
    <w:rsid w:val="00416C23"/>
    <w:rsid w:val="00422CA0"/>
    <w:rsid w:val="004315F1"/>
    <w:rsid w:val="004350B8"/>
    <w:rsid w:val="004377EB"/>
    <w:rsid w:val="004400D0"/>
    <w:rsid w:val="00440857"/>
    <w:rsid w:val="0044143D"/>
    <w:rsid w:val="004437D1"/>
    <w:rsid w:val="00445AB9"/>
    <w:rsid w:val="0044733D"/>
    <w:rsid w:val="00447ED1"/>
    <w:rsid w:val="00450262"/>
    <w:rsid w:val="004502DD"/>
    <w:rsid w:val="004509A6"/>
    <w:rsid w:val="00452AE7"/>
    <w:rsid w:val="00452CA4"/>
    <w:rsid w:val="00457906"/>
    <w:rsid w:val="0046055E"/>
    <w:rsid w:val="00461FC9"/>
    <w:rsid w:val="00462732"/>
    <w:rsid w:val="00463ADD"/>
    <w:rsid w:val="00464D72"/>
    <w:rsid w:val="0046686C"/>
    <w:rsid w:val="00467634"/>
    <w:rsid w:val="004679E0"/>
    <w:rsid w:val="00471226"/>
    <w:rsid w:val="00471CFB"/>
    <w:rsid w:val="00473C76"/>
    <w:rsid w:val="0047711F"/>
    <w:rsid w:val="0048189C"/>
    <w:rsid w:val="00482A9B"/>
    <w:rsid w:val="00483316"/>
    <w:rsid w:val="00483E0A"/>
    <w:rsid w:val="00484711"/>
    <w:rsid w:val="00484B3D"/>
    <w:rsid w:val="004904B9"/>
    <w:rsid w:val="00491DEA"/>
    <w:rsid w:val="004A098F"/>
    <w:rsid w:val="004A1FCC"/>
    <w:rsid w:val="004A331B"/>
    <w:rsid w:val="004A6C12"/>
    <w:rsid w:val="004B2C4F"/>
    <w:rsid w:val="004B313F"/>
    <w:rsid w:val="004B3529"/>
    <w:rsid w:val="004B5CF3"/>
    <w:rsid w:val="004B6A9F"/>
    <w:rsid w:val="004C1EE8"/>
    <w:rsid w:val="004C38C3"/>
    <w:rsid w:val="004C50C6"/>
    <w:rsid w:val="004C6042"/>
    <w:rsid w:val="004C7FAF"/>
    <w:rsid w:val="004D018A"/>
    <w:rsid w:val="004D184D"/>
    <w:rsid w:val="004D2F69"/>
    <w:rsid w:val="004D6A8B"/>
    <w:rsid w:val="004E0702"/>
    <w:rsid w:val="004E3AC5"/>
    <w:rsid w:val="004E43EA"/>
    <w:rsid w:val="004E7134"/>
    <w:rsid w:val="004F0A57"/>
    <w:rsid w:val="004F4737"/>
    <w:rsid w:val="004F4F2F"/>
    <w:rsid w:val="004F59D9"/>
    <w:rsid w:val="004F6303"/>
    <w:rsid w:val="004F7099"/>
    <w:rsid w:val="00500670"/>
    <w:rsid w:val="005027C8"/>
    <w:rsid w:val="00503D68"/>
    <w:rsid w:val="0050455F"/>
    <w:rsid w:val="005059E5"/>
    <w:rsid w:val="00506BD6"/>
    <w:rsid w:val="005111D9"/>
    <w:rsid w:val="00512906"/>
    <w:rsid w:val="00513AAE"/>
    <w:rsid w:val="0051543F"/>
    <w:rsid w:val="00520322"/>
    <w:rsid w:val="0052111F"/>
    <w:rsid w:val="005238C8"/>
    <w:rsid w:val="0052740A"/>
    <w:rsid w:val="00530247"/>
    <w:rsid w:val="00530F72"/>
    <w:rsid w:val="005343C8"/>
    <w:rsid w:val="0053500F"/>
    <w:rsid w:val="00535BDF"/>
    <w:rsid w:val="005363B5"/>
    <w:rsid w:val="00536DAC"/>
    <w:rsid w:val="0054032E"/>
    <w:rsid w:val="005449BD"/>
    <w:rsid w:val="0054694F"/>
    <w:rsid w:val="00546F2F"/>
    <w:rsid w:val="00551CE2"/>
    <w:rsid w:val="0055612C"/>
    <w:rsid w:val="00557885"/>
    <w:rsid w:val="00561DEC"/>
    <w:rsid w:val="005627CD"/>
    <w:rsid w:val="005640C7"/>
    <w:rsid w:val="00567164"/>
    <w:rsid w:val="00570A71"/>
    <w:rsid w:val="005733B2"/>
    <w:rsid w:val="00573E9A"/>
    <w:rsid w:val="00575187"/>
    <w:rsid w:val="005766A6"/>
    <w:rsid w:val="005769DE"/>
    <w:rsid w:val="00582E3F"/>
    <w:rsid w:val="00583FF2"/>
    <w:rsid w:val="00584142"/>
    <w:rsid w:val="005857C0"/>
    <w:rsid w:val="0058785A"/>
    <w:rsid w:val="005911C2"/>
    <w:rsid w:val="00594234"/>
    <w:rsid w:val="005968ED"/>
    <w:rsid w:val="005A45B2"/>
    <w:rsid w:val="005B160C"/>
    <w:rsid w:val="005B3AF8"/>
    <w:rsid w:val="005B4835"/>
    <w:rsid w:val="005C179D"/>
    <w:rsid w:val="005C5D73"/>
    <w:rsid w:val="005C5DE5"/>
    <w:rsid w:val="005C7DA1"/>
    <w:rsid w:val="005D06F8"/>
    <w:rsid w:val="005D6659"/>
    <w:rsid w:val="005D6E49"/>
    <w:rsid w:val="005E079A"/>
    <w:rsid w:val="005E48DA"/>
    <w:rsid w:val="005E49F9"/>
    <w:rsid w:val="005E7CA3"/>
    <w:rsid w:val="005F02C7"/>
    <w:rsid w:val="005F0CB3"/>
    <w:rsid w:val="005F0CE0"/>
    <w:rsid w:val="005F6444"/>
    <w:rsid w:val="005F6F18"/>
    <w:rsid w:val="00604C89"/>
    <w:rsid w:val="006151A1"/>
    <w:rsid w:val="0062518F"/>
    <w:rsid w:val="00626606"/>
    <w:rsid w:val="00632F5C"/>
    <w:rsid w:val="00633B4E"/>
    <w:rsid w:val="00637F7C"/>
    <w:rsid w:val="006432C4"/>
    <w:rsid w:val="00643E3A"/>
    <w:rsid w:val="00647D67"/>
    <w:rsid w:val="00650462"/>
    <w:rsid w:val="00652DD0"/>
    <w:rsid w:val="00660A67"/>
    <w:rsid w:val="00664F96"/>
    <w:rsid w:val="0067161C"/>
    <w:rsid w:val="00673FBE"/>
    <w:rsid w:val="00674656"/>
    <w:rsid w:val="00682609"/>
    <w:rsid w:val="0068292A"/>
    <w:rsid w:val="006861EC"/>
    <w:rsid w:val="00687477"/>
    <w:rsid w:val="00691F23"/>
    <w:rsid w:val="0069350B"/>
    <w:rsid w:val="00694591"/>
    <w:rsid w:val="006974A1"/>
    <w:rsid w:val="006A0E4C"/>
    <w:rsid w:val="006A1080"/>
    <w:rsid w:val="006A154D"/>
    <w:rsid w:val="006A1EF8"/>
    <w:rsid w:val="006A38CF"/>
    <w:rsid w:val="006A7249"/>
    <w:rsid w:val="006A7F52"/>
    <w:rsid w:val="006B310D"/>
    <w:rsid w:val="006B3EDB"/>
    <w:rsid w:val="006B60FE"/>
    <w:rsid w:val="006C10CD"/>
    <w:rsid w:val="006C488E"/>
    <w:rsid w:val="006D0069"/>
    <w:rsid w:val="006D1532"/>
    <w:rsid w:val="006D30DF"/>
    <w:rsid w:val="006D55C0"/>
    <w:rsid w:val="006E2A14"/>
    <w:rsid w:val="006E3505"/>
    <w:rsid w:val="006E4CDB"/>
    <w:rsid w:val="006E4F93"/>
    <w:rsid w:val="006F1D84"/>
    <w:rsid w:val="006F3FAC"/>
    <w:rsid w:val="006F50F6"/>
    <w:rsid w:val="006F5B0C"/>
    <w:rsid w:val="006F6CCB"/>
    <w:rsid w:val="00702CCF"/>
    <w:rsid w:val="00702D71"/>
    <w:rsid w:val="00704290"/>
    <w:rsid w:val="007065F1"/>
    <w:rsid w:val="0070776F"/>
    <w:rsid w:val="00716F59"/>
    <w:rsid w:val="0071724F"/>
    <w:rsid w:val="00726F1E"/>
    <w:rsid w:val="00727A27"/>
    <w:rsid w:val="00744780"/>
    <w:rsid w:val="00745C6A"/>
    <w:rsid w:val="007475AF"/>
    <w:rsid w:val="00747DF7"/>
    <w:rsid w:val="007510EF"/>
    <w:rsid w:val="0075417B"/>
    <w:rsid w:val="0075534D"/>
    <w:rsid w:val="0075552F"/>
    <w:rsid w:val="00765142"/>
    <w:rsid w:val="00765E0B"/>
    <w:rsid w:val="00776647"/>
    <w:rsid w:val="00777B76"/>
    <w:rsid w:val="00780145"/>
    <w:rsid w:val="007821AB"/>
    <w:rsid w:val="00782DDF"/>
    <w:rsid w:val="0078703D"/>
    <w:rsid w:val="00787901"/>
    <w:rsid w:val="0079239D"/>
    <w:rsid w:val="00792E46"/>
    <w:rsid w:val="00794C63"/>
    <w:rsid w:val="00795ED8"/>
    <w:rsid w:val="007A1613"/>
    <w:rsid w:val="007A4524"/>
    <w:rsid w:val="007A519F"/>
    <w:rsid w:val="007A5C61"/>
    <w:rsid w:val="007B052B"/>
    <w:rsid w:val="007B0730"/>
    <w:rsid w:val="007B2DD9"/>
    <w:rsid w:val="007B3556"/>
    <w:rsid w:val="007B7338"/>
    <w:rsid w:val="007B7F10"/>
    <w:rsid w:val="007C0913"/>
    <w:rsid w:val="007C4E2F"/>
    <w:rsid w:val="007C6340"/>
    <w:rsid w:val="007D04C5"/>
    <w:rsid w:val="007D0E8F"/>
    <w:rsid w:val="007D4A94"/>
    <w:rsid w:val="007D62C9"/>
    <w:rsid w:val="007D79C4"/>
    <w:rsid w:val="007E2597"/>
    <w:rsid w:val="007F4314"/>
    <w:rsid w:val="007F773C"/>
    <w:rsid w:val="00802968"/>
    <w:rsid w:val="00803D71"/>
    <w:rsid w:val="00812F03"/>
    <w:rsid w:val="00816C7A"/>
    <w:rsid w:val="00820050"/>
    <w:rsid w:val="008208E9"/>
    <w:rsid w:val="00824A93"/>
    <w:rsid w:val="008253AB"/>
    <w:rsid w:val="00826A66"/>
    <w:rsid w:val="0083263C"/>
    <w:rsid w:val="00841D4E"/>
    <w:rsid w:val="008420D9"/>
    <w:rsid w:val="00843252"/>
    <w:rsid w:val="00847E7B"/>
    <w:rsid w:val="00853477"/>
    <w:rsid w:val="008539B8"/>
    <w:rsid w:val="00854D9E"/>
    <w:rsid w:val="008569DD"/>
    <w:rsid w:val="00857921"/>
    <w:rsid w:val="00857B2A"/>
    <w:rsid w:val="008623BC"/>
    <w:rsid w:val="008634B3"/>
    <w:rsid w:val="00864379"/>
    <w:rsid w:val="00865736"/>
    <w:rsid w:val="00875598"/>
    <w:rsid w:val="0088000E"/>
    <w:rsid w:val="00882A47"/>
    <w:rsid w:val="00890AB3"/>
    <w:rsid w:val="00891ABA"/>
    <w:rsid w:val="008925AA"/>
    <w:rsid w:val="008A32A6"/>
    <w:rsid w:val="008A3C13"/>
    <w:rsid w:val="008A6AD4"/>
    <w:rsid w:val="008A7B5B"/>
    <w:rsid w:val="008B5206"/>
    <w:rsid w:val="008B5330"/>
    <w:rsid w:val="008B6A3D"/>
    <w:rsid w:val="008B7EF0"/>
    <w:rsid w:val="008C57F8"/>
    <w:rsid w:val="008D04BE"/>
    <w:rsid w:val="008D3E3E"/>
    <w:rsid w:val="008D7A74"/>
    <w:rsid w:val="008E0D22"/>
    <w:rsid w:val="008E2689"/>
    <w:rsid w:val="008E2768"/>
    <w:rsid w:val="008F0822"/>
    <w:rsid w:val="008F46BB"/>
    <w:rsid w:val="00902095"/>
    <w:rsid w:val="00903A88"/>
    <w:rsid w:val="0090520F"/>
    <w:rsid w:val="00911170"/>
    <w:rsid w:val="00916C6E"/>
    <w:rsid w:val="00921382"/>
    <w:rsid w:val="00924325"/>
    <w:rsid w:val="00925395"/>
    <w:rsid w:val="00926179"/>
    <w:rsid w:val="009360A1"/>
    <w:rsid w:val="00937B29"/>
    <w:rsid w:val="00942242"/>
    <w:rsid w:val="00942BB7"/>
    <w:rsid w:val="00942E3F"/>
    <w:rsid w:val="009430D8"/>
    <w:rsid w:val="009439A7"/>
    <w:rsid w:val="009445C8"/>
    <w:rsid w:val="00944F5E"/>
    <w:rsid w:val="00946A3F"/>
    <w:rsid w:val="00957569"/>
    <w:rsid w:val="00961EE6"/>
    <w:rsid w:val="00963548"/>
    <w:rsid w:val="00963C8F"/>
    <w:rsid w:val="00964641"/>
    <w:rsid w:val="00964A1D"/>
    <w:rsid w:val="0097027C"/>
    <w:rsid w:val="00972D50"/>
    <w:rsid w:val="009732AD"/>
    <w:rsid w:val="00973417"/>
    <w:rsid w:val="009735EC"/>
    <w:rsid w:val="009745B8"/>
    <w:rsid w:val="009756CD"/>
    <w:rsid w:val="00977765"/>
    <w:rsid w:val="00977958"/>
    <w:rsid w:val="00982699"/>
    <w:rsid w:val="00982E47"/>
    <w:rsid w:val="00983492"/>
    <w:rsid w:val="009848B8"/>
    <w:rsid w:val="009848D0"/>
    <w:rsid w:val="009862DB"/>
    <w:rsid w:val="00991919"/>
    <w:rsid w:val="009925D7"/>
    <w:rsid w:val="009B6566"/>
    <w:rsid w:val="009B6E63"/>
    <w:rsid w:val="009B71E7"/>
    <w:rsid w:val="009C098D"/>
    <w:rsid w:val="009C218A"/>
    <w:rsid w:val="009C5315"/>
    <w:rsid w:val="009C639D"/>
    <w:rsid w:val="009D0039"/>
    <w:rsid w:val="009D00B9"/>
    <w:rsid w:val="009D1B1C"/>
    <w:rsid w:val="009D5282"/>
    <w:rsid w:val="009E6B50"/>
    <w:rsid w:val="009E7500"/>
    <w:rsid w:val="009E7C74"/>
    <w:rsid w:val="009F1CE6"/>
    <w:rsid w:val="009F2BC5"/>
    <w:rsid w:val="009F4C25"/>
    <w:rsid w:val="00A03702"/>
    <w:rsid w:val="00A03794"/>
    <w:rsid w:val="00A03E52"/>
    <w:rsid w:val="00A060CC"/>
    <w:rsid w:val="00A062DB"/>
    <w:rsid w:val="00A100F9"/>
    <w:rsid w:val="00A11BF9"/>
    <w:rsid w:val="00A11FE5"/>
    <w:rsid w:val="00A12B22"/>
    <w:rsid w:val="00A13300"/>
    <w:rsid w:val="00A137A6"/>
    <w:rsid w:val="00A13F40"/>
    <w:rsid w:val="00A24E93"/>
    <w:rsid w:val="00A2549E"/>
    <w:rsid w:val="00A25705"/>
    <w:rsid w:val="00A25710"/>
    <w:rsid w:val="00A27BD3"/>
    <w:rsid w:val="00A30043"/>
    <w:rsid w:val="00A35527"/>
    <w:rsid w:val="00A3563D"/>
    <w:rsid w:val="00A35FF5"/>
    <w:rsid w:val="00A37CF4"/>
    <w:rsid w:val="00A4091F"/>
    <w:rsid w:val="00A467FF"/>
    <w:rsid w:val="00A4741E"/>
    <w:rsid w:val="00A478F7"/>
    <w:rsid w:val="00A47E5D"/>
    <w:rsid w:val="00A563FF"/>
    <w:rsid w:val="00A633BA"/>
    <w:rsid w:val="00A663A1"/>
    <w:rsid w:val="00A702F6"/>
    <w:rsid w:val="00A73637"/>
    <w:rsid w:val="00A80051"/>
    <w:rsid w:val="00A83991"/>
    <w:rsid w:val="00A84811"/>
    <w:rsid w:val="00A84D0C"/>
    <w:rsid w:val="00A86226"/>
    <w:rsid w:val="00A90D2F"/>
    <w:rsid w:val="00A91797"/>
    <w:rsid w:val="00A91F70"/>
    <w:rsid w:val="00A94381"/>
    <w:rsid w:val="00A9470A"/>
    <w:rsid w:val="00A97274"/>
    <w:rsid w:val="00AA001D"/>
    <w:rsid w:val="00AA1E71"/>
    <w:rsid w:val="00AA42DC"/>
    <w:rsid w:val="00AA79D6"/>
    <w:rsid w:val="00AB17E4"/>
    <w:rsid w:val="00AC10AF"/>
    <w:rsid w:val="00AC1B14"/>
    <w:rsid w:val="00AC5966"/>
    <w:rsid w:val="00AC75D8"/>
    <w:rsid w:val="00AC795C"/>
    <w:rsid w:val="00AD04CC"/>
    <w:rsid w:val="00AD19E4"/>
    <w:rsid w:val="00AD4969"/>
    <w:rsid w:val="00AD4D42"/>
    <w:rsid w:val="00AD6EB9"/>
    <w:rsid w:val="00AE0F11"/>
    <w:rsid w:val="00AE22A7"/>
    <w:rsid w:val="00AE2477"/>
    <w:rsid w:val="00AE5233"/>
    <w:rsid w:val="00AE7657"/>
    <w:rsid w:val="00AE7D1B"/>
    <w:rsid w:val="00AF0DAE"/>
    <w:rsid w:val="00AF627A"/>
    <w:rsid w:val="00AF797E"/>
    <w:rsid w:val="00B0202E"/>
    <w:rsid w:val="00B0513D"/>
    <w:rsid w:val="00B05436"/>
    <w:rsid w:val="00B06155"/>
    <w:rsid w:val="00B0754C"/>
    <w:rsid w:val="00B126AB"/>
    <w:rsid w:val="00B14123"/>
    <w:rsid w:val="00B14B52"/>
    <w:rsid w:val="00B170EB"/>
    <w:rsid w:val="00B22177"/>
    <w:rsid w:val="00B24BDE"/>
    <w:rsid w:val="00B260B0"/>
    <w:rsid w:val="00B309CF"/>
    <w:rsid w:val="00B31E56"/>
    <w:rsid w:val="00B334F6"/>
    <w:rsid w:val="00B3478E"/>
    <w:rsid w:val="00B4208C"/>
    <w:rsid w:val="00B43AB9"/>
    <w:rsid w:val="00B44A5C"/>
    <w:rsid w:val="00B44FB0"/>
    <w:rsid w:val="00B479D8"/>
    <w:rsid w:val="00B55690"/>
    <w:rsid w:val="00B5687D"/>
    <w:rsid w:val="00B605FB"/>
    <w:rsid w:val="00B60EC3"/>
    <w:rsid w:val="00B62FA4"/>
    <w:rsid w:val="00B638E3"/>
    <w:rsid w:val="00B64735"/>
    <w:rsid w:val="00B6595F"/>
    <w:rsid w:val="00B71582"/>
    <w:rsid w:val="00B75FE4"/>
    <w:rsid w:val="00B76D1F"/>
    <w:rsid w:val="00B81802"/>
    <w:rsid w:val="00B83FFC"/>
    <w:rsid w:val="00B85698"/>
    <w:rsid w:val="00B87E0A"/>
    <w:rsid w:val="00B914AB"/>
    <w:rsid w:val="00B946A3"/>
    <w:rsid w:val="00B95A7E"/>
    <w:rsid w:val="00B97851"/>
    <w:rsid w:val="00BA1CB6"/>
    <w:rsid w:val="00BA2496"/>
    <w:rsid w:val="00BA4061"/>
    <w:rsid w:val="00BA7C1C"/>
    <w:rsid w:val="00BB0C52"/>
    <w:rsid w:val="00BB170E"/>
    <w:rsid w:val="00BB1B9A"/>
    <w:rsid w:val="00BC10FB"/>
    <w:rsid w:val="00BC1EA9"/>
    <w:rsid w:val="00BC4681"/>
    <w:rsid w:val="00BC4E56"/>
    <w:rsid w:val="00BC5243"/>
    <w:rsid w:val="00BC74F0"/>
    <w:rsid w:val="00BC7778"/>
    <w:rsid w:val="00BC793F"/>
    <w:rsid w:val="00BD0660"/>
    <w:rsid w:val="00BD1809"/>
    <w:rsid w:val="00BD4065"/>
    <w:rsid w:val="00BE0661"/>
    <w:rsid w:val="00BE498D"/>
    <w:rsid w:val="00BF1EB4"/>
    <w:rsid w:val="00BF3495"/>
    <w:rsid w:val="00BF4A24"/>
    <w:rsid w:val="00BF4E83"/>
    <w:rsid w:val="00BF5136"/>
    <w:rsid w:val="00BF6CBF"/>
    <w:rsid w:val="00C0293B"/>
    <w:rsid w:val="00C03D63"/>
    <w:rsid w:val="00C07090"/>
    <w:rsid w:val="00C17F6B"/>
    <w:rsid w:val="00C20483"/>
    <w:rsid w:val="00C208C2"/>
    <w:rsid w:val="00C20DE2"/>
    <w:rsid w:val="00C240D7"/>
    <w:rsid w:val="00C27FA7"/>
    <w:rsid w:val="00C31200"/>
    <w:rsid w:val="00C34279"/>
    <w:rsid w:val="00C34F69"/>
    <w:rsid w:val="00C445FF"/>
    <w:rsid w:val="00C44EC9"/>
    <w:rsid w:val="00C45427"/>
    <w:rsid w:val="00C456E3"/>
    <w:rsid w:val="00C52976"/>
    <w:rsid w:val="00C52ACC"/>
    <w:rsid w:val="00C60396"/>
    <w:rsid w:val="00C610C4"/>
    <w:rsid w:val="00C639FB"/>
    <w:rsid w:val="00C652B8"/>
    <w:rsid w:val="00C674C0"/>
    <w:rsid w:val="00C7006E"/>
    <w:rsid w:val="00C73DD6"/>
    <w:rsid w:val="00C77041"/>
    <w:rsid w:val="00C771E5"/>
    <w:rsid w:val="00C84BBC"/>
    <w:rsid w:val="00C87767"/>
    <w:rsid w:val="00C87D36"/>
    <w:rsid w:val="00C9063D"/>
    <w:rsid w:val="00C93463"/>
    <w:rsid w:val="00C95193"/>
    <w:rsid w:val="00C97C62"/>
    <w:rsid w:val="00CA0904"/>
    <w:rsid w:val="00CB0A26"/>
    <w:rsid w:val="00CB0BA7"/>
    <w:rsid w:val="00CB2172"/>
    <w:rsid w:val="00CB21FF"/>
    <w:rsid w:val="00CB6833"/>
    <w:rsid w:val="00CC571F"/>
    <w:rsid w:val="00CD44DD"/>
    <w:rsid w:val="00CD5A67"/>
    <w:rsid w:val="00CD6837"/>
    <w:rsid w:val="00CD781F"/>
    <w:rsid w:val="00CE777D"/>
    <w:rsid w:val="00CF11D5"/>
    <w:rsid w:val="00CF16DD"/>
    <w:rsid w:val="00CF2076"/>
    <w:rsid w:val="00CF2222"/>
    <w:rsid w:val="00CF3846"/>
    <w:rsid w:val="00CF4232"/>
    <w:rsid w:val="00CF5373"/>
    <w:rsid w:val="00CF5BF7"/>
    <w:rsid w:val="00CF6EA9"/>
    <w:rsid w:val="00D04570"/>
    <w:rsid w:val="00D05103"/>
    <w:rsid w:val="00D10377"/>
    <w:rsid w:val="00D15969"/>
    <w:rsid w:val="00D21BEC"/>
    <w:rsid w:val="00D21CC1"/>
    <w:rsid w:val="00D22398"/>
    <w:rsid w:val="00D253B5"/>
    <w:rsid w:val="00D2612D"/>
    <w:rsid w:val="00D2702E"/>
    <w:rsid w:val="00D3218A"/>
    <w:rsid w:val="00D32344"/>
    <w:rsid w:val="00D33D08"/>
    <w:rsid w:val="00D351D9"/>
    <w:rsid w:val="00D3684C"/>
    <w:rsid w:val="00D379B2"/>
    <w:rsid w:val="00D433E3"/>
    <w:rsid w:val="00D437CB"/>
    <w:rsid w:val="00D44B4B"/>
    <w:rsid w:val="00D45435"/>
    <w:rsid w:val="00D4634A"/>
    <w:rsid w:val="00D56917"/>
    <w:rsid w:val="00D578E2"/>
    <w:rsid w:val="00D610DC"/>
    <w:rsid w:val="00D627A0"/>
    <w:rsid w:val="00D7342D"/>
    <w:rsid w:val="00D776B8"/>
    <w:rsid w:val="00D8157B"/>
    <w:rsid w:val="00D82D42"/>
    <w:rsid w:val="00D82ECD"/>
    <w:rsid w:val="00D846C3"/>
    <w:rsid w:val="00D84BDB"/>
    <w:rsid w:val="00D863F3"/>
    <w:rsid w:val="00D9154F"/>
    <w:rsid w:val="00D9553C"/>
    <w:rsid w:val="00D96C41"/>
    <w:rsid w:val="00DA5F74"/>
    <w:rsid w:val="00DA62B6"/>
    <w:rsid w:val="00DA656E"/>
    <w:rsid w:val="00DA71B0"/>
    <w:rsid w:val="00DB0007"/>
    <w:rsid w:val="00DB616F"/>
    <w:rsid w:val="00DB6503"/>
    <w:rsid w:val="00DB68A1"/>
    <w:rsid w:val="00DB6B20"/>
    <w:rsid w:val="00DC4C4E"/>
    <w:rsid w:val="00DC640A"/>
    <w:rsid w:val="00DC6DE4"/>
    <w:rsid w:val="00DD066C"/>
    <w:rsid w:val="00DD0829"/>
    <w:rsid w:val="00DD2048"/>
    <w:rsid w:val="00DD2FF9"/>
    <w:rsid w:val="00DD435B"/>
    <w:rsid w:val="00DD48DD"/>
    <w:rsid w:val="00DD5067"/>
    <w:rsid w:val="00DD5637"/>
    <w:rsid w:val="00DE3BEC"/>
    <w:rsid w:val="00DE4481"/>
    <w:rsid w:val="00DE7913"/>
    <w:rsid w:val="00DF06C5"/>
    <w:rsid w:val="00DF209A"/>
    <w:rsid w:val="00DF2928"/>
    <w:rsid w:val="00DF6508"/>
    <w:rsid w:val="00DF7A3B"/>
    <w:rsid w:val="00E00D50"/>
    <w:rsid w:val="00E02AC4"/>
    <w:rsid w:val="00E05081"/>
    <w:rsid w:val="00E12025"/>
    <w:rsid w:val="00E1332C"/>
    <w:rsid w:val="00E15499"/>
    <w:rsid w:val="00E16377"/>
    <w:rsid w:val="00E17664"/>
    <w:rsid w:val="00E17B5A"/>
    <w:rsid w:val="00E218C6"/>
    <w:rsid w:val="00E224D9"/>
    <w:rsid w:val="00E31CF5"/>
    <w:rsid w:val="00E40570"/>
    <w:rsid w:val="00E43BD5"/>
    <w:rsid w:val="00E46228"/>
    <w:rsid w:val="00E4790E"/>
    <w:rsid w:val="00E5006F"/>
    <w:rsid w:val="00E543A3"/>
    <w:rsid w:val="00E62B71"/>
    <w:rsid w:val="00E66BF9"/>
    <w:rsid w:val="00E66FAD"/>
    <w:rsid w:val="00E75019"/>
    <w:rsid w:val="00E76110"/>
    <w:rsid w:val="00E81699"/>
    <w:rsid w:val="00E835CB"/>
    <w:rsid w:val="00E84DA7"/>
    <w:rsid w:val="00E8597E"/>
    <w:rsid w:val="00E861DC"/>
    <w:rsid w:val="00E90697"/>
    <w:rsid w:val="00E965F0"/>
    <w:rsid w:val="00E96FF3"/>
    <w:rsid w:val="00E97E5A"/>
    <w:rsid w:val="00EA3A32"/>
    <w:rsid w:val="00EA6388"/>
    <w:rsid w:val="00EA6472"/>
    <w:rsid w:val="00EB2F6A"/>
    <w:rsid w:val="00EB5B50"/>
    <w:rsid w:val="00EC0697"/>
    <w:rsid w:val="00EC1F5E"/>
    <w:rsid w:val="00EC3B69"/>
    <w:rsid w:val="00EC3F95"/>
    <w:rsid w:val="00EC632C"/>
    <w:rsid w:val="00EC6AC8"/>
    <w:rsid w:val="00ED0B8D"/>
    <w:rsid w:val="00ED45BE"/>
    <w:rsid w:val="00ED5060"/>
    <w:rsid w:val="00EE1E66"/>
    <w:rsid w:val="00EE64A7"/>
    <w:rsid w:val="00EF130F"/>
    <w:rsid w:val="00EF2E99"/>
    <w:rsid w:val="00EF5F64"/>
    <w:rsid w:val="00EF7579"/>
    <w:rsid w:val="00F01BE0"/>
    <w:rsid w:val="00F04168"/>
    <w:rsid w:val="00F11700"/>
    <w:rsid w:val="00F11E24"/>
    <w:rsid w:val="00F12E52"/>
    <w:rsid w:val="00F1319F"/>
    <w:rsid w:val="00F14D80"/>
    <w:rsid w:val="00F26F52"/>
    <w:rsid w:val="00F274A3"/>
    <w:rsid w:val="00F33F73"/>
    <w:rsid w:val="00F36116"/>
    <w:rsid w:val="00F36559"/>
    <w:rsid w:val="00F40FE1"/>
    <w:rsid w:val="00F42469"/>
    <w:rsid w:val="00F46497"/>
    <w:rsid w:val="00F46A04"/>
    <w:rsid w:val="00F46FBA"/>
    <w:rsid w:val="00F479F9"/>
    <w:rsid w:val="00F525AC"/>
    <w:rsid w:val="00F56FB0"/>
    <w:rsid w:val="00F5735C"/>
    <w:rsid w:val="00F632D8"/>
    <w:rsid w:val="00F7273E"/>
    <w:rsid w:val="00F73DFA"/>
    <w:rsid w:val="00F73E46"/>
    <w:rsid w:val="00F772A6"/>
    <w:rsid w:val="00F80F16"/>
    <w:rsid w:val="00F839C8"/>
    <w:rsid w:val="00F83F9B"/>
    <w:rsid w:val="00F87F07"/>
    <w:rsid w:val="00F91188"/>
    <w:rsid w:val="00F945A2"/>
    <w:rsid w:val="00F94C37"/>
    <w:rsid w:val="00F9519E"/>
    <w:rsid w:val="00F97254"/>
    <w:rsid w:val="00F973A9"/>
    <w:rsid w:val="00FA031E"/>
    <w:rsid w:val="00FA2A34"/>
    <w:rsid w:val="00FA2F80"/>
    <w:rsid w:val="00FA32F5"/>
    <w:rsid w:val="00FA5DE0"/>
    <w:rsid w:val="00FA696D"/>
    <w:rsid w:val="00FA6D63"/>
    <w:rsid w:val="00FB3884"/>
    <w:rsid w:val="00FC18C6"/>
    <w:rsid w:val="00FC1E99"/>
    <w:rsid w:val="00FC39CF"/>
    <w:rsid w:val="00FC7BD2"/>
    <w:rsid w:val="00FD1730"/>
    <w:rsid w:val="00FD5575"/>
    <w:rsid w:val="00FD5AF1"/>
    <w:rsid w:val="00FE2BF2"/>
    <w:rsid w:val="00FE3C2E"/>
    <w:rsid w:val="00FE65B0"/>
    <w:rsid w:val="00FE66F4"/>
    <w:rsid w:val="00FF0846"/>
    <w:rsid w:val="00FF08AF"/>
    <w:rsid w:val="00FF0D51"/>
    <w:rsid w:val="00FF3F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jc w:val="center"/>
      <w:outlineLvl w:val="0"/>
    </w:pPr>
    <w:rPr>
      <w:b/>
      <w:bCs/>
      <w:sz w:val="22"/>
      <w:lang w:val="de-DE"/>
    </w:rPr>
  </w:style>
  <w:style w:type="paragraph" w:styleId="Nadpis2">
    <w:name w:val="heading 2"/>
    <w:basedOn w:val="Normlny"/>
    <w:next w:val="Normlny"/>
    <w:qFormat/>
    <w:pPr>
      <w:keepNext/>
      <w:outlineLvl w:val="1"/>
    </w:pPr>
    <w:rPr>
      <w:b/>
      <w:bCs/>
      <w:sz w:val="22"/>
    </w:rPr>
  </w:style>
  <w:style w:type="paragraph" w:styleId="Nadpis3">
    <w:name w:val="heading 3"/>
    <w:basedOn w:val="Normlny"/>
    <w:next w:val="Normlny"/>
    <w:qFormat/>
    <w:pPr>
      <w:keepNext/>
      <w:outlineLvl w:val="2"/>
    </w:pPr>
    <w:rPr>
      <w:b/>
      <w:bCs/>
      <w:i/>
      <w:sz w:val="22"/>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EmphasisA">
    <w:name w:val="Emphasis A"/>
    <w:rPr>
      <w:rFonts w:ascii="Lucida Grande" w:eastAsia="Lucida Grande" w:hAnsi="Lucida Grande"/>
      <w:b/>
      <w:i w:val="0"/>
      <w:color w:val="000000"/>
      <w:u w:color="000000"/>
    </w:rPr>
  </w:style>
  <w:style w:type="character" w:customStyle="1" w:styleId="UnderlineA">
    <w:name w:val="Underline A"/>
    <w:rPr>
      <w:color w:val="000000"/>
      <w:u w:val="single" w:color="000000"/>
    </w:rPr>
  </w:style>
  <w:style w:type="character" w:customStyle="1" w:styleId="Underline">
    <w:name w:val="Underline"/>
    <w:rPr>
      <w:u w:val="single"/>
    </w:rPr>
  </w:style>
  <w:style w:type="paragraph" w:styleId="Zkladntext">
    <w:name w:val="Body Text"/>
    <w:basedOn w:val="Normlny"/>
    <w:rPr>
      <w:sz w:val="22"/>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Textbubliny">
    <w:name w:val="Balloon Text"/>
    <w:basedOn w:val="Normlny"/>
    <w:semiHidden/>
    <w:rsid w:val="009E7C74"/>
    <w:rPr>
      <w:rFonts w:ascii="Tahoma" w:hAnsi="Tahoma" w:cs="Tahoma"/>
      <w:sz w:val="16"/>
      <w:szCs w:val="16"/>
    </w:rPr>
  </w:style>
  <w:style w:type="table" w:styleId="Mriekatabuky">
    <w:name w:val="Table Grid"/>
    <w:basedOn w:val="Normlnatabuka"/>
    <w:rsid w:val="00FE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rsid w:val="000D616F"/>
  </w:style>
  <w:style w:type="paragraph" w:customStyle="1" w:styleId="Bodytext">
    <w:name w:val="Bodytext"/>
    <w:basedOn w:val="Normlny"/>
    <w:rsid w:val="002E0F9F"/>
    <w:pPr>
      <w:spacing w:after="200" w:line="360" w:lineRule="exact"/>
      <w:ind w:left="851"/>
    </w:pPr>
    <w:rPr>
      <w:rFonts w:ascii="Arial" w:eastAsia="Calibri" w:hAnsi="Arial" w:cs="Arial"/>
      <w:strike/>
      <w:spacing w:val="-2"/>
      <w:lang w:val="sk-SK"/>
    </w:rPr>
  </w:style>
  <w:style w:type="character" w:styleId="Odkaznakomentr">
    <w:name w:val="annotation reference"/>
    <w:semiHidden/>
    <w:rsid w:val="005733B2"/>
    <w:rPr>
      <w:sz w:val="16"/>
      <w:szCs w:val="16"/>
    </w:rPr>
  </w:style>
  <w:style w:type="paragraph" w:styleId="Textkomentra">
    <w:name w:val="annotation text"/>
    <w:basedOn w:val="Normlny"/>
    <w:semiHidden/>
    <w:rsid w:val="005733B2"/>
    <w:rPr>
      <w:sz w:val="20"/>
      <w:szCs w:val="20"/>
    </w:rPr>
  </w:style>
  <w:style w:type="paragraph" w:styleId="Predmetkomentra">
    <w:name w:val="annotation subject"/>
    <w:basedOn w:val="Textkomentra"/>
    <w:next w:val="Textkomentra"/>
    <w:semiHidden/>
    <w:rsid w:val="005733B2"/>
    <w:rPr>
      <w:b/>
      <w:bCs/>
    </w:rPr>
  </w:style>
  <w:style w:type="paragraph" w:customStyle="1" w:styleId="BodyText12">
    <w:name w:val="BodyText12"/>
    <w:rsid w:val="00D56917"/>
    <w:pPr>
      <w:spacing w:after="200" w:line="300" w:lineRule="auto"/>
      <w:ind w:left="850"/>
      <w:jc w:val="both"/>
    </w:pPr>
    <w:rPr>
      <w:sz w:val="24"/>
      <w:lang w:val="en-US" w:eastAsia="en-US"/>
    </w:rPr>
  </w:style>
  <w:style w:type="paragraph" w:customStyle="1" w:styleId="Default">
    <w:name w:val="Default"/>
    <w:rsid w:val="0062518F"/>
    <w:pPr>
      <w:autoSpaceDE w:val="0"/>
      <w:autoSpaceDN w:val="0"/>
      <w:adjustRightInd w:val="0"/>
    </w:pPr>
    <w:rPr>
      <w:lang w:val="en-US" w:eastAsia="en-US"/>
    </w:rPr>
  </w:style>
  <w:style w:type="paragraph" w:customStyle="1" w:styleId="EMEAEnBodyText">
    <w:name w:val="EMEA En Body Text"/>
    <w:basedOn w:val="Normlny"/>
    <w:rsid w:val="00942242"/>
    <w:pPr>
      <w:spacing w:before="120" w:after="120"/>
      <w:jc w:val="both"/>
    </w:pPr>
    <w:rPr>
      <w:sz w:val="22"/>
      <w:szCs w:val="20"/>
    </w:rPr>
  </w:style>
  <w:style w:type="paragraph" w:styleId="Oznaitext">
    <w:name w:val="Block Text"/>
    <w:basedOn w:val="Normlny"/>
    <w:rsid w:val="004377EB"/>
    <w:pPr>
      <w:tabs>
        <w:tab w:val="left" w:pos="8222"/>
      </w:tabs>
      <w:ind w:left="284" w:right="-369"/>
      <w:jc w:val="both"/>
    </w:pPr>
    <w:rPr>
      <w:rFonts w:ascii="Arial" w:hAnsi="Arial"/>
      <w:strike/>
      <w:spacing w:val="-2"/>
      <w:szCs w:val="20"/>
      <w:lang w:val="sk-SK"/>
    </w:rPr>
  </w:style>
  <w:style w:type="paragraph" w:styleId="Zarkazkladnhotextu3">
    <w:name w:val="Body Text Indent 3"/>
    <w:basedOn w:val="Normlny"/>
    <w:link w:val="Zarkazkladnhotextu3Char"/>
    <w:rsid w:val="00C456E3"/>
    <w:pPr>
      <w:spacing w:after="120"/>
      <w:ind w:left="283"/>
    </w:pPr>
    <w:rPr>
      <w:sz w:val="16"/>
      <w:szCs w:val="16"/>
    </w:rPr>
  </w:style>
  <w:style w:type="character" w:customStyle="1" w:styleId="Zarkazkladnhotextu3Char">
    <w:name w:val="Zarážka základného textu 3 Char"/>
    <w:link w:val="Zarkazkladnhotextu3"/>
    <w:rsid w:val="00C456E3"/>
    <w:rPr>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jc w:val="center"/>
      <w:outlineLvl w:val="0"/>
    </w:pPr>
    <w:rPr>
      <w:b/>
      <w:bCs/>
      <w:sz w:val="22"/>
      <w:lang w:val="de-DE"/>
    </w:rPr>
  </w:style>
  <w:style w:type="paragraph" w:styleId="Nadpis2">
    <w:name w:val="heading 2"/>
    <w:basedOn w:val="Normlny"/>
    <w:next w:val="Normlny"/>
    <w:qFormat/>
    <w:pPr>
      <w:keepNext/>
      <w:outlineLvl w:val="1"/>
    </w:pPr>
    <w:rPr>
      <w:b/>
      <w:bCs/>
      <w:sz w:val="22"/>
    </w:rPr>
  </w:style>
  <w:style w:type="paragraph" w:styleId="Nadpis3">
    <w:name w:val="heading 3"/>
    <w:basedOn w:val="Normlny"/>
    <w:next w:val="Normlny"/>
    <w:qFormat/>
    <w:pPr>
      <w:keepNext/>
      <w:outlineLvl w:val="2"/>
    </w:pPr>
    <w:rPr>
      <w:b/>
      <w:bCs/>
      <w:i/>
      <w:sz w:val="22"/>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EmphasisA">
    <w:name w:val="Emphasis A"/>
    <w:rPr>
      <w:rFonts w:ascii="Lucida Grande" w:eastAsia="Lucida Grande" w:hAnsi="Lucida Grande"/>
      <w:b/>
      <w:i w:val="0"/>
      <w:color w:val="000000"/>
      <w:u w:color="000000"/>
    </w:rPr>
  </w:style>
  <w:style w:type="character" w:customStyle="1" w:styleId="UnderlineA">
    <w:name w:val="Underline A"/>
    <w:rPr>
      <w:color w:val="000000"/>
      <w:u w:val="single" w:color="000000"/>
    </w:rPr>
  </w:style>
  <w:style w:type="character" w:customStyle="1" w:styleId="Underline">
    <w:name w:val="Underline"/>
    <w:rPr>
      <w:u w:val="single"/>
    </w:rPr>
  </w:style>
  <w:style w:type="paragraph" w:styleId="Zkladntext">
    <w:name w:val="Body Text"/>
    <w:basedOn w:val="Normlny"/>
    <w:rPr>
      <w:sz w:val="22"/>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Textbubliny">
    <w:name w:val="Balloon Text"/>
    <w:basedOn w:val="Normlny"/>
    <w:semiHidden/>
    <w:rsid w:val="009E7C74"/>
    <w:rPr>
      <w:rFonts w:ascii="Tahoma" w:hAnsi="Tahoma" w:cs="Tahoma"/>
      <w:sz w:val="16"/>
      <w:szCs w:val="16"/>
    </w:rPr>
  </w:style>
  <w:style w:type="table" w:styleId="Mriekatabuky">
    <w:name w:val="Table Grid"/>
    <w:basedOn w:val="Normlnatabuka"/>
    <w:rsid w:val="00FE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rsid w:val="000D616F"/>
  </w:style>
  <w:style w:type="paragraph" w:customStyle="1" w:styleId="Bodytext">
    <w:name w:val="Bodytext"/>
    <w:basedOn w:val="Normlny"/>
    <w:rsid w:val="002E0F9F"/>
    <w:pPr>
      <w:spacing w:after="200" w:line="360" w:lineRule="exact"/>
      <w:ind w:left="851"/>
    </w:pPr>
    <w:rPr>
      <w:rFonts w:ascii="Arial" w:eastAsia="Calibri" w:hAnsi="Arial" w:cs="Arial"/>
      <w:strike/>
      <w:spacing w:val="-2"/>
      <w:lang w:val="sk-SK"/>
    </w:rPr>
  </w:style>
  <w:style w:type="character" w:styleId="Odkaznakomentr">
    <w:name w:val="annotation reference"/>
    <w:semiHidden/>
    <w:rsid w:val="005733B2"/>
    <w:rPr>
      <w:sz w:val="16"/>
      <w:szCs w:val="16"/>
    </w:rPr>
  </w:style>
  <w:style w:type="paragraph" w:styleId="Textkomentra">
    <w:name w:val="annotation text"/>
    <w:basedOn w:val="Normlny"/>
    <w:semiHidden/>
    <w:rsid w:val="005733B2"/>
    <w:rPr>
      <w:sz w:val="20"/>
      <w:szCs w:val="20"/>
    </w:rPr>
  </w:style>
  <w:style w:type="paragraph" w:styleId="Predmetkomentra">
    <w:name w:val="annotation subject"/>
    <w:basedOn w:val="Textkomentra"/>
    <w:next w:val="Textkomentra"/>
    <w:semiHidden/>
    <w:rsid w:val="005733B2"/>
    <w:rPr>
      <w:b/>
      <w:bCs/>
    </w:rPr>
  </w:style>
  <w:style w:type="paragraph" w:customStyle="1" w:styleId="BodyText12">
    <w:name w:val="BodyText12"/>
    <w:rsid w:val="00D56917"/>
    <w:pPr>
      <w:spacing w:after="200" w:line="300" w:lineRule="auto"/>
      <w:ind w:left="850"/>
      <w:jc w:val="both"/>
    </w:pPr>
    <w:rPr>
      <w:sz w:val="24"/>
      <w:lang w:val="en-US" w:eastAsia="en-US"/>
    </w:rPr>
  </w:style>
  <w:style w:type="paragraph" w:customStyle="1" w:styleId="Default">
    <w:name w:val="Default"/>
    <w:rsid w:val="0062518F"/>
    <w:pPr>
      <w:autoSpaceDE w:val="0"/>
      <w:autoSpaceDN w:val="0"/>
      <w:adjustRightInd w:val="0"/>
    </w:pPr>
    <w:rPr>
      <w:lang w:val="en-US" w:eastAsia="en-US"/>
    </w:rPr>
  </w:style>
  <w:style w:type="paragraph" w:customStyle="1" w:styleId="EMEAEnBodyText">
    <w:name w:val="EMEA En Body Text"/>
    <w:basedOn w:val="Normlny"/>
    <w:rsid w:val="00942242"/>
    <w:pPr>
      <w:spacing w:before="120" w:after="120"/>
      <w:jc w:val="both"/>
    </w:pPr>
    <w:rPr>
      <w:sz w:val="22"/>
      <w:szCs w:val="20"/>
    </w:rPr>
  </w:style>
  <w:style w:type="paragraph" w:styleId="Oznaitext">
    <w:name w:val="Block Text"/>
    <w:basedOn w:val="Normlny"/>
    <w:rsid w:val="004377EB"/>
    <w:pPr>
      <w:tabs>
        <w:tab w:val="left" w:pos="8222"/>
      </w:tabs>
      <w:ind w:left="284" w:right="-369"/>
      <w:jc w:val="both"/>
    </w:pPr>
    <w:rPr>
      <w:rFonts w:ascii="Arial" w:hAnsi="Arial"/>
      <w:strike/>
      <w:spacing w:val="-2"/>
      <w:szCs w:val="20"/>
      <w:lang w:val="sk-SK"/>
    </w:rPr>
  </w:style>
  <w:style w:type="paragraph" w:styleId="Zarkazkladnhotextu3">
    <w:name w:val="Body Text Indent 3"/>
    <w:basedOn w:val="Normlny"/>
    <w:link w:val="Zarkazkladnhotextu3Char"/>
    <w:rsid w:val="00C456E3"/>
    <w:pPr>
      <w:spacing w:after="120"/>
      <w:ind w:left="283"/>
    </w:pPr>
    <w:rPr>
      <w:sz w:val="16"/>
      <w:szCs w:val="16"/>
    </w:rPr>
  </w:style>
  <w:style w:type="character" w:customStyle="1" w:styleId="Zarkazkladnhotextu3Char">
    <w:name w:val="Zarážka základného textu 3 Char"/>
    <w:link w:val="Zarkazkladnhotextu3"/>
    <w:rsid w:val="00C456E3"/>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20203">
      <w:bodyDiv w:val="1"/>
      <w:marLeft w:val="0"/>
      <w:marRight w:val="0"/>
      <w:marTop w:val="0"/>
      <w:marBottom w:val="0"/>
      <w:divBdr>
        <w:top w:val="none" w:sz="0" w:space="0" w:color="auto"/>
        <w:left w:val="none" w:sz="0" w:space="0" w:color="auto"/>
        <w:bottom w:val="none" w:sz="0" w:space="0" w:color="auto"/>
        <w:right w:val="none" w:sz="0" w:space="0" w:color="auto"/>
      </w:divBdr>
      <w:divsChild>
        <w:div w:id="1036661639">
          <w:marLeft w:val="0"/>
          <w:marRight w:val="0"/>
          <w:marTop w:val="0"/>
          <w:marBottom w:val="0"/>
          <w:divBdr>
            <w:top w:val="none" w:sz="0" w:space="0" w:color="auto"/>
            <w:left w:val="none" w:sz="0" w:space="0" w:color="auto"/>
            <w:bottom w:val="none" w:sz="0" w:space="0" w:color="auto"/>
            <w:right w:val="none" w:sz="0" w:space="0" w:color="auto"/>
          </w:divBdr>
          <w:divsChild>
            <w:div w:id="564950149">
              <w:marLeft w:val="0"/>
              <w:marRight w:val="0"/>
              <w:marTop w:val="0"/>
              <w:marBottom w:val="0"/>
              <w:divBdr>
                <w:top w:val="none" w:sz="0" w:space="0" w:color="auto"/>
                <w:left w:val="none" w:sz="0" w:space="0" w:color="auto"/>
                <w:bottom w:val="none" w:sz="0" w:space="0" w:color="auto"/>
                <w:right w:val="none" w:sz="0" w:space="0" w:color="auto"/>
              </w:divBdr>
              <w:divsChild>
                <w:div w:id="1000735808">
                  <w:marLeft w:val="0"/>
                  <w:marRight w:val="0"/>
                  <w:marTop w:val="0"/>
                  <w:marBottom w:val="0"/>
                  <w:divBdr>
                    <w:top w:val="none" w:sz="0" w:space="0" w:color="auto"/>
                    <w:left w:val="none" w:sz="0" w:space="0" w:color="auto"/>
                    <w:bottom w:val="none" w:sz="0" w:space="0" w:color="auto"/>
                    <w:right w:val="none" w:sz="0" w:space="0" w:color="auto"/>
                  </w:divBdr>
                  <w:divsChild>
                    <w:div w:id="2104446876">
                      <w:marLeft w:val="0"/>
                      <w:marRight w:val="0"/>
                      <w:marTop w:val="0"/>
                      <w:marBottom w:val="0"/>
                      <w:divBdr>
                        <w:top w:val="none" w:sz="0" w:space="0" w:color="auto"/>
                        <w:left w:val="none" w:sz="0" w:space="0" w:color="auto"/>
                        <w:bottom w:val="none" w:sz="0" w:space="0" w:color="auto"/>
                        <w:right w:val="none" w:sz="0" w:space="0" w:color="auto"/>
                      </w:divBdr>
                      <w:divsChild>
                        <w:div w:id="1460998515">
                          <w:marLeft w:val="0"/>
                          <w:marRight w:val="0"/>
                          <w:marTop w:val="0"/>
                          <w:marBottom w:val="0"/>
                          <w:divBdr>
                            <w:top w:val="none" w:sz="0" w:space="0" w:color="auto"/>
                            <w:left w:val="none" w:sz="0" w:space="0" w:color="auto"/>
                            <w:bottom w:val="none" w:sz="0" w:space="0" w:color="auto"/>
                            <w:right w:val="none" w:sz="0" w:space="0" w:color="auto"/>
                          </w:divBdr>
                          <w:divsChild>
                            <w:div w:id="1229877178">
                              <w:marLeft w:val="0"/>
                              <w:marRight w:val="0"/>
                              <w:marTop w:val="0"/>
                              <w:marBottom w:val="0"/>
                              <w:divBdr>
                                <w:top w:val="none" w:sz="0" w:space="0" w:color="auto"/>
                                <w:left w:val="none" w:sz="0" w:space="0" w:color="auto"/>
                                <w:bottom w:val="none" w:sz="0" w:space="0" w:color="auto"/>
                                <w:right w:val="none" w:sz="0" w:space="0" w:color="auto"/>
                              </w:divBdr>
                              <w:divsChild>
                                <w:div w:id="1199985">
                                  <w:marLeft w:val="0"/>
                                  <w:marRight w:val="0"/>
                                  <w:marTop w:val="0"/>
                                  <w:marBottom w:val="0"/>
                                  <w:divBdr>
                                    <w:top w:val="none" w:sz="0" w:space="0" w:color="auto"/>
                                    <w:left w:val="none" w:sz="0" w:space="0" w:color="auto"/>
                                    <w:bottom w:val="none" w:sz="0" w:space="0" w:color="auto"/>
                                    <w:right w:val="none" w:sz="0" w:space="0" w:color="auto"/>
                                  </w:divBdr>
                                  <w:divsChild>
                                    <w:div w:id="1175345168">
                                      <w:marLeft w:val="50"/>
                                      <w:marRight w:val="0"/>
                                      <w:marTop w:val="0"/>
                                      <w:marBottom w:val="0"/>
                                      <w:divBdr>
                                        <w:top w:val="none" w:sz="0" w:space="0" w:color="auto"/>
                                        <w:left w:val="none" w:sz="0" w:space="0" w:color="auto"/>
                                        <w:bottom w:val="none" w:sz="0" w:space="0" w:color="auto"/>
                                        <w:right w:val="none" w:sz="0" w:space="0" w:color="auto"/>
                                      </w:divBdr>
                                      <w:divsChild>
                                        <w:div w:id="433525149">
                                          <w:marLeft w:val="0"/>
                                          <w:marRight w:val="0"/>
                                          <w:marTop w:val="0"/>
                                          <w:marBottom w:val="0"/>
                                          <w:divBdr>
                                            <w:top w:val="none" w:sz="0" w:space="0" w:color="auto"/>
                                            <w:left w:val="none" w:sz="0" w:space="0" w:color="auto"/>
                                            <w:bottom w:val="none" w:sz="0" w:space="0" w:color="auto"/>
                                            <w:right w:val="none" w:sz="0" w:space="0" w:color="auto"/>
                                          </w:divBdr>
                                          <w:divsChild>
                                            <w:div w:id="675811183">
                                              <w:marLeft w:val="0"/>
                                              <w:marRight w:val="0"/>
                                              <w:marTop w:val="0"/>
                                              <w:marBottom w:val="100"/>
                                              <w:divBdr>
                                                <w:top w:val="single" w:sz="4" w:space="0" w:color="F5F5F5"/>
                                                <w:left w:val="single" w:sz="4" w:space="0" w:color="F5F5F5"/>
                                                <w:bottom w:val="single" w:sz="4" w:space="0" w:color="F5F5F5"/>
                                                <w:right w:val="single" w:sz="4" w:space="0" w:color="F5F5F5"/>
                                              </w:divBdr>
                                              <w:divsChild>
                                                <w:div w:id="1988505931">
                                                  <w:marLeft w:val="0"/>
                                                  <w:marRight w:val="0"/>
                                                  <w:marTop w:val="0"/>
                                                  <w:marBottom w:val="0"/>
                                                  <w:divBdr>
                                                    <w:top w:val="none" w:sz="0" w:space="0" w:color="auto"/>
                                                    <w:left w:val="none" w:sz="0" w:space="0" w:color="auto"/>
                                                    <w:bottom w:val="none" w:sz="0" w:space="0" w:color="auto"/>
                                                    <w:right w:val="none" w:sz="0" w:space="0" w:color="auto"/>
                                                  </w:divBdr>
                                                  <w:divsChild>
                                                    <w:div w:id="14749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275601">
      <w:bodyDiv w:val="1"/>
      <w:marLeft w:val="0"/>
      <w:marRight w:val="0"/>
      <w:marTop w:val="0"/>
      <w:marBottom w:val="0"/>
      <w:divBdr>
        <w:top w:val="none" w:sz="0" w:space="0" w:color="auto"/>
        <w:left w:val="none" w:sz="0" w:space="0" w:color="auto"/>
        <w:bottom w:val="none" w:sz="0" w:space="0" w:color="auto"/>
        <w:right w:val="none" w:sz="0" w:space="0" w:color="auto"/>
      </w:divBdr>
      <w:divsChild>
        <w:div w:id="1054692685">
          <w:marLeft w:val="0"/>
          <w:marRight w:val="0"/>
          <w:marTop w:val="0"/>
          <w:marBottom w:val="0"/>
          <w:divBdr>
            <w:top w:val="none" w:sz="0" w:space="0" w:color="auto"/>
            <w:left w:val="none" w:sz="0" w:space="0" w:color="auto"/>
            <w:bottom w:val="none" w:sz="0" w:space="0" w:color="auto"/>
            <w:right w:val="none" w:sz="0" w:space="0" w:color="auto"/>
          </w:divBdr>
          <w:divsChild>
            <w:div w:id="724833290">
              <w:marLeft w:val="0"/>
              <w:marRight w:val="0"/>
              <w:marTop w:val="0"/>
              <w:marBottom w:val="0"/>
              <w:divBdr>
                <w:top w:val="none" w:sz="0" w:space="0" w:color="auto"/>
                <w:left w:val="none" w:sz="0" w:space="0" w:color="auto"/>
                <w:bottom w:val="none" w:sz="0" w:space="0" w:color="auto"/>
                <w:right w:val="none" w:sz="0" w:space="0" w:color="auto"/>
              </w:divBdr>
              <w:divsChild>
                <w:div w:id="1489975885">
                  <w:marLeft w:val="0"/>
                  <w:marRight w:val="0"/>
                  <w:marTop w:val="0"/>
                  <w:marBottom w:val="0"/>
                  <w:divBdr>
                    <w:top w:val="none" w:sz="0" w:space="0" w:color="auto"/>
                    <w:left w:val="none" w:sz="0" w:space="0" w:color="auto"/>
                    <w:bottom w:val="none" w:sz="0" w:space="0" w:color="auto"/>
                    <w:right w:val="none" w:sz="0" w:space="0" w:color="auto"/>
                  </w:divBdr>
                  <w:divsChild>
                    <w:div w:id="1754937861">
                      <w:marLeft w:val="0"/>
                      <w:marRight w:val="0"/>
                      <w:marTop w:val="0"/>
                      <w:marBottom w:val="0"/>
                      <w:divBdr>
                        <w:top w:val="none" w:sz="0" w:space="0" w:color="auto"/>
                        <w:left w:val="none" w:sz="0" w:space="0" w:color="auto"/>
                        <w:bottom w:val="none" w:sz="0" w:space="0" w:color="auto"/>
                        <w:right w:val="none" w:sz="0" w:space="0" w:color="auto"/>
                      </w:divBdr>
                      <w:divsChild>
                        <w:div w:id="838231640">
                          <w:marLeft w:val="0"/>
                          <w:marRight w:val="0"/>
                          <w:marTop w:val="0"/>
                          <w:marBottom w:val="0"/>
                          <w:divBdr>
                            <w:top w:val="none" w:sz="0" w:space="0" w:color="auto"/>
                            <w:left w:val="none" w:sz="0" w:space="0" w:color="auto"/>
                            <w:bottom w:val="none" w:sz="0" w:space="0" w:color="auto"/>
                            <w:right w:val="none" w:sz="0" w:space="0" w:color="auto"/>
                          </w:divBdr>
                          <w:divsChild>
                            <w:div w:id="493691671">
                              <w:marLeft w:val="0"/>
                              <w:marRight w:val="0"/>
                              <w:marTop w:val="0"/>
                              <w:marBottom w:val="0"/>
                              <w:divBdr>
                                <w:top w:val="none" w:sz="0" w:space="0" w:color="auto"/>
                                <w:left w:val="none" w:sz="0" w:space="0" w:color="auto"/>
                                <w:bottom w:val="none" w:sz="0" w:space="0" w:color="auto"/>
                                <w:right w:val="none" w:sz="0" w:space="0" w:color="auto"/>
                              </w:divBdr>
                              <w:divsChild>
                                <w:div w:id="1099176088">
                                  <w:marLeft w:val="0"/>
                                  <w:marRight w:val="0"/>
                                  <w:marTop w:val="0"/>
                                  <w:marBottom w:val="0"/>
                                  <w:divBdr>
                                    <w:top w:val="none" w:sz="0" w:space="0" w:color="auto"/>
                                    <w:left w:val="none" w:sz="0" w:space="0" w:color="auto"/>
                                    <w:bottom w:val="none" w:sz="0" w:space="0" w:color="auto"/>
                                    <w:right w:val="none" w:sz="0" w:space="0" w:color="auto"/>
                                  </w:divBdr>
                                  <w:divsChild>
                                    <w:div w:id="1594437380">
                                      <w:marLeft w:val="46"/>
                                      <w:marRight w:val="0"/>
                                      <w:marTop w:val="0"/>
                                      <w:marBottom w:val="0"/>
                                      <w:divBdr>
                                        <w:top w:val="none" w:sz="0" w:space="0" w:color="auto"/>
                                        <w:left w:val="none" w:sz="0" w:space="0" w:color="auto"/>
                                        <w:bottom w:val="none" w:sz="0" w:space="0" w:color="auto"/>
                                        <w:right w:val="none" w:sz="0" w:space="0" w:color="auto"/>
                                      </w:divBdr>
                                      <w:divsChild>
                                        <w:div w:id="1898280744">
                                          <w:marLeft w:val="0"/>
                                          <w:marRight w:val="0"/>
                                          <w:marTop w:val="0"/>
                                          <w:marBottom w:val="0"/>
                                          <w:divBdr>
                                            <w:top w:val="none" w:sz="0" w:space="0" w:color="auto"/>
                                            <w:left w:val="none" w:sz="0" w:space="0" w:color="auto"/>
                                            <w:bottom w:val="none" w:sz="0" w:space="0" w:color="auto"/>
                                            <w:right w:val="none" w:sz="0" w:space="0" w:color="auto"/>
                                          </w:divBdr>
                                          <w:divsChild>
                                            <w:div w:id="690030255">
                                              <w:marLeft w:val="0"/>
                                              <w:marRight w:val="0"/>
                                              <w:marTop w:val="0"/>
                                              <w:marBottom w:val="92"/>
                                              <w:divBdr>
                                                <w:top w:val="single" w:sz="4" w:space="0" w:color="F5F5F5"/>
                                                <w:left w:val="single" w:sz="4" w:space="0" w:color="F5F5F5"/>
                                                <w:bottom w:val="single" w:sz="4" w:space="0" w:color="F5F5F5"/>
                                                <w:right w:val="single" w:sz="4" w:space="0" w:color="F5F5F5"/>
                                              </w:divBdr>
                                              <w:divsChild>
                                                <w:div w:id="1157110827">
                                                  <w:marLeft w:val="0"/>
                                                  <w:marRight w:val="0"/>
                                                  <w:marTop w:val="0"/>
                                                  <w:marBottom w:val="0"/>
                                                  <w:divBdr>
                                                    <w:top w:val="none" w:sz="0" w:space="0" w:color="auto"/>
                                                    <w:left w:val="none" w:sz="0" w:space="0" w:color="auto"/>
                                                    <w:bottom w:val="none" w:sz="0" w:space="0" w:color="auto"/>
                                                    <w:right w:val="none" w:sz="0" w:space="0" w:color="auto"/>
                                                  </w:divBdr>
                                                  <w:divsChild>
                                                    <w:div w:id="55754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70E0-B59C-4A3E-8156-CE17EE02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7144</Words>
  <Characters>46376</Characters>
  <Application>Microsoft Office Word</Application>
  <DocSecurity>0</DocSecurity>
  <Lines>386</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Teva</Company>
  <LinksUpToDate>false</LinksUpToDate>
  <CharactersWithSpaces>53414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Katka</dc:creator>
  <cp:lastModifiedBy>Skladaná, Judita</cp:lastModifiedBy>
  <cp:revision>2</cp:revision>
  <cp:lastPrinted>2018-05-07T11:40:00Z</cp:lastPrinted>
  <dcterms:created xsi:type="dcterms:W3CDTF">2018-05-07T11:41:00Z</dcterms:created>
  <dcterms:modified xsi:type="dcterms:W3CDTF">2018-05-07T11:41:00Z</dcterms:modified>
</cp:coreProperties>
</file>