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53F" w:rsidRPr="00261287" w:rsidRDefault="006F353F" w:rsidP="003830AE">
      <w:pPr>
        <w:pStyle w:val="SPCaPILhlavika"/>
        <w:rPr>
          <w:b w:val="0"/>
          <w:szCs w:val="22"/>
        </w:rPr>
      </w:pPr>
      <w:bookmarkStart w:id="0" w:name="_GoBack"/>
      <w:bookmarkEnd w:id="0"/>
    </w:p>
    <w:p w:rsidR="006F353F" w:rsidRPr="00261287" w:rsidRDefault="006F353F" w:rsidP="00740EB4">
      <w:pPr>
        <w:pStyle w:val="SPCaPILhlavika"/>
        <w:rPr>
          <w:b w:val="0"/>
          <w:szCs w:val="22"/>
        </w:rPr>
      </w:pPr>
    </w:p>
    <w:p w:rsidR="007C2ED7" w:rsidRPr="007656B5" w:rsidRDefault="007C2ED7" w:rsidP="00740EB4">
      <w:pPr>
        <w:pStyle w:val="SPCaPILhlavika"/>
        <w:rPr>
          <w:szCs w:val="22"/>
        </w:rPr>
      </w:pPr>
      <w:r w:rsidRPr="007656B5">
        <w:rPr>
          <w:szCs w:val="22"/>
        </w:rPr>
        <w:t>SÚHRN CHARAKTERISTICKÝCH VLASTNOSTÍ LIEKU</w:t>
      </w:r>
    </w:p>
    <w:p w:rsidR="006F353F" w:rsidRPr="007656B5" w:rsidRDefault="006F353F" w:rsidP="00740EB4">
      <w:pPr>
        <w:pStyle w:val="SPCaPILhlavika"/>
        <w:rPr>
          <w:szCs w:val="22"/>
        </w:rPr>
      </w:pPr>
    </w:p>
    <w:p w:rsidR="007C2ED7" w:rsidRPr="007656B5" w:rsidRDefault="007C2ED7" w:rsidP="008A0689">
      <w:pPr>
        <w:pStyle w:val="Styl1"/>
        <w:rPr>
          <w:szCs w:val="22"/>
        </w:rPr>
      </w:pPr>
      <w:r w:rsidRPr="007656B5">
        <w:rPr>
          <w:szCs w:val="22"/>
        </w:rPr>
        <w:t>NÁZOV LIEKU</w:t>
      </w:r>
    </w:p>
    <w:p w:rsidR="000A52D4" w:rsidRPr="007656B5" w:rsidRDefault="003860F8" w:rsidP="007C44E3">
      <w:pPr>
        <w:pStyle w:val="Normlndobloku"/>
        <w:rPr>
          <w:rFonts w:ascii="Times New Roman" w:hAnsi="Times New Roman" w:cs="Times New Roman"/>
        </w:rPr>
      </w:pPr>
      <w:r w:rsidRPr="007656B5">
        <w:rPr>
          <w:rFonts w:ascii="Times New Roman" w:hAnsi="Times New Roman" w:cs="Times New Roman"/>
        </w:rPr>
        <w:t>VAPRESS</w:t>
      </w:r>
      <w:r w:rsidR="007C2ED7" w:rsidRPr="007656B5">
        <w:rPr>
          <w:rFonts w:ascii="Times New Roman" w:hAnsi="Times New Roman" w:cs="Times New Roman"/>
        </w:rPr>
        <w:t xml:space="preserve"> 80</w:t>
      </w:r>
      <w:r w:rsidR="00547A4D" w:rsidRPr="007656B5">
        <w:rPr>
          <w:rFonts w:ascii="Times New Roman" w:hAnsi="Times New Roman" w:cs="Times New Roman"/>
        </w:rPr>
        <w:t> </w:t>
      </w:r>
      <w:r w:rsidR="007C2ED7" w:rsidRPr="007656B5">
        <w:rPr>
          <w:rFonts w:ascii="Times New Roman" w:hAnsi="Times New Roman" w:cs="Times New Roman"/>
        </w:rPr>
        <w:t>mg</w:t>
      </w:r>
    </w:p>
    <w:p w:rsidR="00425FAD" w:rsidRPr="007656B5" w:rsidRDefault="003860F8" w:rsidP="007C44E3">
      <w:pPr>
        <w:pStyle w:val="Normlndobloku"/>
        <w:rPr>
          <w:rFonts w:ascii="Times New Roman" w:hAnsi="Times New Roman" w:cs="Times New Roman"/>
        </w:rPr>
      </w:pPr>
      <w:r w:rsidRPr="007656B5">
        <w:rPr>
          <w:rFonts w:ascii="Times New Roman" w:hAnsi="Times New Roman" w:cs="Times New Roman"/>
        </w:rPr>
        <w:t xml:space="preserve">VAPRESS </w:t>
      </w:r>
      <w:r w:rsidR="007C2ED7" w:rsidRPr="007656B5">
        <w:rPr>
          <w:rFonts w:ascii="Times New Roman" w:hAnsi="Times New Roman" w:cs="Times New Roman"/>
        </w:rPr>
        <w:t>160</w:t>
      </w:r>
      <w:r w:rsidR="00547A4D" w:rsidRPr="007656B5">
        <w:rPr>
          <w:rFonts w:ascii="Times New Roman" w:hAnsi="Times New Roman" w:cs="Times New Roman"/>
        </w:rPr>
        <w:t> </w:t>
      </w:r>
      <w:r w:rsidR="007C2ED7" w:rsidRPr="007656B5">
        <w:rPr>
          <w:rFonts w:ascii="Times New Roman" w:hAnsi="Times New Roman" w:cs="Times New Roman"/>
        </w:rPr>
        <w:t>mg</w:t>
      </w:r>
    </w:p>
    <w:p w:rsidR="000A52D4" w:rsidRPr="007656B5" w:rsidRDefault="000A52D4" w:rsidP="009B52F3">
      <w:pPr>
        <w:pStyle w:val="Normlndobloku"/>
        <w:rPr>
          <w:rFonts w:ascii="Times New Roman" w:hAnsi="Times New Roman" w:cs="Times New Roman"/>
        </w:rPr>
      </w:pPr>
      <w:r w:rsidRPr="007656B5">
        <w:rPr>
          <w:rFonts w:ascii="Times New Roman" w:hAnsi="Times New Roman" w:cs="Times New Roman"/>
        </w:rPr>
        <w:t>filmom obalené tablety</w:t>
      </w:r>
    </w:p>
    <w:p w:rsidR="007C2ED7" w:rsidRPr="007656B5" w:rsidRDefault="007C2ED7">
      <w:pPr>
        <w:pStyle w:val="Styl1"/>
        <w:rPr>
          <w:szCs w:val="22"/>
        </w:rPr>
      </w:pPr>
      <w:r w:rsidRPr="007656B5">
        <w:rPr>
          <w:szCs w:val="22"/>
        </w:rPr>
        <w:t>KVALITATÍVNE A</w:t>
      </w:r>
      <w:r w:rsidR="00547A4D" w:rsidRPr="007656B5">
        <w:rPr>
          <w:szCs w:val="22"/>
        </w:rPr>
        <w:t> </w:t>
      </w:r>
      <w:r w:rsidRPr="007656B5">
        <w:rPr>
          <w:szCs w:val="22"/>
        </w:rPr>
        <w:t>KVANTITATÍVNE ZLOŽENIE</w:t>
      </w:r>
    </w:p>
    <w:p w:rsidR="00425FAD" w:rsidRPr="007656B5" w:rsidRDefault="00FE1755" w:rsidP="007C44E3">
      <w:pPr>
        <w:pStyle w:val="Normlndobloku"/>
        <w:rPr>
          <w:rFonts w:ascii="Times New Roman" w:hAnsi="Times New Roman" w:cs="Times New Roman"/>
        </w:rPr>
      </w:pPr>
      <w:r w:rsidRPr="007656B5">
        <w:rPr>
          <w:rFonts w:ascii="Times New Roman" w:hAnsi="Times New Roman" w:cs="Times New Roman"/>
        </w:rPr>
        <w:t>VAPRESS 80</w:t>
      </w:r>
      <w:r w:rsidR="00547A4D" w:rsidRPr="007656B5">
        <w:rPr>
          <w:rFonts w:ascii="Times New Roman" w:hAnsi="Times New Roman" w:cs="Times New Roman"/>
        </w:rPr>
        <w:t> </w:t>
      </w:r>
      <w:r w:rsidRPr="007656B5">
        <w:rPr>
          <w:rFonts w:ascii="Times New Roman" w:hAnsi="Times New Roman" w:cs="Times New Roman"/>
        </w:rPr>
        <w:t>mg: Jedna</w:t>
      </w:r>
      <w:r w:rsidR="003860F8" w:rsidRPr="007656B5">
        <w:rPr>
          <w:rFonts w:ascii="Times New Roman" w:hAnsi="Times New Roman" w:cs="Times New Roman"/>
        </w:rPr>
        <w:t xml:space="preserve"> </w:t>
      </w:r>
      <w:r w:rsidR="007C2ED7" w:rsidRPr="007656B5">
        <w:rPr>
          <w:rFonts w:ascii="Times New Roman" w:hAnsi="Times New Roman" w:cs="Times New Roman"/>
        </w:rPr>
        <w:t>filmom obalená tableta obsahuje 80</w:t>
      </w:r>
      <w:r w:rsidR="00547A4D" w:rsidRPr="007656B5">
        <w:rPr>
          <w:rFonts w:ascii="Times New Roman" w:hAnsi="Times New Roman" w:cs="Times New Roman"/>
        </w:rPr>
        <w:t> </w:t>
      </w:r>
      <w:r w:rsidR="007C2ED7" w:rsidRPr="007656B5">
        <w:rPr>
          <w:rFonts w:ascii="Times New Roman" w:hAnsi="Times New Roman" w:cs="Times New Roman"/>
        </w:rPr>
        <w:t>mg valsartanu.</w:t>
      </w:r>
    </w:p>
    <w:p w:rsidR="00425FAD" w:rsidRPr="007656B5" w:rsidRDefault="00FE1755" w:rsidP="007C44E3">
      <w:pPr>
        <w:pStyle w:val="Normlndobloku"/>
        <w:rPr>
          <w:rFonts w:ascii="Times New Roman" w:hAnsi="Times New Roman" w:cs="Times New Roman"/>
        </w:rPr>
      </w:pPr>
      <w:r w:rsidRPr="007656B5">
        <w:rPr>
          <w:rFonts w:ascii="Times New Roman" w:hAnsi="Times New Roman" w:cs="Times New Roman"/>
        </w:rPr>
        <w:t>VAPRESS 160</w:t>
      </w:r>
      <w:r w:rsidR="00547A4D" w:rsidRPr="007656B5">
        <w:rPr>
          <w:rFonts w:ascii="Times New Roman" w:hAnsi="Times New Roman" w:cs="Times New Roman"/>
        </w:rPr>
        <w:t> </w:t>
      </w:r>
      <w:r w:rsidRPr="007656B5">
        <w:rPr>
          <w:rFonts w:ascii="Times New Roman" w:hAnsi="Times New Roman" w:cs="Times New Roman"/>
        </w:rPr>
        <w:t>mg: Jedna</w:t>
      </w:r>
      <w:r w:rsidR="007C2ED7" w:rsidRPr="007656B5">
        <w:rPr>
          <w:rFonts w:ascii="Times New Roman" w:hAnsi="Times New Roman" w:cs="Times New Roman"/>
        </w:rPr>
        <w:t xml:space="preserve"> filmom obalená tableta obsahuje 160</w:t>
      </w:r>
      <w:r w:rsidR="00547A4D" w:rsidRPr="007656B5">
        <w:rPr>
          <w:rFonts w:ascii="Times New Roman" w:hAnsi="Times New Roman" w:cs="Times New Roman"/>
        </w:rPr>
        <w:t> </w:t>
      </w:r>
      <w:r w:rsidR="007C2ED7" w:rsidRPr="007656B5">
        <w:rPr>
          <w:rFonts w:ascii="Times New Roman" w:hAnsi="Times New Roman" w:cs="Times New Roman"/>
        </w:rPr>
        <w:t xml:space="preserve">mg </w:t>
      </w:r>
      <w:r w:rsidR="007C2ED7" w:rsidRPr="00201A3B">
        <w:rPr>
          <w:rFonts w:ascii="Times New Roman" w:hAnsi="Times New Roman" w:cs="Times New Roman"/>
        </w:rPr>
        <w:t>valsartanu</w:t>
      </w:r>
      <w:r w:rsidR="007C2ED7" w:rsidRPr="007656B5">
        <w:rPr>
          <w:rFonts w:ascii="Times New Roman" w:hAnsi="Times New Roman" w:cs="Times New Roman"/>
        </w:rPr>
        <w:t>.</w:t>
      </w:r>
    </w:p>
    <w:p w:rsidR="00425FAD" w:rsidRPr="007656B5" w:rsidRDefault="007C2ED7" w:rsidP="009B52F3">
      <w:pPr>
        <w:pStyle w:val="Normlndobloku"/>
        <w:rPr>
          <w:rFonts w:ascii="Times New Roman" w:hAnsi="Times New Roman" w:cs="Times New Roman"/>
        </w:rPr>
      </w:pPr>
      <w:r w:rsidRPr="007656B5">
        <w:rPr>
          <w:rFonts w:ascii="Times New Roman" w:hAnsi="Times New Roman" w:cs="Times New Roman"/>
        </w:rPr>
        <w:t>Úplný zoznam pomocných látok, pozri časť 6.1.</w:t>
      </w:r>
    </w:p>
    <w:p w:rsidR="007C2ED7" w:rsidRPr="007656B5" w:rsidRDefault="007C2ED7">
      <w:pPr>
        <w:pStyle w:val="Styl1"/>
        <w:rPr>
          <w:szCs w:val="22"/>
        </w:rPr>
      </w:pPr>
      <w:r w:rsidRPr="007656B5">
        <w:rPr>
          <w:szCs w:val="22"/>
        </w:rPr>
        <w:t>LIEKOVÁ FORMA</w:t>
      </w:r>
    </w:p>
    <w:p w:rsidR="007C2ED7" w:rsidRPr="007656B5" w:rsidRDefault="003860F8" w:rsidP="007C44E3">
      <w:pPr>
        <w:pStyle w:val="Normlndobloku"/>
        <w:rPr>
          <w:rFonts w:ascii="Times New Roman" w:hAnsi="Times New Roman" w:cs="Times New Roman"/>
        </w:rPr>
      </w:pPr>
      <w:r w:rsidRPr="007656B5">
        <w:rPr>
          <w:rFonts w:ascii="Times New Roman" w:hAnsi="Times New Roman" w:cs="Times New Roman"/>
        </w:rPr>
        <w:t>Filmom obalen</w:t>
      </w:r>
      <w:r w:rsidR="00AB327C" w:rsidRPr="007656B5">
        <w:rPr>
          <w:rFonts w:ascii="Times New Roman" w:hAnsi="Times New Roman" w:cs="Times New Roman"/>
        </w:rPr>
        <w:t>á</w:t>
      </w:r>
      <w:r w:rsidRPr="007656B5">
        <w:rPr>
          <w:rFonts w:ascii="Times New Roman" w:hAnsi="Times New Roman" w:cs="Times New Roman"/>
        </w:rPr>
        <w:t xml:space="preserve"> tablet</w:t>
      </w:r>
      <w:r w:rsidR="00AB327C" w:rsidRPr="007656B5">
        <w:rPr>
          <w:rFonts w:ascii="Times New Roman" w:hAnsi="Times New Roman" w:cs="Times New Roman"/>
        </w:rPr>
        <w:t>a</w:t>
      </w:r>
    </w:p>
    <w:p w:rsidR="008B5153" w:rsidRPr="007656B5" w:rsidRDefault="00D517AD" w:rsidP="007C44E3">
      <w:pPr>
        <w:pStyle w:val="Normlndobloku"/>
        <w:rPr>
          <w:rFonts w:ascii="Times New Roman" w:hAnsi="Times New Roman" w:cs="Times New Roman"/>
        </w:rPr>
      </w:pPr>
      <w:r w:rsidRPr="007656B5">
        <w:rPr>
          <w:rFonts w:ascii="Times New Roman" w:hAnsi="Times New Roman" w:cs="Times New Roman"/>
        </w:rPr>
        <w:t xml:space="preserve">VAPRESS </w:t>
      </w:r>
      <w:r w:rsidR="008B5153" w:rsidRPr="007656B5">
        <w:rPr>
          <w:rFonts w:ascii="Times New Roman" w:hAnsi="Times New Roman" w:cs="Times New Roman"/>
        </w:rPr>
        <w:t>80</w:t>
      </w:r>
      <w:r w:rsidR="00547A4D" w:rsidRPr="007656B5">
        <w:rPr>
          <w:rFonts w:ascii="Times New Roman" w:hAnsi="Times New Roman" w:cs="Times New Roman"/>
        </w:rPr>
        <w:t> </w:t>
      </w:r>
      <w:r w:rsidR="008B5153" w:rsidRPr="007656B5">
        <w:rPr>
          <w:rFonts w:ascii="Times New Roman" w:hAnsi="Times New Roman" w:cs="Times New Roman"/>
        </w:rPr>
        <w:t xml:space="preserve">mg: Žlté okrúhle </w:t>
      </w:r>
      <w:r w:rsidRPr="007656B5">
        <w:rPr>
          <w:rFonts w:ascii="Times New Roman" w:hAnsi="Times New Roman" w:cs="Times New Roman"/>
        </w:rPr>
        <w:t>k</w:t>
      </w:r>
      <w:r w:rsidR="008B5153" w:rsidRPr="007656B5">
        <w:rPr>
          <w:rFonts w:ascii="Times New Roman" w:hAnsi="Times New Roman" w:cs="Times New Roman"/>
        </w:rPr>
        <w:t xml:space="preserve">onvexné filmom obalené tablety s rozmerom </w:t>
      </w:r>
      <w:r w:rsidR="000279FD" w:rsidRPr="007656B5">
        <w:rPr>
          <w:rFonts w:ascii="Times New Roman" w:hAnsi="Times New Roman" w:cs="Times New Roman"/>
        </w:rPr>
        <w:t xml:space="preserve">jadra </w:t>
      </w:r>
      <w:r w:rsidR="008B5153" w:rsidRPr="007656B5">
        <w:rPr>
          <w:rFonts w:ascii="Times New Roman" w:hAnsi="Times New Roman" w:cs="Times New Roman"/>
        </w:rPr>
        <w:t>10,4</w:t>
      </w:r>
      <w:r w:rsidR="00547A4D" w:rsidRPr="007656B5">
        <w:rPr>
          <w:rFonts w:ascii="Times New Roman" w:hAnsi="Times New Roman" w:cs="Times New Roman"/>
        </w:rPr>
        <w:t> </w:t>
      </w:r>
      <w:r w:rsidR="008B5153" w:rsidRPr="007656B5">
        <w:rPr>
          <w:rFonts w:ascii="Times New Roman" w:hAnsi="Times New Roman" w:cs="Times New Roman"/>
        </w:rPr>
        <w:t>mm</w:t>
      </w:r>
      <w:r w:rsidR="002E5F8A" w:rsidRPr="007656B5">
        <w:rPr>
          <w:rFonts w:ascii="Times New Roman" w:hAnsi="Times New Roman" w:cs="Times New Roman"/>
        </w:rPr>
        <w:t>, s deliacou ryhou</w:t>
      </w:r>
      <w:r w:rsidR="008B5153" w:rsidRPr="007656B5">
        <w:rPr>
          <w:rFonts w:ascii="Times New Roman" w:hAnsi="Times New Roman" w:cs="Times New Roman"/>
        </w:rPr>
        <w:t>. Deliaca ryha iba pomáha rozlomiť tabletu, aby sa dala ľahšie prehltnúť a neslúži na rozdelenie na rovnaké dávky.</w:t>
      </w:r>
    </w:p>
    <w:p w:rsidR="008B5153" w:rsidRPr="007656B5" w:rsidRDefault="008B5153" w:rsidP="009B52F3">
      <w:pPr>
        <w:pStyle w:val="Normlndobloku"/>
        <w:rPr>
          <w:rFonts w:ascii="Times New Roman" w:hAnsi="Times New Roman" w:cs="Times New Roman"/>
        </w:rPr>
      </w:pPr>
      <w:r w:rsidRPr="007656B5">
        <w:rPr>
          <w:rFonts w:ascii="Times New Roman" w:hAnsi="Times New Roman" w:cs="Times New Roman"/>
        </w:rPr>
        <w:t>VAPRESS 160</w:t>
      </w:r>
      <w:r w:rsidR="00547A4D" w:rsidRPr="007656B5">
        <w:rPr>
          <w:rFonts w:ascii="Times New Roman" w:hAnsi="Times New Roman" w:cs="Times New Roman"/>
        </w:rPr>
        <w:t> </w:t>
      </w:r>
      <w:r w:rsidRPr="007656B5">
        <w:rPr>
          <w:rFonts w:ascii="Times New Roman" w:hAnsi="Times New Roman" w:cs="Times New Roman"/>
        </w:rPr>
        <w:t>mg:</w:t>
      </w:r>
      <w:r w:rsidR="00425FAD" w:rsidRPr="007656B5">
        <w:rPr>
          <w:rFonts w:ascii="Times New Roman" w:hAnsi="Times New Roman" w:cs="Times New Roman"/>
        </w:rPr>
        <w:t xml:space="preserve"> </w:t>
      </w:r>
      <w:r w:rsidRPr="007656B5">
        <w:rPr>
          <w:rFonts w:ascii="Times New Roman" w:hAnsi="Times New Roman" w:cs="Times New Roman"/>
        </w:rPr>
        <w:t xml:space="preserve">Žlté </w:t>
      </w:r>
      <w:r w:rsidR="00D517AD" w:rsidRPr="007656B5">
        <w:rPr>
          <w:rFonts w:ascii="Times New Roman" w:hAnsi="Times New Roman" w:cs="Times New Roman"/>
        </w:rPr>
        <w:t>k</w:t>
      </w:r>
      <w:r w:rsidRPr="007656B5">
        <w:rPr>
          <w:rFonts w:ascii="Times New Roman" w:hAnsi="Times New Roman" w:cs="Times New Roman"/>
        </w:rPr>
        <w:t xml:space="preserve">onvexné </w:t>
      </w:r>
      <w:r w:rsidR="000158B7" w:rsidRPr="007656B5">
        <w:rPr>
          <w:rFonts w:ascii="Times New Roman" w:hAnsi="Times New Roman" w:cs="Times New Roman"/>
        </w:rPr>
        <w:t xml:space="preserve">filmom obalené tablety v tvare kapsúl, s rozmerom 17,5 x </w:t>
      </w:r>
      <w:smartTag w:uri="urn:schemas-microsoft-com:office:smarttags" w:element="metricconverter">
        <w:smartTagPr>
          <w:attr w:name="ProductID" w:val="8 mm"/>
        </w:smartTagPr>
        <w:r w:rsidR="000158B7" w:rsidRPr="007656B5">
          <w:rPr>
            <w:rFonts w:ascii="Times New Roman" w:hAnsi="Times New Roman" w:cs="Times New Roman"/>
          </w:rPr>
          <w:t>8 mm</w:t>
        </w:r>
      </w:smartTag>
      <w:r w:rsidR="000158B7" w:rsidRPr="007656B5">
        <w:rPr>
          <w:rFonts w:ascii="Times New Roman" w:hAnsi="Times New Roman" w:cs="Times New Roman"/>
        </w:rPr>
        <w:t xml:space="preserve">, </w:t>
      </w:r>
      <w:r w:rsidR="002E5F8A" w:rsidRPr="007656B5">
        <w:rPr>
          <w:rFonts w:ascii="Times New Roman" w:hAnsi="Times New Roman" w:cs="Times New Roman"/>
        </w:rPr>
        <w:t xml:space="preserve">s deliacou ryhou </w:t>
      </w:r>
      <w:r w:rsidRPr="007656B5">
        <w:rPr>
          <w:rFonts w:ascii="Times New Roman" w:hAnsi="Times New Roman" w:cs="Times New Roman"/>
        </w:rPr>
        <w:t>na jednej strane</w:t>
      </w:r>
      <w:r w:rsidR="002E5F8A" w:rsidRPr="007656B5">
        <w:rPr>
          <w:rFonts w:ascii="Times New Roman" w:hAnsi="Times New Roman" w:cs="Times New Roman"/>
        </w:rPr>
        <w:t xml:space="preserve"> a</w:t>
      </w:r>
      <w:r w:rsidR="00547A4D" w:rsidRPr="007656B5">
        <w:rPr>
          <w:rFonts w:ascii="Times New Roman" w:hAnsi="Times New Roman" w:cs="Times New Roman"/>
        </w:rPr>
        <w:t> </w:t>
      </w:r>
      <w:r w:rsidR="006F331E" w:rsidRPr="007656B5">
        <w:rPr>
          <w:rFonts w:ascii="Times New Roman" w:hAnsi="Times New Roman" w:cs="Times New Roman"/>
        </w:rPr>
        <w:t>s</w:t>
      </w:r>
      <w:r w:rsidR="00547A4D" w:rsidRPr="007656B5">
        <w:rPr>
          <w:rFonts w:ascii="Times New Roman" w:hAnsi="Times New Roman" w:cs="Times New Roman"/>
        </w:rPr>
        <w:t> </w:t>
      </w:r>
      <w:r w:rsidR="006F331E" w:rsidRPr="007656B5">
        <w:rPr>
          <w:rFonts w:ascii="Times New Roman" w:hAnsi="Times New Roman" w:cs="Times New Roman"/>
        </w:rPr>
        <w:t xml:space="preserve">vyrazeným </w:t>
      </w:r>
      <w:r w:rsidRPr="007656B5">
        <w:rPr>
          <w:rFonts w:ascii="Times New Roman" w:hAnsi="Times New Roman" w:cs="Times New Roman"/>
        </w:rPr>
        <w:t>„MC“ na druhej strane</w:t>
      </w:r>
      <w:r w:rsidR="006F331E" w:rsidRPr="007656B5">
        <w:rPr>
          <w:rFonts w:ascii="Times New Roman" w:hAnsi="Times New Roman" w:cs="Times New Roman"/>
        </w:rPr>
        <w:t xml:space="preserve">. </w:t>
      </w:r>
      <w:r w:rsidRPr="007656B5">
        <w:rPr>
          <w:rFonts w:ascii="Times New Roman" w:hAnsi="Times New Roman" w:cs="Times New Roman"/>
        </w:rPr>
        <w:t>Deliaca ryha iba pomáha rozlomiť tabletu, aby sa dala ľahšie prehltnúť a neslúži na rozdelenie na rovnaké dávky.</w:t>
      </w:r>
    </w:p>
    <w:p w:rsidR="005E6B7F" w:rsidRPr="007656B5" w:rsidRDefault="007C2ED7">
      <w:pPr>
        <w:pStyle w:val="Styl1"/>
        <w:rPr>
          <w:szCs w:val="22"/>
        </w:rPr>
      </w:pPr>
      <w:r w:rsidRPr="007656B5">
        <w:rPr>
          <w:szCs w:val="22"/>
        </w:rPr>
        <w:t>KLINICKÉ ÚDAJE</w:t>
      </w:r>
    </w:p>
    <w:p w:rsidR="005E6B7F" w:rsidRPr="007656B5" w:rsidRDefault="005E6B7F" w:rsidP="00D50784">
      <w:pPr>
        <w:pStyle w:val="Styl2"/>
      </w:pPr>
      <w:r w:rsidRPr="007656B5">
        <w:t>Terapeutické indikácie</w:t>
      </w:r>
    </w:p>
    <w:p w:rsidR="005E6B7F" w:rsidRPr="007656B5" w:rsidRDefault="005E6B7F" w:rsidP="00201A3B">
      <w:pPr>
        <w:pStyle w:val="Styl3"/>
      </w:pPr>
      <w:r w:rsidRPr="007656B5">
        <w:rPr>
          <w:szCs w:val="22"/>
        </w:rPr>
        <w:t>Hypertenzia</w:t>
      </w:r>
      <w:r w:rsidR="009520A7" w:rsidRPr="007656B5">
        <w:rPr>
          <w:szCs w:val="22"/>
        </w:rPr>
        <w:t xml:space="preserve"> (iba 80 mg, 160 mg)</w:t>
      </w:r>
    </w:p>
    <w:p w:rsidR="005E6B7F" w:rsidRPr="007656B5" w:rsidRDefault="005E6B7F">
      <w:pPr>
        <w:pStyle w:val="Normlndobloku"/>
        <w:rPr>
          <w:rFonts w:ascii="Times New Roman" w:hAnsi="Times New Roman" w:cs="Times New Roman"/>
        </w:rPr>
      </w:pPr>
      <w:r w:rsidRPr="007656B5">
        <w:rPr>
          <w:rFonts w:ascii="Times New Roman" w:hAnsi="Times New Roman" w:cs="Times New Roman"/>
        </w:rPr>
        <w:t xml:space="preserve">Liečba esenciálnej hypertenzie </w:t>
      </w:r>
      <w:r w:rsidR="00C61410" w:rsidRPr="007656B5">
        <w:rPr>
          <w:rFonts w:ascii="Times New Roman" w:hAnsi="Times New Roman" w:cs="Times New Roman"/>
        </w:rPr>
        <w:t>u dospelých</w:t>
      </w:r>
      <w:r w:rsidRPr="007656B5">
        <w:rPr>
          <w:rFonts w:ascii="Times New Roman" w:hAnsi="Times New Roman" w:cs="Times New Roman"/>
        </w:rPr>
        <w:t xml:space="preserve"> pacientov a</w:t>
      </w:r>
      <w:r w:rsidR="00547A4D" w:rsidRPr="007656B5">
        <w:rPr>
          <w:rFonts w:ascii="Times New Roman" w:hAnsi="Times New Roman" w:cs="Times New Roman"/>
        </w:rPr>
        <w:t> </w:t>
      </w:r>
      <w:r w:rsidRPr="007656B5">
        <w:rPr>
          <w:rFonts w:ascii="Times New Roman" w:hAnsi="Times New Roman" w:cs="Times New Roman"/>
        </w:rPr>
        <w:t>hypertenzie u</w:t>
      </w:r>
      <w:r w:rsidR="00547A4D" w:rsidRPr="007656B5">
        <w:rPr>
          <w:rFonts w:ascii="Times New Roman" w:hAnsi="Times New Roman" w:cs="Times New Roman"/>
        </w:rPr>
        <w:t> </w:t>
      </w:r>
      <w:r w:rsidRPr="007656B5">
        <w:rPr>
          <w:rFonts w:ascii="Times New Roman" w:hAnsi="Times New Roman" w:cs="Times New Roman"/>
        </w:rPr>
        <w:t>detí a</w:t>
      </w:r>
      <w:r w:rsidR="00547A4D" w:rsidRPr="007656B5">
        <w:rPr>
          <w:rFonts w:ascii="Times New Roman" w:hAnsi="Times New Roman" w:cs="Times New Roman"/>
        </w:rPr>
        <w:t> </w:t>
      </w:r>
      <w:r w:rsidRPr="007656B5">
        <w:rPr>
          <w:rFonts w:ascii="Times New Roman" w:hAnsi="Times New Roman" w:cs="Times New Roman"/>
        </w:rPr>
        <w:t>dospievajúcich vo veku od 6 do 18 rokov.</w:t>
      </w:r>
    </w:p>
    <w:p w:rsidR="007C2ED7" w:rsidRPr="007656B5" w:rsidRDefault="007C2ED7" w:rsidP="00201A3B">
      <w:pPr>
        <w:pStyle w:val="Styl3"/>
      </w:pPr>
      <w:r w:rsidRPr="007656B5">
        <w:rPr>
          <w:szCs w:val="22"/>
        </w:rPr>
        <w:t>Nedávny infarkt myokardu</w:t>
      </w:r>
      <w:r w:rsidR="009520A7" w:rsidRPr="007656B5">
        <w:rPr>
          <w:szCs w:val="22"/>
        </w:rPr>
        <w:t xml:space="preserve"> (40 mg, 80 mg, 160 mg)</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 xml:space="preserve">Liečba klinicky stabilných dospelých pacientov so symptomatickým zlyhaním srdca alebo </w:t>
      </w:r>
      <w:r w:rsidR="00C61410" w:rsidRPr="007656B5">
        <w:rPr>
          <w:rFonts w:ascii="Times New Roman" w:hAnsi="Times New Roman" w:cs="Times New Roman"/>
        </w:rPr>
        <w:t>a symptomatickou</w:t>
      </w:r>
      <w:r w:rsidRPr="007656B5">
        <w:rPr>
          <w:rFonts w:ascii="Times New Roman" w:hAnsi="Times New Roman" w:cs="Times New Roman"/>
        </w:rPr>
        <w:t xml:space="preserve"> systolickou dysfunkciou ľavej komory po nedávnom (pred 12 hodinami</w:t>
      </w:r>
      <w:r w:rsidR="00425FAD" w:rsidRPr="007656B5">
        <w:rPr>
          <w:rFonts w:ascii="Times New Roman" w:hAnsi="Times New Roman" w:cs="Times New Roman"/>
        </w:rPr>
        <w:t>–</w:t>
      </w:r>
      <w:r w:rsidRPr="007656B5">
        <w:rPr>
          <w:rFonts w:ascii="Times New Roman" w:hAnsi="Times New Roman" w:cs="Times New Roman"/>
        </w:rPr>
        <w:t xml:space="preserve">10 dňami) infarkte myokardu (pozri časti </w:t>
      </w:r>
      <w:r w:rsidR="002202B2" w:rsidRPr="007656B5">
        <w:rPr>
          <w:rFonts w:ascii="Times New Roman" w:hAnsi="Times New Roman" w:cs="Times New Roman"/>
        </w:rPr>
        <w:t xml:space="preserve">4.3, </w:t>
      </w:r>
      <w:r w:rsidRPr="007656B5">
        <w:rPr>
          <w:rFonts w:ascii="Times New Roman" w:hAnsi="Times New Roman" w:cs="Times New Roman"/>
        </w:rPr>
        <w:t>4.4</w:t>
      </w:r>
      <w:r w:rsidR="002202B2" w:rsidRPr="007656B5">
        <w:rPr>
          <w:rFonts w:ascii="Times New Roman" w:hAnsi="Times New Roman" w:cs="Times New Roman"/>
        </w:rPr>
        <w:t>, 4.5</w:t>
      </w:r>
      <w:r w:rsidRPr="007656B5">
        <w:rPr>
          <w:rFonts w:ascii="Times New Roman" w:hAnsi="Times New Roman" w:cs="Times New Roman"/>
        </w:rPr>
        <w:t xml:space="preserve"> a5.1).</w:t>
      </w:r>
    </w:p>
    <w:p w:rsidR="00A74C75" w:rsidRPr="007656B5" w:rsidRDefault="00A74C75" w:rsidP="00201A3B">
      <w:pPr>
        <w:pStyle w:val="Styl3"/>
      </w:pPr>
      <w:r w:rsidRPr="007656B5">
        <w:rPr>
          <w:szCs w:val="22"/>
        </w:rPr>
        <w:t>Srdcové zlyhávanie</w:t>
      </w:r>
      <w:r w:rsidR="009520A7" w:rsidRPr="007656B5">
        <w:rPr>
          <w:szCs w:val="22"/>
        </w:rPr>
        <w:t xml:space="preserve"> (40 mg, 80 mg a 160 mg)</w:t>
      </w:r>
    </w:p>
    <w:p w:rsidR="00A74C75" w:rsidRPr="007656B5" w:rsidRDefault="00A74C75">
      <w:pPr>
        <w:pStyle w:val="Normlndobloku"/>
        <w:rPr>
          <w:rFonts w:ascii="Times New Roman" w:hAnsi="Times New Roman" w:cs="Times New Roman"/>
        </w:rPr>
      </w:pPr>
      <w:r w:rsidRPr="007656B5">
        <w:rPr>
          <w:rFonts w:ascii="Times New Roman" w:hAnsi="Times New Roman" w:cs="Times New Roman"/>
        </w:rPr>
        <w:t>Liečba dospelých pacientov so symptomatickým srdcovým zlyhávaním, ak neznášajú inhibítory ACE, alebo ako prídavná liečba k inhibítorom ACE u pacientov, ktorí neznášajú betablokátory, ak sa nemôžu použiť antagonisty mineralokortikoidových receptorov (pozri časti 4.2, 4.4, 4.5 a</w:t>
      </w:r>
      <w:r w:rsidR="00547A4D" w:rsidRPr="007656B5">
        <w:rPr>
          <w:rFonts w:ascii="Times New Roman" w:hAnsi="Times New Roman" w:cs="Times New Roman"/>
        </w:rPr>
        <w:t> </w:t>
      </w:r>
      <w:r w:rsidRPr="007656B5">
        <w:rPr>
          <w:rFonts w:ascii="Times New Roman" w:hAnsi="Times New Roman" w:cs="Times New Roman"/>
        </w:rPr>
        <w:t>5.1).</w:t>
      </w:r>
    </w:p>
    <w:p w:rsidR="000F474D" w:rsidRPr="007656B5" w:rsidRDefault="000F474D" w:rsidP="000F474D">
      <w:pPr>
        <w:pStyle w:val="Styl3"/>
        <w:rPr>
          <w:szCs w:val="22"/>
          <w:u w:val="none"/>
          <w:lang w:eastAsia="sk-SK"/>
        </w:rPr>
      </w:pPr>
      <w:r w:rsidRPr="007656B5">
        <w:rPr>
          <w:rStyle w:val="NormlndoblokuChar"/>
          <w:rFonts w:ascii="Times New Roman" w:hAnsi="Times New Roman" w:cs="Times New Roman"/>
          <w:u w:val="none"/>
        </w:rPr>
        <w:t>Liek</w:t>
      </w:r>
      <w:r w:rsidRPr="007656B5">
        <w:rPr>
          <w:szCs w:val="22"/>
          <w:u w:val="none"/>
          <w:lang w:eastAsia="sk-SK"/>
        </w:rPr>
        <w:t xml:space="preserve"> VAPRESS v sile 40 mg nie je v SR registrovaný, na trhu sú k dispozícii iné lieky s obsahom valsartanu v sile 40 mg.</w:t>
      </w:r>
    </w:p>
    <w:p w:rsidR="000F474D" w:rsidRPr="007656B5" w:rsidRDefault="000F474D">
      <w:pPr>
        <w:pStyle w:val="Normlndobloku"/>
        <w:rPr>
          <w:rFonts w:ascii="Times New Roman" w:hAnsi="Times New Roman" w:cs="Times New Roman"/>
        </w:rPr>
      </w:pPr>
    </w:p>
    <w:p w:rsidR="007C2ED7" w:rsidRPr="007656B5" w:rsidRDefault="007C2ED7" w:rsidP="00D50784">
      <w:pPr>
        <w:pStyle w:val="Styl2"/>
      </w:pPr>
      <w:r w:rsidRPr="007656B5">
        <w:lastRenderedPageBreak/>
        <w:t>Dávkovanie a</w:t>
      </w:r>
      <w:r w:rsidR="00547A4D" w:rsidRPr="007656B5">
        <w:t> </w:t>
      </w:r>
      <w:r w:rsidRPr="007656B5">
        <w:t>spôsob podávania</w:t>
      </w:r>
    </w:p>
    <w:p w:rsidR="007C2ED7" w:rsidRPr="007656B5" w:rsidRDefault="007C2ED7" w:rsidP="00D50784">
      <w:pPr>
        <w:pStyle w:val="Styl2-2"/>
        <w:rPr>
          <w:szCs w:val="22"/>
        </w:rPr>
      </w:pPr>
      <w:r w:rsidRPr="007656B5">
        <w:rPr>
          <w:szCs w:val="22"/>
        </w:rPr>
        <w:t>Dávkovanie</w:t>
      </w:r>
    </w:p>
    <w:p w:rsidR="00E23177" w:rsidRPr="007656B5" w:rsidRDefault="006F331E" w:rsidP="00201A3B">
      <w:pPr>
        <w:pStyle w:val="Normlndobloku"/>
      </w:pPr>
      <w:r w:rsidRPr="007656B5">
        <w:t>Dávku 20</w:t>
      </w:r>
      <w:r w:rsidR="00AF6009" w:rsidRPr="007656B5">
        <w:t> </w:t>
      </w:r>
      <w:r w:rsidRPr="007656B5">
        <w:t>mg a</w:t>
      </w:r>
      <w:r w:rsidR="00AF6009" w:rsidRPr="007656B5">
        <w:t> </w:t>
      </w:r>
      <w:r w:rsidRPr="007656B5">
        <w:t>40</w:t>
      </w:r>
      <w:r w:rsidR="00AF6009" w:rsidRPr="007656B5">
        <w:t> </w:t>
      </w:r>
      <w:r w:rsidRPr="007656B5">
        <w:t xml:space="preserve">mg nie je možné </w:t>
      </w:r>
      <w:r w:rsidR="00AF6009" w:rsidRPr="007656B5">
        <w:t>dosiahnuť</w:t>
      </w:r>
      <w:r w:rsidRPr="007656B5">
        <w:t xml:space="preserve"> tabletami </w:t>
      </w:r>
      <w:r w:rsidR="00F06F99" w:rsidRPr="007656B5">
        <w:t xml:space="preserve">lieku </w:t>
      </w:r>
      <w:r w:rsidRPr="007656B5">
        <w:t>VAPRESS</w:t>
      </w:r>
    </w:p>
    <w:p w:rsidR="005D2B9F" w:rsidRPr="007656B5" w:rsidRDefault="005D2B9F">
      <w:pPr>
        <w:pStyle w:val="Styl3"/>
        <w:rPr>
          <w:szCs w:val="22"/>
        </w:rPr>
      </w:pPr>
      <w:r w:rsidRPr="007656B5">
        <w:rPr>
          <w:szCs w:val="22"/>
        </w:rPr>
        <w:t>Hypertenzia</w:t>
      </w:r>
      <w:r w:rsidR="003A26B6" w:rsidRPr="007656B5">
        <w:rPr>
          <w:szCs w:val="22"/>
        </w:rPr>
        <w:t xml:space="preserve"> (iba 80 mg, 160 mg)</w:t>
      </w:r>
    </w:p>
    <w:p w:rsidR="005D2B9F" w:rsidRPr="007656B5" w:rsidRDefault="005D2B9F">
      <w:pPr>
        <w:pStyle w:val="Normlndobloku"/>
        <w:rPr>
          <w:rFonts w:ascii="Times New Roman" w:hAnsi="Times New Roman" w:cs="Times New Roman"/>
        </w:rPr>
      </w:pPr>
      <w:r w:rsidRPr="007656B5">
        <w:rPr>
          <w:rFonts w:ascii="Times New Roman" w:hAnsi="Times New Roman" w:cs="Times New Roman"/>
        </w:rPr>
        <w:t xml:space="preserve">Odporúčaná začiatočná dávka </w:t>
      </w:r>
      <w:r w:rsidR="00F06F99" w:rsidRPr="007656B5">
        <w:rPr>
          <w:rFonts w:ascii="Times New Roman" w:hAnsi="Times New Roman" w:cs="Times New Roman"/>
        </w:rPr>
        <w:t xml:space="preserve">lieku </w:t>
      </w:r>
      <w:r w:rsidRPr="007656B5">
        <w:rPr>
          <w:rFonts w:ascii="Times New Roman" w:hAnsi="Times New Roman" w:cs="Times New Roman"/>
        </w:rPr>
        <w:t>VAPRESS je 80</w:t>
      </w:r>
      <w:r w:rsidR="00547A4D" w:rsidRPr="007656B5">
        <w:rPr>
          <w:rFonts w:ascii="Times New Roman" w:hAnsi="Times New Roman" w:cs="Times New Roman"/>
        </w:rPr>
        <w:t> </w:t>
      </w:r>
      <w:r w:rsidRPr="007656B5">
        <w:rPr>
          <w:rFonts w:ascii="Times New Roman" w:hAnsi="Times New Roman" w:cs="Times New Roman"/>
        </w:rPr>
        <w:t>mg raz denne. Antihypertenzn</w:t>
      </w:r>
      <w:r w:rsidR="00AB327C" w:rsidRPr="007656B5">
        <w:rPr>
          <w:rFonts w:ascii="Times New Roman" w:hAnsi="Times New Roman" w:cs="Times New Roman"/>
        </w:rPr>
        <w:t>ý</w:t>
      </w:r>
      <w:r w:rsidRPr="007656B5">
        <w:rPr>
          <w:rFonts w:ascii="Times New Roman" w:hAnsi="Times New Roman" w:cs="Times New Roman"/>
        </w:rPr>
        <w:t xml:space="preserve"> účinok sa v</w:t>
      </w:r>
      <w:r w:rsidR="00547A4D" w:rsidRPr="007656B5">
        <w:rPr>
          <w:rFonts w:ascii="Times New Roman" w:hAnsi="Times New Roman" w:cs="Times New Roman"/>
        </w:rPr>
        <w:t> </w:t>
      </w:r>
      <w:r w:rsidRPr="007656B5">
        <w:rPr>
          <w:rFonts w:ascii="Times New Roman" w:hAnsi="Times New Roman" w:cs="Times New Roman"/>
        </w:rPr>
        <w:t>zásade dosiahne do 2 týždňov a</w:t>
      </w:r>
      <w:r w:rsidR="00547A4D" w:rsidRPr="007656B5">
        <w:rPr>
          <w:rFonts w:ascii="Times New Roman" w:hAnsi="Times New Roman" w:cs="Times New Roman"/>
        </w:rPr>
        <w:t> </w:t>
      </w:r>
      <w:r w:rsidRPr="007656B5">
        <w:rPr>
          <w:rFonts w:ascii="Times New Roman" w:hAnsi="Times New Roman" w:cs="Times New Roman"/>
        </w:rPr>
        <w:t>maximálne účinky sa dosahujú do 4 týždňov. U</w:t>
      </w:r>
      <w:r w:rsidR="00547A4D" w:rsidRPr="007656B5">
        <w:rPr>
          <w:rFonts w:ascii="Times New Roman" w:hAnsi="Times New Roman" w:cs="Times New Roman"/>
        </w:rPr>
        <w:t> </w:t>
      </w:r>
      <w:r w:rsidRPr="007656B5">
        <w:rPr>
          <w:rFonts w:ascii="Times New Roman" w:hAnsi="Times New Roman" w:cs="Times New Roman"/>
        </w:rPr>
        <w:t>niektorých pacientov, ktorých krvný tlak nie je primerane znížený, možno dávku zvýšiť na 160</w:t>
      </w:r>
      <w:r w:rsidR="00547A4D" w:rsidRPr="007656B5">
        <w:rPr>
          <w:rFonts w:ascii="Times New Roman" w:hAnsi="Times New Roman" w:cs="Times New Roman"/>
        </w:rPr>
        <w:t> </w:t>
      </w:r>
      <w:r w:rsidRPr="007656B5">
        <w:rPr>
          <w:rFonts w:ascii="Times New Roman" w:hAnsi="Times New Roman" w:cs="Times New Roman"/>
        </w:rPr>
        <w:t>mg a</w:t>
      </w:r>
      <w:r w:rsidR="00547A4D" w:rsidRPr="007656B5">
        <w:rPr>
          <w:rFonts w:ascii="Times New Roman" w:hAnsi="Times New Roman" w:cs="Times New Roman"/>
        </w:rPr>
        <w:t> </w:t>
      </w:r>
      <w:r w:rsidRPr="007656B5">
        <w:rPr>
          <w:rFonts w:ascii="Times New Roman" w:hAnsi="Times New Roman" w:cs="Times New Roman"/>
        </w:rPr>
        <w:t>maximálne na 320</w:t>
      </w:r>
      <w:r w:rsidR="00547A4D" w:rsidRPr="007656B5">
        <w:rPr>
          <w:rFonts w:ascii="Times New Roman" w:hAnsi="Times New Roman" w:cs="Times New Roman"/>
        </w:rPr>
        <w:t> </w:t>
      </w:r>
      <w:r w:rsidRPr="007656B5">
        <w:rPr>
          <w:rFonts w:ascii="Times New Roman" w:hAnsi="Times New Roman" w:cs="Times New Roman"/>
        </w:rPr>
        <w:t>mg. V</w:t>
      </w:r>
      <w:r w:rsidR="00AB327C" w:rsidRPr="007656B5">
        <w:rPr>
          <w:rFonts w:ascii="Times New Roman" w:hAnsi="Times New Roman" w:cs="Times New Roman"/>
        </w:rPr>
        <w:t>alsartan</w:t>
      </w:r>
      <w:r w:rsidRPr="007656B5">
        <w:rPr>
          <w:rFonts w:ascii="Times New Roman" w:hAnsi="Times New Roman" w:cs="Times New Roman"/>
        </w:rPr>
        <w:t xml:space="preserve"> možno podávať aj s</w:t>
      </w:r>
      <w:r w:rsidR="00547A4D" w:rsidRPr="007656B5">
        <w:rPr>
          <w:rFonts w:ascii="Times New Roman" w:hAnsi="Times New Roman" w:cs="Times New Roman"/>
        </w:rPr>
        <w:t> </w:t>
      </w:r>
      <w:r w:rsidRPr="007656B5">
        <w:rPr>
          <w:rFonts w:ascii="Times New Roman" w:hAnsi="Times New Roman" w:cs="Times New Roman"/>
        </w:rPr>
        <w:t>inými antihypertenzívami</w:t>
      </w:r>
      <w:r w:rsidR="00BE17C1" w:rsidRPr="007656B5">
        <w:rPr>
          <w:rFonts w:ascii="Times New Roman" w:hAnsi="Times New Roman" w:cs="Times New Roman"/>
        </w:rPr>
        <w:t xml:space="preserve"> (pozri časti 4.3, 4.4, 4.5 a 5.1)</w:t>
      </w:r>
      <w:r w:rsidRPr="007656B5">
        <w:rPr>
          <w:rFonts w:ascii="Times New Roman" w:hAnsi="Times New Roman" w:cs="Times New Roman"/>
        </w:rPr>
        <w:t>. Pridanie diuretika, napr.</w:t>
      </w:r>
      <w:r w:rsidR="00547A4D" w:rsidRPr="007656B5">
        <w:rPr>
          <w:rFonts w:ascii="Times New Roman" w:hAnsi="Times New Roman" w:cs="Times New Roman"/>
        </w:rPr>
        <w:t> </w:t>
      </w:r>
      <w:r w:rsidRPr="007656B5">
        <w:rPr>
          <w:rFonts w:ascii="Times New Roman" w:hAnsi="Times New Roman" w:cs="Times New Roman"/>
        </w:rPr>
        <w:t>hydrochlorotiazidu, u</w:t>
      </w:r>
      <w:r w:rsidR="00547A4D" w:rsidRPr="007656B5">
        <w:rPr>
          <w:rFonts w:ascii="Times New Roman" w:hAnsi="Times New Roman" w:cs="Times New Roman"/>
        </w:rPr>
        <w:t> </w:t>
      </w:r>
      <w:r w:rsidRPr="007656B5">
        <w:rPr>
          <w:rFonts w:ascii="Times New Roman" w:hAnsi="Times New Roman" w:cs="Times New Roman"/>
        </w:rPr>
        <w:t>týchto pacientov krvný tlak ešte viac zníži.</w:t>
      </w:r>
    </w:p>
    <w:p w:rsidR="007C2ED7" w:rsidRPr="007656B5" w:rsidRDefault="007C2ED7">
      <w:pPr>
        <w:pStyle w:val="Styl3"/>
        <w:rPr>
          <w:szCs w:val="22"/>
        </w:rPr>
      </w:pPr>
      <w:r w:rsidRPr="007656B5">
        <w:rPr>
          <w:szCs w:val="22"/>
        </w:rPr>
        <w:t>Nedávny infarkt myokardu</w:t>
      </w:r>
      <w:r w:rsidR="003A26B6" w:rsidRPr="007656B5">
        <w:rPr>
          <w:szCs w:val="22"/>
        </w:rPr>
        <w:t xml:space="preserve"> (40 mg, 80 mg a 160 mg)</w:t>
      </w:r>
    </w:p>
    <w:p w:rsidR="00D80CC5" w:rsidRPr="007656B5" w:rsidRDefault="007C2ED7" w:rsidP="003A26B6">
      <w:pPr>
        <w:pStyle w:val="Normlndobloku"/>
        <w:rPr>
          <w:rFonts w:ascii="Times New Roman" w:hAnsi="Times New Roman" w:cs="Times New Roman"/>
        </w:rPr>
      </w:pPr>
      <w:r w:rsidRPr="007656B5">
        <w:rPr>
          <w:rFonts w:ascii="Times New Roman" w:hAnsi="Times New Roman" w:cs="Times New Roman"/>
        </w:rPr>
        <w:t>U</w:t>
      </w:r>
      <w:r w:rsidR="00547A4D" w:rsidRPr="007656B5">
        <w:rPr>
          <w:rFonts w:ascii="Times New Roman" w:hAnsi="Times New Roman" w:cs="Times New Roman"/>
        </w:rPr>
        <w:t> </w:t>
      </w:r>
      <w:r w:rsidRPr="007656B5">
        <w:rPr>
          <w:rFonts w:ascii="Times New Roman" w:hAnsi="Times New Roman" w:cs="Times New Roman"/>
        </w:rPr>
        <w:t>klinicky stabilných pacientov možno začať liečbu už 12 hodín po infarkte myokardu. Po začiatočnej dávke 20</w:t>
      </w:r>
      <w:r w:rsidR="00547A4D" w:rsidRPr="007656B5">
        <w:rPr>
          <w:rFonts w:ascii="Times New Roman" w:hAnsi="Times New Roman" w:cs="Times New Roman"/>
        </w:rPr>
        <w:t> </w:t>
      </w:r>
      <w:r w:rsidRPr="007656B5">
        <w:rPr>
          <w:rFonts w:ascii="Times New Roman" w:hAnsi="Times New Roman" w:cs="Times New Roman"/>
        </w:rPr>
        <w:t>mg dvakrát denne sa má liečba valsartanom titrovať počas nasledujúcich niekoľk</w:t>
      </w:r>
      <w:r w:rsidR="002F2EA3" w:rsidRPr="007656B5">
        <w:rPr>
          <w:rFonts w:ascii="Times New Roman" w:hAnsi="Times New Roman" w:cs="Times New Roman"/>
        </w:rPr>
        <w:t>ých</w:t>
      </w:r>
      <w:r w:rsidRPr="007656B5">
        <w:rPr>
          <w:rFonts w:ascii="Times New Roman" w:hAnsi="Times New Roman" w:cs="Times New Roman"/>
        </w:rPr>
        <w:t xml:space="preserve"> týždňov na 40</w:t>
      </w:r>
      <w:r w:rsidR="00547A4D" w:rsidRPr="007656B5">
        <w:rPr>
          <w:rFonts w:ascii="Times New Roman" w:hAnsi="Times New Roman" w:cs="Times New Roman"/>
        </w:rPr>
        <w:t> </w:t>
      </w:r>
      <w:r w:rsidRPr="007656B5">
        <w:rPr>
          <w:rFonts w:ascii="Times New Roman" w:hAnsi="Times New Roman" w:cs="Times New Roman"/>
        </w:rPr>
        <w:t>mg, 80</w:t>
      </w:r>
      <w:r w:rsidR="00547A4D" w:rsidRPr="007656B5">
        <w:rPr>
          <w:rFonts w:ascii="Times New Roman" w:hAnsi="Times New Roman" w:cs="Times New Roman"/>
        </w:rPr>
        <w:t> </w:t>
      </w:r>
      <w:r w:rsidRPr="007656B5">
        <w:rPr>
          <w:rFonts w:ascii="Times New Roman" w:hAnsi="Times New Roman" w:cs="Times New Roman"/>
        </w:rPr>
        <w:t>mg a</w:t>
      </w:r>
      <w:r w:rsidR="00547A4D" w:rsidRPr="007656B5">
        <w:rPr>
          <w:rFonts w:ascii="Times New Roman" w:hAnsi="Times New Roman" w:cs="Times New Roman"/>
        </w:rPr>
        <w:t> </w:t>
      </w:r>
      <w:r w:rsidRPr="007656B5">
        <w:rPr>
          <w:rFonts w:ascii="Times New Roman" w:hAnsi="Times New Roman" w:cs="Times New Roman"/>
        </w:rPr>
        <w:t>160</w:t>
      </w:r>
      <w:r w:rsidR="00547A4D" w:rsidRPr="007656B5">
        <w:rPr>
          <w:rFonts w:ascii="Times New Roman" w:hAnsi="Times New Roman" w:cs="Times New Roman"/>
        </w:rPr>
        <w:t> </w:t>
      </w:r>
      <w:r w:rsidRPr="007656B5">
        <w:rPr>
          <w:rFonts w:ascii="Times New Roman" w:hAnsi="Times New Roman" w:cs="Times New Roman"/>
        </w:rPr>
        <w:t>mg dvakrát denne</w:t>
      </w:r>
      <w:r w:rsidR="007230AB" w:rsidRPr="007656B5">
        <w:rPr>
          <w:rFonts w:ascii="Times New Roman" w:hAnsi="Times New Roman" w:cs="Times New Roman"/>
        </w:rPr>
        <w:t>.</w:t>
      </w:r>
      <w:r w:rsidR="003A26B6" w:rsidRPr="007656B5">
        <w:rPr>
          <w:rFonts w:ascii="Times New Roman" w:hAnsi="Times New Roman" w:cs="Times New Roman"/>
        </w:rPr>
        <w:t xml:space="preserve"> Dávka 20 mg a 40 mg nemôže byť podaná ako prípravok VAPRESS, pretože tablety nie sú vyrobené tak, aby ich išlo rozdeliť na rovnaké polovice.</w:t>
      </w:r>
    </w:p>
    <w:p w:rsidR="003A26B6" w:rsidRPr="007656B5" w:rsidRDefault="007C2ED7" w:rsidP="007C44E3">
      <w:pPr>
        <w:pStyle w:val="Normlndobloku"/>
        <w:rPr>
          <w:rFonts w:ascii="Times New Roman" w:hAnsi="Times New Roman" w:cs="Times New Roman"/>
        </w:rPr>
      </w:pPr>
      <w:r w:rsidRPr="007656B5">
        <w:rPr>
          <w:rFonts w:ascii="Times New Roman" w:hAnsi="Times New Roman" w:cs="Times New Roman"/>
        </w:rPr>
        <w:t>Cieľová maximálna dávka je 160</w:t>
      </w:r>
      <w:r w:rsidR="00547A4D" w:rsidRPr="007656B5">
        <w:rPr>
          <w:rFonts w:ascii="Times New Roman" w:hAnsi="Times New Roman" w:cs="Times New Roman"/>
        </w:rPr>
        <w:t> </w:t>
      </w:r>
      <w:r w:rsidRPr="007656B5">
        <w:rPr>
          <w:rFonts w:ascii="Times New Roman" w:hAnsi="Times New Roman" w:cs="Times New Roman"/>
        </w:rPr>
        <w:t>mg dvakrát denne. Všeobecne sa odporúča, aby pacienti dosiahli dávkovanie 80</w:t>
      </w:r>
      <w:r w:rsidR="00547A4D" w:rsidRPr="007656B5">
        <w:rPr>
          <w:rFonts w:ascii="Times New Roman" w:hAnsi="Times New Roman" w:cs="Times New Roman"/>
        </w:rPr>
        <w:t> </w:t>
      </w:r>
      <w:r w:rsidRPr="007656B5">
        <w:rPr>
          <w:rFonts w:ascii="Times New Roman" w:hAnsi="Times New Roman" w:cs="Times New Roman"/>
        </w:rPr>
        <w:t>mg dvakrát denne do dvoch týždňov od začatia liečby a</w:t>
      </w:r>
      <w:r w:rsidR="00547A4D" w:rsidRPr="007656B5">
        <w:rPr>
          <w:rFonts w:ascii="Times New Roman" w:hAnsi="Times New Roman" w:cs="Times New Roman"/>
        </w:rPr>
        <w:t> </w:t>
      </w:r>
      <w:r w:rsidRPr="007656B5">
        <w:rPr>
          <w:rFonts w:ascii="Times New Roman" w:hAnsi="Times New Roman" w:cs="Times New Roman"/>
        </w:rPr>
        <w:t>cieľovú maximálnu dávku 160</w:t>
      </w:r>
      <w:r w:rsidR="0039460B" w:rsidRPr="007656B5">
        <w:rPr>
          <w:rFonts w:ascii="Times New Roman" w:hAnsi="Times New Roman" w:cs="Times New Roman"/>
        </w:rPr>
        <w:t> </w:t>
      </w:r>
      <w:r w:rsidRPr="007656B5">
        <w:rPr>
          <w:rFonts w:ascii="Times New Roman" w:hAnsi="Times New Roman" w:cs="Times New Roman"/>
        </w:rPr>
        <w:t>mg dvakrát denne do troch mesiacov podľa toho, ako pacient liečbu znáša. Ak sa vyskytne symptomatická hypotenzia alebo porucha funkcie obličiek, má sa zvážiť zníženie dávky.</w:t>
      </w:r>
    </w:p>
    <w:p w:rsidR="007230AB" w:rsidRPr="007656B5" w:rsidRDefault="007C2ED7" w:rsidP="003A26B6">
      <w:pPr>
        <w:pStyle w:val="Normlndobloku"/>
        <w:rPr>
          <w:rFonts w:ascii="Times New Roman" w:hAnsi="Times New Roman" w:cs="Times New Roman"/>
        </w:rPr>
      </w:pPr>
      <w:r w:rsidRPr="007656B5">
        <w:rPr>
          <w:rFonts w:ascii="Times New Roman" w:hAnsi="Times New Roman" w:cs="Times New Roman"/>
        </w:rPr>
        <w:t>Valsartan možno použiť u</w:t>
      </w:r>
      <w:r w:rsidR="00547A4D" w:rsidRPr="007656B5">
        <w:rPr>
          <w:rFonts w:ascii="Times New Roman" w:hAnsi="Times New Roman" w:cs="Times New Roman"/>
        </w:rPr>
        <w:t> </w:t>
      </w:r>
      <w:r w:rsidRPr="007656B5">
        <w:rPr>
          <w:rFonts w:ascii="Times New Roman" w:hAnsi="Times New Roman" w:cs="Times New Roman"/>
        </w:rPr>
        <w:t>pacientov, ktorí dostávajú aj inú liečbu po infarkte myokardu, napr.</w:t>
      </w:r>
      <w:r w:rsidR="00547A4D" w:rsidRPr="007656B5">
        <w:rPr>
          <w:rFonts w:ascii="Times New Roman" w:hAnsi="Times New Roman" w:cs="Times New Roman"/>
        </w:rPr>
        <w:t> </w:t>
      </w:r>
      <w:r w:rsidRPr="007656B5">
        <w:rPr>
          <w:rFonts w:ascii="Times New Roman" w:hAnsi="Times New Roman" w:cs="Times New Roman"/>
        </w:rPr>
        <w:t>trombolytiká, kyselinu acetylsalicylovú, betablokátory, statíny a</w:t>
      </w:r>
      <w:r w:rsidR="00547A4D" w:rsidRPr="007656B5">
        <w:rPr>
          <w:rFonts w:ascii="Times New Roman" w:hAnsi="Times New Roman" w:cs="Times New Roman"/>
        </w:rPr>
        <w:t> </w:t>
      </w:r>
      <w:r w:rsidRPr="007656B5">
        <w:rPr>
          <w:rFonts w:ascii="Times New Roman" w:hAnsi="Times New Roman" w:cs="Times New Roman"/>
        </w:rPr>
        <w:t>diuretiká. Kombinácia s</w:t>
      </w:r>
      <w:r w:rsidR="00547A4D" w:rsidRPr="007656B5">
        <w:rPr>
          <w:rFonts w:ascii="Times New Roman" w:hAnsi="Times New Roman" w:cs="Times New Roman"/>
        </w:rPr>
        <w:t> </w:t>
      </w:r>
      <w:r w:rsidRPr="007656B5">
        <w:rPr>
          <w:rFonts w:ascii="Times New Roman" w:hAnsi="Times New Roman" w:cs="Times New Roman"/>
        </w:rPr>
        <w:t xml:space="preserve">inhibítormi ACE sa neodporúča (pozri časti </w:t>
      </w:r>
      <w:r w:rsidR="00BE17C1" w:rsidRPr="007656B5">
        <w:rPr>
          <w:rFonts w:ascii="Times New Roman" w:hAnsi="Times New Roman" w:cs="Times New Roman"/>
        </w:rPr>
        <w:t xml:space="preserve">4.3, </w:t>
      </w:r>
      <w:r w:rsidRPr="007656B5">
        <w:rPr>
          <w:rFonts w:ascii="Times New Roman" w:hAnsi="Times New Roman" w:cs="Times New Roman"/>
        </w:rPr>
        <w:t>4.4</w:t>
      </w:r>
      <w:r w:rsidR="00BE17C1" w:rsidRPr="007656B5">
        <w:rPr>
          <w:rFonts w:ascii="Times New Roman" w:hAnsi="Times New Roman" w:cs="Times New Roman"/>
        </w:rPr>
        <w:t>, 4.5 a </w:t>
      </w:r>
      <w:r w:rsidRPr="007656B5">
        <w:rPr>
          <w:rFonts w:ascii="Times New Roman" w:hAnsi="Times New Roman" w:cs="Times New Roman"/>
        </w:rPr>
        <w:t>5.1).</w:t>
      </w:r>
    </w:p>
    <w:p w:rsidR="007230AB" w:rsidRPr="007656B5" w:rsidRDefault="007C2ED7" w:rsidP="008C3D63">
      <w:pPr>
        <w:pStyle w:val="Normlndobloku"/>
        <w:rPr>
          <w:rFonts w:ascii="Times New Roman" w:hAnsi="Times New Roman" w:cs="Times New Roman"/>
        </w:rPr>
      </w:pPr>
      <w:r w:rsidRPr="007656B5">
        <w:rPr>
          <w:rFonts w:ascii="Times New Roman" w:hAnsi="Times New Roman" w:cs="Times New Roman"/>
        </w:rPr>
        <w:t>Pri hodnotení stavu pacientov po infarkte myokardu sa má vždy vyšetriť funkcia obličiek.</w:t>
      </w:r>
    </w:p>
    <w:p w:rsidR="007C2ED7" w:rsidRPr="007656B5" w:rsidRDefault="00EB26AF">
      <w:pPr>
        <w:pStyle w:val="Styl3"/>
        <w:rPr>
          <w:szCs w:val="22"/>
        </w:rPr>
      </w:pPr>
      <w:r w:rsidRPr="007656B5">
        <w:rPr>
          <w:szCs w:val="22"/>
        </w:rPr>
        <w:t>Srdcové zlyhávanie</w:t>
      </w:r>
      <w:r w:rsidR="003A26B6" w:rsidRPr="007656B5">
        <w:rPr>
          <w:szCs w:val="22"/>
        </w:rPr>
        <w:t xml:space="preserve"> (40 mg, 80 mg a 160 mg)</w:t>
      </w:r>
    </w:p>
    <w:p w:rsidR="00303AEF" w:rsidRPr="007656B5" w:rsidRDefault="00303AEF">
      <w:pPr>
        <w:pStyle w:val="Normlndobloku"/>
        <w:rPr>
          <w:rFonts w:ascii="Times New Roman" w:hAnsi="Times New Roman" w:cs="Times New Roman"/>
        </w:rPr>
      </w:pPr>
      <w:r w:rsidRPr="007656B5">
        <w:rPr>
          <w:rFonts w:ascii="Times New Roman" w:hAnsi="Times New Roman" w:cs="Times New Roman"/>
        </w:rPr>
        <w:t>Odporúčaná začiatočná dávka je 40</w:t>
      </w:r>
      <w:r w:rsidR="00547A4D" w:rsidRPr="007656B5">
        <w:rPr>
          <w:rFonts w:ascii="Times New Roman" w:hAnsi="Times New Roman" w:cs="Times New Roman"/>
        </w:rPr>
        <w:t> </w:t>
      </w:r>
      <w:r w:rsidRPr="007656B5">
        <w:rPr>
          <w:rFonts w:ascii="Times New Roman" w:hAnsi="Times New Roman" w:cs="Times New Roman"/>
        </w:rPr>
        <w:t>mg dvakrát denne. Titrácia na dávky 80</w:t>
      </w:r>
      <w:r w:rsidR="00547A4D" w:rsidRPr="007656B5">
        <w:rPr>
          <w:rFonts w:ascii="Times New Roman" w:hAnsi="Times New Roman" w:cs="Times New Roman"/>
        </w:rPr>
        <w:t> </w:t>
      </w:r>
      <w:r w:rsidRPr="007656B5">
        <w:rPr>
          <w:rFonts w:ascii="Times New Roman" w:hAnsi="Times New Roman" w:cs="Times New Roman"/>
        </w:rPr>
        <w:t>mg a</w:t>
      </w:r>
      <w:r w:rsidR="00547A4D" w:rsidRPr="007656B5">
        <w:rPr>
          <w:rFonts w:ascii="Times New Roman" w:hAnsi="Times New Roman" w:cs="Times New Roman"/>
        </w:rPr>
        <w:t> </w:t>
      </w:r>
      <w:r w:rsidRPr="007656B5">
        <w:rPr>
          <w:rFonts w:ascii="Times New Roman" w:hAnsi="Times New Roman" w:cs="Times New Roman"/>
        </w:rPr>
        <w:t xml:space="preserve">160mg dvakrát denne sa má vykonať </w:t>
      </w:r>
      <w:r w:rsidR="00C61410" w:rsidRPr="007656B5">
        <w:rPr>
          <w:rFonts w:ascii="Times New Roman" w:hAnsi="Times New Roman" w:cs="Times New Roman"/>
        </w:rPr>
        <w:t>v intervaloch</w:t>
      </w:r>
      <w:r w:rsidRPr="007656B5">
        <w:rPr>
          <w:rFonts w:ascii="Times New Roman" w:hAnsi="Times New Roman" w:cs="Times New Roman"/>
        </w:rPr>
        <w:t xml:space="preserve"> najmenej dvoch týždňov na najvyššiu dávku, ktorú pacient znáša. Má sa </w:t>
      </w:r>
      <w:r w:rsidR="00547A4D" w:rsidRPr="007656B5">
        <w:rPr>
          <w:rFonts w:ascii="Times New Roman" w:hAnsi="Times New Roman" w:cs="Times New Roman"/>
        </w:rPr>
        <w:t>z</w:t>
      </w:r>
      <w:r w:rsidRPr="007656B5">
        <w:rPr>
          <w:rFonts w:ascii="Times New Roman" w:hAnsi="Times New Roman" w:cs="Times New Roman"/>
        </w:rPr>
        <w:t>vážiť zníženie dávky súčasne podávaných diuretík. Maximálna denná dávka podávaná v klinických skúšaniach bola 320</w:t>
      </w:r>
      <w:r w:rsidR="00547A4D" w:rsidRPr="007656B5">
        <w:rPr>
          <w:rFonts w:ascii="Times New Roman" w:hAnsi="Times New Roman" w:cs="Times New Roman"/>
        </w:rPr>
        <w:t> </w:t>
      </w:r>
      <w:r w:rsidRPr="007656B5">
        <w:rPr>
          <w:rFonts w:ascii="Times New Roman" w:hAnsi="Times New Roman" w:cs="Times New Roman"/>
        </w:rPr>
        <w:t>mg rozdelených na čiastkové dávky.</w:t>
      </w:r>
    </w:p>
    <w:p w:rsidR="00640461" w:rsidRPr="007656B5" w:rsidRDefault="00640461">
      <w:pPr>
        <w:pStyle w:val="Normlndobloku"/>
        <w:rPr>
          <w:rFonts w:ascii="Times New Roman" w:hAnsi="Times New Roman" w:cs="Times New Roman"/>
        </w:rPr>
      </w:pPr>
      <w:r w:rsidRPr="007656B5">
        <w:rPr>
          <w:rFonts w:ascii="Times New Roman" w:hAnsi="Times New Roman" w:cs="Times New Roman"/>
        </w:rPr>
        <w:t>Valsartan sa môže podávať s</w:t>
      </w:r>
      <w:r w:rsidR="00547A4D" w:rsidRPr="007656B5">
        <w:rPr>
          <w:rFonts w:ascii="Times New Roman" w:hAnsi="Times New Roman" w:cs="Times New Roman"/>
        </w:rPr>
        <w:t> </w:t>
      </w:r>
      <w:r w:rsidRPr="007656B5">
        <w:rPr>
          <w:rFonts w:ascii="Times New Roman" w:hAnsi="Times New Roman" w:cs="Times New Roman"/>
        </w:rPr>
        <w:t>inou liečbou srdcového zlyhávania. Trojkombinácia inhibítora ACE, valsartanu a</w:t>
      </w:r>
      <w:r w:rsidR="00C61410" w:rsidRPr="007656B5">
        <w:rPr>
          <w:rFonts w:ascii="Times New Roman" w:hAnsi="Times New Roman" w:cs="Times New Roman"/>
        </w:rPr>
        <w:t> </w:t>
      </w:r>
      <w:r w:rsidRPr="007656B5">
        <w:rPr>
          <w:rFonts w:ascii="Times New Roman" w:hAnsi="Times New Roman" w:cs="Times New Roman"/>
        </w:rPr>
        <w:t>betablokátora alebo diuretika šetriaceho draslík sa však neodporúča (pozri časti 4.4 a5.1). Hodnotenie stavu pacientov so srdcovým zlyhávaním má vždy zahŕňať vyšetrenie funkcie obličiek.</w:t>
      </w:r>
    </w:p>
    <w:p w:rsidR="00425FAD" w:rsidRPr="007656B5" w:rsidRDefault="00B774BC" w:rsidP="00D50784">
      <w:pPr>
        <w:pStyle w:val="Styl2-2"/>
        <w:rPr>
          <w:szCs w:val="22"/>
        </w:rPr>
      </w:pPr>
      <w:r w:rsidRPr="007656B5">
        <w:rPr>
          <w:szCs w:val="22"/>
        </w:rPr>
        <w:t>Osobitné skupiny pacientov</w:t>
      </w:r>
    </w:p>
    <w:p w:rsidR="007C2ED7" w:rsidRPr="007656B5" w:rsidRDefault="007C2ED7" w:rsidP="007C44E3">
      <w:pPr>
        <w:pStyle w:val="Styl3"/>
        <w:rPr>
          <w:szCs w:val="22"/>
        </w:rPr>
      </w:pPr>
      <w:r w:rsidRPr="007656B5">
        <w:rPr>
          <w:szCs w:val="22"/>
        </w:rPr>
        <w:t>Starší pacienti</w:t>
      </w:r>
    </w:p>
    <w:p w:rsidR="00425FAD" w:rsidRPr="007656B5" w:rsidRDefault="007C2ED7" w:rsidP="007C44E3">
      <w:pPr>
        <w:pStyle w:val="Normlndobloku"/>
        <w:rPr>
          <w:rFonts w:ascii="Times New Roman" w:hAnsi="Times New Roman" w:cs="Times New Roman"/>
        </w:rPr>
      </w:pPr>
      <w:r w:rsidRPr="007656B5">
        <w:rPr>
          <w:rFonts w:ascii="Times New Roman" w:hAnsi="Times New Roman" w:cs="Times New Roman"/>
        </w:rPr>
        <w:t>U</w:t>
      </w:r>
      <w:r w:rsidR="00547A4D" w:rsidRPr="007656B5">
        <w:rPr>
          <w:rFonts w:ascii="Times New Roman" w:hAnsi="Times New Roman" w:cs="Times New Roman"/>
        </w:rPr>
        <w:t> </w:t>
      </w:r>
      <w:r w:rsidRPr="007656B5">
        <w:rPr>
          <w:rFonts w:ascii="Times New Roman" w:hAnsi="Times New Roman" w:cs="Times New Roman"/>
        </w:rPr>
        <w:t xml:space="preserve">starších pacientov </w:t>
      </w:r>
      <w:r w:rsidR="00B774BC" w:rsidRPr="007656B5">
        <w:rPr>
          <w:rFonts w:ascii="Times New Roman" w:hAnsi="Times New Roman" w:cs="Times New Roman"/>
        </w:rPr>
        <w:t>nie je potrebná úprava dávky</w:t>
      </w:r>
      <w:r w:rsidRPr="007656B5">
        <w:rPr>
          <w:rFonts w:ascii="Times New Roman" w:hAnsi="Times New Roman" w:cs="Times New Roman"/>
        </w:rPr>
        <w:t>.</w:t>
      </w:r>
    </w:p>
    <w:p w:rsidR="007C2ED7" w:rsidRPr="007656B5" w:rsidRDefault="00B774BC" w:rsidP="009B52F3">
      <w:pPr>
        <w:pStyle w:val="Styl3"/>
        <w:rPr>
          <w:szCs w:val="22"/>
        </w:rPr>
      </w:pPr>
      <w:r w:rsidRPr="007656B5">
        <w:rPr>
          <w:szCs w:val="22"/>
        </w:rPr>
        <w:t>Porucha funkcie</w:t>
      </w:r>
      <w:r w:rsidR="007C2ED7" w:rsidRPr="007656B5">
        <w:rPr>
          <w:szCs w:val="22"/>
        </w:rPr>
        <w:t xml:space="preserve"> obličiek</w:t>
      </w:r>
    </w:p>
    <w:p w:rsidR="007C2ED7" w:rsidRPr="007656B5" w:rsidRDefault="007C2ED7" w:rsidP="009520A7">
      <w:pPr>
        <w:pStyle w:val="Normlndobloku"/>
        <w:rPr>
          <w:rFonts w:ascii="Times New Roman" w:hAnsi="Times New Roman" w:cs="Times New Roman"/>
        </w:rPr>
      </w:pPr>
      <w:r w:rsidRPr="007656B5">
        <w:rPr>
          <w:rFonts w:ascii="Times New Roman" w:hAnsi="Times New Roman" w:cs="Times New Roman"/>
        </w:rPr>
        <w:t>Úprava dávky sa nevyžaduje u</w:t>
      </w:r>
      <w:r w:rsidR="00547A4D" w:rsidRPr="007656B5">
        <w:rPr>
          <w:rFonts w:ascii="Times New Roman" w:hAnsi="Times New Roman" w:cs="Times New Roman"/>
        </w:rPr>
        <w:t> </w:t>
      </w:r>
      <w:r w:rsidRPr="007656B5">
        <w:rPr>
          <w:rFonts w:ascii="Times New Roman" w:hAnsi="Times New Roman" w:cs="Times New Roman"/>
        </w:rPr>
        <w:t>dospelých pacientov s</w:t>
      </w:r>
      <w:r w:rsidR="00547A4D" w:rsidRPr="007656B5">
        <w:rPr>
          <w:rFonts w:ascii="Times New Roman" w:hAnsi="Times New Roman" w:cs="Times New Roman"/>
        </w:rPr>
        <w:t> </w:t>
      </w:r>
      <w:r w:rsidRPr="007656B5">
        <w:rPr>
          <w:rFonts w:ascii="Times New Roman" w:hAnsi="Times New Roman" w:cs="Times New Roman"/>
        </w:rPr>
        <w:t>klírensom kreatinínu &gt;10</w:t>
      </w:r>
      <w:r w:rsidR="00547A4D" w:rsidRPr="007656B5">
        <w:rPr>
          <w:rFonts w:ascii="Times New Roman" w:hAnsi="Times New Roman" w:cs="Times New Roman"/>
        </w:rPr>
        <w:t> </w:t>
      </w:r>
      <w:r w:rsidRPr="007656B5">
        <w:rPr>
          <w:rFonts w:ascii="Times New Roman" w:hAnsi="Times New Roman" w:cs="Times New Roman"/>
        </w:rPr>
        <w:t xml:space="preserve">ml/min (pozri časti </w:t>
      </w:r>
      <w:smartTag w:uri="urn:schemas-microsoft-com:office:smarttags" w:element="metricconverter">
        <w:smartTagPr>
          <w:attr w:name="ProductID" w:val="4.4 a"/>
        </w:smartTagPr>
        <w:r w:rsidRPr="007656B5">
          <w:rPr>
            <w:rFonts w:ascii="Times New Roman" w:hAnsi="Times New Roman" w:cs="Times New Roman"/>
          </w:rPr>
          <w:t>4.4 a</w:t>
        </w:r>
        <w:r w:rsidR="00547A4D" w:rsidRPr="007656B5">
          <w:rPr>
            <w:rFonts w:ascii="Times New Roman" w:hAnsi="Times New Roman" w:cs="Times New Roman"/>
          </w:rPr>
          <w:t> </w:t>
        </w:r>
      </w:smartTag>
      <w:r w:rsidRPr="007656B5">
        <w:rPr>
          <w:rFonts w:ascii="Times New Roman" w:hAnsi="Times New Roman" w:cs="Times New Roman"/>
        </w:rPr>
        <w:t>5.2).</w:t>
      </w:r>
    </w:p>
    <w:p w:rsidR="007C2ED7" w:rsidRPr="007656B5" w:rsidRDefault="00B774BC" w:rsidP="008C3D63">
      <w:pPr>
        <w:pStyle w:val="Styl3"/>
        <w:rPr>
          <w:szCs w:val="22"/>
        </w:rPr>
      </w:pPr>
      <w:r w:rsidRPr="007656B5">
        <w:rPr>
          <w:szCs w:val="22"/>
        </w:rPr>
        <w:t>Porucha</w:t>
      </w:r>
      <w:r w:rsidR="007C2ED7" w:rsidRPr="007656B5">
        <w:rPr>
          <w:szCs w:val="22"/>
        </w:rPr>
        <w:t xml:space="preserve"> funkcie pečene</w:t>
      </w:r>
    </w:p>
    <w:p w:rsidR="007C2ED7" w:rsidRPr="007656B5" w:rsidRDefault="004C761F">
      <w:pPr>
        <w:pStyle w:val="Normlndobloku"/>
        <w:rPr>
          <w:rFonts w:ascii="Times New Roman" w:hAnsi="Times New Roman" w:cs="Times New Roman"/>
        </w:rPr>
      </w:pPr>
      <w:r w:rsidRPr="007656B5">
        <w:rPr>
          <w:rFonts w:ascii="Times New Roman" w:hAnsi="Times New Roman" w:cs="Times New Roman"/>
        </w:rPr>
        <w:t>V</w:t>
      </w:r>
      <w:r w:rsidR="00425BB4" w:rsidRPr="007656B5">
        <w:rPr>
          <w:rFonts w:ascii="Times New Roman" w:hAnsi="Times New Roman" w:cs="Times New Roman"/>
        </w:rPr>
        <w:t>alsartan</w:t>
      </w:r>
      <w:r w:rsidR="007C2ED7" w:rsidRPr="007656B5">
        <w:rPr>
          <w:rFonts w:ascii="Times New Roman" w:hAnsi="Times New Roman" w:cs="Times New Roman"/>
        </w:rPr>
        <w:t xml:space="preserve"> je kontraindikovaný u</w:t>
      </w:r>
      <w:r w:rsidR="00547A4D" w:rsidRPr="007656B5">
        <w:rPr>
          <w:rFonts w:ascii="Times New Roman" w:hAnsi="Times New Roman" w:cs="Times New Roman"/>
        </w:rPr>
        <w:t> </w:t>
      </w:r>
      <w:r w:rsidR="007C2ED7" w:rsidRPr="007656B5">
        <w:rPr>
          <w:rFonts w:ascii="Times New Roman" w:hAnsi="Times New Roman" w:cs="Times New Roman"/>
        </w:rPr>
        <w:t>pacientov s</w:t>
      </w:r>
      <w:r w:rsidR="00547A4D" w:rsidRPr="007656B5">
        <w:rPr>
          <w:rFonts w:ascii="Times New Roman" w:hAnsi="Times New Roman" w:cs="Times New Roman"/>
        </w:rPr>
        <w:t> </w:t>
      </w:r>
      <w:r w:rsidR="007C2ED7" w:rsidRPr="007656B5">
        <w:rPr>
          <w:rFonts w:ascii="Times New Roman" w:hAnsi="Times New Roman" w:cs="Times New Roman"/>
        </w:rPr>
        <w:t>ťažk</w:t>
      </w:r>
      <w:r w:rsidR="002E5F8A" w:rsidRPr="007656B5">
        <w:rPr>
          <w:rFonts w:ascii="Times New Roman" w:hAnsi="Times New Roman" w:cs="Times New Roman"/>
        </w:rPr>
        <w:t>ou</w:t>
      </w:r>
      <w:r w:rsidR="007C2ED7" w:rsidRPr="007656B5">
        <w:rPr>
          <w:rFonts w:ascii="Times New Roman" w:hAnsi="Times New Roman" w:cs="Times New Roman"/>
        </w:rPr>
        <w:t xml:space="preserve"> </w:t>
      </w:r>
      <w:r w:rsidR="002E5F8A" w:rsidRPr="007656B5">
        <w:rPr>
          <w:rFonts w:ascii="Times New Roman" w:hAnsi="Times New Roman" w:cs="Times New Roman"/>
        </w:rPr>
        <w:t>poruch</w:t>
      </w:r>
      <w:r w:rsidR="001E0D1F" w:rsidRPr="007656B5">
        <w:rPr>
          <w:rFonts w:ascii="Times New Roman" w:hAnsi="Times New Roman" w:cs="Times New Roman"/>
        </w:rPr>
        <w:t>o</w:t>
      </w:r>
      <w:r w:rsidR="002E5F8A" w:rsidRPr="007656B5">
        <w:rPr>
          <w:rFonts w:ascii="Times New Roman" w:hAnsi="Times New Roman" w:cs="Times New Roman"/>
        </w:rPr>
        <w:t xml:space="preserve">u </w:t>
      </w:r>
      <w:r w:rsidR="007C2ED7" w:rsidRPr="007656B5">
        <w:rPr>
          <w:rFonts w:ascii="Times New Roman" w:hAnsi="Times New Roman" w:cs="Times New Roman"/>
        </w:rPr>
        <w:t>funkcie pečene, biliárnou cirhózou a</w:t>
      </w:r>
      <w:r w:rsidR="002E5F8A" w:rsidRPr="007656B5">
        <w:rPr>
          <w:rFonts w:ascii="Times New Roman" w:hAnsi="Times New Roman" w:cs="Times New Roman"/>
        </w:rPr>
        <w:t> </w:t>
      </w:r>
      <w:r w:rsidR="007C2ED7" w:rsidRPr="007656B5">
        <w:rPr>
          <w:rFonts w:ascii="Times New Roman" w:hAnsi="Times New Roman" w:cs="Times New Roman"/>
        </w:rPr>
        <w:t>u</w:t>
      </w:r>
      <w:r w:rsidR="002E5F8A" w:rsidRPr="007656B5">
        <w:rPr>
          <w:rFonts w:ascii="Times New Roman" w:hAnsi="Times New Roman" w:cs="Times New Roman"/>
        </w:rPr>
        <w:t> </w:t>
      </w:r>
      <w:r w:rsidR="007C2ED7" w:rsidRPr="007656B5">
        <w:rPr>
          <w:rFonts w:ascii="Times New Roman" w:hAnsi="Times New Roman" w:cs="Times New Roman"/>
        </w:rPr>
        <w:t>pacientov s</w:t>
      </w:r>
      <w:r w:rsidR="00547A4D" w:rsidRPr="007656B5">
        <w:rPr>
          <w:rFonts w:ascii="Times New Roman" w:hAnsi="Times New Roman" w:cs="Times New Roman"/>
        </w:rPr>
        <w:t> </w:t>
      </w:r>
      <w:r w:rsidR="007C2ED7" w:rsidRPr="007656B5">
        <w:rPr>
          <w:rFonts w:ascii="Times New Roman" w:hAnsi="Times New Roman" w:cs="Times New Roman"/>
        </w:rPr>
        <w:t xml:space="preserve">cholestázou (pozri časti 4.3, </w:t>
      </w:r>
      <w:smartTag w:uri="urn:schemas-microsoft-com:office:smarttags" w:element="metricconverter">
        <w:smartTagPr>
          <w:attr w:name="ProductID" w:val="4.4 a"/>
        </w:smartTagPr>
        <w:r w:rsidR="007C2ED7" w:rsidRPr="007656B5">
          <w:rPr>
            <w:rFonts w:ascii="Times New Roman" w:hAnsi="Times New Roman" w:cs="Times New Roman"/>
          </w:rPr>
          <w:t>4.4 a</w:t>
        </w:r>
        <w:r w:rsidR="00547A4D" w:rsidRPr="007656B5">
          <w:rPr>
            <w:rFonts w:ascii="Times New Roman" w:hAnsi="Times New Roman" w:cs="Times New Roman"/>
          </w:rPr>
          <w:t> </w:t>
        </w:r>
      </w:smartTag>
      <w:r w:rsidR="007C2ED7" w:rsidRPr="007656B5">
        <w:rPr>
          <w:rFonts w:ascii="Times New Roman" w:hAnsi="Times New Roman" w:cs="Times New Roman"/>
        </w:rPr>
        <w:t>5.2). U</w:t>
      </w:r>
      <w:r w:rsidR="00547A4D" w:rsidRPr="007656B5">
        <w:rPr>
          <w:rFonts w:ascii="Times New Roman" w:hAnsi="Times New Roman" w:cs="Times New Roman"/>
        </w:rPr>
        <w:t> </w:t>
      </w:r>
      <w:r w:rsidR="007C2ED7" w:rsidRPr="007656B5">
        <w:rPr>
          <w:rFonts w:ascii="Times New Roman" w:hAnsi="Times New Roman" w:cs="Times New Roman"/>
        </w:rPr>
        <w:t>pacientov s</w:t>
      </w:r>
      <w:r w:rsidR="00547A4D" w:rsidRPr="007656B5">
        <w:rPr>
          <w:rFonts w:ascii="Times New Roman" w:hAnsi="Times New Roman" w:cs="Times New Roman"/>
        </w:rPr>
        <w:t> </w:t>
      </w:r>
      <w:r w:rsidR="007C2ED7" w:rsidRPr="007656B5">
        <w:rPr>
          <w:rFonts w:ascii="Times New Roman" w:hAnsi="Times New Roman" w:cs="Times New Roman"/>
        </w:rPr>
        <w:t>ľahk</w:t>
      </w:r>
      <w:r w:rsidR="002E5F8A" w:rsidRPr="007656B5">
        <w:rPr>
          <w:rFonts w:ascii="Times New Roman" w:hAnsi="Times New Roman" w:cs="Times New Roman"/>
        </w:rPr>
        <w:t>ou</w:t>
      </w:r>
      <w:r w:rsidR="007C2ED7" w:rsidRPr="007656B5">
        <w:rPr>
          <w:rFonts w:ascii="Times New Roman" w:hAnsi="Times New Roman" w:cs="Times New Roman"/>
        </w:rPr>
        <w:t xml:space="preserve"> až stredne ťažk</w:t>
      </w:r>
      <w:r w:rsidR="002E5F8A" w:rsidRPr="007656B5">
        <w:rPr>
          <w:rFonts w:ascii="Times New Roman" w:hAnsi="Times New Roman" w:cs="Times New Roman"/>
        </w:rPr>
        <w:t>ou</w:t>
      </w:r>
      <w:r w:rsidR="007C2ED7" w:rsidRPr="007656B5">
        <w:rPr>
          <w:rFonts w:ascii="Times New Roman" w:hAnsi="Times New Roman" w:cs="Times New Roman"/>
        </w:rPr>
        <w:t xml:space="preserve"> </w:t>
      </w:r>
      <w:r w:rsidR="002E5F8A" w:rsidRPr="007656B5">
        <w:rPr>
          <w:rFonts w:ascii="Times New Roman" w:hAnsi="Times New Roman" w:cs="Times New Roman"/>
        </w:rPr>
        <w:t xml:space="preserve">poruchou </w:t>
      </w:r>
      <w:r w:rsidR="007C2ED7" w:rsidRPr="007656B5">
        <w:rPr>
          <w:rFonts w:ascii="Times New Roman" w:hAnsi="Times New Roman" w:cs="Times New Roman"/>
        </w:rPr>
        <w:t>funkcie pečene bez cholestázy dávka valsartanu nemá prekročiť 80</w:t>
      </w:r>
      <w:r w:rsidR="00547A4D" w:rsidRPr="007656B5">
        <w:rPr>
          <w:rFonts w:ascii="Times New Roman" w:hAnsi="Times New Roman" w:cs="Times New Roman"/>
        </w:rPr>
        <w:t> </w:t>
      </w:r>
      <w:r w:rsidR="007C2ED7" w:rsidRPr="007656B5">
        <w:rPr>
          <w:rFonts w:ascii="Times New Roman" w:hAnsi="Times New Roman" w:cs="Times New Roman"/>
        </w:rPr>
        <w:t>mg.</w:t>
      </w:r>
    </w:p>
    <w:p w:rsidR="00B65920" w:rsidRPr="007656B5" w:rsidRDefault="00B65920" w:rsidP="00B65920">
      <w:pPr>
        <w:pStyle w:val="Normlndobloku"/>
        <w:rPr>
          <w:rFonts w:ascii="Times New Roman" w:hAnsi="Times New Roman" w:cs="Times New Roman"/>
        </w:rPr>
      </w:pPr>
      <w:r w:rsidRPr="007656B5">
        <w:rPr>
          <w:rFonts w:ascii="Times New Roman" w:hAnsi="Times New Roman" w:cs="Times New Roman"/>
        </w:rPr>
        <w:t>Liek VAPRESS v sile 40 mg nie je v SR registrovaný, na trhu sú k dispozícii iné lieky s obsahom valsartanu v sile 40 mg a menej.</w:t>
      </w:r>
    </w:p>
    <w:p w:rsidR="00B65920" w:rsidRPr="007656B5" w:rsidRDefault="00B65920">
      <w:pPr>
        <w:pStyle w:val="Normlndobloku"/>
        <w:rPr>
          <w:rFonts w:ascii="Times New Roman" w:hAnsi="Times New Roman" w:cs="Times New Roman"/>
        </w:rPr>
      </w:pPr>
    </w:p>
    <w:p w:rsidR="007C2ED7" w:rsidRPr="007656B5" w:rsidRDefault="00B774BC" w:rsidP="00D50784">
      <w:pPr>
        <w:pStyle w:val="Styl2-2"/>
        <w:rPr>
          <w:szCs w:val="22"/>
        </w:rPr>
      </w:pPr>
      <w:r w:rsidRPr="007656B5">
        <w:rPr>
          <w:szCs w:val="22"/>
        </w:rPr>
        <w:lastRenderedPageBreak/>
        <w:t>Pediatrická populácia</w:t>
      </w:r>
    </w:p>
    <w:p w:rsidR="00F9601E" w:rsidRPr="007656B5" w:rsidRDefault="007C2ED7" w:rsidP="007C44E3">
      <w:pPr>
        <w:pStyle w:val="Styl3"/>
        <w:rPr>
          <w:szCs w:val="22"/>
        </w:rPr>
      </w:pPr>
      <w:r w:rsidRPr="007656B5">
        <w:rPr>
          <w:szCs w:val="22"/>
        </w:rPr>
        <w:t xml:space="preserve">Hypertenzia </w:t>
      </w:r>
      <w:r w:rsidR="00425BB4" w:rsidRPr="007656B5">
        <w:rPr>
          <w:szCs w:val="22"/>
        </w:rPr>
        <w:t>u</w:t>
      </w:r>
      <w:r w:rsidR="00547A4D" w:rsidRPr="007656B5">
        <w:rPr>
          <w:szCs w:val="22"/>
        </w:rPr>
        <w:t> </w:t>
      </w:r>
      <w:r w:rsidR="00425BB4" w:rsidRPr="007656B5">
        <w:rPr>
          <w:szCs w:val="22"/>
        </w:rPr>
        <w:t>detí a</w:t>
      </w:r>
      <w:r w:rsidR="008C3D63" w:rsidRPr="007656B5">
        <w:rPr>
          <w:szCs w:val="22"/>
        </w:rPr>
        <w:t> </w:t>
      </w:r>
      <w:r w:rsidR="00425BB4" w:rsidRPr="007656B5">
        <w:rPr>
          <w:szCs w:val="22"/>
        </w:rPr>
        <w:t>dospievajúcich</w:t>
      </w:r>
    </w:p>
    <w:p w:rsidR="007C2ED7" w:rsidRPr="007656B5" w:rsidRDefault="007C2ED7" w:rsidP="007C44E3">
      <w:pPr>
        <w:pStyle w:val="Styl3"/>
        <w:rPr>
          <w:szCs w:val="22"/>
        </w:rPr>
      </w:pPr>
      <w:r w:rsidRPr="007656B5">
        <w:rPr>
          <w:szCs w:val="22"/>
        </w:rPr>
        <w:t>Deti a</w:t>
      </w:r>
      <w:r w:rsidR="00547A4D" w:rsidRPr="007656B5">
        <w:rPr>
          <w:szCs w:val="22"/>
        </w:rPr>
        <w:t> </w:t>
      </w:r>
      <w:r w:rsidRPr="007656B5">
        <w:rPr>
          <w:szCs w:val="22"/>
        </w:rPr>
        <w:t>dospievajúci vo veku od 6 do 18 rokov</w:t>
      </w:r>
    </w:p>
    <w:p w:rsidR="007C2ED7" w:rsidRPr="007656B5" w:rsidRDefault="007C2ED7" w:rsidP="009B52F3">
      <w:pPr>
        <w:pStyle w:val="Normlndobloku"/>
        <w:rPr>
          <w:rFonts w:ascii="Times New Roman" w:hAnsi="Times New Roman" w:cs="Times New Roman"/>
        </w:rPr>
      </w:pPr>
      <w:r w:rsidRPr="007656B5">
        <w:rPr>
          <w:rFonts w:ascii="Times New Roman" w:hAnsi="Times New Roman" w:cs="Times New Roman"/>
        </w:rPr>
        <w:t>Začiatočná dávka je 40</w:t>
      </w:r>
      <w:r w:rsidR="00547A4D" w:rsidRPr="007656B5">
        <w:rPr>
          <w:rFonts w:ascii="Times New Roman" w:hAnsi="Times New Roman" w:cs="Times New Roman"/>
        </w:rPr>
        <w:t> </w:t>
      </w:r>
      <w:r w:rsidRPr="007656B5">
        <w:rPr>
          <w:rFonts w:ascii="Times New Roman" w:hAnsi="Times New Roman" w:cs="Times New Roman"/>
        </w:rPr>
        <w:t>mg raz denne u</w:t>
      </w:r>
      <w:r w:rsidR="00547A4D" w:rsidRPr="007656B5">
        <w:rPr>
          <w:rFonts w:ascii="Times New Roman" w:hAnsi="Times New Roman" w:cs="Times New Roman"/>
        </w:rPr>
        <w:t> </w:t>
      </w:r>
      <w:r w:rsidRPr="007656B5">
        <w:rPr>
          <w:rFonts w:ascii="Times New Roman" w:hAnsi="Times New Roman" w:cs="Times New Roman"/>
        </w:rPr>
        <w:t>detí s</w:t>
      </w:r>
      <w:r w:rsidR="00547A4D" w:rsidRPr="007656B5">
        <w:rPr>
          <w:rFonts w:ascii="Times New Roman" w:hAnsi="Times New Roman" w:cs="Times New Roman"/>
        </w:rPr>
        <w:t> </w:t>
      </w:r>
      <w:r w:rsidRPr="007656B5">
        <w:rPr>
          <w:rFonts w:ascii="Times New Roman" w:hAnsi="Times New Roman" w:cs="Times New Roman"/>
        </w:rPr>
        <w:t>telesnou hmotnosťou nižšou ako 35</w:t>
      </w:r>
      <w:r w:rsidR="00547A4D" w:rsidRPr="007656B5">
        <w:rPr>
          <w:rFonts w:ascii="Times New Roman" w:hAnsi="Times New Roman" w:cs="Times New Roman"/>
        </w:rPr>
        <w:t> </w:t>
      </w:r>
      <w:r w:rsidRPr="007656B5">
        <w:rPr>
          <w:rFonts w:ascii="Times New Roman" w:hAnsi="Times New Roman" w:cs="Times New Roman"/>
        </w:rPr>
        <w:t>kg a</w:t>
      </w:r>
      <w:r w:rsidR="00547A4D" w:rsidRPr="007656B5">
        <w:rPr>
          <w:rFonts w:ascii="Times New Roman" w:hAnsi="Times New Roman" w:cs="Times New Roman"/>
        </w:rPr>
        <w:t> </w:t>
      </w:r>
      <w:r w:rsidRPr="007656B5">
        <w:rPr>
          <w:rFonts w:ascii="Times New Roman" w:hAnsi="Times New Roman" w:cs="Times New Roman"/>
        </w:rPr>
        <w:t>80</w:t>
      </w:r>
      <w:r w:rsidR="00547A4D" w:rsidRPr="007656B5">
        <w:rPr>
          <w:rFonts w:ascii="Times New Roman" w:hAnsi="Times New Roman" w:cs="Times New Roman"/>
        </w:rPr>
        <w:t> </w:t>
      </w:r>
      <w:r w:rsidRPr="007656B5">
        <w:rPr>
          <w:rFonts w:ascii="Times New Roman" w:hAnsi="Times New Roman" w:cs="Times New Roman"/>
        </w:rPr>
        <w:t>mg raz denne u</w:t>
      </w:r>
      <w:r w:rsidR="00547A4D" w:rsidRPr="007656B5">
        <w:rPr>
          <w:rFonts w:ascii="Times New Roman" w:hAnsi="Times New Roman" w:cs="Times New Roman"/>
        </w:rPr>
        <w:t> </w:t>
      </w:r>
      <w:r w:rsidRPr="007656B5">
        <w:rPr>
          <w:rFonts w:ascii="Times New Roman" w:hAnsi="Times New Roman" w:cs="Times New Roman"/>
        </w:rPr>
        <w:t>detí s</w:t>
      </w:r>
      <w:r w:rsidR="00547A4D" w:rsidRPr="007656B5">
        <w:rPr>
          <w:rFonts w:ascii="Times New Roman" w:hAnsi="Times New Roman" w:cs="Times New Roman"/>
        </w:rPr>
        <w:t> </w:t>
      </w:r>
      <w:r w:rsidRPr="007656B5">
        <w:rPr>
          <w:rFonts w:ascii="Times New Roman" w:hAnsi="Times New Roman" w:cs="Times New Roman"/>
        </w:rPr>
        <w:t>telesnou hmotnosťou 35</w:t>
      </w:r>
      <w:r w:rsidR="00547A4D" w:rsidRPr="007656B5">
        <w:rPr>
          <w:rFonts w:ascii="Times New Roman" w:hAnsi="Times New Roman" w:cs="Times New Roman"/>
        </w:rPr>
        <w:t> </w:t>
      </w:r>
      <w:r w:rsidRPr="007656B5">
        <w:rPr>
          <w:rFonts w:ascii="Times New Roman" w:hAnsi="Times New Roman" w:cs="Times New Roman"/>
        </w:rPr>
        <w:t>kg alebo viac. Dávka sa má upravovať podľa reakcie krvného tlaku. Maximálne dávky skúmané v</w:t>
      </w:r>
      <w:r w:rsidR="00547A4D" w:rsidRPr="007656B5">
        <w:rPr>
          <w:rFonts w:ascii="Times New Roman" w:hAnsi="Times New Roman" w:cs="Times New Roman"/>
        </w:rPr>
        <w:t> </w:t>
      </w:r>
      <w:r w:rsidRPr="007656B5">
        <w:rPr>
          <w:rFonts w:ascii="Times New Roman" w:hAnsi="Times New Roman" w:cs="Times New Roman"/>
        </w:rPr>
        <w:t>klinických skúšaniach sa uvádzajú nižšie v</w:t>
      </w:r>
      <w:r w:rsidR="00547A4D" w:rsidRPr="007656B5">
        <w:rPr>
          <w:rFonts w:ascii="Times New Roman" w:hAnsi="Times New Roman" w:cs="Times New Roman"/>
        </w:rPr>
        <w:t> </w:t>
      </w:r>
      <w:r w:rsidRPr="007656B5">
        <w:rPr>
          <w:rFonts w:ascii="Times New Roman" w:hAnsi="Times New Roman" w:cs="Times New Roman"/>
        </w:rPr>
        <w:t>tabuľke. Vyššie ako uvedené dávky sa neskúmali, preto sa neodporúčajú.</w:t>
      </w:r>
    </w:p>
    <w:tbl>
      <w:tblPr>
        <w:tblW w:w="0" w:type="auto"/>
        <w:tblInd w:w="40" w:type="dxa"/>
        <w:tblLayout w:type="fixed"/>
        <w:tblCellMar>
          <w:left w:w="40" w:type="dxa"/>
          <w:right w:w="40" w:type="dxa"/>
        </w:tblCellMar>
        <w:tblLook w:val="0000" w:firstRow="0" w:lastRow="0" w:firstColumn="0" w:lastColumn="0" w:noHBand="0" w:noVBand="0"/>
      </w:tblPr>
      <w:tblGrid>
        <w:gridCol w:w="2390"/>
        <w:gridCol w:w="4166"/>
      </w:tblGrid>
      <w:tr w:rsidR="007C2ED7" w:rsidRPr="007656B5">
        <w:tc>
          <w:tcPr>
            <w:tcW w:w="2390" w:type="dxa"/>
            <w:tcBorders>
              <w:top w:val="single" w:sz="6" w:space="0" w:color="auto"/>
              <w:left w:val="single" w:sz="6" w:space="0" w:color="auto"/>
              <w:bottom w:val="single" w:sz="6" w:space="0" w:color="auto"/>
              <w:right w:val="single" w:sz="6" w:space="0" w:color="auto"/>
            </w:tcBorders>
          </w:tcPr>
          <w:p w:rsidR="007C2ED7" w:rsidRPr="007656B5" w:rsidRDefault="00005944">
            <w:pPr>
              <w:rPr>
                <w:sz w:val="22"/>
                <w:szCs w:val="22"/>
              </w:rPr>
            </w:pPr>
            <w:r w:rsidRPr="007656B5">
              <w:rPr>
                <w:sz w:val="22"/>
                <w:szCs w:val="22"/>
              </w:rPr>
              <w:br w:type="page"/>
            </w:r>
            <w:r w:rsidR="007C2ED7" w:rsidRPr="007656B5">
              <w:rPr>
                <w:sz w:val="22"/>
                <w:szCs w:val="22"/>
              </w:rPr>
              <w:t>Telesná hmotnosť</w:t>
            </w:r>
          </w:p>
        </w:tc>
        <w:tc>
          <w:tcPr>
            <w:tcW w:w="4166" w:type="dxa"/>
            <w:tcBorders>
              <w:top w:val="single" w:sz="6" w:space="0" w:color="auto"/>
              <w:left w:val="single" w:sz="6" w:space="0" w:color="auto"/>
              <w:bottom w:val="single" w:sz="6" w:space="0" w:color="auto"/>
              <w:right w:val="single" w:sz="6" w:space="0" w:color="auto"/>
            </w:tcBorders>
          </w:tcPr>
          <w:p w:rsidR="007C2ED7" w:rsidRPr="007656B5" w:rsidRDefault="007C2ED7" w:rsidP="007C44E3">
            <w:pPr>
              <w:pStyle w:val="Tabulka1"/>
              <w:rPr>
                <w:szCs w:val="22"/>
              </w:rPr>
            </w:pPr>
            <w:r w:rsidRPr="007656B5">
              <w:rPr>
                <w:szCs w:val="22"/>
              </w:rPr>
              <w:t>Maximálna dávka skúmaná v</w:t>
            </w:r>
            <w:r w:rsidR="00547A4D" w:rsidRPr="007656B5">
              <w:rPr>
                <w:szCs w:val="22"/>
              </w:rPr>
              <w:t> </w:t>
            </w:r>
            <w:r w:rsidRPr="007656B5">
              <w:rPr>
                <w:szCs w:val="22"/>
              </w:rPr>
              <w:t>klinických skúšaniach</w:t>
            </w:r>
          </w:p>
        </w:tc>
      </w:tr>
      <w:tr w:rsidR="007C2ED7" w:rsidRPr="007656B5">
        <w:tc>
          <w:tcPr>
            <w:tcW w:w="2390" w:type="dxa"/>
            <w:tcBorders>
              <w:top w:val="single" w:sz="6" w:space="0" w:color="auto"/>
              <w:left w:val="single" w:sz="6" w:space="0" w:color="auto"/>
              <w:bottom w:val="single" w:sz="6" w:space="0" w:color="auto"/>
              <w:right w:val="single" w:sz="6" w:space="0" w:color="auto"/>
            </w:tcBorders>
          </w:tcPr>
          <w:p w:rsidR="007C2ED7" w:rsidRPr="007656B5" w:rsidRDefault="004C761F" w:rsidP="007C44E3">
            <w:pPr>
              <w:pStyle w:val="Tabulka1"/>
              <w:rPr>
                <w:szCs w:val="22"/>
              </w:rPr>
            </w:pPr>
            <w:r w:rsidRPr="007656B5">
              <w:rPr>
                <w:szCs w:val="22"/>
              </w:rPr>
              <w:t>≥</w:t>
            </w:r>
            <w:r w:rsidR="007C2ED7" w:rsidRPr="007656B5">
              <w:rPr>
                <w:szCs w:val="22"/>
              </w:rPr>
              <w:t>18</w:t>
            </w:r>
            <w:r w:rsidR="00547A4D" w:rsidRPr="007656B5">
              <w:rPr>
                <w:szCs w:val="22"/>
              </w:rPr>
              <w:t> </w:t>
            </w:r>
            <w:r w:rsidR="007C2ED7" w:rsidRPr="007656B5">
              <w:rPr>
                <w:szCs w:val="22"/>
              </w:rPr>
              <w:t>kg do &lt;35</w:t>
            </w:r>
            <w:r w:rsidR="00547A4D" w:rsidRPr="007656B5">
              <w:rPr>
                <w:szCs w:val="22"/>
              </w:rPr>
              <w:t> </w:t>
            </w:r>
            <w:r w:rsidR="007C2ED7" w:rsidRPr="007656B5">
              <w:rPr>
                <w:szCs w:val="22"/>
              </w:rPr>
              <w:t>kg</w:t>
            </w:r>
          </w:p>
        </w:tc>
        <w:tc>
          <w:tcPr>
            <w:tcW w:w="4166" w:type="dxa"/>
            <w:tcBorders>
              <w:top w:val="single" w:sz="6" w:space="0" w:color="auto"/>
              <w:left w:val="single" w:sz="6" w:space="0" w:color="auto"/>
              <w:bottom w:val="single" w:sz="6" w:space="0" w:color="auto"/>
              <w:right w:val="single" w:sz="6" w:space="0" w:color="auto"/>
            </w:tcBorders>
          </w:tcPr>
          <w:p w:rsidR="007C2ED7" w:rsidRPr="007656B5" w:rsidRDefault="007C2ED7" w:rsidP="007C44E3">
            <w:pPr>
              <w:pStyle w:val="Tabulka1"/>
              <w:rPr>
                <w:szCs w:val="22"/>
              </w:rPr>
            </w:pPr>
            <w:r w:rsidRPr="007656B5">
              <w:rPr>
                <w:szCs w:val="22"/>
              </w:rPr>
              <w:t>80</w:t>
            </w:r>
            <w:r w:rsidR="00547A4D" w:rsidRPr="007656B5">
              <w:rPr>
                <w:szCs w:val="22"/>
              </w:rPr>
              <w:t> </w:t>
            </w:r>
            <w:r w:rsidRPr="007656B5">
              <w:rPr>
                <w:szCs w:val="22"/>
              </w:rPr>
              <w:t>mg</w:t>
            </w:r>
          </w:p>
        </w:tc>
      </w:tr>
      <w:tr w:rsidR="007C2ED7" w:rsidRPr="007656B5">
        <w:tc>
          <w:tcPr>
            <w:tcW w:w="2390" w:type="dxa"/>
            <w:tcBorders>
              <w:top w:val="single" w:sz="6" w:space="0" w:color="auto"/>
              <w:left w:val="single" w:sz="6" w:space="0" w:color="auto"/>
              <w:bottom w:val="single" w:sz="6" w:space="0" w:color="auto"/>
              <w:right w:val="single" w:sz="6" w:space="0" w:color="auto"/>
            </w:tcBorders>
          </w:tcPr>
          <w:p w:rsidR="007C2ED7" w:rsidRPr="007656B5" w:rsidRDefault="004C761F" w:rsidP="007C44E3">
            <w:pPr>
              <w:pStyle w:val="Tabulka1"/>
              <w:rPr>
                <w:szCs w:val="22"/>
              </w:rPr>
            </w:pPr>
            <w:r w:rsidRPr="007656B5">
              <w:rPr>
                <w:szCs w:val="22"/>
              </w:rPr>
              <w:t>≥</w:t>
            </w:r>
            <w:r w:rsidR="007C2ED7" w:rsidRPr="007656B5">
              <w:rPr>
                <w:szCs w:val="22"/>
              </w:rPr>
              <w:t>35</w:t>
            </w:r>
            <w:r w:rsidR="00547A4D" w:rsidRPr="007656B5">
              <w:rPr>
                <w:szCs w:val="22"/>
              </w:rPr>
              <w:t> </w:t>
            </w:r>
            <w:r w:rsidR="007C2ED7" w:rsidRPr="007656B5">
              <w:rPr>
                <w:szCs w:val="22"/>
              </w:rPr>
              <w:t>kg do &lt;80</w:t>
            </w:r>
            <w:r w:rsidR="00547A4D" w:rsidRPr="007656B5">
              <w:rPr>
                <w:szCs w:val="22"/>
              </w:rPr>
              <w:t> </w:t>
            </w:r>
            <w:r w:rsidR="007C2ED7" w:rsidRPr="007656B5">
              <w:rPr>
                <w:szCs w:val="22"/>
              </w:rPr>
              <w:t>kg</w:t>
            </w:r>
          </w:p>
        </w:tc>
        <w:tc>
          <w:tcPr>
            <w:tcW w:w="4166" w:type="dxa"/>
            <w:tcBorders>
              <w:top w:val="single" w:sz="6" w:space="0" w:color="auto"/>
              <w:left w:val="single" w:sz="6" w:space="0" w:color="auto"/>
              <w:bottom w:val="single" w:sz="6" w:space="0" w:color="auto"/>
              <w:right w:val="single" w:sz="6" w:space="0" w:color="auto"/>
            </w:tcBorders>
          </w:tcPr>
          <w:p w:rsidR="007C2ED7" w:rsidRPr="007656B5" w:rsidRDefault="007C2ED7" w:rsidP="007C44E3">
            <w:pPr>
              <w:pStyle w:val="Tabulka1"/>
              <w:rPr>
                <w:szCs w:val="22"/>
              </w:rPr>
            </w:pPr>
            <w:r w:rsidRPr="007656B5">
              <w:rPr>
                <w:szCs w:val="22"/>
              </w:rPr>
              <w:t>160</w:t>
            </w:r>
            <w:r w:rsidR="00547A4D" w:rsidRPr="007656B5">
              <w:rPr>
                <w:szCs w:val="22"/>
              </w:rPr>
              <w:t> </w:t>
            </w:r>
            <w:r w:rsidRPr="007656B5">
              <w:rPr>
                <w:szCs w:val="22"/>
              </w:rPr>
              <w:t>mg</w:t>
            </w:r>
          </w:p>
        </w:tc>
      </w:tr>
      <w:tr w:rsidR="007C2ED7" w:rsidRPr="007656B5">
        <w:tc>
          <w:tcPr>
            <w:tcW w:w="2390" w:type="dxa"/>
            <w:tcBorders>
              <w:top w:val="single" w:sz="6" w:space="0" w:color="auto"/>
              <w:left w:val="single" w:sz="6" w:space="0" w:color="auto"/>
              <w:bottom w:val="single" w:sz="6" w:space="0" w:color="auto"/>
              <w:right w:val="single" w:sz="6" w:space="0" w:color="auto"/>
            </w:tcBorders>
          </w:tcPr>
          <w:p w:rsidR="007C2ED7" w:rsidRPr="007656B5" w:rsidRDefault="004C761F" w:rsidP="007C44E3">
            <w:pPr>
              <w:pStyle w:val="Tabulka1"/>
              <w:rPr>
                <w:szCs w:val="22"/>
              </w:rPr>
            </w:pPr>
            <w:r w:rsidRPr="007656B5">
              <w:rPr>
                <w:szCs w:val="22"/>
              </w:rPr>
              <w:t>≥</w:t>
            </w:r>
            <w:r w:rsidR="007C2ED7" w:rsidRPr="007656B5">
              <w:rPr>
                <w:szCs w:val="22"/>
              </w:rPr>
              <w:t>80</w:t>
            </w:r>
            <w:r w:rsidR="00547A4D" w:rsidRPr="007656B5">
              <w:rPr>
                <w:szCs w:val="22"/>
              </w:rPr>
              <w:t> </w:t>
            </w:r>
            <w:r w:rsidR="007C2ED7" w:rsidRPr="007656B5">
              <w:rPr>
                <w:szCs w:val="22"/>
              </w:rPr>
              <w:t xml:space="preserve">kg do </w:t>
            </w:r>
            <w:r w:rsidRPr="007656B5">
              <w:rPr>
                <w:szCs w:val="22"/>
              </w:rPr>
              <w:t>≤</w:t>
            </w:r>
            <w:r w:rsidR="007C2ED7" w:rsidRPr="007656B5">
              <w:rPr>
                <w:szCs w:val="22"/>
              </w:rPr>
              <w:t>160</w:t>
            </w:r>
            <w:r w:rsidR="00547A4D" w:rsidRPr="007656B5">
              <w:rPr>
                <w:szCs w:val="22"/>
              </w:rPr>
              <w:t> </w:t>
            </w:r>
            <w:r w:rsidR="007C2ED7" w:rsidRPr="007656B5">
              <w:rPr>
                <w:szCs w:val="22"/>
              </w:rPr>
              <w:t>kg</w:t>
            </w:r>
          </w:p>
        </w:tc>
        <w:tc>
          <w:tcPr>
            <w:tcW w:w="4166" w:type="dxa"/>
            <w:tcBorders>
              <w:top w:val="single" w:sz="6" w:space="0" w:color="auto"/>
              <w:left w:val="single" w:sz="6" w:space="0" w:color="auto"/>
              <w:bottom w:val="single" w:sz="6" w:space="0" w:color="auto"/>
              <w:right w:val="single" w:sz="6" w:space="0" w:color="auto"/>
            </w:tcBorders>
          </w:tcPr>
          <w:p w:rsidR="007C2ED7" w:rsidRPr="007656B5" w:rsidRDefault="007C2ED7" w:rsidP="007C44E3">
            <w:pPr>
              <w:pStyle w:val="Tabulka1"/>
              <w:rPr>
                <w:szCs w:val="22"/>
              </w:rPr>
            </w:pPr>
            <w:r w:rsidRPr="007656B5">
              <w:rPr>
                <w:szCs w:val="22"/>
              </w:rPr>
              <w:t>320</w:t>
            </w:r>
            <w:r w:rsidR="00547A4D" w:rsidRPr="007656B5">
              <w:rPr>
                <w:szCs w:val="22"/>
              </w:rPr>
              <w:t> </w:t>
            </w:r>
            <w:r w:rsidRPr="007656B5">
              <w:rPr>
                <w:szCs w:val="22"/>
              </w:rPr>
              <w:t>mg</w:t>
            </w:r>
          </w:p>
        </w:tc>
      </w:tr>
    </w:tbl>
    <w:p w:rsidR="00C61410" w:rsidRPr="007656B5" w:rsidRDefault="00C61410" w:rsidP="00201A3B">
      <w:pPr>
        <w:pStyle w:val="Normlndobloku"/>
      </w:pPr>
    </w:p>
    <w:p w:rsidR="007C2ED7" w:rsidRPr="007656B5" w:rsidRDefault="007C2ED7">
      <w:pPr>
        <w:pStyle w:val="Styl3"/>
        <w:rPr>
          <w:szCs w:val="22"/>
        </w:rPr>
      </w:pPr>
      <w:r w:rsidRPr="007656B5">
        <w:rPr>
          <w:szCs w:val="22"/>
        </w:rPr>
        <w:t>Deti vo veku menej ako 6 rokov</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Dostupné údaje sú popísané v</w:t>
      </w:r>
      <w:r w:rsidR="00547A4D" w:rsidRPr="007656B5">
        <w:rPr>
          <w:rFonts w:ascii="Times New Roman" w:hAnsi="Times New Roman" w:cs="Times New Roman"/>
        </w:rPr>
        <w:t> </w:t>
      </w:r>
      <w:r w:rsidRPr="007656B5">
        <w:rPr>
          <w:rFonts w:ascii="Times New Roman" w:hAnsi="Times New Roman" w:cs="Times New Roman"/>
        </w:rPr>
        <w:t xml:space="preserve">častiach 4.8, </w:t>
      </w:r>
      <w:smartTag w:uri="urn:schemas-microsoft-com:office:smarttags" w:element="metricconverter">
        <w:smartTagPr>
          <w:attr w:name="ProductID" w:val="5.1 a"/>
        </w:smartTagPr>
        <w:r w:rsidRPr="007656B5">
          <w:rPr>
            <w:rFonts w:ascii="Times New Roman" w:hAnsi="Times New Roman" w:cs="Times New Roman"/>
          </w:rPr>
          <w:t>5.1 a</w:t>
        </w:r>
        <w:r w:rsidR="00547A4D" w:rsidRPr="007656B5">
          <w:rPr>
            <w:rFonts w:ascii="Times New Roman" w:hAnsi="Times New Roman" w:cs="Times New Roman"/>
          </w:rPr>
          <w:t> </w:t>
        </w:r>
      </w:smartTag>
      <w:r w:rsidRPr="007656B5">
        <w:rPr>
          <w:rFonts w:ascii="Times New Roman" w:hAnsi="Times New Roman" w:cs="Times New Roman"/>
        </w:rPr>
        <w:t>5.2. Bezpečnosť a</w:t>
      </w:r>
      <w:r w:rsidR="00547A4D" w:rsidRPr="007656B5">
        <w:rPr>
          <w:rFonts w:ascii="Times New Roman" w:hAnsi="Times New Roman" w:cs="Times New Roman"/>
        </w:rPr>
        <w:t> </w:t>
      </w:r>
      <w:r w:rsidRPr="007656B5">
        <w:rPr>
          <w:rFonts w:ascii="Times New Roman" w:hAnsi="Times New Roman" w:cs="Times New Roman"/>
        </w:rPr>
        <w:t xml:space="preserve">účinnosť </w:t>
      </w:r>
      <w:r w:rsidR="00425BB4" w:rsidRPr="007656B5">
        <w:rPr>
          <w:rFonts w:ascii="Times New Roman" w:hAnsi="Times New Roman" w:cs="Times New Roman"/>
        </w:rPr>
        <w:t xml:space="preserve">valsartanu </w:t>
      </w:r>
      <w:r w:rsidRPr="007656B5">
        <w:rPr>
          <w:rFonts w:ascii="Times New Roman" w:hAnsi="Times New Roman" w:cs="Times New Roman"/>
        </w:rPr>
        <w:t>u</w:t>
      </w:r>
      <w:r w:rsidR="00547A4D" w:rsidRPr="007656B5">
        <w:rPr>
          <w:rFonts w:ascii="Times New Roman" w:hAnsi="Times New Roman" w:cs="Times New Roman"/>
        </w:rPr>
        <w:t> </w:t>
      </w:r>
      <w:r w:rsidRPr="007656B5">
        <w:rPr>
          <w:rFonts w:ascii="Times New Roman" w:hAnsi="Times New Roman" w:cs="Times New Roman"/>
        </w:rPr>
        <w:t>detí vo veku od 1 do 6 rokov sa však nestanovila.</w:t>
      </w:r>
    </w:p>
    <w:p w:rsidR="00425FAD" w:rsidRPr="007656B5" w:rsidRDefault="007C2ED7">
      <w:pPr>
        <w:pStyle w:val="Styl3"/>
        <w:rPr>
          <w:szCs w:val="22"/>
        </w:rPr>
      </w:pPr>
      <w:r w:rsidRPr="007656B5">
        <w:rPr>
          <w:szCs w:val="22"/>
        </w:rPr>
        <w:t>Použitie u</w:t>
      </w:r>
      <w:r w:rsidR="00547A4D" w:rsidRPr="007656B5">
        <w:rPr>
          <w:szCs w:val="22"/>
        </w:rPr>
        <w:t> </w:t>
      </w:r>
      <w:r w:rsidR="007D655F" w:rsidRPr="007656B5">
        <w:rPr>
          <w:szCs w:val="22"/>
        </w:rPr>
        <w:t>detí a</w:t>
      </w:r>
      <w:r w:rsidR="00547A4D" w:rsidRPr="007656B5">
        <w:rPr>
          <w:szCs w:val="22"/>
        </w:rPr>
        <w:t> </w:t>
      </w:r>
      <w:r w:rsidR="007D655F" w:rsidRPr="007656B5">
        <w:rPr>
          <w:szCs w:val="22"/>
        </w:rPr>
        <w:t xml:space="preserve">dospievajúcich </w:t>
      </w:r>
      <w:r w:rsidRPr="007656B5">
        <w:rPr>
          <w:szCs w:val="22"/>
        </w:rPr>
        <w:t>vo veku od 6 do 18 rokov s</w:t>
      </w:r>
      <w:r w:rsidR="00547A4D" w:rsidRPr="007656B5">
        <w:rPr>
          <w:szCs w:val="22"/>
        </w:rPr>
        <w:t> </w:t>
      </w:r>
      <w:r w:rsidR="00B74AD7" w:rsidRPr="007656B5">
        <w:rPr>
          <w:szCs w:val="22"/>
        </w:rPr>
        <w:t xml:space="preserve">poruchou </w:t>
      </w:r>
      <w:r w:rsidRPr="007656B5">
        <w:rPr>
          <w:szCs w:val="22"/>
        </w:rPr>
        <w:t>funkcie obličiek</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Použitie u</w:t>
      </w:r>
      <w:r w:rsidR="00547A4D" w:rsidRPr="007656B5">
        <w:rPr>
          <w:rFonts w:ascii="Times New Roman" w:hAnsi="Times New Roman" w:cs="Times New Roman"/>
        </w:rPr>
        <w:t> </w:t>
      </w:r>
      <w:r w:rsidR="007D655F" w:rsidRPr="007656B5">
        <w:rPr>
          <w:rFonts w:ascii="Times New Roman" w:hAnsi="Times New Roman" w:cs="Times New Roman"/>
        </w:rPr>
        <w:t>detí a</w:t>
      </w:r>
      <w:r w:rsidR="00547A4D" w:rsidRPr="007656B5">
        <w:rPr>
          <w:rFonts w:ascii="Times New Roman" w:hAnsi="Times New Roman" w:cs="Times New Roman"/>
        </w:rPr>
        <w:t> </w:t>
      </w:r>
      <w:r w:rsidR="007D655F" w:rsidRPr="007656B5">
        <w:rPr>
          <w:rFonts w:ascii="Times New Roman" w:hAnsi="Times New Roman" w:cs="Times New Roman"/>
        </w:rPr>
        <w:t xml:space="preserve">dospievajúcich </w:t>
      </w:r>
      <w:r w:rsidRPr="007656B5">
        <w:rPr>
          <w:rFonts w:ascii="Times New Roman" w:hAnsi="Times New Roman" w:cs="Times New Roman"/>
        </w:rPr>
        <w:t>s</w:t>
      </w:r>
      <w:r w:rsidR="00547A4D" w:rsidRPr="007656B5">
        <w:rPr>
          <w:rFonts w:ascii="Times New Roman" w:hAnsi="Times New Roman" w:cs="Times New Roman"/>
        </w:rPr>
        <w:t> </w:t>
      </w:r>
      <w:r w:rsidRPr="007656B5">
        <w:rPr>
          <w:rFonts w:ascii="Times New Roman" w:hAnsi="Times New Roman" w:cs="Times New Roman"/>
        </w:rPr>
        <w:t>klírensom kreatinínu &lt;30</w:t>
      </w:r>
      <w:r w:rsidR="00547A4D" w:rsidRPr="007656B5">
        <w:rPr>
          <w:rFonts w:ascii="Times New Roman" w:hAnsi="Times New Roman" w:cs="Times New Roman"/>
        </w:rPr>
        <w:t> </w:t>
      </w:r>
      <w:r w:rsidRPr="007656B5">
        <w:rPr>
          <w:rFonts w:ascii="Times New Roman" w:hAnsi="Times New Roman" w:cs="Times New Roman"/>
        </w:rPr>
        <w:t>ml/min a</w:t>
      </w:r>
      <w:r w:rsidR="00547A4D" w:rsidRPr="007656B5">
        <w:rPr>
          <w:rFonts w:ascii="Times New Roman" w:hAnsi="Times New Roman" w:cs="Times New Roman"/>
        </w:rPr>
        <w:t> </w:t>
      </w:r>
      <w:r w:rsidRPr="007656B5">
        <w:rPr>
          <w:rFonts w:ascii="Times New Roman" w:hAnsi="Times New Roman" w:cs="Times New Roman"/>
        </w:rPr>
        <w:t>u</w:t>
      </w:r>
      <w:r w:rsidR="00547A4D" w:rsidRPr="007656B5">
        <w:rPr>
          <w:rFonts w:ascii="Times New Roman" w:hAnsi="Times New Roman" w:cs="Times New Roman"/>
        </w:rPr>
        <w:t> </w:t>
      </w:r>
      <w:r w:rsidRPr="007656B5">
        <w:rPr>
          <w:rFonts w:ascii="Times New Roman" w:hAnsi="Times New Roman" w:cs="Times New Roman"/>
        </w:rPr>
        <w:t xml:space="preserve">dialyzovaných </w:t>
      </w:r>
      <w:r w:rsidR="007D655F" w:rsidRPr="007656B5">
        <w:rPr>
          <w:rFonts w:ascii="Times New Roman" w:hAnsi="Times New Roman" w:cs="Times New Roman"/>
        </w:rPr>
        <w:t>detí a</w:t>
      </w:r>
      <w:r w:rsidR="00005944" w:rsidRPr="007656B5">
        <w:rPr>
          <w:rFonts w:ascii="Times New Roman" w:hAnsi="Times New Roman" w:cs="Times New Roman"/>
        </w:rPr>
        <w:t> </w:t>
      </w:r>
      <w:r w:rsidR="007D655F" w:rsidRPr="007656B5">
        <w:rPr>
          <w:rFonts w:ascii="Times New Roman" w:hAnsi="Times New Roman" w:cs="Times New Roman"/>
        </w:rPr>
        <w:t xml:space="preserve">dospievajúcich </w:t>
      </w:r>
      <w:r w:rsidRPr="007656B5">
        <w:rPr>
          <w:rFonts w:ascii="Times New Roman" w:hAnsi="Times New Roman" w:cs="Times New Roman"/>
        </w:rPr>
        <w:t>sa neskúmalo, preto sa použitie valsartanu u</w:t>
      </w:r>
      <w:r w:rsidR="00547A4D" w:rsidRPr="007656B5">
        <w:rPr>
          <w:rFonts w:ascii="Times New Roman" w:hAnsi="Times New Roman" w:cs="Times New Roman"/>
        </w:rPr>
        <w:t> </w:t>
      </w:r>
      <w:r w:rsidRPr="007656B5">
        <w:rPr>
          <w:rFonts w:ascii="Times New Roman" w:hAnsi="Times New Roman" w:cs="Times New Roman"/>
        </w:rPr>
        <w:t>týchto pacientov neodporúča. Úprava dávky nie je potrebná u</w:t>
      </w:r>
      <w:r w:rsidR="00547A4D" w:rsidRPr="007656B5">
        <w:rPr>
          <w:rFonts w:ascii="Times New Roman" w:hAnsi="Times New Roman" w:cs="Times New Roman"/>
        </w:rPr>
        <w:t> </w:t>
      </w:r>
      <w:r w:rsidR="007D655F" w:rsidRPr="007656B5">
        <w:rPr>
          <w:rFonts w:ascii="Times New Roman" w:hAnsi="Times New Roman" w:cs="Times New Roman"/>
        </w:rPr>
        <w:t>detí a</w:t>
      </w:r>
      <w:r w:rsidR="00547A4D" w:rsidRPr="007656B5">
        <w:rPr>
          <w:rFonts w:ascii="Times New Roman" w:hAnsi="Times New Roman" w:cs="Times New Roman"/>
        </w:rPr>
        <w:t> </w:t>
      </w:r>
      <w:r w:rsidR="007D655F" w:rsidRPr="007656B5">
        <w:rPr>
          <w:rFonts w:ascii="Times New Roman" w:hAnsi="Times New Roman" w:cs="Times New Roman"/>
        </w:rPr>
        <w:t xml:space="preserve">dospievajúcich </w:t>
      </w:r>
      <w:r w:rsidRPr="007656B5">
        <w:rPr>
          <w:rFonts w:ascii="Times New Roman" w:hAnsi="Times New Roman" w:cs="Times New Roman"/>
        </w:rPr>
        <w:t>s</w:t>
      </w:r>
      <w:r w:rsidR="00547A4D" w:rsidRPr="007656B5">
        <w:rPr>
          <w:rFonts w:ascii="Times New Roman" w:hAnsi="Times New Roman" w:cs="Times New Roman"/>
        </w:rPr>
        <w:t> </w:t>
      </w:r>
      <w:r w:rsidRPr="007656B5">
        <w:rPr>
          <w:rFonts w:ascii="Times New Roman" w:hAnsi="Times New Roman" w:cs="Times New Roman"/>
        </w:rPr>
        <w:t>klírensom kreatinínu &gt;30</w:t>
      </w:r>
      <w:r w:rsidR="00547A4D" w:rsidRPr="007656B5">
        <w:rPr>
          <w:rFonts w:ascii="Times New Roman" w:hAnsi="Times New Roman" w:cs="Times New Roman"/>
        </w:rPr>
        <w:t> </w:t>
      </w:r>
      <w:r w:rsidRPr="007656B5">
        <w:rPr>
          <w:rFonts w:ascii="Times New Roman" w:hAnsi="Times New Roman" w:cs="Times New Roman"/>
        </w:rPr>
        <w:t>ml/min. Funkcia obličiek a</w:t>
      </w:r>
      <w:r w:rsidR="00005944" w:rsidRPr="007656B5">
        <w:rPr>
          <w:rFonts w:ascii="Times New Roman" w:hAnsi="Times New Roman" w:cs="Times New Roman"/>
        </w:rPr>
        <w:t> </w:t>
      </w:r>
      <w:r w:rsidRPr="007656B5">
        <w:rPr>
          <w:rFonts w:ascii="Times New Roman" w:hAnsi="Times New Roman" w:cs="Times New Roman"/>
        </w:rPr>
        <w:t>draslík v</w:t>
      </w:r>
      <w:r w:rsidR="0039460B" w:rsidRPr="007656B5">
        <w:rPr>
          <w:rFonts w:ascii="Times New Roman" w:hAnsi="Times New Roman" w:cs="Times New Roman"/>
        </w:rPr>
        <w:t> </w:t>
      </w:r>
      <w:r w:rsidRPr="007656B5">
        <w:rPr>
          <w:rFonts w:ascii="Times New Roman" w:hAnsi="Times New Roman" w:cs="Times New Roman"/>
        </w:rPr>
        <w:t xml:space="preserve">sére sa majú starostlivo sledovať (pozri časti </w:t>
      </w:r>
      <w:smartTag w:uri="urn:schemas-microsoft-com:office:smarttags" w:element="metricconverter">
        <w:smartTagPr>
          <w:attr w:name="ProductID" w:val="4.4 a"/>
        </w:smartTagPr>
        <w:r w:rsidRPr="007656B5">
          <w:rPr>
            <w:rFonts w:ascii="Times New Roman" w:hAnsi="Times New Roman" w:cs="Times New Roman"/>
          </w:rPr>
          <w:t>4.4 a</w:t>
        </w:r>
        <w:r w:rsidR="00547A4D" w:rsidRPr="007656B5">
          <w:rPr>
            <w:rFonts w:ascii="Times New Roman" w:hAnsi="Times New Roman" w:cs="Times New Roman"/>
          </w:rPr>
          <w:t> </w:t>
        </w:r>
      </w:smartTag>
      <w:r w:rsidRPr="007656B5">
        <w:rPr>
          <w:rFonts w:ascii="Times New Roman" w:hAnsi="Times New Roman" w:cs="Times New Roman"/>
        </w:rPr>
        <w:t>5.2).</w:t>
      </w:r>
    </w:p>
    <w:p w:rsidR="00425FAD" w:rsidRPr="007656B5" w:rsidRDefault="007C2ED7">
      <w:pPr>
        <w:pStyle w:val="Styl3"/>
        <w:rPr>
          <w:szCs w:val="22"/>
        </w:rPr>
      </w:pPr>
      <w:r w:rsidRPr="007656B5">
        <w:rPr>
          <w:szCs w:val="22"/>
        </w:rPr>
        <w:t>Použitie u</w:t>
      </w:r>
      <w:r w:rsidR="00547A4D" w:rsidRPr="007656B5">
        <w:rPr>
          <w:szCs w:val="22"/>
        </w:rPr>
        <w:t> </w:t>
      </w:r>
      <w:r w:rsidR="007D655F" w:rsidRPr="007656B5">
        <w:rPr>
          <w:szCs w:val="22"/>
        </w:rPr>
        <w:t>detí a</w:t>
      </w:r>
      <w:r w:rsidR="00547A4D" w:rsidRPr="007656B5">
        <w:rPr>
          <w:szCs w:val="22"/>
        </w:rPr>
        <w:t> </w:t>
      </w:r>
      <w:r w:rsidR="007D655F" w:rsidRPr="007656B5">
        <w:rPr>
          <w:szCs w:val="22"/>
        </w:rPr>
        <w:t xml:space="preserve">dospievajúcich </w:t>
      </w:r>
      <w:r w:rsidRPr="007656B5">
        <w:rPr>
          <w:szCs w:val="22"/>
        </w:rPr>
        <w:t>vo veku od 6 do 18 rokov s</w:t>
      </w:r>
      <w:r w:rsidR="00547A4D" w:rsidRPr="007656B5">
        <w:rPr>
          <w:szCs w:val="22"/>
        </w:rPr>
        <w:t> </w:t>
      </w:r>
      <w:r w:rsidR="00B74AD7" w:rsidRPr="007656B5">
        <w:rPr>
          <w:szCs w:val="22"/>
        </w:rPr>
        <w:t xml:space="preserve">poruchou </w:t>
      </w:r>
      <w:r w:rsidRPr="007656B5">
        <w:rPr>
          <w:szCs w:val="22"/>
        </w:rPr>
        <w:t>funkcie pečene</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Tak ako u</w:t>
      </w:r>
      <w:r w:rsidR="00547A4D" w:rsidRPr="007656B5">
        <w:rPr>
          <w:rFonts w:ascii="Times New Roman" w:hAnsi="Times New Roman" w:cs="Times New Roman"/>
        </w:rPr>
        <w:t> </w:t>
      </w:r>
      <w:r w:rsidRPr="007656B5">
        <w:rPr>
          <w:rFonts w:ascii="Times New Roman" w:hAnsi="Times New Roman" w:cs="Times New Roman"/>
        </w:rPr>
        <w:t>dospelých</w:t>
      </w:r>
      <w:r w:rsidR="00547A4D" w:rsidRPr="007656B5">
        <w:rPr>
          <w:rFonts w:ascii="Times New Roman" w:hAnsi="Times New Roman" w:cs="Times New Roman"/>
        </w:rPr>
        <w:t>,</w:t>
      </w:r>
      <w:r w:rsidRPr="007656B5">
        <w:rPr>
          <w:rFonts w:ascii="Times New Roman" w:hAnsi="Times New Roman" w:cs="Times New Roman"/>
        </w:rPr>
        <w:t xml:space="preserve"> </w:t>
      </w:r>
      <w:r w:rsidR="007D655F" w:rsidRPr="007656B5">
        <w:rPr>
          <w:rFonts w:ascii="Times New Roman" w:hAnsi="Times New Roman" w:cs="Times New Roman"/>
        </w:rPr>
        <w:t xml:space="preserve">valsartan je </w:t>
      </w:r>
      <w:r w:rsidRPr="007656B5">
        <w:rPr>
          <w:rFonts w:ascii="Times New Roman" w:hAnsi="Times New Roman" w:cs="Times New Roman"/>
        </w:rPr>
        <w:t>kontraindikovaný u</w:t>
      </w:r>
      <w:r w:rsidR="00547A4D" w:rsidRPr="007656B5">
        <w:rPr>
          <w:rFonts w:ascii="Times New Roman" w:hAnsi="Times New Roman" w:cs="Times New Roman"/>
        </w:rPr>
        <w:t> </w:t>
      </w:r>
      <w:r w:rsidR="007D655F" w:rsidRPr="007656B5">
        <w:rPr>
          <w:rFonts w:ascii="Times New Roman" w:hAnsi="Times New Roman" w:cs="Times New Roman"/>
        </w:rPr>
        <w:t>detí a</w:t>
      </w:r>
      <w:r w:rsidR="00C61410" w:rsidRPr="007656B5">
        <w:rPr>
          <w:rFonts w:ascii="Times New Roman" w:hAnsi="Times New Roman" w:cs="Times New Roman"/>
        </w:rPr>
        <w:t> </w:t>
      </w:r>
      <w:r w:rsidR="007D655F" w:rsidRPr="007656B5">
        <w:rPr>
          <w:rFonts w:ascii="Times New Roman" w:hAnsi="Times New Roman" w:cs="Times New Roman"/>
        </w:rPr>
        <w:t xml:space="preserve">dospievajúcich </w:t>
      </w:r>
      <w:r w:rsidRPr="007656B5">
        <w:rPr>
          <w:rFonts w:ascii="Times New Roman" w:hAnsi="Times New Roman" w:cs="Times New Roman"/>
        </w:rPr>
        <w:t>s</w:t>
      </w:r>
      <w:r w:rsidR="00547A4D" w:rsidRPr="007656B5">
        <w:rPr>
          <w:rFonts w:ascii="Times New Roman" w:hAnsi="Times New Roman" w:cs="Times New Roman"/>
        </w:rPr>
        <w:t> </w:t>
      </w:r>
      <w:r w:rsidRPr="007656B5">
        <w:rPr>
          <w:rFonts w:ascii="Times New Roman" w:hAnsi="Times New Roman" w:cs="Times New Roman"/>
        </w:rPr>
        <w:t>ťažk</w:t>
      </w:r>
      <w:r w:rsidR="00B74AD7" w:rsidRPr="007656B5">
        <w:rPr>
          <w:rFonts w:ascii="Times New Roman" w:hAnsi="Times New Roman" w:cs="Times New Roman"/>
        </w:rPr>
        <w:t>ou</w:t>
      </w:r>
      <w:r w:rsidRPr="007656B5">
        <w:rPr>
          <w:rFonts w:ascii="Times New Roman" w:hAnsi="Times New Roman" w:cs="Times New Roman"/>
        </w:rPr>
        <w:t xml:space="preserve"> </w:t>
      </w:r>
      <w:r w:rsidR="00B74AD7" w:rsidRPr="007656B5">
        <w:rPr>
          <w:rFonts w:ascii="Times New Roman" w:hAnsi="Times New Roman" w:cs="Times New Roman"/>
        </w:rPr>
        <w:t xml:space="preserve">poruchou </w:t>
      </w:r>
      <w:r w:rsidRPr="007656B5">
        <w:rPr>
          <w:rFonts w:ascii="Times New Roman" w:hAnsi="Times New Roman" w:cs="Times New Roman"/>
        </w:rPr>
        <w:t>funkcie pečene, biliárnou cirhózou a</w:t>
      </w:r>
      <w:r w:rsidR="00547A4D" w:rsidRPr="007656B5">
        <w:rPr>
          <w:rFonts w:ascii="Times New Roman" w:hAnsi="Times New Roman" w:cs="Times New Roman"/>
        </w:rPr>
        <w:t> </w:t>
      </w:r>
      <w:r w:rsidRPr="007656B5">
        <w:rPr>
          <w:rFonts w:ascii="Times New Roman" w:hAnsi="Times New Roman" w:cs="Times New Roman"/>
        </w:rPr>
        <w:t>u</w:t>
      </w:r>
      <w:r w:rsidR="00547A4D" w:rsidRPr="007656B5">
        <w:rPr>
          <w:rFonts w:ascii="Times New Roman" w:hAnsi="Times New Roman" w:cs="Times New Roman"/>
        </w:rPr>
        <w:t> </w:t>
      </w:r>
      <w:r w:rsidRPr="007656B5">
        <w:rPr>
          <w:rFonts w:ascii="Times New Roman" w:hAnsi="Times New Roman" w:cs="Times New Roman"/>
        </w:rPr>
        <w:t>pacientov s</w:t>
      </w:r>
      <w:r w:rsidR="00547A4D" w:rsidRPr="007656B5">
        <w:rPr>
          <w:rFonts w:ascii="Times New Roman" w:hAnsi="Times New Roman" w:cs="Times New Roman"/>
        </w:rPr>
        <w:t> </w:t>
      </w:r>
      <w:r w:rsidRPr="007656B5">
        <w:rPr>
          <w:rFonts w:ascii="Times New Roman" w:hAnsi="Times New Roman" w:cs="Times New Roman"/>
        </w:rPr>
        <w:t xml:space="preserve">cholestázou (pozri časti 4.3, </w:t>
      </w:r>
      <w:smartTag w:uri="urn:schemas-microsoft-com:office:smarttags" w:element="metricconverter">
        <w:smartTagPr>
          <w:attr w:name="ProductID" w:val="4.4 a"/>
        </w:smartTagPr>
        <w:r w:rsidRPr="007656B5">
          <w:rPr>
            <w:rFonts w:ascii="Times New Roman" w:hAnsi="Times New Roman" w:cs="Times New Roman"/>
          </w:rPr>
          <w:t>4.4 a</w:t>
        </w:r>
        <w:r w:rsidR="00547A4D" w:rsidRPr="007656B5">
          <w:rPr>
            <w:rFonts w:ascii="Times New Roman" w:hAnsi="Times New Roman" w:cs="Times New Roman"/>
          </w:rPr>
          <w:t> </w:t>
        </w:r>
      </w:smartTag>
      <w:r w:rsidRPr="007656B5">
        <w:rPr>
          <w:rFonts w:ascii="Times New Roman" w:hAnsi="Times New Roman" w:cs="Times New Roman"/>
        </w:rPr>
        <w:t>5.2). Klinické skúsenosti s</w:t>
      </w:r>
      <w:r w:rsidR="00547A4D" w:rsidRPr="007656B5">
        <w:rPr>
          <w:rFonts w:ascii="Times New Roman" w:hAnsi="Times New Roman" w:cs="Times New Roman"/>
        </w:rPr>
        <w:t> </w:t>
      </w:r>
      <w:r w:rsidRPr="007656B5">
        <w:rPr>
          <w:rFonts w:ascii="Times New Roman" w:hAnsi="Times New Roman" w:cs="Times New Roman"/>
        </w:rPr>
        <w:t xml:space="preserve">použitím </w:t>
      </w:r>
      <w:r w:rsidR="007D655F" w:rsidRPr="007656B5">
        <w:rPr>
          <w:rFonts w:ascii="Times New Roman" w:hAnsi="Times New Roman" w:cs="Times New Roman"/>
        </w:rPr>
        <w:t xml:space="preserve">valsartanu </w:t>
      </w:r>
      <w:r w:rsidRPr="007656B5">
        <w:rPr>
          <w:rFonts w:ascii="Times New Roman" w:hAnsi="Times New Roman" w:cs="Times New Roman"/>
        </w:rPr>
        <w:t>u</w:t>
      </w:r>
      <w:r w:rsidR="00547A4D" w:rsidRPr="007656B5">
        <w:rPr>
          <w:rFonts w:ascii="Times New Roman" w:hAnsi="Times New Roman" w:cs="Times New Roman"/>
        </w:rPr>
        <w:t> </w:t>
      </w:r>
      <w:r w:rsidR="007D655F" w:rsidRPr="007656B5">
        <w:rPr>
          <w:rFonts w:ascii="Times New Roman" w:hAnsi="Times New Roman" w:cs="Times New Roman"/>
        </w:rPr>
        <w:t>detí a</w:t>
      </w:r>
      <w:r w:rsidR="00547A4D" w:rsidRPr="007656B5">
        <w:rPr>
          <w:rFonts w:ascii="Times New Roman" w:hAnsi="Times New Roman" w:cs="Times New Roman"/>
        </w:rPr>
        <w:t> </w:t>
      </w:r>
      <w:r w:rsidR="007D655F" w:rsidRPr="007656B5">
        <w:rPr>
          <w:rFonts w:ascii="Times New Roman" w:hAnsi="Times New Roman" w:cs="Times New Roman"/>
        </w:rPr>
        <w:t xml:space="preserve">dospievajúcich </w:t>
      </w:r>
      <w:r w:rsidRPr="007656B5">
        <w:rPr>
          <w:rFonts w:ascii="Times New Roman" w:hAnsi="Times New Roman" w:cs="Times New Roman"/>
        </w:rPr>
        <w:t>s</w:t>
      </w:r>
      <w:r w:rsidR="00547A4D" w:rsidRPr="007656B5">
        <w:rPr>
          <w:rFonts w:ascii="Times New Roman" w:hAnsi="Times New Roman" w:cs="Times New Roman"/>
        </w:rPr>
        <w:t> </w:t>
      </w:r>
      <w:r w:rsidRPr="007656B5">
        <w:rPr>
          <w:rFonts w:ascii="Times New Roman" w:hAnsi="Times New Roman" w:cs="Times New Roman"/>
        </w:rPr>
        <w:t>ľahk</w:t>
      </w:r>
      <w:r w:rsidR="00E52CA0" w:rsidRPr="007656B5">
        <w:rPr>
          <w:rFonts w:ascii="Times New Roman" w:hAnsi="Times New Roman" w:cs="Times New Roman"/>
        </w:rPr>
        <w:t>ou</w:t>
      </w:r>
      <w:r w:rsidRPr="007656B5">
        <w:rPr>
          <w:rFonts w:ascii="Times New Roman" w:hAnsi="Times New Roman" w:cs="Times New Roman"/>
        </w:rPr>
        <w:t xml:space="preserve"> až stredne </w:t>
      </w:r>
      <w:r w:rsidR="00E52CA0" w:rsidRPr="007656B5">
        <w:rPr>
          <w:rFonts w:ascii="Times New Roman" w:hAnsi="Times New Roman" w:cs="Times New Roman"/>
        </w:rPr>
        <w:t>ťažkou poruchou</w:t>
      </w:r>
      <w:r w:rsidRPr="007656B5">
        <w:rPr>
          <w:rFonts w:ascii="Times New Roman" w:hAnsi="Times New Roman" w:cs="Times New Roman"/>
        </w:rPr>
        <w:t xml:space="preserve"> funkcie pečene sú obmedzené. U</w:t>
      </w:r>
      <w:r w:rsidR="00547A4D" w:rsidRPr="007656B5">
        <w:rPr>
          <w:rFonts w:ascii="Times New Roman" w:hAnsi="Times New Roman" w:cs="Times New Roman"/>
        </w:rPr>
        <w:t> </w:t>
      </w:r>
      <w:r w:rsidRPr="007656B5">
        <w:rPr>
          <w:rFonts w:ascii="Times New Roman" w:hAnsi="Times New Roman" w:cs="Times New Roman"/>
        </w:rPr>
        <w:t>týchto pacientov dávka valsartanu nemá prekročiť 80</w:t>
      </w:r>
      <w:r w:rsidR="00547A4D" w:rsidRPr="007656B5">
        <w:rPr>
          <w:rFonts w:ascii="Times New Roman" w:hAnsi="Times New Roman" w:cs="Times New Roman"/>
        </w:rPr>
        <w:t> </w:t>
      </w:r>
      <w:r w:rsidRPr="007656B5">
        <w:rPr>
          <w:rFonts w:ascii="Times New Roman" w:hAnsi="Times New Roman" w:cs="Times New Roman"/>
        </w:rPr>
        <w:t>mg.</w:t>
      </w:r>
    </w:p>
    <w:p w:rsidR="007C2ED7" w:rsidRPr="007656B5" w:rsidRDefault="007C2ED7">
      <w:pPr>
        <w:pStyle w:val="Styl3"/>
        <w:rPr>
          <w:szCs w:val="22"/>
        </w:rPr>
      </w:pPr>
      <w:r w:rsidRPr="007656B5">
        <w:rPr>
          <w:szCs w:val="22"/>
        </w:rPr>
        <w:t>Zlyhanie srdca a</w:t>
      </w:r>
      <w:r w:rsidR="00547A4D" w:rsidRPr="007656B5">
        <w:rPr>
          <w:szCs w:val="22"/>
        </w:rPr>
        <w:t> </w:t>
      </w:r>
      <w:r w:rsidRPr="007656B5">
        <w:rPr>
          <w:szCs w:val="22"/>
        </w:rPr>
        <w:t xml:space="preserve">nedávny infarkt myokardu </w:t>
      </w:r>
      <w:r w:rsidR="007D655F" w:rsidRPr="007656B5">
        <w:rPr>
          <w:szCs w:val="22"/>
        </w:rPr>
        <w:t>u detí a dospievajúcich</w:t>
      </w:r>
    </w:p>
    <w:p w:rsidR="007C2ED7" w:rsidRPr="007656B5" w:rsidRDefault="00CD1733">
      <w:pPr>
        <w:pStyle w:val="Normlndobloku"/>
        <w:rPr>
          <w:rFonts w:ascii="Times New Roman" w:hAnsi="Times New Roman" w:cs="Times New Roman"/>
        </w:rPr>
      </w:pPr>
      <w:r w:rsidRPr="007656B5">
        <w:rPr>
          <w:rFonts w:ascii="Times New Roman" w:hAnsi="Times New Roman" w:cs="Times New Roman"/>
        </w:rPr>
        <w:t>V</w:t>
      </w:r>
      <w:r w:rsidR="007D655F" w:rsidRPr="007656B5">
        <w:rPr>
          <w:rFonts w:ascii="Times New Roman" w:hAnsi="Times New Roman" w:cs="Times New Roman"/>
        </w:rPr>
        <w:t>alsartan</w:t>
      </w:r>
      <w:r w:rsidR="007C2ED7" w:rsidRPr="007656B5">
        <w:rPr>
          <w:rFonts w:ascii="Times New Roman" w:hAnsi="Times New Roman" w:cs="Times New Roman"/>
        </w:rPr>
        <w:t xml:space="preserve"> sa neodporúča na liečbu zlyhania srdca alebo nedávneho infarktu myokardu u</w:t>
      </w:r>
      <w:r w:rsidR="00AF289C" w:rsidRPr="007656B5">
        <w:rPr>
          <w:rFonts w:ascii="Times New Roman" w:hAnsi="Times New Roman" w:cs="Times New Roman"/>
        </w:rPr>
        <w:t> </w:t>
      </w:r>
      <w:r w:rsidR="007C2ED7" w:rsidRPr="007656B5">
        <w:rPr>
          <w:rFonts w:ascii="Times New Roman" w:hAnsi="Times New Roman" w:cs="Times New Roman"/>
        </w:rPr>
        <w:t>detí a</w:t>
      </w:r>
      <w:r w:rsidR="0039460B" w:rsidRPr="007656B5">
        <w:rPr>
          <w:rFonts w:ascii="Times New Roman" w:hAnsi="Times New Roman" w:cs="Times New Roman"/>
        </w:rPr>
        <w:t> </w:t>
      </w:r>
      <w:r w:rsidR="007C2ED7" w:rsidRPr="007656B5">
        <w:rPr>
          <w:rFonts w:ascii="Times New Roman" w:hAnsi="Times New Roman" w:cs="Times New Roman"/>
        </w:rPr>
        <w:t>dospievajúcich mladších ako 18 rokov kvôli chýbajúcim údajom o</w:t>
      </w:r>
      <w:r w:rsidR="00AF289C" w:rsidRPr="007656B5">
        <w:rPr>
          <w:rFonts w:ascii="Times New Roman" w:hAnsi="Times New Roman" w:cs="Times New Roman"/>
        </w:rPr>
        <w:t> </w:t>
      </w:r>
      <w:r w:rsidR="007C2ED7" w:rsidRPr="007656B5">
        <w:rPr>
          <w:rFonts w:ascii="Times New Roman" w:hAnsi="Times New Roman" w:cs="Times New Roman"/>
        </w:rPr>
        <w:t>bezpečnosti a</w:t>
      </w:r>
      <w:r w:rsidR="00AF289C" w:rsidRPr="007656B5">
        <w:rPr>
          <w:rFonts w:ascii="Times New Roman" w:hAnsi="Times New Roman" w:cs="Times New Roman"/>
        </w:rPr>
        <w:t> </w:t>
      </w:r>
      <w:r w:rsidR="007C2ED7" w:rsidRPr="007656B5">
        <w:rPr>
          <w:rFonts w:ascii="Times New Roman" w:hAnsi="Times New Roman" w:cs="Times New Roman"/>
        </w:rPr>
        <w:t>účinnosti.</w:t>
      </w:r>
    </w:p>
    <w:p w:rsidR="00B65920" w:rsidRPr="007656B5" w:rsidRDefault="00B65920" w:rsidP="00B65920">
      <w:pPr>
        <w:pStyle w:val="Normlndobloku"/>
        <w:rPr>
          <w:rFonts w:ascii="Times New Roman" w:hAnsi="Times New Roman" w:cs="Times New Roman"/>
        </w:rPr>
      </w:pPr>
      <w:r w:rsidRPr="007656B5">
        <w:rPr>
          <w:rFonts w:ascii="Times New Roman" w:hAnsi="Times New Roman" w:cs="Times New Roman"/>
        </w:rPr>
        <w:t>Liek VAPRESS v sile 40 mg nie je v SR registrovaný, na trhu sú k dispozícii iné lieky s obsahom valsartanu v sile 40 mg.</w:t>
      </w:r>
    </w:p>
    <w:p w:rsidR="00B65920" w:rsidRPr="007656B5" w:rsidRDefault="00B65920">
      <w:pPr>
        <w:pStyle w:val="Normlndobloku"/>
        <w:rPr>
          <w:rFonts w:ascii="Times New Roman" w:hAnsi="Times New Roman" w:cs="Times New Roman"/>
        </w:rPr>
      </w:pPr>
    </w:p>
    <w:p w:rsidR="007C2ED7" w:rsidRPr="007656B5" w:rsidRDefault="007C2ED7" w:rsidP="00D50784">
      <w:pPr>
        <w:pStyle w:val="Styl2-2"/>
        <w:rPr>
          <w:szCs w:val="22"/>
        </w:rPr>
      </w:pPr>
      <w:r w:rsidRPr="007656B5">
        <w:rPr>
          <w:szCs w:val="22"/>
        </w:rPr>
        <w:t>Spôsob podávania</w:t>
      </w:r>
    </w:p>
    <w:p w:rsidR="007C2ED7" w:rsidRPr="007656B5" w:rsidRDefault="00CD1733" w:rsidP="007C44E3">
      <w:pPr>
        <w:pStyle w:val="Normlndobloku"/>
        <w:rPr>
          <w:rFonts w:ascii="Times New Roman" w:hAnsi="Times New Roman" w:cs="Times New Roman"/>
        </w:rPr>
      </w:pPr>
      <w:r w:rsidRPr="007656B5">
        <w:rPr>
          <w:rFonts w:ascii="Times New Roman" w:hAnsi="Times New Roman" w:cs="Times New Roman"/>
        </w:rPr>
        <w:t>VAPRESS</w:t>
      </w:r>
      <w:r w:rsidR="007C2ED7" w:rsidRPr="007656B5">
        <w:rPr>
          <w:rFonts w:ascii="Times New Roman" w:hAnsi="Times New Roman" w:cs="Times New Roman"/>
        </w:rPr>
        <w:t xml:space="preserve"> sa môže užívať bez ohľadu na jedlo a</w:t>
      </w:r>
      <w:r w:rsidR="00AF289C" w:rsidRPr="007656B5">
        <w:rPr>
          <w:rFonts w:ascii="Times New Roman" w:hAnsi="Times New Roman" w:cs="Times New Roman"/>
        </w:rPr>
        <w:t> </w:t>
      </w:r>
      <w:r w:rsidR="007C2ED7" w:rsidRPr="007656B5">
        <w:rPr>
          <w:rFonts w:ascii="Times New Roman" w:hAnsi="Times New Roman" w:cs="Times New Roman"/>
        </w:rPr>
        <w:t>má sa užívať s</w:t>
      </w:r>
      <w:r w:rsidR="00AF289C" w:rsidRPr="007656B5">
        <w:rPr>
          <w:rFonts w:ascii="Times New Roman" w:hAnsi="Times New Roman" w:cs="Times New Roman"/>
        </w:rPr>
        <w:t> </w:t>
      </w:r>
      <w:r w:rsidR="007C2ED7" w:rsidRPr="007656B5">
        <w:rPr>
          <w:rFonts w:ascii="Times New Roman" w:hAnsi="Times New Roman" w:cs="Times New Roman"/>
        </w:rPr>
        <w:t>vodou.</w:t>
      </w:r>
    </w:p>
    <w:p w:rsidR="007C2ED7" w:rsidRPr="007656B5" w:rsidRDefault="007C2ED7" w:rsidP="00D50784">
      <w:pPr>
        <w:pStyle w:val="Styl2"/>
      </w:pPr>
      <w:r w:rsidRPr="007656B5">
        <w:t>Kontraindikácie</w:t>
      </w:r>
    </w:p>
    <w:p w:rsidR="007C2ED7" w:rsidRPr="007656B5" w:rsidRDefault="007C2ED7" w:rsidP="00C03617">
      <w:pPr>
        <w:numPr>
          <w:ilvl w:val="0"/>
          <w:numId w:val="28"/>
        </w:numPr>
        <w:rPr>
          <w:sz w:val="22"/>
          <w:szCs w:val="22"/>
        </w:rPr>
      </w:pPr>
      <w:r w:rsidRPr="007656B5">
        <w:rPr>
          <w:sz w:val="22"/>
          <w:szCs w:val="22"/>
        </w:rPr>
        <w:t>Precitlivenosť na liečivo alebo na ktorúkoľvek z</w:t>
      </w:r>
      <w:r w:rsidR="00AF289C" w:rsidRPr="007656B5">
        <w:rPr>
          <w:sz w:val="22"/>
          <w:szCs w:val="22"/>
        </w:rPr>
        <w:t> </w:t>
      </w:r>
      <w:r w:rsidRPr="007656B5">
        <w:rPr>
          <w:sz w:val="22"/>
          <w:szCs w:val="22"/>
        </w:rPr>
        <w:t>pomocných látok</w:t>
      </w:r>
      <w:r w:rsidR="00B774BC" w:rsidRPr="007656B5">
        <w:rPr>
          <w:sz w:val="22"/>
          <w:szCs w:val="22"/>
        </w:rPr>
        <w:t xml:space="preserve"> </w:t>
      </w:r>
      <w:r w:rsidR="00AF289C" w:rsidRPr="007656B5">
        <w:rPr>
          <w:sz w:val="22"/>
          <w:szCs w:val="22"/>
        </w:rPr>
        <w:t>uvedených v časti 6.1</w:t>
      </w:r>
    </w:p>
    <w:p w:rsidR="007C2ED7" w:rsidRPr="007656B5" w:rsidRDefault="007C2ED7" w:rsidP="007C44E3">
      <w:pPr>
        <w:pStyle w:val="Normlndoblokusodrkami"/>
        <w:numPr>
          <w:ilvl w:val="0"/>
          <w:numId w:val="28"/>
        </w:numPr>
        <w:rPr>
          <w:rFonts w:ascii="Times New Roman" w:hAnsi="Times New Roman" w:cs="Times New Roman"/>
        </w:rPr>
      </w:pPr>
      <w:r w:rsidRPr="007656B5">
        <w:rPr>
          <w:rFonts w:ascii="Times New Roman" w:hAnsi="Times New Roman" w:cs="Times New Roman"/>
        </w:rPr>
        <w:t>Ťažk</w:t>
      </w:r>
      <w:r w:rsidR="001E0D1F" w:rsidRPr="007656B5">
        <w:rPr>
          <w:rFonts w:ascii="Times New Roman" w:hAnsi="Times New Roman" w:cs="Times New Roman"/>
        </w:rPr>
        <w:t>á</w:t>
      </w:r>
      <w:r w:rsidRPr="007656B5">
        <w:rPr>
          <w:rFonts w:ascii="Times New Roman" w:hAnsi="Times New Roman" w:cs="Times New Roman"/>
        </w:rPr>
        <w:t xml:space="preserve"> </w:t>
      </w:r>
      <w:r w:rsidR="00B774BC" w:rsidRPr="007656B5">
        <w:rPr>
          <w:rFonts w:ascii="Times New Roman" w:hAnsi="Times New Roman" w:cs="Times New Roman"/>
        </w:rPr>
        <w:t>porucha funkcie pečene</w:t>
      </w:r>
      <w:r w:rsidRPr="007656B5">
        <w:rPr>
          <w:rFonts w:ascii="Times New Roman" w:hAnsi="Times New Roman" w:cs="Times New Roman"/>
        </w:rPr>
        <w:t>, biliárna cirhóza a</w:t>
      </w:r>
      <w:r w:rsidR="00AF289C" w:rsidRPr="007656B5">
        <w:rPr>
          <w:rFonts w:ascii="Times New Roman" w:hAnsi="Times New Roman" w:cs="Times New Roman"/>
        </w:rPr>
        <w:t> </w:t>
      </w:r>
      <w:r w:rsidRPr="007656B5">
        <w:rPr>
          <w:rFonts w:ascii="Times New Roman" w:hAnsi="Times New Roman" w:cs="Times New Roman"/>
        </w:rPr>
        <w:t>cholestáza</w:t>
      </w:r>
    </w:p>
    <w:p w:rsidR="007C2ED7" w:rsidRPr="007656B5" w:rsidRDefault="007C2ED7" w:rsidP="007C44E3">
      <w:pPr>
        <w:pStyle w:val="Normlndoblokusodrkami"/>
        <w:numPr>
          <w:ilvl w:val="0"/>
          <w:numId w:val="28"/>
        </w:numPr>
        <w:rPr>
          <w:rFonts w:ascii="Times New Roman" w:hAnsi="Times New Roman" w:cs="Times New Roman"/>
        </w:rPr>
      </w:pPr>
      <w:r w:rsidRPr="007656B5">
        <w:rPr>
          <w:rFonts w:ascii="Times New Roman" w:hAnsi="Times New Roman" w:cs="Times New Roman"/>
        </w:rPr>
        <w:t>Druhý a</w:t>
      </w:r>
      <w:r w:rsidR="00AF289C" w:rsidRPr="007656B5">
        <w:rPr>
          <w:rFonts w:ascii="Times New Roman" w:hAnsi="Times New Roman" w:cs="Times New Roman"/>
        </w:rPr>
        <w:t> </w:t>
      </w:r>
      <w:r w:rsidRPr="007656B5">
        <w:rPr>
          <w:rFonts w:ascii="Times New Roman" w:hAnsi="Times New Roman" w:cs="Times New Roman"/>
        </w:rPr>
        <w:t xml:space="preserve">tretí trimester gravidity (pozri časti </w:t>
      </w:r>
      <w:smartTag w:uri="urn:schemas-microsoft-com:office:smarttags" w:element="metricconverter">
        <w:smartTagPr>
          <w:attr w:name="ProductID" w:val="4.4 a"/>
        </w:smartTagPr>
        <w:r w:rsidRPr="007656B5">
          <w:rPr>
            <w:rFonts w:ascii="Times New Roman" w:hAnsi="Times New Roman" w:cs="Times New Roman"/>
          </w:rPr>
          <w:t>4.4 a</w:t>
        </w:r>
        <w:r w:rsidR="00AF289C" w:rsidRPr="007656B5">
          <w:rPr>
            <w:rFonts w:ascii="Times New Roman" w:hAnsi="Times New Roman" w:cs="Times New Roman"/>
          </w:rPr>
          <w:t> </w:t>
        </w:r>
      </w:smartTag>
      <w:r w:rsidRPr="007656B5">
        <w:rPr>
          <w:rFonts w:ascii="Times New Roman" w:hAnsi="Times New Roman" w:cs="Times New Roman"/>
        </w:rPr>
        <w:t>4.6)</w:t>
      </w:r>
    </w:p>
    <w:p w:rsidR="005E7C17" w:rsidRPr="007656B5" w:rsidRDefault="005E7C17" w:rsidP="009B52F3">
      <w:pPr>
        <w:pStyle w:val="Normlndoblokusodrkami"/>
        <w:numPr>
          <w:ilvl w:val="0"/>
          <w:numId w:val="28"/>
        </w:numPr>
        <w:rPr>
          <w:rFonts w:ascii="Times New Roman" w:hAnsi="Times New Roman" w:cs="Times New Roman"/>
        </w:rPr>
      </w:pPr>
      <w:r w:rsidRPr="007656B5">
        <w:rPr>
          <w:rFonts w:ascii="Times New Roman" w:hAnsi="Times New Roman" w:cs="Times New Roman"/>
        </w:rPr>
        <w:t>Sú</w:t>
      </w:r>
      <w:r w:rsidR="003F07EA" w:rsidRPr="007656B5">
        <w:rPr>
          <w:rFonts w:ascii="Times New Roman" w:hAnsi="Times New Roman" w:cs="Times New Roman"/>
        </w:rPr>
        <w:t>bežné</w:t>
      </w:r>
      <w:r w:rsidRPr="007656B5">
        <w:rPr>
          <w:rFonts w:ascii="Times New Roman" w:hAnsi="Times New Roman" w:cs="Times New Roman"/>
        </w:rPr>
        <w:t xml:space="preserve"> </w:t>
      </w:r>
      <w:r w:rsidR="003F07EA" w:rsidRPr="007656B5">
        <w:rPr>
          <w:rFonts w:ascii="Times New Roman" w:hAnsi="Times New Roman" w:cs="Times New Roman"/>
        </w:rPr>
        <w:t>po</w:t>
      </w:r>
      <w:r w:rsidRPr="007656B5">
        <w:rPr>
          <w:rFonts w:ascii="Times New Roman" w:hAnsi="Times New Roman" w:cs="Times New Roman"/>
        </w:rPr>
        <w:t>užív</w:t>
      </w:r>
      <w:r w:rsidR="00B774BC" w:rsidRPr="007656B5">
        <w:rPr>
          <w:rFonts w:ascii="Times New Roman" w:hAnsi="Times New Roman" w:cs="Times New Roman"/>
        </w:rPr>
        <w:t>anie lieku VAPRESS s liekmi</w:t>
      </w:r>
      <w:r w:rsidRPr="007656B5">
        <w:rPr>
          <w:rFonts w:ascii="Times New Roman" w:hAnsi="Times New Roman" w:cs="Times New Roman"/>
        </w:rPr>
        <w:t xml:space="preserve"> obsahujúcimi aliskirén je kontraindikované u pacientov s diabetes mellitus alebo s poruchou funkcie obličiek (GFR &lt; 60</w:t>
      </w:r>
      <w:r w:rsidR="00AF289C" w:rsidRPr="007656B5">
        <w:rPr>
          <w:rFonts w:ascii="Times New Roman" w:hAnsi="Times New Roman" w:cs="Times New Roman"/>
        </w:rPr>
        <w:t> </w:t>
      </w:r>
      <w:r w:rsidRPr="007656B5">
        <w:rPr>
          <w:rFonts w:ascii="Times New Roman" w:hAnsi="Times New Roman" w:cs="Times New Roman"/>
        </w:rPr>
        <w:t>ml/min/1,73</w:t>
      </w:r>
      <w:r w:rsidR="00AF289C" w:rsidRPr="007656B5">
        <w:rPr>
          <w:rFonts w:ascii="Times New Roman" w:hAnsi="Times New Roman" w:cs="Times New Roman"/>
        </w:rPr>
        <w:t> </w:t>
      </w:r>
      <w:r w:rsidRPr="007656B5">
        <w:rPr>
          <w:rFonts w:ascii="Times New Roman" w:hAnsi="Times New Roman" w:cs="Times New Roman"/>
        </w:rPr>
        <w:t>m</w:t>
      </w:r>
      <w:r w:rsidRPr="007656B5">
        <w:rPr>
          <w:rFonts w:ascii="Times New Roman" w:hAnsi="Times New Roman" w:cs="Times New Roman"/>
          <w:vertAlign w:val="superscript"/>
        </w:rPr>
        <w:t>2</w:t>
      </w:r>
      <w:r w:rsidRPr="007656B5">
        <w:rPr>
          <w:rFonts w:ascii="Times New Roman" w:hAnsi="Times New Roman" w:cs="Times New Roman"/>
        </w:rPr>
        <w:t>, pozri časti 4.5 a 5.1)</w:t>
      </w:r>
    </w:p>
    <w:p w:rsidR="00AF6009" w:rsidRPr="007656B5" w:rsidRDefault="007C2ED7" w:rsidP="00201A3B">
      <w:pPr>
        <w:pStyle w:val="Styl2"/>
      </w:pPr>
      <w:r w:rsidRPr="007656B5">
        <w:lastRenderedPageBreak/>
        <w:t>Osobitné upozornenia a</w:t>
      </w:r>
      <w:r w:rsidR="00AF289C" w:rsidRPr="007656B5">
        <w:t> </w:t>
      </w:r>
      <w:r w:rsidRPr="007656B5">
        <w:t>opatre</w:t>
      </w:r>
      <w:r w:rsidR="00C61410" w:rsidRPr="007656B5">
        <w:t>nia pri používaní</w:t>
      </w:r>
    </w:p>
    <w:p w:rsidR="007C2ED7" w:rsidRPr="007656B5" w:rsidRDefault="007C2ED7">
      <w:pPr>
        <w:pStyle w:val="Styl3"/>
        <w:rPr>
          <w:szCs w:val="22"/>
        </w:rPr>
      </w:pPr>
      <w:r w:rsidRPr="007656B5">
        <w:rPr>
          <w:szCs w:val="22"/>
        </w:rPr>
        <w:t>Hyperkaliémia</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Súbežné použitie s</w:t>
      </w:r>
      <w:r w:rsidR="00AF289C" w:rsidRPr="007656B5">
        <w:rPr>
          <w:rFonts w:ascii="Times New Roman" w:hAnsi="Times New Roman" w:cs="Times New Roman"/>
        </w:rPr>
        <w:t> </w:t>
      </w:r>
      <w:r w:rsidRPr="007656B5">
        <w:rPr>
          <w:rFonts w:ascii="Times New Roman" w:hAnsi="Times New Roman" w:cs="Times New Roman"/>
        </w:rPr>
        <w:t>doplnkami draslíka, diuretikami šetriacimi draslík, náhradami solí obsahujúcimi draslík alebo inými liekmi, ktoré môžu hladinu draslíka zvyšovať (heparín atď.) sa neodporúča. Podľa potreby sa má monitorovať hladina draslíka.</w:t>
      </w:r>
    </w:p>
    <w:p w:rsidR="007C2ED7" w:rsidRPr="007656B5" w:rsidRDefault="00B774BC">
      <w:pPr>
        <w:pStyle w:val="Styl3"/>
        <w:rPr>
          <w:szCs w:val="22"/>
        </w:rPr>
      </w:pPr>
      <w:r w:rsidRPr="007656B5">
        <w:rPr>
          <w:szCs w:val="22"/>
        </w:rPr>
        <w:t>Porucha funkcie obličiek</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V</w:t>
      </w:r>
      <w:r w:rsidR="00AF289C" w:rsidRPr="007656B5">
        <w:rPr>
          <w:rFonts w:ascii="Times New Roman" w:hAnsi="Times New Roman" w:cs="Times New Roman"/>
        </w:rPr>
        <w:t> </w:t>
      </w:r>
      <w:r w:rsidRPr="007656B5">
        <w:rPr>
          <w:rFonts w:ascii="Times New Roman" w:hAnsi="Times New Roman" w:cs="Times New Roman"/>
        </w:rPr>
        <w:t>súčasnosti nie sú žiadne skúsenosti s</w:t>
      </w:r>
      <w:r w:rsidR="00AF289C" w:rsidRPr="007656B5">
        <w:rPr>
          <w:rFonts w:ascii="Times New Roman" w:hAnsi="Times New Roman" w:cs="Times New Roman"/>
        </w:rPr>
        <w:t> </w:t>
      </w:r>
      <w:r w:rsidRPr="007656B5">
        <w:rPr>
          <w:rFonts w:ascii="Times New Roman" w:hAnsi="Times New Roman" w:cs="Times New Roman"/>
        </w:rPr>
        <w:t>bezpečným použitím u</w:t>
      </w:r>
      <w:r w:rsidR="00AF289C" w:rsidRPr="007656B5">
        <w:rPr>
          <w:rFonts w:ascii="Times New Roman" w:hAnsi="Times New Roman" w:cs="Times New Roman"/>
        </w:rPr>
        <w:t> </w:t>
      </w:r>
      <w:r w:rsidRPr="007656B5">
        <w:rPr>
          <w:rFonts w:ascii="Times New Roman" w:hAnsi="Times New Roman" w:cs="Times New Roman"/>
        </w:rPr>
        <w:t>pacientov s</w:t>
      </w:r>
      <w:r w:rsidR="00AF289C" w:rsidRPr="007656B5">
        <w:rPr>
          <w:rFonts w:ascii="Times New Roman" w:hAnsi="Times New Roman" w:cs="Times New Roman"/>
        </w:rPr>
        <w:t> </w:t>
      </w:r>
      <w:r w:rsidRPr="007656B5">
        <w:rPr>
          <w:rFonts w:ascii="Times New Roman" w:hAnsi="Times New Roman" w:cs="Times New Roman"/>
        </w:rPr>
        <w:t>klírensom kreatinínu &lt;10</w:t>
      </w:r>
      <w:r w:rsidR="00F9601E" w:rsidRPr="007656B5">
        <w:rPr>
          <w:rFonts w:ascii="Times New Roman" w:hAnsi="Times New Roman" w:cs="Times New Roman"/>
        </w:rPr>
        <w:t> </w:t>
      </w:r>
      <w:r w:rsidRPr="007656B5">
        <w:rPr>
          <w:rFonts w:ascii="Times New Roman" w:hAnsi="Times New Roman" w:cs="Times New Roman"/>
        </w:rPr>
        <w:t>ml/min a</w:t>
      </w:r>
      <w:r w:rsidR="00AF289C" w:rsidRPr="007656B5">
        <w:rPr>
          <w:rFonts w:ascii="Times New Roman" w:hAnsi="Times New Roman" w:cs="Times New Roman"/>
        </w:rPr>
        <w:t> </w:t>
      </w:r>
      <w:r w:rsidRPr="007656B5">
        <w:rPr>
          <w:rFonts w:ascii="Times New Roman" w:hAnsi="Times New Roman" w:cs="Times New Roman"/>
        </w:rPr>
        <w:t>u</w:t>
      </w:r>
      <w:r w:rsidR="00AF289C" w:rsidRPr="007656B5">
        <w:rPr>
          <w:rFonts w:ascii="Times New Roman" w:hAnsi="Times New Roman" w:cs="Times New Roman"/>
        </w:rPr>
        <w:t> </w:t>
      </w:r>
      <w:r w:rsidRPr="007656B5">
        <w:rPr>
          <w:rFonts w:ascii="Times New Roman" w:hAnsi="Times New Roman" w:cs="Times New Roman"/>
        </w:rPr>
        <w:t>dialyzovaných pacientov, preto sa má valsartan používať u</w:t>
      </w:r>
      <w:r w:rsidR="00AF289C" w:rsidRPr="007656B5">
        <w:rPr>
          <w:rFonts w:ascii="Times New Roman" w:hAnsi="Times New Roman" w:cs="Times New Roman"/>
        </w:rPr>
        <w:t> </w:t>
      </w:r>
      <w:r w:rsidRPr="007656B5">
        <w:rPr>
          <w:rFonts w:ascii="Times New Roman" w:hAnsi="Times New Roman" w:cs="Times New Roman"/>
        </w:rPr>
        <w:t>týchto pacientov opatrne. Úprava dávky nie je potrebná u</w:t>
      </w:r>
      <w:r w:rsidR="00AF289C" w:rsidRPr="007656B5">
        <w:rPr>
          <w:rFonts w:ascii="Times New Roman" w:hAnsi="Times New Roman" w:cs="Times New Roman"/>
        </w:rPr>
        <w:t> </w:t>
      </w:r>
      <w:r w:rsidRPr="007656B5">
        <w:rPr>
          <w:rFonts w:ascii="Times New Roman" w:hAnsi="Times New Roman" w:cs="Times New Roman"/>
        </w:rPr>
        <w:t>dospelých pacientov s</w:t>
      </w:r>
      <w:r w:rsidR="00AF289C" w:rsidRPr="007656B5">
        <w:rPr>
          <w:rFonts w:ascii="Times New Roman" w:hAnsi="Times New Roman" w:cs="Times New Roman"/>
        </w:rPr>
        <w:t> </w:t>
      </w:r>
      <w:r w:rsidRPr="007656B5">
        <w:rPr>
          <w:rFonts w:ascii="Times New Roman" w:hAnsi="Times New Roman" w:cs="Times New Roman"/>
        </w:rPr>
        <w:t>klírensom kreatinínu &gt;10</w:t>
      </w:r>
      <w:r w:rsidR="00AF289C" w:rsidRPr="007656B5">
        <w:rPr>
          <w:rFonts w:ascii="Times New Roman" w:hAnsi="Times New Roman" w:cs="Times New Roman"/>
        </w:rPr>
        <w:t> </w:t>
      </w:r>
      <w:r w:rsidRPr="007656B5">
        <w:rPr>
          <w:rFonts w:ascii="Times New Roman" w:hAnsi="Times New Roman" w:cs="Times New Roman"/>
        </w:rPr>
        <w:t xml:space="preserve">ml/min (pozri časti </w:t>
      </w:r>
      <w:smartTag w:uri="urn:schemas-microsoft-com:office:smarttags" w:element="metricconverter">
        <w:smartTagPr>
          <w:attr w:name="ProductID" w:val="4.2 a"/>
        </w:smartTagPr>
        <w:r w:rsidRPr="007656B5">
          <w:rPr>
            <w:rFonts w:ascii="Times New Roman" w:hAnsi="Times New Roman" w:cs="Times New Roman"/>
          </w:rPr>
          <w:t>4.2 a</w:t>
        </w:r>
        <w:r w:rsidR="00AF289C" w:rsidRPr="007656B5">
          <w:rPr>
            <w:rFonts w:ascii="Times New Roman" w:hAnsi="Times New Roman" w:cs="Times New Roman"/>
          </w:rPr>
          <w:t> </w:t>
        </w:r>
      </w:smartTag>
      <w:r w:rsidRPr="007656B5">
        <w:rPr>
          <w:rFonts w:ascii="Times New Roman" w:hAnsi="Times New Roman" w:cs="Times New Roman"/>
        </w:rPr>
        <w:t>5.2).</w:t>
      </w:r>
    </w:p>
    <w:p w:rsidR="007C2ED7" w:rsidRPr="007656B5" w:rsidRDefault="00B774BC">
      <w:pPr>
        <w:pStyle w:val="Styl3"/>
        <w:rPr>
          <w:szCs w:val="22"/>
        </w:rPr>
      </w:pPr>
      <w:r w:rsidRPr="007656B5">
        <w:rPr>
          <w:szCs w:val="22"/>
        </w:rPr>
        <w:t>Porucha funkcie pečene</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U</w:t>
      </w:r>
      <w:r w:rsidR="00AF289C" w:rsidRPr="007656B5">
        <w:rPr>
          <w:rFonts w:ascii="Times New Roman" w:hAnsi="Times New Roman" w:cs="Times New Roman"/>
        </w:rPr>
        <w:t> </w:t>
      </w:r>
      <w:r w:rsidRPr="007656B5">
        <w:rPr>
          <w:rFonts w:ascii="Times New Roman" w:hAnsi="Times New Roman" w:cs="Times New Roman"/>
        </w:rPr>
        <w:t>pacientov s</w:t>
      </w:r>
      <w:r w:rsidR="00AF289C" w:rsidRPr="007656B5">
        <w:rPr>
          <w:rFonts w:ascii="Times New Roman" w:hAnsi="Times New Roman" w:cs="Times New Roman"/>
        </w:rPr>
        <w:t> </w:t>
      </w:r>
      <w:r w:rsidRPr="007656B5">
        <w:rPr>
          <w:rFonts w:ascii="Times New Roman" w:hAnsi="Times New Roman" w:cs="Times New Roman"/>
        </w:rPr>
        <w:t>ľahk</w:t>
      </w:r>
      <w:r w:rsidR="00252665" w:rsidRPr="007656B5">
        <w:rPr>
          <w:rFonts w:ascii="Times New Roman" w:hAnsi="Times New Roman" w:cs="Times New Roman"/>
        </w:rPr>
        <w:t>ou</w:t>
      </w:r>
      <w:r w:rsidRPr="007656B5">
        <w:rPr>
          <w:rFonts w:ascii="Times New Roman" w:hAnsi="Times New Roman" w:cs="Times New Roman"/>
        </w:rPr>
        <w:t xml:space="preserve"> až stredne ťažk</w:t>
      </w:r>
      <w:r w:rsidR="00252665" w:rsidRPr="007656B5">
        <w:rPr>
          <w:rFonts w:ascii="Times New Roman" w:hAnsi="Times New Roman" w:cs="Times New Roman"/>
        </w:rPr>
        <w:t>ou</w:t>
      </w:r>
      <w:r w:rsidRPr="007656B5">
        <w:rPr>
          <w:rFonts w:ascii="Times New Roman" w:hAnsi="Times New Roman" w:cs="Times New Roman"/>
        </w:rPr>
        <w:t xml:space="preserve"> </w:t>
      </w:r>
      <w:r w:rsidR="00252665" w:rsidRPr="007656B5">
        <w:rPr>
          <w:rFonts w:ascii="Times New Roman" w:hAnsi="Times New Roman" w:cs="Times New Roman"/>
        </w:rPr>
        <w:t xml:space="preserve">poruchou </w:t>
      </w:r>
      <w:r w:rsidRPr="007656B5">
        <w:rPr>
          <w:rFonts w:ascii="Times New Roman" w:hAnsi="Times New Roman" w:cs="Times New Roman"/>
        </w:rPr>
        <w:t xml:space="preserve">funkcie pečene bez cholestázy sa má </w:t>
      </w:r>
      <w:r w:rsidR="003B7D10" w:rsidRPr="007656B5">
        <w:rPr>
          <w:rFonts w:ascii="Times New Roman" w:hAnsi="Times New Roman" w:cs="Times New Roman"/>
        </w:rPr>
        <w:t>valsartan</w:t>
      </w:r>
      <w:r w:rsidRPr="007656B5">
        <w:rPr>
          <w:rFonts w:ascii="Times New Roman" w:hAnsi="Times New Roman" w:cs="Times New Roman"/>
        </w:rPr>
        <w:t xml:space="preserve"> používať opatrne (pozri časti </w:t>
      </w:r>
      <w:smartTag w:uri="urn:schemas-microsoft-com:office:smarttags" w:element="metricconverter">
        <w:smartTagPr>
          <w:attr w:name="ProductID" w:val="4.2 a"/>
        </w:smartTagPr>
        <w:r w:rsidRPr="007656B5">
          <w:rPr>
            <w:rFonts w:ascii="Times New Roman" w:hAnsi="Times New Roman" w:cs="Times New Roman"/>
          </w:rPr>
          <w:t>4.2 a</w:t>
        </w:r>
        <w:r w:rsidR="00AF289C" w:rsidRPr="007656B5">
          <w:rPr>
            <w:rFonts w:ascii="Times New Roman" w:hAnsi="Times New Roman" w:cs="Times New Roman"/>
          </w:rPr>
          <w:t> </w:t>
        </w:r>
      </w:smartTag>
      <w:r w:rsidRPr="007656B5">
        <w:rPr>
          <w:rFonts w:ascii="Times New Roman" w:hAnsi="Times New Roman" w:cs="Times New Roman"/>
        </w:rPr>
        <w:t>5.2).</w:t>
      </w:r>
    </w:p>
    <w:p w:rsidR="007C2ED7" w:rsidRPr="007656B5" w:rsidRDefault="007C2ED7">
      <w:pPr>
        <w:pStyle w:val="Styl3"/>
        <w:rPr>
          <w:szCs w:val="22"/>
        </w:rPr>
      </w:pPr>
      <w:r w:rsidRPr="007656B5">
        <w:rPr>
          <w:szCs w:val="22"/>
        </w:rPr>
        <w:t>Pacienti s</w:t>
      </w:r>
      <w:r w:rsidR="00AF289C" w:rsidRPr="007656B5">
        <w:rPr>
          <w:szCs w:val="22"/>
        </w:rPr>
        <w:t> </w:t>
      </w:r>
      <w:r w:rsidRPr="007656B5">
        <w:rPr>
          <w:szCs w:val="22"/>
        </w:rPr>
        <w:t>depléciou sodíka a/alebo objemu</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U</w:t>
      </w:r>
      <w:r w:rsidR="00AF289C" w:rsidRPr="007656B5">
        <w:rPr>
          <w:rFonts w:ascii="Times New Roman" w:hAnsi="Times New Roman" w:cs="Times New Roman"/>
        </w:rPr>
        <w:t> </w:t>
      </w:r>
      <w:r w:rsidRPr="007656B5">
        <w:rPr>
          <w:rFonts w:ascii="Times New Roman" w:hAnsi="Times New Roman" w:cs="Times New Roman"/>
        </w:rPr>
        <w:t>pacientov so závažnou depléciou sodíka a/alebo objemu, napr.</w:t>
      </w:r>
      <w:r w:rsidR="00AF289C" w:rsidRPr="007656B5">
        <w:rPr>
          <w:rFonts w:ascii="Times New Roman" w:hAnsi="Times New Roman" w:cs="Times New Roman"/>
        </w:rPr>
        <w:t> </w:t>
      </w:r>
      <w:r w:rsidRPr="007656B5">
        <w:rPr>
          <w:rFonts w:ascii="Times New Roman" w:hAnsi="Times New Roman" w:cs="Times New Roman"/>
        </w:rPr>
        <w:t>u</w:t>
      </w:r>
      <w:r w:rsidR="00AF289C" w:rsidRPr="007656B5">
        <w:rPr>
          <w:rFonts w:ascii="Times New Roman" w:hAnsi="Times New Roman" w:cs="Times New Roman"/>
        </w:rPr>
        <w:t> </w:t>
      </w:r>
      <w:r w:rsidRPr="007656B5">
        <w:rPr>
          <w:rFonts w:ascii="Times New Roman" w:hAnsi="Times New Roman" w:cs="Times New Roman"/>
        </w:rPr>
        <w:t xml:space="preserve">takých, ktorí dostávajú vysoké dávky diuretík, sa môže po začatí liečby </w:t>
      </w:r>
      <w:r w:rsidR="00CD1733" w:rsidRPr="007656B5">
        <w:rPr>
          <w:rFonts w:ascii="Times New Roman" w:hAnsi="Times New Roman" w:cs="Times New Roman"/>
        </w:rPr>
        <w:t>valsarta</w:t>
      </w:r>
      <w:r w:rsidRPr="007656B5">
        <w:rPr>
          <w:rFonts w:ascii="Times New Roman" w:hAnsi="Times New Roman" w:cs="Times New Roman"/>
        </w:rPr>
        <w:t>nom v</w:t>
      </w:r>
      <w:r w:rsidR="00AF289C" w:rsidRPr="007656B5">
        <w:rPr>
          <w:rFonts w:ascii="Times New Roman" w:hAnsi="Times New Roman" w:cs="Times New Roman"/>
        </w:rPr>
        <w:t> </w:t>
      </w:r>
      <w:r w:rsidRPr="007656B5">
        <w:rPr>
          <w:rFonts w:ascii="Times New Roman" w:hAnsi="Times New Roman" w:cs="Times New Roman"/>
        </w:rPr>
        <w:t xml:space="preserve">zriedkavých prípadoch vyskytnúť symptomatická hypotenzia. Deplécia sodíka a/alebo objemu sa musí upraviť pred začiatkom liečby </w:t>
      </w:r>
      <w:r w:rsidR="00CD1733" w:rsidRPr="007656B5">
        <w:rPr>
          <w:rFonts w:ascii="Times New Roman" w:hAnsi="Times New Roman" w:cs="Times New Roman"/>
        </w:rPr>
        <w:t>valsartanom</w:t>
      </w:r>
      <w:r w:rsidRPr="007656B5">
        <w:rPr>
          <w:rFonts w:ascii="Times New Roman" w:hAnsi="Times New Roman" w:cs="Times New Roman"/>
        </w:rPr>
        <w:t>, napr.</w:t>
      </w:r>
      <w:r w:rsidR="00AF289C" w:rsidRPr="007656B5">
        <w:rPr>
          <w:rFonts w:ascii="Times New Roman" w:hAnsi="Times New Roman" w:cs="Times New Roman"/>
        </w:rPr>
        <w:t> </w:t>
      </w:r>
      <w:r w:rsidRPr="007656B5">
        <w:rPr>
          <w:rFonts w:ascii="Times New Roman" w:hAnsi="Times New Roman" w:cs="Times New Roman"/>
        </w:rPr>
        <w:t>znížením dávky diuretika.</w:t>
      </w:r>
    </w:p>
    <w:p w:rsidR="007C2ED7" w:rsidRPr="007656B5" w:rsidRDefault="007C2ED7">
      <w:pPr>
        <w:pStyle w:val="Styl3"/>
        <w:rPr>
          <w:szCs w:val="22"/>
        </w:rPr>
      </w:pPr>
      <w:r w:rsidRPr="007656B5">
        <w:rPr>
          <w:szCs w:val="22"/>
        </w:rPr>
        <w:t>Stenóza renálnej artérie</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 xml:space="preserve">Bezpečnosť používania </w:t>
      </w:r>
      <w:r w:rsidR="00CD1733" w:rsidRPr="007656B5">
        <w:rPr>
          <w:rFonts w:ascii="Times New Roman" w:hAnsi="Times New Roman" w:cs="Times New Roman"/>
        </w:rPr>
        <w:t>valsarta</w:t>
      </w:r>
      <w:r w:rsidRPr="007656B5">
        <w:rPr>
          <w:rFonts w:ascii="Times New Roman" w:hAnsi="Times New Roman" w:cs="Times New Roman"/>
        </w:rPr>
        <w:t>nu sa nestanovila u</w:t>
      </w:r>
      <w:r w:rsidR="00AF289C" w:rsidRPr="007656B5">
        <w:rPr>
          <w:rFonts w:ascii="Times New Roman" w:hAnsi="Times New Roman" w:cs="Times New Roman"/>
        </w:rPr>
        <w:t> </w:t>
      </w:r>
      <w:r w:rsidRPr="007656B5">
        <w:rPr>
          <w:rFonts w:ascii="Times New Roman" w:hAnsi="Times New Roman" w:cs="Times New Roman"/>
        </w:rPr>
        <w:t>pacientov s</w:t>
      </w:r>
      <w:r w:rsidR="00AF289C" w:rsidRPr="007656B5">
        <w:rPr>
          <w:rFonts w:ascii="Times New Roman" w:hAnsi="Times New Roman" w:cs="Times New Roman"/>
        </w:rPr>
        <w:t> </w:t>
      </w:r>
      <w:r w:rsidRPr="007656B5">
        <w:rPr>
          <w:rFonts w:ascii="Times New Roman" w:hAnsi="Times New Roman" w:cs="Times New Roman"/>
        </w:rPr>
        <w:t>obojstrannou stenózou renálnej artérie alebo stenózou artérie pri solitárnej obličke.</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 xml:space="preserve">Krátkodobé podávanie </w:t>
      </w:r>
      <w:r w:rsidR="003B7D10" w:rsidRPr="007656B5">
        <w:rPr>
          <w:rFonts w:ascii="Times New Roman" w:hAnsi="Times New Roman" w:cs="Times New Roman"/>
        </w:rPr>
        <w:t>valsartanu</w:t>
      </w:r>
      <w:r w:rsidRPr="007656B5">
        <w:rPr>
          <w:rFonts w:ascii="Times New Roman" w:hAnsi="Times New Roman" w:cs="Times New Roman"/>
        </w:rPr>
        <w:t xml:space="preserve"> dvanástim pacientom s</w:t>
      </w:r>
      <w:r w:rsidR="00AF289C" w:rsidRPr="007656B5">
        <w:rPr>
          <w:rFonts w:ascii="Times New Roman" w:hAnsi="Times New Roman" w:cs="Times New Roman"/>
        </w:rPr>
        <w:t> </w:t>
      </w:r>
      <w:r w:rsidRPr="007656B5">
        <w:rPr>
          <w:rFonts w:ascii="Times New Roman" w:hAnsi="Times New Roman" w:cs="Times New Roman"/>
        </w:rPr>
        <w:t>renovaskulárnou hypertenziou zapríčinenou jednostrannou stenózou renálnej artérie nespôsobilo žiadne významné zmeny renálnej hemodynamiky, kreatinínu v</w:t>
      </w:r>
      <w:r w:rsidR="00AF289C" w:rsidRPr="007656B5">
        <w:rPr>
          <w:rFonts w:ascii="Times New Roman" w:hAnsi="Times New Roman" w:cs="Times New Roman"/>
        </w:rPr>
        <w:t> </w:t>
      </w:r>
      <w:r w:rsidRPr="007656B5">
        <w:rPr>
          <w:rFonts w:ascii="Times New Roman" w:hAnsi="Times New Roman" w:cs="Times New Roman"/>
        </w:rPr>
        <w:t>sére alebo močoviny v</w:t>
      </w:r>
      <w:r w:rsidR="00AF289C" w:rsidRPr="007656B5">
        <w:rPr>
          <w:rFonts w:ascii="Times New Roman" w:hAnsi="Times New Roman" w:cs="Times New Roman"/>
        </w:rPr>
        <w:t> </w:t>
      </w:r>
      <w:r w:rsidRPr="007656B5">
        <w:rPr>
          <w:rFonts w:ascii="Times New Roman" w:hAnsi="Times New Roman" w:cs="Times New Roman"/>
        </w:rPr>
        <w:t>krvi (</w:t>
      </w:r>
      <w:r w:rsidR="00D24ACB" w:rsidRPr="007656B5">
        <w:rPr>
          <w:rFonts w:ascii="Times New Roman" w:hAnsi="Times New Roman" w:cs="Times New Roman"/>
        </w:rPr>
        <w:t xml:space="preserve">blood urea nitrogen, </w:t>
      </w:r>
      <w:r w:rsidRPr="007656B5">
        <w:rPr>
          <w:rFonts w:ascii="Times New Roman" w:hAnsi="Times New Roman" w:cs="Times New Roman"/>
        </w:rPr>
        <w:t>BUN). Avšak iné lieky, ktoré ovplyvňujú systém renín-angiotenzín, môžu zvýšiť močovinu v</w:t>
      </w:r>
      <w:r w:rsidR="00AF289C" w:rsidRPr="007656B5">
        <w:rPr>
          <w:rFonts w:ascii="Times New Roman" w:hAnsi="Times New Roman" w:cs="Times New Roman"/>
        </w:rPr>
        <w:t> </w:t>
      </w:r>
      <w:r w:rsidRPr="007656B5">
        <w:rPr>
          <w:rFonts w:ascii="Times New Roman" w:hAnsi="Times New Roman" w:cs="Times New Roman"/>
        </w:rPr>
        <w:t>krvi a</w:t>
      </w:r>
      <w:r w:rsidR="00AF289C" w:rsidRPr="007656B5">
        <w:rPr>
          <w:rFonts w:ascii="Times New Roman" w:hAnsi="Times New Roman" w:cs="Times New Roman"/>
        </w:rPr>
        <w:t> </w:t>
      </w:r>
      <w:r w:rsidRPr="007656B5">
        <w:rPr>
          <w:rFonts w:ascii="Times New Roman" w:hAnsi="Times New Roman" w:cs="Times New Roman"/>
        </w:rPr>
        <w:t>sérový kreatinín u</w:t>
      </w:r>
      <w:r w:rsidR="00AF289C" w:rsidRPr="007656B5">
        <w:rPr>
          <w:rFonts w:ascii="Times New Roman" w:hAnsi="Times New Roman" w:cs="Times New Roman"/>
        </w:rPr>
        <w:t> </w:t>
      </w:r>
      <w:r w:rsidRPr="007656B5">
        <w:rPr>
          <w:rFonts w:ascii="Times New Roman" w:hAnsi="Times New Roman" w:cs="Times New Roman"/>
        </w:rPr>
        <w:t>pacientov s</w:t>
      </w:r>
      <w:r w:rsidR="00F9601E" w:rsidRPr="007656B5">
        <w:rPr>
          <w:rFonts w:ascii="Times New Roman" w:hAnsi="Times New Roman" w:cs="Times New Roman"/>
        </w:rPr>
        <w:t> </w:t>
      </w:r>
      <w:r w:rsidRPr="007656B5">
        <w:rPr>
          <w:rFonts w:ascii="Times New Roman" w:hAnsi="Times New Roman" w:cs="Times New Roman"/>
        </w:rPr>
        <w:t>jednostrannou stenózou renálnej artérie, preto sa odporúča sledovanie funkcie obličiek pri liečbe pacientov valsartanom.</w:t>
      </w:r>
    </w:p>
    <w:p w:rsidR="007C2ED7" w:rsidRPr="007656B5" w:rsidRDefault="007C2ED7">
      <w:pPr>
        <w:pStyle w:val="Styl3"/>
        <w:rPr>
          <w:szCs w:val="22"/>
        </w:rPr>
      </w:pPr>
      <w:r w:rsidRPr="007656B5">
        <w:rPr>
          <w:szCs w:val="22"/>
        </w:rPr>
        <w:t>Transplantácia obličky</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V</w:t>
      </w:r>
      <w:r w:rsidR="00AF289C" w:rsidRPr="007656B5">
        <w:rPr>
          <w:rFonts w:ascii="Times New Roman" w:hAnsi="Times New Roman" w:cs="Times New Roman"/>
        </w:rPr>
        <w:t> </w:t>
      </w:r>
      <w:r w:rsidRPr="007656B5">
        <w:rPr>
          <w:rFonts w:ascii="Times New Roman" w:hAnsi="Times New Roman" w:cs="Times New Roman"/>
        </w:rPr>
        <w:t>súčasnosti nie sú skúsenosti s</w:t>
      </w:r>
      <w:r w:rsidR="00AF289C" w:rsidRPr="007656B5">
        <w:rPr>
          <w:rFonts w:ascii="Times New Roman" w:hAnsi="Times New Roman" w:cs="Times New Roman"/>
        </w:rPr>
        <w:t> </w:t>
      </w:r>
      <w:r w:rsidRPr="007656B5">
        <w:rPr>
          <w:rFonts w:ascii="Times New Roman" w:hAnsi="Times New Roman" w:cs="Times New Roman"/>
        </w:rPr>
        <w:t xml:space="preserve">bezpečným použitím </w:t>
      </w:r>
      <w:r w:rsidR="004B7652" w:rsidRPr="007656B5">
        <w:rPr>
          <w:rFonts w:ascii="Times New Roman" w:hAnsi="Times New Roman" w:cs="Times New Roman"/>
        </w:rPr>
        <w:t>valsartanu</w:t>
      </w:r>
      <w:r w:rsidRPr="007656B5">
        <w:rPr>
          <w:rFonts w:ascii="Times New Roman" w:hAnsi="Times New Roman" w:cs="Times New Roman"/>
        </w:rPr>
        <w:t xml:space="preserve"> u</w:t>
      </w:r>
      <w:r w:rsidR="00AF289C" w:rsidRPr="007656B5">
        <w:rPr>
          <w:rFonts w:ascii="Times New Roman" w:hAnsi="Times New Roman" w:cs="Times New Roman"/>
        </w:rPr>
        <w:t> </w:t>
      </w:r>
      <w:r w:rsidRPr="007656B5">
        <w:rPr>
          <w:rFonts w:ascii="Times New Roman" w:hAnsi="Times New Roman" w:cs="Times New Roman"/>
        </w:rPr>
        <w:t>pacientov, ktorým nedávno transplantovali obličku.</w:t>
      </w:r>
    </w:p>
    <w:p w:rsidR="007C2ED7" w:rsidRPr="007656B5" w:rsidRDefault="007C2ED7">
      <w:pPr>
        <w:pStyle w:val="Styl3"/>
        <w:rPr>
          <w:szCs w:val="22"/>
        </w:rPr>
      </w:pPr>
      <w:r w:rsidRPr="007656B5">
        <w:rPr>
          <w:szCs w:val="22"/>
        </w:rPr>
        <w:t>Primárny hyperaldosteronizmus</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Pacienti s</w:t>
      </w:r>
      <w:r w:rsidR="00AF289C" w:rsidRPr="007656B5">
        <w:rPr>
          <w:rFonts w:ascii="Times New Roman" w:hAnsi="Times New Roman" w:cs="Times New Roman"/>
        </w:rPr>
        <w:t> </w:t>
      </w:r>
      <w:r w:rsidRPr="007656B5">
        <w:rPr>
          <w:rFonts w:ascii="Times New Roman" w:hAnsi="Times New Roman" w:cs="Times New Roman"/>
        </w:rPr>
        <w:t xml:space="preserve">primárnym hyperaldosteronizmom nemajú byť liečení </w:t>
      </w:r>
      <w:r w:rsidR="004B7652" w:rsidRPr="007656B5">
        <w:rPr>
          <w:rFonts w:ascii="Times New Roman" w:hAnsi="Times New Roman" w:cs="Times New Roman"/>
        </w:rPr>
        <w:t>valsarta</w:t>
      </w:r>
      <w:r w:rsidRPr="007656B5">
        <w:rPr>
          <w:rFonts w:ascii="Times New Roman" w:hAnsi="Times New Roman" w:cs="Times New Roman"/>
        </w:rPr>
        <w:t>nom, pretože ich systém renín-angiotenzín nie je aktivovaný.</w:t>
      </w:r>
    </w:p>
    <w:p w:rsidR="007C2ED7" w:rsidRPr="007656B5" w:rsidRDefault="007C2ED7">
      <w:pPr>
        <w:pStyle w:val="Styl3"/>
        <w:rPr>
          <w:szCs w:val="22"/>
        </w:rPr>
      </w:pPr>
      <w:r w:rsidRPr="007656B5">
        <w:rPr>
          <w:szCs w:val="22"/>
        </w:rPr>
        <w:t>Stenóza aortálnej a</w:t>
      </w:r>
      <w:r w:rsidR="00AF289C" w:rsidRPr="007656B5">
        <w:rPr>
          <w:szCs w:val="22"/>
        </w:rPr>
        <w:t> </w:t>
      </w:r>
      <w:r w:rsidRPr="007656B5">
        <w:rPr>
          <w:szCs w:val="22"/>
        </w:rPr>
        <w:t>mitrálnej chlopne, obštrukčná hypertrofická kardiomyopatia</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Tak ako pri všetkých ostatných vazodilatanciách, osobitná opatrnosť sa vyžaduje u</w:t>
      </w:r>
      <w:r w:rsidR="00AF289C" w:rsidRPr="007656B5">
        <w:rPr>
          <w:rFonts w:ascii="Times New Roman" w:hAnsi="Times New Roman" w:cs="Times New Roman"/>
        </w:rPr>
        <w:t> </w:t>
      </w:r>
      <w:r w:rsidRPr="007656B5">
        <w:rPr>
          <w:rFonts w:ascii="Times New Roman" w:hAnsi="Times New Roman" w:cs="Times New Roman"/>
        </w:rPr>
        <w:t>pacientov s</w:t>
      </w:r>
      <w:r w:rsidR="0039460B" w:rsidRPr="007656B5">
        <w:rPr>
          <w:rFonts w:ascii="Times New Roman" w:hAnsi="Times New Roman" w:cs="Times New Roman"/>
        </w:rPr>
        <w:t> </w:t>
      </w:r>
      <w:r w:rsidRPr="007656B5">
        <w:rPr>
          <w:rFonts w:ascii="Times New Roman" w:hAnsi="Times New Roman" w:cs="Times New Roman"/>
        </w:rPr>
        <w:t>aortálnou alebo mitrálnou stenózou alebo obštrukčnou hypertrofickou kardiomyopatiou (</w:t>
      </w:r>
      <w:r w:rsidR="00BD51A6" w:rsidRPr="007656B5">
        <w:rPr>
          <w:rFonts w:ascii="Times New Roman" w:hAnsi="Times New Roman" w:cs="Times New Roman"/>
        </w:rPr>
        <w:t xml:space="preserve">hypertrophic obstructive cardiomyopathy, </w:t>
      </w:r>
      <w:r w:rsidRPr="007656B5">
        <w:rPr>
          <w:rFonts w:ascii="Times New Roman" w:hAnsi="Times New Roman" w:cs="Times New Roman"/>
        </w:rPr>
        <w:t>HOCM).</w:t>
      </w:r>
    </w:p>
    <w:p w:rsidR="007C2ED7" w:rsidRPr="007656B5" w:rsidRDefault="007C2ED7">
      <w:pPr>
        <w:pStyle w:val="Styl3"/>
        <w:rPr>
          <w:szCs w:val="22"/>
        </w:rPr>
      </w:pPr>
      <w:r w:rsidRPr="007656B5">
        <w:rPr>
          <w:szCs w:val="22"/>
        </w:rPr>
        <w:t>Gravidita</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Liečba antagonistami receptorov angiotenzínu II (AIIRA) sa nemá začať počas gravidity. Ak sa nepretržitá liečba AIIRA nepovažuje za nevyhnutnú, pacientky plánujúce graviditu je potrebné previesť na alternatívnu antihypertenzn</w:t>
      </w:r>
      <w:r w:rsidR="00BD51A6" w:rsidRPr="007656B5">
        <w:rPr>
          <w:rFonts w:ascii="Times New Roman" w:hAnsi="Times New Roman" w:cs="Times New Roman"/>
        </w:rPr>
        <w:t>ú</w:t>
      </w:r>
      <w:r w:rsidRPr="007656B5">
        <w:rPr>
          <w:rFonts w:ascii="Times New Roman" w:hAnsi="Times New Roman" w:cs="Times New Roman"/>
        </w:rPr>
        <w:t xml:space="preserve"> liečbu, ktorá má potvrdený bezpečnostný profil pri použití počas gravidity. Keď sa potvrdí gravidita, liečba AIIRA sa má okamžite ukončiť a</w:t>
      </w:r>
      <w:r w:rsidR="00AF289C" w:rsidRPr="007656B5">
        <w:rPr>
          <w:rFonts w:ascii="Times New Roman" w:hAnsi="Times New Roman" w:cs="Times New Roman"/>
        </w:rPr>
        <w:t> </w:t>
      </w:r>
      <w:r w:rsidRPr="007656B5">
        <w:rPr>
          <w:rFonts w:ascii="Times New Roman" w:hAnsi="Times New Roman" w:cs="Times New Roman"/>
        </w:rPr>
        <w:t xml:space="preserve">ak je to potrebné, má sa začať alternatívna liečba (pozri časti </w:t>
      </w:r>
      <w:smartTag w:uri="urn:schemas-microsoft-com:office:smarttags" w:element="metricconverter">
        <w:smartTagPr>
          <w:attr w:name="ProductID" w:val="4.3 a"/>
        </w:smartTagPr>
        <w:r w:rsidRPr="007656B5">
          <w:rPr>
            <w:rFonts w:ascii="Times New Roman" w:hAnsi="Times New Roman" w:cs="Times New Roman"/>
          </w:rPr>
          <w:t>4.3 a</w:t>
        </w:r>
        <w:r w:rsidR="00AF289C" w:rsidRPr="007656B5">
          <w:rPr>
            <w:rFonts w:ascii="Times New Roman" w:hAnsi="Times New Roman" w:cs="Times New Roman"/>
          </w:rPr>
          <w:t> </w:t>
        </w:r>
      </w:smartTag>
      <w:r w:rsidRPr="007656B5">
        <w:rPr>
          <w:rFonts w:ascii="Times New Roman" w:hAnsi="Times New Roman" w:cs="Times New Roman"/>
        </w:rPr>
        <w:t>4.6).</w:t>
      </w:r>
    </w:p>
    <w:p w:rsidR="00D203CD" w:rsidRPr="007656B5" w:rsidRDefault="00D203CD">
      <w:pPr>
        <w:pStyle w:val="Normlndobloku"/>
        <w:rPr>
          <w:rFonts w:ascii="Times New Roman" w:hAnsi="Times New Roman" w:cs="Times New Roman"/>
        </w:rPr>
      </w:pPr>
      <w:r w:rsidRPr="007656B5">
        <w:rPr>
          <w:rFonts w:ascii="Times New Roman" w:hAnsi="Times New Roman" w:cs="Times New Roman"/>
        </w:rPr>
        <w:t xml:space="preserve">Liek VAPRESS v sile 40 mg nie je v SR registrovaný, na trhu sú k dispozícii iné </w:t>
      </w:r>
      <w:r w:rsidR="00B65920" w:rsidRPr="007656B5">
        <w:rPr>
          <w:rFonts w:ascii="Times New Roman" w:hAnsi="Times New Roman" w:cs="Times New Roman"/>
        </w:rPr>
        <w:t>lie</w:t>
      </w:r>
      <w:r w:rsidRPr="007656B5">
        <w:rPr>
          <w:rFonts w:ascii="Times New Roman" w:hAnsi="Times New Roman" w:cs="Times New Roman"/>
        </w:rPr>
        <w:t>ky s obsahom valsartanu v sile 40 mg.</w:t>
      </w:r>
    </w:p>
    <w:p w:rsidR="007C2ED7" w:rsidRPr="007656B5" w:rsidRDefault="007C2ED7">
      <w:pPr>
        <w:pStyle w:val="Styl3"/>
        <w:rPr>
          <w:szCs w:val="22"/>
        </w:rPr>
      </w:pPr>
      <w:r w:rsidRPr="007656B5">
        <w:rPr>
          <w:szCs w:val="22"/>
        </w:rPr>
        <w:lastRenderedPageBreak/>
        <w:t>Nedávny infarkt myokardu</w:t>
      </w:r>
      <w:r w:rsidR="00D203CD" w:rsidRPr="007656B5">
        <w:rPr>
          <w:szCs w:val="22"/>
        </w:rPr>
        <w:t xml:space="preserve"> (iba 40 mg, 80 mg a 160 mg)</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Kombinácia kaptoprilu a</w:t>
      </w:r>
      <w:r w:rsidR="00AF289C" w:rsidRPr="007656B5">
        <w:rPr>
          <w:rFonts w:ascii="Times New Roman" w:hAnsi="Times New Roman" w:cs="Times New Roman"/>
        </w:rPr>
        <w:t> </w:t>
      </w:r>
      <w:r w:rsidRPr="007656B5">
        <w:rPr>
          <w:rFonts w:ascii="Times New Roman" w:hAnsi="Times New Roman" w:cs="Times New Roman"/>
        </w:rPr>
        <w:t>valsartanu nepreukázala žiadny ďalší klinický prínos, naproti tomu sa zvýšilo riziko nežiaducich udalostí v</w:t>
      </w:r>
      <w:r w:rsidR="00AF289C" w:rsidRPr="007656B5">
        <w:rPr>
          <w:rFonts w:ascii="Times New Roman" w:hAnsi="Times New Roman" w:cs="Times New Roman"/>
        </w:rPr>
        <w:t> </w:t>
      </w:r>
      <w:r w:rsidRPr="007656B5">
        <w:rPr>
          <w:rFonts w:ascii="Times New Roman" w:hAnsi="Times New Roman" w:cs="Times New Roman"/>
        </w:rPr>
        <w:t>porovnaní s</w:t>
      </w:r>
      <w:r w:rsidR="00AF289C" w:rsidRPr="007656B5">
        <w:rPr>
          <w:rFonts w:ascii="Times New Roman" w:hAnsi="Times New Roman" w:cs="Times New Roman"/>
        </w:rPr>
        <w:t> </w:t>
      </w:r>
      <w:r w:rsidRPr="007656B5">
        <w:rPr>
          <w:rFonts w:ascii="Times New Roman" w:hAnsi="Times New Roman" w:cs="Times New Roman"/>
        </w:rPr>
        <w:t>liečbou každým z</w:t>
      </w:r>
      <w:r w:rsidR="00AF289C" w:rsidRPr="007656B5">
        <w:rPr>
          <w:rFonts w:ascii="Times New Roman" w:hAnsi="Times New Roman" w:cs="Times New Roman"/>
        </w:rPr>
        <w:t> </w:t>
      </w:r>
      <w:r w:rsidRPr="007656B5">
        <w:rPr>
          <w:rFonts w:ascii="Times New Roman" w:hAnsi="Times New Roman" w:cs="Times New Roman"/>
        </w:rPr>
        <w:t xml:space="preserve">týchto liekov (pozri časti </w:t>
      </w:r>
      <w:smartTag w:uri="urn:schemas-microsoft-com:office:smarttags" w:element="metricconverter">
        <w:smartTagPr>
          <w:attr w:name="ProductID" w:val="4.2 a"/>
        </w:smartTagPr>
        <w:r w:rsidRPr="007656B5">
          <w:rPr>
            <w:rFonts w:ascii="Times New Roman" w:hAnsi="Times New Roman" w:cs="Times New Roman"/>
          </w:rPr>
          <w:t>4.2 a</w:t>
        </w:r>
        <w:r w:rsidR="00AF289C" w:rsidRPr="007656B5">
          <w:rPr>
            <w:rFonts w:ascii="Times New Roman" w:hAnsi="Times New Roman" w:cs="Times New Roman"/>
          </w:rPr>
          <w:t> </w:t>
        </w:r>
      </w:smartTag>
      <w:r w:rsidRPr="007656B5">
        <w:rPr>
          <w:rFonts w:ascii="Times New Roman" w:hAnsi="Times New Roman" w:cs="Times New Roman"/>
        </w:rPr>
        <w:t>5.1). Preto sa kombinácia valsartanu s</w:t>
      </w:r>
      <w:r w:rsidR="00AF289C" w:rsidRPr="007656B5">
        <w:rPr>
          <w:rFonts w:ascii="Times New Roman" w:hAnsi="Times New Roman" w:cs="Times New Roman"/>
        </w:rPr>
        <w:t> </w:t>
      </w:r>
      <w:r w:rsidRPr="007656B5">
        <w:rPr>
          <w:rFonts w:ascii="Times New Roman" w:hAnsi="Times New Roman" w:cs="Times New Roman"/>
        </w:rPr>
        <w:t>inhibítorom ACE neodporúča.</w:t>
      </w:r>
    </w:p>
    <w:p w:rsidR="00D203CD" w:rsidRPr="007656B5" w:rsidRDefault="007C2ED7">
      <w:pPr>
        <w:pStyle w:val="Normlndobloku"/>
        <w:rPr>
          <w:rFonts w:ascii="Times New Roman" w:hAnsi="Times New Roman" w:cs="Times New Roman"/>
        </w:rPr>
      </w:pPr>
      <w:r w:rsidRPr="007656B5">
        <w:rPr>
          <w:rFonts w:ascii="Times New Roman" w:hAnsi="Times New Roman" w:cs="Times New Roman"/>
        </w:rPr>
        <w:t>Pri začatí liečby u</w:t>
      </w:r>
      <w:r w:rsidR="00AF289C" w:rsidRPr="007656B5">
        <w:rPr>
          <w:rFonts w:ascii="Times New Roman" w:hAnsi="Times New Roman" w:cs="Times New Roman"/>
        </w:rPr>
        <w:t> </w:t>
      </w:r>
      <w:r w:rsidRPr="007656B5">
        <w:rPr>
          <w:rFonts w:ascii="Times New Roman" w:hAnsi="Times New Roman" w:cs="Times New Roman"/>
        </w:rPr>
        <w:t>pacientov po infarkte myokardu je potrebná opatrnosť. Pri hodnotení stavu pacientov po infarkte myokardu sa má vždy vyšetriť funkcia obličiek (pozri časť 4.2).</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 xml:space="preserve">Použitie </w:t>
      </w:r>
      <w:r w:rsidR="00BD51A6" w:rsidRPr="007656B5">
        <w:rPr>
          <w:rFonts w:ascii="Times New Roman" w:hAnsi="Times New Roman" w:cs="Times New Roman"/>
        </w:rPr>
        <w:t>v</w:t>
      </w:r>
      <w:r w:rsidR="003B7D10" w:rsidRPr="007656B5">
        <w:rPr>
          <w:rFonts w:ascii="Times New Roman" w:hAnsi="Times New Roman" w:cs="Times New Roman"/>
        </w:rPr>
        <w:t>alsartan</w:t>
      </w:r>
      <w:r w:rsidR="00BD51A6" w:rsidRPr="007656B5">
        <w:rPr>
          <w:rFonts w:ascii="Times New Roman" w:hAnsi="Times New Roman" w:cs="Times New Roman"/>
        </w:rPr>
        <w:t>u</w:t>
      </w:r>
      <w:r w:rsidRPr="007656B5">
        <w:rPr>
          <w:rFonts w:ascii="Times New Roman" w:hAnsi="Times New Roman" w:cs="Times New Roman"/>
        </w:rPr>
        <w:t xml:space="preserve"> u</w:t>
      </w:r>
      <w:r w:rsidR="00AF289C" w:rsidRPr="007656B5">
        <w:rPr>
          <w:rFonts w:ascii="Times New Roman" w:hAnsi="Times New Roman" w:cs="Times New Roman"/>
        </w:rPr>
        <w:t> </w:t>
      </w:r>
      <w:r w:rsidRPr="007656B5">
        <w:rPr>
          <w:rFonts w:ascii="Times New Roman" w:hAnsi="Times New Roman" w:cs="Times New Roman"/>
        </w:rPr>
        <w:t>pacientov po infarkte myokardu má často za následok určitý pokles krvného tlaku, prerušenie liečby pre pretrvávajúcu symptomatickú hypotenziu však zvyčajne nie je potrebné, pokiaľ sa dodržujú pokyny pre dávkovanie (pozri časť 4.2).</w:t>
      </w:r>
    </w:p>
    <w:p w:rsidR="00E61FEE" w:rsidRPr="007656B5" w:rsidRDefault="00BE63D7">
      <w:pPr>
        <w:pStyle w:val="Styl3"/>
        <w:rPr>
          <w:szCs w:val="22"/>
        </w:rPr>
      </w:pPr>
      <w:r w:rsidRPr="007656B5">
        <w:rPr>
          <w:szCs w:val="22"/>
        </w:rPr>
        <w:t>Srdcové zlyhávanie</w:t>
      </w:r>
      <w:r w:rsidR="00D203CD" w:rsidRPr="007656B5">
        <w:rPr>
          <w:szCs w:val="22"/>
        </w:rPr>
        <w:t xml:space="preserve"> (iba 40 mg, 80 mg a 160 mg)</w:t>
      </w:r>
    </w:p>
    <w:p w:rsidR="00D203CD" w:rsidRPr="007656B5" w:rsidRDefault="00BE63D7">
      <w:pPr>
        <w:pStyle w:val="Normlndobloku"/>
        <w:rPr>
          <w:rFonts w:ascii="Times New Roman" w:hAnsi="Times New Roman" w:cs="Times New Roman"/>
        </w:rPr>
      </w:pPr>
      <w:r w:rsidRPr="007656B5">
        <w:rPr>
          <w:rFonts w:ascii="Times New Roman" w:hAnsi="Times New Roman" w:cs="Times New Roman"/>
        </w:rPr>
        <w:t>Riziko nežiaducich reakcií, najmä hypotenzie, hyperkaliémie a</w:t>
      </w:r>
      <w:r w:rsidR="00AF289C" w:rsidRPr="007656B5">
        <w:rPr>
          <w:rFonts w:ascii="Times New Roman" w:hAnsi="Times New Roman" w:cs="Times New Roman"/>
        </w:rPr>
        <w:t> </w:t>
      </w:r>
      <w:r w:rsidRPr="007656B5">
        <w:rPr>
          <w:rFonts w:ascii="Times New Roman" w:hAnsi="Times New Roman" w:cs="Times New Roman"/>
        </w:rPr>
        <w:t>zníženej funkcie obličiek (vrátane akútneho zlyhania obličiek) sa môže zvýšiť, keď sa VAPRESS používa v</w:t>
      </w:r>
      <w:r w:rsidR="00AF289C" w:rsidRPr="007656B5">
        <w:rPr>
          <w:rFonts w:ascii="Times New Roman" w:hAnsi="Times New Roman" w:cs="Times New Roman"/>
        </w:rPr>
        <w:t> </w:t>
      </w:r>
      <w:r w:rsidRPr="007656B5">
        <w:rPr>
          <w:rFonts w:ascii="Times New Roman" w:hAnsi="Times New Roman" w:cs="Times New Roman"/>
        </w:rPr>
        <w:t>kombinácii s</w:t>
      </w:r>
      <w:r w:rsidR="00AF289C" w:rsidRPr="007656B5">
        <w:rPr>
          <w:rFonts w:ascii="Times New Roman" w:hAnsi="Times New Roman" w:cs="Times New Roman"/>
        </w:rPr>
        <w:t> </w:t>
      </w:r>
      <w:r w:rsidRPr="007656B5">
        <w:rPr>
          <w:rFonts w:ascii="Times New Roman" w:hAnsi="Times New Roman" w:cs="Times New Roman"/>
        </w:rPr>
        <w:t>inhibítorom ACE.</w:t>
      </w:r>
    </w:p>
    <w:p w:rsidR="00BE63D7" w:rsidRPr="007656B5" w:rsidRDefault="00BE63D7">
      <w:pPr>
        <w:pStyle w:val="Normlndobloku"/>
        <w:rPr>
          <w:rFonts w:ascii="Times New Roman" w:hAnsi="Times New Roman" w:cs="Times New Roman"/>
        </w:rPr>
      </w:pPr>
      <w:r w:rsidRPr="007656B5">
        <w:rPr>
          <w:rFonts w:ascii="Times New Roman" w:hAnsi="Times New Roman" w:cs="Times New Roman"/>
        </w:rPr>
        <w:t>Trojkombinácia inhibítora ACE, betablokátora a lieku VAPRESS neukázala u</w:t>
      </w:r>
      <w:r w:rsidR="00AF289C" w:rsidRPr="007656B5">
        <w:rPr>
          <w:rFonts w:ascii="Times New Roman" w:hAnsi="Times New Roman" w:cs="Times New Roman"/>
        </w:rPr>
        <w:t> </w:t>
      </w:r>
      <w:r w:rsidRPr="007656B5">
        <w:rPr>
          <w:rFonts w:ascii="Times New Roman" w:hAnsi="Times New Roman" w:cs="Times New Roman"/>
        </w:rPr>
        <w:t>pacientov so srdcovým zlyhávaním žiadny klinický prínos (pozri časť 5.1). Táto kombinácia zjavne zvyšuje riziko nežiaducich udalostí a</w:t>
      </w:r>
      <w:r w:rsidR="00AF289C" w:rsidRPr="007656B5">
        <w:rPr>
          <w:rFonts w:ascii="Times New Roman" w:hAnsi="Times New Roman" w:cs="Times New Roman"/>
        </w:rPr>
        <w:t> </w:t>
      </w:r>
      <w:r w:rsidRPr="007656B5">
        <w:rPr>
          <w:rFonts w:ascii="Times New Roman" w:hAnsi="Times New Roman" w:cs="Times New Roman"/>
        </w:rPr>
        <w:t>preto sa neodporúča. Trojkombinácia inhibítora ACE, antagonistu receptorov mineralokortikoidov a</w:t>
      </w:r>
      <w:r w:rsidR="00AF289C" w:rsidRPr="007656B5">
        <w:rPr>
          <w:rFonts w:ascii="Times New Roman" w:hAnsi="Times New Roman" w:cs="Times New Roman"/>
        </w:rPr>
        <w:t> </w:t>
      </w:r>
      <w:r w:rsidRPr="007656B5">
        <w:rPr>
          <w:rFonts w:ascii="Times New Roman" w:hAnsi="Times New Roman" w:cs="Times New Roman"/>
        </w:rPr>
        <w:t>valsartanu sa tiež neodporúča. Tieto kombinácie sa majú použiť pod dohľadom odborníka a</w:t>
      </w:r>
      <w:r w:rsidR="00AF289C" w:rsidRPr="007656B5">
        <w:rPr>
          <w:rFonts w:ascii="Times New Roman" w:hAnsi="Times New Roman" w:cs="Times New Roman"/>
        </w:rPr>
        <w:t> </w:t>
      </w:r>
      <w:r w:rsidRPr="007656B5">
        <w:rPr>
          <w:rFonts w:ascii="Times New Roman" w:hAnsi="Times New Roman" w:cs="Times New Roman"/>
        </w:rPr>
        <w:t>u</w:t>
      </w:r>
      <w:r w:rsidR="00AF289C" w:rsidRPr="007656B5">
        <w:rPr>
          <w:rFonts w:ascii="Times New Roman" w:hAnsi="Times New Roman" w:cs="Times New Roman"/>
        </w:rPr>
        <w:t> </w:t>
      </w:r>
      <w:r w:rsidRPr="007656B5">
        <w:rPr>
          <w:rFonts w:ascii="Times New Roman" w:hAnsi="Times New Roman" w:cs="Times New Roman"/>
        </w:rPr>
        <w:t>pacienta sa majú často a</w:t>
      </w:r>
      <w:r w:rsidR="00AF289C" w:rsidRPr="007656B5">
        <w:rPr>
          <w:rFonts w:ascii="Times New Roman" w:hAnsi="Times New Roman" w:cs="Times New Roman"/>
        </w:rPr>
        <w:t> </w:t>
      </w:r>
      <w:r w:rsidRPr="007656B5">
        <w:rPr>
          <w:rFonts w:ascii="Times New Roman" w:hAnsi="Times New Roman" w:cs="Times New Roman"/>
        </w:rPr>
        <w:t>dôsledne kontrolovať funkcia obličiek, elektrolyty a</w:t>
      </w:r>
      <w:r w:rsidR="00AF289C" w:rsidRPr="007656B5">
        <w:rPr>
          <w:rFonts w:ascii="Times New Roman" w:hAnsi="Times New Roman" w:cs="Times New Roman"/>
        </w:rPr>
        <w:t> </w:t>
      </w:r>
      <w:r w:rsidRPr="007656B5">
        <w:rPr>
          <w:rFonts w:ascii="Times New Roman" w:hAnsi="Times New Roman" w:cs="Times New Roman"/>
        </w:rPr>
        <w:t xml:space="preserve">krvný tlak. </w:t>
      </w:r>
    </w:p>
    <w:p w:rsidR="00BE63D7" w:rsidRPr="007656B5" w:rsidRDefault="00BE63D7">
      <w:pPr>
        <w:pStyle w:val="Normlndobloku"/>
        <w:rPr>
          <w:rFonts w:ascii="Times New Roman" w:hAnsi="Times New Roman" w:cs="Times New Roman"/>
        </w:rPr>
      </w:pPr>
      <w:r w:rsidRPr="007656B5">
        <w:rPr>
          <w:rFonts w:ascii="Times New Roman" w:hAnsi="Times New Roman" w:cs="Times New Roman"/>
        </w:rPr>
        <w:t xml:space="preserve">Pri začatí liečby pacientov so srdcovým zlyhávaním je potrebná opatrnosť. Hodnotenie stavu pacientov so srdcovým zlyhávaním má vždy zahŕňať vyšetrenie funkcie obličiek (pozri časť 4.2). </w:t>
      </w:r>
    </w:p>
    <w:p w:rsidR="00BE63D7" w:rsidRPr="007656B5" w:rsidRDefault="00BE63D7">
      <w:pPr>
        <w:pStyle w:val="Normlndobloku"/>
        <w:rPr>
          <w:rFonts w:ascii="Times New Roman" w:hAnsi="Times New Roman" w:cs="Times New Roman"/>
        </w:rPr>
      </w:pPr>
      <w:r w:rsidRPr="007656B5">
        <w:rPr>
          <w:rFonts w:ascii="Times New Roman" w:hAnsi="Times New Roman" w:cs="Times New Roman"/>
        </w:rPr>
        <w:t>Použitie lieku VAPRESS u</w:t>
      </w:r>
      <w:r w:rsidR="00CB70D0" w:rsidRPr="007656B5">
        <w:rPr>
          <w:rFonts w:ascii="Times New Roman" w:hAnsi="Times New Roman" w:cs="Times New Roman"/>
        </w:rPr>
        <w:t> </w:t>
      </w:r>
      <w:r w:rsidRPr="007656B5">
        <w:rPr>
          <w:rFonts w:ascii="Times New Roman" w:hAnsi="Times New Roman" w:cs="Times New Roman"/>
        </w:rPr>
        <w:t xml:space="preserve">pacientov so srdcovým zlyhávaním má často za následok určitý pokles krvného tlaku, ale ukončenie liečby pre pretrvávajúcu symptomatickú hypotenziu zvyčajne nie je potrebné, ak sa dodržiavajú pokyny pre dávkovanie (pozri časť 4.2). </w:t>
      </w:r>
    </w:p>
    <w:p w:rsidR="00BE63D7" w:rsidRPr="007656B5" w:rsidRDefault="00BE63D7">
      <w:pPr>
        <w:pStyle w:val="Normlndobloku"/>
        <w:rPr>
          <w:rFonts w:ascii="Times New Roman" w:hAnsi="Times New Roman" w:cs="Times New Roman"/>
        </w:rPr>
      </w:pPr>
      <w:r w:rsidRPr="007656B5">
        <w:rPr>
          <w:rFonts w:ascii="Times New Roman" w:hAnsi="Times New Roman" w:cs="Times New Roman"/>
        </w:rPr>
        <w:t>U</w:t>
      </w:r>
      <w:r w:rsidR="00CB70D0" w:rsidRPr="007656B5">
        <w:rPr>
          <w:rFonts w:ascii="Times New Roman" w:hAnsi="Times New Roman" w:cs="Times New Roman"/>
        </w:rPr>
        <w:t> </w:t>
      </w:r>
      <w:r w:rsidRPr="007656B5">
        <w:rPr>
          <w:rFonts w:ascii="Times New Roman" w:hAnsi="Times New Roman" w:cs="Times New Roman"/>
        </w:rPr>
        <w:t>pacientov, ktorých funkcia obličiek môže závisieť od aktivity systému renín-angiotenzín-aldosterón (napr.</w:t>
      </w:r>
      <w:r w:rsidR="00CB70D0" w:rsidRPr="007656B5">
        <w:rPr>
          <w:rFonts w:ascii="Times New Roman" w:hAnsi="Times New Roman" w:cs="Times New Roman"/>
        </w:rPr>
        <w:t> </w:t>
      </w:r>
      <w:r w:rsidRPr="007656B5">
        <w:rPr>
          <w:rFonts w:ascii="Times New Roman" w:hAnsi="Times New Roman" w:cs="Times New Roman"/>
        </w:rPr>
        <w:t>u</w:t>
      </w:r>
      <w:r w:rsidR="00CB70D0" w:rsidRPr="007656B5">
        <w:rPr>
          <w:rFonts w:ascii="Times New Roman" w:hAnsi="Times New Roman" w:cs="Times New Roman"/>
        </w:rPr>
        <w:t> </w:t>
      </w:r>
      <w:r w:rsidRPr="007656B5">
        <w:rPr>
          <w:rFonts w:ascii="Times New Roman" w:hAnsi="Times New Roman" w:cs="Times New Roman"/>
        </w:rPr>
        <w:t>pacientov so závažným kongestívnym srdcovým zlyhávaním), sa liečba inhibítormi ACE spájala s</w:t>
      </w:r>
      <w:r w:rsidR="00CB70D0" w:rsidRPr="007656B5">
        <w:rPr>
          <w:rFonts w:ascii="Times New Roman" w:hAnsi="Times New Roman" w:cs="Times New Roman"/>
        </w:rPr>
        <w:t> </w:t>
      </w:r>
      <w:r w:rsidRPr="007656B5">
        <w:rPr>
          <w:rFonts w:ascii="Times New Roman" w:hAnsi="Times New Roman" w:cs="Times New Roman"/>
        </w:rPr>
        <w:t>oligúriou a/alebo progresívnou azotémiou a</w:t>
      </w:r>
      <w:r w:rsidR="00CB70D0" w:rsidRPr="007656B5">
        <w:rPr>
          <w:rFonts w:ascii="Times New Roman" w:hAnsi="Times New Roman" w:cs="Times New Roman"/>
        </w:rPr>
        <w:t> </w:t>
      </w:r>
      <w:r w:rsidRPr="007656B5">
        <w:rPr>
          <w:rFonts w:ascii="Times New Roman" w:hAnsi="Times New Roman" w:cs="Times New Roman"/>
        </w:rPr>
        <w:t>v</w:t>
      </w:r>
      <w:r w:rsidR="00CB70D0" w:rsidRPr="007656B5">
        <w:rPr>
          <w:rFonts w:ascii="Times New Roman" w:hAnsi="Times New Roman" w:cs="Times New Roman"/>
        </w:rPr>
        <w:t> </w:t>
      </w:r>
      <w:r w:rsidRPr="007656B5">
        <w:rPr>
          <w:rFonts w:ascii="Times New Roman" w:hAnsi="Times New Roman" w:cs="Times New Roman"/>
        </w:rPr>
        <w:t>zriedkavých prípadoch s</w:t>
      </w:r>
      <w:r w:rsidR="00CB70D0" w:rsidRPr="007656B5">
        <w:rPr>
          <w:rFonts w:ascii="Times New Roman" w:hAnsi="Times New Roman" w:cs="Times New Roman"/>
        </w:rPr>
        <w:t> </w:t>
      </w:r>
      <w:r w:rsidRPr="007656B5">
        <w:rPr>
          <w:rFonts w:ascii="Times New Roman" w:hAnsi="Times New Roman" w:cs="Times New Roman"/>
        </w:rPr>
        <w:t>akútnym zlyhaním obličiek a/alebo smrťou. Keďže valsartan je blokátorom receptorov angiotenzínu II, nemožno vylúčiť, že použitie lieku VAPRESS môže byť spojené s</w:t>
      </w:r>
      <w:r w:rsidR="00CB70D0" w:rsidRPr="007656B5">
        <w:rPr>
          <w:rFonts w:ascii="Times New Roman" w:hAnsi="Times New Roman" w:cs="Times New Roman"/>
        </w:rPr>
        <w:t> </w:t>
      </w:r>
      <w:r w:rsidRPr="007656B5">
        <w:rPr>
          <w:rFonts w:ascii="Times New Roman" w:hAnsi="Times New Roman" w:cs="Times New Roman"/>
        </w:rPr>
        <w:t xml:space="preserve">poruchou funkcie obličiek. </w:t>
      </w:r>
    </w:p>
    <w:p w:rsidR="00BE63D7" w:rsidRPr="007656B5" w:rsidRDefault="00BE63D7">
      <w:pPr>
        <w:pStyle w:val="Normlndobloku"/>
        <w:rPr>
          <w:rFonts w:ascii="Times New Roman" w:eastAsia="SimSun" w:hAnsi="Times New Roman" w:cs="Times New Roman"/>
        </w:rPr>
      </w:pPr>
      <w:r w:rsidRPr="007656B5">
        <w:rPr>
          <w:rFonts w:ascii="Times New Roman" w:eastAsia="SimSun" w:hAnsi="Times New Roman" w:cs="Times New Roman"/>
        </w:rPr>
        <w:t>Inhibítory ACE a</w:t>
      </w:r>
      <w:r w:rsidR="00CB70D0" w:rsidRPr="007656B5">
        <w:rPr>
          <w:rFonts w:ascii="Times New Roman" w:eastAsia="SimSun" w:hAnsi="Times New Roman" w:cs="Times New Roman"/>
        </w:rPr>
        <w:t> </w:t>
      </w:r>
      <w:r w:rsidRPr="007656B5">
        <w:rPr>
          <w:rFonts w:ascii="Times New Roman" w:eastAsia="SimSun" w:hAnsi="Times New Roman" w:cs="Times New Roman"/>
        </w:rPr>
        <w:t>blokátory receptorov angiotenzínu II sa nemajú súbežne používať u</w:t>
      </w:r>
      <w:r w:rsidR="00CB70D0" w:rsidRPr="007656B5">
        <w:rPr>
          <w:rFonts w:ascii="Times New Roman" w:eastAsia="SimSun" w:hAnsi="Times New Roman" w:cs="Times New Roman"/>
        </w:rPr>
        <w:t> </w:t>
      </w:r>
      <w:r w:rsidRPr="007656B5">
        <w:rPr>
          <w:rFonts w:ascii="Times New Roman" w:eastAsia="SimSun" w:hAnsi="Times New Roman" w:cs="Times New Roman"/>
        </w:rPr>
        <w:t>pacientov s</w:t>
      </w:r>
      <w:r w:rsidR="00CB70D0" w:rsidRPr="007656B5">
        <w:rPr>
          <w:rFonts w:ascii="Times New Roman" w:eastAsia="SimSun" w:hAnsi="Times New Roman" w:cs="Times New Roman"/>
        </w:rPr>
        <w:t> </w:t>
      </w:r>
      <w:r w:rsidRPr="007656B5">
        <w:rPr>
          <w:rFonts w:ascii="Times New Roman" w:eastAsia="SimSun" w:hAnsi="Times New Roman" w:cs="Times New Roman"/>
        </w:rPr>
        <w:t>diabetickou nefropatiou.</w:t>
      </w:r>
    </w:p>
    <w:p w:rsidR="00F07F72" w:rsidRPr="007656B5" w:rsidRDefault="00F07F72">
      <w:pPr>
        <w:pStyle w:val="Styl3"/>
        <w:rPr>
          <w:szCs w:val="22"/>
        </w:rPr>
      </w:pPr>
      <w:r w:rsidRPr="007656B5">
        <w:rPr>
          <w:szCs w:val="22"/>
        </w:rPr>
        <w:t>Angioedém v anamnéze</w:t>
      </w:r>
    </w:p>
    <w:p w:rsidR="00F07F72" w:rsidRPr="007656B5" w:rsidRDefault="00F07F72">
      <w:pPr>
        <w:pStyle w:val="Normlndobloku"/>
        <w:rPr>
          <w:rFonts w:ascii="Times New Roman" w:hAnsi="Times New Roman" w:cs="Times New Roman"/>
        </w:rPr>
      </w:pPr>
      <w:r w:rsidRPr="007656B5">
        <w:rPr>
          <w:rFonts w:ascii="Times New Roman" w:hAnsi="Times New Roman" w:cs="Times New Roman"/>
        </w:rPr>
        <w:t xml:space="preserve">U pacientov liečených valsartanom bol zaznamenaný angioedém vrátane opuchu hrtana a hlasiviek spôsobujúci obštrukciu dýchacích ciest a/alebo opuch tváre, pier, hrdla a/alebo jazyka. U niektorých z týchto pacientov sa angioedém objavil už </w:t>
      </w:r>
      <w:r w:rsidR="00845BD2" w:rsidRPr="007656B5">
        <w:rPr>
          <w:rFonts w:ascii="Times New Roman" w:hAnsi="Times New Roman" w:cs="Times New Roman"/>
        </w:rPr>
        <w:t>v minulosti</w:t>
      </w:r>
      <w:r w:rsidRPr="007656B5">
        <w:rPr>
          <w:rFonts w:ascii="Times New Roman" w:hAnsi="Times New Roman" w:cs="Times New Roman"/>
        </w:rPr>
        <w:t xml:space="preserve"> po podaní iných liekov vrátane ACE inhibítorov. V prípade výskytu angioedému sa musí liečba valsartanom okamžite prerušiť a valsartan sa už nesmie podávať.</w:t>
      </w:r>
    </w:p>
    <w:p w:rsidR="00CB70D0" w:rsidRPr="007656B5" w:rsidRDefault="00CB70D0" w:rsidP="00201A3B">
      <w:pPr>
        <w:pStyle w:val="Styl3"/>
      </w:pPr>
      <w:r w:rsidRPr="007656B5">
        <w:rPr>
          <w:szCs w:val="22"/>
        </w:rPr>
        <w:t xml:space="preserve">Duálna inhibícia systému renín-angiotenzín-aldosterón (RAAS) </w:t>
      </w:r>
    </w:p>
    <w:p w:rsidR="00CB70D0" w:rsidRPr="007656B5" w:rsidRDefault="00CB70D0">
      <w:pPr>
        <w:pStyle w:val="Normlndobloku"/>
        <w:rPr>
          <w:rFonts w:ascii="Times New Roman" w:hAnsi="Times New Roman" w:cs="Times New Roman"/>
        </w:rPr>
      </w:pPr>
      <w:r w:rsidRPr="007656B5">
        <w:rPr>
          <w:rFonts w:ascii="Times New Roman" w:hAnsi="Times New Roman" w:cs="Times New Roman"/>
        </w:rPr>
        <w:t xml:space="preserve">Preukázalo sa, že súbežné použitie inhibítorov ACE, blokátorov receptorov angiotenzínu II alebo aliskirenu zvyšuje riziko hypotenzie, hyperkaliémie a zníženia funkcie obličiek (vrátane akútneho zlyhania obličiek). Duálna inhibícia RAAS kombinovaným použitím inhibítorov ACE, blokátorov receptorov angiotenzínu II alebo aliskirenu sa preto neodporúča (pozri časti 4.5 a 5.1). </w:t>
      </w:r>
    </w:p>
    <w:p w:rsidR="00CB70D0" w:rsidRPr="007656B5" w:rsidRDefault="00CB70D0">
      <w:pPr>
        <w:pStyle w:val="Normlndobloku"/>
        <w:rPr>
          <w:rFonts w:ascii="Times New Roman" w:hAnsi="Times New Roman" w:cs="Times New Roman"/>
        </w:rPr>
      </w:pPr>
      <w:r w:rsidRPr="007656B5">
        <w:rPr>
          <w:rFonts w:ascii="Times New Roman" w:hAnsi="Times New Roman" w:cs="Times New Roman"/>
        </w:rPr>
        <w:t xml:space="preserve">Ak sa liečba duálnou inhibíciou považuje za absolútne nevyhnutnú, má sa podať iba pod dohľadom odborníka a u pacienta sa majú často a dôsledne kontrolovať funkcia obličiek, elektrolyty a krvný tlak. </w:t>
      </w:r>
    </w:p>
    <w:p w:rsidR="001E7B96" w:rsidRPr="007656B5" w:rsidRDefault="00CB70D0">
      <w:pPr>
        <w:pStyle w:val="Normlndobloku"/>
        <w:rPr>
          <w:rFonts w:ascii="Times New Roman" w:hAnsi="Times New Roman" w:cs="Times New Roman"/>
        </w:rPr>
      </w:pPr>
      <w:r w:rsidRPr="007656B5">
        <w:rPr>
          <w:rFonts w:ascii="Times New Roman" w:hAnsi="Times New Roman" w:cs="Times New Roman"/>
        </w:rPr>
        <w:t>Inhibítory ACE a blokátory receptorov angiotenzínu II sa nemajú súbežne používať u pacientov s diabetickou nefropatiou.</w:t>
      </w:r>
    </w:p>
    <w:p w:rsidR="00CB70D0" w:rsidRPr="007656B5" w:rsidRDefault="00CB70D0" w:rsidP="00D50784">
      <w:pPr>
        <w:pStyle w:val="Styl2-2"/>
        <w:rPr>
          <w:szCs w:val="22"/>
        </w:rPr>
      </w:pPr>
      <w:r w:rsidRPr="007656B5">
        <w:rPr>
          <w:szCs w:val="22"/>
        </w:rPr>
        <w:lastRenderedPageBreak/>
        <w:t>Pediatrická populácia</w:t>
      </w:r>
    </w:p>
    <w:p w:rsidR="001E7B96" w:rsidRPr="007656B5" w:rsidRDefault="001E7B96" w:rsidP="007C44E3">
      <w:pPr>
        <w:pStyle w:val="Styl3"/>
        <w:rPr>
          <w:szCs w:val="22"/>
        </w:rPr>
      </w:pPr>
      <w:r w:rsidRPr="007656B5">
        <w:rPr>
          <w:szCs w:val="22"/>
        </w:rPr>
        <w:t>Porucha funkcie obličiek</w:t>
      </w:r>
    </w:p>
    <w:p w:rsidR="001E7B96" w:rsidRPr="007656B5" w:rsidRDefault="001E7B96" w:rsidP="007C44E3">
      <w:pPr>
        <w:pStyle w:val="Normlndobloku"/>
        <w:rPr>
          <w:rFonts w:ascii="Times New Roman" w:hAnsi="Times New Roman" w:cs="Times New Roman"/>
        </w:rPr>
      </w:pPr>
      <w:r w:rsidRPr="007656B5">
        <w:rPr>
          <w:rFonts w:ascii="Times New Roman" w:hAnsi="Times New Roman" w:cs="Times New Roman"/>
        </w:rPr>
        <w:t>Použitie u</w:t>
      </w:r>
      <w:r w:rsidR="00CB70D0" w:rsidRPr="007656B5">
        <w:rPr>
          <w:rFonts w:ascii="Times New Roman" w:hAnsi="Times New Roman" w:cs="Times New Roman"/>
        </w:rPr>
        <w:t> </w:t>
      </w:r>
      <w:r w:rsidRPr="007656B5">
        <w:rPr>
          <w:rFonts w:ascii="Times New Roman" w:hAnsi="Times New Roman" w:cs="Times New Roman"/>
        </w:rPr>
        <w:t>detí a</w:t>
      </w:r>
      <w:r w:rsidR="00CB70D0" w:rsidRPr="007656B5">
        <w:rPr>
          <w:rFonts w:ascii="Times New Roman" w:hAnsi="Times New Roman" w:cs="Times New Roman"/>
        </w:rPr>
        <w:t> </w:t>
      </w:r>
      <w:r w:rsidRPr="007656B5">
        <w:rPr>
          <w:rFonts w:ascii="Times New Roman" w:hAnsi="Times New Roman" w:cs="Times New Roman"/>
        </w:rPr>
        <w:t>dospievajúcich s</w:t>
      </w:r>
      <w:r w:rsidR="00CB70D0" w:rsidRPr="007656B5">
        <w:rPr>
          <w:rFonts w:ascii="Times New Roman" w:hAnsi="Times New Roman" w:cs="Times New Roman"/>
        </w:rPr>
        <w:t> </w:t>
      </w:r>
      <w:r w:rsidRPr="007656B5">
        <w:rPr>
          <w:rFonts w:ascii="Times New Roman" w:hAnsi="Times New Roman" w:cs="Times New Roman"/>
        </w:rPr>
        <w:t>klírensom kreatinínu &lt;30</w:t>
      </w:r>
      <w:r w:rsidR="00CB70D0" w:rsidRPr="007656B5">
        <w:rPr>
          <w:rFonts w:ascii="Times New Roman" w:hAnsi="Times New Roman" w:cs="Times New Roman"/>
        </w:rPr>
        <w:t> </w:t>
      </w:r>
      <w:r w:rsidRPr="007656B5">
        <w:rPr>
          <w:rFonts w:ascii="Times New Roman" w:hAnsi="Times New Roman" w:cs="Times New Roman"/>
        </w:rPr>
        <w:t>ml/min a</w:t>
      </w:r>
      <w:r w:rsidR="00CB70D0" w:rsidRPr="007656B5">
        <w:rPr>
          <w:rFonts w:ascii="Times New Roman" w:hAnsi="Times New Roman" w:cs="Times New Roman"/>
        </w:rPr>
        <w:t> </w:t>
      </w:r>
      <w:r w:rsidRPr="007656B5">
        <w:rPr>
          <w:rFonts w:ascii="Times New Roman" w:hAnsi="Times New Roman" w:cs="Times New Roman"/>
        </w:rPr>
        <w:t>u</w:t>
      </w:r>
      <w:r w:rsidR="00CB70D0" w:rsidRPr="007656B5">
        <w:rPr>
          <w:rFonts w:ascii="Times New Roman" w:hAnsi="Times New Roman" w:cs="Times New Roman"/>
        </w:rPr>
        <w:t> </w:t>
      </w:r>
      <w:r w:rsidRPr="007656B5">
        <w:rPr>
          <w:rFonts w:ascii="Times New Roman" w:hAnsi="Times New Roman" w:cs="Times New Roman"/>
        </w:rPr>
        <w:t>dialyzovaných detí a dospievajúcich sa neskúmalo, preto sa použitie valsartanu u</w:t>
      </w:r>
      <w:r w:rsidR="00CB70D0" w:rsidRPr="007656B5">
        <w:rPr>
          <w:rFonts w:ascii="Times New Roman" w:hAnsi="Times New Roman" w:cs="Times New Roman"/>
        </w:rPr>
        <w:t> </w:t>
      </w:r>
      <w:r w:rsidRPr="007656B5">
        <w:rPr>
          <w:rFonts w:ascii="Times New Roman" w:hAnsi="Times New Roman" w:cs="Times New Roman"/>
        </w:rPr>
        <w:t>týchto pacientov neodporúča. Úprava dávky nie je potrebná u</w:t>
      </w:r>
      <w:r w:rsidR="00CB70D0" w:rsidRPr="007656B5">
        <w:rPr>
          <w:rFonts w:ascii="Times New Roman" w:hAnsi="Times New Roman" w:cs="Times New Roman"/>
        </w:rPr>
        <w:t> </w:t>
      </w:r>
      <w:r w:rsidRPr="007656B5">
        <w:rPr>
          <w:rFonts w:ascii="Times New Roman" w:hAnsi="Times New Roman" w:cs="Times New Roman"/>
        </w:rPr>
        <w:t>detí a</w:t>
      </w:r>
      <w:r w:rsidR="00CB70D0" w:rsidRPr="007656B5">
        <w:rPr>
          <w:rFonts w:ascii="Times New Roman" w:hAnsi="Times New Roman" w:cs="Times New Roman"/>
        </w:rPr>
        <w:t> </w:t>
      </w:r>
      <w:r w:rsidRPr="007656B5">
        <w:rPr>
          <w:rFonts w:ascii="Times New Roman" w:hAnsi="Times New Roman" w:cs="Times New Roman"/>
        </w:rPr>
        <w:t>dospievajúcich s</w:t>
      </w:r>
      <w:r w:rsidR="00CB70D0" w:rsidRPr="007656B5">
        <w:rPr>
          <w:rFonts w:ascii="Times New Roman" w:hAnsi="Times New Roman" w:cs="Times New Roman"/>
        </w:rPr>
        <w:t> </w:t>
      </w:r>
      <w:r w:rsidRPr="007656B5">
        <w:rPr>
          <w:rFonts w:ascii="Times New Roman" w:hAnsi="Times New Roman" w:cs="Times New Roman"/>
        </w:rPr>
        <w:t>klírensom kreatinínu &gt;30</w:t>
      </w:r>
      <w:r w:rsidR="00CB70D0" w:rsidRPr="007656B5">
        <w:rPr>
          <w:rFonts w:ascii="Times New Roman" w:hAnsi="Times New Roman" w:cs="Times New Roman"/>
        </w:rPr>
        <w:t> </w:t>
      </w:r>
      <w:r w:rsidRPr="007656B5">
        <w:rPr>
          <w:rFonts w:ascii="Times New Roman" w:hAnsi="Times New Roman" w:cs="Times New Roman"/>
        </w:rPr>
        <w:t xml:space="preserve">ml/min (pozri časti </w:t>
      </w:r>
      <w:smartTag w:uri="urn:schemas-microsoft-com:office:smarttags" w:element="metricconverter">
        <w:smartTagPr>
          <w:attr w:name="ProductID" w:val="4.2 a"/>
        </w:smartTagPr>
        <w:r w:rsidRPr="007656B5">
          <w:rPr>
            <w:rFonts w:ascii="Times New Roman" w:hAnsi="Times New Roman" w:cs="Times New Roman"/>
          </w:rPr>
          <w:t>4.2 a</w:t>
        </w:r>
        <w:r w:rsidR="00CB70D0" w:rsidRPr="007656B5">
          <w:rPr>
            <w:rFonts w:ascii="Times New Roman" w:hAnsi="Times New Roman" w:cs="Times New Roman"/>
          </w:rPr>
          <w:t> </w:t>
        </w:r>
      </w:smartTag>
      <w:r w:rsidRPr="007656B5">
        <w:rPr>
          <w:rFonts w:ascii="Times New Roman" w:hAnsi="Times New Roman" w:cs="Times New Roman"/>
        </w:rPr>
        <w:t>5.2). Funkcia obličiek a</w:t>
      </w:r>
      <w:r w:rsidR="00CB70D0" w:rsidRPr="007656B5">
        <w:rPr>
          <w:rFonts w:ascii="Times New Roman" w:hAnsi="Times New Roman" w:cs="Times New Roman"/>
        </w:rPr>
        <w:t> </w:t>
      </w:r>
      <w:r w:rsidRPr="007656B5">
        <w:rPr>
          <w:rFonts w:ascii="Times New Roman" w:hAnsi="Times New Roman" w:cs="Times New Roman"/>
        </w:rPr>
        <w:t>draslík v</w:t>
      </w:r>
      <w:r w:rsidR="00CB70D0" w:rsidRPr="007656B5">
        <w:rPr>
          <w:rFonts w:ascii="Times New Roman" w:hAnsi="Times New Roman" w:cs="Times New Roman"/>
        </w:rPr>
        <w:t> </w:t>
      </w:r>
      <w:r w:rsidRPr="007656B5">
        <w:rPr>
          <w:rFonts w:ascii="Times New Roman" w:hAnsi="Times New Roman" w:cs="Times New Roman"/>
        </w:rPr>
        <w:t>sére sa majú počas liečby valsartanom starostlivo sledovať. Platí to najmä pri podávaní valsartanu v</w:t>
      </w:r>
      <w:r w:rsidR="00CB70D0" w:rsidRPr="007656B5">
        <w:rPr>
          <w:rFonts w:ascii="Times New Roman" w:hAnsi="Times New Roman" w:cs="Times New Roman"/>
        </w:rPr>
        <w:t> </w:t>
      </w:r>
      <w:r w:rsidRPr="007656B5">
        <w:rPr>
          <w:rFonts w:ascii="Times New Roman" w:hAnsi="Times New Roman" w:cs="Times New Roman"/>
        </w:rPr>
        <w:t>prítomnosti iných ochorení (horúčka, dehydratácia), ktoré pravdepodobne zhoršia funkciu obličiek.</w:t>
      </w:r>
    </w:p>
    <w:p w:rsidR="001E7B96" w:rsidRPr="007656B5" w:rsidRDefault="001E7B96" w:rsidP="009B52F3">
      <w:pPr>
        <w:pStyle w:val="Styl3"/>
        <w:rPr>
          <w:szCs w:val="22"/>
        </w:rPr>
      </w:pPr>
      <w:r w:rsidRPr="007656B5">
        <w:rPr>
          <w:szCs w:val="22"/>
        </w:rPr>
        <w:t>Porucha funkcie pečene</w:t>
      </w:r>
    </w:p>
    <w:p w:rsidR="001E7B96" w:rsidRPr="007656B5" w:rsidRDefault="001E7B96" w:rsidP="009520A7">
      <w:pPr>
        <w:pStyle w:val="Normlndobloku"/>
        <w:rPr>
          <w:rFonts w:ascii="Times New Roman" w:hAnsi="Times New Roman" w:cs="Times New Roman"/>
        </w:rPr>
      </w:pPr>
      <w:r w:rsidRPr="007656B5">
        <w:rPr>
          <w:rFonts w:ascii="Times New Roman" w:hAnsi="Times New Roman" w:cs="Times New Roman"/>
        </w:rPr>
        <w:t>Tak ako u</w:t>
      </w:r>
      <w:r w:rsidR="00CB70D0" w:rsidRPr="007656B5">
        <w:rPr>
          <w:rFonts w:ascii="Times New Roman" w:hAnsi="Times New Roman" w:cs="Times New Roman"/>
        </w:rPr>
        <w:t> </w:t>
      </w:r>
      <w:r w:rsidRPr="007656B5">
        <w:rPr>
          <w:rFonts w:ascii="Times New Roman" w:hAnsi="Times New Roman" w:cs="Times New Roman"/>
        </w:rPr>
        <w:t>dospelých, valsartan je kontraindikovaný u</w:t>
      </w:r>
      <w:r w:rsidR="00CB70D0" w:rsidRPr="007656B5">
        <w:rPr>
          <w:rFonts w:ascii="Times New Roman" w:hAnsi="Times New Roman" w:cs="Times New Roman"/>
        </w:rPr>
        <w:t> </w:t>
      </w:r>
      <w:r w:rsidRPr="007656B5">
        <w:rPr>
          <w:rFonts w:ascii="Times New Roman" w:hAnsi="Times New Roman" w:cs="Times New Roman"/>
        </w:rPr>
        <w:t>detí a</w:t>
      </w:r>
      <w:r w:rsidR="00CB70D0" w:rsidRPr="007656B5">
        <w:rPr>
          <w:rFonts w:ascii="Times New Roman" w:hAnsi="Times New Roman" w:cs="Times New Roman"/>
        </w:rPr>
        <w:t> </w:t>
      </w:r>
      <w:r w:rsidRPr="007656B5">
        <w:rPr>
          <w:rFonts w:ascii="Times New Roman" w:hAnsi="Times New Roman" w:cs="Times New Roman"/>
        </w:rPr>
        <w:t>dospievajúcich s</w:t>
      </w:r>
      <w:r w:rsidR="00CB70D0" w:rsidRPr="007656B5">
        <w:rPr>
          <w:rFonts w:ascii="Times New Roman" w:hAnsi="Times New Roman" w:cs="Times New Roman"/>
        </w:rPr>
        <w:t> </w:t>
      </w:r>
      <w:r w:rsidRPr="007656B5">
        <w:rPr>
          <w:rFonts w:ascii="Times New Roman" w:hAnsi="Times New Roman" w:cs="Times New Roman"/>
        </w:rPr>
        <w:t>ťažkou poruchou funkcie pečene, biliárnou cirhózou a</w:t>
      </w:r>
      <w:r w:rsidR="00CB70D0" w:rsidRPr="007656B5">
        <w:rPr>
          <w:rFonts w:ascii="Times New Roman" w:hAnsi="Times New Roman" w:cs="Times New Roman"/>
        </w:rPr>
        <w:t> </w:t>
      </w:r>
      <w:r w:rsidRPr="007656B5">
        <w:rPr>
          <w:rFonts w:ascii="Times New Roman" w:hAnsi="Times New Roman" w:cs="Times New Roman"/>
        </w:rPr>
        <w:t>u</w:t>
      </w:r>
      <w:r w:rsidR="00CB70D0" w:rsidRPr="007656B5">
        <w:rPr>
          <w:rFonts w:ascii="Times New Roman" w:hAnsi="Times New Roman" w:cs="Times New Roman"/>
        </w:rPr>
        <w:t> </w:t>
      </w:r>
      <w:r w:rsidRPr="007656B5">
        <w:rPr>
          <w:rFonts w:ascii="Times New Roman" w:hAnsi="Times New Roman" w:cs="Times New Roman"/>
        </w:rPr>
        <w:t>pacientov s</w:t>
      </w:r>
      <w:r w:rsidR="00CB70D0" w:rsidRPr="007656B5">
        <w:rPr>
          <w:rFonts w:ascii="Times New Roman" w:hAnsi="Times New Roman" w:cs="Times New Roman"/>
        </w:rPr>
        <w:t> </w:t>
      </w:r>
      <w:r w:rsidRPr="007656B5">
        <w:rPr>
          <w:rFonts w:ascii="Times New Roman" w:hAnsi="Times New Roman" w:cs="Times New Roman"/>
        </w:rPr>
        <w:t xml:space="preserve">cholestázou (pozri časti </w:t>
      </w:r>
      <w:smartTag w:uri="urn:schemas-microsoft-com:office:smarttags" w:element="metricconverter">
        <w:smartTagPr>
          <w:attr w:name="ProductID" w:val="4.3 a"/>
        </w:smartTagPr>
        <w:r w:rsidRPr="007656B5">
          <w:rPr>
            <w:rFonts w:ascii="Times New Roman" w:hAnsi="Times New Roman" w:cs="Times New Roman"/>
          </w:rPr>
          <w:t>4.3 a</w:t>
        </w:r>
        <w:r w:rsidR="00CB70D0" w:rsidRPr="007656B5">
          <w:rPr>
            <w:rFonts w:ascii="Times New Roman" w:hAnsi="Times New Roman" w:cs="Times New Roman"/>
          </w:rPr>
          <w:t> </w:t>
        </w:r>
      </w:smartTag>
      <w:r w:rsidRPr="007656B5">
        <w:rPr>
          <w:rFonts w:ascii="Times New Roman" w:hAnsi="Times New Roman" w:cs="Times New Roman"/>
        </w:rPr>
        <w:t>5.2). Klinické skúsenosti s</w:t>
      </w:r>
      <w:r w:rsidR="00CB70D0" w:rsidRPr="007656B5">
        <w:rPr>
          <w:rFonts w:ascii="Times New Roman" w:hAnsi="Times New Roman" w:cs="Times New Roman"/>
        </w:rPr>
        <w:t> </w:t>
      </w:r>
      <w:r w:rsidRPr="007656B5">
        <w:rPr>
          <w:rFonts w:ascii="Times New Roman" w:hAnsi="Times New Roman" w:cs="Times New Roman"/>
        </w:rPr>
        <w:t>použitím valsartanu u</w:t>
      </w:r>
      <w:r w:rsidR="00CB70D0" w:rsidRPr="007656B5">
        <w:rPr>
          <w:rFonts w:ascii="Times New Roman" w:hAnsi="Times New Roman" w:cs="Times New Roman"/>
        </w:rPr>
        <w:t> </w:t>
      </w:r>
      <w:r w:rsidRPr="007656B5">
        <w:rPr>
          <w:rFonts w:ascii="Times New Roman" w:hAnsi="Times New Roman" w:cs="Times New Roman"/>
        </w:rPr>
        <w:t>detí a</w:t>
      </w:r>
      <w:r w:rsidR="00CB70D0" w:rsidRPr="007656B5">
        <w:rPr>
          <w:rFonts w:ascii="Times New Roman" w:hAnsi="Times New Roman" w:cs="Times New Roman"/>
        </w:rPr>
        <w:t> </w:t>
      </w:r>
      <w:r w:rsidRPr="007656B5">
        <w:rPr>
          <w:rFonts w:ascii="Times New Roman" w:hAnsi="Times New Roman" w:cs="Times New Roman"/>
        </w:rPr>
        <w:t>dospievajúcich s</w:t>
      </w:r>
      <w:r w:rsidR="00CB70D0" w:rsidRPr="007656B5">
        <w:rPr>
          <w:rFonts w:ascii="Times New Roman" w:hAnsi="Times New Roman" w:cs="Times New Roman"/>
        </w:rPr>
        <w:t> </w:t>
      </w:r>
      <w:r w:rsidRPr="007656B5">
        <w:rPr>
          <w:rFonts w:ascii="Times New Roman" w:hAnsi="Times New Roman" w:cs="Times New Roman"/>
        </w:rPr>
        <w:t>ľahkou až stredne ťažkou poruchou funkcie pečene sú obmedzené. U</w:t>
      </w:r>
      <w:r w:rsidR="00CB70D0" w:rsidRPr="007656B5">
        <w:rPr>
          <w:rFonts w:ascii="Times New Roman" w:hAnsi="Times New Roman" w:cs="Times New Roman"/>
        </w:rPr>
        <w:t> </w:t>
      </w:r>
      <w:r w:rsidRPr="007656B5">
        <w:rPr>
          <w:rFonts w:ascii="Times New Roman" w:hAnsi="Times New Roman" w:cs="Times New Roman"/>
        </w:rPr>
        <w:t>týchto pacientov dávka valsartanu nemá prekročiť 80</w:t>
      </w:r>
      <w:r w:rsidR="00CB70D0" w:rsidRPr="007656B5">
        <w:rPr>
          <w:rFonts w:ascii="Times New Roman" w:hAnsi="Times New Roman" w:cs="Times New Roman"/>
        </w:rPr>
        <w:t> </w:t>
      </w:r>
      <w:r w:rsidRPr="007656B5">
        <w:rPr>
          <w:rFonts w:ascii="Times New Roman" w:hAnsi="Times New Roman" w:cs="Times New Roman"/>
        </w:rPr>
        <w:t>mg.</w:t>
      </w:r>
    </w:p>
    <w:p w:rsidR="004A11FB" w:rsidRPr="007656B5" w:rsidRDefault="004A11FB" w:rsidP="00D50784">
      <w:pPr>
        <w:pStyle w:val="Styl2"/>
      </w:pPr>
      <w:r w:rsidRPr="007656B5">
        <w:t>Liekové a iné interakcie</w:t>
      </w:r>
    </w:p>
    <w:p w:rsidR="007C2ED7" w:rsidRPr="007656B5" w:rsidRDefault="007C2ED7" w:rsidP="00D50784">
      <w:pPr>
        <w:pStyle w:val="Styl2-2"/>
        <w:rPr>
          <w:szCs w:val="22"/>
        </w:rPr>
      </w:pPr>
      <w:r w:rsidRPr="007656B5">
        <w:rPr>
          <w:szCs w:val="22"/>
        </w:rPr>
        <w:t>Súbežné použitie sa neodporúča</w:t>
      </w:r>
    </w:p>
    <w:p w:rsidR="00CB70D0" w:rsidRPr="007656B5" w:rsidRDefault="00CB70D0" w:rsidP="007C44E3">
      <w:pPr>
        <w:pStyle w:val="Styl3"/>
        <w:rPr>
          <w:szCs w:val="22"/>
        </w:rPr>
      </w:pPr>
      <w:r w:rsidRPr="007656B5">
        <w:rPr>
          <w:szCs w:val="22"/>
        </w:rPr>
        <w:t>Duálna inhibícia systému renín-angiotenzín-aldosterón (RAAS) s ARB, inhibítorom ACE alebo aliskirenom</w:t>
      </w:r>
    </w:p>
    <w:p w:rsidR="00CB70D0" w:rsidRPr="007656B5" w:rsidRDefault="00CB70D0" w:rsidP="007C44E3">
      <w:pPr>
        <w:pStyle w:val="Normlndobloku"/>
        <w:rPr>
          <w:rFonts w:ascii="Times New Roman" w:hAnsi="Times New Roman" w:cs="Times New Roman"/>
        </w:rPr>
      </w:pPr>
      <w:r w:rsidRPr="007656B5">
        <w:rPr>
          <w:rFonts w:ascii="Times New Roman" w:hAnsi="Times New Roman" w:cs="Times New Roman"/>
        </w:rPr>
        <w:t>Údaje z klinických skúšaní ukázali, že duálna inhibícia systému renín-angiotenzín-aldosterón (RAAS) kombinovaným použitím inhibítorov ACE, blokátorov receptorov angiotenzínu II alebo aliskirenu sa spája s vyššou frekvenciou nežiaducich udalostí, ako sú hypotenzia, hyperkaliémia a znížená funkcia obličiek (vrátane akútneho zlyhania obličiek), v porovnaní s použitím látky ovplyvňujúcej RAAS v monoterapii (pozri časti 4.3, 4.4 a 5.1).</w:t>
      </w:r>
    </w:p>
    <w:p w:rsidR="007C2ED7" w:rsidRPr="007656B5" w:rsidRDefault="007C2ED7" w:rsidP="009B52F3">
      <w:pPr>
        <w:pStyle w:val="Styl3"/>
        <w:rPr>
          <w:szCs w:val="22"/>
        </w:rPr>
      </w:pPr>
      <w:r w:rsidRPr="007656B5">
        <w:rPr>
          <w:szCs w:val="22"/>
        </w:rPr>
        <w:t>Lítium</w:t>
      </w:r>
    </w:p>
    <w:p w:rsidR="007C2ED7" w:rsidRPr="007656B5" w:rsidRDefault="007C2ED7" w:rsidP="009520A7">
      <w:pPr>
        <w:pStyle w:val="Normlndobloku"/>
        <w:rPr>
          <w:rFonts w:ascii="Times New Roman" w:hAnsi="Times New Roman" w:cs="Times New Roman"/>
        </w:rPr>
      </w:pPr>
      <w:r w:rsidRPr="007656B5">
        <w:rPr>
          <w:rFonts w:ascii="Times New Roman" w:hAnsi="Times New Roman" w:cs="Times New Roman"/>
        </w:rPr>
        <w:t>Počas súčasného podávania s</w:t>
      </w:r>
      <w:r w:rsidR="00CB70D0" w:rsidRPr="007656B5">
        <w:rPr>
          <w:rFonts w:ascii="Times New Roman" w:hAnsi="Times New Roman" w:cs="Times New Roman"/>
        </w:rPr>
        <w:t> </w:t>
      </w:r>
      <w:r w:rsidRPr="007656B5">
        <w:rPr>
          <w:rFonts w:ascii="Times New Roman" w:hAnsi="Times New Roman" w:cs="Times New Roman"/>
        </w:rPr>
        <w:t>inhibítormi ACE sa zaznamenalo reverzibilné zvýšenie sérových koncentrácií a</w:t>
      </w:r>
      <w:r w:rsidR="00CB70D0" w:rsidRPr="007656B5">
        <w:rPr>
          <w:rFonts w:ascii="Times New Roman" w:hAnsi="Times New Roman" w:cs="Times New Roman"/>
        </w:rPr>
        <w:t> </w:t>
      </w:r>
      <w:r w:rsidRPr="007656B5">
        <w:rPr>
          <w:rFonts w:ascii="Times New Roman" w:hAnsi="Times New Roman" w:cs="Times New Roman"/>
        </w:rPr>
        <w:t>toxicity lítia. Kvôli nedostatku skúseností so súbežným použitím valsartanu a</w:t>
      </w:r>
      <w:r w:rsidR="00CB70D0" w:rsidRPr="007656B5">
        <w:rPr>
          <w:rFonts w:ascii="Times New Roman" w:hAnsi="Times New Roman" w:cs="Times New Roman"/>
        </w:rPr>
        <w:t> </w:t>
      </w:r>
      <w:r w:rsidRPr="007656B5">
        <w:rPr>
          <w:rFonts w:ascii="Times New Roman" w:hAnsi="Times New Roman" w:cs="Times New Roman"/>
        </w:rPr>
        <w:t>lítia sa</w:t>
      </w:r>
      <w:r w:rsidR="00425FAD" w:rsidRPr="007656B5">
        <w:rPr>
          <w:rFonts w:ascii="Times New Roman" w:hAnsi="Times New Roman" w:cs="Times New Roman"/>
        </w:rPr>
        <w:t xml:space="preserve"> </w:t>
      </w:r>
      <w:r w:rsidRPr="007656B5">
        <w:rPr>
          <w:rFonts w:ascii="Times New Roman" w:hAnsi="Times New Roman" w:cs="Times New Roman"/>
        </w:rPr>
        <w:t>táto kombinácia neodporúča. Ak sa preukáže, že táto kombinácia je potrebná, odporúča sa starostlivé sledovanie hladín lítia v</w:t>
      </w:r>
      <w:r w:rsidR="00CB70D0" w:rsidRPr="007656B5">
        <w:rPr>
          <w:rFonts w:ascii="Times New Roman" w:hAnsi="Times New Roman" w:cs="Times New Roman"/>
        </w:rPr>
        <w:t> </w:t>
      </w:r>
      <w:r w:rsidRPr="007656B5">
        <w:rPr>
          <w:rFonts w:ascii="Times New Roman" w:hAnsi="Times New Roman" w:cs="Times New Roman"/>
        </w:rPr>
        <w:t>sére.</w:t>
      </w:r>
    </w:p>
    <w:p w:rsidR="007C2ED7" w:rsidRPr="007656B5" w:rsidRDefault="007C2ED7" w:rsidP="008C3D63">
      <w:pPr>
        <w:pStyle w:val="Styl3"/>
        <w:rPr>
          <w:szCs w:val="22"/>
        </w:rPr>
      </w:pPr>
      <w:r w:rsidRPr="007656B5">
        <w:rPr>
          <w:szCs w:val="22"/>
        </w:rPr>
        <w:t>Diuretiká šetriace draslík, doplnky draslíka, náhrady solí s</w:t>
      </w:r>
      <w:r w:rsidR="00CB70D0" w:rsidRPr="007656B5">
        <w:rPr>
          <w:szCs w:val="22"/>
        </w:rPr>
        <w:t> </w:t>
      </w:r>
      <w:r w:rsidRPr="007656B5">
        <w:rPr>
          <w:szCs w:val="22"/>
        </w:rPr>
        <w:t>obsahom draslíka a</w:t>
      </w:r>
      <w:r w:rsidR="00CB70D0" w:rsidRPr="007656B5">
        <w:rPr>
          <w:szCs w:val="22"/>
        </w:rPr>
        <w:t> </w:t>
      </w:r>
      <w:r w:rsidRPr="007656B5">
        <w:rPr>
          <w:szCs w:val="22"/>
        </w:rPr>
        <w:t>iné látky, ktoré môžu zvýšiť hladiny draslíka</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Ak sa liek, ktorý ovplyvňuje hladiny draslíka, považuje za potrebný v</w:t>
      </w:r>
      <w:r w:rsidR="00CB70D0" w:rsidRPr="007656B5">
        <w:rPr>
          <w:rFonts w:ascii="Times New Roman" w:hAnsi="Times New Roman" w:cs="Times New Roman"/>
        </w:rPr>
        <w:t> </w:t>
      </w:r>
      <w:r w:rsidRPr="007656B5">
        <w:rPr>
          <w:rFonts w:ascii="Times New Roman" w:hAnsi="Times New Roman" w:cs="Times New Roman"/>
        </w:rPr>
        <w:t>kombinácii s</w:t>
      </w:r>
      <w:r w:rsidR="00CB70D0" w:rsidRPr="007656B5">
        <w:rPr>
          <w:rFonts w:ascii="Times New Roman" w:hAnsi="Times New Roman" w:cs="Times New Roman"/>
        </w:rPr>
        <w:t> </w:t>
      </w:r>
      <w:r w:rsidRPr="007656B5">
        <w:rPr>
          <w:rFonts w:ascii="Times New Roman" w:hAnsi="Times New Roman" w:cs="Times New Roman"/>
        </w:rPr>
        <w:t>valsartanom, odporúča sa sledovanie hladín draslíka v</w:t>
      </w:r>
      <w:r w:rsidR="00CB70D0" w:rsidRPr="007656B5">
        <w:rPr>
          <w:rFonts w:ascii="Times New Roman" w:hAnsi="Times New Roman" w:cs="Times New Roman"/>
        </w:rPr>
        <w:t> </w:t>
      </w:r>
      <w:r w:rsidRPr="007656B5">
        <w:rPr>
          <w:rFonts w:ascii="Times New Roman" w:hAnsi="Times New Roman" w:cs="Times New Roman"/>
        </w:rPr>
        <w:t>plazme.</w:t>
      </w:r>
    </w:p>
    <w:p w:rsidR="007C2ED7" w:rsidRPr="007656B5" w:rsidRDefault="007C2ED7" w:rsidP="00D50784">
      <w:pPr>
        <w:pStyle w:val="Styl2-2"/>
        <w:rPr>
          <w:szCs w:val="22"/>
        </w:rPr>
      </w:pPr>
      <w:r w:rsidRPr="007656B5">
        <w:rPr>
          <w:szCs w:val="22"/>
        </w:rPr>
        <w:t>Súbežné použitie vyžadujúce opatrnosť</w:t>
      </w:r>
    </w:p>
    <w:p w:rsidR="007C2ED7" w:rsidRPr="007656B5" w:rsidRDefault="007C2ED7" w:rsidP="007C44E3">
      <w:pPr>
        <w:pStyle w:val="Normlndobloku"/>
        <w:rPr>
          <w:rFonts w:ascii="Times New Roman" w:hAnsi="Times New Roman" w:cs="Times New Roman"/>
        </w:rPr>
      </w:pPr>
      <w:r w:rsidRPr="007656B5">
        <w:rPr>
          <w:rFonts w:ascii="Times New Roman" w:hAnsi="Times New Roman" w:cs="Times New Roman"/>
        </w:rPr>
        <w:t>Nesteroidné protizápalové lieky (NSAID), vrátane selektívnych inhibítorov COX-2, kyseliny acetylsalicylovej &gt;3</w:t>
      </w:r>
      <w:r w:rsidR="00CA257A" w:rsidRPr="007656B5">
        <w:rPr>
          <w:rFonts w:ascii="Times New Roman" w:hAnsi="Times New Roman" w:cs="Times New Roman"/>
        </w:rPr>
        <w:t> </w:t>
      </w:r>
      <w:r w:rsidRPr="007656B5">
        <w:rPr>
          <w:rFonts w:ascii="Times New Roman" w:hAnsi="Times New Roman" w:cs="Times New Roman"/>
        </w:rPr>
        <w:t>g/deň), a</w:t>
      </w:r>
      <w:r w:rsidR="00CA257A" w:rsidRPr="007656B5">
        <w:rPr>
          <w:rFonts w:ascii="Times New Roman" w:hAnsi="Times New Roman" w:cs="Times New Roman"/>
        </w:rPr>
        <w:t> </w:t>
      </w:r>
      <w:r w:rsidRPr="007656B5">
        <w:rPr>
          <w:rFonts w:ascii="Times New Roman" w:hAnsi="Times New Roman" w:cs="Times New Roman"/>
        </w:rPr>
        <w:t>neselektívne NSAID</w:t>
      </w:r>
    </w:p>
    <w:p w:rsidR="007C2ED7" w:rsidRPr="007656B5" w:rsidRDefault="007C2ED7" w:rsidP="007C44E3">
      <w:pPr>
        <w:pStyle w:val="Normlndobloku"/>
        <w:rPr>
          <w:rFonts w:ascii="Times New Roman" w:hAnsi="Times New Roman" w:cs="Times New Roman"/>
        </w:rPr>
      </w:pPr>
      <w:r w:rsidRPr="007656B5">
        <w:rPr>
          <w:rFonts w:ascii="Times New Roman" w:hAnsi="Times New Roman" w:cs="Times New Roman"/>
        </w:rPr>
        <w:t>Pri antagonistoch angiotenzínu II podávaných súčasne s</w:t>
      </w:r>
      <w:r w:rsidR="00CA257A" w:rsidRPr="007656B5">
        <w:rPr>
          <w:rFonts w:ascii="Times New Roman" w:hAnsi="Times New Roman" w:cs="Times New Roman"/>
        </w:rPr>
        <w:t> </w:t>
      </w:r>
      <w:r w:rsidRPr="007656B5">
        <w:rPr>
          <w:rFonts w:ascii="Times New Roman" w:hAnsi="Times New Roman" w:cs="Times New Roman"/>
        </w:rPr>
        <w:t>NSAID môže dôjsť k</w:t>
      </w:r>
      <w:r w:rsidR="00CA257A" w:rsidRPr="007656B5">
        <w:rPr>
          <w:rFonts w:ascii="Times New Roman" w:hAnsi="Times New Roman" w:cs="Times New Roman"/>
        </w:rPr>
        <w:t> </w:t>
      </w:r>
      <w:r w:rsidRPr="007656B5">
        <w:rPr>
          <w:rFonts w:ascii="Times New Roman" w:hAnsi="Times New Roman" w:cs="Times New Roman"/>
        </w:rPr>
        <w:t>oslabeniu antihypertenzn</w:t>
      </w:r>
      <w:r w:rsidR="00715656" w:rsidRPr="007656B5">
        <w:rPr>
          <w:rFonts w:ascii="Times New Roman" w:hAnsi="Times New Roman" w:cs="Times New Roman"/>
        </w:rPr>
        <w:t>é</w:t>
      </w:r>
      <w:r w:rsidRPr="007656B5">
        <w:rPr>
          <w:rFonts w:ascii="Times New Roman" w:hAnsi="Times New Roman" w:cs="Times New Roman"/>
        </w:rPr>
        <w:t>ho účinku. Okrem toho súčasné používanie antagonistov angiotenzínu II a</w:t>
      </w:r>
      <w:r w:rsidR="00CA257A" w:rsidRPr="007656B5">
        <w:rPr>
          <w:rFonts w:ascii="Times New Roman" w:hAnsi="Times New Roman" w:cs="Times New Roman"/>
        </w:rPr>
        <w:t> </w:t>
      </w:r>
      <w:r w:rsidRPr="007656B5">
        <w:rPr>
          <w:rFonts w:ascii="Times New Roman" w:hAnsi="Times New Roman" w:cs="Times New Roman"/>
        </w:rPr>
        <w:t>NSAID môže mať za následok väčšie riziko zhoršovania funkcie obličiek a</w:t>
      </w:r>
      <w:r w:rsidR="00CA257A" w:rsidRPr="007656B5">
        <w:rPr>
          <w:rFonts w:ascii="Times New Roman" w:hAnsi="Times New Roman" w:cs="Times New Roman"/>
        </w:rPr>
        <w:t> </w:t>
      </w:r>
      <w:r w:rsidRPr="007656B5">
        <w:rPr>
          <w:rFonts w:ascii="Times New Roman" w:hAnsi="Times New Roman" w:cs="Times New Roman"/>
        </w:rPr>
        <w:t>zvýšenie draslíka v</w:t>
      </w:r>
      <w:r w:rsidR="00CA257A" w:rsidRPr="007656B5">
        <w:rPr>
          <w:rFonts w:ascii="Times New Roman" w:hAnsi="Times New Roman" w:cs="Times New Roman"/>
        </w:rPr>
        <w:t> </w:t>
      </w:r>
      <w:r w:rsidRPr="007656B5">
        <w:rPr>
          <w:rFonts w:ascii="Times New Roman" w:hAnsi="Times New Roman" w:cs="Times New Roman"/>
        </w:rPr>
        <w:t>sére. Preto sa odporúča sledovanie funkcie obličiek na začiatku liečby, ako aj náležitá hydratácia pacienta.</w:t>
      </w:r>
    </w:p>
    <w:p w:rsidR="00CA257A" w:rsidRPr="007656B5" w:rsidRDefault="00CA257A" w:rsidP="007C44E3">
      <w:pPr>
        <w:pStyle w:val="Styl3"/>
        <w:rPr>
          <w:szCs w:val="22"/>
        </w:rPr>
      </w:pPr>
      <w:r w:rsidRPr="007656B5">
        <w:rPr>
          <w:szCs w:val="22"/>
        </w:rPr>
        <w:t>Transportéry</w:t>
      </w:r>
    </w:p>
    <w:p w:rsidR="00CA257A" w:rsidRPr="007656B5" w:rsidRDefault="00CA257A" w:rsidP="009B52F3">
      <w:pPr>
        <w:pStyle w:val="Normlndobloku"/>
        <w:rPr>
          <w:rFonts w:ascii="Times New Roman" w:hAnsi="Times New Roman" w:cs="Times New Roman"/>
        </w:rPr>
      </w:pPr>
      <w:r w:rsidRPr="007656B5">
        <w:rPr>
          <w:rFonts w:ascii="Times New Roman" w:hAnsi="Times New Roman" w:cs="Times New Roman"/>
        </w:rPr>
        <w:t xml:space="preserve">Výsledky štúdie </w:t>
      </w:r>
      <w:r w:rsidRPr="00201A3B">
        <w:rPr>
          <w:rFonts w:ascii="Times New Roman" w:hAnsi="Times New Roman" w:cs="Times New Roman"/>
          <w:i/>
        </w:rPr>
        <w:t>in vitro</w:t>
      </w:r>
      <w:r w:rsidRPr="007656B5">
        <w:rPr>
          <w:rFonts w:ascii="Times New Roman" w:hAnsi="Times New Roman" w:cs="Times New Roman"/>
        </w:rPr>
        <w:t xml:space="preserve"> naznačujú, že valsartan je substrátom pečeňového transportéra vychytávania OATP1B1</w:t>
      </w:r>
      <w:r w:rsidR="00F07F72" w:rsidRPr="007656B5">
        <w:rPr>
          <w:rFonts w:ascii="Times New Roman" w:hAnsi="Times New Roman" w:cs="Times New Roman"/>
        </w:rPr>
        <w:t>/QATP1B3</w:t>
      </w:r>
      <w:r w:rsidRPr="007656B5">
        <w:rPr>
          <w:rFonts w:ascii="Times New Roman" w:hAnsi="Times New Roman" w:cs="Times New Roman"/>
        </w:rPr>
        <w:t xml:space="preserve"> a pečeňového efluxného transportéra MRP2. Klinický význam tohto nálezu nie je známy. Súbežné podávanie inhibítorov transportéra vychytávania (rifampicínu, cyklosporínu) alebo efluxného transportéra (ritonaviru) môže zvýšiť systémovú expozíciu valsartanu. Venujte náležitú starostlivosť pri začatí alebo ukončení sú</w:t>
      </w:r>
      <w:r w:rsidR="00B65920" w:rsidRPr="007656B5">
        <w:rPr>
          <w:rFonts w:ascii="Times New Roman" w:hAnsi="Times New Roman" w:cs="Times New Roman"/>
        </w:rPr>
        <w:t>bež</w:t>
      </w:r>
      <w:r w:rsidRPr="007656B5">
        <w:rPr>
          <w:rFonts w:ascii="Times New Roman" w:hAnsi="Times New Roman" w:cs="Times New Roman"/>
        </w:rPr>
        <w:t>ného podávania týchto liekov.</w:t>
      </w:r>
    </w:p>
    <w:p w:rsidR="00496FE4" w:rsidRPr="007656B5" w:rsidRDefault="00CA257A" w:rsidP="009520A7">
      <w:pPr>
        <w:pStyle w:val="Styl3"/>
        <w:rPr>
          <w:szCs w:val="22"/>
        </w:rPr>
      </w:pPr>
      <w:r w:rsidRPr="007656B5">
        <w:rPr>
          <w:szCs w:val="22"/>
        </w:rPr>
        <w:lastRenderedPageBreak/>
        <w:t>Ďalšie</w:t>
      </w:r>
    </w:p>
    <w:p w:rsidR="00496FE4" w:rsidRPr="007656B5" w:rsidRDefault="00496FE4" w:rsidP="008C3D63">
      <w:pPr>
        <w:pStyle w:val="Normlndoblokusodrkami"/>
        <w:rPr>
          <w:rFonts w:ascii="Times New Roman" w:hAnsi="Times New Roman" w:cs="Times New Roman"/>
        </w:rPr>
      </w:pPr>
      <w:r w:rsidRPr="007656B5">
        <w:rPr>
          <w:rStyle w:val="NormlndoblokuChar"/>
          <w:rFonts w:ascii="Times New Roman" w:eastAsia="SimSun" w:hAnsi="Times New Roman" w:cs="Times New Roman"/>
        </w:rPr>
        <w:t>V</w:t>
      </w:r>
      <w:r w:rsidR="00CA257A"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liekových interakčných štúdiách s</w:t>
      </w:r>
      <w:r w:rsidR="00CA257A"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valsartanom sa nezistili žiadne klinicky významné farmakokinetické interakcie s</w:t>
      </w:r>
      <w:r w:rsidR="00CA257A"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valsartanom alebo s</w:t>
      </w:r>
      <w:r w:rsidR="00CA257A"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niektorou z</w:t>
      </w:r>
      <w:r w:rsidR="00CA257A"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nasledujúcich látok: cimetidín, warfarín, furosemid, digoxín, atenolol, indometacín, hydrochlorotiazid, amlodipín, glibenklamid</w:t>
      </w:r>
      <w:r w:rsidR="00CA257A" w:rsidRPr="007656B5">
        <w:rPr>
          <w:rFonts w:ascii="Times New Roman" w:hAnsi="Times New Roman" w:cs="Times New Roman"/>
        </w:rPr>
        <w:t>.</w:t>
      </w:r>
    </w:p>
    <w:p w:rsidR="007C2ED7" w:rsidRPr="007656B5" w:rsidRDefault="000E3F92">
      <w:pPr>
        <w:pStyle w:val="Styl3"/>
        <w:rPr>
          <w:szCs w:val="22"/>
        </w:rPr>
      </w:pPr>
      <w:r w:rsidRPr="007656B5">
        <w:rPr>
          <w:szCs w:val="22"/>
        </w:rPr>
        <w:t>Pediatrická populácia</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Pri hypertenzii u</w:t>
      </w:r>
      <w:r w:rsidR="00CA257A" w:rsidRPr="007656B5">
        <w:rPr>
          <w:rFonts w:ascii="Times New Roman" w:hAnsi="Times New Roman" w:cs="Times New Roman"/>
        </w:rPr>
        <w:t> </w:t>
      </w:r>
      <w:r w:rsidRPr="007656B5">
        <w:rPr>
          <w:rFonts w:ascii="Times New Roman" w:hAnsi="Times New Roman" w:cs="Times New Roman"/>
        </w:rPr>
        <w:t>detí a</w:t>
      </w:r>
      <w:r w:rsidR="00CA257A" w:rsidRPr="007656B5">
        <w:rPr>
          <w:rFonts w:ascii="Times New Roman" w:hAnsi="Times New Roman" w:cs="Times New Roman"/>
        </w:rPr>
        <w:t> </w:t>
      </w:r>
      <w:r w:rsidRPr="007656B5">
        <w:rPr>
          <w:rFonts w:ascii="Times New Roman" w:hAnsi="Times New Roman" w:cs="Times New Roman"/>
        </w:rPr>
        <w:t>dospievajúcich, pri ktorej sú častým základným ochorením renálne abnormality, sa odporúča postupovať opatrne pri súčasnom podávaní valsartanu a</w:t>
      </w:r>
      <w:r w:rsidR="00CA257A" w:rsidRPr="007656B5">
        <w:rPr>
          <w:rFonts w:ascii="Times New Roman" w:hAnsi="Times New Roman" w:cs="Times New Roman"/>
        </w:rPr>
        <w:t> </w:t>
      </w:r>
      <w:r w:rsidRPr="007656B5">
        <w:rPr>
          <w:rFonts w:ascii="Times New Roman" w:hAnsi="Times New Roman" w:cs="Times New Roman"/>
        </w:rPr>
        <w:t>iných látok, ktoré inhibujú systém renín-angiotenzín-aldosterón, čo môže zvyšovať draslík v</w:t>
      </w:r>
      <w:r w:rsidR="00CA257A" w:rsidRPr="007656B5">
        <w:rPr>
          <w:rFonts w:ascii="Times New Roman" w:hAnsi="Times New Roman" w:cs="Times New Roman"/>
        </w:rPr>
        <w:t> </w:t>
      </w:r>
      <w:r w:rsidRPr="007656B5">
        <w:rPr>
          <w:rFonts w:ascii="Times New Roman" w:hAnsi="Times New Roman" w:cs="Times New Roman"/>
        </w:rPr>
        <w:t>sére. Funkcia obličiek a</w:t>
      </w:r>
      <w:r w:rsidR="0039460B" w:rsidRPr="007656B5">
        <w:rPr>
          <w:rFonts w:ascii="Times New Roman" w:hAnsi="Times New Roman" w:cs="Times New Roman"/>
        </w:rPr>
        <w:t> </w:t>
      </w:r>
      <w:r w:rsidRPr="007656B5">
        <w:rPr>
          <w:rFonts w:ascii="Times New Roman" w:hAnsi="Times New Roman" w:cs="Times New Roman"/>
        </w:rPr>
        <w:t>draslík v</w:t>
      </w:r>
      <w:r w:rsidR="00CA257A" w:rsidRPr="007656B5">
        <w:rPr>
          <w:rFonts w:ascii="Times New Roman" w:hAnsi="Times New Roman" w:cs="Times New Roman"/>
        </w:rPr>
        <w:t> </w:t>
      </w:r>
      <w:r w:rsidRPr="007656B5">
        <w:rPr>
          <w:rFonts w:ascii="Times New Roman" w:hAnsi="Times New Roman" w:cs="Times New Roman"/>
        </w:rPr>
        <w:t>sére sa majú starostlivo sledovať.</w:t>
      </w:r>
    </w:p>
    <w:p w:rsidR="007C2ED7" w:rsidRPr="007656B5" w:rsidRDefault="007C2ED7" w:rsidP="00D50784">
      <w:pPr>
        <w:pStyle w:val="Styl2"/>
      </w:pPr>
      <w:r w:rsidRPr="007656B5">
        <w:t>Fertilita, gravidita a</w:t>
      </w:r>
      <w:r w:rsidR="00CA257A" w:rsidRPr="007656B5">
        <w:t> </w:t>
      </w:r>
      <w:r w:rsidRPr="007656B5">
        <w:t>laktácia</w:t>
      </w:r>
    </w:p>
    <w:p w:rsidR="007C2ED7" w:rsidRPr="007656B5" w:rsidRDefault="007C2ED7" w:rsidP="007C44E3">
      <w:pPr>
        <w:pStyle w:val="Styl3"/>
        <w:rPr>
          <w:szCs w:val="22"/>
        </w:rPr>
      </w:pPr>
      <w:r w:rsidRPr="007656B5">
        <w:rPr>
          <w:szCs w:val="22"/>
        </w:rPr>
        <w:t>Gravidita</w:t>
      </w:r>
    </w:p>
    <w:p w:rsidR="005B755D" w:rsidRPr="007656B5" w:rsidRDefault="005B755D" w:rsidP="00C03617">
      <w:pPr>
        <w:pBdr>
          <w:top w:val="single" w:sz="4" w:space="1" w:color="auto"/>
          <w:left w:val="single" w:sz="4" w:space="4" w:color="auto"/>
          <w:bottom w:val="single" w:sz="4" w:space="1" w:color="auto"/>
          <w:right w:val="single" w:sz="4" w:space="4" w:color="auto"/>
        </w:pBdr>
        <w:jc w:val="both"/>
        <w:rPr>
          <w:sz w:val="22"/>
          <w:szCs w:val="22"/>
        </w:rPr>
      </w:pPr>
      <w:r w:rsidRPr="007656B5">
        <w:rPr>
          <w:sz w:val="22"/>
          <w:szCs w:val="22"/>
        </w:rPr>
        <w:t>Použitie antagonistov receptorov angiotenzínu II (AIIRA) sa neodporúča počas prvého trimestra gravidity (pozri časť 4.4). Použitie AIIRA je kontraindikované počas druhého a tretieho trimestra gravidity (pozri časti 4.3 a 4.4).</w:t>
      </w:r>
    </w:p>
    <w:p w:rsidR="003B3B26" w:rsidRPr="007656B5" w:rsidRDefault="007C2ED7" w:rsidP="007C44E3">
      <w:pPr>
        <w:pStyle w:val="Normlndobloku"/>
        <w:rPr>
          <w:rFonts w:ascii="Times New Roman" w:hAnsi="Times New Roman" w:cs="Times New Roman"/>
        </w:rPr>
      </w:pPr>
      <w:r w:rsidRPr="007656B5">
        <w:rPr>
          <w:rFonts w:ascii="Times New Roman" w:hAnsi="Times New Roman" w:cs="Times New Roman"/>
        </w:rPr>
        <w:t>Epidemiologické dôkazy týkajúce sa rizika teratogenity po expozícii inhibítorom ACE počas prvého trimestra gravidity neposkytli jednoznačné závery, malé zvýšenie rizika však nemožno vylúčiť. Zatiaľ čo nie sú kontrolované epidemiologické údaje o</w:t>
      </w:r>
      <w:r w:rsidR="005B755D" w:rsidRPr="007656B5">
        <w:rPr>
          <w:rFonts w:ascii="Times New Roman" w:hAnsi="Times New Roman" w:cs="Times New Roman"/>
        </w:rPr>
        <w:t> </w:t>
      </w:r>
      <w:r w:rsidRPr="007656B5">
        <w:rPr>
          <w:rFonts w:ascii="Times New Roman" w:hAnsi="Times New Roman" w:cs="Times New Roman"/>
        </w:rPr>
        <w:t>riziku pri inhibítoroch receptorov angiotenzínu II, podobné riziká pre túto skupinu liekov môžu existovať. Ak sa nepretržitá liečba AIIRA nepovažuje za nevyhnutnú, pacientky plánujúce graviditu je potrebné previesť na alternatívnu antihypertenzn</w:t>
      </w:r>
      <w:r w:rsidR="00715656" w:rsidRPr="007656B5">
        <w:rPr>
          <w:rFonts w:ascii="Times New Roman" w:hAnsi="Times New Roman" w:cs="Times New Roman"/>
        </w:rPr>
        <w:t>ú</w:t>
      </w:r>
      <w:r w:rsidRPr="007656B5">
        <w:rPr>
          <w:rFonts w:ascii="Times New Roman" w:hAnsi="Times New Roman" w:cs="Times New Roman"/>
        </w:rPr>
        <w:t xml:space="preserve"> liečbu, ktorá má potvrdený bezpečnostný profil pri použití počas gravidity. Keď sa potvrdí gravidita, liečba AIIRA sa má okamžite ukončiť a</w:t>
      </w:r>
      <w:r w:rsidR="005B755D" w:rsidRPr="007656B5">
        <w:rPr>
          <w:rFonts w:ascii="Times New Roman" w:hAnsi="Times New Roman" w:cs="Times New Roman"/>
        </w:rPr>
        <w:t> </w:t>
      </w:r>
      <w:r w:rsidRPr="007656B5">
        <w:rPr>
          <w:rFonts w:ascii="Times New Roman" w:hAnsi="Times New Roman" w:cs="Times New Roman"/>
        </w:rPr>
        <w:t>ak je to potrebné, má sa začať alternatívna liečba.</w:t>
      </w:r>
    </w:p>
    <w:p w:rsidR="007C2ED7" w:rsidRPr="007656B5" w:rsidRDefault="007C2ED7" w:rsidP="007C44E3">
      <w:pPr>
        <w:pStyle w:val="Normlndobloku"/>
        <w:rPr>
          <w:rFonts w:ascii="Times New Roman" w:hAnsi="Times New Roman" w:cs="Times New Roman"/>
        </w:rPr>
      </w:pPr>
      <w:r w:rsidRPr="007656B5">
        <w:rPr>
          <w:rFonts w:ascii="Times New Roman" w:hAnsi="Times New Roman" w:cs="Times New Roman"/>
        </w:rPr>
        <w:t>Je známe, že expozícia AIIRA liečbe počas druhého a</w:t>
      </w:r>
      <w:r w:rsidR="005B755D" w:rsidRPr="007656B5">
        <w:rPr>
          <w:rFonts w:ascii="Times New Roman" w:hAnsi="Times New Roman" w:cs="Times New Roman"/>
        </w:rPr>
        <w:t> </w:t>
      </w:r>
      <w:r w:rsidRPr="007656B5">
        <w:rPr>
          <w:rFonts w:ascii="Times New Roman" w:hAnsi="Times New Roman" w:cs="Times New Roman"/>
        </w:rPr>
        <w:t>tretieho trimestra gravidity vyvoláva u</w:t>
      </w:r>
      <w:r w:rsidR="005B755D" w:rsidRPr="007656B5">
        <w:rPr>
          <w:rFonts w:ascii="Times New Roman" w:hAnsi="Times New Roman" w:cs="Times New Roman"/>
        </w:rPr>
        <w:t> </w:t>
      </w:r>
      <w:r w:rsidRPr="007656B5">
        <w:rPr>
          <w:rFonts w:ascii="Times New Roman" w:hAnsi="Times New Roman" w:cs="Times New Roman"/>
        </w:rPr>
        <w:t>ľudí fetotoxické účinky (zníženie funkcie obličiek, oligohydramnión, spomalenie osifikácie lebky) a</w:t>
      </w:r>
      <w:r w:rsidR="005B755D" w:rsidRPr="007656B5">
        <w:rPr>
          <w:rFonts w:ascii="Times New Roman" w:hAnsi="Times New Roman" w:cs="Times New Roman"/>
        </w:rPr>
        <w:t> </w:t>
      </w:r>
      <w:r w:rsidRPr="007656B5">
        <w:rPr>
          <w:rFonts w:ascii="Times New Roman" w:hAnsi="Times New Roman" w:cs="Times New Roman"/>
        </w:rPr>
        <w:t>toxické účinky u</w:t>
      </w:r>
      <w:r w:rsidR="0039460B" w:rsidRPr="007656B5">
        <w:rPr>
          <w:rFonts w:ascii="Times New Roman" w:hAnsi="Times New Roman" w:cs="Times New Roman"/>
        </w:rPr>
        <w:t> </w:t>
      </w:r>
      <w:r w:rsidRPr="007656B5">
        <w:rPr>
          <w:rFonts w:ascii="Times New Roman" w:hAnsi="Times New Roman" w:cs="Times New Roman"/>
        </w:rPr>
        <w:t>novorodencov (zlyhanie obličiek, hypotenzia, hyper</w:t>
      </w:r>
      <w:r w:rsidR="00F64A62" w:rsidRPr="007656B5">
        <w:rPr>
          <w:rFonts w:ascii="Times New Roman" w:hAnsi="Times New Roman" w:cs="Times New Roman"/>
        </w:rPr>
        <w:t>kaliémia), pozri aj časť 5.3.</w:t>
      </w:r>
    </w:p>
    <w:p w:rsidR="007C2ED7" w:rsidRPr="007656B5" w:rsidRDefault="007C2ED7" w:rsidP="007C44E3">
      <w:pPr>
        <w:pStyle w:val="Normlndobloku"/>
        <w:rPr>
          <w:rFonts w:ascii="Times New Roman" w:hAnsi="Times New Roman" w:cs="Times New Roman"/>
        </w:rPr>
      </w:pPr>
      <w:r w:rsidRPr="007656B5">
        <w:rPr>
          <w:rFonts w:ascii="Times New Roman" w:hAnsi="Times New Roman" w:cs="Times New Roman"/>
        </w:rPr>
        <w:t>Ak by došlo k</w:t>
      </w:r>
      <w:r w:rsidR="005B755D" w:rsidRPr="007656B5">
        <w:rPr>
          <w:rFonts w:ascii="Times New Roman" w:hAnsi="Times New Roman" w:cs="Times New Roman"/>
        </w:rPr>
        <w:t> </w:t>
      </w:r>
      <w:r w:rsidRPr="007656B5">
        <w:rPr>
          <w:rFonts w:ascii="Times New Roman" w:hAnsi="Times New Roman" w:cs="Times New Roman"/>
        </w:rPr>
        <w:t>expozícii AIIRA od druhého trimestra gravidity, odporúča sa ultrazvukové vyšetrenie funkcie obličiek a</w:t>
      </w:r>
      <w:r w:rsidR="005B755D" w:rsidRPr="007656B5">
        <w:rPr>
          <w:rFonts w:ascii="Times New Roman" w:hAnsi="Times New Roman" w:cs="Times New Roman"/>
        </w:rPr>
        <w:t> </w:t>
      </w:r>
      <w:r w:rsidRPr="007656B5">
        <w:rPr>
          <w:rFonts w:ascii="Times New Roman" w:hAnsi="Times New Roman" w:cs="Times New Roman"/>
        </w:rPr>
        <w:t>lebky.</w:t>
      </w:r>
    </w:p>
    <w:p w:rsidR="007C2ED7" w:rsidRPr="007656B5" w:rsidRDefault="007C2ED7" w:rsidP="009B52F3">
      <w:pPr>
        <w:pStyle w:val="Normlndobloku"/>
        <w:rPr>
          <w:rFonts w:ascii="Times New Roman" w:hAnsi="Times New Roman" w:cs="Times New Roman"/>
        </w:rPr>
      </w:pPr>
      <w:r w:rsidRPr="007656B5">
        <w:rPr>
          <w:rFonts w:ascii="Times New Roman" w:hAnsi="Times New Roman" w:cs="Times New Roman"/>
        </w:rPr>
        <w:t xml:space="preserve">Dojčatá, ktorých matky užívali AIIRA, je potrebné dôsledne sledovať pre hypotenziu (pozri aj časť </w:t>
      </w:r>
      <w:smartTag w:uri="urn:schemas-microsoft-com:office:smarttags" w:element="metricconverter">
        <w:smartTagPr>
          <w:attr w:name="ProductID" w:val="4.3 a"/>
        </w:smartTagPr>
        <w:r w:rsidRPr="007656B5">
          <w:rPr>
            <w:rFonts w:ascii="Times New Roman" w:hAnsi="Times New Roman" w:cs="Times New Roman"/>
          </w:rPr>
          <w:t>4.3 a</w:t>
        </w:r>
        <w:r w:rsidR="005B755D" w:rsidRPr="007656B5">
          <w:rPr>
            <w:rFonts w:ascii="Times New Roman" w:hAnsi="Times New Roman" w:cs="Times New Roman"/>
          </w:rPr>
          <w:t> </w:t>
        </w:r>
      </w:smartTag>
      <w:r w:rsidRPr="007656B5">
        <w:rPr>
          <w:rFonts w:ascii="Times New Roman" w:hAnsi="Times New Roman" w:cs="Times New Roman"/>
        </w:rPr>
        <w:t>4.4).</w:t>
      </w:r>
    </w:p>
    <w:p w:rsidR="00417E48" w:rsidRPr="007656B5" w:rsidRDefault="005B755D" w:rsidP="009520A7">
      <w:pPr>
        <w:pStyle w:val="Styl3"/>
        <w:rPr>
          <w:szCs w:val="22"/>
        </w:rPr>
      </w:pPr>
      <w:r w:rsidRPr="007656B5">
        <w:rPr>
          <w:szCs w:val="22"/>
        </w:rPr>
        <w:t>Dojčenie</w:t>
      </w:r>
    </w:p>
    <w:p w:rsidR="007C2ED7" w:rsidRPr="007656B5" w:rsidRDefault="007C2ED7" w:rsidP="008C3D63">
      <w:pPr>
        <w:pStyle w:val="Normlndobloku"/>
        <w:rPr>
          <w:rFonts w:ascii="Times New Roman" w:hAnsi="Times New Roman" w:cs="Times New Roman"/>
        </w:rPr>
      </w:pPr>
      <w:r w:rsidRPr="007656B5">
        <w:rPr>
          <w:rFonts w:ascii="Times New Roman" w:hAnsi="Times New Roman" w:cs="Times New Roman"/>
        </w:rPr>
        <w:t>Keďže nie sú dostupné informácie o</w:t>
      </w:r>
      <w:r w:rsidR="005B755D" w:rsidRPr="007656B5">
        <w:rPr>
          <w:rFonts w:ascii="Times New Roman" w:hAnsi="Times New Roman" w:cs="Times New Roman"/>
        </w:rPr>
        <w:t> </w:t>
      </w:r>
      <w:r w:rsidRPr="007656B5">
        <w:rPr>
          <w:rFonts w:ascii="Times New Roman" w:hAnsi="Times New Roman" w:cs="Times New Roman"/>
        </w:rPr>
        <w:t xml:space="preserve">použití valsartanu počas dojčenia, </w:t>
      </w:r>
      <w:r w:rsidR="00417E48" w:rsidRPr="007656B5">
        <w:rPr>
          <w:rFonts w:ascii="Times New Roman" w:hAnsi="Times New Roman" w:cs="Times New Roman"/>
        </w:rPr>
        <w:t>VAPRESS</w:t>
      </w:r>
      <w:r w:rsidRPr="007656B5">
        <w:rPr>
          <w:rFonts w:ascii="Times New Roman" w:hAnsi="Times New Roman" w:cs="Times New Roman"/>
        </w:rPr>
        <w:t xml:space="preserve"> sa neodporúča</w:t>
      </w:r>
      <w:r w:rsidR="00417E48" w:rsidRPr="007656B5">
        <w:rPr>
          <w:rFonts w:ascii="Times New Roman" w:hAnsi="Times New Roman" w:cs="Times New Roman"/>
        </w:rPr>
        <w:t xml:space="preserve"> </w:t>
      </w:r>
      <w:r w:rsidRPr="007656B5">
        <w:rPr>
          <w:rFonts w:ascii="Times New Roman" w:hAnsi="Times New Roman" w:cs="Times New Roman"/>
        </w:rPr>
        <w:t>a</w:t>
      </w:r>
      <w:r w:rsidR="0039460B" w:rsidRPr="007656B5">
        <w:rPr>
          <w:rFonts w:ascii="Times New Roman" w:hAnsi="Times New Roman" w:cs="Times New Roman"/>
        </w:rPr>
        <w:t> </w:t>
      </w:r>
      <w:r w:rsidRPr="007656B5">
        <w:rPr>
          <w:rFonts w:ascii="Times New Roman" w:hAnsi="Times New Roman" w:cs="Times New Roman"/>
        </w:rPr>
        <w:t>vhodnejšie sú iné druhy liečby s</w:t>
      </w:r>
      <w:r w:rsidR="005B755D" w:rsidRPr="007656B5">
        <w:rPr>
          <w:rFonts w:ascii="Times New Roman" w:hAnsi="Times New Roman" w:cs="Times New Roman"/>
        </w:rPr>
        <w:t> </w:t>
      </w:r>
      <w:r w:rsidRPr="007656B5">
        <w:rPr>
          <w:rFonts w:ascii="Times New Roman" w:hAnsi="Times New Roman" w:cs="Times New Roman"/>
        </w:rPr>
        <w:t>lepšie stanoveným</w:t>
      </w:r>
      <w:r w:rsidR="00715656" w:rsidRPr="007656B5">
        <w:rPr>
          <w:rFonts w:ascii="Times New Roman" w:hAnsi="Times New Roman" w:cs="Times New Roman"/>
        </w:rPr>
        <w:t>i</w:t>
      </w:r>
      <w:r w:rsidRPr="007656B5">
        <w:rPr>
          <w:rFonts w:ascii="Times New Roman" w:hAnsi="Times New Roman" w:cs="Times New Roman"/>
        </w:rPr>
        <w:t xml:space="preserve"> bezpečnostnými profilmi počas dojčenia, najmä</w:t>
      </w:r>
      <w:r w:rsidR="00417E48" w:rsidRPr="007656B5">
        <w:rPr>
          <w:rFonts w:ascii="Times New Roman" w:hAnsi="Times New Roman" w:cs="Times New Roman"/>
        </w:rPr>
        <w:t xml:space="preserve"> </w:t>
      </w:r>
      <w:r w:rsidRPr="007656B5">
        <w:rPr>
          <w:rFonts w:ascii="Times New Roman" w:hAnsi="Times New Roman" w:cs="Times New Roman"/>
        </w:rPr>
        <w:t>pri dojčení novorodenca alebo predčasne narodeného dieťaťa.</w:t>
      </w:r>
    </w:p>
    <w:p w:rsidR="007C2ED7" w:rsidRPr="007656B5" w:rsidRDefault="007C2ED7">
      <w:pPr>
        <w:pStyle w:val="Styl3"/>
        <w:rPr>
          <w:szCs w:val="22"/>
        </w:rPr>
      </w:pPr>
      <w:r w:rsidRPr="007656B5">
        <w:rPr>
          <w:szCs w:val="22"/>
        </w:rPr>
        <w:t>Fertilita</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Valsartan nemal nežiaduce účinky na reprodukčnú schopnosť samcov a</w:t>
      </w:r>
      <w:r w:rsidR="005B755D" w:rsidRPr="007656B5">
        <w:rPr>
          <w:rFonts w:ascii="Times New Roman" w:hAnsi="Times New Roman" w:cs="Times New Roman"/>
        </w:rPr>
        <w:t> </w:t>
      </w:r>
      <w:r w:rsidRPr="007656B5">
        <w:rPr>
          <w:rFonts w:ascii="Times New Roman" w:hAnsi="Times New Roman" w:cs="Times New Roman"/>
        </w:rPr>
        <w:t>samíc potkana pri perorálnych dávkach do 200</w:t>
      </w:r>
      <w:r w:rsidR="005B755D" w:rsidRPr="007656B5">
        <w:rPr>
          <w:rFonts w:ascii="Times New Roman" w:hAnsi="Times New Roman" w:cs="Times New Roman"/>
        </w:rPr>
        <w:t> </w:t>
      </w:r>
      <w:r w:rsidRPr="007656B5">
        <w:rPr>
          <w:rFonts w:ascii="Times New Roman" w:hAnsi="Times New Roman" w:cs="Times New Roman"/>
        </w:rPr>
        <w:t>mg/kg/deň. Táto dávka je 6-krát vyššia než maximálna odporúčaná dávka u</w:t>
      </w:r>
      <w:r w:rsidR="005B755D" w:rsidRPr="007656B5">
        <w:rPr>
          <w:rFonts w:ascii="Times New Roman" w:hAnsi="Times New Roman" w:cs="Times New Roman"/>
        </w:rPr>
        <w:t> </w:t>
      </w:r>
      <w:r w:rsidRPr="007656B5">
        <w:rPr>
          <w:rFonts w:ascii="Times New Roman" w:hAnsi="Times New Roman" w:cs="Times New Roman"/>
        </w:rPr>
        <w:t>ľudí pri prepočte na mg/m2 (výpočty vychádzajú z</w:t>
      </w:r>
      <w:r w:rsidR="005B755D" w:rsidRPr="007656B5">
        <w:rPr>
          <w:rFonts w:ascii="Times New Roman" w:hAnsi="Times New Roman" w:cs="Times New Roman"/>
        </w:rPr>
        <w:t> </w:t>
      </w:r>
      <w:r w:rsidRPr="007656B5">
        <w:rPr>
          <w:rFonts w:ascii="Times New Roman" w:hAnsi="Times New Roman" w:cs="Times New Roman"/>
        </w:rPr>
        <w:t>perorálnej dávky 320</w:t>
      </w:r>
      <w:r w:rsidR="005B755D" w:rsidRPr="007656B5">
        <w:rPr>
          <w:rFonts w:ascii="Times New Roman" w:hAnsi="Times New Roman" w:cs="Times New Roman"/>
        </w:rPr>
        <w:t> </w:t>
      </w:r>
      <w:r w:rsidRPr="007656B5">
        <w:rPr>
          <w:rFonts w:ascii="Times New Roman" w:hAnsi="Times New Roman" w:cs="Times New Roman"/>
        </w:rPr>
        <w:t>mg/deň u</w:t>
      </w:r>
      <w:r w:rsidR="005B755D" w:rsidRPr="007656B5">
        <w:rPr>
          <w:rFonts w:ascii="Times New Roman" w:hAnsi="Times New Roman" w:cs="Times New Roman"/>
        </w:rPr>
        <w:t> </w:t>
      </w:r>
      <w:r w:rsidRPr="007656B5">
        <w:rPr>
          <w:rFonts w:ascii="Times New Roman" w:hAnsi="Times New Roman" w:cs="Times New Roman"/>
        </w:rPr>
        <w:t>pacienta s</w:t>
      </w:r>
      <w:r w:rsidR="005B755D" w:rsidRPr="007656B5">
        <w:rPr>
          <w:rFonts w:ascii="Times New Roman" w:hAnsi="Times New Roman" w:cs="Times New Roman"/>
        </w:rPr>
        <w:t> </w:t>
      </w:r>
      <w:r w:rsidRPr="007656B5">
        <w:rPr>
          <w:rFonts w:ascii="Times New Roman" w:hAnsi="Times New Roman" w:cs="Times New Roman"/>
        </w:rPr>
        <w:t>telesnou hmotnosťou 60</w:t>
      </w:r>
      <w:r w:rsidR="005B755D" w:rsidRPr="007656B5">
        <w:rPr>
          <w:rFonts w:ascii="Times New Roman" w:hAnsi="Times New Roman" w:cs="Times New Roman"/>
        </w:rPr>
        <w:t> </w:t>
      </w:r>
      <w:r w:rsidRPr="007656B5">
        <w:rPr>
          <w:rFonts w:ascii="Times New Roman" w:hAnsi="Times New Roman" w:cs="Times New Roman"/>
        </w:rPr>
        <w:t>kg).</w:t>
      </w:r>
    </w:p>
    <w:p w:rsidR="007C2ED7" w:rsidRPr="007656B5" w:rsidRDefault="007C2ED7" w:rsidP="00D50784">
      <w:pPr>
        <w:pStyle w:val="Styl2"/>
      </w:pPr>
      <w:r w:rsidRPr="007656B5">
        <w:t>Ovplyvnenie schopnosti viesť vozidlá a</w:t>
      </w:r>
      <w:r w:rsidR="005B755D" w:rsidRPr="007656B5">
        <w:t> </w:t>
      </w:r>
      <w:r w:rsidRPr="007656B5">
        <w:t>obsluhovať stroje</w:t>
      </w:r>
    </w:p>
    <w:p w:rsidR="007C2ED7" w:rsidRPr="007656B5" w:rsidRDefault="007C2ED7" w:rsidP="007C44E3">
      <w:pPr>
        <w:pStyle w:val="Normlndobloku"/>
        <w:rPr>
          <w:rFonts w:ascii="Times New Roman" w:hAnsi="Times New Roman" w:cs="Times New Roman"/>
        </w:rPr>
      </w:pPr>
      <w:r w:rsidRPr="007656B5">
        <w:rPr>
          <w:rFonts w:ascii="Times New Roman" w:hAnsi="Times New Roman" w:cs="Times New Roman"/>
        </w:rPr>
        <w:t>Neuskutočnili sa žiadne štúdie o</w:t>
      </w:r>
      <w:r w:rsidR="005B755D" w:rsidRPr="007656B5">
        <w:rPr>
          <w:rFonts w:ascii="Times New Roman" w:hAnsi="Times New Roman" w:cs="Times New Roman"/>
        </w:rPr>
        <w:t> </w:t>
      </w:r>
      <w:r w:rsidRPr="007656B5">
        <w:rPr>
          <w:rFonts w:ascii="Times New Roman" w:hAnsi="Times New Roman" w:cs="Times New Roman"/>
        </w:rPr>
        <w:t>účinkoch na schopnosť viesť vozidlá. Pri vedení vozidla alebo obsluhe strojov je potrebné vziať do úvahy, že občas sa môžu vyskytnúť závraty alebo únava.</w:t>
      </w:r>
    </w:p>
    <w:p w:rsidR="007C2ED7" w:rsidRPr="007656B5" w:rsidRDefault="007C2ED7" w:rsidP="00D50784">
      <w:pPr>
        <w:pStyle w:val="Styl2"/>
      </w:pPr>
      <w:r w:rsidRPr="007656B5">
        <w:t>Nežiaduce účinky</w:t>
      </w:r>
    </w:p>
    <w:p w:rsidR="007C2ED7" w:rsidRPr="007656B5" w:rsidRDefault="007C2ED7" w:rsidP="007C44E3">
      <w:pPr>
        <w:pStyle w:val="Normlndobloku"/>
        <w:rPr>
          <w:rFonts w:ascii="Times New Roman" w:hAnsi="Times New Roman" w:cs="Times New Roman"/>
        </w:rPr>
      </w:pPr>
      <w:r w:rsidRPr="007656B5">
        <w:rPr>
          <w:rFonts w:ascii="Times New Roman" w:hAnsi="Times New Roman" w:cs="Times New Roman"/>
        </w:rPr>
        <w:t>V</w:t>
      </w:r>
      <w:r w:rsidR="005B755D" w:rsidRPr="007656B5">
        <w:rPr>
          <w:rFonts w:ascii="Times New Roman" w:hAnsi="Times New Roman" w:cs="Times New Roman"/>
        </w:rPr>
        <w:t> </w:t>
      </w:r>
      <w:r w:rsidRPr="007656B5">
        <w:rPr>
          <w:rFonts w:ascii="Times New Roman" w:hAnsi="Times New Roman" w:cs="Times New Roman"/>
        </w:rPr>
        <w:t>kontrolovaných klinických skúšaniach s</w:t>
      </w:r>
      <w:r w:rsidR="005B755D" w:rsidRPr="007656B5">
        <w:rPr>
          <w:rFonts w:ascii="Times New Roman" w:hAnsi="Times New Roman" w:cs="Times New Roman"/>
        </w:rPr>
        <w:t> </w:t>
      </w:r>
      <w:r w:rsidRPr="007656B5">
        <w:rPr>
          <w:rFonts w:ascii="Times New Roman" w:hAnsi="Times New Roman" w:cs="Times New Roman"/>
        </w:rPr>
        <w:t>dospelými pacientmi s</w:t>
      </w:r>
      <w:r w:rsidR="005B755D" w:rsidRPr="007656B5">
        <w:rPr>
          <w:rFonts w:ascii="Times New Roman" w:hAnsi="Times New Roman" w:cs="Times New Roman"/>
        </w:rPr>
        <w:t> </w:t>
      </w:r>
      <w:r w:rsidRPr="007656B5">
        <w:rPr>
          <w:rFonts w:ascii="Times New Roman" w:hAnsi="Times New Roman" w:cs="Times New Roman"/>
        </w:rPr>
        <w:t>hypertenziou bola celková incidencia nežiaducich reakcií (</w:t>
      </w:r>
      <w:r w:rsidR="006958BA" w:rsidRPr="007656B5">
        <w:rPr>
          <w:rFonts w:ascii="Times New Roman" w:hAnsi="Times New Roman" w:cs="Times New Roman"/>
        </w:rPr>
        <w:t xml:space="preserve">adverse reactions, </w:t>
      </w:r>
      <w:r w:rsidRPr="007656B5">
        <w:rPr>
          <w:rFonts w:ascii="Times New Roman" w:hAnsi="Times New Roman" w:cs="Times New Roman"/>
        </w:rPr>
        <w:t>ADR) porovnateľná s</w:t>
      </w:r>
      <w:r w:rsidR="005B755D" w:rsidRPr="007656B5">
        <w:rPr>
          <w:rFonts w:ascii="Times New Roman" w:hAnsi="Times New Roman" w:cs="Times New Roman"/>
        </w:rPr>
        <w:t> </w:t>
      </w:r>
      <w:r w:rsidRPr="007656B5">
        <w:rPr>
          <w:rFonts w:ascii="Times New Roman" w:hAnsi="Times New Roman" w:cs="Times New Roman"/>
        </w:rPr>
        <w:t>placebom a</w:t>
      </w:r>
      <w:r w:rsidR="005B755D" w:rsidRPr="007656B5">
        <w:rPr>
          <w:rFonts w:ascii="Times New Roman" w:hAnsi="Times New Roman" w:cs="Times New Roman"/>
        </w:rPr>
        <w:t> </w:t>
      </w:r>
      <w:r w:rsidRPr="007656B5">
        <w:rPr>
          <w:rFonts w:ascii="Times New Roman" w:hAnsi="Times New Roman" w:cs="Times New Roman"/>
        </w:rPr>
        <w:t xml:space="preserve">zhoduje sa </w:t>
      </w:r>
      <w:r w:rsidRPr="007656B5">
        <w:rPr>
          <w:rFonts w:ascii="Times New Roman" w:hAnsi="Times New Roman" w:cs="Times New Roman"/>
        </w:rPr>
        <w:lastRenderedPageBreak/>
        <w:t>s</w:t>
      </w:r>
      <w:r w:rsidR="003D0D38" w:rsidRPr="007656B5">
        <w:rPr>
          <w:rFonts w:ascii="Times New Roman" w:hAnsi="Times New Roman" w:cs="Times New Roman"/>
        </w:rPr>
        <w:t> </w:t>
      </w:r>
      <w:r w:rsidRPr="007656B5">
        <w:rPr>
          <w:rFonts w:ascii="Times New Roman" w:hAnsi="Times New Roman" w:cs="Times New Roman"/>
        </w:rPr>
        <w:t>farmakologickými vlastnosťami valsartanu. Incidencia ADR zjavne nemala vzťah k</w:t>
      </w:r>
      <w:r w:rsidR="005B755D" w:rsidRPr="007656B5">
        <w:rPr>
          <w:rFonts w:ascii="Times New Roman" w:hAnsi="Times New Roman" w:cs="Times New Roman"/>
        </w:rPr>
        <w:t> </w:t>
      </w:r>
      <w:r w:rsidRPr="007656B5">
        <w:rPr>
          <w:rFonts w:ascii="Times New Roman" w:hAnsi="Times New Roman" w:cs="Times New Roman"/>
        </w:rPr>
        <w:t>dávke alebo trvaniu liečby a</w:t>
      </w:r>
      <w:r w:rsidR="0039460B" w:rsidRPr="007656B5">
        <w:rPr>
          <w:rFonts w:ascii="Times New Roman" w:hAnsi="Times New Roman" w:cs="Times New Roman"/>
        </w:rPr>
        <w:t> </w:t>
      </w:r>
      <w:r w:rsidRPr="007656B5">
        <w:rPr>
          <w:rFonts w:ascii="Times New Roman" w:hAnsi="Times New Roman" w:cs="Times New Roman"/>
        </w:rPr>
        <w:t>nesúvisela ani s</w:t>
      </w:r>
      <w:r w:rsidR="005B755D" w:rsidRPr="007656B5">
        <w:rPr>
          <w:rFonts w:ascii="Times New Roman" w:hAnsi="Times New Roman" w:cs="Times New Roman"/>
        </w:rPr>
        <w:t> </w:t>
      </w:r>
      <w:r w:rsidRPr="007656B5">
        <w:rPr>
          <w:rFonts w:ascii="Times New Roman" w:hAnsi="Times New Roman" w:cs="Times New Roman"/>
        </w:rPr>
        <w:t>pohlavím, vekom alebo rasou.</w:t>
      </w:r>
    </w:p>
    <w:p w:rsidR="007C2ED7" w:rsidRPr="007656B5" w:rsidRDefault="007C2ED7" w:rsidP="007C44E3">
      <w:pPr>
        <w:pStyle w:val="Normlndobloku"/>
        <w:rPr>
          <w:rFonts w:ascii="Times New Roman" w:hAnsi="Times New Roman" w:cs="Times New Roman"/>
        </w:rPr>
      </w:pPr>
      <w:r w:rsidRPr="007656B5">
        <w:rPr>
          <w:rFonts w:ascii="Times New Roman" w:hAnsi="Times New Roman" w:cs="Times New Roman"/>
        </w:rPr>
        <w:t>ADR hlásené z</w:t>
      </w:r>
      <w:r w:rsidR="005B755D" w:rsidRPr="007656B5">
        <w:rPr>
          <w:rFonts w:ascii="Times New Roman" w:hAnsi="Times New Roman" w:cs="Times New Roman"/>
        </w:rPr>
        <w:t> </w:t>
      </w:r>
      <w:r w:rsidRPr="007656B5">
        <w:rPr>
          <w:rFonts w:ascii="Times New Roman" w:hAnsi="Times New Roman" w:cs="Times New Roman"/>
        </w:rPr>
        <w:t>klinických štúdií, skúseností po uvedení na trh a</w:t>
      </w:r>
      <w:r w:rsidR="005B755D" w:rsidRPr="007656B5">
        <w:rPr>
          <w:rFonts w:ascii="Times New Roman" w:hAnsi="Times New Roman" w:cs="Times New Roman"/>
        </w:rPr>
        <w:t> </w:t>
      </w:r>
      <w:r w:rsidRPr="007656B5">
        <w:rPr>
          <w:rFonts w:ascii="Times New Roman" w:hAnsi="Times New Roman" w:cs="Times New Roman"/>
        </w:rPr>
        <w:t>laboratórnych nálezov sú uvedené nižšie podľa tried orgánových systémov.</w:t>
      </w:r>
    </w:p>
    <w:p w:rsidR="00E63BB1" w:rsidRPr="007656B5" w:rsidRDefault="007C2ED7" w:rsidP="009B52F3">
      <w:pPr>
        <w:pStyle w:val="Normlndobloku"/>
        <w:rPr>
          <w:rFonts w:ascii="Times New Roman" w:hAnsi="Times New Roman" w:cs="Times New Roman"/>
        </w:rPr>
      </w:pPr>
      <w:r w:rsidRPr="007656B5">
        <w:rPr>
          <w:rFonts w:ascii="Times New Roman" w:hAnsi="Times New Roman" w:cs="Times New Roman"/>
        </w:rPr>
        <w:t>Nežiaduce udalosti sú zoradené podľa frekvencie, najčastejšie ako prvé, pomocou nasledovnej konvencie: veľmi časté (</w:t>
      </w:r>
      <w:r w:rsidR="006958BA" w:rsidRPr="007656B5">
        <w:rPr>
          <w:rFonts w:ascii="Times New Roman" w:hAnsi="Times New Roman" w:cs="Times New Roman"/>
        </w:rPr>
        <w:t>≥</w:t>
      </w:r>
      <w:r w:rsidRPr="007656B5">
        <w:rPr>
          <w:rFonts w:ascii="Times New Roman" w:hAnsi="Times New Roman" w:cs="Times New Roman"/>
        </w:rPr>
        <w:t>l/10), časté (</w:t>
      </w:r>
      <w:r w:rsidR="006958BA" w:rsidRPr="007656B5">
        <w:rPr>
          <w:rFonts w:ascii="Times New Roman" w:hAnsi="Times New Roman" w:cs="Times New Roman"/>
        </w:rPr>
        <w:t>≥</w:t>
      </w:r>
      <w:r w:rsidRPr="007656B5">
        <w:rPr>
          <w:rFonts w:ascii="Times New Roman" w:hAnsi="Times New Roman" w:cs="Times New Roman"/>
        </w:rPr>
        <w:t>l/100 až &lt;l/10), menej časté (</w:t>
      </w:r>
      <w:r w:rsidR="006958BA" w:rsidRPr="007656B5">
        <w:rPr>
          <w:rFonts w:ascii="Times New Roman" w:hAnsi="Times New Roman" w:cs="Times New Roman"/>
        </w:rPr>
        <w:t>≥</w:t>
      </w:r>
      <w:r w:rsidRPr="007656B5">
        <w:rPr>
          <w:rFonts w:ascii="Times New Roman" w:hAnsi="Times New Roman" w:cs="Times New Roman"/>
        </w:rPr>
        <w:t>l/1</w:t>
      </w:r>
      <w:r w:rsidR="00097527" w:rsidRPr="007656B5">
        <w:rPr>
          <w:rFonts w:ascii="Times New Roman" w:hAnsi="Times New Roman" w:cs="Times New Roman"/>
        </w:rPr>
        <w:t> </w:t>
      </w:r>
      <w:r w:rsidRPr="007656B5">
        <w:rPr>
          <w:rFonts w:ascii="Times New Roman" w:hAnsi="Times New Roman" w:cs="Times New Roman"/>
        </w:rPr>
        <w:t>000 až &lt;1/100), zriedkavé (</w:t>
      </w:r>
      <w:r w:rsidR="006958BA" w:rsidRPr="007656B5">
        <w:rPr>
          <w:rFonts w:ascii="Times New Roman" w:hAnsi="Times New Roman" w:cs="Times New Roman"/>
        </w:rPr>
        <w:t>≥</w:t>
      </w:r>
      <w:r w:rsidRPr="007656B5">
        <w:rPr>
          <w:rFonts w:ascii="Times New Roman" w:hAnsi="Times New Roman" w:cs="Times New Roman"/>
        </w:rPr>
        <w:t>1/10</w:t>
      </w:r>
      <w:r w:rsidR="00097527" w:rsidRPr="007656B5">
        <w:rPr>
          <w:rFonts w:ascii="Times New Roman" w:hAnsi="Times New Roman" w:cs="Times New Roman"/>
        </w:rPr>
        <w:t> </w:t>
      </w:r>
      <w:r w:rsidRPr="007656B5">
        <w:rPr>
          <w:rFonts w:ascii="Times New Roman" w:hAnsi="Times New Roman" w:cs="Times New Roman"/>
        </w:rPr>
        <w:t>000 až &lt;1/1</w:t>
      </w:r>
      <w:r w:rsidR="00097527" w:rsidRPr="007656B5">
        <w:rPr>
          <w:rFonts w:ascii="Times New Roman" w:hAnsi="Times New Roman" w:cs="Times New Roman"/>
        </w:rPr>
        <w:t> </w:t>
      </w:r>
      <w:r w:rsidRPr="007656B5">
        <w:rPr>
          <w:rFonts w:ascii="Times New Roman" w:hAnsi="Times New Roman" w:cs="Times New Roman"/>
        </w:rPr>
        <w:t>000), veľmi zriedkavé (&lt;1/10</w:t>
      </w:r>
      <w:r w:rsidR="00097527" w:rsidRPr="007656B5">
        <w:rPr>
          <w:rFonts w:ascii="Times New Roman" w:hAnsi="Times New Roman" w:cs="Times New Roman"/>
        </w:rPr>
        <w:t> </w:t>
      </w:r>
      <w:r w:rsidRPr="007656B5">
        <w:rPr>
          <w:rFonts w:ascii="Times New Roman" w:hAnsi="Times New Roman" w:cs="Times New Roman"/>
        </w:rPr>
        <w:t>00</w:t>
      </w:r>
      <w:r w:rsidR="00F64A62" w:rsidRPr="007656B5">
        <w:rPr>
          <w:rFonts w:ascii="Times New Roman" w:hAnsi="Times New Roman" w:cs="Times New Roman"/>
        </w:rPr>
        <w:t>0).</w:t>
      </w:r>
    </w:p>
    <w:p w:rsidR="007C2ED7" w:rsidRPr="007656B5" w:rsidRDefault="007C2ED7" w:rsidP="009B52F3">
      <w:pPr>
        <w:pStyle w:val="Normlndobloku"/>
        <w:rPr>
          <w:rFonts w:ascii="Times New Roman" w:hAnsi="Times New Roman" w:cs="Times New Roman"/>
        </w:rPr>
      </w:pPr>
      <w:r w:rsidRPr="007656B5">
        <w:rPr>
          <w:rFonts w:ascii="Times New Roman" w:hAnsi="Times New Roman" w:cs="Times New Roman"/>
        </w:rPr>
        <w:t>V</w:t>
      </w:r>
      <w:r w:rsidR="005B755D" w:rsidRPr="007656B5">
        <w:rPr>
          <w:rFonts w:ascii="Times New Roman" w:hAnsi="Times New Roman" w:cs="Times New Roman"/>
        </w:rPr>
        <w:t> </w:t>
      </w:r>
      <w:r w:rsidRPr="007656B5">
        <w:rPr>
          <w:rFonts w:ascii="Times New Roman" w:hAnsi="Times New Roman" w:cs="Times New Roman"/>
        </w:rPr>
        <w:t>rámci jednotlivých skupín frekvencií sú nežiaduce účinky usporiadané v</w:t>
      </w:r>
      <w:r w:rsidR="005B755D" w:rsidRPr="007656B5">
        <w:rPr>
          <w:rFonts w:ascii="Times New Roman" w:hAnsi="Times New Roman" w:cs="Times New Roman"/>
        </w:rPr>
        <w:t> </w:t>
      </w:r>
      <w:r w:rsidRPr="007656B5">
        <w:rPr>
          <w:rFonts w:ascii="Times New Roman" w:hAnsi="Times New Roman" w:cs="Times New Roman"/>
        </w:rPr>
        <w:t>poradí klesajúcej závažnosti.</w:t>
      </w:r>
    </w:p>
    <w:p w:rsidR="007C2ED7" w:rsidRPr="007656B5" w:rsidRDefault="007C2ED7" w:rsidP="009520A7">
      <w:pPr>
        <w:pStyle w:val="Normlndobloku"/>
        <w:rPr>
          <w:rFonts w:ascii="Times New Roman" w:hAnsi="Times New Roman" w:cs="Times New Roman"/>
        </w:rPr>
      </w:pPr>
      <w:r w:rsidRPr="007656B5">
        <w:rPr>
          <w:rFonts w:ascii="Times New Roman" w:hAnsi="Times New Roman" w:cs="Times New Roman"/>
        </w:rPr>
        <w:t>Pri všetkých ADR hlásených zo skúsenosti po uvedení na trh a</w:t>
      </w:r>
      <w:r w:rsidR="005B755D" w:rsidRPr="007656B5">
        <w:rPr>
          <w:rFonts w:ascii="Times New Roman" w:hAnsi="Times New Roman" w:cs="Times New Roman"/>
        </w:rPr>
        <w:t> </w:t>
      </w:r>
      <w:r w:rsidRPr="007656B5">
        <w:rPr>
          <w:rFonts w:ascii="Times New Roman" w:hAnsi="Times New Roman" w:cs="Times New Roman"/>
        </w:rPr>
        <w:t>laboratórnych nálezov nie je možné použiť frekvenciu ADR, preto sú uvedené v</w:t>
      </w:r>
      <w:r w:rsidR="005B755D" w:rsidRPr="007656B5">
        <w:rPr>
          <w:rFonts w:ascii="Times New Roman" w:hAnsi="Times New Roman" w:cs="Times New Roman"/>
        </w:rPr>
        <w:t> </w:t>
      </w:r>
      <w:r w:rsidRPr="007656B5">
        <w:rPr>
          <w:rFonts w:ascii="Times New Roman" w:hAnsi="Times New Roman" w:cs="Times New Roman"/>
        </w:rPr>
        <w:t>tabuľke s</w:t>
      </w:r>
      <w:r w:rsidR="005B755D" w:rsidRPr="007656B5">
        <w:rPr>
          <w:rFonts w:ascii="Times New Roman" w:hAnsi="Times New Roman" w:cs="Times New Roman"/>
        </w:rPr>
        <w:t> </w:t>
      </w:r>
      <w:r w:rsidRPr="007656B5">
        <w:rPr>
          <w:rFonts w:ascii="Times New Roman" w:hAnsi="Times New Roman" w:cs="Times New Roman"/>
        </w:rPr>
        <w:t>frekvenciou „neznáme".</w:t>
      </w:r>
    </w:p>
    <w:tbl>
      <w:tblPr>
        <w:tblpPr w:leftFromText="142" w:rightFromText="142" w:topFromText="142" w:bottomFromText="142" w:vertAnchor="text" w:horzAnchor="margin" w:tblpY="538"/>
        <w:tblOverlap w:val="never"/>
        <w:tblW w:w="9331" w:type="dxa"/>
        <w:tblLayout w:type="fixed"/>
        <w:tblCellMar>
          <w:left w:w="40" w:type="dxa"/>
          <w:right w:w="40" w:type="dxa"/>
        </w:tblCellMar>
        <w:tblLook w:val="0000" w:firstRow="0" w:lastRow="0" w:firstColumn="0" w:lastColumn="0" w:noHBand="0" w:noVBand="0"/>
      </w:tblPr>
      <w:tblGrid>
        <w:gridCol w:w="4550"/>
        <w:gridCol w:w="63"/>
        <w:gridCol w:w="4718"/>
      </w:tblGrid>
      <w:tr w:rsidR="00211276" w:rsidRPr="007656B5" w:rsidTr="00211276">
        <w:tc>
          <w:tcPr>
            <w:tcW w:w="9331" w:type="dxa"/>
            <w:gridSpan w:val="3"/>
            <w:tcBorders>
              <w:top w:val="single" w:sz="6" w:space="0" w:color="auto"/>
              <w:left w:val="single" w:sz="6" w:space="0" w:color="auto"/>
              <w:bottom w:val="single" w:sz="6" w:space="0" w:color="auto"/>
              <w:right w:val="single" w:sz="6" w:space="0" w:color="auto"/>
            </w:tcBorders>
          </w:tcPr>
          <w:p w:rsidR="00211276" w:rsidRPr="007656B5" w:rsidRDefault="00211276" w:rsidP="00211276">
            <w:pPr>
              <w:pStyle w:val="Tabulka"/>
              <w:rPr>
                <w:szCs w:val="22"/>
              </w:rPr>
            </w:pPr>
            <w:r w:rsidRPr="007656B5">
              <w:rPr>
                <w:szCs w:val="22"/>
              </w:rPr>
              <w:t>Poruchy krvi a</w:t>
            </w:r>
            <w:r w:rsidR="005B755D" w:rsidRPr="007656B5">
              <w:rPr>
                <w:szCs w:val="22"/>
              </w:rPr>
              <w:t> </w:t>
            </w:r>
            <w:r w:rsidRPr="007656B5">
              <w:rPr>
                <w:szCs w:val="22"/>
              </w:rPr>
              <w:t>lymfatického systému</w:t>
            </w:r>
          </w:p>
        </w:tc>
      </w:tr>
      <w:tr w:rsidR="00211276" w:rsidRPr="007656B5" w:rsidTr="00211276">
        <w:tc>
          <w:tcPr>
            <w:tcW w:w="4613" w:type="dxa"/>
            <w:gridSpan w:val="2"/>
            <w:tcBorders>
              <w:top w:val="single" w:sz="6" w:space="0" w:color="auto"/>
              <w:left w:val="single" w:sz="6" w:space="0" w:color="auto"/>
              <w:bottom w:val="single" w:sz="6" w:space="0" w:color="auto"/>
              <w:right w:val="single" w:sz="6" w:space="0" w:color="auto"/>
            </w:tcBorders>
          </w:tcPr>
          <w:p w:rsidR="00211276" w:rsidRPr="007656B5" w:rsidRDefault="00211276">
            <w:pPr>
              <w:rPr>
                <w:sz w:val="22"/>
                <w:szCs w:val="22"/>
              </w:rPr>
            </w:pPr>
            <w:r w:rsidRPr="007656B5">
              <w:rPr>
                <w:sz w:val="22"/>
                <w:szCs w:val="22"/>
              </w:rPr>
              <w:t>Neznáme</w:t>
            </w:r>
          </w:p>
        </w:tc>
        <w:tc>
          <w:tcPr>
            <w:tcW w:w="4718" w:type="dxa"/>
            <w:tcBorders>
              <w:top w:val="single" w:sz="6" w:space="0" w:color="auto"/>
              <w:left w:val="single" w:sz="6" w:space="0" w:color="auto"/>
              <w:bottom w:val="single" w:sz="6" w:space="0" w:color="auto"/>
              <w:right w:val="single" w:sz="6" w:space="0" w:color="auto"/>
            </w:tcBorders>
          </w:tcPr>
          <w:p w:rsidR="00211276" w:rsidRPr="007656B5" w:rsidRDefault="00211276" w:rsidP="009B52F3">
            <w:pPr>
              <w:pStyle w:val="Tabulka1"/>
              <w:rPr>
                <w:szCs w:val="22"/>
              </w:rPr>
            </w:pPr>
            <w:r w:rsidRPr="007656B5">
              <w:rPr>
                <w:szCs w:val="22"/>
              </w:rPr>
              <w:t>Pokles hemoglobínu, pokles hematokritu, neutropénia, trombocytopénia</w:t>
            </w:r>
          </w:p>
        </w:tc>
      </w:tr>
      <w:tr w:rsidR="00211276" w:rsidRPr="007656B5" w:rsidTr="00211276">
        <w:tc>
          <w:tcPr>
            <w:tcW w:w="9331" w:type="dxa"/>
            <w:gridSpan w:val="3"/>
            <w:tcBorders>
              <w:top w:val="single" w:sz="6" w:space="0" w:color="auto"/>
              <w:left w:val="single" w:sz="6" w:space="0" w:color="auto"/>
              <w:bottom w:val="single" w:sz="6" w:space="0" w:color="auto"/>
              <w:right w:val="single" w:sz="6" w:space="0" w:color="auto"/>
            </w:tcBorders>
          </w:tcPr>
          <w:p w:rsidR="00211276" w:rsidRPr="007656B5" w:rsidRDefault="00211276" w:rsidP="00211276">
            <w:pPr>
              <w:pStyle w:val="Tabulka"/>
              <w:rPr>
                <w:szCs w:val="22"/>
              </w:rPr>
            </w:pPr>
            <w:r w:rsidRPr="007656B5">
              <w:rPr>
                <w:szCs w:val="22"/>
              </w:rPr>
              <w:t>Poruchy imunitného systému</w:t>
            </w:r>
          </w:p>
        </w:tc>
      </w:tr>
      <w:tr w:rsidR="00211276" w:rsidRPr="007656B5" w:rsidTr="00211276">
        <w:tc>
          <w:tcPr>
            <w:tcW w:w="4613" w:type="dxa"/>
            <w:gridSpan w:val="2"/>
            <w:tcBorders>
              <w:top w:val="single" w:sz="6" w:space="0" w:color="auto"/>
              <w:left w:val="single" w:sz="6" w:space="0" w:color="auto"/>
              <w:bottom w:val="single" w:sz="6" w:space="0" w:color="auto"/>
              <w:right w:val="single" w:sz="6" w:space="0" w:color="auto"/>
            </w:tcBorders>
          </w:tcPr>
          <w:p w:rsidR="00211276" w:rsidRPr="007656B5" w:rsidRDefault="00211276" w:rsidP="007C44E3">
            <w:pPr>
              <w:pStyle w:val="Tabulka1"/>
              <w:rPr>
                <w:szCs w:val="22"/>
              </w:rPr>
            </w:pPr>
            <w:r w:rsidRPr="007656B5">
              <w:rPr>
                <w:szCs w:val="22"/>
              </w:rPr>
              <w:t>Neznáme</w:t>
            </w:r>
          </w:p>
        </w:tc>
        <w:tc>
          <w:tcPr>
            <w:tcW w:w="4718" w:type="dxa"/>
            <w:tcBorders>
              <w:top w:val="single" w:sz="6" w:space="0" w:color="auto"/>
              <w:left w:val="single" w:sz="6" w:space="0" w:color="auto"/>
              <w:bottom w:val="single" w:sz="6" w:space="0" w:color="auto"/>
              <w:right w:val="single" w:sz="6" w:space="0" w:color="auto"/>
            </w:tcBorders>
          </w:tcPr>
          <w:p w:rsidR="00211276" w:rsidRPr="007656B5" w:rsidRDefault="00211276" w:rsidP="007C44E3">
            <w:pPr>
              <w:pStyle w:val="Tabulka1"/>
              <w:rPr>
                <w:szCs w:val="22"/>
              </w:rPr>
            </w:pPr>
            <w:r w:rsidRPr="007656B5">
              <w:rPr>
                <w:szCs w:val="22"/>
              </w:rPr>
              <w:t>Precitlivenosť vrátane sérovej choroby</w:t>
            </w:r>
          </w:p>
        </w:tc>
      </w:tr>
      <w:tr w:rsidR="00211276" w:rsidRPr="007656B5" w:rsidTr="00211276">
        <w:tc>
          <w:tcPr>
            <w:tcW w:w="9331" w:type="dxa"/>
            <w:gridSpan w:val="3"/>
            <w:tcBorders>
              <w:top w:val="single" w:sz="6" w:space="0" w:color="auto"/>
              <w:left w:val="single" w:sz="6" w:space="0" w:color="auto"/>
              <w:bottom w:val="single" w:sz="6" w:space="0" w:color="auto"/>
              <w:right w:val="single" w:sz="6" w:space="0" w:color="auto"/>
            </w:tcBorders>
          </w:tcPr>
          <w:p w:rsidR="00211276" w:rsidRPr="007656B5" w:rsidRDefault="00211276" w:rsidP="00211276">
            <w:pPr>
              <w:pStyle w:val="Tabulka"/>
              <w:rPr>
                <w:szCs w:val="22"/>
              </w:rPr>
            </w:pPr>
            <w:r w:rsidRPr="007656B5">
              <w:rPr>
                <w:szCs w:val="22"/>
              </w:rPr>
              <w:t>Poruchy metabolizmu a</w:t>
            </w:r>
            <w:r w:rsidR="005B755D" w:rsidRPr="007656B5">
              <w:rPr>
                <w:szCs w:val="22"/>
              </w:rPr>
              <w:t> </w:t>
            </w:r>
            <w:r w:rsidRPr="007656B5">
              <w:rPr>
                <w:szCs w:val="22"/>
              </w:rPr>
              <w:t>výživy</w:t>
            </w:r>
          </w:p>
        </w:tc>
      </w:tr>
      <w:tr w:rsidR="00211276" w:rsidRPr="007656B5" w:rsidTr="00211276">
        <w:tc>
          <w:tcPr>
            <w:tcW w:w="4613" w:type="dxa"/>
            <w:gridSpan w:val="2"/>
            <w:tcBorders>
              <w:top w:val="single" w:sz="6" w:space="0" w:color="auto"/>
              <w:left w:val="single" w:sz="6" w:space="0" w:color="auto"/>
              <w:bottom w:val="single" w:sz="6" w:space="0" w:color="auto"/>
              <w:right w:val="single" w:sz="6" w:space="0" w:color="auto"/>
            </w:tcBorders>
          </w:tcPr>
          <w:p w:rsidR="00211276" w:rsidRPr="007656B5" w:rsidRDefault="00211276" w:rsidP="007C44E3">
            <w:pPr>
              <w:pStyle w:val="Tabulka1"/>
              <w:rPr>
                <w:szCs w:val="22"/>
              </w:rPr>
            </w:pPr>
            <w:r w:rsidRPr="007656B5">
              <w:rPr>
                <w:szCs w:val="22"/>
              </w:rPr>
              <w:t>Neznáme</w:t>
            </w:r>
          </w:p>
        </w:tc>
        <w:tc>
          <w:tcPr>
            <w:tcW w:w="4718" w:type="dxa"/>
            <w:tcBorders>
              <w:top w:val="single" w:sz="6" w:space="0" w:color="auto"/>
              <w:left w:val="single" w:sz="6" w:space="0" w:color="auto"/>
              <w:bottom w:val="single" w:sz="6" w:space="0" w:color="auto"/>
              <w:right w:val="single" w:sz="6" w:space="0" w:color="auto"/>
            </w:tcBorders>
          </w:tcPr>
          <w:p w:rsidR="00211276" w:rsidRPr="007656B5" w:rsidRDefault="00211276" w:rsidP="007C44E3">
            <w:pPr>
              <w:pStyle w:val="Tabulka1"/>
              <w:rPr>
                <w:szCs w:val="22"/>
              </w:rPr>
            </w:pPr>
            <w:r w:rsidRPr="007656B5">
              <w:rPr>
                <w:szCs w:val="22"/>
              </w:rPr>
              <w:t>Zvýšenie hladiny draslíka v</w:t>
            </w:r>
            <w:r w:rsidR="005B755D" w:rsidRPr="007656B5">
              <w:rPr>
                <w:szCs w:val="22"/>
              </w:rPr>
              <w:t> </w:t>
            </w:r>
            <w:r w:rsidRPr="007656B5">
              <w:rPr>
                <w:szCs w:val="22"/>
              </w:rPr>
              <w:t>sére, hyponatriémia</w:t>
            </w:r>
          </w:p>
        </w:tc>
      </w:tr>
      <w:tr w:rsidR="00211276" w:rsidRPr="007656B5" w:rsidTr="00211276">
        <w:tc>
          <w:tcPr>
            <w:tcW w:w="9331" w:type="dxa"/>
            <w:gridSpan w:val="3"/>
            <w:tcBorders>
              <w:top w:val="single" w:sz="6" w:space="0" w:color="auto"/>
              <w:left w:val="single" w:sz="6" w:space="0" w:color="auto"/>
              <w:bottom w:val="single" w:sz="6" w:space="0" w:color="auto"/>
              <w:right w:val="single" w:sz="6" w:space="0" w:color="auto"/>
            </w:tcBorders>
          </w:tcPr>
          <w:p w:rsidR="00211276" w:rsidRPr="007656B5" w:rsidRDefault="00211276" w:rsidP="00211276">
            <w:pPr>
              <w:pStyle w:val="Tabulka"/>
              <w:rPr>
                <w:szCs w:val="22"/>
              </w:rPr>
            </w:pPr>
            <w:r w:rsidRPr="007656B5">
              <w:rPr>
                <w:szCs w:val="22"/>
              </w:rPr>
              <w:t>Poruchy ucha a</w:t>
            </w:r>
            <w:r w:rsidR="005B755D" w:rsidRPr="007656B5">
              <w:rPr>
                <w:szCs w:val="22"/>
              </w:rPr>
              <w:t> </w:t>
            </w:r>
            <w:r w:rsidRPr="007656B5">
              <w:rPr>
                <w:szCs w:val="22"/>
              </w:rPr>
              <w:t>labyrintu</w:t>
            </w:r>
          </w:p>
        </w:tc>
      </w:tr>
      <w:tr w:rsidR="00211276" w:rsidRPr="007656B5" w:rsidTr="00211276">
        <w:tc>
          <w:tcPr>
            <w:tcW w:w="4613" w:type="dxa"/>
            <w:gridSpan w:val="2"/>
            <w:tcBorders>
              <w:top w:val="single" w:sz="6" w:space="0" w:color="auto"/>
              <w:left w:val="single" w:sz="6" w:space="0" w:color="auto"/>
              <w:bottom w:val="single" w:sz="6" w:space="0" w:color="auto"/>
              <w:right w:val="single" w:sz="6" w:space="0" w:color="auto"/>
            </w:tcBorders>
          </w:tcPr>
          <w:p w:rsidR="00211276" w:rsidRPr="007656B5" w:rsidRDefault="00211276" w:rsidP="007C44E3">
            <w:pPr>
              <w:pStyle w:val="Tabulka1"/>
              <w:rPr>
                <w:szCs w:val="22"/>
              </w:rPr>
            </w:pPr>
            <w:r w:rsidRPr="007656B5">
              <w:rPr>
                <w:szCs w:val="22"/>
              </w:rPr>
              <w:t>Menej časté</w:t>
            </w:r>
          </w:p>
        </w:tc>
        <w:tc>
          <w:tcPr>
            <w:tcW w:w="4718" w:type="dxa"/>
            <w:tcBorders>
              <w:top w:val="single" w:sz="6" w:space="0" w:color="auto"/>
              <w:left w:val="single" w:sz="6" w:space="0" w:color="auto"/>
              <w:bottom w:val="single" w:sz="6" w:space="0" w:color="auto"/>
              <w:right w:val="single" w:sz="6" w:space="0" w:color="auto"/>
            </w:tcBorders>
          </w:tcPr>
          <w:p w:rsidR="00211276" w:rsidRPr="007656B5" w:rsidRDefault="00211276" w:rsidP="007C44E3">
            <w:pPr>
              <w:pStyle w:val="Tabulka1"/>
              <w:rPr>
                <w:szCs w:val="22"/>
              </w:rPr>
            </w:pPr>
            <w:r w:rsidRPr="007656B5">
              <w:rPr>
                <w:szCs w:val="22"/>
              </w:rPr>
              <w:t>Vertigo</w:t>
            </w:r>
          </w:p>
        </w:tc>
      </w:tr>
      <w:tr w:rsidR="00211276" w:rsidRPr="007656B5" w:rsidTr="00211276">
        <w:tc>
          <w:tcPr>
            <w:tcW w:w="9331" w:type="dxa"/>
            <w:gridSpan w:val="3"/>
            <w:tcBorders>
              <w:top w:val="single" w:sz="6" w:space="0" w:color="auto"/>
              <w:left w:val="single" w:sz="6" w:space="0" w:color="auto"/>
              <w:bottom w:val="single" w:sz="6" w:space="0" w:color="auto"/>
              <w:right w:val="single" w:sz="6" w:space="0" w:color="auto"/>
            </w:tcBorders>
          </w:tcPr>
          <w:p w:rsidR="00211276" w:rsidRPr="007656B5" w:rsidRDefault="00211276" w:rsidP="00211276">
            <w:pPr>
              <w:pStyle w:val="Tabulka"/>
              <w:rPr>
                <w:szCs w:val="22"/>
              </w:rPr>
            </w:pPr>
            <w:r w:rsidRPr="007656B5">
              <w:rPr>
                <w:szCs w:val="22"/>
              </w:rPr>
              <w:t>Poruchy ciev</w:t>
            </w:r>
          </w:p>
        </w:tc>
      </w:tr>
      <w:tr w:rsidR="00211276" w:rsidRPr="007656B5" w:rsidTr="00211276">
        <w:tc>
          <w:tcPr>
            <w:tcW w:w="4613" w:type="dxa"/>
            <w:gridSpan w:val="2"/>
            <w:tcBorders>
              <w:top w:val="single" w:sz="6" w:space="0" w:color="auto"/>
              <w:left w:val="single" w:sz="6" w:space="0" w:color="auto"/>
              <w:bottom w:val="single" w:sz="6" w:space="0" w:color="auto"/>
              <w:right w:val="single" w:sz="6" w:space="0" w:color="auto"/>
            </w:tcBorders>
          </w:tcPr>
          <w:p w:rsidR="00211276" w:rsidRPr="007656B5" w:rsidRDefault="00211276" w:rsidP="007C44E3">
            <w:pPr>
              <w:pStyle w:val="Tabulka1"/>
              <w:rPr>
                <w:szCs w:val="22"/>
              </w:rPr>
            </w:pPr>
            <w:r w:rsidRPr="007656B5">
              <w:rPr>
                <w:szCs w:val="22"/>
              </w:rPr>
              <w:t>Neznáme</w:t>
            </w:r>
          </w:p>
        </w:tc>
        <w:tc>
          <w:tcPr>
            <w:tcW w:w="4718" w:type="dxa"/>
            <w:tcBorders>
              <w:top w:val="single" w:sz="6" w:space="0" w:color="auto"/>
              <w:left w:val="single" w:sz="6" w:space="0" w:color="auto"/>
              <w:bottom w:val="single" w:sz="6" w:space="0" w:color="auto"/>
              <w:right w:val="single" w:sz="6" w:space="0" w:color="auto"/>
            </w:tcBorders>
          </w:tcPr>
          <w:p w:rsidR="00211276" w:rsidRPr="007656B5" w:rsidRDefault="00211276" w:rsidP="007C44E3">
            <w:pPr>
              <w:pStyle w:val="Tabulka1"/>
              <w:rPr>
                <w:szCs w:val="22"/>
              </w:rPr>
            </w:pPr>
            <w:r w:rsidRPr="007656B5">
              <w:rPr>
                <w:szCs w:val="22"/>
              </w:rPr>
              <w:t>Vaskulitída</w:t>
            </w:r>
          </w:p>
        </w:tc>
      </w:tr>
      <w:tr w:rsidR="00211276" w:rsidRPr="007656B5" w:rsidTr="00211276">
        <w:tc>
          <w:tcPr>
            <w:tcW w:w="9331" w:type="dxa"/>
            <w:gridSpan w:val="3"/>
            <w:tcBorders>
              <w:top w:val="single" w:sz="6" w:space="0" w:color="auto"/>
              <w:left w:val="single" w:sz="6" w:space="0" w:color="auto"/>
              <w:bottom w:val="single" w:sz="6" w:space="0" w:color="auto"/>
              <w:right w:val="single" w:sz="6" w:space="0" w:color="auto"/>
            </w:tcBorders>
          </w:tcPr>
          <w:p w:rsidR="00211276" w:rsidRPr="007656B5" w:rsidRDefault="00211276" w:rsidP="00211276">
            <w:pPr>
              <w:pStyle w:val="Tabulka"/>
              <w:rPr>
                <w:szCs w:val="22"/>
              </w:rPr>
            </w:pPr>
            <w:r w:rsidRPr="007656B5">
              <w:rPr>
                <w:szCs w:val="22"/>
              </w:rPr>
              <w:t>Poruchy dýchacej sústavy, hrudníka a</w:t>
            </w:r>
            <w:r w:rsidR="005B755D" w:rsidRPr="007656B5">
              <w:rPr>
                <w:szCs w:val="22"/>
              </w:rPr>
              <w:t> </w:t>
            </w:r>
            <w:r w:rsidRPr="007656B5">
              <w:rPr>
                <w:szCs w:val="22"/>
              </w:rPr>
              <w:t>mediastína</w:t>
            </w:r>
          </w:p>
        </w:tc>
      </w:tr>
      <w:tr w:rsidR="00211276" w:rsidRPr="007656B5" w:rsidTr="00211276">
        <w:tc>
          <w:tcPr>
            <w:tcW w:w="4613" w:type="dxa"/>
            <w:gridSpan w:val="2"/>
            <w:tcBorders>
              <w:top w:val="single" w:sz="6" w:space="0" w:color="auto"/>
              <w:left w:val="single" w:sz="6" w:space="0" w:color="auto"/>
              <w:bottom w:val="single" w:sz="6" w:space="0" w:color="auto"/>
              <w:right w:val="single" w:sz="6" w:space="0" w:color="auto"/>
            </w:tcBorders>
          </w:tcPr>
          <w:p w:rsidR="00211276" w:rsidRPr="007656B5" w:rsidRDefault="00211276" w:rsidP="007C44E3">
            <w:pPr>
              <w:pStyle w:val="Tabulka1"/>
              <w:rPr>
                <w:szCs w:val="22"/>
              </w:rPr>
            </w:pPr>
            <w:r w:rsidRPr="007656B5">
              <w:rPr>
                <w:szCs w:val="22"/>
              </w:rPr>
              <w:t>Menej časté</w:t>
            </w:r>
          </w:p>
        </w:tc>
        <w:tc>
          <w:tcPr>
            <w:tcW w:w="4718" w:type="dxa"/>
            <w:tcBorders>
              <w:top w:val="single" w:sz="6" w:space="0" w:color="auto"/>
              <w:left w:val="single" w:sz="6" w:space="0" w:color="auto"/>
              <w:bottom w:val="single" w:sz="6" w:space="0" w:color="auto"/>
              <w:right w:val="single" w:sz="6" w:space="0" w:color="auto"/>
            </w:tcBorders>
          </w:tcPr>
          <w:p w:rsidR="00211276" w:rsidRPr="007656B5" w:rsidRDefault="00211276" w:rsidP="007C44E3">
            <w:pPr>
              <w:pStyle w:val="Tabulka1"/>
              <w:rPr>
                <w:szCs w:val="22"/>
              </w:rPr>
            </w:pPr>
            <w:r w:rsidRPr="007656B5">
              <w:rPr>
                <w:szCs w:val="22"/>
              </w:rPr>
              <w:t>Kašeľ</w:t>
            </w:r>
          </w:p>
        </w:tc>
      </w:tr>
      <w:tr w:rsidR="00211276" w:rsidRPr="007656B5" w:rsidTr="00211276">
        <w:tc>
          <w:tcPr>
            <w:tcW w:w="9331" w:type="dxa"/>
            <w:gridSpan w:val="3"/>
            <w:tcBorders>
              <w:top w:val="single" w:sz="6" w:space="0" w:color="auto"/>
              <w:left w:val="single" w:sz="6" w:space="0" w:color="auto"/>
              <w:bottom w:val="single" w:sz="6" w:space="0" w:color="auto"/>
              <w:right w:val="single" w:sz="6" w:space="0" w:color="auto"/>
            </w:tcBorders>
          </w:tcPr>
          <w:p w:rsidR="00211276" w:rsidRPr="007656B5" w:rsidRDefault="00211276" w:rsidP="00211276">
            <w:pPr>
              <w:pStyle w:val="Tabulka"/>
              <w:rPr>
                <w:szCs w:val="22"/>
              </w:rPr>
            </w:pPr>
            <w:r w:rsidRPr="007656B5">
              <w:rPr>
                <w:szCs w:val="22"/>
              </w:rPr>
              <w:t>Poruchy gastrointestinálneho traktu</w:t>
            </w:r>
          </w:p>
        </w:tc>
      </w:tr>
      <w:tr w:rsidR="00211276" w:rsidRPr="007656B5" w:rsidTr="00211276">
        <w:tc>
          <w:tcPr>
            <w:tcW w:w="4613" w:type="dxa"/>
            <w:gridSpan w:val="2"/>
            <w:tcBorders>
              <w:top w:val="single" w:sz="6" w:space="0" w:color="auto"/>
              <w:left w:val="single" w:sz="6" w:space="0" w:color="auto"/>
              <w:bottom w:val="single" w:sz="6" w:space="0" w:color="auto"/>
              <w:right w:val="single" w:sz="6" w:space="0" w:color="auto"/>
            </w:tcBorders>
          </w:tcPr>
          <w:p w:rsidR="00211276" w:rsidRPr="007656B5" w:rsidRDefault="00211276" w:rsidP="007C44E3">
            <w:pPr>
              <w:pStyle w:val="Tabulka1"/>
              <w:rPr>
                <w:szCs w:val="22"/>
              </w:rPr>
            </w:pPr>
            <w:r w:rsidRPr="007656B5">
              <w:rPr>
                <w:szCs w:val="22"/>
              </w:rPr>
              <w:t>Menej časté</w:t>
            </w:r>
          </w:p>
        </w:tc>
        <w:tc>
          <w:tcPr>
            <w:tcW w:w="4718" w:type="dxa"/>
            <w:tcBorders>
              <w:top w:val="single" w:sz="6" w:space="0" w:color="auto"/>
              <w:left w:val="single" w:sz="6" w:space="0" w:color="auto"/>
              <w:bottom w:val="single" w:sz="6" w:space="0" w:color="auto"/>
              <w:right w:val="single" w:sz="6" w:space="0" w:color="auto"/>
            </w:tcBorders>
          </w:tcPr>
          <w:p w:rsidR="00211276" w:rsidRPr="007656B5" w:rsidRDefault="00211276" w:rsidP="007C44E3">
            <w:pPr>
              <w:pStyle w:val="Tabulka1"/>
              <w:rPr>
                <w:szCs w:val="22"/>
              </w:rPr>
            </w:pPr>
            <w:r w:rsidRPr="007656B5">
              <w:rPr>
                <w:szCs w:val="22"/>
              </w:rPr>
              <w:t>Bolesť brucha</w:t>
            </w:r>
          </w:p>
        </w:tc>
      </w:tr>
      <w:tr w:rsidR="00211276" w:rsidRPr="007656B5" w:rsidTr="00211276">
        <w:tc>
          <w:tcPr>
            <w:tcW w:w="9331" w:type="dxa"/>
            <w:gridSpan w:val="3"/>
            <w:tcBorders>
              <w:top w:val="single" w:sz="6" w:space="0" w:color="auto"/>
              <w:left w:val="single" w:sz="6" w:space="0" w:color="auto"/>
              <w:bottom w:val="single" w:sz="6" w:space="0" w:color="auto"/>
              <w:right w:val="single" w:sz="6" w:space="0" w:color="auto"/>
            </w:tcBorders>
          </w:tcPr>
          <w:p w:rsidR="00211276" w:rsidRPr="007656B5" w:rsidRDefault="00211276" w:rsidP="00211276">
            <w:pPr>
              <w:pStyle w:val="Tabulka"/>
              <w:rPr>
                <w:szCs w:val="22"/>
              </w:rPr>
            </w:pPr>
            <w:r w:rsidRPr="007656B5">
              <w:rPr>
                <w:szCs w:val="22"/>
              </w:rPr>
              <w:t>Poruchy pečene a</w:t>
            </w:r>
            <w:r w:rsidR="005B755D" w:rsidRPr="007656B5">
              <w:rPr>
                <w:szCs w:val="22"/>
              </w:rPr>
              <w:t> </w:t>
            </w:r>
            <w:r w:rsidRPr="007656B5">
              <w:rPr>
                <w:szCs w:val="22"/>
              </w:rPr>
              <w:t>žlčových ciest</w:t>
            </w:r>
          </w:p>
        </w:tc>
      </w:tr>
      <w:tr w:rsidR="00211276" w:rsidRPr="007656B5" w:rsidTr="00211276">
        <w:tc>
          <w:tcPr>
            <w:tcW w:w="4613" w:type="dxa"/>
            <w:gridSpan w:val="2"/>
            <w:tcBorders>
              <w:top w:val="single" w:sz="6" w:space="0" w:color="auto"/>
              <w:left w:val="single" w:sz="6" w:space="0" w:color="auto"/>
              <w:bottom w:val="single" w:sz="6" w:space="0" w:color="auto"/>
              <w:right w:val="single" w:sz="6" w:space="0" w:color="auto"/>
            </w:tcBorders>
          </w:tcPr>
          <w:p w:rsidR="00211276" w:rsidRPr="007656B5" w:rsidRDefault="00211276" w:rsidP="007C44E3">
            <w:pPr>
              <w:pStyle w:val="Tabulka1"/>
              <w:rPr>
                <w:szCs w:val="22"/>
              </w:rPr>
            </w:pPr>
            <w:r w:rsidRPr="007656B5">
              <w:rPr>
                <w:szCs w:val="22"/>
              </w:rPr>
              <w:t>Neznáme</w:t>
            </w:r>
          </w:p>
        </w:tc>
        <w:tc>
          <w:tcPr>
            <w:tcW w:w="4718" w:type="dxa"/>
            <w:tcBorders>
              <w:top w:val="single" w:sz="6" w:space="0" w:color="auto"/>
              <w:left w:val="single" w:sz="6" w:space="0" w:color="auto"/>
              <w:bottom w:val="single" w:sz="6" w:space="0" w:color="auto"/>
              <w:right w:val="single" w:sz="6" w:space="0" w:color="auto"/>
            </w:tcBorders>
          </w:tcPr>
          <w:p w:rsidR="00211276" w:rsidRPr="007656B5" w:rsidRDefault="00211276" w:rsidP="007C44E3">
            <w:pPr>
              <w:pStyle w:val="Tabulka1"/>
              <w:rPr>
                <w:szCs w:val="22"/>
              </w:rPr>
            </w:pPr>
            <w:r w:rsidRPr="007656B5">
              <w:rPr>
                <w:szCs w:val="22"/>
              </w:rPr>
              <w:t>Zvýšenie hodnôt funkcie pečene vrátane zvýšenia  bilirubínu v</w:t>
            </w:r>
            <w:r w:rsidR="005B755D" w:rsidRPr="007656B5">
              <w:rPr>
                <w:szCs w:val="22"/>
              </w:rPr>
              <w:t> </w:t>
            </w:r>
            <w:r w:rsidRPr="007656B5">
              <w:rPr>
                <w:szCs w:val="22"/>
              </w:rPr>
              <w:t>sére</w:t>
            </w:r>
          </w:p>
        </w:tc>
      </w:tr>
      <w:tr w:rsidR="00211276" w:rsidRPr="007656B5" w:rsidTr="00211276">
        <w:tc>
          <w:tcPr>
            <w:tcW w:w="9331" w:type="dxa"/>
            <w:gridSpan w:val="3"/>
            <w:tcBorders>
              <w:top w:val="single" w:sz="6" w:space="0" w:color="auto"/>
              <w:left w:val="single" w:sz="6" w:space="0" w:color="auto"/>
              <w:bottom w:val="single" w:sz="6" w:space="0" w:color="auto"/>
              <w:right w:val="single" w:sz="6" w:space="0" w:color="auto"/>
            </w:tcBorders>
          </w:tcPr>
          <w:p w:rsidR="00211276" w:rsidRPr="007656B5" w:rsidRDefault="00211276" w:rsidP="00211276">
            <w:pPr>
              <w:pStyle w:val="Tabulka"/>
              <w:rPr>
                <w:szCs w:val="22"/>
              </w:rPr>
            </w:pPr>
            <w:r w:rsidRPr="007656B5">
              <w:rPr>
                <w:szCs w:val="22"/>
              </w:rPr>
              <w:t>Poruchy kože a</w:t>
            </w:r>
            <w:r w:rsidR="005B755D" w:rsidRPr="007656B5">
              <w:rPr>
                <w:szCs w:val="22"/>
              </w:rPr>
              <w:t> </w:t>
            </w:r>
            <w:r w:rsidRPr="007656B5">
              <w:rPr>
                <w:szCs w:val="22"/>
              </w:rPr>
              <w:t>podkožného tkaniva</w:t>
            </w:r>
          </w:p>
        </w:tc>
      </w:tr>
      <w:tr w:rsidR="00211276" w:rsidRPr="007656B5" w:rsidTr="00211276">
        <w:tc>
          <w:tcPr>
            <w:tcW w:w="4550" w:type="dxa"/>
            <w:tcBorders>
              <w:top w:val="single" w:sz="6" w:space="0" w:color="auto"/>
              <w:left w:val="single" w:sz="6" w:space="0" w:color="auto"/>
              <w:bottom w:val="single" w:sz="6" w:space="0" w:color="auto"/>
              <w:right w:val="nil"/>
            </w:tcBorders>
          </w:tcPr>
          <w:p w:rsidR="00211276" w:rsidRPr="007656B5" w:rsidRDefault="00211276" w:rsidP="007C44E3">
            <w:pPr>
              <w:pStyle w:val="Tabulka1"/>
              <w:rPr>
                <w:szCs w:val="22"/>
              </w:rPr>
            </w:pPr>
            <w:r w:rsidRPr="007656B5">
              <w:rPr>
                <w:szCs w:val="22"/>
              </w:rPr>
              <w:t>Neznáme</w:t>
            </w:r>
          </w:p>
        </w:tc>
        <w:tc>
          <w:tcPr>
            <w:tcW w:w="4781" w:type="dxa"/>
            <w:gridSpan w:val="2"/>
            <w:tcBorders>
              <w:top w:val="single" w:sz="6" w:space="0" w:color="auto"/>
              <w:left w:val="nil"/>
              <w:bottom w:val="single" w:sz="6" w:space="0" w:color="auto"/>
              <w:right w:val="single" w:sz="6" w:space="0" w:color="auto"/>
            </w:tcBorders>
          </w:tcPr>
          <w:p w:rsidR="00211276" w:rsidRPr="007656B5" w:rsidRDefault="00211276" w:rsidP="007C44E3">
            <w:pPr>
              <w:pStyle w:val="Tabulka1"/>
              <w:rPr>
                <w:szCs w:val="22"/>
              </w:rPr>
            </w:pPr>
            <w:r w:rsidRPr="007656B5">
              <w:rPr>
                <w:szCs w:val="22"/>
              </w:rPr>
              <w:t>Angioedém, exantém, pruritus</w:t>
            </w:r>
            <w:r w:rsidR="005B755D" w:rsidRPr="007656B5">
              <w:rPr>
                <w:szCs w:val="22"/>
              </w:rPr>
              <w:t>, bulózna dermatitída</w:t>
            </w:r>
          </w:p>
        </w:tc>
      </w:tr>
      <w:tr w:rsidR="00211276" w:rsidRPr="007656B5" w:rsidTr="00211276">
        <w:tc>
          <w:tcPr>
            <w:tcW w:w="9331" w:type="dxa"/>
            <w:gridSpan w:val="3"/>
            <w:tcBorders>
              <w:top w:val="single" w:sz="6" w:space="0" w:color="auto"/>
              <w:left w:val="single" w:sz="6" w:space="0" w:color="auto"/>
              <w:bottom w:val="single" w:sz="6" w:space="0" w:color="auto"/>
              <w:right w:val="single" w:sz="6" w:space="0" w:color="auto"/>
            </w:tcBorders>
          </w:tcPr>
          <w:p w:rsidR="00211276" w:rsidRPr="007656B5" w:rsidRDefault="00211276" w:rsidP="00211276">
            <w:pPr>
              <w:pStyle w:val="Tabulka"/>
              <w:rPr>
                <w:szCs w:val="22"/>
              </w:rPr>
            </w:pPr>
            <w:r w:rsidRPr="007656B5">
              <w:rPr>
                <w:szCs w:val="22"/>
              </w:rPr>
              <w:t>Poruchy kostrovej a</w:t>
            </w:r>
            <w:r w:rsidR="005B755D" w:rsidRPr="007656B5">
              <w:rPr>
                <w:szCs w:val="22"/>
              </w:rPr>
              <w:t> </w:t>
            </w:r>
            <w:r w:rsidRPr="007656B5">
              <w:rPr>
                <w:szCs w:val="22"/>
              </w:rPr>
              <w:t>svalovej sústavy a</w:t>
            </w:r>
            <w:r w:rsidR="005B755D" w:rsidRPr="007656B5">
              <w:rPr>
                <w:szCs w:val="22"/>
              </w:rPr>
              <w:t> </w:t>
            </w:r>
            <w:r w:rsidRPr="007656B5">
              <w:rPr>
                <w:szCs w:val="22"/>
              </w:rPr>
              <w:t>spojivového tkaniva</w:t>
            </w:r>
          </w:p>
        </w:tc>
      </w:tr>
      <w:tr w:rsidR="00211276" w:rsidRPr="007656B5" w:rsidTr="00211276">
        <w:tc>
          <w:tcPr>
            <w:tcW w:w="4550" w:type="dxa"/>
            <w:tcBorders>
              <w:top w:val="single" w:sz="6" w:space="0" w:color="auto"/>
              <w:left w:val="single" w:sz="6" w:space="0" w:color="auto"/>
              <w:bottom w:val="single" w:sz="6" w:space="0" w:color="auto"/>
              <w:right w:val="nil"/>
            </w:tcBorders>
          </w:tcPr>
          <w:p w:rsidR="00211276" w:rsidRPr="007656B5" w:rsidRDefault="00211276" w:rsidP="007C44E3">
            <w:pPr>
              <w:pStyle w:val="Tabulka1"/>
              <w:rPr>
                <w:szCs w:val="22"/>
              </w:rPr>
            </w:pPr>
            <w:r w:rsidRPr="007656B5">
              <w:rPr>
                <w:szCs w:val="22"/>
              </w:rPr>
              <w:t>Neznáme</w:t>
            </w:r>
          </w:p>
        </w:tc>
        <w:tc>
          <w:tcPr>
            <w:tcW w:w="4781" w:type="dxa"/>
            <w:gridSpan w:val="2"/>
            <w:tcBorders>
              <w:top w:val="single" w:sz="6" w:space="0" w:color="auto"/>
              <w:left w:val="nil"/>
              <w:bottom w:val="single" w:sz="6" w:space="0" w:color="auto"/>
              <w:right w:val="single" w:sz="6" w:space="0" w:color="auto"/>
            </w:tcBorders>
          </w:tcPr>
          <w:p w:rsidR="00211276" w:rsidRPr="007656B5" w:rsidRDefault="00211276" w:rsidP="007C44E3">
            <w:pPr>
              <w:pStyle w:val="Tabulka1"/>
              <w:rPr>
                <w:szCs w:val="22"/>
              </w:rPr>
            </w:pPr>
            <w:r w:rsidRPr="007656B5">
              <w:rPr>
                <w:szCs w:val="22"/>
              </w:rPr>
              <w:t>Myalgia</w:t>
            </w:r>
          </w:p>
        </w:tc>
      </w:tr>
      <w:tr w:rsidR="00211276" w:rsidRPr="007656B5" w:rsidTr="00211276">
        <w:tc>
          <w:tcPr>
            <w:tcW w:w="9331" w:type="dxa"/>
            <w:gridSpan w:val="3"/>
            <w:tcBorders>
              <w:top w:val="single" w:sz="6" w:space="0" w:color="auto"/>
              <w:left w:val="single" w:sz="6" w:space="0" w:color="auto"/>
              <w:bottom w:val="single" w:sz="6" w:space="0" w:color="auto"/>
              <w:right w:val="single" w:sz="6" w:space="0" w:color="auto"/>
            </w:tcBorders>
          </w:tcPr>
          <w:p w:rsidR="00211276" w:rsidRPr="007656B5" w:rsidRDefault="00211276" w:rsidP="00211276">
            <w:pPr>
              <w:pStyle w:val="Tabulka"/>
              <w:rPr>
                <w:szCs w:val="22"/>
              </w:rPr>
            </w:pPr>
            <w:r w:rsidRPr="007656B5">
              <w:rPr>
                <w:szCs w:val="22"/>
              </w:rPr>
              <w:t>Poruchy obličiek a</w:t>
            </w:r>
            <w:r w:rsidR="005B755D" w:rsidRPr="007656B5">
              <w:rPr>
                <w:szCs w:val="22"/>
              </w:rPr>
              <w:t> </w:t>
            </w:r>
            <w:r w:rsidRPr="007656B5">
              <w:rPr>
                <w:szCs w:val="22"/>
              </w:rPr>
              <w:t>močových ciest</w:t>
            </w:r>
          </w:p>
        </w:tc>
      </w:tr>
      <w:tr w:rsidR="00211276" w:rsidRPr="007656B5" w:rsidTr="00211276">
        <w:tc>
          <w:tcPr>
            <w:tcW w:w="4550" w:type="dxa"/>
            <w:tcBorders>
              <w:top w:val="single" w:sz="6" w:space="0" w:color="auto"/>
              <w:left w:val="single" w:sz="6" w:space="0" w:color="auto"/>
              <w:bottom w:val="single" w:sz="6" w:space="0" w:color="auto"/>
              <w:right w:val="single" w:sz="6" w:space="0" w:color="auto"/>
            </w:tcBorders>
          </w:tcPr>
          <w:p w:rsidR="00211276" w:rsidRPr="007656B5" w:rsidRDefault="00211276" w:rsidP="007C44E3">
            <w:pPr>
              <w:pStyle w:val="Tabulka1"/>
              <w:rPr>
                <w:szCs w:val="22"/>
              </w:rPr>
            </w:pPr>
            <w:r w:rsidRPr="007656B5">
              <w:rPr>
                <w:szCs w:val="22"/>
              </w:rPr>
              <w:t>Neznáme</w:t>
            </w:r>
          </w:p>
        </w:tc>
        <w:tc>
          <w:tcPr>
            <w:tcW w:w="4781" w:type="dxa"/>
            <w:gridSpan w:val="2"/>
            <w:tcBorders>
              <w:top w:val="single" w:sz="6" w:space="0" w:color="auto"/>
              <w:left w:val="single" w:sz="6" w:space="0" w:color="auto"/>
              <w:bottom w:val="single" w:sz="6" w:space="0" w:color="auto"/>
              <w:right w:val="single" w:sz="6" w:space="0" w:color="auto"/>
            </w:tcBorders>
          </w:tcPr>
          <w:p w:rsidR="00211276" w:rsidRPr="007656B5" w:rsidRDefault="00211276" w:rsidP="007C44E3">
            <w:pPr>
              <w:pStyle w:val="Tabulka1"/>
              <w:rPr>
                <w:szCs w:val="22"/>
              </w:rPr>
            </w:pPr>
            <w:r w:rsidRPr="007656B5">
              <w:rPr>
                <w:szCs w:val="22"/>
              </w:rPr>
              <w:t>Zlyhanie a porucha funkcie</w:t>
            </w:r>
            <w:r w:rsidR="00845BD2" w:rsidRPr="007656B5">
              <w:rPr>
                <w:szCs w:val="22"/>
              </w:rPr>
              <w:t xml:space="preserve"> obličiek</w:t>
            </w:r>
            <w:r w:rsidRPr="007656B5">
              <w:rPr>
                <w:szCs w:val="22"/>
              </w:rPr>
              <w:t xml:space="preserve">, zvýšenie </w:t>
            </w:r>
            <w:r w:rsidR="00845BD2" w:rsidRPr="007656B5">
              <w:rPr>
                <w:szCs w:val="22"/>
              </w:rPr>
              <w:t xml:space="preserve"> </w:t>
            </w:r>
            <w:r w:rsidRPr="007656B5">
              <w:rPr>
                <w:szCs w:val="22"/>
              </w:rPr>
              <w:t>kreatinínu v</w:t>
            </w:r>
            <w:r w:rsidR="005B755D" w:rsidRPr="007656B5">
              <w:rPr>
                <w:szCs w:val="22"/>
              </w:rPr>
              <w:t> </w:t>
            </w:r>
            <w:r w:rsidRPr="007656B5">
              <w:rPr>
                <w:szCs w:val="22"/>
              </w:rPr>
              <w:t>sére</w:t>
            </w:r>
          </w:p>
        </w:tc>
      </w:tr>
      <w:tr w:rsidR="00211276" w:rsidRPr="007656B5" w:rsidTr="00211276">
        <w:tc>
          <w:tcPr>
            <w:tcW w:w="9331" w:type="dxa"/>
            <w:gridSpan w:val="3"/>
            <w:tcBorders>
              <w:top w:val="single" w:sz="6" w:space="0" w:color="auto"/>
              <w:left w:val="single" w:sz="6" w:space="0" w:color="auto"/>
              <w:bottom w:val="single" w:sz="6" w:space="0" w:color="auto"/>
              <w:right w:val="single" w:sz="6" w:space="0" w:color="auto"/>
            </w:tcBorders>
          </w:tcPr>
          <w:p w:rsidR="00211276" w:rsidRPr="007656B5" w:rsidRDefault="00211276" w:rsidP="00211276">
            <w:pPr>
              <w:pStyle w:val="Tabulka"/>
              <w:rPr>
                <w:szCs w:val="22"/>
              </w:rPr>
            </w:pPr>
            <w:r w:rsidRPr="007656B5">
              <w:rPr>
                <w:szCs w:val="22"/>
              </w:rPr>
              <w:t>Celkové poruchy a</w:t>
            </w:r>
            <w:r w:rsidR="005B755D" w:rsidRPr="007656B5">
              <w:rPr>
                <w:szCs w:val="22"/>
              </w:rPr>
              <w:t> </w:t>
            </w:r>
            <w:r w:rsidRPr="007656B5">
              <w:rPr>
                <w:szCs w:val="22"/>
              </w:rPr>
              <w:t>reakcie v mieste podania</w:t>
            </w:r>
          </w:p>
        </w:tc>
      </w:tr>
      <w:tr w:rsidR="00211276" w:rsidRPr="007656B5" w:rsidTr="00211276">
        <w:tc>
          <w:tcPr>
            <w:tcW w:w="4550" w:type="dxa"/>
            <w:tcBorders>
              <w:top w:val="single" w:sz="6" w:space="0" w:color="auto"/>
              <w:left w:val="single" w:sz="6" w:space="0" w:color="auto"/>
              <w:bottom w:val="single" w:sz="6" w:space="0" w:color="auto"/>
              <w:right w:val="nil"/>
            </w:tcBorders>
          </w:tcPr>
          <w:p w:rsidR="00211276" w:rsidRPr="007656B5" w:rsidRDefault="00211276" w:rsidP="007C44E3">
            <w:pPr>
              <w:pStyle w:val="Tabulka1"/>
              <w:rPr>
                <w:szCs w:val="22"/>
              </w:rPr>
            </w:pPr>
            <w:r w:rsidRPr="007656B5">
              <w:rPr>
                <w:szCs w:val="22"/>
              </w:rPr>
              <w:t>Menej časté</w:t>
            </w:r>
          </w:p>
        </w:tc>
        <w:tc>
          <w:tcPr>
            <w:tcW w:w="4781" w:type="dxa"/>
            <w:gridSpan w:val="2"/>
            <w:tcBorders>
              <w:top w:val="single" w:sz="6" w:space="0" w:color="auto"/>
              <w:left w:val="nil"/>
              <w:bottom w:val="single" w:sz="6" w:space="0" w:color="auto"/>
              <w:right w:val="single" w:sz="6" w:space="0" w:color="auto"/>
            </w:tcBorders>
          </w:tcPr>
          <w:p w:rsidR="00211276" w:rsidRPr="007656B5" w:rsidRDefault="00211276" w:rsidP="007C44E3">
            <w:pPr>
              <w:pStyle w:val="Tabulka1"/>
              <w:rPr>
                <w:szCs w:val="22"/>
              </w:rPr>
            </w:pPr>
            <w:r w:rsidRPr="007656B5">
              <w:rPr>
                <w:szCs w:val="22"/>
              </w:rPr>
              <w:t>Únava</w:t>
            </w:r>
          </w:p>
        </w:tc>
      </w:tr>
    </w:tbl>
    <w:p w:rsidR="00417E48" w:rsidRPr="007656B5" w:rsidRDefault="000E3F92" w:rsidP="007C44E3">
      <w:pPr>
        <w:pStyle w:val="Styl3"/>
        <w:rPr>
          <w:szCs w:val="22"/>
        </w:rPr>
      </w:pPr>
      <w:r w:rsidRPr="007656B5">
        <w:rPr>
          <w:szCs w:val="22"/>
        </w:rPr>
        <w:t>Pediatrická populácia</w:t>
      </w:r>
    </w:p>
    <w:p w:rsidR="00425FAD" w:rsidRPr="007656B5" w:rsidRDefault="00417E48" w:rsidP="007C44E3">
      <w:pPr>
        <w:pStyle w:val="Styl3"/>
        <w:rPr>
          <w:szCs w:val="22"/>
        </w:rPr>
      </w:pPr>
      <w:r w:rsidRPr="007656B5">
        <w:rPr>
          <w:szCs w:val="22"/>
        </w:rPr>
        <w:t>Hypertenzia</w:t>
      </w:r>
    </w:p>
    <w:p w:rsidR="007C2ED7" w:rsidRPr="007656B5" w:rsidRDefault="007C2ED7" w:rsidP="009B52F3">
      <w:pPr>
        <w:pStyle w:val="Normlndobloku"/>
        <w:rPr>
          <w:rFonts w:ascii="Times New Roman" w:hAnsi="Times New Roman" w:cs="Times New Roman"/>
        </w:rPr>
      </w:pPr>
      <w:r w:rsidRPr="007656B5">
        <w:rPr>
          <w:rFonts w:ascii="Times New Roman" w:hAnsi="Times New Roman" w:cs="Times New Roman"/>
        </w:rPr>
        <w:t>Antihypertenzn</w:t>
      </w:r>
      <w:r w:rsidR="006958BA" w:rsidRPr="007656B5">
        <w:rPr>
          <w:rFonts w:ascii="Times New Roman" w:hAnsi="Times New Roman" w:cs="Times New Roman"/>
        </w:rPr>
        <w:t>ý</w:t>
      </w:r>
      <w:r w:rsidRPr="007656B5">
        <w:rPr>
          <w:rFonts w:ascii="Times New Roman" w:hAnsi="Times New Roman" w:cs="Times New Roman"/>
        </w:rPr>
        <w:t xml:space="preserve"> účinok valsartanu sa vyhodnotil v</w:t>
      </w:r>
      <w:r w:rsidR="007D734D" w:rsidRPr="007656B5">
        <w:rPr>
          <w:rFonts w:ascii="Times New Roman" w:hAnsi="Times New Roman" w:cs="Times New Roman"/>
        </w:rPr>
        <w:t> </w:t>
      </w:r>
      <w:r w:rsidRPr="007656B5">
        <w:rPr>
          <w:rFonts w:ascii="Times New Roman" w:hAnsi="Times New Roman" w:cs="Times New Roman"/>
        </w:rPr>
        <w:t xml:space="preserve">dvoch randomizovaných, dvojito zaslepených klinických štúdiách </w:t>
      </w:r>
      <w:r w:rsidR="002F5663" w:rsidRPr="007656B5">
        <w:rPr>
          <w:rFonts w:ascii="Times New Roman" w:hAnsi="Times New Roman" w:cs="Times New Roman"/>
        </w:rPr>
        <w:t xml:space="preserve">(po každej nasledovalo rozšírené obdobie alebo štúdia) a jednej otvorenej štúdii. </w:t>
      </w:r>
      <w:r w:rsidR="002F5663" w:rsidRPr="007656B5">
        <w:rPr>
          <w:rStyle w:val="shorttext"/>
          <w:rFonts w:ascii="Times New Roman" w:hAnsi="Times New Roman" w:cs="Times New Roman"/>
        </w:rPr>
        <w:t>Tieto štúdie zahŕňali 711</w:t>
      </w:r>
      <w:r w:rsidR="002F5663" w:rsidRPr="007656B5">
        <w:rPr>
          <w:rFonts w:ascii="Times New Roman" w:hAnsi="Times New Roman" w:cs="Times New Roman"/>
        </w:rPr>
        <w:t xml:space="preserve"> detských pacientov vo veku od 6 až do menej ako 18 rokov s </w:t>
      </w:r>
      <w:r w:rsidR="00C25309" w:rsidRPr="00201A3B">
        <w:rPr>
          <w:rFonts w:ascii="Times New Roman" w:hAnsi="Times New Roman" w:cs="Times New Roman"/>
        </w:rPr>
        <w:t xml:space="preserve">chronickým ochorením obličiek (CKD), </w:t>
      </w:r>
      <w:r w:rsidR="002F5663" w:rsidRPr="007656B5">
        <w:rPr>
          <w:rFonts w:ascii="Times New Roman" w:hAnsi="Times New Roman" w:cs="Times New Roman"/>
        </w:rPr>
        <w:t xml:space="preserve">alebo bez </w:t>
      </w:r>
      <w:r w:rsidR="00C25309" w:rsidRPr="00201A3B">
        <w:rPr>
          <w:rFonts w:ascii="Times New Roman" w:hAnsi="Times New Roman" w:cs="Times New Roman"/>
        </w:rPr>
        <w:t>neho</w:t>
      </w:r>
      <w:r w:rsidR="007C012F" w:rsidRPr="00201A3B">
        <w:rPr>
          <w:rFonts w:ascii="Times New Roman" w:hAnsi="Times New Roman" w:cs="Times New Roman"/>
        </w:rPr>
        <w:t xml:space="preserve">, </w:t>
      </w:r>
      <w:r w:rsidR="002F5663" w:rsidRPr="007656B5">
        <w:rPr>
          <w:rFonts w:ascii="Times New Roman" w:hAnsi="Times New Roman" w:cs="Times New Roman"/>
        </w:rPr>
        <w:t xml:space="preserve">z ktorých 560 pacientov dostávalo valsartan. </w:t>
      </w:r>
      <w:r w:rsidRPr="007656B5">
        <w:rPr>
          <w:rFonts w:ascii="Times New Roman" w:hAnsi="Times New Roman" w:cs="Times New Roman"/>
        </w:rPr>
        <w:t>S</w:t>
      </w:r>
      <w:r w:rsidR="007D734D" w:rsidRPr="007656B5">
        <w:rPr>
          <w:rFonts w:ascii="Times New Roman" w:hAnsi="Times New Roman" w:cs="Times New Roman"/>
        </w:rPr>
        <w:t> </w:t>
      </w:r>
      <w:r w:rsidRPr="007656B5">
        <w:rPr>
          <w:rFonts w:ascii="Times New Roman" w:hAnsi="Times New Roman" w:cs="Times New Roman"/>
        </w:rPr>
        <w:t>výnimkou ojedinelých porúch gastrointestinálneho traktu (napr.</w:t>
      </w:r>
      <w:r w:rsidR="007D734D" w:rsidRPr="007656B5">
        <w:rPr>
          <w:rFonts w:ascii="Times New Roman" w:hAnsi="Times New Roman" w:cs="Times New Roman"/>
        </w:rPr>
        <w:t> </w:t>
      </w:r>
      <w:r w:rsidRPr="007656B5">
        <w:rPr>
          <w:rFonts w:ascii="Times New Roman" w:hAnsi="Times New Roman" w:cs="Times New Roman"/>
        </w:rPr>
        <w:t>bolesť brucha, nauzea, vracanie) a</w:t>
      </w:r>
      <w:r w:rsidR="007D734D" w:rsidRPr="007656B5">
        <w:rPr>
          <w:rFonts w:ascii="Times New Roman" w:hAnsi="Times New Roman" w:cs="Times New Roman"/>
        </w:rPr>
        <w:t> </w:t>
      </w:r>
      <w:r w:rsidRPr="007656B5">
        <w:rPr>
          <w:rFonts w:ascii="Times New Roman" w:hAnsi="Times New Roman" w:cs="Times New Roman"/>
        </w:rPr>
        <w:t>závratov sa nezistili žiadne významné rozdiely v</w:t>
      </w:r>
      <w:r w:rsidR="007D734D" w:rsidRPr="007656B5">
        <w:rPr>
          <w:rFonts w:ascii="Times New Roman" w:hAnsi="Times New Roman" w:cs="Times New Roman"/>
        </w:rPr>
        <w:t> </w:t>
      </w:r>
      <w:r w:rsidRPr="007656B5">
        <w:rPr>
          <w:rFonts w:ascii="Times New Roman" w:hAnsi="Times New Roman" w:cs="Times New Roman"/>
        </w:rPr>
        <w:t>type, frekvencii a</w:t>
      </w:r>
      <w:r w:rsidR="007D734D" w:rsidRPr="007656B5">
        <w:rPr>
          <w:rFonts w:ascii="Times New Roman" w:hAnsi="Times New Roman" w:cs="Times New Roman"/>
        </w:rPr>
        <w:t> </w:t>
      </w:r>
      <w:r w:rsidRPr="007656B5">
        <w:rPr>
          <w:rFonts w:ascii="Times New Roman" w:hAnsi="Times New Roman" w:cs="Times New Roman"/>
        </w:rPr>
        <w:t>závažnosti nežiaducich reakcií v</w:t>
      </w:r>
      <w:r w:rsidR="007D734D" w:rsidRPr="007656B5">
        <w:rPr>
          <w:rFonts w:ascii="Times New Roman" w:hAnsi="Times New Roman" w:cs="Times New Roman"/>
        </w:rPr>
        <w:t> </w:t>
      </w:r>
      <w:r w:rsidRPr="007656B5">
        <w:rPr>
          <w:rFonts w:ascii="Times New Roman" w:hAnsi="Times New Roman" w:cs="Times New Roman"/>
        </w:rPr>
        <w:t>bezpečnostnom profile u</w:t>
      </w:r>
      <w:r w:rsidR="007D734D" w:rsidRPr="007656B5">
        <w:rPr>
          <w:rFonts w:ascii="Times New Roman" w:hAnsi="Times New Roman" w:cs="Times New Roman"/>
        </w:rPr>
        <w:t> </w:t>
      </w:r>
      <w:r w:rsidR="006958BA" w:rsidRPr="007656B5">
        <w:rPr>
          <w:rFonts w:ascii="Times New Roman" w:hAnsi="Times New Roman" w:cs="Times New Roman"/>
        </w:rPr>
        <w:t>detí a</w:t>
      </w:r>
      <w:r w:rsidR="007D734D" w:rsidRPr="007656B5">
        <w:rPr>
          <w:rFonts w:ascii="Times New Roman" w:hAnsi="Times New Roman" w:cs="Times New Roman"/>
        </w:rPr>
        <w:t> </w:t>
      </w:r>
      <w:r w:rsidR="006958BA" w:rsidRPr="007656B5">
        <w:rPr>
          <w:rFonts w:ascii="Times New Roman" w:hAnsi="Times New Roman" w:cs="Times New Roman"/>
        </w:rPr>
        <w:t>dospievajúcich</w:t>
      </w:r>
      <w:r w:rsidRPr="007656B5">
        <w:rPr>
          <w:rFonts w:ascii="Times New Roman" w:hAnsi="Times New Roman" w:cs="Times New Roman"/>
        </w:rPr>
        <w:t xml:space="preserve"> vo veku od 6 </w:t>
      </w:r>
      <w:r w:rsidR="002F5663" w:rsidRPr="007656B5">
        <w:rPr>
          <w:rFonts w:ascii="Times New Roman" w:hAnsi="Times New Roman" w:cs="Times New Roman"/>
        </w:rPr>
        <w:t>až do menej ako</w:t>
      </w:r>
      <w:r w:rsidRPr="007656B5">
        <w:rPr>
          <w:rFonts w:ascii="Times New Roman" w:hAnsi="Times New Roman" w:cs="Times New Roman"/>
        </w:rPr>
        <w:t xml:space="preserve"> 18 rokov </w:t>
      </w:r>
      <w:r w:rsidR="002F5663" w:rsidRPr="007656B5">
        <w:rPr>
          <w:rFonts w:ascii="Times New Roman" w:hAnsi="Times New Roman" w:cs="Times New Roman"/>
        </w:rPr>
        <w:t>v porovnaní s bezpečnostným profilom predtým hláseným</w:t>
      </w:r>
      <w:r w:rsidR="002F5663" w:rsidRPr="007656B5" w:rsidDel="002F5663">
        <w:rPr>
          <w:rFonts w:ascii="Times New Roman" w:hAnsi="Times New Roman" w:cs="Times New Roman"/>
        </w:rPr>
        <w:t xml:space="preserve"> </w:t>
      </w:r>
      <w:r w:rsidRPr="007656B5">
        <w:rPr>
          <w:rFonts w:ascii="Times New Roman" w:hAnsi="Times New Roman" w:cs="Times New Roman"/>
        </w:rPr>
        <w:t>u</w:t>
      </w:r>
      <w:r w:rsidR="003D0D38" w:rsidRPr="007656B5">
        <w:rPr>
          <w:rFonts w:ascii="Times New Roman" w:hAnsi="Times New Roman" w:cs="Times New Roman"/>
        </w:rPr>
        <w:t> </w:t>
      </w:r>
      <w:r w:rsidRPr="007656B5">
        <w:rPr>
          <w:rFonts w:ascii="Times New Roman" w:hAnsi="Times New Roman" w:cs="Times New Roman"/>
        </w:rPr>
        <w:t>dospelých pacientov.</w:t>
      </w:r>
    </w:p>
    <w:p w:rsidR="007C2ED7" w:rsidRPr="007656B5" w:rsidRDefault="007C2ED7" w:rsidP="009520A7">
      <w:pPr>
        <w:pStyle w:val="Normlndobloku"/>
        <w:rPr>
          <w:rFonts w:ascii="Times New Roman" w:hAnsi="Times New Roman" w:cs="Times New Roman"/>
        </w:rPr>
      </w:pPr>
      <w:r w:rsidRPr="007656B5">
        <w:rPr>
          <w:rFonts w:ascii="Times New Roman" w:hAnsi="Times New Roman" w:cs="Times New Roman"/>
        </w:rPr>
        <w:lastRenderedPageBreak/>
        <w:t>Pri neurokognitívnom hodnotení a</w:t>
      </w:r>
      <w:r w:rsidR="007D734D" w:rsidRPr="007656B5">
        <w:rPr>
          <w:rFonts w:ascii="Times New Roman" w:hAnsi="Times New Roman" w:cs="Times New Roman"/>
        </w:rPr>
        <w:t> </w:t>
      </w:r>
      <w:r w:rsidRPr="007656B5">
        <w:rPr>
          <w:rFonts w:ascii="Times New Roman" w:hAnsi="Times New Roman" w:cs="Times New Roman"/>
        </w:rPr>
        <w:t xml:space="preserve">hodnotení vývoja </w:t>
      </w:r>
      <w:r w:rsidR="006958BA" w:rsidRPr="007656B5">
        <w:rPr>
          <w:rFonts w:ascii="Times New Roman" w:hAnsi="Times New Roman" w:cs="Times New Roman"/>
        </w:rPr>
        <w:t>detí a</w:t>
      </w:r>
      <w:r w:rsidR="007D734D" w:rsidRPr="007656B5">
        <w:rPr>
          <w:rFonts w:ascii="Times New Roman" w:hAnsi="Times New Roman" w:cs="Times New Roman"/>
        </w:rPr>
        <w:t> </w:t>
      </w:r>
      <w:r w:rsidR="006958BA" w:rsidRPr="007656B5">
        <w:rPr>
          <w:rFonts w:ascii="Times New Roman" w:hAnsi="Times New Roman" w:cs="Times New Roman"/>
        </w:rPr>
        <w:t xml:space="preserve">dospievajúcich </w:t>
      </w:r>
      <w:r w:rsidRPr="007656B5">
        <w:rPr>
          <w:rFonts w:ascii="Times New Roman" w:hAnsi="Times New Roman" w:cs="Times New Roman"/>
        </w:rPr>
        <w:t>vo veku od 6 do</w:t>
      </w:r>
      <w:r w:rsidR="000E5278" w:rsidRPr="007656B5">
        <w:rPr>
          <w:rFonts w:ascii="Times New Roman" w:hAnsi="Times New Roman" w:cs="Times New Roman"/>
        </w:rPr>
        <w:t xml:space="preserve"> </w:t>
      </w:r>
      <w:r w:rsidRPr="007656B5">
        <w:rPr>
          <w:rFonts w:ascii="Times New Roman" w:hAnsi="Times New Roman" w:cs="Times New Roman"/>
        </w:rPr>
        <w:t xml:space="preserve">16 rokov sa nezistil žiadny celkový klinicky významný nežiaduci vplyv liečby </w:t>
      </w:r>
      <w:r w:rsidR="000E5278" w:rsidRPr="007656B5">
        <w:rPr>
          <w:rFonts w:ascii="Times New Roman" w:hAnsi="Times New Roman" w:cs="Times New Roman"/>
        </w:rPr>
        <w:t>valsartanom</w:t>
      </w:r>
      <w:r w:rsidRPr="007656B5">
        <w:rPr>
          <w:rFonts w:ascii="Times New Roman" w:hAnsi="Times New Roman" w:cs="Times New Roman"/>
        </w:rPr>
        <w:t xml:space="preserve"> trvajúcej do</w:t>
      </w:r>
      <w:r w:rsidR="000E5278" w:rsidRPr="007656B5">
        <w:rPr>
          <w:rFonts w:ascii="Times New Roman" w:hAnsi="Times New Roman" w:cs="Times New Roman"/>
        </w:rPr>
        <w:t xml:space="preserve"> </w:t>
      </w:r>
      <w:r w:rsidRPr="007656B5">
        <w:rPr>
          <w:rFonts w:ascii="Times New Roman" w:hAnsi="Times New Roman" w:cs="Times New Roman"/>
        </w:rPr>
        <w:t>jedného roka.</w:t>
      </w:r>
    </w:p>
    <w:p w:rsidR="007C2ED7" w:rsidRPr="007656B5" w:rsidRDefault="007C2ED7" w:rsidP="008C3D63">
      <w:pPr>
        <w:pStyle w:val="Normlndobloku"/>
        <w:rPr>
          <w:rFonts w:ascii="Times New Roman" w:hAnsi="Times New Roman" w:cs="Times New Roman"/>
        </w:rPr>
      </w:pPr>
      <w:r w:rsidRPr="007656B5">
        <w:rPr>
          <w:rFonts w:ascii="Times New Roman" w:hAnsi="Times New Roman" w:cs="Times New Roman"/>
        </w:rPr>
        <w:t>V</w:t>
      </w:r>
      <w:r w:rsidR="007D734D" w:rsidRPr="007656B5">
        <w:rPr>
          <w:rFonts w:ascii="Times New Roman" w:hAnsi="Times New Roman" w:cs="Times New Roman"/>
        </w:rPr>
        <w:t> </w:t>
      </w:r>
      <w:r w:rsidRPr="007656B5">
        <w:rPr>
          <w:rFonts w:ascii="Times New Roman" w:hAnsi="Times New Roman" w:cs="Times New Roman"/>
        </w:rPr>
        <w:t>dvojito zaslepenej randomizovanej štúdii s</w:t>
      </w:r>
      <w:r w:rsidR="007D734D" w:rsidRPr="007656B5">
        <w:rPr>
          <w:rFonts w:ascii="Times New Roman" w:hAnsi="Times New Roman" w:cs="Times New Roman"/>
        </w:rPr>
        <w:t> </w:t>
      </w:r>
      <w:r w:rsidRPr="007656B5">
        <w:rPr>
          <w:rFonts w:ascii="Times New Roman" w:hAnsi="Times New Roman" w:cs="Times New Roman"/>
        </w:rPr>
        <w:t>90 deťmi vo veku od 1 do 6 rokov, po ktorej nasledovala jednoročná otvorená extenzia, sa zaznamenali dve úmrtia a</w:t>
      </w:r>
      <w:r w:rsidR="007D734D" w:rsidRPr="007656B5">
        <w:rPr>
          <w:rFonts w:ascii="Times New Roman" w:hAnsi="Times New Roman" w:cs="Times New Roman"/>
        </w:rPr>
        <w:t> </w:t>
      </w:r>
      <w:r w:rsidRPr="007656B5">
        <w:rPr>
          <w:rFonts w:ascii="Times New Roman" w:hAnsi="Times New Roman" w:cs="Times New Roman"/>
        </w:rPr>
        <w:t>ojedinelé prípady výrazného zvýšenia pečeňových aminotransferáz. Tieto prípady sa vyskytli v</w:t>
      </w:r>
      <w:r w:rsidR="007D734D" w:rsidRPr="007656B5">
        <w:rPr>
          <w:rFonts w:ascii="Times New Roman" w:hAnsi="Times New Roman" w:cs="Times New Roman"/>
        </w:rPr>
        <w:t> </w:t>
      </w:r>
      <w:r w:rsidRPr="007656B5">
        <w:rPr>
          <w:rFonts w:ascii="Times New Roman" w:hAnsi="Times New Roman" w:cs="Times New Roman"/>
        </w:rPr>
        <w:t>populácii s</w:t>
      </w:r>
      <w:r w:rsidR="007D734D" w:rsidRPr="007656B5">
        <w:rPr>
          <w:rFonts w:ascii="Times New Roman" w:hAnsi="Times New Roman" w:cs="Times New Roman"/>
        </w:rPr>
        <w:t> </w:t>
      </w:r>
      <w:r w:rsidRPr="007656B5">
        <w:rPr>
          <w:rFonts w:ascii="Times New Roman" w:hAnsi="Times New Roman" w:cs="Times New Roman"/>
        </w:rPr>
        <w:t>významnými komorbiditami. Príčinná súvislosť s</w:t>
      </w:r>
      <w:r w:rsidR="007D734D" w:rsidRPr="007656B5">
        <w:rPr>
          <w:rFonts w:ascii="Times New Roman" w:hAnsi="Times New Roman" w:cs="Times New Roman"/>
        </w:rPr>
        <w:t> </w:t>
      </w:r>
      <w:r w:rsidR="003B7D10" w:rsidRPr="007656B5">
        <w:rPr>
          <w:rFonts w:ascii="Times New Roman" w:hAnsi="Times New Roman" w:cs="Times New Roman"/>
        </w:rPr>
        <w:t>valsartanom</w:t>
      </w:r>
      <w:r w:rsidRPr="007656B5">
        <w:rPr>
          <w:rFonts w:ascii="Times New Roman" w:hAnsi="Times New Roman" w:cs="Times New Roman"/>
        </w:rPr>
        <w:t xml:space="preserve"> sa nestanovila. V</w:t>
      </w:r>
      <w:r w:rsidR="007D734D" w:rsidRPr="007656B5">
        <w:rPr>
          <w:rFonts w:ascii="Times New Roman" w:hAnsi="Times New Roman" w:cs="Times New Roman"/>
        </w:rPr>
        <w:t> </w:t>
      </w:r>
      <w:r w:rsidRPr="007656B5">
        <w:rPr>
          <w:rFonts w:ascii="Times New Roman" w:hAnsi="Times New Roman" w:cs="Times New Roman"/>
        </w:rPr>
        <w:t>druhej štúdii, v</w:t>
      </w:r>
      <w:r w:rsidR="007D734D" w:rsidRPr="007656B5">
        <w:rPr>
          <w:rFonts w:ascii="Times New Roman" w:hAnsi="Times New Roman" w:cs="Times New Roman"/>
        </w:rPr>
        <w:t> </w:t>
      </w:r>
      <w:r w:rsidRPr="007656B5">
        <w:rPr>
          <w:rFonts w:ascii="Times New Roman" w:hAnsi="Times New Roman" w:cs="Times New Roman"/>
        </w:rPr>
        <w:t>ktorej bolo randomizovaných 75</w:t>
      </w:r>
      <w:r w:rsidR="003D0D38" w:rsidRPr="007656B5">
        <w:rPr>
          <w:rFonts w:ascii="Times New Roman" w:hAnsi="Times New Roman" w:cs="Times New Roman"/>
        </w:rPr>
        <w:t> </w:t>
      </w:r>
      <w:r w:rsidRPr="007656B5">
        <w:rPr>
          <w:rFonts w:ascii="Times New Roman" w:hAnsi="Times New Roman" w:cs="Times New Roman"/>
        </w:rPr>
        <w:t>detí vo veku od 1 do 6 rokov, sa pri liečbe valsartanom nevyskytlo významné zvýšenie pečeňových aminotransferáz, ani žiadne úmrtie.</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Hyperkaliémia sa častejšie pozorovala u</w:t>
      </w:r>
      <w:r w:rsidR="007D734D" w:rsidRPr="007656B5">
        <w:rPr>
          <w:rFonts w:ascii="Times New Roman" w:hAnsi="Times New Roman" w:cs="Times New Roman"/>
        </w:rPr>
        <w:t> </w:t>
      </w:r>
      <w:r w:rsidRPr="007656B5">
        <w:rPr>
          <w:rFonts w:ascii="Times New Roman" w:hAnsi="Times New Roman" w:cs="Times New Roman"/>
        </w:rPr>
        <w:t>detí a</w:t>
      </w:r>
      <w:r w:rsidR="007D734D" w:rsidRPr="007656B5">
        <w:rPr>
          <w:rFonts w:ascii="Times New Roman" w:hAnsi="Times New Roman" w:cs="Times New Roman"/>
        </w:rPr>
        <w:t> </w:t>
      </w:r>
      <w:r w:rsidRPr="007656B5">
        <w:rPr>
          <w:rFonts w:ascii="Times New Roman" w:hAnsi="Times New Roman" w:cs="Times New Roman"/>
        </w:rPr>
        <w:t>dospievajúcich vo veku od 6 do 18 rokov so základným chronickým ochorením obličiek.</w:t>
      </w:r>
    </w:p>
    <w:p w:rsidR="008A0689" w:rsidRPr="007656B5" w:rsidRDefault="007C2ED7">
      <w:pPr>
        <w:pStyle w:val="Normlndobloku"/>
        <w:rPr>
          <w:rFonts w:ascii="Times New Roman" w:hAnsi="Times New Roman" w:cs="Times New Roman"/>
        </w:rPr>
      </w:pPr>
      <w:r w:rsidRPr="007656B5">
        <w:rPr>
          <w:rFonts w:ascii="Times New Roman" w:hAnsi="Times New Roman" w:cs="Times New Roman"/>
        </w:rPr>
        <w:t>Bezpečnostný profil pozorovaný v</w:t>
      </w:r>
      <w:r w:rsidR="007D734D" w:rsidRPr="007656B5">
        <w:rPr>
          <w:rFonts w:ascii="Times New Roman" w:hAnsi="Times New Roman" w:cs="Times New Roman"/>
        </w:rPr>
        <w:t> </w:t>
      </w:r>
      <w:r w:rsidRPr="007656B5">
        <w:rPr>
          <w:rFonts w:ascii="Times New Roman" w:hAnsi="Times New Roman" w:cs="Times New Roman"/>
        </w:rPr>
        <w:t>kontrolovaných klinických štúdiách u</w:t>
      </w:r>
      <w:r w:rsidR="007D734D" w:rsidRPr="007656B5">
        <w:rPr>
          <w:rFonts w:ascii="Times New Roman" w:hAnsi="Times New Roman" w:cs="Times New Roman"/>
        </w:rPr>
        <w:t> </w:t>
      </w:r>
      <w:r w:rsidRPr="007656B5">
        <w:rPr>
          <w:rFonts w:ascii="Times New Roman" w:hAnsi="Times New Roman" w:cs="Times New Roman"/>
        </w:rPr>
        <w:t>dospelých pacientov po nedávnom infarkte myokardu a/alebo so srdcovým zlyhaním sa líši od celkového bezpečnostného profilu pozorovaného u</w:t>
      </w:r>
      <w:r w:rsidR="007D734D" w:rsidRPr="007656B5">
        <w:rPr>
          <w:rFonts w:ascii="Times New Roman" w:hAnsi="Times New Roman" w:cs="Times New Roman"/>
        </w:rPr>
        <w:t> </w:t>
      </w:r>
      <w:r w:rsidRPr="007656B5">
        <w:rPr>
          <w:rFonts w:ascii="Times New Roman" w:hAnsi="Times New Roman" w:cs="Times New Roman"/>
        </w:rPr>
        <w:t>pacientov s</w:t>
      </w:r>
      <w:r w:rsidR="007D734D" w:rsidRPr="007656B5">
        <w:rPr>
          <w:rFonts w:ascii="Times New Roman" w:hAnsi="Times New Roman" w:cs="Times New Roman"/>
        </w:rPr>
        <w:t> </w:t>
      </w:r>
      <w:r w:rsidRPr="007656B5">
        <w:rPr>
          <w:rFonts w:ascii="Times New Roman" w:hAnsi="Times New Roman" w:cs="Times New Roman"/>
        </w:rPr>
        <w:t>hypertenziou. Môže to súvisieť so základnou chorobou pacienta. ADR, ktoré sa vyskytli u</w:t>
      </w:r>
      <w:r w:rsidR="007D734D" w:rsidRPr="007656B5">
        <w:rPr>
          <w:rFonts w:ascii="Times New Roman" w:hAnsi="Times New Roman" w:cs="Times New Roman"/>
        </w:rPr>
        <w:t> </w:t>
      </w:r>
      <w:r w:rsidRPr="007656B5">
        <w:rPr>
          <w:rFonts w:ascii="Times New Roman" w:hAnsi="Times New Roman" w:cs="Times New Roman"/>
        </w:rPr>
        <w:t>dospelých pacientov po nedávnom infarkte myokardu a/alebo pacientov so srdcovým zlyhaním</w:t>
      </w:r>
      <w:r w:rsidR="006958BA" w:rsidRPr="007656B5">
        <w:rPr>
          <w:rFonts w:ascii="Times New Roman" w:hAnsi="Times New Roman" w:cs="Times New Roman"/>
        </w:rPr>
        <w:t>,</w:t>
      </w:r>
      <w:r w:rsidR="002B03C2" w:rsidRPr="007656B5">
        <w:rPr>
          <w:rFonts w:ascii="Times New Roman" w:hAnsi="Times New Roman" w:cs="Times New Roman"/>
        </w:rPr>
        <w:t xml:space="preserve"> sú uvedené nižšie.</w:t>
      </w:r>
    </w:p>
    <w:p w:rsidR="002F5663" w:rsidRPr="007656B5" w:rsidRDefault="002F5663">
      <w:pPr>
        <w:pStyle w:val="Normlndobloku"/>
        <w:rPr>
          <w:rFonts w:ascii="Times New Roman" w:hAnsi="Times New Roman" w:cs="Times New Roman"/>
        </w:rPr>
      </w:pPr>
      <w:r w:rsidRPr="007656B5">
        <w:rPr>
          <w:rFonts w:ascii="Times New Roman" w:hAnsi="Times New Roman" w:cs="Times New Roman"/>
        </w:rPr>
        <w:t>Bola vykonaná súhrnná analýza 560 pediatrických pacientov s hypertenziou (vo veku 6 – 17 rokov) užívajúcich buď monoterapiu valsartanom [n = 483] alebo kombinovanú antihypertenzívnu liečbu vrátane valsartanu [n = 77]. Z 560 pacientov malo 85 (15,2%) CKD (východiskové GFR&lt;90 ml/min/1,73 m</w:t>
      </w:r>
      <w:r w:rsidRPr="007656B5">
        <w:rPr>
          <w:rFonts w:ascii="Times New Roman" w:hAnsi="Times New Roman" w:cs="Times New Roman"/>
          <w:vertAlign w:val="superscript"/>
        </w:rPr>
        <w:t>2</w:t>
      </w:r>
      <w:r w:rsidRPr="007656B5">
        <w:rPr>
          <w:rFonts w:ascii="Times New Roman" w:hAnsi="Times New Roman" w:cs="Times New Roman"/>
        </w:rPr>
        <w:t xml:space="preserve">). Celkovo 45 (8,0 %) pacientov prerušilo štúdiu z dôvodu nežiaducich </w:t>
      </w:r>
      <w:r w:rsidR="007C012F" w:rsidRPr="00201A3B">
        <w:rPr>
          <w:rFonts w:ascii="Times New Roman" w:hAnsi="Times New Roman" w:cs="Times New Roman"/>
        </w:rPr>
        <w:t>udalostí</w:t>
      </w:r>
      <w:r w:rsidRPr="007656B5">
        <w:rPr>
          <w:rFonts w:ascii="Times New Roman" w:hAnsi="Times New Roman" w:cs="Times New Roman"/>
        </w:rPr>
        <w:t>. Celkovo 111 pacientov (19,8 %) malo nežiaducu reakciu lieku (ADR) najčastejšie sa vyskytli bolesť hlavy (5,4 %), závrat (2,3 %) a  hyperkal</w:t>
      </w:r>
      <w:r w:rsidR="007C012F" w:rsidRPr="00201A3B">
        <w:rPr>
          <w:rFonts w:ascii="Times New Roman" w:hAnsi="Times New Roman" w:cs="Times New Roman"/>
        </w:rPr>
        <w:t>i</w:t>
      </w:r>
      <w:r w:rsidRPr="007656B5">
        <w:rPr>
          <w:rFonts w:ascii="Times New Roman" w:hAnsi="Times New Roman" w:cs="Times New Roman"/>
        </w:rPr>
        <w:t xml:space="preserve">émia (2,3 %). U pacientov s CKD boli najčastejšie </w:t>
      </w:r>
      <w:r w:rsidR="007C012F" w:rsidRPr="00201A3B">
        <w:rPr>
          <w:rFonts w:ascii="Times New Roman" w:hAnsi="Times New Roman" w:cs="Times New Roman"/>
        </w:rPr>
        <w:t>ADR</w:t>
      </w:r>
      <w:r w:rsidRPr="007656B5">
        <w:rPr>
          <w:rFonts w:ascii="Times New Roman" w:hAnsi="Times New Roman" w:cs="Times New Roman"/>
        </w:rPr>
        <w:t xml:space="preserve"> hyperkaliémia (12,9 %), bolesť hlavy (7,1 %), zvýšenie kreatinínu v krvi (5,9 %) a hypotenzia (4,7 %). U pacientov bez CKD boli najčastejšie </w:t>
      </w:r>
      <w:r w:rsidR="007C012F" w:rsidRPr="00201A3B">
        <w:rPr>
          <w:rFonts w:ascii="Times New Roman" w:hAnsi="Times New Roman" w:cs="Times New Roman"/>
        </w:rPr>
        <w:t>ADR</w:t>
      </w:r>
      <w:r w:rsidRPr="007656B5">
        <w:rPr>
          <w:rFonts w:ascii="Times New Roman" w:hAnsi="Times New Roman" w:cs="Times New Roman"/>
        </w:rPr>
        <w:t xml:space="preserve"> bolesť hlavy (5,1 %) a závrat (2,7 %). ADR sa pozorovali častejšie u pacientov užívajúcich valsartan v kombinácii s inými antihypertenzívnymi liekmi ako len samotný valsartan.</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Stav po nedávnom infarkte myokardu a/alebo srdcové zlyhanie (sledované len u</w:t>
      </w:r>
      <w:r w:rsidR="007D734D" w:rsidRPr="007656B5">
        <w:rPr>
          <w:rFonts w:ascii="Times New Roman" w:hAnsi="Times New Roman" w:cs="Times New Roman"/>
        </w:rPr>
        <w:t> </w:t>
      </w:r>
      <w:r w:rsidRPr="007656B5">
        <w:rPr>
          <w:rFonts w:ascii="Times New Roman" w:hAnsi="Times New Roman" w:cs="Times New Roman"/>
        </w:rPr>
        <w:t>dospelých pacientov)</w:t>
      </w:r>
    </w:p>
    <w:p w:rsidR="007C2ED7" w:rsidRPr="007656B5" w:rsidRDefault="007C2ED7">
      <w:pPr>
        <w:widowControl/>
        <w:spacing w:after="259" w:line="1" w:lineRule="exact"/>
        <w:rPr>
          <w:sz w:val="22"/>
          <w:szCs w:val="22"/>
        </w:rPr>
      </w:pPr>
    </w:p>
    <w:tbl>
      <w:tblPr>
        <w:tblW w:w="9196" w:type="dxa"/>
        <w:tblInd w:w="40" w:type="dxa"/>
        <w:tblLayout w:type="fixed"/>
        <w:tblCellMar>
          <w:left w:w="40" w:type="dxa"/>
          <w:right w:w="40" w:type="dxa"/>
        </w:tblCellMar>
        <w:tblLook w:val="0000" w:firstRow="0" w:lastRow="0" w:firstColumn="0" w:lastColumn="0" w:noHBand="0" w:noVBand="0"/>
      </w:tblPr>
      <w:tblGrid>
        <w:gridCol w:w="4597"/>
        <w:gridCol w:w="4599"/>
      </w:tblGrid>
      <w:tr w:rsidR="007C2ED7" w:rsidRPr="007656B5" w:rsidTr="00740EB4">
        <w:trPr>
          <w:trHeight w:val="256"/>
        </w:trPr>
        <w:tc>
          <w:tcPr>
            <w:tcW w:w="9196" w:type="dxa"/>
            <w:gridSpan w:val="2"/>
            <w:tcBorders>
              <w:top w:val="single" w:sz="6" w:space="0" w:color="auto"/>
              <w:left w:val="single" w:sz="6" w:space="0" w:color="auto"/>
              <w:bottom w:val="single" w:sz="6" w:space="0" w:color="auto"/>
              <w:right w:val="single" w:sz="6" w:space="0" w:color="auto"/>
            </w:tcBorders>
          </w:tcPr>
          <w:p w:rsidR="007C2ED7" w:rsidRPr="007656B5" w:rsidRDefault="007C2ED7" w:rsidP="00697EC4">
            <w:pPr>
              <w:pStyle w:val="Tabulka"/>
              <w:rPr>
                <w:szCs w:val="22"/>
              </w:rPr>
            </w:pPr>
            <w:r w:rsidRPr="007656B5">
              <w:rPr>
                <w:szCs w:val="22"/>
              </w:rPr>
              <w:t>Poruchy krvi a</w:t>
            </w:r>
            <w:r w:rsidR="007D734D" w:rsidRPr="007656B5">
              <w:rPr>
                <w:szCs w:val="22"/>
              </w:rPr>
              <w:t> </w:t>
            </w:r>
            <w:r w:rsidRPr="007656B5">
              <w:rPr>
                <w:szCs w:val="22"/>
              </w:rPr>
              <w:t>lymfatického systému</w:t>
            </w:r>
          </w:p>
        </w:tc>
      </w:tr>
      <w:tr w:rsidR="007C2ED7" w:rsidRPr="007656B5" w:rsidTr="00740EB4">
        <w:trPr>
          <w:trHeight w:val="379"/>
        </w:trPr>
        <w:tc>
          <w:tcPr>
            <w:tcW w:w="4597" w:type="dxa"/>
            <w:tcBorders>
              <w:top w:val="single" w:sz="6" w:space="0" w:color="auto"/>
              <w:left w:val="single" w:sz="6" w:space="0" w:color="auto"/>
              <w:bottom w:val="single" w:sz="6" w:space="0" w:color="auto"/>
              <w:right w:val="single" w:sz="6" w:space="0" w:color="auto"/>
            </w:tcBorders>
          </w:tcPr>
          <w:p w:rsidR="007C2ED7" w:rsidRPr="007656B5" w:rsidRDefault="007C2ED7" w:rsidP="007C44E3">
            <w:pPr>
              <w:pStyle w:val="Normlndobloku"/>
              <w:rPr>
                <w:rFonts w:ascii="Times New Roman" w:hAnsi="Times New Roman" w:cs="Times New Roman"/>
              </w:rPr>
            </w:pPr>
            <w:r w:rsidRPr="007656B5">
              <w:rPr>
                <w:rFonts w:ascii="Times New Roman" w:hAnsi="Times New Roman" w:cs="Times New Roman"/>
              </w:rPr>
              <w:t>Neznáme</w:t>
            </w:r>
          </w:p>
        </w:tc>
        <w:tc>
          <w:tcPr>
            <w:tcW w:w="4599" w:type="dxa"/>
            <w:tcBorders>
              <w:top w:val="single" w:sz="6" w:space="0" w:color="auto"/>
              <w:left w:val="single" w:sz="6" w:space="0" w:color="auto"/>
              <w:bottom w:val="single" w:sz="6" w:space="0" w:color="auto"/>
              <w:right w:val="single" w:sz="6" w:space="0" w:color="auto"/>
            </w:tcBorders>
          </w:tcPr>
          <w:p w:rsidR="007C2ED7" w:rsidRPr="007656B5" w:rsidRDefault="007C2ED7">
            <w:pPr>
              <w:rPr>
                <w:sz w:val="22"/>
                <w:szCs w:val="22"/>
              </w:rPr>
            </w:pPr>
            <w:r w:rsidRPr="007656B5">
              <w:rPr>
                <w:sz w:val="22"/>
                <w:szCs w:val="22"/>
              </w:rPr>
              <w:t>Trombocytopénia</w:t>
            </w:r>
          </w:p>
        </w:tc>
      </w:tr>
      <w:tr w:rsidR="007C2ED7" w:rsidRPr="007656B5" w:rsidTr="00740EB4">
        <w:trPr>
          <w:trHeight w:val="247"/>
        </w:trPr>
        <w:tc>
          <w:tcPr>
            <w:tcW w:w="9196" w:type="dxa"/>
            <w:gridSpan w:val="2"/>
            <w:tcBorders>
              <w:top w:val="single" w:sz="6" w:space="0" w:color="auto"/>
              <w:left w:val="single" w:sz="6" w:space="0" w:color="auto"/>
              <w:bottom w:val="single" w:sz="6" w:space="0" w:color="auto"/>
              <w:right w:val="single" w:sz="6" w:space="0" w:color="auto"/>
            </w:tcBorders>
          </w:tcPr>
          <w:p w:rsidR="007C2ED7" w:rsidRPr="007656B5" w:rsidRDefault="007C2ED7" w:rsidP="00697EC4">
            <w:pPr>
              <w:pStyle w:val="Tabulka"/>
              <w:rPr>
                <w:szCs w:val="22"/>
              </w:rPr>
            </w:pPr>
            <w:r w:rsidRPr="007656B5">
              <w:rPr>
                <w:szCs w:val="22"/>
              </w:rPr>
              <w:t>Poruchy imunitného systému</w:t>
            </w:r>
          </w:p>
        </w:tc>
      </w:tr>
      <w:tr w:rsidR="007C2ED7" w:rsidRPr="007656B5" w:rsidTr="00740EB4">
        <w:trPr>
          <w:trHeight w:val="379"/>
        </w:trPr>
        <w:tc>
          <w:tcPr>
            <w:tcW w:w="4597" w:type="dxa"/>
            <w:tcBorders>
              <w:top w:val="single" w:sz="6" w:space="0" w:color="auto"/>
              <w:left w:val="single" w:sz="6" w:space="0" w:color="auto"/>
              <w:bottom w:val="single" w:sz="6" w:space="0" w:color="auto"/>
              <w:right w:val="single" w:sz="6" w:space="0" w:color="auto"/>
            </w:tcBorders>
          </w:tcPr>
          <w:p w:rsidR="007C2ED7" w:rsidRPr="007656B5" w:rsidRDefault="007C2ED7" w:rsidP="007C44E3">
            <w:pPr>
              <w:pStyle w:val="Normlndobloku"/>
              <w:rPr>
                <w:rFonts w:ascii="Times New Roman" w:hAnsi="Times New Roman" w:cs="Times New Roman"/>
              </w:rPr>
            </w:pPr>
            <w:r w:rsidRPr="007656B5">
              <w:rPr>
                <w:rFonts w:ascii="Times New Roman" w:hAnsi="Times New Roman" w:cs="Times New Roman"/>
              </w:rPr>
              <w:t>Neznáme</w:t>
            </w:r>
          </w:p>
        </w:tc>
        <w:tc>
          <w:tcPr>
            <w:tcW w:w="4599" w:type="dxa"/>
            <w:tcBorders>
              <w:top w:val="single" w:sz="6" w:space="0" w:color="auto"/>
              <w:left w:val="single" w:sz="6" w:space="0" w:color="auto"/>
              <w:bottom w:val="single" w:sz="6" w:space="0" w:color="auto"/>
              <w:right w:val="single" w:sz="6" w:space="0" w:color="auto"/>
            </w:tcBorders>
          </w:tcPr>
          <w:p w:rsidR="007C2ED7" w:rsidRPr="007656B5" w:rsidRDefault="007C2ED7">
            <w:pPr>
              <w:rPr>
                <w:sz w:val="22"/>
                <w:szCs w:val="22"/>
              </w:rPr>
            </w:pPr>
            <w:r w:rsidRPr="007656B5">
              <w:rPr>
                <w:sz w:val="22"/>
                <w:szCs w:val="22"/>
              </w:rPr>
              <w:t>Precitlivenosť vrátane sérovej choroby</w:t>
            </w:r>
          </w:p>
        </w:tc>
      </w:tr>
      <w:tr w:rsidR="007C2ED7" w:rsidRPr="007656B5" w:rsidTr="00740EB4">
        <w:trPr>
          <w:trHeight w:val="256"/>
        </w:trPr>
        <w:tc>
          <w:tcPr>
            <w:tcW w:w="9196" w:type="dxa"/>
            <w:gridSpan w:val="2"/>
            <w:tcBorders>
              <w:top w:val="single" w:sz="6" w:space="0" w:color="auto"/>
              <w:left w:val="single" w:sz="6" w:space="0" w:color="auto"/>
              <w:bottom w:val="single" w:sz="6" w:space="0" w:color="auto"/>
              <w:right w:val="single" w:sz="6" w:space="0" w:color="auto"/>
            </w:tcBorders>
          </w:tcPr>
          <w:p w:rsidR="007C2ED7" w:rsidRPr="007656B5" w:rsidRDefault="007C2ED7" w:rsidP="00697EC4">
            <w:pPr>
              <w:pStyle w:val="Tabulka"/>
              <w:rPr>
                <w:szCs w:val="22"/>
              </w:rPr>
            </w:pPr>
            <w:r w:rsidRPr="007656B5">
              <w:rPr>
                <w:szCs w:val="22"/>
              </w:rPr>
              <w:t>Poruchy metabolizmu a</w:t>
            </w:r>
            <w:r w:rsidR="007D734D" w:rsidRPr="007656B5">
              <w:rPr>
                <w:szCs w:val="22"/>
              </w:rPr>
              <w:t> </w:t>
            </w:r>
            <w:r w:rsidRPr="007656B5">
              <w:rPr>
                <w:szCs w:val="22"/>
              </w:rPr>
              <w:t>výživy</w:t>
            </w:r>
          </w:p>
        </w:tc>
      </w:tr>
      <w:tr w:rsidR="007C2ED7" w:rsidRPr="007656B5" w:rsidTr="00740EB4">
        <w:trPr>
          <w:trHeight w:val="256"/>
        </w:trPr>
        <w:tc>
          <w:tcPr>
            <w:tcW w:w="4597" w:type="dxa"/>
            <w:tcBorders>
              <w:top w:val="single" w:sz="6" w:space="0" w:color="auto"/>
              <w:left w:val="single" w:sz="6" w:space="0" w:color="auto"/>
              <w:bottom w:val="single" w:sz="6" w:space="0" w:color="auto"/>
              <w:right w:val="single" w:sz="6" w:space="0" w:color="auto"/>
            </w:tcBorders>
          </w:tcPr>
          <w:p w:rsidR="007C2ED7" w:rsidRPr="007656B5" w:rsidRDefault="007C2ED7" w:rsidP="007C44E3">
            <w:pPr>
              <w:pStyle w:val="Tabulka1"/>
              <w:rPr>
                <w:szCs w:val="22"/>
              </w:rPr>
            </w:pPr>
            <w:r w:rsidRPr="007656B5">
              <w:rPr>
                <w:szCs w:val="22"/>
              </w:rPr>
              <w:t>Menej časté</w:t>
            </w:r>
          </w:p>
        </w:tc>
        <w:tc>
          <w:tcPr>
            <w:tcW w:w="4599" w:type="dxa"/>
            <w:tcBorders>
              <w:top w:val="single" w:sz="6" w:space="0" w:color="auto"/>
              <w:left w:val="single" w:sz="6" w:space="0" w:color="auto"/>
              <w:bottom w:val="single" w:sz="6" w:space="0" w:color="auto"/>
              <w:right w:val="single" w:sz="6" w:space="0" w:color="auto"/>
            </w:tcBorders>
          </w:tcPr>
          <w:p w:rsidR="007C2ED7" w:rsidRPr="007656B5" w:rsidRDefault="007C2ED7" w:rsidP="007C44E3">
            <w:pPr>
              <w:pStyle w:val="Tabulka1"/>
              <w:rPr>
                <w:szCs w:val="22"/>
              </w:rPr>
            </w:pPr>
            <w:r w:rsidRPr="007656B5">
              <w:rPr>
                <w:szCs w:val="22"/>
              </w:rPr>
              <w:t>Hyperkaliémia</w:t>
            </w:r>
          </w:p>
        </w:tc>
      </w:tr>
      <w:tr w:rsidR="007C2ED7" w:rsidRPr="007656B5" w:rsidTr="00740EB4">
        <w:trPr>
          <w:trHeight w:val="247"/>
        </w:trPr>
        <w:tc>
          <w:tcPr>
            <w:tcW w:w="4597" w:type="dxa"/>
            <w:tcBorders>
              <w:top w:val="single" w:sz="6" w:space="0" w:color="auto"/>
              <w:left w:val="single" w:sz="6" w:space="0" w:color="auto"/>
              <w:bottom w:val="single" w:sz="6" w:space="0" w:color="auto"/>
              <w:right w:val="single" w:sz="6" w:space="0" w:color="auto"/>
            </w:tcBorders>
          </w:tcPr>
          <w:p w:rsidR="007C2ED7" w:rsidRPr="007656B5" w:rsidRDefault="007C2ED7" w:rsidP="007C44E3">
            <w:pPr>
              <w:pStyle w:val="Tabulka1"/>
              <w:rPr>
                <w:szCs w:val="22"/>
              </w:rPr>
            </w:pPr>
            <w:r w:rsidRPr="007656B5">
              <w:rPr>
                <w:szCs w:val="22"/>
              </w:rPr>
              <w:t>Neznáme</w:t>
            </w:r>
          </w:p>
        </w:tc>
        <w:tc>
          <w:tcPr>
            <w:tcW w:w="4599" w:type="dxa"/>
            <w:tcBorders>
              <w:top w:val="single" w:sz="6" w:space="0" w:color="auto"/>
              <w:left w:val="single" w:sz="6" w:space="0" w:color="auto"/>
              <w:bottom w:val="single" w:sz="6" w:space="0" w:color="auto"/>
              <w:right w:val="single" w:sz="6" w:space="0" w:color="auto"/>
            </w:tcBorders>
          </w:tcPr>
          <w:p w:rsidR="007C2ED7" w:rsidRPr="007656B5" w:rsidRDefault="007C2ED7" w:rsidP="007C44E3">
            <w:pPr>
              <w:pStyle w:val="Tabulka1"/>
              <w:rPr>
                <w:szCs w:val="22"/>
              </w:rPr>
            </w:pPr>
            <w:r w:rsidRPr="007656B5">
              <w:rPr>
                <w:szCs w:val="22"/>
              </w:rPr>
              <w:t>Zvýšenie hladiny draslíka v sére</w:t>
            </w:r>
            <w:r w:rsidR="002B5F1C" w:rsidRPr="007656B5">
              <w:rPr>
                <w:szCs w:val="22"/>
              </w:rPr>
              <w:t>, hyponatriémia</w:t>
            </w:r>
          </w:p>
        </w:tc>
      </w:tr>
      <w:tr w:rsidR="007C2ED7" w:rsidRPr="007656B5" w:rsidTr="00740EB4">
        <w:trPr>
          <w:trHeight w:val="256"/>
        </w:trPr>
        <w:tc>
          <w:tcPr>
            <w:tcW w:w="9196" w:type="dxa"/>
            <w:gridSpan w:val="2"/>
            <w:tcBorders>
              <w:top w:val="single" w:sz="6" w:space="0" w:color="auto"/>
              <w:left w:val="single" w:sz="6" w:space="0" w:color="auto"/>
              <w:bottom w:val="single" w:sz="6" w:space="0" w:color="auto"/>
              <w:right w:val="single" w:sz="6" w:space="0" w:color="auto"/>
            </w:tcBorders>
          </w:tcPr>
          <w:p w:rsidR="007C2ED7" w:rsidRPr="007656B5" w:rsidRDefault="007C2ED7" w:rsidP="00697EC4">
            <w:pPr>
              <w:pStyle w:val="Tabulka"/>
              <w:rPr>
                <w:szCs w:val="22"/>
              </w:rPr>
            </w:pPr>
            <w:r w:rsidRPr="007656B5">
              <w:rPr>
                <w:szCs w:val="22"/>
              </w:rPr>
              <w:t>Poruchy nervového systému</w:t>
            </w:r>
          </w:p>
        </w:tc>
      </w:tr>
      <w:tr w:rsidR="007C2ED7" w:rsidRPr="007656B5" w:rsidTr="00740EB4">
        <w:trPr>
          <w:trHeight w:val="256"/>
        </w:trPr>
        <w:tc>
          <w:tcPr>
            <w:tcW w:w="4597" w:type="dxa"/>
            <w:tcBorders>
              <w:top w:val="single" w:sz="6" w:space="0" w:color="auto"/>
              <w:left w:val="single" w:sz="6" w:space="0" w:color="auto"/>
              <w:bottom w:val="single" w:sz="6" w:space="0" w:color="auto"/>
              <w:right w:val="single" w:sz="6" w:space="0" w:color="auto"/>
            </w:tcBorders>
          </w:tcPr>
          <w:p w:rsidR="007C2ED7" w:rsidRPr="007656B5" w:rsidRDefault="007C2ED7" w:rsidP="007C44E3">
            <w:pPr>
              <w:pStyle w:val="Tabulka1"/>
              <w:rPr>
                <w:szCs w:val="22"/>
              </w:rPr>
            </w:pPr>
            <w:r w:rsidRPr="007656B5">
              <w:rPr>
                <w:szCs w:val="22"/>
              </w:rPr>
              <w:t>Časté</w:t>
            </w:r>
          </w:p>
        </w:tc>
        <w:tc>
          <w:tcPr>
            <w:tcW w:w="4599" w:type="dxa"/>
            <w:tcBorders>
              <w:top w:val="single" w:sz="6" w:space="0" w:color="auto"/>
              <w:left w:val="single" w:sz="6" w:space="0" w:color="auto"/>
              <w:bottom w:val="single" w:sz="6" w:space="0" w:color="auto"/>
              <w:right w:val="single" w:sz="6" w:space="0" w:color="auto"/>
            </w:tcBorders>
          </w:tcPr>
          <w:p w:rsidR="007C2ED7" w:rsidRPr="007656B5" w:rsidRDefault="007C2ED7" w:rsidP="007C44E3">
            <w:pPr>
              <w:pStyle w:val="Tabulka1"/>
              <w:rPr>
                <w:szCs w:val="22"/>
              </w:rPr>
            </w:pPr>
            <w:r w:rsidRPr="007656B5">
              <w:rPr>
                <w:szCs w:val="22"/>
              </w:rPr>
              <w:t>Závraty, polohové závraty</w:t>
            </w:r>
          </w:p>
        </w:tc>
      </w:tr>
      <w:tr w:rsidR="000E5278" w:rsidRPr="007656B5" w:rsidTr="00740EB4">
        <w:trPr>
          <w:trHeight w:val="256"/>
        </w:trPr>
        <w:tc>
          <w:tcPr>
            <w:tcW w:w="4597" w:type="dxa"/>
            <w:tcBorders>
              <w:top w:val="single" w:sz="6" w:space="0" w:color="auto"/>
              <w:left w:val="single" w:sz="6" w:space="0" w:color="auto"/>
              <w:bottom w:val="single" w:sz="6" w:space="0" w:color="auto"/>
              <w:right w:val="single" w:sz="6" w:space="0" w:color="auto"/>
            </w:tcBorders>
          </w:tcPr>
          <w:p w:rsidR="000E5278" w:rsidRPr="007656B5" w:rsidRDefault="000E5278" w:rsidP="007C44E3">
            <w:pPr>
              <w:pStyle w:val="Tabulka1"/>
              <w:rPr>
                <w:szCs w:val="22"/>
              </w:rPr>
            </w:pPr>
            <w:r w:rsidRPr="007656B5">
              <w:rPr>
                <w:szCs w:val="22"/>
              </w:rPr>
              <w:t>Menej časté</w:t>
            </w:r>
          </w:p>
        </w:tc>
        <w:tc>
          <w:tcPr>
            <w:tcW w:w="4599" w:type="dxa"/>
            <w:tcBorders>
              <w:top w:val="single" w:sz="6" w:space="0" w:color="auto"/>
              <w:left w:val="single" w:sz="6" w:space="0" w:color="auto"/>
              <w:bottom w:val="single" w:sz="6" w:space="0" w:color="auto"/>
              <w:right w:val="single" w:sz="6" w:space="0" w:color="auto"/>
            </w:tcBorders>
          </w:tcPr>
          <w:p w:rsidR="000E5278" w:rsidRPr="007656B5" w:rsidRDefault="000E5278" w:rsidP="007C44E3">
            <w:pPr>
              <w:pStyle w:val="Tabulka1"/>
              <w:rPr>
                <w:szCs w:val="22"/>
              </w:rPr>
            </w:pPr>
            <w:r w:rsidRPr="007656B5">
              <w:rPr>
                <w:szCs w:val="22"/>
              </w:rPr>
              <w:t>Synkopa, bolesť hlavy</w:t>
            </w:r>
          </w:p>
        </w:tc>
      </w:tr>
      <w:tr w:rsidR="000E5278" w:rsidRPr="007656B5" w:rsidTr="00740EB4">
        <w:trPr>
          <w:trHeight w:val="256"/>
        </w:trPr>
        <w:tc>
          <w:tcPr>
            <w:tcW w:w="9196" w:type="dxa"/>
            <w:gridSpan w:val="2"/>
            <w:tcBorders>
              <w:top w:val="single" w:sz="6" w:space="0" w:color="auto"/>
              <w:left w:val="single" w:sz="6" w:space="0" w:color="auto"/>
              <w:bottom w:val="single" w:sz="6" w:space="0" w:color="auto"/>
              <w:right w:val="single" w:sz="6" w:space="0" w:color="auto"/>
            </w:tcBorders>
          </w:tcPr>
          <w:p w:rsidR="000E5278" w:rsidRPr="007656B5" w:rsidRDefault="000E5278" w:rsidP="007C44E3">
            <w:pPr>
              <w:pStyle w:val="Tabulka1"/>
              <w:rPr>
                <w:b/>
                <w:szCs w:val="22"/>
              </w:rPr>
            </w:pPr>
            <w:r w:rsidRPr="007656B5">
              <w:rPr>
                <w:szCs w:val="22"/>
              </w:rPr>
              <w:t>Poruchy ucha a labyrintu</w:t>
            </w:r>
          </w:p>
        </w:tc>
      </w:tr>
      <w:tr w:rsidR="000E5278" w:rsidRPr="007656B5" w:rsidTr="00740EB4">
        <w:trPr>
          <w:trHeight w:val="256"/>
        </w:trPr>
        <w:tc>
          <w:tcPr>
            <w:tcW w:w="4597" w:type="dxa"/>
            <w:tcBorders>
              <w:top w:val="single" w:sz="6" w:space="0" w:color="auto"/>
              <w:left w:val="single" w:sz="6" w:space="0" w:color="auto"/>
              <w:bottom w:val="single" w:sz="6" w:space="0" w:color="auto"/>
              <w:right w:val="single" w:sz="6" w:space="0" w:color="auto"/>
            </w:tcBorders>
          </w:tcPr>
          <w:p w:rsidR="000E5278" w:rsidRPr="007656B5" w:rsidRDefault="000E5278" w:rsidP="007C44E3">
            <w:pPr>
              <w:pStyle w:val="Tabulka1"/>
              <w:rPr>
                <w:szCs w:val="22"/>
              </w:rPr>
            </w:pPr>
            <w:r w:rsidRPr="007656B5">
              <w:rPr>
                <w:szCs w:val="22"/>
              </w:rPr>
              <w:t>Menej časté</w:t>
            </w:r>
          </w:p>
        </w:tc>
        <w:tc>
          <w:tcPr>
            <w:tcW w:w="4599" w:type="dxa"/>
            <w:tcBorders>
              <w:top w:val="single" w:sz="6" w:space="0" w:color="auto"/>
              <w:left w:val="single" w:sz="6" w:space="0" w:color="auto"/>
              <w:bottom w:val="single" w:sz="6" w:space="0" w:color="auto"/>
              <w:right w:val="single" w:sz="6" w:space="0" w:color="auto"/>
            </w:tcBorders>
          </w:tcPr>
          <w:p w:rsidR="000E5278" w:rsidRPr="007656B5" w:rsidRDefault="000E5278" w:rsidP="007C44E3">
            <w:pPr>
              <w:pStyle w:val="Tabulka1"/>
              <w:rPr>
                <w:szCs w:val="22"/>
              </w:rPr>
            </w:pPr>
            <w:r w:rsidRPr="007656B5">
              <w:rPr>
                <w:szCs w:val="22"/>
              </w:rPr>
              <w:t>Vertigo</w:t>
            </w:r>
          </w:p>
        </w:tc>
      </w:tr>
      <w:tr w:rsidR="000E5278" w:rsidRPr="007656B5" w:rsidTr="00740EB4">
        <w:trPr>
          <w:trHeight w:val="256"/>
        </w:trPr>
        <w:tc>
          <w:tcPr>
            <w:tcW w:w="9196" w:type="dxa"/>
            <w:gridSpan w:val="2"/>
            <w:tcBorders>
              <w:top w:val="single" w:sz="6" w:space="0" w:color="auto"/>
              <w:left w:val="single" w:sz="6" w:space="0" w:color="auto"/>
              <w:bottom w:val="single" w:sz="6" w:space="0" w:color="auto"/>
              <w:right w:val="single" w:sz="6" w:space="0" w:color="auto"/>
            </w:tcBorders>
          </w:tcPr>
          <w:p w:rsidR="000E5278" w:rsidRPr="007656B5" w:rsidRDefault="00593B5B" w:rsidP="00697EC4">
            <w:pPr>
              <w:pStyle w:val="Tabulka"/>
              <w:rPr>
                <w:szCs w:val="22"/>
              </w:rPr>
            </w:pPr>
            <w:r w:rsidRPr="007656B5">
              <w:rPr>
                <w:szCs w:val="22"/>
              </w:rPr>
              <w:t>P</w:t>
            </w:r>
            <w:r w:rsidR="000E5278" w:rsidRPr="007656B5">
              <w:rPr>
                <w:szCs w:val="22"/>
              </w:rPr>
              <w:t>oruchy</w:t>
            </w:r>
            <w:r w:rsidRPr="007656B5">
              <w:rPr>
                <w:szCs w:val="22"/>
              </w:rPr>
              <w:t xml:space="preserve"> srdca a</w:t>
            </w:r>
            <w:r w:rsidR="007D734D" w:rsidRPr="007656B5">
              <w:rPr>
                <w:szCs w:val="22"/>
              </w:rPr>
              <w:t> </w:t>
            </w:r>
            <w:r w:rsidRPr="007656B5">
              <w:rPr>
                <w:szCs w:val="22"/>
              </w:rPr>
              <w:t>srdcovej činnosti</w:t>
            </w:r>
          </w:p>
        </w:tc>
      </w:tr>
      <w:tr w:rsidR="00407A23" w:rsidRPr="007656B5" w:rsidTr="00740EB4">
        <w:trPr>
          <w:trHeight w:val="256"/>
        </w:trPr>
        <w:tc>
          <w:tcPr>
            <w:tcW w:w="4597" w:type="dxa"/>
            <w:tcBorders>
              <w:top w:val="single" w:sz="6" w:space="0" w:color="auto"/>
              <w:left w:val="single" w:sz="6" w:space="0" w:color="auto"/>
              <w:bottom w:val="single" w:sz="6" w:space="0" w:color="auto"/>
              <w:right w:val="single" w:sz="6" w:space="0" w:color="auto"/>
            </w:tcBorders>
          </w:tcPr>
          <w:p w:rsidR="00407A23" w:rsidRPr="007656B5" w:rsidRDefault="00407A23" w:rsidP="007C44E3">
            <w:pPr>
              <w:pStyle w:val="Tabulka1"/>
              <w:rPr>
                <w:szCs w:val="22"/>
              </w:rPr>
            </w:pPr>
            <w:r w:rsidRPr="007656B5">
              <w:rPr>
                <w:szCs w:val="22"/>
              </w:rPr>
              <w:t>Menej časté</w:t>
            </w:r>
          </w:p>
        </w:tc>
        <w:tc>
          <w:tcPr>
            <w:tcW w:w="4599" w:type="dxa"/>
            <w:tcBorders>
              <w:top w:val="single" w:sz="6" w:space="0" w:color="auto"/>
              <w:left w:val="single" w:sz="6" w:space="0" w:color="auto"/>
              <w:bottom w:val="single" w:sz="6" w:space="0" w:color="auto"/>
              <w:right w:val="single" w:sz="6" w:space="0" w:color="auto"/>
            </w:tcBorders>
          </w:tcPr>
          <w:p w:rsidR="00407A23" w:rsidRPr="007656B5" w:rsidRDefault="00407A23" w:rsidP="007C44E3">
            <w:pPr>
              <w:pStyle w:val="Tabulka1"/>
              <w:rPr>
                <w:szCs w:val="22"/>
              </w:rPr>
            </w:pPr>
            <w:r w:rsidRPr="007656B5">
              <w:rPr>
                <w:szCs w:val="22"/>
              </w:rPr>
              <w:t>Srdcové zlyhanie</w:t>
            </w:r>
          </w:p>
        </w:tc>
      </w:tr>
      <w:tr w:rsidR="00407A23" w:rsidRPr="007656B5" w:rsidTr="00740EB4">
        <w:trPr>
          <w:trHeight w:val="247"/>
        </w:trPr>
        <w:tc>
          <w:tcPr>
            <w:tcW w:w="9196" w:type="dxa"/>
            <w:gridSpan w:val="2"/>
            <w:tcBorders>
              <w:top w:val="single" w:sz="6" w:space="0" w:color="auto"/>
              <w:left w:val="single" w:sz="6" w:space="0" w:color="auto"/>
              <w:bottom w:val="single" w:sz="6" w:space="0" w:color="auto"/>
              <w:right w:val="single" w:sz="6" w:space="0" w:color="auto"/>
            </w:tcBorders>
          </w:tcPr>
          <w:p w:rsidR="00407A23" w:rsidRPr="007656B5" w:rsidRDefault="00407A23" w:rsidP="00697EC4">
            <w:pPr>
              <w:pStyle w:val="Tabulka"/>
              <w:rPr>
                <w:szCs w:val="22"/>
              </w:rPr>
            </w:pPr>
            <w:r w:rsidRPr="007656B5">
              <w:rPr>
                <w:szCs w:val="22"/>
              </w:rPr>
              <w:t>Poruchy ciev</w:t>
            </w:r>
          </w:p>
        </w:tc>
      </w:tr>
      <w:tr w:rsidR="00407A23" w:rsidRPr="007656B5" w:rsidTr="00740EB4">
        <w:trPr>
          <w:trHeight w:val="256"/>
        </w:trPr>
        <w:tc>
          <w:tcPr>
            <w:tcW w:w="4597" w:type="dxa"/>
            <w:tcBorders>
              <w:top w:val="single" w:sz="6" w:space="0" w:color="auto"/>
              <w:left w:val="single" w:sz="6" w:space="0" w:color="auto"/>
              <w:bottom w:val="single" w:sz="6" w:space="0" w:color="auto"/>
              <w:right w:val="single" w:sz="6" w:space="0" w:color="auto"/>
            </w:tcBorders>
          </w:tcPr>
          <w:p w:rsidR="00407A23" w:rsidRPr="007656B5" w:rsidRDefault="00407A23" w:rsidP="007C44E3">
            <w:pPr>
              <w:pStyle w:val="Tabulka1"/>
              <w:rPr>
                <w:szCs w:val="22"/>
              </w:rPr>
            </w:pPr>
            <w:r w:rsidRPr="007656B5">
              <w:rPr>
                <w:szCs w:val="22"/>
              </w:rPr>
              <w:t>Časté</w:t>
            </w:r>
          </w:p>
        </w:tc>
        <w:tc>
          <w:tcPr>
            <w:tcW w:w="4599" w:type="dxa"/>
            <w:tcBorders>
              <w:top w:val="single" w:sz="6" w:space="0" w:color="auto"/>
              <w:left w:val="single" w:sz="6" w:space="0" w:color="auto"/>
              <w:bottom w:val="single" w:sz="6" w:space="0" w:color="auto"/>
              <w:right w:val="single" w:sz="6" w:space="0" w:color="auto"/>
            </w:tcBorders>
          </w:tcPr>
          <w:p w:rsidR="00407A23" w:rsidRPr="007656B5" w:rsidRDefault="00407A23" w:rsidP="007C44E3">
            <w:pPr>
              <w:pStyle w:val="Tabulka1"/>
              <w:rPr>
                <w:szCs w:val="22"/>
              </w:rPr>
            </w:pPr>
            <w:r w:rsidRPr="007656B5">
              <w:rPr>
                <w:szCs w:val="22"/>
              </w:rPr>
              <w:t>Hypotenzia, ortostatická hypotenzia</w:t>
            </w:r>
          </w:p>
        </w:tc>
      </w:tr>
      <w:tr w:rsidR="00407A23" w:rsidRPr="007656B5" w:rsidTr="00740EB4">
        <w:trPr>
          <w:trHeight w:val="256"/>
        </w:trPr>
        <w:tc>
          <w:tcPr>
            <w:tcW w:w="4597" w:type="dxa"/>
            <w:tcBorders>
              <w:top w:val="single" w:sz="6" w:space="0" w:color="auto"/>
              <w:left w:val="single" w:sz="6" w:space="0" w:color="auto"/>
              <w:bottom w:val="single" w:sz="6" w:space="0" w:color="auto"/>
              <w:right w:val="single" w:sz="6" w:space="0" w:color="auto"/>
            </w:tcBorders>
          </w:tcPr>
          <w:p w:rsidR="00407A23" w:rsidRPr="007656B5" w:rsidRDefault="00407A23" w:rsidP="007C44E3">
            <w:pPr>
              <w:pStyle w:val="Tabulka1"/>
              <w:rPr>
                <w:szCs w:val="22"/>
              </w:rPr>
            </w:pPr>
            <w:r w:rsidRPr="007656B5">
              <w:rPr>
                <w:szCs w:val="22"/>
              </w:rPr>
              <w:t>Neznáme</w:t>
            </w:r>
          </w:p>
        </w:tc>
        <w:tc>
          <w:tcPr>
            <w:tcW w:w="4599" w:type="dxa"/>
            <w:tcBorders>
              <w:top w:val="single" w:sz="6" w:space="0" w:color="auto"/>
              <w:left w:val="single" w:sz="6" w:space="0" w:color="auto"/>
              <w:bottom w:val="single" w:sz="6" w:space="0" w:color="auto"/>
              <w:right w:val="single" w:sz="6" w:space="0" w:color="auto"/>
            </w:tcBorders>
          </w:tcPr>
          <w:p w:rsidR="00407A23" w:rsidRPr="007656B5" w:rsidRDefault="00407A23" w:rsidP="007C44E3">
            <w:pPr>
              <w:pStyle w:val="Tabulka1"/>
              <w:rPr>
                <w:szCs w:val="22"/>
              </w:rPr>
            </w:pPr>
            <w:r w:rsidRPr="007656B5">
              <w:rPr>
                <w:szCs w:val="22"/>
              </w:rPr>
              <w:t>Vaskulitída</w:t>
            </w:r>
          </w:p>
        </w:tc>
      </w:tr>
      <w:tr w:rsidR="00407A23" w:rsidRPr="007656B5" w:rsidTr="00740EB4">
        <w:trPr>
          <w:trHeight w:val="256"/>
        </w:trPr>
        <w:tc>
          <w:tcPr>
            <w:tcW w:w="9196" w:type="dxa"/>
            <w:gridSpan w:val="2"/>
            <w:tcBorders>
              <w:top w:val="single" w:sz="6" w:space="0" w:color="auto"/>
              <w:left w:val="single" w:sz="6" w:space="0" w:color="auto"/>
              <w:bottom w:val="single" w:sz="6" w:space="0" w:color="auto"/>
              <w:right w:val="single" w:sz="6" w:space="0" w:color="auto"/>
            </w:tcBorders>
          </w:tcPr>
          <w:p w:rsidR="00407A23" w:rsidRPr="007656B5" w:rsidRDefault="00407A23" w:rsidP="00697EC4">
            <w:pPr>
              <w:pStyle w:val="Tabulka"/>
              <w:rPr>
                <w:szCs w:val="22"/>
              </w:rPr>
            </w:pPr>
            <w:r w:rsidRPr="007656B5">
              <w:rPr>
                <w:szCs w:val="22"/>
              </w:rPr>
              <w:t>Poruchy dýchacej sústavy, hrudníka a</w:t>
            </w:r>
            <w:r w:rsidR="007D734D" w:rsidRPr="007656B5">
              <w:rPr>
                <w:szCs w:val="22"/>
              </w:rPr>
              <w:t> </w:t>
            </w:r>
            <w:r w:rsidRPr="007656B5">
              <w:rPr>
                <w:szCs w:val="22"/>
              </w:rPr>
              <w:t>mediastína</w:t>
            </w:r>
          </w:p>
        </w:tc>
      </w:tr>
      <w:tr w:rsidR="004C1ACA" w:rsidRPr="007656B5" w:rsidTr="00740EB4">
        <w:trPr>
          <w:trHeight w:val="256"/>
        </w:trPr>
        <w:tc>
          <w:tcPr>
            <w:tcW w:w="4597" w:type="dxa"/>
            <w:tcBorders>
              <w:top w:val="single" w:sz="6" w:space="0" w:color="auto"/>
              <w:left w:val="single" w:sz="6" w:space="0" w:color="auto"/>
              <w:bottom w:val="single" w:sz="6" w:space="0" w:color="auto"/>
              <w:right w:val="single" w:sz="6" w:space="0" w:color="auto"/>
            </w:tcBorders>
          </w:tcPr>
          <w:p w:rsidR="004C1ACA" w:rsidRPr="007656B5" w:rsidRDefault="004C1ACA" w:rsidP="007C44E3">
            <w:pPr>
              <w:pStyle w:val="Tabulka1"/>
              <w:rPr>
                <w:szCs w:val="22"/>
              </w:rPr>
            </w:pPr>
            <w:r w:rsidRPr="007656B5">
              <w:rPr>
                <w:szCs w:val="22"/>
              </w:rPr>
              <w:t>Menej časté</w:t>
            </w:r>
          </w:p>
        </w:tc>
        <w:tc>
          <w:tcPr>
            <w:tcW w:w="4599" w:type="dxa"/>
            <w:tcBorders>
              <w:top w:val="single" w:sz="6" w:space="0" w:color="auto"/>
              <w:left w:val="single" w:sz="6" w:space="0" w:color="auto"/>
              <w:bottom w:val="single" w:sz="6" w:space="0" w:color="auto"/>
              <w:right w:val="single" w:sz="6" w:space="0" w:color="auto"/>
            </w:tcBorders>
          </w:tcPr>
          <w:p w:rsidR="004C1ACA" w:rsidRPr="007656B5" w:rsidRDefault="004C1ACA" w:rsidP="007C44E3">
            <w:pPr>
              <w:pStyle w:val="Tabulka1"/>
              <w:rPr>
                <w:szCs w:val="22"/>
              </w:rPr>
            </w:pPr>
            <w:r w:rsidRPr="007656B5">
              <w:rPr>
                <w:szCs w:val="22"/>
              </w:rPr>
              <w:t>Kašeľ</w:t>
            </w:r>
          </w:p>
        </w:tc>
      </w:tr>
      <w:tr w:rsidR="004C1ACA" w:rsidRPr="007656B5" w:rsidTr="00740EB4">
        <w:trPr>
          <w:trHeight w:val="256"/>
        </w:trPr>
        <w:tc>
          <w:tcPr>
            <w:tcW w:w="9196" w:type="dxa"/>
            <w:gridSpan w:val="2"/>
            <w:tcBorders>
              <w:top w:val="single" w:sz="6" w:space="0" w:color="auto"/>
              <w:left w:val="single" w:sz="6" w:space="0" w:color="auto"/>
              <w:bottom w:val="single" w:sz="6" w:space="0" w:color="auto"/>
              <w:right w:val="single" w:sz="6" w:space="0" w:color="auto"/>
            </w:tcBorders>
          </w:tcPr>
          <w:p w:rsidR="004C1ACA" w:rsidRPr="007656B5" w:rsidRDefault="004C1ACA" w:rsidP="00697EC4">
            <w:pPr>
              <w:pStyle w:val="Tabulka"/>
              <w:rPr>
                <w:szCs w:val="22"/>
              </w:rPr>
            </w:pPr>
            <w:r w:rsidRPr="007656B5">
              <w:rPr>
                <w:szCs w:val="22"/>
              </w:rPr>
              <w:t>Poruchy gastrointestinálneho traktu</w:t>
            </w:r>
          </w:p>
        </w:tc>
      </w:tr>
      <w:tr w:rsidR="004C1ACA" w:rsidRPr="007656B5" w:rsidTr="00740EB4">
        <w:trPr>
          <w:trHeight w:val="256"/>
        </w:trPr>
        <w:tc>
          <w:tcPr>
            <w:tcW w:w="4597" w:type="dxa"/>
            <w:tcBorders>
              <w:top w:val="single" w:sz="6" w:space="0" w:color="auto"/>
              <w:left w:val="single" w:sz="6" w:space="0" w:color="auto"/>
              <w:bottom w:val="single" w:sz="6" w:space="0" w:color="auto"/>
              <w:right w:val="single" w:sz="6" w:space="0" w:color="auto"/>
            </w:tcBorders>
          </w:tcPr>
          <w:p w:rsidR="004C1ACA" w:rsidRPr="007656B5" w:rsidRDefault="004C1ACA" w:rsidP="007C44E3">
            <w:pPr>
              <w:pStyle w:val="Tabulka1"/>
              <w:rPr>
                <w:szCs w:val="22"/>
              </w:rPr>
            </w:pPr>
            <w:r w:rsidRPr="007656B5">
              <w:rPr>
                <w:szCs w:val="22"/>
              </w:rPr>
              <w:lastRenderedPageBreak/>
              <w:t>Menej časté</w:t>
            </w:r>
          </w:p>
        </w:tc>
        <w:tc>
          <w:tcPr>
            <w:tcW w:w="4599" w:type="dxa"/>
            <w:tcBorders>
              <w:top w:val="single" w:sz="6" w:space="0" w:color="auto"/>
              <w:left w:val="single" w:sz="6" w:space="0" w:color="auto"/>
              <w:bottom w:val="single" w:sz="6" w:space="0" w:color="auto"/>
              <w:right w:val="single" w:sz="6" w:space="0" w:color="auto"/>
            </w:tcBorders>
          </w:tcPr>
          <w:p w:rsidR="004C1ACA" w:rsidRPr="007656B5" w:rsidRDefault="004C1ACA" w:rsidP="007C44E3">
            <w:pPr>
              <w:pStyle w:val="Tabulka1"/>
              <w:rPr>
                <w:szCs w:val="22"/>
              </w:rPr>
            </w:pPr>
            <w:r w:rsidRPr="007656B5">
              <w:rPr>
                <w:szCs w:val="22"/>
              </w:rPr>
              <w:t>Nauzea, hnačka</w:t>
            </w:r>
          </w:p>
        </w:tc>
      </w:tr>
      <w:tr w:rsidR="004C1ACA" w:rsidRPr="007656B5" w:rsidTr="00740EB4">
        <w:trPr>
          <w:trHeight w:val="247"/>
        </w:trPr>
        <w:tc>
          <w:tcPr>
            <w:tcW w:w="9196" w:type="dxa"/>
            <w:gridSpan w:val="2"/>
            <w:tcBorders>
              <w:top w:val="single" w:sz="6" w:space="0" w:color="auto"/>
              <w:left w:val="single" w:sz="6" w:space="0" w:color="auto"/>
              <w:bottom w:val="single" w:sz="6" w:space="0" w:color="auto"/>
              <w:right w:val="single" w:sz="6" w:space="0" w:color="auto"/>
            </w:tcBorders>
          </w:tcPr>
          <w:p w:rsidR="004C1ACA" w:rsidRPr="007656B5" w:rsidRDefault="004C1ACA" w:rsidP="00697EC4">
            <w:pPr>
              <w:pStyle w:val="Tabulka"/>
              <w:rPr>
                <w:szCs w:val="22"/>
              </w:rPr>
            </w:pPr>
            <w:r w:rsidRPr="007656B5">
              <w:rPr>
                <w:szCs w:val="22"/>
              </w:rPr>
              <w:t>Poruchy pečene a žlčových ciest</w:t>
            </w:r>
          </w:p>
        </w:tc>
      </w:tr>
      <w:tr w:rsidR="004C1ACA" w:rsidRPr="007656B5" w:rsidTr="00740EB4">
        <w:trPr>
          <w:trHeight w:val="256"/>
        </w:trPr>
        <w:tc>
          <w:tcPr>
            <w:tcW w:w="4597" w:type="dxa"/>
            <w:tcBorders>
              <w:top w:val="single" w:sz="6" w:space="0" w:color="auto"/>
              <w:left w:val="single" w:sz="6" w:space="0" w:color="auto"/>
              <w:bottom w:val="single" w:sz="6" w:space="0" w:color="auto"/>
              <w:right w:val="single" w:sz="6" w:space="0" w:color="auto"/>
            </w:tcBorders>
          </w:tcPr>
          <w:p w:rsidR="004C1ACA" w:rsidRPr="007656B5" w:rsidRDefault="004C1ACA" w:rsidP="007C44E3">
            <w:pPr>
              <w:pStyle w:val="Tabulka1"/>
              <w:rPr>
                <w:szCs w:val="22"/>
              </w:rPr>
            </w:pPr>
            <w:r w:rsidRPr="007656B5">
              <w:rPr>
                <w:szCs w:val="22"/>
              </w:rPr>
              <w:t>Neznáme</w:t>
            </w:r>
          </w:p>
        </w:tc>
        <w:tc>
          <w:tcPr>
            <w:tcW w:w="4599" w:type="dxa"/>
            <w:tcBorders>
              <w:top w:val="single" w:sz="6" w:space="0" w:color="auto"/>
              <w:left w:val="single" w:sz="6" w:space="0" w:color="auto"/>
              <w:bottom w:val="single" w:sz="6" w:space="0" w:color="auto"/>
              <w:right w:val="single" w:sz="6" w:space="0" w:color="auto"/>
            </w:tcBorders>
          </w:tcPr>
          <w:p w:rsidR="004C1ACA" w:rsidRPr="007656B5" w:rsidRDefault="004C1ACA" w:rsidP="007C44E3">
            <w:pPr>
              <w:pStyle w:val="Tabulka1"/>
              <w:rPr>
                <w:szCs w:val="22"/>
              </w:rPr>
            </w:pPr>
            <w:r w:rsidRPr="007656B5">
              <w:rPr>
                <w:szCs w:val="22"/>
              </w:rPr>
              <w:t>Zvýšenie hodnôt funkcie pečene</w:t>
            </w:r>
          </w:p>
        </w:tc>
      </w:tr>
      <w:tr w:rsidR="004C1ACA" w:rsidRPr="007656B5" w:rsidTr="00740EB4">
        <w:trPr>
          <w:trHeight w:val="256"/>
        </w:trPr>
        <w:tc>
          <w:tcPr>
            <w:tcW w:w="9196" w:type="dxa"/>
            <w:gridSpan w:val="2"/>
            <w:tcBorders>
              <w:top w:val="single" w:sz="6" w:space="0" w:color="auto"/>
              <w:left w:val="single" w:sz="6" w:space="0" w:color="auto"/>
              <w:bottom w:val="single" w:sz="6" w:space="0" w:color="auto"/>
              <w:right w:val="single" w:sz="6" w:space="0" w:color="auto"/>
            </w:tcBorders>
          </w:tcPr>
          <w:p w:rsidR="004C1ACA" w:rsidRPr="007656B5" w:rsidRDefault="004C1ACA" w:rsidP="00697EC4">
            <w:pPr>
              <w:pStyle w:val="Tabulka"/>
              <w:rPr>
                <w:szCs w:val="22"/>
              </w:rPr>
            </w:pPr>
            <w:r w:rsidRPr="007656B5">
              <w:rPr>
                <w:szCs w:val="22"/>
              </w:rPr>
              <w:t>Poruchy kože a</w:t>
            </w:r>
            <w:r w:rsidR="007D734D" w:rsidRPr="007656B5">
              <w:rPr>
                <w:szCs w:val="22"/>
              </w:rPr>
              <w:t> </w:t>
            </w:r>
            <w:r w:rsidRPr="007656B5">
              <w:rPr>
                <w:szCs w:val="22"/>
              </w:rPr>
              <w:t>podkožného tkaniva</w:t>
            </w:r>
          </w:p>
        </w:tc>
      </w:tr>
      <w:tr w:rsidR="004C1ACA" w:rsidRPr="007656B5" w:rsidTr="00740EB4">
        <w:trPr>
          <w:trHeight w:val="256"/>
        </w:trPr>
        <w:tc>
          <w:tcPr>
            <w:tcW w:w="4597" w:type="dxa"/>
            <w:tcBorders>
              <w:top w:val="single" w:sz="6" w:space="0" w:color="auto"/>
              <w:left w:val="single" w:sz="6" w:space="0" w:color="auto"/>
              <w:bottom w:val="single" w:sz="6" w:space="0" w:color="auto"/>
              <w:right w:val="single" w:sz="6" w:space="0" w:color="auto"/>
            </w:tcBorders>
          </w:tcPr>
          <w:p w:rsidR="004C1ACA" w:rsidRPr="007656B5" w:rsidRDefault="004C1ACA" w:rsidP="007C44E3">
            <w:pPr>
              <w:pStyle w:val="Tabulka1"/>
              <w:rPr>
                <w:szCs w:val="22"/>
              </w:rPr>
            </w:pPr>
            <w:r w:rsidRPr="007656B5">
              <w:rPr>
                <w:szCs w:val="22"/>
              </w:rPr>
              <w:t>Menej časté</w:t>
            </w:r>
          </w:p>
        </w:tc>
        <w:tc>
          <w:tcPr>
            <w:tcW w:w="4599" w:type="dxa"/>
            <w:tcBorders>
              <w:top w:val="single" w:sz="6" w:space="0" w:color="auto"/>
              <w:left w:val="single" w:sz="6" w:space="0" w:color="auto"/>
              <w:bottom w:val="single" w:sz="6" w:space="0" w:color="auto"/>
              <w:right w:val="single" w:sz="6" w:space="0" w:color="auto"/>
            </w:tcBorders>
          </w:tcPr>
          <w:p w:rsidR="004C1ACA" w:rsidRPr="007656B5" w:rsidRDefault="004C1ACA" w:rsidP="007C44E3">
            <w:pPr>
              <w:pStyle w:val="Tabulka1"/>
              <w:rPr>
                <w:szCs w:val="22"/>
              </w:rPr>
            </w:pPr>
            <w:r w:rsidRPr="007656B5">
              <w:rPr>
                <w:szCs w:val="22"/>
              </w:rPr>
              <w:t>Angioedém</w:t>
            </w:r>
          </w:p>
        </w:tc>
      </w:tr>
      <w:tr w:rsidR="004C1ACA" w:rsidRPr="007656B5" w:rsidTr="00740EB4">
        <w:trPr>
          <w:trHeight w:val="256"/>
        </w:trPr>
        <w:tc>
          <w:tcPr>
            <w:tcW w:w="4597" w:type="dxa"/>
            <w:tcBorders>
              <w:top w:val="single" w:sz="6" w:space="0" w:color="auto"/>
              <w:left w:val="single" w:sz="6" w:space="0" w:color="auto"/>
              <w:bottom w:val="single" w:sz="6" w:space="0" w:color="auto"/>
              <w:right w:val="single" w:sz="6" w:space="0" w:color="auto"/>
            </w:tcBorders>
          </w:tcPr>
          <w:p w:rsidR="004C1ACA" w:rsidRPr="007656B5" w:rsidRDefault="004C1ACA" w:rsidP="007C44E3">
            <w:pPr>
              <w:pStyle w:val="Tabulka1"/>
              <w:rPr>
                <w:szCs w:val="22"/>
              </w:rPr>
            </w:pPr>
            <w:r w:rsidRPr="007656B5">
              <w:rPr>
                <w:szCs w:val="22"/>
              </w:rPr>
              <w:t>Neznáme</w:t>
            </w:r>
          </w:p>
        </w:tc>
        <w:tc>
          <w:tcPr>
            <w:tcW w:w="4599" w:type="dxa"/>
            <w:tcBorders>
              <w:top w:val="single" w:sz="6" w:space="0" w:color="auto"/>
              <w:left w:val="single" w:sz="6" w:space="0" w:color="auto"/>
              <w:bottom w:val="single" w:sz="6" w:space="0" w:color="auto"/>
              <w:right w:val="single" w:sz="6" w:space="0" w:color="auto"/>
            </w:tcBorders>
          </w:tcPr>
          <w:p w:rsidR="004C1ACA" w:rsidRPr="007656B5" w:rsidRDefault="004C1ACA" w:rsidP="007C44E3">
            <w:pPr>
              <w:pStyle w:val="Tabulka1"/>
              <w:rPr>
                <w:szCs w:val="22"/>
              </w:rPr>
            </w:pPr>
            <w:r w:rsidRPr="007656B5">
              <w:rPr>
                <w:szCs w:val="22"/>
              </w:rPr>
              <w:t>Exantém, pruritus</w:t>
            </w:r>
          </w:p>
        </w:tc>
      </w:tr>
      <w:tr w:rsidR="004C1ACA" w:rsidRPr="007656B5" w:rsidTr="00740EB4">
        <w:trPr>
          <w:trHeight w:val="256"/>
        </w:trPr>
        <w:tc>
          <w:tcPr>
            <w:tcW w:w="9196" w:type="dxa"/>
            <w:gridSpan w:val="2"/>
            <w:tcBorders>
              <w:top w:val="single" w:sz="6" w:space="0" w:color="auto"/>
              <w:left w:val="single" w:sz="6" w:space="0" w:color="auto"/>
              <w:bottom w:val="single" w:sz="6" w:space="0" w:color="auto"/>
              <w:right w:val="single" w:sz="6" w:space="0" w:color="auto"/>
            </w:tcBorders>
          </w:tcPr>
          <w:p w:rsidR="004C1ACA" w:rsidRPr="007656B5" w:rsidRDefault="004C1ACA" w:rsidP="00697EC4">
            <w:pPr>
              <w:pStyle w:val="Tabulka"/>
              <w:rPr>
                <w:szCs w:val="22"/>
              </w:rPr>
            </w:pPr>
            <w:r w:rsidRPr="007656B5">
              <w:rPr>
                <w:szCs w:val="22"/>
              </w:rPr>
              <w:t>Poruchy kostrovej a</w:t>
            </w:r>
            <w:r w:rsidR="007D734D" w:rsidRPr="007656B5">
              <w:rPr>
                <w:szCs w:val="22"/>
              </w:rPr>
              <w:t> </w:t>
            </w:r>
            <w:r w:rsidRPr="007656B5">
              <w:rPr>
                <w:szCs w:val="22"/>
              </w:rPr>
              <w:t>svalovej sústavy a</w:t>
            </w:r>
            <w:r w:rsidR="007D734D" w:rsidRPr="007656B5">
              <w:rPr>
                <w:szCs w:val="22"/>
              </w:rPr>
              <w:t> </w:t>
            </w:r>
            <w:r w:rsidRPr="007656B5">
              <w:rPr>
                <w:szCs w:val="22"/>
              </w:rPr>
              <w:t>spojivového tkaniva</w:t>
            </w:r>
          </w:p>
        </w:tc>
      </w:tr>
      <w:tr w:rsidR="004C1ACA" w:rsidRPr="007656B5" w:rsidTr="00740EB4">
        <w:trPr>
          <w:trHeight w:val="256"/>
        </w:trPr>
        <w:tc>
          <w:tcPr>
            <w:tcW w:w="4597" w:type="dxa"/>
            <w:tcBorders>
              <w:top w:val="single" w:sz="6" w:space="0" w:color="auto"/>
              <w:left w:val="single" w:sz="6" w:space="0" w:color="auto"/>
              <w:bottom w:val="single" w:sz="6" w:space="0" w:color="auto"/>
              <w:right w:val="single" w:sz="6" w:space="0" w:color="auto"/>
            </w:tcBorders>
          </w:tcPr>
          <w:p w:rsidR="004C1ACA" w:rsidRPr="007656B5" w:rsidRDefault="004C1ACA" w:rsidP="007C44E3">
            <w:pPr>
              <w:pStyle w:val="Tabulka1"/>
              <w:rPr>
                <w:szCs w:val="22"/>
              </w:rPr>
            </w:pPr>
            <w:r w:rsidRPr="007656B5">
              <w:rPr>
                <w:szCs w:val="22"/>
              </w:rPr>
              <w:t>Neznáme</w:t>
            </w:r>
          </w:p>
        </w:tc>
        <w:tc>
          <w:tcPr>
            <w:tcW w:w="4599" w:type="dxa"/>
            <w:tcBorders>
              <w:top w:val="single" w:sz="6" w:space="0" w:color="auto"/>
              <w:left w:val="single" w:sz="6" w:space="0" w:color="auto"/>
              <w:bottom w:val="single" w:sz="6" w:space="0" w:color="auto"/>
              <w:right w:val="single" w:sz="6" w:space="0" w:color="auto"/>
            </w:tcBorders>
          </w:tcPr>
          <w:p w:rsidR="004C1ACA" w:rsidRPr="007656B5" w:rsidRDefault="004C1ACA" w:rsidP="007C44E3">
            <w:pPr>
              <w:pStyle w:val="Tabulka1"/>
              <w:rPr>
                <w:szCs w:val="22"/>
              </w:rPr>
            </w:pPr>
            <w:r w:rsidRPr="007656B5">
              <w:rPr>
                <w:szCs w:val="22"/>
              </w:rPr>
              <w:t>Myalgia</w:t>
            </w:r>
          </w:p>
        </w:tc>
      </w:tr>
      <w:tr w:rsidR="004C1ACA" w:rsidRPr="007656B5" w:rsidTr="00740EB4">
        <w:trPr>
          <w:trHeight w:val="247"/>
        </w:trPr>
        <w:tc>
          <w:tcPr>
            <w:tcW w:w="9196" w:type="dxa"/>
            <w:gridSpan w:val="2"/>
            <w:tcBorders>
              <w:top w:val="single" w:sz="6" w:space="0" w:color="auto"/>
              <w:left w:val="single" w:sz="6" w:space="0" w:color="auto"/>
              <w:bottom w:val="single" w:sz="6" w:space="0" w:color="auto"/>
              <w:right w:val="single" w:sz="6" w:space="0" w:color="auto"/>
            </w:tcBorders>
          </w:tcPr>
          <w:p w:rsidR="004C1ACA" w:rsidRPr="007656B5" w:rsidRDefault="00EE03B2" w:rsidP="00697EC4">
            <w:pPr>
              <w:pStyle w:val="Tabulka"/>
              <w:rPr>
                <w:szCs w:val="22"/>
              </w:rPr>
            </w:pPr>
            <w:r w:rsidRPr="007656B5">
              <w:rPr>
                <w:szCs w:val="22"/>
              </w:rPr>
              <w:t>Poruchy obličiek a</w:t>
            </w:r>
            <w:r w:rsidR="007D734D" w:rsidRPr="007656B5">
              <w:rPr>
                <w:szCs w:val="22"/>
              </w:rPr>
              <w:t> </w:t>
            </w:r>
            <w:r w:rsidRPr="007656B5">
              <w:rPr>
                <w:szCs w:val="22"/>
              </w:rPr>
              <w:t>močových ciest</w:t>
            </w:r>
          </w:p>
        </w:tc>
      </w:tr>
      <w:tr w:rsidR="00EE03B2" w:rsidRPr="007656B5" w:rsidTr="00740EB4">
        <w:trPr>
          <w:trHeight w:val="256"/>
        </w:trPr>
        <w:tc>
          <w:tcPr>
            <w:tcW w:w="4597" w:type="dxa"/>
            <w:tcBorders>
              <w:top w:val="single" w:sz="6" w:space="0" w:color="auto"/>
              <w:left w:val="single" w:sz="6" w:space="0" w:color="auto"/>
              <w:bottom w:val="single" w:sz="6" w:space="0" w:color="auto"/>
              <w:right w:val="single" w:sz="6" w:space="0" w:color="auto"/>
            </w:tcBorders>
          </w:tcPr>
          <w:p w:rsidR="00EE03B2" w:rsidRPr="007656B5" w:rsidRDefault="00EE03B2" w:rsidP="007C44E3">
            <w:pPr>
              <w:pStyle w:val="Tabulka1"/>
              <w:rPr>
                <w:szCs w:val="22"/>
              </w:rPr>
            </w:pPr>
            <w:r w:rsidRPr="007656B5">
              <w:rPr>
                <w:szCs w:val="22"/>
              </w:rPr>
              <w:t>Časté</w:t>
            </w:r>
          </w:p>
        </w:tc>
        <w:tc>
          <w:tcPr>
            <w:tcW w:w="4599" w:type="dxa"/>
            <w:tcBorders>
              <w:top w:val="single" w:sz="6" w:space="0" w:color="auto"/>
              <w:left w:val="single" w:sz="6" w:space="0" w:color="auto"/>
              <w:bottom w:val="single" w:sz="6" w:space="0" w:color="auto"/>
              <w:right w:val="single" w:sz="6" w:space="0" w:color="auto"/>
            </w:tcBorders>
          </w:tcPr>
          <w:p w:rsidR="00EE03B2" w:rsidRPr="007656B5" w:rsidRDefault="00EE03B2" w:rsidP="007C44E3">
            <w:pPr>
              <w:pStyle w:val="Tabulka1"/>
              <w:rPr>
                <w:szCs w:val="22"/>
              </w:rPr>
            </w:pPr>
            <w:r w:rsidRPr="007656B5">
              <w:rPr>
                <w:szCs w:val="22"/>
              </w:rPr>
              <w:t>Zlyhanie a</w:t>
            </w:r>
            <w:r w:rsidR="007D734D" w:rsidRPr="007656B5">
              <w:rPr>
                <w:szCs w:val="22"/>
              </w:rPr>
              <w:t> </w:t>
            </w:r>
            <w:r w:rsidR="00097527" w:rsidRPr="007656B5">
              <w:rPr>
                <w:szCs w:val="22"/>
              </w:rPr>
              <w:t>porucha funkcie</w:t>
            </w:r>
            <w:r w:rsidR="00020982" w:rsidRPr="007656B5">
              <w:rPr>
                <w:szCs w:val="22"/>
              </w:rPr>
              <w:t xml:space="preserve"> obličiek</w:t>
            </w:r>
          </w:p>
        </w:tc>
      </w:tr>
      <w:tr w:rsidR="00EE03B2" w:rsidRPr="007656B5" w:rsidTr="00740EB4">
        <w:trPr>
          <w:trHeight w:val="513"/>
        </w:trPr>
        <w:tc>
          <w:tcPr>
            <w:tcW w:w="4597" w:type="dxa"/>
            <w:tcBorders>
              <w:top w:val="single" w:sz="6" w:space="0" w:color="auto"/>
              <w:left w:val="single" w:sz="6" w:space="0" w:color="auto"/>
              <w:bottom w:val="single" w:sz="6" w:space="0" w:color="auto"/>
              <w:right w:val="single" w:sz="6" w:space="0" w:color="auto"/>
            </w:tcBorders>
          </w:tcPr>
          <w:p w:rsidR="00EE03B2" w:rsidRPr="007656B5" w:rsidRDefault="00EE03B2" w:rsidP="007C44E3">
            <w:pPr>
              <w:pStyle w:val="Tabulka1"/>
              <w:rPr>
                <w:szCs w:val="22"/>
              </w:rPr>
            </w:pPr>
            <w:r w:rsidRPr="007656B5">
              <w:rPr>
                <w:szCs w:val="22"/>
              </w:rPr>
              <w:t>Menej časté</w:t>
            </w:r>
          </w:p>
        </w:tc>
        <w:tc>
          <w:tcPr>
            <w:tcW w:w="4599" w:type="dxa"/>
            <w:tcBorders>
              <w:top w:val="single" w:sz="6" w:space="0" w:color="auto"/>
              <w:left w:val="single" w:sz="6" w:space="0" w:color="auto"/>
              <w:bottom w:val="single" w:sz="6" w:space="0" w:color="auto"/>
              <w:right w:val="single" w:sz="6" w:space="0" w:color="auto"/>
            </w:tcBorders>
          </w:tcPr>
          <w:p w:rsidR="00EE03B2" w:rsidRPr="007656B5" w:rsidRDefault="00EE03B2" w:rsidP="007C44E3">
            <w:pPr>
              <w:pStyle w:val="Tabulka1"/>
              <w:rPr>
                <w:szCs w:val="22"/>
              </w:rPr>
            </w:pPr>
            <w:r w:rsidRPr="007656B5">
              <w:rPr>
                <w:szCs w:val="22"/>
              </w:rPr>
              <w:t>Akútne zlyhanie obličiek, zvýšenie  kreatinínu v</w:t>
            </w:r>
            <w:r w:rsidR="007D734D" w:rsidRPr="007656B5">
              <w:rPr>
                <w:szCs w:val="22"/>
              </w:rPr>
              <w:t> </w:t>
            </w:r>
            <w:r w:rsidRPr="007656B5">
              <w:rPr>
                <w:szCs w:val="22"/>
              </w:rPr>
              <w:t>sére</w:t>
            </w:r>
          </w:p>
        </w:tc>
      </w:tr>
      <w:tr w:rsidR="00EE03B2" w:rsidRPr="007656B5" w:rsidTr="00740EB4">
        <w:trPr>
          <w:trHeight w:val="247"/>
        </w:trPr>
        <w:tc>
          <w:tcPr>
            <w:tcW w:w="4597" w:type="dxa"/>
            <w:tcBorders>
              <w:top w:val="single" w:sz="6" w:space="0" w:color="auto"/>
              <w:left w:val="single" w:sz="6" w:space="0" w:color="auto"/>
              <w:bottom w:val="single" w:sz="6" w:space="0" w:color="auto"/>
              <w:right w:val="single" w:sz="6" w:space="0" w:color="auto"/>
            </w:tcBorders>
          </w:tcPr>
          <w:p w:rsidR="00EE03B2" w:rsidRPr="007656B5" w:rsidRDefault="00EE03B2" w:rsidP="007C44E3">
            <w:pPr>
              <w:pStyle w:val="Tabulka1"/>
              <w:rPr>
                <w:szCs w:val="22"/>
              </w:rPr>
            </w:pPr>
            <w:r w:rsidRPr="007656B5">
              <w:rPr>
                <w:szCs w:val="22"/>
              </w:rPr>
              <w:t>Neznáme</w:t>
            </w:r>
          </w:p>
        </w:tc>
        <w:tc>
          <w:tcPr>
            <w:tcW w:w="4599" w:type="dxa"/>
            <w:tcBorders>
              <w:top w:val="single" w:sz="6" w:space="0" w:color="auto"/>
              <w:left w:val="single" w:sz="6" w:space="0" w:color="auto"/>
              <w:bottom w:val="single" w:sz="6" w:space="0" w:color="auto"/>
              <w:right w:val="single" w:sz="6" w:space="0" w:color="auto"/>
            </w:tcBorders>
          </w:tcPr>
          <w:p w:rsidR="00EE03B2" w:rsidRPr="007656B5" w:rsidRDefault="00EE03B2" w:rsidP="007C44E3">
            <w:pPr>
              <w:pStyle w:val="Tabulka1"/>
              <w:rPr>
                <w:szCs w:val="22"/>
              </w:rPr>
            </w:pPr>
            <w:r w:rsidRPr="007656B5">
              <w:rPr>
                <w:szCs w:val="22"/>
              </w:rPr>
              <w:t>Zvýšenie dusíka močoviny v</w:t>
            </w:r>
            <w:r w:rsidR="007D734D" w:rsidRPr="007656B5">
              <w:rPr>
                <w:szCs w:val="22"/>
              </w:rPr>
              <w:t> </w:t>
            </w:r>
            <w:r w:rsidRPr="007656B5">
              <w:rPr>
                <w:szCs w:val="22"/>
              </w:rPr>
              <w:t>krvi</w:t>
            </w:r>
          </w:p>
        </w:tc>
      </w:tr>
      <w:tr w:rsidR="00EE03B2" w:rsidRPr="007656B5" w:rsidTr="00740EB4">
        <w:trPr>
          <w:trHeight w:val="256"/>
        </w:trPr>
        <w:tc>
          <w:tcPr>
            <w:tcW w:w="9196" w:type="dxa"/>
            <w:gridSpan w:val="2"/>
            <w:tcBorders>
              <w:top w:val="single" w:sz="6" w:space="0" w:color="auto"/>
              <w:left w:val="single" w:sz="6" w:space="0" w:color="auto"/>
              <w:bottom w:val="single" w:sz="6" w:space="0" w:color="auto"/>
              <w:right w:val="single" w:sz="6" w:space="0" w:color="auto"/>
            </w:tcBorders>
          </w:tcPr>
          <w:p w:rsidR="00EE03B2" w:rsidRPr="007656B5" w:rsidRDefault="00EE03B2" w:rsidP="00697EC4">
            <w:pPr>
              <w:pStyle w:val="Tabulka"/>
              <w:rPr>
                <w:szCs w:val="22"/>
              </w:rPr>
            </w:pPr>
            <w:r w:rsidRPr="007656B5">
              <w:rPr>
                <w:szCs w:val="22"/>
              </w:rPr>
              <w:t>Celkové poruchy a reakcie v mieste podania</w:t>
            </w:r>
          </w:p>
        </w:tc>
      </w:tr>
      <w:tr w:rsidR="00EE03B2" w:rsidRPr="007656B5" w:rsidTr="00740EB4">
        <w:trPr>
          <w:trHeight w:val="266"/>
        </w:trPr>
        <w:tc>
          <w:tcPr>
            <w:tcW w:w="4597" w:type="dxa"/>
            <w:tcBorders>
              <w:top w:val="single" w:sz="6" w:space="0" w:color="auto"/>
              <w:left w:val="single" w:sz="6" w:space="0" w:color="auto"/>
              <w:bottom w:val="single" w:sz="6" w:space="0" w:color="auto"/>
              <w:right w:val="single" w:sz="6" w:space="0" w:color="auto"/>
            </w:tcBorders>
          </w:tcPr>
          <w:p w:rsidR="00EE03B2" w:rsidRPr="007656B5" w:rsidRDefault="00EE03B2" w:rsidP="007C44E3">
            <w:pPr>
              <w:pStyle w:val="Tabulka1"/>
              <w:rPr>
                <w:szCs w:val="22"/>
              </w:rPr>
            </w:pPr>
            <w:r w:rsidRPr="007656B5">
              <w:rPr>
                <w:szCs w:val="22"/>
              </w:rPr>
              <w:t>Menej časté</w:t>
            </w:r>
          </w:p>
        </w:tc>
        <w:tc>
          <w:tcPr>
            <w:tcW w:w="4599" w:type="dxa"/>
            <w:tcBorders>
              <w:top w:val="single" w:sz="6" w:space="0" w:color="auto"/>
              <w:left w:val="single" w:sz="6" w:space="0" w:color="auto"/>
              <w:bottom w:val="single" w:sz="6" w:space="0" w:color="auto"/>
              <w:right w:val="single" w:sz="6" w:space="0" w:color="auto"/>
            </w:tcBorders>
          </w:tcPr>
          <w:p w:rsidR="00EE03B2" w:rsidRPr="007656B5" w:rsidRDefault="00EE03B2" w:rsidP="007C44E3">
            <w:pPr>
              <w:pStyle w:val="Tabulka1"/>
              <w:rPr>
                <w:szCs w:val="22"/>
              </w:rPr>
            </w:pPr>
            <w:r w:rsidRPr="007656B5">
              <w:rPr>
                <w:szCs w:val="22"/>
              </w:rPr>
              <w:t>Únava, malátnosť</w:t>
            </w:r>
          </w:p>
        </w:tc>
      </w:tr>
    </w:tbl>
    <w:p w:rsidR="000E3F92" w:rsidRPr="007656B5" w:rsidRDefault="000E3F92">
      <w:pPr>
        <w:rPr>
          <w:sz w:val="22"/>
          <w:szCs w:val="22"/>
        </w:rPr>
      </w:pPr>
    </w:p>
    <w:p w:rsidR="000E3F92" w:rsidRPr="007656B5" w:rsidRDefault="000E3F92" w:rsidP="007C44E3">
      <w:pPr>
        <w:pStyle w:val="Styl3"/>
        <w:rPr>
          <w:szCs w:val="22"/>
        </w:rPr>
      </w:pPr>
      <w:r w:rsidRPr="007656B5">
        <w:rPr>
          <w:szCs w:val="22"/>
        </w:rPr>
        <w:t>Hlásenie podozrení na nežiaduce reakcie</w:t>
      </w:r>
    </w:p>
    <w:p w:rsidR="00EE03B2" w:rsidRPr="007656B5" w:rsidRDefault="000E3F92" w:rsidP="007C44E3">
      <w:pPr>
        <w:pStyle w:val="Normlndobloku"/>
        <w:rPr>
          <w:rFonts w:ascii="Times New Roman" w:hAnsi="Times New Roman" w:cs="Times New Roman"/>
        </w:rPr>
      </w:pPr>
      <w:r w:rsidRPr="007656B5">
        <w:rPr>
          <w:rFonts w:ascii="Times New Roman" w:hAnsi="Times New Roman" w:cs="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7D734D" w:rsidRPr="00201A3B">
        <w:rPr>
          <w:rFonts w:ascii="Times New Roman" w:hAnsi="Times New Roman" w:cs="Times New Roman"/>
        </w:rPr>
        <w:t xml:space="preserve">na </w:t>
      </w:r>
      <w:r w:rsidR="007D734D" w:rsidRPr="007656B5">
        <w:rPr>
          <w:rFonts w:ascii="Times New Roman" w:hAnsi="Times New Roman" w:cs="Times New Roman"/>
          <w:highlight w:val="lightGray"/>
        </w:rPr>
        <w:t>národné centrum</w:t>
      </w:r>
      <w:r w:rsidR="007D734D" w:rsidRPr="007656B5">
        <w:rPr>
          <w:rFonts w:ascii="Times New Roman" w:hAnsi="Times New Roman" w:cs="Times New Roman"/>
        </w:rPr>
        <w:t xml:space="preserve"> </w:t>
      </w:r>
      <w:r w:rsidRPr="007656B5">
        <w:rPr>
          <w:rFonts w:ascii="Times New Roman" w:hAnsi="Times New Roman" w:cs="Times New Roman"/>
          <w:highlight w:val="lightGray"/>
        </w:rPr>
        <w:t>hlásenia uvedené v </w:t>
      </w:r>
      <w:hyperlink r:id="rId9" w:history="1">
        <w:r w:rsidRPr="007656B5">
          <w:rPr>
            <w:rStyle w:val="Hypertextovprepojenie"/>
            <w:rFonts w:ascii="Times New Roman" w:hAnsi="Times New Roman" w:cs="Times New Roman"/>
            <w:highlight w:val="lightGray"/>
          </w:rPr>
          <w:t>Prílohe V</w:t>
        </w:r>
      </w:hyperlink>
      <w:r w:rsidRPr="007656B5">
        <w:rPr>
          <w:rFonts w:ascii="Times New Roman" w:hAnsi="Times New Roman" w:cs="Times New Roman"/>
        </w:rPr>
        <w:t>.</w:t>
      </w:r>
    </w:p>
    <w:p w:rsidR="000E3F92" w:rsidRPr="007656B5" w:rsidRDefault="00303AEF" w:rsidP="00D50784">
      <w:pPr>
        <w:pStyle w:val="Styl2"/>
      </w:pPr>
      <w:r w:rsidRPr="007656B5">
        <w:t>Predávkovanie</w:t>
      </w:r>
    </w:p>
    <w:p w:rsidR="007C2ED7" w:rsidRPr="007656B5" w:rsidRDefault="007C2ED7" w:rsidP="007C44E3">
      <w:pPr>
        <w:pStyle w:val="Styl3"/>
        <w:rPr>
          <w:szCs w:val="22"/>
        </w:rPr>
      </w:pPr>
      <w:r w:rsidRPr="007656B5">
        <w:rPr>
          <w:szCs w:val="22"/>
        </w:rPr>
        <w:t>Symptómy</w:t>
      </w:r>
    </w:p>
    <w:p w:rsidR="007C2ED7" w:rsidRPr="007656B5" w:rsidRDefault="007C2ED7" w:rsidP="007C44E3">
      <w:pPr>
        <w:pStyle w:val="Normlndobloku"/>
        <w:rPr>
          <w:rFonts w:ascii="Times New Roman" w:hAnsi="Times New Roman" w:cs="Times New Roman"/>
        </w:rPr>
      </w:pPr>
      <w:r w:rsidRPr="007656B5">
        <w:rPr>
          <w:rFonts w:ascii="Times New Roman" w:hAnsi="Times New Roman" w:cs="Times New Roman"/>
        </w:rPr>
        <w:t xml:space="preserve">Predávkovanie </w:t>
      </w:r>
      <w:r w:rsidR="00593B5B" w:rsidRPr="007656B5">
        <w:rPr>
          <w:rFonts w:ascii="Times New Roman" w:hAnsi="Times New Roman" w:cs="Times New Roman"/>
        </w:rPr>
        <w:t xml:space="preserve">valsartanom </w:t>
      </w:r>
      <w:r w:rsidRPr="007656B5">
        <w:rPr>
          <w:rFonts w:ascii="Times New Roman" w:hAnsi="Times New Roman" w:cs="Times New Roman"/>
        </w:rPr>
        <w:t>môže mať za následok výraznú hypotenziu, ktorá môže viesť k</w:t>
      </w:r>
      <w:r w:rsidR="00416DD8" w:rsidRPr="007656B5">
        <w:rPr>
          <w:rFonts w:ascii="Times New Roman" w:hAnsi="Times New Roman" w:cs="Times New Roman"/>
        </w:rPr>
        <w:t> </w:t>
      </w:r>
      <w:r w:rsidRPr="007656B5">
        <w:rPr>
          <w:rFonts w:ascii="Times New Roman" w:hAnsi="Times New Roman" w:cs="Times New Roman"/>
        </w:rPr>
        <w:t>poruchám vedomia, obehovému kolapsu a/alebo šoku.</w:t>
      </w:r>
    </w:p>
    <w:p w:rsidR="007C2ED7" w:rsidRPr="007656B5" w:rsidRDefault="007C2ED7" w:rsidP="009B52F3">
      <w:pPr>
        <w:pStyle w:val="Styl3"/>
        <w:rPr>
          <w:szCs w:val="22"/>
        </w:rPr>
      </w:pPr>
      <w:r w:rsidRPr="007656B5">
        <w:rPr>
          <w:szCs w:val="22"/>
        </w:rPr>
        <w:t>Liečba</w:t>
      </w:r>
    </w:p>
    <w:p w:rsidR="007C2ED7" w:rsidRPr="007656B5" w:rsidRDefault="007C2ED7" w:rsidP="009520A7">
      <w:pPr>
        <w:pStyle w:val="Normlndobloku"/>
        <w:rPr>
          <w:rFonts w:ascii="Times New Roman" w:hAnsi="Times New Roman" w:cs="Times New Roman"/>
        </w:rPr>
      </w:pPr>
      <w:r w:rsidRPr="007656B5">
        <w:rPr>
          <w:rFonts w:ascii="Times New Roman" w:hAnsi="Times New Roman" w:cs="Times New Roman"/>
        </w:rPr>
        <w:t>Terapeutické opatrenia závisia od času požitia a</w:t>
      </w:r>
      <w:r w:rsidR="007D734D" w:rsidRPr="007656B5">
        <w:rPr>
          <w:rFonts w:ascii="Times New Roman" w:hAnsi="Times New Roman" w:cs="Times New Roman"/>
        </w:rPr>
        <w:t> </w:t>
      </w:r>
      <w:r w:rsidRPr="007656B5">
        <w:rPr>
          <w:rFonts w:ascii="Times New Roman" w:hAnsi="Times New Roman" w:cs="Times New Roman"/>
        </w:rPr>
        <w:t>typu a</w:t>
      </w:r>
      <w:r w:rsidR="007D734D" w:rsidRPr="007656B5">
        <w:rPr>
          <w:rFonts w:ascii="Times New Roman" w:hAnsi="Times New Roman" w:cs="Times New Roman"/>
        </w:rPr>
        <w:t> </w:t>
      </w:r>
      <w:r w:rsidRPr="007656B5">
        <w:rPr>
          <w:rFonts w:ascii="Times New Roman" w:hAnsi="Times New Roman" w:cs="Times New Roman"/>
        </w:rPr>
        <w:t>závažnosti symptómov, pričom prvoradý význam má stabilizovanie stavu cirkulácie.</w:t>
      </w:r>
    </w:p>
    <w:p w:rsidR="007C2ED7" w:rsidRPr="007656B5" w:rsidRDefault="007C2ED7" w:rsidP="008C3D63">
      <w:pPr>
        <w:pStyle w:val="Normlndobloku"/>
        <w:rPr>
          <w:rFonts w:ascii="Times New Roman" w:hAnsi="Times New Roman" w:cs="Times New Roman"/>
        </w:rPr>
      </w:pPr>
      <w:r w:rsidRPr="007656B5">
        <w:rPr>
          <w:rFonts w:ascii="Times New Roman" w:hAnsi="Times New Roman" w:cs="Times New Roman"/>
        </w:rPr>
        <w:t>Ak vznikne hypotenzia, pacienta je potrebné uložiť na chrbát a</w:t>
      </w:r>
      <w:r w:rsidR="007D734D" w:rsidRPr="007656B5">
        <w:rPr>
          <w:rFonts w:ascii="Times New Roman" w:hAnsi="Times New Roman" w:cs="Times New Roman"/>
        </w:rPr>
        <w:t> </w:t>
      </w:r>
      <w:r w:rsidRPr="007656B5">
        <w:rPr>
          <w:rFonts w:ascii="Times New Roman" w:hAnsi="Times New Roman" w:cs="Times New Roman"/>
        </w:rPr>
        <w:t>má sa mu doplniť objem krvi. Odstránenie valsartanu hemodialýzou nie je pravdepodobné.</w:t>
      </w:r>
    </w:p>
    <w:p w:rsidR="00EE03B2" w:rsidRPr="007656B5" w:rsidRDefault="007C2ED7">
      <w:pPr>
        <w:pStyle w:val="Styl1"/>
        <w:rPr>
          <w:szCs w:val="22"/>
        </w:rPr>
      </w:pPr>
      <w:r w:rsidRPr="007656B5">
        <w:rPr>
          <w:szCs w:val="22"/>
        </w:rPr>
        <w:t>FARMAKOLOGICKÉ VLASTNOSTI</w:t>
      </w:r>
    </w:p>
    <w:p w:rsidR="007C2ED7" w:rsidRPr="007656B5" w:rsidRDefault="007C2ED7" w:rsidP="00D50784">
      <w:pPr>
        <w:pStyle w:val="Styl2"/>
      </w:pPr>
      <w:r w:rsidRPr="007656B5">
        <w:t>Farmakodynamické vlastnosti</w:t>
      </w:r>
    </w:p>
    <w:p w:rsidR="007C2ED7" w:rsidRPr="007656B5" w:rsidRDefault="007C2ED7" w:rsidP="007C44E3">
      <w:pPr>
        <w:pStyle w:val="Normlndobloku"/>
        <w:rPr>
          <w:rFonts w:ascii="Times New Roman" w:hAnsi="Times New Roman" w:cs="Times New Roman"/>
        </w:rPr>
      </w:pPr>
      <w:r w:rsidRPr="007656B5">
        <w:rPr>
          <w:rFonts w:ascii="Times New Roman" w:hAnsi="Times New Roman" w:cs="Times New Roman"/>
          <w:i/>
        </w:rPr>
        <w:t>Farmakoterapeutická skupina:</w:t>
      </w:r>
      <w:r w:rsidRPr="007656B5">
        <w:rPr>
          <w:rFonts w:ascii="Times New Roman" w:hAnsi="Times New Roman" w:cs="Times New Roman"/>
        </w:rPr>
        <w:t xml:space="preserve"> </w:t>
      </w:r>
      <w:r w:rsidR="002B03C2" w:rsidRPr="007656B5">
        <w:rPr>
          <w:rFonts w:ascii="Times New Roman" w:hAnsi="Times New Roman" w:cs="Times New Roman"/>
        </w:rPr>
        <w:t xml:space="preserve">látky </w:t>
      </w:r>
      <w:r w:rsidR="00F86B77" w:rsidRPr="007656B5">
        <w:rPr>
          <w:rFonts w:ascii="Times New Roman" w:hAnsi="Times New Roman" w:cs="Times New Roman"/>
        </w:rPr>
        <w:t xml:space="preserve">pôsobiace </w:t>
      </w:r>
      <w:r w:rsidR="002B03C2" w:rsidRPr="007656B5">
        <w:rPr>
          <w:rFonts w:ascii="Times New Roman" w:hAnsi="Times New Roman" w:cs="Times New Roman"/>
        </w:rPr>
        <w:t>na ren</w:t>
      </w:r>
      <w:r w:rsidR="00086E96" w:rsidRPr="007656B5">
        <w:rPr>
          <w:rFonts w:ascii="Times New Roman" w:hAnsi="Times New Roman" w:cs="Times New Roman"/>
        </w:rPr>
        <w:t>í</w:t>
      </w:r>
      <w:r w:rsidR="002B03C2" w:rsidRPr="007656B5">
        <w:rPr>
          <w:rFonts w:ascii="Times New Roman" w:hAnsi="Times New Roman" w:cs="Times New Roman"/>
        </w:rPr>
        <w:t>n-angiotenz</w:t>
      </w:r>
      <w:r w:rsidR="00086E96" w:rsidRPr="007656B5">
        <w:rPr>
          <w:rFonts w:ascii="Times New Roman" w:hAnsi="Times New Roman" w:cs="Times New Roman"/>
        </w:rPr>
        <w:t>í</w:t>
      </w:r>
      <w:r w:rsidR="002B03C2" w:rsidRPr="007656B5">
        <w:rPr>
          <w:rFonts w:ascii="Times New Roman" w:hAnsi="Times New Roman" w:cs="Times New Roman"/>
        </w:rPr>
        <w:t xml:space="preserve">nový systém, </w:t>
      </w:r>
      <w:r w:rsidRPr="007656B5">
        <w:rPr>
          <w:rFonts w:ascii="Times New Roman" w:hAnsi="Times New Roman" w:cs="Times New Roman"/>
        </w:rPr>
        <w:t>antagonisty angiotenzínu II, samotné, ATC kód: C09CA03</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Valsartan je perorálne účinný, silne pôsobiaci a</w:t>
      </w:r>
      <w:r w:rsidR="007D734D" w:rsidRPr="007656B5">
        <w:rPr>
          <w:rFonts w:ascii="Times New Roman" w:hAnsi="Times New Roman" w:cs="Times New Roman"/>
        </w:rPr>
        <w:t xml:space="preserve"> </w:t>
      </w:r>
      <w:r w:rsidRPr="007656B5">
        <w:rPr>
          <w:rFonts w:ascii="Times New Roman" w:hAnsi="Times New Roman" w:cs="Times New Roman"/>
        </w:rPr>
        <w:t>špecifický antagonista receptora angiotenzínu II (Ang II). Pôsobí selektívne na podtyp receptora AT1, ktorý zodpovedá za známe účinky angiotenzínu II. Zvýšené plazmatické hladiny Ang II po blokáde receptora AT1 valsartanom môžu stimulovať neblokovaný receptor AT2, čo zjavne vyvažuje účinok receptora AT1. Valsartan nemá žiadnu čiastočnú agonistickú aktivitu na receptore AT1 a</w:t>
      </w:r>
      <w:r w:rsidR="007D734D" w:rsidRPr="007656B5">
        <w:rPr>
          <w:rFonts w:ascii="Times New Roman" w:hAnsi="Times New Roman" w:cs="Times New Roman"/>
        </w:rPr>
        <w:t> </w:t>
      </w:r>
      <w:r w:rsidRPr="007656B5">
        <w:rPr>
          <w:rFonts w:ascii="Times New Roman" w:hAnsi="Times New Roman" w:cs="Times New Roman"/>
        </w:rPr>
        <w:t>má mnohonásobne (asi 20 000-krát) väčšiu afinitu k</w:t>
      </w:r>
      <w:r w:rsidR="00416DD8" w:rsidRPr="007656B5">
        <w:rPr>
          <w:rFonts w:ascii="Times New Roman" w:hAnsi="Times New Roman" w:cs="Times New Roman"/>
        </w:rPr>
        <w:t> </w:t>
      </w:r>
      <w:r w:rsidRPr="007656B5">
        <w:rPr>
          <w:rFonts w:ascii="Times New Roman" w:hAnsi="Times New Roman" w:cs="Times New Roman"/>
        </w:rPr>
        <w:t>receptoru AT1 ako k</w:t>
      </w:r>
      <w:r w:rsidR="007D734D" w:rsidRPr="007656B5">
        <w:rPr>
          <w:rFonts w:ascii="Times New Roman" w:hAnsi="Times New Roman" w:cs="Times New Roman"/>
        </w:rPr>
        <w:t> </w:t>
      </w:r>
      <w:r w:rsidRPr="007656B5">
        <w:rPr>
          <w:rFonts w:ascii="Times New Roman" w:hAnsi="Times New Roman" w:cs="Times New Roman"/>
        </w:rPr>
        <w:t>receptoru AT2. O</w:t>
      </w:r>
      <w:r w:rsidR="007D734D" w:rsidRPr="007656B5">
        <w:rPr>
          <w:rFonts w:ascii="Times New Roman" w:hAnsi="Times New Roman" w:cs="Times New Roman"/>
        </w:rPr>
        <w:t> </w:t>
      </w:r>
      <w:r w:rsidRPr="007656B5">
        <w:rPr>
          <w:rFonts w:ascii="Times New Roman" w:hAnsi="Times New Roman" w:cs="Times New Roman"/>
        </w:rPr>
        <w:t>valsartane nie je známe, že by sa viazal alebo blokoval iné receptory hormónov alebo iónové kanály, o</w:t>
      </w:r>
      <w:r w:rsidR="007D734D" w:rsidRPr="007656B5">
        <w:rPr>
          <w:rFonts w:ascii="Times New Roman" w:hAnsi="Times New Roman" w:cs="Times New Roman"/>
        </w:rPr>
        <w:t> </w:t>
      </w:r>
      <w:r w:rsidRPr="007656B5">
        <w:rPr>
          <w:rFonts w:ascii="Times New Roman" w:hAnsi="Times New Roman" w:cs="Times New Roman"/>
        </w:rPr>
        <w:t>ktorých sa vie, že sú významné v</w:t>
      </w:r>
      <w:r w:rsidR="007D734D" w:rsidRPr="007656B5">
        <w:rPr>
          <w:rFonts w:ascii="Times New Roman" w:hAnsi="Times New Roman" w:cs="Times New Roman"/>
        </w:rPr>
        <w:t> </w:t>
      </w:r>
      <w:r w:rsidRPr="007656B5">
        <w:rPr>
          <w:rFonts w:ascii="Times New Roman" w:hAnsi="Times New Roman" w:cs="Times New Roman"/>
        </w:rPr>
        <w:t>kardiovaskulárnej regulácii.</w:t>
      </w:r>
    </w:p>
    <w:p w:rsidR="00425FAD" w:rsidRPr="007656B5" w:rsidRDefault="007C2ED7">
      <w:pPr>
        <w:pStyle w:val="Normlndobloku"/>
        <w:rPr>
          <w:rFonts w:ascii="Times New Roman" w:hAnsi="Times New Roman" w:cs="Times New Roman"/>
        </w:rPr>
      </w:pPr>
      <w:r w:rsidRPr="007656B5">
        <w:rPr>
          <w:rFonts w:ascii="Times New Roman" w:hAnsi="Times New Roman" w:cs="Times New Roman"/>
        </w:rPr>
        <w:t>Valsar</w:t>
      </w:r>
      <w:r w:rsidR="00EE03B2" w:rsidRPr="007656B5">
        <w:rPr>
          <w:rFonts w:ascii="Times New Roman" w:hAnsi="Times New Roman" w:cs="Times New Roman"/>
        </w:rPr>
        <w:t>t</w:t>
      </w:r>
      <w:r w:rsidRPr="007656B5">
        <w:rPr>
          <w:rFonts w:ascii="Times New Roman" w:hAnsi="Times New Roman" w:cs="Times New Roman"/>
        </w:rPr>
        <w:t>an neinhibuje ACE (známy tiež ako kinináza II), ktorý premieňa Ang I na Ang II a</w:t>
      </w:r>
      <w:r w:rsidR="007D734D" w:rsidRPr="007656B5">
        <w:rPr>
          <w:rFonts w:ascii="Times New Roman" w:hAnsi="Times New Roman" w:cs="Times New Roman"/>
        </w:rPr>
        <w:t> </w:t>
      </w:r>
      <w:r w:rsidRPr="007656B5">
        <w:rPr>
          <w:rFonts w:ascii="Times New Roman" w:hAnsi="Times New Roman" w:cs="Times New Roman"/>
        </w:rPr>
        <w:t>rozkladá bradykinín. Keďže neexistuje žiadny účinok na ACE a</w:t>
      </w:r>
      <w:r w:rsidR="007D734D" w:rsidRPr="007656B5">
        <w:rPr>
          <w:rFonts w:ascii="Times New Roman" w:hAnsi="Times New Roman" w:cs="Times New Roman"/>
        </w:rPr>
        <w:t> </w:t>
      </w:r>
      <w:r w:rsidRPr="007656B5">
        <w:rPr>
          <w:rFonts w:ascii="Times New Roman" w:hAnsi="Times New Roman" w:cs="Times New Roman"/>
        </w:rPr>
        <w:t>žiadne potenciovanie bradykinínu ani substancie P, je nepravdepodobné, že by antagonisty angiotenzínu II boli spojené s</w:t>
      </w:r>
      <w:r w:rsidR="007D734D" w:rsidRPr="007656B5">
        <w:rPr>
          <w:rFonts w:ascii="Times New Roman" w:hAnsi="Times New Roman" w:cs="Times New Roman"/>
        </w:rPr>
        <w:t> </w:t>
      </w:r>
      <w:r w:rsidRPr="007656B5">
        <w:rPr>
          <w:rFonts w:ascii="Times New Roman" w:hAnsi="Times New Roman" w:cs="Times New Roman"/>
        </w:rPr>
        <w:t>kašľom. V</w:t>
      </w:r>
      <w:r w:rsidR="00416DD8" w:rsidRPr="007656B5">
        <w:rPr>
          <w:rFonts w:ascii="Times New Roman" w:hAnsi="Times New Roman" w:cs="Times New Roman"/>
        </w:rPr>
        <w:t> </w:t>
      </w:r>
      <w:r w:rsidRPr="007656B5">
        <w:rPr>
          <w:rFonts w:ascii="Times New Roman" w:hAnsi="Times New Roman" w:cs="Times New Roman"/>
        </w:rPr>
        <w:t>klinických skúšaniach porovnávajúcich valsartan s</w:t>
      </w:r>
      <w:r w:rsidR="007D734D" w:rsidRPr="007656B5">
        <w:rPr>
          <w:rFonts w:ascii="Times New Roman" w:hAnsi="Times New Roman" w:cs="Times New Roman"/>
        </w:rPr>
        <w:t> </w:t>
      </w:r>
      <w:r w:rsidRPr="007656B5">
        <w:rPr>
          <w:rFonts w:ascii="Times New Roman" w:hAnsi="Times New Roman" w:cs="Times New Roman"/>
        </w:rPr>
        <w:t>inhibítorom ACE bola incidencia suchého kašľa významne (</w:t>
      </w:r>
      <w:r w:rsidR="00E63BB1" w:rsidRPr="007656B5">
        <w:rPr>
          <w:rFonts w:ascii="Times New Roman" w:hAnsi="Times New Roman" w:cs="Times New Roman"/>
        </w:rPr>
        <w:t>p</w:t>
      </w:r>
      <w:r w:rsidRPr="007656B5">
        <w:rPr>
          <w:rFonts w:ascii="Times New Roman" w:hAnsi="Times New Roman" w:cs="Times New Roman"/>
        </w:rPr>
        <w:t>&lt; 0,05) nižšia u</w:t>
      </w:r>
      <w:r w:rsidR="007D734D" w:rsidRPr="007656B5">
        <w:rPr>
          <w:rFonts w:ascii="Times New Roman" w:hAnsi="Times New Roman" w:cs="Times New Roman"/>
        </w:rPr>
        <w:t> </w:t>
      </w:r>
      <w:r w:rsidRPr="007656B5">
        <w:rPr>
          <w:rFonts w:ascii="Times New Roman" w:hAnsi="Times New Roman" w:cs="Times New Roman"/>
        </w:rPr>
        <w:t>pacientov liečených valsartanom ako u</w:t>
      </w:r>
      <w:r w:rsidR="007D734D" w:rsidRPr="007656B5">
        <w:rPr>
          <w:rFonts w:ascii="Times New Roman" w:hAnsi="Times New Roman" w:cs="Times New Roman"/>
        </w:rPr>
        <w:t> </w:t>
      </w:r>
      <w:r w:rsidRPr="007656B5">
        <w:rPr>
          <w:rFonts w:ascii="Times New Roman" w:hAnsi="Times New Roman" w:cs="Times New Roman"/>
        </w:rPr>
        <w:t>tých, ktorí sa liečili inhibítorom ACE (2,6</w:t>
      </w:r>
      <w:r w:rsidR="00F06576" w:rsidRPr="007656B5">
        <w:rPr>
          <w:rFonts w:ascii="Times New Roman" w:hAnsi="Times New Roman" w:cs="Times New Roman"/>
        </w:rPr>
        <w:t> %</w:t>
      </w:r>
      <w:r w:rsidRPr="007656B5">
        <w:rPr>
          <w:rFonts w:ascii="Times New Roman" w:hAnsi="Times New Roman" w:cs="Times New Roman"/>
        </w:rPr>
        <w:t xml:space="preserve"> </w:t>
      </w:r>
      <w:r w:rsidRPr="007656B5">
        <w:rPr>
          <w:rFonts w:ascii="Times New Roman" w:hAnsi="Times New Roman" w:cs="Times New Roman"/>
        </w:rPr>
        <w:lastRenderedPageBreak/>
        <w:t>oproti 7,9</w:t>
      </w:r>
      <w:r w:rsidR="00F06576" w:rsidRPr="007656B5">
        <w:rPr>
          <w:rFonts w:ascii="Times New Roman" w:hAnsi="Times New Roman" w:cs="Times New Roman"/>
        </w:rPr>
        <w:t> %</w:t>
      </w:r>
      <w:r w:rsidRPr="007656B5">
        <w:rPr>
          <w:rFonts w:ascii="Times New Roman" w:hAnsi="Times New Roman" w:cs="Times New Roman"/>
        </w:rPr>
        <w:t>). V</w:t>
      </w:r>
      <w:r w:rsidR="007D734D" w:rsidRPr="007656B5">
        <w:rPr>
          <w:rFonts w:ascii="Times New Roman" w:hAnsi="Times New Roman" w:cs="Times New Roman"/>
        </w:rPr>
        <w:t> </w:t>
      </w:r>
      <w:r w:rsidRPr="007656B5">
        <w:rPr>
          <w:rFonts w:ascii="Times New Roman" w:hAnsi="Times New Roman" w:cs="Times New Roman"/>
        </w:rPr>
        <w:t>klinickom skúšaní s</w:t>
      </w:r>
      <w:r w:rsidR="007D734D" w:rsidRPr="007656B5">
        <w:rPr>
          <w:rFonts w:ascii="Times New Roman" w:hAnsi="Times New Roman" w:cs="Times New Roman"/>
        </w:rPr>
        <w:t> </w:t>
      </w:r>
      <w:r w:rsidRPr="007656B5">
        <w:rPr>
          <w:rFonts w:ascii="Times New Roman" w:hAnsi="Times New Roman" w:cs="Times New Roman"/>
        </w:rPr>
        <w:t>pacientmi s</w:t>
      </w:r>
      <w:r w:rsidR="007D734D" w:rsidRPr="007656B5">
        <w:rPr>
          <w:rFonts w:ascii="Times New Roman" w:hAnsi="Times New Roman" w:cs="Times New Roman"/>
        </w:rPr>
        <w:t> </w:t>
      </w:r>
      <w:r w:rsidRPr="007656B5">
        <w:rPr>
          <w:rFonts w:ascii="Times New Roman" w:hAnsi="Times New Roman" w:cs="Times New Roman"/>
        </w:rPr>
        <w:t>anamnézou suchého kašľa počas liečby inhibítorom ACE malo kašeľ 19,5</w:t>
      </w:r>
      <w:r w:rsidR="00F06576" w:rsidRPr="007656B5">
        <w:rPr>
          <w:rFonts w:ascii="Times New Roman" w:hAnsi="Times New Roman" w:cs="Times New Roman"/>
        </w:rPr>
        <w:t> %</w:t>
      </w:r>
      <w:r w:rsidRPr="007656B5">
        <w:rPr>
          <w:rFonts w:ascii="Times New Roman" w:hAnsi="Times New Roman" w:cs="Times New Roman"/>
        </w:rPr>
        <w:t xml:space="preserve"> zúčastnených pacientov liečených valsartanom a</w:t>
      </w:r>
      <w:r w:rsidR="007D734D" w:rsidRPr="007656B5">
        <w:rPr>
          <w:rFonts w:ascii="Times New Roman" w:hAnsi="Times New Roman" w:cs="Times New Roman"/>
        </w:rPr>
        <w:t> </w:t>
      </w:r>
      <w:r w:rsidRPr="007656B5">
        <w:rPr>
          <w:rFonts w:ascii="Times New Roman" w:hAnsi="Times New Roman" w:cs="Times New Roman"/>
        </w:rPr>
        <w:t>19,0</w:t>
      </w:r>
      <w:r w:rsidR="00F06576" w:rsidRPr="007656B5">
        <w:rPr>
          <w:rFonts w:ascii="Times New Roman" w:hAnsi="Times New Roman" w:cs="Times New Roman"/>
        </w:rPr>
        <w:t> %</w:t>
      </w:r>
      <w:r w:rsidRPr="007656B5">
        <w:rPr>
          <w:rFonts w:ascii="Times New Roman" w:hAnsi="Times New Roman" w:cs="Times New Roman"/>
        </w:rPr>
        <w:t xml:space="preserve"> pacientov liečených tiazidovým diuretikom v</w:t>
      </w:r>
      <w:r w:rsidR="007D734D" w:rsidRPr="007656B5">
        <w:rPr>
          <w:rFonts w:ascii="Times New Roman" w:hAnsi="Times New Roman" w:cs="Times New Roman"/>
        </w:rPr>
        <w:t> </w:t>
      </w:r>
      <w:r w:rsidRPr="007656B5">
        <w:rPr>
          <w:rFonts w:ascii="Times New Roman" w:hAnsi="Times New Roman" w:cs="Times New Roman"/>
        </w:rPr>
        <w:t>porovnaní so 68,5</w:t>
      </w:r>
      <w:r w:rsidR="00F06576" w:rsidRPr="007656B5">
        <w:rPr>
          <w:rFonts w:ascii="Times New Roman" w:hAnsi="Times New Roman" w:cs="Times New Roman"/>
        </w:rPr>
        <w:t> %</w:t>
      </w:r>
      <w:r w:rsidRPr="007656B5">
        <w:rPr>
          <w:rFonts w:ascii="Times New Roman" w:hAnsi="Times New Roman" w:cs="Times New Roman"/>
        </w:rPr>
        <w:t xml:space="preserve"> pacientov liečených inhibítorom</w:t>
      </w:r>
      <w:r w:rsidR="00304CB0" w:rsidRPr="007656B5">
        <w:rPr>
          <w:rFonts w:ascii="Times New Roman" w:hAnsi="Times New Roman" w:cs="Times New Roman"/>
        </w:rPr>
        <w:t xml:space="preserve"> </w:t>
      </w:r>
      <w:r w:rsidRPr="007656B5">
        <w:rPr>
          <w:rFonts w:ascii="Times New Roman" w:hAnsi="Times New Roman" w:cs="Times New Roman"/>
        </w:rPr>
        <w:t>ACE (P&lt; 0,05).</w:t>
      </w:r>
    </w:p>
    <w:p w:rsidR="007C2ED7" w:rsidRPr="007656B5" w:rsidRDefault="007C2ED7">
      <w:pPr>
        <w:pStyle w:val="Styl3"/>
        <w:rPr>
          <w:szCs w:val="22"/>
        </w:rPr>
      </w:pPr>
      <w:r w:rsidRPr="007656B5">
        <w:rPr>
          <w:szCs w:val="22"/>
        </w:rPr>
        <w:t>Hypertenzia</w:t>
      </w:r>
      <w:r w:rsidR="007D734D" w:rsidRPr="007656B5">
        <w:rPr>
          <w:szCs w:val="22"/>
        </w:rPr>
        <w:t xml:space="preserve"> (iba 80 mg a 160 mg)</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 xml:space="preserve">Podávanie </w:t>
      </w:r>
      <w:r w:rsidR="00304CB0" w:rsidRPr="007656B5">
        <w:rPr>
          <w:rFonts w:ascii="Times New Roman" w:hAnsi="Times New Roman" w:cs="Times New Roman"/>
        </w:rPr>
        <w:t>valsartanu</w:t>
      </w:r>
      <w:r w:rsidRPr="007656B5">
        <w:rPr>
          <w:rFonts w:ascii="Times New Roman" w:hAnsi="Times New Roman" w:cs="Times New Roman"/>
        </w:rPr>
        <w:t xml:space="preserve"> pacientom s</w:t>
      </w:r>
      <w:r w:rsidR="007D734D" w:rsidRPr="007656B5">
        <w:rPr>
          <w:rFonts w:ascii="Times New Roman" w:hAnsi="Times New Roman" w:cs="Times New Roman"/>
        </w:rPr>
        <w:t> </w:t>
      </w:r>
      <w:r w:rsidRPr="007656B5">
        <w:rPr>
          <w:rFonts w:ascii="Times New Roman" w:hAnsi="Times New Roman" w:cs="Times New Roman"/>
        </w:rPr>
        <w:t>hypertenziou spôsobí zníženie krvného tlaku bez ovplyvnenia srdcovej frekvencie.</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U</w:t>
      </w:r>
      <w:r w:rsidR="007D734D" w:rsidRPr="007656B5">
        <w:rPr>
          <w:rFonts w:ascii="Times New Roman" w:hAnsi="Times New Roman" w:cs="Times New Roman"/>
        </w:rPr>
        <w:t> </w:t>
      </w:r>
      <w:r w:rsidRPr="007656B5">
        <w:rPr>
          <w:rFonts w:ascii="Times New Roman" w:hAnsi="Times New Roman" w:cs="Times New Roman"/>
        </w:rPr>
        <w:t>väčšiny pacientov po jednorazovom podaní perorálnej dávky nastupuje antihypertenzn</w:t>
      </w:r>
      <w:r w:rsidR="00BF3201" w:rsidRPr="007656B5">
        <w:rPr>
          <w:rFonts w:ascii="Times New Roman" w:hAnsi="Times New Roman" w:cs="Times New Roman"/>
        </w:rPr>
        <w:t>ý</w:t>
      </w:r>
      <w:r w:rsidRPr="007656B5">
        <w:rPr>
          <w:rFonts w:ascii="Times New Roman" w:hAnsi="Times New Roman" w:cs="Times New Roman"/>
        </w:rPr>
        <w:t xml:space="preserve"> účinok v</w:t>
      </w:r>
      <w:r w:rsidR="00416DD8" w:rsidRPr="007656B5">
        <w:rPr>
          <w:rFonts w:ascii="Times New Roman" w:hAnsi="Times New Roman" w:cs="Times New Roman"/>
        </w:rPr>
        <w:t> </w:t>
      </w:r>
      <w:r w:rsidRPr="007656B5">
        <w:rPr>
          <w:rFonts w:ascii="Times New Roman" w:hAnsi="Times New Roman" w:cs="Times New Roman"/>
        </w:rPr>
        <w:t>priebehu 2 hodín a</w:t>
      </w:r>
      <w:r w:rsidR="007D734D" w:rsidRPr="007656B5">
        <w:rPr>
          <w:rFonts w:ascii="Times New Roman" w:hAnsi="Times New Roman" w:cs="Times New Roman"/>
        </w:rPr>
        <w:t> </w:t>
      </w:r>
      <w:r w:rsidRPr="007656B5">
        <w:rPr>
          <w:rFonts w:ascii="Times New Roman" w:hAnsi="Times New Roman" w:cs="Times New Roman"/>
        </w:rPr>
        <w:t>maximálne zníženie krvného tlaku sa dosiahne počas 4</w:t>
      </w:r>
      <w:r w:rsidR="007D734D" w:rsidRPr="007656B5">
        <w:rPr>
          <w:rFonts w:ascii="Times New Roman" w:hAnsi="Times New Roman" w:cs="Times New Roman"/>
        </w:rPr>
        <w:t> </w:t>
      </w:r>
      <w:r w:rsidR="00425FAD" w:rsidRPr="007656B5">
        <w:rPr>
          <w:rFonts w:ascii="Times New Roman" w:hAnsi="Times New Roman" w:cs="Times New Roman"/>
        </w:rPr>
        <w:t>–</w:t>
      </w:r>
      <w:r w:rsidR="007D734D" w:rsidRPr="007656B5">
        <w:rPr>
          <w:rFonts w:ascii="Times New Roman" w:hAnsi="Times New Roman" w:cs="Times New Roman"/>
        </w:rPr>
        <w:t> </w:t>
      </w:r>
      <w:r w:rsidRPr="007656B5">
        <w:rPr>
          <w:rFonts w:ascii="Times New Roman" w:hAnsi="Times New Roman" w:cs="Times New Roman"/>
        </w:rPr>
        <w:t>6 hodín. Antihypertenzn</w:t>
      </w:r>
      <w:r w:rsidR="00BF3201" w:rsidRPr="007656B5">
        <w:rPr>
          <w:rFonts w:ascii="Times New Roman" w:hAnsi="Times New Roman" w:cs="Times New Roman"/>
        </w:rPr>
        <w:t>ý</w:t>
      </w:r>
      <w:r w:rsidRPr="007656B5">
        <w:rPr>
          <w:rFonts w:ascii="Times New Roman" w:hAnsi="Times New Roman" w:cs="Times New Roman"/>
        </w:rPr>
        <w:t xml:space="preserve"> účinok pretrváva viac ako 24 hodín po podaní dávky. Počas opakovaného podávania antihypertenzn</w:t>
      </w:r>
      <w:r w:rsidR="00BF3201" w:rsidRPr="007656B5">
        <w:rPr>
          <w:rFonts w:ascii="Times New Roman" w:hAnsi="Times New Roman" w:cs="Times New Roman"/>
        </w:rPr>
        <w:t>ý</w:t>
      </w:r>
      <w:r w:rsidRPr="007656B5">
        <w:rPr>
          <w:rFonts w:ascii="Times New Roman" w:hAnsi="Times New Roman" w:cs="Times New Roman"/>
        </w:rPr>
        <w:t xml:space="preserve"> účinok je v</w:t>
      </w:r>
      <w:r w:rsidR="007D734D" w:rsidRPr="007656B5">
        <w:rPr>
          <w:rFonts w:ascii="Times New Roman" w:hAnsi="Times New Roman" w:cs="Times New Roman"/>
        </w:rPr>
        <w:t> </w:t>
      </w:r>
      <w:r w:rsidRPr="007656B5">
        <w:rPr>
          <w:rFonts w:ascii="Times New Roman" w:hAnsi="Times New Roman" w:cs="Times New Roman"/>
        </w:rPr>
        <w:t>zásade prítomný do 2 týždňov a</w:t>
      </w:r>
      <w:r w:rsidR="007D734D" w:rsidRPr="007656B5">
        <w:rPr>
          <w:rFonts w:ascii="Times New Roman" w:hAnsi="Times New Roman" w:cs="Times New Roman"/>
        </w:rPr>
        <w:t> </w:t>
      </w:r>
      <w:r w:rsidRPr="007656B5">
        <w:rPr>
          <w:rFonts w:ascii="Times New Roman" w:hAnsi="Times New Roman" w:cs="Times New Roman"/>
        </w:rPr>
        <w:t>maximálny účinok sa dosahuje do 4</w:t>
      </w:r>
      <w:r w:rsidR="00416DD8" w:rsidRPr="007656B5">
        <w:rPr>
          <w:rFonts w:ascii="Times New Roman" w:hAnsi="Times New Roman" w:cs="Times New Roman"/>
        </w:rPr>
        <w:t> </w:t>
      </w:r>
      <w:r w:rsidRPr="007656B5">
        <w:rPr>
          <w:rFonts w:ascii="Times New Roman" w:hAnsi="Times New Roman" w:cs="Times New Roman"/>
        </w:rPr>
        <w:t>týždňov a</w:t>
      </w:r>
      <w:r w:rsidR="007D734D" w:rsidRPr="007656B5">
        <w:rPr>
          <w:rFonts w:ascii="Times New Roman" w:hAnsi="Times New Roman" w:cs="Times New Roman"/>
        </w:rPr>
        <w:t> </w:t>
      </w:r>
      <w:r w:rsidRPr="007656B5">
        <w:rPr>
          <w:rFonts w:ascii="Times New Roman" w:hAnsi="Times New Roman" w:cs="Times New Roman"/>
        </w:rPr>
        <w:t>pretrváva počas dlhodobej liečby. V</w:t>
      </w:r>
      <w:r w:rsidR="007D734D" w:rsidRPr="007656B5">
        <w:rPr>
          <w:rFonts w:ascii="Times New Roman" w:hAnsi="Times New Roman" w:cs="Times New Roman"/>
        </w:rPr>
        <w:t> </w:t>
      </w:r>
      <w:r w:rsidRPr="007656B5">
        <w:rPr>
          <w:rFonts w:ascii="Times New Roman" w:hAnsi="Times New Roman" w:cs="Times New Roman"/>
        </w:rPr>
        <w:t>kombinácii s</w:t>
      </w:r>
      <w:r w:rsidR="007D734D" w:rsidRPr="007656B5">
        <w:rPr>
          <w:rFonts w:ascii="Times New Roman" w:hAnsi="Times New Roman" w:cs="Times New Roman"/>
        </w:rPr>
        <w:t> </w:t>
      </w:r>
      <w:r w:rsidRPr="007656B5">
        <w:rPr>
          <w:rFonts w:ascii="Times New Roman" w:hAnsi="Times New Roman" w:cs="Times New Roman"/>
        </w:rPr>
        <w:t>hydrochlorotiazidom sa dosahuje významné ďalšie zníženie krvného tlaku.</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 xml:space="preserve">Náhle vysadenie </w:t>
      </w:r>
      <w:r w:rsidR="00304CB0" w:rsidRPr="007656B5">
        <w:rPr>
          <w:rFonts w:ascii="Times New Roman" w:hAnsi="Times New Roman" w:cs="Times New Roman"/>
        </w:rPr>
        <w:t>valsartanu</w:t>
      </w:r>
      <w:r w:rsidRPr="007656B5">
        <w:rPr>
          <w:rFonts w:ascii="Times New Roman" w:hAnsi="Times New Roman" w:cs="Times New Roman"/>
        </w:rPr>
        <w:t xml:space="preserve"> nebolo spojené s</w:t>
      </w:r>
      <w:r w:rsidR="007D734D" w:rsidRPr="007656B5">
        <w:rPr>
          <w:rFonts w:ascii="Times New Roman" w:hAnsi="Times New Roman" w:cs="Times New Roman"/>
        </w:rPr>
        <w:t> </w:t>
      </w:r>
      <w:r w:rsidRPr="007656B5">
        <w:rPr>
          <w:rFonts w:ascii="Times New Roman" w:hAnsi="Times New Roman" w:cs="Times New Roman"/>
        </w:rPr>
        <w:t>nárazovou hypertenziou, ani ďalšími nežiaducimi klinickými udalosťami.</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U</w:t>
      </w:r>
      <w:r w:rsidR="007D734D" w:rsidRPr="007656B5">
        <w:rPr>
          <w:rFonts w:ascii="Times New Roman" w:hAnsi="Times New Roman" w:cs="Times New Roman"/>
        </w:rPr>
        <w:t> </w:t>
      </w:r>
      <w:r w:rsidRPr="007656B5">
        <w:rPr>
          <w:rFonts w:ascii="Times New Roman" w:hAnsi="Times New Roman" w:cs="Times New Roman"/>
        </w:rPr>
        <w:t>pacientov s</w:t>
      </w:r>
      <w:r w:rsidR="007D734D" w:rsidRPr="007656B5">
        <w:rPr>
          <w:rFonts w:ascii="Times New Roman" w:hAnsi="Times New Roman" w:cs="Times New Roman"/>
        </w:rPr>
        <w:t> </w:t>
      </w:r>
      <w:r w:rsidRPr="007656B5">
        <w:rPr>
          <w:rFonts w:ascii="Times New Roman" w:hAnsi="Times New Roman" w:cs="Times New Roman"/>
        </w:rPr>
        <w:t>hypertenziou a</w:t>
      </w:r>
      <w:r w:rsidR="007D734D" w:rsidRPr="007656B5">
        <w:rPr>
          <w:rFonts w:ascii="Times New Roman" w:hAnsi="Times New Roman" w:cs="Times New Roman"/>
        </w:rPr>
        <w:t> </w:t>
      </w:r>
      <w:r w:rsidRPr="007656B5">
        <w:rPr>
          <w:rFonts w:ascii="Times New Roman" w:hAnsi="Times New Roman" w:cs="Times New Roman"/>
        </w:rPr>
        <w:t>s</w:t>
      </w:r>
      <w:r w:rsidR="007D734D" w:rsidRPr="007656B5">
        <w:rPr>
          <w:rFonts w:ascii="Times New Roman" w:hAnsi="Times New Roman" w:cs="Times New Roman"/>
        </w:rPr>
        <w:t> </w:t>
      </w:r>
      <w:r w:rsidRPr="007656B5">
        <w:rPr>
          <w:rFonts w:ascii="Times New Roman" w:hAnsi="Times New Roman" w:cs="Times New Roman"/>
        </w:rPr>
        <w:t xml:space="preserve">diabetom typu </w:t>
      </w:r>
      <w:smartTag w:uri="urn:schemas-microsoft-com:office:smarttags" w:element="metricconverter">
        <w:smartTagPr>
          <w:attr w:name="ProductID" w:val="2 a"/>
        </w:smartTagPr>
        <w:r w:rsidRPr="007656B5">
          <w:rPr>
            <w:rFonts w:ascii="Times New Roman" w:hAnsi="Times New Roman" w:cs="Times New Roman"/>
          </w:rPr>
          <w:t>2 a</w:t>
        </w:r>
        <w:r w:rsidR="007D734D" w:rsidRPr="007656B5">
          <w:rPr>
            <w:rFonts w:ascii="Times New Roman" w:hAnsi="Times New Roman" w:cs="Times New Roman"/>
          </w:rPr>
          <w:t> </w:t>
        </w:r>
      </w:smartTag>
      <w:r w:rsidRPr="007656B5">
        <w:rPr>
          <w:rFonts w:ascii="Times New Roman" w:hAnsi="Times New Roman" w:cs="Times New Roman"/>
        </w:rPr>
        <w:t>mikroalbuminúriou sa preukázalo, že valsartan znižoval vylučovanie albumínu močom. Štúdia MARVAL (Micro Albuminuria Reduction with Valsartan) hodnotila znižovanie vylučovania albumínu močom (urinary albumin excretion, UAE) valsartanom (80</w:t>
      </w:r>
      <w:r w:rsidR="00D70605" w:rsidRPr="007656B5">
        <w:rPr>
          <w:rFonts w:ascii="Times New Roman" w:hAnsi="Times New Roman" w:cs="Times New Roman"/>
        </w:rPr>
        <w:t> </w:t>
      </w:r>
      <w:r w:rsidR="00425FAD" w:rsidRPr="007656B5">
        <w:rPr>
          <w:rFonts w:ascii="Times New Roman" w:hAnsi="Times New Roman" w:cs="Times New Roman"/>
        </w:rPr>
        <w:t>–</w:t>
      </w:r>
      <w:r w:rsidRPr="007656B5">
        <w:rPr>
          <w:rFonts w:ascii="Times New Roman" w:hAnsi="Times New Roman" w:cs="Times New Roman"/>
        </w:rPr>
        <w:t>160</w:t>
      </w:r>
      <w:r w:rsidR="007D734D" w:rsidRPr="007656B5">
        <w:rPr>
          <w:rFonts w:ascii="Times New Roman" w:hAnsi="Times New Roman" w:cs="Times New Roman"/>
        </w:rPr>
        <w:t> </w:t>
      </w:r>
      <w:r w:rsidRPr="007656B5">
        <w:rPr>
          <w:rFonts w:ascii="Times New Roman" w:hAnsi="Times New Roman" w:cs="Times New Roman"/>
        </w:rPr>
        <w:t>mg/raz denne) oproti amlodipínu (5</w:t>
      </w:r>
      <w:r w:rsidR="00D70605" w:rsidRPr="007656B5">
        <w:rPr>
          <w:rFonts w:ascii="Times New Roman" w:hAnsi="Times New Roman" w:cs="Times New Roman"/>
        </w:rPr>
        <w:t> </w:t>
      </w:r>
      <w:r w:rsidR="00425FAD" w:rsidRPr="007656B5">
        <w:rPr>
          <w:rFonts w:ascii="Times New Roman" w:hAnsi="Times New Roman" w:cs="Times New Roman"/>
        </w:rPr>
        <w:t>–</w:t>
      </w:r>
      <w:r w:rsidRPr="007656B5">
        <w:rPr>
          <w:rFonts w:ascii="Times New Roman" w:hAnsi="Times New Roman" w:cs="Times New Roman"/>
        </w:rPr>
        <w:t>10</w:t>
      </w:r>
      <w:r w:rsidR="007D734D" w:rsidRPr="007656B5">
        <w:rPr>
          <w:rFonts w:ascii="Times New Roman" w:hAnsi="Times New Roman" w:cs="Times New Roman"/>
        </w:rPr>
        <w:t> </w:t>
      </w:r>
      <w:r w:rsidRPr="007656B5">
        <w:rPr>
          <w:rFonts w:ascii="Times New Roman" w:hAnsi="Times New Roman" w:cs="Times New Roman"/>
        </w:rPr>
        <w:t>mg/raz denne) u</w:t>
      </w:r>
      <w:r w:rsidR="007D734D" w:rsidRPr="007656B5">
        <w:rPr>
          <w:rFonts w:ascii="Times New Roman" w:hAnsi="Times New Roman" w:cs="Times New Roman"/>
        </w:rPr>
        <w:t> </w:t>
      </w:r>
      <w:r w:rsidRPr="007656B5">
        <w:rPr>
          <w:rFonts w:ascii="Times New Roman" w:hAnsi="Times New Roman" w:cs="Times New Roman"/>
        </w:rPr>
        <w:t>332 pacientov s</w:t>
      </w:r>
      <w:r w:rsidR="0039460B" w:rsidRPr="007656B5">
        <w:rPr>
          <w:rFonts w:ascii="Times New Roman" w:hAnsi="Times New Roman" w:cs="Times New Roman"/>
        </w:rPr>
        <w:t> </w:t>
      </w:r>
      <w:r w:rsidRPr="007656B5">
        <w:rPr>
          <w:rFonts w:ascii="Times New Roman" w:hAnsi="Times New Roman" w:cs="Times New Roman"/>
        </w:rPr>
        <w:t>diabetom typu 2 (priemerný vek: 58 rokov; 265 mužov) s</w:t>
      </w:r>
      <w:r w:rsidR="007D734D" w:rsidRPr="007656B5">
        <w:rPr>
          <w:rFonts w:ascii="Times New Roman" w:hAnsi="Times New Roman" w:cs="Times New Roman"/>
        </w:rPr>
        <w:t> </w:t>
      </w:r>
      <w:r w:rsidRPr="007656B5">
        <w:rPr>
          <w:rFonts w:ascii="Times New Roman" w:hAnsi="Times New Roman" w:cs="Times New Roman"/>
        </w:rPr>
        <w:t>mikroalbuminúriou (valsartan: 58</w:t>
      </w:r>
      <w:r w:rsidR="007D734D" w:rsidRPr="007656B5">
        <w:rPr>
          <w:rFonts w:ascii="Times New Roman" w:hAnsi="Times New Roman" w:cs="Times New Roman"/>
        </w:rPr>
        <w:t> </w:t>
      </w:r>
      <w:r w:rsidR="00425FAD" w:rsidRPr="007656B5">
        <w:rPr>
          <w:rFonts w:ascii="Times New Roman" w:hAnsi="Times New Roman" w:cs="Times New Roman"/>
        </w:rPr>
        <w:t>μ</w:t>
      </w:r>
      <w:r w:rsidRPr="007656B5">
        <w:rPr>
          <w:rFonts w:ascii="Times New Roman" w:hAnsi="Times New Roman" w:cs="Times New Roman"/>
        </w:rPr>
        <w:t>g/min; amlodipín: 55,4</w:t>
      </w:r>
      <w:r w:rsidR="007D734D" w:rsidRPr="007656B5">
        <w:rPr>
          <w:rFonts w:ascii="Times New Roman" w:hAnsi="Times New Roman" w:cs="Times New Roman"/>
        </w:rPr>
        <w:t> </w:t>
      </w:r>
      <w:r w:rsidR="00425FAD" w:rsidRPr="007656B5">
        <w:rPr>
          <w:rFonts w:ascii="Times New Roman" w:hAnsi="Times New Roman" w:cs="Times New Roman"/>
        </w:rPr>
        <w:t>μ</w:t>
      </w:r>
      <w:r w:rsidRPr="007656B5">
        <w:rPr>
          <w:rFonts w:ascii="Times New Roman" w:hAnsi="Times New Roman" w:cs="Times New Roman"/>
        </w:rPr>
        <w:t>g/min), normálnym alebo vysokým krvným tlakom a</w:t>
      </w:r>
      <w:r w:rsidR="007D734D" w:rsidRPr="007656B5">
        <w:rPr>
          <w:rFonts w:ascii="Times New Roman" w:hAnsi="Times New Roman" w:cs="Times New Roman"/>
        </w:rPr>
        <w:t> </w:t>
      </w:r>
      <w:r w:rsidRPr="007656B5">
        <w:rPr>
          <w:rFonts w:ascii="Times New Roman" w:hAnsi="Times New Roman" w:cs="Times New Roman"/>
        </w:rPr>
        <w:t>zachovanou funkciou obličiek (kreatinín v</w:t>
      </w:r>
      <w:r w:rsidR="007D734D" w:rsidRPr="007656B5">
        <w:rPr>
          <w:rFonts w:ascii="Times New Roman" w:hAnsi="Times New Roman" w:cs="Times New Roman"/>
        </w:rPr>
        <w:t> </w:t>
      </w:r>
      <w:r w:rsidRPr="007656B5">
        <w:rPr>
          <w:rFonts w:ascii="Times New Roman" w:hAnsi="Times New Roman" w:cs="Times New Roman"/>
        </w:rPr>
        <w:t>krvi &lt;120</w:t>
      </w:r>
      <w:r w:rsidR="007D734D" w:rsidRPr="007656B5">
        <w:rPr>
          <w:rFonts w:ascii="Times New Roman" w:hAnsi="Times New Roman" w:cs="Times New Roman"/>
        </w:rPr>
        <w:t> </w:t>
      </w:r>
      <w:r w:rsidR="00425FAD" w:rsidRPr="007656B5">
        <w:rPr>
          <w:rFonts w:ascii="Times New Roman" w:hAnsi="Times New Roman" w:cs="Times New Roman"/>
        </w:rPr>
        <w:t>μ</w:t>
      </w:r>
      <w:r w:rsidRPr="007656B5">
        <w:rPr>
          <w:rFonts w:ascii="Times New Roman" w:hAnsi="Times New Roman" w:cs="Times New Roman"/>
        </w:rPr>
        <w:t>mol/l). Po 24 týždňoch sa UAE znížilo (p&lt;0,001) o</w:t>
      </w:r>
      <w:r w:rsidR="007D734D" w:rsidRPr="007656B5">
        <w:rPr>
          <w:rFonts w:ascii="Times New Roman" w:hAnsi="Times New Roman" w:cs="Times New Roman"/>
        </w:rPr>
        <w:t> </w:t>
      </w:r>
      <w:r w:rsidRPr="007656B5">
        <w:rPr>
          <w:rFonts w:ascii="Times New Roman" w:hAnsi="Times New Roman" w:cs="Times New Roman"/>
        </w:rPr>
        <w:t>42</w:t>
      </w:r>
      <w:r w:rsidR="00F06576" w:rsidRPr="007656B5">
        <w:rPr>
          <w:rFonts w:ascii="Times New Roman" w:hAnsi="Times New Roman" w:cs="Times New Roman"/>
        </w:rPr>
        <w:t> %</w:t>
      </w:r>
      <w:r w:rsidRPr="007656B5">
        <w:rPr>
          <w:rFonts w:ascii="Times New Roman" w:hAnsi="Times New Roman" w:cs="Times New Roman"/>
        </w:rPr>
        <w:t xml:space="preserve"> (-24,2</w:t>
      </w:r>
      <w:r w:rsidR="007D734D" w:rsidRPr="007656B5">
        <w:rPr>
          <w:rFonts w:ascii="Times New Roman" w:hAnsi="Times New Roman" w:cs="Times New Roman"/>
        </w:rPr>
        <w:t> </w:t>
      </w:r>
      <w:r w:rsidR="00425FAD" w:rsidRPr="007656B5">
        <w:rPr>
          <w:rFonts w:ascii="Times New Roman" w:hAnsi="Times New Roman" w:cs="Times New Roman"/>
        </w:rPr>
        <w:t>μ</w:t>
      </w:r>
      <w:r w:rsidRPr="007656B5">
        <w:rPr>
          <w:rFonts w:ascii="Times New Roman" w:hAnsi="Times New Roman" w:cs="Times New Roman"/>
        </w:rPr>
        <w:t>g/min; 95</w:t>
      </w:r>
      <w:r w:rsidR="00F06576" w:rsidRPr="007656B5">
        <w:rPr>
          <w:rFonts w:ascii="Times New Roman" w:hAnsi="Times New Roman" w:cs="Times New Roman"/>
        </w:rPr>
        <w:t> %</w:t>
      </w:r>
      <w:r w:rsidRPr="007656B5">
        <w:rPr>
          <w:rFonts w:ascii="Times New Roman" w:hAnsi="Times New Roman" w:cs="Times New Roman"/>
        </w:rPr>
        <w:t xml:space="preserve"> CI: -40,4 až -19,1) pri valsartane a</w:t>
      </w:r>
      <w:r w:rsidR="007D734D" w:rsidRPr="007656B5">
        <w:rPr>
          <w:rFonts w:ascii="Times New Roman" w:hAnsi="Times New Roman" w:cs="Times New Roman"/>
        </w:rPr>
        <w:t> </w:t>
      </w:r>
      <w:r w:rsidRPr="007656B5">
        <w:rPr>
          <w:rFonts w:ascii="Times New Roman" w:hAnsi="Times New Roman" w:cs="Times New Roman"/>
        </w:rPr>
        <w:t>asi o</w:t>
      </w:r>
      <w:r w:rsidR="007D734D" w:rsidRPr="007656B5">
        <w:rPr>
          <w:rFonts w:ascii="Times New Roman" w:hAnsi="Times New Roman" w:cs="Times New Roman"/>
        </w:rPr>
        <w:t> </w:t>
      </w:r>
      <w:r w:rsidRPr="007656B5">
        <w:rPr>
          <w:rFonts w:ascii="Times New Roman" w:hAnsi="Times New Roman" w:cs="Times New Roman"/>
        </w:rPr>
        <w:t>3</w:t>
      </w:r>
      <w:r w:rsidR="00F06576" w:rsidRPr="007656B5">
        <w:rPr>
          <w:rFonts w:ascii="Times New Roman" w:hAnsi="Times New Roman" w:cs="Times New Roman"/>
        </w:rPr>
        <w:t> %</w:t>
      </w:r>
      <w:r w:rsidRPr="007656B5">
        <w:rPr>
          <w:rFonts w:ascii="Times New Roman" w:hAnsi="Times New Roman" w:cs="Times New Roman"/>
        </w:rPr>
        <w:t xml:space="preserve"> (-1,7</w:t>
      </w:r>
      <w:r w:rsidR="007D734D" w:rsidRPr="007656B5">
        <w:rPr>
          <w:rFonts w:ascii="Times New Roman" w:hAnsi="Times New Roman" w:cs="Times New Roman"/>
        </w:rPr>
        <w:t> </w:t>
      </w:r>
      <w:r w:rsidR="00425FAD" w:rsidRPr="007656B5">
        <w:rPr>
          <w:rFonts w:ascii="Times New Roman" w:hAnsi="Times New Roman" w:cs="Times New Roman"/>
        </w:rPr>
        <w:t>μ</w:t>
      </w:r>
      <w:r w:rsidRPr="007656B5">
        <w:rPr>
          <w:rFonts w:ascii="Times New Roman" w:hAnsi="Times New Roman" w:cs="Times New Roman"/>
        </w:rPr>
        <w:t>g/min; 95</w:t>
      </w:r>
      <w:r w:rsidR="00F06576" w:rsidRPr="007656B5">
        <w:rPr>
          <w:rFonts w:ascii="Times New Roman" w:hAnsi="Times New Roman" w:cs="Times New Roman"/>
        </w:rPr>
        <w:t> %</w:t>
      </w:r>
      <w:r w:rsidRPr="007656B5">
        <w:rPr>
          <w:rFonts w:ascii="Times New Roman" w:hAnsi="Times New Roman" w:cs="Times New Roman"/>
        </w:rPr>
        <w:t xml:space="preserve"> CI: -5,6 až 14,9) pri amlodipíne, napriek podobnej miere zníženia krvného tlaku v</w:t>
      </w:r>
      <w:r w:rsidR="007D734D" w:rsidRPr="007656B5">
        <w:rPr>
          <w:rFonts w:ascii="Times New Roman" w:hAnsi="Times New Roman" w:cs="Times New Roman"/>
        </w:rPr>
        <w:t> </w:t>
      </w:r>
      <w:r w:rsidRPr="007656B5">
        <w:rPr>
          <w:rFonts w:ascii="Times New Roman" w:hAnsi="Times New Roman" w:cs="Times New Roman"/>
        </w:rPr>
        <w:t>oboch skupinách.</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 xml:space="preserve">Štúdia DROP ďalej skúmala účinnosť valsartanu pri znížení UAE u </w:t>
      </w:r>
      <w:r w:rsidR="007D734D" w:rsidRPr="007656B5">
        <w:rPr>
          <w:rFonts w:ascii="Times New Roman" w:hAnsi="Times New Roman" w:cs="Times New Roman"/>
        </w:rPr>
        <w:t xml:space="preserve"> </w:t>
      </w:r>
      <w:r w:rsidRPr="007656B5">
        <w:rPr>
          <w:rFonts w:ascii="Times New Roman" w:hAnsi="Times New Roman" w:cs="Times New Roman"/>
        </w:rPr>
        <w:t>391 pacientov s</w:t>
      </w:r>
      <w:r w:rsidR="007D734D" w:rsidRPr="007656B5">
        <w:rPr>
          <w:rFonts w:ascii="Times New Roman" w:hAnsi="Times New Roman" w:cs="Times New Roman"/>
        </w:rPr>
        <w:t> </w:t>
      </w:r>
      <w:r w:rsidRPr="007656B5">
        <w:rPr>
          <w:rFonts w:ascii="Times New Roman" w:hAnsi="Times New Roman" w:cs="Times New Roman"/>
        </w:rPr>
        <w:t>hypertenziou (</w:t>
      </w:r>
      <w:r w:rsidR="00BF3201" w:rsidRPr="007656B5">
        <w:rPr>
          <w:rFonts w:ascii="Times New Roman" w:hAnsi="Times New Roman" w:cs="Times New Roman"/>
        </w:rPr>
        <w:t>TK</w:t>
      </w:r>
      <w:r w:rsidRPr="007656B5">
        <w:rPr>
          <w:rFonts w:ascii="Times New Roman" w:hAnsi="Times New Roman" w:cs="Times New Roman"/>
        </w:rPr>
        <w:t xml:space="preserve"> = 150/88</w:t>
      </w:r>
      <w:r w:rsidR="007D734D" w:rsidRPr="007656B5">
        <w:rPr>
          <w:rFonts w:ascii="Times New Roman" w:hAnsi="Times New Roman" w:cs="Times New Roman"/>
        </w:rPr>
        <w:t> </w:t>
      </w:r>
      <w:r w:rsidRPr="007656B5">
        <w:rPr>
          <w:rFonts w:ascii="Times New Roman" w:hAnsi="Times New Roman" w:cs="Times New Roman"/>
        </w:rPr>
        <w:t>mm Hg), s</w:t>
      </w:r>
      <w:r w:rsidR="00416DD8" w:rsidRPr="007656B5">
        <w:rPr>
          <w:rFonts w:ascii="Times New Roman" w:hAnsi="Times New Roman" w:cs="Times New Roman"/>
        </w:rPr>
        <w:t> </w:t>
      </w:r>
      <w:r w:rsidRPr="007656B5">
        <w:rPr>
          <w:rFonts w:ascii="Times New Roman" w:hAnsi="Times New Roman" w:cs="Times New Roman"/>
        </w:rPr>
        <w:t>diabetom typu 2, albuminúriou (priemer = 102</w:t>
      </w:r>
      <w:r w:rsidR="00E77CEA" w:rsidRPr="007656B5">
        <w:rPr>
          <w:rFonts w:ascii="Times New Roman" w:hAnsi="Times New Roman" w:cs="Times New Roman"/>
        </w:rPr>
        <w:t> </w:t>
      </w:r>
      <w:r w:rsidR="00425FAD" w:rsidRPr="007656B5">
        <w:rPr>
          <w:rFonts w:ascii="Times New Roman" w:hAnsi="Times New Roman" w:cs="Times New Roman"/>
        </w:rPr>
        <w:t>μ</w:t>
      </w:r>
      <w:r w:rsidRPr="007656B5">
        <w:rPr>
          <w:rFonts w:ascii="Times New Roman" w:hAnsi="Times New Roman" w:cs="Times New Roman"/>
        </w:rPr>
        <w:t>g/min; 20</w:t>
      </w:r>
      <w:r w:rsidR="00425FAD" w:rsidRPr="007656B5">
        <w:rPr>
          <w:rFonts w:ascii="Times New Roman" w:hAnsi="Times New Roman" w:cs="Times New Roman"/>
        </w:rPr>
        <w:t>–</w:t>
      </w:r>
      <w:r w:rsidRPr="007656B5">
        <w:rPr>
          <w:rFonts w:ascii="Times New Roman" w:hAnsi="Times New Roman" w:cs="Times New Roman"/>
        </w:rPr>
        <w:t>700</w:t>
      </w:r>
      <w:r w:rsidR="00E77CEA" w:rsidRPr="007656B5">
        <w:rPr>
          <w:rFonts w:ascii="Times New Roman" w:hAnsi="Times New Roman" w:cs="Times New Roman"/>
        </w:rPr>
        <w:t> </w:t>
      </w:r>
      <w:r w:rsidR="00425FAD" w:rsidRPr="007656B5">
        <w:rPr>
          <w:rFonts w:ascii="Times New Roman" w:hAnsi="Times New Roman" w:cs="Times New Roman"/>
        </w:rPr>
        <w:t>μ</w:t>
      </w:r>
      <w:r w:rsidRPr="007656B5">
        <w:rPr>
          <w:rFonts w:ascii="Times New Roman" w:hAnsi="Times New Roman" w:cs="Times New Roman"/>
        </w:rPr>
        <w:t>g/min) a</w:t>
      </w:r>
      <w:r w:rsidR="003D0D38" w:rsidRPr="007656B5">
        <w:rPr>
          <w:rFonts w:ascii="Times New Roman" w:hAnsi="Times New Roman" w:cs="Times New Roman"/>
        </w:rPr>
        <w:t> </w:t>
      </w:r>
      <w:r w:rsidRPr="007656B5">
        <w:rPr>
          <w:rFonts w:ascii="Times New Roman" w:hAnsi="Times New Roman" w:cs="Times New Roman"/>
        </w:rPr>
        <w:t>zachovanou funkciou obličiek (priemerný kreatinín v</w:t>
      </w:r>
      <w:r w:rsidR="00E77CEA" w:rsidRPr="007656B5">
        <w:rPr>
          <w:rFonts w:ascii="Times New Roman" w:hAnsi="Times New Roman" w:cs="Times New Roman"/>
        </w:rPr>
        <w:t> </w:t>
      </w:r>
      <w:r w:rsidRPr="007656B5">
        <w:rPr>
          <w:rFonts w:ascii="Times New Roman" w:hAnsi="Times New Roman" w:cs="Times New Roman"/>
        </w:rPr>
        <w:t>sére =</w:t>
      </w:r>
      <w:r w:rsidR="00E77CEA" w:rsidRPr="007656B5">
        <w:rPr>
          <w:rFonts w:ascii="Times New Roman" w:hAnsi="Times New Roman" w:cs="Times New Roman"/>
        </w:rPr>
        <w:t> </w:t>
      </w:r>
      <w:r w:rsidRPr="007656B5">
        <w:rPr>
          <w:rFonts w:ascii="Times New Roman" w:hAnsi="Times New Roman" w:cs="Times New Roman"/>
        </w:rPr>
        <w:t xml:space="preserve">80 </w:t>
      </w:r>
      <w:r w:rsidR="00425FAD" w:rsidRPr="007656B5">
        <w:rPr>
          <w:rFonts w:ascii="Times New Roman" w:hAnsi="Times New Roman" w:cs="Times New Roman"/>
        </w:rPr>
        <w:t>μ</w:t>
      </w:r>
      <w:r w:rsidRPr="007656B5">
        <w:rPr>
          <w:rFonts w:ascii="Times New Roman" w:hAnsi="Times New Roman" w:cs="Times New Roman"/>
        </w:rPr>
        <w:t>mol/l). Pacienti boli randomizovaní na jednu z</w:t>
      </w:r>
      <w:r w:rsidR="00E77CEA" w:rsidRPr="007656B5">
        <w:rPr>
          <w:rFonts w:ascii="Times New Roman" w:hAnsi="Times New Roman" w:cs="Times New Roman"/>
        </w:rPr>
        <w:t> </w:t>
      </w:r>
      <w:r w:rsidRPr="007656B5">
        <w:rPr>
          <w:rFonts w:ascii="Times New Roman" w:hAnsi="Times New Roman" w:cs="Times New Roman"/>
        </w:rPr>
        <w:t>3 dávok valsartanu (160, 320 a</w:t>
      </w:r>
      <w:r w:rsidR="00E77CEA" w:rsidRPr="007656B5">
        <w:rPr>
          <w:rFonts w:ascii="Times New Roman" w:hAnsi="Times New Roman" w:cs="Times New Roman"/>
        </w:rPr>
        <w:t> </w:t>
      </w:r>
      <w:r w:rsidRPr="007656B5">
        <w:rPr>
          <w:rFonts w:ascii="Times New Roman" w:hAnsi="Times New Roman" w:cs="Times New Roman"/>
        </w:rPr>
        <w:t>640</w:t>
      </w:r>
      <w:r w:rsidR="00E77CEA" w:rsidRPr="007656B5">
        <w:rPr>
          <w:rFonts w:ascii="Times New Roman" w:hAnsi="Times New Roman" w:cs="Times New Roman"/>
        </w:rPr>
        <w:t> </w:t>
      </w:r>
      <w:r w:rsidRPr="007656B5">
        <w:rPr>
          <w:rFonts w:ascii="Times New Roman" w:hAnsi="Times New Roman" w:cs="Times New Roman"/>
        </w:rPr>
        <w:t>mg/raz denne) a</w:t>
      </w:r>
      <w:r w:rsidR="00E77CEA" w:rsidRPr="007656B5">
        <w:rPr>
          <w:rFonts w:ascii="Times New Roman" w:hAnsi="Times New Roman" w:cs="Times New Roman"/>
        </w:rPr>
        <w:t> </w:t>
      </w:r>
      <w:r w:rsidRPr="007656B5">
        <w:rPr>
          <w:rFonts w:ascii="Times New Roman" w:hAnsi="Times New Roman" w:cs="Times New Roman"/>
        </w:rPr>
        <w:t>liečení 30 týždňov. Cieľom štúdie bolo stanovenie optimálnej dávky valsartanu na zníženie UAE u</w:t>
      </w:r>
      <w:r w:rsidR="00E77CEA" w:rsidRPr="007656B5">
        <w:rPr>
          <w:rFonts w:ascii="Times New Roman" w:hAnsi="Times New Roman" w:cs="Times New Roman"/>
        </w:rPr>
        <w:t> </w:t>
      </w:r>
      <w:r w:rsidRPr="007656B5">
        <w:rPr>
          <w:rFonts w:ascii="Times New Roman" w:hAnsi="Times New Roman" w:cs="Times New Roman"/>
        </w:rPr>
        <w:t>pacientov s</w:t>
      </w:r>
      <w:r w:rsidR="00E77CEA" w:rsidRPr="007656B5">
        <w:rPr>
          <w:rFonts w:ascii="Times New Roman" w:hAnsi="Times New Roman" w:cs="Times New Roman"/>
        </w:rPr>
        <w:t> </w:t>
      </w:r>
      <w:r w:rsidRPr="007656B5">
        <w:rPr>
          <w:rFonts w:ascii="Times New Roman" w:hAnsi="Times New Roman" w:cs="Times New Roman"/>
        </w:rPr>
        <w:t>hypertenziou a</w:t>
      </w:r>
      <w:r w:rsidR="00E77CEA" w:rsidRPr="007656B5">
        <w:rPr>
          <w:rFonts w:ascii="Times New Roman" w:hAnsi="Times New Roman" w:cs="Times New Roman"/>
        </w:rPr>
        <w:t> </w:t>
      </w:r>
      <w:r w:rsidRPr="007656B5">
        <w:rPr>
          <w:rFonts w:ascii="Times New Roman" w:hAnsi="Times New Roman" w:cs="Times New Roman"/>
        </w:rPr>
        <w:t>s</w:t>
      </w:r>
      <w:r w:rsidR="00E77CEA" w:rsidRPr="007656B5">
        <w:rPr>
          <w:rFonts w:ascii="Times New Roman" w:hAnsi="Times New Roman" w:cs="Times New Roman"/>
        </w:rPr>
        <w:t> </w:t>
      </w:r>
      <w:r w:rsidRPr="007656B5">
        <w:rPr>
          <w:rFonts w:ascii="Times New Roman" w:hAnsi="Times New Roman" w:cs="Times New Roman"/>
        </w:rPr>
        <w:t>diabetom typu 2. Po 30</w:t>
      </w:r>
      <w:r w:rsidR="00416DD8" w:rsidRPr="007656B5">
        <w:rPr>
          <w:rFonts w:ascii="Times New Roman" w:hAnsi="Times New Roman" w:cs="Times New Roman"/>
        </w:rPr>
        <w:t> </w:t>
      </w:r>
      <w:r w:rsidRPr="007656B5">
        <w:rPr>
          <w:rFonts w:ascii="Times New Roman" w:hAnsi="Times New Roman" w:cs="Times New Roman"/>
        </w:rPr>
        <w:t>týždňoch bola percentuálna zmena UAE oproti východiskovej hodnote významne znížená o</w:t>
      </w:r>
      <w:r w:rsidR="00E77CEA" w:rsidRPr="007656B5">
        <w:rPr>
          <w:rFonts w:ascii="Times New Roman" w:hAnsi="Times New Roman" w:cs="Times New Roman"/>
        </w:rPr>
        <w:t> </w:t>
      </w:r>
      <w:r w:rsidRPr="007656B5">
        <w:rPr>
          <w:rFonts w:ascii="Times New Roman" w:hAnsi="Times New Roman" w:cs="Times New Roman"/>
        </w:rPr>
        <w:t>36</w:t>
      </w:r>
      <w:r w:rsidR="00F06576" w:rsidRPr="007656B5">
        <w:rPr>
          <w:rFonts w:ascii="Times New Roman" w:hAnsi="Times New Roman" w:cs="Times New Roman"/>
        </w:rPr>
        <w:t> %</w:t>
      </w:r>
      <w:r w:rsidRPr="007656B5">
        <w:rPr>
          <w:rFonts w:ascii="Times New Roman" w:hAnsi="Times New Roman" w:cs="Times New Roman"/>
        </w:rPr>
        <w:t xml:space="preserve"> pri 160</w:t>
      </w:r>
      <w:r w:rsidR="00E77CEA" w:rsidRPr="007656B5">
        <w:rPr>
          <w:rFonts w:ascii="Times New Roman" w:hAnsi="Times New Roman" w:cs="Times New Roman"/>
        </w:rPr>
        <w:t> </w:t>
      </w:r>
      <w:r w:rsidRPr="007656B5">
        <w:rPr>
          <w:rFonts w:ascii="Times New Roman" w:hAnsi="Times New Roman" w:cs="Times New Roman"/>
        </w:rPr>
        <w:t>mg valsartanu (95</w:t>
      </w:r>
      <w:r w:rsidR="00F06576" w:rsidRPr="007656B5">
        <w:rPr>
          <w:rFonts w:ascii="Times New Roman" w:hAnsi="Times New Roman" w:cs="Times New Roman"/>
        </w:rPr>
        <w:t> %</w:t>
      </w:r>
      <w:r w:rsidRPr="007656B5">
        <w:rPr>
          <w:rFonts w:ascii="Times New Roman" w:hAnsi="Times New Roman" w:cs="Times New Roman"/>
        </w:rPr>
        <w:t xml:space="preserve"> CI: 22 až 47</w:t>
      </w:r>
      <w:r w:rsidR="00F06576" w:rsidRPr="007656B5">
        <w:rPr>
          <w:rFonts w:ascii="Times New Roman" w:hAnsi="Times New Roman" w:cs="Times New Roman"/>
        </w:rPr>
        <w:t> %</w:t>
      </w:r>
      <w:r w:rsidRPr="007656B5">
        <w:rPr>
          <w:rFonts w:ascii="Times New Roman" w:hAnsi="Times New Roman" w:cs="Times New Roman"/>
        </w:rPr>
        <w:t>), a</w:t>
      </w:r>
      <w:r w:rsidR="00E77CEA" w:rsidRPr="007656B5">
        <w:rPr>
          <w:rFonts w:ascii="Times New Roman" w:hAnsi="Times New Roman" w:cs="Times New Roman"/>
        </w:rPr>
        <w:t> </w:t>
      </w:r>
      <w:r w:rsidRPr="007656B5">
        <w:rPr>
          <w:rFonts w:ascii="Times New Roman" w:hAnsi="Times New Roman" w:cs="Times New Roman"/>
        </w:rPr>
        <w:t>o</w:t>
      </w:r>
      <w:r w:rsidR="00E77CEA" w:rsidRPr="007656B5">
        <w:rPr>
          <w:rFonts w:ascii="Times New Roman" w:hAnsi="Times New Roman" w:cs="Times New Roman"/>
        </w:rPr>
        <w:t> </w:t>
      </w:r>
      <w:r w:rsidRPr="007656B5">
        <w:rPr>
          <w:rFonts w:ascii="Times New Roman" w:hAnsi="Times New Roman" w:cs="Times New Roman"/>
        </w:rPr>
        <w:t>44</w:t>
      </w:r>
      <w:r w:rsidR="00F06576" w:rsidRPr="007656B5">
        <w:rPr>
          <w:rFonts w:ascii="Times New Roman" w:hAnsi="Times New Roman" w:cs="Times New Roman"/>
        </w:rPr>
        <w:t> %</w:t>
      </w:r>
      <w:r w:rsidRPr="007656B5">
        <w:rPr>
          <w:rFonts w:ascii="Times New Roman" w:hAnsi="Times New Roman" w:cs="Times New Roman"/>
        </w:rPr>
        <w:t xml:space="preserve"> pri 320</w:t>
      </w:r>
      <w:r w:rsidR="00E77CEA" w:rsidRPr="007656B5">
        <w:rPr>
          <w:rFonts w:ascii="Times New Roman" w:hAnsi="Times New Roman" w:cs="Times New Roman"/>
        </w:rPr>
        <w:t> </w:t>
      </w:r>
      <w:r w:rsidRPr="007656B5">
        <w:rPr>
          <w:rFonts w:ascii="Times New Roman" w:hAnsi="Times New Roman" w:cs="Times New Roman"/>
        </w:rPr>
        <w:t>mg valsartanu (95</w:t>
      </w:r>
      <w:r w:rsidR="00F06576" w:rsidRPr="007656B5">
        <w:rPr>
          <w:rFonts w:ascii="Times New Roman" w:hAnsi="Times New Roman" w:cs="Times New Roman"/>
        </w:rPr>
        <w:t> %</w:t>
      </w:r>
      <w:r w:rsidRPr="007656B5">
        <w:rPr>
          <w:rFonts w:ascii="Times New Roman" w:hAnsi="Times New Roman" w:cs="Times New Roman"/>
        </w:rPr>
        <w:t xml:space="preserve"> CI: 31 až 54</w:t>
      </w:r>
      <w:r w:rsidR="00F06576" w:rsidRPr="007656B5">
        <w:rPr>
          <w:rFonts w:ascii="Times New Roman" w:hAnsi="Times New Roman" w:cs="Times New Roman"/>
        </w:rPr>
        <w:t> %</w:t>
      </w:r>
      <w:r w:rsidRPr="007656B5">
        <w:rPr>
          <w:rFonts w:ascii="Times New Roman" w:hAnsi="Times New Roman" w:cs="Times New Roman"/>
        </w:rPr>
        <w:t>). Záverom štúdie bolo, že 160</w:t>
      </w:r>
      <w:r w:rsidR="00332C0D" w:rsidRPr="007656B5">
        <w:rPr>
          <w:rFonts w:ascii="Times New Roman" w:hAnsi="Times New Roman" w:cs="Times New Roman"/>
        </w:rPr>
        <w:t> — </w:t>
      </w:r>
      <w:r w:rsidRPr="007656B5">
        <w:rPr>
          <w:rFonts w:ascii="Times New Roman" w:hAnsi="Times New Roman" w:cs="Times New Roman"/>
        </w:rPr>
        <w:t>320</w:t>
      </w:r>
      <w:r w:rsidR="00E77CEA" w:rsidRPr="007656B5">
        <w:rPr>
          <w:rFonts w:ascii="Times New Roman" w:hAnsi="Times New Roman" w:cs="Times New Roman"/>
        </w:rPr>
        <w:t> </w:t>
      </w:r>
      <w:r w:rsidRPr="007656B5">
        <w:rPr>
          <w:rFonts w:ascii="Times New Roman" w:hAnsi="Times New Roman" w:cs="Times New Roman"/>
        </w:rPr>
        <w:t>mg valsartanu u</w:t>
      </w:r>
      <w:r w:rsidR="00E77CEA" w:rsidRPr="007656B5">
        <w:rPr>
          <w:rFonts w:ascii="Times New Roman" w:hAnsi="Times New Roman" w:cs="Times New Roman"/>
        </w:rPr>
        <w:t> </w:t>
      </w:r>
      <w:r w:rsidRPr="007656B5">
        <w:rPr>
          <w:rFonts w:ascii="Times New Roman" w:hAnsi="Times New Roman" w:cs="Times New Roman"/>
        </w:rPr>
        <w:t>pacientov s</w:t>
      </w:r>
      <w:r w:rsidR="00E77CEA" w:rsidRPr="007656B5">
        <w:rPr>
          <w:rFonts w:ascii="Times New Roman" w:hAnsi="Times New Roman" w:cs="Times New Roman"/>
        </w:rPr>
        <w:t> </w:t>
      </w:r>
      <w:r w:rsidRPr="007656B5">
        <w:rPr>
          <w:rFonts w:ascii="Times New Roman" w:hAnsi="Times New Roman" w:cs="Times New Roman"/>
        </w:rPr>
        <w:t>hypertenziou a</w:t>
      </w:r>
      <w:r w:rsidR="003D0D38" w:rsidRPr="007656B5">
        <w:rPr>
          <w:rFonts w:ascii="Times New Roman" w:hAnsi="Times New Roman" w:cs="Times New Roman"/>
        </w:rPr>
        <w:t> </w:t>
      </w:r>
      <w:r w:rsidRPr="007656B5">
        <w:rPr>
          <w:rFonts w:ascii="Times New Roman" w:hAnsi="Times New Roman" w:cs="Times New Roman"/>
        </w:rPr>
        <w:t>s</w:t>
      </w:r>
      <w:r w:rsidR="003D0D38" w:rsidRPr="007656B5">
        <w:rPr>
          <w:rFonts w:ascii="Times New Roman" w:hAnsi="Times New Roman" w:cs="Times New Roman"/>
        </w:rPr>
        <w:t> </w:t>
      </w:r>
      <w:r w:rsidRPr="007656B5">
        <w:rPr>
          <w:rFonts w:ascii="Times New Roman" w:hAnsi="Times New Roman" w:cs="Times New Roman"/>
        </w:rPr>
        <w:t>diabetom typu 2 vyvolalo klinicky významné zníženie UAE.</w:t>
      </w:r>
    </w:p>
    <w:p w:rsidR="007C2ED7" w:rsidRPr="007656B5" w:rsidRDefault="007C2ED7">
      <w:pPr>
        <w:pStyle w:val="Styl3"/>
        <w:rPr>
          <w:szCs w:val="22"/>
        </w:rPr>
      </w:pPr>
      <w:r w:rsidRPr="007656B5">
        <w:rPr>
          <w:szCs w:val="22"/>
        </w:rPr>
        <w:t>Nedávny infarkt myokardu</w:t>
      </w:r>
      <w:r w:rsidR="00E77CEA" w:rsidRPr="007656B5">
        <w:rPr>
          <w:szCs w:val="22"/>
        </w:rPr>
        <w:t xml:space="preserve"> (40 mg, 80 mg a 160 mg)</w:t>
      </w:r>
    </w:p>
    <w:p w:rsidR="00425FAD" w:rsidRPr="007656B5" w:rsidRDefault="007C2ED7">
      <w:pPr>
        <w:pStyle w:val="Normlndobloku"/>
        <w:rPr>
          <w:rFonts w:ascii="Times New Roman" w:hAnsi="Times New Roman" w:cs="Times New Roman"/>
        </w:rPr>
      </w:pPr>
      <w:r w:rsidRPr="007656B5">
        <w:rPr>
          <w:rFonts w:ascii="Times New Roman" w:hAnsi="Times New Roman" w:cs="Times New Roman"/>
        </w:rPr>
        <w:t>VALsartan In Acute myocardial iNfarcTion trial (VALIANT) bolo randomizované, kontrolované, medzinárodné, dvojito zaslepené klinické skúšanie so 14</w:t>
      </w:r>
      <w:r w:rsidR="00F41C47" w:rsidRPr="007656B5">
        <w:rPr>
          <w:rFonts w:ascii="Times New Roman" w:hAnsi="Times New Roman" w:cs="Times New Roman"/>
        </w:rPr>
        <w:t> </w:t>
      </w:r>
      <w:r w:rsidRPr="007656B5">
        <w:rPr>
          <w:rFonts w:ascii="Times New Roman" w:hAnsi="Times New Roman" w:cs="Times New Roman"/>
        </w:rPr>
        <w:t>703 pacientmi s akútnym infarktom myokardu a</w:t>
      </w:r>
      <w:r w:rsidR="00E77CEA" w:rsidRPr="007656B5">
        <w:rPr>
          <w:rFonts w:ascii="Times New Roman" w:hAnsi="Times New Roman" w:cs="Times New Roman"/>
        </w:rPr>
        <w:t> </w:t>
      </w:r>
      <w:r w:rsidRPr="007656B5">
        <w:rPr>
          <w:rFonts w:ascii="Times New Roman" w:hAnsi="Times New Roman" w:cs="Times New Roman"/>
        </w:rPr>
        <w:t xml:space="preserve">príznakmi, prejavmi alebo rádiologickým potvrdením kongestívneho zlyhania srdca a/alebo potvrdením systolickej dysfunkcie ľavej komory (prejavujúcej sa ako ejekčná frakcia </w:t>
      </w:r>
      <w:r w:rsidR="00BF3201" w:rsidRPr="007656B5">
        <w:rPr>
          <w:rFonts w:ascii="Times New Roman" w:hAnsi="Times New Roman" w:cs="Times New Roman"/>
        </w:rPr>
        <w:t>≤</w:t>
      </w:r>
      <w:r w:rsidRPr="007656B5">
        <w:rPr>
          <w:rFonts w:ascii="Times New Roman" w:hAnsi="Times New Roman" w:cs="Times New Roman"/>
        </w:rPr>
        <w:t>40</w:t>
      </w:r>
      <w:r w:rsidR="00F06576" w:rsidRPr="007656B5">
        <w:rPr>
          <w:rFonts w:ascii="Times New Roman" w:hAnsi="Times New Roman" w:cs="Times New Roman"/>
        </w:rPr>
        <w:t> %</w:t>
      </w:r>
      <w:r w:rsidRPr="007656B5">
        <w:rPr>
          <w:rFonts w:ascii="Times New Roman" w:hAnsi="Times New Roman" w:cs="Times New Roman"/>
        </w:rPr>
        <w:t xml:space="preserve"> pri rádionuklidovej ventrikulografii alebo </w:t>
      </w:r>
      <w:r w:rsidR="00BF3201" w:rsidRPr="007656B5">
        <w:rPr>
          <w:rFonts w:ascii="Times New Roman" w:hAnsi="Times New Roman" w:cs="Times New Roman"/>
        </w:rPr>
        <w:t>≤</w:t>
      </w:r>
      <w:r w:rsidRPr="007656B5">
        <w:rPr>
          <w:rFonts w:ascii="Times New Roman" w:hAnsi="Times New Roman" w:cs="Times New Roman"/>
        </w:rPr>
        <w:t>35</w:t>
      </w:r>
      <w:r w:rsidR="00F06576" w:rsidRPr="007656B5">
        <w:rPr>
          <w:rFonts w:ascii="Times New Roman" w:hAnsi="Times New Roman" w:cs="Times New Roman"/>
        </w:rPr>
        <w:t> %</w:t>
      </w:r>
      <w:r w:rsidRPr="007656B5">
        <w:rPr>
          <w:rFonts w:ascii="Times New Roman" w:hAnsi="Times New Roman" w:cs="Times New Roman"/>
        </w:rPr>
        <w:t xml:space="preserve"> pri echokardiografii alebo ventrikulárnej kontrastnej</w:t>
      </w:r>
      <w:r w:rsidR="00304CB0" w:rsidRPr="007656B5">
        <w:rPr>
          <w:rFonts w:ascii="Times New Roman" w:hAnsi="Times New Roman" w:cs="Times New Roman"/>
        </w:rPr>
        <w:t xml:space="preserve"> </w:t>
      </w:r>
      <w:r w:rsidRPr="007656B5">
        <w:rPr>
          <w:rFonts w:ascii="Times New Roman" w:hAnsi="Times New Roman" w:cs="Times New Roman"/>
        </w:rPr>
        <w:t>angiografii). Pacienti boli randomizovaní v</w:t>
      </w:r>
      <w:r w:rsidR="00C61410" w:rsidRPr="007656B5">
        <w:rPr>
          <w:rFonts w:ascii="Times New Roman" w:hAnsi="Times New Roman" w:cs="Times New Roman"/>
        </w:rPr>
        <w:t> </w:t>
      </w:r>
      <w:r w:rsidRPr="007656B5">
        <w:rPr>
          <w:rFonts w:ascii="Times New Roman" w:hAnsi="Times New Roman" w:cs="Times New Roman"/>
        </w:rPr>
        <w:t>priebehu 12 hodín až 10 dní od nástupu symptómov infarktu myokardu do skupín buď valsartanu, kaptoprilu, alebo kombinácie oboch. Priemerné trvanie liečby bolo dva roky. Primárnym cieľovým ukazovateľom bola mortalita zo všetkých príčin.</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Valsartan bol pri znižovaní mortality zo všetkých príčin po infarkte myokardu rovnako účinný ako kaptopril. Mortalita zo všetkých príčin bola podobná v</w:t>
      </w:r>
      <w:r w:rsidR="00E77CEA" w:rsidRPr="007656B5">
        <w:rPr>
          <w:rFonts w:ascii="Times New Roman" w:hAnsi="Times New Roman" w:cs="Times New Roman"/>
        </w:rPr>
        <w:t> </w:t>
      </w:r>
      <w:r w:rsidRPr="007656B5">
        <w:rPr>
          <w:rFonts w:ascii="Times New Roman" w:hAnsi="Times New Roman" w:cs="Times New Roman"/>
        </w:rPr>
        <w:t>skupine valsartanu (19,9</w:t>
      </w:r>
      <w:r w:rsidR="00F06576" w:rsidRPr="007656B5">
        <w:rPr>
          <w:rFonts w:ascii="Times New Roman" w:hAnsi="Times New Roman" w:cs="Times New Roman"/>
        </w:rPr>
        <w:t> %</w:t>
      </w:r>
      <w:r w:rsidRPr="007656B5">
        <w:rPr>
          <w:rFonts w:ascii="Times New Roman" w:hAnsi="Times New Roman" w:cs="Times New Roman"/>
        </w:rPr>
        <w:t>), kaptoprilu (19,5</w:t>
      </w:r>
      <w:r w:rsidR="00F06576" w:rsidRPr="007656B5">
        <w:rPr>
          <w:rFonts w:ascii="Times New Roman" w:hAnsi="Times New Roman" w:cs="Times New Roman"/>
        </w:rPr>
        <w:t> %</w:t>
      </w:r>
      <w:r w:rsidRPr="007656B5">
        <w:rPr>
          <w:rFonts w:ascii="Times New Roman" w:hAnsi="Times New Roman" w:cs="Times New Roman"/>
        </w:rPr>
        <w:t>) a</w:t>
      </w:r>
      <w:r w:rsidR="00E77CEA" w:rsidRPr="007656B5">
        <w:rPr>
          <w:rFonts w:ascii="Times New Roman" w:hAnsi="Times New Roman" w:cs="Times New Roman"/>
        </w:rPr>
        <w:t> </w:t>
      </w:r>
      <w:r w:rsidRPr="007656B5">
        <w:rPr>
          <w:rFonts w:ascii="Times New Roman" w:hAnsi="Times New Roman" w:cs="Times New Roman"/>
        </w:rPr>
        <w:t>valsartanu + kaptoprilu (19,3</w:t>
      </w:r>
      <w:r w:rsidR="00F06576" w:rsidRPr="007656B5">
        <w:rPr>
          <w:rFonts w:ascii="Times New Roman" w:hAnsi="Times New Roman" w:cs="Times New Roman"/>
        </w:rPr>
        <w:t> %</w:t>
      </w:r>
      <w:r w:rsidRPr="007656B5">
        <w:rPr>
          <w:rFonts w:ascii="Times New Roman" w:hAnsi="Times New Roman" w:cs="Times New Roman"/>
        </w:rPr>
        <w:t>). Kombinovanie valsartanu s</w:t>
      </w:r>
      <w:r w:rsidR="00E77CEA" w:rsidRPr="007656B5">
        <w:rPr>
          <w:rFonts w:ascii="Times New Roman" w:hAnsi="Times New Roman" w:cs="Times New Roman"/>
        </w:rPr>
        <w:t> </w:t>
      </w:r>
      <w:r w:rsidRPr="007656B5">
        <w:rPr>
          <w:rFonts w:ascii="Times New Roman" w:hAnsi="Times New Roman" w:cs="Times New Roman"/>
        </w:rPr>
        <w:t>kaptoprilom nezvýšilo prínos liečby oproti samotnému kaptoprilu. Medzi valsartanom a</w:t>
      </w:r>
      <w:r w:rsidR="00C61410" w:rsidRPr="007656B5">
        <w:rPr>
          <w:rFonts w:ascii="Times New Roman" w:hAnsi="Times New Roman" w:cs="Times New Roman"/>
        </w:rPr>
        <w:t> </w:t>
      </w:r>
      <w:r w:rsidRPr="007656B5">
        <w:rPr>
          <w:rFonts w:ascii="Times New Roman" w:hAnsi="Times New Roman" w:cs="Times New Roman"/>
        </w:rPr>
        <w:t>kaptoprilom nebol rozdiel v</w:t>
      </w:r>
      <w:r w:rsidR="00E77CEA" w:rsidRPr="007656B5">
        <w:rPr>
          <w:rFonts w:ascii="Times New Roman" w:hAnsi="Times New Roman" w:cs="Times New Roman"/>
        </w:rPr>
        <w:t> </w:t>
      </w:r>
      <w:r w:rsidRPr="007656B5">
        <w:rPr>
          <w:rFonts w:ascii="Times New Roman" w:hAnsi="Times New Roman" w:cs="Times New Roman"/>
        </w:rPr>
        <w:t>mortalite zo všetkých príčin v</w:t>
      </w:r>
      <w:r w:rsidR="00E77CEA" w:rsidRPr="007656B5">
        <w:rPr>
          <w:rFonts w:ascii="Times New Roman" w:hAnsi="Times New Roman" w:cs="Times New Roman"/>
        </w:rPr>
        <w:t> </w:t>
      </w:r>
      <w:r w:rsidRPr="007656B5">
        <w:rPr>
          <w:rFonts w:ascii="Times New Roman" w:hAnsi="Times New Roman" w:cs="Times New Roman"/>
        </w:rPr>
        <w:t>závislosti od veku, pohlavia, rasy, základnej liečby alebo základného ochorenia. Valsartan bol tiež účinný v</w:t>
      </w:r>
      <w:r w:rsidR="00E77CEA" w:rsidRPr="007656B5">
        <w:rPr>
          <w:rFonts w:ascii="Times New Roman" w:hAnsi="Times New Roman" w:cs="Times New Roman"/>
        </w:rPr>
        <w:t> </w:t>
      </w:r>
      <w:r w:rsidRPr="007656B5">
        <w:rPr>
          <w:rFonts w:ascii="Times New Roman" w:hAnsi="Times New Roman" w:cs="Times New Roman"/>
        </w:rPr>
        <w:t>predĺžení času do úmrtia z</w:t>
      </w:r>
      <w:r w:rsidR="00E77CEA" w:rsidRPr="007656B5">
        <w:rPr>
          <w:rFonts w:ascii="Times New Roman" w:hAnsi="Times New Roman" w:cs="Times New Roman"/>
        </w:rPr>
        <w:t> </w:t>
      </w:r>
      <w:r w:rsidRPr="007656B5">
        <w:rPr>
          <w:rFonts w:ascii="Times New Roman" w:hAnsi="Times New Roman" w:cs="Times New Roman"/>
        </w:rPr>
        <w:t>kardiovaskulárnych príčin a</w:t>
      </w:r>
      <w:r w:rsidR="00E77CEA" w:rsidRPr="007656B5">
        <w:rPr>
          <w:rFonts w:ascii="Times New Roman" w:hAnsi="Times New Roman" w:cs="Times New Roman"/>
        </w:rPr>
        <w:t> </w:t>
      </w:r>
      <w:r w:rsidRPr="007656B5">
        <w:rPr>
          <w:rFonts w:ascii="Times New Roman" w:hAnsi="Times New Roman" w:cs="Times New Roman"/>
        </w:rPr>
        <w:t>znížení kardiovaskulárnej mortality, hospitalizácie pre srdcové zlyhanie, ďalšieho infarktu myokardu, zastavenia srdca s</w:t>
      </w:r>
      <w:r w:rsidR="00E77CEA" w:rsidRPr="007656B5">
        <w:rPr>
          <w:rFonts w:ascii="Times New Roman" w:hAnsi="Times New Roman" w:cs="Times New Roman"/>
        </w:rPr>
        <w:t> </w:t>
      </w:r>
      <w:r w:rsidRPr="007656B5">
        <w:rPr>
          <w:rFonts w:ascii="Times New Roman" w:hAnsi="Times New Roman" w:cs="Times New Roman"/>
        </w:rPr>
        <w:t>resuscitáciou a</w:t>
      </w:r>
      <w:r w:rsidR="00E77CEA" w:rsidRPr="007656B5">
        <w:rPr>
          <w:rFonts w:ascii="Times New Roman" w:hAnsi="Times New Roman" w:cs="Times New Roman"/>
        </w:rPr>
        <w:t> </w:t>
      </w:r>
      <w:r w:rsidRPr="007656B5">
        <w:rPr>
          <w:rFonts w:ascii="Times New Roman" w:hAnsi="Times New Roman" w:cs="Times New Roman"/>
        </w:rPr>
        <w:t>nefatálnej cievnej mozgovej príhody (sekundárny zložený cieľový ukazovateľ).</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lastRenderedPageBreak/>
        <w:t>Bezpečnostný profil valsartanu bol zhodný s</w:t>
      </w:r>
      <w:r w:rsidR="00C61410" w:rsidRPr="007656B5">
        <w:rPr>
          <w:rFonts w:ascii="Times New Roman" w:hAnsi="Times New Roman" w:cs="Times New Roman"/>
        </w:rPr>
        <w:t> </w:t>
      </w:r>
      <w:r w:rsidRPr="007656B5">
        <w:rPr>
          <w:rFonts w:ascii="Times New Roman" w:hAnsi="Times New Roman" w:cs="Times New Roman"/>
        </w:rPr>
        <w:t>klinickým priebehom u</w:t>
      </w:r>
      <w:r w:rsidR="00E77CEA" w:rsidRPr="007656B5">
        <w:rPr>
          <w:rFonts w:ascii="Times New Roman" w:hAnsi="Times New Roman" w:cs="Times New Roman"/>
        </w:rPr>
        <w:t> </w:t>
      </w:r>
      <w:r w:rsidRPr="007656B5">
        <w:rPr>
          <w:rFonts w:ascii="Times New Roman" w:hAnsi="Times New Roman" w:cs="Times New Roman"/>
        </w:rPr>
        <w:t>pacientov liečených po infarkte myokardu. Pokiaľ sa týka funkcie obličiek, zdvojnásobenie hodnoty kreatinínu v</w:t>
      </w:r>
      <w:r w:rsidR="00E77CEA" w:rsidRPr="007656B5">
        <w:rPr>
          <w:rFonts w:ascii="Times New Roman" w:hAnsi="Times New Roman" w:cs="Times New Roman"/>
        </w:rPr>
        <w:t> </w:t>
      </w:r>
      <w:r w:rsidRPr="007656B5">
        <w:rPr>
          <w:rFonts w:ascii="Times New Roman" w:hAnsi="Times New Roman" w:cs="Times New Roman"/>
        </w:rPr>
        <w:t>sére sa pozorovalo u</w:t>
      </w:r>
      <w:r w:rsidR="00416DD8" w:rsidRPr="007656B5">
        <w:rPr>
          <w:rFonts w:ascii="Times New Roman" w:hAnsi="Times New Roman" w:cs="Times New Roman"/>
        </w:rPr>
        <w:t> </w:t>
      </w:r>
      <w:r w:rsidRPr="007656B5">
        <w:rPr>
          <w:rFonts w:ascii="Times New Roman" w:hAnsi="Times New Roman" w:cs="Times New Roman"/>
        </w:rPr>
        <w:t>4,2</w:t>
      </w:r>
      <w:r w:rsidR="00F06576" w:rsidRPr="007656B5">
        <w:rPr>
          <w:rFonts w:ascii="Times New Roman" w:hAnsi="Times New Roman" w:cs="Times New Roman"/>
        </w:rPr>
        <w:t> %</w:t>
      </w:r>
      <w:r w:rsidRPr="007656B5">
        <w:rPr>
          <w:rFonts w:ascii="Times New Roman" w:hAnsi="Times New Roman" w:cs="Times New Roman"/>
        </w:rPr>
        <w:t xml:space="preserve"> pacientov liečených valsartanom, 4,8</w:t>
      </w:r>
      <w:r w:rsidR="00F06576" w:rsidRPr="007656B5">
        <w:rPr>
          <w:rFonts w:ascii="Times New Roman" w:hAnsi="Times New Roman" w:cs="Times New Roman"/>
        </w:rPr>
        <w:t> %</w:t>
      </w:r>
      <w:r w:rsidRPr="007656B5">
        <w:rPr>
          <w:rFonts w:ascii="Times New Roman" w:hAnsi="Times New Roman" w:cs="Times New Roman"/>
        </w:rPr>
        <w:t xml:space="preserve"> pacientov liečených valsartanom + kaptoprilom a</w:t>
      </w:r>
      <w:r w:rsidR="0039460B" w:rsidRPr="007656B5">
        <w:rPr>
          <w:rFonts w:ascii="Times New Roman" w:hAnsi="Times New Roman" w:cs="Times New Roman"/>
        </w:rPr>
        <w:t> </w:t>
      </w:r>
      <w:r w:rsidRPr="007656B5">
        <w:rPr>
          <w:rFonts w:ascii="Times New Roman" w:hAnsi="Times New Roman" w:cs="Times New Roman"/>
        </w:rPr>
        <w:t>3,4</w:t>
      </w:r>
      <w:r w:rsidR="00F06576" w:rsidRPr="007656B5">
        <w:rPr>
          <w:rFonts w:ascii="Times New Roman" w:hAnsi="Times New Roman" w:cs="Times New Roman"/>
        </w:rPr>
        <w:t> %</w:t>
      </w:r>
      <w:r w:rsidRPr="007656B5">
        <w:rPr>
          <w:rFonts w:ascii="Times New Roman" w:hAnsi="Times New Roman" w:cs="Times New Roman"/>
        </w:rPr>
        <w:t xml:space="preserve"> pacientov liečených kaptoprilom. Prerušenie liečby pre rôzne typy dysfunkcie obličiek sa vyskytlo u</w:t>
      </w:r>
      <w:r w:rsidR="00E77CEA" w:rsidRPr="007656B5">
        <w:rPr>
          <w:rFonts w:ascii="Times New Roman" w:hAnsi="Times New Roman" w:cs="Times New Roman"/>
        </w:rPr>
        <w:t> </w:t>
      </w:r>
      <w:r w:rsidRPr="007656B5">
        <w:rPr>
          <w:rFonts w:ascii="Times New Roman" w:hAnsi="Times New Roman" w:cs="Times New Roman"/>
        </w:rPr>
        <w:t>1,1</w:t>
      </w:r>
      <w:r w:rsidR="00F06576" w:rsidRPr="007656B5">
        <w:rPr>
          <w:rFonts w:ascii="Times New Roman" w:hAnsi="Times New Roman" w:cs="Times New Roman"/>
        </w:rPr>
        <w:t> %</w:t>
      </w:r>
      <w:r w:rsidRPr="007656B5">
        <w:rPr>
          <w:rFonts w:ascii="Times New Roman" w:hAnsi="Times New Roman" w:cs="Times New Roman"/>
        </w:rPr>
        <w:t xml:space="preserve"> pacientov liečených valsartanom, 1,3</w:t>
      </w:r>
      <w:r w:rsidR="00F06576" w:rsidRPr="007656B5">
        <w:rPr>
          <w:rFonts w:ascii="Times New Roman" w:hAnsi="Times New Roman" w:cs="Times New Roman"/>
        </w:rPr>
        <w:t> %</w:t>
      </w:r>
      <w:r w:rsidRPr="007656B5">
        <w:rPr>
          <w:rFonts w:ascii="Times New Roman" w:hAnsi="Times New Roman" w:cs="Times New Roman"/>
        </w:rPr>
        <w:t xml:space="preserve"> pacientov liečených valsartanom + kaptoprilom a</w:t>
      </w:r>
      <w:r w:rsidR="00E77CEA" w:rsidRPr="007656B5">
        <w:rPr>
          <w:rFonts w:ascii="Times New Roman" w:hAnsi="Times New Roman" w:cs="Times New Roman"/>
        </w:rPr>
        <w:t> </w:t>
      </w:r>
      <w:r w:rsidRPr="007656B5">
        <w:rPr>
          <w:rFonts w:ascii="Times New Roman" w:hAnsi="Times New Roman" w:cs="Times New Roman"/>
        </w:rPr>
        <w:t>0,8</w:t>
      </w:r>
      <w:r w:rsidR="00F06576" w:rsidRPr="007656B5">
        <w:rPr>
          <w:rFonts w:ascii="Times New Roman" w:hAnsi="Times New Roman" w:cs="Times New Roman"/>
        </w:rPr>
        <w:t> %</w:t>
      </w:r>
      <w:r w:rsidRPr="007656B5">
        <w:rPr>
          <w:rFonts w:ascii="Times New Roman" w:hAnsi="Times New Roman" w:cs="Times New Roman"/>
        </w:rPr>
        <w:t xml:space="preserve"> pacientov liečených kaptoprilom. Hodnotenie stavu pacientov po infarkte myokardu má zahŕňať vyšetrenie funkcie obličiek.</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Nebol rozdiel v</w:t>
      </w:r>
      <w:r w:rsidR="00E77CEA" w:rsidRPr="007656B5">
        <w:rPr>
          <w:rFonts w:ascii="Times New Roman" w:hAnsi="Times New Roman" w:cs="Times New Roman"/>
        </w:rPr>
        <w:t> </w:t>
      </w:r>
      <w:r w:rsidRPr="007656B5">
        <w:rPr>
          <w:rFonts w:ascii="Times New Roman" w:hAnsi="Times New Roman" w:cs="Times New Roman"/>
        </w:rPr>
        <w:t>mortalite zo všetkých príčin, kardiovaskulárnej mortalite a</w:t>
      </w:r>
      <w:r w:rsidR="00E77CEA" w:rsidRPr="007656B5">
        <w:rPr>
          <w:rFonts w:ascii="Times New Roman" w:hAnsi="Times New Roman" w:cs="Times New Roman"/>
        </w:rPr>
        <w:t> </w:t>
      </w:r>
      <w:r w:rsidRPr="007656B5">
        <w:rPr>
          <w:rFonts w:ascii="Times New Roman" w:hAnsi="Times New Roman" w:cs="Times New Roman"/>
        </w:rPr>
        <w:t>morbidite, keď sa betablokátory podávali spolu s</w:t>
      </w:r>
      <w:r w:rsidR="00C61410" w:rsidRPr="007656B5">
        <w:rPr>
          <w:rFonts w:ascii="Times New Roman" w:hAnsi="Times New Roman" w:cs="Times New Roman"/>
        </w:rPr>
        <w:t> </w:t>
      </w:r>
      <w:r w:rsidRPr="007656B5">
        <w:rPr>
          <w:rFonts w:ascii="Times New Roman" w:hAnsi="Times New Roman" w:cs="Times New Roman"/>
        </w:rPr>
        <w:t>kombináciou valsartanu + kaptoprilu, so samotným valsartanom alebo samotným kaptoprilom. Bez ohľadu na liečbu, mortalita bola nižšia v</w:t>
      </w:r>
      <w:r w:rsidR="00E77CEA" w:rsidRPr="007656B5">
        <w:rPr>
          <w:rFonts w:ascii="Times New Roman" w:hAnsi="Times New Roman" w:cs="Times New Roman"/>
        </w:rPr>
        <w:t> </w:t>
      </w:r>
      <w:r w:rsidRPr="007656B5">
        <w:rPr>
          <w:rFonts w:ascii="Times New Roman" w:hAnsi="Times New Roman" w:cs="Times New Roman"/>
        </w:rPr>
        <w:t>skupine pacientov, ktorí dostávali betablokátor, čo naznačuje, že v</w:t>
      </w:r>
      <w:r w:rsidR="00E77CEA" w:rsidRPr="007656B5">
        <w:rPr>
          <w:rFonts w:ascii="Times New Roman" w:hAnsi="Times New Roman" w:cs="Times New Roman"/>
        </w:rPr>
        <w:t> </w:t>
      </w:r>
      <w:r w:rsidRPr="007656B5">
        <w:rPr>
          <w:rFonts w:ascii="Times New Roman" w:hAnsi="Times New Roman" w:cs="Times New Roman"/>
        </w:rPr>
        <w:t>tomto klinickom skúšaní sa u</w:t>
      </w:r>
      <w:r w:rsidR="00E77CEA" w:rsidRPr="007656B5">
        <w:rPr>
          <w:rFonts w:ascii="Times New Roman" w:hAnsi="Times New Roman" w:cs="Times New Roman"/>
        </w:rPr>
        <w:t> </w:t>
      </w:r>
      <w:r w:rsidRPr="007656B5">
        <w:rPr>
          <w:rFonts w:ascii="Times New Roman" w:hAnsi="Times New Roman" w:cs="Times New Roman"/>
        </w:rPr>
        <w:t>tejto populácie zachoval známy prínos betablokátorov.</w:t>
      </w:r>
    </w:p>
    <w:p w:rsidR="007C2ED7" w:rsidRPr="007656B5" w:rsidRDefault="007C2ED7">
      <w:pPr>
        <w:pStyle w:val="Styl3"/>
        <w:rPr>
          <w:szCs w:val="22"/>
        </w:rPr>
      </w:pPr>
      <w:r w:rsidRPr="007656B5">
        <w:rPr>
          <w:szCs w:val="22"/>
        </w:rPr>
        <w:t>Zlyhanie srdca</w:t>
      </w:r>
      <w:r w:rsidR="00E77CEA" w:rsidRPr="007656B5">
        <w:rPr>
          <w:szCs w:val="22"/>
        </w:rPr>
        <w:t xml:space="preserve"> (40 mg, 80 mg a 160 mg)</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Val-HeFT bolo randomizované, kontrolované, medzinárodné klinické skúšanie porovnávajúce morbiditu a</w:t>
      </w:r>
      <w:r w:rsidR="00E77CEA" w:rsidRPr="007656B5">
        <w:rPr>
          <w:rFonts w:ascii="Times New Roman" w:hAnsi="Times New Roman" w:cs="Times New Roman"/>
        </w:rPr>
        <w:t> </w:t>
      </w:r>
      <w:r w:rsidRPr="007656B5">
        <w:rPr>
          <w:rFonts w:ascii="Times New Roman" w:hAnsi="Times New Roman" w:cs="Times New Roman"/>
        </w:rPr>
        <w:t>mortalitu pri valsartane a</w:t>
      </w:r>
      <w:r w:rsidR="00E77CEA" w:rsidRPr="007656B5">
        <w:rPr>
          <w:rFonts w:ascii="Times New Roman" w:hAnsi="Times New Roman" w:cs="Times New Roman"/>
        </w:rPr>
        <w:t> </w:t>
      </w:r>
      <w:r w:rsidRPr="007656B5">
        <w:rPr>
          <w:rFonts w:ascii="Times New Roman" w:hAnsi="Times New Roman" w:cs="Times New Roman"/>
        </w:rPr>
        <w:t>placebe u</w:t>
      </w:r>
      <w:r w:rsidR="00E77CEA" w:rsidRPr="007656B5">
        <w:rPr>
          <w:rFonts w:ascii="Times New Roman" w:hAnsi="Times New Roman" w:cs="Times New Roman"/>
        </w:rPr>
        <w:t> </w:t>
      </w:r>
      <w:r w:rsidRPr="007656B5">
        <w:rPr>
          <w:rFonts w:ascii="Times New Roman" w:hAnsi="Times New Roman" w:cs="Times New Roman"/>
        </w:rPr>
        <w:t>5</w:t>
      </w:r>
      <w:r w:rsidR="00E77CEA" w:rsidRPr="007656B5">
        <w:rPr>
          <w:rFonts w:ascii="Times New Roman" w:hAnsi="Times New Roman" w:cs="Times New Roman"/>
        </w:rPr>
        <w:t> </w:t>
      </w:r>
      <w:r w:rsidRPr="007656B5">
        <w:rPr>
          <w:rFonts w:ascii="Times New Roman" w:hAnsi="Times New Roman" w:cs="Times New Roman"/>
        </w:rPr>
        <w:t>010 pacientov so zlyhaním srdca triedy II podľa NYHA (62</w:t>
      </w:r>
      <w:r w:rsidR="00F06576" w:rsidRPr="007656B5">
        <w:rPr>
          <w:rFonts w:ascii="Times New Roman" w:hAnsi="Times New Roman" w:cs="Times New Roman"/>
        </w:rPr>
        <w:t> %</w:t>
      </w:r>
      <w:r w:rsidRPr="007656B5">
        <w:rPr>
          <w:rFonts w:ascii="Times New Roman" w:hAnsi="Times New Roman" w:cs="Times New Roman"/>
        </w:rPr>
        <w:t>), III (36</w:t>
      </w:r>
      <w:r w:rsidR="00F06576" w:rsidRPr="007656B5">
        <w:rPr>
          <w:rFonts w:ascii="Times New Roman" w:hAnsi="Times New Roman" w:cs="Times New Roman"/>
        </w:rPr>
        <w:t> %</w:t>
      </w:r>
      <w:r w:rsidRPr="007656B5">
        <w:rPr>
          <w:rFonts w:ascii="Times New Roman" w:hAnsi="Times New Roman" w:cs="Times New Roman"/>
        </w:rPr>
        <w:t>) a</w:t>
      </w:r>
      <w:r w:rsidR="00E77CEA" w:rsidRPr="007656B5">
        <w:rPr>
          <w:rFonts w:ascii="Times New Roman" w:hAnsi="Times New Roman" w:cs="Times New Roman"/>
        </w:rPr>
        <w:t> </w:t>
      </w:r>
      <w:r w:rsidRPr="007656B5">
        <w:rPr>
          <w:rFonts w:ascii="Times New Roman" w:hAnsi="Times New Roman" w:cs="Times New Roman"/>
        </w:rPr>
        <w:t>IV (2</w:t>
      </w:r>
      <w:r w:rsidR="00F06576" w:rsidRPr="007656B5">
        <w:rPr>
          <w:rFonts w:ascii="Times New Roman" w:hAnsi="Times New Roman" w:cs="Times New Roman"/>
        </w:rPr>
        <w:t> %</w:t>
      </w:r>
      <w:r w:rsidRPr="007656B5">
        <w:rPr>
          <w:rFonts w:ascii="Times New Roman" w:hAnsi="Times New Roman" w:cs="Times New Roman"/>
        </w:rPr>
        <w:t>), s</w:t>
      </w:r>
      <w:r w:rsidR="00E77CEA" w:rsidRPr="007656B5">
        <w:rPr>
          <w:rFonts w:ascii="Times New Roman" w:hAnsi="Times New Roman" w:cs="Times New Roman"/>
        </w:rPr>
        <w:t> </w:t>
      </w:r>
      <w:r w:rsidRPr="007656B5">
        <w:rPr>
          <w:rFonts w:ascii="Times New Roman" w:hAnsi="Times New Roman" w:cs="Times New Roman"/>
        </w:rPr>
        <w:t>LVEF &lt;40</w:t>
      </w:r>
      <w:r w:rsidR="00F06576" w:rsidRPr="007656B5">
        <w:rPr>
          <w:rFonts w:ascii="Times New Roman" w:hAnsi="Times New Roman" w:cs="Times New Roman"/>
        </w:rPr>
        <w:t> %</w:t>
      </w:r>
      <w:r w:rsidRPr="007656B5">
        <w:rPr>
          <w:rFonts w:ascii="Times New Roman" w:hAnsi="Times New Roman" w:cs="Times New Roman"/>
        </w:rPr>
        <w:t xml:space="preserve"> a</w:t>
      </w:r>
      <w:r w:rsidR="00E77CEA" w:rsidRPr="007656B5">
        <w:rPr>
          <w:rFonts w:ascii="Times New Roman" w:hAnsi="Times New Roman" w:cs="Times New Roman"/>
        </w:rPr>
        <w:t> </w:t>
      </w:r>
      <w:r w:rsidRPr="007656B5">
        <w:rPr>
          <w:rFonts w:ascii="Times New Roman" w:hAnsi="Times New Roman" w:cs="Times New Roman"/>
        </w:rPr>
        <w:t>vnútorným diastolickým priemerom ľavej komory (</w:t>
      </w:r>
      <w:r w:rsidR="00BF3201" w:rsidRPr="007656B5">
        <w:rPr>
          <w:rFonts w:ascii="Times New Roman" w:hAnsi="Times New Roman" w:cs="Times New Roman"/>
        </w:rPr>
        <w:t xml:space="preserve">left ventricular internal diastolic diameter, </w:t>
      </w:r>
      <w:r w:rsidRPr="007656B5">
        <w:rPr>
          <w:rFonts w:ascii="Times New Roman" w:hAnsi="Times New Roman" w:cs="Times New Roman"/>
        </w:rPr>
        <w:t>LVIDD) &gt;2,9</w:t>
      </w:r>
      <w:r w:rsidR="00E77CEA" w:rsidRPr="007656B5">
        <w:rPr>
          <w:rFonts w:ascii="Times New Roman" w:hAnsi="Times New Roman" w:cs="Times New Roman"/>
        </w:rPr>
        <w:t> </w:t>
      </w:r>
      <w:r w:rsidRPr="007656B5">
        <w:rPr>
          <w:rFonts w:ascii="Times New Roman" w:hAnsi="Times New Roman" w:cs="Times New Roman"/>
        </w:rPr>
        <w:t>cm/m</w:t>
      </w:r>
      <w:r w:rsidRPr="007656B5">
        <w:rPr>
          <w:rFonts w:ascii="Times New Roman" w:hAnsi="Times New Roman" w:cs="Times New Roman"/>
          <w:vertAlign w:val="superscript"/>
        </w:rPr>
        <w:t>2</w:t>
      </w:r>
      <w:r w:rsidRPr="007656B5">
        <w:rPr>
          <w:rFonts w:ascii="Times New Roman" w:hAnsi="Times New Roman" w:cs="Times New Roman"/>
        </w:rPr>
        <w:t>, ktorí dostávali zvyčajnú liečbu. Základná liečba zahŕňala inhibítory ACE (93</w:t>
      </w:r>
      <w:r w:rsidR="00F06576" w:rsidRPr="007656B5">
        <w:rPr>
          <w:rFonts w:ascii="Times New Roman" w:hAnsi="Times New Roman" w:cs="Times New Roman"/>
        </w:rPr>
        <w:t> %</w:t>
      </w:r>
      <w:r w:rsidRPr="007656B5">
        <w:rPr>
          <w:rFonts w:ascii="Times New Roman" w:hAnsi="Times New Roman" w:cs="Times New Roman"/>
        </w:rPr>
        <w:t>), diuretiká (86</w:t>
      </w:r>
      <w:r w:rsidR="00F06576" w:rsidRPr="007656B5">
        <w:rPr>
          <w:rFonts w:ascii="Times New Roman" w:hAnsi="Times New Roman" w:cs="Times New Roman"/>
        </w:rPr>
        <w:t> %</w:t>
      </w:r>
      <w:r w:rsidRPr="007656B5">
        <w:rPr>
          <w:rFonts w:ascii="Times New Roman" w:hAnsi="Times New Roman" w:cs="Times New Roman"/>
        </w:rPr>
        <w:t>), digoxín (67</w:t>
      </w:r>
      <w:r w:rsidR="00F06576" w:rsidRPr="007656B5">
        <w:rPr>
          <w:rFonts w:ascii="Times New Roman" w:hAnsi="Times New Roman" w:cs="Times New Roman"/>
        </w:rPr>
        <w:t> %</w:t>
      </w:r>
      <w:r w:rsidRPr="007656B5">
        <w:rPr>
          <w:rFonts w:ascii="Times New Roman" w:hAnsi="Times New Roman" w:cs="Times New Roman"/>
        </w:rPr>
        <w:t>) a</w:t>
      </w:r>
      <w:r w:rsidR="003D0D38" w:rsidRPr="007656B5">
        <w:rPr>
          <w:rFonts w:ascii="Times New Roman" w:hAnsi="Times New Roman" w:cs="Times New Roman"/>
        </w:rPr>
        <w:t> </w:t>
      </w:r>
      <w:r w:rsidRPr="007656B5">
        <w:rPr>
          <w:rFonts w:ascii="Times New Roman" w:hAnsi="Times New Roman" w:cs="Times New Roman"/>
        </w:rPr>
        <w:t>betablokátory (36</w:t>
      </w:r>
      <w:r w:rsidR="00F06576" w:rsidRPr="007656B5">
        <w:rPr>
          <w:rFonts w:ascii="Times New Roman" w:hAnsi="Times New Roman" w:cs="Times New Roman"/>
        </w:rPr>
        <w:t> %</w:t>
      </w:r>
      <w:r w:rsidRPr="007656B5">
        <w:rPr>
          <w:rFonts w:ascii="Times New Roman" w:hAnsi="Times New Roman" w:cs="Times New Roman"/>
        </w:rPr>
        <w:t xml:space="preserve">). Priemerné následné sledovanie trvalo takmer 2 roky. Priemerná denná dávka </w:t>
      </w:r>
      <w:r w:rsidR="003B7D10" w:rsidRPr="007656B5">
        <w:rPr>
          <w:rFonts w:ascii="Times New Roman" w:hAnsi="Times New Roman" w:cs="Times New Roman"/>
        </w:rPr>
        <w:t>valsartanu</w:t>
      </w:r>
      <w:r w:rsidRPr="007656B5">
        <w:rPr>
          <w:rFonts w:ascii="Times New Roman" w:hAnsi="Times New Roman" w:cs="Times New Roman"/>
        </w:rPr>
        <w:t xml:space="preserve"> v</w:t>
      </w:r>
      <w:r w:rsidR="00E77CEA" w:rsidRPr="007656B5">
        <w:rPr>
          <w:rFonts w:ascii="Times New Roman" w:hAnsi="Times New Roman" w:cs="Times New Roman"/>
        </w:rPr>
        <w:t> </w:t>
      </w:r>
      <w:r w:rsidRPr="007656B5">
        <w:rPr>
          <w:rFonts w:ascii="Times New Roman" w:hAnsi="Times New Roman" w:cs="Times New Roman"/>
        </w:rPr>
        <w:t>skúšaní Val-HeFT bola 254</w:t>
      </w:r>
      <w:r w:rsidR="00E77CEA" w:rsidRPr="007656B5">
        <w:rPr>
          <w:rFonts w:ascii="Times New Roman" w:hAnsi="Times New Roman" w:cs="Times New Roman"/>
        </w:rPr>
        <w:t> </w:t>
      </w:r>
      <w:r w:rsidRPr="007656B5">
        <w:rPr>
          <w:rFonts w:ascii="Times New Roman" w:hAnsi="Times New Roman" w:cs="Times New Roman"/>
        </w:rPr>
        <w:t>mg. Skúšanie malo dva primárne cieľové ukazovatele: mortalitu zo všetkých príčin (čas do úmrtia) a</w:t>
      </w:r>
      <w:r w:rsidR="00C61410" w:rsidRPr="007656B5">
        <w:rPr>
          <w:rFonts w:ascii="Times New Roman" w:hAnsi="Times New Roman" w:cs="Times New Roman"/>
        </w:rPr>
        <w:t> </w:t>
      </w:r>
      <w:r w:rsidRPr="007656B5">
        <w:rPr>
          <w:rFonts w:ascii="Times New Roman" w:hAnsi="Times New Roman" w:cs="Times New Roman"/>
        </w:rPr>
        <w:t>morbiditu súvisiacu so zlyhaním srdca (čas do prvej chorobnej udalosti), definovanú ako úmrtie, náhle úmrtie s</w:t>
      </w:r>
      <w:r w:rsidR="00416DD8" w:rsidRPr="007656B5">
        <w:rPr>
          <w:rFonts w:ascii="Times New Roman" w:hAnsi="Times New Roman" w:cs="Times New Roman"/>
        </w:rPr>
        <w:t> </w:t>
      </w:r>
      <w:r w:rsidRPr="007656B5">
        <w:rPr>
          <w:rFonts w:ascii="Times New Roman" w:hAnsi="Times New Roman" w:cs="Times New Roman"/>
        </w:rPr>
        <w:t>resuscitáciou, hospitalizácia pre zlyhanie srdca, alebo intravenózne podanie liekov s</w:t>
      </w:r>
      <w:r w:rsidR="00E77CEA" w:rsidRPr="007656B5">
        <w:rPr>
          <w:rFonts w:ascii="Times New Roman" w:hAnsi="Times New Roman" w:cs="Times New Roman"/>
        </w:rPr>
        <w:t> </w:t>
      </w:r>
      <w:r w:rsidRPr="007656B5">
        <w:rPr>
          <w:rFonts w:ascii="Times New Roman" w:hAnsi="Times New Roman" w:cs="Times New Roman"/>
        </w:rPr>
        <w:t>inotropným alebo vazodilatačným účinkom počas štyroch alebo viac hodín bez hospitalizácie. Mortalita zo všetkých príčin bola podobná (p=NS) v</w:t>
      </w:r>
      <w:r w:rsidR="00E77CEA" w:rsidRPr="007656B5">
        <w:rPr>
          <w:rFonts w:ascii="Times New Roman" w:hAnsi="Times New Roman" w:cs="Times New Roman"/>
        </w:rPr>
        <w:t> </w:t>
      </w:r>
      <w:r w:rsidRPr="007656B5">
        <w:rPr>
          <w:rFonts w:ascii="Times New Roman" w:hAnsi="Times New Roman" w:cs="Times New Roman"/>
        </w:rPr>
        <w:t>skupinách valsartanu (19,7</w:t>
      </w:r>
      <w:r w:rsidR="00F06576" w:rsidRPr="007656B5">
        <w:rPr>
          <w:rFonts w:ascii="Times New Roman" w:hAnsi="Times New Roman" w:cs="Times New Roman"/>
        </w:rPr>
        <w:t> %</w:t>
      </w:r>
      <w:r w:rsidRPr="007656B5">
        <w:rPr>
          <w:rFonts w:ascii="Times New Roman" w:hAnsi="Times New Roman" w:cs="Times New Roman"/>
        </w:rPr>
        <w:t>) a</w:t>
      </w:r>
      <w:r w:rsidR="00E77CEA" w:rsidRPr="007656B5">
        <w:rPr>
          <w:rFonts w:ascii="Times New Roman" w:hAnsi="Times New Roman" w:cs="Times New Roman"/>
        </w:rPr>
        <w:t> </w:t>
      </w:r>
      <w:r w:rsidRPr="007656B5">
        <w:rPr>
          <w:rFonts w:ascii="Times New Roman" w:hAnsi="Times New Roman" w:cs="Times New Roman"/>
        </w:rPr>
        <w:t>placeba (19,4</w:t>
      </w:r>
      <w:r w:rsidR="00F06576" w:rsidRPr="007656B5">
        <w:rPr>
          <w:rFonts w:ascii="Times New Roman" w:hAnsi="Times New Roman" w:cs="Times New Roman"/>
        </w:rPr>
        <w:t> %</w:t>
      </w:r>
      <w:r w:rsidRPr="007656B5">
        <w:rPr>
          <w:rFonts w:ascii="Times New Roman" w:hAnsi="Times New Roman" w:cs="Times New Roman"/>
        </w:rPr>
        <w:t>). Primárnym prínosom liečby bolo zníženie rizika pre čas do prvej hospitalizácie pre zlyhanie srdca o</w:t>
      </w:r>
      <w:r w:rsidR="00E77CEA" w:rsidRPr="007656B5">
        <w:rPr>
          <w:rFonts w:ascii="Times New Roman" w:hAnsi="Times New Roman" w:cs="Times New Roman"/>
        </w:rPr>
        <w:t> </w:t>
      </w:r>
      <w:r w:rsidRPr="007656B5">
        <w:rPr>
          <w:rFonts w:ascii="Times New Roman" w:hAnsi="Times New Roman" w:cs="Times New Roman"/>
        </w:rPr>
        <w:t>27,5</w:t>
      </w:r>
      <w:r w:rsidR="00F06576" w:rsidRPr="007656B5">
        <w:rPr>
          <w:rFonts w:ascii="Times New Roman" w:hAnsi="Times New Roman" w:cs="Times New Roman"/>
        </w:rPr>
        <w:t> %</w:t>
      </w:r>
      <w:r w:rsidRPr="007656B5">
        <w:rPr>
          <w:rFonts w:ascii="Times New Roman" w:hAnsi="Times New Roman" w:cs="Times New Roman"/>
        </w:rPr>
        <w:t xml:space="preserve"> (95</w:t>
      </w:r>
      <w:r w:rsidR="00F06576" w:rsidRPr="007656B5">
        <w:rPr>
          <w:rFonts w:ascii="Times New Roman" w:hAnsi="Times New Roman" w:cs="Times New Roman"/>
        </w:rPr>
        <w:t> %</w:t>
      </w:r>
      <w:r w:rsidRPr="007656B5">
        <w:rPr>
          <w:rFonts w:ascii="Times New Roman" w:hAnsi="Times New Roman" w:cs="Times New Roman"/>
        </w:rPr>
        <w:t xml:space="preserve"> CI: 17 až 37</w:t>
      </w:r>
      <w:r w:rsidR="00F06576" w:rsidRPr="007656B5">
        <w:rPr>
          <w:rFonts w:ascii="Times New Roman" w:hAnsi="Times New Roman" w:cs="Times New Roman"/>
        </w:rPr>
        <w:t> %</w:t>
      </w:r>
      <w:r w:rsidRPr="007656B5">
        <w:rPr>
          <w:rFonts w:ascii="Times New Roman" w:hAnsi="Times New Roman" w:cs="Times New Roman"/>
        </w:rPr>
        <w:t>) (13,9</w:t>
      </w:r>
      <w:r w:rsidR="00F06576" w:rsidRPr="007656B5">
        <w:rPr>
          <w:rFonts w:ascii="Times New Roman" w:hAnsi="Times New Roman" w:cs="Times New Roman"/>
        </w:rPr>
        <w:t> %</w:t>
      </w:r>
      <w:r w:rsidRPr="007656B5">
        <w:rPr>
          <w:rFonts w:ascii="Times New Roman" w:hAnsi="Times New Roman" w:cs="Times New Roman"/>
        </w:rPr>
        <w:t xml:space="preserve"> oproti 18,5</w:t>
      </w:r>
      <w:r w:rsidR="00F06576" w:rsidRPr="007656B5">
        <w:rPr>
          <w:rFonts w:ascii="Times New Roman" w:hAnsi="Times New Roman" w:cs="Times New Roman"/>
        </w:rPr>
        <w:t> %</w:t>
      </w:r>
      <w:r w:rsidRPr="007656B5">
        <w:rPr>
          <w:rFonts w:ascii="Times New Roman" w:hAnsi="Times New Roman" w:cs="Times New Roman"/>
        </w:rPr>
        <w:t>). Výsledky naznačujúce prínos placeba (zložená mortalita a</w:t>
      </w:r>
      <w:r w:rsidR="0039460B" w:rsidRPr="007656B5">
        <w:rPr>
          <w:rFonts w:ascii="Times New Roman" w:hAnsi="Times New Roman" w:cs="Times New Roman"/>
        </w:rPr>
        <w:t> </w:t>
      </w:r>
      <w:r w:rsidRPr="007656B5">
        <w:rPr>
          <w:rFonts w:ascii="Times New Roman" w:hAnsi="Times New Roman" w:cs="Times New Roman"/>
        </w:rPr>
        <w:t>morbidita bola 21,9</w:t>
      </w:r>
      <w:r w:rsidR="00F06576" w:rsidRPr="007656B5">
        <w:rPr>
          <w:rFonts w:ascii="Times New Roman" w:hAnsi="Times New Roman" w:cs="Times New Roman"/>
        </w:rPr>
        <w:t> %</w:t>
      </w:r>
      <w:r w:rsidRPr="007656B5">
        <w:rPr>
          <w:rFonts w:ascii="Times New Roman" w:hAnsi="Times New Roman" w:cs="Times New Roman"/>
        </w:rPr>
        <w:t xml:space="preserve"> pri placebe oproti 25,4</w:t>
      </w:r>
      <w:r w:rsidR="00F06576" w:rsidRPr="007656B5">
        <w:rPr>
          <w:rFonts w:ascii="Times New Roman" w:hAnsi="Times New Roman" w:cs="Times New Roman"/>
        </w:rPr>
        <w:t> %</w:t>
      </w:r>
      <w:r w:rsidRPr="007656B5">
        <w:rPr>
          <w:rFonts w:ascii="Times New Roman" w:hAnsi="Times New Roman" w:cs="Times New Roman"/>
        </w:rPr>
        <w:t xml:space="preserve"> v</w:t>
      </w:r>
      <w:r w:rsidR="00E77CEA" w:rsidRPr="007656B5">
        <w:rPr>
          <w:rFonts w:ascii="Times New Roman" w:hAnsi="Times New Roman" w:cs="Times New Roman"/>
        </w:rPr>
        <w:t> </w:t>
      </w:r>
      <w:r w:rsidRPr="007656B5">
        <w:rPr>
          <w:rFonts w:ascii="Times New Roman" w:hAnsi="Times New Roman" w:cs="Times New Roman"/>
        </w:rPr>
        <w:t>skupine valsartanu) sa pozorovali u</w:t>
      </w:r>
      <w:r w:rsidR="00E77CEA" w:rsidRPr="007656B5">
        <w:rPr>
          <w:rFonts w:ascii="Times New Roman" w:hAnsi="Times New Roman" w:cs="Times New Roman"/>
        </w:rPr>
        <w:t> </w:t>
      </w:r>
      <w:r w:rsidRPr="007656B5">
        <w:rPr>
          <w:rFonts w:ascii="Times New Roman" w:hAnsi="Times New Roman" w:cs="Times New Roman"/>
        </w:rPr>
        <w:t>pacientov, ktorí dostávali trojkombináciu inhibítora ACE, betablokátora a</w:t>
      </w:r>
      <w:r w:rsidR="00E77CEA" w:rsidRPr="007656B5">
        <w:rPr>
          <w:rFonts w:ascii="Times New Roman" w:hAnsi="Times New Roman" w:cs="Times New Roman"/>
        </w:rPr>
        <w:t> </w:t>
      </w:r>
      <w:r w:rsidRPr="007656B5">
        <w:rPr>
          <w:rFonts w:ascii="Times New Roman" w:hAnsi="Times New Roman" w:cs="Times New Roman"/>
        </w:rPr>
        <w:t>valsartanu. Prínos liečby vzhľadom na morbiditu bol najvyšší v</w:t>
      </w:r>
      <w:r w:rsidR="00E77CEA" w:rsidRPr="007656B5">
        <w:rPr>
          <w:rFonts w:ascii="Times New Roman" w:hAnsi="Times New Roman" w:cs="Times New Roman"/>
        </w:rPr>
        <w:t> </w:t>
      </w:r>
      <w:r w:rsidRPr="007656B5">
        <w:rPr>
          <w:rFonts w:ascii="Times New Roman" w:hAnsi="Times New Roman" w:cs="Times New Roman"/>
        </w:rPr>
        <w:t>podskupine pacientov, ktorí nedostávali inhibítor ACE (n=366). V</w:t>
      </w:r>
      <w:r w:rsidR="00E77CEA" w:rsidRPr="007656B5">
        <w:rPr>
          <w:rFonts w:ascii="Times New Roman" w:hAnsi="Times New Roman" w:cs="Times New Roman"/>
        </w:rPr>
        <w:t> </w:t>
      </w:r>
      <w:r w:rsidRPr="007656B5">
        <w:rPr>
          <w:rFonts w:ascii="Times New Roman" w:hAnsi="Times New Roman" w:cs="Times New Roman"/>
        </w:rPr>
        <w:t>tejto podskupine sa mortalita zo všetkých príčin valsartanom významne znížila v</w:t>
      </w:r>
      <w:r w:rsidR="00E77CEA" w:rsidRPr="007656B5">
        <w:rPr>
          <w:rFonts w:ascii="Times New Roman" w:hAnsi="Times New Roman" w:cs="Times New Roman"/>
        </w:rPr>
        <w:t> </w:t>
      </w:r>
      <w:r w:rsidRPr="007656B5">
        <w:rPr>
          <w:rFonts w:ascii="Times New Roman" w:hAnsi="Times New Roman" w:cs="Times New Roman"/>
        </w:rPr>
        <w:t>porovnaní s</w:t>
      </w:r>
      <w:r w:rsidR="00E77CEA" w:rsidRPr="007656B5">
        <w:rPr>
          <w:rFonts w:ascii="Times New Roman" w:hAnsi="Times New Roman" w:cs="Times New Roman"/>
        </w:rPr>
        <w:t> </w:t>
      </w:r>
      <w:r w:rsidRPr="007656B5">
        <w:rPr>
          <w:rFonts w:ascii="Times New Roman" w:hAnsi="Times New Roman" w:cs="Times New Roman"/>
        </w:rPr>
        <w:t>placebom, o</w:t>
      </w:r>
      <w:r w:rsidR="00416DD8" w:rsidRPr="007656B5">
        <w:rPr>
          <w:rFonts w:ascii="Times New Roman" w:hAnsi="Times New Roman" w:cs="Times New Roman"/>
        </w:rPr>
        <w:t> </w:t>
      </w:r>
      <w:r w:rsidRPr="007656B5">
        <w:rPr>
          <w:rFonts w:ascii="Times New Roman" w:hAnsi="Times New Roman" w:cs="Times New Roman"/>
        </w:rPr>
        <w:t>33</w:t>
      </w:r>
      <w:r w:rsidR="00F06576" w:rsidRPr="007656B5">
        <w:rPr>
          <w:rFonts w:ascii="Times New Roman" w:hAnsi="Times New Roman" w:cs="Times New Roman"/>
        </w:rPr>
        <w:t> %</w:t>
      </w:r>
      <w:r w:rsidRPr="007656B5">
        <w:rPr>
          <w:rFonts w:ascii="Times New Roman" w:hAnsi="Times New Roman" w:cs="Times New Roman"/>
        </w:rPr>
        <w:t xml:space="preserve"> (95</w:t>
      </w:r>
      <w:r w:rsidR="00F06576" w:rsidRPr="007656B5">
        <w:rPr>
          <w:rFonts w:ascii="Times New Roman" w:hAnsi="Times New Roman" w:cs="Times New Roman"/>
        </w:rPr>
        <w:t> %</w:t>
      </w:r>
      <w:r w:rsidRPr="007656B5">
        <w:rPr>
          <w:rFonts w:ascii="Times New Roman" w:hAnsi="Times New Roman" w:cs="Times New Roman"/>
        </w:rPr>
        <w:t xml:space="preserve"> CI: -6</w:t>
      </w:r>
      <w:r w:rsidR="00F06576" w:rsidRPr="007656B5">
        <w:rPr>
          <w:rFonts w:ascii="Times New Roman" w:hAnsi="Times New Roman" w:cs="Times New Roman"/>
        </w:rPr>
        <w:t> %</w:t>
      </w:r>
      <w:r w:rsidRPr="007656B5">
        <w:rPr>
          <w:rFonts w:ascii="Times New Roman" w:hAnsi="Times New Roman" w:cs="Times New Roman"/>
        </w:rPr>
        <w:t xml:space="preserve"> až 58</w:t>
      </w:r>
      <w:r w:rsidR="00F06576" w:rsidRPr="007656B5">
        <w:rPr>
          <w:rFonts w:ascii="Times New Roman" w:hAnsi="Times New Roman" w:cs="Times New Roman"/>
        </w:rPr>
        <w:t> %</w:t>
      </w:r>
      <w:r w:rsidRPr="007656B5">
        <w:rPr>
          <w:rFonts w:ascii="Times New Roman" w:hAnsi="Times New Roman" w:cs="Times New Roman"/>
        </w:rPr>
        <w:t>) (17,3</w:t>
      </w:r>
      <w:r w:rsidR="00F06576" w:rsidRPr="007656B5">
        <w:rPr>
          <w:rFonts w:ascii="Times New Roman" w:hAnsi="Times New Roman" w:cs="Times New Roman"/>
        </w:rPr>
        <w:t> %</w:t>
      </w:r>
      <w:r w:rsidRPr="007656B5">
        <w:rPr>
          <w:rFonts w:ascii="Times New Roman" w:hAnsi="Times New Roman" w:cs="Times New Roman"/>
        </w:rPr>
        <w:t xml:space="preserve"> pri valsartane oproti 27,1</w:t>
      </w:r>
      <w:r w:rsidR="00F06576" w:rsidRPr="007656B5">
        <w:rPr>
          <w:rFonts w:ascii="Times New Roman" w:hAnsi="Times New Roman" w:cs="Times New Roman"/>
        </w:rPr>
        <w:t> %</w:t>
      </w:r>
      <w:r w:rsidRPr="007656B5">
        <w:rPr>
          <w:rFonts w:ascii="Times New Roman" w:hAnsi="Times New Roman" w:cs="Times New Roman"/>
        </w:rPr>
        <w:t xml:space="preserve"> pri placebe) a</w:t>
      </w:r>
      <w:r w:rsidR="00E77CEA" w:rsidRPr="007656B5">
        <w:rPr>
          <w:rFonts w:ascii="Times New Roman" w:hAnsi="Times New Roman" w:cs="Times New Roman"/>
        </w:rPr>
        <w:t> </w:t>
      </w:r>
      <w:r w:rsidRPr="007656B5">
        <w:rPr>
          <w:rFonts w:ascii="Times New Roman" w:hAnsi="Times New Roman" w:cs="Times New Roman"/>
        </w:rPr>
        <w:t>zložené riziko mortality a</w:t>
      </w:r>
      <w:r w:rsidR="00E77CEA" w:rsidRPr="007656B5">
        <w:rPr>
          <w:rFonts w:ascii="Times New Roman" w:hAnsi="Times New Roman" w:cs="Times New Roman"/>
        </w:rPr>
        <w:t> </w:t>
      </w:r>
      <w:r w:rsidRPr="007656B5">
        <w:rPr>
          <w:rFonts w:ascii="Times New Roman" w:hAnsi="Times New Roman" w:cs="Times New Roman"/>
        </w:rPr>
        <w:t>morbidity sa významne znížilo o</w:t>
      </w:r>
      <w:r w:rsidR="003D0D38" w:rsidRPr="007656B5">
        <w:rPr>
          <w:rFonts w:ascii="Times New Roman" w:hAnsi="Times New Roman" w:cs="Times New Roman"/>
        </w:rPr>
        <w:t> </w:t>
      </w:r>
      <w:r w:rsidRPr="007656B5">
        <w:rPr>
          <w:rFonts w:ascii="Times New Roman" w:hAnsi="Times New Roman" w:cs="Times New Roman"/>
        </w:rPr>
        <w:t>44</w:t>
      </w:r>
      <w:r w:rsidR="00F06576" w:rsidRPr="007656B5">
        <w:rPr>
          <w:rFonts w:ascii="Times New Roman" w:hAnsi="Times New Roman" w:cs="Times New Roman"/>
        </w:rPr>
        <w:t> %</w:t>
      </w:r>
      <w:r w:rsidRPr="007656B5">
        <w:rPr>
          <w:rFonts w:ascii="Times New Roman" w:hAnsi="Times New Roman" w:cs="Times New Roman"/>
        </w:rPr>
        <w:t xml:space="preserve"> (24,9</w:t>
      </w:r>
      <w:r w:rsidR="00F06576" w:rsidRPr="007656B5">
        <w:rPr>
          <w:rFonts w:ascii="Times New Roman" w:hAnsi="Times New Roman" w:cs="Times New Roman"/>
        </w:rPr>
        <w:t> %</w:t>
      </w:r>
      <w:r w:rsidRPr="007656B5">
        <w:rPr>
          <w:rFonts w:ascii="Times New Roman" w:hAnsi="Times New Roman" w:cs="Times New Roman"/>
        </w:rPr>
        <w:t xml:space="preserve"> pri valsartane oproti 42,5</w:t>
      </w:r>
      <w:r w:rsidR="00F06576" w:rsidRPr="007656B5">
        <w:rPr>
          <w:rFonts w:ascii="Times New Roman" w:hAnsi="Times New Roman" w:cs="Times New Roman"/>
        </w:rPr>
        <w:t> %</w:t>
      </w:r>
      <w:r w:rsidRPr="007656B5">
        <w:rPr>
          <w:rFonts w:ascii="Times New Roman" w:hAnsi="Times New Roman" w:cs="Times New Roman"/>
        </w:rPr>
        <w:t xml:space="preserve"> pri placebe).</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U</w:t>
      </w:r>
      <w:r w:rsidR="00E77CEA" w:rsidRPr="007656B5">
        <w:rPr>
          <w:rFonts w:ascii="Times New Roman" w:hAnsi="Times New Roman" w:cs="Times New Roman"/>
        </w:rPr>
        <w:t> </w:t>
      </w:r>
      <w:r w:rsidRPr="007656B5">
        <w:rPr>
          <w:rFonts w:ascii="Times New Roman" w:hAnsi="Times New Roman" w:cs="Times New Roman"/>
        </w:rPr>
        <w:t>pacientov, ktorí dostávali inhibítor ACE bez betablokátora, bola mortalita zo všetkých príčin podobná (p=NS) v</w:t>
      </w:r>
      <w:r w:rsidR="00E77CEA" w:rsidRPr="007656B5">
        <w:rPr>
          <w:rFonts w:ascii="Times New Roman" w:hAnsi="Times New Roman" w:cs="Times New Roman"/>
        </w:rPr>
        <w:t> </w:t>
      </w:r>
      <w:r w:rsidRPr="007656B5">
        <w:rPr>
          <w:rFonts w:ascii="Times New Roman" w:hAnsi="Times New Roman" w:cs="Times New Roman"/>
        </w:rPr>
        <w:t>skupine valsartanu (21,8</w:t>
      </w:r>
      <w:r w:rsidR="00F06576" w:rsidRPr="007656B5">
        <w:rPr>
          <w:rFonts w:ascii="Times New Roman" w:hAnsi="Times New Roman" w:cs="Times New Roman"/>
        </w:rPr>
        <w:t> %</w:t>
      </w:r>
      <w:r w:rsidRPr="007656B5">
        <w:rPr>
          <w:rFonts w:ascii="Times New Roman" w:hAnsi="Times New Roman" w:cs="Times New Roman"/>
        </w:rPr>
        <w:t>) a</w:t>
      </w:r>
      <w:r w:rsidR="00E77CEA" w:rsidRPr="007656B5">
        <w:rPr>
          <w:rFonts w:ascii="Times New Roman" w:hAnsi="Times New Roman" w:cs="Times New Roman"/>
        </w:rPr>
        <w:t> </w:t>
      </w:r>
      <w:r w:rsidRPr="007656B5">
        <w:rPr>
          <w:rFonts w:ascii="Times New Roman" w:hAnsi="Times New Roman" w:cs="Times New Roman"/>
        </w:rPr>
        <w:t>placeba (22,5</w:t>
      </w:r>
      <w:r w:rsidR="00F06576" w:rsidRPr="007656B5">
        <w:rPr>
          <w:rFonts w:ascii="Times New Roman" w:hAnsi="Times New Roman" w:cs="Times New Roman"/>
        </w:rPr>
        <w:t> %</w:t>
      </w:r>
      <w:r w:rsidRPr="007656B5">
        <w:rPr>
          <w:rFonts w:ascii="Times New Roman" w:hAnsi="Times New Roman" w:cs="Times New Roman"/>
        </w:rPr>
        <w:t>). Zložené riziko mortality a</w:t>
      </w:r>
      <w:r w:rsidR="00416DD8" w:rsidRPr="007656B5">
        <w:rPr>
          <w:rFonts w:ascii="Times New Roman" w:hAnsi="Times New Roman" w:cs="Times New Roman"/>
        </w:rPr>
        <w:t> </w:t>
      </w:r>
      <w:r w:rsidRPr="007656B5">
        <w:rPr>
          <w:rFonts w:ascii="Times New Roman" w:hAnsi="Times New Roman" w:cs="Times New Roman"/>
        </w:rPr>
        <w:t>morbidity sa významne znížilo o</w:t>
      </w:r>
      <w:r w:rsidR="00E77CEA" w:rsidRPr="007656B5">
        <w:rPr>
          <w:rFonts w:ascii="Times New Roman" w:hAnsi="Times New Roman" w:cs="Times New Roman"/>
        </w:rPr>
        <w:t> </w:t>
      </w:r>
      <w:r w:rsidRPr="007656B5">
        <w:rPr>
          <w:rFonts w:ascii="Times New Roman" w:hAnsi="Times New Roman" w:cs="Times New Roman"/>
        </w:rPr>
        <w:t>18,3</w:t>
      </w:r>
      <w:r w:rsidR="00F06576" w:rsidRPr="007656B5">
        <w:rPr>
          <w:rFonts w:ascii="Times New Roman" w:hAnsi="Times New Roman" w:cs="Times New Roman"/>
        </w:rPr>
        <w:t> %</w:t>
      </w:r>
      <w:r w:rsidRPr="007656B5">
        <w:rPr>
          <w:rFonts w:ascii="Times New Roman" w:hAnsi="Times New Roman" w:cs="Times New Roman"/>
        </w:rPr>
        <w:t xml:space="preserve"> (95</w:t>
      </w:r>
      <w:r w:rsidR="00F06576" w:rsidRPr="007656B5">
        <w:rPr>
          <w:rFonts w:ascii="Times New Roman" w:hAnsi="Times New Roman" w:cs="Times New Roman"/>
        </w:rPr>
        <w:t> %</w:t>
      </w:r>
      <w:r w:rsidRPr="007656B5">
        <w:rPr>
          <w:rFonts w:ascii="Times New Roman" w:hAnsi="Times New Roman" w:cs="Times New Roman"/>
        </w:rPr>
        <w:t xml:space="preserve"> CI: 8</w:t>
      </w:r>
      <w:r w:rsidR="00F06576" w:rsidRPr="007656B5">
        <w:rPr>
          <w:rFonts w:ascii="Times New Roman" w:hAnsi="Times New Roman" w:cs="Times New Roman"/>
        </w:rPr>
        <w:t> %</w:t>
      </w:r>
      <w:r w:rsidRPr="007656B5">
        <w:rPr>
          <w:rFonts w:ascii="Times New Roman" w:hAnsi="Times New Roman" w:cs="Times New Roman"/>
        </w:rPr>
        <w:t xml:space="preserve"> až 28</w:t>
      </w:r>
      <w:r w:rsidR="00F06576" w:rsidRPr="007656B5">
        <w:rPr>
          <w:rFonts w:ascii="Times New Roman" w:hAnsi="Times New Roman" w:cs="Times New Roman"/>
        </w:rPr>
        <w:t> %</w:t>
      </w:r>
      <w:r w:rsidRPr="007656B5">
        <w:rPr>
          <w:rFonts w:ascii="Times New Roman" w:hAnsi="Times New Roman" w:cs="Times New Roman"/>
        </w:rPr>
        <w:t>) pri valsartane v</w:t>
      </w:r>
      <w:r w:rsidR="00C61410" w:rsidRPr="007656B5">
        <w:rPr>
          <w:rFonts w:ascii="Times New Roman" w:hAnsi="Times New Roman" w:cs="Times New Roman"/>
        </w:rPr>
        <w:t> </w:t>
      </w:r>
      <w:r w:rsidRPr="007656B5">
        <w:rPr>
          <w:rFonts w:ascii="Times New Roman" w:hAnsi="Times New Roman" w:cs="Times New Roman"/>
        </w:rPr>
        <w:t>porovnávaní s</w:t>
      </w:r>
      <w:r w:rsidR="00416DD8" w:rsidRPr="007656B5">
        <w:rPr>
          <w:rFonts w:ascii="Times New Roman" w:hAnsi="Times New Roman" w:cs="Times New Roman"/>
        </w:rPr>
        <w:t> </w:t>
      </w:r>
      <w:r w:rsidRPr="007656B5">
        <w:rPr>
          <w:rFonts w:ascii="Times New Roman" w:hAnsi="Times New Roman" w:cs="Times New Roman"/>
        </w:rPr>
        <w:t>placebom (31,0</w:t>
      </w:r>
      <w:r w:rsidR="00F06576" w:rsidRPr="007656B5">
        <w:rPr>
          <w:rFonts w:ascii="Times New Roman" w:hAnsi="Times New Roman" w:cs="Times New Roman"/>
        </w:rPr>
        <w:t> %</w:t>
      </w:r>
      <w:r w:rsidRPr="007656B5">
        <w:rPr>
          <w:rFonts w:ascii="Times New Roman" w:hAnsi="Times New Roman" w:cs="Times New Roman"/>
        </w:rPr>
        <w:t xml:space="preserve"> oproti 36,3</w:t>
      </w:r>
      <w:r w:rsidR="00F06576" w:rsidRPr="007656B5">
        <w:rPr>
          <w:rFonts w:ascii="Times New Roman" w:hAnsi="Times New Roman" w:cs="Times New Roman"/>
        </w:rPr>
        <w:t> %</w:t>
      </w:r>
      <w:r w:rsidRPr="007656B5">
        <w:rPr>
          <w:rFonts w:ascii="Times New Roman" w:hAnsi="Times New Roman" w:cs="Times New Roman"/>
        </w:rPr>
        <w:t>).</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V</w:t>
      </w:r>
      <w:r w:rsidR="00E77CEA" w:rsidRPr="007656B5">
        <w:rPr>
          <w:rFonts w:ascii="Times New Roman" w:hAnsi="Times New Roman" w:cs="Times New Roman"/>
        </w:rPr>
        <w:t> </w:t>
      </w:r>
      <w:r w:rsidRPr="007656B5">
        <w:rPr>
          <w:rFonts w:ascii="Times New Roman" w:hAnsi="Times New Roman" w:cs="Times New Roman"/>
        </w:rPr>
        <w:t>celkovej populácii klinického skúšania Val-HeFT sa u</w:t>
      </w:r>
      <w:r w:rsidR="00E77CEA" w:rsidRPr="007656B5">
        <w:rPr>
          <w:rFonts w:ascii="Times New Roman" w:hAnsi="Times New Roman" w:cs="Times New Roman"/>
        </w:rPr>
        <w:t> </w:t>
      </w:r>
      <w:r w:rsidRPr="007656B5">
        <w:rPr>
          <w:rFonts w:ascii="Times New Roman" w:hAnsi="Times New Roman" w:cs="Times New Roman"/>
        </w:rPr>
        <w:t>pacientov liečených valsartanom preukázalo v</w:t>
      </w:r>
      <w:r w:rsidR="00E77CEA" w:rsidRPr="007656B5">
        <w:rPr>
          <w:rFonts w:ascii="Times New Roman" w:hAnsi="Times New Roman" w:cs="Times New Roman"/>
        </w:rPr>
        <w:t> </w:t>
      </w:r>
      <w:r w:rsidRPr="007656B5">
        <w:rPr>
          <w:rFonts w:ascii="Times New Roman" w:hAnsi="Times New Roman" w:cs="Times New Roman"/>
        </w:rPr>
        <w:t>porovnaní s</w:t>
      </w:r>
      <w:r w:rsidR="00E77CEA" w:rsidRPr="007656B5">
        <w:rPr>
          <w:rFonts w:ascii="Times New Roman" w:hAnsi="Times New Roman" w:cs="Times New Roman"/>
        </w:rPr>
        <w:t> </w:t>
      </w:r>
      <w:r w:rsidRPr="007656B5">
        <w:rPr>
          <w:rFonts w:ascii="Times New Roman" w:hAnsi="Times New Roman" w:cs="Times New Roman"/>
        </w:rPr>
        <w:t>placebom významné zlepšenie triedy NYHA a</w:t>
      </w:r>
      <w:r w:rsidR="00E77CEA" w:rsidRPr="007656B5">
        <w:rPr>
          <w:rFonts w:ascii="Times New Roman" w:hAnsi="Times New Roman" w:cs="Times New Roman"/>
        </w:rPr>
        <w:t> </w:t>
      </w:r>
      <w:r w:rsidRPr="007656B5">
        <w:rPr>
          <w:rFonts w:ascii="Times New Roman" w:hAnsi="Times New Roman" w:cs="Times New Roman"/>
        </w:rPr>
        <w:t>príznakov a</w:t>
      </w:r>
      <w:r w:rsidR="00E77CEA" w:rsidRPr="007656B5">
        <w:rPr>
          <w:rFonts w:ascii="Times New Roman" w:hAnsi="Times New Roman" w:cs="Times New Roman"/>
        </w:rPr>
        <w:t> </w:t>
      </w:r>
      <w:r w:rsidRPr="007656B5">
        <w:rPr>
          <w:rFonts w:ascii="Times New Roman" w:hAnsi="Times New Roman" w:cs="Times New Roman"/>
        </w:rPr>
        <w:t>prejavov zlyhania srdca vrátane dyspnoe, únavy, edémov a</w:t>
      </w:r>
      <w:r w:rsidR="00E77CEA" w:rsidRPr="007656B5">
        <w:rPr>
          <w:rFonts w:ascii="Times New Roman" w:hAnsi="Times New Roman" w:cs="Times New Roman"/>
        </w:rPr>
        <w:t> </w:t>
      </w:r>
      <w:r w:rsidRPr="007656B5">
        <w:rPr>
          <w:rFonts w:ascii="Times New Roman" w:hAnsi="Times New Roman" w:cs="Times New Roman"/>
        </w:rPr>
        <w:t>šelestov. Pacienti liečení valsartanom mali v</w:t>
      </w:r>
      <w:r w:rsidR="00E77CEA" w:rsidRPr="007656B5">
        <w:rPr>
          <w:rFonts w:ascii="Times New Roman" w:hAnsi="Times New Roman" w:cs="Times New Roman"/>
        </w:rPr>
        <w:t> </w:t>
      </w:r>
      <w:r w:rsidRPr="007656B5">
        <w:rPr>
          <w:rFonts w:ascii="Times New Roman" w:hAnsi="Times New Roman" w:cs="Times New Roman"/>
        </w:rPr>
        <w:t>porovnaní s</w:t>
      </w:r>
      <w:r w:rsidR="00E77CEA" w:rsidRPr="007656B5">
        <w:rPr>
          <w:rFonts w:ascii="Times New Roman" w:hAnsi="Times New Roman" w:cs="Times New Roman"/>
        </w:rPr>
        <w:t> </w:t>
      </w:r>
      <w:r w:rsidRPr="007656B5">
        <w:rPr>
          <w:rFonts w:ascii="Times New Roman" w:hAnsi="Times New Roman" w:cs="Times New Roman"/>
        </w:rPr>
        <w:t>placebom lepšiu kvalitu života, ako ukázala zmena skóre Minnesota Living with Heart Failure Quality of Life v</w:t>
      </w:r>
      <w:r w:rsidR="00416DD8" w:rsidRPr="007656B5">
        <w:rPr>
          <w:rFonts w:ascii="Times New Roman" w:hAnsi="Times New Roman" w:cs="Times New Roman"/>
        </w:rPr>
        <w:t> </w:t>
      </w:r>
      <w:r w:rsidRPr="007656B5">
        <w:rPr>
          <w:rFonts w:ascii="Times New Roman" w:hAnsi="Times New Roman" w:cs="Times New Roman"/>
        </w:rPr>
        <w:t>koncovom bode oproti východiskovej hodnote. U</w:t>
      </w:r>
      <w:r w:rsidR="00E77CEA" w:rsidRPr="007656B5">
        <w:rPr>
          <w:rFonts w:ascii="Times New Roman" w:hAnsi="Times New Roman" w:cs="Times New Roman"/>
        </w:rPr>
        <w:t> </w:t>
      </w:r>
      <w:r w:rsidRPr="007656B5">
        <w:rPr>
          <w:rFonts w:ascii="Times New Roman" w:hAnsi="Times New Roman" w:cs="Times New Roman"/>
        </w:rPr>
        <w:t>pacientov liečených valsartanom sa v</w:t>
      </w:r>
      <w:r w:rsidR="00623D9A" w:rsidRPr="007656B5">
        <w:rPr>
          <w:rFonts w:ascii="Times New Roman" w:hAnsi="Times New Roman" w:cs="Times New Roman"/>
        </w:rPr>
        <w:t> </w:t>
      </w:r>
      <w:r w:rsidRPr="007656B5">
        <w:rPr>
          <w:rFonts w:ascii="Times New Roman" w:hAnsi="Times New Roman" w:cs="Times New Roman"/>
        </w:rPr>
        <w:t>porovnaní</w:t>
      </w:r>
      <w:r w:rsidR="00623D9A" w:rsidRPr="007656B5">
        <w:rPr>
          <w:rFonts w:ascii="Times New Roman" w:hAnsi="Times New Roman" w:cs="Times New Roman"/>
        </w:rPr>
        <w:t xml:space="preserve"> </w:t>
      </w:r>
      <w:r w:rsidRPr="007656B5">
        <w:rPr>
          <w:rFonts w:ascii="Times New Roman" w:hAnsi="Times New Roman" w:cs="Times New Roman"/>
        </w:rPr>
        <w:t>s</w:t>
      </w:r>
      <w:r w:rsidR="00416DD8" w:rsidRPr="007656B5">
        <w:rPr>
          <w:rFonts w:ascii="Times New Roman" w:hAnsi="Times New Roman" w:cs="Times New Roman"/>
        </w:rPr>
        <w:t> </w:t>
      </w:r>
      <w:r w:rsidRPr="007656B5">
        <w:rPr>
          <w:rFonts w:ascii="Times New Roman" w:hAnsi="Times New Roman" w:cs="Times New Roman"/>
        </w:rPr>
        <w:t>placebom významne zvýšila ejekčná frakcia a</w:t>
      </w:r>
      <w:r w:rsidR="00E77CEA" w:rsidRPr="007656B5">
        <w:rPr>
          <w:rFonts w:ascii="Times New Roman" w:hAnsi="Times New Roman" w:cs="Times New Roman"/>
        </w:rPr>
        <w:t> </w:t>
      </w:r>
      <w:r w:rsidRPr="007656B5">
        <w:rPr>
          <w:rFonts w:ascii="Times New Roman" w:hAnsi="Times New Roman" w:cs="Times New Roman"/>
        </w:rPr>
        <w:t>významne sa znížil LVIDD v</w:t>
      </w:r>
      <w:r w:rsidR="00E77CEA" w:rsidRPr="007656B5">
        <w:rPr>
          <w:rFonts w:ascii="Times New Roman" w:hAnsi="Times New Roman" w:cs="Times New Roman"/>
        </w:rPr>
        <w:t> </w:t>
      </w:r>
      <w:r w:rsidRPr="007656B5">
        <w:rPr>
          <w:rFonts w:ascii="Times New Roman" w:hAnsi="Times New Roman" w:cs="Times New Roman"/>
        </w:rPr>
        <w:t>koncovom bode oproti východiskovej hodnote.</w:t>
      </w:r>
    </w:p>
    <w:p w:rsidR="00F07F72" w:rsidRPr="007656B5" w:rsidRDefault="00F07F72">
      <w:pPr>
        <w:pStyle w:val="Styl3"/>
        <w:rPr>
          <w:szCs w:val="22"/>
        </w:rPr>
      </w:pPr>
      <w:r w:rsidRPr="007656B5">
        <w:rPr>
          <w:szCs w:val="22"/>
        </w:rPr>
        <w:t>Duálna blokáda renín-angiotenzín-aldosterón (RAAS)</w:t>
      </w:r>
    </w:p>
    <w:p w:rsidR="00303AEF" w:rsidRPr="007656B5" w:rsidRDefault="00303AEF">
      <w:pPr>
        <w:pStyle w:val="Normlndobloku"/>
        <w:rPr>
          <w:rFonts w:ascii="Times New Roman" w:hAnsi="Times New Roman" w:cs="Times New Roman"/>
        </w:rPr>
      </w:pPr>
      <w:r w:rsidRPr="007656B5">
        <w:rPr>
          <w:rFonts w:ascii="Times New Roman" w:hAnsi="Times New Roman" w:cs="Times New Roman"/>
        </w:rPr>
        <w:t>Dve rozsiahle randomizované, kontrolované klinické skúšania (ONTARGET (ONgoing Telmisartan Alone and in combination with Ramipril Global Endpoint Trial) a</w:t>
      </w:r>
      <w:r w:rsidR="00E77CEA" w:rsidRPr="007656B5">
        <w:rPr>
          <w:rFonts w:ascii="Times New Roman" w:hAnsi="Times New Roman" w:cs="Times New Roman"/>
        </w:rPr>
        <w:t> </w:t>
      </w:r>
      <w:r w:rsidRPr="007656B5">
        <w:rPr>
          <w:rFonts w:ascii="Times New Roman" w:hAnsi="Times New Roman" w:cs="Times New Roman"/>
        </w:rPr>
        <w:t>VA NEPHRON-D (The Veterans Affairs Nephropathy in Diabetes)) skúmali použitie kombinácie inhibítora ACE a</w:t>
      </w:r>
      <w:r w:rsidR="00E77CEA" w:rsidRPr="007656B5">
        <w:rPr>
          <w:rFonts w:ascii="Times New Roman" w:hAnsi="Times New Roman" w:cs="Times New Roman"/>
        </w:rPr>
        <w:t> </w:t>
      </w:r>
      <w:r w:rsidRPr="007656B5">
        <w:rPr>
          <w:rFonts w:ascii="Times New Roman" w:hAnsi="Times New Roman" w:cs="Times New Roman"/>
        </w:rPr>
        <w:t>blokátora receptorov angiotenzínu II.</w:t>
      </w:r>
    </w:p>
    <w:p w:rsidR="00303AEF" w:rsidRPr="007656B5" w:rsidRDefault="00303AEF">
      <w:pPr>
        <w:pStyle w:val="Normlndobloku"/>
        <w:rPr>
          <w:rFonts w:ascii="Times New Roman" w:hAnsi="Times New Roman" w:cs="Times New Roman"/>
        </w:rPr>
      </w:pPr>
      <w:r w:rsidRPr="007656B5">
        <w:rPr>
          <w:rFonts w:ascii="Times New Roman" w:hAnsi="Times New Roman" w:cs="Times New Roman"/>
        </w:rPr>
        <w:t>Skúšanie ONTARGET sa vykonalo u</w:t>
      </w:r>
      <w:r w:rsidR="00E77CEA" w:rsidRPr="007656B5">
        <w:rPr>
          <w:rFonts w:ascii="Times New Roman" w:hAnsi="Times New Roman" w:cs="Times New Roman"/>
        </w:rPr>
        <w:t> </w:t>
      </w:r>
      <w:r w:rsidRPr="007656B5">
        <w:rPr>
          <w:rFonts w:ascii="Times New Roman" w:hAnsi="Times New Roman" w:cs="Times New Roman"/>
        </w:rPr>
        <w:t>pacientov s</w:t>
      </w:r>
      <w:r w:rsidR="00E77CEA" w:rsidRPr="007656B5">
        <w:rPr>
          <w:rFonts w:ascii="Times New Roman" w:hAnsi="Times New Roman" w:cs="Times New Roman"/>
        </w:rPr>
        <w:t> </w:t>
      </w:r>
      <w:r w:rsidRPr="007656B5">
        <w:rPr>
          <w:rFonts w:ascii="Times New Roman" w:hAnsi="Times New Roman" w:cs="Times New Roman"/>
        </w:rPr>
        <w:t>kardiovaskulárnym alebo cerebrovaskulárnym ochorením v</w:t>
      </w:r>
      <w:r w:rsidR="00E77CEA" w:rsidRPr="007656B5">
        <w:rPr>
          <w:rFonts w:ascii="Times New Roman" w:hAnsi="Times New Roman" w:cs="Times New Roman"/>
        </w:rPr>
        <w:t> </w:t>
      </w:r>
      <w:r w:rsidRPr="007656B5">
        <w:rPr>
          <w:rFonts w:ascii="Times New Roman" w:hAnsi="Times New Roman" w:cs="Times New Roman"/>
        </w:rPr>
        <w:t>anamnéze, alebo u</w:t>
      </w:r>
      <w:r w:rsidR="00E77CEA" w:rsidRPr="007656B5">
        <w:rPr>
          <w:rFonts w:ascii="Times New Roman" w:hAnsi="Times New Roman" w:cs="Times New Roman"/>
        </w:rPr>
        <w:t> </w:t>
      </w:r>
      <w:r w:rsidRPr="007656B5">
        <w:rPr>
          <w:rFonts w:ascii="Times New Roman" w:hAnsi="Times New Roman" w:cs="Times New Roman"/>
        </w:rPr>
        <w:t>pacientov s</w:t>
      </w:r>
      <w:r w:rsidR="00E77CEA" w:rsidRPr="007656B5">
        <w:rPr>
          <w:rFonts w:ascii="Times New Roman" w:hAnsi="Times New Roman" w:cs="Times New Roman"/>
        </w:rPr>
        <w:t> </w:t>
      </w:r>
      <w:r w:rsidRPr="007656B5">
        <w:rPr>
          <w:rFonts w:ascii="Times New Roman" w:hAnsi="Times New Roman" w:cs="Times New Roman"/>
        </w:rPr>
        <w:t>diabetes mellitus 2. typu, u</w:t>
      </w:r>
      <w:r w:rsidR="00E77CEA" w:rsidRPr="007656B5">
        <w:rPr>
          <w:rFonts w:ascii="Times New Roman" w:hAnsi="Times New Roman" w:cs="Times New Roman"/>
        </w:rPr>
        <w:t> </w:t>
      </w:r>
      <w:r w:rsidRPr="007656B5">
        <w:rPr>
          <w:rFonts w:ascii="Times New Roman" w:hAnsi="Times New Roman" w:cs="Times New Roman"/>
        </w:rPr>
        <w:t xml:space="preserve">ktorých sa preukázalo </w:t>
      </w:r>
      <w:r w:rsidRPr="007656B5">
        <w:rPr>
          <w:rFonts w:ascii="Times New Roman" w:hAnsi="Times New Roman" w:cs="Times New Roman"/>
        </w:rPr>
        <w:lastRenderedPageBreak/>
        <w:t>poškodenie cieľových orgánov. Skúšanie VA NEPHRON-D sa vykonalo u</w:t>
      </w:r>
      <w:r w:rsidR="00E77CEA" w:rsidRPr="007656B5">
        <w:rPr>
          <w:rFonts w:ascii="Times New Roman" w:hAnsi="Times New Roman" w:cs="Times New Roman"/>
        </w:rPr>
        <w:t> </w:t>
      </w:r>
      <w:r w:rsidRPr="007656B5">
        <w:rPr>
          <w:rFonts w:ascii="Times New Roman" w:hAnsi="Times New Roman" w:cs="Times New Roman"/>
        </w:rPr>
        <w:t>pacientov s diabetes mellitus 2. typu a diabetickou nefropatiou.</w:t>
      </w:r>
    </w:p>
    <w:p w:rsidR="00303AEF" w:rsidRPr="007656B5" w:rsidRDefault="00303AEF">
      <w:pPr>
        <w:pStyle w:val="Normlndobloku"/>
        <w:rPr>
          <w:rFonts w:ascii="Times New Roman" w:hAnsi="Times New Roman" w:cs="Times New Roman"/>
        </w:rPr>
      </w:pPr>
      <w:r w:rsidRPr="007656B5">
        <w:rPr>
          <w:rFonts w:ascii="Times New Roman" w:hAnsi="Times New Roman" w:cs="Times New Roman"/>
        </w:rPr>
        <w:t>Tieto skúšania neukázali významný priaznivý účinok na renálne a/alebo kardiovaskulárne ukazovatele a</w:t>
      </w:r>
      <w:r w:rsidR="00E77CEA" w:rsidRPr="007656B5">
        <w:rPr>
          <w:rFonts w:ascii="Times New Roman" w:hAnsi="Times New Roman" w:cs="Times New Roman"/>
        </w:rPr>
        <w:t> </w:t>
      </w:r>
      <w:r w:rsidRPr="007656B5">
        <w:rPr>
          <w:rFonts w:ascii="Times New Roman" w:hAnsi="Times New Roman" w:cs="Times New Roman"/>
        </w:rPr>
        <w:t>mortalitu, zatiaľ čo v</w:t>
      </w:r>
      <w:r w:rsidR="00E77CEA" w:rsidRPr="007656B5">
        <w:rPr>
          <w:rFonts w:ascii="Times New Roman" w:hAnsi="Times New Roman" w:cs="Times New Roman"/>
        </w:rPr>
        <w:t> </w:t>
      </w:r>
      <w:r w:rsidRPr="007656B5">
        <w:rPr>
          <w:rFonts w:ascii="Times New Roman" w:hAnsi="Times New Roman" w:cs="Times New Roman"/>
        </w:rPr>
        <w:t>porovnaní s</w:t>
      </w:r>
      <w:r w:rsidR="00E77CEA" w:rsidRPr="007656B5">
        <w:rPr>
          <w:rFonts w:ascii="Times New Roman" w:hAnsi="Times New Roman" w:cs="Times New Roman"/>
        </w:rPr>
        <w:t> </w:t>
      </w:r>
      <w:r w:rsidRPr="007656B5">
        <w:rPr>
          <w:rFonts w:ascii="Times New Roman" w:hAnsi="Times New Roman" w:cs="Times New Roman"/>
        </w:rPr>
        <w:t>monoterapiou sa pozorovalo zvýšené riziko hyperkaliémie, akútneho poškodenia obličiek a/alebo hypotenzie. Vzhľadom na podobné farmakodynamické vlastnosti sú tieto výsledky relevantné aj pre ostatné inhibítory ACE a</w:t>
      </w:r>
      <w:r w:rsidR="00E77CEA" w:rsidRPr="007656B5">
        <w:rPr>
          <w:rFonts w:ascii="Times New Roman" w:hAnsi="Times New Roman" w:cs="Times New Roman"/>
        </w:rPr>
        <w:t> </w:t>
      </w:r>
      <w:r w:rsidRPr="007656B5">
        <w:rPr>
          <w:rFonts w:ascii="Times New Roman" w:hAnsi="Times New Roman" w:cs="Times New Roman"/>
        </w:rPr>
        <w:t>blokátory receptorov angiotenzínu II.</w:t>
      </w:r>
    </w:p>
    <w:p w:rsidR="00303AEF" w:rsidRPr="007656B5" w:rsidRDefault="00303AEF">
      <w:pPr>
        <w:pStyle w:val="Normlndobloku"/>
        <w:rPr>
          <w:rFonts w:ascii="Times New Roman" w:hAnsi="Times New Roman" w:cs="Times New Roman"/>
        </w:rPr>
      </w:pPr>
      <w:r w:rsidRPr="007656B5">
        <w:rPr>
          <w:rFonts w:ascii="Times New Roman" w:hAnsi="Times New Roman" w:cs="Times New Roman"/>
        </w:rPr>
        <w:t>Inhibítory ACE a</w:t>
      </w:r>
      <w:r w:rsidR="00C61410" w:rsidRPr="007656B5">
        <w:rPr>
          <w:rFonts w:ascii="Times New Roman" w:hAnsi="Times New Roman" w:cs="Times New Roman"/>
        </w:rPr>
        <w:t> </w:t>
      </w:r>
      <w:r w:rsidRPr="007656B5">
        <w:rPr>
          <w:rFonts w:ascii="Times New Roman" w:hAnsi="Times New Roman" w:cs="Times New Roman"/>
        </w:rPr>
        <w:t>blokátory receptorov angiotenzínu II sa preto nemajú používať súbežne u</w:t>
      </w:r>
      <w:r w:rsidR="00C61410" w:rsidRPr="007656B5">
        <w:rPr>
          <w:rFonts w:ascii="Times New Roman" w:hAnsi="Times New Roman" w:cs="Times New Roman"/>
        </w:rPr>
        <w:t> </w:t>
      </w:r>
      <w:r w:rsidRPr="007656B5">
        <w:rPr>
          <w:rFonts w:ascii="Times New Roman" w:hAnsi="Times New Roman" w:cs="Times New Roman"/>
        </w:rPr>
        <w:t>pacientov s</w:t>
      </w:r>
      <w:r w:rsidR="00E77CEA" w:rsidRPr="007656B5">
        <w:rPr>
          <w:rFonts w:ascii="Times New Roman" w:hAnsi="Times New Roman" w:cs="Times New Roman"/>
        </w:rPr>
        <w:t> </w:t>
      </w:r>
      <w:r w:rsidRPr="007656B5">
        <w:rPr>
          <w:rFonts w:ascii="Times New Roman" w:hAnsi="Times New Roman" w:cs="Times New Roman"/>
        </w:rPr>
        <w:t>diabetickou nefropatiou.</w:t>
      </w:r>
    </w:p>
    <w:p w:rsidR="00303AEF" w:rsidRPr="007656B5" w:rsidRDefault="00303AEF">
      <w:pPr>
        <w:pStyle w:val="Normlndobloku"/>
        <w:rPr>
          <w:rFonts w:ascii="Times New Roman" w:hAnsi="Times New Roman" w:cs="Times New Roman"/>
        </w:rPr>
      </w:pPr>
      <w:r w:rsidRPr="007656B5">
        <w:rPr>
          <w:rFonts w:ascii="Times New Roman" w:eastAsia="SimSun" w:hAnsi="Times New Roman" w:cs="Times New Roman"/>
        </w:rPr>
        <w:t>Skúšanie ALTITUDE (Aliskiren Trial in Type 2 Diabetes Using Cardiovascular and Renal Disease Endpoints) bolo navrhnuté na otestovanie prínosu pridania aliskirenu k</w:t>
      </w:r>
      <w:r w:rsidR="00E77CEA" w:rsidRPr="007656B5">
        <w:rPr>
          <w:rFonts w:ascii="Times New Roman" w:eastAsia="SimSun" w:hAnsi="Times New Roman" w:cs="Times New Roman"/>
        </w:rPr>
        <w:t> </w:t>
      </w:r>
      <w:r w:rsidRPr="007656B5">
        <w:rPr>
          <w:rFonts w:ascii="Times New Roman" w:eastAsia="SimSun" w:hAnsi="Times New Roman" w:cs="Times New Roman"/>
        </w:rPr>
        <w:t>štandardnej liečbe inhibítorom ACE alebo blokátorom receptorov angiotenzínu II u</w:t>
      </w:r>
      <w:r w:rsidR="00C61410" w:rsidRPr="007656B5">
        <w:rPr>
          <w:rFonts w:ascii="Times New Roman" w:eastAsia="SimSun" w:hAnsi="Times New Roman" w:cs="Times New Roman"/>
        </w:rPr>
        <w:t> </w:t>
      </w:r>
      <w:r w:rsidRPr="007656B5">
        <w:rPr>
          <w:rFonts w:ascii="Times New Roman" w:eastAsia="SimSun" w:hAnsi="Times New Roman" w:cs="Times New Roman"/>
        </w:rPr>
        <w:t>pacientov s</w:t>
      </w:r>
      <w:r w:rsidR="00E77CEA" w:rsidRPr="007656B5">
        <w:rPr>
          <w:rFonts w:ascii="Times New Roman" w:eastAsia="SimSun" w:hAnsi="Times New Roman" w:cs="Times New Roman"/>
        </w:rPr>
        <w:t> </w:t>
      </w:r>
      <w:r w:rsidRPr="007656B5">
        <w:rPr>
          <w:rFonts w:ascii="Times New Roman" w:eastAsia="SimSun" w:hAnsi="Times New Roman" w:cs="Times New Roman"/>
        </w:rPr>
        <w:t>diabetes mellitus 2. typu a</w:t>
      </w:r>
      <w:r w:rsidR="00E77CEA" w:rsidRPr="007656B5">
        <w:rPr>
          <w:rFonts w:ascii="Times New Roman" w:eastAsia="SimSun" w:hAnsi="Times New Roman" w:cs="Times New Roman"/>
        </w:rPr>
        <w:t> </w:t>
      </w:r>
      <w:r w:rsidRPr="007656B5">
        <w:rPr>
          <w:rFonts w:ascii="Times New Roman" w:eastAsia="SimSun" w:hAnsi="Times New Roman" w:cs="Times New Roman"/>
        </w:rPr>
        <w:t>chronickým ochorením obličiek, kardiovaskulárnym ochorením, alebo oboma ochoreniami. Skúšanie bolo predčasne ukončené pre zvýšené riziko nežiaducich udalostí. V</w:t>
      </w:r>
      <w:r w:rsidR="00C61410" w:rsidRPr="007656B5">
        <w:rPr>
          <w:rFonts w:ascii="Times New Roman" w:eastAsia="SimSun" w:hAnsi="Times New Roman" w:cs="Times New Roman"/>
        </w:rPr>
        <w:t> </w:t>
      </w:r>
      <w:r w:rsidRPr="007656B5">
        <w:rPr>
          <w:rFonts w:ascii="Times New Roman" w:eastAsia="SimSun" w:hAnsi="Times New Roman" w:cs="Times New Roman"/>
        </w:rPr>
        <w:t>skupine aliskirenu bolo numericky viac úmrtí z</w:t>
      </w:r>
      <w:r w:rsidR="00E77CEA" w:rsidRPr="007656B5">
        <w:rPr>
          <w:rFonts w:ascii="Times New Roman" w:eastAsia="SimSun" w:hAnsi="Times New Roman" w:cs="Times New Roman"/>
        </w:rPr>
        <w:t> </w:t>
      </w:r>
      <w:r w:rsidRPr="007656B5">
        <w:rPr>
          <w:rFonts w:ascii="Times New Roman" w:eastAsia="SimSun" w:hAnsi="Times New Roman" w:cs="Times New Roman"/>
        </w:rPr>
        <w:t>kardiovaskulárnej príčiny a</w:t>
      </w:r>
      <w:r w:rsidR="00E77CEA" w:rsidRPr="007656B5">
        <w:rPr>
          <w:rFonts w:ascii="Times New Roman" w:eastAsia="SimSun" w:hAnsi="Times New Roman" w:cs="Times New Roman"/>
        </w:rPr>
        <w:t> </w:t>
      </w:r>
      <w:r w:rsidRPr="007656B5">
        <w:rPr>
          <w:rFonts w:ascii="Times New Roman" w:eastAsia="SimSun" w:hAnsi="Times New Roman" w:cs="Times New Roman"/>
        </w:rPr>
        <w:t>cievnych mozgových príhod ako v</w:t>
      </w:r>
      <w:r w:rsidR="00E77CEA" w:rsidRPr="007656B5">
        <w:rPr>
          <w:rFonts w:ascii="Times New Roman" w:eastAsia="SimSun" w:hAnsi="Times New Roman" w:cs="Times New Roman"/>
        </w:rPr>
        <w:t> </w:t>
      </w:r>
      <w:r w:rsidRPr="007656B5">
        <w:rPr>
          <w:rFonts w:ascii="Times New Roman" w:eastAsia="SimSun" w:hAnsi="Times New Roman" w:cs="Times New Roman"/>
        </w:rPr>
        <w:t>skupine placeba a</w:t>
      </w:r>
      <w:r w:rsidR="00E77CEA" w:rsidRPr="007656B5">
        <w:rPr>
          <w:rFonts w:ascii="Times New Roman" w:eastAsia="SimSun" w:hAnsi="Times New Roman" w:cs="Times New Roman"/>
        </w:rPr>
        <w:t> </w:t>
      </w:r>
      <w:r w:rsidRPr="007656B5">
        <w:rPr>
          <w:rFonts w:ascii="Times New Roman" w:eastAsia="SimSun" w:hAnsi="Times New Roman" w:cs="Times New Roman"/>
        </w:rPr>
        <w:t>v</w:t>
      </w:r>
      <w:r w:rsidR="00E77CEA" w:rsidRPr="007656B5">
        <w:rPr>
          <w:rFonts w:ascii="Times New Roman" w:eastAsia="SimSun" w:hAnsi="Times New Roman" w:cs="Times New Roman"/>
        </w:rPr>
        <w:t> </w:t>
      </w:r>
      <w:r w:rsidRPr="007656B5">
        <w:rPr>
          <w:rFonts w:ascii="Times New Roman" w:eastAsia="SimSun" w:hAnsi="Times New Roman" w:cs="Times New Roman"/>
        </w:rPr>
        <w:t>skupine aliskirenu boli častejšie hlásené sledované nežiaduce udalosti a</w:t>
      </w:r>
      <w:r w:rsidR="00E77CEA" w:rsidRPr="007656B5">
        <w:rPr>
          <w:rFonts w:ascii="Times New Roman" w:eastAsia="SimSun" w:hAnsi="Times New Roman" w:cs="Times New Roman"/>
        </w:rPr>
        <w:t> </w:t>
      </w:r>
      <w:r w:rsidRPr="007656B5">
        <w:rPr>
          <w:rFonts w:ascii="Times New Roman" w:eastAsia="SimSun" w:hAnsi="Times New Roman" w:cs="Times New Roman"/>
        </w:rPr>
        <w:t>závažné nežiaduce udalosti (hyperkaliémia, hypotenzia a</w:t>
      </w:r>
      <w:r w:rsidR="00C61410" w:rsidRPr="007656B5">
        <w:rPr>
          <w:rFonts w:ascii="Times New Roman" w:eastAsia="SimSun" w:hAnsi="Times New Roman" w:cs="Times New Roman"/>
        </w:rPr>
        <w:t> </w:t>
      </w:r>
      <w:r w:rsidRPr="007656B5">
        <w:rPr>
          <w:rFonts w:ascii="Times New Roman" w:eastAsia="SimSun" w:hAnsi="Times New Roman" w:cs="Times New Roman"/>
        </w:rPr>
        <w:t>renálna dysfunkcia) ako v</w:t>
      </w:r>
      <w:r w:rsidR="00E77CEA" w:rsidRPr="007656B5">
        <w:rPr>
          <w:rFonts w:ascii="Times New Roman" w:eastAsia="SimSun" w:hAnsi="Times New Roman" w:cs="Times New Roman"/>
        </w:rPr>
        <w:t> </w:t>
      </w:r>
      <w:r w:rsidRPr="007656B5">
        <w:rPr>
          <w:rFonts w:ascii="Times New Roman" w:eastAsia="SimSun" w:hAnsi="Times New Roman" w:cs="Times New Roman"/>
        </w:rPr>
        <w:t>skupine placeba.</w:t>
      </w:r>
    </w:p>
    <w:p w:rsidR="007C2ED7" w:rsidRPr="007656B5" w:rsidRDefault="000E3F92">
      <w:pPr>
        <w:pStyle w:val="Styl3"/>
        <w:rPr>
          <w:szCs w:val="22"/>
        </w:rPr>
      </w:pPr>
      <w:r w:rsidRPr="007656B5">
        <w:rPr>
          <w:szCs w:val="22"/>
        </w:rPr>
        <w:t>Pediatrická populácia</w:t>
      </w:r>
    </w:p>
    <w:p w:rsidR="007C2ED7" w:rsidRPr="007656B5" w:rsidRDefault="007C2ED7">
      <w:pPr>
        <w:pStyle w:val="Styl3"/>
        <w:rPr>
          <w:szCs w:val="22"/>
        </w:rPr>
      </w:pPr>
      <w:r w:rsidRPr="007656B5">
        <w:rPr>
          <w:szCs w:val="22"/>
        </w:rPr>
        <w:t>Hypertenzia</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Antihypertenzn</w:t>
      </w:r>
      <w:r w:rsidR="00FA208A" w:rsidRPr="007656B5">
        <w:rPr>
          <w:rFonts w:ascii="Times New Roman" w:hAnsi="Times New Roman" w:cs="Times New Roman"/>
        </w:rPr>
        <w:t>ý</w:t>
      </w:r>
      <w:r w:rsidRPr="007656B5">
        <w:rPr>
          <w:rFonts w:ascii="Times New Roman" w:hAnsi="Times New Roman" w:cs="Times New Roman"/>
        </w:rPr>
        <w:t xml:space="preserve"> účinok valsartanu sa hodnotil v</w:t>
      </w:r>
      <w:r w:rsidR="00E77CEA" w:rsidRPr="007656B5">
        <w:rPr>
          <w:rFonts w:ascii="Times New Roman" w:hAnsi="Times New Roman" w:cs="Times New Roman"/>
        </w:rPr>
        <w:t> </w:t>
      </w:r>
      <w:r w:rsidRPr="007656B5">
        <w:rPr>
          <w:rFonts w:ascii="Times New Roman" w:hAnsi="Times New Roman" w:cs="Times New Roman"/>
        </w:rPr>
        <w:t>štyroch randomizovaných, dvojito zaslepených klinických štúdiách u</w:t>
      </w:r>
      <w:r w:rsidR="00E77CEA" w:rsidRPr="007656B5">
        <w:rPr>
          <w:rFonts w:ascii="Times New Roman" w:hAnsi="Times New Roman" w:cs="Times New Roman"/>
        </w:rPr>
        <w:t> </w:t>
      </w:r>
      <w:r w:rsidRPr="007656B5">
        <w:rPr>
          <w:rFonts w:ascii="Times New Roman" w:hAnsi="Times New Roman" w:cs="Times New Roman"/>
        </w:rPr>
        <w:t xml:space="preserve">561 </w:t>
      </w:r>
      <w:r w:rsidR="00FA208A" w:rsidRPr="007656B5">
        <w:rPr>
          <w:rFonts w:ascii="Times New Roman" w:hAnsi="Times New Roman" w:cs="Times New Roman"/>
        </w:rPr>
        <w:t>detí a dospievajúcich</w:t>
      </w:r>
      <w:r w:rsidRPr="007656B5">
        <w:rPr>
          <w:rFonts w:ascii="Times New Roman" w:hAnsi="Times New Roman" w:cs="Times New Roman"/>
        </w:rPr>
        <w:t xml:space="preserve"> vo veku od 6 do 18 rokov a</w:t>
      </w:r>
      <w:r w:rsidR="00E77CEA" w:rsidRPr="007656B5">
        <w:rPr>
          <w:rFonts w:ascii="Times New Roman" w:hAnsi="Times New Roman" w:cs="Times New Roman"/>
        </w:rPr>
        <w:t> </w:t>
      </w:r>
      <w:r w:rsidRPr="007656B5">
        <w:rPr>
          <w:rFonts w:ascii="Times New Roman" w:hAnsi="Times New Roman" w:cs="Times New Roman"/>
        </w:rPr>
        <w:t>u</w:t>
      </w:r>
      <w:r w:rsidR="00E77CEA" w:rsidRPr="007656B5">
        <w:rPr>
          <w:rFonts w:ascii="Times New Roman" w:hAnsi="Times New Roman" w:cs="Times New Roman"/>
        </w:rPr>
        <w:t> </w:t>
      </w:r>
      <w:r w:rsidRPr="007656B5">
        <w:rPr>
          <w:rFonts w:ascii="Times New Roman" w:hAnsi="Times New Roman" w:cs="Times New Roman"/>
        </w:rPr>
        <w:t xml:space="preserve">165 </w:t>
      </w:r>
      <w:r w:rsidR="00FA208A" w:rsidRPr="007656B5">
        <w:rPr>
          <w:rFonts w:ascii="Times New Roman" w:hAnsi="Times New Roman" w:cs="Times New Roman"/>
        </w:rPr>
        <w:t xml:space="preserve">detí </w:t>
      </w:r>
      <w:r w:rsidRPr="007656B5">
        <w:rPr>
          <w:rFonts w:ascii="Times New Roman" w:hAnsi="Times New Roman" w:cs="Times New Roman"/>
        </w:rPr>
        <w:t>vo veku od 1 do 6 rokov. Najčastejšími základnými ochoreniami potenciálne prispievajúcimi k</w:t>
      </w:r>
      <w:r w:rsidR="00E77CEA" w:rsidRPr="007656B5">
        <w:rPr>
          <w:rFonts w:ascii="Times New Roman" w:hAnsi="Times New Roman" w:cs="Times New Roman"/>
        </w:rPr>
        <w:t> </w:t>
      </w:r>
      <w:r w:rsidRPr="007656B5">
        <w:rPr>
          <w:rFonts w:ascii="Times New Roman" w:hAnsi="Times New Roman" w:cs="Times New Roman"/>
        </w:rPr>
        <w:t>vzniku hypertenzie u</w:t>
      </w:r>
      <w:r w:rsidR="003D0D38" w:rsidRPr="007656B5">
        <w:rPr>
          <w:rFonts w:ascii="Times New Roman" w:hAnsi="Times New Roman" w:cs="Times New Roman"/>
        </w:rPr>
        <w:t> </w:t>
      </w:r>
      <w:r w:rsidRPr="007656B5">
        <w:rPr>
          <w:rFonts w:ascii="Times New Roman" w:hAnsi="Times New Roman" w:cs="Times New Roman"/>
        </w:rPr>
        <w:t>detí zaradených do týchto štúdií boli ochorenia obličiek a</w:t>
      </w:r>
      <w:r w:rsidR="00416DD8" w:rsidRPr="007656B5">
        <w:rPr>
          <w:rFonts w:ascii="Times New Roman" w:hAnsi="Times New Roman" w:cs="Times New Roman"/>
        </w:rPr>
        <w:t> </w:t>
      </w:r>
      <w:r w:rsidRPr="007656B5">
        <w:rPr>
          <w:rFonts w:ascii="Times New Roman" w:hAnsi="Times New Roman" w:cs="Times New Roman"/>
        </w:rPr>
        <w:t>močových ciest a</w:t>
      </w:r>
      <w:r w:rsidR="00E77CEA" w:rsidRPr="007656B5">
        <w:rPr>
          <w:rFonts w:ascii="Times New Roman" w:hAnsi="Times New Roman" w:cs="Times New Roman"/>
        </w:rPr>
        <w:t> </w:t>
      </w:r>
      <w:r w:rsidRPr="007656B5">
        <w:rPr>
          <w:rFonts w:ascii="Times New Roman" w:hAnsi="Times New Roman" w:cs="Times New Roman"/>
        </w:rPr>
        <w:t>obezita.</w:t>
      </w:r>
    </w:p>
    <w:p w:rsidR="007C2ED7" w:rsidRPr="007656B5" w:rsidRDefault="007C2ED7">
      <w:pPr>
        <w:pStyle w:val="Styl3"/>
        <w:rPr>
          <w:szCs w:val="22"/>
        </w:rPr>
      </w:pPr>
      <w:r w:rsidRPr="007656B5">
        <w:rPr>
          <w:szCs w:val="22"/>
        </w:rPr>
        <w:t>Klinické skúsenosti u</w:t>
      </w:r>
      <w:r w:rsidR="00E77CEA" w:rsidRPr="007656B5">
        <w:rPr>
          <w:szCs w:val="22"/>
        </w:rPr>
        <w:t> </w:t>
      </w:r>
      <w:r w:rsidRPr="007656B5">
        <w:rPr>
          <w:szCs w:val="22"/>
        </w:rPr>
        <w:t>detí vo veku 6 rokov alebo viac</w:t>
      </w:r>
    </w:p>
    <w:p w:rsidR="007C2ED7" w:rsidRPr="007656B5" w:rsidRDefault="003006A7">
      <w:pPr>
        <w:pStyle w:val="Normlndobloku"/>
        <w:rPr>
          <w:rFonts w:ascii="Times New Roman" w:hAnsi="Times New Roman" w:cs="Times New Roman"/>
        </w:rPr>
      </w:pPr>
      <w:r w:rsidRPr="007656B5">
        <w:rPr>
          <w:rFonts w:ascii="Times New Roman" w:hAnsi="Times New Roman" w:cs="Times New Roman"/>
        </w:rPr>
        <w:t>V</w:t>
      </w:r>
      <w:r w:rsidR="00E77CEA" w:rsidRPr="007656B5">
        <w:rPr>
          <w:rFonts w:ascii="Times New Roman" w:hAnsi="Times New Roman" w:cs="Times New Roman"/>
        </w:rPr>
        <w:t> </w:t>
      </w:r>
      <w:r w:rsidR="007C2ED7" w:rsidRPr="007656B5">
        <w:rPr>
          <w:rFonts w:ascii="Times New Roman" w:hAnsi="Times New Roman" w:cs="Times New Roman"/>
        </w:rPr>
        <w:t xml:space="preserve">klinickej štúdii, na ktorej sa zúčastnilo 261 </w:t>
      </w:r>
      <w:r w:rsidR="00FA208A" w:rsidRPr="007656B5">
        <w:rPr>
          <w:rFonts w:ascii="Times New Roman" w:hAnsi="Times New Roman" w:cs="Times New Roman"/>
        </w:rPr>
        <w:t>deti a</w:t>
      </w:r>
      <w:r w:rsidR="00E77CEA" w:rsidRPr="007656B5">
        <w:rPr>
          <w:rFonts w:ascii="Times New Roman" w:hAnsi="Times New Roman" w:cs="Times New Roman"/>
        </w:rPr>
        <w:t> </w:t>
      </w:r>
      <w:r w:rsidR="00FA208A" w:rsidRPr="007656B5">
        <w:rPr>
          <w:rFonts w:ascii="Times New Roman" w:hAnsi="Times New Roman" w:cs="Times New Roman"/>
        </w:rPr>
        <w:t xml:space="preserve">dospievajúcich </w:t>
      </w:r>
      <w:r w:rsidR="007C2ED7" w:rsidRPr="007656B5">
        <w:rPr>
          <w:rFonts w:ascii="Times New Roman" w:hAnsi="Times New Roman" w:cs="Times New Roman"/>
        </w:rPr>
        <w:t>s</w:t>
      </w:r>
      <w:r w:rsidR="00E77CEA" w:rsidRPr="007656B5">
        <w:rPr>
          <w:rFonts w:ascii="Times New Roman" w:hAnsi="Times New Roman" w:cs="Times New Roman"/>
        </w:rPr>
        <w:t> </w:t>
      </w:r>
      <w:r w:rsidR="007C2ED7" w:rsidRPr="007656B5">
        <w:rPr>
          <w:rFonts w:ascii="Times New Roman" w:hAnsi="Times New Roman" w:cs="Times New Roman"/>
        </w:rPr>
        <w:t>hypertenziou vo veku 6 až 16</w:t>
      </w:r>
      <w:r w:rsidR="00416DD8" w:rsidRPr="007656B5">
        <w:rPr>
          <w:rFonts w:ascii="Times New Roman" w:hAnsi="Times New Roman" w:cs="Times New Roman"/>
        </w:rPr>
        <w:t> </w:t>
      </w:r>
      <w:r w:rsidR="007C2ED7" w:rsidRPr="007656B5">
        <w:rPr>
          <w:rFonts w:ascii="Times New Roman" w:hAnsi="Times New Roman" w:cs="Times New Roman"/>
        </w:rPr>
        <w:t>rokov, pacienti s</w:t>
      </w:r>
      <w:r w:rsidR="00E77CEA" w:rsidRPr="007656B5">
        <w:rPr>
          <w:rFonts w:ascii="Times New Roman" w:hAnsi="Times New Roman" w:cs="Times New Roman"/>
        </w:rPr>
        <w:t> </w:t>
      </w:r>
      <w:r w:rsidR="007C2ED7" w:rsidRPr="007656B5">
        <w:rPr>
          <w:rFonts w:ascii="Times New Roman" w:hAnsi="Times New Roman" w:cs="Times New Roman"/>
        </w:rPr>
        <w:t>telesnou hmotnosťou &lt;</w:t>
      </w:r>
      <w:smartTag w:uri="urn:schemas-microsoft-com:office:smarttags" w:element="metricconverter">
        <w:smartTagPr>
          <w:attr w:name="ProductID" w:val="35 kg"/>
        </w:smartTagPr>
        <w:r w:rsidR="007C2ED7" w:rsidRPr="007656B5">
          <w:rPr>
            <w:rFonts w:ascii="Times New Roman" w:hAnsi="Times New Roman" w:cs="Times New Roman"/>
          </w:rPr>
          <w:t>35 kg</w:t>
        </w:r>
      </w:smartTag>
      <w:r w:rsidR="007C2ED7" w:rsidRPr="007656B5">
        <w:rPr>
          <w:rFonts w:ascii="Times New Roman" w:hAnsi="Times New Roman" w:cs="Times New Roman"/>
        </w:rPr>
        <w:t xml:space="preserve"> dostávali tablety s</w:t>
      </w:r>
      <w:r w:rsidR="00E77CEA" w:rsidRPr="007656B5">
        <w:rPr>
          <w:rFonts w:ascii="Times New Roman" w:hAnsi="Times New Roman" w:cs="Times New Roman"/>
        </w:rPr>
        <w:t> </w:t>
      </w:r>
      <w:r w:rsidR="007C2ED7" w:rsidRPr="007656B5">
        <w:rPr>
          <w:rFonts w:ascii="Times New Roman" w:hAnsi="Times New Roman" w:cs="Times New Roman"/>
        </w:rPr>
        <w:t>10, 40 alebo 80</w:t>
      </w:r>
      <w:r w:rsidR="00E77CEA" w:rsidRPr="007656B5">
        <w:rPr>
          <w:rFonts w:ascii="Times New Roman" w:hAnsi="Times New Roman" w:cs="Times New Roman"/>
        </w:rPr>
        <w:t> </w:t>
      </w:r>
      <w:r w:rsidR="007C2ED7" w:rsidRPr="007656B5">
        <w:rPr>
          <w:rFonts w:ascii="Times New Roman" w:hAnsi="Times New Roman" w:cs="Times New Roman"/>
        </w:rPr>
        <w:t>mg valsartanu denne (nízka, stredná a</w:t>
      </w:r>
      <w:r w:rsidR="00E77CEA" w:rsidRPr="007656B5">
        <w:rPr>
          <w:rFonts w:ascii="Times New Roman" w:hAnsi="Times New Roman" w:cs="Times New Roman"/>
        </w:rPr>
        <w:t> </w:t>
      </w:r>
      <w:r w:rsidR="007C2ED7" w:rsidRPr="007656B5">
        <w:rPr>
          <w:rFonts w:ascii="Times New Roman" w:hAnsi="Times New Roman" w:cs="Times New Roman"/>
        </w:rPr>
        <w:t>vysoká dávka) a</w:t>
      </w:r>
      <w:r w:rsidR="00E77CEA" w:rsidRPr="007656B5">
        <w:rPr>
          <w:rFonts w:ascii="Times New Roman" w:hAnsi="Times New Roman" w:cs="Times New Roman"/>
        </w:rPr>
        <w:t> </w:t>
      </w:r>
      <w:r w:rsidR="007C2ED7" w:rsidRPr="007656B5">
        <w:rPr>
          <w:rFonts w:ascii="Times New Roman" w:hAnsi="Times New Roman" w:cs="Times New Roman"/>
        </w:rPr>
        <w:t>pacienti s</w:t>
      </w:r>
      <w:r w:rsidR="00E77CEA" w:rsidRPr="007656B5">
        <w:rPr>
          <w:rFonts w:ascii="Times New Roman" w:hAnsi="Times New Roman" w:cs="Times New Roman"/>
        </w:rPr>
        <w:t> </w:t>
      </w:r>
      <w:r w:rsidR="007C2ED7" w:rsidRPr="007656B5">
        <w:rPr>
          <w:rFonts w:ascii="Times New Roman" w:hAnsi="Times New Roman" w:cs="Times New Roman"/>
        </w:rPr>
        <w:t xml:space="preserve">telesnou hmotnosťou </w:t>
      </w:r>
      <w:r w:rsidRPr="007656B5">
        <w:rPr>
          <w:rFonts w:ascii="Times New Roman" w:hAnsi="Times New Roman" w:cs="Times New Roman"/>
          <w:snapToGrid w:val="0"/>
        </w:rPr>
        <w:t>≥</w:t>
      </w:r>
      <w:r w:rsidR="007C2ED7" w:rsidRPr="007656B5">
        <w:rPr>
          <w:rFonts w:ascii="Times New Roman" w:hAnsi="Times New Roman" w:cs="Times New Roman"/>
        </w:rPr>
        <w:t>35</w:t>
      </w:r>
      <w:r w:rsidR="00E77CEA" w:rsidRPr="007656B5">
        <w:rPr>
          <w:rFonts w:ascii="Times New Roman" w:hAnsi="Times New Roman" w:cs="Times New Roman"/>
        </w:rPr>
        <w:t> </w:t>
      </w:r>
      <w:r w:rsidR="007C2ED7" w:rsidRPr="007656B5">
        <w:rPr>
          <w:rFonts w:ascii="Times New Roman" w:hAnsi="Times New Roman" w:cs="Times New Roman"/>
        </w:rPr>
        <w:t>kg dostávali tablety s</w:t>
      </w:r>
      <w:r w:rsidR="00E77CEA" w:rsidRPr="007656B5">
        <w:rPr>
          <w:rFonts w:ascii="Times New Roman" w:hAnsi="Times New Roman" w:cs="Times New Roman"/>
        </w:rPr>
        <w:t> </w:t>
      </w:r>
      <w:r w:rsidR="007C2ED7" w:rsidRPr="007656B5">
        <w:rPr>
          <w:rFonts w:ascii="Times New Roman" w:hAnsi="Times New Roman" w:cs="Times New Roman"/>
        </w:rPr>
        <w:t>20, 80 a</w:t>
      </w:r>
      <w:r w:rsidR="00E77CEA" w:rsidRPr="007656B5">
        <w:rPr>
          <w:rFonts w:ascii="Times New Roman" w:hAnsi="Times New Roman" w:cs="Times New Roman"/>
        </w:rPr>
        <w:t> </w:t>
      </w:r>
      <w:r w:rsidR="007C2ED7" w:rsidRPr="007656B5">
        <w:rPr>
          <w:rFonts w:ascii="Times New Roman" w:hAnsi="Times New Roman" w:cs="Times New Roman"/>
        </w:rPr>
        <w:t>160</w:t>
      </w:r>
      <w:r w:rsidR="00E77CEA" w:rsidRPr="007656B5">
        <w:rPr>
          <w:rFonts w:ascii="Times New Roman" w:hAnsi="Times New Roman" w:cs="Times New Roman"/>
        </w:rPr>
        <w:t> </w:t>
      </w:r>
      <w:r w:rsidR="007C2ED7" w:rsidRPr="007656B5">
        <w:rPr>
          <w:rFonts w:ascii="Times New Roman" w:hAnsi="Times New Roman" w:cs="Times New Roman"/>
        </w:rPr>
        <w:t>mg valsartanu denne (nízka, stredná a</w:t>
      </w:r>
      <w:r w:rsidR="00E77CEA" w:rsidRPr="007656B5">
        <w:rPr>
          <w:rFonts w:ascii="Times New Roman" w:hAnsi="Times New Roman" w:cs="Times New Roman"/>
        </w:rPr>
        <w:t> </w:t>
      </w:r>
      <w:r w:rsidR="007C2ED7" w:rsidRPr="007656B5">
        <w:rPr>
          <w:rFonts w:ascii="Times New Roman" w:hAnsi="Times New Roman" w:cs="Times New Roman"/>
        </w:rPr>
        <w:t>vysoká dávka). Na konci 2. týždňa valsartan znížil systolický aj diastolický krvný tlak úmerne dávke. Vo všeobecnosti tri hladiny dávok valsartanu (nízka, stredná a</w:t>
      </w:r>
      <w:r w:rsidR="00AD72E3" w:rsidRPr="007656B5">
        <w:rPr>
          <w:rFonts w:ascii="Times New Roman" w:hAnsi="Times New Roman" w:cs="Times New Roman"/>
        </w:rPr>
        <w:t> </w:t>
      </w:r>
      <w:r w:rsidR="007C2ED7" w:rsidRPr="007656B5">
        <w:rPr>
          <w:rFonts w:ascii="Times New Roman" w:hAnsi="Times New Roman" w:cs="Times New Roman"/>
        </w:rPr>
        <w:t>vysoká) významne znížili systolický krvný tlak o</w:t>
      </w:r>
      <w:r w:rsidR="00AD72E3" w:rsidRPr="007656B5">
        <w:rPr>
          <w:rFonts w:ascii="Times New Roman" w:hAnsi="Times New Roman" w:cs="Times New Roman"/>
        </w:rPr>
        <w:t> </w:t>
      </w:r>
      <w:r w:rsidR="007C2ED7" w:rsidRPr="007656B5">
        <w:rPr>
          <w:rFonts w:ascii="Times New Roman" w:hAnsi="Times New Roman" w:cs="Times New Roman"/>
        </w:rPr>
        <w:t>8, 10 a</w:t>
      </w:r>
      <w:r w:rsidR="00AD72E3" w:rsidRPr="007656B5">
        <w:rPr>
          <w:rFonts w:ascii="Times New Roman" w:hAnsi="Times New Roman" w:cs="Times New Roman"/>
        </w:rPr>
        <w:t> </w:t>
      </w:r>
      <w:r w:rsidR="007C2ED7" w:rsidRPr="007656B5">
        <w:rPr>
          <w:rFonts w:ascii="Times New Roman" w:hAnsi="Times New Roman" w:cs="Times New Roman"/>
        </w:rPr>
        <w:t>12</w:t>
      </w:r>
      <w:r w:rsidR="00AD72E3" w:rsidRPr="007656B5">
        <w:rPr>
          <w:rFonts w:ascii="Times New Roman" w:hAnsi="Times New Roman" w:cs="Times New Roman"/>
        </w:rPr>
        <w:t> </w:t>
      </w:r>
      <w:r w:rsidR="007C2ED7" w:rsidRPr="007656B5">
        <w:rPr>
          <w:rFonts w:ascii="Times New Roman" w:hAnsi="Times New Roman" w:cs="Times New Roman"/>
        </w:rPr>
        <w:t>mm Hg oproti východiskovým hodnotám. Pacienti boli opätovne randomizovaní buď na pokračujúce podávanie rovnakej dávky valsartanu, alebo prešli na placebo. U</w:t>
      </w:r>
      <w:r w:rsidR="00AD72E3" w:rsidRPr="007656B5">
        <w:rPr>
          <w:rFonts w:ascii="Times New Roman" w:hAnsi="Times New Roman" w:cs="Times New Roman"/>
        </w:rPr>
        <w:t> </w:t>
      </w:r>
      <w:r w:rsidR="007C2ED7" w:rsidRPr="007656B5">
        <w:rPr>
          <w:rFonts w:ascii="Times New Roman" w:hAnsi="Times New Roman" w:cs="Times New Roman"/>
        </w:rPr>
        <w:t>pacientov, ktorí naďalej dostávali stredné a</w:t>
      </w:r>
      <w:r w:rsidR="00416DD8" w:rsidRPr="007656B5">
        <w:rPr>
          <w:rFonts w:ascii="Times New Roman" w:hAnsi="Times New Roman" w:cs="Times New Roman"/>
        </w:rPr>
        <w:t> </w:t>
      </w:r>
      <w:r w:rsidR="007C2ED7" w:rsidRPr="007656B5">
        <w:rPr>
          <w:rFonts w:ascii="Times New Roman" w:hAnsi="Times New Roman" w:cs="Times New Roman"/>
        </w:rPr>
        <w:t xml:space="preserve">vysoké dávky valsartanu, bol systolický tlak krvi </w:t>
      </w:r>
      <w:r w:rsidR="00FA208A" w:rsidRPr="007656B5">
        <w:rPr>
          <w:rFonts w:ascii="Times New Roman" w:hAnsi="Times New Roman" w:cs="Times New Roman"/>
        </w:rPr>
        <w:t xml:space="preserve">na konci dávkovacieho intervalu </w:t>
      </w:r>
      <w:r w:rsidR="007C2ED7" w:rsidRPr="007656B5">
        <w:rPr>
          <w:rFonts w:ascii="Times New Roman" w:hAnsi="Times New Roman" w:cs="Times New Roman"/>
        </w:rPr>
        <w:t>o</w:t>
      </w:r>
      <w:r w:rsidR="00AD72E3" w:rsidRPr="007656B5">
        <w:rPr>
          <w:rFonts w:ascii="Times New Roman" w:hAnsi="Times New Roman" w:cs="Times New Roman"/>
        </w:rPr>
        <w:t> </w:t>
      </w:r>
      <w:smartTag w:uri="urn:schemas-microsoft-com:office:smarttags" w:element="metricconverter">
        <w:smartTagPr>
          <w:attr w:name="ProductID" w:val="-4 a"/>
        </w:smartTagPr>
        <w:r w:rsidR="007C2ED7" w:rsidRPr="007656B5">
          <w:rPr>
            <w:rFonts w:ascii="Times New Roman" w:hAnsi="Times New Roman" w:cs="Times New Roman"/>
          </w:rPr>
          <w:t>-4 a</w:t>
        </w:r>
        <w:r w:rsidR="00AD72E3" w:rsidRPr="007656B5">
          <w:rPr>
            <w:rFonts w:ascii="Times New Roman" w:hAnsi="Times New Roman" w:cs="Times New Roman"/>
          </w:rPr>
          <w:t> </w:t>
        </w:r>
      </w:smartTag>
      <w:r w:rsidR="007C2ED7" w:rsidRPr="007656B5">
        <w:rPr>
          <w:rFonts w:ascii="Times New Roman" w:hAnsi="Times New Roman" w:cs="Times New Roman"/>
        </w:rPr>
        <w:t>-7</w:t>
      </w:r>
      <w:r w:rsidR="00AD72E3" w:rsidRPr="007656B5">
        <w:rPr>
          <w:rFonts w:ascii="Times New Roman" w:hAnsi="Times New Roman" w:cs="Times New Roman"/>
        </w:rPr>
        <w:t> </w:t>
      </w:r>
      <w:r w:rsidR="007C2ED7" w:rsidRPr="007656B5">
        <w:rPr>
          <w:rFonts w:ascii="Times New Roman" w:hAnsi="Times New Roman" w:cs="Times New Roman"/>
        </w:rPr>
        <w:t>mm Hg nižší než u</w:t>
      </w:r>
      <w:r w:rsidR="00AD72E3" w:rsidRPr="007656B5">
        <w:rPr>
          <w:rFonts w:ascii="Times New Roman" w:hAnsi="Times New Roman" w:cs="Times New Roman"/>
        </w:rPr>
        <w:t> </w:t>
      </w:r>
      <w:r w:rsidR="007C2ED7" w:rsidRPr="007656B5">
        <w:rPr>
          <w:rFonts w:ascii="Times New Roman" w:hAnsi="Times New Roman" w:cs="Times New Roman"/>
        </w:rPr>
        <w:t>pacientov, ktorí dostávali placebo. U</w:t>
      </w:r>
      <w:r w:rsidR="00AD72E3" w:rsidRPr="007656B5">
        <w:rPr>
          <w:rFonts w:ascii="Times New Roman" w:hAnsi="Times New Roman" w:cs="Times New Roman"/>
        </w:rPr>
        <w:t> </w:t>
      </w:r>
      <w:r w:rsidR="007C2ED7" w:rsidRPr="007656B5">
        <w:rPr>
          <w:rFonts w:ascii="Times New Roman" w:hAnsi="Times New Roman" w:cs="Times New Roman"/>
        </w:rPr>
        <w:t xml:space="preserve">pacientov liečených nízkou dávkou valsartanu bol systolický tlak krvi </w:t>
      </w:r>
      <w:r w:rsidR="00FA208A" w:rsidRPr="007656B5">
        <w:rPr>
          <w:rFonts w:ascii="Times New Roman" w:hAnsi="Times New Roman" w:cs="Times New Roman"/>
        </w:rPr>
        <w:t xml:space="preserve">na konci dávkovacieho intervalu </w:t>
      </w:r>
      <w:r w:rsidR="007C2ED7" w:rsidRPr="007656B5">
        <w:rPr>
          <w:rFonts w:ascii="Times New Roman" w:hAnsi="Times New Roman" w:cs="Times New Roman"/>
        </w:rPr>
        <w:t>podobný ako u</w:t>
      </w:r>
      <w:r w:rsidR="00AD72E3" w:rsidRPr="007656B5">
        <w:rPr>
          <w:rFonts w:ascii="Times New Roman" w:hAnsi="Times New Roman" w:cs="Times New Roman"/>
        </w:rPr>
        <w:t> </w:t>
      </w:r>
      <w:r w:rsidR="007C2ED7" w:rsidRPr="007656B5">
        <w:rPr>
          <w:rFonts w:ascii="Times New Roman" w:hAnsi="Times New Roman" w:cs="Times New Roman"/>
        </w:rPr>
        <w:t>pacientov, ktorí dostávali placebo. Vo všeobecnosti sa antihypertenzn</w:t>
      </w:r>
      <w:r w:rsidR="00FA208A" w:rsidRPr="007656B5">
        <w:rPr>
          <w:rFonts w:ascii="Times New Roman" w:hAnsi="Times New Roman" w:cs="Times New Roman"/>
        </w:rPr>
        <w:t>ý</w:t>
      </w:r>
      <w:r w:rsidR="007C2ED7" w:rsidRPr="007656B5">
        <w:rPr>
          <w:rFonts w:ascii="Times New Roman" w:hAnsi="Times New Roman" w:cs="Times New Roman"/>
        </w:rPr>
        <w:t xml:space="preserve"> účinok valsartanu závislý od dávky zhodoval naprieč všetkými demografickými podskupinami.</w:t>
      </w:r>
    </w:p>
    <w:p w:rsidR="00D82EB7" w:rsidRPr="007656B5" w:rsidRDefault="003006A7">
      <w:pPr>
        <w:pStyle w:val="Normlndobloku"/>
        <w:rPr>
          <w:rFonts w:ascii="Times New Roman" w:hAnsi="Times New Roman" w:cs="Times New Roman"/>
        </w:rPr>
      </w:pPr>
      <w:r w:rsidRPr="007656B5">
        <w:rPr>
          <w:rFonts w:ascii="Times New Roman" w:hAnsi="Times New Roman" w:cs="Times New Roman"/>
          <w:snapToGrid w:val="0"/>
        </w:rPr>
        <w:t>V</w:t>
      </w:r>
      <w:r w:rsidR="00AD72E3" w:rsidRPr="007656B5">
        <w:rPr>
          <w:rFonts w:ascii="Times New Roman" w:hAnsi="Times New Roman" w:cs="Times New Roman"/>
          <w:snapToGrid w:val="0"/>
        </w:rPr>
        <w:t> </w:t>
      </w:r>
      <w:r w:rsidR="007C2ED7" w:rsidRPr="007656B5">
        <w:rPr>
          <w:rFonts w:ascii="Times New Roman" w:hAnsi="Times New Roman" w:cs="Times New Roman"/>
        </w:rPr>
        <w:t xml:space="preserve">ďalšej klinickej štúdii, do ktorej bolo zaradených 300 </w:t>
      </w:r>
      <w:r w:rsidR="00FA208A" w:rsidRPr="007656B5">
        <w:rPr>
          <w:rFonts w:ascii="Times New Roman" w:hAnsi="Times New Roman" w:cs="Times New Roman"/>
        </w:rPr>
        <w:t>det</w:t>
      </w:r>
      <w:r w:rsidR="00AD72E3" w:rsidRPr="007656B5">
        <w:rPr>
          <w:rFonts w:ascii="Times New Roman" w:hAnsi="Times New Roman" w:cs="Times New Roman"/>
        </w:rPr>
        <w:t>í</w:t>
      </w:r>
      <w:r w:rsidR="00FA208A" w:rsidRPr="007656B5">
        <w:rPr>
          <w:rFonts w:ascii="Times New Roman" w:hAnsi="Times New Roman" w:cs="Times New Roman"/>
        </w:rPr>
        <w:t xml:space="preserve"> a</w:t>
      </w:r>
      <w:r w:rsidR="00AD72E3" w:rsidRPr="007656B5">
        <w:rPr>
          <w:rFonts w:ascii="Times New Roman" w:hAnsi="Times New Roman" w:cs="Times New Roman"/>
        </w:rPr>
        <w:t> </w:t>
      </w:r>
      <w:r w:rsidR="00FA208A" w:rsidRPr="007656B5">
        <w:rPr>
          <w:rFonts w:ascii="Times New Roman" w:hAnsi="Times New Roman" w:cs="Times New Roman"/>
        </w:rPr>
        <w:t>dospievajúcich</w:t>
      </w:r>
      <w:r w:rsidR="007C2ED7" w:rsidRPr="007656B5">
        <w:rPr>
          <w:rFonts w:ascii="Times New Roman" w:hAnsi="Times New Roman" w:cs="Times New Roman"/>
        </w:rPr>
        <w:t xml:space="preserve"> s</w:t>
      </w:r>
      <w:r w:rsidR="00AD72E3" w:rsidRPr="007656B5">
        <w:rPr>
          <w:rFonts w:ascii="Times New Roman" w:hAnsi="Times New Roman" w:cs="Times New Roman"/>
        </w:rPr>
        <w:t> </w:t>
      </w:r>
      <w:r w:rsidR="007C2ED7" w:rsidRPr="007656B5">
        <w:rPr>
          <w:rFonts w:ascii="Times New Roman" w:hAnsi="Times New Roman" w:cs="Times New Roman"/>
        </w:rPr>
        <w:t>hypertenziou vo veku 6 až 18 rokov, boli vhodní pacienti randomizovaní na podávanie tabliet valsartanu alebo enalaprilu počas 12 týždňov. Deti s</w:t>
      </w:r>
      <w:r w:rsidR="00AD72E3" w:rsidRPr="007656B5">
        <w:rPr>
          <w:rFonts w:ascii="Times New Roman" w:hAnsi="Times New Roman" w:cs="Times New Roman"/>
        </w:rPr>
        <w:t> </w:t>
      </w:r>
      <w:r w:rsidR="007C2ED7" w:rsidRPr="007656B5">
        <w:rPr>
          <w:rFonts w:ascii="Times New Roman" w:hAnsi="Times New Roman" w:cs="Times New Roman"/>
        </w:rPr>
        <w:t xml:space="preserve">telesnou hmotnosťou </w:t>
      </w:r>
      <w:r w:rsidR="00FE11FF" w:rsidRPr="007656B5">
        <w:rPr>
          <w:rFonts w:ascii="Times New Roman" w:hAnsi="Times New Roman" w:cs="Times New Roman"/>
          <w:snapToGrid w:val="0"/>
        </w:rPr>
        <w:t>≥</w:t>
      </w:r>
      <w:r w:rsidR="007C2ED7" w:rsidRPr="007656B5">
        <w:rPr>
          <w:rFonts w:ascii="Times New Roman" w:hAnsi="Times New Roman" w:cs="Times New Roman"/>
        </w:rPr>
        <w:t>18</w:t>
      </w:r>
      <w:r w:rsidR="00AD72E3" w:rsidRPr="007656B5">
        <w:rPr>
          <w:rFonts w:ascii="Times New Roman" w:hAnsi="Times New Roman" w:cs="Times New Roman"/>
        </w:rPr>
        <w:t> </w:t>
      </w:r>
      <w:r w:rsidR="007C2ED7" w:rsidRPr="007656B5">
        <w:rPr>
          <w:rFonts w:ascii="Times New Roman" w:hAnsi="Times New Roman" w:cs="Times New Roman"/>
        </w:rPr>
        <w:t>kg a</w:t>
      </w:r>
      <w:r w:rsidR="00AD72E3" w:rsidRPr="007656B5">
        <w:rPr>
          <w:rFonts w:ascii="Times New Roman" w:hAnsi="Times New Roman" w:cs="Times New Roman"/>
        </w:rPr>
        <w:t> </w:t>
      </w:r>
      <w:r w:rsidR="007C2ED7" w:rsidRPr="007656B5">
        <w:rPr>
          <w:rFonts w:ascii="Times New Roman" w:hAnsi="Times New Roman" w:cs="Times New Roman"/>
        </w:rPr>
        <w:t>&lt;35</w:t>
      </w:r>
      <w:r w:rsidR="00AD72E3" w:rsidRPr="007656B5">
        <w:rPr>
          <w:rFonts w:ascii="Times New Roman" w:hAnsi="Times New Roman" w:cs="Times New Roman"/>
        </w:rPr>
        <w:t> </w:t>
      </w:r>
      <w:r w:rsidR="007C2ED7" w:rsidRPr="007656B5">
        <w:rPr>
          <w:rFonts w:ascii="Times New Roman" w:hAnsi="Times New Roman" w:cs="Times New Roman"/>
        </w:rPr>
        <w:t>kg dostávali 80</w:t>
      </w:r>
      <w:r w:rsidR="00AD72E3" w:rsidRPr="007656B5">
        <w:rPr>
          <w:rFonts w:ascii="Times New Roman" w:hAnsi="Times New Roman" w:cs="Times New Roman"/>
        </w:rPr>
        <w:t> </w:t>
      </w:r>
      <w:r w:rsidR="007C2ED7" w:rsidRPr="007656B5">
        <w:rPr>
          <w:rFonts w:ascii="Times New Roman" w:hAnsi="Times New Roman" w:cs="Times New Roman"/>
        </w:rPr>
        <w:t>mg valsartanu alebo 10</w:t>
      </w:r>
      <w:r w:rsidR="00BF6BFC" w:rsidRPr="007656B5">
        <w:rPr>
          <w:rFonts w:ascii="Times New Roman" w:hAnsi="Times New Roman" w:cs="Times New Roman"/>
        </w:rPr>
        <w:t> </w:t>
      </w:r>
      <w:r w:rsidR="007C2ED7" w:rsidRPr="007656B5">
        <w:rPr>
          <w:rFonts w:ascii="Times New Roman" w:hAnsi="Times New Roman" w:cs="Times New Roman"/>
        </w:rPr>
        <w:t>mg enalaprilu; deti s</w:t>
      </w:r>
      <w:r w:rsidR="00AD72E3" w:rsidRPr="007656B5">
        <w:rPr>
          <w:rFonts w:ascii="Times New Roman" w:hAnsi="Times New Roman" w:cs="Times New Roman"/>
        </w:rPr>
        <w:t> </w:t>
      </w:r>
      <w:r w:rsidR="007C2ED7" w:rsidRPr="007656B5">
        <w:rPr>
          <w:rFonts w:ascii="Times New Roman" w:hAnsi="Times New Roman" w:cs="Times New Roman"/>
        </w:rPr>
        <w:t xml:space="preserve">telesnou hmotnosťou </w:t>
      </w:r>
      <w:r w:rsidR="00FE11FF" w:rsidRPr="007656B5">
        <w:rPr>
          <w:rFonts w:ascii="Times New Roman" w:hAnsi="Times New Roman" w:cs="Times New Roman"/>
        </w:rPr>
        <w:t>≥</w:t>
      </w:r>
      <w:r w:rsidR="007C2ED7" w:rsidRPr="007656B5">
        <w:rPr>
          <w:rFonts w:ascii="Times New Roman" w:hAnsi="Times New Roman" w:cs="Times New Roman"/>
        </w:rPr>
        <w:t>35</w:t>
      </w:r>
      <w:r w:rsidR="00AD72E3" w:rsidRPr="007656B5">
        <w:rPr>
          <w:rFonts w:ascii="Times New Roman" w:hAnsi="Times New Roman" w:cs="Times New Roman"/>
        </w:rPr>
        <w:t> </w:t>
      </w:r>
      <w:r w:rsidR="007C2ED7" w:rsidRPr="007656B5">
        <w:rPr>
          <w:rFonts w:ascii="Times New Roman" w:hAnsi="Times New Roman" w:cs="Times New Roman"/>
        </w:rPr>
        <w:t>kg a</w:t>
      </w:r>
      <w:r w:rsidR="00AD72E3" w:rsidRPr="007656B5">
        <w:rPr>
          <w:rFonts w:ascii="Times New Roman" w:hAnsi="Times New Roman" w:cs="Times New Roman"/>
        </w:rPr>
        <w:t> </w:t>
      </w:r>
      <w:r w:rsidR="007C2ED7" w:rsidRPr="007656B5">
        <w:rPr>
          <w:rFonts w:ascii="Times New Roman" w:hAnsi="Times New Roman" w:cs="Times New Roman"/>
        </w:rPr>
        <w:t>&lt;80</w:t>
      </w:r>
      <w:r w:rsidR="00AD72E3" w:rsidRPr="007656B5">
        <w:rPr>
          <w:rFonts w:ascii="Times New Roman" w:hAnsi="Times New Roman" w:cs="Times New Roman"/>
        </w:rPr>
        <w:t> </w:t>
      </w:r>
      <w:r w:rsidR="007C2ED7" w:rsidRPr="007656B5">
        <w:rPr>
          <w:rFonts w:ascii="Times New Roman" w:hAnsi="Times New Roman" w:cs="Times New Roman"/>
        </w:rPr>
        <w:t>kg dostávali 160</w:t>
      </w:r>
      <w:r w:rsidR="00AD72E3" w:rsidRPr="007656B5">
        <w:rPr>
          <w:rFonts w:ascii="Times New Roman" w:hAnsi="Times New Roman" w:cs="Times New Roman"/>
        </w:rPr>
        <w:t> </w:t>
      </w:r>
      <w:r w:rsidR="007C2ED7" w:rsidRPr="007656B5">
        <w:rPr>
          <w:rFonts w:ascii="Times New Roman" w:hAnsi="Times New Roman" w:cs="Times New Roman"/>
        </w:rPr>
        <w:t>mg valsartanu alebo 20</w:t>
      </w:r>
      <w:r w:rsidR="00BF6BFC" w:rsidRPr="007656B5">
        <w:rPr>
          <w:rFonts w:ascii="Times New Roman" w:hAnsi="Times New Roman" w:cs="Times New Roman"/>
        </w:rPr>
        <w:t> </w:t>
      </w:r>
      <w:r w:rsidR="007C2ED7" w:rsidRPr="007656B5">
        <w:rPr>
          <w:rFonts w:ascii="Times New Roman" w:hAnsi="Times New Roman" w:cs="Times New Roman"/>
        </w:rPr>
        <w:t>mg enalaprilu; deti s</w:t>
      </w:r>
      <w:r w:rsidR="00AD72E3" w:rsidRPr="007656B5">
        <w:rPr>
          <w:rFonts w:ascii="Times New Roman" w:hAnsi="Times New Roman" w:cs="Times New Roman"/>
        </w:rPr>
        <w:t> </w:t>
      </w:r>
      <w:r w:rsidR="007C2ED7" w:rsidRPr="007656B5">
        <w:rPr>
          <w:rFonts w:ascii="Times New Roman" w:hAnsi="Times New Roman" w:cs="Times New Roman"/>
        </w:rPr>
        <w:t xml:space="preserve">telesnou hmotnosťou </w:t>
      </w:r>
      <w:r w:rsidR="00FE11FF" w:rsidRPr="007656B5">
        <w:rPr>
          <w:rFonts w:ascii="Times New Roman" w:hAnsi="Times New Roman" w:cs="Times New Roman"/>
          <w:snapToGrid w:val="0"/>
        </w:rPr>
        <w:t>≥</w:t>
      </w:r>
      <w:r w:rsidR="007C2ED7" w:rsidRPr="007656B5">
        <w:rPr>
          <w:rFonts w:ascii="Times New Roman" w:hAnsi="Times New Roman" w:cs="Times New Roman"/>
        </w:rPr>
        <w:t>80</w:t>
      </w:r>
      <w:r w:rsidR="00AD72E3" w:rsidRPr="007656B5">
        <w:rPr>
          <w:rFonts w:ascii="Times New Roman" w:hAnsi="Times New Roman" w:cs="Times New Roman"/>
        </w:rPr>
        <w:t> </w:t>
      </w:r>
      <w:r w:rsidR="007C2ED7" w:rsidRPr="007656B5">
        <w:rPr>
          <w:rFonts w:ascii="Times New Roman" w:hAnsi="Times New Roman" w:cs="Times New Roman"/>
        </w:rPr>
        <w:t>kg dostávali 320</w:t>
      </w:r>
      <w:r w:rsidR="00AD72E3" w:rsidRPr="007656B5">
        <w:rPr>
          <w:rFonts w:ascii="Times New Roman" w:hAnsi="Times New Roman" w:cs="Times New Roman"/>
        </w:rPr>
        <w:t> </w:t>
      </w:r>
      <w:r w:rsidR="007C2ED7" w:rsidRPr="007656B5">
        <w:rPr>
          <w:rFonts w:ascii="Times New Roman" w:hAnsi="Times New Roman" w:cs="Times New Roman"/>
        </w:rPr>
        <w:t>mg valsartanu alebo 40</w:t>
      </w:r>
      <w:r w:rsidR="00AD72E3" w:rsidRPr="007656B5">
        <w:rPr>
          <w:rFonts w:ascii="Times New Roman" w:hAnsi="Times New Roman" w:cs="Times New Roman"/>
        </w:rPr>
        <w:t> </w:t>
      </w:r>
      <w:r w:rsidR="007C2ED7" w:rsidRPr="007656B5">
        <w:rPr>
          <w:rFonts w:ascii="Times New Roman" w:hAnsi="Times New Roman" w:cs="Times New Roman"/>
        </w:rPr>
        <w:t>mg enalaprilu. Pokles systolického tlaku krvi bol porovnateľný u</w:t>
      </w:r>
      <w:r w:rsidR="00AD72E3" w:rsidRPr="007656B5">
        <w:rPr>
          <w:rFonts w:ascii="Times New Roman" w:hAnsi="Times New Roman" w:cs="Times New Roman"/>
        </w:rPr>
        <w:t> </w:t>
      </w:r>
      <w:r w:rsidR="007C2ED7" w:rsidRPr="007656B5">
        <w:rPr>
          <w:rFonts w:ascii="Times New Roman" w:hAnsi="Times New Roman" w:cs="Times New Roman"/>
        </w:rPr>
        <w:t>pacientov užívajúcich valsartan</w:t>
      </w:r>
      <w:r w:rsidR="00FE11FF" w:rsidRPr="007656B5">
        <w:rPr>
          <w:rFonts w:ascii="Times New Roman" w:hAnsi="Times New Roman" w:cs="Times New Roman"/>
        </w:rPr>
        <w:t xml:space="preserve"> </w:t>
      </w:r>
      <w:r w:rsidR="007C2ED7" w:rsidRPr="007656B5">
        <w:rPr>
          <w:rFonts w:ascii="Times New Roman" w:hAnsi="Times New Roman" w:cs="Times New Roman"/>
        </w:rPr>
        <w:t>(15</w:t>
      </w:r>
      <w:r w:rsidR="00AD72E3" w:rsidRPr="007656B5">
        <w:rPr>
          <w:rFonts w:ascii="Times New Roman" w:hAnsi="Times New Roman" w:cs="Times New Roman"/>
        </w:rPr>
        <w:t> </w:t>
      </w:r>
      <w:r w:rsidR="007C2ED7" w:rsidRPr="007656B5">
        <w:rPr>
          <w:rFonts w:ascii="Times New Roman" w:hAnsi="Times New Roman" w:cs="Times New Roman"/>
        </w:rPr>
        <w:t>mm Hg) a</w:t>
      </w:r>
      <w:r w:rsidR="00AD72E3" w:rsidRPr="007656B5">
        <w:rPr>
          <w:rFonts w:ascii="Times New Roman" w:hAnsi="Times New Roman" w:cs="Times New Roman"/>
        </w:rPr>
        <w:t> </w:t>
      </w:r>
      <w:r w:rsidR="007C2ED7" w:rsidRPr="007656B5">
        <w:rPr>
          <w:rFonts w:ascii="Times New Roman" w:hAnsi="Times New Roman" w:cs="Times New Roman"/>
        </w:rPr>
        <w:t>enalapril (14</w:t>
      </w:r>
      <w:r w:rsidR="00AD72E3" w:rsidRPr="007656B5">
        <w:rPr>
          <w:rFonts w:ascii="Times New Roman" w:hAnsi="Times New Roman" w:cs="Times New Roman"/>
        </w:rPr>
        <w:t> </w:t>
      </w:r>
      <w:r w:rsidR="007C2ED7" w:rsidRPr="007656B5">
        <w:rPr>
          <w:rFonts w:ascii="Times New Roman" w:hAnsi="Times New Roman" w:cs="Times New Roman"/>
        </w:rPr>
        <w:t>mm Hg) (hodnota p pre noninferioritu &lt;0,0001). Zhodné výsledky sa pozorovali pri diastolickom tlaku krvi s</w:t>
      </w:r>
      <w:r w:rsidR="00AD72E3" w:rsidRPr="007656B5">
        <w:rPr>
          <w:rFonts w:ascii="Times New Roman" w:hAnsi="Times New Roman" w:cs="Times New Roman"/>
        </w:rPr>
        <w:t> </w:t>
      </w:r>
      <w:r w:rsidR="007C2ED7" w:rsidRPr="007656B5">
        <w:rPr>
          <w:rFonts w:ascii="Times New Roman" w:hAnsi="Times New Roman" w:cs="Times New Roman"/>
        </w:rPr>
        <w:t>poklesom o</w:t>
      </w:r>
      <w:r w:rsidR="00AD72E3" w:rsidRPr="007656B5">
        <w:rPr>
          <w:rFonts w:ascii="Times New Roman" w:hAnsi="Times New Roman" w:cs="Times New Roman"/>
        </w:rPr>
        <w:t> </w:t>
      </w:r>
      <w:r w:rsidR="007C2ED7" w:rsidRPr="007656B5">
        <w:rPr>
          <w:rFonts w:ascii="Times New Roman" w:hAnsi="Times New Roman" w:cs="Times New Roman"/>
        </w:rPr>
        <w:t>9,1</w:t>
      </w:r>
      <w:r w:rsidR="00AD72E3" w:rsidRPr="007656B5">
        <w:rPr>
          <w:rFonts w:ascii="Times New Roman" w:hAnsi="Times New Roman" w:cs="Times New Roman"/>
        </w:rPr>
        <w:t> </w:t>
      </w:r>
      <w:r w:rsidR="007C2ED7" w:rsidRPr="007656B5">
        <w:rPr>
          <w:rFonts w:ascii="Times New Roman" w:hAnsi="Times New Roman" w:cs="Times New Roman"/>
        </w:rPr>
        <w:t>mm Hg pri valsartane a</w:t>
      </w:r>
      <w:r w:rsidR="00AD72E3" w:rsidRPr="007656B5">
        <w:rPr>
          <w:rFonts w:ascii="Times New Roman" w:hAnsi="Times New Roman" w:cs="Times New Roman"/>
        </w:rPr>
        <w:t> </w:t>
      </w:r>
      <w:r w:rsidR="007C2ED7" w:rsidRPr="007656B5">
        <w:rPr>
          <w:rFonts w:ascii="Times New Roman" w:hAnsi="Times New Roman" w:cs="Times New Roman"/>
        </w:rPr>
        <w:t>8,5</w:t>
      </w:r>
      <w:r w:rsidR="00AD72E3" w:rsidRPr="007656B5">
        <w:rPr>
          <w:rFonts w:ascii="Times New Roman" w:hAnsi="Times New Roman" w:cs="Times New Roman"/>
        </w:rPr>
        <w:t> </w:t>
      </w:r>
      <w:r w:rsidR="007C2ED7" w:rsidRPr="007656B5">
        <w:rPr>
          <w:rFonts w:ascii="Times New Roman" w:hAnsi="Times New Roman" w:cs="Times New Roman"/>
        </w:rPr>
        <w:t>mm Hg pri enalaprile.</w:t>
      </w:r>
    </w:p>
    <w:p w:rsidR="002F5663" w:rsidRPr="007656B5" w:rsidRDefault="002F5663">
      <w:pPr>
        <w:pStyle w:val="Normlndobloku"/>
        <w:rPr>
          <w:rFonts w:ascii="Times New Roman" w:hAnsi="Times New Roman" w:cs="Times New Roman"/>
        </w:rPr>
      </w:pPr>
      <w:r w:rsidRPr="007656B5">
        <w:rPr>
          <w:rFonts w:ascii="Times New Roman" w:hAnsi="Times New Roman" w:cs="Times New Roman"/>
        </w:rPr>
        <w:t>V tretej otvorenej klinickej štúdii zahŕňajúcej 150 pediatrických pacientov s hypertenziou vo veku 6 až 17 rokov, dostávali vhodní pacienti (systolický TK ≥ 95. percentil na vek, pohlavie a výšku) liek valsartan v priebehu 18 mesiacov na hodnotenie bezpečnosti a znášanlivosti. Zo 150 pacientov, ktorí sa zúčastnili tejto štúdie, 41 pacientom boli sú</w:t>
      </w:r>
      <w:r w:rsidR="00602B5F" w:rsidRPr="00201A3B">
        <w:rPr>
          <w:rFonts w:ascii="Times New Roman" w:hAnsi="Times New Roman" w:cs="Times New Roman"/>
        </w:rPr>
        <w:t>bež</w:t>
      </w:r>
      <w:r w:rsidRPr="007656B5">
        <w:rPr>
          <w:rFonts w:ascii="Times New Roman" w:hAnsi="Times New Roman" w:cs="Times New Roman"/>
        </w:rPr>
        <w:t xml:space="preserve">ne podávané antihypertenzívne lieky. </w:t>
      </w:r>
      <w:r w:rsidR="00602B5F" w:rsidRPr="007656B5">
        <w:rPr>
          <w:rFonts w:ascii="Times New Roman" w:hAnsi="Times New Roman" w:cs="Times New Roman"/>
        </w:rPr>
        <w:t>Začiatočné a udržiavacie dávky dostávali pacienti</w:t>
      </w:r>
      <w:r w:rsidR="00602B5F" w:rsidRPr="00201A3B" w:rsidDel="00602B5F">
        <w:rPr>
          <w:rFonts w:ascii="Times New Roman" w:hAnsi="Times New Roman" w:cs="Times New Roman"/>
        </w:rPr>
        <w:t xml:space="preserve"> </w:t>
      </w:r>
      <w:r w:rsidRPr="007656B5">
        <w:rPr>
          <w:rFonts w:ascii="Times New Roman" w:hAnsi="Times New Roman" w:cs="Times New Roman"/>
        </w:rPr>
        <w:t xml:space="preserve">na základe ich hmotnostných kategórií. Pacienti s hmotnosťou ≥ 18 až &lt;35 kg, ≥ 35 až &lt;80 kg a ≥ 80 až &lt;160 kg dostávali 40 mg, 80 mg a 160 mg a dávky sa titrovali </w:t>
      </w:r>
      <w:r w:rsidRPr="007656B5">
        <w:rPr>
          <w:rFonts w:ascii="Times New Roman" w:hAnsi="Times New Roman" w:cs="Times New Roman"/>
        </w:rPr>
        <w:lastRenderedPageBreak/>
        <w:t>na 80 mg, 160 mg a 320 mg po jednom týždni. Jedna polovica pacientov zaradených do štúdie (50,0 %, n = 75) mala CKD,</w:t>
      </w:r>
      <w:r w:rsidRPr="007656B5">
        <w:rPr>
          <w:rFonts w:ascii="Times New Roman" w:hAnsi="Times New Roman" w:cs="Times New Roman"/>
          <w:color w:val="000000" w:themeColor="text1"/>
        </w:rPr>
        <w:t xml:space="preserve">  </w:t>
      </w:r>
      <w:r w:rsidRPr="007656B5">
        <w:rPr>
          <w:rFonts w:ascii="Times New Roman" w:hAnsi="Times New Roman" w:cs="Times New Roman"/>
        </w:rPr>
        <w:t>29,3% (44) pacientov mala CKD v štádiu 2 (GFR 60 – 89 ml/min/1,73 m</w:t>
      </w:r>
      <w:r w:rsidRPr="007656B5">
        <w:rPr>
          <w:rFonts w:ascii="Times New Roman" w:hAnsi="Times New Roman" w:cs="Times New Roman"/>
          <w:vertAlign w:val="superscript"/>
        </w:rPr>
        <w:t>2</w:t>
      </w:r>
      <w:r w:rsidRPr="007656B5">
        <w:rPr>
          <w:rFonts w:ascii="Times New Roman" w:hAnsi="Times New Roman" w:cs="Times New Roman"/>
        </w:rPr>
        <w:t>) alebo štádiu 3 (GFR 30 – 59 ml/min/1,73m</w:t>
      </w:r>
      <w:r w:rsidRPr="007656B5">
        <w:rPr>
          <w:rFonts w:ascii="Times New Roman" w:hAnsi="Times New Roman" w:cs="Times New Roman"/>
          <w:vertAlign w:val="superscript"/>
        </w:rPr>
        <w:t>2</w:t>
      </w:r>
      <w:r w:rsidRPr="007656B5">
        <w:rPr>
          <w:rFonts w:ascii="Times New Roman" w:hAnsi="Times New Roman" w:cs="Times New Roman"/>
        </w:rPr>
        <w:t>). Priemerné zníženia systolického krvného tlaku boli 14,9 mmHg u všetkých pacientov (východisková hodnota 133,5 mmHg), 18,4 mmHg u pacientov s CKD (východisková hodnota 131,9 mmHg) a 11,5 mmHg u pacientov bez CKD (východisková hodnota 135,1 mmHg). Percento pacientov, ktorí dosiahli celkovú kontrolu TK (systolický a diastolický TK &lt;95. percentil), bolo mierne vyššie v skupine CKD (79,5 %) v porovnaní so skupinou bez CKD (72,2%).</w:t>
      </w:r>
    </w:p>
    <w:p w:rsidR="007C2ED7" w:rsidRPr="007656B5" w:rsidRDefault="007C2ED7">
      <w:pPr>
        <w:pStyle w:val="Styl3"/>
        <w:rPr>
          <w:szCs w:val="22"/>
        </w:rPr>
      </w:pPr>
      <w:r w:rsidRPr="007656B5">
        <w:rPr>
          <w:szCs w:val="22"/>
        </w:rPr>
        <w:t>Klinické skúsenosti u</w:t>
      </w:r>
      <w:r w:rsidR="00AD72E3" w:rsidRPr="007656B5">
        <w:rPr>
          <w:szCs w:val="22"/>
        </w:rPr>
        <w:t> </w:t>
      </w:r>
      <w:r w:rsidRPr="007656B5">
        <w:rPr>
          <w:szCs w:val="22"/>
        </w:rPr>
        <w:t>detí vo veku menej ako 6 rokov</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Uskutočnili sa dve klinické štúdie u</w:t>
      </w:r>
      <w:r w:rsidR="00AD72E3" w:rsidRPr="007656B5">
        <w:rPr>
          <w:rFonts w:ascii="Times New Roman" w:hAnsi="Times New Roman" w:cs="Times New Roman"/>
        </w:rPr>
        <w:t> </w:t>
      </w:r>
      <w:r w:rsidRPr="007656B5">
        <w:rPr>
          <w:rFonts w:ascii="Times New Roman" w:hAnsi="Times New Roman" w:cs="Times New Roman"/>
        </w:rPr>
        <w:t>pacientov vo veku 1 až 6 rokov, na ktorých sa zúčastnilo 90</w:t>
      </w:r>
      <w:r w:rsidR="00BF6BFC" w:rsidRPr="007656B5">
        <w:rPr>
          <w:rFonts w:ascii="Times New Roman" w:hAnsi="Times New Roman" w:cs="Times New Roman"/>
        </w:rPr>
        <w:t> </w:t>
      </w:r>
      <w:r w:rsidRPr="007656B5">
        <w:rPr>
          <w:rFonts w:ascii="Times New Roman" w:hAnsi="Times New Roman" w:cs="Times New Roman"/>
        </w:rPr>
        <w:t>a</w:t>
      </w:r>
      <w:r w:rsidR="00416DD8" w:rsidRPr="007656B5">
        <w:rPr>
          <w:rFonts w:ascii="Times New Roman" w:hAnsi="Times New Roman" w:cs="Times New Roman"/>
        </w:rPr>
        <w:t> </w:t>
      </w:r>
      <w:r w:rsidRPr="007656B5">
        <w:rPr>
          <w:rFonts w:ascii="Times New Roman" w:hAnsi="Times New Roman" w:cs="Times New Roman"/>
        </w:rPr>
        <w:t>75</w:t>
      </w:r>
      <w:r w:rsidR="00416DD8" w:rsidRPr="007656B5">
        <w:rPr>
          <w:rFonts w:ascii="Times New Roman" w:hAnsi="Times New Roman" w:cs="Times New Roman"/>
        </w:rPr>
        <w:t> </w:t>
      </w:r>
      <w:r w:rsidRPr="007656B5">
        <w:rPr>
          <w:rFonts w:ascii="Times New Roman" w:hAnsi="Times New Roman" w:cs="Times New Roman"/>
        </w:rPr>
        <w:t>detí. Do týchto štúdií neboli zaradené deti mladšie ako 1 rok. V</w:t>
      </w:r>
      <w:r w:rsidR="00AD72E3" w:rsidRPr="007656B5">
        <w:rPr>
          <w:rFonts w:ascii="Times New Roman" w:hAnsi="Times New Roman" w:cs="Times New Roman"/>
        </w:rPr>
        <w:t> </w:t>
      </w:r>
      <w:r w:rsidRPr="007656B5">
        <w:rPr>
          <w:rFonts w:ascii="Times New Roman" w:hAnsi="Times New Roman" w:cs="Times New Roman"/>
        </w:rPr>
        <w:t>prvej štúdii sa účinnosť valsartanu potvrdila porovnaním s</w:t>
      </w:r>
      <w:r w:rsidR="00AD72E3" w:rsidRPr="007656B5">
        <w:rPr>
          <w:rFonts w:ascii="Times New Roman" w:hAnsi="Times New Roman" w:cs="Times New Roman"/>
        </w:rPr>
        <w:t> </w:t>
      </w:r>
      <w:r w:rsidRPr="007656B5">
        <w:rPr>
          <w:rFonts w:ascii="Times New Roman" w:hAnsi="Times New Roman" w:cs="Times New Roman"/>
        </w:rPr>
        <w:t>placebom, ale odpoveď závislá od dávky sa nepreukázala. V</w:t>
      </w:r>
      <w:r w:rsidR="00AD72E3" w:rsidRPr="007656B5">
        <w:rPr>
          <w:rFonts w:ascii="Times New Roman" w:hAnsi="Times New Roman" w:cs="Times New Roman"/>
        </w:rPr>
        <w:t> </w:t>
      </w:r>
      <w:r w:rsidRPr="007656B5">
        <w:rPr>
          <w:rFonts w:ascii="Times New Roman" w:hAnsi="Times New Roman" w:cs="Times New Roman"/>
        </w:rPr>
        <w:t>druhej štúdii boli vyššie dávky valsartanu spojené s</w:t>
      </w:r>
      <w:r w:rsidR="00AD72E3" w:rsidRPr="007656B5">
        <w:rPr>
          <w:rFonts w:ascii="Times New Roman" w:hAnsi="Times New Roman" w:cs="Times New Roman"/>
        </w:rPr>
        <w:t> </w:t>
      </w:r>
      <w:r w:rsidRPr="007656B5">
        <w:rPr>
          <w:rFonts w:ascii="Times New Roman" w:hAnsi="Times New Roman" w:cs="Times New Roman"/>
        </w:rPr>
        <w:t>väčším poklesom TK, ale tendencia závislosti odpovede od dávky</w:t>
      </w:r>
      <w:r w:rsidR="00DF3046" w:rsidRPr="007656B5">
        <w:rPr>
          <w:rFonts w:ascii="Times New Roman" w:hAnsi="Times New Roman" w:cs="Times New Roman"/>
        </w:rPr>
        <w:t xml:space="preserve"> </w:t>
      </w:r>
      <w:r w:rsidRPr="007656B5">
        <w:rPr>
          <w:rFonts w:ascii="Times New Roman" w:hAnsi="Times New Roman" w:cs="Times New Roman"/>
        </w:rPr>
        <w:t>nedosiahla štatistickú významnosť a</w:t>
      </w:r>
      <w:r w:rsidR="00AD72E3" w:rsidRPr="007656B5">
        <w:rPr>
          <w:rFonts w:ascii="Times New Roman" w:hAnsi="Times New Roman" w:cs="Times New Roman"/>
        </w:rPr>
        <w:t> </w:t>
      </w:r>
      <w:r w:rsidRPr="007656B5">
        <w:rPr>
          <w:rFonts w:ascii="Times New Roman" w:hAnsi="Times New Roman" w:cs="Times New Roman"/>
        </w:rPr>
        <w:t>rozdiel v</w:t>
      </w:r>
      <w:r w:rsidR="00AD72E3" w:rsidRPr="007656B5">
        <w:rPr>
          <w:rFonts w:ascii="Times New Roman" w:hAnsi="Times New Roman" w:cs="Times New Roman"/>
        </w:rPr>
        <w:t> </w:t>
      </w:r>
      <w:r w:rsidRPr="007656B5">
        <w:rPr>
          <w:rFonts w:ascii="Times New Roman" w:hAnsi="Times New Roman" w:cs="Times New Roman"/>
        </w:rPr>
        <w:t>liečbe v</w:t>
      </w:r>
      <w:r w:rsidR="00AD72E3" w:rsidRPr="007656B5">
        <w:rPr>
          <w:rFonts w:ascii="Times New Roman" w:hAnsi="Times New Roman" w:cs="Times New Roman"/>
        </w:rPr>
        <w:t> </w:t>
      </w:r>
      <w:r w:rsidRPr="007656B5">
        <w:rPr>
          <w:rFonts w:ascii="Times New Roman" w:hAnsi="Times New Roman" w:cs="Times New Roman"/>
        </w:rPr>
        <w:t>porovnaní s</w:t>
      </w:r>
      <w:r w:rsidR="00AD72E3" w:rsidRPr="007656B5">
        <w:rPr>
          <w:rFonts w:ascii="Times New Roman" w:hAnsi="Times New Roman" w:cs="Times New Roman"/>
        </w:rPr>
        <w:t> </w:t>
      </w:r>
      <w:r w:rsidRPr="007656B5">
        <w:rPr>
          <w:rFonts w:ascii="Times New Roman" w:hAnsi="Times New Roman" w:cs="Times New Roman"/>
        </w:rPr>
        <w:t>placebom nebol významný. Vzhľadom na túto nekonzistentnosť sa valsartan neodporúča u</w:t>
      </w:r>
      <w:r w:rsidR="00AD72E3" w:rsidRPr="007656B5">
        <w:rPr>
          <w:rFonts w:ascii="Times New Roman" w:hAnsi="Times New Roman" w:cs="Times New Roman"/>
        </w:rPr>
        <w:t> </w:t>
      </w:r>
      <w:r w:rsidRPr="007656B5">
        <w:rPr>
          <w:rFonts w:ascii="Times New Roman" w:hAnsi="Times New Roman" w:cs="Times New Roman"/>
        </w:rPr>
        <w:t>tejto vekovej skupiny (pozri časť 4.8).</w:t>
      </w:r>
    </w:p>
    <w:p w:rsidR="007C2ED7" w:rsidRPr="007656B5" w:rsidRDefault="007C2ED7" w:rsidP="00D50784">
      <w:pPr>
        <w:pStyle w:val="Styl2"/>
      </w:pPr>
      <w:r w:rsidRPr="007656B5">
        <w:t>Farmakokinetické vlastnosti</w:t>
      </w:r>
    </w:p>
    <w:p w:rsidR="007C2ED7" w:rsidRPr="007656B5" w:rsidRDefault="007C2ED7" w:rsidP="007C44E3">
      <w:pPr>
        <w:pStyle w:val="Styl3"/>
        <w:rPr>
          <w:szCs w:val="22"/>
        </w:rPr>
      </w:pPr>
      <w:r w:rsidRPr="007656B5">
        <w:rPr>
          <w:szCs w:val="22"/>
        </w:rPr>
        <w:t>Absorpcia</w:t>
      </w:r>
    </w:p>
    <w:p w:rsidR="007C2ED7" w:rsidRPr="007656B5" w:rsidRDefault="007C2ED7" w:rsidP="007C44E3">
      <w:pPr>
        <w:pStyle w:val="Normlndobloku"/>
        <w:rPr>
          <w:rFonts w:ascii="Times New Roman" w:hAnsi="Times New Roman" w:cs="Times New Roman"/>
        </w:rPr>
      </w:pPr>
      <w:r w:rsidRPr="007656B5">
        <w:rPr>
          <w:rFonts w:ascii="Times New Roman" w:hAnsi="Times New Roman" w:cs="Times New Roman"/>
        </w:rPr>
        <w:t>Po perorálnom podaní samotného valsartanu sa maximálne koncentrácie valsartanu v</w:t>
      </w:r>
      <w:r w:rsidR="00AD72E3" w:rsidRPr="007656B5">
        <w:rPr>
          <w:rFonts w:ascii="Times New Roman" w:hAnsi="Times New Roman" w:cs="Times New Roman"/>
        </w:rPr>
        <w:t> </w:t>
      </w:r>
      <w:r w:rsidRPr="007656B5">
        <w:rPr>
          <w:rFonts w:ascii="Times New Roman" w:hAnsi="Times New Roman" w:cs="Times New Roman"/>
        </w:rPr>
        <w:t>plazme dosahujú za 2</w:t>
      </w:r>
      <w:r w:rsidR="00AD72E3" w:rsidRPr="007656B5">
        <w:rPr>
          <w:rFonts w:ascii="Times New Roman" w:hAnsi="Times New Roman" w:cs="Times New Roman"/>
        </w:rPr>
        <w:t> </w:t>
      </w:r>
      <w:r w:rsidR="00425FAD" w:rsidRPr="007656B5">
        <w:rPr>
          <w:rFonts w:ascii="Times New Roman" w:hAnsi="Times New Roman" w:cs="Times New Roman"/>
        </w:rPr>
        <w:t>–</w:t>
      </w:r>
      <w:r w:rsidR="00AD72E3" w:rsidRPr="007656B5">
        <w:rPr>
          <w:rFonts w:ascii="Times New Roman" w:hAnsi="Times New Roman" w:cs="Times New Roman"/>
        </w:rPr>
        <w:t> </w:t>
      </w:r>
      <w:r w:rsidRPr="007656B5">
        <w:rPr>
          <w:rFonts w:ascii="Times New Roman" w:hAnsi="Times New Roman" w:cs="Times New Roman"/>
        </w:rPr>
        <w:t>4 hodiny pri tabletách a</w:t>
      </w:r>
      <w:r w:rsidR="00AD72E3" w:rsidRPr="007656B5">
        <w:rPr>
          <w:rFonts w:ascii="Times New Roman" w:hAnsi="Times New Roman" w:cs="Times New Roman"/>
        </w:rPr>
        <w:t> </w:t>
      </w:r>
      <w:r w:rsidRPr="007656B5">
        <w:rPr>
          <w:rFonts w:ascii="Times New Roman" w:hAnsi="Times New Roman" w:cs="Times New Roman"/>
        </w:rPr>
        <w:t>1</w:t>
      </w:r>
      <w:r w:rsidR="00AD72E3" w:rsidRPr="007656B5">
        <w:rPr>
          <w:rFonts w:ascii="Times New Roman" w:hAnsi="Times New Roman" w:cs="Times New Roman"/>
        </w:rPr>
        <w:t> </w:t>
      </w:r>
      <w:r w:rsidR="00425FAD" w:rsidRPr="007656B5">
        <w:rPr>
          <w:rFonts w:ascii="Times New Roman" w:hAnsi="Times New Roman" w:cs="Times New Roman"/>
        </w:rPr>
        <w:t>–</w:t>
      </w:r>
      <w:r w:rsidR="00AD72E3" w:rsidRPr="007656B5">
        <w:rPr>
          <w:rFonts w:ascii="Times New Roman" w:hAnsi="Times New Roman" w:cs="Times New Roman"/>
        </w:rPr>
        <w:t> </w:t>
      </w:r>
      <w:r w:rsidRPr="007656B5">
        <w:rPr>
          <w:rFonts w:ascii="Times New Roman" w:hAnsi="Times New Roman" w:cs="Times New Roman"/>
        </w:rPr>
        <w:t>2 hodiny pri liekovej forme roztoku. Priemerná absolútna biologická dostupnosť je 23</w:t>
      </w:r>
      <w:r w:rsidR="00F06576" w:rsidRPr="007656B5">
        <w:rPr>
          <w:rFonts w:ascii="Times New Roman" w:hAnsi="Times New Roman" w:cs="Times New Roman"/>
        </w:rPr>
        <w:t> %</w:t>
      </w:r>
      <w:r w:rsidRPr="007656B5">
        <w:rPr>
          <w:rFonts w:ascii="Times New Roman" w:hAnsi="Times New Roman" w:cs="Times New Roman"/>
        </w:rPr>
        <w:t xml:space="preserve"> pri tabletách a</w:t>
      </w:r>
      <w:r w:rsidR="00DF3046" w:rsidRPr="007656B5">
        <w:rPr>
          <w:rFonts w:ascii="Times New Roman" w:hAnsi="Times New Roman" w:cs="Times New Roman"/>
        </w:rPr>
        <w:t> </w:t>
      </w:r>
      <w:r w:rsidRPr="007656B5">
        <w:rPr>
          <w:rFonts w:ascii="Times New Roman" w:hAnsi="Times New Roman" w:cs="Times New Roman"/>
        </w:rPr>
        <w:t>39</w:t>
      </w:r>
      <w:r w:rsidR="00F06576" w:rsidRPr="007656B5">
        <w:rPr>
          <w:rFonts w:ascii="Times New Roman" w:hAnsi="Times New Roman" w:cs="Times New Roman"/>
        </w:rPr>
        <w:t> %</w:t>
      </w:r>
      <w:r w:rsidRPr="007656B5">
        <w:rPr>
          <w:rFonts w:ascii="Times New Roman" w:hAnsi="Times New Roman" w:cs="Times New Roman"/>
        </w:rPr>
        <w:t xml:space="preserve"> pri liekovej forme roztoku. Jedlo znižuje expozíciu (meranú ako AUC) valsartanu asi o</w:t>
      </w:r>
      <w:r w:rsidR="00DF3046" w:rsidRPr="007656B5">
        <w:rPr>
          <w:rFonts w:ascii="Times New Roman" w:hAnsi="Times New Roman" w:cs="Times New Roman"/>
        </w:rPr>
        <w:t> </w:t>
      </w:r>
      <w:r w:rsidRPr="007656B5">
        <w:rPr>
          <w:rFonts w:ascii="Times New Roman" w:hAnsi="Times New Roman" w:cs="Times New Roman"/>
        </w:rPr>
        <w:t>40</w:t>
      </w:r>
      <w:r w:rsidR="00F06576" w:rsidRPr="007656B5">
        <w:rPr>
          <w:rFonts w:ascii="Times New Roman" w:hAnsi="Times New Roman" w:cs="Times New Roman"/>
        </w:rPr>
        <w:t> %</w:t>
      </w:r>
      <w:r w:rsidRPr="007656B5">
        <w:rPr>
          <w:rFonts w:ascii="Times New Roman" w:hAnsi="Times New Roman" w:cs="Times New Roman"/>
        </w:rPr>
        <w:t xml:space="preserve"> a</w:t>
      </w:r>
      <w:r w:rsidR="00AD72E3" w:rsidRPr="007656B5">
        <w:rPr>
          <w:rFonts w:ascii="Times New Roman" w:hAnsi="Times New Roman" w:cs="Times New Roman"/>
        </w:rPr>
        <w:t> </w:t>
      </w:r>
      <w:r w:rsidRPr="007656B5">
        <w:rPr>
          <w:rFonts w:ascii="Times New Roman" w:hAnsi="Times New Roman" w:cs="Times New Roman"/>
        </w:rPr>
        <w:t>maximálnu koncentráciu v</w:t>
      </w:r>
      <w:r w:rsidR="00AD72E3" w:rsidRPr="007656B5">
        <w:rPr>
          <w:rFonts w:ascii="Times New Roman" w:hAnsi="Times New Roman" w:cs="Times New Roman"/>
        </w:rPr>
        <w:t> </w:t>
      </w:r>
      <w:r w:rsidRPr="007656B5">
        <w:rPr>
          <w:rFonts w:ascii="Times New Roman" w:hAnsi="Times New Roman" w:cs="Times New Roman"/>
        </w:rPr>
        <w:t>plazme (C</w:t>
      </w:r>
      <w:r w:rsidRPr="007656B5">
        <w:rPr>
          <w:rFonts w:ascii="Times New Roman" w:hAnsi="Times New Roman" w:cs="Times New Roman"/>
          <w:vertAlign w:val="subscript"/>
        </w:rPr>
        <w:t>max</w:t>
      </w:r>
      <w:r w:rsidRPr="007656B5">
        <w:rPr>
          <w:rFonts w:ascii="Times New Roman" w:hAnsi="Times New Roman" w:cs="Times New Roman"/>
        </w:rPr>
        <w:t>) asi o</w:t>
      </w:r>
      <w:r w:rsidR="00DF3046" w:rsidRPr="007656B5">
        <w:rPr>
          <w:rFonts w:ascii="Times New Roman" w:hAnsi="Times New Roman" w:cs="Times New Roman"/>
        </w:rPr>
        <w:t> </w:t>
      </w:r>
      <w:r w:rsidRPr="007656B5">
        <w:rPr>
          <w:rFonts w:ascii="Times New Roman" w:hAnsi="Times New Roman" w:cs="Times New Roman"/>
        </w:rPr>
        <w:t>50</w:t>
      </w:r>
      <w:r w:rsidR="00F06576" w:rsidRPr="007656B5">
        <w:rPr>
          <w:rFonts w:ascii="Times New Roman" w:hAnsi="Times New Roman" w:cs="Times New Roman"/>
        </w:rPr>
        <w:t> %</w:t>
      </w:r>
      <w:r w:rsidRPr="007656B5">
        <w:rPr>
          <w:rFonts w:ascii="Times New Roman" w:hAnsi="Times New Roman" w:cs="Times New Roman"/>
        </w:rPr>
        <w:t>, hoci asi 8</w:t>
      </w:r>
      <w:r w:rsidR="00BF6BFC" w:rsidRPr="007656B5">
        <w:rPr>
          <w:rFonts w:ascii="Times New Roman" w:hAnsi="Times New Roman" w:cs="Times New Roman"/>
        </w:rPr>
        <w:t> </w:t>
      </w:r>
      <w:r w:rsidRPr="007656B5">
        <w:rPr>
          <w:rFonts w:ascii="Times New Roman" w:hAnsi="Times New Roman" w:cs="Times New Roman"/>
        </w:rPr>
        <w:t>hodín po podaní sú koncentrácie valsartanu v</w:t>
      </w:r>
      <w:r w:rsidR="00AD72E3" w:rsidRPr="007656B5">
        <w:rPr>
          <w:rFonts w:ascii="Times New Roman" w:hAnsi="Times New Roman" w:cs="Times New Roman"/>
        </w:rPr>
        <w:t> </w:t>
      </w:r>
      <w:r w:rsidRPr="007656B5">
        <w:rPr>
          <w:rFonts w:ascii="Times New Roman" w:hAnsi="Times New Roman" w:cs="Times New Roman"/>
        </w:rPr>
        <w:t>plazme podobné v</w:t>
      </w:r>
      <w:r w:rsidR="00AD72E3" w:rsidRPr="007656B5">
        <w:rPr>
          <w:rFonts w:ascii="Times New Roman" w:hAnsi="Times New Roman" w:cs="Times New Roman"/>
        </w:rPr>
        <w:t> </w:t>
      </w:r>
      <w:r w:rsidRPr="007656B5">
        <w:rPr>
          <w:rFonts w:ascii="Times New Roman" w:hAnsi="Times New Roman" w:cs="Times New Roman"/>
        </w:rPr>
        <w:t>skupinách, ktoré ho užili s</w:t>
      </w:r>
      <w:r w:rsidR="00AD72E3" w:rsidRPr="007656B5">
        <w:rPr>
          <w:rFonts w:ascii="Times New Roman" w:hAnsi="Times New Roman" w:cs="Times New Roman"/>
        </w:rPr>
        <w:t> </w:t>
      </w:r>
      <w:r w:rsidRPr="007656B5">
        <w:rPr>
          <w:rFonts w:ascii="Times New Roman" w:hAnsi="Times New Roman" w:cs="Times New Roman"/>
        </w:rPr>
        <w:t>jedlom a</w:t>
      </w:r>
      <w:r w:rsidR="00BF6BFC" w:rsidRPr="007656B5">
        <w:rPr>
          <w:rFonts w:ascii="Times New Roman" w:hAnsi="Times New Roman" w:cs="Times New Roman"/>
        </w:rPr>
        <w:t> </w:t>
      </w:r>
      <w:r w:rsidRPr="007656B5">
        <w:rPr>
          <w:rFonts w:ascii="Times New Roman" w:hAnsi="Times New Roman" w:cs="Times New Roman"/>
        </w:rPr>
        <w:t>nalačno. Toto zníženie AUC však nesprevádza klinicky významné zníženie terapeutického účinku, a</w:t>
      </w:r>
      <w:r w:rsidR="00BF6BFC" w:rsidRPr="007656B5">
        <w:rPr>
          <w:rFonts w:ascii="Times New Roman" w:hAnsi="Times New Roman" w:cs="Times New Roman"/>
        </w:rPr>
        <w:t> </w:t>
      </w:r>
      <w:r w:rsidRPr="007656B5">
        <w:rPr>
          <w:rFonts w:ascii="Times New Roman" w:hAnsi="Times New Roman" w:cs="Times New Roman"/>
        </w:rPr>
        <w:t>valsartan sa preto môže podávať s</w:t>
      </w:r>
      <w:r w:rsidR="00AD72E3" w:rsidRPr="007656B5">
        <w:rPr>
          <w:rFonts w:ascii="Times New Roman" w:hAnsi="Times New Roman" w:cs="Times New Roman"/>
        </w:rPr>
        <w:t> </w:t>
      </w:r>
      <w:r w:rsidRPr="007656B5">
        <w:rPr>
          <w:rFonts w:ascii="Times New Roman" w:hAnsi="Times New Roman" w:cs="Times New Roman"/>
        </w:rPr>
        <w:t>jedlom alebo bez jedla.</w:t>
      </w:r>
    </w:p>
    <w:p w:rsidR="007C2ED7" w:rsidRPr="007656B5" w:rsidRDefault="007C2ED7" w:rsidP="009B52F3">
      <w:pPr>
        <w:pStyle w:val="Styl3"/>
        <w:rPr>
          <w:szCs w:val="22"/>
        </w:rPr>
      </w:pPr>
      <w:r w:rsidRPr="007656B5">
        <w:rPr>
          <w:szCs w:val="22"/>
        </w:rPr>
        <w:t>Distribúcia</w:t>
      </w:r>
    </w:p>
    <w:p w:rsidR="007C2ED7" w:rsidRPr="007656B5" w:rsidRDefault="007C2ED7" w:rsidP="009520A7">
      <w:pPr>
        <w:pStyle w:val="Normlndobloku"/>
        <w:rPr>
          <w:rFonts w:ascii="Times New Roman" w:hAnsi="Times New Roman" w:cs="Times New Roman"/>
        </w:rPr>
      </w:pPr>
      <w:r w:rsidRPr="007656B5">
        <w:rPr>
          <w:rFonts w:ascii="Times New Roman" w:hAnsi="Times New Roman" w:cs="Times New Roman"/>
        </w:rPr>
        <w:t xml:space="preserve">Rovnovážny distribučný objem valsartanu po intravenóznom podaní je asi </w:t>
      </w:r>
      <w:smartTag w:uri="urn:schemas-microsoft-com:office:smarttags" w:element="metricconverter">
        <w:smartTagPr>
          <w:attr w:name="ProductID" w:val="17 litrov"/>
        </w:smartTagPr>
        <w:r w:rsidRPr="007656B5">
          <w:rPr>
            <w:rFonts w:ascii="Times New Roman" w:hAnsi="Times New Roman" w:cs="Times New Roman"/>
          </w:rPr>
          <w:t>17 litrov</w:t>
        </w:r>
      </w:smartTag>
      <w:r w:rsidRPr="007656B5">
        <w:rPr>
          <w:rFonts w:ascii="Times New Roman" w:hAnsi="Times New Roman" w:cs="Times New Roman"/>
        </w:rPr>
        <w:t>, čo naznačuje, že valsartan sa do tkanív významne nedistribuuje. Vysoký podiel valsartanu sa viaže na bielkoviny séra (94</w:t>
      </w:r>
      <w:r w:rsidR="00AD72E3" w:rsidRPr="007656B5">
        <w:rPr>
          <w:rFonts w:ascii="Times New Roman" w:hAnsi="Times New Roman" w:cs="Times New Roman"/>
        </w:rPr>
        <w:t> </w:t>
      </w:r>
      <w:r w:rsidR="00425FAD" w:rsidRPr="007656B5">
        <w:rPr>
          <w:rFonts w:ascii="Times New Roman" w:hAnsi="Times New Roman" w:cs="Times New Roman"/>
        </w:rPr>
        <w:t>–</w:t>
      </w:r>
      <w:r w:rsidR="00AD72E3" w:rsidRPr="007656B5">
        <w:rPr>
          <w:rFonts w:ascii="Times New Roman" w:hAnsi="Times New Roman" w:cs="Times New Roman"/>
        </w:rPr>
        <w:t> </w:t>
      </w:r>
      <w:r w:rsidRPr="007656B5">
        <w:rPr>
          <w:rFonts w:ascii="Times New Roman" w:hAnsi="Times New Roman" w:cs="Times New Roman"/>
        </w:rPr>
        <w:t>97</w:t>
      </w:r>
      <w:r w:rsidR="00F06576" w:rsidRPr="007656B5">
        <w:rPr>
          <w:rFonts w:ascii="Times New Roman" w:hAnsi="Times New Roman" w:cs="Times New Roman"/>
        </w:rPr>
        <w:t> %</w:t>
      </w:r>
      <w:r w:rsidRPr="007656B5">
        <w:rPr>
          <w:rFonts w:ascii="Times New Roman" w:hAnsi="Times New Roman" w:cs="Times New Roman"/>
        </w:rPr>
        <w:t>), predovšetkým na sérový albumín.</w:t>
      </w:r>
    </w:p>
    <w:p w:rsidR="007C2ED7" w:rsidRPr="007656B5" w:rsidRDefault="00416DD8" w:rsidP="008C3D63">
      <w:pPr>
        <w:pStyle w:val="Styl3"/>
        <w:rPr>
          <w:szCs w:val="22"/>
        </w:rPr>
      </w:pPr>
      <w:r w:rsidRPr="007656B5">
        <w:rPr>
          <w:szCs w:val="22"/>
        </w:rPr>
        <w:t>Biotransformácia</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Valsartan vo veľkej miere nepodlieha biotransformácii, keďže asi len 20</w:t>
      </w:r>
      <w:r w:rsidR="00F06576" w:rsidRPr="007656B5">
        <w:rPr>
          <w:rFonts w:ascii="Times New Roman" w:hAnsi="Times New Roman" w:cs="Times New Roman"/>
        </w:rPr>
        <w:t> %</w:t>
      </w:r>
      <w:r w:rsidRPr="007656B5">
        <w:rPr>
          <w:rFonts w:ascii="Times New Roman" w:hAnsi="Times New Roman" w:cs="Times New Roman"/>
        </w:rPr>
        <w:t xml:space="preserve"> dávky sa </w:t>
      </w:r>
      <w:r w:rsidR="00AD72E3" w:rsidRPr="007656B5">
        <w:rPr>
          <w:rFonts w:ascii="Times New Roman" w:hAnsi="Times New Roman" w:cs="Times New Roman"/>
        </w:rPr>
        <w:t>nachádza vo forme metabolitov</w:t>
      </w:r>
      <w:r w:rsidR="00C61410" w:rsidRPr="007656B5">
        <w:rPr>
          <w:rFonts w:ascii="Times New Roman" w:hAnsi="Times New Roman" w:cs="Times New Roman"/>
        </w:rPr>
        <w:t>.</w:t>
      </w:r>
      <w:r w:rsidRPr="007656B5">
        <w:rPr>
          <w:rFonts w:ascii="Times New Roman" w:hAnsi="Times New Roman" w:cs="Times New Roman"/>
        </w:rPr>
        <w:t xml:space="preserve"> V</w:t>
      </w:r>
      <w:r w:rsidR="00AD72E3" w:rsidRPr="007656B5">
        <w:rPr>
          <w:rFonts w:ascii="Times New Roman" w:hAnsi="Times New Roman" w:cs="Times New Roman"/>
        </w:rPr>
        <w:t> </w:t>
      </w:r>
      <w:r w:rsidRPr="007656B5">
        <w:rPr>
          <w:rFonts w:ascii="Times New Roman" w:hAnsi="Times New Roman" w:cs="Times New Roman"/>
        </w:rPr>
        <w:t>plazme sa identifikoval hydroxymetabolit v</w:t>
      </w:r>
      <w:r w:rsidR="00AD72E3" w:rsidRPr="007656B5">
        <w:rPr>
          <w:rFonts w:ascii="Times New Roman" w:hAnsi="Times New Roman" w:cs="Times New Roman"/>
        </w:rPr>
        <w:t> </w:t>
      </w:r>
      <w:r w:rsidRPr="007656B5">
        <w:rPr>
          <w:rFonts w:ascii="Times New Roman" w:hAnsi="Times New Roman" w:cs="Times New Roman"/>
        </w:rPr>
        <w:t>nízkych koncentráciách (menej ako 10</w:t>
      </w:r>
      <w:r w:rsidR="00F06576" w:rsidRPr="007656B5">
        <w:rPr>
          <w:rFonts w:ascii="Times New Roman" w:hAnsi="Times New Roman" w:cs="Times New Roman"/>
        </w:rPr>
        <w:t> %</w:t>
      </w:r>
      <w:r w:rsidRPr="007656B5">
        <w:rPr>
          <w:rFonts w:ascii="Times New Roman" w:hAnsi="Times New Roman" w:cs="Times New Roman"/>
        </w:rPr>
        <w:t xml:space="preserve"> AUC valsartanu). Tento metabolit nie je farmakologicky aktívny.</w:t>
      </w:r>
    </w:p>
    <w:p w:rsidR="007C2ED7" w:rsidRPr="007656B5" w:rsidRDefault="00B108EF">
      <w:pPr>
        <w:pStyle w:val="Styl3"/>
        <w:rPr>
          <w:szCs w:val="22"/>
        </w:rPr>
      </w:pPr>
      <w:r w:rsidRPr="007656B5">
        <w:rPr>
          <w:szCs w:val="22"/>
        </w:rPr>
        <w:t>Eliminácia</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Valsartan preukazuje multiexponenciálnu kinetiku rozkladu (t</w:t>
      </w:r>
      <w:r w:rsidR="005C777D" w:rsidRPr="007656B5">
        <w:rPr>
          <w:rFonts w:ascii="Times New Roman" w:hAnsi="Times New Roman" w:cs="Times New Roman"/>
          <w:vertAlign w:val="subscript"/>
        </w:rPr>
        <w:t>½α</w:t>
      </w:r>
      <w:r w:rsidR="005C777D" w:rsidRPr="007656B5">
        <w:rPr>
          <w:rFonts w:ascii="Times New Roman" w:hAnsi="Times New Roman" w:cs="Times New Roman"/>
        </w:rPr>
        <w:t xml:space="preserve"> </w:t>
      </w:r>
      <w:r w:rsidRPr="007656B5">
        <w:rPr>
          <w:rFonts w:ascii="Times New Roman" w:hAnsi="Times New Roman" w:cs="Times New Roman"/>
        </w:rPr>
        <w:t>&lt;1</w:t>
      </w:r>
      <w:r w:rsidR="00AD72E3" w:rsidRPr="007656B5">
        <w:rPr>
          <w:rFonts w:ascii="Times New Roman" w:hAnsi="Times New Roman" w:cs="Times New Roman"/>
        </w:rPr>
        <w:t> </w:t>
      </w:r>
      <w:r w:rsidRPr="007656B5">
        <w:rPr>
          <w:rFonts w:ascii="Times New Roman" w:hAnsi="Times New Roman" w:cs="Times New Roman"/>
        </w:rPr>
        <w:t>h a</w:t>
      </w:r>
      <w:r w:rsidR="00AD72E3" w:rsidRPr="007656B5">
        <w:rPr>
          <w:rFonts w:ascii="Times New Roman" w:hAnsi="Times New Roman" w:cs="Times New Roman"/>
        </w:rPr>
        <w:t> </w:t>
      </w:r>
      <w:r w:rsidRPr="007656B5">
        <w:rPr>
          <w:rFonts w:ascii="Times New Roman" w:hAnsi="Times New Roman" w:cs="Times New Roman"/>
        </w:rPr>
        <w:t>t</w:t>
      </w:r>
      <w:r w:rsidR="005C777D" w:rsidRPr="007656B5">
        <w:rPr>
          <w:rFonts w:ascii="Times New Roman" w:hAnsi="Times New Roman" w:cs="Times New Roman"/>
          <w:vertAlign w:val="subscript"/>
        </w:rPr>
        <w:t>½ß</w:t>
      </w:r>
      <w:r w:rsidR="005C777D" w:rsidRPr="007656B5">
        <w:rPr>
          <w:rFonts w:ascii="Times New Roman" w:hAnsi="Times New Roman" w:cs="Times New Roman"/>
        </w:rPr>
        <w:t xml:space="preserve"> </w:t>
      </w:r>
      <w:r w:rsidRPr="007656B5">
        <w:rPr>
          <w:rFonts w:ascii="Times New Roman" w:hAnsi="Times New Roman" w:cs="Times New Roman"/>
        </w:rPr>
        <w:t>okolo 9</w:t>
      </w:r>
      <w:r w:rsidR="00AD72E3" w:rsidRPr="007656B5">
        <w:rPr>
          <w:rFonts w:ascii="Times New Roman" w:hAnsi="Times New Roman" w:cs="Times New Roman"/>
        </w:rPr>
        <w:t> </w:t>
      </w:r>
      <w:r w:rsidRPr="007656B5">
        <w:rPr>
          <w:rFonts w:ascii="Times New Roman" w:hAnsi="Times New Roman" w:cs="Times New Roman"/>
        </w:rPr>
        <w:t>h). Valsartan sa eliminuje predovšetkým biliárnou exkréciou stolicou (asi 83</w:t>
      </w:r>
      <w:r w:rsidR="00F06576" w:rsidRPr="007656B5">
        <w:rPr>
          <w:rFonts w:ascii="Times New Roman" w:hAnsi="Times New Roman" w:cs="Times New Roman"/>
        </w:rPr>
        <w:t> %</w:t>
      </w:r>
      <w:r w:rsidRPr="007656B5">
        <w:rPr>
          <w:rFonts w:ascii="Times New Roman" w:hAnsi="Times New Roman" w:cs="Times New Roman"/>
        </w:rPr>
        <w:t xml:space="preserve"> dávky) a</w:t>
      </w:r>
      <w:r w:rsidR="00AD72E3" w:rsidRPr="007656B5">
        <w:rPr>
          <w:rFonts w:ascii="Times New Roman" w:hAnsi="Times New Roman" w:cs="Times New Roman"/>
        </w:rPr>
        <w:t> </w:t>
      </w:r>
      <w:r w:rsidRPr="007656B5">
        <w:rPr>
          <w:rFonts w:ascii="Times New Roman" w:hAnsi="Times New Roman" w:cs="Times New Roman"/>
        </w:rPr>
        <w:t>renálne močom (asi 13</w:t>
      </w:r>
      <w:r w:rsidR="00F06576" w:rsidRPr="007656B5">
        <w:rPr>
          <w:rFonts w:ascii="Times New Roman" w:hAnsi="Times New Roman" w:cs="Times New Roman"/>
        </w:rPr>
        <w:t> %</w:t>
      </w:r>
      <w:r w:rsidRPr="007656B5">
        <w:rPr>
          <w:rFonts w:ascii="Times New Roman" w:hAnsi="Times New Roman" w:cs="Times New Roman"/>
        </w:rPr>
        <w:t xml:space="preserve"> dávky), hlavne ako nezmenený liek. Po intravenóznom podaní je plazmatický klírens valsartanu asi 2</w:t>
      </w:r>
      <w:r w:rsidR="0039460B" w:rsidRPr="007656B5">
        <w:rPr>
          <w:rFonts w:ascii="Times New Roman" w:hAnsi="Times New Roman" w:cs="Times New Roman"/>
        </w:rPr>
        <w:t> </w:t>
      </w:r>
      <w:r w:rsidRPr="007656B5">
        <w:rPr>
          <w:rFonts w:ascii="Times New Roman" w:hAnsi="Times New Roman" w:cs="Times New Roman"/>
        </w:rPr>
        <w:t>l/h a</w:t>
      </w:r>
      <w:r w:rsidR="00AD72E3" w:rsidRPr="007656B5">
        <w:rPr>
          <w:rFonts w:ascii="Times New Roman" w:hAnsi="Times New Roman" w:cs="Times New Roman"/>
        </w:rPr>
        <w:t> </w:t>
      </w:r>
      <w:r w:rsidRPr="007656B5">
        <w:rPr>
          <w:rFonts w:ascii="Times New Roman" w:hAnsi="Times New Roman" w:cs="Times New Roman"/>
        </w:rPr>
        <w:t>obličkový klírens je 0,62</w:t>
      </w:r>
      <w:r w:rsidR="00AD72E3" w:rsidRPr="007656B5">
        <w:rPr>
          <w:rFonts w:ascii="Times New Roman" w:hAnsi="Times New Roman" w:cs="Times New Roman"/>
        </w:rPr>
        <w:t> </w:t>
      </w:r>
      <w:r w:rsidRPr="007656B5">
        <w:rPr>
          <w:rFonts w:ascii="Times New Roman" w:hAnsi="Times New Roman" w:cs="Times New Roman"/>
        </w:rPr>
        <w:t>l/h (asi 30</w:t>
      </w:r>
      <w:r w:rsidR="00F06576" w:rsidRPr="007656B5">
        <w:rPr>
          <w:rFonts w:ascii="Times New Roman" w:hAnsi="Times New Roman" w:cs="Times New Roman"/>
        </w:rPr>
        <w:t> %</w:t>
      </w:r>
      <w:r w:rsidRPr="007656B5">
        <w:rPr>
          <w:rFonts w:ascii="Times New Roman" w:hAnsi="Times New Roman" w:cs="Times New Roman"/>
        </w:rPr>
        <w:t xml:space="preserve"> celkového klírensu). Polčas valsartanu je 6 hodín.</w:t>
      </w:r>
    </w:p>
    <w:p w:rsidR="007C2ED7" w:rsidRPr="007656B5" w:rsidRDefault="00F41C47">
      <w:pPr>
        <w:pStyle w:val="Styl3"/>
        <w:rPr>
          <w:szCs w:val="22"/>
        </w:rPr>
      </w:pPr>
      <w:r w:rsidRPr="007656B5">
        <w:rPr>
          <w:szCs w:val="22"/>
        </w:rPr>
        <w:t>Vylučovanie u</w:t>
      </w:r>
      <w:r w:rsidR="00AD72E3" w:rsidRPr="007656B5">
        <w:rPr>
          <w:szCs w:val="22"/>
        </w:rPr>
        <w:t> </w:t>
      </w:r>
      <w:r w:rsidR="007C2ED7" w:rsidRPr="007656B5">
        <w:rPr>
          <w:szCs w:val="22"/>
        </w:rPr>
        <w:t>pacientov so zlyhaním srdca</w:t>
      </w:r>
      <w:r w:rsidR="00E63BB1" w:rsidRPr="007656B5">
        <w:rPr>
          <w:szCs w:val="22"/>
        </w:rPr>
        <w:t xml:space="preserve"> (iba 40 mg, 80 mg a 160 mg)</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Priemerný čas do maximálnej koncentrácie a</w:t>
      </w:r>
      <w:r w:rsidR="00AD72E3" w:rsidRPr="007656B5">
        <w:rPr>
          <w:rFonts w:ascii="Times New Roman" w:hAnsi="Times New Roman" w:cs="Times New Roman"/>
        </w:rPr>
        <w:t> </w:t>
      </w:r>
      <w:r w:rsidRPr="007656B5">
        <w:rPr>
          <w:rFonts w:ascii="Times New Roman" w:hAnsi="Times New Roman" w:cs="Times New Roman"/>
        </w:rPr>
        <w:t>polčas eliminácie valsartanu u</w:t>
      </w:r>
      <w:r w:rsidR="00AD72E3" w:rsidRPr="007656B5">
        <w:rPr>
          <w:rFonts w:ascii="Times New Roman" w:hAnsi="Times New Roman" w:cs="Times New Roman"/>
        </w:rPr>
        <w:t> </w:t>
      </w:r>
      <w:r w:rsidRPr="007656B5">
        <w:rPr>
          <w:rFonts w:ascii="Times New Roman" w:hAnsi="Times New Roman" w:cs="Times New Roman"/>
        </w:rPr>
        <w:t>pacientov so zlyhaním srdca sú podobné ako hodnoty pozorované u</w:t>
      </w:r>
      <w:r w:rsidR="00AD72E3" w:rsidRPr="007656B5">
        <w:rPr>
          <w:rFonts w:ascii="Times New Roman" w:hAnsi="Times New Roman" w:cs="Times New Roman"/>
        </w:rPr>
        <w:t> </w:t>
      </w:r>
      <w:r w:rsidRPr="007656B5">
        <w:rPr>
          <w:rFonts w:ascii="Times New Roman" w:hAnsi="Times New Roman" w:cs="Times New Roman"/>
        </w:rPr>
        <w:t>zdravých dobrovoľníkov. Hodnoty AUC a</w:t>
      </w:r>
      <w:r w:rsidR="00AD72E3" w:rsidRPr="007656B5">
        <w:rPr>
          <w:rFonts w:ascii="Times New Roman" w:hAnsi="Times New Roman" w:cs="Times New Roman"/>
        </w:rPr>
        <w:t> </w:t>
      </w:r>
      <w:r w:rsidRPr="007656B5">
        <w:rPr>
          <w:rFonts w:ascii="Times New Roman" w:hAnsi="Times New Roman" w:cs="Times New Roman"/>
        </w:rPr>
        <w:t>C</w:t>
      </w:r>
      <w:r w:rsidRPr="007656B5">
        <w:rPr>
          <w:rFonts w:ascii="Times New Roman" w:hAnsi="Times New Roman" w:cs="Times New Roman"/>
          <w:vertAlign w:val="subscript"/>
        </w:rPr>
        <w:t>max</w:t>
      </w:r>
      <w:r w:rsidRPr="007656B5">
        <w:rPr>
          <w:rFonts w:ascii="Times New Roman" w:hAnsi="Times New Roman" w:cs="Times New Roman"/>
        </w:rPr>
        <w:t xml:space="preserve"> valsartanu sú v</w:t>
      </w:r>
      <w:r w:rsidR="00AD72E3" w:rsidRPr="007656B5">
        <w:rPr>
          <w:rFonts w:ascii="Times New Roman" w:hAnsi="Times New Roman" w:cs="Times New Roman"/>
        </w:rPr>
        <w:t> </w:t>
      </w:r>
      <w:r w:rsidRPr="007656B5">
        <w:rPr>
          <w:rFonts w:ascii="Times New Roman" w:hAnsi="Times New Roman" w:cs="Times New Roman"/>
        </w:rPr>
        <w:t>rozmedzí klinických dávok takmer úmerné zvyšujúcej sa dávke (40 až 160</w:t>
      </w:r>
      <w:r w:rsidR="00AD72E3" w:rsidRPr="007656B5">
        <w:rPr>
          <w:rFonts w:ascii="Times New Roman" w:hAnsi="Times New Roman" w:cs="Times New Roman"/>
        </w:rPr>
        <w:t> </w:t>
      </w:r>
      <w:r w:rsidRPr="007656B5">
        <w:rPr>
          <w:rFonts w:ascii="Times New Roman" w:hAnsi="Times New Roman" w:cs="Times New Roman"/>
        </w:rPr>
        <w:t>mg dvakrát denne). Priemerný faktor akumulácie je asi 1,7. Zdanlivý klírens valsartanu po perorálnom podaní je približne 4,5</w:t>
      </w:r>
      <w:r w:rsidR="00AD72E3" w:rsidRPr="007656B5">
        <w:rPr>
          <w:rFonts w:ascii="Times New Roman" w:hAnsi="Times New Roman" w:cs="Times New Roman"/>
        </w:rPr>
        <w:t> </w:t>
      </w:r>
      <w:r w:rsidRPr="007656B5">
        <w:rPr>
          <w:rFonts w:ascii="Times New Roman" w:hAnsi="Times New Roman" w:cs="Times New Roman"/>
        </w:rPr>
        <w:t>l/h. Vek zdanlivý klírens u</w:t>
      </w:r>
      <w:r w:rsidR="00AD72E3" w:rsidRPr="007656B5">
        <w:rPr>
          <w:rFonts w:ascii="Times New Roman" w:hAnsi="Times New Roman" w:cs="Times New Roman"/>
        </w:rPr>
        <w:t> </w:t>
      </w:r>
      <w:r w:rsidRPr="007656B5">
        <w:rPr>
          <w:rFonts w:ascii="Times New Roman" w:hAnsi="Times New Roman" w:cs="Times New Roman"/>
        </w:rPr>
        <w:t>pacientov so zlyhaním srdca neovplyvňuje.</w:t>
      </w:r>
    </w:p>
    <w:p w:rsidR="003F7BB8" w:rsidRPr="007656B5" w:rsidRDefault="00177301" w:rsidP="00D50784">
      <w:pPr>
        <w:pStyle w:val="Styl2-2"/>
        <w:rPr>
          <w:szCs w:val="22"/>
        </w:rPr>
      </w:pPr>
      <w:r w:rsidRPr="007656B5">
        <w:rPr>
          <w:szCs w:val="22"/>
        </w:rPr>
        <w:t>Osobitné skupiny</w:t>
      </w:r>
      <w:r w:rsidR="007C2ED7" w:rsidRPr="007656B5">
        <w:rPr>
          <w:szCs w:val="22"/>
        </w:rPr>
        <w:t xml:space="preserve"> pacientov</w:t>
      </w:r>
    </w:p>
    <w:p w:rsidR="007C2ED7" w:rsidRPr="007656B5" w:rsidRDefault="007C2ED7" w:rsidP="007C44E3">
      <w:pPr>
        <w:pStyle w:val="Styl3"/>
        <w:rPr>
          <w:szCs w:val="22"/>
        </w:rPr>
      </w:pPr>
      <w:r w:rsidRPr="007656B5">
        <w:rPr>
          <w:szCs w:val="22"/>
        </w:rPr>
        <w:t>Starší pacienti</w:t>
      </w:r>
    </w:p>
    <w:p w:rsidR="007C2ED7" w:rsidRPr="007656B5" w:rsidRDefault="007C2ED7" w:rsidP="007C44E3">
      <w:pPr>
        <w:pStyle w:val="Normlndobloku"/>
        <w:rPr>
          <w:rFonts w:ascii="Times New Roman" w:hAnsi="Times New Roman" w:cs="Times New Roman"/>
        </w:rPr>
      </w:pPr>
      <w:r w:rsidRPr="007656B5">
        <w:rPr>
          <w:rStyle w:val="NormlndoblokuChar"/>
          <w:rFonts w:ascii="Times New Roman" w:eastAsia="SimSun" w:hAnsi="Times New Roman" w:cs="Times New Roman"/>
        </w:rPr>
        <w:t>U</w:t>
      </w:r>
      <w:r w:rsidR="00AD72E3"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niektorých starších osôb sa pozorovala o</w:t>
      </w:r>
      <w:r w:rsidR="00AD72E3"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niečo vyššia systémová expozícia valsartanu v</w:t>
      </w:r>
      <w:r w:rsidR="00AD72E3"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porovnaní s</w:t>
      </w:r>
      <w:r w:rsidR="0039460B"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mladšími osobami, hoci sa nepreukázal žiadny klinický význam tohto zistenia</w:t>
      </w:r>
      <w:r w:rsidRPr="007656B5">
        <w:rPr>
          <w:rFonts w:ascii="Times New Roman" w:hAnsi="Times New Roman" w:cs="Times New Roman"/>
        </w:rPr>
        <w:t>.</w:t>
      </w:r>
    </w:p>
    <w:p w:rsidR="007C2ED7" w:rsidRPr="007656B5" w:rsidRDefault="00B774BC" w:rsidP="009B52F3">
      <w:pPr>
        <w:pStyle w:val="Styl3"/>
        <w:rPr>
          <w:szCs w:val="22"/>
        </w:rPr>
      </w:pPr>
      <w:r w:rsidRPr="007656B5">
        <w:rPr>
          <w:szCs w:val="22"/>
        </w:rPr>
        <w:lastRenderedPageBreak/>
        <w:t>Porucha funkcie obličiek</w:t>
      </w:r>
    </w:p>
    <w:p w:rsidR="007C2ED7" w:rsidRPr="007656B5" w:rsidRDefault="007C2ED7" w:rsidP="009520A7">
      <w:pPr>
        <w:pStyle w:val="Normlndobloku"/>
        <w:rPr>
          <w:rFonts w:ascii="Times New Roman" w:hAnsi="Times New Roman" w:cs="Times New Roman"/>
        </w:rPr>
      </w:pPr>
      <w:r w:rsidRPr="007656B5">
        <w:rPr>
          <w:rStyle w:val="NormlndoblokuChar"/>
          <w:rFonts w:ascii="Times New Roman" w:eastAsia="SimSun" w:hAnsi="Times New Roman" w:cs="Times New Roman"/>
        </w:rPr>
        <w:t>Ako sa dá predpokladať o</w:t>
      </w:r>
      <w:r w:rsidR="00AD72E3"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látke, ktorej renálny klírens predstavuje iba 30</w:t>
      </w:r>
      <w:r w:rsidR="00F06576"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 xml:space="preserve"> celkového plazmatického klírensu, nepozorovala sa žiadna korelácia medzi funkciou obličiek</w:t>
      </w:r>
      <w:r w:rsidRPr="007656B5">
        <w:rPr>
          <w:rFonts w:ascii="Times New Roman" w:hAnsi="Times New Roman" w:cs="Times New Roman"/>
        </w:rPr>
        <w:t xml:space="preserve"> a</w:t>
      </w:r>
      <w:r w:rsidR="00AD72E3" w:rsidRPr="007656B5">
        <w:rPr>
          <w:rFonts w:ascii="Times New Roman" w:hAnsi="Times New Roman" w:cs="Times New Roman"/>
        </w:rPr>
        <w:t> </w:t>
      </w:r>
      <w:r w:rsidRPr="007656B5">
        <w:rPr>
          <w:rFonts w:ascii="Times New Roman" w:hAnsi="Times New Roman" w:cs="Times New Roman"/>
        </w:rPr>
        <w:t>systémovou expozíciou valsartanu. Preto sa úprava dávky u</w:t>
      </w:r>
      <w:r w:rsidR="00AD72E3" w:rsidRPr="007656B5">
        <w:rPr>
          <w:rFonts w:ascii="Times New Roman" w:hAnsi="Times New Roman" w:cs="Times New Roman"/>
        </w:rPr>
        <w:t> </w:t>
      </w:r>
      <w:r w:rsidRPr="007656B5">
        <w:rPr>
          <w:rFonts w:ascii="Times New Roman" w:hAnsi="Times New Roman" w:cs="Times New Roman"/>
        </w:rPr>
        <w:t>pacientov so zhoršenou funkciou obličiek (klírens kreatinínu &gt;10</w:t>
      </w:r>
      <w:r w:rsidR="00F41C47" w:rsidRPr="007656B5">
        <w:rPr>
          <w:rFonts w:ascii="Times New Roman" w:hAnsi="Times New Roman" w:cs="Times New Roman"/>
        </w:rPr>
        <w:t> </w:t>
      </w:r>
      <w:r w:rsidRPr="007656B5">
        <w:rPr>
          <w:rFonts w:ascii="Times New Roman" w:hAnsi="Times New Roman" w:cs="Times New Roman"/>
        </w:rPr>
        <w:t>ml/min) nevyžaduje. V</w:t>
      </w:r>
      <w:r w:rsidR="00AD72E3" w:rsidRPr="007656B5">
        <w:rPr>
          <w:rFonts w:ascii="Times New Roman" w:hAnsi="Times New Roman" w:cs="Times New Roman"/>
        </w:rPr>
        <w:t> </w:t>
      </w:r>
      <w:r w:rsidRPr="007656B5">
        <w:rPr>
          <w:rFonts w:ascii="Times New Roman" w:hAnsi="Times New Roman" w:cs="Times New Roman"/>
        </w:rPr>
        <w:t>súčasnosti nie sú dostupné údaje o</w:t>
      </w:r>
      <w:r w:rsidR="00AD72E3" w:rsidRPr="007656B5">
        <w:rPr>
          <w:rFonts w:ascii="Times New Roman" w:hAnsi="Times New Roman" w:cs="Times New Roman"/>
        </w:rPr>
        <w:t> </w:t>
      </w:r>
      <w:r w:rsidRPr="007656B5">
        <w:rPr>
          <w:rFonts w:ascii="Times New Roman" w:hAnsi="Times New Roman" w:cs="Times New Roman"/>
        </w:rPr>
        <w:t>bezpečnom použití u</w:t>
      </w:r>
      <w:r w:rsidR="00AD72E3" w:rsidRPr="007656B5">
        <w:rPr>
          <w:rFonts w:ascii="Times New Roman" w:hAnsi="Times New Roman" w:cs="Times New Roman"/>
        </w:rPr>
        <w:t> </w:t>
      </w:r>
      <w:r w:rsidRPr="007656B5">
        <w:rPr>
          <w:rFonts w:ascii="Times New Roman" w:hAnsi="Times New Roman" w:cs="Times New Roman"/>
        </w:rPr>
        <w:t>pacientov klírensom kreatinínu &lt;10</w:t>
      </w:r>
      <w:r w:rsidR="00AD72E3" w:rsidRPr="007656B5">
        <w:rPr>
          <w:rFonts w:ascii="Times New Roman" w:hAnsi="Times New Roman" w:cs="Times New Roman"/>
        </w:rPr>
        <w:t> </w:t>
      </w:r>
      <w:r w:rsidRPr="007656B5">
        <w:rPr>
          <w:rFonts w:ascii="Times New Roman" w:hAnsi="Times New Roman" w:cs="Times New Roman"/>
        </w:rPr>
        <w:t>ml/min a</w:t>
      </w:r>
      <w:r w:rsidR="00AD72E3" w:rsidRPr="007656B5">
        <w:rPr>
          <w:rFonts w:ascii="Times New Roman" w:hAnsi="Times New Roman" w:cs="Times New Roman"/>
        </w:rPr>
        <w:t> </w:t>
      </w:r>
      <w:r w:rsidRPr="007656B5">
        <w:rPr>
          <w:rFonts w:ascii="Times New Roman" w:hAnsi="Times New Roman" w:cs="Times New Roman"/>
        </w:rPr>
        <w:t>u</w:t>
      </w:r>
      <w:r w:rsidR="00AD72E3" w:rsidRPr="007656B5">
        <w:rPr>
          <w:rFonts w:ascii="Times New Roman" w:hAnsi="Times New Roman" w:cs="Times New Roman"/>
        </w:rPr>
        <w:t> </w:t>
      </w:r>
      <w:r w:rsidRPr="007656B5">
        <w:rPr>
          <w:rFonts w:ascii="Times New Roman" w:hAnsi="Times New Roman" w:cs="Times New Roman"/>
        </w:rPr>
        <w:t>dialyzovaných pacientov, preto sa valsartan má u</w:t>
      </w:r>
      <w:r w:rsidR="00AD72E3" w:rsidRPr="007656B5">
        <w:rPr>
          <w:rFonts w:ascii="Times New Roman" w:hAnsi="Times New Roman" w:cs="Times New Roman"/>
        </w:rPr>
        <w:t> </w:t>
      </w:r>
      <w:r w:rsidRPr="007656B5">
        <w:rPr>
          <w:rFonts w:ascii="Times New Roman" w:hAnsi="Times New Roman" w:cs="Times New Roman"/>
        </w:rPr>
        <w:t xml:space="preserve">týchto pacientov používať opatrne (pozri časti </w:t>
      </w:r>
      <w:smartTag w:uri="urn:schemas-microsoft-com:office:smarttags" w:element="metricconverter">
        <w:smartTagPr>
          <w:attr w:name="ProductID" w:val="4.2 a"/>
        </w:smartTagPr>
        <w:r w:rsidRPr="007656B5">
          <w:rPr>
            <w:rFonts w:ascii="Times New Roman" w:hAnsi="Times New Roman" w:cs="Times New Roman"/>
          </w:rPr>
          <w:t>4.2 a</w:t>
        </w:r>
        <w:r w:rsidR="00AD72E3" w:rsidRPr="007656B5">
          <w:rPr>
            <w:rFonts w:ascii="Times New Roman" w:hAnsi="Times New Roman" w:cs="Times New Roman"/>
          </w:rPr>
          <w:t> </w:t>
        </w:r>
      </w:smartTag>
      <w:r w:rsidRPr="007656B5">
        <w:rPr>
          <w:rFonts w:ascii="Times New Roman" w:hAnsi="Times New Roman" w:cs="Times New Roman"/>
        </w:rPr>
        <w:t>4.4).</w:t>
      </w:r>
    </w:p>
    <w:p w:rsidR="007C2ED7" w:rsidRPr="007656B5" w:rsidRDefault="007C2ED7" w:rsidP="008C3D63">
      <w:pPr>
        <w:pStyle w:val="Normlndobloku"/>
        <w:rPr>
          <w:rFonts w:ascii="Times New Roman" w:hAnsi="Times New Roman" w:cs="Times New Roman"/>
        </w:rPr>
      </w:pPr>
      <w:r w:rsidRPr="007656B5">
        <w:rPr>
          <w:rFonts w:ascii="Times New Roman" w:hAnsi="Times New Roman" w:cs="Times New Roman"/>
        </w:rPr>
        <w:t>Valsartan sa vo veľkej miere viaže na plazmatické bielkoviny a</w:t>
      </w:r>
      <w:r w:rsidR="00AD72E3" w:rsidRPr="007656B5">
        <w:rPr>
          <w:rFonts w:ascii="Times New Roman" w:hAnsi="Times New Roman" w:cs="Times New Roman"/>
        </w:rPr>
        <w:t> </w:t>
      </w:r>
      <w:r w:rsidRPr="007656B5">
        <w:rPr>
          <w:rFonts w:ascii="Times New Roman" w:hAnsi="Times New Roman" w:cs="Times New Roman"/>
        </w:rPr>
        <w:t>nie je pravdepodobné, že by sa odstránil dialýzou.</w:t>
      </w:r>
    </w:p>
    <w:p w:rsidR="007C2ED7" w:rsidRPr="007656B5" w:rsidRDefault="00B774BC">
      <w:pPr>
        <w:pStyle w:val="Styl3"/>
        <w:rPr>
          <w:szCs w:val="22"/>
        </w:rPr>
      </w:pPr>
      <w:r w:rsidRPr="007656B5">
        <w:rPr>
          <w:szCs w:val="22"/>
        </w:rPr>
        <w:t>Porucha funkcie pečene</w:t>
      </w:r>
    </w:p>
    <w:p w:rsidR="007C2ED7" w:rsidRPr="007656B5" w:rsidRDefault="007C2ED7">
      <w:pPr>
        <w:pStyle w:val="Normlndobloku"/>
        <w:rPr>
          <w:rFonts w:ascii="Times New Roman" w:hAnsi="Times New Roman" w:cs="Times New Roman"/>
        </w:rPr>
      </w:pPr>
      <w:r w:rsidRPr="007656B5">
        <w:rPr>
          <w:rFonts w:ascii="Times New Roman" w:hAnsi="Times New Roman" w:cs="Times New Roman"/>
        </w:rPr>
        <w:t>Asi 70</w:t>
      </w:r>
      <w:r w:rsidR="00F06576" w:rsidRPr="007656B5">
        <w:rPr>
          <w:rFonts w:ascii="Times New Roman" w:hAnsi="Times New Roman" w:cs="Times New Roman"/>
        </w:rPr>
        <w:t> %</w:t>
      </w:r>
      <w:r w:rsidRPr="007656B5">
        <w:rPr>
          <w:rFonts w:ascii="Times New Roman" w:hAnsi="Times New Roman" w:cs="Times New Roman"/>
        </w:rPr>
        <w:t xml:space="preserve"> absorbovanej dávky sa eliminuje žlčou, prevažne v</w:t>
      </w:r>
      <w:r w:rsidR="00AD72E3" w:rsidRPr="007656B5">
        <w:rPr>
          <w:rFonts w:ascii="Times New Roman" w:hAnsi="Times New Roman" w:cs="Times New Roman"/>
        </w:rPr>
        <w:t> </w:t>
      </w:r>
      <w:r w:rsidRPr="007656B5">
        <w:rPr>
          <w:rFonts w:ascii="Times New Roman" w:hAnsi="Times New Roman" w:cs="Times New Roman"/>
        </w:rPr>
        <w:t>nezmenenej forme. Valsartan neprechádza významnou biotransformáciou. Dvojitá expozícia (AUC) bola pozorovaná u</w:t>
      </w:r>
      <w:r w:rsidR="00AD72E3" w:rsidRPr="007656B5">
        <w:rPr>
          <w:rFonts w:ascii="Times New Roman" w:hAnsi="Times New Roman" w:cs="Times New Roman"/>
        </w:rPr>
        <w:t> </w:t>
      </w:r>
      <w:r w:rsidRPr="007656B5">
        <w:rPr>
          <w:rFonts w:ascii="Times New Roman" w:hAnsi="Times New Roman" w:cs="Times New Roman"/>
        </w:rPr>
        <w:t>pacientov s</w:t>
      </w:r>
      <w:r w:rsidR="00BF6BFC" w:rsidRPr="007656B5">
        <w:rPr>
          <w:rFonts w:ascii="Times New Roman" w:hAnsi="Times New Roman" w:cs="Times New Roman"/>
        </w:rPr>
        <w:t> </w:t>
      </w:r>
      <w:r w:rsidRPr="007656B5">
        <w:rPr>
          <w:rFonts w:ascii="Times New Roman" w:hAnsi="Times New Roman" w:cs="Times New Roman"/>
        </w:rPr>
        <w:t>miern</w:t>
      </w:r>
      <w:r w:rsidR="0013693A" w:rsidRPr="007656B5">
        <w:rPr>
          <w:rFonts w:ascii="Times New Roman" w:hAnsi="Times New Roman" w:cs="Times New Roman"/>
        </w:rPr>
        <w:t>ou</w:t>
      </w:r>
      <w:r w:rsidRPr="007656B5">
        <w:rPr>
          <w:rFonts w:ascii="Times New Roman" w:hAnsi="Times New Roman" w:cs="Times New Roman"/>
        </w:rPr>
        <w:t xml:space="preserve"> až </w:t>
      </w:r>
      <w:r w:rsidR="0013693A" w:rsidRPr="007656B5">
        <w:rPr>
          <w:rFonts w:ascii="Times New Roman" w:hAnsi="Times New Roman" w:cs="Times New Roman"/>
        </w:rPr>
        <w:t>stredne ťažkou poruchou funkcie</w:t>
      </w:r>
      <w:r w:rsidRPr="007656B5">
        <w:rPr>
          <w:rFonts w:ascii="Times New Roman" w:hAnsi="Times New Roman" w:cs="Times New Roman"/>
        </w:rPr>
        <w:t xml:space="preserve"> pečene v</w:t>
      </w:r>
      <w:r w:rsidR="00AD72E3" w:rsidRPr="007656B5">
        <w:rPr>
          <w:rFonts w:ascii="Times New Roman" w:hAnsi="Times New Roman" w:cs="Times New Roman"/>
        </w:rPr>
        <w:t> </w:t>
      </w:r>
      <w:r w:rsidRPr="007656B5">
        <w:rPr>
          <w:rFonts w:ascii="Times New Roman" w:hAnsi="Times New Roman" w:cs="Times New Roman"/>
        </w:rPr>
        <w:t xml:space="preserve">porovnaní so zdravými </w:t>
      </w:r>
      <w:r w:rsidR="005B426C" w:rsidRPr="007656B5">
        <w:rPr>
          <w:rFonts w:ascii="Times New Roman" w:hAnsi="Times New Roman" w:cs="Times New Roman"/>
        </w:rPr>
        <w:t>dobrovoľník</w:t>
      </w:r>
      <w:r w:rsidRPr="007656B5">
        <w:rPr>
          <w:rFonts w:ascii="Times New Roman" w:hAnsi="Times New Roman" w:cs="Times New Roman"/>
        </w:rPr>
        <w:t>mi. Avšak nepozoroval sa žiaden vzájomný vzťah medzi plazmatickou koncentráciou valsartanu a</w:t>
      </w:r>
      <w:r w:rsidR="00AD72E3" w:rsidRPr="007656B5">
        <w:rPr>
          <w:rFonts w:ascii="Times New Roman" w:hAnsi="Times New Roman" w:cs="Times New Roman"/>
        </w:rPr>
        <w:t> </w:t>
      </w:r>
      <w:r w:rsidRPr="007656B5">
        <w:rPr>
          <w:rFonts w:ascii="Times New Roman" w:hAnsi="Times New Roman" w:cs="Times New Roman"/>
        </w:rPr>
        <w:t xml:space="preserve">stupňom hepatálnej dysfunkcie. </w:t>
      </w:r>
      <w:r w:rsidR="003F7BB8" w:rsidRPr="007656B5">
        <w:rPr>
          <w:rFonts w:ascii="Times New Roman" w:hAnsi="Times New Roman" w:cs="Times New Roman"/>
        </w:rPr>
        <w:t>Va</w:t>
      </w:r>
      <w:r w:rsidR="008B2DD5" w:rsidRPr="007656B5">
        <w:rPr>
          <w:rFonts w:ascii="Times New Roman" w:hAnsi="Times New Roman" w:cs="Times New Roman"/>
        </w:rPr>
        <w:t>lsartan</w:t>
      </w:r>
      <w:r w:rsidRPr="007656B5">
        <w:rPr>
          <w:rFonts w:ascii="Times New Roman" w:hAnsi="Times New Roman" w:cs="Times New Roman"/>
        </w:rPr>
        <w:t xml:space="preserve"> sa neskúmal u</w:t>
      </w:r>
      <w:r w:rsidR="00AD72E3" w:rsidRPr="007656B5">
        <w:rPr>
          <w:rFonts w:ascii="Times New Roman" w:hAnsi="Times New Roman" w:cs="Times New Roman"/>
        </w:rPr>
        <w:t> </w:t>
      </w:r>
      <w:r w:rsidRPr="007656B5">
        <w:rPr>
          <w:rFonts w:ascii="Times New Roman" w:hAnsi="Times New Roman" w:cs="Times New Roman"/>
        </w:rPr>
        <w:t>pacientov s</w:t>
      </w:r>
      <w:r w:rsidR="00AD72E3" w:rsidRPr="007656B5">
        <w:rPr>
          <w:rFonts w:ascii="Times New Roman" w:hAnsi="Times New Roman" w:cs="Times New Roman"/>
        </w:rPr>
        <w:t> </w:t>
      </w:r>
      <w:r w:rsidRPr="007656B5">
        <w:rPr>
          <w:rFonts w:ascii="Times New Roman" w:hAnsi="Times New Roman" w:cs="Times New Roman"/>
        </w:rPr>
        <w:t>ťažk</w:t>
      </w:r>
      <w:r w:rsidR="0013693A" w:rsidRPr="007656B5">
        <w:rPr>
          <w:rFonts w:ascii="Times New Roman" w:hAnsi="Times New Roman" w:cs="Times New Roman"/>
        </w:rPr>
        <w:t>ou</w:t>
      </w:r>
      <w:r w:rsidRPr="007656B5">
        <w:rPr>
          <w:rFonts w:ascii="Times New Roman" w:hAnsi="Times New Roman" w:cs="Times New Roman"/>
        </w:rPr>
        <w:t xml:space="preserve"> </w:t>
      </w:r>
      <w:r w:rsidR="0013693A" w:rsidRPr="007656B5">
        <w:rPr>
          <w:rFonts w:ascii="Times New Roman" w:hAnsi="Times New Roman" w:cs="Times New Roman"/>
        </w:rPr>
        <w:t xml:space="preserve">poruchou </w:t>
      </w:r>
      <w:r w:rsidRPr="007656B5">
        <w:rPr>
          <w:rFonts w:ascii="Times New Roman" w:hAnsi="Times New Roman" w:cs="Times New Roman"/>
        </w:rPr>
        <w:t>funkcie pečene (pozri</w:t>
      </w:r>
      <w:r w:rsidR="003F7BB8" w:rsidRPr="007656B5">
        <w:rPr>
          <w:rFonts w:ascii="Times New Roman" w:hAnsi="Times New Roman" w:cs="Times New Roman"/>
        </w:rPr>
        <w:t xml:space="preserve"> </w:t>
      </w:r>
      <w:r w:rsidRPr="007656B5">
        <w:rPr>
          <w:rFonts w:ascii="Times New Roman" w:hAnsi="Times New Roman" w:cs="Times New Roman"/>
        </w:rPr>
        <w:t xml:space="preserve">časti 4.2, </w:t>
      </w:r>
      <w:smartTag w:uri="urn:schemas-microsoft-com:office:smarttags" w:element="metricconverter">
        <w:smartTagPr>
          <w:attr w:name="ProductID" w:val="4.3 a"/>
        </w:smartTagPr>
        <w:r w:rsidRPr="007656B5">
          <w:rPr>
            <w:rFonts w:ascii="Times New Roman" w:hAnsi="Times New Roman" w:cs="Times New Roman"/>
          </w:rPr>
          <w:t>4.3 a</w:t>
        </w:r>
        <w:r w:rsidR="00AD72E3" w:rsidRPr="007656B5">
          <w:rPr>
            <w:rFonts w:ascii="Times New Roman" w:hAnsi="Times New Roman" w:cs="Times New Roman"/>
          </w:rPr>
          <w:t> </w:t>
        </w:r>
      </w:smartTag>
      <w:r w:rsidRPr="007656B5">
        <w:rPr>
          <w:rFonts w:ascii="Times New Roman" w:hAnsi="Times New Roman" w:cs="Times New Roman"/>
        </w:rPr>
        <w:t>4.4).</w:t>
      </w:r>
    </w:p>
    <w:p w:rsidR="007C2ED7" w:rsidRPr="007656B5" w:rsidRDefault="00177301" w:rsidP="00D50784">
      <w:pPr>
        <w:pStyle w:val="Styl2-2"/>
        <w:rPr>
          <w:szCs w:val="22"/>
        </w:rPr>
      </w:pPr>
      <w:r w:rsidRPr="007656B5">
        <w:rPr>
          <w:szCs w:val="22"/>
        </w:rPr>
        <w:t>Pediatrická populácia</w:t>
      </w:r>
    </w:p>
    <w:p w:rsidR="007C2ED7" w:rsidRPr="007656B5" w:rsidRDefault="007C2ED7" w:rsidP="007C44E3">
      <w:pPr>
        <w:pStyle w:val="Normlndobloku"/>
        <w:rPr>
          <w:rFonts w:ascii="Times New Roman" w:hAnsi="Times New Roman" w:cs="Times New Roman"/>
        </w:rPr>
      </w:pPr>
      <w:r w:rsidRPr="007656B5">
        <w:rPr>
          <w:rFonts w:ascii="Times New Roman" w:hAnsi="Times New Roman" w:cs="Times New Roman"/>
        </w:rPr>
        <w:t>V</w:t>
      </w:r>
      <w:r w:rsidR="00AD72E3" w:rsidRPr="007656B5">
        <w:rPr>
          <w:rFonts w:ascii="Times New Roman" w:hAnsi="Times New Roman" w:cs="Times New Roman"/>
        </w:rPr>
        <w:t> </w:t>
      </w:r>
      <w:r w:rsidRPr="007656B5">
        <w:rPr>
          <w:rFonts w:ascii="Times New Roman" w:hAnsi="Times New Roman" w:cs="Times New Roman"/>
        </w:rPr>
        <w:t>štúdii s</w:t>
      </w:r>
      <w:r w:rsidR="00AD72E3" w:rsidRPr="007656B5">
        <w:rPr>
          <w:rFonts w:ascii="Times New Roman" w:hAnsi="Times New Roman" w:cs="Times New Roman"/>
        </w:rPr>
        <w:t> </w:t>
      </w:r>
      <w:r w:rsidRPr="007656B5">
        <w:rPr>
          <w:rFonts w:ascii="Times New Roman" w:hAnsi="Times New Roman" w:cs="Times New Roman"/>
        </w:rPr>
        <w:t xml:space="preserve">26 </w:t>
      </w:r>
      <w:r w:rsidR="008B2DD5" w:rsidRPr="007656B5">
        <w:rPr>
          <w:rFonts w:ascii="Times New Roman" w:hAnsi="Times New Roman" w:cs="Times New Roman"/>
        </w:rPr>
        <w:t>deťmi a</w:t>
      </w:r>
      <w:r w:rsidR="00AD72E3" w:rsidRPr="007656B5">
        <w:rPr>
          <w:rFonts w:ascii="Times New Roman" w:hAnsi="Times New Roman" w:cs="Times New Roman"/>
        </w:rPr>
        <w:t> </w:t>
      </w:r>
      <w:r w:rsidR="008B2DD5" w:rsidRPr="007656B5">
        <w:rPr>
          <w:rFonts w:ascii="Times New Roman" w:hAnsi="Times New Roman" w:cs="Times New Roman"/>
        </w:rPr>
        <w:t>dospievajúcimi</w:t>
      </w:r>
      <w:r w:rsidRPr="007656B5">
        <w:rPr>
          <w:rFonts w:ascii="Times New Roman" w:hAnsi="Times New Roman" w:cs="Times New Roman"/>
        </w:rPr>
        <w:t xml:space="preserve"> s</w:t>
      </w:r>
      <w:r w:rsidR="00AD72E3" w:rsidRPr="007656B5">
        <w:rPr>
          <w:rFonts w:ascii="Times New Roman" w:hAnsi="Times New Roman" w:cs="Times New Roman"/>
        </w:rPr>
        <w:t> </w:t>
      </w:r>
      <w:r w:rsidRPr="007656B5">
        <w:rPr>
          <w:rFonts w:ascii="Times New Roman" w:hAnsi="Times New Roman" w:cs="Times New Roman"/>
        </w:rPr>
        <w:t>hypertenziou (vo veku 1 až 16 rokov), ktorým sa podala jednorazová dávka suspenzie valsartanu (priemer: 0,9 až 2</w:t>
      </w:r>
      <w:r w:rsidR="00AD72E3" w:rsidRPr="007656B5">
        <w:rPr>
          <w:rFonts w:ascii="Times New Roman" w:hAnsi="Times New Roman" w:cs="Times New Roman"/>
        </w:rPr>
        <w:t> </w:t>
      </w:r>
      <w:r w:rsidRPr="007656B5">
        <w:rPr>
          <w:rFonts w:ascii="Times New Roman" w:hAnsi="Times New Roman" w:cs="Times New Roman"/>
        </w:rPr>
        <w:t>mg/kg, s</w:t>
      </w:r>
      <w:r w:rsidR="00AD72E3" w:rsidRPr="007656B5">
        <w:rPr>
          <w:rFonts w:ascii="Times New Roman" w:hAnsi="Times New Roman" w:cs="Times New Roman"/>
        </w:rPr>
        <w:t> </w:t>
      </w:r>
      <w:r w:rsidRPr="007656B5">
        <w:rPr>
          <w:rFonts w:ascii="Times New Roman" w:hAnsi="Times New Roman" w:cs="Times New Roman"/>
        </w:rPr>
        <w:t>maximálnou dávkou 80</w:t>
      </w:r>
      <w:r w:rsidR="00AD72E3" w:rsidRPr="007656B5">
        <w:rPr>
          <w:rFonts w:ascii="Times New Roman" w:hAnsi="Times New Roman" w:cs="Times New Roman"/>
        </w:rPr>
        <w:t> </w:t>
      </w:r>
      <w:r w:rsidRPr="007656B5">
        <w:rPr>
          <w:rFonts w:ascii="Times New Roman" w:hAnsi="Times New Roman" w:cs="Times New Roman"/>
        </w:rPr>
        <w:t>mg), bol klírens (litre/h/kg) valsartanu porovnateľný naprieč vekovým rozmedzím 1 až 16 rokov a</w:t>
      </w:r>
      <w:r w:rsidR="00AD72E3" w:rsidRPr="007656B5">
        <w:rPr>
          <w:rFonts w:ascii="Times New Roman" w:hAnsi="Times New Roman" w:cs="Times New Roman"/>
        </w:rPr>
        <w:t> </w:t>
      </w:r>
      <w:r w:rsidRPr="007656B5">
        <w:rPr>
          <w:rFonts w:ascii="Times New Roman" w:hAnsi="Times New Roman" w:cs="Times New Roman"/>
        </w:rPr>
        <w:t>bol podobný ako u</w:t>
      </w:r>
      <w:r w:rsidR="00AD72E3" w:rsidRPr="007656B5">
        <w:rPr>
          <w:rFonts w:ascii="Times New Roman" w:hAnsi="Times New Roman" w:cs="Times New Roman"/>
        </w:rPr>
        <w:t> </w:t>
      </w:r>
      <w:r w:rsidRPr="007656B5">
        <w:rPr>
          <w:rFonts w:ascii="Times New Roman" w:hAnsi="Times New Roman" w:cs="Times New Roman"/>
        </w:rPr>
        <w:t>dospelých, ktorí dostali tú istú liekovú formu.</w:t>
      </w:r>
    </w:p>
    <w:p w:rsidR="007C2ED7" w:rsidRPr="007656B5" w:rsidRDefault="00B774BC" w:rsidP="007C44E3">
      <w:pPr>
        <w:pStyle w:val="Styl3"/>
        <w:rPr>
          <w:szCs w:val="22"/>
        </w:rPr>
      </w:pPr>
      <w:r w:rsidRPr="007656B5">
        <w:rPr>
          <w:szCs w:val="22"/>
        </w:rPr>
        <w:t>Porucha funkcie obličiek</w:t>
      </w:r>
    </w:p>
    <w:p w:rsidR="007C2ED7" w:rsidRPr="007656B5" w:rsidRDefault="007C2ED7" w:rsidP="009B52F3">
      <w:pPr>
        <w:pStyle w:val="Normlndobloku"/>
        <w:rPr>
          <w:rFonts w:ascii="Times New Roman" w:hAnsi="Times New Roman" w:cs="Times New Roman"/>
        </w:rPr>
      </w:pPr>
      <w:r w:rsidRPr="007656B5">
        <w:rPr>
          <w:rFonts w:ascii="Times New Roman" w:hAnsi="Times New Roman" w:cs="Times New Roman"/>
        </w:rPr>
        <w:t>Použitie u</w:t>
      </w:r>
      <w:r w:rsidR="00E001EF" w:rsidRPr="007656B5">
        <w:rPr>
          <w:rFonts w:ascii="Times New Roman" w:hAnsi="Times New Roman" w:cs="Times New Roman"/>
        </w:rPr>
        <w:t> </w:t>
      </w:r>
      <w:r w:rsidR="008B2DD5" w:rsidRPr="007656B5">
        <w:rPr>
          <w:rFonts w:ascii="Times New Roman" w:hAnsi="Times New Roman" w:cs="Times New Roman"/>
        </w:rPr>
        <w:t>detí a</w:t>
      </w:r>
      <w:r w:rsidR="00E001EF" w:rsidRPr="007656B5">
        <w:rPr>
          <w:rFonts w:ascii="Times New Roman" w:hAnsi="Times New Roman" w:cs="Times New Roman"/>
        </w:rPr>
        <w:t> </w:t>
      </w:r>
      <w:r w:rsidR="008B2DD5" w:rsidRPr="007656B5">
        <w:rPr>
          <w:rFonts w:ascii="Times New Roman" w:hAnsi="Times New Roman" w:cs="Times New Roman"/>
        </w:rPr>
        <w:t>dospievajúcich</w:t>
      </w:r>
      <w:r w:rsidRPr="007656B5">
        <w:rPr>
          <w:rFonts w:ascii="Times New Roman" w:hAnsi="Times New Roman" w:cs="Times New Roman"/>
        </w:rPr>
        <w:t xml:space="preserve"> s</w:t>
      </w:r>
      <w:r w:rsidR="00E001EF" w:rsidRPr="007656B5">
        <w:rPr>
          <w:rFonts w:ascii="Times New Roman" w:hAnsi="Times New Roman" w:cs="Times New Roman"/>
        </w:rPr>
        <w:t> </w:t>
      </w:r>
      <w:r w:rsidRPr="007656B5">
        <w:rPr>
          <w:rFonts w:ascii="Times New Roman" w:hAnsi="Times New Roman" w:cs="Times New Roman"/>
        </w:rPr>
        <w:t>klírensom kreatinínu &lt;30</w:t>
      </w:r>
      <w:r w:rsidR="00E001EF" w:rsidRPr="007656B5">
        <w:rPr>
          <w:rFonts w:ascii="Times New Roman" w:hAnsi="Times New Roman" w:cs="Times New Roman"/>
        </w:rPr>
        <w:t> </w:t>
      </w:r>
      <w:r w:rsidRPr="007656B5">
        <w:rPr>
          <w:rFonts w:ascii="Times New Roman" w:hAnsi="Times New Roman" w:cs="Times New Roman"/>
        </w:rPr>
        <w:t>ml/min a</w:t>
      </w:r>
      <w:r w:rsidR="00E001EF" w:rsidRPr="007656B5">
        <w:rPr>
          <w:rFonts w:ascii="Times New Roman" w:hAnsi="Times New Roman" w:cs="Times New Roman"/>
        </w:rPr>
        <w:t> </w:t>
      </w:r>
      <w:r w:rsidRPr="007656B5">
        <w:rPr>
          <w:rFonts w:ascii="Times New Roman" w:hAnsi="Times New Roman" w:cs="Times New Roman"/>
        </w:rPr>
        <w:t>u</w:t>
      </w:r>
      <w:r w:rsidR="00E001EF" w:rsidRPr="007656B5">
        <w:rPr>
          <w:rFonts w:ascii="Times New Roman" w:hAnsi="Times New Roman" w:cs="Times New Roman"/>
        </w:rPr>
        <w:t> </w:t>
      </w:r>
      <w:r w:rsidRPr="007656B5">
        <w:rPr>
          <w:rFonts w:ascii="Times New Roman" w:hAnsi="Times New Roman" w:cs="Times New Roman"/>
        </w:rPr>
        <w:t xml:space="preserve">dialyzovaných </w:t>
      </w:r>
      <w:r w:rsidR="008B2DD5" w:rsidRPr="007656B5">
        <w:rPr>
          <w:rFonts w:ascii="Times New Roman" w:hAnsi="Times New Roman" w:cs="Times New Roman"/>
        </w:rPr>
        <w:t>detí a</w:t>
      </w:r>
      <w:r w:rsidR="00F41C47" w:rsidRPr="007656B5">
        <w:rPr>
          <w:rFonts w:ascii="Times New Roman" w:hAnsi="Times New Roman" w:cs="Times New Roman"/>
        </w:rPr>
        <w:t> </w:t>
      </w:r>
      <w:r w:rsidR="008B2DD5" w:rsidRPr="007656B5">
        <w:rPr>
          <w:rFonts w:ascii="Times New Roman" w:hAnsi="Times New Roman" w:cs="Times New Roman"/>
        </w:rPr>
        <w:t xml:space="preserve">dospievajúcich </w:t>
      </w:r>
      <w:r w:rsidRPr="007656B5">
        <w:rPr>
          <w:rFonts w:ascii="Times New Roman" w:hAnsi="Times New Roman" w:cs="Times New Roman"/>
        </w:rPr>
        <w:t>sa neskúmalo, preto sa použitie valsartanu u</w:t>
      </w:r>
      <w:r w:rsidR="00E001EF" w:rsidRPr="007656B5">
        <w:rPr>
          <w:rFonts w:ascii="Times New Roman" w:hAnsi="Times New Roman" w:cs="Times New Roman"/>
        </w:rPr>
        <w:t> </w:t>
      </w:r>
      <w:r w:rsidRPr="007656B5">
        <w:rPr>
          <w:rFonts w:ascii="Times New Roman" w:hAnsi="Times New Roman" w:cs="Times New Roman"/>
        </w:rPr>
        <w:t>týchto pacientov neodporúča. Úprava dávky nie je potrebná u</w:t>
      </w:r>
      <w:r w:rsidR="00E001EF" w:rsidRPr="007656B5">
        <w:rPr>
          <w:rFonts w:ascii="Times New Roman" w:hAnsi="Times New Roman" w:cs="Times New Roman"/>
        </w:rPr>
        <w:t> </w:t>
      </w:r>
      <w:r w:rsidR="008B2DD5" w:rsidRPr="007656B5">
        <w:rPr>
          <w:rFonts w:ascii="Times New Roman" w:hAnsi="Times New Roman" w:cs="Times New Roman"/>
        </w:rPr>
        <w:t>detí a</w:t>
      </w:r>
      <w:r w:rsidR="00E001EF" w:rsidRPr="007656B5">
        <w:rPr>
          <w:rFonts w:ascii="Times New Roman" w:hAnsi="Times New Roman" w:cs="Times New Roman"/>
        </w:rPr>
        <w:t> </w:t>
      </w:r>
      <w:r w:rsidR="008B2DD5" w:rsidRPr="007656B5">
        <w:rPr>
          <w:rFonts w:ascii="Times New Roman" w:hAnsi="Times New Roman" w:cs="Times New Roman"/>
        </w:rPr>
        <w:t xml:space="preserve">dospievajúcich </w:t>
      </w:r>
      <w:r w:rsidRPr="007656B5">
        <w:rPr>
          <w:rFonts w:ascii="Times New Roman" w:hAnsi="Times New Roman" w:cs="Times New Roman"/>
        </w:rPr>
        <w:t>s</w:t>
      </w:r>
      <w:r w:rsidR="00E001EF" w:rsidRPr="007656B5">
        <w:rPr>
          <w:rFonts w:ascii="Times New Roman" w:hAnsi="Times New Roman" w:cs="Times New Roman"/>
        </w:rPr>
        <w:t> </w:t>
      </w:r>
      <w:r w:rsidRPr="007656B5">
        <w:rPr>
          <w:rFonts w:ascii="Times New Roman" w:hAnsi="Times New Roman" w:cs="Times New Roman"/>
        </w:rPr>
        <w:t>klírensom kreatinínu &gt;30</w:t>
      </w:r>
      <w:r w:rsidR="00E001EF" w:rsidRPr="007656B5">
        <w:rPr>
          <w:rFonts w:ascii="Times New Roman" w:hAnsi="Times New Roman" w:cs="Times New Roman"/>
        </w:rPr>
        <w:t> </w:t>
      </w:r>
      <w:r w:rsidRPr="007656B5">
        <w:rPr>
          <w:rFonts w:ascii="Times New Roman" w:hAnsi="Times New Roman" w:cs="Times New Roman"/>
        </w:rPr>
        <w:t>ml/min. Funkcia obličiek a</w:t>
      </w:r>
      <w:r w:rsidR="00F41C47" w:rsidRPr="007656B5">
        <w:rPr>
          <w:rFonts w:ascii="Times New Roman" w:hAnsi="Times New Roman" w:cs="Times New Roman"/>
        </w:rPr>
        <w:t> </w:t>
      </w:r>
      <w:r w:rsidRPr="007656B5">
        <w:rPr>
          <w:rFonts w:ascii="Times New Roman" w:hAnsi="Times New Roman" w:cs="Times New Roman"/>
        </w:rPr>
        <w:t>draslík v</w:t>
      </w:r>
      <w:r w:rsidR="0039460B" w:rsidRPr="007656B5">
        <w:rPr>
          <w:rFonts w:ascii="Times New Roman" w:hAnsi="Times New Roman" w:cs="Times New Roman"/>
        </w:rPr>
        <w:t> </w:t>
      </w:r>
      <w:r w:rsidRPr="007656B5">
        <w:rPr>
          <w:rFonts w:ascii="Times New Roman" w:hAnsi="Times New Roman" w:cs="Times New Roman"/>
        </w:rPr>
        <w:t xml:space="preserve">sére sa majú starostlivo sledovať (pozri časti </w:t>
      </w:r>
      <w:smartTag w:uri="urn:schemas-microsoft-com:office:smarttags" w:element="metricconverter">
        <w:smartTagPr>
          <w:attr w:name="ProductID" w:val="4.2 a"/>
        </w:smartTagPr>
        <w:r w:rsidRPr="007656B5">
          <w:rPr>
            <w:rFonts w:ascii="Times New Roman" w:hAnsi="Times New Roman" w:cs="Times New Roman"/>
          </w:rPr>
          <w:t>4.2 a</w:t>
        </w:r>
        <w:r w:rsidR="00E001EF" w:rsidRPr="007656B5">
          <w:rPr>
            <w:rFonts w:ascii="Times New Roman" w:hAnsi="Times New Roman" w:cs="Times New Roman"/>
          </w:rPr>
          <w:t> </w:t>
        </w:r>
      </w:smartTag>
      <w:r w:rsidRPr="007656B5">
        <w:rPr>
          <w:rFonts w:ascii="Times New Roman" w:hAnsi="Times New Roman" w:cs="Times New Roman"/>
        </w:rPr>
        <w:t>4.4).</w:t>
      </w:r>
    </w:p>
    <w:p w:rsidR="007C2ED7" w:rsidRPr="007656B5" w:rsidRDefault="007C2ED7" w:rsidP="00D50784">
      <w:pPr>
        <w:pStyle w:val="Styl2"/>
      </w:pPr>
      <w:r w:rsidRPr="007656B5">
        <w:t>Predklinické údaje o</w:t>
      </w:r>
      <w:r w:rsidR="00E001EF" w:rsidRPr="007656B5">
        <w:t> </w:t>
      </w:r>
      <w:r w:rsidRPr="007656B5">
        <w:t>bezpečnosti</w:t>
      </w:r>
    </w:p>
    <w:p w:rsidR="007C2ED7" w:rsidRPr="007656B5" w:rsidRDefault="007C2ED7" w:rsidP="007C44E3">
      <w:pPr>
        <w:pStyle w:val="Normlndobloku"/>
        <w:rPr>
          <w:rFonts w:ascii="Times New Roman" w:hAnsi="Times New Roman" w:cs="Times New Roman"/>
        </w:rPr>
      </w:pPr>
      <w:r w:rsidRPr="007656B5">
        <w:rPr>
          <w:rFonts w:ascii="Times New Roman" w:hAnsi="Times New Roman" w:cs="Times New Roman"/>
        </w:rPr>
        <w:t>Predklinické údaje na základe obvyklých štúdií farmakologickej bezpečnosti, toxicity po opakovanom podávaní a</w:t>
      </w:r>
      <w:r w:rsidR="00E001EF" w:rsidRPr="007656B5">
        <w:rPr>
          <w:rFonts w:ascii="Times New Roman" w:hAnsi="Times New Roman" w:cs="Times New Roman"/>
        </w:rPr>
        <w:t> </w:t>
      </w:r>
      <w:r w:rsidRPr="007656B5">
        <w:rPr>
          <w:rFonts w:ascii="Times New Roman" w:hAnsi="Times New Roman" w:cs="Times New Roman"/>
        </w:rPr>
        <w:t>genotoxicity neodhalili žiadne osobitné riziko pre ľudí.</w:t>
      </w:r>
    </w:p>
    <w:p w:rsidR="007C2ED7" w:rsidRPr="007656B5" w:rsidRDefault="007C2ED7" w:rsidP="007C44E3">
      <w:pPr>
        <w:pStyle w:val="Normlndobloku"/>
        <w:rPr>
          <w:rFonts w:ascii="Times New Roman" w:hAnsi="Times New Roman" w:cs="Times New Roman"/>
        </w:rPr>
      </w:pPr>
      <w:r w:rsidRPr="007656B5">
        <w:rPr>
          <w:rFonts w:ascii="Times New Roman" w:hAnsi="Times New Roman" w:cs="Times New Roman"/>
        </w:rPr>
        <w:t>Maternálne toxické dávky u</w:t>
      </w:r>
      <w:r w:rsidR="00E001EF" w:rsidRPr="007656B5">
        <w:rPr>
          <w:rFonts w:ascii="Times New Roman" w:hAnsi="Times New Roman" w:cs="Times New Roman"/>
        </w:rPr>
        <w:t> </w:t>
      </w:r>
      <w:r w:rsidRPr="007656B5">
        <w:rPr>
          <w:rFonts w:ascii="Times New Roman" w:hAnsi="Times New Roman" w:cs="Times New Roman"/>
        </w:rPr>
        <w:t>potkanov (600</w:t>
      </w:r>
      <w:r w:rsidR="00E001EF" w:rsidRPr="007656B5">
        <w:rPr>
          <w:rFonts w:ascii="Times New Roman" w:hAnsi="Times New Roman" w:cs="Times New Roman"/>
        </w:rPr>
        <w:t> </w:t>
      </w:r>
      <w:r w:rsidRPr="007656B5">
        <w:rPr>
          <w:rFonts w:ascii="Times New Roman" w:hAnsi="Times New Roman" w:cs="Times New Roman"/>
        </w:rPr>
        <w:t>mg/kg/deň) počas posledných dní gestácie a</w:t>
      </w:r>
      <w:r w:rsidR="00E001EF" w:rsidRPr="007656B5">
        <w:rPr>
          <w:rFonts w:ascii="Times New Roman" w:hAnsi="Times New Roman" w:cs="Times New Roman"/>
        </w:rPr>
        <w:t> </w:t>
      </w:r>
      <w:r w:rsidRPr="007656B5">
        <w:rPr>
          <w:rFonts w:ascii="Times New Roman" w:hAnsi="Times New Roman" w:cs="Times New Roman"/>
        </w:rPr>
        <w:t>laktácie viedli u</w:t>
      </w:r>
      <w:r w:rsidR="00E001EF" w:rsidRPr="007656B5">
        <w:rPr>
          <w:rFonts w:ascii="Times New Roman" w:hAnsi="Times New Roman" w:cs="Times New Roman"/>
        </w:rPr>
        <w:t> </w:t>
      </w:r>
      <w:r w:rsidRPr="007656B5">
        <w:rPr>
          <w:rFonts w:ascii="Times New Roman" w:hAnsi="Times New Roman" w:cs="Times New Roman"/>
        </w:rPr>
        <w:t>potomkov k</w:t>
      </w:r>
      <w:r w:rsidR="00E001EF" w:rsidRPr="007656B5">
        <w:rPr>
          <w:rFonts w:ascii="Times New Roman" w:hAnsi="Times New Roman" w:cs="Times New Roman"/>
        </w:rPr>
        <w:t> </w:t>
      </w:r>
      <w:r w:rsidRPr="007656B5">
        <w:rPr>
          <w:rFonts w:ascii="Times New Roman" w:hAnsi="Times New Roman" w:cs="Times New Roman"/>
        </w:rPr>
        <w:t>nižšiemu prežívaniu, nižšiemu prírastku hmotnosti a</w:t>
      </w:r>
      <w:r w:rsidR="00E001EF" w:rsidRPr="007656B5">
        <w:rPr>
          <w:rFonts w:ascii="Times New Roman" w:hAnsi="Times New Roman" w:cs="Times New Roman"/>
        </w:rPr>
        <w:t> </w:t>
      </w:r>
      <w:r w:rsidRPr="007656B5">
        <w:rPr>
          <w:rFonts w:ascii="Times New Roman" w:hAnsi="Times New Roman" w:cs="Times New Roman"/>
        </w:rPr>
        <w:t>oneskorenému vývoju (oddelenie vonkajšej chrupavkovej časti ucha a</w:t>
      </w:r>
      <w:r w:rsidR="00E001EF" w:rsidRPr="007656B5">
        <w:rPr>
          <w:rFonts w:ascii="Times New Roman" w:hAnsi="Times New Roman" w:cs="Times New Roman"/>
        </w:rPr>
        <w:t> </w:t>
      </w:r>
      <w:r w:rsidRPr="007656B5">
        <w:rPr>
          <w:rFonts w:ascii="Times New Roman" w:hAnsi="Times New Roman" w:cs="Times New Roman"/>
        </w:rPr>
        <w:t>otvorenie ušného kanála) (pozri časť 4.6). Tieto dávky u</w:t>
      </w:r>
      <w:r w:rsidR="00E001EF" w:rsidRPr="007656B5">
        <w:rPr>
          <w:rFonts w:ascii="Times New Roman" w:hAnsi="Times New Roman" w:cs="Times New Roman"/>
        </w:rPr>
        <w:t> </w:t>
      </w:r>
      <w:r w:rsidRPr="007656B5">
        <w:rPr>
          <w:rFonts w:ascii="Times New Roman" w:hAnsi="Times New Roman" w:cs="Times New Roman"/>
        </w:rPr>
        <w:t>potkanov (600</w:t>
      </w:r>
      <w:r w:rsidR="00E001EF" w:rsidRPr="007656B5">
        <w:rPr>
          <w:rFonts w:ascii="Times New Roman" w:hAnsi="Times New Roman" w:cs="Times New Roman"/>
        </w:rPr>
        <w:t> </w:t>
      </w:r>
      <w:r w:rsidRPr="007656B5">
        <w:rPr>
          <w:rFonts w:ascii="Times New Roman" w:hAnsi="Times New Roman" w:cs="Times New Roman"/>
        </w:rPr>
        <w:t>mg/kg/deň) sú približne 18-krát vyššie ako maximálna odporúčaná dávka pre ľudí na mg/m</w:t>
      </w:r>
      <w:r w:rsidRPr="007656B5">
        <w:rPr>
          <w:rFonts w:ascii="Times New Roman" w:hAnsi="Times New Roman" w:cs="Times New Roman"/>
          <w:vertAlign w:val="superscript"/>
        </w:rPr>
        <w:t>2</w:t>
      </w:r>
      <w:r w:rsidRPr="007656B5">
        <w:rPr>
          <w:rFonts w:ascii="Times New Roman" w:hAnsi="Times New Roman" w:cs="Times New Roman"/>
        </w:rPr>
        <w:t xml:space="preserve"> (výpočty predpokladajú perorálnu dávku 320</w:t>
      </w:r>
      <w:r w:rsidR="00E001EF" w:rsidRPr="007656B5">
        <w:rPr>
          <w:rFonts w:ascii="Times New Roman" w:hAnsi="Times New Roman" w:cs="Times New Roman"/>
        </w:rPr>
        <w:t> </w:t>
      </w:r>
      <w:r w:rsidRPr="007656B5">
        <w:rPr>
          <w:rFonts w:ascii="Times New Roman" w:hAnsi="Times New Roman" w:cs="Times New Roman"/>
        </w:rPr>
        <w:t>mg/deň a pacienta s</w:t>
      </w:r>
      <w:r w:rsidR="00E001EF" w:rsidRPr="007656B5">
        <w:rPr>
          <w:rFonts w:ascii="Times New Roman" w:hAnsi="Times New Roman" w:cs="Times New Roman"/>
        </w:rPr>
        <w:t> </w:t>
      </w:r>
      <w:r w:rsidRPr="007656B5">
        <w:rPr>
          <w:rFonts w:ascii="Times New Roman" w:hAnsi="Times New Roman" w:cs="Times New Roman"/>
        </w:rPr>
        <w:t>hmotnosťou 60</w:t>
      </w:r>
      <w:r w:rsidR="00E001EF" w:rsidRPr="007656B5">
        <w:rPr>
          <w:rFonts w:ascii="Times New Roman" w:hAnsi="Times New Roman" w:cs="Times New Roman"/>
        </w:rPr>
        <w:t> </w:t>
      </w:r>
      <w:r w:rsidRPr="007656B5">
        <w:rPr>
          <w:rFonts w:ascii="Times New Roman" w:hAnsi="Times New Roman" w:cs="Times New Roman"/>
        </w:rPr>
        <w:t>kg).</w:t>
      </w:r>
    </w:p>
    <w:p w:rsidR="007C2ED7" w:rsidRPr="007656B5" w:rsidRDefault="007C2ED7" w:rsidP="007C44E3">
      <w:pPr>
        <w:pStyle w:val="Normlndobloku"/>
        <w:rPr>
          <w:rFonts w:ascii="Times New Roman" w:hAnsi="Times New Roman" w:cs="Times New Roman"/>
        </w:rPr>
      </w:pPr>
      <w:r w:rsidRPr="007656B5">
        <w:rPr>
          <w:rFonts w:ascii="Times New Roman" w:hAnsi="Times New Roman" w:cs="Times New Roman"/>
        </w:rPr>
        <w:t>V</w:t>
      </w:r>
      <w:r w:rsidR="00E001EF" w:rsidRPr="007656B5">
        <w:rPr>
          <w:rFonts w:ascii="Times New Roman" w:hAnsi="Times New Roman" w:cs="Times New Roman"/>
        </w:rPr>
        <w:t> </w:t>
      </w:r>
      <w:r w:rsidRPr="007656B5">
        <w:rPr>
          <w:rFonts w:ascii="Times New Roman" w:hAnsi="Times New Roman" w:cs="Times New Roman"/>
        </w:rPr>
        <w:t>neklinických štúdiách bezpečnosti vyvolali vysoké dávky valsartanu (200 až 600</w:t>
      </w:r>
      <w:r w:rsidR="00E001EF" w:rsidRPr="007656B5">
        <w:rPr>
          <w:rFonts w:ascii="Times New Roman" w:hAnsi="Times New Roman" w:cs="Times New Roman"/>
        </w:rPr>
        <w:t> </w:t>
      </w:r>
      <w:r w:rsidRPr="007656B5">
        <w:rPr>
          <w:rFonts w:ascii="Times New Roman" w:hAnsi="Times New Roman" w:cs="Times New Roman"/>
        </w:rPr>
        <w:t>mg/kg telesnej hmotnosti) u</w:t>
      </w:r>
      <w:r w:rsidR="00E001EF" w:rsidRPr="007656B5">
        <w:rPr>
          <w:rFonts w:ascii="Times New Roman" w:hAnsi="Times New Roman" w:cs="Times New Roman"/>
        </w:rPr>
        <w:t> </w:t>
      </w:r>
      <w:r w:rsidRPr="007656B5">
        <w:rPr>
          <w:rFonts w:ascii="Times New Roman" w:hAnsi="Times New Roman" w:cs="Times New Roman"/>
        </w:rPr>
        <w:t>potkanov zníženie parametrov erytrocytov (erytrocytov, hemoglobínu, hematokritu) a</w:t>
      </w:r>
      <w:r w:rsidR="00416DD8" w:rsidRPr="007656B5">
        <w:rPr>
          <w:rFonts w:ascii="Times New Roman" w:hAnsi="Times New Roman" w:cs="Times New Roman"/>
        </w:rPr>
        <w:t> </w:t>
      </w:r>
      <w:r w:rsidRPr="007656B5">
        <w:rPr>
          <w:rFonts w:ascii="Times New Roman" w:hAnsi="Times New Roman" w:cs="Times New Roman"/>
        </w:rPr>
        <w:t>dokázané zmeny renálnej hemodynamiky (mierne zvýšenie močoviny v</w:t>
      </w:r>
      <w:r w:rsidR="00E001EF" w:rsidRPr="007656B5">
        <w:rPr>
          <w:rFonts w:ascii="Times New Roman" w:hAnsi="Times New Roman" w:cs="Times New Roman"/>
        </w:rPr>
        <w:t> </w:t>
      </w:r>
      <w:r w:rsidRPr="007656B5">
        <w:rPr>
          <w:rFonts w:ascii="Times New Roman" w:hAnsi="Times New Roman" w:cs="Times New Roman"/>
        </w:rPr>
        <w:t>plazme a</w:t>
      </w:r>
      <w:r w:rsidR="00E001EF" w:rsidRPr="007656B5">
        <w:rPr>
          <w:rFonts w:ascii="Times New Roman" w:hAnsi="Times New Roman" w:cs="Times New Roman"/>
        </w:rPr>
        <w:t> </w:t>
      </w:r>
      <w:r w:rsidRPr="007656B5">
        <w:rPr>
          <w:rFonts w:ascii="Times New Roman" w:hAnsi="Times New Roman" w:cs="Times New Roman"/>
        </w:rPr>
        <w:t>hyperpláziu obličkových tubulov a</w:t>
      </w:r>
      <w:r w:rsidR="00E001EF" w:rsidRPr="007656B5">
        <w:rPr>
          <w:rFonts w:ascii="Times New Roman" w:hAnsi="Times New Roman" w:cs="Times New Roman"/>
        </w:rPr>
        <w:t> </w:t>
      </w:r>
      <w:r w:rsidRPr="007656B5">
        <w:rPr>
          <w:rFonts w:ascii="Times New Roman" w:hAnsi="Times New Roman" w:cs="Times New Roman"/>
        </w:rPr>
        <w:t>bazofíliu u</w:t>
      </w:r>
      <w:r w:rsidR="00E001EF" w:rsidRPr="007656B5">
        <w:rPr>
          <w:rFonts w:ascii="Times New Roman" w:hAnsi="Times New Roman" w:cs="Times New Roman"/>
        </w:rPr>
        <w:t> </w:t>
      </w:r>
      <w:r w:rsidRPr="007656B5">
        <w:rPr>
          <w:rFonts w:ascii="Times New Roman" w:hAnsi="Times New Roman" w:cs="Times New Roman"/>
        </w:rPr>
        <w:t>samcov). Tieto dávky u</w:t>
      </w:r>
      <w:r w:rsidR="00E001EF" w:rsidRPr="007656B5">
        <w:rPr>
          <w:rFonts w:ascii="Times New Roman" w:hAnsi="Times New Roman" w:cs="Times New Roman"/>
        </w:rPr>
        <w:t> </w:t>
      </w:r>
      <w:r w:rsidRPr="007656B5">
        <w:rPr>
          <w:rFonts w:ascii="Times New Roman" w:hAnsi="Times New Roman" w:cs="Times New Roman"/>
        </w:rPr>
        <w:t>potkanov (200 až 600</w:t>
      </w:r>
      <w:r w:rsidR="00E001EF" w:rsidRPr="007656B5">
        <w:rPr>
          <w:rFonts w:ascii="Times New Roman" w:hAnsi="Times New Roman" w:cs="Times New Roman"/>
        </w:rPr>
        <w:t> </w:t>
      </w:r>
      <w:r w:rsidRPr="007656B5">
        <w:rPr>
          <w:rFonts w:ascii="Times New Roman" w:hAnsi="Times New Roman" w:cs="Times New Roman"/>
        </w:rPr>
        <w:t>mg/kg/deň) sú približne 6 až 18-krát vyššie ako maximálna odporúčaná dávka pre ľudí na mg/m</w:t>
      </w:r>
      <w:r w:rsidRPr="007656B5">
        <w:rPr>
          <w:rFonts w:ascii="Times New Roman" w:hAnsi="Times New Roman" w:cs="Times New Roman"/>
          <w:vertAlign w:val="superscript"/>
        </w:rPr>
        <w:t>2</w:t>
      </w:r>
      <w:r w:rsidRPr="007656B5">
        <w:rPr>
          <w:rFonts w:ascii="Times New Roman" w:hAnsi="Times New Roman" w:cs="Times New Roman"/>
        </w:rPr>
        <w:t xml:space="preserve"> (výpočty predpokladajú perorálnu dávku 320</w:t>
      </w:r>
      <w:r w:rsidR="00E001EF" w:rsidRPr="007656B5">
        <w:rPr>
          <w:rFonts w:ascii="Times New Roman" w:hAnsi="Times New Roman" w:cs="Times New Roman"/>
        </w:rPr>
        <w:t> </w:t>
      </w:r>
      <w:r w:rsidRPr="007656B5">
        <w:rPr>
          <w:rFonts w:ascii="Times New Roman" w:hAnsi="Times New Roman" w:cs="Times New Roman"/>
        </w:rPr>
        <w:t>mg/deň a</w:t>
      </w:r>
      <w:r w:rsidR="00E001EF" w:rsidRPr="007656B5">
        <w:rPr>
          <w:rFonts w:ascii="Times New Roman" w:hAnsi="Times New Roman" w:cs="Times New Roman"/>
        </w:rPr>
        <w:t> </w:t>
      </w:r>
      <w:r w:rsidRPr="007656B5">
        <w:rPr>
          <w:rFonts w:ascii="Times New Roman" w:hAnsi="Times New Roman" w:cs="Times New Roman"/>
        </w:rPr>
        <w:t>pacienta s hmotnosťou 60</w:t>
      </w:r>
      <w:r w:rsidR="00E001EF" w:rsidRPr="007656B5">
        <w:rPr>
          <w:rFonts w:ascii="Times New Roman" w:hAnsi="Times New Roman" w:cs="Times New Roman"/>
        </w:rPr>
        <w:t> </w:t>
      </w:r>
      <w:r w:rsidRPr="007656B5">
        <w:rPr>
          <w:rFonts w:ascii="Times New Roman" w:hAnsi="Times New Roman" w:cs="Times New Roman"/>
        </w:rPr>
        <w:t>kg).</w:t>
      </w:r>
    </w:p>
    <w:p w:rsidR="007C2ED7" w:rsidRPr="007656B5" w:rsidRDefault="007C2ED7" w:rsidP="009B52F3">
      <w:pPr>
        <w:pStyle w:val="Normlndobloku"/>
        <w:rPr>
          <w:rFonts w:ascii="Times New Roman" w:hAnsi="Times New Roman" w:cs="Times New Roman"/>
        </w:rPr>
      </w:pPr>
      <w:r w:rsidRPr="007656B5">
        <w:rPr>
          <w:rFonts w:ascii="Times New Roman" w:hAnsi="Times New Roman" w:cs="Times New Roman"/>
        </w:rPr>
        <w:t>Pri podobných dávkach u</w:t>
      </w:r>
      <w:r w:rsidR="00E001EF" w:rsidRPr="007656B5">
        <w:rPr>
          <w:rFonts w:ascii="Times New Roman" w:hAnsi="Times New Roman" w:cs="Times New Roman"/>
        </w:rPr>
        <w:t> </w:t>
      </w:r>
      <w:r w:rsidRPr="007656B5">
        <w:rPr>
          <w:rFonts w:ascii="Times New Roman" w:hAnsi="Times New Roman" w:cs="Times New Roman"/>
        </w:rPr>
        <w:t>opíc kozmáčov boli zmeny podobné, hoci závažnejšie, najmä v</w:t>
      </w:r>
      <w:r w:rsidR="00E001EF" w:rsidRPr="007656B5">
        <w:rPr>
          <w:rFonts w:ascii="Times New Roman" w:hAnsi="Times New Roman" w:cs="Times New Roman"/>
        </w:rPr>
        <w:t> </w:t>
      </w:r>
      <w:r w:rsidRPr="007656B5">
        <w:rPr>
          <w:rFonts w:ascii="Times New Roman" w:hAnsi="Times New Roman" w:cs="Times New Roman"/>
        </w:rPr>
        <w:t>obličkách, kde sa vyvinuli do nefropatie zahrňujúcej zvýšenie močoviny a</w:t>
      </w:r>
      <w:r w:rsidR="00E001EF" w:rsidRPr="007656B5">
        <w:rPr>
          <w:rFonts w:ascii="Times New Roman" w:hAnsi="Times New Roman" w:cs="Times New Roman"/>
        </w:rPr>
        <w:t> </w:t>
      </w:r>
      <w:r w:rsidRPr="007656B5">
        <w:rPr>
          <w:rFonts w:ascii="Times New Roman" w:hAnsi="Times New Roman" w:cs="Times New Roman"/>
        </w:rPr>
        <w:t>kreatinínu. U</w:t>
      </w:r>
      <w:r w:rsidR="00E001EF" w:rsidRPr="007656B5">
        <w:rPr>
          <w:rFonts w:ascii="Times New Roman" w:hAnsi="Times New Roman" w:cs="Times New Roman"/>
        </w:rPr>
        <w:t> </w:t>
      </w:r>
      <w:r w:rsidRPr="007656B5">
        <w:rPr>
          <w:rFonts w:ascii="Times New Roman" w:hAnsi="Times New Roman" w:cs="Times New Roman"/>
        </w:rPr>
        <w:t>oboch druhov sa pozorovala aj hypertrofia obličkových juxtaglomerulárnych buniek. Za príčinu všetkých zmien sa považoval farmakologický účinok valsartanu, ktorý zvlášť u</w:t>
      </w:r>
      <w:r w:rsidR="00E001EF" w:rsidRPr="007656B5">
        <w:rPr>
          <w:rFonts w:ascii="Times New Roman" w:hAnsi="Times New Roman" w:cs="Times New Roman"/>
        </w:rPr>
        <w:t> </w:t>
      </w:r>
      <w:r w:rsidRPr="007656B5">
        <w:rPr>
          <w:rFonts w:ascii="Times New Roman" w:hAnsi="Times New Roman" w:cs="Times New Roman"/>
        </w:rPr>
        <w:t>kozmáčov vyvoláva</w:t>
      </w:r>
      <w:r w:rsidR="00F412A0" w:rsidRPr="007656B5">
        <w:rPr>
          <w:rFonts w:ascii="Times New Roman" w:hAnsi="Times New Roman" w:cs="Times New Roman"/>
        </w:rPr>
        <w:t xml:space="preserve"> </w:t>
      </w:r>
      <w:r w:rsidRPr="007656B5">
        <w:rPr>
          <w:rFonts w:ascii="Times New Roman" w:hAnsi="Times New Roman" w:cs="Times New Roman"/>
        </w:rPr>
        <w:t>dlhodobú hypotenziu. Vzhľadom na terapeutické dávky valsartanu u</w:t>
      </w:r>
      <w:r w:rsidR="00E001EF" w:rsidRPr="007656B5">
        <w:rPr>
          <w:rFonts w:ascii="Times New Roman" w:hAnsi="Times New Roman" w:cs="Times New Roman"/>
        </w:rPr>
        <w:t> </w:t>
      </w:r>
      <w:r w:rsidRPr="007656B5">
        <w:rPr>
          <w:rFonts w:ascii="Times New Roman" w:hAnsi="Times New Roman" w:cs="Times New Roman"/>
        </w:rPr>
        <w:t>ľudí sa nezdá, že by hypertrofia obličkových juxtaglomerulárnych buniek bola významná.</w:t>
      </w:r>
    </w:p>
    <w:p w:rsidR="007C2ED7" w:rsidRPr="007656B5" w:rsidRDefault="00177301" w:rsidP="009520A7">
      <w:pPr>
        <w:pStyle w:val="Styl3"/>
        <w:rPr>
          <w:szCs w:val="22"/>
        </w:rPr>
      </w:pPr>
      <w:r w:rsidRPr="007656B5">
        <w:rPr>
          <w:szCs w:val="22"/>
        </w:rPr>
        <w:lastRenderedPageBreak/>
        <w:t>Pediatrická populácia</w:t>
      </w:r>
    </w:p>
    <w:p w:rsidR="00425FAD" w:rsidRPr="007656B5" w:rsidRDefault="007C2ED7" w:rsidP="00C03617">
      <w:pPr>
        <w:jc w:val="both"/>
        <w:rPr>
          <w:rStyle w:val="NormlndoblokuChar"/>
          <w:rFonts w:ascii="Times New Roman" w:eastAsia="SimSun" w:hAnsi="Times New Roman" w:cs="Times New Roman"/>
        </w:rPr>
      </w:pPr>
      <w:r w:rsidRPr="007656B5">
        <w:rPr>
          <w:rStyle w:val="NormlndoblokuChar"/>
          <w:rFonts w:ascii="Times New Roman" w:eastAsia="SimSun" w:hAnsi="Times New Roman" w:cs="Times New Roman"/>
        </w:rPr>
        <w:t>Každodenné perorálne podávanie valsartanu novorodeným/juvenilným potkanom (od 7. dňa po narodení do 70. dňa po narodení) v</w:t>
      </w:r>
      <w:r w:rsidR="00E001EF"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nízkych dávkach až 1</w:t>
      </w:r>
      <w:r w:rsidR="00E001EF"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mg/kg/deň (asi 10</w:t>
      </w:r>
      <w:r w:rsidR="00332C0D" w:rsidRPr="007656B5">
        <w:rPr>
          <w:rStyle w:val="NormlndoblokuChar"/>
          <w:rFonts w:ascii="Times New Roman" w:eastAsia="SimSun" w:hAnsi="Times New Roman" w:cs="Times New Roman"/>
        </w:rPr>
        <w:t> — </w:t>
      </w:r>
      <w:r w:rsidRPr="007656B5">
        <w:rPr>
          <w:rStyle w:val="NormlndoblokuChar"/>
          <w:rFonts w:ascii="Times New Roman" w:eastAsia="SimSun" w:hAnsi="Times New Roman" w:cs="Times New Roman"/>
        </w:rPr>
        <w:t>35</w:t>
      </w:r>
      <w:r w:rsidR="00F06576"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 xml:space="preserve"> maximálnej</w:t>
      </w:r>
      <w:r w:rsidRPr="007656B5">
        <w:rPr>
          <w:sz w:val="22"/>
          <w:szCs w:val="22"/>
        </w:rPr>
        <w:t xml:space="preserve"> </w:t>
      </w:r>
      <w:r w:rsidRPr="007656B5">
        <w:rPr>
          <w:rStyle w:val="NormlndoblokuChar"/>
          <w:rFonts w:ascii="Times New Roman" w:eastAsia="SimSun" w:hAnsi="Times New Roman" w:cs="Times New Roman"/>
        </w:rPr>
        <w:t>odporúčanej pediatrickej dávky 4</w:t>
      </w:r>
      <w:r w:rsidR="00E001EF"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 xml:space="preserve">mg/kg/deň na základe systémovej expozície) vyvolalo pretrvávajúce, ireverzibilné poškodenie obličiek. Vyššie uvedené účinky predstavujú očakávaný </w:t>
      </w:r>
      <w:r w:rsidR="00E63BB1" w:rsidRPr="007656B5">
        <w:rPr>
          <w:rStyle w:val="NormlndoblokuChar"/>
          <w:rFonts w:ascii="Times New Roman" w:eastAsia="SimSun" w:hAnsi="Times New Roman" w:cs="Times New Roman"/>
        </w:rPr>
        <w:t xml:space="preserve">zosilnený </w:t>
      </w:r>
      <w:r w:rsidRPr="007656B5">
        <w:rPr>
          <w:rStyle w:val="NormlndoblokuChar"/>
          <w:rFonts w:ascii="Times New Roman" w:eastAsia="SimSun" w:hAnsi="Times New Roman" w:cs="Times New Roman"/>
        </w:rPr>
        <w:t>farmakologický účinok inhibítorov enzýmu konvertujúceho angiotenzín a</w:t>
      </w:r>
      <w:r w:rsidR="00E001EF"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blokátorov receptorov angiotenzínu II podtypu 1; tieto účinky sa pozorujú u</w:t>
      </w:r>
      <w:r w:rsidR="00E001EF"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potkanov pri podávaní počas prvých 13 dní života. Toto obdobie sa zhoduje s</w:t>
      </w:r>
      <w:r w:rsidR="00E001EF"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36 týždňami gravidity u</w:t>
      </w:r>
      <w:r w:rsidR="00E001EF"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ľudí, ktoré sa príležitostne môže u</w:t>
      </w:r>
      <w:r w:rsidR="00E001EF"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ľudí predĺžiť na 44 týždňov po počatí. Juvenilným potkanom v štúdii sa valsartan podával až do 70. dňa a</w:t>
      </w:r>
      <w:r w:rsidR="00416DD8"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účinky na dozrievanie obličiek (4 až 6 týždňov po narodení) nemožno vylúčiť. Dozrievanie funkcie obličiek je proces prebiehajúci u</w:t>
      </w:r>
      <w:r w:rsidR="00E001EF"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ľudí v</w:t>
      </w:r>
      <w:r w:rsidR="00E001EF"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prvom roku života. Preto sa nedá vylúčiť klinická významnosť u</w:t>
      </w:r>
      <w:r w:rsidR="00E001EF"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detí vo veku &lt;1 rok, zatiaľ čo predklinické údaje nepoukazujú na bezpečnostné riziko u</w:t>
      </w:r>
      <w:r w:rsidR="00E001EF" w:rsidRPr="007656B5">
        <w:rPr>
          <w:rStyle w:val="NormlndoblokuChar"/>
          <w:rFonts w:ascii="Times New Roman" w:eastAsia="SimSun" w:hAnsi="Times New Roman" w:cs="Times New Roman"/>
        </w:rPr>
        <w:t> </w:t>
      </w:r>
      <w:r w:rsidRPr="007656B5">
        <w:rPr>
          <w:rStyle w:val="NormlndoblokuChar"/>
          <w:rFonts w:ascii="Times New Roman" w:eastAsia="SimSun" w:hAnsi="Times New Roman" w:cs="Times New Roman"/>
        </w:rPr>
        <w:t>detí starších ako 1 rok.</w:t>
      </w:r>
    </w:p>
    <w:p w:rsidR="007C2ED7" w:rsidRPr="007656B5" w:rsidRDefault="007C2ED7" w:rsidP="008A0689">
      <w:pPr>
        <w:pStyle w:val="Styl1"/>
        <w:rPr>
          <w:szCs w:val="22"/>
        </w:rPr>
      </w:pPr>
      <w:r w:rsidRPr="007656B5">
        <w:rPr>
          <w:szCs w:val="22"/>
        </w:rPr>
        <w:t>FARMACEUTICKÉ INFORMÁCIE</w:t>
      </w:r>
    </w:p>
    <w:p w:rsidR="007C2ED7" w:rsidRPr="007656B5" w:rsidRDefault="007C2ED7" w:rsidP="00D50784">
      <w:pPr>
        <w:pStyle w:val="Styl2"/>
      </w:pPr>
      <w:r w:rsidRPr="007656B5">
        <w:t>Zoznam pomocných látok</w:t>
      </w:r>
    </w:p>
    <w:p w:rsidR="006C2A5A" w:rsidRPr="007656B5" w:rsidRDefault="006C2A5A" w:rsidP="007C44E3">
      <w:pPr>
        <w:pStyle w:val="Styl3"/>
        <w:rPr>
          <w:szCs w:val="22"/>
        </w:rPr>
      </w:pPr>
      <w:r w:rsidRPr="007656B5">
        <w:rPr>
          <w:szCs w:val="22"/>
        </w:rPr>
        <w:t>Jadro</w:t>
      </w:r>
      <w:r w:rsidR="00177301" w:rsidRPr="007656B5">
        <w:rPr>
          <w:szCs w:val="22"/>
        </w:rPr>
        <w:t xml:space="preserve"> tablety</w:t>
      </w:r>
    </w:p>
    <w:p w:rsidR="00F412A0" w:rsidRPr="007656B5" w:rsidRDefault="00F60349" w:rsidP="007C44E3">
      <w:pPr>
        <w:pStyle w:val="Normlndobloku"/>
        <w:rPr>
          <w:rFonts w:ascii="Times New Roman" w:hAnsi="Times New Roman" w:cs="Times New Roman"/>
        </w:rPr>
      </w:pPr>
      <w:r w:rsidRPr="007656B5">
        <w:rPr>
          <w:rFonts w:ascii="Times New Roman" w:hAnsi="Times New Roman" w:cs="Times New Roman"/>
        </w:rPr>
        <w:t>m</w:t>
      </w:r>
      <w:r w:rsidR="00F412A0" w:rsidRPr="007656B5">
        <w:rPr>
          <w:rFonts w:ascii="Times New Roman" w:hAnsi="Times New Roman" w:cs="Times New Roman"/>
        </w:rPr>
        <w:t>ikro</w:t>
      </w:r>
      <w:r w:rsidR="002742A2" w:rsidRPr="007656B5">
        <w:rPr>
          <w:rFonts w:ascii="Times New Roman" w:hAnsi="Times New Roman" w:cs="Times New Roman"/>
        </w:rPr>
        <w:t>k</w:t>
      </w:r>
      <w:r w:rsidR="00F412A0" w:rsidRPr="007656B5">
        <w:rPr>
          <w:rFonts w:ascii="Times New Roman" w:hAnsi="Times New Roman" w:cs="Times New Roman"/>
        </w:rPr>
        <w:t>ryštalická celulóza 101</w:t>
      </w:r>
    </w:p>
    <w:p w:rsidR="006C2A5A" w:rsidRPr="007656B5" w:rsidRDefault="00F60349" w:rsidP="009B52F3">
      <w:pPr>
        <w:pStyle w:val="Normlndobloku"/>
        <w:rPr>
          <w:rFonts w:ascii="Times New Roman" w:hAnsi="Times New Roman" w:cs="Times New Roman"/>
        </w:rPr>
      </w:pPr>
      <w:r w:rsidRPr="007656B5">
        <w:rPr>
          <w:rFonts w:ascii="Times New Roman" w:hAnsi="Times New Roman" w:cs="Times New Roman"/>
        </w:rPr>
        <w:t>k</w:t>
      </w:r>
      <w:r w:rsidR="006C2A5A" w:rsidRPr="007656B5">
        <w:rPr>
          <w:rFonts w:ascii="Times New Roman" w:hAnsi="Times New Roman" w:cs="Times New Roman"/>
        </w:rPr>
        <w:t>rosp</w:t>
      </w:r>
      <w:r w:rsidR="00B15F8A" w:rsidRPr="007656B5">
        <w:rPr>
          <w:rFonts w:ascii="Times New Roman" w:hAnsi="Times New Roman" w:cs="Times New Roman"/>
        </w:rPr>
        <w:t>o</w:t>
      </w:r>
      <w:r w:rsidR="006C2A5A" w:rsidRPr="007656B5">
        <w:rPr>
          <w:rFonts w:ascii="Times New Roman" w:hAnsi="Times New Roman" w:cs="Times New Roman"/>
        </w:rPr>
        <w:t>vid</w:t>
      </w:r>
      <w:r w:rsidR="002742A2" w:rsidRPr="007656B5">
        <w:rPr>
          <w:rFonts w:ascii="Times New Roman" w:hAnsi="Times New Roman" w:cs="Times New Roman"/>
        </w:rPr>
        <w:t>ó</w:t>
      </w:r>
      <w:r w:rsidR="006C2A5A" w:rsidRPr="007656B5">
        <w:rPr>
          <w:rFonts w:ascii="Times New Roman" w:hAnsi="Times New Roman" w:cs="Times New Roman"/>
        </w:rPr>
        <w:t>n typu A</w:t>
      </w:r>
    </w:p>
    <w:p w:rsidR="006C2A5A" w:rsidRPr="007656B5" w:rsidRDefault="00F60349" w:rsidP="009520A7">
      <w:pPr>
        <w:pStyle w:val="Normlndobloku"/>
        <w:rPr>
          <w:rFonts w:ascii="Times New Roman" w:hAnsi="Times New Roman" w:cs="Times New Roman"/>
        </w:rPr>
      </w:pPr>
      <w:r w:rsidRPr="007656B5">
        <w:rPr>
          <w:rFonts w:ascii="Times New Roman" w:hAnsi="Times New Roman" w:cs="Times New Roman"/>
        </w:rPr>
        <w:t>p</w:t>
      </w:r>
      <w:r w:rsidR="002742A2" w:rsidRPr="007656B5">
        <w:rPr>
          <w:rFonts w:ascii="Times New Roman" w:hAnsi="Times New Roman" w:cs="Times New Roman"/>
        </w:rPr>
        <w:t>o</w:t>
      </w:r>
      <w:r w:rsidR="006C2A5A" w:rsidRPr="007656B5">
        <w:rPr>
          <w:rFonts w:ascii="Times New Roman" w:hAnsi="Times New Roman" w:cs="Times New Roman"/>
        </w:rPr>
        <w:t>vidón K</w:t>
      </w:r>
      <w:r w:rsidR="00177301" w:rsidRPr="007656B5">
        <w:rPr>
          <w:rFonts w:ascii="Times New Roman" w:hAnsi="Times New Roman" w:cs="Times New Roman"/>
        </w:rPr>
        <w:t> </w:t>
      </w:r>
      <w:r w:rsidR="006C2A5A" w:rsidRPr="007656B5">
        <w:rPr>
          <w:rFonts w:ascii="Times New Roman" w:hAnsi="Times New Roman" w:cs="Times New Roman"/>
        </w:rPr>
        <w:t>30</w:t>
      </w:r>
    </w:p>
    <w:p w:rsidR="006C2A5A" w:rsidRPr="007656B5" w:rsidRDefault="00F60349" w:rsidP="008C3D63">
      <w:pPr>
        <w:pStyle w:val="Normlndobloku"/>
        <w:rPr>
          <w:rFonts w:ascii="Times New Roman" w:hAnsi="Times New Roman" w:cs="Times New Roman"/>
        </w:rPr>
      </w:pPr>
      <w:r w:rsidRPr="007656B5">
        <w:rPr>
          <w:rFonts w:ascii="Times New Roman" w:hAnsi="Times New Roman" w:cs="Times New Roman"/>
        </w:rPr>
        <w:t>k</w:t>
      </w:r>
      <w:r w:rsidR="006C2A5A" w:rsidRPr="007656B5">
        <w:rPr>
          <w:rFonts w:ascii="Times New Roman" w:hAnsi="Times New Roman" w:cs="Times New Roman"/>
        </w:rPr>
        <w:t>oloidný bezvodý oxid kremičitý</w:t>
      </w:r>
    </w:p>
    <w:p w:rsidR="006C2A5A" w:rsidRPr="007656B5" w:rsidRDefault="00F60349">
      <w:pPr>
        <w:pStyle w:val="Normlndobloku"/>
        <w:rPr>
          <w:rFonts w:ascii="Times New Roman" w:hAnsi="Times New Roman" w:cs="Times New Roman"/>
        </w:rPr>
      </w:pPr>
      <w:r w:rsidRPr="007656B5">
        <w:rPr>
          <w:rFonts w:ascii="Times New Roman" w:hAnsi="Times New Roman" w:cs="Times New Roman"/>
        </w:rPr>
        <w:t>m</w:t>
      </w:r>
      <w:r w:rsidR="006C2A5A" w:rsidRPr="007656B5">
        <w:rPr>
          <w:rFonts w:ascii="Times New Roman" w:hAnsi="Times New Roman" w:cs="Times New Roman"/>
        </w:rPr>
        <w:t>agnéziumstearát</w:t>
      </w:r>
    </w:p>
    <w:p w:rsidR="006C2A5A" w:rsidRPr="007656B5" w:rsidRDefault="006C2A5A">
      <w:pPr>
        <w:pStyle w:val="Styl3"/>
        <w:rPr>
          <w:szCs w:val="22"/>
        </w:rPr>
      </w:pPr>
      <w:r w:rsidRPr="007656B5">
        <w:rPr>
          <w:szCs w:val="22"/>
        </w:rPr>
        <w:t>Obal</w:t>
      </w:r>
      <w:r w:rsidR="00177301" w:rsidRPr="007656B5">
        <w:rPr>
          <w:szCs w:val="22"/>
        </w:rPr>
        <w:t xml:space="preserve"> tablety</w:t>
      </w:r>
    </w:p>
    <w:p w:rsidR="006C2A5A" w:rsidRPr="007656B5" w:rsidRDefault="00F60349">
      <w:pPr>
        <w:pStyle w:val="Normlndobloku"/>
        <w:rPr>
          <w:rFonts w:ascii="Times New Roman" w:hAnsi="Times New Roman" w:cs="Times New Roman"/>
        </w:rPr>
      </w:pPr>
      <w:r w:rsidRPr="007656B5">
        <w:rPr>
          <w:rFonts w:ascii="Times New Roman" w:hAnsi="Times New Roman" w:cs="Times New Roman"/>
        </w:rPr>
        <w:t>p</w:t>
      </w:r>
      <w:r w:rsidR="006C2A5A" w:rsidRPr="007656B5">
        <w:rPr>
          <w:rFonts w:ascii="Times New Roman" w:hAnsi="Times New Roman" w:cs="Times New Roman"/>
        </w:rPr>
        <w:t>olyvinylalkohol</w:t>
      </w:r>
    </w:p>
    <w:p w:rsidR="006C2A5A" w:rsidRPr="007656B5" w:rsidRDefault="00F60349">
      <w:pPr>
        <w:pStyle w:val="Normlndobloku"/>
        <w:rPr>
          <w:rFonts w:ascii="Times New Roman" w:hAnsi="Times New Roman" w:cs="Times New Roman"/>
        </w:rPr>
      </w:pPr>
      <w:r w:rsidRPr="007656B5">
        <w:rPr>
          <w:rFonts w:ascii="Times New Roman" w:hAnsi="Times New Roman" w:cs="Times New Roman"/>
        </w:rPr>
        <w:t>o</w:t>
      </w:r>
      <w:r w:rsidR="006C2A5A" w:rsidRPr="007656B5">
        <w:rPr>
          <w:rFonts w:ascii="Times New Roman" w:hAnsi="Times New Roman" w:cs="Times New Roman"/>
        </w:rPr>
        <w:t>xid titaničitý (E</w:t>
      </w:r>
      <w:r w:rsidR="00177301" w:rsidRPr="007656B5">
        <w:rPr>
          <w:rFonts w:ascii="Times New Roman" w:hAnsi="Times New Roman" w:cs="Times New Roman"/>
        </w:rPr>
        <w:t> </w:t>
      </w:r>
      <w:r w:rsidR="006C2A5A" w:rsidRPr="007656B5">
        <w:rPr>
          <w:rFonts w:ascii="Times New Roman" w:hAnsi="Times New Roman" w:cs="Times New Roman"/>
        </w:rPr>
        <w:t>171)</w:t>
      </w:r>
    </w:p>
    <w:p w:rsidR="006C2A5A" w:rsidRPr="007656B5" w:rsidRDefault="00F60349">
      <w:pPr>
        <w:pStyle w:val="Normlndobloku"/>
        <w:rPr>
          <w:rFonts w:ascii="Times New Roman" w:hAnsi="Times New Roman" w:cs="Times New Roman"/>
        </w:rPr>
      </w:pPr>
      <w:r w:rsidRPr="007656B5">
        <w:rPr>
          <w:rFonts w:ascii="Times New Roman" w:hAnsi="Times New Roman" w:cs="Times New Roman"/>
        </w:rPr>
        <w:t>m</w:t>
      </w:r>
      <w:r w:rsidR="006C2A5A" w:rsidRPr="007656B5">
        <w:rPr>
          <w:rFonts w:ascii="Times New Roman" w:hAnsi="Times New Roman" w:cs="Times New Roman"/>
        </w:rPr>
        <w:t>akrogol</w:t>
      </w:r>
    </w:p>
    <w:p w:rsidR="006C2A5A" w:rsidRPr="007656B5" w:rsidRDefault="00F60349">
      <w:pPr>
        <w:pStyle w:val="Normlndobloku"/>
        <w:rPr>
          <w:rFonts w:ascii="Times New Roman" w:hAnsi="Times New Roman" w:cs="Times New Roman"/>
        </w:rPr>
      </w:pPr>
      <w:r w:rsidRPr="007656B5">
        <w:rPr>
          <w:rFonts w:ascii="Times New Roman" w:hAnsi="Times New Roman" w:cs="Times New Roman"/>
        </w:rPr>
        <w:t>m</w:t>
      </w:r>
      <w:r w:rsidR="006C2A5A" w:rsidRPr="007656B5">
        <w:rPr>
          <w:rFonts w:ascii="Times New Roman" w:hAnsi="Times New Roman" w:cs="Times New Roman"/>
        </w:rPr>
        <w:t>astenec</w:t>
      </w:r>
    </w:p>
    <w:p w:rsidR="006C2A5A" w:rsidRPr="007656B5" w:rsidRDefault="00F60349">
      <w:pPr>
        <w:pStyle w:val="Normlndobloku"/>
        <w:rPr>
          <w:rFonts w:ascii="Times New Roman" w:hAnsi="Times New Roman" w:cs="Times New Roman"/>
        </w:rPr>
      </w:pPr>
      <w:r w:rsidRPr="007656B5">
        <w:rPr>
          <w:rFonts w:ascii="Times New Roman" w:hAnsi="Times New Roman" w:cs="Times New Roman"/>
        </w:rPr>
        <w:t>h</w:t>
      </w:r>
      <w:r w:rsidR="006C2A5A" w:rsidRPr="007656B5">
        <w:rPr>
          <w:rFonts w:ascii="Times New Roman" w:hAnsi="Times New Roman" w:cs="Times New Roman"/>
        </w:rPr>
        <w:t>linitý lak chinolínovej žlte (E</w:t>
      </w:r>
      <w:r w:rsidR="00177301" w:rsidRPr="007656B5">
        <w:rPr>
          <w:rFonts w:ascii="Times New Roman" w:hAnsi="Times New Roman" w:cs="Times New Roman"/>
        </w:rPr>
        <w:t> </w:t>
      </w:r>
      <w:r w:rsidR="006C2A5A" w:rsidRPr="007656B5">
        <w:rPr>
          <w:rFonts w:ascii="Times New Roman" w:hAnsi="Times New Roman" w:cs="Times New Roman"/>
        </w:rPr>
        <w:t>104)</w:t>
      </w:r>
    </w:p>
    <w:p w:rsidR="00425FAD" w:rsidRPr="007656B5" w:rsidRDefault="007C2ED7" w:rsidP="00D50784">
      <w:pPr>
        <w:pStyle w:val="Styl2"/>
      </w:pPr>
      <w:r w:rsidRPr="007656B5">
        <w:t>Inkompatibility</w:t>
      </w:r>
    </w:p>
    <w:p w:rsidR="007C2ED7" w:rsidRPr="007656B5" w:rsidRDefault="006C2A5A" w:rsidP="007C44E3">
      <w:pPr>
        <w:pStyle w:val="Normlndobloku"/>
        <w:rPr>
          <w:rFonts w:ascii="Times New Roman" w:hAnsi="Times New Roman" w:cs="Times New Roman"/>
        </w:rPr>
      </w:pPr>
      <w:r w:rsidRPr="007656B5">
        <w:rPr>
          <w:rFonts w:ascii="Times New Roman" w:hAnsi="Times New Roman" w:cs="Times New Roman"/>
        </w:rPr>
        <w:t>Neaplikovateľné</w:t>
      </w:r>
    </w:p>
    <w:p w:rsidR="00425FAD" w:rsidRPr="007656B5" w:rsidRDefault="007C2ED7" w:rsidP="00D50784">
      <w:pPr>
        <w:pStyle w:val="Styl2"/>
      </w:pPr>
      <w:r w:rsidRPr="007656B5">
        <w:t>Čas použiteľnosti</w:t>
      </w:r>
    </w:p>
    <w:p w:rsidR="006C2A5A" w:rsidRPr="007656B5" w:rsidRDefault="006C2A5A" w:rsidP="007C44E3">
      <w:pPr>
        <w:pStyle w:val="Normlndobloku"/>
        <w:rPr>
          <w:rFonts w:ascii="Times New Roman" w:hAnsi="Times New Roman" w:cs="Times New Roman"/>
        </w:rPr>
      </w:pPr>
      <w:r w:rsidRPr="007656B5">
        <w:rPr>
          <w:rFonts w:ascii="Times New Roman" w:hAnsi="Times New Roman" w:cs="Times New Roman"/>
        </w:rPr>
        <w:t>2</w:t>
      </w:r>
      <w:r w:rsidR="005002CF" w:rsidRPr="007656B5">
        <w:rPr>
          <w:rFonts w:ascii="Times New Roman" w:hAnsi="Times New Roman" w:cs="Times New Roman"/>
        </w:rPr>
        <w:t xml:space="preserve"> roky</w:t>
      </w:r>
    </w:p>
    <w:p w:rsidR="00425FAD" w:rsidRPr="007656B5" w:rsidRDefault="007C2ED7" w:rsidP="00D50784">
      <w:pPr>
        <w:pStyle w:val="Styl2"/>
      </w:pPr>
      <w:r w:rsidRPr="007656B5">
        <w:t>Špeciálne upozornenia na uchovávanie</w:t>
      </w:r>
    </w:p>
    <w:p w:rsidR="006C2A5A" w:rsidRPr="007656B5" w:rsidRDefault="006C2A5A" w:rsidP="007C44E3">
      <w:pPr>
        <w:pStyle w:val="Normlndobloku"/>
        <w:rPr>
          <w:rFonts w:ascii="Times New Roman" w:hAnsi="Times New Roman" w:cs="Times New Roman"/>
        </w:rPr>
      </w:pPr>
      <w:r w:rsidRPr="007656B5">
        <w:rPr>
          <w:rFonts w:ascii="Times New Roman" w:hAnsi="Times New Roman" w:cs="Times New Roman"/>
        </w:rPr>
        <w:t>Uchovávajte pri teplote do 30</w:t>
      </w:r>
      <w:r w:rsidR="00E001EF" w:rsidRPr="007656B5">
        <w:rPr>
          <w:rFonts w:ascii="Times New Roman" w:hAnsi="Times New Roman" w:cs="Times New Roman"/>
        </w:rPr>
        <w:t xml:space="preserve"> </w:t>
      </w:r>
      <w:r w:rsidRPr="007656B5">
        <w:rPr>
          <w:rFonts w:ascii="Times New Roman" w:hAnsi="Times New Roman" w:cs="Times New Roman"/>
        </w:rPr>
        <w:t>°C. Uchovávajte v pôvodnom obale</w:t>
      </w:r>
      <w:r w:rsidR="00E87071" w:rsidRPr="007656B5">
        <w:rPr>
          <w:rFonts w:ascii="Times New Roman" w:hAnsi="Times New Roman" w:cs="Times New Roman"/>
        </w:rPr>
        <w:t xml:space="preserve"> na ochranu pred vlhkosťou.</w:t>
      </w:r>
    </w:p>
    <w:p w:rsidR="00425FAD" w:rsidRPr="007656B5" w:rsidRDefault="007C2ED7" w:rsidP="00D50784">
      <w:pPr>
        <w:pStyle w:val="Styl2"/>
      </w:pPr>
      <w:r w:rsidRPr="007656B5">
        <w:t>Druh obalu a</w:t>
      </w:r>
      <w:r w:rsidR="00E001EF" w:rsidRPr="007656B5">
        <w:t xml:space="preserve"> </w:t>
      </w:r>
      <w:r w:rsidRPr="007656B5">
        <w:t>obsah balenia</w:t>
      </w:r>
    </w:p>
    <w:p w:rsidR="00E87071" w:rsidRPr="007656B5" w:rsidRDefault="00E87071" w:rsidP="007C44E3">
      <w:pPr>
        <w:pStyle w:val="Normlndobloku"/>
        <w:rPr>
          <w:rFonts w:ascii="Times New Roman" w:hAnsi="Times New Roman" w:cs="Times New Roman"/>
        </w:rPr>
      </w:pPr>
      <w:r w:rsidRPr="007656B5">
        <w:rPr>
          <w:rFonts w:ascii="Times New Roman" w:hAnsi="Times New Roman" w:cs="Times New Roman"/>
        </w:rPr>
        <w:t>PVC/PE/PVDC-Al blister</w:t>
      </w:r>
    </w:p>
    <w:p w:rsidR="00E87071" w:rsidRPr="007656B5" w:rsidRDefault="002F0A32" w:rsidP="007C44E3">
      <w:pPr>
        <w:pStyle w:val="Normlndobloku"/>
        <w:rPr>
          <w:rFonts w:ascii="Times New Roman" w:hAnsi="Times New Roman" w:cs="Times New Roman"/>
        </w:rPr>
      </w:pPr>
      <w:r w:rsidRPr="007656B5">
        <w:rPr>
          <w:rFonts w:ascii="Times New Roman" w:hAnsi="Times New Roman" w:cs="Times New Roman"/>
        </w:rPr>
        <w:t>PVC/PCTFE-Al blister</w:t>
      </w:r>
    </w:p>
    <w:p w:rsidR="00E87071" w:rsidRPr="007656B5" w:rsidRDefault="00E87071" w:rsidP="009B52F3">
      <w:pPr>
        <w:pStyle w:val="Styl3"/>
        <w:rPr>
          <w:szCs w:val="22"/>
        </w:rPr>
      </w:pPr>
      <w:r w:rsidRPr="007656B5">
        <w:rPr>
          <w:szCs w:val="22"/>
        </w:rPr>
        <w:lastRenderedPageBreak/>
        <w:t>Balenia</w:t>
      </w:r>
    </w:p>
    <w:p w:rsidR="00E87071" w:rsidRPr="007656B5" w:rsidRDefault="00E87071" w:rsidP="009520A7">
      <w:pPr>
        <w:pStyle w:val="Normlndobloku"/>
        <w:rPr>
          <w:rFonts w:ascii="Times New Roman" w:hAnsi="Times New Roman" w:cs="Times New Roman"/>
        </w:rPr>
      </w:pPr>
      <w:r w:rsidRPr="007656B5">
        <w:rPr>
          <w:rFonts w:ascii="Times New Roman" w:hAnsi="Times New Roman" w:cs="Times New Roman"/>
        </w:rPr>
        <w:t>7, 14, 28, 30, 56, 60, 90, 98, 100, 280 filmom obalen</w:t>
      </w:r>
      <w:r w:rsidR="002742A2" w:rsidRPr="007656B5">
        <w:rPr>
          <w:rFonts w:ascii="Times New Roman" w:hAnsi="Times New Roman" w:cs="Times New Roman"/>
        </w:rPr>
        <w:t>ých</w:t>
      </w:r>
      <w:r w:rsidRPr="007656B5">
        <w:rPr>
          <w:rFonts w:ascii="Times New Roman" w:hAnsi="Times New Roman" w:cs="Times New Roman"/>
        </w:rPr>
        <w:t xml:space="preserve"> tabl</w:t>
      </w:r>
      <w:r w:rsidR="002742A2" w:rsidRPr="007656B5">
        <w:rPr>
          <w:rFonts w:ascii="Times New Roman" w:hAnsi="Times New Roman" w:cs="Times New Roman"/>
        </w:rPr>
        <w:t>i</w:t>
      </w:r>
      <w:r w:rsidRPr="007656B5">
        <w:rPr>
          <w:rFonts w:ascii="Times New Roman" w:hAnsi="Times New Roman" w:cs="Times New Roman"/>
        </w:rPr>
        <w:t>et</w:t>
      </w:r>
    </w:p>
    <w:p w:rsidR="00E87071" w:rsidRPr="007656B5" w:rsidRDefault="00177301" w:rsidP="008C3D63">
      <w:pPr>
        <w:pStyle w:val="Normlndobloku"/>
        <w:rPr>
          <w:rFonts w:ascii="Times New Roman" w:hAnsi="Times New Roman" w:cs="Times New Roman"/>
        </w:rPr>
      </w:pPr>
      <w:r w:rsidRPr="007656B5">
        <w:rPr>
          <w:rFonts w:ascii="Times New Roman" w:hAnsi="Times New Roman" w:cs="Times New Roman"/>
        </w:rPr>
        <w:t>Na trh nemusia byť uvedené všetky veľkosti balenia.</w:t>
      </w:r>
    </w:p>
    <w:p w:rsidR="00E87071" w:rsidRPr="007656B5" w:rsidRDefault="007C2ED7" w:rsidP="00D50784">
      <w:pPr>
        <w:pStyle w:val="Styl2"/>
      </w:pPr>
      <w:r w:rsidRPr="007656B5">
        <w:t>Špeciálne opatrenia na likvidáciu</w:t>
      </w:r>
    </w:p>
    <w:p w:rsidR="00E87071" w:rsidRPr="007656B5" w:rsidRDefault="00E87071" w:rsidP="007C44E3">
      <w:pPr>
        <w:pStyle w:val="Normlndobloku"/>
        <w:rPr>
          <w:rFonts w:ascii="Times New Roman" w:hAnsi="Times New Roman" w:cs="Times New Roman"/>
        </w:rPr>
      </w:pPr>
      <w:r w:rsidRPr="007656B5">
        <w:rPr>
          <w:rFonts w:ascii="Times New Roman" w:hAnsi="Times New Roman" w:cs="Times New Roman"/>
        </w:rPr>
        <w:t>Žiadne zvláštne požiadavky.</w:t>
      </w:r>
    </w:p>
    <w:p w:rsidR="007C2ED7" w:rsidRPr="007656B5" w:rsidRDefault="007C2ED7" w:rsidP="008A0689">
      <w:pPr>
        <w:pStyle w:val="Styl1"/>
        <w:rPr>
          <w:szCs w:val="22"/>
        </w:rPr>
      </w:pPr>
      <w:r w:rsidRPr="007656B5">
        <w:rPr>
          <w:szCs w:val="22"/>
        </w:rPr>
        <w:t>DRŽITEĽ ROZHODNUTIA O REGISTRÁCII</w:t>
      </w:r>
    </w:p>
    <w:p w:rsidR="00F60349" w:rsidRPr="007656B5" w:rsidRDefault="00425FAD" w:rsidP="007C44E3">
      <w:pPr>
        <w:pStyle w:val="Normlndobloku"/>
        <w:rPr>
          <w:rFonts w:ascii="Times New Roman" w:hAnsi="Times New Roman" w:cs="Times New Roman"/>
        </w:rPr>
      </w:pPr>
      <w:r w:rsidRPr="007656B5">
        <w:rPr>
          <w:rFonts w:ascii="Times New Roman" w:hAnsi="Times New Roman" w:cs="Times New Roman"/>
        </w:rPr>
        <w:t xml:space="preserve">MEDOCHEMIE </w:t>
      </w:r>
      <w:r w:rsidR="00D80CC5" w:rsidRPr="007656B5">
        <w:rPr>
          <w:rFonts w:ascii="Times New Roman" w:hAnsi="Times New Roman" w:cs="Times New Roman"/>
        </w:rPr>
        <w:t>Ltd.</w:t>
      </w:r>
    </w:p>
    <w:p w:rsidR="00F60349" w:rsidRPr="007656B5" w:rsidRDefault="002742A2" w:rsidP="007C44E3">
      <w:pPr>
        <w:pStyle w:val="Normlndobloku"/>
        <w:rPr>
          <w:rFonts w:ascii="Times New Roman" w:hAnsi="Times New Roman" w:cs="Times New Roman"/>
        </w:rPr>
      </w:pPr>
      <w:r w:rsidRPr="007656B5">
        <w:rPr>
          <w:rFonts w:ascii="Times New Roman" w:hAnsi="Times New Roman" w:cs="Times New Roman"/>
        </w:rPr>
        <w:t xml:space="preserve">1-10 Constantinoupoleos </w:t>
      </w:r>
      <w:r w:rsidR="00E001EF" w:rsidRPr="007656B5">
        <w:rPr>
          <w:rFonts w:ascii="Times New Roman" w:hAnsi="Times New Roman" w:cs="Times New Roman"/>
        </w:rPr>
        <w:t>Street</w:t>
      </w:r>
      <w:r w:rsidRPr="007656B5">
        <w:rPr>
          <w:rFonts w:ascii="Times New Roman" w:hAnsi="Times New Roman" w:cs="Times New Roman"/>
        </w:rPr>
        <w:t>.</w:t>
      </w:r>
    </w:p>
    <w:p w:rsidR="00D80CC5" w:rsidRPr="007656B5" w:rsidRDefault="002742A2" w:rsidP="007C44E3">
      <w:pPr>
        <w:pStyle w:val="Normlndobloku"/>
        <w:rPr>
          <w:rFonts w:ascii="Times New Roman" w:hAnsi="Times New Roman" w:cs="Times New Roman"/>
        </w:rPr>
      </w:pPr>
      <w:r w:rsidRPr="007656B5">
        <w:rPr>
          <w:rFonts w:ascii="Times New Roman" w:hAnsi="Times New Roman" w:cs="Times New Roman"/>
          <w:bCs/>
        </w:rPr>
        <w:t>3011</w:t>
      </w:r>
      <w:r w:rsidR="00B15F8A" w:rsidRPr="007656B5">
        <w:rPr>
          <w:rFonts w:ascii="Times New Roman" w:hAnsi="Times New Roman" w:cs="Times New Roman"/>
        </w:rPr>
        <w:t xml:space="preserve"> </w:t>
      </w:r>
      <w:r w:rsidR="00D80CC5" w:rsidRPr="007656B5">
        <w:rPr>
          <w:rFonts w:ascii="Times New Roman" w:hAnsi="Times New Roman" w:cs="Times New Roman"/>
        </w:rPr>
        <w:t>Limassol</w:t>
      </w:r>
      <w:r w:rsidR="009554D1" w:rsidRPr="007656B5">
        <w:rPr>
          <w:rFonts w:ascii="Times New Roman" w:hAnsi="Times New Roman" w:cs="Times New Roman"/>
        </w:rPr>
        <w:t xml:space="preserve">, </w:t>
      </w:r>
      <w:r w:rsidR="00D80CC5" w:rsidRPr="007656B5">
        <w:rPr>
          <w:rFonts w:ascii="Times New Roman" w:hAnsi="Times New Roman" w:cs="Times New Roman"/>
        </w:rPr>
        <w:t>Cyprus</w:t>
      </w:r>
    </w:p>
    <w:p w:rsidR="002742A2" w:rsidRPr="007656B5" w:rsidRDefault="007C2ED7" w:rsidP="008A0689">
      <w:pPr>
        <w:pStyle w:val="Styl1"/>
        <w:rPr>
          <w:szCs w:val="22"/>
        </w:rPr>
      </w:pPr>
      <w:r w:rsidRPr="007656B5">
        <w:rPr>
          <w:szCs w:val="22"/>
        </w:rPr>
        <w:t>REGISTRAČNÉ ČÍSL</w:t>
      </w:r>
      <w:r w:rsidR="00F60349" w:rsidRPr="007656B5">
        <w:rPr>
          <w:szCs w:val="22"/>
        </w:rPr>
        <w:t>A</w:t>
      </w:r>
    </w:p>
    <w:p w:rsidR="002742A2" w:rsidRPr="007656B5" w:rsidRDefault="00024654" w:rsidP="007C44E3">
      <w:pPr>
        <w:pStyle w:val="Normlndobloku"/>
        <w:rPr>
          <w:rFonts w:ascii="Times New Roman" w:hAnsi="Times New Roman" w:cs="Times New Roman"/>
          <w:b/>
        </w:rPr>
      </w:pPr>
      <w:r w:rsidRPr="007656B5">
        <w:rPr>
          <w:rFonts w:ascii="Times New Roman" w:hAnsi="Times New Roman" w:cs="Times New Roman"/>
        </w:rPr>
        <w:t>VAPRESS 80</w:t>
      </w:r>
      <w:r w:rsidR="00E001EF" w:rsidRPr="007656B5">
        <w:rPr>
          <w:rFonts w:ascii="Times New Roman" w:hAnsi="Times New Roman" w:cs="Times New Roman"/>
        </w:rPr>
        <w:t> </w:t>
      </w:r>
      <w:r w:rsidR="003D7598" w:rsidRPr="007656B5">
        <w:rPr>
          <w:rFonts w:ascii="Times New Roman" w:hAnsi="Times New Roman" w:cs="Times New Roman"/>
        </w:rPr>
        <w:t>mg</w:t>
      </w:r>
      <w:r w:rsidRPr="007656B5">
        <w:rPr>
          <w:rFonts w:ascii="Times New Roman" w:hAnsi="Times New Roman" w:cs="Times New Roman"/>
        </w:rPr>
        <w:t>:</w:t>
      </w:r>
      <w:r w:rsidR="00E001EF" w:rsidRPr="007656B5">
        <w:rPr>
          <w:rFonts w:ascii="Times New Roman" w:hAnsi="Times New Roman" w:cs="Times New Roman"/>
        </w:rPr>
        <w:t xml:space="preserve"> </w:t>
      </w:r>
      <w:r w:rsidR="002742A2" w:rsidRPr="007656B5">
        <w:rPr>
          <w:rFonts w:ascii="Times New Roman" w:hAnsi="Times New Roman" w:cs="Times New Roman"/>
        </w:rPr>
        <w:t>58/0209/12-S</w:t>
      </w:r>
    </w:p>
    <w:p w:rsidR="002742A2" w:rsidRPr="007656B5" w:rsidRDefault="00024654" w:rsidP="007C44E3">
      <w:pPr>
        <w:pStyle w:val="Normlndobloku"/>
        <w:rPr>
          <w:rFonts w:ascii="Times New Roman" w:hAnsi="Times New Roman" w:cs="Times New Roman"/>
          <w:b/>
        </w:rPr>
      </w:pPr>
      <w:r w:rsidRPr="007656B5">
        <w:rPr>
          <w:rFonts w:ascii="Times New Roman" w:hAnsi="Times New Roman" w:cs="Times New Roman"/>
        </w:rPr>
        <w:t>VAPRESS 160</w:t>
      </w:r>
      <w:r w:rsidR="00E001EF" w:rsidRPr="007656B5">
        <w:rPr>
          <w:rFonts w:ascii="Times New Roman" w:hAnsi="Times New Roman" w:cs="Times New Roman"/>
        </w:rPr>
        <w:t> </w:t>
      </w:r>
      <w:r w:rsidR="003D7598" w:rsidRPr="007656B5">
        <w:rPr>
          <w:rFonts w:ascii="Times New Roman" w:hAnsi="Times New Roman" w:cs="Times New Roman"/>
        </w:rPr>
        <w:t>mg</w:t>
      </w:r>
      <w:r w:rsidRPr="007656B5">
        <w:rPr>
          <w:rFonts w:ascii="Times New Roman" w:hAnsi="Times New Roman" w:cs="Times New Roman"/>
        </w:rPr>
        <w:t>:</w:t>
      </w:r>
      <w:r w:rsidR="00E001EF" w:rsidRPr="007656B5">
        <w:rPr>
          <w:rFonts w:ascii="Times New Roman" w:hAnsi="Times New Roman" w:cs="Times New Roman"/>
        </w:rPr>
        <w:t xml:space="preserve"> </w:t>
      </w:r>
      <w:r w:rsidR="002742A2" w:rsidRPr="007656B5">
        <w:rPr>
          <w:rFonts w:ascii="Times New Roman" w:hAnsi="Times New Roman" w:cs="Times New Roman"/>
        </w:rPr>
        <w:t>58/0210/12-S</w:t>
      </w:r>
    </w:p>
    <w:p w:rsidR="00D80CC5" w:rsidRPr="007656B5" w:rsidRDefault="00D80CC5">
      <w:pPr>
        <w:pStyle w:val="Styl1"/>
        <w:rPr>
          <w:szCs w:val="22"/>
        </w:rPr>
      </w:pPr>
      <w:r w:rsidRPr="007656B5">
        <w:rPr>
          <w:szCs w:val="22"/>
        </w:rPr>
        <w:t>DÁTUM PRVEJ REGISTRÁCIE/ PREDĹŽENIA REGISTRÁCIE</w:t>
      </w:r>
    </w:p>
    <w:p w:rsidR="009F4017" w:rsidRPr="007656B5" w:rsidRDefault="009F4017" w:rsidP="007C44E3">
      <w:pPr>
        <w:pStyle w:val="Normlndobloku"/>
        <w:rPr>
          <w:rFonts w:ascii="Times New Roman" w:hAnsi="Times New Roman" w:cs="Times New Roman"/>
        </w:rPr>
      </w:pPr>
      <w:r w:rsidRPr="007656B5">
        <w:rPr>
          <w:rFonts w:ascii="Times New Roman" w:hAnsi="Times New Roman" w:cs="Times New Roman"/>
        </w:rPr>
        <w:t>Dátum prvej registrácie: 26. apríla 2012</w:t>
      </w:r>
    </w:p>
    <w:p w:rsidR="009F4017" w:rsidRPr="007656B5" w:rsidRDefault="009F4017" w:rsidP="007C44E3">
      <w:pPr>
        <w:pStyle w:val="Normlndobloku"/>
        <w:rPr>
          <w:rFonts w:ascii="Times New Roman" w:hAnsi="Times New Roman" w:cs="Times New Roman"/>
        </w:rPr>
      </w:pPr>
      <w:r w:rsidRPr="007656B5">
        <w:rPr>
          <w:rFonts w:ascii="Times New Roman" w:hAnsi="Times New Roman" w:cs="Times New Roman"/>
        </w:rPr>
        <w:t xml:space="preserve">Dátum </w:t>
      </w:r>
      <w:r w:rsidR="00197CDE" w:rsidRPr="007656B5">
        <w:rPr>
          <w:rFonts w:ascii="Times New Roman" w:hAnsi="Times New Roman" w:cs="Times New Roman"/>
        </w:rPr>
        <w:t xml:space="preserve">posledného </w:t>
      </w:r>
      <w:r w:rsidRPr="007656B5">
        <w:rPr>
          <w:rFonts w:ascii="Times New Roman" w:hAnsi="Times New Roman" w:cs="Times New Roman"/>
        </w:rPr>
        <w:t>predĺženia registrácie:</w:t>
      </w:r>
      <w:r w:rsidR="00A8211D" w:rsidRPr="007656B5">
        <w:rPr>
          <w:rFonts w:ascii="Times New Roman" w:hAnsi="Times New Roman" w:cs="Times New Roman"/>
        </w:rPr>
        <w:t xml:space="preserve"> 17. novembra</w:t>
      </w:r>
      <w:r w:rsidR="00F07F72" w:rsidRPr="007656B5">
        <w:rPr>
          <w:rFonts w:ascii="Times New Roman" w:hAnsi="Times New Roman" w:cs="Times New Roman"/>
        </w:rPr>
        <w:t xml:space="preserve"> 2016</w:t>
      </w:r>
    </w:p>
    <w:p w:rsidR="009F4017" w:rsidRPr="007656B5" w:rsidRDefault="00D80CC5">
      <w:pPr>
        <w:pStyle w:val="Styl1"/>
        <w:rPr>
          <w:szCs w:val="22"/>
        </w:rPr>
      </w:pPr>
      <w:r w:rsidRPr="007656B5">
        <w:rPr>
          <w:szCs w:val="22"/>
        </w:rPr>
        <w:t>DÁTUM R</w:t>
      </w:r>
      <w:r w:rsidR="00B108EF" w:rsidRPr="007656B5">
        <w:rPr>
          <w:szCs w:val="22"/>
        </w:rPr>
        <w:t>EVÍZIE TEXTU</w:t>
      </w:r>
    </w:p>
    <w:p w:rsidR="007656B5" w:rsidRDefault="00F60349" w:rsidP="007C44E3">
      <w:pPr>
        <w:pStyle w:val="Normlndobloku"/>
        <w:rPr>
          <w:rFonts w:ascii="Times New Roman" w:hAnsi="Times New Roman" w:cs="Times New Roman"/>
        </w:rPr>
      </w:pPr>
      <w:r w:rsidRPr="007656B5">
        <w:rPr>
          <w:rFonts w:ascii="Times New Roman" w:hAnsi="Times New Roman" w:cs="Times New Roman"/>
        </w:rPr>
        <w:t>Máj 2018</w:t>
      </w:r>
    </w:p>
    <w:p w:rsidR="009F4017" w:rsidRPr="007656B5" w:rsidRDefault="009F4017" w:rsidP="007656B5">
      <w:pPr>
        <w:jc w:val="center"/>
        <w:rPr>
          <w:lang w:eastAsia="sk-SK"/>
        </w:rPr>
      </w:pPr>
    </w:p>
    <w:sectPr w:rsidR="009F4017" w:rsidRPr="007656B5" w:rsidSect="008A0689">
      <w:headerReference w:type="even" r:id="rId10"/>
      <w:headerReference w:type="default" r:id="rId11"/>
      <w:footerReference w:type="even" r:id="rId12"/>
      <w:footerReference w:type="default" r:id="rId13"/>
      <w:headerReference w:type="first" r:id="rId14"/>
      <w:footerReference w:type="first" r:id="rId15"/>
      <w:pgSz w:w="11907" w:h="16840" w:code="9"/>
      <w:pgMar w:top="1417" w:right="1417" w:bottom="1417" w:left="1417" w:header="709" w:footer="709"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2B7" w:rsidRDefault="002432B7">
      <w:r>
        <w:separator/>
      </w:r>
    </w:p>
  </w:endnote>
  <w:endnote w:type="continuationSeparator" w:id="0">
    <w:p w:rsidR="002432B7" w:rsidRDefault="002432B7">
      <w:r>
        <w:continuationSeparator/>
      </w:r>
    </w:p>
  </w:endnote>
  <w:endnote w:type="continuationNotice" w:id="1">
    <w:p w:rsidR="002432B7" w:rsidRDefault="002432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00"/>
    <w:family w:val="swiss"/>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309" w:rsidRDefault="00C25309">
    <w:pPr>
      <w:widowControl/>
      <w:ind w:left="4402"/>
      <w:jc w:val="both"/>
      <w:rPr>
        <w:lang w:eastAsia="sk-SK"/>
      </w:rPr>
    </w:pPr>
    <w:r>
      <w:rPr>
        <w:lang w:eastAsia="sk-SK"/>
      </w:rPr>
      <w:fldChar w:fldCharType="begin"/>
    </w:r>
    <w:r>
      <w:rPr>
        <w:lang w:eastAsia="sk-SK"/>
      </w:rPr>
      <w:instrText>PAGE</w:instrText>
    </w:r>
    <w:r>
      <w:rPr>
        <w:lang w:eastAsia="sk-SK"/>
      </w:rPr>
      <w:fldChar w:fldCharType="separate"/>
    </w:r>
    <w:r>
      <w:rPr>
        <w:noProof/>
        <w:lang w:eastAsia="sk-SK"/>
      </w:rPr>
      <w:t>28</w:t>
    </w:r>
    <w:r>
      <w:rPr>
        <w:lang w:eastAsia="sk-SK"/>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309" w:rsidRPr="00201A3B" w:rsidRDefault="00C25309" w:rsidP="00425FAD">
    <w:pPr>
      <w:pStyle w:val="Pta"/>
      <w:jc w:val="center"/>
      <w:rPr>
        <w:sz w:val="18"/>
        <w:szCs w:val="18"/>
      </w:rPr>
    </w:pPr>
    <w:r w:rsidRPr="00201A3B">
      <w:rPr>
        <w:sz w:val="18"/>
        <w:szCs w:val="18"/>
      </w:rPr>
      <w:fldChar w:fldCharType="begin"/>
    </w:r>
    <w:r w:rsidRPr="00201A3B">
      <w:rPr>
        <w:sz w:val="18"/>
        <w:szCs w:val="18"/>
      </w:rPr>
      <w:instrText>PAGE</w:instrText>
    </w:r>
    <w:r w:rsidRPr="00201A3B">
      <w:rPr>
        <w:sz w:val="18"/>
        <w:szCs w:val="18"/>
      </w:rPr>
      <w:fldChar w:fldCharType="separate"/>
    </w:r>
    <w:r w:rsidR="00201A3B">
      <w:rPr>
        <w:noProof/>
        <w:sz w:val="18"/>
        <w:szCs w:val="18"/>
      </w:rPr>
      <w:t>1</w:t>
    </w:r>
    <w:r w:rsidRPr="00201A3B">
      <w:rPr>
        <w:sz w:val="18"/>
        <w:szCs w:val="18"/>
      </w:rPr>
      <w:fldChar w:fldCharType="end"/>
    </w:r>
    <w:r w:rsidRPr="00201A3B">
      <w:rPr>
        <w:sz w:val="18"/>
        <w:szCs w:val="18"/>
      </w:rPr>
      <w:t>/</w:t>
    </w:r>
    <w:r w:rsidRPr="00201A3B">
      <w:rPr>
        <w:sz w:val="18"/>
        <w:szCs w:val="18"/>
      </w:rPr>
      <w:fldChar w:fldCharType="begin"/>
    </w:r>
    <w:r w:rsidRPr="00201A3B">
      <w:rPr>
        <w:sz w:val="18"/>
        <w:szCs w:val="18"/>
      </w:rPr>
      <w:instrText>NUMPAGES</w:instrText>
    </w:r>
    <w:r w:rsidRPr="00201A3B">
      <w:rPr>
        <w:sz w:val="18"/>
        <w:szCs w:val="18"/>
      </w:rPr>
      <w:fldChar w:fldCharType="separate"/>
    </w:r>
    <w:r w:rsidR="00201A3B">
      <w:rPr>
        <w:noProof/>
        <w:sz w:val="18"/>
        <w:szCs w:val="18"/>
      </w:rPr>
      <w:t>17</w:t>
    </w:r>
    <w:r w:rsidRPr="00201A3B">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309" w:rsidRDefault="00C25309">
    <w:pPr>
      <w:pStyle w:val="Pta"/>
      <w:jc w:val="center"/>
    </w:pPr>
    <w:r>
      <w:fldChar w:fldCharType="begin"/>
    </w:r>
    <w:r>
      <w:instrText>PAGE   \* MERGEFORMAT</w:instrText>
    </w:r>
    <w:r>
      <w:fldChar w:fldCharType="separate"/>
    </w:r>
    <w:r>
      <w:rPr>
        <w:noProof/>
      </w:rPr>
      <w:t>1</w:t>
    </w:r>
    <w:r>
      <w:fldChar w:fldCharType="end"/>
    </w:r>
  </w:p>
  <w:p w:rsidR="00C25309" w:rsidRDefault="00C25309" w:rsidP="00425FAD">
    <w:pPr>
      <w:pStyle w:val="Pt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2B7" w:rsidRDefault="002432B7">
      <w:r>
        <w:separator/>
      </w:r>
    </w:p>
  </w:footnote>
  <w:footnote w:type="continuationSeparator" w:id="0">
    <w:p w:rsidR="002432B7" w:rsidRDefault="002432B7">
      <w:r>
        <w:continuationSeparator/>
      </w:r>
    </w:p>
  </w:footnote>
  <w:footnote w:type="continuationNotice" w:id="1">
    <w:p w:rsidR="002432B7" w:rsidRDefault="002432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309" w:rsidRDefault="00C25309">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309" w:rsidRPr="00867C1A" w:rsidRDefault="00C25309" w:rsidP="007C44E3">
    <w:pPr>
      <w:pStyle w:val="Normlndobloku"/>
      <w:rPr>
        <w:rFonts w:ascii="Times New Roman" w:hAnsi="Times New Roman" w:cs="Times New Roman"/>
        <w:sz w:val="18"/>
        <w:szCs w:val="18"/>
      </w:rPr>
    </w:pPr>
    <w:r w:rsidRPr="00201A3B">
      <w:rPr>
        <w:rFonts w:ascii="Times New Roman" w:hAnsi="Times New Roman" w:cs="Times New Roman"/>
        <w:sz w:val="18"/>
        <w:szCs w:val="18"/>
      </w:rPr>
      <w:t>Schválený text k rozhodnutiu o predĺžení, ev. č.: 2016/01945-PRE, 2016/01947-PRE</w:t>
    </w:r>
  </w:p>
  <w:p w:rsidR="00C25309" w:rsidRPr="00201A3B" w:rsidRDefault="00C25309" w:rsidP="00201A3B">
    <w:pPr>
      <w:pStyle w:val="Normlndobloku"/>
      <w:rPr>
        <w:sz w:val="18"/>
        <w:szCs w:val="18"/>
      </w:rPr>
    </w:pPr>
    <w:r w:rsidRPr="00867C1A">
      <w:rPr>
        <w:rFonts w:ascii="Times New Roman" w:hAnsi="Times New Roman" w:cs="Times New Roman"/>
        <w:sz w:val="18"/>
        <w:szCs w:val="18"/>
      </w:rPr>
      <w:t>Príloha č. 1 k notifikácii o zmene, ev. č.: 2018/00681-Z1B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309" w:rsidRPr="005E44A9" w:rsidRDefault="00C25309">
    <w:pPr>
      <w:pStyle w:val="Normlndobloku"/>
    </w:pPr>
    <w:r w:rsidRPr="005E44A9">
      <w:t>Príloha č. 1 k notifikácii o zmene, ev. č.: 2012/07714, 2013/05802, 2014/05718</w:t>
    </w:r>
  </w:p>
  <w:p w:rsidR="00C25309" w:rsidRDefault="00C25309">
    <w:pPr>
      <w:pStyle w:val="Normlndobloku"/>
    </w:pPr>
    <w:r w:rsidRPr="005E44A9">
      <w:t>Schválený text k rozhodnutiu o predĺžení, ev.</w:t>
    </w:r>
    <w:r>
      <w:t xml:space="preserve"> </w:t>
    </w:r>
    <w:r w:rsidRPr="005E44A9">
      <w:t>č.: 2016/01945-PRE, 2016/01947-PRE</w:t>
    </w:r>
  </w:p>
  <w:p w:rsidR="00C25309" w:rsidRPr="005E44A9" w:rsidRDefault="00C25309">
    <w:pPr>
      <w:pStyle w:val="Normlndobloku"/>
    </w:pPr>
    <w:r w:rsidRPr="00772205">
      <w:t>Príloha č. 1 k notifikácii o zmene, ev. 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563524"/>
    <w:lvl w:ilvl="0">
      <w:start w:val="1"/>
      <w:numFmt w:val="decimal"/>
      <w:lvlText w:val="%1."/>
      <w:lvlJc w:val="left"/>
      <w:pPr>
        <w:tabs>
          <w:tab w:val="num" w:pos="1492"/>
        </w:tabs>
        <w:ind w:left="1492" w:hanging="360"/>
      </w:pPr>
    </w:lvl>
  </w:abstractNum>
  <w:abstractNum w:abstractNumId="1">
    <w:nsid w:val="FFFFFF7D"/>
    <w:multiLevelType w:val="singleLevel"/>
    <w:tmpl w:val="4FDC3468"/>
    <w:lvl w:ilvl="0">
      <w:start w:val="1"/>
      <w:numFmt w:val="decimal"/>
      <w:lvlText w:val="%1."/>
      <w:lvlJc w:val="left"/>
      <w:pPr>
        <w:tabs>
          <w:tab w:val="num" w:pos="1209"/>
        </w:tabs>
        <w:ind w:left="1209" w:hanging="360"/>
      </w:pPr>
    </w:lvl>
  </w:abstractNum>
  <w:abstractNum w:abstractNumId="2">
    <w:nsid w:val="FFFFFF7E"/>
    <w:multiLevelType w:val="singleLevel"/>
    <w:tmpl w:val="D2547FFC"/>
    <w:lvl w:ilvl="0">
      <w:start w:val="1"/>
      <w:numFmt w:val="decimal"/>
      <w:lvlText w:val="%1."/>
      <w:lvlJc w:val="left"/>
      <w:pPr>
        <w:tabs>
          <w:tab w:val="num" w:pos="926"/>
        </w:tabs>
        <w:ind w:left="926" w:hanging="360"/>
      </w:pPr>
    </w:lvl>
  </w:abstractNum>
  <w:abstractNum w:abstractNumId="3">
    <w:nsid w:val="FFFFFF7F"/>
    <w:multiLevelType w:val="singleLevel"/>
    <w:tmpl w:val="53DA53A0"/>
    <w:lvl w:ilvl="0">
      <w:start w:val="1"/>
      <w:numFmt w:val="decimal"/>
      <w:lvlText w:val="%1."/>
      <w:lvlJc w:val="left"/>
      <w:pPr>
        <w:tabs>
          <w:tab w:val="num" w:pos="643"/>
        </w:tabs>
        <w:ind w:left="643" w:hanging="360"/>
      </w:pPr>
    </w:lvl>
  </w:abstractNum>
  <w:abstractNum w:abstractNumId="4">
    <w:nsid w:val="FFFFFF80"/>
    <w:multiLevelType w:val="singleLevel"/>
    <w:tmpl w:val="54D856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929D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62CF2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94A22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C9EF584"/>
    <w:lvl w:ilvl="0">
      <w:start w:val="1"/>
      <w:numFmt w:val="decimal"/>
      <w:lvlText w:val="%1."/>
      <w:lvlJc w:val="left"/>
      <w:pPr>
        <w:tabs>
          <w:tab w:val="num" w:pos="360"/>
        </w:tabs>
        <w:ind w:left="360" w:hanging="360"/>
      </w:pPr>
    </w:lvl>
  </w:abstractNum>
  <w:abstractNum w:abstractNumId="9">
    <w:nsid w:val="FFFFFF89"/>
    <w:multiLevelType w:val="singleLevel"/>
    <w:tmpl w:val="B6D8324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30EE594"/>
    <w:lvl w:ilvl="0">
      <w:numFmt w:val="bullet"/>
      <w:lvlText w:val="*"/>
      <w:lvlJc w:val="left"/>
    </w:lvl>
  </w:abstractNum>
  <w:abstractNum w:abstractNumId="11">
    <w:nsid w:val="173D28B1"/>
    <w:multiLevelType w:val="hybridMultilevel"/>
    <w:tmpl w:val="7638C728"/>
    <w:lvl w:ilvl="0" w:tplc="ED6AC0B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187027E9"/>
    <w:multiLevelType w:val="multilevel"/>
    <w:tmpl w:val="EEA6DE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22AB24DB"/>
    <w:multiLevelType w:val="multilevel"/>
    <w:tmpl w:val="EEA6DE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6484038"/>
    <w:multiLevelType w:val="multilevel"/>
    <w:tmpl w:val="EEA6DE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4ADF067D"/>
    <w:multiLevelType w:val="singleLevel"/>
    <w:tmpl w:val="2D8E1AAC"/>
    <w:lvl w:ilvl="0">
      <w:start w:val="1"/>
      <w:numFmt w:val="decimal"/>
      <w:lvlText w:val="%1."/>
      <w:legacy w:legacy="1" w:legacySpace="0" w:legacyIndent="566"/>
      <w:lvlJc w:val="left"/>
      <w:rPr>
        <w:rFonts w:ascii="Times New Roman" w:hAnsi="Times New Roman" w:cs="Times New Roman" w:hint="default"/>
      </w:rPr>
    </w:lvl>
  </w:abstractNum>
  <w:abstractNum w:abstractNumId="16">
    <w:nsid w:val="6AAD4AA7"/>
    <w:multiLevelType w:val="multilevel"/>
    <w:tmpl w:val="FD80A79C"/>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7348548E"/>
    <w:multiLevelType w:val="hybridMultilevel"/>
    <w:tmpl w:val="1986A0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73D74203"/>
    <w:multiLevelType w:val="singleLevel"/>
    <w:tmpl w:val="7B4A3F2A"/>
    <w:lvl w:ilvl="0">
      <w:start w:val="2"/>
      <w:numFmt w:val="decimal"/>
      <w:lvlText w:val="6.%1"/>
      <w:legacy w:legacy="1" w:legacySpace="0" w:legacyIndent="571"/>
      <w:lvlJc w:val="left"/>
      <w:rPr>
        <w:rFonts w:ascii="Times New Roman" w:hAnsi="Times New Roman" w:cs="Times New Roman" w:hint="default"/>
      </w:rPr>
    </w:lvl>
  </w:abstractNum>
  <w:num w:numId="1">
    <w:abstractNumId w:val="10"/>
    <w:lvlOverride w:ilvl="0">
      <w:lvl w:ilvl="0">
        <w:start w:val="65535"/>
        <w:numFmt w:val="bullet"/>
        <w:lvlText w:val="-"/>
        <w:legacy w:legacy="1" w:legacySpace="0" w:legacyIndent="562"/>
        <w:lvlJc w:val="left"/>
        <w:rPr>
          <w:rFonts w:ascii="Times New Roman" w:hAnsi="Times New Roman" w:cs="Times New Roman" w:hint="default"/>
        </w:rPr>
      </w:lvl>
    </w:lvlOverride>
  </w:num>
  <w:num w:numId="2">
    <w:abstractNumId w:val="10"/>
    <w:lvlOverride w:ilvl="0">
      <w:lvl w:ilvl="0">
        <w:start w:val="65535"/>
        <w:numFmt w:val="bullet"/>
        <w:lvlText w:val="V"/>
        <w:legacy w:legacy="1" w:legacySpace="0" w:legacyIndent="221"/>
        <w:lvlJc w:val="left"/>
        <w:rPr>
          <w:rFonts w:ascii="Times New Roman" w:hAnsi="Times New Roman" w:cs="Times New Roman" w:hint="default"/>
        </w:rPr>
      </w:lvl>
    </w:lvlOverride>
  </w:num>
  <w:num w:numId="3">
    <w:abstractNumId w:val="18"/>
  </w:num>
  <w:num w:numId="4">
    <w:abstractNumId w:val="10"/>
    <w:lvlOverride w:ilvl="0">
      <w:lvl w:ilvl="0">
        <w:start w:val="65535"/>
        <w:numFmt w:val="bullet"/>
        <w:lvlText w:val="•"/>
        <w:legacy w:legacy="1" w:legacySpace="0" w:legacyIndent="562"/>
        <w:lvlJc w:val="left"/>
        <w:rPr>
          <w:rFonts w:ascii="Times New Roman" w:hAnsi="Times New Roman" w:cs="Times New Roman" w:hint="default"/>
        </w:rPr>
      </w:lvl>
    </w:lvlOverride>
  </w:num>
  <w:num w:numId="5">
    <w:abstractNumId w:val="15"/>
  </w:num>
  <w:num w:numId="6">
    <w:abstractNumId w:val="10"/>
    <w:lvlOverride w:ilvl="0">
      <w:lvl w:ilvl="0">
        <w:start w:val="65535"/>
        <w:numFmt w:val="bullet"/>
        <w:lvlText w:val="•"/>
        <w:legacy w:legacy="1" w:legacySpace="0" w:legacyIndent="557"/>
        <w:lvlJc w:val="left"/>
        <w:rPr>
          <w:rFonts w:ascii="Times New Roman" w:hAnsi="Times New Roman" w:cs="Times New Roman" w:hint="default"/>
        </w:rPr>
      </w:lvl>
    </w:lvlOverride>
  </w:num>
  <w:num w:numId="7">
    <w:abstractNumId w:val="10"/>
    <w:lvlOverride w:ilvl="0">
      <w:lvl w:ilvl="0">
        <w:start w:val="65535"/>
        <w:numFmt w:val="bullet"/>
        <w:lvlText w:val="■"/>
        <w:legacy w:legacy="1" w:legacySpace="0" w:legacyIndent="552"/>
        <w:lvlJc w:val="left"/>
        <w:rPr>
          <w:rFonts w:ascii="Times New Roman" w:hAnsi="Times New Roman" w:cs="Times New Roman" w:hint="default"/>
        </w:rPr>
      </w:lvl>
    </w:lvlOverride>
  </w:num>
  <w:num w:numId="8">
    <w:abstractNumId w:val="10"/>
    <w:lvlOverride w:ilvl="0">
      <w:lvl w:ilvl="0">
        <w:start w:val="65535"/>
        <w:numFmt w:val="bullet"/>
        <w:lvlText w:val="■"/>
        <w:legacy w:legacy="1" w:legacySpace="0" w:legacyIndent="518"/>
        <w:lvlJc w:val="left"/>
        <w:rPr>
          <w:rFonts w:ascii="Times New Roman" w:hAnsi="Times New Roman" w:cs="Times New Roman" w:hint="default"/>
        </w:rPr>
      </w:lvl>
    </w:lvlOverride>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16"/>
  </w:num>
  <w:num w:numId="20">
    <w:abstractNumId w:val="16"/>
  </w:num>
  <w:num w:numId="21">
    <w:abstractNumId w:val="11"/>
  </w:num>
  <w:num w:numId="22">
    <w:abstractNumId w:val="16"/>
  </w:num>
  <w:num w:numId="23">
    <w:abstractNumId w:val="16"/>
  </w:num>
  <w:num w:numId="24">
    <w:abstractNumId w:val="16"/>
  </w:num>
  <w:num w:numId="25">
    <w:abstractNumId w:val="13"/>
  </w:num>
  <w:num w:numId="26">
    <w:abstractNumId w:val="14"/>
  </w:num>
  <w:num w:numId="27">
    <w:abstractNumId w:val="12"/>
  </w:num>
  <w:num w:numId="28">
    <w:abstractNumId w:val="17"/>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uskova">
    <w15:presenceInfo w15:providerId="None" w15:userId="matuskova"/>
  </w15:person>
  <w15:person w15:author="Jaroslav Litera">
    <w15:presenceInfo w15:providerId="AD" w15:userId="S-1-5-21-2883121066-1603970394-1633130217-1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9C7"/>
    <w:rsid w:val="0000441A"/>
    <w:rsid w:val="00005944"/>
    <w:rsid w:val="00011FCC"/>
    <w:rsid w:val="000158B7"/>
    <w:rsid w:val="00020982"/>
    <w:rsid w:val="00024654"/>
    <w:rsid w:val="000279FD"/>
    <w:rsid w:val="000372B5"/>
    <w:rsid w:val="000560D2"/>
    <w:rsid w:val="00057FAA"/>
    <w:rsid w:val="000677E2"/>
    <w:rsid w:val="000700D0"/>
    <w:rsid w:val="000852F5"/>
    <w:rsid w:val="00086E96"/>
    <w:rsid w:val="0009325F"/>
    <w:rsid w:val="00097527"/>
    <w:rsid w:val="000A52D4"/>
    <w:rsid w:val="000A6CC6"/>
    <w:rsid w:val="000B16EF"/>
    <w:rsid w:val="000D2D96"/>
    <w:rsid w:val="000E3F92"/>
    <w:rsid w:val="000E5278"/>
    <w:rsid w:val="000F1D19"/>
    <w:rsid w:val="000F474D"/>
    <w:rsid w:val="00127A29"/>
    <w:rsid w:val="00131BAE"/>
    <w:rsid w:val="0013693A"/>
    <w:rsid w:val="001553EB"/>
    <w:rsid w:val="00177301"/>
    <w:rsid w:val="0018316D"/>
    <w:rsid w:val="001845DC"/>
    <w:rsid w:val="00195128"/>
    <w:rsid w:val="00197CDE"/>
    <w:rsid w:val="001B34BB"/>
    <w:rsid w:val="001C3226"/>
    <w:rsid w:val="001D29C7"/>
    <w:rsid w:val="001D5A3B"/>
    <w:rsid w:val="001E0D1F"/>
    <w:rsid w:val="001E7B96"/>
    <w:rsid w:val="001F4D7D"/>
    <w:rsid w:val="001F56A4"/>
    <w:rsid w:val="00201A3B"/>
    <w:rsid w:val="00211276"/>
    <w:rsid w:val="002149AF"/>
    <w:rsid w:val="002202B2"/>
    <w:rsid w:val="00224D55"/>
    <w:rsid w:val="00235C24"/>
    <w:rsid w:val="00242D2A"/>
    <w:rsid w:val="002432B7"/>
    <w:rsid w:val="00247041"/>
    <w:rsid w:val="00252665"/>
    <w:rsid w:val="00255209"/>
    <w:rsid w:val="00261287"/>
    <w:rsid w:val="002742A2"/>
    <w:rsid w:val="002742D4"/>
    <w:rsid w:val="00292E0C"/>
    <w:rsid w:val="002B03C2"/>
    <w:rsid w:val="002B5F1C"/>
    <w:rsid w:val="002C443A"/>
    <w:rsid w:val="002C58F0"/>
    <w:rsid w:val="002C69D5"/>
    <w:rsid w:val="002E5F8A"/>
    <w:rsid w:val="002F0A32"/>
    <w:rsid w:val="002F2EA3"/>
    <w:rsid w:val="002F5663"/>
    <w:rsid w:val="003006A7"/>
    <w:rsid w:val="0030293F"/>
    <w:rsid w:val="00303AEF"/>
    <w:rsid w:val="00304CB0"/>
    <w:rsid w:val="00332C0D"/>
    <w:rsid w:val="00364030"/>
    <w:rsid w:val="0037059C"/>
    <w:rsid w:val="00374C6C"/>
    <w:rsid w:val="00382EDA"/>
    <w:rsid w:val="003830AE"/>
    <w:rsid w:val="003860F8"/>
    <w:rsid w:val="0039460B"/>
    <w:rsid w:val="003A26A4"/>
    <w:rsid w:val="003A26B6"/>
    <w:rsid w:val="003A7EF0"/>
    <w:rsid w:val="003B3B26"/>
    <w:rsid w:val="003B7D10"/>
    <w:rsid w:val="003C00AF"/>
    <w:rsid w:val="003C2452"/>
    <w:rsid w:val="003D0D38"/>
    <w:rsid w:val="003D4D3D"/>
    <w:rsid w:val="003D7598"/>
    <w:rsid w:val="003E70BF"/>
    <w:rsid w:val="003F07EA"/>
    <w:rsid w:val="003F1A1C"/>
    <w:rsid w:val="003F7BB8"/>
    <w:rsid w:val="00407A23"/>
    <w:rsid w:val="00416DD8"/>
    <w:rsid w:val="00417E48"/>
    <w:rsid w:val="00425BB4"/>
    <w:rsid w:val="00425FAD"/>
    <w:rsid w:val="004277D4"/>
    <w:rsid w:val="00432166"/>
    <w:rsid w:val="00433AD1"/>
    <w:rsid w:val="00453D14"/>
    <w:rsid w:val="004615C1"/>
    <w:rsid w:val="004810C6"/>
    <w:rsid w:val="00481686"/>
    <w:rsid w:val="004962F8"/>
    <w:rsid w:val="00496FE4"/>
    <w:rsid w:val="004A11FB"/>
    <w:rsid w:val="004A4882"/>
    <w:rsid w:val="004A583B"/>
    <w:rsid w:val="004B7652"/>
    <w:rsid w:val="004C1ACA"/>
    <w:rsid w:val="004C20B6"/>
    <w:rsid w:val="004C6A42"/>
    <w:rsid w:val="004C761F"/>
    <w:rsid w:val="004F353E"/>
    <w:rsid w:val="004F4E6D"/>
    <w:rsid w:val="005002CF"/>
    <w:rsid w:val="00503916"/>
    <w:rsid w:val="005046BF"/>
    <w:rsid w:val="00507DB8"/>
    <w:rsid w:val="0051163A"/>
    <w:rsid w:val="00516CC7"/>
    <w:rsid w:val="005213C9"/>
    <w:rsid w:val="00536055"/>
    <w:rsid w:val="00543E49"/>
    <w:rsid w:val="00547A4D"/>
    <w:rsid w:val="005804E2"/>
    <w:rsid w:val="00587170"/>
    <w:rsid w:val="00592C12"/>
    <w:rsid w:val="00593B5B"/>
    <w:rsid w:val="00595E74"/>
    <w:rsid w:val="0059766C"/>
    <w:rsid w:val="005A0159"/>
    <w:rsid w:val="005B426C"/>
    <w:rsid w:val="005B65A6"/>
    <w:rsid w:val="005B7501"/>
    <w:rsid w:val="005B755D"/>
    <w:rsid w:val="005C1361"/>
    <w:rsid w:val="005C777D"/>
    <w:rsid w:val="005D1908"/>
    <w:rsid w:val="005D2B9F"/>
    <w:rsid w:val="005D6545"/>
    <w:rsid w:val="005E0E79"/>
    <w:rsid w:val="005E44A9"/>
    <w:rsid w:val="005E6B7F"/>
    <w:rsid w:val="005E7C17"/>
    <w:rsid w:val="005F1A9E"/>
    <w:rsid w:val="00602B5F"/>
    <w:rsid w:val="006213F8"/>
    <w:rsid w:val="00623D9A"/>
    <w:rsid w:val="00640461"/>
    <w:rsid w:val="00660974"/>
    <w:rsid w:val="00663F6E"/>
    <w:rsid w:val="006941CE"/>
    <w:rsid w:val="006958BA"/>
    <w:rsid w:val="00695B69"/>
    <w:rsid w:val="00697EC4"/>
    <w:rsid w:val="006A105B"/>
    <w:rsid w:val="006A5100"/>
    <w:rsid w:val="006B71C8"/>
    <w:rsid w:val="006C2A5A"/>
    <w:rsid w:val="006E0614"/>
    <w:rsid w:val="006E5891"/>
    <w:rsid w:val="006F331E"/>
    <w:rsid w:val="006F353F"/>
    <w:rsid w:val="007075CA"/>
    <w:rsid w:val="00712E87"/>
    <w:rsid w:val="00715656"/>
    <w:rsid w:val="007230AB"/>
    <w:rsid w:val="00731F1F"/>
    <w:rsid w:val="007322B4"/>
    <w:rsid w:val="00740B65"/>
    <w:rsid w:val="00740EB4"/>
    <w:rsid w:val="00744FD6"/>
    <w:rsid w:val="007656B5"/>
    <w:rsid w:val="00784F0B"/>
    <w:rsid w:val="0079048C"/>
    <w:rsid w:val="007C012F"/>
    <w:rsid w:val="007C2ED7"/>
    <w:rsid w:val="007C44E3"/>
    <w:rsid w:val="007D655F"/>
    <w:rsid w:val="007D734D"/>
    <w:rsid w:val="007E2217"/>
    <w:rsid w:val="00801FFB"/>
    <w:rsid w:val="0082546F"/>
    <w:rsid w:val="008273D3"/>
    <w:rsid w:val="0083189E"/>
    <w:rsid w:val="00833D16"/>
    <w:rsid w:val="008342C5"/>
    <w:rsid w:val="00844F05"/>
    <w:rsid w:val="00845BD2"/>
    <w:rsid w:val="00845D6A"/>
    <w:rsid w:val="008537B8"/>
    <w:rsid w:val="008607AB"/>
    <w:rsid w:val="00862D81"/>
    <w:rsid w:val="00865272"/>
    <w:rsid w:val="00867C1A"/>
    <w:rsid w:val="00873CA8"/>
    <w:rsid w:val="008758AF"/>
    <w:rsid w:val="00883935"/>
    <w:rsid w:val="008A0689"/>
    <w:rsid w:val="008A500E"/>
    <w:rsid w:val="008A755F"/>
    <w:rsid w:val="008B0534"/>
    <w:rsid w:val="008B2DD5"/>
    <w:rsid w:val="008B5153"/>
    <w:rsid w:val="008B5E4A"/>
    <w:rsid w:val="008C3D63"/>
    <w:rsid w:val="008C4771"/>
    <w:rsid w:val="008C5A8A"/>
    <w:rsid w:val="008C5BA0"/>
    <w:rsid w:val="008E68CF"/>
    <w:rsid w:val="008F68AB"/>
    <w:rsid w:val="00907364"/>
    <w:rsid w:val="009164AD"/>
    <w:rsid w:val="00921CCD"/>
    <w:rsid w:val="009263C3"/>
    <w:rsid w:val="00933DF5"/>
    <w:rsid w:val="00936FFD"/>
    <w:rsid w:val="00950FC5"/>
    <w:rsid w:val="009520A7"/>
    <w:rsid w:val="009554D1"/>
    <w:rsid w:val="00965D48"/>
    <w:rsid w:val="00976507"/>
    <w:rsid w:val="00982B8C"/>
    <w:rsid w:val="00983877"/>
    <w:rsid w:val="009850F6"/>
    <w:rsid w:val="00985E45"/>
    <w:rsid w:val="009961D7"/>
    <w:rsid w:val="009A1079"/>
    <w:rsid w:val="009B065C"/>
    <w:rsid w:val="009B52F3"/>
    <w:rsid w:val="009C1206"/>
    <w:rsid w:val="009C39DE"/>
    <w:rsid w:val="009C497E"/>
    <w:rsid w:val="009C698C"/>
    <w:rsid w:val="009E6DE0"/>
    <w:rsid w:val="009F3A74"/>
    <w:rsid w:val="009F4017"/>
    <w:rsid w:val="009F6E2A"/>
    <w:rsid w:val="00A023E2"/>
    <w:rsid w:val="00A151BD"/>
    <w:rsid w:val="00A152F5"/>
    <w:rsid w:val="00A21D42"/>
    <w:rsid w:val="00A30BF0"/>
    <w:rsid w:val="00A32265"/>
    <w:rsid w:val="00A453E9"/>
    <w:rsid w:val="00A52CA2"/>
    <w:rsid w:val="00A54682"/>
    <w:rsid w:val="00A74C75"/>
    <w:rsid w:val="00A8211D"/>
    <w:rsid w:val="00AA7F23"/>
    <w:rsid w:val="00AB054B"/>
    <w:rsid w:val="00AB2054"/>
    <w:rsid w:val="00AB327C"/>
    <w:rsid w:val="00AC46BE"/>
    <w:rsid w:val="00AD72E3"/>
    <w:rsid w:val="00AE1E59"/>
    <w:rsid w:val="00AF289C"/>
    <w:rsid w:val="00AF6009"/>
    <w:rsid w:val="00AF7866"/>
    <w:rsid w:val="00AF7EFB"/>
    <w:rsid w:val="00B108EF"/>
    <w:rsid w:val="00B15F8A"/>
    <w:rsid w:val="00B17583"/>
    <w:rsid w:val="00B3586E"/>
    <w:rsid w:val="00B433A0"/>
    <w:rsid w:val="00B633E7"/>
    <w:rsid w:val="00B65920"/>
    <w:rsid w:val="00B74AD7"/>
    <w:rsid w:val="00B774BC"/>
    <w:rsid w:val="00B94729"/>
    <w:rsid w:val="00BA5416"/>
    <w:rsid w:val="00BA54FE"/>
    <w:rsid w:val="00BC4245"/>
    <w:rsid w:val="00BC7F9F"/>
    <w:rsid w:val="00BD4DA8"/>
    <w:rsid w:val="00BD51A6"/>
    <w:rsid w:val="00BE17C1"/>
    <w:rsid w:val="00BE3432"/>
    <w:rsid w:val="00BE63D7"/>
    <w:rsid w:val="00BF3201"/>
    <w:rsid w:val="00BF6647"/>
    <w:rsid w:val="00BF6BFC"/>
    <w:rsid w:val="00C03617"/>
    <w:rsid w:val="00C15D26"/>
    <w:rsid w:val="00C2017E"/>
    <w:rsid w:val="00C25309"/>
    <w:rsid w:val="00C34C43"/>
    <w:rsid w:val="00C400DB"/>
    <w:rsid w:val="00C44B23"/>
    <w:rsid w:val="00C50B68"/>
    <w:rsid w:val="00C61410"/>
    <w:rsid w:val="00C70611"/>
    <w:rsid w:val="00CA257A"/>
    <w:rsid w:val="00CA4067"/>
    <w:rsid w:val="00CB70D0"/>
    <w:rsid w:val="00CD1733"/>
    <w:rsid w:val="00CE3351"/>
    <w:rsid w:val="00CF3432"/>
    <w:rsid w:val="00CF7D48"/>
    <w:rsid w:val="00D203CD"/>
    <w:rsid w:val="00D2186B"/>
    <w:rsid w:val="00D24ACB"/>
    <w:rsid w:val="00D50784"/>
    <w:rsid w:val="00D517AD"/>
    <w:rsid w:val="00D70605"/>
    <w:rsid w:val="00D80CC5"/>
    <w:rsid w:val="00D82668"/>
    <w:rsid w:val="00D82EB7"/>
    <w:rsid w:val="00D84F3B"/>
    <w:rsid w:val="00DC05F2"/>
    <w:rsid w:val="00DC4DE3"/>
    <w:rsid w:val="00DD4450"/>
    <w:rsid w:val="00DD63A6"/>
    <w:rsid w:val="00DD6D31"/>
    <w:rsid w:val="00DF3046"/>
    <w:rsid w:val="00E001EF"/>
    <w:rsid w:val="00E23177"/>
    <w:rsid w:val="00E373D7"/>
    <w:rsid w:val="00E52CA0"/>
    <w:rsid w:val="00E61FEE"/>
    <w:rsid w:val="00E63BB1"/>
    <w:rsid w:val="00E6452F"/>
    <w:rsid w:val="00E77CEA"/>
    <w:rsid w:val="00E87071"/>
    <w:rsid w:val="00EB26AF"/>
    <w:rsid w:val="00EB3B08"/>
    <w:rsid w:val="00EC4E6C"/>
    <w:rsid w:val="00EC4F97"/>
    <w:rsid w:val="00EC58FB"/>
    <w:rsid w:val="00ED65A9"/>
    <w:rsid w:val="00EE03B2"/>
    <w:rsid w:val="00F05FD6"/>
    <w:rsid w:val="00F06576"/>
    <w:rsid w:val="00F06F99"/>
    <w:rsid w:val="00F07F72"/>
    <w:rsid w:val="00F412A0"/>
    <w:rsid w:val="00F41C47"/>
    <w:rsid w:val="00F444B9"/>
    <w:rsid w:val="00F60349"/>
    <w:rsid w:val="00F64A62"/>
    <w:rsid w:val="00F6724C"/>
    <w:rsid w:val="00F67889"/>
    <w:rsid w:val="00F73140"/>
    <w:rsid w:val="00F86B77"/>
    <w:rsid w:val="00F9601E"/>
    <w:rsid w:val="00FA208A"/>
    <w:rsid w:val="00FA7588"/>
    <w:rsid w:val="00FC65DD"/>
    <w:rsid w:val="00FD2925"/>
    <w:rsid w:val="00FE11FF"/>
    <w:rsid w:val="00FE1755"/>
    <w:rsid w:val="00FF4D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33AD1"/>
    <w:pPr>
      <w:widowControl w:val="0"/>
      <w:autoSpaceDE w:val="0"/>
      <w:autoSpaceDN w:val="0"/>
      <w:adjustRightInd w:val="0"/>
    </w:pPr>
    <w:rPr>
      <w:rFonts w:ascii="Times New Roman" w:hAnsi="Times New Roman"/>
      <w:sz w:val="24"/>
      <w:szCs w:val="24"/>
      <w:lang w:eastAsia="zh-CN"/>
    </w:rPr>
  </w:style>
  <w:style w:type="paragraph" w:styleId="Nadpis1">
    <w:name w:val="heading 1"/>
    <w:basedOn w:val="Normlny"/>
    <w:next w:val="Normlny"/>
    <w:link w:val="Nadpis1Char"/>
    <w:uiPriority w:val="9"/>
    <w:qFormat/>
    <w:rsid w:val="00224D5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semiHidden/>
    <w:rsid w:val="00AB327C"/>
    <w:rPr>
      <w:rFonts w:ascii="Tahoma" w:hAnsi="Tahoma" w:cs="Tahoma"/>
      <w:sz w:val="16"/>
      <w:szCs w:val="16"/>
    </w:rPr>
  </w:style>
  <w:style w:type="paragraph" w:styleId="Hlavika">
    <w:name w:val="header"/>
    <w:basedOn w:val="Normlny"/>
    <w:link w:val="HlavikaChar"/>
    <w:uiPriority w:val="99"/>
    <w:semiHidden/>
    <w:unhideWhenUsed/>
    <w:rsid w:val="00883935"/>
    <w:pPr>
      <w:tabs>
        <w:tab w:val="center" w:pos="4536"/>
        <w:tab w:val="right" w:pos="9072"/>
      </w:tabs>
    </w:pPr>
  </w:style>
  <w:style w:type="character" w:customStyle="1" w:styleId="HlavikaChar">
    <w:name w:val="Hlavička Char"/>
    <w:link w:val="Hlavika"/>
    <w:uiPriority w:val="99"/>
    <w:semiHidden/>
    <w:rsid w:val="00883935"/>
    <w:rPr>
      <w:rFonts w:hAnsi="Times New Roman"/>
      <w:sz w:val="24"/>
      <w:szCs w:val="24"/>
    </w:rPr>
  </w:style>
  <w:style w:type="paragraph" w:styleId="Pta">
    <w:name w:val="footer"/>
    <w:basedOn w:val="Normlny"/>
    <w:link w:val="PtaChar"/>
    <w:uiPriority w:val="99"/>
    <w:unhideWhenUsed/>
    <w:rsid w:val="00883935"/>
    <w:pPr>
      <w:tabs>
        <w:tab w:val="center" w:pos="4536"/>
        <w:tab w:val="right" w:pos="9072"/>
      </w:tabs>
    </w:pPr>
  </w:style>
  <w:style w:type="character" w:customStyle="1" w:styleId="PtaChar">
    <w:name w:val="Päta Char"/>
    <w:link w:val="Pta"/>
    <w:uiPriority w:val="99"/>
    <w:rsid w:val="00883935"/>
    <w:rPr>
      <w:rFonts w:hAnsi="Times New Roman"/>
      <w:sz w:val="24"/>
      <w:szCs w:val="24"/>
    </w:rPr>
  </w:style>
  <w:style w:type="paragraph" w:styleId="truktradokumentu">
    <w:name w:val="Document Map"/>
    <w:basedOn w:val="Normlny"/>
    <w:link w:val="truktradokumentuChar"/>
    <w:uiPriority w:val="99"/>
    <w:semiHidden/>
    <w:unhideWhenUsed/>
    <w:rsid w:val="00883935"/>
    <w:rPr>
      <w:rFonts w:ascii="Tahoma" w:hAnsi="Tahoma" w:cs="Tahoma"/>
      <w:sz w:val="16"/>
      <w:szCs w:val="16"/>
    </w:rPr>
  </w:style>
  <w:style w:type="character" w:customStyle="1" w:styleId="truktradokumentuChar">
    <w:name w:val="Štruktúra dokumentu Char"/>
    <w:link w:val="truktradokumentu"/>
    <w:uiPriority w:val="99"/>
    <w:semiHidden/>
    <w:rsid w:val="00883935"/>
    <w:rPr>
      <w:rFonts w:ascii="Tahoma" w:hAnsi="Tahoma" w:cs="Tahoma"/>
      <w:sz w:val="16"/>
      <w:szCs w:val="16"/>
    </w:rPr>
  </w:style>
  <w:style w:type="paragraph" w:customStyle="1" w:styleId="SPCaPILhlavika">
    <w:name w:val="SPC a PIL hlavička"/>
    <w:basedOn w:val="Normlny"/>
    <w:autoRedefine/>
    <w:qFormat/>
    <w:rsid w:val="00224D55"/>
    <w:pPr>
      <w:widowControl/>
      <w:autoSpaceDE/>
      <w:autoSpaceDN/>
      <w:adjustRightInd/>
      <w:ind w:left="567" w:hanging="567"/>
      <w:jc w:val="center"/>
    </w:pPr>
    <w:rPr>
      <w:rFonts w:eastAsia="Times New Roman"/>
      <w:b/>
      <w:sz w:val="22"/>
      <w:lang w:eastAsia="sk-SK"/>
    </w:rPr>
  </w:style>
  <w:style w:type="paragraph" w:customStyle="1" w:styleId="Styl1">
    <w:name w:val="Styl1"/>
    <w:basedOn w:val="Normlny"/>
    <w:autoRedefine/>
    <w:rsid w:val="00261287"/>
    <w:pPr>
      <w:keepNext/>
      <w:widowControl/>
      <w:numPr>
        <w:numId w:val="24"/>
      </w:numPr>
      <w:tabs>
        <w:tab w:val="left" w:pos="567"/>
      </w:tabs>
      <w:autoSpaceDE/>
      <w:autoSpaceDN/>
      <w:adjustRightInd/>
      <w:spacing w:before="360" w:after="120"/>
      <w:jc w:val="both"/>
    </w:pPr>
    <w:rPr>
      <w:rFonts w:eastAsia="Times New Roman"/>
      <w:b/>
      <w:bCs/>
      <w:caps/>
      <w:noProof/>
      <w:sz w:val="22"/>
      <w:lang w:eastAsia="en-US"/>
    </w:rPr>
  </w:style>
  <w:style w:type="paragraph" w:customStyle="1" w:styleId="Styl2">
    <w:name w:val="Styl2"/>
    <w:basedOn w:val="Normlny"/>
    <w:autoRedefine/>
    <w:rsid w:val="00D50784"/>
    <w:pPr>
      <w:keepNext/>
      <w:widowControl/>
      <w:numPr>
        <w:ilvl w:val="1"/>
        <w:numId w:val="24"/>
      </w:numPr>
      <w:suppressAutoHyphens/>
      <w:autoSpaceDE/>
      <w:autoSpaceDN/>
      <w:adjustRightInd/>
      <w:spacing w:before="240" w:after="120"/>
      <w:ind w:left="0" w:firstLine="0"/>
    </w:pPr>
    <w:rPr>
      <w:rFonts w:eastAsia="Times New Roman"/>
      <w:b/>
      <w:bCs/>
      <w:noProof/>
      <w:sz w:val="22"/>
      <w:szCs w:val="22"/>
      <w:lang w:eastAsia="en-US"/>
    </w:rPr>
  </w:style>
  <w:style w:type="paragraph" w:customStyle="1" w:styleId="Styl3">
    <w:name w:val="Styl3"/>
    <w:basedOn w:val="Normlndobloku"/>
    <w:rsid w:val="00D50784"/>
    <w:pPr>
      <w:keepNext/>
      <w:tabs>
        <w:tab w:val="left" w:pos="6946"/>
      </w:tabs>
      <w:suppressAutoHyphens w:val="0"/>
    </w:pPr>
    <w:rPr>
      <w:rFonts w:ascii="Times New Roman" w:hAnsi="Times New Roman" w:cs="Times New Roman"/>
      <w:szCs w:val="24"/>
      <w:u w:val="single"/>
      <w:lang w:eastAsia="cs-CZ"/>
    </w:rPr>
  </w:style>
  <w:style w:type="paragraph" w:customStyle="1" w:styleId="Normlndobloku">
    <w:name w:val="Normální do bloku"/>
    <w:basedOn w:val="Normlny"/>
    <w:link w:val="NormlndoblokuChar"/>
    <w:autoRedefine/>
    <w:rsid w:val="007C44E3"/>
    <w:pPr>
      <w:widowControl/>
      <w:suppressAutoHyphens/>
      <w:autoSpaceDE/>
      <w:autoSpaceDN/>
      <w:adjustRightInd/>
      <w:spacing w:after="120"/>
      <w:jc w:val="both"/>
    </w:pPr>
    <w:rPr>
      <w:rFonts w:ascii="TimesNewRoman" w:eastAsia="Times New Roman" w:hAnsi="TimesNewRoman" w:cs="TimesNewRoman"/>
      <w:iCs/>
      <w:sz w:val="22"/>
      <w:szCs w:val="22"/>
      <w:lang w:eastAsia="sk-SK"/>
    </w:rPr>
  </w:style>
  <w:style w:type="character" w:customStyle="1" w:styleId="NormlndoblokuChar">
    <w:name w:val="Normální do bloku Char"/>
    <w:link w:val="Normlndobloku"/>
    <w:locked/>
    <w:rsid w:val="007C44E3"/>
    <w:rPr>
      <w:rFonts w:ascii="TimesNewRoman" w:eastAsia="Times New Roman" w:hAnsi="TimesNewRoman" w:cs="TimesNewRoman"/>
      <w:iCs/>
      <w:sz w:val="22"/>
      <w:szCs w:val="22"/>
    </w:rPr>
  </w:style>
  <w:style w:type="paragraph" w:customStyle="1" w:styleId="Normlndoblokusodrkami">
    <w:name w:val="Normální do bloku s odrážkami"/>
    <w:basedOn w:val="Normlndobloku"/>
    <w:next w:val="Normlndobloku"/>
    <w:autoRedefine/>
    <w:qFormat/>
    <w:rsid w:val="00224D55"/>
    <w:rPr>
      <w:noProof/>
    </w:rPr>
  </w:style>
  <w:style w:type="paragraph" w:customStyle="1" w:styleId="Tabulka">
    <w:name w:val="Tabulka"/>
    <w:basedOn w:val="Normlny"/>
    <w:autoRedefine/>
    <w:qFormat/>
    <w:rsid w:val="00224D55"/>
    <w:pPr>
      <w:widowControl/>
    </w:pPr>
    <w:rPr>
      <w:b/>
      <w:sz w:val="22"/>
      <w:lang w:eastAsia="sk-SK"/>
    </w:rPr>
  </w:style>
  <w:style w:type="paragraph" w:customStyle="1" w:styleId="Tabulka1">
    <w:name w:val="Tabulka 1"/>
    <w:basedOn w:val="Styl3"/>
    <w:qFormat/>
    <w:rsid w:val="00224D55"/>
    <w:pPr>
      <w:spacing w:after="0"/>
    </w:pPr>
    <w:rPr>
      <w:u w:val="none"/>
    </w:rPr>
  </w:style>
  <w:style w:type="character" w:styleId="Odkaznakomentr">
    <w:name w:val="annotation reference"/>
    <w:semiHidden/>
    <w:rsid w:val="00AB327C"/>
    <w:rPr>
      <w:sz w:val="16"/>
      <w:szCs w:val="16"/>
    </w:rPr>
  </w:style>
  <w:style w:type="paragraph" w:styleId="Textkomentra">
    <w:name w:val="annotation text"/>
    <w:basedOn w:val="Normlny"/>
    <w:semiHidden/>
    <w:rsid w:val="00AB327C"/>
    <w:rPr>
      <w:sz w:val="20"/>
      <w:szCs w:val="20"/>
    </w:rPr>
  </w:style>
  <w:style w:type="paragraph" w:styleId="Predmetkomentra">
    <w:name w:val="annotation subject"/>
    <w:basedOn w:val="Textkomentra"/>
    <w:next w:val="Textkomentra"/>
    <w:semiHidden/>
    <w:rsid w:val="00AB327C"/>
    <w:rPr>
      <w:b/>
      <w:bCs/>
    </w:rPr>
  </w:style>
  <w:style w:type="paragraph" w:customStyle="1" w:styleId="Default">
    <w:name w:val="Default"/>
    <w:rsid w:val="00224D55"/>
    <w:pPr>
      <w:autoSpaceDE w:val="0"/>
      <w:autoSpaceDN w:val="0"/>
      <w:adjustRightInd w:val="0"/>
    </w:pPr>
    <w:rPr>
      <w:rFonts w:ascii="Times New Roman" w:hAnsi="Times New Roman"/>
      <w:color w:val="000000"/>
      <w:sz w:val="24"/>
      <w:szCs w:val="24"/>
    </w:rPr>
  </w:style>
  <w:style w:type="character" w:styleId="Hypertextovprepojenie">
    <w:name w:val="Hyperlink"/>
    <w:semiHidden/>
    <w:unhideWhenUsed/>
    <w:rsid w:val="000E3F92"/>
    <w:rPr>
      <w:color w:val="0000FF"/>
      <w:u w:val="single"/>
    </w:rPr>
  </w:style>
  <w:style w:type="paragraph" w:styleId="Revzia">
    <w:name w:val="Revision"/>
    <w:hidden/>
    <w:uiPriority w:val="99"/>
    <w:semiHidden/>
    <w:rsid w:val="002E5F8A"/>
    <w:rPr>
      <w:rFonts w:ascii="Times New Roman" w:hAnsi="Times New Roman"/>
      <w:sz w:val="24"/>
      <w:szCs w:val="24"/>
      <w:lang w:eastAsia="zh-CN"/>
    </w:rPr>
  </w:style>
  <w:style w:type="paragraph" w:customStyle="1" w:styleId="Styl2-2">
    <w:name w:val="Styl2-2"/>
    <w:basedOn w:val="Styl2"/>
    <w:next w:val="Normlny"/>
    <w:autoRedefine/>
    <w:qFormat/>
    <w:rsid w:val="00224D55"/>
    <w:pPr>
      <w:numPr>
        <w:ilvl w:val="0"/>
        <w:numId w:val="0"/>
      </w:numPr>
      <w:suppressAutoHyphens w:val="0"/>
      <w:spacing w:before="120"/>
    </w:pPr>
    <w:rPr>
      <w:noProof w:val="0"/>
      <w:szCs w:val="20"/>
      <w:lang w:eastAsia="cs-CZ"/>
    </w:rPr>
  </w:style>
  <w:style w:type="character" w:customStyle="1" w:styleId="shorttext">
    <w:name w:val="short_text"/>
    <w:basedOn w:val="Predvolenpsmoodseku"/>
    <w:rsid w:val="00224D55"/>
    <w:rPr>
      <w:lang w:val="sk-SK"/>
    </w:rPr>
  </w:style>
  <w:style w:type="character" w:customStyle="1" w:styleId="Nadpis1Char">
    <w:name w:val="Nadpis 1 Char"/>
    <w:basedOn w:val="Predvolenpsmoodseku"/>
    <w:link w:val="Nadpis1"/>
    <w:uiPriority w:val="9"/>
    <w:rsid w:val="00224D55"/>
    <w:rPr>
      <w:rFonts w:asciiTheme="majorHAnsi" w:eastAsiaTheme="majorEastAsia" w:hAnsiTheme="majorHAnsi" w:cstheme="majorBidi"/>
      <w:color w:val="2F5496" w:themeColor="accent1" w:themeShade="BF"/>
      <w:sz w:val="3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33AD1"/>
    <w:pPr>
      <w:widowControl w:val="0"/>
      <w:autoSpaceDE w:val="0"/>
      <w:autoSpaceDN w:val="0"/>
      <w:adjustRightInd w:val="0"/>
    </w:pPr>
    <w:rPr>
      <w:rFonts w:ascii="Times New Roman" w:hAnsi="Times New Roman"/>
      <w:sz w:val="24"/>
      <w:szCs w:val="24"/>
      <w:lang w:eastAsia="zh-CN"/>
    </w:rPr>
  </w:style>
  <w:style w:type="paragraph" w:styleId="Nadpis1">
    <w:name w:val="heading 1"/>
    <w:basedOn w:val="Normlny"/>
    <w:next w:val="Normlny"/>
    <w:link w:val="Nadpis1Char"/>
    <w:uiPriority w:val="9"/>
    <w:qFormat/>
    <w:rsid w:val="00224D5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semiHidden/>
    <w:rsid w:val="00AB327C"/>
    <w:rPr>
      <w:rFonts w:ascii="Tahoma" w:hAnsi="Tahoma" w:cs="Tahoma"/>
      <w:sz w:val="16"/>
      <w:szCs w:val="16"/>
    </w:rPr>
  </w:style>
  <w:style w:type="paragraph" w:styleId="Hlavika">
    <w:name w:val="header"/>
    <w:basedOn w:val="Normlny"/>
    <w:link w:val="HlavikaChar"/>
    <w:uiPriority w:val="99"/>
    <w:semiHidden/>
    <w:unhideWhenUsed/>
    <w:rsid w:val="00883935"/>
    <w:pPr>
      <w:tabs>
        <w:tab w:val="center" w:pos="4536"/>
        <w:tab w:val="right" w:pos="9072"/>
      </w:tabs>
    </w:pPr>
  </w:style>
  <w:style w:type="character" w:customStyle="1" w:styleId="HlavikaChar">
    <w:name w:val="Hlavička Char"/>
    <w:link w:val="Hlavika"/>
    <w:uiPriority w:val="99"/>
    <w:semiHidden/>
    <w:rsid w:val="00883935"/>
    <w:rPr>
      <w:rFonts w:hAnsi="Times New Roman"/>
      <w:sz w:val="24"/>
      <w:szCs w:val="24"/>
    </w:rPr>
  </w:style>
  <w:style w:type="paragraph" w:styleId="Pta">
    <w:name w:val="footer"/>
    <w:basedOn w:val="Normlny"/>
    <w:link w:val="PtaChar"/>
    <w:uiPriority w:val="99"/>
    <w:unhideWhenUsed/>
    <w:rsid w:val="00883935"/>
    <w:pPr>
      <w:tabs>
        <w:tab w:val="center" w:pos="4536"/>
        <w:tab w:val="right" w:pos="9072"/>
      </w:tabs>
    </w:pPr>
  </w:style>
  <w:style w:type="character" w:customStyle="1" w:styleId="PtaChar">
    <w:name w:val="Päta Char"/>
    <w:link w:val="Pta"/>
    <w:uiPriority w:val="99"/>
    <w:rsid w:val="00883935"/>
    <w:rPr>
      <w:rFonts w:hAnsi="Times New Roman"/>
      <w:sz w:val="24"/>
      <w:szCs w:val="24"/>
    </w:rPr>
  </w:style>
  <w:style w:type="paragraph" w:styleId="truktradokumentu">
    <w:name w:val="Document Map"/>
    <w:basedOn w:val="Normlny"/>
    <w:link w:val="truktradokumentuChar"/>
    <w:uiPriority w:val="99"/>
    <w:semiHidden/>
    <w:unhideWhenUsed/>
    <w:rsid w:val="00883935"/>
    <w:rPr>
      <w:rFonts w:ascii="Tahoma" w:hAnsi="Tahoma" w:cs="Tahoma"/>
      <w:sz w:val="16"/>
      <w:szCs w:val="16"/>
    </w:rPr>
  </w:style>
  <w:style w:type="character" w:customStyle="1" w:styleId="truktradokumentuChar">
    <w:name w:val="Štruktúra dokumentu Char"/>
    <w:link w:val="truktradokumentu"/>
    <w:uiPriority w:val="99"/>
    <w:semiHidden/>
    <w:rsid w:val="00883935"/>
    <w:rPr>
      <w:rFonts w:ascii="Tahoma" w:hAnsi="Tahoma" w:cs="Tahoma"/>
      <w:sz w:val="16"/>
      <w:szCs w:val="16"/>
    </w:rPr>
  </w:style>
  <w:style w:type="paragraph" w:customStyle="1" w:styleId="SPCaPILhlavika">
    <w:name w:val="SPC a PIL hlavička"/>
    <w:basedOn w:val="Normlny"/>
    <w:autoRedefine/>
    <w:qFormat/>
    <w:rsid w:val="00224D55"/>
    <w:pPr>
      <w:widowControl/>
      <w:autoSpaceDE/>
      <w:autoSpaceDN/>
      <w:adjustRightInd/>
      <w:ind w:left="567" w:hanging="567"/>
      <w:jc w:val="center"/>
    </w:pPr>
    <w:rPr>
      <w:rFonts w:eastAsia="Times New Roman"/>
      <w:b/>
      <w:sz w:val="22"/>
      <w:lang w:eastAsia="sk-SK"/>
    </w:rPr>
  </w:style>
  <w:style w:type="paragraph" w:customStyle="1" w:styleId="Styl1">
    <w:name w:val="Styl1"/>
    <w:basedOn w:val="Normlny"/>
    <w:autoRedefine/>
    <w:rsid w:val="00261287"/>
    <w:pPr>
      <w:keepNext/>
      <w:widowControl/>
      <w:numPr>
        <w:numId w:val="24"/>
      </w:numPr>
      <w:tabs>
        <w:tab w:val="left" w:pos="567"/>
      </w:tabs>
      <w:autoSpaceDE/>
      <w:autoSpaceDN/>
      <w:adjustRightInd/>
      <w:spacing w:before="360" w:after="120"/>
      <w:jc w:val="both"/>
    </w:pPr>
    <w:rPr>
      <w:rFonts w:eastAsia="Times New Roman"/>
      <w:b/>
      <w:bCs/>
      <w:caps/>
      <w:noProof/>
      <w:sz w:val="22"/>
      <w:lang w:eastAsia="en-US"/>
    </w:rPr>
  </w:style>
  <w:style w:type="paragraph" w:customStyle="1" w:styleId="Styl2">
    <w:name w:val="Styl2"/>
    <w:basedOn w:val="Normlny"/>
    <w:autoRedefine/>
    <w:rsid w:val="00D50784"/>
    <w:pPr>
      <w:keepNext/>
      <w:widowControl/>
      <w:numPr>
        <w:ilvl w:val="1"/>
        <w:numId w:val="24"/>
      </w:numPr>
      <w:suppressAutoHyphens/>
      <w:autoSpaceDE/>
      <w:autoSpaceDN/>
      <w:adjustRightInd/>
      <w:spacing w:before="240" w:after="120"/>
      <w:ind w:left="0" w:firstLine="0"/>
    </w:pPr>
    <w:rPr>
      <w:rFonts w:eastAsia="Times New Roman"/>
      <w:b/>
      <w:bCs/>
      <w:noProof/>
      <w:sz w:val="22"/>
      <w:szCs w:val="22"/>
      <w:lang w:eastAsia="en-US"/>
    </w:rPr>
  </w:style>
  <w:style w:type="paragraph" w:customStyle="1" w:styleId="Styl3">
    <w:name w:val="Styl3"/>
    <w:basedOn w:val="Normlndobloku"/>
    <w:rsid w:val="00D50784"/>
    <w:pPr>
      <w:keepNext/>
      <w:tabs>
        <w:tab w:val="left" w:pos="6946"/>
      </w:tabs>
      <w:suppressAutoHyphens w:val="0"/>
    </w:pPr>
    <w:rPr>
      <w:rFonts w:ascii="Times New Roman" w:hAnsi="Times New Roman" w:cs="Times New Roman"/>
      <w:szCs w:val="24"/>
      <w:u w:val="single"/>
      <w:lang w:eastAsia="cs-CZ"/>
    </w:rPr>
  </w:style>
  <w:style w:type="paragraph" w:customStyle="1" w:styleId="Normlndobloku">
    <w:name w:val="Normální do bloku"/>
    <w:basedOn w:val="Normlny"/>
    <w:link w:val="NormlndoblokuChar"/>
    <w:autoRedefine/>
    <w:rsid w:val="007C44E3"/>
    <w:pPr>
      <w:widowControl/>
      <w:suppressAutoHyphens/>
      <w:autoSpaceDE/>
      <w:autoSpaceDN/>
      <w:adjustRightInd/>
      <w:spacing w:after="120"/>
      <w:jc w:val="both"/>
    </w:pPr>
    <w:rPr>
      <w:rFonts w:ascii="TimesNewRoman" w:eastAsia="Times New Roman" w:hAnsi="TimesNewRoman" w:cs="TimesNewRoman"/>
      <w:iCs/>
      <w:sz w:val="22"/>
      <w:szCs w:val="22"/>
      <w:lang w:eastAsia="sk-SK"/>
    </w:rPr>
  </w:style>
  <w:style w:type="character" w:customStyle="1" w:styleId="NormlndoblokuChar">
    <w:name w:val="Normální do bloku Char"/>
    <w:link w:val="Normlndobloku"/>
    <w:locked/>
    <w:rsid w:val="007C44E3"/>
    <w:rPr>
      <w:rFonts w:ascii="TimesNewRoman" w:eastAsia="Times New Roman" w:hAnsi="TimesNewRoman" w:cs="TimesNewRoman"/>
      <w:iCs/>
      <w:sz w:val="22"/>
      <w:szCs w:val="22"/>
    </w:rPr>
  </w:style>
  <w:style w:type="paragraph" w:customStyle="1" w:styleId="Normlndoblokusodrkami">
    <w:name w:val="Normální do bloku s odrážkami"/>
    <w:basedOn w:val="Normlndobloku"/>
    <w:next w:val="Normlndobloku"/>
    <w:autoRedefine/>
    <w:qFormat/>
    <w:rsid w:val="00224D55"/>
    <w:rPr>
      <w:noProof/>
    </w:rPr>
  </w:style>
  <w:style w:type="paragraph" w:customStyle="1" w:styleId="Tabulka">
    <w:name w:val="Tabulka"/>
    <w:basedOn w:val="Normlny"/>
    <w:autoRedefine/>
    <w:qFormat/>
    <w:rsid w:val="00224D55"/>
    <w:pPr>
      <w:widowControl/>
    </w:pPr>
    <w:rPr>
      <w:b/>
      <w:sz w:val="22"/>
      <w:lang w:eastAsia="sk-SK"/>
    </w:rPr>
  </w:style>
  <w:style w:type="paragraph" w:customStyle="1" w:styleId="Tabulka1">
    <w:name w:val="Tabulka 1"/>
    <w:basedOn w:val="Styl3"/>
    <w:qFormat/>
    <w:rsid w:val="00224D55"/>
    <w:pPr>
      <w:spacing w:after="0"/>
    </w:pPr>
    <w:rPr>
      <w:u w:val="none"/>
    </w:rPr>
  </w:style>
  <w:style w:type="character" w:styleId="Odkaznakomentr">
    <w:name w:val="annotation reference"/>
    <w:semiHidden/>
    <w:rsid w:val="00AB327C"/>
    <w:rPr>
      <w:sz w:val="16"/>
      <w:szCs w:val="16"/>
    </w:rPr>
  </w:style>
  <w:style w:type="paragraph" w:styleId="Textkomentra">
    <w:name w:val="annotation text"/>
    <w:basedOn w:val="Normlny"/>
    <w:semiHidden/>
    <w:rsid w:val="00AB327C"/>
    <w:rPr>
      <w:sz w:val="20"/>
      <w:szCs w:val="20"/>
    </w:rPr>
  </w:style>
  <w:style w:type="paragraph" w:styleId="Predmetkomentra">
    <w:name w:val="annotation subject"/>
    <w:basedOn w:val="Textkomentra"/>
    <w:next w:val="Textkomentra"/>
    <w:semiHidden/>
    <w:rsid w:val="00AB327C"/>
    <w:rPr>
      <w:b/>
      <w:bCs/>
    </w:rPr>
  </w:style>
  <w:style w:type="paragraph" w:customStyle="1" w:styleId="Default">
    <w:name w:val="Default"/>
    <w:rsid w:val="00224D55"/>
    <w:pPr>
      <w:autoSpaceDE w:val="0"/>
      <w:autoSpaceDN w:val="0"/>
      <w:adjustRightInd w:val="0"/>
    </w:pPr>
    <w:rPr>
      <w:rFonts w:ascii="Times New Roman" w:hAnsi="Times New Roman"/>
      <w:color w:val="000000"/>
      <w:sz w:val="24"/>
      <w:szCs w:val="24"/>
    </w:rPr>
  </w:style>
  <w:style w:type="character" w:styleId="Hypertextovprepojenie">
    <w:name w:val="Hyperlink"/>
    <w:semiHidden/>
    <w:unhideWhenUsed/>
    <w:rsid w:val="000E3F92"/>
    <w:rPr>
      <w:color w:val="0000FF"/>
      <w:u w:val="single"/>
    </w:rPr>
  </w:style>
  <w:style w:type="paragraph" w:styleId="Revzia">
    <w:name w:val="Revision"/>
    <w:hidden/>
    <w:uiPriority w:val="99"/>
    <w:semiHidden/>
    <w:rsid w:val="002E5F8A"/>
    <w:rPr>
      <w:rFonts w:ascii="Times New Roman" w:hAnsi="Times New Roman"/>
      <w:sz w:val="24"/>
      <w:szCs w:val="24"/>
      <w:lang w:eastAsia="zh-CN"/>
    </w:rPr>
  </w:style>
  <w:style w:type="paragraph" w:customStyle="1" w:styleId="Styl2-2">
    <w:name w:val="Styl2-2"/>
    <w:basedOn w:val="Styl2"/>
    <w:next w:val="Normlny"/>
    <w:autoRedefine/>
    <w:qFormat/>
    <w:rsid w:val="00224D55"/>
    <w:pPr>
      <w:numPr>
        <w:ilvl w:val="0"/>
        <w:numId w:val="0"/>
      </w:numPr>
      <w:suppressAutoHyphens w:val="0"/>
      <w:spacing w:before="120"/>
    </w:pPr>
    <w:rPr>
      <w:noProof w:val="0"/>
      <w:szCs w:val="20"/>
      <w:lang w:eastAsia="cs-CZ"/>
    </w:rPr>
  </w:style>
  <w:style w:type="character" w:customStyle="1" w:styleId="shorttext">
    <w:name w:val="short_text"/>
    <w:basedOn w:val="Predvolenpsmoodseku"/>
    <w:rsid w:val="00224D55"/>
    <w:rPr>
      <w:lang w:val="sk-SK"/>
    </w:rPr>
  </w:style>
  <w:style w:type="character" w:customStyle="1" w:styleId="Nadpis1Char">
    <w:name w:val="Nadpis 1 Char"/>
    <w:basedOn w:val="Predvolenpsmoodseku"/>
    <w:link w:val="Nadpis1"/>
    <w:uiPriority w:val="9"/>
    <w:rsid w:val="00224D55"/>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720177">
      <w:bodyDiv w:val="1"/>
      <w:marLeft w:val="0"/>
      <w:marRight w:val="0"/>
      <w:marTop w:val="0"/>
      <w:marBottom w:val="0"/>
      <w:divBdr>
        <w:top w:val="none" w:sz="0" w:space="0" w:color="auto"/>
        <w:left w:val="none" w:sz="0" w:space="0" w:color="auto"/>
        <w:bottom w:val="none" w:sz="0" w:space="0" w:color="auto"/>
        <w:right w:val="none" w:sz="0" w:space="0" w:color="auto"/>
      </w:divBdr>
    </w:div>
    <w:div w:id="1084453541">
      <w:bodyDiv w:val="1"/>
      <w:marLeft w:val="0"/>
      <w:marRight w:val="0"/>
      <w:marTop w:val="0"/>
      <w:marBottom w:val="0"/>
      <w:divBdr>
        <w:top w:val="none" w:sz="0" w:space="0" w:color="auto"/>
        <w:left w:val="none" w:sz="0" w:space="0" w:color="auto"/>
        <w:bottom w:val="none" w:sz="0" w:space="0" w:color="auto"/>
        <w:right w:val="none" w:sz="0" w:space="0" w:color="auto"/>
      </w:divBdr>
    </w:div>
    <w:div w:id="109015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7B13B-F92B-426D-8DFD-C22EFEA4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17</Pages>
  <Words>7639</Words>
  <Characters>43544</Characters>
  <Application>Microsoft Office Word</Application>
  <DocSecurity>0</DocSecurity>
  <Lines>362</Lines>
  <Paragraphs>102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Microsoft Word - H-A-29-PAD-1219-sk.doc</vt:lpstr>
      <vt:lpstr>Microsoft Word - H-A-29-PAD-1219-sk.doc</vt:lpstr>
    </vt:vector>
  </TitlesOfParts>
  <Company>Medochemie, Ltd.</Company>
  <LinksUpToDate>false</LinksUpToDate>
  <CharactersWithSpaces>51081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H-A-29-PAD-1219-sk.doc</dc:title>
  <dc:subject/>
  <dc:creator>Katarína Jacková</dc:creator>
  <cp:keywords/>
  <cp:lastModifiedBy>Grančaiová, Zuzana</cp:lastModifiedBy>
  <cp:revision>13</cp:revision>
  <cp:lastPrinted>2018-05-03T08:10:00Z</cp:lastPrinted>
  <dcterms:created xsi:type="dcterms:W3CDTF">2018-04-27T07:03:00Z</dcterms:created>
  <dcterms:modified xsi:type="dcterms:W3CDTF">2018-05-09T06:08:00Z</dcterms:modified>
</cp:coreProperties>
</file>