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E9B7C" w14:textId="77777777" w:rsidR="00AA7859" w:rsidRPr="00C921EF" w:rsidRDefault="00AA7859" w:rsidP="00AA7859">
      <w:pPr>
        <w:pStyle w:val="Nzov"/>
        <w:spacing w:after="0"/>
        <w:jc w:val="left"/>
        <w:rPr>
          <w:b w:val="0"/>
          <w:sz w:val="18"/>
          <w:szCs w:val="18"/>
          <w:lang w:val="sk-SK"/>
        </w:rPr>
      </w:pPr>
    </w:p>
    <w:p w14:paraId="05EFEE5E" w14:textId="77777777" w:rsidR="00AA7859" w:rsidRPr="00C921EF" w:rsidRDefault="00AA7859" w:rsidP="00AA7859">
      <w:pPr>
        <w:pStyle w:val="Nzov"/>
        <w:spacing w:after="0"/>
        <w:rPr>
          <w:sz w:val="22"/>
          <w:szCs w:val="22"/>
          <w:lang w:val="sk-SK"/>
        </w:rPr>
      </w:pPr>
      <w:r w:rsidRPr="00C921EF">
        <w:rPr>
          <w:sz w:val="22"/>
          <w:szCs w:val="22"/>
          <w:lang w:val="sk-SK"/>
        </w:rPr>
        <w:t>SÚHRN CHARAKTERISTICKÝCH VLASTNOSTÍ LIEKU</w:t>
      </w:r>
    </w:p>
    <w:p w14:paraId="60984B9C" w14:textId="4B3F6435" w:rsidR="00AA7859" w:rsidRDefault="00AA7859" w:rsidP="00AA7859">
      <w:pPr>
        <w:pStyle w:val="Nzov"/>
        <w:spacing w:after="0"/>
        <w:rPr>
          <w:lang w:val="sk-SK"/>
        </w:rPr>
      </w:pPr>
    </w:p>
    <w:p w14:paraId="59F415F3" w14:textId="77777777" w:rsidR="00F0264F" w:rsidRPr="00F61954" w:rsidRDefault="00F0264F" w:rsidP="00AA7859">
      <w:pPr>
        <w:pStyle w:val="Nzov"/>
        <w:spacing w:after="0"/>
        <w:rPr>
          <w:lang w:val="sk-SK"/>
        </w:rPr>
      </w:pPr>
    </w:p>
    <w:p w14:paraId="4D999A1B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Názov lieku</w:t>
      </w:r>
    </w:p>
    <w:p w14:paraId="18B9D002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26C03B5D" w14:textId="21BE5866" w:rsidR="00A03263" w:rsidRDefault="00AA7859" w:rsidP="00AA7859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>Berinert</w:t>
      </w:r>
      <w:r w:rsidR="00E31B2A">
        <w:rPr>
          <w:lang w:val="sk-SK"/>
        </w:rPr>
        <w:t xml:space="preserve"> </w:t>
      </w:r>
      <w:r w:rsidR="00184A32">
        <w:rPr>
          <w:lang w:val="sk-SK"/>
        </w:rPr>
        <w:t xml:space="preserve">2000 </w:t>
      </w:r>
      <w:r w:rsidR="00E31B2A" w:rsidRPr="00AC5EAB">
        <w:rPr>
          <w:lang w:val="sk-SK"/>
        </w:rPr>
        <w:t>IU</w:t>
      </w:r>
      <w:r w:rsidRPr="00F61954">
        <w:rPr>
          <w:lang w:val="sk-SK"/>
        </w:rPr>
        <w:br/>
      </w:r>
      <w:r w:rsidR="00C40161">
        <w:rPr>
          <w:lang w:val="sk-SK"/>
        </w:rPr>
        <w:t>p</w:t>
      </w:r>
      <w:r w:rsidRPr="00F61954">
        <w:rPr>
          <w:lang w:val="sk-SK"/>
        </w:rPr>
        <w:t>rášok a rozpúšťadlo na injekčný roztok</w:t>
      </w:r>
    </w:p>
    <w:p w14:paraId="5FAAFF36" w14:textId="77777777" w:rsidR="00E370E8" w:rsidRDefault="00E370E8" w:rsidP="00AA7859">
      <w:pPr>
        <w:pStyle w:val="SPCtext"/>
        <w:spacing w:after="0"/>
        <w:rPr>
          <w:lang w:val="sk-SK"/>
        </w:rPr>
      </w:pPr>
    </w:p>
    <w:p w14:paraId="546B21C9" w14:textId="1E51F595" w:rsidR="00E370E8" w:rsidRDefault="00A03263" w:rsidP="00AA7859">
      <w:pPr>
        <w:pStyle w:val="SPCtext"/>
        <w:spacing w:after="0"/>
        <w:rPr>
          <w:lang w:val="sk-SK"/>
        </w:rPr>
      </w:pPr>
      <w:r w:rsidRPr="00BA6625">
        <w:rPr>
          <w:lang w:val="sk-SK"/>
        </w:rPr>
        <w:t xml:space="preserve">Berinert </w:t>
      </w:r>
      <w:r w:rsidR="00184A32">
        <w:rPr>
          <w:lang w:val="sk-SK"/>
        </w:rPr>
        <w:t>3000</w:t>
      </w:r>
      <w:r w:rsidR="00184A32" w:rsidRPr="00BA6625">
        <w:rPr>
          <w:lang w:val="sk-SK"/>
        </w:rPr>
        <w:t xml:space="preserve"> </w:t>
      </w:r>
      <w:r w:rsidRPr="00AC5EAB">
        <w:rPr>
          <w:lang w:val="sk-SK"/>
        </w:rPr>
        <w:t>IU</w:t>
      </w:r>
    </w:p>
    <w:p w14:paraId="497B5795" w14:textId="77777777" w:rsidR="00A03263" w:rsidRPr="00F61954" w:rsidRDefault="00C40161" w:rsidP="00AA7859">
      <w:pPr>
        <w:pStyle w:val="SPCtext"/>
        <w:spacing w:after="0"/>
        <w:rPr>
          <w:lang w:val="sk-SK"/>
        </w:rPr>
      </w:pPr>
      <w:r>
        <w:rPr>
          <w:lang w:val="sk-SK"/>
        </w:rPr>
        <w:t>p</w:t>
      </w:r>
      <w:r w:rsidR="00A03263" w:rsidRPr="00F61954">
        <w:rPr>
          <w:lang w:val="sk-SK"/>
        </w:rPr>
        <w:t xml:space="preserve">rášok a rozpúšťadlo </w:t>
      </w:r>
      <w:r w:rsidR="00A03263" w:rsidRPr="00CF5116">
        <w:rPr>
          <w:lang w:val="sk-SK"/>
        </w:rPr>
        <w:t>na injekčný roztok</w:t>
      </w:r>
    </w:p>
    <w:p w14:paraId="1BDBD93B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5C2967B3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3B7C31DE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kvalitatívn</w:t>
      </w:r>
      <w:r w:rsidR="00D15CCC">
        <w:rPr>
          <w:lang w:val="sk-SK"/>
        </w:rPr>
        <w:t xml:space="preserve">e a kvantitatívne zloženie </w:t>
      </w:r>
    </w:p>
    <w:p w14:paraId="2691E472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45F5B83D" w14:textId="60F06CA3" w:rsidR="00AA7859" w:rsidRPr="00F61954" w:rsidRDefault="00AA7859" w:rsidP="00AA7859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>Liečivo: ľudský inhibítor C1</w:t>
      </w:r>
      <w:r w:rsidRPr="00F61954">
        <w:rPr>
          <w:lang w:val="sk-SK"/>
        </w:rPr>
        <w:noBreakHyphen/>
        <w:t>esterázy</w:t>
      </w:r>
      <w:r w:rsidR="006E1CA2">
        <w:rPr>
          <w:lang w:val="sk-SK"/>
        </w:rPr>
        <w:t>,</w:t>
      </w:r>
      <w:r w:rsidR="00184A32">
        <w:rPr>
          <w:lang w:val="sk-SK"/>
        </w:rPr>
        <w:t xml:space="preserve"> subkutánn</w:t>
      </w:r>
      <w:r w:rsidR="005F18BD">
        <w:rPr>
          <w:lang w:val="sk-SK"/>
        </w:rPr>
        <w:t>e</w:t>
      </w:r>
    </w:p>
    <w:p w14:paraId="7EA9D94B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550209FB" w14:textId="49471544" w:rsidR="00AA7859" w:rsidRDefault="00AA7859" w:rsidP="00AA7859">
      <w:pPr>
        <w:pStyle w:val="SPCtext"/>
        <w:spacing w:after="0"/>
        <w:rPr>
          <w:szCs w:val="22"/>
          <w:lang w:val="sk-SK"/>
        </w:rPr>
      </w:pPr>
      <w:r w:rsidRPr="00F61954">
        <w:rPr>
          <w:szCs w:val="22"/>
          <w:lang w:val="sk-SK"/>
        </w:rPr>
        <w:t xml:space="preserve">Berinert </w:t>
      </w:r>
      <w:r w:rsidR="00184A32">
        <w:rPr>
          <w:szCs w:val="22"/>
          <w:lang w:val="sk-SK"/>
        </w:rPr>
        <w:t xml:space="preserve">2000 </w:t>
      </w:r>
      <w:r w:rsidR="00A03263">
        <w:rPr>
          <w:szCs w:val="22"/>
          <w:lang w:val="sk-SK"/>
        </w:rPr>
        <w:t xml:space="preserve">IU </w:t>
      </w:r>
      <w:r w:rsidRPr="00F61954">
        <w:rPr>
          <w:szCs w:val="22"/>
          <w:lang w:val="sk-SK"/>
        </w:rPr>
        <w:t xml:space="preserve">obsahuje </w:t>
      </w:r>
      <w:r w:rsidR="00184A32">
        <w:rPr>
          <w:szCs w:val="22"/>
          <w:lang w:val="sk-SK"/>
        </w:rPr>
        <w:t>2000</w:t>
      </w:r>
      <w:r w:rsidR="00184A32" w:rsidRPr="00F61954">
        <w:rPr>
          <w:szCs w:val="22"/>
          <w:lang w:val="sk-SK"/>
        </w:rPr>
        <w:t xml:space="preserve"> </w:t>
      </w:r>
      <w:r w:rsidRPr="00F61954">
        <w:rPr>
          <w:szCs w:val="22"/>
          <w:lang w:val="sk-SK"/>
        </w:rPr>
        <w:t>IU v jednej injekčnej liekovke.</w:t>
      </w:r>
    </w:p>
    <w:p w14:paraId="4A45C636" w14:textId="4707BE20" w:rsidR="00A03263" w:rsidRDefault="00A03263" w:rsidP="00AA7859">
      <w:pPr>
        <w:pStyle w:val="SPCtext"/>
        <w:spacing w:after="0"/>
        <w:rPr>
          <w:szCs w:val="22"/>
          <w:lang w:val="sk-SK"/>
        </w:rPr>
      </w:pPr>
      <w:r>
        <w:rPr>
          <w:szCs w:val="22"/>
          <w:lang w:val="sk-SK"/>
        </w:rPr>
        <w:t xml:space="preserve">Berinert </w:t>
      </w:r>
      <w:r w:rsidR="00184A32">
        <w:rPr>
          <w:szCs w:val="22"/>
          <w:lang w:val="sk-SK"/>
        </w:rPr>
        <w:t xml:space="preserve">3000 </w:t>
      </w:r>
      <w:r>
        <w:rPr>
          <w:szCs w:val="22"/>
          <w:lang w:val="sk-SK"/>
        </w:rPr>
        <w:t xml:space="preserve">IU obsahuje </w:t>
      </w:r>
      <w:r w:rsidR="00184A32">
        <w:rPr>
          <w:szCs w:val="22"/>
          <w:lang w:val="sk-SK"/>
        </w:rPr>
        <w:t xml:space="preserve">3000 </w:t>
      </w:r>
      <w:r>
        <w:rPr>
          <w:szCs w:val="22"/>
          <w:lang w:val="sk-SK"/>
        </w:rPr>
        <w:t>IU v jednej injekčnej liekovke.</w:t>
      </w:r>
    </w:p>
    <w:p w14:paraId="71D1F243" w14:textId="77777777" w:rsidR="00CE4F6B" w:rsidRPr="00F61954" w:rsidRDefault="00CE4F6B" w:rsidP="00AA7859">
      <w:pPr>
        <w:pStyle w:val="SPCtext"/>
        <w:spacing w:after="0"/>
        <w:rPr>
          <w:lang w:val="sk-SK"/>
        </w:rPr>
      </w:pPr>
    </w:p>
    <w:p w14:paraId="1E47DCB8" w14:textId="4C6B70E5" w:rsidR="00AA7859" w:rsidRPr="00F61954" w:rsidRDefault="00AA7859" w:rsidP="00AA7859">
      <w:pPr>
        <w:pStyle w:val="SPCtext"/>
        <w:spacing w:after="0"/>
        <w:rPr>
          <w:rStyle w:val="hps"/>
          <w:szCs w:val="22"/>
          <w:lang w:val="sk-SK"/>
        </w:rPr>
      </w:pPr>
      <w:r w:rsidRPr="00F61954">
        <w:rPr>
          <w:rStyle w:val="hps"/>
          <w:szCs w:val="22"/>
          <w:lang w:val="sk-SK"/>
        </w:rPr>
        <w:t>Účinnosť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 xml:space="preserve">inhibítora 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C1</w:t>
      </w:r>
      <w:r w:rsidRPr="00F61954">
        <w:rPr>
          <w:rStyle w:val="atn"/>
          <w:szCs w:val="22"/>
          <w:lang w:val="sk-SK"/>
        </w:rPr>
        <w:t>-</w:t>
      </w:r>
      <w:r w:rsidRPr="00F61954">
        <w:rPr>
          <w:szCs w:val="22"/>
          <w:lang w:val="sk-SK"/>
        </w:rPr>
        <w:t xml:space="preserve">esterázy </w:t>
      </w:r>
      <w:r w:rsidRPr="00F61954">
        <w:rPr>
          <w:rStyle w:val="hps"/>
          <w:szCs w:val="22"/>
          <w:lang w:val="sk-SK"/>
        </w:rPr>
        <w:t>sa vyjadruje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v me</w:t>
      </w:r>
      <w:r w:rsidR="00CE4F6B">
        <w:rPr>
          <w:rStyle w:val="hps"/>
          <w:szCs w:val="22"/>
          <w:lang w:val="sk-SK"/>
        </w:rPr>
        <w:t>d</w:t>
      </w:r>
      <w:r w:rsidRPr="00F61954">
        <w:rPr>
          <w:rStyle w:val="hps"/>
          <w:szCs w:val="22"/>
          <w:lang w:val="sk-SK"/>
        </w:rPr>
        <w:t>zinárodných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jednotkách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(</w:t>
      </w:r>
      <w:r w:rsidRPr="00F61954">
        <w:rPr>
          <w:szCs w:val="22"/>
          <w:lang w:val="sk-SK"/>
        </w:rPr>
        <w:t>IU) a</w:t>
      </w:r>
      <w:r w:rsidRPr="00F61954">
        <w:rPr>
          <w:rStyle w:val="hps"/>
          <w:szCs w:val="22"/>
          <w:lang w:val="sk-SK"/>
        </w:rPr>
        <w:t xml:space="preserve"> vzťahuje sa k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aktuálnemu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WHO š</w:t>
      </w:r>
      <w:r w:rsidR="00CE4F6B">
        <w:rPr>
          <w:rStyle w:val="hps"/>
          <w:szCs w:val="22"/>
          <w:lang w:val="sk-SK"/>
        </w:rPr>
        <w:t>t</w:t>
      </w:r>
      <w:r w:rsidRPr="00F61954">
        <w:rPr>
          <w:rStyle w:val="hps"/>
          <w:szCs w:val="22"/>
          <w:lang w:val="sk-SK"/>
        </w:rPr>
        <w:t>andardu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pre</w:t>
      </w:r>
      <w:r w:rsidRPr="00F61954">
        <w:rPr>
          <w:szCs w:val="22"/>
          <w:lang w:val="sk-SK"/>
        </w:rPr>
        <w:t xml:space="preserve"> </w:t>
      </w:r>
      <w:r w:rsidRPr="00F61954">
        <w:rPr>
          <w:rStyle w:val="hps"/>
          <w:szCs w:val="22"/>
          <w:lang w:val="sk-SK"/>
        </w:rPr>
        <w:t>lieky s</w:t>
      </w:r>
      <w:r w:rsidR="00175644">
        <w:rPr>
          <w:rStyle w:val="hps"/>
          <w:szCs w:val="22"/>
          <w:lang w:val="sk-SK"/>
        </w:rPr>
        <w:t xml:space="preserve"> obsahom </w:t>
      </w:r>
      <w:r w:rsidRPr="00F61954">
        <w:rPr>
          <w:rStyle w:val="hps"/>
          <w:szCs w:val="22"/>
          <w:lang w:val="sk-SK"/>
        </w:rPr>
        <w:t>inhibítor</w:t>
      </w:r>
      <w:r w:rsidR="00175644">
        <w:rPr>
          <w:rStyle w:val="hps"/>
          <w:szCs w:val="22"/>
          <w:lang w:val="sk-SK"/>
        </w:rPr>
        <w:t>a</w:t>
      </w:r>
      <w:r w:rsidRPr="00F61954">
        <w:rPr>
          <w:rStyle w:val="hps"/>
          <w:szCs w:val="22"/>
          <w:lang w:val="sk-SK"/>
        </w:rPr>
        <w:t xml:space="preserve"> C1</w:t>
      </w:r>
      <w:r w:rsidRPr="00F61954">
        <w:rPr>
          <w:rStyle w:val="atn"/>
          <w:szCs w:val="22"/>
          <w:lang w:val="sk-SK"/>
        </w:rPr>
        <w:t>-</w:t>
      </w:r>
      <w:r w:rsidRPr="00F61954">
        <w:rPr>
          <w:szCs w:val="22"/>
          <w:lang w:val="sk-SK"/>
        </w:rPr>
        <w:t>esterázy</w:t>
      </w:r>
      <w:r w:rsidRPr="00F61954">
        <w:rPr>
          <w:rStyle w:val="hps"/>
          <w:szCs w:val="22"/>
          <w:lang w:val="sk-SK"/>
        </w:rPr>
        <w:t>.</w:t>
      </w:r>
    </w:p>
    <w:p w14:paraId="45EB335E" w14:textId="77777777" w:rsidR="00AA7859" w:rsidRPr="00F61954" w:rsidRDefault="00AA7859" w:rsidP="00AA7859">
      <w:pPr>
        <w:pStyle w:val="SPCtext"/>
        <w:spacing w:after="0"/>
        <w:rPr>
          <w:rStyle w:val="hps"/>
          <w:szCs w:val="22"/>
          <w:lang w:val="sk-SK"/>
        </w:rPr>
      </w:pPr>
    </w:p>
    <w:p w14:paraId="6B1E83A6" w14:textId="50D6DF9A" w:rsidR="00AA7859" w:rsidRPr="00F61954" w:rsidRDefault="00A03263" w:rsidP="00AA7859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184A32">
        <w:rPr>
          <w:lang w:val="sk-SK"/>
        </w:rPr>
        <w:t xml:space="preserve">2000 </w:t>
      </w:r>
      <w:r>
        <w:rPr>
          <w:lang w:val="sk-SK"/>
        </w:rPr>
        <w:t>IU</w:t>
      </w:r>
      <w:r w:rsidRPr="00F61954">
        <w:rPr>
          <w:lang w:val="sk-SK"/>
        </w:rPr>
        <w:t xml:space="preserve"> </w:t>
      </w:r>
      <w:r w:rsidR="00AA7859" w:rsidRPr="00F61954">
        <w:rPr>
          <w:lang w:val="sk-SK"/>
        </w:rPr>
        <w:t xml:space="preserve">obsahuje </w:t>
      </w:r>
      <w:r w:rsidR="00184A32">
        <w:rPr>
          <w:lang w:val="sk-SK"/>
        </w:rPr>
        <w:t>500</w:t>
      </w:r>
      <w:r w:rsidR="00184A32" w:rsidRPr="00F61954">
        <w:rPr>
          <w:lang w:val="sk-SK"/>
        </w:rPr>
        <w:t> </w:t>
      </w:r>
      <w:r w:rsidR="00AA7859" w:rsidRPr="00F61954">
        <w:rPr>
          <w:lang w:val="sk-SK"/>
        </w:rPr>
        <w:t>IU/ml inhibítora C1</w:t>
      </w:r>
      <w:r w:rsidR="00AA7859" w:rsidRPr="00F61954">
        <w:rPr>
          <w:lang w:val="sk-SK"/>
        </w:rPr>
        <w:noBreakHyphen/>
        <w:t>esterázy po rekonštitúcii s</w:t>
      </w:r>
      <w:r w:rsidR="00444646">
        <w:rPr>
          <w:lang w:val="sk-SK"/>
        </w:rPr>
        <w:t>o</w:t>
      </w:r>
      <w:r w:rsidR="00AA7859" w:rsidRPr="00F61954">
        <w:rPr>
          <w:lang w:val="sk-SK"/>
        </w:rPr>
        <w:t xml:space="preserve"> </w:t>
      </w:r>
      <w:r w:rsidR="00184A32">
        <w:rPr>
          <w:lang w:val="sk-SK"/>
        </w:rPr>
        <w:t>4</w:t>
      </w:r>
      <w:r w:rsidR="00184A32" w:rsidRPr="00F61954">
        <w:rPr>
          <w:lang w:val="sk-SK"/>
        </w:rPr>
        <w:t> </w:t>
      </w:r>
      <w:r w:rsidR="00AA7859" w:rsidRPr="00F61954">
        <w:rPr>
          <w:lang w:val="sk-SK"/>
        </w:rPr>
        <w:t>ml vody na injekci</w:t>
      </w:r>
      <w:r w:rsidR="0037165F">
        <w:rPr>
          <w:lang w:val="sk-SK"/>
        </w:rPr>
        <w:t>e</w:t>
      </w:r>
      <w:r w:rsidR="00AA7859" w:rsidRPr="00F61954">
        <w:rPr>
          <w:lang w:val="sk-SK"/>
        </w:rPr>
        <w:t>.</w:t>
      </w:r>
    </w:p>
    <w:p w14:paraId="0CAD63BB" w14:textId="5E4CEBB0" w:rsidR="00A03263" w:rsidRPr="00F61954" w:rsidRDefault="00A03263" w:rsidP="00A03263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184A32">
        <w:rPr>
          <w:lang w:val="sk-SK"/>
        </w:rPr>
        <w:t xml:space="preserve">3000 </w:t>
      </w:r>
      <w:r>
        <w:rPr>
          <w:lang w:val="sk-SK"/>
        </w:rPr>
        <w:t>IU</w:t>
      </w:r>
      <w:r w:rsidRPr="00F61954">
        <w:rPr>
          <w:lang w:val="sk-SK"/>
        </w:rPr>
        <w:t xml:space="preserve"> obsahuje 50</w:t>
      </w:r>
      <w:r>
        <w:rPr>
          <w:lang w:val="sk-SK"/>
        </w:rPr>
        <w:t>0</w:t>
      </w:r>
      <w:r w:rsidRPr="00F61954">
        <w:rPr>
          <w:lang w:val="sk-SK"/>
        </w:rPr>
        <w:t> IU/ml inhibítora C1</w:t>
      </w:r>
      <w:r w:rsidRPr="00F61954">
        <w:rPr>
          <w:lang w:val="sk-SK"/>
        </w:rPr>
        <w:noBreakHyphen/>
        <w:t>esterázy po rekonštitúcii s</w:t>
      </w:r>
      <w:r w:rsidR="00444646">
        <w:rPr>
          <w:lang w:val="sk-SK"/>
        </w:rPr>
        <w:t>o</w:t>
      </w:r>
      <w:r w:rsidRPr="00F61954">
        <w:rPr>
          <w:lang w:val="sk-SK"/>
        </w:rPr>
        <w:t xml:space="preserve"> </w:t>
      </w:r>
      <w:r w:rsidR="00184A32">
        <w:rPr>
          <w:lang w:val="sk-SK"/>
        </w:rPr>
        <w:t>6</w:t>
      </w:r>
      <w:r w:rsidR="00184A32" w:rsidRPr="00F61954">
        <w:rPr>
          <w:lang w:val="sk-SK"/>
        </w:rPr>
        <w:t> </w:t>
      </w:r>
      <w:r w:rsidRPr="00F61954">
        <w:rPr>
          <w:lang w:val="sk-SK"/>
        </w:rPr>
        <w:t xml:space="preserve">ml vody na </w:t>
      </w:r>
      <w:r w:rsidR="0037165F" w:rsidRPr="00F61954">
        <w:rPr>
          <w:lang w:val="sk-SK"/>
        </w:rPr>
        <w:t>injekci</w:t>
      </w:r>
      <w:r w:rsidR="0037165F">
        <w:rPr>
          <w:lang w:val="sk-SK"/>
        </w:rPr>
        <w:t>e</w:t>
      </w:r>
      <w:r w:rsidRPr="00F61954">
        <w:rPr>
          <w:lang w:val="sk-SK"/>
        </w:rPr>
        <w:t>.</w:t>
      </w:r>
    </w:p>
    <w:p w14:paraId="72D7AA1D" w14:textId="77777777" w:rsidR="00AA7859" w:rsidRPr="00F61954" w:rsidRDefault="00AA7859" w:rsidP="00AA7859">
      <w:pPr>
        <w:pStyle w:val="SPCtext"/>
        <w:spacing w:after="0"/>
        <w:rPr>
          <w:lang w:val="sk-SK"/>
        </w:rPr>
      </w:pPr>
      <w:bookmarkStart w:id="0" w:name="_Hlk502672556"/>
    </w:p>
    <w:p w14:paraId="3AA7D5A6" w14:textId="62453949" w:rsidR="00A03263" w:rsidRPr="00F61954" w:rsidRDefault="00AA7859" w:rsidP="00A03263">
      <w:pPr>
        <w:pStyle w:val="SPCtext"/>
        <w:spacing w:after="0"/>
        <w:rPr>
          <w:lang w:val="sk-SK"/>
        </w:rPr>
      </w:pPr>
      <w:bookmarkStart w:id="1" w:name="_Hlk502672576"/>
      <w:r w:rsidRPr="00F61954">
        <w:rPr>
          <w:lang w:val="sk-SK"/>
        </w:rPr>
        <w:t>Celkový obsah proteínov v</w:t>
      </w:r>
      <w:r w:rsidR="00A03263">
        <w:rPr>
          <w:lang w:val="sk-SK"/>
        </w:rPr>
        <w:t xml:space="preserve">  </w:t>
      </w:r>
      <w:r w:rsidRPr="00F61954">
        <w:rPr>
          <w:lang w:val="sk-SK"/>
        </w:rPr>
        <w:t xml:space="preserve">roztoku po rekonštitúcii </w:t>
      </w:r>
      <w:r w:rsidR="00A03263" w:rsidRPr="00F61954">
        <w:rPr>
          <w:lang w:val="sk-SK"/>
        </w:rPr>
        <w:t>je 65 mg/ml.</w:t>
      </w:r>
    </w:p>
    <w:bookmarkEnd w:id="0"/>
    <w:bookmarkEnd w:id="1"/>
    <w:p w14:paraId="53BC245C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73CBBC34" w14:textId="77777777" w:rsidR="00AA7859" w:rsidRPr="00915A16" w:rsidRDefault="00AA7859" w:rsidP="00AA7859">
      <w:pPr>
        <w:pStyle w:val="SPCtext"/>
        <w:spacing w:after="0"/>
        <w:rPr>
          <w:u w:val="single"/>
          <w:lang w:val="sk-SK"/>
        </w:rPr>
      </w:pPr>
      <w:r w:rsidRPr="00915A16">
        <w:rPr>
          <w:u w:val="single"/>
          <w:lang w:val="sk-SK"/>
        </w:rPr>
        <w:t>Pomocné látky so známym účinkom:</w:t>
      </w:r>
    </w:p>
    <w:p w14:paraId="6A000E79" w14:textId="77777777" w:rsidR="00AA7859" w:rsidRDefault="00AA7859" w:rsidP="00AA7859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>100 ml roztoku obsahuje do 486 mg (približne 21 mmol)</w:t>
      </w:r>
      <w:r w:rsidR="00584EEF" w:rsidRPr="00584EEF">
        <w:rPr>
          <w:lang w:val="sk-SK"/>
        </w:rPr>
        <w:t xml:space="preserve"> </w:t>
      </w:r>
      <w:r w:rsidR="00584EEF" w:rsidRPr="00887EC2">
        <w:rPr>
          <w:lang w:val="sk-SK"/>
        </w:rPr>
        <w:t>sodíka</w:t>
      </w:r>
      <w:r w:rsidRPr="00F61954">
        <w:rPr>
          <w:lang w:val="sk-SK"/>
        </w:rPr>
        <w:t>.</w:t>
      </w:r>
    </w:p>
    <w:p w14:paraId="1F383444" w14:textId="77777777" w:rsidR="00B50038" w:rsidRPr="00F61954" w:rsidRDefault="00B50038" w:rsidP="00AA7859">
      <w:pPr>
        <w:pStyle w:val="SPCtext"/>
        <w:spacing w:after="0"/>
        <w:rPr>
          <w:lang w:val="sk-SK"/>
        </w:rPr>
      </w:pPr>
    </w:p>
    <w:p w14:paraId="4A39D54B" w14:textId="77777777" w:rsidR="00AA7859" w:rsidRPr="00F61954" w:rsidRDefault="00AA7859" w:rsidP="00AA7859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>Úplný zoznam pomocných látok, pozri časť 6.1.</w:t>
      </w:r>
    </w:p>
    <w:p w14:paraId="27B867C1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687111DB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54C6E7FB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lieková forma</w:t>
      </w:r>
    </w:p>
    <w:p w14:paraId="6DBE77D3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3F07CC38" w14:textId="47FAA97C" w:rsidR="00A03263" w:rsidRDefault="00A03263" w:rsidP="00AA7859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184A32">
        <w:rPr>
          <w:lang w:val="sk-SK"/>
        </w:rPr>
        <w:t xml:space="preserve">2000 </w:t>
      </w:r>
      <w:r>
        <w:rPr>
          <w:lang w:val="sk-SK"/>
        </w:rPr>
        <w:t>IU:</w:t>
      </w:r>
    </w:p>
    <w:p w14:paraId="29324FD8" w14:textId="6E89AF0A" w:rsidR="00AA7859" w:rsidRDefault="00AA7859" w:rsidP="00AA7859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 xml:space="preserve">Prášok </w:t>
      </w:r>
      <w:r w:rsidR="00AB2421">
        <w:rPr>
          <w:lang w:val="sk-SK"/>
        </w:rPr>
        <w:t>a rozpúšťadlo na injekčný</w:t>
      </w:r>
      <w:r w:rsidRPr="00F61954">
        <w:rPr>
          <w:lang w:val="sk-SK"/>
        </w:rPr>
        <w:t xml:space="preserve"> roztok.</w:t>
      </w:r>
    </w:p>
    <w:p w14:paraId="0A2DE099" w14:textId="77777777" w:rsidR="00A03263" w:rsidRDefault="00A03263" w:rsidP="00AA7859">
      <w:pPr>
        <w:pStyle w:val="SPCtext"/>
        <w:spacing w:after="0"/>
        <w:rPr>
          <w:lang w:val="sk-SK"/>
        </w:rPr>
      </w:pPr>
    </w:p>
    <w:p w14:paraId="1D0DF9DE" w14:textId="7644DF1F" w:rsidR="00A03263" w:rsidRDefault="00A03263" w:rsidP="00AA7859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184A32">
        <w:rPr>
          <w:lang w:val="sk-SK"/>
        </w:rPr>
        <w:t xml:space="preserve">3000 </w:t>
      </w:r>
      <w:r>
        <w:rPr>
          <w:lang w:val="sk-SK"/>
        </w:rPr>
        <w:t>IU:</w:t>
      </w:r>
    </w:p>
    <w:p w14:paraId="3C377A89" w14:textId="77777777" w:rsidR="00A03263" w:rsidRDefault="00A03263" w:rsidP="00AA7859">
      <w:pPr>
        <w:pStyle w:val="SPCtext"/>
        <w:spacing w:after="0"/>
        <w:rPr>
          <w:lang w:val="sk-SK"/>
        </w:rPr>
      </w:pPr>
      <w:r>
        <w:rPr>
          <w:lang w:val="sk-SK"/>
        </w:rPr>
        <w:t>Prášok a rozpúšťadlo na injekčný roztok.</w:t>
      </w:r>
    </w:p>
    <w:p w14:paraId="3764BF26" w14:textId="77777777" w:rsidR="00624F89" w:rsidRDefault="00624F89" w:rsidP="00AA7859">
      <w:pPr>
        <w:pStyle w:val="SPCtext"/>
        <w:spacing w:after="0"/>
        <w:rPr>
          <w:lang w:val="sk-SK"/>
        </w:rPr>
      </w:pPr>
    </w:p>
    <w:p w14:paraId="2F05E56E" w14:textId="77777777" w:rsidR="00624F89" w:rsidRPr="00F61954" w:rsidRDefault="00624F89" w:rsidP="00AA7859">
      <w:pPr>
        <w:pStyle w:val="SPCtext"/>
        <w:spacing w:after="0"/>
        <w:rPr>
          <w:lang w:val="sk-SK"/>
        </w:rPr>
      </w:pPr>
      <w:r>
        <w:rPr>
          <w:lang w:val="sk-SK"/>
        </w:rPr>
        <w:t>Biely prášok.</w:t>
      </w:r>
    </w:p>
    <w:p w14:paraId="103F7186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6CF2DCDF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3C1043E2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Klinické údaje</w:t>
      </w:r>
    </w:p>
    <w:p w14:paraId="57090C18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1121CA24" w14:textId="77777777" w:rsidR="00AA7859" w:rsidRPr="00F61954" w:rsidRDefault="00AA7859" w:rsidP="00AA7859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Terapeutické indikácie</w:t>
      </w:r>
    </w:p>
    <w:p w14:paraId="58547D40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11F9C7EA" w14:textId="24EC8CB5" w:rsidR="00AA7859" w:rsidRDefault="00184A32" w:rsidP="00AA7859">
      <w:pPr>
        <w:pStyle w:val="SPCtext"/>
        <w:spacing w:after="0"/>
        <w:rPr>
          <w:lang w:val="sk-SK"/>
        </w:rPr>
      </w:pPr>
      <w:r>
        <w:rPr>
          <w:lang w:val="sk-SK"/>
        </w:rPr>
        <w:t>Berinert</w:t>
      </w:r>
      <w:r w:rsidR="005F18BD">
        <w:rPr>
          <w:lang w:val="sk-SK"/>
        </w:rPr>
        <w:t>,</w:t>
      </w:r>
      <w:r>
        <w:rPr>
          <w:lang w:val="sk-SK"/>
        </w:rPr>
        <w:t xml:space="preserve"> </w:t>
      </w:r>
      <w:r w:rsidR="00E678FA">
        <w:rPr>
          <w:lang w:val="sk-SK"/>
        </w:rPr>
        <w:t>na</w:t>
      </w:r>
      <w:r w:rsidR="004E6D88">
        <w:rPr>
          <w:lang w:val="sk-SK"/>
        </w:rPr>
        <w:t xml:space="preserve"> </w:t>
      </w:r>
      <w:r>
        <w:rPr>
          <w:lang w:val="sk-SK"/>
        </w:rPr>
        <w:t>subkutánn</w:t>
      </w:r>
      <w:r w:rsidR="004E6D88">
        <w:rPr>
          <w:lang w:val="sk-SK"/>
        </w:rPr>
        <w:t>u</w:t>
      </w:r>
      <w:r>
        <w:rPr>
          <w:lang w:val="sk-SK"/>
        </w:rPr>
        <w:t xml:space="preserve"> injekci</w:t>
      </w:r>
      <w:r w:rsidR="004E6D88">
        <w:rPr>
          <w:lang w:val="sk-SK"/>
        </w:rPr>
        <w:t>u</w:t>
      </w:r>
      <w:r w:rsidR="005F18BD">
        <w:rPr>
          <w:lang w:val="sk-SK"/>
        </w:rPr>
        <w:t>,</w:t>
      </w:r>
      <w:r>
        <w:rPr>
          <w:lang w:val="sk-SK"/>
        </w:rPr>
        <w:t xml:space="preserve"> je </w:t>
      </w:r>
      <w:r w:rsidRPr="00DA1B4B">
        <w:rPr>
          <w:lang w:val="sk-SK"/>
        </w:rPr>
        <w:t xml:space="preserve">indikovaný </w:t>
      </w:r>
      <w:r w:rsidR="00C52A6A">
        <w:rPr>
          <w:lang w:val="sk-SK"/>
        </w:rPr>
        <w:t>na</w:t>
      </w:r>
      <w:r w:rsidRPr="00DA1B4B">
        <w:rPr>
          <w:lang w:val="sk-SK"/>
        </w:rPr>
        <w:t xml:space="preserve"> </w:t>
      </w:r>
      <w:r w:rsidR="0031477E" w:rsidRPr="00355816">
        <w:rPr>
          <w:szCs w:val="22"/>
          <w:lang w:val="sk-SK"/>
        </w:rPr>
        <w:t xml:space="preserve">prevenciu </w:t>
      </w:r>
      <w:r w:rsidR="0031477E" w:rsidRPr="00B2500C">
        <w:rPr>
          <w:rStyle w:val="shorttext"/>
          <w:szCs w:val="22"/>
          <w:lang w:val="sk-SK"/>
        </w:rPr>
        <w:t xml:space="preserve">opakujúcich sa </w:t>
      </w:r>
      <w:r w:rsidR="0031477E" w:rsidRPr="00215B89">
        <w:rPr>
          <w:szCs w:val="22"/>
          <w:lang w:val="sk-SK"/>
        </w:rPr>
        <w:t>výskytov hereditárneho (dedičného)</w:t>
      </w:r>
      <w:r w:rsidRPr="00DA1B4B">
        <w:rPr>
          <w:lang w:val="sk-SK"/>
        </w:rPr>
        <w:t xml:space="preserve"> angioedému</w:t>
      </w:r>
      <w:r>
        <w:rPr>
          <w:lang w:val="sk-SK"/>
        </w:rPr>
        <w:t xml:space="preserve"> (HAE) u dospievajúcich a dospelých pacientov s deficitom inhibítora C1-esterázy.</w:t>
      </w:r>
    </w:p>
    <w:p w14:paraId="36771B19" w14:textId="77777777" w:rsidR="00184A32" w:rsidRPr="00F61954" w:rsidRDefault="00184A32" w:rsidP="00AA7859">
      <w:pPr>
        <w:pStyle w:val="SPCtext"/>
        <w:spacing w:after="0"/>
        <w:rPr>
          <w:lang w:val="sk-SK"/>
        </w:rPr>
      </w:pPr>
    </w:p>
    <w:p w14:paraId="125765AD" w14:textId="03FAFD2C" w:rsidR="00AA7859" w:rsidRPr="00F61954" w:rsidRDefault="00F0264F" w:rsidP="00AA7859">
      <w:pPr>
        <w:pStyle w:val="SPCNadpis2"/>
        <w:spacing w:before="0" w:after="0"/>
        <w:rPr>
          <w:lang w:val="sk-SK"/>
        </w:rPr>
      </w:pPr>
      <w:r>
        <w:rPr>
          <w:lang w:val="sk-SK"/>
        </w:rPr>
        <w:br w:type="page"/>
      </w:r>
      <w:r w:rsidR="00AA7859" w:rsidRPr="00F61954">
        <w:rPr>
          <w:lang w:val="sk-SK"/>
        </w:rPr>
        <w:lastRenderedPageBreak/>
        <w:t>Dávkovanie a spôsob podávania</w:t>
      </w:r>
    </w:p>
    <w:p w14:paraId="3DE45E49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1126DD74" w14:textId="77E3D15E" w:rsidR="00184A32" w:rsidRPr="00F61954" w:rsidRDefault="00184A32" w:rsidP="00AA7859">
      <w:pPr>
        <w:pStyle w:val="SPCtext"/>
        <w:keepNext/>
        <w:spacing w:after="0"/>
        <w:rPr>
          <w:b/>
          <w:i/>
          <w:lang w:val="sk-SK"/>
        </w:rPr>
      </w:pPr>
      <w:r>
        <w:rPr>
          <w:lang w:val="sk-SK"/>
        </w:rPr>
        <w:t xml:space="preserve">Berinert je určený na </w:t>
      </w:r>
      <w:r w:rsidR="0031477E" w:rsidRPr="00B2500C">
        <w:rPr>
          <w:szCs w:val="22"/>
          <w:lang w:val="sk-SK"/>
        </w:rPr>
        <w:t>subkutánne použitie v domácom prostredí</w:t>
      </w:r>
      <w:r>
        <w:rPr>
          <w:lang w:val="sk-SK"/>
        </w:rPr>
        <w:t xml:space="preserve">. Pacient alebo </w:t>
      </w:r>
      <w:r w:rsidR="00A4592E">
        <w:rPr>
          <w:lang w:val="sk-SK"/>
        </w:rPr>
        <w:t xml:space="preserve">opatrovateľ </w:t>
      </w:r>
      <w:r>
        <w:rPr>
          <w:lang w:val="sk-SK"/>
        </w:rPr>
        <w:t xml:space="preserve">musí byť školený, ako </w:t>
      </w:r>
      <w:r w:rsidR="0031477E">
        <w:rPr>
          <w:lang w:val="sk-SK"/>
        </w:rPr>
        <w:t xml:space="preserve">podávať </w:t>
      </w:r>
      <w:r>
        <w:rPr>
          <w:lang w:val="sk-SK"/>
        </w:rPr>
        <w:t xml:space="preserve">Berinert </w:t>
      </w:r>
      <w:r w:rsidR="0031477E">
        <w:rPr>
          <w:lang w:val="sk-SK"/>
        </w:rPr>
        <w:t>v prípade potreby</w:t>
      </w:r>
      <w:r>
        <w:rPr>
          <w:lang w:val="sk-SK"/>
        </w:rPr>
        <w:t>.</w:t>
      </w:r>
    </w:p>
    <w:p w14:paraId="1B0A630A" w14:textId="77777777" w:rsidR="0031477E" w:rsidRDefault="0031477E" w:rsidP="00AA7859">
      <w:pPr>
        <w:pStyle w:val="SPCtext"/>
        <w:keepNext/>
        <w:spacing w:after="0"/>
        <w:rPr>
          <w:u w:val="single"/>
          <w:lang w:val="sk-SK"/>
        </w:rPr>
      </w:pPr>
    </w:p>
    <w:p w14:paraId="78863D70" w14:textId="77777777" w:rsidR="00AA7859" w:rsidRPr="00184A32" w:rsidRDefault="00AA7859" w:rsidP="00AA7859">
      <w:pPr>
        <w:pStyle w:val="SPCtext"/>
        <w:keepNext/>
        <w:spacing w:after="0"/>
        <w:rPr>
          <w:u w:val="single"/>
          <w:lang w:val="sk-SK"/>
        </w:rPr>
      </w:pPr>
      <w:r w:rsidRPr="00184A32">
        <w:rPr>
          <w:u w:val="single"/>
          <w:lang w:val="sk-SK"/>
        </w:rPr>
        <w:t>Dávkovanie</w:t>
      </w:r>
    </w:p>
    <w:p w14:paraId="1E1D00A7" w14:textId="7AA9F2B1" w:rsidR="00184A32" w:rsidRPr="00915A16" w:rsidRDefault="00184A32" w:rsidP="00AA7859">
      <w:pPr>
        <w:pStyle w:val="SPCtext"/>
        <w:keepNext/>
        <w:spacing w:after="0"/>
        <w:rPr>
          <w:u w:val="single"/>
          <w:lang w:val="sk-SK"/>
        </w:rPr>
      </w:pPr>
      <w:r>
        <w:rPr>
          <w:lang w:val="sk-SK"/>
        </w:rPr>
        <w:t>Odporúčaná dávka Berinert</w:t>
      </w:r>
      <w:r w:rsidR="004E6D88">
        <w:rPr>
          <w:lang w:val="sk-SK"/>
        </w:rPr>
        <w:t>u</w:t>
      </w:r>
      <w:r>
        <w:rPr>
          <w:lang w:val="sk-SK"/>
        </w:rPr>
        <w:t xml:space="preserve"> </w:t>
      </w:r>
      <w:r w:rsidR="00A4592E">
        <w:rPr>
          <w:lang w:val="sk-SK"/>
        </w:rPr>
        <w:t xml:space="preserve">s.c. </w:t>
      </w:r>
      <w:r>
        <w:rPr>
          <w:lang w:val="sk-SK"/>
        </w:rPr>
        <w:t>je 60 IU/kg telesnej hmotnosti dvakrát týždenne (každé 3</w:t>
      </w:r>
      <w:r w:rsidR="00A4592E">
        <w:rPr>
          <w:lang w:val="sk-SK"/>
        </w:rPr>
        <w:t xml:space="preserve"> až</w:t>
      </w:r>
      <w:r>
        <w:rPr>
          <w:lang w:val="sk-SK"/>
        </w:rPr>
        <w:t xml:space="preserve"> 4 dni).</w:t>
      </w:r>
    </w:p>
    <w:p w14:paraId="74599700" w14:textId="77777777" w:rsidR="00AA7859" w:rsidRPr="00F61954" w:rsidRDefault="00AA7859" w:rsidP="00AA7859">
      <w:pPr>
        <w:pStyle w:val="SPCtext"/>
        <w:spacing w:after="0"/>
        <w:rPr>
          <w:szCs w:val="22"/>
          <w:u w:val="single"/>
          <w:lang w:val="sk-SK"/>
        </w:rPr>
      </w:pPr>
    </w:p>
    <w:p w14:paraId="2C02D7E9" w14:textId="77777777" w:rsidR="00AA7859" w:rsidRPr="00184A32" w:rsidRDefault="00AA7859" w:rsidP="00AA7859">
      <w:pPr>
        <w:pStyle w:val="SPCtext"/>
        <w:spacing w:after="0"/>
        <w:rPr>
          <w:b/>
          <w:szCs w:val="22"/>
          <w:lang w:val="sk-SK"/>
        </w:rPr>
      </w:pPr>
      <w:r w:rsidRPr="00184A32">
        <w:rPr>
          <w:b/>
          <w:szCs w:val="22"/>
          <w:lang w:val="sk-SK"/>
        </w:rPr>
        <w:t>Pediatrická populácia</w:t>
      </w:r>
    </w:p>
    <w:p w14:paraId="1F0C51D0" w14:textId="77777777" w:rsidR="00184A32" w:rsidRPr="00C94ACB" w:rsidRDefault="00184A32" w:rsidP="00AA7859">
      <w:pPr>
        <w:pStyle w:val="SPCtext"/>
        <w:spacing w:after="0"/>
        <w:rPr>
          <w:u w:val="single"/>
          <w:lang w:val="sk-SK"/>
        </w:rPr>
      </w:pPr>
      <w:r w:rsidRPr="00C94ACB">
        <w:rPr>
          <w:u w:val="single"/>
          <w:lang w:val="sk-SK"/>
        </w:rPr>
        <w:t>Dávkovanie u dospievajúcich je rovnaké ako u dospelých.</w:t>
      </w:r>
    </w:p>
    <w:p w14:paraId="59B3606A" w14:textId="77777777" w:rsidR="00AA7859" w:rsidRPr="00F61954" w:rsidRDefault="00AA7859" w:rsidP="00AA7859">
      <w:pPr>
        <w:pStyle w:val="SPCtext"/>
        <w:keepNext/>
        <w:spacing w:after="0"/>
        <w:rPr>
          <w:b/>
          <w:i/>
          <w:lang w:val="sk-SK"/>
        </w:rPr>
      </w:pPr>
    </w:p>
    <w:p w14:paraId="5186AC3B" w14:textId="77777777" w:rsidR="00AA7859" w:rsidRPr="00915A16" w:rsidRDefault="00AA7859" w:rsidP="00AA7859">
      <w:pPr>
        <w:pStyle w:val="SPCtext"/>
        <w:keepNext/>
        <w:spacing w:after="0"/>
        <w:rPr>
          <w:u w:val="single"/>
          <w:lang w:val="sk-SK"/>
        </w:rPr>
      </w:pPr>
      <w:r w:rsidRPr="00915A16">
        <w:rPr>
          <w:u w:val="single"/>
          <w:lang w:val="sk-SK"/>
        </w:rPr>
        <w:t>Spôsob podávania</w:t>
      </w:r>
    </w:p>
    <w:p w14:paraId="368A3896" w14:textId="4C99CBB8" w:rsidR="006D33B4" w:rsidRDefault="004E6D88" w:rsidP="00AA7859">
      <w:pPr>
        <w:pStyle w:val="SPCtext"/>
        <w:spacing w:after="0"/>
        <w:rPr>
          <w:rStyle w:val="shorttext"/>
          <w:lang w:val="sk-SK"/>
        </w:rPr>
      </w:pPr>
      <w:r>
        <w:rPr>
          <w:rStyle w:val="shorttext"/>
          <w:lang w:val="sk-SK"/>
        </w:rPr>
        <w:t>Len na subkutánne použitie.</w:t>
      </w:r>
    </w:p>
    <w:p w14:paraId="087A8804" w14:textId="77777777" w:rsidR="004E6D88" w:rsidRDefault="004E6D88" w:rsidP="00AA7859">
      <w:pPr>
        <w:pStyle w:val="SPCtext"/>
        <w:spacing w:after="0"/>
        <w:rPr>
          <w:lang w:val="sk-SK"/>
        </w:rPr>
      </w:pPr>
    </w:p>
    <w:p w14:paraId="6FA9B492" w14:textId="77777777" w:rsidR="00184A32" w:rsidRDefault="00184A32" w:rsidP="00AA7859">
      <w:pPr>
        <w:pStyle w:val="SPCtext"/>
        <w:spacing w:after="0"/>
        <w:rPr>
          <w:lang w:val="sk-SK"/>
        </w:rPr>
      </w:pPr>
      <w:r>
        <w:rPr>
          <w:lang w:val="sk-SK"/>
        </w:rPr>
        <w:t>Pokyny na rekonštitúciu lieku pred podaním, pozri časť 6.6.</w:t>
      </w:r>
    </w:p>
    <w:p w14:paraId="5FC0AB56" w14:textId="77777777" w:rsidR="004E6D88" w:rsidRDefault="004E6D88" w:rsidP="00AA7859">
      <w:pPr>
        <w:pStyle w:val="SPCtext"/>
        <w:spacing w:after="0"/>
        <w:rPr>
          <w:lang w:val="sk-SK"/>
        </w:rPr>
      </w:pPr>
    </w:p>
    <w:p w14:paraId="6092BBA5" w14:textId="77777777" w:rsidR="00992294" w:rsidRDefault="005A4DA9" w:rsidP="00AA7859">
      <w:pPr>
        <w:pStyle w:val="SPCtext"/>
        <w:spacing w:after="0"/>
        <w:rPr>
          <w:lang w:val="sk-SK"/>
        </w:rPr>
      </w:pPr>
      <w:r>
        <w:rPr>
          <w:lang w:val="sk-SK"/>
        </w:rPr>
        <w:t>Odporúčané</w:t>
      </w:r>
      <w:r w:rsidR="00184A32">
        <w:rPr>
          <w:lang w:val="sk-SK"/>
        </w:rPr>
        <w:t xml:space="preserve"> miesto </w:t>
      </w:r>
      <w:r w:rsidR="00AA70C5">
        <w:rPr>
          <w:lang w:val="sk-SK"/>
        </w:rPr>
        <w:t xml:space="preserve">na </w:t>
      </w:r>
      <w:r w:rsidR="00184A32">
        <w:rPr>
          <w:lang w:val="sk-SK"/>
        </w:rPr>
        <w:t xml:space="preserve"> </w:t>
      </w:r>
      <w:r w:rsidR="008C707D">
        <w:rPr>
          <w:lang w:val="sk-SK"/>
        </w:rPr>
        <w:t xml:space="preserve">subkutánnu </w:t>
      </w:r>
      <w:r w:rsidR="00184A32">
        <w:rPr>
          <w:lang w:val="sk-SK"/>
        </w:rPr>
        <w:t>injekci</w:t>
      </w:r>
      <w:r w:rsidR="00AA70C5">
        <w:rPr>
          <w:lang w:val="sk-SK"/>
        </w:rPr>
        <w:t>u</w:t>
      </w:r>
      <w:r w:rsidR="00184A32">
        <w:rPr>
          <w:lang w:val="sk-SK"/>
        </w:rPr>
        <w:t xml:space="preserve"> Berinert</w:t>
      </w:r>
      <w:r w:rsidR="00AA70C5">
        <w:rPr>
          <w:lang w:val="sk-SK"/>
        </w:rPr>
        <w:t>u</w:t>
      </w:r>
      <w:r w:rsidR="00184A32">
        <w:rPr>
          <w:lang w:val="sk-SK"/>
        </w:rPr>
        <w:t xml:space="preserve"> je </w:t>
      </w:r>
      <w:r w:rsidR="008C707D">
        <w:rPr>
          <w:lang w:val="sk-SK"/>
        </w:rPr>
        <w:t xml:space="preserve">abdominálna oblasť (oblasť </w:t>
      </w:r>
      <w:r w:rsidR="00184A32">
        <w:rPr>
          <w:lang w:val="sk-SK"/>
        </w:rPr>
        <w:t>bruch</w:t>
      </w:r>
      <w:r w:rsidR="008C707D">
        <w:rPr>
          <w:lang w:val="sk-SK"/>
        </w:rPr>
        <w:t>a)</w:t>
      </w:r>
      <w:r w:rsidR="00184A32">
        <w:rPr>
          <w:lang w:val="sk-SK"/>
        </w:rPr>
        <w:t xml:space="preserve">. </w:t>
      </w:r>
    </w:p>
    <w:p w14:paraId="2AB5AB68" w14:textId="49472899" w:rsidR="00AA7859" w:rsidRDefault="00184A32" w:rsidP="00AA7859">
      <w:pPr>
        <w:pStyle w:val="SPCtext"/>
        <w:spacing w:after="0"/>
        <w:rPr>
          <w:lang w:val="sk-SK"/>
        </w:rPr>
      </w:pPr>
      <w:r>
        <w:rPr>
          <w:lang w:val="sk-SK"/>
        </w:rPr>
        <w:t>V klinických štúdiách sa Berinert injekčne podáva</w:t>
      </w:r>
      <w:r w:rsidR="00392188">
        <w:rPr>
          <w:lang w:val="sk-SK"/>
        </w:rPr>
        <w:t>l</w:t>
      </w:r>
      <w:r w:rsidR="00AA70C5">
        <w:rPr>
          <w:lang w:val="sk-SK"/>
        </w:rPr>
        <w:t xml:space="preserve"> na</w:t>
      </w:r>
      <w:r>
        <w:rPr>
          <w:lang w:val="sk-SK"/>
        </w:rPr>
        <w:t xml:space="preserve"> </w:t>
      </w:r>
      <w:r w:rsidR="00AA70C5">
        <w:rPr>
          <w:lang w:val="sk-SK"/>
        </w:rPr>
        <w:t>jedno</w:t>
      </w:r>
      <w:r>
        <w:rPr>
          <w:lang w:val="sk-SK"/>
        </w:rPr>
        <w:t xml:space="preserve"> miest</w:t>
      </w:r>
      <w:r w:rsidR="00AA70C5">
        <w:rPr>
          <w:lang w:val="sk-SK"/>
        </w:rPr>
        <w:t>o</w:t>
      </w:r>
      <w:r>
        <w:rPr>
          <w:lang w:val="sk-SK"/>
        </w:rPr>
        <w:t>.</w:t>
      </w:r>
      <w:r>
        <w:rPr>
          <w:lang w:val="sk-SK"/>
        </w:rPr>
        <w:br/>
        <w:t xml:space="preserve">Rekonštituovaný liek </w:t>
      </w:r>
      <w:r w:rsidR="00116BDC">
        <w:rPr>
          <w:lang w:val="sk-SK"/>
        </w:rPr>
        <w:t xml:space="preserve">sa </w:t>
      </w:r>
      <w:r w:rsidR="0037165F">
        <w:rPr>
          <w:lang w:val="sk-SK"/>
        </w:rPr>
        <w:t>má</w:t>
      </w:r>
      <w:r>
        <w:rPr>
          <w:lang w:val="sk-SK"/>
        </w:rPr>
        <w:t xml:space="preserve"> </w:t>
      </w:r>
      <w:r w:rsidR="00116BDC">
        <w:rPr>
          <w:lang w:val="sk-SK"/>
        </w:rPr>
        <w:t>podávať</w:t>
      </w:r>
      <w:r>
        <w:rPr>
          <w:lang w:val="sk-SK"/>
        </w:rPr>
        <w:t xml:space="preserve"> subkutánnou injekciou </w:t>
      </w:r>
      <w:r w:rsidR="008C707D">
        <w:rPr>
          <w:lang w:val="sk-SK"/>
        </w:rPr>
        <w:t xml:space="preserve">takou </w:t>
      </w:r>
      <w:r>
        <w:rPr>
          <w:lang w:val="sk-SK"/>
        </w:rPr>
        <w:t>rýchlosťou</w:t>
      </w:r>
      <w:r w:rsidR="00AA70C5">
        <w:rPr>
          <w:lang w:val="sk-SK"/>
        </w:rPr>
        <w:t>, ktorá je</w:t>
      </w:r>
      <w:r>
        <w:rPr>
          <w:lang w:val="sk-SK"/>
        </w:rPr>
        <w:t xml:space="preserve"> tolerovan</w:t>
      </w:r>
      <w:r w:rsidR="00AA70C5">
        <w:rPr>
          <w:lang w:val="sk-SK"/>
        </w:rPr>
        <w:t>á</w:t>
      </w:r>
      <w:r>
        <w:rPr>
          <w:lang w:val="sk-SK"/>
        </w:rPr>
        <w:t xml:space="preserve"> pacientom.</w:t>
      </w:r>
    </w:p>
    <w:p w14:paraId="167D7D8A" w14:textId="77777777" w:rsidR="00184A32" w:rsidRPr="00F61954" w:rsidRDefault="00184A32" w:rsidP="00AA7859">
      <w:pPr>
        <w:pStyle w:val="SPCtext"/>
        <w:spacing w:after="0"/>
        <w:rPr>
          <w:lang w:val="sk-SK"/>
        </w:rPr>
      </w:pPr>
    </w:p>
    <w:p w14:paraId="6745D8EB" w14:textId="77777777" w:rsidR="00AA7859" w:rsidRPr="00F61954" w:rsidRDefault="00AA7859" w:rsidP="00AA7859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Kontraindikácie</w:t>
      </w:r>
    </w:p>
    <w:p w14:paraId="7D9F9BA4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6F22CE79" w14:textId="78359476" w:rsidR="005A4DA9" w:rsidRDefault="004C59BE" w:rsidP="00AA7859">
      <w:pPr>
        <w:pStyle w:val="SPCtext"/>
        <w:spacing w:after="0"/>
        <w:rPr>
          <w:lang w:val="sk-SK"/>
        </w:rPr>
      </w:pPr>
      <w:r>
        <w:rPr>
          <w:lang w:val="sk-SK"/>
        </w:rPr>
        <w:t>U osôb s p</w:t>
      </w:r>
      <w:r w:rsidR="00AA70C5" w:rsidRPr="004C59BE">
        <w:rPr>
          <w:lang w:val="sk-SK"/>
        </w:rPr>
        <w:t>recitlivenosť</w:t>
      </w:r>
      <w:r>
        <w:rPr>
          <w:lang w:val="sk-SK"/>
        </w:rPr>
        <w:t>ou</w:t>
      </w:r>
      <w:r w:rsidR="00AA70C5" w:rsidRPr="004C59BE">
        <w:rPr>
          <w:lang w:val="sk-SK"/>
        </w:rPr>
        <w:t xml:space="preserve"> na liečivo C1</w:t>
      </w:r>
      <w:r w:rsidR="00E16E4C">
        <w:rPr>
          <w:lang w:val="sk-SK"/>
        </w:rPr>
        <w:t>-</w:t>
      </w:r>
      <w:r w:rsidR="00AA70C5" w:rsidRPr="004C59BE">
        <w:rPr>
          <w:lang w:val="sk-SK"/>
        </w:rPr>
        <w:t>INH</w:t>
      </w:r>
      <w:r w:rsidR="00AA70C5">
        <w:rPr>
          <w:lang w:val="sk-SK"/>
        </w:rPr>
        <w:t xml:space="preserve"> </w:t>
      </w:r>
      <w:r w:rsidR="00AF4DBA">
        <w:rPr>
          <w:lang w:val="sk-SK"/>
        </w:rPr>
        <w:t xml:space="preserve">so život ohrozujúcim stavom </w:t>
      </w:r>
      <w:r w:rsidR="00AA70C5">
        <w:rPr>
          <w:lang w:val="sk-SK"/>
        </w:rPr>
        <w:t>vrátane anafylaxie</w:t>
      </w:r>
      <w:r w:rsidR="005A4DA9">
        <w:rPr>
          <w:lang w:val="sk-SK"/>
        </w:rPr>
        <w:t>, alebo na ktorúkoľvek z pomocných látok uvedených v časti 6.1.</w:t>
      </w:r>
    </w:p>
    <w:p w14:paraId="38542B9C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1019E26E" w14:textId="77777777" w:rsidR="00AA7859" w:rsidRPr="00F61954" w:rsidRDefault="00AA7859" w:rsidP="00AA7859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Osobitné upozornenia a opatrenia pri používaní</w:t>
      </w:r>
    </w:p>
    <w:p w14:paraId="4C0F1B4A" w14:textId="77777777" w:rsidR="00AA7859" w:rsidRPr="00F61954" w:rsidRDefault="00AA7859" w:rsidP="00AA7859">
      <w:pPr>
        <w:pStyle w:val="Zkladntext3"/>
      </w:pPr>
    </w:p>
    <w:p w14:paraId="7A96B48E" w14:textId="3A8D65CF" w:rsidR="005A4DA9" w:rsidRDefault="00AA7859" w:rsidP="00915A16">
      <w:pPr>
        <w:pStyle w:val="Zkladntext3"/>
      </w:pPr>
      <w:r w:rsidRPr="00F61954">
        <w:t xml:space="preserve">Ak sa vyskytnú </w:t>
      </w:r>
      <w:r w:rsidR="005A4DA9">
        <w:t>závažné</w:t>
      </w:r>
      <w:r w:rsidR="00AF4DBA">
        <w:t xml:space="preserve"> </w:t>
      </w:r>
      <w:r w:rsidRPr="00F61954">
        <w:t xml:space="preserve">alergické reakcie, podávanie Berinertu </w:t>
      </w:r>
      <w:r w:rsidR="005A4DA9">
        <w:t>sa musí</w:t>
      </w:r>
      <w:r w:rsidRPr="00F61954">
        <w:t xml:space="preserve"> okamžite </w:t>
      </w:r>
      <w:r w:rsidR="00392188">
        <w:t>prerušiť</w:t>
      </w:r>
      <w:r w:rsidR="005A4DA9" w:rsidRPr="00F61954">
        <w:t xml:space="preserve"> </w:t>
      </w:r>
      <w:r w:rsidRPr="00F61954">
        <w:t xml:space="preserve">(napríklad </w:t>
      </w:r>
      <w:r w:rsidR="00392188">
        <w:t>prerušením</w:t>
      </w:r>
      <w:r w:rsidRPr="00F61954">
        <w:t xml:space="preserve"> injekcie) a </w:t>
      </w:r>
      <w:r w:rsidR="005A4DA9">
        <w:t>musí sa</w:t>
      </w:r>
      <w:r w:rsidRPr="00F61954">
        <w:t xml:space="preserve"> začať vhodná liečba. </w:t>
      </w:r>
    </w:p>
    <w:p w14:paraId="0299A127" w14:textId="4175EAD8" w:rsidR="00AA7859" w:rsidRDefault="005A4DA9" w:rsidP="00915A16">
      <w:pPr>
        <w:pStyle w:val="Zkladntext3"/>
      </w:pPr>
      <w:r>
        <w:t xml:space="preserve">V prípade akútneho </w:t>
      </w:r>
      <w:r w:rsidR="00946836">
        <w:t xml:space="preserve">výskytu </w:t>
      </w:r>
      <w:r>
        <w:t xml:space="preserve">HAE sa </w:t>
      </w:r>
      <w:r w:rsidR="00946836">
        <w:t xml:space="preserve">musí </w:t>
      </w:r>
      <w:r>
        <w:t xml:space="preserve">začať </w:t>
      </w:r>
      <w:r w:rsidR="00946836">
        <w:t>individuálna liečba.</w:t>
      </w:r>
    </w:p>
    <w:p w14:paraId="5AC8087E" w14:textId="77777777" w:rsidR="005A4DA9" w:rsidRDefault="005A4DA9" w:rsidP="00915A16">
      <w:pPr>
        <w:pStyle w:val="Zkladntext3"/>
      </w:pPr>
    </w:p>
    <w:p w14:paraId="46FAB3E0" w14:textId="150F5107" w:rsidR="005A4DA9" w:rsidRPr="00F61954" w:rsidRDefault="005A4DA9" w:rsidP="00915A16">
      <w:pPr>
        <w:pStyle w:val="Zkladntext3"/>
      </w:pPr>
      <w:r w:rsidRPr="005F18BD">
        <w:rPr>
          <w:u w:val="single"/>
        </w:rPr>
        <w:t>Tromboembolické príhody (T</w:t>
      </w:r>
      <w:r w:rsidR="00EA3821">
        <w:rPr>
          <w:u w:val="single"/>
        </w:rPr>
        <w:t>P</w:t>
      </w:r>
      <w:r w:rsidRPr="005F18BD">
        <w:rPr>
          <w:u w:val="single"/>
        </w:rPr>
        <w:t>)</w:t>
      </w:r>
      <w:r>
        <w:br/>
        <w:t xml:space="preserve">Trombóza </w:t>
      </w:r>
      <w:r w:rsidR="00946836">
        <w:t xml:space="preserve">nastala </w:t>
      </w:r>
      <w:r>
        <w:t xml:space="preserve">pri </w:t>
      </w:r>
      <w:r w:rsidR="000C1B38">
        <w:t xml:space="preserve">liečebnom </w:t>
      </w:r>
      <w:r>
        <w:t>pokuse s vysokými dávkami C1-</w:t>
      </w:r>
      <w:r w:rsidRPr="00E22C5D">
        <w:t>INH</w:t>
      </w:r>
      <w:r w:rsidR="000C1B38">
        <w:t>, aplikovanými intravenózne,</w:t>
      </w:r>
      <w:r w:rsidRPr="00E22C5D">
        <w:t xml:space="preserve"> </w:t>
      </w:r>
      <w:r w:rsidR="00F354F5">
        <w:t>na</w:t>
      </w:r>
      <w:r>
        <w:t xml:space="preserve"> profylaxiu alebo liečbu syndrómu priepustnosti kapilár pred, počas alebo po </w:t>
      </w:r>
      <w:r w:rsidR="000C1B38">
        <w:t>chirurgickom zákroku na srdci</w:t>
      </w:r>
      <w:r>
        <w:t xml:space="preserve"> v mimotelovom obehu (neschválen</w:t>
      </w:r>
      <w:r w:rsidR="000C1B38">
        <w:t>á</w:t>
      </w:r>
      <w:r>
        <w:t xml:space="preserve"> indikáci</w:t>
      </w:r>
      <w:r w:rsidR="000C1B38">
        <w:t>a</w:t>
      </w:r>
      <w:r>
        <w:t xml:space="preserve"> a dávka). Pri odporúčanej dávke</w:t>
      </w:r>
      <w:r w:rsidR="000C1B38">
        <w:t>, aplikovanej subkutánne,</w:t>
      </w:r>
      <w:r>
        <w:t xml:space="preserve"> nebol</w:t>
      </w:r>
      <w:r w:rsidR="000C1B38">
        <w:t>a</w:t>
      </w:r>
      <w:r>
        <w:t xml:space="preserve"> stanoven</w:t>
      </w:r>
      <w:r w:rsidR="000C1B38">
        <w:t>á</w:t>
      </w:r>
      <w:r>
        <w:t xml:space="preserve"> </w:t>
      </w:r>
      <w:r w:rsidR="000C1B38">
        <w:t>priama súvislosť</w:t>
      </w:r>
      <w:r w:rsidR="002C61CB">
        <w:t xml:space="preserve"> medzi TP</w:t>
      </w:r>
      <w:r>
        <w:t xml:space="preserve"> a pou</w:t>
      </w:r>
      <w:r w:rsidR="00F45F47">
        <w:t>žitím koncentrátu C1</w:t>
      </w:r>
      <w:r>
        <w:t>-INH.</w:t>
      </w:r>
    </w:p>
    <w:p w14:paraId="0EC73CA1" w14:textId="77777777" w:rsidR="00AA7859" w:rsidRPr="00F61954" w:rsidRDefault="00AA7859" w:rsidP="00AA7859">
      <w:pPr>
        <w:pStyle w:val="Zkladntext3"/>
        <w:keepNext/>
        <w:rPr>
          <w:b/>
          <w:i/>
        </w:rPr>
      </w:pPr>
    </w:p>
    <w:p w14:paraId="0C6D9CF8" w14:textId="77777777" w:rsidR="00AA7859" w:rsidRPr="005F18BD" w:rsidRDefault="00AA7859" w:rsidP="00BA56D0">
      <w:pPr>
        <w:pStyle w:val="Zkladntext3"/>
        <w:keepNext/>
        <w:rPr>
          <w:u w:val="single"/>
        </w:rPr>
      </w:pPr>
      <w:r w:rsidRPr="005F18BD">
        <w:rPr>
          <w:u w:val="single"/>
        </w:rPr>
        <w:t>Vírusová bezpečnosť</w:t>
      </w:r>
    </w:p>
    <w:p w14:paraId="642B9D93" w14:textId="658EB7EC" w:rsidR="00AA7859" w:rsidRPr="00F61954" w:rsidRDefault="00273B69" w:rsidP="00915A16">
      <w:pPr>
        <w:pStyle w:val="Zkladntext3"/>
      </w:pPr>
      <w:r>
        <w:t>Š</w:t>
      </w:r>
      <w:r w:rsidR="00AA7859" w:rsidRPr="00F61954">
        <w:t xml:space="preserve">tandardné opatrenia na predchádzanie infekciám, ktoré sú následkom </w:t>
      </w:r>
      <w:r>
        <w:t>používania</w:t>
      </w:r>
      <w:r w:rsidR="00AA7859" w:rsidRPr="00F61954">
        <w:t xml:space="preserve"> liekov </w:t>
      </w:r>
      <w:r>
        <w:t xml:space="preserve">pripravených </w:t>
      </w:r>
      <w:r w:rsidR="00AA7859" w:rsidRPr="00F61954">
        <w:t>z ľudskej krvi alebo plazmy</w:t>
      </w:r>
      <w:r>
        <w:t>,</w:t>
      </w:r>
      <w:r w:rsidR="00AA7859" w:rsidRPr="00F61954">
        <w:t xml:space="preserve"> zahŕňajú výber darcov, kontrolu jednotlivých odberov </w:t>
      </w:r>
      <w:r>
        <w:t xml:space="preserve">krvi </w:t>
      </w:r>
      <w:r w:rsidR="00AA7859" w:rsidRPr="00F61954">
        <w:t>a</w:t>
      </w:r>
      <w:r>
        <w:t> zmiešanej plazmy</w:t>
      </w:r>
      <w:r w:rsidR="00AA7859" w:rsidRPr="00F61954">
        <w:t xml:space="preserve"> </w:t>
      </w:r>
      <w:r>
        <w:t xml:space="preserve">zameranú </w:t>
      </w:r>
      <w:r w:rsidR="00AA7859" w:rsidRPr="00F61954">
        <w:t xml:space="preserve">na špecifické markery </w:t>
      </w:r>
      <w:r>
        <w:t xml:space="preserve">infekcie </w:t>
      </w:r>
      <w:r w:rsidR="00AA7859" w:rsidRPr="00F61954">
        <w:t>a</w:t>
      </w:r>
      <w:r>
        <w:t> vykonanie efektívnych</w:t>
      </w:r>
      <w:r w:rsidR="00AA7859" w:rsidRPr="00F61954">
        <w:t xml:space="preserve"> výrobných krokov na inaktiváciu/odstránenie vírusov. Napriek týmto opatreniam pri podávaní liekov pripravených z ľudskej krvi alebo plazmy nie je možné úplne vylúčiť možnosť prenosu </w:t>
      </w:r>
      <w:r w:rsidR="00660414">
        <w:t xml:space="preserve">pôvodcov </w:t>
      </w:r>
      <w:r w:rsidR="00AA7859" w:rsidRPr="00F61954">
        <w:t xml:space="preserve">infekcie. Platí to </w:t>
      </w:r>
      <w:r w:rsidR="00CB0F52" w:rsidRPr="00C15727">
        <w:rPr>
          <w:szCs w:val="22"/>
        </w:rPr>
        <w:t xml:space="preserve">aj pre akékoľvek neznáme alebo </w:t>
      </w:r>
      <w:r w:rsidR="00587BB5">
        <w:rPr>
          <w:szCs w:val="22"/>
        </w:rPr>
        <w:t>novo</w:t>
      </w:r>
      <w:r w:rsidR="00CB0F52" w:rsidRPr="00C15727">
        <w:rPr>
          <w:szCs w:val="22"/>
        </w:rPr>
        <w:t>objavené vírusy</w:t>
      </w:r>
      <w:r w:rsidR="00CB0F52" w:rsidRPr="00F61954">
        <w:t xml:space="preserve"> </w:t>
      </w:r>
      <w:r w:rsidR="00FA1F6F">
        <w:t xml:space="preserve">a iné </w:t>
      </w:r>
      <w:r w:rsidR="00AA7859" w:rsidRPr="00F61954">
        <w:t>patogény.</w:t>
      </w:r>
    </w:p>
    <w:p w14:paraId="7848F52E" w14:textId="77777777" w:rsidR="005A4DA9" w:rsidRDefault="005A4DA9" w:rsidP="00BA56D0">
      <w:pPr>
        <w:pStyle w:val="Zkladntext3"/>
      </w:pPr>
    </w:p>
    <w:p w14:paraId="21F2CB51" w14:textId="06353B9A" w:rsidR="00AA7859" w:rsidRPr="00F61954" w:rsidRDefault="00392188" w:rsidP="00BA56D0">
      <w:pPr>
        <w:pStyle w:val="Zkladntext3"/>
      </w:pPr>
      <w:r>
        <w:t>Podniknuté</w:t>
      </w:r>
      <w:r w:rsidRPr="00F61954">
        <w:t xml:space="preserve"> </w:t>
      </w:r>
      <w:r w:rsidR="00AA7859" w:rsidRPr="00F61954">
        <w:t xml:space="preserve">opatrenia </w:t>
      </w:r>
      <w:r w:rsidR="008A61D9">
        <w:t>sa považujú za</w:t>
      </w:r>
      <w:r w:rsidR="00AA7859" w:rsidRPr="00F61954">
        <w:t xml:space="preserve"> účinné  </w:t>
      </w:r>
      <w:r w:rsidR="008A61D9">
        <w:t xml:space="preserve">pri </w:t>
      </w:r>
      <w:r w:rsidR="00AA7859" w:rsidRPr="00F61954">
        <w:t>obalený</w:t>
      </w:r>
      <w:r w:rsidR="008A61D9">
        <w:t>ch</w:t>
      </w:r>
      <w:r w:rsidR="00AA7859" w:rsidRPr="00F61954">
        <w:t xml:space="preserve"> víruso</w:t>
      </w:r>
      <w:r w:rsidR="008A61D9">
        <w:t>ch,</w:t>
      </w:r>
      <w:r w:rsidR="00AA7859" w:rsidRPr="00F61954">
        <w:t xml:space="preserve"> ako je </w:t>
      </w:r>
      <w:r w:rsidR="005A4DA9">
        <w:rPr>
          <w:rStyle w:val="shorttext"/>
        </w:rPr>
        <w:t>vírus ľudskej imunodeficiencie</w:t>
      </w:r>
      <w:r w:rsidR="005A4DA9" w:rsidRPr="00F61954">
        <w:t xml:space="preserve"> </w:t>
      </w:r>
      <w:r w:rsidR="005A4DA9">
        <w:t>(</w:t>
      </w:r>
      <w:r w:rsidR="00AA7859" w:rsidRPr="00F61954">
        <w:t>HIV</w:t>
      </w:r>
      <w:r w:rsidR="005A4DA9">
        <w:t>)</w:t>
      </w:r>
      <w:r w:rsidR="00AA7859" w:rsidRPr="00F61954">
        <w:t xml:space="preserve">, </w:t>
      </w:r>
      <w:r w:rsidR="005A4DA9">
        <w:rPr>
          <w:rStyle w:val="shorttext"/>
        </w:rPr>
        <w:t>vírus hepatitídy B (</w:t>
      </w:r>
      <w:r w:rsidR="00AA7859" w:rsidRPr="00F61954">
        <w:t>HBV</w:t>
      </w:r>
      <w:r w:rsidR="005A4DA9">
        <w:t>)</w:t>
      </w:r>
      <w:r w:rsidR="00AA7859" w:rsidRPr="00F61954">
        <w:t xml:space="preserve">, </w:t>
      </w:r>
      <w:r w:rsidR="005A4DA9">
        <w:rPr>
          <w:rStyle w:val="shorttext"/>
        </w:rPr>
        <w:t>vírus hepatitídy C</w:t>
      </w:r>
      <w:r w:rsidR="005A4DA9" w:rsidRPr="00F61954">
        <w:t xml:space="preserve"> </w:t>
      </w:r>
      <w:r w:rsidR="005A4DA9">
        <w:t>(</w:t>
      </w:r>
      <w:r w:rsidR="00AA7859" w:rsidRPr="00F61954">
        <w:t>HCV</w:t>
      </w:r>
      <w:r w:rsidR="005A4DA9">
        <w:t>)</w:t>
      </w:r>
      <w:r w:rsidR="00AA7859" w:rsidRPr="00F61954">
        <w:t xml:space="preserve"> a</w:t>
      </w:r>
      <w:r w:rsidR="008A61D9">
        <w:t xml:space="preserve"> pri </w:t>
      </w:r>
      <w:r w:rsidR="00AA7859" w:rsidRPr="00F61954">
        <w:t>neobalený</w:t>
      </w:r>
      <w:r w:rsidR="008A61D9">
        <w:t>ch</w:t>
      </w:r>
      <w:r w:rsidR="00AA7859" w:rsidRPr="00F61954">
        <w:t xml:space="preserve"> víruso</w:t>
      </w:r>
      <w:r w:rsidR="008A61D9">
        <w:t>ch,</w:t>
      </w:r>
      <w:r w:rsidR="00AA7859" w:rsidRPr="00F61954">
        <w:t xml:space="preserve"> ako je HAV a parvovírus B19.</w:t>
      </w:r>
    </w:p>
    <w:p w14:paraId="28955157" w14:textId="77777777" w:rsidR="00AA7859" w:rsidRPr="00F61954" w:rsidRDefault="00AA7859" w:rsidP="00915A16">
      <w:pPr>
        <w:pStyle w:val="Zkladntext3"/>
      </w:pPr>
    </w:p>
    <w:p w14:paraId="035E407D" w14:textId="78094FC9" w:rsidR="005A4DA9" w:rsidRDefault="00F00630" w:rsidP="005A4DA9">
      <w:pPr>
        <w:pStyle w:val="Zkladntext3"/>
      </w:pPr>
      <w:r>
        <w:t xml:space="preserve">Pri každej aplikácii Berinertu pacientovi sa dôrazne odporúča </w:t>
      </w:r>
      <w:r w:rsidR="00AA7859" w:rsidRPr="00F61954">
        <w:t>zaznamena</w:t>
      </w:r>
      <w:r>
        <w:t>ť</w:t>
      </w:r>
      <w:r w:rsidR="00AA7859" w:rsidRPr="00F61954">
        <w:t xml:space="preserve"> názov a číslo šarže podaného lieku, aby </w:t>
      </w:r>
      <w:r>
        <w:t xml:space="preserve">boli k dispozícii </w:t>
      </w:r>
      <w:r w:rsidR="00AA7859" w:rsidRPr="00F61954">
        <w:t xml:space="preserve">záznamy </w:t>
      </w:r>
      <w:r>
        <w:t>dokumentujúce použitie čísiel šarží pre jednotlivých pacientov.</w:t>
      </w:r>
      <w:r w:rsidR="005A4DA9" w:rsidRPr="005A4DA9">
        <w:t xml:space="preserve"> </w:t>
      </w:r>
    </w:p>
    <w:p w14:paraId="6CA2658F" w14:textId="77777777" w:rsidR="005F18BD" w:rsidRDefault="005F18BD" w:rsidP="005A4DA9">
      <w:pPr>
        <w:pStyle w:val="Zkladntext3"/>
      </w:pPr>
    </w:p>
    <w:p w14:paraId="51DCBE22" w14:textId="70B0D54E" w:rsidR="005A4DA9" w:rsidRDefault="005A4DA9" w:rsidP="005A4DA9">
      <w:pPr>
        <w:pStyle w:val="Zkladntext3"/>
      </w:pPr>
      <w:r w:rsidRPr="00F61954">
        <w:lastRenderedPageBreak/>
        <w:t>U pacientov s pravidelným alebo opakovaným</w:t>
      </w:r>
      <w:r w:rsidR="00AF4DBA">
        <w:t xml:space="preserve"> podávaním</w:t>
      </w:r>
      <w:r w:rsidRPr="00F61954">
        <w:t xml:space="preserve"> liekov </w:t>
      </w:r>
      <w:r w:rsidR="008C1B2D">
        <w:t xml:space="preserve">pripravených </w:t>
      </w:r>
      <w:r w:rsidRPr="00F61954">
        <w:t>z ľudskej</w:t>
      </w:r>
      <w:r w:rsidR="008C1B2D">
        <w:t xml:space="preserve"> </w:t>
      </w:r>
      <w:r w:rsidRPr="00F61954">
        <w:t>plazmy sa musí zvážiť vhodné očkovanie (hepatitída typu A a B).</w:t>
      </w:r>
    </w:p>
    <w:p w14:paraId="1C7701D2" w14:textId="77777777" w:rsidR="00AA7859" w:rsidRDefault="00AA7859" w:rsidP="00915A16">
      <w:pPr>
        <w:pStyle w:val="Zkladntext3"/>
      </w:pPr>
    </w:p>
    <w:p w14:paraId="1C8DA0D2" w14:textId="12B19CEA" w:rsidR="005A4DA9" w:rsidRPr="00F61954" w:rsidRDefault="005A4DA9" w:rsidP="00915A16">
      <w:pPr>
        <w:pStyle w:val="Zkladntext3"/>
      </w:pPr>
      <w:r>
        <w:t xml:space="preserve">Berinert obsahuje až 486 mg sodíka (približne 21 mmol) na 100 ml roztoku. </w:t>
      </w:r>
      <w:r w:rsidR="006E1CA2">
        <w:t>M</w:t>
      </w:r>
      <w:r w:rsidR="00B36CB5">
        <w:t xml:space="preserve">á </w:t>
      </w:r>
      <w:r w:rsidR="00175EE4">
        <w:t xml:space="preserve">sa to </w:t>
      </w:r>
      <w:r w:rsidR="00B36CB5">
        <w:t>vziať</w:t>
      </w:r>
      <w:r w:rsidR="00AF4DBA">
        <w:t xml:space="preserve"> </w:t>
      </w:r>
      <w:r>
        <w:t>do úvahy u</w:t>
      </w:r>
      <w:r w:rsidR="006E1CA2">
        <w:t> </w:t>
      </w:r>
      <w:r>
        <w:t>pacientov</w:t>
      </w:r>
      <w:r w:rsidR="006E1CA2">
        <w:t xml:space="preserve"> na diéte s kontrolovaným obsahom sodíka.</w:t>
      </w:r>
    </w:p>
    <w:p w14:paraId="402C819C" w14:textId="77777777" w:rsidR="005F18BD" w:rsidRPr="00F61954" w:rsidRDefault="005F18BD" w:rsidP="00915A16">
      <w:pPr>
        <w:pStyle w:val="Zkladntext3"/>
      </w:pPr>
    </w:p>
    <w:p w14:paraId="637469AA" w14:textId="77777777" w:rsidR="00AA7859" w:rsidRPr="00F61954" w:rsidRDefault="00AA7859" w:rsidP="00AA7859">
      <w:pPr>
        <w:pStyle w:val="SPCNadpis2"/>
        <w:spacing w:before="0" w:after="0"/>
        <w:jc w:val="both"/>
        <w:rPr>
          <w:lang w:val="sk-SK"/>
        </w:rPr>
      </w:pPr>
      <w:r w:rsidRPr="00F61954">
        <w:rPr>
          <w:lang w:val="sk-SK"/>
        </w:rPr>
        <w:t>Liekové a iné interakcie</w:t>
      </w:r>
    </w:p>
    <w:p w14:paraId="04069886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0C15EE8D" w14:textId="77777777" w:rsidR="00AA7859" w:rsidRPr="00F61954" w:rsidRDefault="00AA7859" w:rsidP="00AA7859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>Neuskutočnili sa žiadne interakčné štúdie.</w:t>
      </w:r>
    </w:p>
    <w:p w14:paraId="52E90739" w14:textId="77777777" w:rsidR="005F18BD" w:rsidRPr="00F61954" w:rsidRDefault="005F18BD" w:rsidP="00AA7859">
      <w:pPr>
        <w:pStyle w:val="SPCtext"/>
        <w:spacing w:after="0"/>
        <w:rPr>
          <w:lang w:val="sk-SK"/>
        </w:rPr>
      </w:pPr>
    </w:p>
    <w:p w14:paraId="3C6CFFFA" w14:textId="77777777" w:rsidR="00AA7859" w:rsidRPr="00F61954" w:rsidRDefault="00AA7859" w:rsidP="00AA7859">
      <w:pPr>
        <w:pStyle w:val="SPCNadpis2"/>
        <w:spacing w:before="0" w:after="0"/>
        <w:rPr>
          <w:lang w:val="sk-SK"/>
        </w:rPr>
      </w:pPr>
      <w:r>
        <w:rPr>
          <w:lang w:val="sk-SK"/>
        </w:rPr>
        <w:t>Fertilita, g</w:t>
      </w:r>
      <w:r w:rsidRPr="00F61954">
        <w:rPr>
          <w:lang w:val="sk-SK"/>
        </w:rPr>
        <w:t>ravidita a laktácia</w:t>
      </w:r>
    </w:p>
    <w:p w14:paraId="3CA4DCBB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1BB4D3A5" w14:textId="77777777" w:rsidR="00AA7859" w:rsidRPr="00B73D50" w:rsidRDefault="00AA7859" w:rsidP="00AA7859">
      <w:pPr>
        <w:pStyle w:val="SPCtext"/>
        <w:keepNext/>
        <w:spacing w:after="0"/>
        <w:rPr>
          <w:u w:val="single"/>
          <w:lang w:val="sk-SK"/>
        </w:rPr>
      </w:pPr>
      <w:r w:rsidRPr="00B73D50">
        <w:rPr>
          <w:u w:val="single"/>
          <w:lang w:val="sk-SK"/>
        </w:rPr>
        <w:t>Gravidita</w:t>
      </w:r>
    </w:p>
    <w:p w14:paraId="03280F07" w14:textId="050B1D0C" w:rsidR="00AA7859" w:rsidRPr="00B73D50" w:rsidRDefault="004B7C0C" w:rsidP="00915A16">
      <w:pPr>
        <w:pStyle w:val="SPCtext"/>
        <w:spacing w:after="0"/>
        <w:rPr>
          <w:lang w:val="sk-SK"/>
        </w:rPr>
      </w:pPr>
      <w:r>
        <w:rPr>
          <w:lang w:val="sk-SK"/>
        </w:rPr>
        <w:t>K dispozícii s</w:t>
      </w:r>
      <w:r w:rsidR="005A4DA9" w:rsidRPr="00B73D50">
        <w:rPr>
          <w:lang w:val="sk-SK"/>
        </w:rPr>
        <w:t xml:space="preserve">ú </w:t>
      </w:r>
      <w:r w:rsidR="00C21FD6" w:rsidRPr="00B73D50">
        <w:rPr>
          <w:lang w:val="sk-SK"/>
        </w:rPr>
        <w:t>iba obmedzené údaj</w:t>
      </w:r>
      <w:r w:rsidR="005A4DA9" w:rsidRPr="00B73D50">
        <w:rPr>
          <w:lang w:val="sk-SK"/>
        </w:rPr>
        <w:t>e</w:t>
      </w:r>
      <w:r w:rsidR="00C21FD6" w:rsidRPr="00B73D50">
        <w:rPr>
          <w:lang w:val="sk-SK"/>
        </w:rPr>
        <w:t xml:space="preserve">, ktoré </w:t>
      </w:r>
      <w:r>
        <w:rPr>
          <w:lang w:val="sk-SK"/>
        </w:rPr>
        <w:t xml:space="preserve">nepredpokladajú </w:t>
      </w:r>
      <w:r w:rsidR="00F9131E" w:rsidRPr="00B73D50">
        <w:rPr>
          <w:lang w:val="sk-SK"/>
        </w:rPr>
        <w:t xml:space="preserve">zvýšené riziko </w:t>
      </w:r>
      <w:r>
        <w:rPr>
          <w:lang w:val="sk-SK"/>
        </w:rPr>
        <w:t xml:space="preserve">pre gravidné ženy pri </w:t>
      </w:r>
      <w:r w:rsidR="00AA7859" w:rsidRPr="00B73D50">
        <w:rPr>
          <w:lang w:val="sk-SK"/>
        </w:rPr>
        <w:t>použit</w:t>
      </w:r>
      <w:r>
        <w:rPr>
          <w:lang w:val="sk-SK"/>
        </w:rPr>
        <w:t>í</w:t>
      </w:r>
      <w:r w:rsidR="00AA7859" w:rsidRPr="00B73D50">
        <w:rPr>
          <w:lang w:val="sk-SK"/>
        </w:rPr>
        <w:t xml:space="preserve"> </w:t>
      </w:r>
      <w:r w:rsidR="00B85F8F" w:rsidRPr="00B73D50">
        <w:rPr>
          <w:lang w:val="sk-SK"/>
        </w:rPr>
        <w:t>liekov obsahujúcich ľudský C1 inhibítor</w:t>
      </w:r>
      <w:r>
        <w:rPr>
          <w:lang w:val="sk-SK"/>
        </w:rPr>
        <w:t>.</w:t>
      </w:r>
      <w:r w:rsidR="00B85F8F" w:rsidRPr="00B73D50">
        <w:rPr>
          <w:lang w:val="sk-SK"/>
        </w:rPr>
        <w:t xml:space="preserve"> C1 inhibítor</w:t>
      </w:r>
      <w:r w:rsidR="00AA7859" w:rsidRPr="00B73D50">
        <w:rPr>
          <w:lang w:val="sk-SK"/>
        </w:rPr>
        <w:t xml:space="preserve"> je fyziologická zložka ľudskej plazmy. </w:t>
      </w:r>
      <w:r w:rsidR="00B85F8F" w:rsidRPr="00B73D50">
        <w:rPr>
          <w:lang w:val="sk-SK"/>
        </w:rPr>
        <w:t>N</w:t>
      </w:r>
      <w:r w:rsidR="00AA7859" w:rsidRPr="00B73D50">
        <w:rPr>
          <w:lang w:val="sk-SK"/>
        </w:rPr>
        <w:t xml:space="preserve">eboli uskutočnené </w:t>
      </w:r>
      <w:r w:rsidR="00B85F8F" w:rsidRPr="00B73D50">
        <w:rPr>
          <w:lang w:val="sk-SK"/>
        </w:rPr>
        <w:t xml:space="preserve">žiadne </w:t>
      </w:r>
      <w:r w:rsidR="00AA7859" w:rsidRPr="00B73D50">
        <w:rPr>
          <w:lang w:val="sk-SK"/>
        </w:rPr>
        <w:t>štúdie reprodukčnej a výv</w:t>
      </w:r>
      <w:r w:rsidR="008526F2">
        <w:rPr>
          <w:lang w:val="sk-SK"/>
        </w:rPr>
        <w:t>inovej</w:t>
      </w:r>
      <w:r w:rsidR="00AA7859" w:rsidRPr="00B73D50">
        <w:rPr>
          <w:lang w:val="sk-SK"/>
        </w:rPr>
        <w:t xml:space="preserve"> toxicity na zvieratách</w:t>
      </w:r>
      <w:r w:rsidR="00B85F8F" w:rsidRPr="00B73D50">
        <w:rPr>
          <w:lang w:val="sk-SK"/>
        </w:rPr>
        <w:t xml:space="preserve">. </w:t>
      </w:r>
      <w:r w:rsidR="000202E7">
        <w:rPr>
          <w:lang w:val="sk-SK"/>
        </w:rPr>
        <w:t xml:space="preserve">Nepredpokladajú </w:t>
      </w:r>
      <w:r w:rsidR="00165A91" w:rsidRPr="00444646">
        <w:rPr>
          <w:rStyle w:val="hps"/>
          <w:szCs w:val="22"/>
          <w:lang w:val="sk-SK"/>
        </w:rPr>
        <w:t>sa žiadne nežiaduce</w:t>
      </w:r>
      <w:r w:rsidR="00165A91" w:rsidRPr="00444646">
        <w:rPr>
          <w:szCs w:val="22"/>
          <w:lang w:val="sk-SK"/>
        </w:rPr>
        <w:t xml:space="preserve"> </w:t>
      </w:r>
      <w:r w:rsidR="00165A91" w:rsidRPr="00444646">
        <w:rPr>
          <w:rStyle w:val="hps"/>
          <w:szCs w:val="22"/>
          <w:lang w:val="sk-SK"/>
        </w:rPr>
        <w:t xml:space="preserve">účinky </w:t>
      </w:r>
      <w:r w:rsidR="00AA7859" w:rsidRPr="00B73D50">
        <w:rPr>
          <w:lang w:val="sk-SK"/>
        </w:rPr>
        <w:t xml:space="preserve">na fertilitu, </w:t>
      </w:r>
      <w:r w:rsidR="00A7563A" w:rsidRPr="00B73D50">
        <w:rPr>
          <w:lang w:val="sk-SK"/>
        </w:rPr>
        <w:t>pre</w:t>
      </w:r>
      <w:r w:rsidR="000202E7">
        <w:rPr>
          <w:lang w:val="sk-SK"/>
        </w:rPr>
        <w:t>natálny</w:t>
      </w:r>
      <w:r w:rsidR="00BC2C92" w:rsidRPr="00B73D50">
        <w:rPr>
          <w:lang w:val="sk-SK"/>
        </w:rPr>
        <w:t xml:space="preserve"> </w:t>
      </w:r>
      <w:r w:rsidR="00AA7859" w:rsidRPr="00B73D50">
        <w:rPr>
          <w:lang w:val="sk-SK"/>
        </w:rPr>
        <w:t>a postnatálny výv</w:t>
      </w:r>
      <w:r w:rsidR="008526F2">
        <w:rPr>
          <w:lang w:val="sk-SK"/>
        </w:rPr>
        <w:t>in</w:t>
      </w:r>
      <w:r w:rsidR="00AA7859" w:rsidRPr="00B73D50">
        <w:rPr>
          <w:lang w:val="sk-SK"/>
        </w:rPr>
        <w:t xml:space="preserve"> u ľudí.</w:t>
      </w:r>
    </w:p>
    <w:p w14:paraId="32D527DB" w14:textId="642B82E0" w:rsidR="00AA7859" w:rsidRPr="00B73D50" w:rsidRDefault="00AA7859" w:rsidP="00915A16">
      <w:pPr>
        <w:pStyle w:val="SPCtext"/>
        <w:spacing w:after="0"/>
        <w:rPr>
          <w:lang w:val="sk-SK"/>
        </w:rPr>
      </w:pPr>
      <w:r w:rsidRPr="00B73D50">
        <w:rPr>
          <w:lang w:val="sk-SK"/>
        </w:rPr>
        <w:t xml:space="preserve">Berinert </w:t>
      </w:r>
      <w:r w:rsidR="00B85F8F" w:rsidRPr="00B73D50">
        <w:rPr>
          <w:lang w:val="sk-SK"/>
        </w:rPr>
        <w:t xml:space="preserve">sa má </w:t>
      </w:r>
      <w:r w:rsidRPr="00B73D50">
        <w:rPr>
          <w:lang w:val="sk-SK"/>
        </w:rPr>
        <w:t>podávať gravidným ženám iba v</w:t>
      </w:r>
      <w:r w:rsidR="000202E7">
        <w:rPr>
          <w:lang w:val="sk-SK"/>
        </w:rPr>
        <w:t xml:space="preserve"> nevyhnutom </w:t>
      </w:r>
      <w:r w:rsidRPr="00B73D50">
        <w:rPr>
          <w:lang w:val="sk-SK"/>
        </w:rPr>
        <w:t>prípade</w:t>
      </w:r>
      <w:r w:rsidR="000202E7">
        <w:rPr>
          <w:lang w:val="sk-SK"/>
        </w:rPr>
        <w:t>.</w:t>
      </w:r>
    </w:p>
    <w:p w14:paraId="3666CBC3" w14:textId="77777777" w:rsidR="00AA7859" w:rsidRPr="00B73D50" w:rsidRDefault="00AA7859" w:rsidP="00E97151">
      <w:pPr>
        <w:pStyle w:val="SPCtext"/>
        <w:keepNext/>
        <w:spacing w:after="0"/>
        <w:rPr>
          <w:b/>
          <w:i/>
          <w:lang w:val="sk-SK"/>
        </w:rPr>
      </w:pPr>
    </w:p>
    <w:p w14:paraId="20A3C219" w14:textId="3249CE3D" w:rsidR="00AA7859" w:rsidRPr="00B73D50" w:rsidRDefault="00410ADB" w:rsidP="00E97151">
      <w:pPr>
        <w:pStyle w:val="SPCtext"/>
        <w:keepNext/>
        <w:spacing w:after="0"/>
        <w:rPr>
          <w:u w:val="single"/>
          <w:lang w:val="sk-SK"/>
        </w:rPr>
      </w:pPr>
      <w:r w:rsidRPr="00B73D50">
        <w:rPr>
          <w:u w:val="single"/>
          <w:lang w:val="sk-SK"/>
        </w:rPr>
        <w:t>Dojčenie</w:t>
      </w:r>
    </w:p>
    <w:p w14:paraId="25DD9B3C" w14:textId="2A58F25C" w:rsidR="00B85F8F" w:rsidRPr="00B73D50" w:rsidRDefault="00B85F8F" w:rsidP="00915A16">
      <w:pPr>
        <w:pStyle w:val="SPCtext"/>
        <w:spacing w:after="0"/>
        <w:rPr>
          <w:lang w:val="sk-SK"/>
        </w:rPr>
      </w:pPr>
      <w:r w:rsidRPr="00B73D50">
        <w:rPr>
          <w:lang w:val="sk-SK"/>
        </w:rPr>
        <w:t xml:space="preserve">Nie je známe, či </w:t>
      </w:r>
      <w:r w:rsidR="008C4324">
        <w:rPr>
          <w:lang w:val="sk-SK"/>
        </w:rPr>
        <w:t xml:space="preserve">sa </w:t>
      </w:r>
      <w:r w:rsidRPr="00B73D50">
        <w:rPr>
          <w:lang w:val="sk-SK"/>
        </w:rPr>
        <w:t>C1 inhibítor</w:t>
      </w:r>
      <w:r w:rsidR="00410ADB" w:rsidRPr="00B73D50">
        <w:rPr>
          <w:lang w:val="sk-SK"/>
        </w:rPr>
        <w:t xml:space="preserve"> </w:t>
      </w:r>
      <w:r w:rsidR="008C4324">
        <w:rPr>
          <w:lang w:val="sk-SK"/>
        </w:rPr>
        <w:t>vylučuje do</w:t>
      </w:r>
      <w:r w:rsidRPr="00B73D50">
        <w:rPr>
          <w:lang w:val="sk-SK"/>
        </w:rPr>
        <w:t xml:space="preserve"> matersk</w:t>
      </w:r>
      <w:r w:rsidR="008C4324">
        <w:rPr>
          <w:lang w:val="sk-SK"/>
        </w:rPr>
        <w:t>ého</w:t>
      </w:r>
      <w:r w:rsidRPr="00B73D50">
        <w:rPr>
          <w:lang w:val="sk-SK"/>
        </w:rPr>
        <w:t xml:space="preserve"> mliek</w:t>
      </w:r>
      <w:r w:rsidR="008C4324">
        <w:rPr>
          <w:lang w:val="sk-SK"/>
        </w:rPr>
        <w:t>a</w:t>
      </w:r>
      <w:r w:rsidRPr="00B73D50">
        <w:rPr>
          <w:lang w:val="sk-SK"/>
        </w:rPr>
        <w:t>. Berinert sa má podávať dojčiacej matke</w:t>
      </w:r>
      <w:r w:rsidR="008C4324">
        <w:rPr>
          <w:lang w:val="sk-SK"/>
        </w:rPr>
        <w:t xml:space="preserve"> iba v nevyhnutnom prípade.</w:t>
      </w:r>
    </w:p>
    <w:p w14:paraId="419919D3" w14:textId="77777777" w:rsidR="00AA7859" w:rsidRPr="00B73D50" w:rsidRDefault="00AA7859" w:rsidP="00915A16">
      <w:pPr>
        <w:pStyle w:val="SPCtext"/>
        <w:spacing w:after="0"/>
        <w:rPr>
          <w:lang w:val="sk-SK"/>
        </w:rPr>
      </w:pPr>
    </w:p>
    <w:p w14:paraId="29808301" w14:textId="6A74D198" w:rsidR="00AA7859" w:rsidRPr="00B73D50" w:rsidRDefault="00AA7859" w:rsidP="00915A16">
      <w:pPr>
        <w:pStyle w:val="SPCtext"/>
        <w:spacing w:after="0"/>
        <w:rPr>
          <w:lang w:val="sk-SK"/>
        </w:rPr>
      </w:pPr>
      <w:r w:rsidRPr="00444646">
        <w:rPr>
          <w:rStyle w:val="hps"/>
          <w:szCs w:val="22"/>
          <w:u w:val="single"/>
          <w:lang w:val="sk-SK"/>
        </w:rPr>
        <w:t>Fertilita</w:t>
      </w:r>
      <w:r w:rsidRPr="00444646">
        <w:rPr>
          <w:rStyle w:val="hps"/>
          <w:b/>
          <w:lang w:val="sk-SK"/>
        </w:rPr>
        <w:br/>
      </w:r>
      <w:r w:rsidR="00B85F8F" w:rsidRPr="00444646">
        <w:rPr>
          <w:rStyle w:val="hps"/>
          <w:szCs w:val="22"/>
          <w:lang w:val="sk-SK"/>
        </w:rPr>
        <w:t>C1 inhibítor</w:t>
      </w:r>
      <w:r w:rsidR="00B85F8F" w:rsidRPr="00444646">
        <w:rPr>
          <w:szCs w:val="22"/>
          <w:lang w:val="sk-SK"/>
        </w:rPr>
        <w:t xml:space="preserve"> </w:t>
      </w:r>
      <w:r w:rsidRPr="00444646">
        <w:rPr>
          <w:rStyle w:val="hps"/>
          <w:szCs w:val="22"/>
          <w:lang w:val="sk-SK"/>
        </w:rPr>
        <w:t>je</w:t>
      </w:r>
      <w:r w:rsidRPr="00444646">
        <w:rPr>
          <w:szCs w:val="22"/>
          <w:lang w:val="sk-SK"/>
        </w:rPr>
        <w:t xml:space="preserve"> </w:t>
      </w:r>
      <w:r w:rsidRPr="00444646">
        <w:rPr>
          <w:rStyle w:val="hps"/>
          <w:szCs w:val="22"/>
          <w:lang w:val="sk-SK"/>
        </w:rPr>
        <w:t>fyziologick</w:t>
      </w:r>
      <w:r w:rsidR="00D55FCB">
        <w:rPr>
          <w:rStyle w:val="hps"/>
          <w:szCs w:val="22"/>
          <w:lang w:val="sk-SK"/>
        </w:rPr>
        <w:t>á</w:t>
      </w:r>
      <w:r w:rsidRPr="00444646">
        <w:rPr>
          <w:szCs w:val="22"/>
          <w:lang w:val="sk-SK"/>
        </w:rPr>
        <w:t xml:space="preserve"> </w:t>
      </w:r>
      <w:r w:rsidRPr="00444646">
        <w:rPr>
          <w:rStyle w:val="hps"/>
          <w:szCs w:val="22"/>
          <w:lang w:val="sk-SK"/>
        </w:rPr>
        <w:t>zložk</w:t>
      </w:r>
      <w:r w:rsidR="00D55FCB">
        <w:rPr>
          <w:rStyle w:val="hps"/>
          <w:szCs w:val="22"/>
          <w:lang w:val="sk-SK"/>
        </w:rPr>
        <w:t>a</w:t>
      </w:r>
      <w:r w:rsidRPr="00444646">
        <w:rPr>
          <w:szCs w:val="22"/>
          <w:lang w:val="sk-SK"/>
        </w:rPr>
        <w:t xml:space="preserve"> ľu</w:t>
      </w:r>
      <w:r w:rsidRPr="00444646">
        <w:rPr>
          <w:rStyle w:val="hps"/>
          <w:szCs w:val="22"/>
          <w:lang w:val="sk-SK"/>
        </w:rPr>
        <w:t>dskej plazmy</w:t>
      </w:r>
      <w:r w:rsidRPr="00444646">
        <w:rPr>
          <w:szCs w:val="22"/>
          <w:lang w:val="sk-SK"/>
        </w:rPr>
        <w:t xml:space="preserve">. </w:t>
      </w:r>
      <w:r w:rsidR="00B85F8F" w:rsidRPr="00B73D50">
        <w:rPr>
          <w:lang w:val="sk-SK"/>
        </w:rPr>
        <w:t>S liekom Berinert</w:t>
      </w:r>
      <w:r w:rsidR="007003C7" w:rsidRPr="00444646">
        <w:rPr>
          <w:rStyle w:val="hps"/>
          <w:szCs w:val="22"/>
          <w:lang w:val="sk-SK"/>
        </w:rPr>
        <w:t xml:space="preserve"> sa n</w:t>
      </w:r>
      <w:r w:rsidRPr="00444646">
        <w:rPr>
          <w:rStyle w:val="hps"/>
          <w:szCs w:val="22"/>
          <w:lang w:val="sk-SK"/>
        </w:rPr>
        <w:t>euskutočnili žiadne štúdie</w:t>
      </w:r>
      <w:r w:rsidRPr="00444646">
        <w:rPr>
          <w:szCs w:val="22"/>
          <w:lang w:val="sk-SK"/>
        </w:rPr>
        <w:t xml:space="preserve"> </w:t>
      </w:r>
      <w:r w:rsidRPr="00444646">
        <w:rPr>
          <w:rStyle w:val="hps"/>
          <w:szCs w:val="22"/>
          <w:lang w:val="sk-SK"/>
        </w:rPr>
        <w:t>reproduk</w:t>
      </w:r>
      <w:r w:rsidR="00165A91" w:rsidRPr="00444646">
        <w:rPr>
          <w:rStyle w:val="hps"/>
          <w:szCs w:val="22"/>
          <w:lang w:val="sk-SK"/>
        </w:rPr>
        <w:t>čnej</w:t>
      </w:r>
      <w:r w:rsidRPr="00444646">
        <w:rPr>
          <w:szCs w:val="22"/>
          <w:lang w:val="sk-SK"/>
        </w:rPr>
        <w:t xml:space="preserve"> a výv</w:t>
      </w:r>
      <w:r w:rsidR="008526F2">
        <w:rPr>
          <w:szCs w:val="22"/>
          <w:lang w:val="sk-SK"/>
        </w:rPr>
        <w:t>inovej</w:t>
      </w:r>
      <w:r w:rsidRPr="00444646">
        <w:rPr>
          <w:szCs w:val="22"/>
          <w:lang w:val="sk-SK"/>
        </w:rPr>
        <w:t xml:space="preserve"> </w:t>
      </w:r>
      <w:r w:rsidRPr="00444646">
        <w:rPr>
          <w:rStyle w:val="hps"/>
          <w:szCs w:val="22"/>
          <w:lang w:val="sk-SK"/>
        </w:rPr>
        <w:t>toxicity</w:t>
      </w:r>
      <w:r w:rsidRPr="00444646">
        <w:rPr>
          <w:szCs w:val="22"/>
          <w:lang w:val="sk-SK"/>
        </w:rPr>
        <w:t xml:space="preserve"> </w:t>
      </w:r>
      <w:r w:rsidRPr="00444646">
        <w:rPr>
          <w:rStyle w:val="hps"/>
          <w:szCs w:val="22"/>
          <w:lang w:val="sk-SK"/>
        </w:rPr>
        <w:t>na zvieratách</w:t>
      </w:r>
      <w:r w:rsidR="00B85F8F" w:rsidRPr="00444646">
        <w:rPr>
          <w:rStyle w:val="hps"/>
          <w:szCs w:val="22"/>
          <w:lang w:val="sk-SK"/>
        </w:rPr>
        <w:t xml:space="preserve">. </w:t>
      </w:r>
      <w:r w:rsidRPr="00444646">
        <w:rPr>
          <w:rStyle w:val="hps"/>
          <w:szCs w:val="22"/>
          <w:lang w:val="sk-SK"/>
        </w:rPr>
        <w:t xml:space="preserve"> </w:t>
      </w:r>
    </w:p>
    <w:p w14:paraId="3980FD4F" w14:textId="77777777" w:rsidR="005F18BD" w:rsidRPr="00B73D50" w:rsidRDefault="005F18BD" w:rsidP="00915A16">
      <w:pPr>
        <w:pStyle w:val="SPCtext"/>
        <w:spacing w:after="0"/>
        <w:rPr>
          <w:lang w:val="sk-SK"/>
        </w:rPr>
      </w:pPr>
    </w:p>
    <w:p w14:paraId="0CB9C21D" w14:textId="77777777" w:rsidR="00AA7859" w:rsidRPr="00B73D50" w:rsidRDefault="00AA7859" w:rsidP="00AA7859">
      <w:pPr>
        <w:pStyle w:val="SPCNadpis2"/>
        <w:spacing w:before="0" w:after="0"/>
        <w:rPr>
          <w:lang w:val="sk-SK"/>
        </w:rPr>
      </w:pPr>
      <w:r w:rsidRPr="00B73D50">
        <w:rPr>
          <w:lang w:val="sk-SK"/>
        </w:rPr>
        <w:t>Ovplyvnenie schopnosti viesť vozidlá a obsluhovať stroje</w:t>
      </w:r>
    </w:p>
    <w:p w14:paraId="4D5892AC" w14:textId="77777777" w:rsidR="00AA7859" w:rsidRPr="00B73D50" w:rsidRDefault="00AA7859" w:rsidP="00AA7859">
      <w:pPr>
        <w:pStyle w:val="SPCtext"/>
        <w:spacing w:after="0"/>
        <w:rPr>
          <w:lang w:val="sk-SK"/>
        </w:rPr>
      </w:pPr>
    </w:p>
    <w:p w14:paraId="59FFBCE8" w14:textId="77777777" w:rsidR="00AA7859" w:rsidRPr="00B73D50" w:rsidRDefault="00AA7859" w:rsidP="00AA7859">
      <w:pPr>
        <w:pStyle w:val="SPCtext"/>
        <w:spacing w:after="0"/>
        <w:rPr>
          <w:lang w:val="sk-SK"/>
        </w:rPr>
      </w:pPr>
      <w:r w:rsidRPr="00444646">
        <w:rPr>
          <w:szCs w:val="22"/>
          <w:lang w:val="sk-SK"/>
        </w:rPr>
        <w:t xml:space="preserve">Berinert nemá žiadny alebo </w:t>
      </w:r>
      <w:r w:rsidRPr="00444646">
        <w:rPr>
          <w:noProof/>
          <w:szCs w:val="22"/>
          <w:lang w:val="sk-SK"/>
        </w:rPr>
        <w:t>má</w:t>
      </w:r>
      <w:r w:rsidRPr="00444646">
        <w:rPr>
          <w:szCs w:val="22"/>
          <w:lang w:val="sk-SK"/>
        </w:rPr>
        <w:t xml:space="preserve"> zanedbateľný vplyv na schopnosť viesť vozidlá a obsluhovať stroje.</w:t>
      </w:r>
    </w:p>
    <w:p w14:paraId="1E346A55" w14:textId="77777777" w:rsidR="005F18BD" w:rsidRPr="00B73D50" w:rsidRDefault="005F18BD" w:rsidP="00AA7859">
      <w:pPr>
        <w:pStyle w:val="SPCtext"/>
        <w:spacing w:after="0"/>
        <w:rPr>
          <w:lang w:val="sk-SK"/>
        </w:rPr>
      </w:pPr>
    </w:p>
    <w:p w14:paraId="477423ED" w14:textId="77777777" w:rsidR="00AA7859" w:rsidRPr="00F61954" w:rsidRDefault="00AA7859" w:rsidP="00AA7859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Nežiaduce účinky</w:t>
      </w:r>
    </w:p>
    <w:p w14:paraId="1F4664F9" w14:textId="66FEBFFF" w:rsidR="00B85F8F" w:rsidRDefault="00B85F8F" w:rsidP="00AA7859">
      <w:pPr>
        <w:pStyle w:val="SPCtext"/>
        <w:spacing w:after="0"/>
        <w:jc w:val="both"/>
        <w:rPr>
          <w:lang w:val="sk-SK"/>
        </w:rPr>
      </w:pPr>
    </w:p>
    <w:p w14:paraId="6A9C68A4" w14:textId="2AFDE9B1" w:rsidR="00B85F8F" w:rsidRPr="00F61954" w:rsidRDefault="00B85F8F" w:rsidP="00AA7859">
      <w:pPr>
        <w:pStyle w:val="SPCtext"/>
        <w:spacing w:after="0"/>
        <w:jc w:val="both"/>
        <w:rPr>
          <w:lang w:val="sk-SK"/>
        </w:rPr>
      </w:pPr>
      <w:r>
        <w:rPr>
          <w:lang w:val="sk-SK"/>
        </w:rPr>
        <w:t xml:space="preserve">Nežiaduce účinky boli </w:t>
      </w:r>
      <w:r w:rsidR="0001351F">
        <w:rPr>
          <w:lang w:val="sk-SK"/>
        </w:rPr>
        <w:t xml:space="preserve">popísané </w:t>
      </w:r>
      <w:r w:rsidR="00253B90">
        <w:rPr>
          <w:lang w:val="sk-SK"/>
        </w:rPr>
        <w:t>v 3. fáze</w:t>
      </w:r>
      <w:r w:rsidR="0001351F">
        <w:rPr>
          <w:lang w:val="sk-SK"/>
        </w:rPr>
        <w:t xml:space="preserve"> </w:t>
      </w:r>
      <w:r>
        <w:rPr>
          <w:lang w:val="sk-SK"/>
        </w:rPr>
        <w:t>hlavnej štúdie CSL830_3001 u pacientov (n = 86) s HAE, ktor</w:t>
      </w:r>
      <w:r w:rsidR="00D827B8">
        <w:rPr>
          <w:lang w:val="sk-SK"/>
        </w:rPr>
        <w:t>ým</w:t>
      </w:r>
      <w:r>
        <w:rPr>
          <w:lang w:val="sk-SK"/>
        </w:rPr>
        <w:t xml:space="preserve"> </w:t>
      </w:r>
      <w:r w:rsidR="00D827B8">
        <w:rPr>
          <w:lang w:val="sk-SK"/>
        </w:rPr>
        <w:t xml:space="preserve">bol </w:t>
      </w:r>
      <w:r>
        <w:rPr>
          <w:lang w:val="sk-SK"/>
        </w:rPr>
        <w:t xml:space="preserve">Berinert </w:t>
      </w:r>
      <w:r w:rsidR="00D827B8">
        <w:rPr>
          <w:lang w:val="sk-SK"/>
        </w:rPr>
        <w:t xml:space="preserve">aplikovaný </w:t>
      </w:r>
      <w:r>
        <w:rPr>
          <w:lang w:val="sk-SK"/>
        </w:rPr>
        <w:t>subkutánne. Frekvencia nežiaducich účinkov je</w:t>
      </w:r>
      <w:r w:rsidR="0001351F">
        <w:rPr>
          <w:lang w:val="sk-SK"/>
        </w:rPr>
        <w:t xml:space="preserve"> hodnotená podľa udalostí</w:t>
      </w:r>
      <w:r>
        <w:rPr>
          <w:lang w:val="sk-SK"/>
        </w:rPr>
        <w:t xml:space="preserve"> súvisiacich s Berinert</w:t>
      </w:r>
      <w:r w:rsidR="0001351F">
        <w:rPr>
          <w:lang w:val="sk-SK"/>
        </w:rPr>
        <w:t>om</w:t>
      </w:r>
      <w:r>
        <w:rPr>
          <w:lang w:val="sk-SK"/>
        </w:rPr>
        <w:t xml:space="preserve">. </w:t>
      </w:r>
      <w:r w:rsidR="00E22C5D">
        <w:rPr>
          <w:lang w:val="sk-SK"/>
        </w:rPr>
        <w:t>Odhaduje sa na základe jednotlivých pacientov a kategó</w:t>
      </w:r>
      <w:r w:rsidR="00F41D65">
        <w:rPr>
          <w:lang w:val="sk-SK"/>
        </w:rPr>
        <w:t>r</w:t>
      </w:r>
      <w:r w:rsidR="00E22C5D">
        <w:rPr>
          <w:lang w:val="sk-SK"/>
        </w:rPr>
        <w:t>ií takto:</w:t>
      </w:r>
    </w:p>
    <w:p w14:paraId="0D6740A9" w14:textId="29B59F80" w:rsidR="00AA7859" w:rsidRPr="00F61954" w:rsidRDefault="00AA7859" w:rsidP="00AA7859">
      <w:pPr>
        <w:pStyle w:val="SPCtext"/>
        <w:tabs>
          <w:tab w:val="left" w:pos="1985"/>
        </w:tabs>
        <w:spacing w:after="0"/>
        <w:rPr>
          <w:lang w:val="sk-SK"/>
        </w:rPr>
      </w:pPr>
      <w:r w:rsidRPr="00F61954">
        <w:rPr>
          <w:lang w:val="sk-SK"/>
        </w:rPr>
        <w:t xml:space="preserve">Veľmi časté </w:t>
      </w:r>
      <w:r w:rsidR="00B85F8F">
        <w:rPr>
          <w:lang w:val="sk-SK"/>
        </w:rPr>
        <w:t>(</w:t>
      </w:r>
      <w:r w:rsidRPr="00F61954">
        <w:rPr>
          <w:lang w:val="sk-SK"/>
        </w:rPr>
        <w:sym w:font="Symbol" w:char="00B3"/>
      </w:r>
      <w:r w:rsidRPr="00F61954">
        <w:rPr>
          <w:lang w:val="sk-SK"/>
        </w:rPr>
        <w:t xml:space="preserve"> 1/10</w:t>
      </w:r>
      <w:r w:rsidR="00B85F8F">
        <w:rPr>
          <w:lang w:val="sk-SK"/>
        </w:rPr>
        <w:t>)</w:t>
      </w:r>
      <w:r w:rsidRPr="00F61954">
        <w:rPr>
          <w:lang w:val="sk-SK"/>
        </w:rPr>
        <w:br/>
        <w:t xml:space="preserve">Časté </w:t>
      </w:r>
      <w:r w:rsidR="00B85F8F">
        <w:rPr>
          <w:lang w:val="sk-SK"/>
        </w:rPr>
        <w:t>(</w:t>
      </w:r>
      <w:r w:rsidRPr="00F61954">
        <w:rPr>
          <w:lang w:val="sk-SK"/>
        </w:rPr>
        <w:sym w:font="Symbol" w:char="00B3"/>
      </w:r>
      <w:r w:rsidRPr="00F61954">
        <w:rPr>
          <w:lang w:val="sk-SK"/>
        </w:rPr>
        <w:t xml:space="preserve"> 1/100 až &lt; 1/10</w:t>
      </w:r>
      <w:r w:rsidR="00B85F8F">
        <w:rPr>
          <w:lang w:val="sk-SK"/>
        </w:rPr>
        <w:t>)</w:t>
      </w:r>
      <w:r w:rsidRPr="00F61954">
        <w:rPr>
          <w:lang w:val="sk-SK"/>
        </w:rPr>
        <w:br/>
        <w:t xml:space="preserve">Menej časté </w:t>
      </w:r>
      <w:r w:rsidR="00B85F8F">
        <w:rPr>
          <w:lang w:val="sk-SK"/>
        </w:rPr>
        <w:t>(</w:t>
      </w:r>
      <w:r w:rsidRPr="00F61954">
        <w:rPr>
          <w:lang w:val="sk-SK"/>
        </w:rPr>
        <w:sym w:font="Symbol" w:char="00B3"/>
      </w:r>
      <w:r w:rsidRPr="00F61954">
        <w:rPr>
          <w:lang w:val="sk-SK"/>
        </w:rPr>
        <w:t xml:space="preserve"> 1/1 000 až &lt; 1/100</w:t>
      </w:r>
      <w:r w:rsidR="00B85F8F">
        <w:rPr>
          <w:lang w:val="sk-SK"/>
        </w:rPr>
        <w:t>)</w:t>
      </w:r>
      <w:r w:rsidRPr="00F61954">
        <w:rPr>
          <w:lang w:val="sk-SK"/>
        </w:rPr>
        <w:br/>
        <w:t xml:space="preserve">Zriedkavé </w:t>
      </w:r>
      <w:r w:rsidR="00B85F8F">
        <w:rPr>
          <w:lang w:val="sk-SK"/>
        </w:rPr>
        <w:t>(</w:t>
      </w:r>
      <w:r w:rsidRPr="00F61954">
        <w:rPr>
          <w:lang w:val="sk-SK"/>
        </w:rPr>
        <w:sym w:font="Symbol" w:char="00B3"/>
      </w:r>
      <w:r w:rsidRPr="00F61954">
        <w:rPr>
          <w:lang w:val="sk-SK"/>
        </w:rPr>
        <w:t xml:space="preserve"> 1/10 000 až &lt; 1/1 000</w:t>
      </w:r>
      <w:r w:rsidR="00B85F8F">
        <w:rPr>
          <w:lang w:val="sk-SK"/>
        </w:rPr>
        <w:t>)</w:t>
      </w:r>
      <w:r w:rsidRPr="00F61954">
        <w:rPr>
          <w:lang w:val="sk-SK"/>
        </w:rPr>
        <w:br/>
        <w:t xml:space="preserve">Veľmi zriedkavé </w:t>
      </w:r>
      <w:r w:rsidR="00B85F8F">
        <w:rPr>
          <w:lang w:val="sk-SK"/>
        </w:rPr>
        <w:t>(</w:t>
      </w:r>
      <w:r w:rsidRPr="00F61954">
        <w:rPr>
          <w:lang w:val="sk-SK"/>
        </w:rPr>
        <w:t>&lt; 1/10 000</w:t>
      </w:r>
      <w:r w:rsidR="00B85F8F">
        <w:rPr>
          <w:lang w:val="sk-SK"/>
        </w:rPr>
        <w:t>)</w:t>
      </w:r>
      <w:r w:rsidRPr="00F61954">
        <w:rPr>
          <w:lang w:val="sk-SK"/>
        </w:rPr>
        <w:t xml:space="preserve"> </w:t>
      </w:r>
    </w:p>
    <w:p w14:paraId="32F0D2BC" w14:textId="77777777" w:rsidR="00B85F8F" w:rsidRDefault="00B85F8F" w:rsidP="00AA7859">
      <w:pPr>
        <w:pStyle w:val="SPCtext"/>
        <w:spacing w:after="0"/>
        <w:rPr>
          <w:lang w:val="sk-SK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3553"/>
        <w:gridCol w:w="1903"/>
      </w:tblGrid>
      <w:tr w:rsidR="00B85F8F" w:rsidRPr="0011506B" w14:paraId="4CC5DBA6" w14:textId="77777777" w:rsidTr="00C27A04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3DB4" w14:textId="69FAE37F" w:rsidR="00B85F8F" w:rsidRPr="0011506B" w:rsidRDefault="00B85F8F" w:rsidP="00444646">
            <w:pPr>
              <w:tabs>
                <w:tab w:val="left" w:pos="34"/>
              </w:tabs>
              <w:spacing w:before="0"/>
              <w:ind w:left="34"/>
              <w:rPr>
                <w:b/>
                <w:sz w:val="22"/>
                <w:szCs w:val="22"/>
                <w:lang w:val="sk-SK"/>
              </w:rPr>
            </w:pPr>
          </w:p>
          <w:p w14:paraId="34FD8F5A" w14:textId="77777777" w:rsidR="00A51ED0" w:rsidRPr="0011506B" w:rsidRDefault="008A21B8" w:rsidP="00A51ED0">
            <w:pPr>
              <w:tabs>
                <w:tab w:val="left" w:pos="34"/>
              </w:tabs>
              <w:spacing w:before="0"/>
              <w:ind w:left="34"/>
              <w:rPr>
                <w:b/>
                <w:sz w:val="22"/>
                <w:szCs w:val="22"/>
                <w:lang w:val="sk-SK"/>
              </w:rPr>
            </w:pPr>
            <w:r w:rsidRPr="0011506B">
              <w:rPr>
                <w:b/>
                <w:sz w:val="22"/>
                <w:szCs w:val="22"/>
                <w:lang w:val="sk-SK"/>
              </w:rPr>
              <w:t>Trieda orgánových systémov</w:t>
            </w:r>
            <w:r w:rsidR="00A51ED0">
              <w:rPr>
                <w:b/>
                <w:sz w:val="22"/>
                <w:szCs w:val="22"/>
                <w:lang w:val="sk-SK"/>
              </w:rPr>
              <w:t xml:space="preserve"> podľa databázy </w:t>
            </w:r>
            <w:r w:rsidR="00A51ED0" w:rsidRPr="0011506B">
              <w:rPr>
                <w:b/>
                <w:sz w:val="22"/>
                <w:szCs w:val="22"/>
                <w:lang w:val="sk-SK"/>
              </w:rPr>
              <w:t>MedDRA</w:t>
            </w:r>
          </w:p>
          <w:p w14:paraId="05390034" w14:textId="37CC559F" w:rsidR="008A21B8" w:rsidRPr="0011506B" w:rsidRDefault="008A21B8" w:rsidP="00444646">
            <w:pPr>
              <w:tabs>
                <w:tab w:val="left" w:pos="34"/>
              </w:tabs>
              <w:spacing w:before="0"/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8E40" w14:textId="6ED1BE1F" w:rsidR="00B85F8F" w:rsidRPr="0011506B" w:rsidRDefault="008A21B8" w:rsidP="008A21B8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b/>
                <w:sz w:val="22"/>
                <w:szCs w:val="22"/>
                <w:lang w:val="sk-SK"/>
              </w:rPr>
              <w:t>Nežiaduca reakcia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1268" w14:textId="7F779F66" w:rsidR="00B85F8F" w:rsidRPr="0011506B" w:rsidRDefault="008A21B8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B85F8F" w:rsidRPr="0011506B" w14:paraId="05738EE9" w14:textId="77777777" w:rsidTr="0011506B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4E2A" w14:textId="77777777" w:rsidR="00B85F8F" w:rsidRPr="0011506B" w:rsidRDefault="00D74874" w:rsidP="0011506B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7973" w14:textId="2B2AFAE0" w:rsidR="00B85F8F" w:rsidRPr="0011506B" w:rsidRDefault="00B85F8F" w:rsidP="0011506B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rStyle w:val="shorttext"/>
                <w:sz w:val="22"/>
                <w:szCs w:val="22"/>
                <w:lang w:val="sk-SK"/>
              </w:rPr>
              <w:t>Nazofaryngit</w:t>
            </w:r>
            <w:r w:rsidR="008A21B8" w:rsidRPr="0011506B">
              <w:rPr>
                <w:rStyle w:val="shorttext"/>
                <w:sz w:val="22"/>
                <w:szCs w:val="22"/>
                <w:lang w:val="sk-SK"/>
              </w:rPr>
              <w:t>í</w:t>
            </w:r>
            <w:r w:rsidRPr="0011506B">
              <w:rPr>
                <w:rStyle w:val="shorttext"/>
                <w:sz w:val="22"/>
                <w:szCs w:val="22"/>
                <w:lang w:val="sk-SK"/>
              </w:rPr>
              <w:t>da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029A" w14:textId="77777777" w:rsidR="00B85F8F" w:rsidRPr="0011506B" w:rsidRDefault="008A21B8" w:rsidP="0011506B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B85F8F" w:rsidRPr="0011506B" w14:paraId="07A52127" w14:textId="77777777" w:rsidTr="00C27A04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46A1" w14:textId="2AFC09D7" w:rsidR="00B85F8F" w:rsidRPr="0011506B" w:rsidRDefault="008A21B8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5AFE" w14:textId="77777777" w:rsidR="005E00D3" w:rsidRPr="00F54473" w:rsidRDefault="00D74874" w:rsidP="00444646">
            <w:pPr>
              <w:tabs>
                <w:tab w:val="left" w:pos="34"/>
              </w:tabs>
              <w:spacing w:before="0"/>
              <w:ind w:left="34"/>
              <w:rPr>
                <w:sz w:val="22"/>
                <w:szCs w:val="22"/>
                <w:lang w:val="sk-SK"/>
              </w:rPr>
            </w:pPr>
            <w:r w:rsidRPr="00F54473">
              <w:rPr>
                <w:sz w:val="22"/>
                <w:szCs w:val="22"/>
                <w:lang w:val="sk-SK"/>
              </w:rPr>
              <w:t>Hypersenzitivita</w:t>
            </w:r>
          </w:p>
          <w:p w14:paraId="3C378735" w14:textId="7F13713A" w:rsidR="00B85F8F" w:rsidRPr="0011506B" w:rsidRDefault="00D01647" w:rsidP="00A51ED0">
            <w:pPr>
              <w:tabs>
                <w:tab w:val="left" w:pos="34"/>
              </w:tabs>
              <w:spacing w:before="0"/>
              <w:ind w:left="34"/>
              <w:rPr>
                <w:sz w:val="22"/>
                <w:szCs w:val="22"/>
                <w:lang w:val="sk-SK"/>
              </w:rPr>
            </w:pPr>
            <w:r w:rsidRPr="00F54473">
              <w:rPr>
                <w:sz w:val="22"/>
                <w:szCs w:val="22"/>
                <w:lang w:val="sk-SK"/>
              </w:rPr>
              <w:t>(</w:t>
            </w:r>
            <w:r w:rsidR="00A51ED0" w:rsidRPr="00F54473">
              <w:rPr>
                <w:sz w:val="22"/>
                <w:szCs w:val="22"/>
                <w:lang w:val="sk-SK"/>
              </w:rPr>
              <w:t>hypersenzitivita</w:t>
            </w:r>
            <w:r w:rsidR="00D74874" w:rsidRPr="0011506B">
              <w:rPr>
                <w:sz w:val="22"/>
                <w:szCs w:val="22"/>
                <w:lang w:val="sk-SK"/>
              </w:rPr>
              <w:t>,</w:t>
            </w:r>
            <w:r w:rsidR="00D74874" w:rsidRPr="0011506B" w:rsidDel="005E00D3">
              <w:rPr>
                <w:sz w:val="22"/>
                <w:szCs w:val="22"/>
                <w:lang w:val="sk-SK"/>
              </w:rPr>
              <w:t xml:space="preserve"> </w:t>
            </w:r>
            <w:r w:rsidR="00791252">
              <w:rPr>
                <w:sz w:val="22"/>
                <w:szCs w:val="22"/>
                <w:lang w:val="sk-SK"/>
              </w:rPr>
              <w:t>svrbenie</w:t>
            </w:r>
            <w:r w:rsidR="00B85F8F" w:rsidRPr="0011506B">
              <w:rPr>
                <w:sz w:val="22"/>
                <w:szCs w:val="22"/>
                <w:lang w:val="sk-SK"/>
              </w:rPr>
              <w:t>, vyrážka a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 žihľavka</w:t>
            </w:r>
            <w:r w:rsidR="00B85F8F" w:rsidRPr="0011506B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DA4A" w14:textId="77777777" w:rsidR="00B85F8F" w:rsidRPr="0011506B" w:rsidRDefault="00B85F8F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B85F8F" w:rsidRPr="0011506B" w14:paraId="4F8C6BFC" w14:textId="77777777" w:rsidTr="00C27A04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8798" w14:textId="77777777" w:rsidR="00B85F8F" w:rsidRPr="0011506B" w:rsidRDefault="00B85F8F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B56D" w14:textId="3C465628" w:rsidR="00B85F8F" w:rsidRPr="0011506B" w:rsidRDefault="00B85F8F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Závrat</w:t>
            </w:r>
            <w:r w:rsidR="00A51ED0"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DCF6" w14:textId="77777777" w:rsidR="00B85F8F" w:rsidRPr="0011506B" w:rsidRDefault="00B85F8F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B85F8F" w:rsidRPr="0011506B" w14:paraId="0BE3D919" w14:textId="77777777" w:rsidTr="00C27A04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793D" w14:textId="77777777" w:rsidR="00B85F8F" w:rsidRPr="0011506B" w:rsidRDefault="00B85F8F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lastRenderedPageBreak/>
              <w:t xml:space="preserve">Celkové poruchy a </w:t>
            </w:r>
            <w:r w:rsidR="008A21B8" w:rsidRPr="0011506B">
              <w:rPr>
                <w:sz w:val="22"/>
                <w:szCs w:val="22"/>
                <w:lang w:val="sk-SK"/>
              </w:rPr>
              <w:t>reakcie v mieste podania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F911" w14:textId="58E9E7FB" w:rsidR="00B85F8F" w:rsidRPr="0011506B" w:rsidRDefault="00B85F8F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Reakc</w:t>
            </w:r>
            <w:r w:rsidR="00D74874" w:rsidRPr="0011506B">
              <w:rPr>
                <w:sz w:val="22"/>
                <w:szCs w:val="22"/>
                <w:lang w:val="sk-SK"/>
              </w:rPr>
              <w:t>i</w:t>
            </w:r>
            <w:r w:rsidRPr="0011506B">
              <w:rPr>
                <w:sz w:val="22"/>
                <w:szCs w:val="22"/>
                <w:lang w:val="sk-SK"/>
              </w:rPr>
              <w:t>e v</w:t>
            </w:r>
            <w:r w:rsidR="008A21B8" w:rsidRPr="0011506B">
              <w:rPr>
                <w:sz w:val="22"/>
                <w:szCs w:val="22"/>
                <w:lang w:val="sk-SK"/>
              </w:rPr>
              <w:t xml:space="preserve"> mieste</w:t>
            </w:r>
            <w:r w:rsidR="00D01647" w:rsidRPr="0011506B">
              <w:rPr>
                <w:sz w:val="22"/>
                <w:szCs w:val="22"/>
                <w:lang w:val="sk-SK"/>
              </w:rPr>
              <w:t xml:space="preserve"> </w:t>
            </w:r>
            <w:r w:rsidRPr="0011506B">
              <w:rPr>
                <w:sz w:val="22"/>
                <w:szCs w:val="22"/>
                <w:lang w:val="sk-SK"/>
              </w:rPr>
              <w:t>vpichu</w:t>
            </w:r>
            <w:r w:rsidRPr="0011506B">
              <w:rPr>
                <w:sz w:val="22"/>
                <w:szCs w:val="22"/>
                <w:vertAlign w:val="superscript"/>
                <w:lang w:val="sk-SK"/>
              </w:rPr>
              <w:t xml:space="preserve"> 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EE32" w14:textId="77777777" w:rsidR="00B85F8F" w:rsidRPr="0011506B" w:rsidRDefault="008A21B8" w:rsidP="00C27A04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B85F8F" w:rsidRPr="0011506B" w14:paraId="533C407A" w14:textId="77777777" w:rsidTr="00C27A04"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3AE5" w14:textId="4CF850D4" w:rsidR="00B85F8F" w:rsidRPr="0011506B" w:rsidRDefault="00B85F8F" w:rsidP="00805D1B">
            <w:pPr>
              <w:tabs>
                <w:tab w:val="left" w:pos="34"/>
              </w:tabs>
              <w:ind w:left="34"/>
              <w:rPr>
                <w:sz w:val="22"/>
                <w:szCs w:val="22"/>
                <w:lang w:val="sk-SK"/>
              </w:rPr>
            </w:pPr>
            <w:r w:rsidRPr="0011506B">
              <w:rPr>
                <w:sz w:val="22"/>
                <w:szCs w:val="22"/>
                <w:vertAlign w:val="superscript"/>
                <w:lang w:val="sk-SK"/>
              </w:rPr>
              <w:t>a</w:t>
            </w:r>
            <w:r w:rsidRPr="0011506B">
              <w:rPr>
                <w:sz w:val="22"/>
                <w:szCs w:val="22"/>
                <w:lang w:val="sk-SK"/>
              </w:rPr>
              <w:t xml:space="preserve"> </w:t>
            </w:r>
            <w:r w:rsidR="00BA1241">
              <w:rPr>
                <w:sz w:val="22"/>
                <w:szCs w:val="22"/>
                <w:lang w:val="sk-SK"/>
              </w:rPr>
              <w:t>m</w:t>
            </w:r>
            <w:r w:rsidR="004A5155">
              <w:rPr>
                <w:sz w:val="22"/>
                <w:szCs w:val="22"/>
                <w:lang w:val="sk-SK"/>
              </w:rPr>
              <w:t xml:space="preserve">odrina </w:t>
            </w:r>
            <w:r w:rsidR="00BA1241">
              <w:rPr>
                <w:sz w:val="22"/>
                <w:szCs w:val="22"/>
                <w:lang w:val="sk-SK"/>
              </w:rPr>
              <w:t xml:space="preserve">v 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mieste vpichu, </w:t>
            </w:r>
            <w:r w:rsidR="004A5155">
              <w:rPr>
                <w:sz w:val="22"/>
                <w:szCs w:val="22"/>
                <w:lang w:val="sk-SK"/>
              </w:rPr>
              <w:t xml:space="preserve">pocit chladu 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v mieste vpichu, </w:t>
            </w:r>
            <w:r w:rsidR="004A5155">
              <w:rPr>
                <w:sz w:val="22"/>
                <w:szCs w:val="22"/>
                <w:lang w:val="sk-SK"/>
              </w:rPr>
              <w:t xml:space="preserve">výtok v mieste vpichu, </w:t>
            </w:r>
            <w:r w:rsidR="005E00D3" w:rsidRPr="0011506B">
              <w:rPr>
                <w:sz w:val="22"/>
                <w:szCs w:val="22"/>
                <w:lang w:val="sk-SK"/>
              </w:rPr>
              <w:t>erytém v mie</w:t>
            </w:r>
            <w:r w:rsidR="0011506B">
              <w:rPr>
                <w:sz w:val="22"/>
                <w:szCs w:val="22"/>
                <w:lang w:val="sk-SK"/>
              </w:rPr>
              <w:t>s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te vpichu, </w:t>
            </w:r>
            <w:r w:rsidR="004A5155">
              <w:rPr>
                <w:sz w:val="22"/>
                <w:szCs w:val="22"/>
                <w:lang w:val="sk-SK"/>
              </w:rPr>
              <w:t xml:space="preserve">hematóm </w:t>
            </w:r>
            <w:r w:rsidR="005E00D3" w:rsidRPr="0011506B">
              <w:rPr>
                <w:sz w:val="22"/>
                <w:szCs w:val="22"/>
                <w:lang w:val="sk-SK"/>
              </w:rPr>
              <w:t>v mie</w:t>
            </w:r>
            <w:r w:rsidR="0011506B">
              <w:rPr>
                <w:sz w:val="22"/>
                <w:szCs w:val="22"/>
                <w:lang w:val="sk-SK"/>
              </w:rPr>
              <w:t>s</w:t>
            </w:r>
            <w:r w:rsidR="005E00D3" w:rsidRPr="0011506B">
              <w:rPr>
                <w:sz w:val="22"/>
                <w:szCs w:val="22"/>
                <w:lang w:val="sk-SK"/>
              </w:rPr>
              <w:t>te vpichu, krvácanie miest</w:t>
            </w:r>
            <w:r w:rsidR="00070E7D">
              <w:rPr>
                <w:sz w:val="22"/>
                <w:szCs w:val="22"/>
                <w:lang w:val="sk-SK"/>
              </w:rPr>
              <w:t>a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 vpichu, </w:t>
            </w:r>
            <w:r w:rsidR="0085107E">
              <w:rPr>
                <w:sz w:val="22"/>
                <w:szCs w:val="22"/>
                <w:lang w:val="sk-SK"/>
              </w:rPr>
              <w:t>stvrdnutie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 miest</w:t>
            </w:r>
            <w:r w:rsidR="0085107E">
              <w:rPr>
                <w:sz w:val="22"/>
                <w:szCs w:val="22"/>
                <w:lang w:val="sk-SK"/>
              </w:rPr>
              <w:t>a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 vpichu, </w:t>
            </w:r>
            <w:r w:rsidR="00805D1B">
              <w:rPr>
                <w:sz w:val="22"/>
                <w:szCs w:val="22"/>
                <w:lang w:val="sk-SK"/>
              </w:rPr>
              <w:t xml:space="preserve">edém </w:t>
            </w:r>
            <w:r w:rsidR="005E00D3" w:rsidRPr="0011506B">
              <w:rPr>
                <w:sz w:val="22"/>
                <w:szCs w:val="22"/>
                <w:lang w:val="sk-SK"/>
              </w:rPr>
              <w:t>v mie</w:t>
            </w:r>
            <w:r w:rsidR="0011506B">
              <w:rPr>
                <w:sz w:val="22"/>
                <w:szCs w:val="22"/>
                <w:lang w:val="sk-SK"/>
              </w:rPr>
              <w:t>s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te vpichu, bolesť v mieste vpichu, </w:t>
            </w:r>
            <w:r w:rsidR="00805D1B">
              <w:rPr>
                <w:sz w:val="22"/>
                <w:szCs w:val="22"/>
                <w:lang w:val="sk-SK"/>
              </w:rPr>
              <w:t xml:space="preserve">svrbenie </w:t>
            </w:r>
            <w:r w:rsidR="005E00D3" w:rsidRPr="0011506B">
              <w:rPr>
                <w:sz w:val="22"/>
                <w:szCs w:val="22"/>
                <w:lang w:val="sk-SK"/>
              </w:rPr>
              <w:t>v mieste vpichu, vyrá</w:t>
            </w:r>
            <w:r w:rsidR="0011506B">
              <w:rPr>
                <w:sz w:val="22"/>
                <w:szCs w:val="22"/>
                <w:lang w:val="sk-SK"/>
              </w:rPr>
              <w:t>ž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ka v mieste vpichu, </w:t>
            </w:r>
            <w:r w:rsidR="00D74874" w:rsidRPr="0011506B">
              <w:rPr>
                <w:sz w:val="22"/>
                <w:szCs w:val="22"/>
                <w:lang w:val="sk-SK"/>
              </w:rPr>
              <w:t xml:space="preserve">reakcia v mieste vpichu, </w:t>
            </w:r>
            <w:r w:rsidR="005E00D3" w:rsidRPr="0011506B">
              <w:rPr>
                <w:sz w:val="22"/>
                <w:szCs w:val="22"/>
                <w:lang w:val="sk-SK"/>
              </w:rPr>
              <w:t>jazv</w:t>
            </w:r>
            <w:r w:rsidR="00805D1B">
              <w:rPr>
                <w:sz w:val="22"/>
                <w:szCs w:val="22"/>
                <w:lang w:val="sk-SK"/>
              </w:rPr>
              <w:t>a</w:t>
            </w:r>
            <w:r w:rsidR="00D74874" w:rsidRPr="0011506B">
              <w:rPr>
                <w:sz w:val="22"/>
                <w:szCs w:val="22"/>
                <w:lang w:val="sk-SK"/>
              </w:rPr>
              <w:t xml:space="preserve"> v mieste vpichu</w:t>
            </w:r>
            <w:r w:rsidR="005E00D3" w:rsidRPr="0011506B">
              <w:rPr>
                <w:sz w:val="22"/>
                <w:szCs w:val="22"/>
                <w:lang w:val="sk-SK"/>
              </w:rPr>
              <w:t>, opuch v mieste vpichu, žihľavka v mie</w:t>
            </w:r>
            <w:r w:rsidR="0011506B">
              <w:rPr>
                <w:sz w:val="22"/>
                <w:szCs w:val="22"/>
                <w:lang w:val="sk-SK"/>
              </w:rPr>
              <w:t>s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te vpichu, </w:t>
            </w:r>
            <w:r w:rsidR="00805D1B">
              <w:rPr>
                <w:sz w:val="22"/>
                <w:szCs w:val="22"/>
                <w:lang w:val="sk-SK"/>
              </w:rPr>
              <w:t xml:space="preserve">pocit </w:t>
            </w:r>
            <w:r w:rsidR="005E00D3" w:rsidRPr="0011506B">
              <w:rPr>
                <w:sz w:val="22"/>
                <w:szCs w:val="22"/>
                <w:lang w:val="sk-SK"/>
              </w:rPr>
              <w:t>tepl</w:t>
            </w:r>
            <w:r w:rsidR="00805D1B">
              <w:rPr>
                <w:sz w:val="22"/>
                <w:szCs w:val="22"/>
                <w:lang w:val="sk-SK"/>
              </w:rPr>
              <w:t>a</w:t>
            </w:r>
            <w:r w:rsidR="005E00D3" w:rsidRPr="0011506B">
              <w:rPr>
                <w:sz w:val="22"/>
                <w:szCs w:val="22"/>
                <w:lang w:val="sk-SK"/>
              </w:rPr>
              <w:t xml:space="preserve"> v mieste vpichu</w:t>
            </w:r>
          </w:p>
        </w:tc>
      </w:tr>
    </w:tbl>
    <w:p w14:paraId="4B571615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66F70D33" w14:textId="15F66412" w:rsidR="00AA7859" w:rsidRPr="00F61954" w:rsidRDefault="00A4104F" w:rsidP="00AA7859">
      <w:pPr>
        <w:pStyle w:val="SPCtext"/>
        <w:spacing w:after="0"/>
        <w:rPr>
          <w:lang w:val="sk-SK"/>
        </w:rPr>
      </w:pPr>
      <w:r>
        <w:rPr>
          <w:lang w:val="sk-SK"/>
        </w:rPr>
        <w:t>Bezpečnostné opatrenia</w:t>
      </w:r>
      <w:r w:rsidR="00AA7859" w:rsidRPr="00F61954">
        <w:rPr>
          <w:lang w:val="sk-SK"/>
        </w:rPr>
        <w:t xml:space="preserve"> </w:t>
      </w:r>
      <w:r>
        <w:rPr>
          <w:lang w:val="sk-SK"/>
        </w:rPr>
        <w:t>v súvislosti s</w:t>
      </w:r>
      <w:r w:rsidR="000F41EE">
        <w:rPr>
          <w:lang w:val="sk-SK"/>
        </w:rPr>
        <w:t> infekčnými agensmi</w:t>
      </w:r>
      <w:r w:rsidRPr="00243B96">
        <w:rPr>
          <w:lang w:val="sk-SK"/>
        </w:rPr>
        <w:t>,</w:t>
      </w:r>
      <w:r w:rsidR="00AA7859" w:rsidRPr="00F61954">
        <w:rPr>
          <w:lang w:val="sk-SK"/>
        </w:rPr>
        <w:t xml:space="preserve"> pozri časť 4.4.</w:t>
      </w:r>
    </w:p>
    <w:p w14:paraId="2EC25B1C" w14:textId="77777777" w:rsidR="00AA7859" w:rsidRPr="002918BE" w:rsidRDefault="00AA7859" w:rsidP="00AA7859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2918BE">
        <w:rPr>
          <w:noProof/>
          <w:sz w:val="22"/>
          <w:szCs w:val="22"/>
          <w:u w:val="single"/>
        </w:rPr>
        <w:t>Hlásenie podozrení na nežiaduce reakcie</w:t>
      </w:r>
    </w:p>
    <w:p w14:paraId="712E0521" w14:textId="2E95538B" w:rsidR="00AA7859" w:rsidRDefault="00AA7859" w:rsidP="00AA7859">
      <w:pPr>
        <w:pStyle w:val="SPCtext"/>
        <w:spacing w:after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11506B">
        <w:rPr>
          <w:noProof/>
          <w:szCs w:val="22"/>
        </w:rPr>
        <w:t xml:space="preserve">na </w:t>
      </w:r>
      <w:r w:rsidRPr="00E26E70">
        <w:rPr>
          <w:noProof/>
          <w:szCs w:val="22"/>
          <w:highlight w:val="lightGray"/>
        </w:rPr>
        <w:t>národné</w:t>
      </w:r>
      <w:r w:rsidR="0011506B" w:rsidRPr="00E26E70">
        <w:rPr>
          <w:noProof/>
          <w:szCs w:val="22"/>
          <w:highlight w:val="lightGray"/>
        </w:rPr>
        <w:t xml:space="preserve"> centrum</w:t>
      </w:r>
      <w:r w:rsidRPr="00E26E70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E26E7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14:paraId="2AE5314F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35A15F31" w14:textId="77777777" w:rsidR="00AA7859" w:rsidRPr="00F61954" w:rsidRDefault="00AA7859" w:rsidP="00AA7859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Predávkovanie</w:t>
      </w:r>
    </w:p>
    <w:p w14:paraId="0ACDBD2F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11DF7A83" w14:textId="23FE24B6" w:rsidR="00AA7859" w:rsidRPr="0049425D" w:rsidRDefault="00AA7859" w:rsidP="00AA7859">
      <w:pPr>
        <w:pStyle w:val="LAGIPINormal"/>
        <w:rPr>
          <w:sz w:val="22"/>
          <w:szCs w:val="22"/>
          <w:lang w:val="sk-SK"/>
        </w:rPr>
      </w:pPr>
      <w:r w:rsidRPr="0049425D">
        <w:rPr>
          <w:sz w:val="22"/>
          <w:szCs w:val="22"/>
          <w:lang w:val="sk-SK"/>
        </w:rPr>
        <w:t>Nebol hlásený žiadny prípad predávkovania.</w:t>
      </w:r>
      <w:r w:rsidR="0049425D" w:rsidRPr="0049425D">
        <w:rPr>
          <w:sz w:val="22"/>
          <w:szCs w:val="22"/>
          <w:lang w:val="sk-SK"/>
        </w:rPr>
        <w:t xml:space="preserve"> Dávky zodpovedajúce </w:t>
      </w:r>
      <w:r w:rsidR="00F161E5">
        <w:rPr>
          <w:sz w:val="22"/>
          <w:szCs w:val="22"/>
          <w:lang w:val="sk-SK"/>
        </w:rPr>
        <w:t xml:space="preserve">až </w:t>
      </w:r>
      <w:r w:rsidR="0049425D" w:rsidRPr="0049425D">
        <w:rPr>
          <w:sz w:val="22"/>
          <w:szCs w:val="22"/>
          <w:lang w:val="sk-SK"/>
        </w:rPr>
        <w:t>117 IU/kg</w:t>
      </w:r>
      <w:r w:rsidR="00F161E5">
        <w:rPr>
          <w:sz w:val="22"/>
          <w:szCs w:val="22"/>
          <w:lang w:val="sk-SK"/>
        </w:rPr>
        <w:t xml:space="preserve">, aplikované subkutánne, </w:t>
      </w:r>
      <w:r w:rsidR="0049425D" w:rsidRPr="0049425D">
        <w:rPr>
          <w:sz w:val="22"/>
          <w:szCs w:val="22"/>
          <w:lang w:val="sk-SK"/>
        </w:rPr>
        <w:t xml:space="preserve">boli podávané </w:t>
      </w:r>
      <w:r w:rsidR="006E7CB1">
        <w:rPr>
          <w:sz w:val="22"/>
          <w:szCs w:val="22"/>
          <w:lang w:val="sk-SK"/>
        </w:rPr>
        <w:t>2-</w:t>
      </w:r>
      <w:r w:rsidR="0049425D" w:rsidRPr="0049425D">
        <w:rPr>
          <w:sz w:val="22"/>
          <w:szCs w:val="22"/>
          <w:lang w:val="sk-SK"/>
        </w:rPr>
        <w:t xml:space="preserve">krát </w:t>
      </w:r>
      <w:r w:rsidR="004C040C">
        <w:rPr>
          <w:sz w:val="22"/>
          <w:szCs w:val="22"/>
          <w:lang w:val="sk-SK"/>
        </w:rPr>
        <w:t>týždenne</w:t>
      </w:r>
      <w:r w:rsidR="0049425D" w:rsidRPr="0049425D">
        <w:rPr>
          <w:sz w:val="22"/>
          <w:szCs w:val="22"/>
          <w:lang w:val="sk-SK"/>
        </w:rPr>
        <w:t xml:space="preserve"> </w:t>
      </w:r>
      <w:r w:rsidR="00F161E5">
        <w:rPr>
          <w:sz w:val="22"/>
          <w:szCs w:val="22"/>
          <w:lang w:val="sk-SK"/>
        </w:rPr>
        <w:t xml:space="preserve">v klinickej štúdii hodnotiacej pevne stanovenú dávku </w:t>
      </w:r>
      <w:r w:rsidR="0049425D" w:rsidRPr="0049425D">
        <w:rPr>
          <w:sz w:val="22"/>
          <w:szCs w:val="22"/>
          <w:lang w:val="sk-SK"/>
        </w:rPr>
        <w:t>a boli dobre tolerované.</w:t>
      </w:r>
    </w:p>
    <w:p w14:paraId="456B9D2D" w14:textId="77777777" w:rsidR="00AA7859" w:rsidRPr="00F61954" w:rsidRDefault="00AA7859" w:rsidP="00AA7859">
      <w:pPr>
        <w:pStyle w:val="LAGIPINormal"/>
        <w:rPr>
          <w:sz w:val="22"/>
          <w:lang w:val="sk-SK"/>
        </w:rPr>
      </w:pPr>
    </w:p>
    <w:p w14:paraId="4C7999EB" w14:textId="77777777" w:rsidR="00AA7859" w:rsidRPr="00F61954" w:rsidRDefault="00AA7859" w:rsidP="00AA7859">
      <w:pPr>
        <w:pStyle w:val="LAGIPINormal"/>
        <w:rPr>
          <w:sz w:val="22"/>
          <w:lang w:val="sk-SK"/>
        </w:rPr>
      </w:pPr>
    </w:p>
    <w:p w14:paraId="7012ACA7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farmakologické vlastnosti</w:t>
      </w:r>
    </w:p>
    <w:p w14:paraId="17766C2B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35207DDF" w14:textId="77777777" w:rsidR="00AA7859" w:rsidRPr="00F61954" w:rsidRDefault="00AA7859" w:rsidP="00AA7859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Farmakodynamické vlastnosti</w:t>
      </w:r>
    </w:p>
    <w:p w14:paraId="3A899C18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4C361484" w14:textId="77777777" w:rsidR="00AA7859" w:rsidRPr="00F61954" w:rsidRDefault="00AA7859" w:rsidP="00AA7859">
      <w:pPr>
        <w:pStyle w:val="Zkladntext3"/>
        <w:keepNext/>
      </w:pPr>
      <w:r w:rsidRPr="00F61954">
        <w:t xml:space="preserve">Farmakoterapeutická skupina: </w:t>
      </w:r>
      <w:r w:rsidR="00167DCF">
        <w:t>Iné hematologické liečivá, Liečivá na dedičný angioedém,</w:t>
      </w:r>
      <w:r w:rsidR="0049425D">
        <w:t xml:space="preserve"> </w:t>
      </w:r>
      <w:r w:rsidR="00552103" w:rsidRPr="00F61954">
        <w:t>C1</w:t>
      </w:r>
      <w:r w:rsidR="00552103">
        <w:t>-</w:t>
      </w:r>
      <w:r w:rsidRPr="00F61954">
        <w:t>inhibítor, derivát plazmy</w:t>
      </w:r>
    </w:p>
    <w:p w14:paraId="51BDF6F3" w14:textId="77777777" w:rsidR="00AA7859" w:rsidRPr="00F61954" w:rsidRDefault="00AA7859" w:rsidP="00AA7859">
      <w:pPr>
        <w:pStyle w:val="Zkladntext3"/>
      </w:pPr>
      <w:r w:rsidRPr="00F61954">
        <w:t>ATC kód: B06AC01</w:t>
      </w:r>
    </w:p>
    <w:p w14:paraId="7FB7B0CC" w14:textId="77777777" w:rsidR="00AA7859" w:rsidRPr="00F61954" w:rsidRDefault="00AA7859" w:rsidP="00AA7859">
      <w:pPr>
        <w:pStyle w:val="Zkladntext3"/>
      </w:pPr>
    </w:p>
    <w:p w14:paraId="45069139" w14:textId="0FCB891B" w:rsidR="00AA7859" w:rsidRPr="00F61954" w:rsidRDefault="00AA7859" w:rsidP="00915A16">
      <w:pPr>
        <w:pStyle w:val="Zkladntext3"/>
      </w:pPr>
      <w:r w:rsidRPr="00F61954">
        <w:t>Inhibítor C1</w:t>
      </w:r>
      <w:r w:rsidRPr="00F61954">
        <w:noBreakHyphen/>
        <w:t>esterázy je plazmatický glykoproteín s molekulovou hmotnosťou 105 </w:t>
      </w:r>
      <w:r w:rsidRPr="00515158">
        <w:t>kDa</w:t>
      </w:r>
      <w:r w:rsidRPr="00F61954">
        <w:t xml:space="preserve"> a obsahom </w:t>
      </w:r>
      <w:r w:rsidR="001308D1" w:rsidRPr="00F6105C">
        <w:t xml:space="preserve">sacharidovej </w:t>
      </w:r>
      <w:r w:rsidRPr="003954A7">
        <w:t>zložky</w:t>
      </w:r>
      <w:r w:rsidRPr="00F61954">
        <w:t xml:space="preserve"> 40 %. Jeho koncentrácia v ľudskej plazme je približne 240 mg/l. Inhibítor C1</w:t>
      </w:r>
      <w:r w:rsidRPr="00F61954">
        <w:noBreakHyphen/>
        <w:t>esterázy sa okrem ľudskej plazmy vysky</w:t>
      </w:r>
      <w:r w:rsidR="00F02ED0">
        <w:t>tuje</w:t>
      </w:r>
      <w:r w:rsidRPr="00F61954">
        <w:t xml:space="preserve"> v placente, v bunkách pečene, monocytoch a krvných doštičkách.</w:t>
      </w:r>
    </w:p>
    <w:p w14:paraId="27FE0F26" w14:textId="77777777" w:rsidR="00AA7859" w:rsidRPr="00F61954" w:rsidRDefault="00AA7859" w:rsidP="00915A16">
      <w:pPr>
        <w:pStyle w:val="Zkladntext3"/>
      </w:pPr>
    </w:p>
    <w:p w14:paraId="5897FDAB" w14:textId="77777777" w:rsidR="00AA7859" w:rsidRDefault="00AA7859" w:rsidP="00915A16">
      <w:pPr>
        <w:pStyle w:val="Zkladntext3"/>
      </w:pPr>
      <w:r w:rsidRPr="00F61954">
        <w:t>Inhibítor C1</w:t>
      </w:r>
      <w:r w:rsidRPr="00F61954">
        <w:noBreakHyphen/>
        <w:t xml:space="preserve">esterázy patrí do systému inhibítorov </w:t>
      </w:r>
      <w:r w:rsidRPr="00D84FDD">
        <w:t>serínových proteináz (serpín)</w:t>
      </w:r>
      <w:r w:rsidRPr="00F61954">
        <w:t xml:space="preserve"> ľudskej plazmy spolu s inými proteínmi ako antitrombín III, </w:t>
      </w:r>
      <w:r w:rsidRPr="00F61954">
        <w:sym w:font="Symbol" w:char="F061"/>
      </w:r>
      <w:r w:rsidRPr="00F61954">
        <w:noBreakHyphen/>
        <w:t>2</w:t>
      </w:r>
      <w:r w:rsidRPr="00F61954">
        <w:noBreakHyphen/>
        <w:t xml:space="preserve">antiplazmín, </w:t>
      </w:r>
      <w:r w:rsidRPr="00F61954">
        <w:sym w:font="Symbol" w:char="F061"/>
      </w:r>
      <w:r w:rsidRPr="00F61954">
        <w:noBreakHyphen/>
        <w:t>1</w:t>
      </w:r>
      <w:r w:rsidRPr="00F61954">
        <w:noBreakHyphen/>
        <w:t>antitrypsín a iné.</w:t>
      </w:r>
    </w:p>
    <w:p w14:paraId="59EB734B" w14:textId="77777777" w:rsidR="00AA7859" w:rsidRDefault="00AA7859" w:rsidP="0049425D">
      <w:pPr>
        <w:pStyle w:val="Zkladntext3"/>
      </w:pPr>
    </w:p>
    <w:p w14:paraId="38B2ECD9" w14:textId="77777777" w:rsidR="0049425D" w:rsidRDefault="00167DCF" w:rsidP="0049425D">
      <w:pPr>
        <w:spacing w:before="0"/>
        <w:jc w:val="both"/>
      </w:pPr>
      <w:r>
        <w:rPr>
          <w:rStyle w:val="shorttext"/>
          <w:sz w:val="22"/>
          <w:szCs w:val="22"/>
        </w:rPr>
        <w:t>Mechanizmus</w:t>
      </w:r>
      <w:r w:rsidR="0049425D" w:rsidRPr="008177C8">
        <w:rPr>
          <w:rStyle w:val="shorttext"/>
          <w:sz w:val="22"/>
          <w:szCs w:val="22"/>
        </w:rPr>
        <w:t xml:space="preserve"> účinku</w:t>
      </w:r>
    </w:p>
    <w:p w14:paraId="43350A30" w14:textId="7BA14DBF" w:rsidR="00AA7859" w:rsidRDefault="00AA7859" w:rsidP="00915A16">
      <w:pPr>
        <w:pStyle w:val="Zkladntext3"/>
      </w:pPr>
      <w:r>
        <w:t>Za fyzio</w:t>
      </w:r>
      <w:r w:rsidR="0077625B">
        <w:t>logických podmienok inhibítor C1-</w:t>
      </w:r>
      <w:r>
        <w:t>esterázy blokuje klasickú cestu komplement</w:t>
      </w:r>
      <w:r w:rsidR="005948DB">
        <w:t>ové</w:t>
      </w:r>
      <w:r>
        <w:t>ho systému tým, že inaktivuje enzymatické aktívne zložky C1s a C1r. Aktívny enzým vytvára komplex s inhibítorom v stechiometrickom pomere 1:1.</w:t>
      </w:r>
    </w:p>
    <w:p w14:paraId="64D4A69B" w14:textId="77777777" w:rsidR="00AA7859" w:rsidRDefault="00AA7859" w:rsidP="00915A16">
      <w:pPr>
        <w:pStyle w:val="Zkladntext3"/>
      </w:pPr>
    </w:p>
    <w:p w14:paraId="4D0879F9" w14:textId="3AB33FE6" w:rsidR="00AA7859" w:rsidRPr="00F61954" w:rsidRDefault="00AA7859" w:rsidP="00915A16">
      <w:pPr>
        <w:pStyle w:val="Zkladntext3"/>
      </w:pPr>
      <w:r w:rsidRPr="00F61954">
        <w:t>Inhibítor C1</w:t>
      </w:r>
      <w:r w:rsidRPr="00F61954">
        <w:noBreakHyphen/>
        <w:t>esterázy predstavuje tiež najdôležitejší inhibítor kontaktnej aktivácie koagulácie</w:t>
      </w:r>
      <w:r w:rsidR="00E36DBB">
        <w:t xml:space="preserve"> </w:t>
      </w:r>
      <w:r w:rsidRPr="00F61954">
        <w:t>inhib</w:t>
      </w:r>
      <w:r w:rsidR="00E36DBB">
        <w:t>íciou</w:t>
      </w:r>
      <w:r w:rsidRPr="00F61954">
        <w:t xml:space="preserve"> faktor</w:t>
      </w:r>
      <w:r w:rsidR="00E36DBB">
        <w:t>a</w:t>
      </w:r>
      <w:r w:rsidRPr="00F61954">
        <w:t xml:space="preserve"> XIIa a jeho fragment</w:t>
      </w:r>
      <w:r w:rsidR="00E36DBB">
        <w:t>ov</w:t>
      </w:r>
      <w:r w:rsidRPr="00F61954">
        <w:t xml:space="preserve">. </w:t>
      </w:r>
      <w:r w:rsidR="00E36DBB">
        <w:t>Navyše,</w:t>
      </w:r>
      <w:r w:rsidRPr="00F61954">
        <w:t xml:space="preserve"> </w:t>
      </w:r>
      <w:r w:rsidR="00E36DBB">
        <w:t xml:space="preserve">okrem </w:t>
      </w:r>
      <w:r w:rsidRPr="00F61954">
        <w:sym w:font="Symbol" w:char="F061"/>
      </w:r>
      <w:r w:rsidRPr="00F61954">
        <w:noBreakHyphen/>
        <w:t>2</w:t>
      </w:r>
      <w:r w:rsidRPr="00F61954">
        <w:noBreakHyphen/>
        <w:t>makroglobulín</w:t>
      </w:r>
      <w:r w:rsidR="00E36DBB">
        <w:t>u</w:t>
      </w:r>
      <w:r w:rsidRPr="00F61954">
        <w:t>, slúži ako hlavný inhibítor plazmatického kalikreínu.</w:t>
      </w:r>
    </w:p>
    <w:p w14:paraId="593C345A" w14:textId="77777777" w:rsidR="00AA7859" w:rsidRPr="00F61954" w:rsidRDefault="00AA7859" w:rsidP="00915A16">
      <w:pPr>
        <w:pStyle w:val="Zkladntext3"/>
      </w:pPr>
    </w:p>
    <w:p w14:paraId="75B133F0" w14:textId="77DC7993" w:rsidR="00AA7859" w:rsidRPr="00F61954" w:rsidRDefault="000B4BCF" w:rsidP="00915A16">
      <w:pPr>
        <w:pStyle w:val="Zkladntext3"/>
      </w:pPr>
      <w:r>
        <w:t xml:space="preserve">Terapeutický </w:t>
      </w:r>
      <w:r w:rsidR="00AA7859" w:rsidRPr="00F61954">
        <w:t xml:space="preserve">účinok Berinertu </w:t>
      </w:r>
      <w:r>
        <w:t>v liečbe</w:t>
      </w:r>
      <w:r w:rsidRPr="00F61954">
        <w:t xml:space="preserve"> </w:t>
      </w:r>
      <w:r w:rsidR="00AA7859" w:rsidRPr="00F61954">
        <w:t>dedičn</w:t>
      </w:r>
      <w:r>
        <w:t>ého</w:t>
      </w:r>
      <w:r w:rsidR="00AA7859" w:rsidRPr="00F61954">
        <w:t xml:space="preserve"> angioedém</w:t>
      </w:r>
      <w:r>
        <w:t>u</w:t>
      </w:r>
      <w:r w:rsidR="00AA7859" w:rsidRPr="00F61954">
        <w:t xml:space="preserve"> </w:t>
      </w:r>
      <w:r>
        <w:t xml:space="preserve">je vyvolaný substitúciou </w:t>
      </w:r>
      <w:r w:rsidR="00AA7859" w:rsidRPr="00F61954">
        <w:t>chýbajúcej aktivity inhibítora C1</w:t>
      </w:r>
      <w:r w:rsidR="00AA7859" w:rsidRPr="00F61954">
        <w:noBreakHyphen/>
        <w:t>esterázy.</w:t>
      </w:r>
    </w:p>
    <w:p w14:paraId="2A2276D3" w14:textId="77777777" w:rsidR="00AA7859" w:rsidRPr="00F61954" w:rsidRDefault="00AA7859" w:rsidP="00915A16">
      <w:pPr>
        <w:pStyle w:val="Zkladntext3"/>
      </w:pPr>
    </w:p>
    <w:p w14:paraId="07354137" w14:textId="4ECF380E" w:rsidR="00AA7859" w:rsidRPr="00F61954" w:rsidRDefault="00F0264F" w:rsidP="00F02ED0">
      <w:pPr>
        <w:pStyle w:val="SPCNadpis2"/>
        <w:spacing w:before="0" w:after="0"/>
        <w:rPr>
          <w:lang w:val="sk-SK"/>
        </w:rPr>
      </w:pPr>
      <w:r>
        <w:rPr>
          <w:lang w:val="sk-SK"/>
        </w:rPr>
        <w:br w:type="page"/>
      </w:r>
      <w:r w:rsidR="00AA7859" w:rsidRPr="00F61954">
        <w:rPr>
          <w:lang w:val="sk-SK"/>
        </w:rPr>
        <w:lastRenderedPageBreak/>
        <w:t>Farmakokinetické vlastnosti</w:t>
      </w:r>
    </w:p>
    <w:p w14:paraId="2113962D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7CFDB0C4" w14:textId="7AAC68CF" w:rsidR="00AA7859" w:rsidRPr="00F61954" w:rsidRDefault="00AA7859" w:rsidP="00915A16">
      <w:pPr>
        <w:pStyle w:val="Zkladntext3"/>
        <w:tabs>
          <w:tab w:val="left" w:pos="4536"/>
        </w:tabs>
      </w:pPr>
      <w:r w:rsidRPr="00F61954">
        <w:t xml:space="preserve">Farmakokinetické </w:t>
      </w:r>
      <w:r w:rsidR="0049425D">
        <w:t xml:space="preserve">(PK) charakteristiky </w:t>
      </w:r>
      <w:r w:rsidR="00900770">
        <w:t>Berinert</w:t>
      </w:r>
      <w:r w:rsidR="00C36E20">
        <w:t>u, aplikovaného</w:t>
      </w:r>
      <w:r w:rsidR="00900770">
        <w:t xml:space="preserve"> </w:t>
      </w:r>
      <w:r w:rsidR="0049425D">
        <w:t>subkutánn</w:t>
      </w:r>
      <w:r w:rsidR="00C36E20">
        <w:t>e,</w:t>
      </w:r>
      <w:r w:rsidR="0049425D">
        <w:t xml:space="preserve"> </w:t>
      </w:r>
      <w:r w:rsidRPr="00F61954">
        <w:t xml:space="preserve">boli </w:t>
      </w:r>
      <w:r w:rsidR="0049425D">
        <w:t xml:space="preserve">primárne opísané pomocou populačných PK metód </w:t>
      </w:r>
      <w:r w:rsidR="00C36E20">
        <w:t xml:space="preserve">na základe </w:t>
      </w:r>
      <w:r w:rsidR="0049425D">
        <w:t xml:space="preserve">údajov </w:t>
      </w:r>
      <w:r w:rsidR="00C36E20">
        <w:t xml:space="preserve">zhromaždených </w:t>
      </w:r>
      <w:r w:rsidR="0049425D">
        <w:t>z 3 klinických štúdií u zdravých jedincov a pacientov s HAE.</w:t>
      </w:r>
      <w:r w:rsidR="0049425D" w:rsidRPr="00F61954" w:rsidDel="0049425D">
        <w:t xml:space="preserve"> </w:t>
      </w:r>
    </w:p>
    <w:p w14:paraId="22FCF5E6" w14:textId="7467F7E9" w:rsidR="0049425D" w:rsidRDefault="00F720FB" w:rsidP="0049425D">
      <w:pPr>
        <w:spacing w:before="0"/>
      </w:pPr>
      <w:r w:rsidRPr="00026AD4">
        <w:rPr>
          <w:sz w:val="22"/>
          <w:szCs w:val="22"/>
        </w:rPr>
        <w:t xml:space="preserve"> </w:t>
      </w:r>
    </w:p>
    <w:p w14:paraId="5D724E7F" w14:textId="77777777" w:rsidR="0049425D" w:rsidRPr="0011506B" w:rsidRDefault="0049425D" w:rsidP="0049425D">
      <w:pPr>
        <w:spacing w:before="0"/>
        <w:rPr>
          <w:sz w:val="22"/>
          <w:szCs w:val="22"/>
          <w:u w:val="single"/>
          <w:lang w:val="sk-SK"/>
        </w:rPr>
      </w:pPr>
      <w:r w:rsidRPr="0011506B">
        <w:rPr>
          <w:sz w:val="22"/>
          <w:szCs w:val="22"/>
          <w:u w:val="single"/>
          <w:lang w:val="sk-SK"/>
        </w:rPr>
        <w:t>Absorpcia</w:t>
      </w:r>
    </w:p>
    <w:p w14:paraId="053A4518" w14:textId="3A1324C3" w:rsidR="0049425D" w:rsidRPr="0011506B" w:rsidRDefault="0049425D" w:rsidP="0049425D">
      <w:pPr>
        <w:spacing w:before="0"/>
        <w:rPr>
          <w:sz w:val="22"/>
          <w:szCs w:val="22"/>
          <w:lang w:val="sk-SK"/>
        </w:rPr>
      </w:pPr>
      <w:r w:rsidRPr="0011506B">
        <w:rPr>
          <w:sz w:val="22"/>
          <w:szCs w:val="22"/>
          <w:lang w:val="sk-SK"/>
        </w:rPr>
        <w:t xml:space="preserve">Po </w:t>
      </w:r>
      <w:r w:rsidR="00253B90" w:rsidRPr="0011506B">
        <w:rPr>
          <w:sz w:val="22"/>
          <w:szCs w:val="22"/>
          <w:lang w:val="sk-SK"/>
        </w:rPr>
        <w:t>subkutánnom podávaní</w:t>
      </w:r>
      <w:r w:rsidRPr="0011506B">
        <w:rPr>
          <w:sz w:val="22"/>
          <w:szCs w:val="22"/>
          <w:lang w:val="sk-SK"/>
        </w:rPr>
        <w:t xml:space="preserve"> </w:t>
      </w:r>
      <w:r w:rsidR="00253B90" w:rsidRPr="0011506B">
        <w:rPr>
          <w:sz w:val="22"/>
          <w:szCs w:val="22"/>
          <w:lang w:val="sk-SK"/>
        </w:rPr>
        <w:t>v dávk</w:t>
      </w:r>
      <w:r w:rsidR="00827A73">
        <w:rPr>
          <w:sz w:val="22"/>
          <w:szCs w:val="22"/>
          <w:lang w:val="sk-SK"/>
        </w:rPr>
        <w:t>e</w:t>
      </w:r>
      <w:r w:rsidRPr="0011506B">
        <w:rPr>
          <w:sz w:val="22"/>
          <w:szCs w:val="22"/>
          <w:lang w:val="sk-SK"/>
        </w:rPr>
        <w:t xml:space="preserve"> </w:t>
      </w:r>
      <w:r w:rsidR="00827A73">
        <w:rPr>
          <w:sz w:val="22"/>
          <w:szCs w:val="22"/>
          <w:lang w:val="sk-SK"/>
        </w:rPr>
        <w:t>dva</w:t>
      </w:r>
      <w:r w:rsidRPr="0011506B">
        <w:rPr>
          <w:sz w:val="22"/>
          <w:szCs w:val="22"/>
          <w:lang w:val="sk-SK"/>
        </w:rPr>
        <w:t xml:space="preserve">krát </w:t>
      </w:r>
      <w:r w:rsidR="00253B90" w:rsidRPr="0011506B">
        <w:rPr>
          <w:sz w:val="22"/>
          <w:szCs w:val="22"/>
          <w:lang w:val="sk-SK"/>
        </w:rPr>
        <w:t xml:space="preserve">týždenne sa </w:t>
      </w:r>
      <w:r w:rsidR="00827A73">
        <w:rPr>
          <w:sz w:val="22"/>
          <w:szCs w:val="22"/>
          <w:lang w:val="sk-SK"/>
        </w:rPr>
        <w:t xml:space="preserve">Berinert </w:t>
      </w:r>
      <w:r w:rsidRPr="0011506B">
        <w:rPr>
          <w:sz w:val="22"/>
          <w:szCs w:val="22"/>
          <w:lang w:val="sk-SK"/>
        </w:rPr>
        <w:t xml:space="preserve">absorbuje </w:t>
      </w:r>
      <w:r w:rsidR="008C60A7">
        <w:rPr>
          <w:sz w:val="22"/>
          <w:szCs w:val="22"/>
          <w:lang w:val="sk-SK"/>
        </w:rPr>
        <w:t xml:space="preserve">pomaly </w:t>
      </w:r>
      <w:r w:rsidRPr="0011506B">
        <w:rPr>
          <w:sz w:val="22"/>
          <w:szCs w:val="22"/>
          <w:lang w:val="sk-SK"/>
        </w:rPr>
        <w:t xml:space="preserve">s </w:t>
      </w:r>
      <w:r w:rsidR="00C87D65" w:rsidRPr="0011506B">
        <w:rPr>
          <w:sz w:val="22"/>
          <w:szCs w:val="22"/>
          <w:lang w:val="sk-SK"/>
        </w:rPr>
        <w:t>mediánom</w:t>
      </w:r>
      <w:r w:rsidRPr="0011506B">
        <w:rPr>
          <w:sz w:val="22"/>
          <w:szCs w:val="22"/>
          <w:lang w:val="sk-SK"/>
        </w:rPr>
        <w:t xml:space="preserve"> </w:t>
      </w:r>
      <w:r w:rsidR="008C60A7">
        <w:rPr>
          <w:sz w:val="22"/>
          <w:szCs w:val="22"/>
          <w:lang w:val="sk-SK"/>
        </w:rPr>
        <w:t xml:space="preserve">času </w:t>
      </w:r>
      <w:r w:rsidRPr="0011506B">
        <w:rPr>
          <w:sz w:val="22"/>
          <w:szCs w:val="22"/>
          <w:lang w:val="sk-SK"/>
        </w:rPr>
        <w:t>(95%</w:t>
      </w:r>
      <w:r w:rsidR="00A51ED0">
        <w:rPr>
          <w:sz w:val="22"/>
          <w:szCs w:val="22"/>
          <w:lang w:val="sk-SK"/>
        </w:rPr>
        <w:t xml:space="preserve"> interval spoľahlivosti,</w:t>
      </w:r>
      <w:r w:rsidRPr="0011506B">
        <w:rPr>
          <w:sz w:val="22"/>
          <w:szCs w:val="22"/>
          <w:lang w:val="sk-SK"/>
        </w:rPr>
        <w:t xml:space="preserve"> </w:t>
      </w:r>
      <w:r w:rsidR="00A51ED0">
        <w:rPr>
          <w:sz w:val="22"/>
          <w:szCs w:val="22"/>
          <w:lang w:val="sk-SK"/>
        </w:rPr>
        <w:t>IS</w:t>
      </w:r>
      <w:r w:rsidRPr="0011506B">
        <w:rPr>
          <w:sz w:val="22"/>
          <w:szCs w:val="22"/>
          <w:lang w:val="sk-SK"/>
        </w:rPr>
        <w:t xml:space="preserve">) </w:t>
      </w:r>
      <w:r w:rsidR="008C60A7">
        <w:rPr>
          <w:sz w:val="22"/>
          <w:szCs w:val="22"/>
          <w:lang w:val="sk-SK"/>
        </w:rPr>
        <w:t xml:space="preserve">do </w:t>
      </w:r>
      <w:r w:rsidR="00654088">
        <w:rPr>
          <w:sz w:val="22"/>
          <w:szCs w:val="22"/>
          <w:lang w:val="sk-SK"/>
        </w:rPr>
        <w:t xml:space="preserve">dosiahnutia </w:t>
      </w:r>
      <w:r w:rsidR="008C60A7">
        <w:rPr>
          <w:sz w:val="22"/>
          <w:szCs w:val="22"/>
          <w:lang w:val="sk-SK"/>
        </w:rPr>
        <w:t xml:space="preserve">maximálnej </w:t>
      </w:r>
      <w:r w:rsidR="00654088">
        <w:rPr>
          <w:sz w:val="22"/>
          <w:szCs w:val="22"/>
          <w:lang w:val="sk-SK"/>
        </w:rPr>
        <w:t xml:space="preserve">plazmatickej </w:t>
      </w:r>
      <w:r w:rsidRPr="0011506B">
        <w:rPr>
          <w:sz w:val="22"/>
          <w:szCs w:val="22"/>
          <w:lang w:val="sk-SK"/>
        </w:rPr>
        <w:t>koncentrácie (</w:t>
      </w:r>
      <w:r w:rsidR="00A51ED0">
        <w:rPr>
          <w:sz w:val="22"/>
          <w:szCs w:val="22"/>
          <w:lang w:val="sk-SK"/>
        </w:rPr>
        <w:t>t</w:t>
      </w:r>
      <w:r w:rsidRPr="00C94ACB">
        <w:rPr>
          <w:sz w:val="22"/>
          <w:szCs w:val="22"/>
          <w:vertAlign w:val="subscript"/>
          <w:lang w:val="sk-SK"/>
        </w:rPr>
        <w:t>max</w:t>
      </w:r>
      <w:r w:rsidRPr="0011506B">
        <w:rPr>
          <w:sz w:val="22"/>
          <w:szCs w:val="22"/>
          <w:lang w:val="sk-SK"/>
        </w:rPr>
        <w:t>) približne 59 hodín (23, 134 hodín). Na základe med</w:t>
      </w:r>
      <w:r w:rsidR="00C87D65" w:rsidRPr="0011506B">
        <w:rPr>
          <w:sz w:val="22"/>
          <w:szCs w:val="22"/>
          <w:lang w:val="sk-SK"/>
        </w:rPr>
        <w:t>i</w:t>
      </w:r>
      <w:r w:rsidRPr="0011506B">
        <w:rPr>
          <w:sz w:val="22"/>
          <w:szCs w:val="22"/>
          <w:lang w:val="sk-SK"/>
        </w:rPr>
        <w:t xml:space="preserve">ánu (95% </w:t>
      </w:r>
      <w:r w:rsidR="00A51ED0">
        <w:rPr>
          <w:sz w:val="22"/>
          <w:szCs w:val="22"/>
          <w:lang w:val="sk-SK"/>
        </w:rPr>
        <w:t>IS</w:t>
      </w:r>
      <w:r w:rsidRPr="0011506B">
        <w:rPr>
          <w:sz w:val="22"/>
          <w:szCs w:val="22"/>
          <w:lang w:val="sk-SK"/>
        </w:rPr>
        <w:t xml:space="preserve">) </w:t>
      </w:r>
      <w:r w:rsidR="003536E5">
        <w:rPr>
          <w:sz w:val="22"/>
          <w:szCs w:val="22"/>
          <w:lang w:val="sk-SK"/>
        </w:rPr>
        <w:t xml:space="preserve">zdanlivého </w:t>
      </w:r>
      <w:r w:rsidRPr="0011506B">
        <w:rPr>
          <w:sz w:val="22"/>
          <w:szCs w:val="22"/>
          <w:lang w:val="sk-SK"/>
        </w:rPr>
        <w:t xml:space="preserve">plazmatického polčasu 69 hodín (24, 250 hodín) sa očakáva </w:t>
      </w:r>
      <w:r w:rsidR="00C94581">
        <w:rPr>
          <w:sz w:val="22"/>
          <w:szCs w:val="22"/>
          <w:lang w:val="sk-SK"/>
        </w:rPr>
        <w:t xml:space="preserve">dosiahnutie rovnovážneho </w:t>
      </w:r>
      <w:r w:rsidRPr="0011506B">
        <w:rPr>
          <w:sz w:val="22"/>
          <w:szCs w:val="22"/>
          <w:lang w:val="sk-SK"/>
        </w:rPr>
        <w:t xml:space="preserve"> stav</w:t>
      </w:r>
      <w:r w:rsidR="00C94581">
        <w:rPr>
          <w:sz w:val="22"/>
          <w:szCs w:val="22"/>
          <w:lang w:val="sk-SK"/>
        </w:rPr>
        <w:t>u</w:t>
      </w:r>
      <w:r w:rsidRPr="0011506B">
        <w:rPr>
          <w:sz w:val="22"/>
          <w:szCs w:val="22"/>
          <w:lang w:val="sk-SK"/>
        </w:rPr>
        <w:t xml:space="preserve"> pre C1-INH počas 3 týždňov po podaní dávky. Pri </w:t>
      </w:r>
      <w:r w:rsidR="00E973EE">
        <w:rPr>
          <w:sz w:val="22"/>
          <w:szCs w:val="22"/>
          <w:lang w:val="sk-SK"/>
        </w:rPr>
        <w:t xml:space="preserve">subkutánnom </w:t>
      </w:r>
      <w:r w:rsidRPr="0011506B">
        <w:rPr>
          <w:sz w:val="22"/>
          <w:szCs w:val="22"/>
          <w:lang w:val="sk-SK"/>
        </w:rPr>
        <w:t xml:space="preserve">podávaní </w:t>
      </w:r>
      <w:r w:rsidR="00E973EE">
        <w:rPr>
          <w:sz w:val="22"/>
          <w:szCs w:val="22"/>
          <w:lang w:val="sk-SK"/>
        </w:rPr>
        <w:t xml:space="preserve">Berinertu v </w:t>
      </w:r>
      <w:r w:rsidRPr="0011506B">
        <w:rPr>
          <w:sz w:val="22"/>
          <w:szCs w:val="22"/>
          <w:lang w:val="sk-SK"/>
        </w:rPr>
        <w:t>dávk</w:t>
      </w:r>
      <w:r w:rsidR="00E973EE">
        <w:rPr>
          <w:sz w:val="22"/>
          <w:szCs w:val="22"/>
          <w:lang w:val="sk-SK"/>
        </w:rPr>
        <w:t>e</w:t>
      </w:r>
      <w:r w:rsidRPr="0011506B">
        <w:rPr>
          <w:sz w:val="22"/>
          <w:szCs w:val="22"/>
          <w:lang w:val="sk-SK"/>
        </w:rPr>
        <w:t xml:space="preserve"> 60 IU/kg </w:t>
      </w:r>
      <w:r w:rsidR="00E973EE">
        <w:rPr>
          <w:sz w:val="22"/>
          <w:szCs w:val="22"/>
          <w:lang w:val="sk-SK"/>
        </w:rPr>
        <w:t>dva</w:t>
      </w:r>
      <w:r w:rsidRPr="0011506B">
        <w:rPr>
          <w:sz w:val="22"/>
          <w:szCs w:val="22"/>
          <w:lang w:val="sk-SK"/>
        </w:rPr>
        <w:t xml:space="preserve">krát  </w:t>
      </w:r>
      <w:r w:rsidR="00253B90" w:rsidRPr="0011506B">
        <w:rPr>
          <w:sz w:val="22"/>
          <w:szCs w:val="22"/>
          <w:lang w:val="sk-SK"/>
        </w:rPr>
        <w:t>týž</w:t>
      </w:r>
      <w:r w:rsidR="006E7CB1" w:rsidRPr="0011506B">
        <w:rPr>
          <w:sz w:val="22"/>
          <w:szCs w:val="22"/>
          <w:lang w:val="sk-SK"/>
        </w:rPr>
        <w:t>d</w:t>
      </w:r>
      <w:r w:rsidR="00253B90" w:rsidRPr="0011506B">
        <w:rPr>
          <w:sz w:val="22"/>
          <w:szCs w:val="22"/>
          <w:lang w:val="sk-SK"/>
        </w:rPr>
        <w:t xml:space="preserve">enne </w:t>
      </w:r>
      <w:r w:rsidRPr="0011506B">
        <w:rPr>
          <w:sz w:val="22"/>
          <w:szCs w:val="22"/>
          <w:lang w:val="sk-SK"/>
        </w:rPr>
        <w:t xml:space="preserve">sa predpokladá priemerná (95% </w:t>
      </w:r>
      <w:r w:rsidR="00A51ED0">
        <w:rPr>
          <w:sz w:val="22"/>
          <w:szCs w:val="22"/>
          <w:lang w:val="sk-SK"/>
        </w:rPr>
        <w:t>IS</w:t>
      </w:r>
      <w:r w:rsidRPr="0011506B">
        <w:rPr>
          <w:sz w:val="22"/>
          <w:szCs w:val="22"/>
          <w:lang w:val="sk-SK"/>
        </w:rPr>
        <w:t xml:space="preserve">) </w:t>
      </w:r>
      <w:r w:rsidR="00E973EE">
        <w:rPr>
          <w:sz w:val="22"/>
          <w:szCs w:val="22"/>
          <w:lang w:val="sk-SK"/>
        </w:rPr>
        <w:t xml:space="preserve">rovnovážna </w:t>
      </w:r>
      <w:r w:rsidRPr="0011506B">
        <w:rPr>
          <w:sz w:val="22"/>
          <w:szCs w:val="22"/>
          <w:lang w:val="sk-SK"/>
        </w:rPr>
        <w:t>hladina funkčnej C1-INH 48% (25,1%, 102%).</w:t>
      </w:r>
    </w:p>
    <w:p w14:paraId="73867507" w14:textId="09897C50" w:rsidR="0049425D" w:rsidRPr="0011506B" w:rsidRDefault="0049425D" w:rsidP="0049425D">
      <w:pPr>
        <w:spacing w:before="0"/>
        <w:rPr>
          <w:sz w:val="22"/>
          <w:szCs w:val="22"/>
          <w:lang w:val="sk-SK"/>
        </w:rPr>
      </w:pPr>
      <w:r w:rsidRPr="0011506B">
        <w:rPr>
          <w:sz w:val="22"/>
          <w:szCs w:val="22"/>
          <w:lang w:val="sk-SK"/>
        </w:rPr>
        <w:t xml:space="preserve">Priemerná (95% </w:t>
      </w:r>
      <w:r w:rsidR="00A51ED0">
        <w:rPr>
          <w:sz w:val="22"/>
          <w:szCs w:val="22"/>
          <w:lang w:val="sk-SK"/>
        </w:rPr>
        <w:t>IS</w:t>
      </w:r>
      <w:r w:rsidRPr="0011506B">
        <w:rPr>
          <w:sz w:val="22"/>
          <w:szCs w:val="22"/>
          <w:lang w:val="sk-SK"/>
        </w:rPr>
        <w:t>) relatívna biologická dostupnosť (F) Berinert</w:t>
      </w:r>
      <w:r w:rsidR="006E7CB1" w:rsidRPr="0011506B">
        <w:rPr>
          <w:sz w:val="22"/>
          <w:szCs w:val="22"/>
          <w:lang w:val="sk-SK"/>
        </w:rPr>
        <w:t>u</w:t>
      </w:r>
      <w:r w:rsidRPr="0011506B">
        <w:rPr>
          <w:sz w:val="22"/>
          <w:szCs w:val="22"/>
          <w:lang w:val="sk-SK"/>
        </w:rPr>
        <w:t xml:space="preserve"> po s.c.</w:t>
      </w:r>
      <w:r w:rsidR="00AF02B0" w:rsidRPr="0011506B">
        <w:rPr>
          <w:sz w:val="22"/>
          <w:szCs w:val="22"/>
          <w:lang w:val="sk-SK"/>
        </w:rPr>
        <w:t xml:space="preserve"> pod</w:t>
      </w:r>
      <w:r w:rsidR="0072398E">
        <w:rPr>
          <w:sz w:val="22"/>
          <w:szCs w:val="22"/>
          <w:lang w:val="sk-SK"/>
        </w:rPr>
        <w:t>áv</w:t>
      </w:r>
      <w:r w:rsidR="00AF02B0" w:rsidRPr="0011506B">
        <w:rPr>
          <w:sz w:val="22"/>
          <w:szCs w:val="22"/>
          <w:lang w:val="sk-SK"/>
        </w:rPr>
        <w:t>aní</w:t>
      </w:r>
      <w:r w:rsidRPr="0011506B">
        <w:rPr>
          <w:sz w:val="22"/>
          <w:szCs w:val="22"/>
          <w:lang w:val="sk-SK"/>
        </w:rPr>
        <w:t xml:space="preserve">  bola približne 43% (35,2%, 50,2%).</w:t>
      </w:r>
    </w:p>
    <w:p w14:paraId="084476F9" w14:textId="77777777" w:rsidR="0049425D" w:rsidRPr="0011506B" w:rsidRDefault="0049425D" w:rsidP="0049425D">
      <w:pPr>
        <w:spacing w:before="0"/>
        <w:rPr>
          <w:sz w:val="22"/>
          <w:szCs w:val="22"/>
        </w:rPr>
      </w:pPr>
    </w:p>
    <w:p w14:paraId="4594D173" w14:textId="77777777" w:rsidR="0049425D" w:rsidRPr="0011506B" w:rsidRDefault="0049425D" w:rsidP="0049425D">
      <w:pPr>
        <w:spacing w:before="0"/>
        <w:rPr>
          <w:sz w:val="22"/>
          <w:szCs w:val="22"/>
          <w:u w:val="single"/>
          <w:lang w:val="sk-SK"/>
        </w:rPr>
      </w:pPr>
      <w:r w:rsidRPr="0011506B">
        <w:rPr>
          <w:sz w:val="22"/>
          <w:szCs w:val="22"/>
          <w:u w:val="single"/>
          <w:lang w:val="sk-SK"/>
        </w:rPr>
        <w:t>Distribúcia a eliminácia</w:t>
      </w:r>
    </w:p>
    <w:p w14:paraId="7933FBF2" w14:textId="09B79DBD" w:rsidR="0049425D" w:rsidRPr="0011506B" w:rsidRDefault="00C8415B" w:rsidP="0049425D">
      <w:pPr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Priemerná hodnota klírensu </w:t>
      </w:r>
      <w:r w:rsidR="0049425D" w:rsidRPr="0011506B">
        <w:rPr>
          <w:sz w:val="22"/>
          <w:szCs w:val="22"/>
          <w:lang w:val="sk-SK"/>
        </w:rPr>
        <w:t xml:space="preserve">(95% </w:t>
      </w:r>
      <w:r w:rsidR="00A51ED0">
        <w:rPr>
          <w:sz w:val="22"/>
          <w:szCs w:val="22"/>
          <w:lang w:val="sk-SK"/>
        </w:rPr>
        <w:t>IS</w:t>
      </w:r>
      <w:r w:rsidR="0049425D" w:rsidRPr="0011506B">
        <w:rPr>
          <w:sz w:val="22"/>
          <w:szCs w:val="22"/>
          <w:lang w:val="sk-SK"/>
        </w:rPr>
        <w:t xml:space="preserve">) a </w:t>
      </w:r>
      <w:r w:rsidR="00C87D65" w:rsidRPr="0011506B">
        <w:rPr>
          <w:sz w:val="22"/>
          <w:szCs w:val="22"/>
          <w:lang w:val="sk-SK"/>
        </w:rPr>
        <w:t>zdanlivý</w:t>
      </w:r>
      <w:r w:rsidR="0049425D" w:rsidRPr="0011506B">
        <w:rPr>
          <w:sz w:val="22"/>
          <w:szCs w:val="22"/>
          <w:lang w:val="sk-SK"/>
        </w:rPr>
        <w:t xml:space="preserve"> distribučný objem Berinert</w:t>
      </w:r>
      <w:r w:rsidR="006E7CB1" w:rsidRPr="0011506B">
        <w:rPr>
          <w:sz w:val="22"/>
          <w:szCs w:val="22"/>
          <w:lang w:val="sk-SK"/>
        </w:rPr>
        <w:t>u</w:t>
      </w:r>
      <w:r w:rsidR="0049425D" w:rsidRPr="0011506B">
        <w:rPr>
          <w:sz w:val="22"/>
          <w:szCs w:val="22"/>
          <w:lang w:val="sk-SK"/>
        </w:rPr>
        <w:t xml:space="preserve"> </w:t>
      </w:r>
      <w:r w:rsidR="00783EE2">
        <w:rPr>
          <w:sz w:val="22"/>
          <w:szCs w:val="22"/>
          <w:lang w:val="sk-SK"/>
        </w:rPr>
        <w:t>sa odhadli</w:t>
      </w:r>
      <w:r w:rsidR="0049425D" w:rsidRPr="0011506B">
        <w:rPr>
          <w:sz w:val="22"/>
          <w:szCs w:val="22"/>
          <w:lang w:val="sk-SK"/>
        </w:rPr>
        <w:t xml:space="preserve"> na približne 83 ml/h (72,7</w:t>
      </w:r>
      <w:r w:rsidR="00A51ED0">
        <w:rPr>
          <w:sz w:val="22"/>
          <w:szCs w:val="22"/>
          <w:lang w:val="sk-SK"/>
        </w:rPr>
        <w:t>;</w:t>
      </w:r>
      <w:r w:rsidR="0049425D" w:rsidRPr="0011506B">
        <w:rPr>
          <w:sz w:val="22"/>
          <w:szCs w:val="22"/>
          <w:lang w:val="sk-SK"/>
        </w:rPr>
        <w:t xml:space="preserve"> 94,2 ml/h) a 4,33 l (3,51</w:t>
      </w:r>
      <w:r w:rsidR="00A51ED0">
        <w:rPr>
          <w:sz w:val="22"/>
          <w:szCs w:val="22"/>
          <w:lang w:val="sk-SK"/>
        </w:rPr>
        <w:t>;</w:t>
      </w:r>
      <w:r w:rsidR="0049425D" w:rsidRPr="0011506B">
        <w:rPr>
          <w:sz w:val="22"/>
          <w:szCs w:val="22"/>
          <w:lang w:val="sk-SK"/>
        </w:rPr>
        <w:t xml:space="preserve"> 5,15 l). Zistilo sa, že </w:t>
      </w:r>
      <w:r w:rsidR="00F32F6B">
        <w:rPr>
          <w:sz w:val="22"/>
          <w:szCs w:val="22"/>
          <w:lang w:val="sk-SK"/>
        </w:rPr>
        <w:t xml:space="preserve">klírens </w:t>
      </w:r>
      <w:r w:rsidR="0049425D" w:rsidRPr="0011506B">
        <w:rPr>
          <w:sz w:val="22"/>
          <w:szCs w:val="22"/>
          <w:lang w:val="sk-SK"/>
        </w:rPr>
        <w:t xml:space="preserve">C1-INH pozitívne koreluje s celkovou telesnou hmotnosťou. </w:t>
      </w:r>
      <w:r w:rsidR="000A7F60">
        <w:rPr>
          <w:sz w:val="22"/>
          <w:szCs w:val="22"/>
          <w:lang w:val="sk-SK"/>
        </w:rPr>
        <w:t>V</w:t>
      </w:r>
      <w:r w:rsidR="0049425D" w:rsidRPr="0011506B">
        <w:rPr>
          <w:sz w:val="22"/>
          <w:szCs w:val="22"/>
          <w:lang w:val="sk-SK"/>
        </w:rPr>
        <w:t xml:space="preserve"> rovnovážnom stave </w:t>
      </w:r>
      <w:r w:rsidR="000A7F60">
        <w:rPr>
          <w:sz w:val="22"/>
          <w:szCs w:val="22"/>
          <w:lang w:val="sk-SK"/>
        </w:rPr>
        <w:t>PK sa zistilo,</w:t>
      </w:r>
      <w:r w:rsidR="000A7F60" w:rsidRPr="0011506B" w:rsidDel="000A7F60">
        <w:rPr>
          <w:sz w:val="22"/>
          <w:szCs w:val="22"/>
          <w:lang w:val="sk-SK"/>
        </w:rPr>
        <w:t xml:space="preserve"> </w:t>
      </w:r>
      <w:r w:rsidR="0049425D" w:rsidRPr="0011506B">
        <w:rPr>
          <w:sz w:val="22"/>
          <w:szCs w:val="22"/>
          <w:lang w:val="sk-SK"/>
        </w:rPr>
        <w:t xml:space="preserve"> že Berinert</w:t>
      </w:r>
      <w:r w:rsidR="000A7F60">
        <w:rPr>
          <w:sz w:val="22"/>
          <w:szCs w:val="22"/>
          <w:lang w:val="sk-SK"/>
        </w:rPr>
        <w:t>,</w:t>
      </w:r>
      <w:r w:rsidR="0049425D" w:rsidRPr="0011506B">
        <w:rPr>
          <w:sz w:val="22"/>
          <w:szCs w:val="22"/>
          <w:lang w:val="sk-SK"/>
        </w:rPr>
        <w:t xml:space="preserve"> </w:t>
      </w:r>
      <w:r w:rsidR="000A7F60">
        <w:rPr>
          <w:sz w:val="22"/>
          <w:szCs w:val="22"/>
          <w:lang w:val="sk-SK"/>
        </w:rPr>
        <w:t xml:space="preserve">aplikovaný </w:t>
      </w:r>
      <w:r w:rsidR="0049425D" w:rsidRPr="0011506B">
        <w:rPr>
          <w:sz w:val="22"/>
          <w:szCs w:val="22"/>
          <w:lang w:val="sk-SK"/>
        </w:rPr>
        <w:t xml:space="preserve">s.c. je nezávislý </w:t>
      </w:r>
      <w:r w:rsidR="000A7F60">
        <w:rPr>
          <w:sz w:val="22"/>
          <w:szCs w:val="22"/>
          <w:lang w:val="sk-SK"/>
        </w:rPr>
        <w:t xml:space="preserve">od </w:t>
      </w:r>
      <w:r w:rsidR="0049425D" w:rsidRPr="0011506B">
        <w:rPr>
          <w:sz w:val="22"/>
          <w:szCs w:val="22"/>
          <w:lang w:val="sk-SK"/>
        </w:rPr>
        <w:t xml:space="preserve"> dávk</w:t>
      </w:r>
      <w:r w:rsidR="000A7F60">
        <w:rPr>
          <w:sz w:val="22"/>
          <w:szCs w:val="22"/>
          <w:lang w:val="sk-SK"/>
        </w:rPr>
        <w:t>y</w:t>
      </w:r>
      <w:r w:rsidR="0049425D" w:rsidRPr="0011506B">
        <w:rPr>
          <w:sz w:val="22"/>
          <w:szCs w:val="22"/>
          <w:lang w:val="sk-SK"/>
        </w:rPr>
        <w:t xml:space="preserve"> 20-80 IU/kg u pacientov s HAE.</w:t>
      </w:r>
    </w:p>
    <w:p w14:paraId="5A556494" w14:textId="77777777" w:rsidR="0049425D" w:rsidRPr="0011506B" w:rsidRDefault="0049425D" w:rsidP="0049425D">
      <w:pPr>
        <w:spacing w:before="0"/>
        <w:rPr>
          <w:sz w:val="22"/>
          <w:szCs w:val="22"/>
          <w:lang w:val="sk-SK"/>
        </w:rPr>
      </w:pPr>
    </w:p>
    <w:p w14:paraId="190070BD" w14:textId="3155857A" w:rsidR="0049425D" w:rsidRPr="0011506B" w:rsidRDefault="009976F5" w:rsidP="0049425D">
      <w:pPr>
        <w:spacing w:before="0"/>
        <w:rPr>
          <w:sz w:val="22"/>
          <w:szCs w:val="22"/>
        </w:rPr>
      </w:pPr>
      <w:r>
        <w:rPr>
          <w:sz w:val="22"/>
          <w:szCs w:val="22"/>
          <w:lang w:val="sk-SK"/>
        </w:rPr>
        <w:t>Štúdie na hodnotenie farmakokinetických</w:t>
      </w:r>
      <w:r w:rsidR="0073670E">
        <w:rPr>
          <w:sz w:val="22"/>
          <w:szCs w:val="22"/>
          <w:lang w:val="sk-SK"/>
        </w:rPr>
        <w:t xml:space="preserve"> (PK)</w:t>
      </w:r>
      <w:r>
        <w:rPr>
          <w:sz w:val="22"/>
          <w:szCs w:val="22"/>
          <w:lang w:val="sk-SK"/>
        </w:rPr>
        <w:t xml:space="preserve"> charakteristík</w:t>
      </w:r>
      <w:r w:rsidR="0073670E">
        <w:rPr>
          <w:sz w:val="22"/>
          <w:szCs w:val="22"/>
          <w:lang w:val="sk-SK"/>
        </w:rPr>
        <w:t xml:space="preserve"> </w:t>
      </w:r>
      <w:r w:rsidR="0049425D" w:rsidRPr="0011506B">
        <w:rPr>
          <w:sz w:val="22"/>
          <w:szCs w:val="22"/>
          <w:lang w:val="sk-SK"/>
        </w:rPr>
        <w:t xml:space="preserve">C1 INH u špecifických </w:t>
      </w:r>
      <w:r>
        <w:rPr>
          <w:sz w:val="22"/>
          <w:szCs w:val="22"/>
          <w:lang w:val="sk-SK"/>
        </w:rPr>
        <w:t xml:space="preserve">skupín </w:t>
      </w:r>
      <w:r w:rsidR="0049425D" w:rsidRPr="0011506B">
        <w:rPr>
          <w:sz w:val="22"/>
          <w:szCs w:val="22"/>
          <w:lang w:val="sk-SK"/>
        </w:rPr>
        <w:t xml:space="preserve">pacientov </w:t>
      </w:r>
      <w:r w:rsidR="00C87D65" w:rsidRPr="0011506B">
        <w:rPr>
          <w:sz w:val="22"/>
          <w:szCs w:val="22"/>
          <w:lang w:val="sk-SK"/>
        </w:rPr>
        <w:t>rozdelených</w:t>
      </w:r>
      <w:r w:rsidR="0049425D" w:rsidRPr="0011506B">
        <w:rPr>
          <w:sz w:val="22"/>
          <w:szCs w:val="22"/>
          <w:lang w:val="sk-SK"/>
        </w:rPr>
        <w:t xml:space="preserve"> podľa pohlavia, rasy, veku alebo prítomnosti poškodenia obličiek alebo pečene</w:t>
      </w:r>
      <w:r>
        <w:rPr>
          <w:sz w:val="22"/>
          <w:szCs w:val="22"/>
          <w:lang w:val="sk-SK"/>
        </w:rPr>
        <w:t xml:space="preserve"> neboli vykonané</w:t>
      </w:r>
      <w:r w:rsidR="0049425D" w:rsidRPr="0011506B">
        <w:rPr>
          <w:sz w:val="22"/>
          <w:szCs w:val="22"/>
          <w:lang w:val="sk-SK"/>
        </w:rPr>
        <w:t xml:space="preserve">. </w:t>
      </w:r>
      <w:r w:rsidR="0073670E">
        <w:rPr>
          <w:sz w:val="22"/>
          <w:szCs w:val="22"/>
          <w:lang w:val="sk-SK"/>
        </w:rPr>
        <w:t xml:space="preserve">Zistilo sa, že analýza populácie, hodnotiaca vek </w:t>
      </w:r>
      <w:r w:rsidR="0049425D" w:rsidRPr="0011506B">
        <w:rPr>
          <w:sz w:val="22"/>
          <w:szCs w:val="22"/>
          <w:lang w:val="sk-SK"/>
        </w:rPr>
        <w:t>(12 až 72 rokov) neovplyvňuje PK C1-INH.</w:t>
      </w:r>
    </w:p>
    <w:p w14:paraId="40F1B683" w14:textId="77777777" w:rsidR="00AA7859" w:rsidRPr="0011506B" w:rsidRDefault="00AA7859" w:rsidP="00915A16">
      <w:pPr>
        <w:pStyle w:val="Zkladntext3"/>
        <w:tabs>
          <w:tab w:val="left" w:pos="4536"/>
        </w:tabs>
        <w:rPr>
          <w:szCs w:val="22"/>
        </w:rPr>
      </w:pPr>
    </w:p>
    <w:p w14:paraId="13F38DBE" w14:textId="77777777" w:rsidR="00AA7859" w:rsidRPr="00F61954" w:rsidRDefault="00AA7859" w:rsidP="00F02ED0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Predklinické údaje o bezpečnosti</w:t>
      </w:r>
    </w:p>
    <w:p w14:paraId="019176D0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5C227635" w14:textId="163186C6" w:rsidR="0049425D" w:rsidRDefault="00243B96" w:rsidP="00915A16">
      <w:pPr>
        <w:pStyle w:val="Zkladntext3"/>
        <w:tabs>
          <w:tab w:val="left" w:pos="4536"/>
        </w:tabs>
      </w:pPr>
      <w:r>
        <w:t>Predklinické údaje po intravenóznom a subkutánnom podávaní získané na základe obvyklých farmakologických štúdií bezpečnosti, toxicity po jednorazovom a opakovanom podávaní, lokálnej znášanlivosti a trombogeni</w:t>
      </w:r>
      <w:r w:rsidR="00F6105C">
        <w:t>ci</w:t>
      </w:r>
      <w:r>
        <w:t>ty neodhalili žiadne osobitné riziko pre ľudí.</w:t>
      </w:r>
      <w:r w:rsidR="00D81667">
        <w:t xml:space="preserve"> </w:t>
      </w:r>
      <w:r w:rsidR="009C436C">
        <w:t>Neuskutočnili sa žiadne štúdie karcinogénneho potenciálu a reprodukčnej toxicity.</w:t>
      </w:r>
    </w:p>
    <w:p w14:paraId="311DAD4A" w14:textId="77777777" w:rsidR="00D605C5" w:rsidRDefault="00D605C5" w:rsidP="00915A16">
      <w:pPr>
        <w:pStyle w:val="SPCtext"/>
        <w:spacing w:after="0"/>
        <w:rPr>
          <w:lang w:val="sk-SK"/>
        </w:rPr>
      </w:pPr>
    </w:p>
    <w:p w14:paraId="5A8DC826" w14:textId="77777777" w:rsidR="001205C2" w:rsidRPr="00F61954" w:rsidRDefault="001205C2" w:rsidP="00915A16">
      <w:pPr>
        <w:pStyle w:val="SPCtext"/>
        <w:spacing w:after="0"/>
        <w:rPr>
          <w:lang w:val="sk-SK"/>
        </w:rPr>
      </w:pPr>
    </w:p>
    <w:p w14:paraId="0C443299" w14:textId="77777777" w:rsidR="00AA7859" w:rsidRPr="00F61954" w:rsidRDefault="00AA7859" w:rsidP="00F02ED0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farmaceutické informácie</w:t>
      </w:r>
      <w:r w:rsidR="005F1081">
        <w:rPr>
          <w:lang w:val="sk-SK"/>
        </w:rPr>
        <w:t xml:space="preserve"> </w:t>
      </w:r>
    </w:p>
    <w:p w14:paraId="2F55D46D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0AC31FF5" w14:textId="77777777" w:rsidR="00AA7859" w:rsidRPr="00F61954" w:rsidRDefault="00AA7859" w:rsidP="00F02ED0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Zoznam pomocných látok</w:t>
      </w:r>
    </w:p>
    <w:p w14:paraId="7AADC2FB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771E143C" w14:textId="77777777" w:rsidR="00AA7859" w:rsidRPr="00F61954" w:rsidRDefault="00AA7859" w:rsidP="00F02ED0">
      <w:pPr>
        <w:pStyle w:val="SPCtext"/>
        <w:keepNext/>
        <w:spacing w:after="0"/>
        <w:rPr>
          <w:i/>
          <w:lang w:val="sk-SK"/>
        </w:rPr>
      </w:pPr>
      <w:r w:rsidRPr="00F61954">
        <w:rPr>
          <w:i/>
          <w:lang w:val="sk-SK"/>
        </w:rPr>
        <w:t>Prášok:</w:t>
      </w:r>
    </w:p>
    <w:p w14:paraId="57FB4824" w14:textId="77777777" w:rsidR="001205C2" w:rsidRDefault="00C52DD6" w:rsidP="00F02ED0">
      <w:pPr>
        <w:pStyle w:val="SPCtext"/>
        <w:spacing w:after="0"/>
        <w:rPr>
          <w:lang w:val="sk-SK"/>
        </w:rPr>
      </w:pPr>
      <w:r>
        <w:rPr>
          <w:lang w:val="sk-SK"/>
        </w:rPr>
        <w:t>g</w:t>
      </w:r>
      <w:r w:rsidR="00AA7859" w:rsidRPr="00F61954">
        <w:rPr>
          <w:lang w:val="sk-SK"/>
        </w:rPr>
        <w:t>lycín</w:t>
      </w:r>
    </w:p>
    <w:p w14:paraId="5E0B8124" w14:textId="77777777" w:rsidR="001205C2" w:rsidRDefault="00AA7859" w:rsidP="00F02ED0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>chlorid sodný</w:t>
      </w:r>
    </w:p>
    <w:p w14:paraId="7A6629C7" w14:textId="7A0ABFB7" w:rsidR="00AA7859" w:rsidRPr="00F61954" w:rsidRDefault="00AE625F" w:rsidP="00F02ED0">
      <w:pPr>
        <w:pStyle w:val="SPCtext"/>
        <w:spacing w:after="0"/>
        <w:rPr>
          <w:lang w:val="sk-SK"/>
        </w:rPr>
      </w:pPr>
      <w:r>
        <w:rPr>
          <w:lang w:val="sk-SK"/>
        </w:rPr>
        <w:t>citronan sodný</w:t>
      </w:r>
      <w:r w:rsidRPr="00F61954">
        <w:rPr>
          <w:lang w:val="sk-SK"/>
        </w:rPr>
        <w:t xml:space="preserve"> </w:t>
      </w:r>
    </w:p>
    <w:p w14:paraId="3C5DA01E" w14:textId="77777777" w:rsidR="00AA7859" w:rsidRPr="00F61954" w:rsidRDefault="00AA7859" w:rsidP="00F02ED0">
      <w:pPr>
        <w:pStyle w:val="SPCtext"/>
        <w:spacing w:after="0"/>
        <w:rPr>
          <w:i/>
          <w:lang w:val="sk-SK"/>
        </w:rPr>
      </w:pPr>
    </w:p>
    <w:p w14:paraId="6ED47D3B" w14:textId="77777777" w:rsidR="00AA7859" w:rsidRPr="00F61954" w:rsidRDefault="00AA7859" w:rsidP="00F02ED0">
      <w:pPr>
        <w:pStyle w:val="SPCtext"/>
        <w:spacing w:after="0"/>
        <w:rPr>
          <w:i/>
          <w:lang w:val="sk-SK"/>
        </w:rPr>
      </w:pPr>
      <w:r w:rsidRPr="00F61954">
        <w:rPr>
          <w:i/>
          <w:lang w:val="sk-SK"/>
        </w:rPr>
        <w:t>Rozpúšťadlo:</w:t>
      </w:r>
    </w:p>
    <w:p w14:paraId="68D53492" w14:textId="0969C3B3" w:rsidR="00AA7859" w:rsidRPr="00F61954" w:rsidRDefault="00C52DD6" w:rsidP="00F02ED0">
      <w:pPr>
        <w:pStyle w:val="SPCtext"/>
        <w:tabs>
          <w:tab w:val="left" w:pos="2977"/>
        </w:tabs>
        <w:spacing w:after="0"/>
        <w:rPr>
          <w:lang w:val="sk-SK"/>
        </w:rPr>
      </w:pPr>
      <w:r>
        <w:rPr>
          <w:lang w:val="sk-SK"/>
        </w:rPr>
        <w:t>v</w:t>
      </w:r>
      <w:r w:rsidR="00AA7859" w:rsidRPr="00F61954">
        <w:rPr>
          <w:lang w:val="sk-SK"/>
        </w:rPr>
        <w:t xml:space="preserve">oda na </w:t>
      </w:r>
      <w:r w:rsidR="0037165F" w:rsidRPr="00F61954">
        <w:rPr>
          <w:lang w:val="sk-SK"/>
        </w:rPr>
        <w:t>injekci</w:t>
      </w:r>
      <w:r w:rsidR="0037165F">
        <w:rPr>
          <w:lang w:val="sk-SK"/>
        </w:rPr>
        <w:t>e</w:t>
      </w:r>
    </w:p>
    <w:p w14:paraId="564EB3DB" w14:textId="77777777" w:rsidR="00AA7859" w:rsidRPr="00F61954" w:rsidRDefault="00AA7859" w:rsidP="00F02ED0">
      <w:pPr>
        <w:pStyle w:val="SPCtext"/>
        <w:tabs>
          <w:tab w:val="left" w:pos="2977"/>
        </w:tabs>
        <w:spacing w:after="0"/>
        <w:rPr>
          <w:lang w:val="sk-SK"/>
        </w:rPr>
      </w:pPr>
    </w:p>
    <w:p w14:paraId="2456CB33" w14:textId="77777777" w:rsidR="00AA7859" w:rsidRPr="00F61954" w:rsidRDefault="00AA7859" w:rsidP="00F02ED0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Inkompatibility</w:t>
      </w:r>
    </w:p>
    <w:p w14:paraId="30BE39EC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0CC0D6C6" w14:textId="39855304" w:rsidR="00D20322" w:rsidRDefault="00606624" w:rsidP="00F02ED0">
      <w:pPr>
        <w:pStyle w:val="SPCtext"/>
        <w:spacing w:after="0"/>
        <w:rPr>
          <w:lang w:val="sk-SK"/>
        </w:rPr>
      </w:pPr>
      <w:r>
        <w:rPr>
          <w:lang w:val="sk-SK"/>
        </w:rPr>
        <w:t>Nevykonali sa štúdie kompatibility</w:t>
      </w:r>
      <w:r w:rsidR="00D605C5">
        <w:rPr>
          <w:lang w:val="sk-SK"/>
        </w:rPr>
        <w:t>,</w:t>
      </w:r>
      <w:r>
        <w:rPr>
          <w:lang w:val="sk-SK"/>
        </w:rPr>
        <w:t xml:space="preserve"> preto </w:t>
      </w:r>
      <w:r w:rsidR="00AA7859" w:rsidRPr="00F61954">
        <w:rPr>
          <w:lang w:val="sk-SK"/>
        </w:rPr>
        <w:t xml:space="preserve">sa </w:t>
      </w:r>
      <w:r>
        <w:rPr>
          <w:lang w:val="sk-SK"/>
        </w:rPr>
        <w:t xml:space="preserve">tento liek </w:t>
      </w:r>
      <w:r w:rsidR="00AA7859" w:rsidRPr="00F61954">
        <w:rPr>
          <w:lang w:val="sk-SK"/>
        </w:rPr>
        <w:t>nesmie miešať s inými liekmi a</w:t>
      </w:r>
      <w:r w:rsidR="00D20322">
        <w:rPr>
          <w:lang w:val="sk-SK"/>
        </w:rPr>
        <w:t> </w:t>
      </w:r>
      <w:r w:rsidR="00AA7859" w:rsidRPr="00F61954">
        <w:rPr>
          <w:lang w:val="sk-SK"/>
        </w:rPr>
        <w:t>rozpúšťadlami</w:t>
      </w:r>
      <w:r w:rsidR="00D20322">
        <w:rPr>
          <w:lang w:val="sk-SK"/>
        </w:rPr>
        <w:t>.</w:t>
      </w:r>
    </w:p>
    <w:p w14:paraId="4E99751C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702E8777" w14:textId="77777777" w:rsidR="00AA7859" w:rsidRPr="00F61954" w:rsidRDefault="00AA7859" w:rsidP="00F02ED0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Čas použiteľnosti</w:t>
      </w:r>
    </w:p>
    <w:p w14:paraId="440FC755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4EAA25A7" w14:textId="3C79997A" w:rsidR="00D605C5" w:rsidRPr="00F61954" w:rsidRDefault="00D605C5" w:rsidP="00F02ED0">
      <w:pPr>
        <w:pStyle w:val="SPCtext"/>
        <w:spacing w:after="0"/>
        <w:rPr>
          <w:lang w:val="sk-SK"/>
        </w:rPr>
      </w:pPr>
      <w:r>
        <w:rPr>
          <w:lang w:val="sk-SK"/>
        </w:rPr>
        <w:t>36 mesiacov</w:t>
      </w:r>
    </w:p>
    <w:p w14:paraId="707361D7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157D5DB5" w14:textId="4D8F3242" w:rsidR="00AA7859" w:rsidRPr="00F61954" w:rsidRDefault="00D605C5" w:rsidP="00915A16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Fyzikálno-chemická stabilita po rekonštitúcii bola preukázaná počas 48 hodín pri </w:t>
      </w:r>
      <w:r w:rsidR="00735CCE">
        <w:rPr>
          <w:lang w:val="sk-SK"/>
        </w:rPr>
        <w:t xml:space="preserve">izbovej </w:t>
      </w:r>
      <w:r>
        <w:rPr>
          <w:lang w:val="sk-SK"/>
        </w:rPr>
        <w:t xml:space="preserve">teplote </w:t>
      </w:r>
      <w:r w:rsidR="00735CCE" w:rsidRPr="00F61954">
        <w:rPr>
          <w:lang w:val="sk-SK"/>
        </w:rPr>
        <w:t xml:space="preserve">(max. </w:t>
      </w:r>
      <w:r w:rsidR="00D20322">
        <w:rPr>
          <w:lang w:val="sk-SK"/>
        </w:rPr>
        <w:t>30</w:t>
      </w:r>
      <w:r w:rsidR="00D20322" w:rsidRPr="00F61954">
        <w:rPr>
          <w:lang w:val="sk-SK"/>
        </w:rPr>
        <w:t> </w:t>
      </w:r>
      <w:r w:rsidR="00735CCE" w:rsidRPr="00F61954">
        <w:rPr>
          <w:lang w:val="sk-SK"/>
        </w:rPr>
        <w:t>°C)</w:t>
      </w:r>
      <w:r w:rsidR="00735CCE">
        <w:rPr>
          <w:lang w:val="sk-SK"/>
        </w:rPr>
        <w:t>.</w:t>
      </w:r>
      <w:r w:rsidR="006F45D3">
        <w:rPr>
          <w:lang w:val="sk-SK"/>
        </w:rPr>
        <w:t xml:space="preserve"> </w:t>
      </w:r>
      <w:r w:rsidR="00AA7859" w:rsidRPr="00F61954">
        <w:rPr>
          <w:lang w:val="sk-SK"/>
        </w:rPr>
        <w:t>Z mikrobiologického hľadiska</w:t>
      </w:r>
      <w:r w:rsidR="00F67493">
        <w:rPr>
          <w:lang w:val="sk-SK"/>
        </w:rPr>
        <w:t xml:space="preserve"> </w:t>
      </w:r>
      <w:r w:rsidR="006F45D3">
        <w:rPr>
          <w:lang w:val="sk-SK"/>
        </w:rPr>
        <w:t>a</w:t>
      </w:r>
      <w:r w:rsidR="00F67493">
        <w:rPr>
          <w:lang w:val="sk-SK"/>
        </w:rPr>
        <w:t xml:space="preserve"> vzhľadom na to, </w:t>
      </w:r>
      <w:r w:rsidR="00AA7859" w:rsidRPr="00F61954">
        <w:rPr>
          <w:lang w:val="sk-SK"/>
        </w:rPr>
        <w:t xml:space="preserve">že Berinert neobsahuje žiadne konzervačné látky, </w:t>
      </w:r>
      <w:r w:rsidR="00AA7859">
        <w:rPr>
          <w:lang w:val="sk-SK"/>
        </w:rPr>
        <w:t xml:space="preserve">sa </w:t>
      </w:r>
      <w:r w:rsidR="00AA7859" w:rsidRPr="00F61954">
        <w:rPr>
          <w:lang w:val="sk-SK"/>
        </w:rPr>
        <w:t xml:space="preserve">má pripravený roztok použiť okamžite. Ak </w:t>
      </w:r>
      <w:r w:rsidR="00663805">
        <w:rPr>
          <w:lang w:val="sk-SK"/>
        </w:rPr>
        <w:t>ho nie je možné podať ihneď,</w:t>
      </w:r>
      <w:r w:rsidR="00AA7859" w:rsidRPr="00F61954">
        <w:rPr>
          <w:lang w:val="sk-SK"/>
        </w:rPr>
        <w:t xml:space="preserve"> možno ho skladovať max. 8 hodín pri </w:t>
      </w:r>
      <w:r w:rsidR="00AA7859">
        <w:rPr>
          <w:lang w:val="sk-SK"/>
        </w:rPr>
        <w:t>izbovej teplote</w:t>
      </w:r>
      <w:r w:rsidR="00AA7859" w:rsidRPr="00F61954">
        <w:rPr>
          <w:lang w:val="sk-SK"/>
        </w:rPr>
        <w:t>.</w:t>
      </w:r>
      <w:r w:rsidR="00AA7859">
        <w:rPr>
          <w:lang w:val="sk-SK"/>
        </w:rPr>
        <w:t xml:space="preserve"> Rekonštituovaný liek sa uchováva len v </w:t>
      </w:r>
      <w:r w:rsidR="00AA7859" w:rsidRPr="00957E0F">
        <w:rPr>
          <w:b/>
          <w:lang w:val="sk-SK"/>
        </w:rPr>
        <w:t>injekčnej liekovke</w:t>
      </w:r>
      <w:r w:rsidR="00AA7859">
        <w:rPr>
          <w:lang w:val="sk-SK"/>
        </w:rPr>
        <w:t>.</w:t>
      </w:r>
    </w:p>
    <w:p w14:paraId="0580B21D" w14:textId="77777777" w:rsidR="00AA7859" w:rsidRPr="00F61954" w:rsidRDefault="00AA7859" w:rsidP="00915A16">
      <w:pPr>
        <w:pStyle w:val="SPCtext"/>
        <w:spacing w:after="0"/>
        <w:rPr>
          <w:lang w:val="sk-SK"/>
        </w:rPr>
      </w:pPr>
    </w:p>
    <w:p w14:paraId="353DAF58" w14:textId="77777777" w:rsidR="00AA7859" w:rsidRPr="00F61954" w:rsidRDefault="00AA7859" w:rsidP="00F02ED0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Špeciálne upozornenia na uchovávanie</w:t>
      </w:r>
    </w:p>
    <w:p w14:paraId="1A7C8E46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19853F9D" w14:textId="0E26E44A" w:rsidR="00735CCE" w:rsidRPr="00F61954" w:rsidRDefault="00735CCE" w:rsidP="00F02ED0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 xml:space="preserve">Uchovávajte pri teplote </w:t>
      </w:r>
      <w:r w:rsidR="006C17E7">
        <w:rPr>
          <w:lang w:val="sk-SK"/>
        </w:rPr>
        <w:t>do</w:t>
      </w:r>
      <w:r w:rsidR="006C17E7" w:rsidRPr="00F61954">
        <w:rPr>
          <w:lang w:val="sk-SK"/>
        </w:rPr>
        <w:t xml:space="preserve"> </w:t>
      </w:r>
      <w:r>
        <w:rPr>
          <w:lang w:val="sk-SK"/>
        </w:rPr>
        <w:t>30</w:t>
      </w:r>
      <w:r w:rsidRPr="00F61954">
        <w:rPr>
          <w:lang w:val="sk-SK"/>
        </w:rPr>
        <w:t> °C.</w:t>
      </w:r>
    </w:p>
    <w:p w14:paraId="27E63C4F" w14:textId="77777777" w:rsidR="00AA7859" w:rsidRPr="00F61954" w:rsidRDefault="00AA7859" w:rsidP="00F02ED0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>Neuchovávajte v mrazničke.</w:t>
      </w:r>
    </w:p>
    <w:p w14:paraId="46A4671C" w14:textId="77777777" w:rsidR="00AA7859" w:rsidRDefault="003357ED" w:rsidP="00F02ED0">
      <w:pPr>
        <w:pStyle w:val="SPCtext"/>
        <w:spacing w:after="0"/>
        <w:rPr>
          <w:lang w:val="sk-SK"/>
        </w:rPr>
      </w:pPr>
      <w:r>
        <w:rPr>
          <w:lang w:val="sk-SK"/>
        </w:rPr>
        <w:t>I</w:t>
      </w:r>
      <w:r w:rsidRPr="00F61954">
        <w:rPr>
          <w:lang w:val="sk-SK"/>
        </w:rPr>
        <w:t xml:space="preserve">njekčnú liekovku </w:t>
      </w:r>
      <w:r>
        <w:rPr>
          <w:lang w:val="sk-SK"/>
        </w:rPr>
        <w:t>u</w:t>
      </w:r>
      <w:r w:rsidR="00AA7859" w:rsidRPr="00F61954">
        <w:rPr>
          <w:lang w:val="sk-SK"/>
        </w:rPr>
        <w:t>chovávajte vo vonkajšom obale na ochranu pred svetlom.</w:t>
      </w:r>
    </w:p>
    <w:p w14:paraId="2C1470CB" w14:textId="77777777" w:rsidR="00AA7859" w:rsidRPr="00F61954" w:rsidRDefault="00AA7859" w:rsidP="00F02ED0">
      <w:pPr>
        <w:pStyle w:val="SPCtext"/>
        <w:spacing w:after="0"/>
        <w:rPr>
          <w:lang w:val="sk-SK"/>
        </w:rPr>
      </w:pPr>
      <w:r w:rsidRPr="00957E0F">
        <w:rPr>
          <w:lang w:val="sk-SK"/>
        </w:rPr>
        <w:t>Podmienky na uchovávanie po rekonštitúcii lieku, pozri časť 6.3.</w:t>
      </w:r>
    </w:p>
    <w:p w14:paraId="2737EA7F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272BE04E" w14:textId="77777777" w:rsidR="00AA7859" w:rsidRPr="00F61954" w:rsidRDefault="00AA7859" w:rsidP="00F02ED0">
      <w:pPr>
        <w:pStyle w:val="SPCNadpis2"/>
        <w:spacing w:before="0" w:after="0"/>
        <w:rPr>
          <w:lang w:val="sk-SK"/>
        </w:rPr>
      </w:pPr>
      <w:r w:rsidRPr="00F61954">
        <w:rPr>
          <w:lang w:val="sk-SK"/>
        </w:rPr>
        <w:t>Druh obalu a obsah balenia</w:t>
      </w:r>
    </w:p>
    <w:p w14:paraId="5948E5D4" w14:textId="77777777" w:rsidR="00AA7859" w:rsidRDefault="00AA7859" w:rsidP="00F02ED0">
      <w:pPr>
        <w:pStyle w:val="SPCtext"/>
        <w:spacing w:after="0"/>
        <w:rPr>
          <w:lang w:val="sk-SK"/>
        </w:rPr>
      </w:pPr>
    </w:p>
    <w:p w14:paraId="5CA5D985" w14:textId="77777777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Vnútorné obaly:</w:t>
      </w:r>
    </w:p>
    <w:p w14:paraId="6196A58C" w14:textId="03828FB5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2000 IU: </w:t>
      </w:r>
      <w:r>
        <w:rPr>
          <w:lang w:val="sk-SK"/>
        </w:rPr>
        <w:tab/>
        <w:t>Práš</w:t>
      </w:r>
      <w:r w:rsidR="00A6682A">
        <w:rPr>
          <w:lang w:val="sk-SK"/>
        </w:rPr>
        <w:t>o</w:t>
      </w:r>
      <w:r>
        <w:rPr>
          <w:lang w:val="sk-SK"/>
        </w:rPr>
        <w:t xml:space="preserve">k (2000 IU) v injekčnej </w:t>
      </w:r>
      <w:r w:rsidR="00A6682A">
        <w:rPr>
          <w:lang w:val="sk-SK"/>
        </w:rPr>
        <w:t>liekovke</w:t>
      </w:r>
      <w:r>
        <w:rPr>
          <w:lang w:val="sk-SK"/>
        </w:rPr>
        <w:t xml:space="preserve"> (sklo </w:t>
      </w:r>
      <w:r w:rsidR="00DC6589">
        <w:rPr>
          <w:lang w:val="sk-SK"/>
        </w:rPr>
        <w:t>typu I</w:t>
      </w:r>
      <w:r>
        <w:rPr>
          <w:lang w:val="sk-SK"/>
        </w:rPr>
        <w:t>I) so zátkou</w:t>
      </w:r>
    </w:p>
    <w:p w14:paraId="6B59CAB7" w14:textId="55EA9E2F" w:rsidR="00D20322" w:rsidRDefault="00D20322" w:rsidP="00D20322">
      <w:pPr>
        <w:pStyle w:val="SPCtext"/>
        <w:spacing w:after="0"/>
        <w:ind w:left="1416" w:firstLine="708"/>
        <w:rPr>
          <w:lang w:val="sk-SK"/>
        </w:rPr>
      </w:pPr>
      <w:r>
        <w:rPr>
          <w:lang w:val="sk-SK"/>
        </w:rPr>
        <w:t>(brom</w:t>
      </w:r>
      <w:r w:rsidR="008576C7">
        <w:rPr>
          <w:lang w:val="sk-SK"/>
        </w:rPr>
        <w:t>o</w:t>
      </w:r>
      <w:r>
        <w:rPr>
          <w:lang w:val="sk-SK"/>
        </w:rPr>
        <w:t xml:space="preserve">butylová </w:t>
      </w:r>
      <w:r w:rsidR="00DC6589">
        <w:rPr>
          <w:lang w:val="sk-SK"/>
        </w:rPr>
        <w:t>guma</w:t>
      </w:r>
      <w:r>
        <w:rPr>
          <w:lang w:val="sk-SK"/>
        </w:rPr>
        <w:t xml:space="preserve">), </w:t>
      </w:r>
      <w:r w:rsidR="00DC6589">
        <w:rPr>
          <w:lang w:val="sk-SK"/>
        </w:rPr>
        <w:t xml:space="preserve">uzáver </w:t>
      </w:r>
      <w:r>
        <w:rPr>
          <w:lang w:val="sk-SK"/>
        </w:rPr>
        <w:t xml:space="preserve">(hliník) a </w:t>
      </w:r>
      <w:r w:rsidR="00DC6589">
        <w:rPr>
          <w:lang w:val="sk-SK"/>
        </w:rPr>
        <w:t>vyklápacie viečko</w:t>
      </w:r>
      <w:r w:rsidR="00BF6548">
        <w:rPr>
          <w:lang w:val="sk-SK"/>
        </w:rPr>
        <w:t xml:space="preserve"> </w:t>
      </w:r>
      <w:r>
        <w:rPr>
          <w:lang w:val="sk-SK"/>
        </w:rPr>
        <w:t>(plast).</w:t>
      </w:r>
    </w:p>
    <w:p w14:paraId="6EC2CD08" w14:textId="209E22E4" w:rsidR="00D20322" w:rsidRDefault="00D20322" w:rsidP="00D20322">
      <w:pPr>
        <w:pStyle w:val="SPCtext"/>
        <w:spacing w:after="0"/>
        <w:ind w:left="1416" w:firstLine="708"/>
        <w:rPr>
          <w:lang w:val="sk-SK"/>
        </w:rPr>
      </w:pPr>
      <w:r>
        <w:rPr>
          <w:lang w:val="sk-SK"/>
        </w:rPr>
        <w:t>4 ml rozpúšťadla v injekčn</w:t>
      </w:r>
      <w:r w:rsidR="00BF6548">
        <w:rPr>
          <w:lang w:val="sk-SK"/>
        </w:rPr>
        <w:t>ej</w:t>
      </w:r>
      <w:r>
        <w:rPr>
          <w:lang w:val="sk-SK"/>
        </w:rPr>
        <w:t xml:space="preserve"> </w:t>
      </w:r>
      <w:r w:rsidR="00A6682A">
        <w:rPr>
          <w:lang w:val="sk-SK"/>
        </w:rPr>
        <w:t>liekovk</w:t>
      </w:r>
      <w:r w:rsidR="00BF6548">
        <w:rPr>
          <w:lang w:val="sk-SK"/>
        </w:rPr>
        <w:t>e</w:t>
      </w:r>
      <w:r>
        <w:rPr>
          <w:lang w:val="sk-SK"/>
        </w:rPr>
        <w:t xml:space="preserve"> (sklo </w:t>
      </w:r>
      <w:r w:rsidR="00BF6548">
        <w:rPr>
          <w:lang w:val="sk-SK"/>
        </w:rPr>
        <w:t xml:space="preserve">typu </w:t>
      </w:r>
      <w:r>
        <w:rPr>
          <w:lang w:val="sk-SK"/>
        </w:rPr>
        <w:t xml:space="preserve"> I) so zátkou</w:t>
      </w:r>
    </w:p>
    <w:p w14:paraId="4240A42B" w14:textId="742CA14B" w:rsidR="00D20322" w:rsidRDefault="00D20322" w:rsidP="00D20322">
      <w:pPr>
        <w:pStyle w:val="SPCtext"/>
        <w:spacing w:after="0"/>
        <w:ind w:left="1416" w:firstLine="708"/>
        <w:rPr>
          <w:lang w:val="sk-SK"/>
        </w:rPr>
      </w:pPr>
      <w:r>
        <w:rPr>
          <w:lang w:val="sk-SK"/>
        </w:rPr>
        <w:t>(chl</w:t>
      </w:r>
      <w:r w:rsidR="00BF6548">
        <w:rPr>
          <w:lang w:val="sk-SK"/>
        </w:rPr>
        <w:t>ó</w:t>
      </w:r>
      <w:r>
        <w:rPr>
          <w:lang w:val="sk-SK"/>
        </w:rPr>
        <w:t xml:space="preserve">rbutylová </w:t>
      </w:r>
      <w:r w:rsidR="00BF6548">
        <w:rPr>
          <w:lang w:val="sk-SK"/>
        </w:rPr>
        <w:t>guma</w:t>
      </w:r>
      <w:r>
        <w:rPr>
          <w:lang w:val="sk-SK"/>
        </w:rPr>
        <w:t xml:space="preserve">), </w:t>
      </w:r>
      <w:r w:rsidR="00BF6548">
        <w:rPr>
          <w:lang w:val="sk-SK"/>
        </w:rPr>
        <w:t>uzáver</w:t>
      </w:r>
      <w:r>
        <w:rPr>
          <w:lang w:val="sk-SK"/>
        </w:rPr>
        <w:t xml:space="preserve"> (hliník) a</w:t>
      </w:r>
      <w:r w:rsidR="00BF6548">
        <w:rPr>
          <w:lang w:val="sk-SK"/>
        </w:rPr>
        <w:t xml:space="preserve"> vyklápacie viečko </w:t>
      </w:r>
      <w:r>
        <w:rPr>
          <w:lang w:val="sk-SK"/>
        </w:rPr>
        <w:t>(plast).</w:t>
      </w:r>
    </w:p>
    <w:p w14:paraId="44E6CDA1" w14:textId="42CFB8AB" w:rsidR="00D20322" w:rsidRDefault="00D20322" w:rsidP="00D20322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3000 IU: </w:t>
      </w:r>
      <w:r>
        <w:rPr>
          <w:lang w:val="sk-SK"/>
        </w:rPr>
        <w:tab/>
        <w:t>Práš</w:t>
      </w:r>
      <w:r w:rsidR="00A6682A">
        <w:rPr>
          <w:lang w:val="sk-SK"/>
        </w:rPr>
        <w:t>o</w:t>
      </w:r>
      <w:r>
        <w:rPr>
          <w:lang w:val="sk-SK"/>
        </w:rPr>
        <w:t xml:space="preserve">k (3000 IU) v injekčnej </w:t>
      </w:r>
      <w:r w:rsidR="00A6682A">
        <w:rPr>
          <w:lang w:val="sk-SK"/>
        </w:rPr>
        <w:t>liekovke</w:t>
      </w:r>
      <w:r>
        <w:rPr>
          <w:lang w:val="sk-SK"/>
        </w:rPr>
        <w:t xml:space="preserve"> (sklo </w:t>
      </w:r>
      <w:r w:rsidR="008576C7">
        <w:rPr>
          <w:lang w:val="sk-SK"/>
        </w:rPr>
        <w:t>typu</w:t>
      </w:r>
      <w:r>
        <w:rPr>
          <w:lang w:val="sk-SK"/>
        </w:rPr>
        <w:t xml:space="preserve"> II) so zátkou</w:t>
      </w:r>
    </w:p>
    <w:p w14:paraId="656B6251" w14:textId="4903EAF5" w:rsidR="00D20322" w:rsidRDefault="00D20322" w:rsidP="00D20322">
      <w:pPr>
        <w:pStyle w:val="SPCtext"/>
        <w:spacing w:after="0"/>
        <w:ind w:left="2124"/>
        <w:rPr>
          <w:lang w:val="sk-SK"/>
        </w:rPr>
      </w:pPr>
      <w:r>
        <w:rPr>
          <w:lang w:val="sk-SK"/>
        </w:rPr>
        <w:t>(brom</w:t>
      </w:r>
      <w:r w:rsidR="008576C7">
        <w:rPr>
          <w:lang w:val="sk-SK"/>
        </w:rPr>
        <w:t>o</w:t>
      </w:r>
      <w:r>
        <w:rPr>
          <w:lang w:val="sk-SK"/>
        </w:rPr>
        <w:t xml:space="preserve">butylová </w:t>
      </w:r>
      <w:r w:rsidR="008576C7">
        <w:rPr>
          <w:lang w:val="sk-SK"/>
        </w:rPr>
        <w:t>guma</w:t>
      </w:r>
      <w:r>
        <w:rPr>
          <w:lang w:val="sk-SK"/>
        </w:rPr>
        <w:t xml:space="preserve">), </w:t>
      </w:r>
      <w:r w:rsidR="008576C7">
        <w:rPr>
          <w:lang w:val="sk-SK"/>
        </w:rPr>
        <w:t>uzáver</w:t>
      </w:r>
      <w:r>
        <w:rPr>
          <w:lang w:val="sk-SK"/>
        </w:rPr>
        <w:t xml:space="preserve"> (hliník) a</w:t>
      </w:r>
      <w:r w:rsidR="008576C7">
        <w:rPr>
          <w:lang w:val="sk-SK"/>
        </w:rPr>
        <w:t xml:space="preserve"> vyklápacie viečko </w:t>
      </w:r>
      <w:r>
        <w:rPr>
          <w:lang w:val="sk-SK"/>
        </w:rPr>
        <w:t>(plast).</w:t>
      </w:r>
    </w:p>
    <w:p w14:paraId="63A7AC8B" w14:textId="413520BD" w:rsidR="00D20322" w:rsidRDefault="00D20322" w:rsidP="00D20322">
      <w:pPr>
        <w:pStyle w:val="SPCtext"/>
        <w:spacing w:after="0"/>
        <w:ind w:left="2124"/>
        <w:rPr>
          <w:lang w:val="sk-SK"/>
        </w:rPr>
      </w:pPr>
      <w:r>
        <w:rPr>
          <w:lang w:val="sk-SK"/>
        </w:rPr>
        <w:t>6 ml rozpúšťadla v injekčn</w:t>
      </w:r>
      <w:r w:rsidR="004727CB">
        <w:rPr>
          <w:lang w:val="sk-SK"/>
        </w:rPr>
        <w:t>ej</w:t>
      </w:r>
      <w:r>
        <w:rPr>
          <w:lang w:val="sk-SK"/>
        </w:rPr>
        <w:t xml:space="preserve"> </w:t>
      </w:r>
      <w:r w:rsidR="00A6682A">
        <w:rPr>
          <w:lang w:val="sk-SK"/>
        </w:rPr>
        <w:t>liekovk</w:t>
      </w:r>
      <w:r w:rsidR="004727CB">
        <w:rPr>
          <w:lang w:val="sk-SK"/>
        </w:rPr>
        <w:t>e</w:t>
      </w:r>
      <w:r>
        <w:rPr>
          <w:lang w:val="sk-SK"/>
        </w:rPr>
        <w:t xml:space="preserve"> (sklo </w:t>
      </w:r>
      <w:r w:rsidR="004727CB">
        <w:rPr>
          <w:lang w:val="sk-SK"/>
        </w:rPr>
        <w:t xml:space="preserve">typu </w:t>
      </w:r>
      <w:r>
        <w:rPr>
          <w:lang w:val="sk-SK"/>
        </w:rPr>
        <w:t xml:space="preserve"> I) so zátkou</w:t>
      </w:r>
    </w:p>
    <w:p w14:paraId="329338A6" w14:textId="5DAA4259" w:rsidR="00D20322" w:rsidRDefault="00D20322" w:rsidP="00D20322">
      <w:pPr>
        <w:pStyle w:val="SPCtext"/>
        <w:spacing w:after="0"/>
        <w:ind w:left="2124"/>
        <w:rPr>
          <w:lang w:val="sk-SK"/>
        </w:rPr>
      </w:pPr>
      <w:r>
        <w:rPr>
          <w:lang w:val="sk-SK"/>
        </w:rPr>
        <w:t>(chl</w:t>
      </w:r>
      <w:r w:rsidR="00C66C17">
        <w:rPr>
          <w:lang w:val="sk-SK"/>
        </w:rPr>
        <w:t>ó</w:t>
      </w:r>
      <w:r>
        <w:rPr>
          <w:lang w:val="sk-SK"/>
        </w:rPr>
        <w:t xml:space="preserve">rbutylová </w:t>
      </w:r>
      <w:r w:rsidR="00C66C17">
        <w:rPr>
          <w:lang w:val="sk-SK"/>
        </w:rPr>
        <w:t>guma</w:t>
      </w:r>
      <w:r>
        <w:rPr>
          <w:lang w:val="sk-SK"/>
        </w:rPr>
        <w:t xml:space="preserve">), </w:t>
      </w:r>
      <w:r w:rsidR="00C66C17">
        <w:rPr>
          <w:lang w:val="sk-SK"/>
        </w:rPr>
        <w:t>uzáver</w:t>
      </w:r>
      <w:r>
        <w:rPr>
          <w:lang w:val="sk-SK"/>
        </w:rPr>
        <w:t xml:space="preserve"> (hliník) a</w:t>
      </w:r>
      <w:r w:rsidR="00C66C17">
        <w:rPr>
          <w:lang w:val="sk-SK"/>
        </w:rPr>
        <w:t> vyklápacie viečko</w:t>
      </w:r>
      <w:r>
        <w:rPr>
          <w:lang w:val="sk-SK"/>
        </w:rPr>
        <w:t xml:space="preserve"> (plast).</w:t>
      </w:r>
    </w:p>
    <w:p w14:paraId="54F0FE36" w14:textId="77777777" w:rsidR="00D20322" w:rsidRDefault="00D20322" w:rsidP="00F02ED0">
      <w:pPr>
        <w:pStyle w:val="SPCtext"/>
        <w:spacing w:after="0"/>
        <w:rPr>
          <w:lang w:val="sk-SK"/>
        </w:rPr>
      </w:pPr>
    </w:p>
    <w:p w14:paraId="378667E5" w14:textId="77777777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Veľkosť balenia:</w:t>
      </w:r>
    </w:p>
    <w:p w14:paraId="3A4C9F79" w14:textId="1D7C2CC8" w:rsidR="00D20322" w:rsidRDefault="00DA1B4B" w:rsidP="00F02ED0">
      <w:pPr>
        <w:pStyle w:val="SPCtext"/>
        <w:spacing w:after="0"/>
        <w:rPr>
          <w:lang w:val="sk-SK"/>
        </w:rPr>
      </w:pPr>
      <w:r>
        <w:rPr>
          <w:lang w:val="sk-SK"/>
        </w:rPr>
        <w:t>Škatuľka</w:t>
      </w:r>
      <w:r w:rsidR="00D20322">
        <w:rPr>
          <w:lang w:val="sk-SK"/>
        </w:rPr>
        <w:t xml:space="preserve"> obsahuje:</w:t>
      </w:r>
    </w:p>
    <w:p w14:paraId="288EB249" w14:textId="4BCB76B9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1 injekčn</w:t>
      </w:r>
      <w:r w:rsidR="00C80799">
        <w:rPr>
          <w:lang w:val="sk-SK"/>
        </w:rPr>
        <w:t>ú</w:t>
      </w:r>
      <w:r>
        <w:rPr>
          <w:lang w:val="sk-SK"/>
        </w:rPr>
        <w:t xml:space="preserve"> </w:t>
      </w:r>
      <w:r w:rsidR="00A6682A">
        <w:rPr>
          <w:lang w:val="sk-SK"/>
        </w:rPr>
        <w:t>liekovk</w:t>
      </w:r>
      <w:r w:rsidR="00C80799">
        <w:rPr>
          <w:lang w:val="sk-SK"/>
        </w:rPr>
        <w:t>u</w:t>
      </w:r>
      <w:r>
        <w:rPr>
          <w:lang w:val="sk-SK"/>
        </w:rPr>
        <w:t xml:space="preserve"> s prášk</w:t>
      </w:r>
      <w:r w:rsidR="00A6682A">
        <w:rPr>
          <w:lang w:val="sk-SK"/>
        </w:rPr>
        <w:t>o</w:t>
      </w:r>
      <w:r>
        <w:rPr>
          <w:lang w:val="sk-SK"/>
        </w:rPr>
        <w:t>m</w:t>
      </w:r>
    </w:p>
    <w:p w14:paraId="055A5F62" w14:textId="5453C90B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1 injekčn</w:t>
      </w:r>
      <w:r w:rsidR="00C80799">
        <w:rPr>
          <w:lang w:val="sk-SK"/>
        </w:rPr>
        <w:t>ú</w:t>
      </w:r>
      <w:r>
        <w:rPr>
          <w:lang w:val="sk-SK"/>
        </w:rPr>
        <w:t xml:space="preserve"> </w:t>
      </w:r>
      <w:r w:rsidR="00A6682A">
        <w:rPr>
          <w:lang w:val="sk-SK"/>
        </w:rPr>
        <w:t>liekovk</w:t>
      </w:r>
      <w:r w:rsidR="00C80799">
        <w:rPr>
          <w:lang w:val="sk-SK"/>
        </w:rPr>
        <w:t>u</w:t>
      </w:r>
      <w:r w:rsidR="00A6682A">
        <w:rPr>
          <w:lang w:val="sk-SK"/>
        </w:rPr>
        <w:t xml:space="preserve"> </w:t>
      </w:r>
      <w:r>
        <w:rPr>
          <w:lang w:val="sk-SK"/>
        </w:rPr>
        <w:t>s rozpúšťadlom (Berinert 2000 IU: 4 ml, Berinert 3000 IU: 6 ml)</w:t>
      </w:r>
    </w:p>
    <w:p w14:paraId="7709E34D" w14:textId="77777777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1 prepúšťací adaptér s filtrom 20/20</w:t>
      </w:r>
    </w:p>
    <w:p w14:paraId="516203B9" w14:textId="77777777" w:rsidR="00D20322" w:rsidRDefault="00D20322" w:rsidP="00F02ED0">
      <w:pPr>
        <w:pStyle w:val="SPCtext"/>
        <w:spacing w:after="0"/>
        <w:rPr>
          <w:lang w:val="sk-SK"/>
        </w:rPr>
      </w:pPr>
    </w:p>
    <w:p w14:paraId="3835A8B3" w14:textId="5A1F4247" w:rsidR="00D20322" w:rsidRDefault="00444646" w:rsidP="00F02ED0">
      <w:pPr>
        <w:pStyle w:val="SPCtext"/>
        <w:spacing w:after="0"/>
        <w:rPr>
          <w:lang w:val="sk-SK"/>
        </w:rPr>
      </w:pPr>
      <w:r>
        <w:rPr>
          <w:lang w:val="sk-SK"/>
        </w:rPr>
        <w:t>Aplikačná</w:t>
      </w:r>
      <w:r w:rsidR="006C17E7">
        <w:rPr>
          <w:lang w:val="sk-SK"/>
        </w:rPr>
        <w:t xml:space="preserve"> súprava</w:t>
      </w:r>
      <w:r w:rsidR="00D20322">
        <w:rPr>
          <w:lang w:val="sk-SK"/>
        </w:rPr>
        <w:t xml:space="preserve"> (vnútorná krabička)</w:t>
      </w:r>
      <w:r w:rsidR="00DA1B4B">
        <w:rPr>
          <w:lang w:val="sk-SK"/>
        </w:rPr>
        <w:t xml:space="preserve"> obsahuje</w:t>
      </w:r>
      <w:r w:rsidR="00D20322">
        <w:rPr>
          <w:lang w:val="sk-SK"/>
        </w:rPr>
        <w:t>:</w:t>
      </w:r>
    </w:p>
    <w:p w14:paraId="7D95A25B" w14:textId="1E1CDB8E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1 injekčn</w:t>
      </w:r>
      <w:r w:rsidR="00C80799">
        <w:rPr>
          <w:lang w:val="sk-SK"/>
        </w:rPr>
        <w:t>ú</w:t>
      </w:r>
      <w:r>
        <w:rPr>
          <w:lang w:val="sk-SK"/>
        </w:rPr>
        <w:t xml:space="preserve"> striekačk</w:t>
      </w:r>
      <w:r w:rsidR="00C80799">
        <w:rPr>
          <w:lang w:val="sk-SK"/>
        </w:rPr>
        <w:t>u</w:t>
      </w:r>
      <w:r>
        <w:rPr>
          <w:lang w:val="sk-SK"/>
        </w:rPr>
        <w:t xml:space="preserve"> </w:t>
      </w:r>
      <w:r w:rsidR="00C80799">
        <w:rPr>
          <w:lang w:val="sk-SK"/>
        </w:rPr>
        <w:t>na</w:t>
      </w:r>
      <w:r>
        <w:rPr>
          <w:lang w:val="sk-SK"/>
        </w:rPr>
        <w:t xml:space="preserve"> jednor</w:t>
      </w:r>
      <w:r w:rsidR="00C80799">
        <w:rPr>
          <w:lang w:val="sk-SK"/>
        </w:rPr>
        <w:t>a</w:t>
      </w:r>
      <w:r>
        <w:rPr>
          <w:lang w:val="sk-SK"/>
        </w:rPr>
        <w:t>zové použiti</w:t>
      </w:r>
      <w:r w:rsidR="00C80799">
        <w:rPr>
          <w:lang w:val="sk-SK"/>
        </w:rPr>
        <w:t>e</w:t>
      </w:r>
      <w:r>
        <w:rPr>
          <w:lang w:val="sk-SK"/>
        </w:rPr>
        <w:t xml:space="preserve"> (Berinert 2000 IU: 5 ml, Berinert 3000 IU: 10 ml)</w:t>
      </w:r>
    </w:p>
    <w:p w14:paraId="70827A43" w14:textId="10A94249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1 </w:t>
      </w:r>
      <w:r w:rsidR="006C17E7">
        <w:rPr>
          <w:lang w:val="sk-SK"/>
        </w:rPr>
        <w:t xml:space="preserve">podkožnú </w:t>
      </w:r>
      <w:r w:rsidR="00DA1B4B">
        <w:rPr>
          <w:lang w:val="sk-SK"/>
        </w:rPr>
        <w:t>i</w:t>
      </w:r>
      <w:r>
        <w:rPr>
          <w:lang w:val="sk-SK"/>
        </w:rPr>
        <w:t>hl</w:t>
      </w:r>
      <w:r w:rsidR="00C80799">
        <w:rPr>
          <w:lang w:val="sk-SK"/>
        </w:rPr>
        <w:t>u</w:t>
      </w:r>
    </w:p>
    <w:p w14:paraId="58994A42" w14:textId="10686972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1 podkožn</w:t>
      </w:r>
      <w:r w:rsidR="00C80799">
        <w:rPr>
          <w:lang w:val="sk-SK"/>
        </w:rPr>
        <w:t>ú</w:t>
      </w:r>
      <w:r>
        <w:rPr>
          <w:lang w:val="sk-SK"/>
        </w:rPr>
        <w:t xml:space="preserve"> injekčn</w:t>
      </w:r>
      <w:r w:rsidR="00C80799">
        <w:rPr>
          <w:lang w:val="sk-SK"/>
        </w:rPr>
        <w:t>ú</w:t>
      </w:r>
      <w:r>
        <w:rPr>
          <w:lang w:val="sk-SK"/>
        </w:rPr>
        <w:t xml:space="preserve"> </w:t>
      </w:r>
      <w:r w:rsidR="006C17E7">
        <w:rPr>
          <w:lang w:val="sk-SK"/>
        </w:rPr>
        <w:t>súpravu</w:t>
      </w:r>
    </w:p>
    <w:p w14:paraId="0BC2B1CD" w14:textId="7A04CE15" w:rsidR="00D20322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2 </w:t>
      </w:r>
      <w:r w:rsidR="006C17E7">
        <w:rPr>
          <w:lang w:val="sk-SK"/>
        </w:rPr>
        <w:t xml:space="preserve">alkoholové </w:t>
      </w:r>
      <w:r>
        <w:rPr>
          <w:lang w:val="sk-SK"/>
        </w:rPr>
        <w:t>tampón</w:t>
      </w:r>
      <w:r w:rsidR="00FE1E5D">
        <w:rPr>
          <w:lang w:val="sk-SK"/>
        </w:rPr>
        <w:t>y</w:t>
      </w:r>
    </w:p>
    <w:p w14:paraId="472BC78F" w14:textId="4A66D3B9" w:rsidR="00FE1E5D" w:rsidRDefault="00D20322" w:rsidP="00F02ED0">
      <w:pPr>
        <w:pStyle w:val="SPCtext"/>
        <w:spacing w:after="0"/>
        <w:rPr>
          <w:lang w:val="sk-SK"/>
        </w:rPr>
      </w:pPr>
      <w:r>
        <w:rPr>
          <w:lang w:val="sk-SK"/>
        </w:rPr>
        <w:t>1 náplas</w:t>
      </w:r>
      <w:r w:rsidR="00FE1E5D">
        <w:rPr>
          <w:lang w:val="sk-SK"/>
        </w:rPr>
        <w:t>ť</w:t>
      </w:r>
    </w:p>
    <w:p w14:paraId="75939ABA" w14:textId="77777777" w:rsidR="00FE1E5D" w:rsidRDefault="00FE1E5D" w:rsidP="00F02ED0">
      <w:pPr>
        <w:pStyle w:val="SPCtext"/>
        <w:spacing w:after="0"/>
        <w:rPr>
          <w:lang w:val="sk-SK"/>
        </w:rPr>
      </w:pPr>
    </w:p>
    <w:p w14:paraId="3AA3D359" w14:textId="75E77F7E" w:rsidR="00FE1E5D" w:rsidRDefault="005C564F" w:rsidP="00F02ED0">
      <w:pPr>
        <w:pStyle w:val="SPCtext"/>
        <w:spacing w:after="0"/>
        <w:rPr>
          <w:lang w:val="sk-SK"/>
        </w:rPr>
      </w:pPr>
      <w:r>
        <w:rPr>
          <w:lang w:val="sk-SK"/>
        </w:rPr>
        <w:t>Multi</w:t>
      </w:r>
      <w:r w:rsidR="0073465E">
        <w:rPr>
          <w:lang w:val="sk-SK"/>
        </w:rPr>
        <w:t>balenie</w:t>
      </w:r>
      <w:r w:rsidR="00D20322">
        <w:rPr>
          <w:lang w:val="sk-SK"/>
        </w:rPr>
        <w:t xml:space="preserve"> 5 x 2000 IU a 20 x 2000 IU.</w:t>
      </w:r>
    </w:p>
    <w:p w14:paraId="39EFC7E3" w14:textId="6DC3FBCA" w:rsidR="00D20322" w:rsidRDefault="005C564F" w:rsidP="00F02ED0">
      <w:pPr>
        <w:pStyle w:val="SPCtext"/>
        <w:spacing w:after="0"/>
        <w:rPr>
          <w:lang w:val="sk-SK"/>
        </w:rPr>
      </w:pPr>
      <w:r>
        <w:rPr>
          <w:lang w:val="sk-SK"/>
        </w:rPr>
        <w:t>Multi</w:t>
      </w:r>
      <w:r w:rsidR="0073465E">
        <w:rPr>
          <w:lang w:val="sk-SK"/>
        </w:rPr>
        <w:t xml:space="preserve">balenie </w:t>
      </w:r>
      <w:r w:rsidR="00D20322">
        <w:rPr>
          <w:lang w:val="sk-SK"/>
        </w:rPr>
        <w:t>5 x 3000 IU a 20 x 3000 IU.</w:t>
      </w:r>
    </w:p>
    <w:p w14:paraId="3ED41F0A" w14:textId="77777777" w:rsidR="00D20322" w:rsidRDefault="00D20322" w:rsidP="00F02ED0">
      <w:pPr>
        <w:pStyle w:val="SPCtext"/>
        <w:spacing w:after="0"/>
        <w:rPr>
          <w:lang w:val="sk-SK"/>
        </w:rPr>
      </w:pPr>
    </w:p>
    <w:p w14:paraId="6AB798B9" w14:textId="77777777" w:rsidR="0073465E" w:rsidRPr="00F61954" w:rsidRDefault="0073465E" w:rsidP="00F02ED0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Na trh nemusia byť uvedené všetky veľkosti balenia. </w:t>
      </w:r>
    </w:p>
    <w:p w14:paraId="206AE619" w14:textId="7EA65E54" w:rsidR="00AA7859" w:rsidRDefault="00AA7859" w:rsidP="00F02ED0">
      <w:pPr>
        <w:pStyle w:val="SPCtext"/>
        <w:spacing w:after="0"/>
        <w:rPr>
          <w:lang w:val="sk-SK"/>
        </w:rPr>
      </w:pPr>
    </w:p>
    <w:p w14:paraId="400A0E58" w14:textId="77777777" w:rsidR="00AA7859" w:rsidRPr="00F61954" w:rsidRDefault="00AA7859" w:rsidP="00F02ED0">
      <w:pPr>
        <w:pStyle w:val="SPCNadpis2"/>
        <w:spacing w:before="0" w:after="0"/>
        <w:rPr>
          <w:lang w:val="sk-SK"/>
        </w:rPr>
      </w:pPr>
      <w:r w:rsidRPr="000C6ED7">
        <w:rPr>
          <w:bCs/>
          <w:noProof/>
        </w:rPr>
        <w:t>Špeciálne opatrenia na likvidáciu</w:t>
      </w:r>
      <w:r w:rsidRPr="000C6ED7">
        <w:rPr>
          <w:szCs w:val="22"/>
        </w:rPr>
        <w:t xml:space="preserve"> </w:t>
      </w:r>
      <w:r w:rsidRPr="000C6ED7">
        <w:rPr>
          <w:bCs/>
          <w:noProof/>
        </w:rPr>
        <w:t>a iné zaobchádzanie s liekom</w:t>
      </w:r>
    </w:p>
    <w:p w14:paraId="5CD527D3" w14:textId="77777777" w:rsidR="00AA7859" w:rsidRPr="00F61954" w:rsidRDefault="00AA7859" w:rsidP="00F02ED0">
      <w:pPr>
        <w:pStyle w:val="SPCtext"/>
        <w:spacing w:after="0"/>
        <w:rPr>
          <w:lang w:val="sk-SK"/>
        </w:rPr>
      </w:pPr>
    </w:p>
    <w:p w14:paraId="7865AC08" w14:textId="17B0BEE2" w:rsidR="00AA7859" w:rsidRPr="00F61954" w:rsidRDefault="006E7CB1" w:rsidP="00F02ED0">
      <w:pPr>
        <w:pStyle w:val="LAGIPINormal"/>
        <w:rPr>
          <w:sz w:val="22"/>
          <w:lang w:val="sk-SK"/>
        </w:rPr>
      </w:pPr>
      <w:r>
        <w:rPr>
          <w:sz w:val="22"/>
          <w:lang w:val="sk-SK"/>
        </w:rPr>
        <w:t>Všetok n</w:t>
      </w:r>
      <w:r w:rsidR="00AA7859" w:rsidRPr="00F61954">
        <w:rPr>
          <w:sz w:val="22"/>
          <w:lang w:val="sk-SK"/>
        </w:rPr>
        <w:t>epoužit</w:t>
      </w:r>
      <w:r w:rsidR="007F02EF">
        <w:rPr>
          <w:sz w:val="22"/>
          <w:lang w:val="sk-SK"/>
        </w:rPr>
        <w:t>ý</w:t>
      </w:r>
      <w:r w:rsidR="00AA7859" w:rsidRPr="00F61954">
        <w:rPr>
          <w:sz w:val="22"/>
          <w:lang w:val="sk-SK"/>
        </w:rPr>
        <w:t xml:space="preserve"> liek alebo odpad vzniknutý z liek</w:t>
      </w:r>
      <w:r w:rsidR="00632D41">
        <w:rPr>
          <w:sz w:val="22"/>
          <w:lang w:val="sk-SK"/>
        </w:rPr>
        <w:t>u</w:t>
      </w:r>
      <w:r w:rsidR="00AA7859" w:rsidRPr="00F61954">
        <w:rPr>
          <w:sz w:val="22"/>
          <w:lang w:val="sk-SK"/>
        </w:rPr>
        <w:t xml:space="preserve"> </w:t>
      </w:r>
      <w:r w:rsidR="004675AE">
        <w:rPr>
          <w:sz w:val="22"/>
          <w:lang w:val="sk-SK"/>
        </w:rPr>
        <w:t xml:space="preserve">sa </w:t>
      </w:r>
      <w:r w:rsidR="00AA7859" w:rsidRPr="00F61954">
        <w:rPr>
          <w:sz w:val="22"/>
          <w:lang w:val="sk-SK"/>
        </w:rPr>
        <w:t>m</w:t>
      </w:r>
      <w:r w:rsidR="00632D41">
        <w:rPr>
          <w:sz w:val="22"/>
          <w:lang w:val="sk-SK"/>
        </w:rPr>
        <w:t>á</w:t>
      </w:r>
      <w:r w:rsidR="00AA7859" w:rsidRPr="00F61954">
        <w:rPr>
          <w:sz w:val="22"/>
          <w:lang w:val="sk-SK"/>
        </w:rPr>
        <w:t xml:space="preserve"> zlikvidova</w:t>
      </w:r>
      <w:r w:rsidR="004675AE">
        <w:rPr>
          <w:sz w:val="22"/>
          <w:lang w:val="sk-SK"/>
        </w:rPr>
        <w:t>ť</w:t>
      </w:r>
      <w:r w:rsidR="00AA7859" w:rsidRPr="00F61954">
        <w:rPr>
          <w:sz w:val="22"/>
          <w:lang w:val="sk-SK"/>
        </w:rPr>
        <w:t xml:space="preserve"> v súlade s národnými požiadavkami.</w:t>
      </w:r>
    </w:p>
    <w:p w14:paraId="6F859BB3" w14:textId="77777777" w:rsidR="00AA7859" w:rsidRPr="00F61954" w:rsidRDefault="00AA7859" w:rsidP="00F02ED0">
      <w:pPr>
        <w:pStyle w:val="LAGIPINormal"/>
        <w:rPr>
          <w:sz w:val="22"/>
          <w:lang w:val="sk-SK"/>
        </w:rPr>
      </w:pPr>
    </w:p>
    <w:p w14:paraId="73B31856" w14:textId="14D0B76D" w:rsidR="00AA7859" w:rsidRPr="00F61954" w:rsidRDefault="00AA7859" w:rsidP="00F02ED0">
      <w:pPr>
        <w:pStyle w:val="LAGIPINormal"/>
        <w:keepNext/>
        <w:rPr>
          <w:b/>
          <w:i/>
          <w:sz w:val="22"/>
          <w:lang w:val="sk-SK"/>
        </w:rPr>
      </w:pPr>
      <w:r w:rsidRPr="00F61954">
        <w:rPr>
          <w:b/>
          <w:i/>
          <w:sz w:val="22"/>
          <w:lang w:val="sk-SK"/>
        </w:rPr>
        <w:t>Spôsob pod</w:t>
      </w:r>
      <w:r w:rsidR="00616F24">
        <w:rPr>
          <w:b/>
          <w:i/>
          <w:sz w:val="22"/>
          <w:lang w:val="sk-SK"/>
        </w:rPr>
        <w:t>áv</w:t>
      </w:r>
      <w:r w:rsidRPr="00F61954">
        <w:rPr>
          <w:b/>
          <w:i/>
          <w:sz w:val="22"/>
          <w:lang w:val="sk-SK"/>
        </w:rPr>
        <w:t>ania</w:t>
      </w:r>
    </w:p>
    <w:p w14:paraId="38B99441" w14:textId="77777777" w:rsidR="00AA7859" w:rsidRPr="00F61954" w:rsidRDefault="00AA7859" w:rsidP="00F02ED0">
      <w:pPr>
        <w:pStyle w:val="LAGIPINormal"/>
        <w:keepNext/>
        <w:rPr>
          <w:b/>
          <w:i/>
          <w:sz w:val="22"/>
          <w:lang w:val="sk-SK"/>
        </w:rPr>
      </w:pPr>
    </w:p>
    <w:p w14:paraId="42794294" w14:textId="77777777" w:rsidR="00AA7859" w:rsidRPr="00F61954" w:rsidRDefault="00AA7859" w:rsidP="00F02ED0">
      <w:pPr>
        <w:pStyle w:val="LAGIPINormal"/>
        <w:rPr>
          <w:i/>
          <w:sz w:val="22"/>
          <w:lang w:val="sk-SK"/>
        </w:rPr>
      </w:pPr>
      <w:r w:rsidRPr="00F61954">
        <w:rPr>
          <w:i/>
          <w:sz w:val="22"/>
          <w:lang w:val="sk-SK"/>
        </w:rPr>
        <w:t>Všeobecné pokyny</w:t>
      </w:r>
    </w:p>
    <w:p w14:paraId="1BDCAB41" w14:textId="7D309493" w:rsidR="000B38C3" w:rsidRDefault="00FE1E5D" w:rsidP="00A4592E">
      <w:pPr>
        <w:pStyle w:val="SPCtext"/>
        <w:numPr>
          <w:ilvl w:val="0"/>
          <w:numId w:val="2"/>
        </w:numPr>
        <w:tabs>
          <w:tab w:val="clear" w:pos="964"/>
        </w:tabs>
        <w:spacing w:after="0"/>
        <w:ind w:left="397"/>
        <w:rPr>
          <w:lang w:val="sk-SK"/>
        </w:rPr>
      </w:pPr>
      <w:r>
        <w:rPr>
          <w:lang w:val="sk-SK"/>
        </w:rPr>
        <w:t>Rekonštituovaný r</w:t>
      </w:r>
      <w:r w:rsidR="00AA7859" w:rsidRPr="00F61954">
        <w:rPr>
          <w:lang w:val="sk-SK"/>
        </w:rPr>
        <w:t xml:space="preserve">oztok </w:t>
      </w:r>
      <w:r w:rsidR="000B38C3">
        <w:rPr>
          <w:lang w:val="sk-SK"/>
        </w:rPr>
        <w:t>Berinert</w:t>
      </w:r>
      <w:r w:rsidR="005D643F">
        <w:rPr>
          <w:lang w:val="sk-SK"/>
        </w:rPr>
        <w:t>u</w:t>
      </w:r>
      <w:r w:rsidR="000B38C3">
        <w:rPr>
          <w:lang w:val="sk-SK"/>
        </w:rPr>
        <w:t xml:space="preserve"> </w:t>
      </w:r>
      <w:r w:rsidR="000B38C3" w:rsidRPr="00F61954">
        <w:rPr>
          <w:lang w:val="sk-SK"/>
        </w:rPr>
        <w:t>má byť bezfarebný a</w:t>
      </w:r>
      <w:r w:rsidR="000B38C3">
        <w:rPr>
          <w:lang w:val="sk-SK"/>
        </w:rPr>
        <w:t> </w:t>
      </w:r>
      <w:r w:rsidR="000B38C3" w:rsidRPr="00F61954">
        <w:rPr>
          <w:lang w:val="sk-SK"/>
        </w:rPr>
        <w:t>číry</w:t>
      </w:r>
      <w:r w:rsidR="000B38C3">
        <w:rPr>
          <w:lang w:val="sk-SK"/>
        </w:rPr>
        <w:t xml:space="preserve"> až mierne opales</w:t>
      </w:r>
      <w:r w:rsidR="006C17E7">
        <w:rPr>
          <w:lang w:val="sk-SK"/>
        </w:rPr>
        <w:t>kujúci</w:t>
      </w:r>
      <w:r w:rsidR="000B38C3" w:rsidRPr="00F61954">
        <w:rPr>
          <w:lang w:val="sk-SK"/>
        </w:rPr>
        <w:t>.</w:t>
      </w:r>
      <w:r w:rsidR="00AA7859" w:rsidRPr="00F61954">
        <w:rPr>
          <w:lang w:val="sk-SK"/>
        </w:rPr>
        <w:t xml:space="preserve"> </w:t>
      </w:r>
    </w:p>
    <w:p w14:paraId="7BA2A18B" w14:textId="2B2FEB7B" w:rsidR="00AA7859" w:rsidRPr="00F61954" w:rsidRDefault="00AA7859" w:rsidP="00F02ED0">
      <w:pPr>
        <w:pStyle w:val="SPCtext"/>
        <w:numPr>
          <w:ilvl w:val="0"/>
          <w:numId w:val="2"/>
        </w:numPr>
        <w:tabs>
          <w:tab w:val="clear" w:pos="964"/>
        </w:tabs>
        <w:spacing w:after="0"/>
        <w:ind w:left="397"/>
        <w:rPr>
          <w:lang w:val="sk-SK"/>
        </w:rPr>
      </w:pPr>
      <w:r w:rsidRPr="00F61954">
        <w:rPr>
          <w:lang w:val="sk-SK"/>
        </w:rPr>
        <w:lastRenderedPageBreak/>
        <w:t xml:space="preserve">Po filtrácii alebo natiahnutí z liekovky (pozri nižšie) </w:t>
      </w:r>
      <w:r>
        <w:rPr>
          <w:lang w:val="sk-SK"/>
        </w:rPr>
        <w:t xml:space="preserve">je potrebné </w:t>
      </w:r>
      <w:r w:rsidRPr="00F61954">
        <w:rPr>
          <w:lang w:val="sk-SK"/>
        </w:rPr>
        <w:t xml:space="preserve">roztok </w:t>
      </w:r>
      <w:r w:rsidR="008276CA" w:rsidRPr="00F61954">
        <w:rPr>
          <w:lang w:val="sk-SK"/>
        </w:rPr>
        <w:t xml:space="preserve">pred podaním </w:t>
      </w:r>
      <w:r w:rsidR="006841FF">
        <w:rPr>
          <w:lang w:val="sk-SK"/>
        </w:rPr>
        <w:t xml:space="preserve">vizuálne </w:t>
      </w:r>
      <w:r w:rsidRPr="00F61954">
        <w:rPr>
          <w:lang w:val="sk-SK"/>
        </w:rPr>
        <w:t>skontrol</w:t>
      </w:r>
      <w:r>
        <w:rPr>
          <w:lang w:val="sk-SK"/>
        </w:rPr>
        <w:t>ovať</w:t>
      </w:r>
      <w:r w:rsidR="006841FF">
        <w:rPr>
          <w:lang w:val="sk-SK"/>
        </w:rPr>
        <w:t xml:space="preserve"> na prítomnosť cudzorodých</w:t>
      </w:r>
      <w:r w:rsidRPr="00F61954">
        <w:rPr>
          <w:lang w:val="sk-SK"/>
        </w:rPr>
        <w:t xml:space="preserve"> čast</w:t>
      </w:r>
      <w:r w:rsidR="006841FF">
        <w:rPr>
          <w:lang w:val="sk-SK"/>
        </w:rPr>
        <w:t>íc</w:t>
      </w:r>
      <w:r w:rsidRPr="00F61954">
        <w:rPr>
          <w:lang w:val="sk-SK"/>
        </w:rPr>
        <w:t xml:space="preserve"> </w:t>
      </w:r>
      <w:r w:rsidR="006841FF">
        <w:rPr>
          <w:lang w:val="sk-SK"/>
        </w:rPr>
        <w:t>a zmenu sfarbenia.</w:t>
      </w:r>
    </w:p>
    <w:p w14:paraId="291C55E5" w14:textId="00077A14" w:rsidR="00AA7859" w:rsidRPr="00F61954" w:rsidRDefault="00AA7859" w:rsidP="00F02ED0">
      <w:pPr>
        <w:pStyle w:val="SPCtext"/>
        <w:numPr>
          <w:ilvl w:val="0"/>
          <w:numId w:val="2"/>
        </w:numPr>
        <w:tabs>
          <w:tab w:val="clear" w:pos="964"/>
        </w:tabs>
        <w:spacing w:after="0"/>
        <w:ind w:left="397"/>
        <w:rPr>
          <w:lang w:val="sk-SK"/>
        </w:rPr>
      </w:pPr>
      <w:r w:rsidRPr="00F61954">
        <w:rPr>
          <w:lang w:val="sk-SK"/>
        </w:rPr>
        <w:t xml:space="preserve">Nepoužívajte </w:t>
      </w:r>
      <w:r w:rsidR="00C97EA1">
        <w:rPr>
          <w:lang w:val="sk-SK"/>
        </w:rPr>
        <w:t xml:space="preserve">zakalené </w:t>
      </w:r>
      <w:r w:rsidRPr="00F61954">
        <w:rPr>
          <w:lang w:val="sk-SK"/>
        </w:rPr>
        <w:t>roztok</w:t>
      </w:r>
      <w:r w:rsidR="00F9207F">
        <w:rPr>
          <w:lang w:val="sk-SK"/>
        </w:rPr>
        <w:t>y</w:t>
      </w:r>
      <w:r w:rsidR="00C97EA1">
        <w:rPr>
          <w:lang w:val="sk-SK"/>
        </w:rPr>
        <w:t xml:space="preserve"> alebo roztoky s usadeninami.</w:t>
      </w:r>
    </w:p>
    <w:p w14:paraId="3F180A88" w14:textId="77777777" w:rsidR="00AA7859" w:rsidRPr="00F61954" w:rsidRDefault="00AA7859" w:rsidP="00F02ED0">
      <w:pPr>
        <w:pStyle w:val="SPCtext"/>
        <w:numPr>
          <w:ilvl w:val="0"/>
          <w:numId w:val="2"/>
        </w:numPr>
        <w:tabs>
          <w:tab w:val="clear" w:pos="964"/>
        </w:tabs>
        <w:spacing w:after="0"/>
        <w:ind w:left="397"/>
        <w:rPr>
          <w:lang w:val="sk-SK"/>
        </w:rPr>
      </w:pPr>
      <w:r w:rsidRPr="00F61954">
        <w:rPr>
          <w:lang w:val="sk-SK"/>
        </w:rPr>
        <w:t>Rekonštitúcia a vyprázdnenie injekčnej liekovky sa musí robiť v aseptických podmienkach.</w:t>
      </w:r>
      <w:r>
        <w:rPr>
          <w:lang w:val="sk-SK"/>
        </w:rPr>
        <w:t xml:space="preserve"> Použite injekčnú striekačku dodávanú s liekom.</w:t>
      </w:r>
    </w:p>
    <w:p w14:paraId="250FA158" w14:textId="77777777" w:rsidR="00D15CCC" w:rsidRDefault="00D15CCC" w:rsidP="00F02ED0">
      <w:pPr>
        <w:pStyle w:val="LAGIPINormal"/>
        <w:rPr>
          <w:i/>
          <w:sz w:val="22"/>
          <w:lang w:val="sk-SK"/>
        </w:rPr>
      </w:pPr>
    </w:p>
    <w:p w14:paraId="63AD73B3" w14:textId="77777777" w:rsidR="00AA7859" w:rsidRPr="00C921EF" w:rsidRDefault="00AA7859" w:rsidP="00F02ED0">
      <w:pPr>
        <w:pStyle w:val="LAGIPINormal"/>
        <w:rPr>
          <w:i/>
          <w:sz w:val="22"/>
          <w:lang w:val="sk-SK"/>
        </w:rPr>
      </w:pPr>
      <w:r w:rsidRPr="00C921EF">
        <w:rPr>
          <w:i/>
          <w:sz w:val="22"/>
          <w:lang w:val="sk-SK"/>
        </w:rPr>
        <w:t>Rekonštitúcia</w:t>
      </w:r>
    </w:p>
    <w:p w14:paraId="103C85DA" w14:textId="08D477E6" w:rsidR="00AA7859" w:rsidRPr="00F61954" w:rsidRDefault="00AA7859" w:rsidP="00F02ED0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 xml:space="preserve">Zohrejte rozpúšťadlo na </w:t>
      </w:r>
      <w:r>
        <w:rPr>
          <w:lang w:val="sk-SK"/>
        </w:rPr>
        <w:t>izbovú teplotu</w:t>
      </w:r>
      <w:r w:rsidRPr="00F61954">
        <w:rPr>
          <w:lang w:val="sk-SK"/>
        </w:rPr>
        <w:t xml:space="preserve">. Pred otvorením Mix2Vial balenia </w:t>
      </w:r>
      <w:r w:rsidR="006C17E7">
        <w:rPr>
          <w:lang w:val="sk-SK"/>
        </w:rPr>
        <w:t xml:space="preserve">sa </w:t>
      </w:r>
      <w:r w:rsidR="00B34A25">
        <w:rPr>
          <w:lang w:val="sk-SK"/>
        </w:rPr>
        <w:t>presvedčte</w:t>
      </w:r>
      <w:r w:rsidRPr="00F61954">
        <w:rPr>
          <w:lang w:val="sk-SK"/>
        </w:rPr>
        <w:t xml:space="preserve">, </w:t>
      </w:r>
      <w:r w:rsidR="00B34A25">
        <w:rPr>
          <w:lang w:val="sk-SK"/>
        </w:rPr>
        <w:t xml:space="preserve">či sú z lieku a rozpúšťadla odstránené </w:t>
      </w:r>
      <w:r w:rsidR="00F6105C">
        <w:rPr>
          <w:lang w:val="sk-SK"/>
        </w:rPr>
        <w:t>vyklápacie</w:t>
      </w:r>
      <w:r w:rsidR="006C17E7" w:rsidRPr="00F61954">
        <w:rPr>
          <w:lang w:val="sk-SK"/>
        </w:rPr>
        <w:t xml:space="preserve"> </w:t>
      </w:r>
      <w:r w:rsidRPr="00F61954">
        <w:rPr>
          <w:lang w:val="sk-SK"/>
        </w:rPr>
        <w:t xml:space="preserve">viečka </w:t>
      </w:r>
      <w:r w:rsidR="00B34A25">
        <w:rPr>
          <w:lang w:val="sk-SK"/>
        </w:rPr>
        <w:t xml:space="preserve">injekčných </w:t>
      </w:r>
      <w:r w:rsidRPr="00F61954">
        <w:rPr>
          <w:lang w:val="sk-SK"/>
        </w:rPr>
        <w:t>liekov</w:t>
      </w:r>
      <w:r w:rsidR="00B34A25">
        <w:rPr>
          <w:lang w:val="sk-SK"/>
        </w:rPr>
        <w:t>iek</w:t>
      </w:r>
      <w:r w:rsidRPr="00F61954">
        <w:rPr>
          <w:lang w:val="sk-SK"/>
        </w:rPr>
        <w:t xml:space="preserve"> a zátky </w:t>
      </w:r>
      <w:r w:rsidR="00B34A25">
        <w:rPr>
          <w:lang w:val="sk-SK"/>
        </w:rPr>
        <w:t>ošetrené sterilným roztokom.</w:t>
      </w:r>
    </w:p>
    <w:p w14:paraId="7CE7BE47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AA7859" w:rsidRPr="00F61954" w14:paraId="25DA015F" w14:textId="77777777" w:rsidTr="00F0264F">
        <w:trPr>
          <w:cantSplit/>
          <w:trHeight w:hRule="exact" w:val="1811"/>
        </w:trPr>
        <w:tc>
          <w:tcPr>
            <w:tcW w:w="3472" w:type="dxa"/>
          </w:tcPr>
          <w:p w14:paraId="617BB1F0" w14:textId="77777777" w:rsidR="00AA7859" w:rsidRPr="00F61954" w:rsidRDefault="00AA7859" w:rsidP="00B1438E">
            <w:pPr>
              <w:jc w:val="center"/>
              <w:rPr>
                <w:rFonts w:ascii="Courier" w:hAnsi="Courier"/>
                <w:lang w:val="sk-SK"/>
              </w:rPr>
            </w:pP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t xml:space="preserve"> </w:t>
            </w:r>
            <w:r w:rsidR="0065325F">
              <w:rPr>
                <w:rFonts w:ascii="Courier" w:hAnsi="Courier"/>
                <w:bdr w:val="single" w:sz="4" w:space="0" w:color="auto"/>
                <w:lang w:val="sk-SK"/>
              </w:rPr>
              <w:pict w14:anchorId="303ED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10" o:title="Abb 1"/>
                </v:shape>
              </w:pict>
            </w: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t xml:space="preserve"> 1</w:t>
            </w:r>
          </w:p>
        </w:tc>
        <w:tc>
          <w:tcPr>
            <w:tcW w:w="5812" w:type="dxa"/>
          </w:tcPr>
          <w:p w14:paraId="0B251D2F" w14:textId="44919142" w:rsidR="00AA7859" w:rsidRDefault="00AA7859" w:rsidP="00606624">
            <w:pPr>
              <w:pStyle w:val="SPCtext"/>
              <w:spacing w:after="0"/>
              <w:rPr>
                <w:highlight w:val="green"/>
                <w:lang w:val="sk-SK"/>
              </w:rPr>
            </w:pPr>
            <w:r w:rsidRPr="00F61954">
              <w:rPr>
                <w:lang w:val="sk-SK"/>
              </w:rPr>
              <w:t>1. Otvorte Mix2Vial balenie vyklopením viečka</w:t>
            </w:r>
            <w:r w:rsidR="00D01647">
              <w:rPr>
                <w:lang w:val="sk-SK"/>
              </w:rPr>
              <w:t xml:space="preserve">. </w:t>
            </w:r>
            <w:r w:rsidR="00FF0204" w:rsidRPr="00D01647">
              <w:rPr>
                <w:lang w:val="sk-SK"/>
              </w:rPr>
              <w:t>Neodst</w:t>
            </w:r>
            <w:r w:rsidR="00D01647">
              <w:rPr>
                <w:lang w:val="sk-SK"/>
              </w:rPr>
              <w:t>r</w:t>
            </w:r>
            <w:r w:rsidR="00FF0204" w:rsidRPr="00D01647">
              <w:rPr>
                <w:lang w:val="sk-SK"/>
              </w:rPr>
              <w:t>aňujte blistrov</w:t>
            </w:r>
            <w:r w:rsidR="00335A0C">
              <w:rPr>
                <w:lang w:val="sk-SK"/>
              </w:rPr>
              <w:t>é</w:t>
            </w:r>
            <w:r w:rsidR="00FF0204" w:rsidRPr="00D01647">
              <w:rPr>
                <w:lang w:val="sk-SK"/>
              </w:rPr>
              <w:t xml:space="preserve"> </w:t>
            </w:r>
            <w:r w:rsidR="00335A0C">
              <w:rPr>
                <w:lang w:val="sk-SK"/>
              </w:rPr>
              <w:t>balenie</w:t>
            </w:r>
            <w:r w:rsidR="00FF0204" w:rsidRPr="00D01647">
              <w:rPr>
                <w:lang w:val="sk-SK"/>
              </w:rPr>
              <w:t xml:space="preserve"> z Mix2Vial.</w:t>
            </w:r>
          </w:p>
          <w:p w14:paraId="060ADDB9" w14:textId="77777777" w:rsidR="00FF0204" w:rsidRDefault="00FF0204" w:rsidP="00606624">
            <w:pPr>
              <w:pStyle w:val="SPCtext"/>
              <w:spacing w:after="0"/>
              <w:rPr>
                <w:lang w:val="sk-SK"/>
              </w:rPr>
            </w:pPr>
          </w:p>
          <w:p w14:paraId="2140D8B8" w14:textId="77777777" w:rsidR="005F18BD" w:rsidRDefault="005F18BD" w:rsidP="00606624">
            <w:pPr>
              <w:pStyle w:val="SPCtext"/>
              <w:spacing w:after="0"/>
              <w:rPr>
                <w:lang w:val="sk-SK"/>
              </w:rPr>
            </w:pPr>
          </w:p>
          <w:p w14:paraId="1AE9CEA3" w14:textId="77777777" w:rsidR="005F18BD" w:rsidRDefault="005F18BD" w:rsidP="00606624">
            <w:pPr>
              <w:pStyle w:val="SPCtext"/>
              <w:spacing w:after="0"/>
              <w:rPr>
                <w:lang w:val="sk-SK"/>
              </w:rPr>
            </w:pPr>
          </w:p>
          <w:p w14:paraId="6F7C22E3" w14:textId="77777777" w:rsidR="005F18BD" w:rsidRDefault="005F18BD" w:rsidP="00606624">
            <w:pPr>
              <w:pStyle w:val="SPCtext"/>
              <w:spacing w:after="0"/>
              <w:rPr>
                <w:lang w:val="sk-SK"/>
              </w:rPr>
            </w:pPr>
          </w:p>
          <w:p w14:paraId="61661FAC" w14:textId="16A9144A" w:rsidR="005F18BD" w:rsidRPr="00F61954" w:rsidRDefault="005F18BD" w:rsidP="00606624">
            <w:pPr>
              <w:pStyle w:val="SPCtext"/>
              <w:spacing w:after="0"/>
              <w:rPr>
                <w:lang w:val="sk-SK"/>
              </w:rPr>
            </w:pPr>
          </w:p>
        </w:tc>
      </w:tr>
      <w:tr w:rsidR="00AA7859" w:rsidRPr="00F61954" w14:paraId="38FA2588" w14:textId="77777777" w:rsidTr="00F0264F">
        <w:trPr>
          <w:cantSplit/>
          <w:trHeight w:hRule="exact" w:val="2236"/>
        </w:trPr>
        <w:tc>
          <w:tcPr>
            <w:tcW w:w="3472" w:type="dxa"/>
          </w:tcPr>
          <w:p w14:paraId="377364F7" w14:textId="77777777" w:rsidR="00AA7859" w:rsidRPr="00F61954" w:rsidRDefault="00AA7859" w:rsidP="00B1438E">
            <w:pPr>
              <w:jc w:val="center"/>
              <w:rPr>
                <w:rFonts w:ascii="Courier" w:hAnsi="Courier"/>
                <w:lang w:val="sk-SK"/>
              </w:rPr>
            </w:pP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t xml:space="preserve"> </w:t>
            </w:r>
            <w:r w:rsidR="0065325F">
              <w:rPr>
                <w:rFonts w:ascii="Courier" w:hAnsi="Courier"/>
                <w:bdr w:val="single" w:sz="4" w:space="0" w:color="auto"/>
                <w:lang w:val="sk-SK"/>
              </w:rPr>
              <w:pict w14:anchorId="74CCC7EA">
                <v:shape id="_x0000_i1026" type="#_x0000_t75" style="width:43.5pt;height:87pt">
                  <v:imagedata r:id="rId11" o:title="Abb 2"/>
                </v:shape>
              </w:pict>
            </w: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t xml:space="preserve"> 2</w:t>
            </w:r>
          </w:p>
        </w:tc>
        <w:tc>
          <w:tcPr>
            <w:tcW w:w="5812" w:type="dxa"/>
          </w:tcPr>
          <w:p w14:paraId="60F52E32" w14:textId="6900BE95" w:rsidR="00AA7859" w:rsidRPr="00F61954" w:rsidRDefault="00AA7859" w:rsidP="00B1438E">
            <w:pPr>
              <w:pStyle w:val="SPCtext"/>
              <w:spacing w:after="0"/>
              <w:rPr>
                <w:lang w:val="sk-SK"/>
              </w:rPr>
            </w:pPr>
            <w:r w:rsidRPr="00F61954">
              <w:rPr>
                <w:lang w:val="sk-SK"/>
              </w:rPr>
              <w:t>2. Postavte injekčnú liekovku s rozpúšťadlom na rovný a čistý povrch a</w:t>
            </w:r>
            <w:r w:rsidR="00762BC7">
              <w:rPr>
                <w:lang w:val="sk-SK"/>
              </w:rPr>
              <w:t xml:space="preserve"> držte ju </w:t>
            </w:r>
            <w:r w:rsidRPr="00F61954">
              <w:rPr>
                <w:lang w:val="sk-SK"/>
              </w:rPr>
              <w:t xml:space="preserve">pevne. </w:t>
            </w:r>
            <w:r w:rsidR="00762BC7">
              <w:rPr>
                <w:lang w:val="sk-SK"/>
              </w:rPr>
              <w:t>Vezmite</w:t>
            </w:r>
            <w:r w:rsidR="00762BC7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>Mix2Vial spoločne s</w:t>
            </w:r>
            <w:r w:rsidR="00762BC7">
              <w:rPr>
                <w:lang w:val="sk-SK"/>
              </w:rPr>
              <w:t> </w:t>
            </w:r>
            <w:r w:rsidR="00762BC7" w:rsidRPr="00F61954">
              <w:rPr>
                <w:lang w:val="sk-SK"/>
              </w:rPr>
              <w:t>blistro</w:t>
            </w:r>
            <w:r w:rsidR="00762BC7">
              <w:rPr>
                <w:lang w:val="sk-SK"/>
              </w:rPr>
              <w:t>vým balením</w:t>
            </w:r>
            <w:r w:rsidR="00762BC7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 xml:space="preserve">a zatlačte hrot konca modrého adaptéru </w:t>
            </w:r>
            <w:r w:rsidRPr="00F61954">
              <w:rPr>
                <w:b/>
                <w:lang w:val="sk-SK"/>
              </w:rPr>
              <w:t>priamo dole</w:t>
            </w:r>
            <w:r w:rsidRPr="00F61954">
              <w:rPr>
                <w:lang w:val="sk-SK"/>
              </w:rPr>
              <w:t xml:space="preserve"> cez zátku </w:t>
            </w:r>
            <w:r w:rsidR="00606624">
              <w:rPr>
                <w:lang w:val="sk-SK"/>
              </w:rPr>
              <w:t>in</w:t>
            </w:r>
            <w:r w:rsidR="00762BC7">
              <w:rPr>
                <w:lang w:val="sk-SK"/>
              </w:rPr>
              <w:t>j</w:t>
            </w:r>
            <w:r w:rsidR="00606624">
              <w:rPr>
                <w:lang w:val="sk-SK"/>
              </w:rPr>
              <w:t xml:space="preserve">ekčnej </w:t>
            </w:r>
            <w:r w:rsidRPr="00F61954">
              <w:rPr>
                <w:lang w:val="sk-SK"/>
              </w:rPr>
              <w:t>liekovky s rozpúšťadlom.</w:t>
            </w:r>
          </w:p>
        </w:tc>
      </w:tr>
      <w:tr w:rsidR="00AA7859" w:rsidRPr="00F61954" w14:paraId="7D33C4CC" w14:textId="77777777" w:rsidTr="00F0264F">
        <w:trPr>
          <w:cantSplit/>
          <w:trHeight w:hRule="exact" w:val="2308"/>
        </w:trPr>
        <w:tc>
          <w:tcPr>
            <w:tcW w:w="3472" w:type="dxa"/>
          </w:tcPr>
          <w:p w14:paraId="6F7EA56D" w14:textId="77777777" w:rsidR="00AA7859" w:rsidRDefault="00AA7859" w:rsidP="00B1438E">
            <w:pPr>
              <w:jc w:val="center"/>
              <w:rPr>
                <w:rFonts w:ascii="Courier" w:hAnsi="Courier"/>
                <w:bdr w:val="single" w:sz="4" w:space="0" w:color="auto"/>
                <w:lang w:val="sk-SK"/>
              </w:rPr>
            </w:pP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t xml:space="preserve"> </w:t>
            </w:r>
            <w:r w:rsidR="0065325F">
              <w:rPr>
                <w:rFonts w:ascii="Courier" w:hAnsi="Courier"/>
                <w:bdr w:val="single" w:sz="4" w:space="0" w:color="auto"/>
                <w:lang w:val="sk-SK"/>
              </w:rPr>
              <w:pict w14:anchorId="6F1E626D">
                <v:shape id="_x0000_i1027" type="#_x0000_t75" style="width:36pt;height:87pt">
                  <v:imagedata r:id="rId12" o:title="Abb 3"/>
                </v:shape>
              </w:pict>
            </w: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t xml:space="preserve"> 3</w:t>
            </w:r>
          </w:p>
          <w:p w14:paraId="689D2A53" w14:textId="77777777" w:rsidR="00762BC7" w:rsidRPr="00F61954" w:rsidRDefault="00762BC7" w:rsidP="00B1438E">
            <w:pPr>
              <w:jc w:val="center"/>
              <w:rPr>
                <w:rFonts w:ascii="Courier" w:hAnsi="Courier"/>
                <w:lang w:val="sk-SK"/>
              </w:rPr>
            </w:pPr>
          </w:p>
        </w:tc>
        <w:tc>
          <w:tcPr>
            <w:tcW w:w="5812" w:type="dxa"/>
          </w:tcPr>
          <w:p w14:paraId="706DA95C" w14:textId="078DEF98" w:rsidR="00AA7859" w:rsidRDefault="00AA7859" w:rsidP="00B1438E">
            <w:pPr>
              <w:pStyle w:val="SPCtext"/>
              <w:spacing w:after="0"/>
              <w:rPr>
                <w:lang w:val="sk-SK"/>
              </w:rPr>
            </w:pPr>
            <w:r w:rsidRPr="00F61954">
              <w:rPr>
                <w:lang w:val="sk-SK"/>
              </w:rPr>
              <w:t>3. Opatrne odstráňte blistr</w:t>
            </w:r>
            <w:r w:rsidR="00762BC7">
              <w:rPr>
                <w:lang w:val="sk-SK"/>
              </w:rPr>
              <w:t>ové balenie</w:t>
            </w:r>
            <w:r w:rsidRPr="00F61954">
              <w:rPr>
                <w:lang w:val="sk-SK"/>
              </w:rPr>
              <w:t xml:space="preserve"> zo súpravy Mix2Vial tak, že ho držíte za okraj a ťaháte </w:t>
            </w:r>
            <w:r w:rsidRPr="00F61954">
              <w:rPr>
                <w:b/>
                <w:lang w:val="sk-SK"/>
              </w:rPr>
              <w:t>zvislo</w:t>
            </w:r>
            <w:r w:rsidRPr="00F61954">
              <w:rPr>
                <w:lang w:val="sk-SK"/>
              </w:rPr>
              <w:t xml:space="preserve"> hore. Presvedčte sa, že ste vytiahli iba blistrov</w:t>
            </w:r>
            <w:r w:rsidR="00762BC7">
              <w:rPr>
                <w:lang w:val="sk-SK"/>
              </w:rPr>
              <w:t>é balenie</w:t>
            </w:r>
            <w:r w:rsidRPr="00F61954">
              <w:rPr>
                <w:lang w:val="sk-SK"/>
              </w:rPr>
              <w:t xml:space="preserve"> a nie Mix2Vial súpravu.</w:t>
            </w:r>
          </w:p>
          <w:p w14:paraId="3A072E40" w14:textId="77777777" w:rsidR="00762BC7" w:rsidRDefault="00762BC7" w:rsidP="00B1438E">
            <w:pPr>
              <w:pStyle w:val="SPCtext"/>
              <w:spacing w:after="0"/>
              <w:rPr>
                <w:lang w:val="sk-SK"/>
              </w:rPr>
            </w:pPr>
          </w:p>
          <w:p w14:paraId="40862298" w14:textId="77777777" w:rsidR="00762BC7" w:rsidRDefault="00762BC7" w:rsidP="00B1438E">
            <w:pPr>
              <w:pStyle w:val="SPCtext"/>
              <w:spacing w:after="0"/>
              <w:rPr>
                <w:lang w:val="sk-SK"/>
              </w:rPr>
            </w:pPr>
          </w:p>
          <w:p w14:paraId="74E9F6C9" w14:textId="77777777" w:rsidR="00762BC7" w:rsidRDefault="00762BC7" w:rsidP="00B1438E">
            <w:pPr>
              <w:pStyle w:val="SPCtext"/>
              <w:spacing w:after="0"/>
              <w:rPr>
                <w:lang w:val="sk-SK"/>
              </w:rPr>
            </w:pPr>
          </w:p>
          <w:p w14:paraId="4EAD677E" w14:textId="77777777" w:rsidR="00762BC7" w:rsidRDefault="00762BC7" w:rsidP="00B1438E">
            <w:pPr>
              <w:pStyle w:val="SPCtext"/>
              <w:spacing w:after="0"/>
              <w:rPr>
                <w:lang w:val="sk-SK"/>
              </w:rPr>
            </w:pPr>
          </w:p>
          <w:p w14:paraId="6D682AF5" w14:textId="77777777" w:rsidR="00762BC7" w:rsidRDefault="00762BC7" w:rsidP="00B1438E">
            <w:pPr>
              <w:pStyle w:val="SPCtext"/>
              <w:spacing w:after="0"/>
              <w:rPr>
                <w:lang w:val="sk-SK"/>
              </w:rPr>
            </w:pPr>
          </w:p>
          <w:p w14:paraId="5044DF35" w14:textId="77777777" w:rsidR="00762BC7" w:rsidRPr="00F61954" w:rsidRDefault="00762BC7" w:rsidP="00B1438E">
            <w:pPr>
              <w:pStyle w:val="SPCtext"/>
              <w:spacing w:after="0"/>
              <w:rPr>
                <w:lang w:val="sk-SK"/>
              </w:rPr>
            </w:pPr>
          </w:p>
        </w:tc>
      </w:tr>
      <w:tr w:rsidR="00AA7859" w:rsidRPr="00F61954" w14:paraId="2609E8AB" w14:textId="77777777" w:rsidTr="001A13FC">
        <w:trPr>
          <w:cantSplit/>
          <w:trHeight w:hRule="exact" w:val="2555"/>
        </w:trPr>
        <w:tc>
          <w:tcPr>
            <w:tcW w:w="3472" w:type="dxa"/>
          </w:tcPr>
          <w:p w14:paraId="4611D06D" w14:textId="77777777" w:rsidR="00AA7859" w:rsidRPr="00F61954" w:rsidRDefault="00AA7859" w:rsidP="00B1438E">
            <w:pPr>
              <w:jc w:val="center"/>
              <w:rPr>
                <w:rFonts w:ascii="Courier" w:hAnsi="Courier"/>
                <w:sz w:val="20"/>
                <w:lang w:val="sk-SK"/>
              </w:rPr>
            </w:pPr>
            <w:r w:rsidRPr="00F61954">
              <w:rPr>
                <w:rFonts w:ascii="Courier" w:hAnsi="Courier"/>
                <w:sz w:val="20"/>
                <w:bdr w:val="single" w:sz="4" w:space="0" w:color="auto"/>
                <w:lang w:val="sk-SK"/>
              </w:rPr>
              <w:t xml:space="preserve"> </w:t>
            </w:r>
            <w:r w:rsidR="0065325F">
              <w:rPr>
                <w:rFonts w:ascii="Courier" w:hAnsi="Courier"/>
                <w:sz w:val="20"/>
                <w:bdr w:val="single" w:sz="4" w:space="0" w:color="auto"/>
                <w:lang w:val="sk-SK"/>
              </w:rPr>
              <w:pict w14:anchorId="7BB2EAB4">
                <v:shape id="_x0000_i1028" type="#_x0000_t75" style="width:21.75pt;height:101.25pt">
                  <v:imagedata r:id="rId13" o:title="Abb 4"/>
                </v:shape>
              </w:pict>
            </w:r>
            <w:r w:rsidRPr="00F61954">
              <w:rPr>
                <w:rFonts w:ascii="Courier" w:hAnsi="Courier"/>
                <w:sz w:val="20"/>
                <w:bdr w:val="single" w:sz="4" w:space="0" w:color="auto"/>
                <w:lang w:val="sk-SK"/>
              </w:rPr>
              <w:t xml:space="preserve"> 4</w:t>
            </w:r>
          </w:p>
        </w:tc>
        <w:tc>
          <w:tcPr>
            <w:tcW w:w="5812" w:type="dxa"/>
          </w:tcPr>
          <w:p w14:paraId="3475CB6D" w14:textId="24C67BB7" w:rsidR="00F0264F" w:rsidRDefault="00AA7859" w:rsidP="00B1438E">
            <w:pPr>
              <w:pStyle w:val="SPCtext"/>
              <w:spacing w:after="0"/>
              <w:rPr>
                <w:lang w:val="sk-SK"/>
              </w:rPr>
            </w:pPr>
            <w:r w:rsidRPr="00F61954">
              <w:rPr>
                <w:lang w:val="sk-SK"/>
              </w:rPr>
              <w:t xml:space="preserve">4. Postavte injekčnú liekovku s liekom na rovný a tvrdý povrch. Obráťte </w:t>
            </w:r>
            <w:r w:rsidR="00606624">
              <w:rPr>
                <w:lang w:val="sk-SK"/>
              </w:rPr>
              <w:t xml:space="preserve">injekčnú </w:t>
            </w:r>
            <w:r w:rsidRPr="00F61954">
              <w:rPr>
                <w:lang w:val="sk-SK"/>
              </w:rPr>
              <w:t>liekovku s rozpúšťadlom a</w:t>
            </w:r>
            <w:r w:rsidR="00762BC7">
              <w:rPr>
                <w:lang w:val="sk-SK"/>
              </w:rPr>
              <w:t> </w:t>
            </w:r>
            <w:r w:rsidR="00762BC7" w:rsidRPr="00F61954">
              <w:rPr>
                <w:lang w:val="sk-SK"/>
              </w:rPr>
              <w:t>pripojen</w:t>
            </w:r>
            <w:r w:rsidR="00762BC7">
              <w:rPr>
                <w:lang w:val="sk-SK"/>
              </w:rPr>
              <w:t>ou súpravou</w:t>
            </w:r>
            <w:r w:rsidRPr="00F61954">
              <w:rPr>
                <w:lang w:val="sk-SK"/>
              </w:rPr>
              <w:t xml:space="preserve"> Mix2Vial a zatlačte hrot priehľadného konca adaptéra </w:t>
            </w:r>
            <w:r w:rsidRPr="00F61954">
              <w:rPr>
                <w:b/>
                <w:lang w:val="sk-SK"/>
              </w:rPr>
              <w:t>rovno dole</w:t>
            </w:r>
            <w:r w:rsidRPr="00F61954">
              <w:rPr>
                <w:lang w:val="sk-SK"/>
              </w:rPr>
              <w:t xml:space="preserve"> cez zátku injekčnej liekovky s liekom. Rozpúšťadlo</w:t>
            </w:r>
            <w:r w:rsidR="00762BC7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 xml:space="preserve">automaticky </w:t>
            </w:r>
            <w:r w:rsidR="00762BC7">
              <w:rPr>
                <w:lang w:val="sk-SK"/>
              </w:rPr>
              <w:t>steká</w:t>
            </w:r>
            <w:r w:rsidR="00762BC7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 xml:space="preserve">do </w:t>
            </w:r>
            <w:r w:rsidR="00606624">
              <w:rPr>
                <w:lang w:val="sk-SK"/>
              </w:rPr>
              <w:t xml:space="preserve">injekčnej </w:t>
            </w:r>
            <w:r w:rsidRPr="00F61954">
              <w:rPr>
                <w:lang w:val="sk-SK"/>
              </w:rPr>
              <w:t>liekovky s liekom.</w:t>
            </w:r>
          </w:p>
          <w:p w14:paraId="192D5F77" w14:textId="77777777" w:rsidR="00F0264F" w:rsidRPr="00F0264F" w:rsidRDefault="00F0264F" w:rsidP="00F0264F">
            <w:pPr>
              <w:rPr>
                <w:lang w:val="sk-SK" w:eastAsia="cs-CZ"/>
              </w:rPr>
            </w:pPr>
          </w:p>
          <w:p w14:paraId="21BC15BB" w14:textId="77777777" w:rsidR="00F0264F" w:rsidRPr="00F0264F" w:rsidRDefault="00F0264F" w:rsidP="00F0264F">
            <w:pPr>
              <w:rPr>
                <w:lang w:val="sk-SK" w:eastAsia="cs-CZ"/>
              </w:rPr>
            </w:pPr>
          </w:p>
          <w:p w14:paraId="09CFE5B2" w14:textId="77777777" w:rsidR="00F0264F" w:rsidRPr="00F0264F" w:rsidRDefault="00F0264F" w:rsidP="00F0264F">
            <w:pPr>
              <w:rPr>
                <w:lang w:val="sk-SK" w:eastAsia="cs-CZ"/>
              </w:rPr>
            </w:pPr>
          </w:p>
          <w:p w14:paraId="5D95509C" w14:textId="77777777" w:rsidR="00F0264F" w:rsidRPr="00F0264F" w:rsidRDefault="00F0264F" w:rsidP="00F0264F">
            <w:pPr>
              <w:rPr>
                <w:lang w:val="sk-SK" w:eastAsia="cs-CZ"/>
              </w:rPr>
            </w:pPr>
          </w:p>
          <w:p w14:paraId="3EB58F50" w14:textId="77777777" w:rsidR="00F0264F" w:rsidRPr="00F0264F" w:rsidRDefault="00F0264F" w:rsidP="00F0264F">
            <w:pPr>
              <w:rPr>
                <w:lang w:val="sk-SK" w:eastAsia="cs-CZ"/>
              </w:rPr>
            </w:pPr>
          </w:p>
          <w:p w14:paraId="1B5E717D" w14:textId="77777777" w:rsidR="00F0264F" w:rsidRPr="00F0264F" w:rsidRDefault="00F0264F" w:rsidP="00F0264F">
            <w:pPr>
              <w:rPr>
                <w:lang w:val="sk-SK" w:eastAsia="cs-CZ"/>
              </w:rPr>
            </w:pPr>
          </w:p>
          <w:p w14:paraId="6D84DE9D" w14:textId="11348BA0" w:rsidR="00F0264F" w:rsidRDefault="00F0264F" w:rsidP="00F0264F">
            <w:pPr>
              <w:rPr>
                <w:lang w:val="sk-SK" w:eastAsia="cs-CZ"/>
              </w:rPr>
            </w:pPr>
          </w:p>
          <w:p w14:paraId="27DD29FB" w14:textId="6AA04624" w:rsidR="00AA7859" w:rsidRPr="00F0264F" w:rsidRDefault="00F0264F" w:rsidP="00F0264F">
            <w:pPr>
              <w:tabs>
                <w:tab w:val="left" w:pos="1350"/>
              </w:tabs>
              <w:rPr>
                <w:lang w:val="sk-SK" w:eastAsia="cs-CZ"/>
              </w:rPr>
            </w:pPr>
            <w:r>
              <w:rPr>
                <w:lang w:val="sk-SK" w:eastAsia="cs-CZ"/>
              </w:rPr>
              <w:tab/>
            </w:r>
          </w:p>
        </w:tc>
      </w:tr>
      <w:tr w:rsidR="00AA7859" w:rsidRPr="00F61954" w14:paraId="1908B2C5" w14:textId="77777777" w:rsidTr="00F0264F">
        <w:trPr>
          <w:cantSplit/>
          <w:trHeight w:hRule="exact" w:val="2426"/>
        </w:trPr>
        <w:tc>
          <w:tcPr>
            <w:tcW w:w="3472" w:type="dxa"/>
          </w:tcPr>
          <w:p w14:paraId="652FBA51" w14:textId="77777777" w:rsidR="00AA7859" w:rsidRPr="00F61954" w:rsidRDefault="00AA7859" w:rsidP="00B1438E">
            <w:pPr>
              <w:jc w:val="center"/>
              <w:rPr>
                <w:rFonts w:ascii="Courier" w:hAnsi="Courier"/>
                <w:bdr w:val="single" w:sz="4" w:space="0" w:color="auto"/>
                <w:lang w:val="sk-SK"/>
              </w:rPr>
            </w:pP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lastRenderedPageBreak/>
              <w:t xml:space="preserve"> </w:t>
            </w:r>
            <w:r w:rsidR="0065325F">
              <w:rPr>
                <w:rFonts w:ascii="Courier" w:hAnsi="Courier"/>
                <w:bdr w:val="single" w:sz="4" w:space="0" w:color="auto"/>
                <w:lang w:val="sk-SK"/>
              </w:rPr>
              <w:pict w14:anchorId="19E2E604">
                <v:shape id="_x0000_i1029" type="#_x0000_t75" style="width:36pt;height:101.25pt">
                  <v:imagedata r:id="rId14" o:title="Abb 5"/>
                </v:shape>
              </w:pict>
            </w:r>
            <w:r w:rsidRPr="00F61954">
              <w:rPr>
                <w:rFonts w:ascii="Courier" w:hAnsi="Courier"/>
                <w:bdr w:val="single" w:sz="4" w:space="0" w:color="auto"/>
                <w:lang w:val="sk-SK"/>
              </w:rPr>
              <w:t xml:space="preserve"> 5</w:t>
            </w:r>
          </w:p>
        </w:tc>
        <w:tc>
          <w:tcPr>
            <w:tcW w:w="5812" w:type="dxa"/>
          </w:tcPr>
          <w:p w14:paraId="730B993A" w14:textId="03B9B194" w:rsidR="00AA7859" w:rsidRPr="00F61954" w:rsidRDefault="00AA7859" w:rsidP="00B1438E">
            <w:pPr>
              <w:pStyle w:val="SPCtext"/>
              <w:spacing w:after="0"/>
              <w:rPr>
                <w:lang w:val="sk-SK"/>
              </w:rPr>
            </w:pPr>
            <w:r w:rsidRPr="00F61954">
              <w:rPr>
                <w:lang w:val="sk-SK"/>
              </w:rPr>
              <w:t xml:space="preserve">5. Uchopte jednou rukou časť </w:t>
            </w:r>
            <w:r w:rsidR="00762BC7">
              <w:rPr>
                <w:lang w:val="sk-SK"/>
              </w:rPr>
              <w:t>súpravy</w:t>
            </w:r>
            <w:r w:rsidR="00762BC7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 xml:space="preserve">uchytenú na </w:t>
            </w:r>
            <w:r w:rsidR="00606624">
              <w:rPr>
                <w:lang w:val="sk-SK"/>
              </w:rPr>
              <w:t xml:space="preserve">injekčnej </w:t>
            </w:r>
            <w:r w:rsidRPr="00F61954">
              <w:rPr>
                <w:lang w:val="sk-SK"/>
              </w:rPr>
              <w:t xml:space="preserve">liekovke s liekom a druhou rukou časť </w:t>
            </w:r>
            <w:r w:rsidR="00762BC7">
              <w:rPr>
                <w:lang w:val="sk-SK"/>
              </w:rPr>
              <w:t>súpravy</w:t>
            </w:r>
            <w:r w:rsidR="00762BC7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 xml:space="preserve">uchytenú na </w:t>
            </w:r>
            <w:r w:rsidR="00606624">
              <w:rPr>
                <w:lang w:val="sk-SK"/>
              </w:rPr>
              <w:t xml:space="preserve">injekčnej </w:t>
            </w:r>
            <w:r w:rsidRPr="00F61954">
              <w:rPr>
                <w:lang w:val="sk-SK"/>
              </w:rPr>
              <w:t xml:space="preserve">liekovke s rozpúšťadlom a </w:t>
            </w:r>
            <w:r w:rsidR="00762BC7">
              <w:rPr>
                <w:lang w:val="sk-SK"/>
              </w:rPr>
              <w:t>od</w:t>
            </w:r>
            <w:r w:rsidR="00762BC7" w:rsidRPr="00F61954">
              <w:rPr>
                <w:lang w:val="sk-SK"/>
              </w:rPr>
              <w:t xml:space="preserve">skrutkujte </w:t>
            </w:r>
            <w:r w:rsidR="00762BC7">
              <w:rPr>
                <w:lang w:val="sk-SK"/>
              </w:rPr>
              <w:t>súpravu</w:t>
            </w:r>
            <w:r w:rsidR="00762BC7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 xml:space="preserve">opatrne </w:t>
            </w:r>
            <w:r w:rsidR="00FE1E5D" w:rsidRPr="00FF0204">
              <w:rPr>
                <w:rStyle w:val="shorttext"/>
                <w:lang w:val="sk-SK"/>
              </w:rPr>
              <w:t>proti smeru hodinových ručičiek</w:t>
            </w:r>
            <w:r w:rsidR="00FE1E5D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>na dve časti.</w:t>
            </w:r>
          </w:p>
          <w:p w14:paraId="1F02442D" w14:textId="05DE360A" w:rsidR="00AA7859" w:rsidRPr="00F61954" w:rsidRDefault="00AA7859" w:rsidP="00B1438E">
            <w:pPr>
              <w:pStyle w:val="SPCtext"/>
              <w:spacing w:after="0"/>
              <w:rPr>
                <w:lang w:val="sk-SK"/>
              </w:rPr>
            </w:pPr>
            <w:r w:rsidRPr="00F61954">
              <w:rPr>
                <w:lang w:val="sk-SK"/>
              </w:rPr>
              <w:t xml:space="preserve">Odstráňte injekčnú liekovku s rozpúšťadlom a pripojeným modrým adaptérom Mix2Vial </w:t>
            </w:r>
            <w:r w:rsidR="00762BC7">
              <w:rPr>
                <w:lang w:val="sk-SK"/>
              </w:rPr>
              <w:t>súpravy</w:t>
            </w:r>
            <w:r w:rsidRPr="00F61954">
              <w:rPr>
                <w:lang w:val="sk-SK"/>
              </w:rPr>
              <w:t>.</w:t>
            </w:r>
          </w:p>
          <w:p w14:paraId="34FE40CC" w14:textId="77777777" w:rsidR="00AA7859" w:rsidRPr="00F61954" w:rsidRDefault="00AA7859" w:rsidP="00B1438E">
            <w:pPr>
              <w:pStyle w:val="SPCtext"/>
              <w:spacing w:after="0"/>
              <w:rPr>
                <w:lang w:val="sk-SK"/>
              </w:rPr>
            </w:pPr>
          </w:p>
        </w:tc>
      </w:tr>
      <w:tr w:rsidR="00AA7859" w:rsidRPr="00F61954" w14:paraId="6317F1CC" w14:textId="77777777" w:rsidTr="00F0264F">
        <w:trPr>
          <w:cantSplit/>
          <w:trHeight w:hRule="exact" w:val="1979"/>
        </w:trPr>
        <w:tc>
          <w:tcPr>
            <w:tcW w:w="3472" w:type="dxa"/>
          </w:tcPr>
          <w:p w14:paraId="7DBEEF2D" w14:textId="77777777" w:rsidR="00AA7859" w:rsidRPr="00F61954" w:rsidRDefault="0065325F" w:rsidP="00B1438E">
            <w:pPr>
              <w:jc w:val="center"/>
              <w:rPr>
                <w:rFonts w:ascii="Courier" w:hAnsi="Courier"/>
                <w:lang w:val="sk-SK"/>
              </w:rPr>
            </w:pPr>
            <w:r>
              <w:rPr>
                <w:rFonts w:ascii="Courier" w:hAnsi="Courier"/>
                <w:bdr w:val="single" w:sz="4" w:space="0" w:color="auto"/>
                <w:lang w:val="sk-SK"/>
              </w:rPr>
              <w:pict w14:anchorId="309EED36">
                <v:shape id="_x0000_i1030" type="#_x0000_t75" style="width:79.5pt;height:79.5pt">
                  <v:imagedata r:id="rId15" o:title="Abb 6"/>
                </v:shape>
              </w:pict>
            </w:r>
            <w:r w:rsidR="00AA7859" w:rsidRPr="00F61954">
              <w:rPr>
                <w:rFonts w:ascii="Courier" w:hAnsi="Courier"/>
                <w:bdr w:val="single" w:sz="4" w:space="0" w:color="auto"/>
                <w:lang w:val="sk-SK"/>
              </w:rPr>
              <w:t>6</w:t>
            </w:r>
          </w:p>
        </w:tc>
        <w:tc>
          <w:tcPr>
            <w:tcW w:w="5812" w:type="dxa"/>
          </w:tcPr>
          <w:p w14:paraId="20EA99B8" w14:textId="32BBFC5D" w:rsidR="00AA7859" w:rsidRPr="00F61954" w:rsidRDefault="00AA7859" w:rsidP="00F46E3B">
            <w:pPr>
              <w:pStyle w:val="SPCtext"/>
              <w:spacing w:after="0"/>
              <w:rPr>
                <w:lang w:val="sk-SK"/>
              </w:rPr>
            </w:pPr>
            <w:r w:rsidRPr="00F61954">
              <w:rPr>
                <w:lang w:val="sk-SK"/>
              </w:rPr>
              <w:t xml:space="preserve">6. </w:t>
            </w:r>
            <w:r w:rsidR="00762BC7">
              <w:rPr>
                <w:rStyle w:val="hps"/>
                <w:lang w:val="sk-SK"/>
              </w:rPr>
              <w:t xml:space="preserve">Ľahkým krúživým pohybom </w:t>
            </w:r>
            <w:r w:rsidRPr="00F61954">
              <w:rPr>
                <w:lang w:val="sk-SK"/>
              </w:rPr>
              <w:t xml:space="preserve">otáčate injekčnú liekovku </w:t>
            </w:r>
            <w:r w:rsidR="00606624">
              <w:rPr>
                <w:lang w:val="sk-SK"/>
              </w:rPr>
              <w:t xml:space="preserve">s </w:t>
            </w:r>
            <w:r w:rsidRPr="00F61954">
              <w:rPr>
                <w:lang w:val="sk-SK"/>
              </w:rPr>
              <w:t>pripojeným priehľadným adaptérom</w:t>
            </w:r>
            <w:r>
              <w:rPr>
                <w:lang w:val="sk-SK"/>
              </w:rPr>
              <w:t>,</w:t>
            </w:r>
            <w:r w:rsidRPr="00F61954">
              <w:rPr>
                <w:lang w:val="sk-SK"/>
              </w:rPr>
              <w:t xml:space="preserve"> kým sa </w:t>
            </w:r>
            <w:r w:rsidR="00762BC7">
              <w:rPr>
                <w:lang w:val="sk-SK"/>
              </w:rPr>
              <w:t>látka</w:t>
            </w:r>
            <w:r w:rsidR="00762BC7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>úplne nerozpustí. Ne</w:t>
            </w:r>
            <w:r>
              <w:rPr>
                <w:lang w:val="sk-SK"/>
              </w:rPr>
              <w:t>pretrepávajte</w:t>
            </w:r>
            <w:r w:rsidRPr="00F61954">
              <w:rPr>
                <w:lang w:val="sk-SK"/>
              </w:rPr>
              <w:t>.</w:t>
            </w:r>
          </w:p>
        </w:tc>
      </w:tr>
      <w:tr w:rsidR="00AA7859" w:rsidRPr="00F61954" w14:paraId="63009108" w14:textId="77777777" w:rsidTr="00F0264F">
        <w:trPr>
          <w:cantSplit/>
          <w:trHeight w:hRule="exact" w:val="2829"/>
        </w:trPr>
        <w:tc>
          <w:tcPr>
            <w:tcW w:w="3472" w:type="dxa"/>
          </w:tcPr>
          <w:p w14:paraId="28A403AA" w14:textId="77777777" w:rsidR="00AA7859" w:rsidRPr="00F61954" w:rsidRDefault="0065325F" w:rsidP="00B1438E">
            <w:pPr>
              <w:jc w:val="center"/>
              <w:rPr>
                <w:rFonts w:ascii="Courier" w:hAnsi="Courier"/>
                <w:lang w:val="sk-SK"/>
              </w:rPr>
            </w:pPr>
            <w:r>
              <w:rPr>
                <w:rFonts w:ascii="Courier" w:hAnsi="Courier"/>
                <w:bdr w:val="single" w:sz="4" w:space="0" w:color="auto"/>
                <w:lang w:val="sk-SK"/>
              </w:rPr>
              <w:pict w14:anchorId="5BFF0E93">
                <v:shape id="_x0000_i1031" type="#_x0000_t75" style="width:86.25pt;height:122.25pt">
                  <v:imagedata r:id="rId16" o:title="Abb 7"/>
                </v:shape>
              </w:pict>
            </w:r>
            <w:r w:rsidR="00AA7859" w:rsidRPr="00F61954">
              <w:rPr>
                <w:rFonts w:ascii="Courier" w:hAnsi="Courier"/>
                <w:bdr w:val="single" w:sz="4" w:space="0" w:color="auto"/>
                <w:lang w:val="sk-SK"/>
              </w:rPr>
              <w:t>7</w:t>
            </w:r>
          </w:p>
        </w:tc>
        <w:tc>
          <w:tcPr>
            <w:tcW w:w="5812" w:type="dxa"/>
          </w:tcPr>
          <w:p w14:paraId="372D6175" w14:textId="3FA14F40" w:rsidR="00AA7859" w:rsidRPr="00F61954" w:rsidRDefault="00AA7859" w:rsidP="00606624">
            <w:pPr>
              <w:pStyle w:val="SPCtext"/>
              <w:spacing w:after="0"/>
              <w:rPr>
                <w:lang w:val="sk-SK"/>
              </w:rPr>
            </w:pPr>
            <w:r w:rsidRPr="00F61954">
              <w:rPr>
                <w:lang w:val="sk-SK"/>
              </w:rPr>
              <w:t xml:space="preserve">7. Nasajte vzduch do prázdnej sterilnej injekčnej striekačky. </w:t>
            </w:r>
            <w:r>
              <w:rPr>
                <w:lang w:val="sk-SK"/>
              </w:rPr>
              <w:t xml:space="preserve">Použite injekčnú striekačku </w:t>
            </w:r>
            <w:r w:rsidR="00A2417F">
              <w:rPr>
                <w:lang w:val="sk-SK"/>
              </w:rPr>
              <w:t>dodávanú</w:t>
            </w:r>
            <w:r w:rsidR="00762BC7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s liekom. </w:t>
            </w:r>
            <w:r w:rsidRPr="00F61954">
              <w:rPr>
                <w:lang w:val="sk-SK"/>
              </w:rPr>
              <w:t xml:space="preserve">Kým je </w:t>
            </w:r>
            <w:r w:rsidR="00606624">
              <w:rPr>
                <w:lang w:val="sk-SK"/>
              </w:rPr>
              <w:t xml:space="preserve">injekčná </w:t>
            </w:r>
            <w:r w:rsidRPr="00F61954">
              <w:rPr>
                <w:lang w:val="sk-SK"/>
              </w:rPr>
              <w:t>liekovka s </w:t>
            </w:r>
            <w:r w:rsidR="00606624">
              <w:rPr>
                <w:lang w:val="sk-SK"/>
              </w:rPr>
              <w:t>liekom</w:t>
            </w:r>
            <w:r w:rsidR="00606624" w:rsidRPr="00F61954">
              <w:rPr>
                <w:lang w:val="sk-SK"/>
              </w:rPr>
              <w:t xml:space="preserve"> </w:t>
            </w:r>
            <w:r w:rsidRPr="00F61954">
              <w:rPr>
                <w:lang w:val="sk-SK"/>
              </w:rPr>
              <w:t xml:space="preserve">postavená dnom </w:t>
            </w:r>
            <w:r w:rsidR="0065371B">
              <w:rPr>
                <w:lang w:val="sk-SK"/>
              </w:rPr>
              <w:t>nadol</w:t>
            </w:r>
            <w:r w:rsidRPr="00F61954">
              <w:rPr>
                <w:lang w:val="sk-SK"/>
              </w:rPr>
              <w:t xml:space="preserve">, spojte injekčnú striekačku </w:t>
            </w:r>
            <w:r w:rsidR="00606624">
              <w:rPr>
                <w:lang w:val="sk-SK"/>
              </w:rPr>
              <w:t xml:space="preserve">s koncovkou Luer Lock </w:t>
            </w:r>
            <w:r w:rsidR="0065371B">
              <w:rPr>
                <w:lang w:val="sk-SK"/>
              </w:rPr>
              <w:t xml:space="preserve">súpravy </w:t>
            </w:r>
            <w:r w:rsidRPr="00F61954">
              <w:rPr>
                <w:lang w:val="sk-SK"/>
              </w:rPr>
              <w:t>Mix2Vial</w:t>
            </w:r>
            <w:r w:rsidR="00DA7BD5">
              <w:rPr>
                <w:lang w:val="sk-SK"/>
              </w:rPr>
              <w:t xml:space="preserve"> naskrutkovaním v smere hodinových ručičiek.</w:t>
            </w:r>
            <w:r w:rsidRPr="00F61954">
              <w:rPr>
                <w:lang w:val="sk-SK"/>
              </w:rPr>
              <w:t xml:space="preserve"> </w:t>
            </w:r>
            <w:r w:rsidR="00DA7BD5">
              <w:rPr>
                <w:lang w:val="sk-SK"/>
              </w:rPr>
              <w:t>V</w:t>
            </w:r>
            <w:r w:rsidRPr="00F61954">
              <w:rPr>
                <w:lang w:val="sk-SK"/>
              </w:rPr>
              <w:t xml:space="preserve">streknite vzduch do </w:t>
            </w:r>
            <w:r w:rsidR="00606624">
              <w:rPr>
                <w:lang w:val="sk-SK"/>
              </w:rPr>
              <w:t xml:space="preserve">injekčnej </w:t>
            </w:r>
            <w:r w:rsidRPr="00F61954">
              <w:rPr>
                <w:lang w:val="sk-SK"/>
              </w:rPr>
              <w:t>liekovky s liekom.</w:t>
            </w:r>
          </w:p>
        </w:tc>
      </w:tr>
    </w:tbl>
    <w:p w14:paraId="396A0BCB" w14:textId="77777777" w:rsidR="00F0264F" w:rsidRDefault="00F0264F" w:rsidP="00AA7859">
      <w:pPr>
        <w:pStyle w:val="LAGIPINormal"/>
        <w:keepNext/>
        <w:rPr>
          <w:i/>
          <w:sz w:val="22"/>
          <w:lang w:val="sk-SK"/>
        </w:rPr>
      </w:pPr>
    </w:p>
    <w:p w14:paraId="27C8BD58" w14:textId="63FA7192" w:rsidR="00AA7859" w:rsidRDefault="00AA7859" w:rsidP="00AA7859">
      <w:pPr>
        <w:pStyle w:val="LAGIPINormal"/>
        <w:keepNext/>
        <w:rPr>
          <w:i/>
          <w:sz w:val="22"/>
          <w:lang w:val="sk-SK"/>
        </w:rPr>
      </w:pPr>
      <w:r w:rsidRPr="00C921EF">
        <w:rPr>
          <w:i/>
          <w:sz w:val="22"/>
          <w:lang w:val="sk-SK"/>
        </w:rPr>
        <w:t>Natiahnutie a</w:t>
      </w:r>
      <w:r w:rsidR="00F0264F">
        <w:rPr>
          <w:i/>
          <w:sz w:val="22"/>
          <w:lang w:val="sk-SK"/>
        </w:rPr>
        <w:t> </w:t>
      </w:r>
      <w:r w:rsidRPr="00C921EF">
        <w:rPr>
          <w:i/>
          <w:sz w:val="22"/>
          <w:lang w:val="sk-SK"/>
        </w:rPr>
        <w:t>aplikácia</w:t>
      </w:r>
    </w:p>
    <w:p w14:paraId="78898B06" w14:textId="77777777" w:rsidR="00F0264F" w:rsidRPr="00C921EF" w:rsidRDefault="00F0264F" w:rsidP="00AA7859">
      <w:pPr>
        <w:pStyle w:val="LAGIPINormal"/>
        <w:keepNext/>
        <w:rPr>
          <w:i/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AA7859" w:rsidRPr="00F61954" w14:paraId="18F21E11" w14:textId="77777777" w:rsidTr="001A13FC">
        <w:trPr>
          <w:trHeight w:hRule="exact" w:val="2586"/>
        </w:trPr>
        <w:tc>
          <w:tcPr>
            <w:tcW w:w="3472" w:type="dxa"/>
          </w:tcPr>
          <w:p w14:paraId="5B149FD9" w14:textId="77777777" w:rsidR="00AA7859" w:rsidRPr="00F61954" w:rsidRDefault="00AA7859" w:rsidP="00B1438E">
            <w:pPr>
              <w:ind w:left="567"/>
              <w:jc w:val="center"/>
              <w:rPr>
                <w:rFonts w:ascii="Courier" w:hAnsi="Courier"/>
                <w:lang w:val="sk-SK"/>
              </w:rPr>
            </w:pPr>
            <w:r w:rsidRPr="00F61954">
              <w:rPr>
                <w:rFonts w:ascii="Courier" w:hAnsi="Courier"/>
                <w:bdr w:val="single" w:sz="4" w:space="0" w:color="auto" w:frame="1"/>
                <w:lang w:val="sk-SK"/>
              </w:rPr>
              <w:t xml:space="preserve"> </w:t>
            </w:r>
            <w:r w:rsidR="0065325F">
              <w:rPr>
                <w:rFonts w:ascii="Courier" w:hAnsi="Courier"/>
                <w:bdr w:val="single" w:sz="4" w:space="0" w:color="auto" w:frame="1"/>
                <w:lang w:val="sk-SK"/>
              </w:rPr>
              <w:pict w14:anchorId="62DF1510">
                <v:shape id="_x0000_i1032" type="#_x0000_t75" style="width:21.75pt;height:108pt">
                  <v:imagedata r:id="rId17" o:title="Abb 8"/>
                </v:shape>
              </w:pict>
            </w:r>
            <w:r w:rsidRPr="00F61954">
              <w:rPr>
                <w:rFonts w:ascii="Courier" w:hAnsi="Courier"/>
                <w:bdr w:val="single" w:sz="4" w:space="0" w:color="auto" w:frame="1"/>
                <w:lang w:val="sk-SK"/>
              </w:rPr>
              <w:t xml:space="preserve"> 8</w:t>
            </w:r>
          </w:p>
        </w:tc>
        <w:tc>
          <w:tcPr>
            <w:tcW w:w="5812" w:type="dxa"/>
          </w:tcPr>
          <w:p w14:paraId="41454197" w14:textId="4E5912B7" w:rsidR="00AA7859" w:rsidRPr="00F61954" w:rsidRDefault="00AA7859" w:rsidP="00B1438E">
            <w:pPr>
              <w:pStyle w:val="LAGIPINormal"/>
              <w:rPr>
                <w:sz w:val="22"/>
                <w:lang w:val="sk-SK"/>
              </w:rPr>
            </w:pPr>
            <w:r w:rsidRPr="00F61954">
              <w:rPr>
                <w:sz w:val="22"/>
                <w:lang w:val="sk-SK"/>
              </w:rPr>
              <w:t xml:space="preserve">8. Obráťte </w:t>
            </w:r>
            <w:r w:rsidR="0065371B">
              <w:rPr>
                <w:sz w:val="22"/>
                <w:lang w:val="sk-SK"/>
              </w:rPr>
              <w:t>súpravu dnom nahor</w:t>
            </w:r>
            <w:r w:rsidRPr="00F61954">
              <w:rPr>
                <w:sz w:val="22"/>
                <w:lang w:val="sk-SK"/>
              </w:rPr>
              <w:t xml:space="preserve"> a súčasne držte piest </w:t>
            </w:r>
            <w:r w:rsidR="00606624">
              <w:rPr>
                <w:sz w:val="22"/>
                <w:lang w:val="sk-SK"/>
              </w:rPr>
              <w:t xml:space="preserve">injekčnej </w:t>
            </w:r>
            <w:r w:rsidRPr="00F61954">
              <w:rPr>
                <w:sz w:val="22"/>
                <w:lang w:val="sk-SK"/>
              </w:rPr>
              <w:t xml:space="preserve">striekačky stlačený. Natiahnite roztok do </w:t>
            </w:r>
            <w:r w:rsidR="00606624">
              <w:rPr>
                <w:sz w:val="22"/>
                <w:lang w:val="sk-SK"/>
              </w:rPr>
              <w:t xml:space="preserve">injekčnej </w:t>
            </w:r>
            <w:r w:rsidRPr="00F61954">
              <w:rPr>
                <w:sz w:val="22"/>
                <w:lang w:val="sk-SK"/>
              </w:rPr>
              <w:t xml:space="preserve">striekačky </w:t>
            </w:r>
            <w:r w:rsidR="0065371B">
              <w:rPr>
                <w:sz w:val="22"/>
                <w:lang w:val="sk-SK"/>
              </w:rPr>
              <w:t xml:space="preserve">pomalým </w:t>
            </w:r>
            <w:r w:rsidRPr="00F61954">
              <w:rPr>
                <w:sz w:val="22"/>
                <w:lang w:val="sk-SK"/>
              </w:rPr>
              <w:t>vyťahovaním piestu.</w:t>
            </w:r>
          </w:p>
        </w:tc>
      </w:tr>
      <w:tr w:rsidR="00AA7859" w:rsidRPr="00F61954" w14:paraId="4DF14FC2" w14:textId="77777777" w:rsidTr="001A13FC">
        <w:trPr>
          <w:trHeight w:hRule="exact" w:val="2990"/>
        </w:trPr>
        <w:tc>
          <w:tcPr>
            <w:tcW w:w="3472" w:type="dxa"/>
          </w:tcPr>
          <w:p w14:paraId="1B782E59" w14:textId="77777777" w:rsidR="00AA7859" w:rsidRPr="00F61954" w:rsidRDefault="00AA7859" w:rsidP="00B1438E">
            <w:pPr>
              <w:ind w:left="567"/>
              <w:jc w:val="center"/>
              <w:rPr>
                <w:rFonts w:ascii="Courier" w:hAnsi="Courier"/>
                <w:bdr w:val="single" w:sz="4" w:space="0" w:color="auto" w:frame="1"/>
                <w:lang w:val="sk-SK"/>
              </w:rPr>
            </w:pPr>
            <w:r w:rsidRPr="00F61954">
              <w:rPr>
                <w:rFonts w:ascii="Courier" w:hAnsi="Courier"/>
                <w:bdr w:val="single" w:sz="4" w:space="0" w:color="auto" w:frame="1"/>
                <w:lang w:val="sk-SK"/>
              </w:rPr>
              <w:t xml:space="preserve"> </w:t>
            </w:r>
            <w:r w:rsidR="0065325F">
              <w:rPr>
                <w:rFonts w:ascii="Courier" w:hAnsi="Courier"/>
                <w:bdr w:val="single" w:sz="4" w:space="0" w:color="auto" w:frame="1"/>
                <w:lang w:val="sk-SK"/>
              </w:rPr>
              <w:pict w14:anchorId="2337E3BA">
                <v:shape id="_x0000_i1033" type="#_x0000_t75" style="width:21.75pt;height:122.25pt">
                  <v:imagedata r:id="rId18" o:title="Abb 9"/>
                </v:shape>
              </w:pict>
            </w:r>
            <w:r w:rsidRPr="00F61954">
              <w:rPr>
                <w:rFonts w:ascii="Courier" w:hAnsi="Courier"/>
                <w:bdr w:val="single" w:sz="4" w:space="0" w:color="auto" w:frame="1"/>
                <w:lang w:val="sk-SK"/>
              </w:rPr>
              <w:t xml:space="preserve"> 9</w:t>
            </w:r>
          </w:p>
          <w:p w14:paraId="6C96BA56" w14:textId="77777777" w:rsidR="00AA7859" w:rsidRPr="00F61954" w:rsidRDefault="00AA7859" w:rsidP="00B1438E">
            <w:pPr>
              <w:ind w:left="567"/>
              <w:jc w:val="center"/>
              <w:rPr>
                <w:rFonts w:ascii="Courier" w:hAnsi="Courier"/>
                <w:bdr w:val="single" w:sz="4" w:space="0" w:color="auto" w:frame="1"/>
                <w:lang w:val="sk-SK"/>
              </w:rPr>
            </w:pPr>
          </w:p>
          <w:p w14:paraId="6D77634F" w14:textId="77777777" w:rsidR="00AA7859" w:rsidRPr="00F61954" w:rsidRDefault="00AA7859" w:rsidP="00B1438E">
            <w:pPr>
              <w:ind w:left="567"/>
              <w:jc w:val="center"/>
              <w:rPr>
                <w:rFonts w:ascii="Courier" w:hAnsi="Courier"/>
                <w:bdr w:val="single" w:sz="4" w:space="0" w:color="auto" w:frame="1"/>
                <w:lang w:val="sk-SK"/>
              </w:rPr>
            </w:pPr>
          </w:p>
          <w:p w14:paraId="1829C776" w14:textId="77777777" w:rsidR="00AA7859" w:rsidRPr="00F61954" w:rsidRDefault="00AA7859" w:rsidP="00B1438E">
            <w:pPr>
              <w:ind w:left="567"/>
              <w:jc w:val="center"/>
              <w:rPr>
                <w:rFonts w:ascii="Courier" w:hAnsi="Courier"/>
                <w:bdr w:val="single" w:sz="4" w:space="0" w:color="auto" w:frame="1"/>
                <w:lang w:val="sk-SK"/>
              </w:rPr>
            </w:pPr>
          </w:p>
          <w:p w14:paraId="15D5B3CA" w14:textId="77777777" w:rsidR="00AA7859" w:rsidRPr="00F61954" w:rsidRDefault="00AA7859" w:rsidP="00B1438E">
            <w:pPr>
              <w:ind w:left="567"/>
              <w:jc w:val="center"/>
              <w:rPr>
                <w:rFonts w:ascii="Courier" w:hAnsi="Courier"/>
                <w:bdr w:val="single" w:sz="4" w:space="0" w:color="auto" w:frame="1"/>
                <w:lang w:val="sk-SK"/>
              </w:rPr>
            </w:pPr>
          </w:p>
          <w:p w14:paraId="425F0F85" w14:textId="77777777" w:rsidR="00AA7859" w:rsidRPr="00F61954" w:rsidRDefault="00AA7859" w:rsidP="00B1438E">
            <w:pPr>
              <w:ind w:left="567"/>
              <w:jc w:val="center"/>
              <w:rPr>
                <w:rFonts w:ascii="Courier" w:hAnsi="Courier"/>
                <w:lang w:val="sk-SK"/>
              </w:rPr>
            </w:pPr>
          </w:p>
        </w:tc>
        <w:tc>
          <w:tcPr>
            <w:tcW w:w="5812" w:type="dxa"/>
          </w:tcPr>
          <w:p w14:paraId="53E33190" w14:textId="1263C34A" w:rsidR="00FF0204" w:rsidRPr="00F61954" w:rsidRDefault="00AA7859" w:rsidP="00B1438E">
            <w:pPr>
              <w:pStyle w:val="LAGIPINormal"/>
              <w:rPr>
                <w:sz w:val="22"/>
                <w:lang w:val="sk-SK"/>
              </w:rPr>
            </w:pPr>
            <w:r w:rsidRPr="00F61954">
              <w:rPr>
                <w:sz w:val="22"/>
                <w:lang w:val="sk-SK"/>
              </w:rPr>
              <w:t xml:space="preserve">9. Po natiahnutí roztoku do </w:t>
            </w:r>
            <w:r w:rsidR="00606624">
              <w:rPr>
                <w:sz w:val="22"/>
                <w:lang w:val="sk-SK"/>
              </w:rPr>
              <w:t xml:space="preserve">injekčnej </w:t>
            </w:r>
            <w:r w:rsidRPr="00F61954">
              <w:rPr>
                <w:sz w:val="22"/>
                <w:lang w:val="sk-SK"/>
              </w:rPr>
              <w:t>striekačky, uchopte pevne val</w:t>
            </w:r>
            <w:r w:rsidR="0065371B">
              <w:rPr>
                <w:sz w:val="22"/>
                <w:lang w:val="sk-SK"/>
              </w:rPr>
              <w:t>ček</w:t>
            </w:r>
            <w:r w:rsidRPr="00F61954">
              <w:rPr>
                <w:sz w:val="22"/>
                <w:lang w:val="sk-SK"/>
              </w:rPr>
              <w:t xml:space="preserve"> </w:t>
            </w:r>
            <w:r w:rsidR="00606624">
              <w:rPr>
                <w:sz w:val="22"/>
                <w:lang w:val="sk-SK"/>
              </w:rPr>
              <w:t xml:space="preserve">injekčnej </w:t>
            </w:r>
            <w:r w:rsidRPr="00F61954">
              <w:rPr>
                <w:sz w:val="22"/>
                <w:lang w:val="sk-SK"/>
              </w:rPr>
              <w:t xml:space="preserve">striekačky (piest smeruje stále dole) a odpojte priehľadný adaptér Mix2Vial </w:t>
            </w:r>
            <w:r w:rsidR="0065371B">
              <w:rPr>
                <w:sz w:val="22"/>
                <w:lang w:val="sk-SK"/>
              </w:rPr>
              <w:t>súpravy</w:t>
            </w:r>
            <w:r w:rsidR="0065371B" w:rsidRPr="00F61954">
              <w:rPr>
                <w:sz w:val="22"/>
                <w:lang w:val="sk-SK"/>
              </w:rPr>
              <w:t xml:space="preserve"> </w:t>
            </w:r>
            <w:r w:rsidRPr="00F61954">
              <w:rPr>
                <w:sz w:val="22"/>
                <w:lang w:val="sk-SK"/>
              </w:rPr>
              <w:t xml:space="preserve">od </w:t>
            </w:r>
            <w:r w:rsidR="00606624">
              <w:rPr>
                <w:sz w:val="22"/>
                <w:lang w:val="sk-SK"/>
              </w:rPr>
              <w:t xml:space="preserve">injekčnej </w:t>
            </w:r>
            <w:r w:rsidRPr="00F61954">
              <w:rPr>
                <w:sz w:val="22"/>
                <w:lang w:val="sk-SK"/>
              </w:rPr>
              <w:t>striekačky</w:t>
            </w:r>
            <w:r w:rsidR="00FF0204">
              <w:rPr>
                <w:sz w:val="22"/>
                <w:lang w:val="sk-SK"/>
              </w:rPr>
              <w:t xml:space="preserve"> odskrutkovaním proti smeru hodinových ručičiek.</w:t>
            </w:r>
          </w:p>
        </w:tc>
      </w:tr>
    </w:tbl>
    <w:p w14:paraId="3D8D9547" w14:textId="77777777" w:rsidR="00AA7859" w:rsidRPr="00F61954" w:rsidRDefault="00AA7859" w:rsidP="00AA7859">
      <w:pPr>
        <w:pStyle w:val="SPCNadpis1"/>
        <w:numPr>
          <w:ilvl w:val="0"/>
          <w:numId w:val="0"/>
        </w:numPr>
        <w:spacing w:before="0" w:after="0"/>
        <w:rPr>
          <w:lang w:val="sk-SK"/>
        </w:rPr>
      </w:pPr>
    </w:p>
    <w:p w14:paraId="7239031F" w14:textId="77777777" w:rsidR="003401E5" w:rsidRDefault="003401E5" w:rsidP="00AA7859">
      <w:pPr>
        <w:pStyle w:val="SPCtext"/>
        <w:spacing w:after="0"/>
        <w:rPr>
          <w:i/>
          <w:lang w:val="sk-SK"/>
        </w:rPr>
      </w:pPr>
      <w:r w:rsidRPr="00D01647">
        <w:rPr>
          <w:i/>
          <w:lang w:val="sk-SK"/>
        </w:rPr>
        <w:t>Aplikácia</w:t>
      </w:r>
    </w:p>
    <w:p w14:paraId="1039A517" w14:textId="2CF4BD08" w:rsidR="003401E5" w:rsidRDefault="003401E5" w:rsidP="00AA7859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Liek sa podáva pomocou </w:t>
      </w:r>
      <w:r w:rsidR="00172778">
        <w:rPr>
          <w:lang w:val="sk-SK"/>
        </w:rPr>
        <w:t>podkožnej</w:t>
      </w:r>
      <w:r>
        <w:rPr>
          <w:lang w:val="sk-SK"/>
        </w:rPr>
        <w:t xml:space="preserve"> ihly alebo podkožnej </w:t>
      </w:r>
      <w:r w:rsidR="00227850">
        <w:rPr>
          <w:lang w:val="sk-SK"/>
        </w:rPr>
        <w:t xml:space="preserve">injekčnej </w:t>
      </w:r>
      <w:r>
        <w:rPr>
          <w:lang w:val="sk-SK"/>
        </w:rPr>
        <w:t>súpravy.</w:t>
      </w:r>
    </w:p>
    <w:p w14:paraId="0E7F1B55" w14:textId="77777777" w:rsidR="003401E5" w:rsidRDefault="003401E5" w:rsidP="00AA7859">
      <w:pPr>
        <w:pStyle w:val="SPCtext"/>
        <w:spacing w:after="0"/>
        <w:rPr>
          <w:lang w:val="sk-SK"/>
        </w:rPr>
      </w:pPr>
    </w:p>
    <w:p w14:paraId="3D48334B" w14:textId="77777777" w:rsidR="00752CF0" w:rsidRPr="003401E5" w:rsidRDefault="00752CF0" w:rsidP="00AA7859">
      <w:pPr>
        <w:pStyle w:val="SPCtext"/>
        <w:spacing w:after="0"/>
        <w:rPr>
          <w:lang w:val="sk-SK"/>
        </w:rPr>
      </w:pPr>
    </w:p>
    <w:p w14:paraId="15E48C8E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DržiteĽ rozhodnutIA o registrácii</w:t>
      </w:r>
    </w:p>
    <w:p w14:paraId="7BF0E1EC" w14:textId="77777777" w:rsidR="00AA7859" w:rsidRPr="00F61954" w:rsidRDefault="00AA7859" w:rsidP="00AA7859">
      <w:pPr>
        <w:pStyle w:val="SPCNadpis1"/>
        <w:keepNext w:val="0"/>
        <w:numPr>
          <w:ilvl w:val="0"/>
          <w:numId w:val="0"/>
        </w:numPr>
        <w:spacing w:before="0" w:after="0"/>
        <w:rPr>
          <w:b w:val="0"/>
          <w:caps w:val="0"/>
          <w:lang w:val="sk-SK"/>
        </w:rPr>
      </w:pPr>
    </w:p>
    <w:p w14:paraId="63181FBB" w14:textId="63B8C79B" w:rsidR="00AA7859" w:rsidRPr="00F61954" w:rsidRDefault="00AA7859" w:rsidP="00AA7859">
      <w:pPr>
        <w:pStyle w:val="SPCNadpis1"/>
        <w:keepNext w:val="0"/>
        <w:numPr>
          <w:ilvl w:val="0"/>
          <w:numId w:val="0"/>
        </w:numPr>
        <w:spacing w:before="0" w:after="0"/>
        <w:rPr>
          <w:b w:val="0"/>
          <w:caps w:val="0"/>
          <w:lang w:val="sk-SK"/>
        </w:rPr>
      </w:pPr>
      <w:r w:rsidRPr="00F61954">
        <w:rPr>
          <w:b w:val="0"/>
          <w:caps w:val="0"/>
          <w:lang w:val="sk-SK"/>
        </w:rPr>
        <w:t>CSL Beh</w:t>
      </w:r>
      <w:r w:rsidR="00D575A9">
        <w:rPr>
          <w:b w:val="0"/>
          <w:caps w:val="0"/>
          <w:lang w:val="sk-SK"/>
        </w:rPr>
        <w:t>ring GmbH</w:t>
      </w:r>
      <w:r w:rsidR="00D575A9">
        <w:rPr>
          <w:b w:val="0"/>
          <w:caps w:val="0"/>
          <w:lang w:val="sk-SK"/>
        </w:rPr>
        <w:br/>
        <w:t>Emil-von-Behring-Strass</w:t>
      </w:r>
      <w:r w:rsidRPr="00F61954">
        <w:rPr>
          <w:b w:val="0"/>
          <w:caps w:val="0"/>
          <w:lang w:val="sk-SK"/>
        </w:rPr>
        <w:t>e 76</w:t>
      </w:r>
      <w:r w:rsidRPr="00F61954">
        <w:rPr>
          <w:b w:val="0"/>
          <w:caps w:val="0"/>
          <w:lang w:val="sk-SK"/>
        </w:rPr>
        <w:br/>
        <w:t>35041 Marburg</w:t>
      </w:r>
      <w:r w:rsidRPr="00F61954">
        <w:rPr>
          <w:b w:val="0"/>
          <w:caps w:val="0"/>
          <w:lang w:val="sk-SK"/>
        </w:rPr>
        <w:br/>
        <w:t>Nemecko</w:t>
      </w:r>
    </w:p>
    <w:p w14:paraId="2F8632A9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4A523C2F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4FDBB928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Registračné čísl</w:t>
      </w:r>
      <w:r w:rsidR="00606624">
        <w:rPr>
          <w:lang w:val="sk-SK"/>
        </w:rPr>
        <w:t>A</w:t>
      </w:r>
    </w:p>
    <w:p w14:paraId="3B5B0474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2DC6B693" w14:textId="1247F376" w:rsidR="00AA7859" w:rsidRDefault="009E02B3" w:rsidP="00AA7859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A6682A">
        <w:rPr>
          <w:lang w:val="sk-SK"/>
        </w:rPr>
        <w:t xml:space="preserve">2000 </w:t>
      </w:r>
      <w:r>
        <w:rPr>
          <w:lang w:val="sk-SK"/>
        </w:rPr>
        <w:t>IU:</w:t>
      </w:r>
      <w:r w:rsidR="0065325F">
        <w:rPr>
          <w:lang w:val="sk-SK"/>
        </w:rPr>
        <w:t xml:space="preserve"> </w:t>
      </w:r>
      <w:r w:rsidR="0065325F" w:rsidRPr="0065325F">
        <w:rPr>
          <w:lang w:val="sk-SK"/>
        </w:rPr>
        <w:t>16/0152/18-S</w:t>
      </w:r>
      <w:r>
        <w:rPr>
          <w:lang w:val="sk-SK"/>
        </w:rPr>
        <w:t xml:space="preserve"> </w:t>
      </w:r>
      <w:r w:rsidR="003447EC">
        <w:rPr>
          <w:lang w:val="sk-SK"/>
        </w:rPr>
        <w:t xml:space="preserve">  </w:t>
      </w:r>
    </w:p>
    <w:p w14:paraId="3B56F67A" w14:textId="29FCFC22" w:rsidR="009E02B3" w:rsidRDefault="009E02B3" w:rsidP="00AA7859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A6682A">
        <w:rPr>
          <w:lang w:val="sk-SK"/>
        </w:rPr>
        <w:t xml:space="preserve">3000 </w:t>
      </w:r>
      <w:r>
        <w:rPr>
          <w:lang w:val="sk-SK"/>
        </w:rPr>
        <w:t>IU:</w:t>
      </w:r>
      <w:r w:rsidR="003447EC">
        <w:rPr>
          <w:lang w:val="sk-SK"/>
        </w:rPr>
        <w:t xml:space="preserve"> </w:t>
      </w:r>
      <w:r w:rsidR="0065325F" w:rsidRPr="0065325F">
        <w:rPr>
          <w:lang w:val="sk-SK"/>
        </w:rPr>
        <w:t>16/0153/18-S</w:t>
      </w:r>
      <w:bookmarkStart w:id="2" w:name="_GoBack"/>
      <w:bookmarkEnd w:id="2"/>
    </w:p>
    <w:p w14:paraId="123A6E54" w14:textId="77777777" w:rsidR="009E02B3" w:rsidRDefault="009E02B3" w:rsidP="00AA7859">
      <w:pPr>
        <w:pStyle w:val="SPCtext"/>
        <w:spacing w:after="0"/>
        <w:rPr>
          <w:lang w:val="sk-SK"/>
        </w:rPr>
      </w:pPr>
    </w:p>
    <w:p w14:paraId="66A75558" w14:textId="77777777" w:rsidR="0013571B" w:rsidRPr="00F61954" w:rsidRDefault="0013571B" w:rsidP="00AA7859">
      <w:pPr>
        <w:pStyle w:val="SPCtext"/>
        <w:spacing w:after="0"/>
        <w:rPr>
          <w:lang w:val="sk-SK"/>
        </w:rPr>
      </w:pPr>
    </w:p>
    <w:p w14:paraId="3C820017" w14:textId="77777777" w:rsidR="00AA7859" w:rsidRPr="00F61954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Dátum prvej registrácie/predĹženia registrácie</w:t>
      </w:r>
    </w:p>
    <w:p w14:paraId="624A3424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53BF3559" w14:textId="77777777" w:rsidR="00606624" w:rsidRDefault="00AA7859" w:rsidP="00AA7859">
      <w:pPr>
        <w:pStyle w:val="SPCtext"/>
        <w:spacing w:after="0"/>
        <w:rPr>
          <w:lang w:val="sk-SK"/>
        </w:rPr>
      </w:pPr>
      <w:r w:rsidRPr="00F61954">
        <w:rPr>
          <w:lang w:val="sk-SK"/>
        </w:rPr>
        <w:t xml:space="preserve">Dátum prvej registrácie: </w:t>
      </w:r>
      <w:r w:rsidR="00606624">
        <w:rPr>
          <w:lang w:val="sk-SK"/>
        </w:rPr>
        <w:t xml:space="preserve"> </w:t>
      </w:r>
    </w:p>
    <w:p w14:paraId="696E833A" w14:textId="141BC206" w:rsidR="00AA7859" w:rsidRDefault="00606624" w:rsidP="00AA7859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A6682A">
        <w:rPr>
          <w:lang w:val="sk-SK"/>
        </w:rPr>
        <w:t xml:space="preserve">2000 </w:t>
      </w:r>
      <w:r>
        <w:rPr>
          <w:lang w:val="sk-SK"/>
        </w:rPr>
        <w:t>IU</w:t>
      </w:r>
      <w:r w:rsidR="003C660C">
        <w:rPr>
          <w:lang w:val="sk-SK"/>
        </w:rPr>
        <w:t>:</w:t>
      </w:r>
      <w:r>
        <w:rPr>
          <w:lang w:val="sk-SK"/>
        </w:rPr>
        <w:t xml:space="preserve">  </w:t>
      </w:r>
    </w:p>
    <w:p w14:paraId="4FAD377D" w14:textId="07EF2BDC" w:rsidR="0020435E" w:rsidRDefault="0020435E" w:rsidP="0020435E">
      <w:pPr>
        <w:pStyle w:val="SPCtext"/>
        <w:spacing w:after="0"/>
        <w:rPr>
          <w:lang w:val="sk-SK"/>
        </w:rPr>
      </w:pPr>
      <w:r>
        <w:rPr>
          <w:lang w:val="sk-SK"/>
        </w:rPr>
        <w:t xml:space="preserve">Berinert </w:t>
      </w:r>
      <w:r w:rsidR="00A6682A">
        <w:rPr>
          <w:lang w:val="sk-SK"/>
        </w:rPr>
        <w:t xml:space="preserve">3000 </w:t>
      </w:r>
      <w:r>
        <w:rPr>
          <w:lang w:val="sk-SK"/>
        </w:rPr>
        <w:t>IU</w:t>
      </w:r>
      <w:r w:rsidR="00A6682A">
        <w:rPr>
          <w:lang w:val="sk-SK"/>
        </w:rPr>
        <w:t>:</w:t>
      </w:r>
    </w:p>
    <w:p w14:paraId="43369412" w14:textId="77777777" w:rsidR="0020435E" w:rsidRPr="00F61954" w:rsidRDefault="0020435E" w:rsidP="00AA7859">
      <w:pPr>
        <w:pStyle w:val="SPCtext"/>
        <w:spacing w:after="0"/>
        <w:rPr>
          <w:lang w:val="sk-SK"/>
        </w:rPr>
      </w:pPr>
    </w:p>
    <w:p w14:paraId="6DF4BAC4" w14:textId="77777777" w:rsidR="00AA7859" w:rsidRPr="00F61954" w:rsidRDefault="00AA7859" w:rsidP="00AA7859">
      <w:pPr>
        <w:pStyle w:val="SPCtext"/>
        <w:spacing w:after="0"/>
        <w:rPr>
          <w:lang w:val="sk-SK"/>
        </w:rPr>
      </w:pPr>
    </w:p>
    <w:p w14:paraId="60ADD47B" w14:textId="77777777" w:rsidR="00AA7859" w:rsidRDefault="00AA7859" w:rsidP="00AA7859">
      <w:pPr>
        <w:pStyle w:val="SPCNadpis1"/>
        <w:spacing w:before="0" w:after="0"/>
        <w:rPr>
          <w:lang w:val="sk-SK"/>
        </w:rPr>
      </w:pPr>
      <w:r w:rsidRPr="00F61954">
        <w:rPr>
          <w:lang w:val="sk-SK"/>
        </w:rPr>
        <w:t>Dátum revízie textu</w:t>
      </w:r>
    </w:p>
    <w:p w14:paraId="76CDFB93" w14:textId="77777777" w:rsidR="00C27449" w:rsidRDefault="00C27449" w:rsidP="00C27449">
      <w:pPr>
        <w:pStyle w:val="SPCtext"/>
        <w:rPr>
          <w:lang w:val="sk-SK"/>
        </w:rPr>
      </w:pPr>
    </w:p>
    <w:p w14:paraId="4832F297" w14:textId="65916EA8" w:rsidR="00C27449" w:rsidRPr="00C27449" w:rsidRDefault="00C27449" w:rsidP="00C27449">
      <w:pPr>
        <w:pStyle w:val="SPCtext"/>
        <w:rPr>
          <w:lang w:val="sk-SK"/>
        </w:rPr>
      </w:pPr>
      <w:r>
        <w:rPr>
          <w:lang w:val="sk-SK"/>
        </w:rPr>
        <w:t>05/2018</w:t>
      </w:r>
    </w:p>
    <w:p w14:paraId="6C19AE40" w14:textId="437439F2" w:rsidR="00954ACA" w:rsidRPr="00AA7859" w:rsidRDefault="00954ACA" w:rsidP="00FA0311"/>
    <w:sectPr w:rsidR="00954ACA" w:rsidRPr="00AA7859" w:rsidSect="00F0264F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1134" w:right="1418" w:bottom="1134" w:left="1418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661EF" w14:textId="77777777" w:rsidR="00E26E70" w:rsidRDefault="00E26E70">
      <w:r>
        <w:separator/>
      </w:r>
    </w:p>
  </w:endnote>
  <w:endnote w:type="continuationSeparator" w:id="0">
    <w:p w14:paraId="0729E284" w14:textId="77777777" w:rsidR="00E26E70" w:rsidRDefault="00E2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75D9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E13EE" w14:textId="7A88CD8A" w:rsidR="00F54473" w:rsidRPr="00F0264F" w:rsidRDefault="00F0264F" w:rsidP="00F0264F">
    <w:pPr>
      <w:pStyle w:val="Pta"/>
      <w:jc w:val="center"/>
      <w:rPr>
        <w:sz w:val="22"/>
        <w:szCs w:val="22"/>
      </w:rPr>
    </w:pPr>
    <w:r w:rsidRPr="00F0264F">
      <w:rPr>
        <w:sz w:val="22"/>
        <w:szCs w:val="22"/>
      </w:rPr>
      <w:fldChar w:fldCharType="begin"/>
    </w:r>
    <w:r w:rsidRPr="00F0264F">
      <w:rPr>
        <w:sz w:val="22"/>
        <w:szCs w:val="22"/>
      </w:rPr>
      <w:instrText>PAGE   \* MERGEFORMAT</w:instrText>
    </w:r>
    <w:r w:rsidRPr="00F0264F">
      <w:rPr>
        <w:sz w:val="22"/>
        <w:szCs w:val="22"/>
      </w:rPr>
      <w:fldChar w:fldCharType="separate"/>
    </w:r>
    <w:r w:rsidR="0065325F" w:rsidRPr="0065325F">
      <w:rPr>
        <w:noProof/>
        <w:sz w:val="22"/>
        <w:szCs w:val="22"/>
        <w:lang w:val="cs-CZ"/>
      </w:rPr>
      <w:t>8</w:t>
    </w:r>
    <w:r w:rsidRPr="00F0264F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EF18B" w14:textId="77777777" w:rsidR="00F54473" w:rsidRPr="00915A16" w:rsidRDefault="00F54473" w:rsidP="00915A16">
    <w:pPr>
      <w:pStyle w:val="Pta"/>
      <w:jc w:val="center"/>
      <w:rPr>
        <w:sz w:val="18"/>
        <w:szCs w:val="18"/>
        <w:lang w:val="sk-SK"/>
      </w:rPr>
    </w:pPr>
    <w:r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B5CBF" w14:textId="77777777" w:rsidR="00E26E70" w:rsidRDefault="00E26E70">
      <w:r>
        <w:separator/>
      </w:r>
    </w:p>
  </w:footnote>
  <w:footnote w:type="continuationSeparator" w:id="0">
    <w:p w14:paraId="596747CE" w14:textId="77777777" w:rsidR="00E26E70" w:rsidRDefault="00E2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35BB5" w14:textId="7C4643B3" w:rsidR="00F54473" w:rsidRDefault="00F54473" w:rsidP="00F0264F">
    <w:pPr>
      <w:pStyle w:val="Hlavika"/>
      <w:tabs>
        <w:tab w:val="clear" w:pos="9072"/>
        <w:tab w:val="left" w:pos="6615"/>
      </w:tabs>
      <w:rPr>
        <w:sz w:val="18"/>
        <w:szCs w:val="18"/>
      </w:rPr>
    </w:pPr>
    <w:r>
      <w:rPr>
        <w:sz w:val="18"/>
        <w:szCs w:val="18"/>
      </w:rPr>
      <w:t>Schválený text k rozhodnutiu o registrácii, ev.č.: 2017/00177-REG, 2017/00178-REG</w:t>
    </w:r>
    <w:r w:rsidR="00F0264F">
      <w:rPr>
        <w:sz w:val="18"/>
        <w:szCs w:val="18"/>
      </w:rPr>
      <w:tab/>
    </w:r>
  </w:p>
  <w:p w14:paraId="2EA012B4" w14:textId="77777777" w:rsidR="00F0264F" w:rsidRDefault="00F0264F" w:rsidP="00F0264F">
    <w:pPr>
      <w:pStyle w:val="Hlavika"/>
      <w:tabs>
        <w:tab w:val="clear" w:pos="9072"/>
        <w:tab w:val="left" w:pos="66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3AF9" w14:textId="586C38E6" w:rsidR="00F54473" w:rsidRDefault="00F54473">
    <w:pPr>
      <w:pStyle w:val="Hlavika"/>
    </w:pPr>
    <w:r>
      <w:rPr>
        <w:sz w:val="18"/>
        <w:szCs w:val="18"/>
      </w:rPr>
      <w:t>Schválený text k rozhodnutiu o registrácii, ev.č.: 2017/00177-REG, 2017/00178-REG</w:t>
    </w:r>
  </w:p>
  <w:p w14:paraId="4442BCBF" w14:textId="005D1470" w:rsidR="00F54473" w:rsidRPr="00F533D2" w:rsidRDefault="00F54473" w:rsidP="00F533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231"/>
    <w:multiLevelType w:val="multilevel"/>
    <w:tmpl w:val="2FDA228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5500E8"/>
    <w:multiLevelType w:val="hybridMultilevel"/>
    <w:tmpl w:val="DEBED172"/>
    <w:lvl w:ilvl="0" w:tplc="FD7C0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A2928"/>
    <w:multiLevelType w:val="singleLevel"/>
    <w:tmpl w:val="FA588B72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576C1294"/>
    <w:multiLevelType w:val="multilevel"/>
    <w:tmpl w:val="8D0EC45C"/>
    <w:lvl w:ilvl="0">
      <w:start w:val="1"/>
      <w:numFmt w:val="decimal"/>
      <w:pStyle w:val="SPCNadpis1"/>
      <w:isLgl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SPCNadpis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859"/>
    <w:rsid w:val="00000FD3"/>
    <w:rsid w:val="00005840"/>
    <w:rsid w:val="0000690A"/>
    <w:rsid w:val="000075B0"/>
    <w:rsid w:val="00007CAD"/>
    <w:rsid w:val="00013379"/>
    <w:rsid w:val="0001351F"/>
    <w:rsid w:val="0001636A"/>
    <w:rsid w:val="00020092"/>
    <w:rsid w:val="000202E7"/>
    <w:rsid w:val="00020564"/>
    <w:rsid w:val="000245E1"/>
    <w:rsid w:val="000247FE"/>
    <w:rsid w:val="00026AD4"/>
    <w:rsid w:val="00026E13"/>
    <w:rsid w:val="00027D23"/>
    <w:rsid w:val="000313AA"/>
    <w:rsid w:val="000323A4"/>
    <w:rsid w:val="000332CC"/>
    <w:rsid w:val="0003588C"/>
    <w:rsid w:val="00037372"/>
    <w:rsid w:val="0004148F"/>
    <w:rsid w:val="00043D45"/>
    <w:rsid w:val="00043D98"/>
    <w:rsid w:val="00045089"/>
    <w:rsid w:val="00045317"/>
    <w:rsid w:val="00046629"/>
    <w:rsid w:val="0005017A"/>
    <w:rsid w:val="00050BCC"/>
    <w:rsid w:val="00050DBF"/>
    <w:rsid w:val="00051EA4"/>
    <w:rsid w:val="0005296F"/>
    <w:rsid w:val="000545B0"/>
    <w:rsid w:val="00055DD3"/>
    <w:rsid w:val="00060DB6"/>
    <w:rsid w:val="00062CFD"/>
    <w:rsid w:val="00064B69"/>
    <w:rsid w:val="00065A6B"/>
    <w:rsid w:val="00066058"/>
    <w:rsid w:val="000662FE"/>
    <w:rsid w:val="00070035"/>
    <w:rsid w:val="00070973"/>
    <w:rsid w:val="00070E7D"/>
    <w:rsid w:val="0007122B"/>
    <w:rsid w:val="00073087"/>
    <w:rsid w:val="00083FB6"/>
    <w:rsid w:val="0008418F"/>
    <w:rsid w:val="00085D4B"/>
    <w:rsid w:val="00097464"/>
    <w:rsid w:val="000A2511"/>
    <w:rsid w:val="000A5C85"/>
    <w:rsid w:val="000A7F60"/>
    <w:rsid w:val="000B036F"/>
    <w:rsid w:val="000B08FF"/>
    <w:rsid w:val="000B2BCE"/>
    <w:rsid w:val="000B2FA9"/>
    <w:rsid w:val="000B2FCA"/>
    <w:rsid w:val="000B38C3"/>
    <w:rsid w:val="000B484E"/>
    <w:rsid w:val="000B4BCF"/>
    <w:rsid w:val="000B72EB"/>
    <w:rsid w:val="000B7C09"/>
    <w:rsid w:val="000C0B4F"/>
    <w:rsid w:val="000C0D89"/>
    <w:rsid w:val="000C1B38"/>
    <w:rsid w:val="000C2219"/>
    <w:rsid w:val="000C2B54"/>
    <w:rsid w:val="000D0AF0"/>
    <w:rsid w:val="000D2142"/>
    <w:rsid w:val="000D3327"/>
    <w:rsid w:val="000D3EBB"/>
    <w:rsid w:val="000D3F47"/>
    <w:rsid w:val="000D52BE"/>
    <w:rsid w:val="000E1241"/>
    <w:rsid w:val="000E14E4"/>
    <w:rsid w:val="000E1FEA"/>
    <w:rsid w:val="000E57C4"/>
    <w:rsid w:val="000F0761"/>
    <w:rsid w:val="000F1C04"/>
    <w:rsid w:val="000F1E71"/>
    <w:rsid w:val="000F250C"/>
    <w:rsid w:val="000F365E"/>
    <w:rsid w:val="000F3CE3"/>
    <w:rsid w:val="000F41EE"/>
    <w:rsid w:val="0010029F"/>
    <w:rsid w:val="00103BCA"/>
    <w:rsid w:val="00105E12"/>
    <w:rsid w:val="00106AFF"/>
    <w:rsid w:val="00106EF8"/>
    <w:rsid w:val="00112041"/>
    <w:rsid w:val="001126E6"/>
    <w:rsid w:val="00113318"/>
    <w:rsid w:val="00113780"/>
    <w:rsid w:val="0011506B"/>
    <w:rsid w:val="00116078"/>
    <w:rsid w:val="0011659F"/>
    <w:rsid w:val="00116718"/>
    <w:rsid w:val="0011676E"/>
    <w:rsid w:val="00116BDC"/>
    <w:rsid w:val="00116D9A"/>
    <w:rsid w:val="00116E97"/>
    <w:rsid w:val="001205C2"/>
    <w:rsid w:val="00123A88"/>
    <w:rsid w:val="00124291"/>
    <w:rsid w:val="00124BEC"/>
    <w:rsid w:val="00126021"/>
    <w:rsid w:val="00127ADA"/>
    <w:rsid w:val="00127EB3"/>
    <w:rsid w:val="001301D0"/>
    <w:rsid w:val="001308D1"/>
    <w:rsid w:val="00130A1D"/>
    <w:rsid w:val="001311D3"/>
    <w:rsid w:val="0013571B"/>
    <w:rsid w:val="00135726"/>
    <w:rsid w:val="00137F15"/>
    <w:rsid w:val="001401CE"/>
    <w:rsid w:val="00140F30"/>
    <w:rsid w:val="00141FB2"/>
    <w:rsid w:val="0014296E"/>
    <w:rsid w:val="001440DC"/>
    <w:rsid w:val="001465A7"/>
    <w:rsid w:val="00147332"/>
    <w:rsid w:val="00150F06"/>
    <w:rsid w:val="001558CF"/>
    <w:rsid w:val="001600CE"/>
    <w:rsid w:val="00164C84"/>
    <w:rsid w:val="00165A91"/>
    <w:rsid w:val="00165BDF"/>
    <w:rsid w:val="00167DCF"/>
    <w:rsid w:val="001710FD"/>
    <w:rsid w:val="00172778"/>
    <w:rsid w:val="0017355C"/>
    <w:rsid w:val="00175644"/>
    <w:rsid w:val="00175EE4"/>
    <w:rsid w:val="00176355"/>
    <w:rsid w:val="00177AEE"/>
    <w:rsid w:val="00177F90"/>
    <w:rsid w:val="00181631"/>
    <w:rsid w:val="0018303E"/>
    <w:rsid w:val="00184A32"/>
    <w:rsid w:val="00185E02"/>
    <w:rsid w:val="00185EEF"/>
    <w:rsid w:val="0018689E"/>
    <w:rsid w:val="00187CF6"/>
    <w:rsid w:val="00190647"/>
    <w:rsid w:val="001924E5"/>
    <w:rsid w:val="00195B44"/>
    <w:rsid w:val="001A13FC"/>
    <w:rsid w:val="001A1B31"/>
    <w:rsid w:val="001A36BF"/>
    <w:rsid w:val="001A40D7"/>
    <w:rsid w:val="001A4AC4"/>
    <w:rsid w:val="001A76B7"/>
    <w:rsid w:val="001B2327"/>
    <w:rsid w:val="001B23F9"/>
    <w:rsid w:val="001B4DD9"/>
    <w:rsid w:val="001B64C8"/>
    <w:rsid w:val="001B7F01"/>
    <w:rsid w:val="001C0607"/>
    <w:rsid w:val="001C1130"/>
    <w:rsid w:val="001C5B47"/>
    <w:rsid w:val="001D0CB6"/>
    <w:rsid w:val="001D2035"/>
    <w:rsid w:val="001D484A"/>
    <w:rsid w:val="001D529A"/>
    <w:rsid w:val="001E0D6D"/>
    <w:rsid w:val="001E0EA0"/>
    <w:rsid w:val="001E330A"/>
    <w:rsid w:val="001E6108"/>
    <w:rsid w:val="001E632C"/>
    <w:rsid w:val="001E6359"/>
    <w:rsid w:val="001F0466"/>
    <w:rsid w:val="001F06F2"/>
    <w:rsid w:val="001F0CEE"/>
    <w:rsid w:val="001F14D3"/>
    <w:rsid w:val="001F6374"/>
    <w:rsid w:val="00200074"/>
    <w:rsid w:val="00201775"/>
    <w:rsid w:val="002038DE"/>
    <w:rsid w:val="0020435E"/>
    <w:rsid w:val="00204C12"/>
    <w:rsid w:val="00204ED3"/>
    <w:rsid w:val="00206126"/>
    <w:rsid w:val="00206FCB"/>
    <w:rsid w:val="0020763A"/>
    <w:rsid w:val="00210299"/>
    <w:rsid w:val="002132E6"/>
    <w:rsid w:val="00216133"/>
    <w:rsid w:val="002168BD"/>
    <w:rsid w:val="00217058"/>
    <w:rsid w:val="00217F59"/>
    <w:rsid w:val="00220A38"/>
    <w:rsid w:val="00224D77"/>
    <w:rsid w:val="0022761C"/>
    <w:rsid w:val="00227850"/>
    <w:rsid w:val="0022796F"/>
    <w:rsid w:val="002323FC"/>
    <w:rsid w:val="00235ED7"/>
    <w:rsid w:val="0024194C"/>
    <w:rsid w:val="00243B96"/>
    <w:rsid w:val="00246C07"/>
    <w:rsid w:val="00247A33"/>
    <w:rsid w:val="002502B8"/>
    <w:rsid w:val="00252D6D"/>
    <w:rsid w:val="00253B90"/>
    <w:rsid w:val="002545D3"/>
    <w:rsid w:val="00257575"/>
    <w:rsid w:val="0026158B"/>
    <w:rsid w:val="00261FC5"/>
    <w:rsid w:val="002622FE"/>
    <w:rsid w:val="0026232E"/>
    <w:rsid w:val="00262DC6"/>
    <w:rsid w:val="00263ABE"/>
    <w:rsid w:val="00263AD2"/>
    <w:rsid w:val="0027005F"/>
    <w:rsid w:val="00270728"/>
    <w:rsid w:val="00270CBC"/>
    <w:rsid w:val="002728E4"/>
    <w:rsid w:val="002731C8"/>
    <w:rsid w:val="00273A17"/>
    <w:rsid w:val="00273B69"/>
    <w:rsid w:val="00273BA0"/>
    <w:rsid w:val="00274DAC"/>
    <w:rsid w:val="0027760D"/>
    <w:rsid w:val="0027795B"/>
    <w:rsid w:val="00277BD6"/>
    <w:rsid w:val="00282BC0"/>
    <w:rsid w:val="002878E4"/>
    <w:rsid w:val="002904F9"/>
    <w:rsid w:val="002908BB"/>
    <w:rsid w:val="00290BDC"/>
    <w:rsid w:val="00293131"/>
    <w:rsid w:val="002951B0"/>
    <w:rsid w:val="00297F2A"/>
    <w:rsid w:val="002A46F6"/>
    <w:rsid w:val="002A5DF9"/>
    <w:rsid w:val="002A6FCA"/>
    <w:rsid w:val="002B22EE"/>
    <w:rsid w:val="002B3159"/>
    <w:rsid w:val="002B3187"/>
    <w:rsid w:val="002B3EE0"/>
    <w:rsid w:val="002B581E"/>
    <w:rsid w:val="002B6EA1"/>
    <w:rsid w:val="002B737C"/>
    <w:rsid w:val="002C0CE0"/>
    <w:rsid w:val="002C2347"/>
    <w:rsid w:val="002C325A"/>
    <w:rsid w:val="002C3BE2"/>
    <w:rsid w:val="002C47E9"/>
    <w:rsid w:val="002C522B"/>
    <w:rsid w:val="002C5892"/>
    <w:rsid w:val="002C5C8F"/>
    <w:rsid w:val="002C61CB"/>
    <w:rsid w:val="002D0117"/>
    <w:rsid w:val="002D3941"/>
    <w:rsid w:val="002D56BA"/>
    <w:rsid w:val="002D5B2C"/>
    <w:rsid w:val="002D65C9"/>
    <w:rsid w:val="002D65CE"/>
    <w:rsid w:val="002D7501"/>
    <w:rsid w:val="002E0D4E"/>
    <w:rsid w:val="002E3BD9"/>
    <w:rsid w:val="002E450B"/>
    <w:rsid w:val="002E50B3"/>
    <w:rsid w:val="002E5256"/>
    <w:rsid w:val="002F1F7A"/>
    <w:rsid w:val="002F1FDD"/>
    <w:rsid w:val="002F4A55"/>
    <w:rsid w:val="002F524B"/>
    <w:rsid w:val="002F5D0E"/>
    <w:rsid w:val="002F6978"/>
    <w:rsid w:val="00300856"/>
    <w:rsid w:val="003012C7"/>
    <w:rsid w:val="00302665"/>
    <w:rsid w:val="0030280F"/>
    <w:rsid w:val="00303174"/>
    <w:rsid w:val="00304528"/>
    <w:rsid w:val="00310F95"/>
    <w:rsid w:val="0031477E"/>
    <w:rsid w:val="0031671E"/>
    <w:rsid w:val="00316995"/>
    <w:rsid w:val="00323C1F"/>
    <w:rsid w:val="00324DDA"/>
    <w:rsid w:val="00331584"/>
    <w:rsid w:val="00331AF9"/>
    <w:rsid w:val="003357ED"/>
    <w:rsid w:val="00335A0C"/>
    <w:rsid w:val="003401E5"/>
    <w:rsid w:val="00341381"/>
    <w:rsid w:val="003423CF"/>
    <w:rsid w:val="00343977"/>
    <w:rsid w:val="003443A9"/>
    <w:rsid w:val="003447EC"/>
    <w:rsid w:val="00344B48"/>
    <w:rsid w:val="003455B7"/>
    <w:rsid w:val="00345D72"/>
    <w:rsid w:val="00347094"/>
    <w:rsid w:val="003475DC"/>
    <w:rsid w:val="00351476"/>
    <w:rsid w:val="003536E5"/>
    <w:rsid w:val="003537E7"/>
    <w:rsid w:val="00356A1C"/>
    <w:rsid w:val="003629B2"/>
    <w:rsid w:val="00364AE2"/>
    <w:rsid w:val="003668BD"/>
    <w:rsid w:val="00367DB9"/>
    <w:rsid w:val="0037165F"/>
    <w:rsid w:val="00374539"/>
    <w:rsid w:val="003750CB"/>
    <w:rsid w:val="00375590"/>
    <w:rsid w:val="00377F4E"/>
    <w:rsid w:val="00380E28"/>
    <w:rsid w:val="003829DA"/>
    <w:rsid w:val="00383986"/>
    <w:rsid w:val="003848C0"/>
    <w:rsid w:val="00390DE5"/>
    <w:rsid w:val="00392188"/>
    <w:rsid w:val="00392382"/>
    <w:rsid w:val="00392D2A"/>
    <w:rsid w:val="003954A7"/>
    <w:rsid w:val="003A041F"/>
    <w:rsid w:val="003A1332"/>
    <w:rsid w:val="003A1789"/>
    <w:rsid w:val="003A1B35"/>
    <w:rsid w:val="003A2A8B"/>
    <w:rsid w:val="003A55AD"/>
    <w:rsid w:val="003A5817"/>
    <w:rsid w:val="003A7934"/>
    <w:rsid w:val="003B03FF"/>
    <w:rsid w:val="003B2A4B"/>
    <w:rsid w:val="003B3461"/>
    <w:rsid w:val="003B4CE8"/>
    <w:rsid w:val="003B72BE"/>
    <w:rsid w:val="003C00C7"/>
    <w:rsid w:val="003C0293"/>
    <w:rsid w:val="003C491E"/>
    <w:rsid w:val="003C5333"/>
    <w:rsid w:val="003C5AE7"/>
    <w:rsid w:val="003C6582"/>
    <w:rsid w:val="003C660C"/>
    <w:rsid w:val="003C6734"/>
    <w:rsid w:val="003D40F5"/>
    <w:rsid w:val="003D434A"/>
    <w:rsid w:val="003E0B45"/>
    <w:rsid w:val="003E237B"/>
    <w:rsid w:val="003E3AE4"/>
    <w:rsid w:val="003E592A"/>
    <w:rsid w:val="003E731A"/>
    <w:rsid w:val="003F1146"/>
    <w:rsid w:val="003F219D"/>
    <w:rsid w:val="003F3DF2"/>
    <w:rsid w:val="003F43A1"/>
    <w:rsid w:val="003F50DE"/>
    <w:rsid w:val="003F5EA5"/>
    <w:rsid w:val="003F6F2E"/>
    <w:rsid w:val="00400E04"/>
    <w:rsid w:val="00402056"/>
    <w:rsid w:val="0040579B"/>
    <w:rsid w:val="00405AAA"/>
    <w:rsid w:val="0040649A"/>
    <w:rsid w:val="00406568"/>
    <w:rsid w:val="004103E5"/>
    <w:rsid w:val="00410ADB"/>
    <w:rsid w:val="00415B1D"/>
    <w:rsid w:val="00417602"/>
    <w:rsid w:val="004211E2"/>
    <w:rsid w:val="00423C4D"/>
    <w:rsid w:val="00426ADA"/>
    <w:rsid w:val="0043400E"/>
    <w:rsid w:val="00435937"/>
    <w:rsid w:val="0043799A"/>
    <w:rsid w:val="00437C13"/>
    <w:rsid w:val="00440EC0"/>
    <w:rsid w:val="004438ED"/>
    <w:rsid w:val="00443E12"/>
    <w:rsid w:val="004441E0"/>
    <w:rsid w:val="00444646"/>
    <w:rsid w:val="004448E0"/>
    <w:rsid w:val="00444CEF"/>
    <w:rsid w:val="004475AB"/>
    <w:rsid w:val="00450113"/>
    <w:rsid w:val="0045162A"/>
    <w:rsid w:val="00453AEB"/>
    <w:rsid w:val="0045561B"/>
    <w:rsid w:val="00455B3C"/>
    <w:rsid w:val="00455D95"/>
    <w:rsid w:val="00457088"/>
    <w:rsid w:val="0046008A"/>
    <w:rsid w:val="004611E5"/>
    <w:rsid w:val="00462D26"/>
    <w:rsid w:val="00463342"/>
    <w:rsid w:val="004655BE"/>
    <w:rsid w:val="004675AE"/>
    <w:rsid w:val="004727CB"/>
    <w:rsid w:val="00475C59"/>
    <w:rsid w:val="004769FD"/>
    <w:rsid w:val="00480B98"/>
    <w:rsid w:val="00480E55"/>
    <w:rsid w:val="00481901"/>
    <w:rsid w:val="00485804"/>
    <w:rsid w:val="00486F5E"/>
    <w:rsid w:val="00487885"/>
    <w:rsid w:val="0048796F"/>
    <w:rsid w:val="0049425D"/>
    <w:rsid w:val="004A1D3F"/>
    <w:rsid w:val="004A4125"/>
    <w:rsid w:val="004A43F0"/>
    <w:rsid w:val="004A5155"/>
    <w:rsid w:val="004A67AE"/>
    <w:rsid w:val="004A781C"/>
    <w:rsid w:val="004A79AE"/>
    <w:rsid w:val="004B236A"/>
    <w:rsid w:val="004B3F7E"/>
    <w:rsid w:val="004B5D72"/>
    <w:rsid w:val="004B6699"/>
    <w:rsid w:val="004B7C0C"/>
    <w:rsid w:val="004C00DD"/>
    <w:rsid w:val="004C040C"/>
    <w:rsid w:val="004C18C4"/>
    <w:rsid w:val="004C233F"/>
    <w:rsid w:val="004C33B3"/>
    <w:rsid w:val="004C403A"/>
    <w:rsid w:val="004C4CB8"/>
    <w:rsid w:val="004C4E63"/>
    <w:rsid w:val="004C55FB"/>
    <w:rsid w:val="004C59BE"/>
    <w:rsid w:val="004D120F"/>
    <w:rsid w:val="004D21A5"/>
    <w:rsid w:val="004D3DBF"/>
    <w:rsid w:val="004E116C"/>
    <w:rsid w:val="004E3502"/>
    <w:rsid w:val="004E48D8"/>
    <w:rsid w:val="004E6D88"/>
    <w:rsid w:val="004F05E2"/>
    <w:rsid w:val="004F19EE"/>
    <w:rsid w:val="004F24FD"/>
    <w:rsid w:val="004F27CF"/>
    <w:rsid w:val="004F2A9B"/>
    <w:rsid w:val="004F51D6"/>
    <w:rsid w:val="004F57DA"/>
    <w:rsid w:val="005004EA"/>
    <w:rsid w:val="00505B80"/>
    <w:rsid w:val="00505CAF"/>
    <w:rsid w:val="00506D9B"/>
    <w:rsid w:val="00511C73"/>
    <w:rsid w:val="005138E8"/>
    <w:rsid w:val="00514AB3"/>
    <w:rsid w:val="00515158"/>
    <w:rsid w:val="00515752"/>
    <w:rsid w:val="00517A0F"/>
    <w:rsid w:val="005228FA"/>
    <w:rsid w:val="005229F3"/>
    <w:rsid w:val="00523795"/>
    <w:rsid w:val="005237CB"/>
    <w:rsid w:val="00523834"/>
    <w:rsid w:val="00525B96"/>
    <w:rsid w:val="00527212"/>
    <w:rsid w:val="005278C0"/>
    <w:rsid w:val="005278E5"/>
    <w:rsid w:val="00530C9E"/>
    <w:rsid w:val="00531374"/>
    <w:rsid w:val="0053142E"/>
    <w:rsid w:val="0053158F"/>
    <w:rsid w:val="00531AFB"/>
    <w:rsid w:val="00536C3B"/>
    <w:rsid w:val="005416ED"/>
    <w:rsid w:val="00542C38"/>
    <w:rsid w:val="00543783"/>
    <w:rsid w:val="00547B7E"/>
    <w:rsid w:val="005508B7"/>
    <w:rsid w:val="005510C7"/>
    <w:rsid w:val="00552103"/>
    <w:rsid w:val="00552A87"/>
    <w:rsid w:val="00554DD0"/>
    <w:rsid w:val="00554F5D"/>
    <w:rsid w:val="00555869"/>
    <w:rsid w:val="005571E5"/>
    <w:rsid w:val="005606FB"/>
    <w:rsid w:val="0056136A"/>
    <w:rsid w:val="00561FBA"/>
    <w:rsid w:val="00563007"/>
    <w:rsid w:val="00563A4B"/>
    <w:rsid w:val="005653A2"/>
    <w:rsid w:val="00565F05"/>
    <w:rsid w:val="005678D8"/>
    <w:rsid w:val="005705E0"/>
    <w:rsid w:val="005716DD"/>
    <w:rsid w:val="00571B54"/>
    <w:rsid w:val="00572400"/>
    <w:rsid w:val="00573E8A"/>
    <w:rsid w:val="0057505A"/>
    <w:rsid w:val="00575F60"/>
    <w:rsid w:val="0057690D"/>
    <w:rsid w:val="005769EB"/>
    <w:rsid w:val="00576FD3"/>
    <w:rsid w:val="00577236"/>
    <w:rsid w:val="00580444"/>
    <w:rsid w:val="00584EEF"/>
    <w:rsid w:val="005855CD"/>
    <w:rsid w:val="00586579"/>
    <w:rsid w:val="005868F2"/>
    <w:rsid w:val="0058779D"/>
    <w:rsid w:val="00587BB5"/>
    <w:rsid w:val="0059051A"/>
    <w:rsid w:val="005915CE"/>
    <w:rsid w:val="005948DB"/>
    <w:rsid w:val="00594950"/>
    <w:rsid w:val="005953B6"/>
    <w:rsid w:val="00595692"/>
    <w:rsid w:val="005956FC"/>
    <w:rsid w:val="00596398"/>
    <w:rsid w:val="00597DC4"/>
    <w:rsid w:val="005A2A4C"/>
    <w:rsid w:val="005A3425"/>
    <w:rsid w:val="005A4DA9"/>
    <w:rsid w:val="005B1063"/>
    <w:rsid w:val="005B1590"/>
    <w:rsid w:val="005B3305"/>
    <w:rsid w:val="005B534D"/>
    <w:rsid w:val="005B5B20"/>
    <w:rsid w:val="005B6388"/>
    <w:rsid w:val="005B765D"/>
    <w:rsid w:val="005B7FD6"/>
    <w:rsid w:val="005C2336"/>
    <w:rsid w:val="005C3BB8"/>
    <w:rsid w:val="005C564F"/>
    <w:rsid w:val="005C6994"/>
    <w:rsid w:val="005C72FE"/>
    <w:rsid w:val="005D2855"/>
    <w:rsid w:val="005D3319"/>
    <w:rsid w:val="005D451A"/>
    <w:rsid w:val="005D6245"/>
    <w:rsid w:val="005D643F"/>
    <w:rsid w:val="005D6CCE"/>
    <w:rsid w:val="005D6D3B"/>
    <w:rsid w:val="005E00D3"/>
    <w:rsid w:val="005E08C9"/>
    <w:rsid w:val="005E1743"/>
    <w:rsid w:val="005E2840"/>
    <w:rsid w:val="005E398A"/>
    <w:rsid w:val="005E3C89"/>
    <w:rsid w:val="005E49A2"/>
    <w:rsid w:val="005E7E2F"/>
    <w:rsid w:val="005F1081"/>
    <w:rsid w:val="005F1638"/>
    <w:rsid w:val="005F18BD"/>
    <w:rsid w:val="005F19FE"/>
    <w:rsid w:val="005F1CCF"/>
    <w:rsid w:val="005F2F53"/>
    <w:rsid w:val="005F674C"/>
    <w:rsid w:val="005F6FE2"/>
    <w:rsid w:val="0060059C"/>
    <w:rsid w:val="00601F54"/>
    <w:rsid w:val="006031A0"/>
    <w:rsid w:val="00604FAD"/>
    <w:rsid w:val="00606624"/>
    <w:rsid w:val="0061125F"/>
    <w:rsid w:val="0061224C"/>
    <w:rsid w:val="00612B7A"/>
    <w:rsid w:val="00613437"/>
    <w:rsid w:val="006140A6"/>
    <w:rsid w:val="00615B77"/>
    <w:rsid w:val="00615CA2"/>
    <w:rsid w:val="00616E58"/>
    <w:rsid w:val="00616F24"/>
    <w:rsid w:val="0062329B"/>
    <w:rsid w:val="006233CA"/>
    <w:rsid w:val="00624B8A"/>
    <w:rsid w:val="00624F89"/>
    <w:rsid w:val="00627B74"/>
    <w:rsid w:val="00627C07"/>
    <w:rsid w:val="00630270"/>
    <w:rsid w:val="00632D41"/>
    <w:rsid w:val="00633635"/>
    <w:rsid w:val="006343A6"/>
    <w:rsid w:val="00634C03"/>
    <w:rsid w:val="00636EE0"/>
    <w:rsid w:val="00642DD1"/>
    <w:rsid w:val="00643C1E"/>
    <w:rsid w:val="00643CA5"/>
    <w:rsid w:val="00647902"/>
    <w:rsid w:val="0065325F"/>
    <w:rsid w:val="0065371B"/>
    <w:rsid w:val="00653E15"/>
    <w:rsid w:val="00654088"/>
    <w:rsid w:val="00656086"/>
    <w:rsid w:val="00660414"/>
    <w:rsid w:val="0066163C"/>
    <w:rsid w:val="00663805"/>
    <w:rsid w:val="00667CE9"/>
    <w:rsid w:val="00673AD2"/>
    <w:rsid w:val="00676BAD"/>
    <w:rsid w:val="00680383"/>
    <w:rsid w:val="00680B9D"/>
    <w:rsid w:val="00682C42"/>
    <w:rsid w:val="00683F85"/>
    <w:rsid w:val="0068403E"/>
    <w:rsid w:val="006841FF"/>
    <w:rsid w:val="00686BBD"/>
    <w:rsid w:val="006876FD"/>
    <w:rsid w:val="0068781E"/>
    <w:rsid w:val="00690F51"/>
    <w:rsid w:val="00697C51"/>
    <w:rsid w:val="006A2092"/>
    <w:rsid w:val="006A3203"/>
    <w:rsid w:val="006A3D32"/>
    <w:rsid w:val="006A4445"/>
    <w:rsid w:val="006A6C5E"/>
    <w:rsid w:val="006A7024"/>
    <w:rsid w:val="006B0D81"/>
    <w:rsid w:val="006B3EE2"/>
    <w:rsid w:val="006B4FEE"/>
    <w:rsid w:val="006B525C"/>
    <w:rsid w:val="006B6392"/>
    <w:rsid w:val="006B6C4C"/>
    <w:rsid w:val="006C17E7"/>
    <w:rsid w:val="006C584B"/>
    <w:rsid w:val="006C6397"/>
    <w:rsid w:val="006D1231"/>
    <w:rsid w:val="006D1DFA"/>
    <w:rsid w:val="006D2445"/>
    <w:rsid w:val="006D2BEF"/>
    <w:rsid w:val="006D2F53"/>
    <w:rsid w:val="006D33B4"/>
    <w:rsid w:val="006D46D3"/>
    <w:rsid w:val="006D5172"/>
    <w:rsid w:val="006D5DE6"/>
    <w:rsid w:val="006D6885"/>
    <w:rsid w:val="006E1B2A"/>
    <w:rsid w:val="006E1CA2"/>
    <w:rsid w:val="006E31E0"/>
    <w:rsid w:val="006E6568"/>
    <w:rsid w:val="006E7CB1"/>
    <w:rsid w:val="006F0246"/>
    <w:rsid w:val="006F3EA9"/>
    <w:rsid w:val="006F45D3"/>
    <w:rsid w:val="006F68F5"/>
    <w:rsid w:val="007002F0"/>
    <w:rsid w:val="007003C7"/>
    <w:rsid w:val="00701680"/>
    <w:rsid w:val="00702466"/>
    <w:rsid w:val="007033AF"/>
    <w:rsid w:val="00704335"/>
    <w:rsid w:val="0071143A"/>
    <w:rsid w:val="007116ED"/>
    <w:rsid w:val="00712A24"/>
    <w:rsid w:val="00713C18"/>
    <w:rsid w:val="00714FFC"/>
    <w:rsid w:val="00715291"/>
    <w:rsid w:val="00722878"/>
    <w:rsid w:val="0072371C"/>
    <w:rsid w:val="0072398E"/>
    <w:rsid w:val="007306F1"/>
    <w:rsid w:val="007331AE"/>
    <w:rsid w:val="0073400A"/>
    <w:rsid w:val="0073465E"/>
    <w:rsid w:val="007351EA"/>
    <w:rsid w:val="007354BC"/>
    <w:rsid w:val="00735CCE"/>
    <w:rsid w:val="0073670E"/>
    <w:rsid w:val="00736A73"/>
    <w:rsid w:val="00740CC4"/>
    <w:rsid w:val="007410C9"/>
    <w:rsid w:val="00746810"/>
    <w:rsid w:val="00752CF0"/>
    <w:rsid w:val="00753644"/>
    <w:rsid w:val="0075708E"/>
    <w:rsid w:val="00760671"/>
    <w:rsid w:val="00762987"/>
    <w:rsid w:val="00762BC7"/>
    <w:rsid w:val="007643A6"/>
    <w:rsid w:val="007664EC"/>
    <w:rsid w:val="007674DB"/>
    <w:rsid w:val="00770996"/>
    <w:rsid w:val="007733C1"/>
    <w:rsid w:val="0077443B"/>
    <w:rsid w:val="0077625B"/>
    <w:rsid w:val="00776582"/>
    <w:rsid w:val="00776B57"/>
    <w:rsid w:val="00777949"/>
    <w:rsid w:val="007814B3"/>
    <w:rsid w:val="00781948"/>
    <w:rsid w:val="00783E28"/>
    <w:rsid w:val="00783EE2"/>
    <w:rsid w:val="00784595"/>
    <w:rsid w:val="00785777"/>
    <w:rsid w:val="0078762C"/>
    <w:rsid w:val="00787794"/>
    <w:rsid w:val="007879C0"/>
    <w:rsid w:val="00791138"/>
    <w:rsid w:val="00791252"/>
    <w:rsid w:val="00792214"/>
    <w:rsid w:val="007933D9"/>
    <w:rsid w:val="007A331A"/>
    <w:rsid w:val="007A5E14"/>
    <w:rsid w:val="007B083B"/>
    <w:rsid w:val="007B0C84"/>
    <w:rsid w:val="007B5191"/>
    <w:rsid w:val="007B7829"/>
    <w:rsid w:val="007B7878"/>
    <w:rsid w:val="007C0B4A"/>
    <w:rsid w:val="007C0DC8"/>
    <w:rsid w:val="007C2DD7"/>
    <w:rsid w:val="007C3B3E"/>
    <w:rsid w:val="007C3EAA"/>
    <w:rsid w:val="007C53BA"/>
    <w:rsid w:val="007D3D12"/>
    <w:rsid w:val="007D459D"/>
    <w:rsid w:val="007D4CC4"/>
    <w:rsid w:val="007D71FE"/>
    <w:rsid w:val="007E07C2"/>
    <w:rsid w:val="007E194C"/>
    <w:rsid w:val="007E1E15"/>
    <w:rsid w:val="007E2BD2"/>
    <w:rsid w:val="007E5B32"/>
    <w:rsid w:val="007E70F9"/>
    <w:rsid w:val="007E770A"/>
    <w:rsid w:val="007E7E72"/>
    <w:rsid w:val="007F02EF"/>
    <w:rsid w:val="007F045A"/>
    <w:rsid w:val="007F0BD5"/>
    <w:rsid w:val="007F5702"/>
    <w:rsid w:val="007F5D0B"/>
    <w:rsid w:val="007F7BF7"/>
    <w:rsid w:val="008016E1"/>
    <w:rsid w:val="00801956"/>
    <w:rsid w:val="00805D1B"/>
    <w:rsid w:val="008065D1"/>
    <w:rsid w:val="00806F85"/>
    <w:rsid w:val="00807B99"/>
    <w:rsid w:val="008120FA"/>
    <w:rsid w:val="0081376B"/>
    <w:rsid w:val="00813A10"/>
    <w:rsid w:val="00816E03"/>
    <w:rsid w:val="00817359"/>
    <w:rsid w:val="008204A2"/>
    <w:rsid w:val="00822020"/>
    <w:rsid w:val="0082238F"/>
    <w:rsid w:val="008229D5"/>
    <w:rsid w:val="00823300"/>
    <w:rsid w:val="008276CA"/>
    <w:rsid w:val="00827A73"/>
    <w:rsid w:val="008300E2"/>
    <w:rsid w:val="00830FB8"/>
    <w:rsid w:val="0083268C"/>
    <w:rsid w:val="008437D3"/>
    <w:rsid w:val="0084501B"/>
    <w:rsid w:val="00846FCC"/>
    <w:rsid w:val="008501FB"/>
    <w:rsid w:val="00850985"/>
    <w:rsid w:val="0085107E"/>
    <w:rsid w:val="008526F2"/>
    <w:rsid w:val="00854FC4"/>
    <w:rsid w:val="00857072"/>
    <w:rsid w:val="008576C7"/>
    <w:rsid w:val="00860F02"/>
    <w:rsid w:val="008632A0"/>
    <w:rsid w:val="00863686"/>
    <w:rsid w:val="008666D6"/>
    <w:rsid w:val="00867912"/>
    <w:rsid w:val="00870084"/>
    <w:rsid w:val="00873297"/>
    <w:rsid w:val="0087644E"/>
    <w:rsid w:val="008778A4"/>
    <w:rsid w:val="008805C6"/>
    <w:rsid w:val="00880710"/>
    <w:rsid w:val="008814BF"/>
    <w:rsid w:val="0088279E"/>
    <w:rsid w:val="008840A5"/>
    <w:rsid w:val="0088576E"/>
    <w:rsid w:val="00887CB4"/>
    <w:rsid w:val="00887EC2"/>
    <w:rsid w:val="0089288D"/>
    <w:rsid w:val="00892D86"/>
    <w:rsid w:val="00895BD1"/>
    <w:rsid w:val="008971FB"/>
    <w:rsid w:val="008A21B8"/>
    <w:rsid w:val="008A34EE"/>
    <w:rsid w:val="008A4C78"/>
    <w:rsid w:val="008A61D9"/>
    <w:rsid w:val="008A7275"/>
    <w:rsid w:val="008B156D"/>
    <w:rsid w:val="008B157E"/>
    <w:rsid w:val="008B17C6"/>
    <w:rsid w:val="008B2327"/>
    <w:rsid w:val="008B4ABE"/>
    <w:rsid w:val="008B5A2D"/>
    <w:rsid w:val="008B6D1C"/>
    <w:rsid w:val="008B7AE4"/>
    <w:rsid w:val="008C1B2D"/>
    <w:rsid w:val="008C1C2F"/>
    <w:rsid w:val="008C322B"/>
    <w:rsid w:val="008C419F"/>
    <w:rsid w:val="008C4324"/>
    <w:rsid w:val="008C5FE8"/>
    <w:rsid w:val="008C60A7"/>
    <w:rsid w:val="008C707D"/>
    <w:rsid w:val="008D663B"/>
    <w:rsid w:val="008D68A7"/>
    <w:rsid w:val="008E067D"/>
    <w:rsid w:val="008E49D1"/>
    <w:rsid w:val="008E5CEB"/>
    <w:rsid w:val="008F17C5"/>
    <w:rsid w:val="008F29F4"/>
    <w:rsid w:val="008F3426"/>
    <w:rsid w:val="008F34C4"/>
    <w:rsid w:val="008F397C"/>
    <w:rsid w:val="008F5DC5"/>
    <w:rsid w:val="008F611D"/>
    <w:rsid w:val="00900770"/>
    <w:rsid w:val="00907C69"/>
    <w:rsid w:val="00913318"/>
    <w:rsid w:val="0091470B"/>
    <w:rsid w:val="00915A16"/>
    <w:rsid w:val="00920115"/>
    <w:rsid w:val="00925316"/>
    <w:rsid w:val="00925921"/>
    <w:rsid w:val="009307E4"/>
    <w:rsid w:val="00932226"/>
    <w:rsid w:val="0093284D"/>
    <w:rsid w:val="00932B4A"/>
    <w:rsid w:val="009331AE"/>
    <w:rsid w:val="009340EF"/>
    <w:rsid w:val="00935642"/>
    <w:rsid w:val="00937C66"/>
    <w:rsid w:val="00941C20"/>
    <w:rsid w:val="00941FEE"/>
    <w:rsid w:val="00942E62"/>
    <w:rsid w:val="00943420"/>
    <w:rsid w:val="00945C4D"/>
    <w:rsid w:val="009463BF"/>
    <w:rsid w:val="00946836"/>
    <w:rsid w:val="00954ACA"/>
    <w:rsid w:val="00956361"/>
    <w:rsid w:val="00956D90"/>
    <w:rsid w:val="0095738B"/>
    <w:rsid w:val="00960C87"/>
    <w:rsid w:val="0096180A"/>
    <w:rsid w:val="00961B20"/>
    <w:rsid w:val="009624B6"/>
    <w:rsid w:val="0096292E"/>
    <w:rsid w:val="00966A37"/>
    <w:rsid w:val="00967B62"/>
    <w:rsid w:val="0097010B"/>
    <w:rsid w:val="00971C4F"/>
    <w:rsid w:val="00971CC6"/>
    <w:rsid w:val="00972E0B"/>
    <w:rsid w:val="00973A3E"/>
    <w:rsid w:val="009752EA"/>
    <w:rsid w:val="00975EC7"/>
    <w:rsid w:val="00976A7C"/>
    <w:rsid w:val="009852C1"/>
    <w:rsid w:val="00986046"/>
    <w:rsid w:val="00990EC0"/>
    <w:rsid w:val="00992294"/>
    <w:rsid w:val="009928CD"/>
    <w:rsid w:val="00992944"/>
    <w:rsid w:val="00992F01"/>
    <w:rsid w:val="009976F5"/>
    <w:rsid w:val="009979C1"/>
    <w:rsid w:val="009A54D3"/>
    <w:rsid w:val="009A6580"/>
    <w:rsid w:val="009A6662"/>
    <w:rsid w:val="009A7AE3"/>
    <w:rsid w:val="009B25FB"/>
    <w:rsid w:val="009B4224"/>
    <w:rsid w:val="009C1505"/>
    <w:rsid w:val="009C41FB"/>
    <w:rsid w:val="009C436C"/>
    <w:rsid w:val="009C4DB5"/>
    <w:rsid w:val="009C63CC"/>
    <w:rsid w:val="009C72A1"/>
    <w:rsid w:val="009D01EB"/>
    <w:rsid w:val="009D5027"/>
    <w:rsid w:val="009D7646"/>
    <w:rsid w:val="009E02B3"/>
    <w:rsid w:val="009E0874"/>
    <w:rsid w:val="009E1C86"/>
    <w:rsid w:val="009E5C2F"/>
    <w:rsid w:val="009E6036"/>
    <w:rsid w:val="009E63C8"/>
    <w:rsid w:val="009F0585"/>
    <w:rsid w:val="009F1945"/>
    <w:rsid w:val="009F3F05"/>
    <w:rsid w:val="009F4E49"/>
    <w:rsid w:val="009F67F0"/>
    <w:rsid w:val="00A007C0"/>
    <w:rsid w:val="00A03263"/>
    <w:rsid w:val="00A03B81"/>
    <w:rsid w:val="00A04CB9"/>
    <w:rsid w:val="00A055DD"/>
    <w:rsid w:val="00A06F4D"/>
    <w:rsid w:val="00A075B8"/>
    <w:rsid w:val="00A119F3"/>
    <w:rsid w:val="00A1217A"/>
    <w:rsid w:val="00A12F66"/>
    <w:rsid w:val="00A16118"/>
    <w:rsid w:val="00A16887"/>
    <w:rsid w:val="00A22485"/>
    <w:rsid w:val="00A228C8"/>
    <w:rsid w:val="00A23DCA"/>
    <w:rsid w:val="00A2417F"/>
    <w:rsid w:val="00A25456"/>
    <w:rsid w:val="00A275BC"/>
    <w:rsid w:val="00A27938"/>
    <w:rsid w:val="00A30783"/>
    <w:rsid w:val="00A34B0E"/>
    <w:rsid w:val="00A355F6"/>
    <w:rsid w:val="00A37165"/>
    <w:rsid w:val="00A37563"/>
    <w:rsid w:val="00A376E6"/>
    <w:rsid w:val="00A37A55"/>
    <w:rsid w:val="00A4104F"/>
    <w:rsid w:val="00A4592E"/>
    <w:rsid w:val="00A47A81"/>
    <w:rsid w:val="00A518AB"/>
    <w:rsid w:val="00A51E1F"/>
    <w:rsid w:val="00A51ED0"/>
    <w:rsid w:val="00A52010"/>
    <w:rsid w:val="00A527B8"/>
    <w:rsid w:val="00A55DE7"/>
    <w:rsid w:val="00A576BA"/>
    <w:rsid w:val="00A613FC"/>
    <w:rsid w:val="00A61FDB"/>
    <w:rsid w:val="00A62DF9"/>
    <w:rsid w:val="00A63E50"/>
    <w:rsid w:val="00A6682A"/>
    <w:rsid w:val="00A70BAE"/>
    <w:rsid w:val="00A725C1"/>
    <w:rsid w:val="00A73399"/>
    <w:rsid w:val="00A7563A"/>
    <w:rsid w:val="00A75D05"/>
    <w:rsid w:val="00A76F5C"/>
    <w:rsid w:val="00A77EBB"/>
    <w:rsid w:val="00A817D3"/>
    <w:rsid w:val="00A83176"/>
    <w:rsid w:val="00A87BA8"/>
    <w:rsid w:val="00A90211"/>
    <w:rsid w:val="00A905A7"/>
    <w:rsid w:val="00A934C4"/>
    <w:rsid w:val="00A95273"/>
    <w:rsid w:val="00A96AF1"/>
    <w:rsid w:val="00A96D15"/>
    <w:rsid w:val="00A97793"/>
    <w:rsid w:val="00AA0A59"/>
    <w:rsid w:val="00AA17BB"/>
    <w:rsid w:val="00AA2393"/>
    <w:rsid w:val="00AA2F2D"/>
    <w:rsid w:val="00AA3794"/>
    <w:rsid w:val="00AA512C"/>
    <w:rsid w:val="00AA6449"/>
    <w:rsid w:val="00AA70C5"/>
    <w:rsid w:val="00AA7859"/>
    <w:rsid w:val="00AB004A"/>
    <w:rsid w:val="00AB2421"/>
    <w:rsid w:val="00AB31A6"/>
    <w:rsid w:val="00AC1658"/>
    <w:rsid w:val="00AC260F"/>
    <w:rsid w:val="00AC5EAB"/>
    <w:rsid w:val="00AC7DDF"/>
    <w:rsid w:val="00AC7F1A"/>
    <w:rsid w:val="00AD0688"/>
    <w:rsid w:val="00AD12BB"/>
    <w:rsid w:val="00AD13C3"/>
    <w:rsid w:val="00AD7486"/>
    <w:rsid w:val="00AE1253"/>
    <w:rsid w:val="00AE1945"/>
    <w:rsid w:val="00AE366E"/>
    <w:rsid w:val="00AE3F91"/>
    <w:rsid w:val="00AE51F0"/>
    <w:rsid w:val="00AE625F"/>
    <w:rsid w:val="00AE6BD8"/>
    <w:rsid w:val="00AE7CB6"/>
    <w:rsid w:val="00AF02B0"/>
    <w:rsid w:val="00AF1B61"/>
    <w:rsid w:val="00AF1DD7"/>
    <w:rsid w:val="00AF4DBA"/>
    <w:rsid w:val="00AF762B"/>
    <w:rsid w:val="00AF786E"/>
    <w:rsid w:val="00B010B3"/>
    <w:rsid w:val="00B1080A"/>
    <w:rsid w:val="00B120B3"/>
    <w:rsid w:val="00B12667"/>
    <w:rsid w:val="00B1438E"/>
    <w:rsid w:val="00B148BA"/>
    <w:rsid w:val="00B15F71"/>
    <w:rsid w:val="00B212C6"/>
    <w:rsid w:val="00B23D02"/>
    <w:rsid w:val="00B24BA1"/>
    <w:rsid w:val="00B24F24"/>
    <w:rsid w:val="00B260B2"/>
    <w:rsid w:val="00B26EB8"/>
    <w:rsid w:val="00B279AC"/>
    <w:rsid w:val="00B30492"/>
    <w:rsid w:val="00B3080E"/>
    <w:rsid w:val="00B3116B"/>
    <w:rsid w:val="00B31D71"/>
    <w:rsid w:val="00B32B1B"/>
    <w:rsid w:val="00B346ED"/>
    <w:rsid w:val="00B34A25"/>
    <w:rsid w:val="00B36CB5"/>
    <w:rsid w:val="00B37208"/>
    <w:rsid w:val="00B374AC"/>
    <w:rsid w:val="00B4120E"/>
    <w:rsid w:val="00B427C9"/>
    <w:rsid w:val="00B4431B"/>
    <w:rsid w:val="00B46654"/>
    <w:rsid w:val="00B474C4"/>
    <w:rsid w:val="00B50038"/>
    <w:rsid w:val="00B50F92"/>
    <w:rsid w:val="00B51011"/>
    <w:rsid w:val="00B51E3D"/>
    <w:rsid w:val="00B56489"/>
    <w:rsid w:val="00B612E2"/>
    <w:rsid w:val="00B61D66"/>
    <w:rsid w:val="00B6304D"/>
    <w:rsid w:val="00B65EE2"/>
    <w:rsid w:val="00B73D50"/>
    <w:rsid w:val="00B7538B"/>
    <w:rsid w:val="00B76F68"/>
    <w:rsid w:val="00B82FD6"/>
    <w:rsid w:val="00B83397"/>
    <w:rsid w:val="00B83437"/>
    <w:rsid w:val="00B834C2"/>
    <w:rsid w:val="00B84B9E"/>
    <w:rsid w:val="00B85F8F"/>
    <w:rsid w:val="00B85FC2"/>
    <w:rsid w:val="00B86A8F"/>
    <w:rsid w:val="00B90444"/>
    <w:rsid w:val="00B936D2"/>
    <w:rsid w:val="00B93736"/>
    <w:rsid w:val="00B94EB8"/>
    <w:rsid w:val="00B95972"/>
    <w:rsid w:val="00B97007"/>
    <w:rsid w:val="00BA05A2"/>
    <w:rsid w:val="00BA1241"/>
    <w:rsid w:val="00BA5106"/>
    <w:rsid w:val="00BA56D0"/>
    <w:rsid w:val="00BA6625"/>
    <w:rsid w:val="00BA7DFA"/>
    <w:rsid w:val="00BB0EEC"/>
    <w:rsid w:val="00BB25F0"/>
    <w:rsid w:val="00BC01AC"/>
    <w:rsid w:val="00BC2638"/>
    <w:rsid w:val="00BC2818"/>
    <w:rsid w:val="00BC29D2"/>
    <w:rsid w:val="00BC2C7D"/>
    <w:rsid w:val="00BC2C92"/>
    <w:rsid w:val="00BC557A"/>
    <w:rsid w:val="00BD0ABA"/>
    <w:rsid w:val="00BD19F5"/>
    <w:rsid w:val="00BD2A70"/>
    <w:rsid w:val="00BD48D5"/>
    <w:rsid w:val="00BD4BBB"/>
    <w:rsid w:val="00BD593C"/>
    <w:rsid w:val="00BD5F6D"/>
    <w:rsid w:val="00BE107A"/>
    <w:rsid w:val="00BE4A67"/>
    <w:rsid w:val="00BE65D3"/>
    <w:rsid w:val="00BE6899"/>
    <w:rsid w:val="00BE75B6"/>
    <w:rsid w:val="00BF0A21"/>
    <w:rsid w:val="00BF6548"/>
    <w:rsid w:val="00C00F79"/>
    <w:rsid w:val="00C04937"/>
    <w:rsid w:val="00C04C62"/>
    <w:rsid w:val="00C053DC"/>
    <w:rsid w:val="00C108A7"/>
    <w:rsid w:val="00C1091D"/>
    <w:rsid w:val="00C115C3"/>
    <w:rsid w:val="00C11D4F"/>
    <w:rsid w:val="00C12F73"/>
    <w:rsid w:val="00C1387E"/>
    <w:rsid w:val="00C15E8C"/>
    <w:rsid w:val="00C20037"/>
    <w:rsid w:val="00C21FD6"/>
    <w:rsid w:val="00C22604"/>
    <w:rsid w:val="00C262CA"/>
    <w:rsid w:val="00C27449"/>
    <w:rsid w:val="00C27A04"/>
    <w:rsid w:val="00C301C4"/>
    <w:rsid w:val="00C31852"/>
    <w:rsid w:val="00C32F1B"/>
    <w:rsid w:val="00C34023"/>
    <w:rsid w:val="00C348AE"/>
    <w:rsid w:val="00C34DAC"/>
    <w:rsid w:val="00C35ABA"/>
    <w:rsid w:val="00C36E20"/>
    <w:rsid w:val="00C40161"/>
    <w:rsid w:val="00C4415B"/>
    <w:rsid w:val="00C45376"/>
    <w:rsid w:val="00C46A6D"/>
    <w:rsid w:val="00C47A68"/>
    <w:rsid w:val="00C50118"/>
    <w:rsid w:val="00C52A6A"/>
    <w:rsid w:val="00C52DD6"/>
    <w:rsid w:val="00C5314E"/>
    <w:rsid w:val="00C5383A"/>
    <w:rsid w:val="00C56BBC"/>
    <w:rsid w:val="00C60411"/>
    <w:rsid w:val="00C60BA4"/>
    <w:rsid w:val="00C6102F"/>
    <w:rsid w:val="00C62C50"/>
    <w:rsid w:val="00C63873"/>
    <w:rsid w:val="00C640A7"/>
    <w:rsid w:val="00C651DC"/>
    <w:rsid w:val="00C6692E"/>
    <w:rsid w:val="00C66C17"/>
    <w:rsid w:val="00C66DAF"/>
    <w:rsid w:val="00C728FC"/>
    <w:rsid w:val="00C7593E"/>
    <w:rsid w:val="00C76F62"/>
    <w:rsid w:val="00C80799"/>
    <w:rsid w:val="00C8141E"/>
    <w:rsid w:val="00C82890"/>
    <w:rsid w:val="00C82BF7"/>
    <w:rsid w:val="00C8415B"/>
    <w:rsid w:val="00C87D65"/>
    <w:rsid w:val="00C90B1A"/>
    <w:rsid w:val="00C91950"/>
    <w:rsid w:val="00C91FD8"/>
    <w:rsid w:val="00C94581"/>
    <w:rsid w:val="00C94ACB"/>
    <w:rsid w:val="00C94BDB"/>
    <w:rsid w:val="00C954DC"/>
    <w:rsid w:val="00C95845"/>
    <w:rsid w:val="00C976F5"/>
    <w:rsid w:val="00C97EA1"/>
    <w:rsid w:val="00CA2546"/>
    <w:rsid w:val="00CA2C4A"/>
    <w:rsid w:val="00CA4CE5"/>
    <w:rsid w:val="00CA6BEE"/>
    <w:rsid w:val="00CA781C"/>
    <w:rsid w:val="00CB0F52"/>
    <w:rsid w:val="00CB303F"/>
    <w:rsid w:val="00CC0741"/>
    <w:rsid w:val="00CC2F80"/>
    <w:rsid w:val="00CC3CB4"/>
    <w:rsid w:val="00CC409E"/>
    <w:rsid w:val="00CC4107"/>
    <w:rsid w:val="00CC68B6"/>
    <w:rsid w:val="00CC6D79"/>
    <w:rsid w:val="00CC70C3"/>
    <w:rsid w:val="00CD1EB5"/>
    <w:rsid w:val="00CD45A7"/>
    <w:rsid w:val="00CD5E90"/>
    <w:rsid w:val="00CD78B3"/>
    <w:rsid w:val="00CE0356"/>
    <w:rsid w:val="00CE2299"/>
    <w:rsid w:val="00CE4F6B"/>
    <w:rsid w:val="00CE5675"/>
    <w:rsid w:val="00CE7C2C"/>
    <w:rsid w:val="00CF1AD4"/>
    <w:rsid w:val="00CF22F1"/>
    <w:rsid w:val="00CF5116"/>
    <w:rsid w:val="00D01647"/>
    <w:rsid w:val="00D034F8"/>
    <w:rsid w:val="00D03903"/>
    <w:rsid w:val="00D04A49"/>
    <w:rsid w:val="00D04CCA"/>
    <w:rsid w:val="00D11ED4"/>
    <w:rsid w:val="00D1203F"/>
    <w:rsid w:val="00D1327E"/>
    <w:rsid w:val="00D15297"/>
    <w:rsid w:val="00D15CCC"/>
    <w:rsid w:val="00D16D8A"/>
    <w:rsid w:val="00D20322"/>
    <w:rsid w:val="00D23397"/>
    <w:rsid w:val="00D24EC4"/>
    <w:rsid w:val="00D2566E"/>
    <w:rsid w:val="00D27B73"/>
    <w:rsid w:val="00D30A91"/>
    <w:rsid w:val="00D34D8A"/>
    <w:rsid w:val="00D408E7"/>
    <w:rsid w:val="00D42C23"/>
    <w:rsid w:val="00D442D6"/>
    <w:rsid w:val="00D46064"/>
    <w:rsid w:val="00D50A77"/>
    <w:rsid w:val="00D50F7A"/>
    <w:rsid w:val="00D5224F"/>
    <w:rsid w:val="00D55FCB"/>
    <w:rsid w:val="00D56734"/>
    <w:rsid w:val="00D575A9"/>
    <w:rsid w:val="00D600DB"/>
    <w:rsid w:val="00D605C5"/>
    <w:rsid w:val="00D60B82"/>
    <w:rsid w:val="00D61ACF"/>
    <w:rsid w:val="00D624C7"/>
    <w:rsid w:val="00D63279"/>
    <w:rsid w:val="00D67962"/>
    <w:rsid w:val="00D7022B"/>
    <w:rsid w:val="00D705CB"/>
    <w:rsid w:val="00D719BF"/>
    <w:rsid w:val="00D72377"/>
    <w:rsid w:val="00D737AB"/>
    <w:rsid w:val="00D73E1A"/>
    <w:rsid w:val="00D74874"/>
    <w:rsid w:val="00D74D50"/>
    <w:rsid w:val="00D75D77"/>
    <w:rsid w:val="00D80DD7"/>
    <w:rsid w:val="00D81667"/>
    <w:rsid w:val="00D827B8"/>
    <w:rsid w:val="00D84FDD"/>
    <w:rsid w:val="00D912AC"/>
    <w:rsid w:val="00D91B1D"/>
    <w:rsid w:val="00D92A80"/>
    <w:rsid w:val="00D945E8"/>
    <w:rsid w:val="00D9666F"/>
    <w:rsid w:val="00DA1B4B"/>
    <w:rsid w:val="00DA7BB4"/>
    <w:rsid w:val="00DA7BD5"/>
    <w:rsid w:val="00DB0B6E"/>
    <w:rsid w:val="00DB2313"/>
    <w:rsid w:val="00DB3645"/>
    <w:rsid w:val="00DB4A50"/>
    <w:rsid w:val="00DB6CFF"/>
    <w:rsid w:val="00DC2D54"/>
    <w:rsid w:val="00DC5745"/>
    <w:rsid w:val="00DC6589"/>
    <w:rsid w:val="00DC72E6"/>
    <w:rsid w:val="00DC734A"/>
    <w:rsid w:val="00DC7C0B"/>
    <w:rsid w:val="00DD16F4"/>
    <w:rsid w:val="00DD3DF0"/>
    <w:rsid w:val="00DD5622"/>
    <w:rsid w:val="00DD58BB"/>
    <w:rsid w:val="00DE08A6"/>
    <w:rsid w:val="00DE1005"/>
    <w:rsid w:val="00DE1363"/>
    <w:rsid w:val="00DE683F"/>
    <w:rsid w:val="00DE71A7"/>
    <w:rsid w:val="00DF1BD6"/>
    <w:rsid w:val="00DF3543"/>
    <w:rsid w:val="00DF3A72"/>
    <w:rsid w:val="00DF447C"/>
    <w:rsid w:val="00DF45C1"/>
    <w:rsid w:val="00DF5EE9"/>
    <w:rsid w:val="00E01E27"/>
    <w:rsid w:val="00E043A8"/>
    <w:rsid w:val="00E0504E"/>
    <w:rsid w:val="00E066FA"/>
    <w:rsid w:val="00E06B9C"/>
    <w:rsid w:val="00E12319"/>
    <w:rsid w:val="00E134B8"/>
    <w:rsid w:val="00E16E4C"/>
    <w:rsid w:val="00E1775D"/>
    <w:rsid w:val="00E17D95"/>
    <w:rsid w:val="00E22C5D"/>
    <w:rsid w:val="00E2501C"/>
    <w:rsid w:val="00E254D5"/>
    <w:rsid w:val="00E26A89"/>
    <w:rsid w:val="00E26E70"/>
    <w:rsid w:val="00E27033"/>
    <w:rsid w:val="00E31B2A"/>
    <w:rsid w:val="00E326FF"/>
    <w:rsid w:val="00E33EFE"/>
    <w:rsid w:val="00E34919"/>
    <w:rsid w:val="00E36D3C"/>
    <w:rsid w:val="00E36DBB"/>
    <w:rsid w:val="00E36F77"/>
    <w:rsid w:val="00E370E8"/>
    <w:rsid w:val="00E37EC0"/>
    <w:rsid w:val="00E42B21"/>
    <w:rsid w:val="00E43D07"/>
    <w:rsid w:val="00E4440E"/>
    <w:rsid w:val="00E505B7"/>
    <w:rsid w:val="00E50968"/>
    <w:rsid w:val="00E54FA7"/>
    <w:rsid w:val="00E56C1E"/>
    <w:rsid w:val="00E63870"/>
    <w:rsid w:val="00E64203"/>
    <w:rsid w:val="00E665B8"/>
    <w:rsid w:val="00E66866"/>
    <w:rsid w:val="00E67282"/>
    <w:rsid w:val="00E678FA"/>
    <w:rsid w:val="00E70A31"/>
    <w:rsid w:val="00E716EA"/>
    <w:rsid w:val="00E71995"/>
    <w:rsid w:val="00E72755"/>
    <w:rsid w:val="00E74995"/>
    <w:rsid w:val="00E80D60"/>
    <w:rsid w:val="00E80D71"/>
    <w:rsid w:val="00E81906"/>
    <w:rsid w:val="00E82802"/>
    <w:rsid w:val="00E86E73"/>
    <w:rsid w:val="00E94529"/>
    <w:rsid w:val="00E951FA"/>
    <w:rsid w:val="00E97151"/>
    <w:rsid w:val="00E973EE"/>
    <w:rsid w:val="00EA0E0D"/>
    <w:rsid w:val="00EA2981"/>
    <w:rsid w:val="00EA2A27"/>
    <w:rsid w:val="00EA3821"/>
    <w:rsid w:val="00EA5782"/>
    <w:rsid w:val="00EA5936"/>
    <w:rsid w:val="00EA6BB4"/>
    <w:rsid w:val="00EA75E8"/>
    <w:rsid w:val="00EB04CF"/>
    <w:rsid w:val="00EB0AA2"/>
    <w:rsid w:val="00EB13E6"/>
    <w:rsid w:val="00EB50DB"/>
    <w:rsid w:val="00EB6E0D"/>
    <w:rsid w:val="00EC015E"/>
    <w:rsid w:val="00EC0F45"/>
    <w:rsid w:val="00EC15AB"/>
    <w:rsid w:val="00EC2A8A"/>
    <w:rsid w:val="00EC2FC1"/>
    <w:rsid w:val="00EC3F78"/>
    <w:rsid w:val="00EC51A2"/>
    <w:rsid w:val="00EC58FD"/>
    <w:rsid w:val="00EC5F7B"/>
    <w:rsid w:val="00ED03FD"/>
    <w:rsid w:val="00ED1C87"/>
    <w:rsid w:val="00ED4BFF"/>
    <w:rsid w:val="00ED68F5"/>
    <w:rsid w:val="00ED7900"/>
    <w:rsid w:val="00EE0C78"/>
    <w:rsid w:val="00EE1AAF"/>
    <w:rsid w:val="00EE47BD"/>
    <w:rsid w:val="00EE4CD3"/>
    <w:rsid w:val="00EE7A73"/>
    <w:rsid w:val="00EF01B7"/>
    <w:rsid w:val="00EF0928"/>
    <w:rsid w:val="00EF4302"/>
    <w:rsid w:val="00EF591B"/>
    <w:rsid w:val="00F00630"/>
    <w:rsid w:val="00F0264F"/>
    <w:rsid w:val="00F02ADE"/>
    <w:rsid w:val="00F02DFB"/>
    <w:rsid w:val="00F02ED0"/>
    <w:rsid w:val="00F05936"/>
    <w:rsid w:val="00F05E01"/>
    <w:rsid w:val="00F067CF"/>
    <w:rsid w:val="00F11304"/>
    <w:rsid w:val="00F13955"/>
    <w:rsid w:val="00F161E5"/>
    <w:rsid w:val="00F1694C"/>
    <w:rsid w:val="00F22B62"/>
    <w:rsid w:val="00F23069"/>
    <w:rsid w:val="00F23A49"/>
    <w:rsid w:val="00F24542"/>
    <w:rsid w:val="00F25875"/>
    <w:rsid w:val="00F26279"/>
    <w:rsid w:val="00F2653D"/>
    <w:rsid w:val="00F27DA1"/>
    <w:rsid w:val="00F3135A"/>
    <w:rsid w:val="00F32F6B"/>
    <w:rsid w:val="00F3496D"/>
    <w:rsid w:val="00F354F5"/>
    <w:rsid w:val="00F37CC4"/>
    <w:rsid w:val="00F41267"/>
    <w:rsid w:val="00F41D65"/>
    <w:rsid w:val="00F45F47"/>
    <w:rsid w:val="00F46C5E"/>
    <w:rsid w:val="00F46E3B"/>
    <w:rsid w:val="00F47766"/>
    <w:rsid w:val="00F50BEF"/>
    <w:rsid w:val="00F50CC2"/>
    <w:rsid w:val="00F5165A"/>
    <w:rsid w:val="00F533D2"/>
    <w:rsid w:val="00F53BD3"/>
    <w:rsid w:val="00F54473"/>
    <w:rsid w:val="00F56DE1"/>
    <w:rsid w:val="00F56FC1"/>
    <w:rsid w:val="00F600C7"/>
    <w:rsid w:val="00F6105C"/>
    <w:rsid w:val="00F616DA"/>
    <w:rsid w:val="00F62CE8"/>
    <w:rsid w:val="00F66A30"/>
    <w:rsid w:val="00F67493"/>
    <w:rsid w:val="00F67CEA"/>
    <w:rsid w:val="00F720FB"/>
    <w:rsid w:val="00F729A9"/>
    <w:rsid w:val="00F73021"/>
    <w:rsid w:val="00F73FD9"/>
    <w:rsid w:val="00F75CE1"/>
    <w:rsid w:val="00F80152"/>
    <w:rsid w:val="00F80D2A"/>
    <w:rsid w:val="00F833DC"/>
    <w:rsid w:val="00F86435"/>
    <w:rsid w:val="00F906AC"/>
    <w:rsid w:val="00F9104B"/>
    <w:rsid w:val="00F9131E"/>
    <w:rsid w:val="00F91A4B"/>
    <w:rsid w:val="00F9207F"/>
    <w:rsid w:val="00F978EE"/>
    <w:rsid w:val="00F97ECC"/>
    <w:rsid w:val="00FA0311"/>
    <w:rsid w:val="00FA07DB"/>
    <w:rsid w:val="00FA0DC4"/>
    <w:rsid w:val="00FA1F6F"/>
    <w:rsid w:val="00FA3C91"/>
    <w:rsid w:val="00FA5814"/>
    <w:rsid w:val="00FB0CB9"/>
    <w:rsid w:val="00FB19D1"/>
    <w:rsid w:val="00FB1D81"/>
    <w:rsid w:val="00FB210A"/>
    <w:rsid w:val="00FB39F5"/>
    <w:rsid w:val="00FB40CB"/>
    <w:rsid w:val="00FB55B7"/>
    <w:rsid w:val="00FC14ED"/>
    <w:rsid w:val="00FC2848"/>
    <w:rsid w:val="00FC2B9C"/>
    <w:rsid w:val="00FC3DE4"/>
    <w:rsid w:val="00FC4EA2"/>
    <w:rsid w:val="00FC63B1"/>
    <w:rsid w:val="00FC796A"/>
    <w:rsid w:val="00FC7EB7"/>
    <w:rsid w:val="00FD029C"/>
    <w:rsid w:val="00FD302B"/>
    <w:rsid w:val="00FD3EB9"/>
    <w:rsid w:val="00FD5501"/>
    <w:rsid w:val="00FD66A7"/>
    <w:rsid w:val="00FD76C7"/>
    <w:rsid w:val="00FE1292"/>
    <w:rsid w:val="00FE1E5D"/>
    <w:rsid w:val="00FE262A"/>
    <w:rsid w:val="00FE3415"/>
    <w:rsid w:val="00FE4018"/>
    <w:rsid w:val="00FE57C9"/>
    <w:rsid w:val="00FE5C27"/>
    <w:rsid w:val="00FF0204"/>
    <w:rsid w:val="00FF16D7"/>
    <w:rsid w:val="00FF1809"/>
    <w:rsid w:val="00FF2EE6"/>
    <w:rsid w:val="00FF54B1"/>
    <w:rsid w:val="00FF5FB4"/>
    <w:rsid w:val="00FF649A"/>
    <w:rsid w:val="00FF67D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29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7859"/>
    <w:pPr>
      <w:widowControl w:val="0"/>
      <w:spacing w:before="240"/>
    </w:pPr>
    <w:rPr>
      <w:sz w:val="24"/>
      <w:szCs w:val="24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A7859"/>
    <w:pPr>
      <w:tabs>
        <w:tab w:val="center" w:pos="4320"/>
        <w:tab w:val="right" w:pos="8640"/>
      </w:tabs>
    </w:pPr>
  </w:style>
  <w:style w:type="paragraph" w:customStyle="1" w:styleId="LAKenLABberschrift">
    <w:name w:val="LA_Ken_LAB_Überschrift"/>
    <w:basedOn w:val="Normlny"/>
    <w:rsid w:val="00AA7859"/>
    <w:pPr>
      <w:widowControl/>
      <w:tabs>
        <w:tab w:val="left" w:pos="567"/>
      </w:tabs>
      <w:spacing w:before="0"/>
      <w:ind w:left="567" w:hanging="567"/>
    </w:pPr>
    <w:rPr>
      <w:rFonts w:ascii="Times New Roman Bold" w:hAnsi="Times New Roman Bold"/>
      <w:b/>
      <w:szCs w:val="20"/>
      <w:lang w:val="en-US"/>
    </w:rPr>
  </w:style>
  <w:style w:type="character" w:styleId="slostrany">
    <w:name w:val="page number"/>
    <w:basedOn w:val="Predvolenpsmoodseku"/>
    <w:rsid w:val="00AA7859"/>
  </w:style>
  <w:style w:type="paragraph" w:customStyle="1" w:styleId="LAKenQRDNormal">
    <w:name w:val="LA_Ken_QRD_Normal"/>
    <w:basedOn w:val="Normlny"/>
    <w:rsid w:val="00AA7859"/>
    <w:pPr>
      <w:suppressAutoHyphens/>
      <w:spacing w:before="0"/>
    </w:pPr>
    <w:rPr>
      <w:noProof/>
    </w:rPr>
  </w:style>
  <w:style w:type="paragraph" w:customStyle="1" w:styleId="SPCNadpis1">
    <w:name w:val="SPC Nadpis 1"/>
    <w:basedOn w:val="Zkladntext"/>
    <w:next w:val="SPCtext"/>
    <w:rsid w:val="00AA7859"/>
    <w:pPr>
      <w:keepNext/>
      <w:numPr>
        <w:numId w:val="1"/>
      </w:numPr>
      <w:autoSpaceDE w:val="0"/>
      <w:autoSpaceDN w:val="0"/>
      <w:adjustRightInd w:val="0"/>
    </w:pPr>
    <w:rPr>
      <w:b/>
      <w:caps/>
      <w:color w:val="000000"/>
      <w:sz w:val="22"/>
      <w:szCs w:val="20"/>
      <w:lang w:val="cs-CZ" w:eastAsia="cs-CZ"/>
    </w:rPr>
  </w:style>
  <w:style w:type="paragraph" w:customStyle="1" w:styleId="SPCNadpis2">
    <w:name w:val="SPC Nadpis 2"/>
    <w:basedOn w:val="Normlny"/>
    <w:next w:val="SPCtext"/>
    <w:rsid w:val="00AA7859"/>
    <w:pPr>
      <w:keepNext/>
      <w:widowControl/>
      <w:numPr>
        <w:ilvl w:val="1"/>
        <w:numId w:val="1"/>
      </w:numPr>
      <w:spacing w:before="120" w:after="120"/>
    </w:pPr>
    <w:rPr>
      <w:b/>
      <w:sz w:val="22"/>
      <w:szCs w:val="20"/>
      <w:lang w:val="cs-CZ" w:eastAsia="cs-CZ"/>
    </w:rPr>
  </w:style>
  <w:style w:type="paragraph" w:customStyle="1" w:styleId="SPCtext">
    <w:name w:val="SPC text"/>
    <w:basedOn w:val="Normlny"/>
    <w:rsid w:val="00AA7859"/>
    <w:pPr>
      <w:widowControl/>
      <w:spacing w:before="0" w:after="120"/>
    </w:pPr>
    <w:rPr>
      <w:sz w:val="22"/>
      <w:szCs w:val="20"/>
      <w:lang w:val="cs-CZ" w:eastAsia="cs-CZ"/>
    </w:rPr>
  </w:style>
  <w:style w:type="paragraph" w:customStyle="1" w:styleId="LAGIPINormal">
    <w:name w:val="LA_GI_PI_Normal"/>
    <w:basedOn w:val="Normlny"/>
    <w:rsid w:val="00AA7859"/>
    <w:pPr>
      <w:widowControl/>
      <w:spacing w:before="0"/>
    </w:pPr>
    <w:rPr>
      <w:szCs w:val="20"/>
      <w:lang w:eastAsia="cs-CZ"/>
    </w:rPr>
  </w:style>
  <w:style w:type="paragraph" w:styleId="Zkladntext3">
    <w:name w:val="Body Text 3"/>
    <w:basedOn w:val="Normlny"/>
    <w:semiHidden/>
    <w:rsid w:val="00AA7859"/>
    <w:pPr>
      <w:widowControl/>
      <w:spacing w:before="0"/>
    </w:pPr>
    <w:rPr>
      <w:sz w:val="22"/>
      <w:szCs w:val="20"/>
      <w:lang w:val="sk-SK" w:eastAsia="cs-CZ"/>
    </w:rPr>
  </w:style>
  <w:style w:type="paragraph" w:styleId="Nzov">
    <w:name w:val="Title"/>
    <w:basedOn w:val="Normlny"/>
    <w:qFormat/>
    <w:rsid w:val="00AA7859"/>
    <w:pPr>
      <w:widowControl/>
      <w:spacing w:before="0" w:after="120"/>
      <w:jc w:val="center"/>
    </w:pPr>
    <w:rPr>
      <w:b/>
      <w:szCs w:val="20"/>
      <w:lang w:val="cs-CZ" w:eastAsia="cs-CZ"/>
    </w:rPr>
  </w:style>
  <w:style w:type="character" w:customStyle="1" w:styleId="hps">
    <w:name w:val="hps"/>
    <w:rsid w:val="00AA7859"/>
  </w:style>
  <w:style w:type="character" w:customStyle="1" w:styleId="atn">
    <w:name w:val="atn"/>
    <w:rsid w:val="00AA7859"/>
  </w:style>
  <w:style w:type="character" w:styleId="Hypertextovprepojenie">
    <w:name w:val="Hyperlink"/>
    <w:rsid w:val="00AA7859"/>
    <w:rPr>
      <w:color w:val="0000FF"/>
      <w:u w:val="single"/>
    </w:rPr>
  </w:style>
  <w:style w:type="paragraph" w:styleId="Zkladntext">
    <w:name w:val="Body Text"/>
    <w:basedOn w:val="Normlny"/>
    <w:rsid w:val="00AA7859"/>
    <w:pPr>
      <w:spacing w:after="120"/>
    </w:pPr>
  </w:style>
  <w:style w:type="paragraph" w:styleId="Hlavika">
    <w:name w:val="header"/>
    <w:basedOn w:val="Normlny"/>
    <w:link w:val="HlavikaChar"/>
    <w:uiPriority w:val="99"/>
    <w:rsid w:val="00AA785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900770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900770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F720FB"/>
  </w:style>
  <w:style w:type="character" w:styleId="Zvraznenie">
    <w:name w:val="Emphasis"/>
    <w:uiPriority w:val="20"/>
    <w:qFormat/>
    <w:rsid w:val="00F720FB"/>
    <w:rPr>
      <w:i/>
      <w:iCs/>
    </w:rPr>
  </w:style>
  <w:style w:type="character" w:styleId="Odkaznakomentr">
    <w:name w:val="annotation reference"/>
    <w:rsid w:val="0001337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3379"/>
    <w:rPr>
      <w:sz w:val="20"/>
      <w:szCs w:val="20"/>
    </w:rPr>
  </w:style>
  <w:style w:type="character" w:customStyle="1" w:styleId="TextkomentraChar">
    <w:name w:val="Text komentára Char"/>
    <w:link w:val="Textkomentra"/>
    <w:rsid w:val="00013379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013379"/>
    <w:rPr>
      <w:b/>
      <w:bCs/>
    </w:rPr>
  </w:style>
  <w:style w:type="character" w:customStyle="1" w:styleId="PredmetkomentraChar">
    <w:name w:val="Predmet komentára Char"/>
    <w:link w:val="Predmetkomentra"/>
    <w:rsid w:val="00013379"/>
    <w:rPr>
      <w:b/>
      <w:bCs/>
      <w:lang w:val="en-GB" w:eastAsia="en-US"/>
    </w:rPr>
  </w:style>
  <w:style w:type="paragraph" w:customStyle="1" w:styleId="LAFISPCNormal">
    <w:name w:val="LA_FI_SPC_Normal"/>
    <w:basedOn w:val="Zkladntext"/>
    <w:rsid w:val="00055DD3"/>
    <w:pPr>
      <w:widowControl/>
      <w:tabs>
        <w:tab w:val="left" w:pos="567"/>
      </w:tabs>
      <w:spacing w:before="0" w:after="0"/>
      <w:ind w:left="567"/>
    </w:pPr>
    <w:rPr>
      <w:szCs w:val="20"/>
    </w:rPr>
  </w:style>
  <w:style w:type="paragraph" w:styleId="Bezriadkovania">
    <w:name w:val="No Spacing"/>
    <w:uiPriority w:val="1"/>
    <w:qFormat/>
    <w:rsid w:val="00647902"/>
    <w:pPr>
      <w:widowControl w:val="0"/>
    </w:pPr>
    <w:rPr>
      <w:sz w:val="24"/>
      <w:szCs w:val="24"/>
      <w:lang w:val="en-GB" w:eastAsia="en-US"/>
    </w:rPr>
  </w:style>
  <w:style w:type="character" w:customStyle="1" w:styleId="shorttext">
    <w:name w:val="short_text"/>
    <w:rsid w:val="00184A32"/>
  </w:style>
  <w:style w:type="character" w:customStyle="1" w:styleId="HlavikaChar">
    <w:name w:val="Hlavička Char"/>
    <w:link w:val="Hlavika"/>
    <w:uiPriority w:val="99"/>
    <w:rsid w:val="0011506B"/>
    <w:rPr>
      <w:sz w:val="24"/>
      <w:szCs w:val="24"/>
      <w:lang w:val="en-GB" w:eastAsia="en-US"/>
    </w:rPr>
  </w:style>
  <w:style w:type="character" w:customStyle="1" w:styleId="PtaChar">
    <w:name w:val="Päta Char"/>
    <w:link w:val="Pta"/>
    <w:uiPriority w:val="99"/>
    <w:rsid w:val="00F0264F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DE68-DD67-4038-88A9-CA55BE6F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2370</Words>
  <Characters>13511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predĺžení, ev</vt:lpstr>
      <vt:lpstr>Schválený text k rozhodnutiu o predĺžení, ev</vt:lpstr>
    </vt:vector>
  </TitlesOfParts>
  <Company>SUKL</Company>
  <LinksUpToDate>false</LinksUpToDate>
  <CharactersWithSpaces>15850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predĺžení, ev</dc:title>
  <dc:subject/>
  <dc:creator>stratinska</dc:creator>
  <cp:keywords/>
  <cp:lastModifiedBy>Bezeková, Kamila</cp:lastModifiedBy>
  <cp:revision>26</cp:revision>
  <cp:lastPrinted>2013-11-14T15:26:00Z</cp:lastPrinted>
  <dcterms:created xsi:type="dcterms:W3CDTF">2018-04-16T09:21:00Z</dcterms:created>
  <dcterms:modified xsi:type="dcterms:W3CDTF">2018-05-10T11:14:00Z</dcterms:modified>
</cp:coreProperties>
</file>