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B3" w:rsidRPr="00E11FF6" w:rsidRDefault="007320B3" w:rsidP="007320B3">
      <w:pPr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E11FF6">
        <w:rPr>
          <w:b/>
          <w:szCs w:val="22"/>
        </w:rPr>
        <w:t>SÚHRN CHARAKTERISTICKÝCH VLASTNOSTÍ LIEKU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E11FF6">
        <w:rPr>
          <w:b/>
          <w:szCs w:val="22"/>
        </w:rPr>
        <w:t>NÁZOV LIEKU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widowControl w:val="0"/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097FB1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</w:t>
      </w:r>
    </w:p>
    <w:p w:rsidR="007320B3" w:rsidRPr="00E11FF6" w:rsidRDefault="007320B3" w:rsidP="007320B3">
      <w:pPr>
        <w:widowControl w:val="0"/>
        <w:spacing w:line="240" w:lineRule="auto"/>
        <w:rPr>
          <w:szCs w:val="22"/>
        </w:rPr>
      </w:pPr>
      <w:r w:rsidRPr="00E11FF6">
        <w:rPr>
          <w:szCs w:val="22"/>
        </w:rPr>
        <w:t>tablety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E11FF6">
        <w:rPr>
          <w:b/>
          <w:szCs w:val="22"/>
        </w:rPr>
        <w:t>KVALITATÍVNE A</w:t>
      </w:r>
      <w:r w:rsidRPr="00E11FF6">
        <w:rPr>
          <w:b/>
          <w:noProof/>
          <w:szCs w:val="22"/>
        </w:rPr>
        <w:t> </w:t>
      </w:r>
      <w:r w:rsidRPr="00E11FF6">
        <w:rPr>
          <w:b/>
          <w:szCs w:val="22"/>
        </w:rPr>
        <w:t>KVANTITATÍVNE ZLOŽENIE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  <w:r w:rsidRPr="00E11FF6">
        <w:rPr>
          <w:szCs w:val="22"/>
        </w:rPr>
        <w:t xml:space="preserve">Každá tableta obsahuje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 paracetamolu.</w:t>
      </w:r>
    </w:p>
    <w:p w:rsidR="007320B3" w:rsidRPr="00E11FF6" w:rsidRDefault="007320B3" w:rsidP="007320B3">
      <w:pPr>
        <w:spacing w:line="240" w:lineRule="auto"/>
        <w:outlineLvl w:val="0"/>
        <w:rPr>
          <w:szCs w:val="22"/>
        </w:rPr>
      </w:pPr>
      <w:r w:rsidRPr="00E11FF6">
        <w:rPr>
          <w:szCs w:val="22"/>
        </w:rPr>
        <w:t>Úplný zoznam pomocných látok, pozri časť 6.1.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E11FF6">
        <w:rPr>
          <w:b/>
          <w:szCs w:val="22"/>
        </w:rPr>
        <w:t>LIEKOVÁ FORMA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>Tableta</w:t>
      </w: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Takmer biele </w:t>
      </w:r>
      <w:r w:rsidR="00F663C5" w:rsidRPr="00E11FF6">
        <w:rPr>
          <w:szCs w:val="22"/>
        </w:rPr>
        <w:t>oválne</w:t>
      </w:r>
      <w:r w:rsidRPr="00E11FF6">
        <w:rPr>
          <w:szCs w:val="22"/>
        </w:rPr>
        <w:t xml:space="preserve"> tablety s deliacou ryhou na oboch stranách, dĺžka </w:t>
      </w:r>
      <w:r w:rsidR="00F663C5" w:rsidRPr="00E11FF6">
        <w:rPr>
          <w:szCs w:val="22"/>
        </w:rPr>
        <w:t>22</w:t>
      </w:r>
      <w:r w:rsidRPr="00E11FF6">
        <w:rPr>
          <w:szCs w:val="22"/>
        </w:rPr>
        <w:t xml:space="preserve"> mm.</w:t>
      </w: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>Tableta sa môže rozdeliť na rovnaké dávky.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E11FF6">
        <w:rPr>
          <w:b/>
          <w:szCs w:val="22"/>
        </w:rPr>
        <w:t>KLINICKÉ ÚDAJE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Terapeutické indikácie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5D787D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5E7DDD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 sa používa na úľavu od miernej až stredne silnej bolesti, ako je bolesť hlavy, zubov, neuralgia rôzneho pôvodu, reumatická bolesť, menštru</w:t>
      </w:r>
      <w:r w:rsidR="000C4B6A" w:rsidRPr="00E11FF6">
        <w:rPr>
          <w:szCs w:val="22"/>
        </w:rPr>
        <w:t>ačná bolesť, bolesť chrbta, sval</w:t>
      </w:r>
      <w:r w:rsidRPr="00E11FF6">
        <w:rPr>
          <w:szCs w:val="22"/>
        </w:rPr>
        <w:t>ov a</w:t>
      </w:r>
      <w:r w:rsidR="000C4B6A" w:rsidRPr="00E11FF6">
        <w:rPr>
          <w:szCs w:val="22"/>
        </w:rPr>
        <w:t> </w:t>
      </w:r>
      <w:r w:rsidRPr="00E11FF6">
        <w:rPr>
          <w:szCs w:val="22"/>
        </w:rPr>
        <w:t>kĺbov</w:t>
      </w:r>
      <w:r w:rsidR="000C4B6A" w:rsidRPr="00E11FF6">
        <w:rPr>
          <w:szCs w:val="22"/>
        </w:rPr>
        <w:t xml:space="preserve"> sprevádzajúce chrípku alebo akútne prechladnutie a</w:t>
      </w:r>
      <w:r w:rsidR="000058C1" w:rsidRPr="00E11FF6">
        <w:rPr>
          <w:szCs w:val="22"/>
        </w:rPr>
        <w:t> zápal horných dýchacích ciest</w:t>
      </w:r>
      <w:r w:rsidR="000C4B6A" w:rsidRPr="00E11FF6">
        <w:rPr>
          <w:szCs w:val="22"/>
        </w:rPr>
        <w:t>. Horúčka.</w:t>
      </w:r>
      <w:r w:rsidRPr="00E11FF6">
        <w:rPr>
          <w:szCs w:val="22"/>
        </w:rPr>
        <w:t xml:space="preserve">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5E7DDD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</w:t>
      </w:r>
      <w:r w:rsidR="007320B3" w:rsidRPr="00E11FF6">
        <w:rPr>
          <w:szCs w:val="22"/>
        </w:rPr>
        <w:t xml:space="preserve"> je indikovaný dospelým</w:t>
      </w:r>
      <w:r w:rsidRPr="00E11FF6">
        <w:rPr>
          <w:szCs w:val="22"/>
        </w:rPr>
        <w:t xml:space="preserve"> a</w:t>
      </w:r>
      <w:r w:rsidR="007320B3" w:rsidRPr="00E11FF6">
        <w:rPr>
          <w:szCs w:val="22"/>
        </w:rPr>
        <w:t xml:space="preserve"> deťom </w:t>
      </w:r>
      <w:r w:rsidRPr="00E11FF6">
        <w:rPr>
          <w:szCs w:val="22"/>
        </w:rPr>
        <w:t xml:space="preserve">od </w:t>
      </w:r>
      <w:r w:rsidR="00F663C5" w:rsidRPr="00E11FF6">
        <w:rPr>
          <w:szCs w:val="22"/>
        </w:rPr>
        <w:t xml:space="preserve">12 </w:t>
      </w:r>
      <w:r w:rsidRPr="00E11FF6">
        <w:rPr>
          <w:szCs w:val="22"/>
        </w:rPr>
        <w:t>rokov</w:t>
      </w:r>
      <w:r w:rsidR="007320B3" w:rsidRPr="00E11FF6">
        <w:rPr>
          <w:szCs w:val="22"/>
        </w:rPr>
        <w:t>.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7320B3" w:rsidP="00072C1D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E11FF6">
        <w:rPr>
          <w:b/>
          <w:szCs w:val="22"/>
        </w:rPr>
        <w:t>Dávkovanie a spôsob podávania</w:t>
      </w:r>
    </w:p>
    <w:p w:rsidR="00072C1D" w:rsidRPr="00E11FF6" w:rsidRDefault="00072C1D" w:rsidP="00072C1D">
      <w:pPr>
        <w:spacing w:line="240" w:lineRule="auto"/>
        <w:rPr>
          <w:szCs w:val="22"/>
          <w:u w:val="single"/>
        </w:rPr>
      </w:pPr>
    </w:p>
    <w:p w:rsidR="00072C1D" w:rsidRPr="00E11FF6" w:rsidRDefault="007320B3" w:rsidP="00072C1D">
      <w:pPr>
        <w:spacing w:line="240" w:lineRule="auto"/>
        <w:rPr>
          <w:szCs w:val="22"/>
          <w:u w:val="single"/>
        </w:rPr>
      </w:pPr>
      <w:r w:rsidRPr="00E11FF6">
        <w:rPr>
          <w:szCs w:val="22"/>
          <w:u w:val="single"/>
        </w:rPr>
        <w:t>Dávkovanie</w:t>
      </w: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Dospelí a dospievajúci (od 15 rokov)</w:t>
      </w: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>1 tablet</w:t>
      </w:r>
      <w:r w:rsidR="00F663C5" w:rsidRPr="00E11FF6">
        <w:rPr>
          <w:szCs w:val="22"/>
        </w:rPr>
        <w:t>a</w:t>
      </w:r>
      <w:r w:rsidRPr="00E11FF6">
        <w:rPr>
          <w:szCs w:val="22"/>
        </w:rPr>
        <w:t xml:space="preserve"> (1000 mg paracetamolu) podľa potreby s intervalom medzi dávkami aspoň 4 hodiny, maximálna jednotlivá dávka je 1 g paracetamolu. Maximálna denná dávka </w:t>
      </w:r>
      <w:r w:rsidR="00F663C5" w:rsidRPr="00E11FF6">
        <w:rPr>
          <w:szCs w:val="22"/>
        </w:rPr>
        <w:t>sú 4 tablety</w:t>
      </w:r>
      <w:r w:rsidRPr="00E11FF6">
        <w:rPr>
          <w:szCs w:val="22"/>
        </w:rPr>
        <w:t xml:space="preserve"> (4 g paracetamolu).</w:t>
      </w:r>
      <w:r w:rsidR="000F473B" w:rsidRPr="00E11FF6">
        <w:rPr>
          <w:szCs w:val="22"/>
        </w:rPr>
        <w:t xml:space="preserve"> </w:t>
      </w:r>
      <w:r w:rsidRPr="00E11FF6">
        <w:rPr>
          <w:szCs w:val="22"/>
        </w:rPr>
        <w:t xml:space="preserve">V prípade dlhodobej liečby (viac </w:t>
      </w:r>
      <w:r w:rsidR="000F473B" w:rsidRPr="00E11FF6">
        <w:rPr>
          <w:szCs w:val="22"/>
        </w:rPr>
        <w:t>ako 10 dní) sa denná dávka 2</w:t>
      </w:r>
      <w:r w:rsidR="00CB18B0" w:rsidRPr="00E11FF6">
        <w:rPr>
          <w:szCs w:val="22"/>
        </w:rPr>
        <w:t>,</w:t>
      </w:r>
      <w:r w:rsidR="000F473B" w:rsidRPr="00E11FF6">
        <w:rPr>
          <w:szCs w:val="22"/>
        </w:rPr>
        <w:t xml:space="preserve">5 </w:t>
      </w:r>
      <w:r w:rsidRPr="00E11FF6">
        <w:rPr>
          <w:szCs w:val="22"/>
        </w:rPr>
        <w:t>g paracetamolu</w:t>
      </w:r>
      <w:r w:rsidR="00F663C5" w:rsidRPr="00E11FF6">
        <w:rPr>
          <w:szCs w:val="22"/>
        </w:rPr>
        <w:t xml:space="preserve"> </w:t>
      </w:r>
      <w:r w:rsidRPr="00E11FF6">
        <w:rPr>
          <w:szCs w:val="22"/>
        </w:rPr>
        <w:t>nemá prekročiť.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7320B3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Pediatrická populácia</w:t>
      </w: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Deti a dospievajúci (12 – 15 rokov)</w:t>
      </w: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 xml:space="preserve">500 mg paracetamolu </w:t>
      </w:r>
      <w:r w:rsidR="00F663C5" w:rsidRPr="00E11FF6">
        <w:rPr>
          <w:szCs w:val="22"/>
        </w:rPr>
        <w:t xml:space="preserve">(1/2 tablety) </w:t>
      </w:r>
      <w:r w:rsidRPr="00E11FF6">
        <w:rPr>
          <w:szCs w:val="22"/>
        </w:rPr>
        <w:t>ako jedna dávka s časovým odstupom medzi dávkami aspoň 6 hodín. Interval sa môže skrátiť, ak je to potrebné, na 4 hodiny, avšak celková denná dávka sa nemá prekročiť.</w:t>
      </w:r>
      <w:r w:rsidR="00F663C5" w:rsidRPr="00E11FF6">
        <w:rPr>
          <w:szCs w:val="22"/>
        </w:rPr>
        <w:t xml:space="preserve"> Maximálna denná dávka sú 3 tablety (3 g paracetamolu). 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Deti (</w:t>
      </w:r>
      <w:r w:rsidR="00F663C5" w:rsidRPr="00E11FF6">
        <w:rPr>
          <w:i/>
          <w:szCs w:val="22"/>
        </w:rPr>
        <w:t>mladšie ako</w:t>
      </w:r>
      <w:r w:rsidRPr="00E11FF6">
        <w:rPr>
          <w:i/>
          <w:szCs w:val="22"/>
        </w:rPr>
        <w:t xml:space="preserve"> 12 rokov) </w:t>
      </w:r>
    </w:p>
    <w:p w:rsidR="00072C1D" w:rsidRPr="00E11FF6" w:rsidRDefault="001E5F29" w:rsidP="00072C1D">
      <w:pPr>
        <w:spacing w:line="240" w:lineRule="auto"/>
        <w:rPr>
          <w:b/>
          <w:szCs w:val="22"/>
        </w:rPr>
      </w:pPr>
      <w:r w:rsidRPr="00E11FF6">
        <w:rPr>
          <w:b/>
          <w:szCs w:val="22"/>
        </w:rPr>
        <w:t xml:space="preserve">Paracetamol nie je určený na použitie u detí mladších ako </w:t>
      </w:r>
      <w:r w:rsidR="00F663C5" w:rsidRPr="00E11FF6">
        <w:rPr>
          <w:b/>
          <w:szCs w:val="22"/>
        </w:rPr>
        <w:t>12</w:t>
      </w:r>
      <w:r w:rsidRPr="00E11FF6">
        <w:rPr>
          <w:b/>
          <w:szCs w:val="22"/>
        </w:rPr>
        <w:t xml:space="preserve"> rokov.</w:t>
      </w:r>
    </w:p>
    <w:p w:rsidR="00072C1D" w:rsidRPr="00E11FF6" w:rsidRDefault="00072C1D" w:rsidP="00072C1D">
      <w:pPr>
        <w:spacing w:line="240" w:lineRule="auto"/>
        <w:rPr>
          <w:b/>
          <w:szCs w:val="22"/>
        </w:rPr>
      </w:pPr>
    </w:p>
    <w:p w:rsidR="00072C1D" w:rsidRPr="00E11FF6" w:rsidRDefault="001E5F29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Porucha funkcie obličiek</w:t>
      </w:r>
    </w:p>
    <w:p w:rsidR="001E5F29" w:rsidRPr="00E11FF6" w:rsidRDefault="001E5F29" w:rsidP="00072C1D">
      <w:pPr>
        <w:spacing w:line="240" w:lineRule="auto"/>
        <w:rPr>
          <w:szCs w:val="22"/>
        </w:rPr>
      </w:pPr>
      <w:r w:rsidRPr="00E11FF6">
        <w:rPr>
          <w:szCs w:val="22"/>
        </w:rPr>
        <w:t>Pri poruche funkcie obličiek je potrebné upraviť dávku nasledovne:</w:t>
      </w:r>
    </w:p>
    <w:p w:rsidR="001E5F29" w:rsidRPr="00E11FF6" w:rsidRDefault="00CB18B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 w:rsidRPr="00E11FF6">
        <w:rPr>
          <w:szCs w:val="22"/>
        </w:rPr>
        <w:lastRenderedPageBreak/>
        <w:t xml:space="preserve">rýchlosť </w:t>
      </w:r>
      <w:r w:rsidR="001E5F29" w:rsidRPr="00E11FF6">
        <w:rPr>
          <w:szCs w:val="22"/>
        </w:rPr>
        <w:t>glomerulárn</w:t>
      </w:r>
      <w:r w:rsidRPr="00E11FF6">
        <w:rPr>
          <w:szCs w:val="22"/>
        </w:rPr>
        <w:t>ej</w:t>
      </w:r>
      <w:r w:rsidR="001E5F29" w:rsidRPr="00E11FF6">
        <w:rPr>
          <w:szCs w:val="22"/>
        </w:rPr>
        <w:t xml:space="preserve"> filtrácie 50 – 10 ml/min: 500 mg</w:t>
      </w:r>
      <w:r w:rsidRPr="00E11FF6">
        <w:rPr>
          <w:szCs w:val="22"/>
        </w:rPr>
        <w:t xml:space="preserve"> (1/2 tablety)</w:t>
      </w:r>
      <w:r w:rsidR="001E5F29" w:rsidRPr="00E11FF6">
        <w:rPr>
          <w:szCs w:val="22"/>
        </w:rPr>
        <w:t xml:space="preserve"> každých 6 hodín  </w:t>
      </w:r>
    </w:p>
    <w:p w:rsidR="001E5F29" w:rsidRPr="00E11FF6" w:rsidRDefault="00CB18B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 w:rsidRPr="00E11FF6">
        <w:rPr>
          <w:szCs w:val="22"/>
        </w:rPr>
        <w:t xml:space="preserve">rýchlosť </w:t>
      </w:r>
      <w:r w:rsidR="001E5F29" w:rsidRPr="00E11FF6">
        <w:rPr>
          <w:szCs w:val="22"/>
        </w:rPr>
        <w:t>glomerulárn</w:t>
      </w:r>
      <w:r w:rsidRPr="00E11FF6">
        <w:rPr>
          <w:szCs w:val="22"/>
        </w:rPr>
        <w:t>ej</w:t>
      </w:r>
      <w:r w:rsidR="001E5F29" w:rsidRPr="00E11FF6">
        <w:rPr>
          <w:szCs w:val="22"/>
        </w:rPr>
        <w:t xml:space="preserve"> filtráci</w:t>
      </w:r>
      <w:r w:rsidRPr="00E11FF6">
        <w:rPr>
          <w:szCs w:val="22"/>
        </w:rPr>
        <w:t>e</w:t>
      </w:r>
      <w:r w:rsidR="001E5F29" w:rsidRPr="00E11FF6">
        <w:rPr>
          <w:szCs w:val="22"/>
        </w:rPr>
        <w:t xml:space="preserve"> menej ako 10 ml/min: 500 mg</w:t>
      </w:r>
      <w:r w:rsidRPr="00E11FF6">
        <w:rPr>
          <w:szCs w:val="22"/>
        </w:rPr>
        <w:t xml:space="preserve"> (1/2 tablety)</w:t>
      </w:r>
      <w:r w:rsidR="001E5F29" w:rsidRPr="00E11FF6">
        <w:rPr>
          <w:szCs w:val="22"/>
        </w:rPr>
        <w:t xml:space="preserve"> každých 8 hodín</w:t>
      </w:r>
    </w:p>
    <w:p w:rsidR="001E5F29" w:rsidRPr="00E11FF6" w:rsidRDefault="001E5F29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spacing w:line="240" w:lineRule="auto"/>
        <w:rPr>
          <w:szCs w:val="22"/>
          <w:u w:val="single"/>
        </w:rPr>
      </w:pPr>
      <w:r w:rsidRPr="00E11FF6">
        <w:rPr>
          <w:szCs w:val="22"/>
          <w:u w:val="single"/>
        </w:rPr>
        <w:t>Spôsob podávania</w:t>
      </w:r>
    </w:p>
    <w:p w:rsidR="001E5F29" w:rsidRPr="00E11FF6" w:rsidRDefault="001E5F29" w:rsidP="001E5F29">
      <w:pPr>
        <w:rPr>
          <w:szCs w:val="22"/>
        </w:rPr>
      </w:pPr>
      <w:r w:rsidRPr="00E11FF6">
        <w:rPr>
          <w:szCs w:val="22"/>
        </w:rPr>
        <w:t>Liek je určený na perorálne podanie.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Kontraindikácie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p</w:t>
      </w:r>
      <w:r w:rsidR="007320B3" w:rsidRPr="00E11FF6">
        <w:rPr>
          <w:szCs w:val="22"/>
        </w:rPr>
        <w:t xml:space="preserve">recitlivenosť na </w:t>
      </w:r>
      <w:r w:rsidRPr="00E11FF6">
        <w:rPr>
          <w:szCs w:val="22"/>
        </w:rPr>
        <w:t>paracetamol</w:t>
      </w:r>
      <w:r w:rsidR="007320B3" w:rsidRPr="00E11FF6">
        <w:rPr>
          <w:szCs w:val="22"/>
        </w:rPr>
        <w:t xml:space="preserve"> alebo na ktorúkoľvek z pomocných látok uvedených v časti 6.1. 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ťažká hemolytická anémia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ťažk</w:t>
      </w:r>
      <w:r w:rsidR="00D75BAF" w:rsidRPr="00E11FF6">
        <w:rPr>
          <w:szCs w:val="22"/>
        </w:rPr>
        <w:t xml:space="preserve">á </w:t>
      </w:r>
      <w:r w:rsidRPr="00E11FF6">
        <w:rPr>
          <w:szCs w:val="22"/>
        </w:rPr>
        <w:t>hepatáln</w:t>
      </w:r>
      <w:r w:rsidR="00D75BAF" w:rsidRPr="00E11FF6">
        <w:rPr>
          <w:szCs w:val="22"/>
        </w:rPr>
        <w:t>a</w:t>
      </w:r>
      <w:r w:rsidRPr="00E11FF6">
        <w:rPr>
          <w:szCs w:val="22"/>
        </w:rPr>
        <w:t xml:space="preserve"> insuficienci</w:t>
      </w:r>
      <w:r w:rsidR="00D75BAF" w:rsidRPr="00E11FF6">
        <w:rPr>
          <w:szCs w:val="22"/>
        </w:rPr>
        <w:t>a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akútna hepatitída</w:t>
      </w:r>
    </w:p>
    <w:p w:rsidR="001E5F29" w:rsidRPr="00E11FF6" w:rsidRDefault="001E5F29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E11FF6">
        <w:rPr>
          <w:b/>
          <w:szCs w:val="22"/>
        </w:rPr>
        <w:t>Osobitné upozornenia a opatrenia pri používaní</w:t>
      </w:r>
    </w:p>
    <w:p w:rsidR="007320B3" w:rsidRPr="00E11FF6" w:rsidRDefault="007320B3" w:rsidP="007320B3">
      <w:pPr>
        <w:keepNext/>
        <w:spacing w:line="240" w:lineRule="auto"/>
        <w:ind w:left="567" w:hanging="567"/>
        <w:rPr>
          <w:b/>
          <w:szCs w:val="22"/>
        </w:rPr>
      </w:pPr>
    </w:p>
    <w:p w:rsidR="001E5F29" w:rsidRPr="00E11FF6" w:rsidRDefault="001E5F29" w:rsidP="001E5F29">
      <w:pPr>
        <w:rPr>
          <w:szCs w:val="22"/>
        </w:rPr>
      </w:pPr>
      <w:r w:rsidRPr="00E11FF6">
        <w:rPr>
          <w:szCs w:val="22"/>
        </w:rPr>
        <w:t xml:space="preserve">Zvýšená opatrnosť je potrebná </w:t>
      </w:r>
      <w:r w:rsidR="000F473B" w:rsidRPr="00E11FF6">
        <w:rPr>
          <w:szCs w:val="22"/>
        </w:rPr>
        <w:t>u</w:t>
      </w:r>
      <w:r w:rsidRPr="00E11FF6">
        <w:rPr>
          <w:szCs w:val="22"/>
        </w:rPr>
        <w:t xml:space="preserve"> paciento</w:t>
      </w:r>
      <w:r w:rsidR="000F473B" w:rsidRPr="00E11FF6">
        <w:rPr>
          <w:szCs w:val="22"/>
        </w:rPr>
        <w:t>v</w:t>
      </w:r>
      <w:r w:rsidRPr="00E11FF6">
        <w:rPr>
          <w:szCs w:val="22"/>
        </w:rPr>
        <w:t xml:space="preserve"> s deficitom glukózo-6-fosfátdehydrogenázy</w:t>
      </w:r>
      <w:r w:rsidR="001208D6" w:rsidRPr="00E11FF6">
        <w:rPr>
          <w:szCs w:val="22"/>
        </w:rPr>
        <w:t xml:space="preserve"> a u pacientov s hemolytickou anémiou.</w:t>
      </w:r>
    </w:p>
    <w:p w:rsidR="001208D6" w:rsidRPr="00E11FF6" w:rsidRDefault="001208D6" w:rsidP="001E5F29">
      <w:pPr>
        <w:rPr>
          <w:szCs w:val="22"/>
        </w:rPr>
      </w:pPr>
    </w:p>
    <w:p w:rsidR="001208D6" w:rsidRPr="00E11FF6" w:rsidRDefault="001208D6" w:rsidP="001E5F29">
      <w:pPr>
        <w:rPr>
          <w:szCs w:val="22"/>
        </w:rPr>
      </w:pPr>
      <w:r w:rsidRPr="00E11FF6">
        <w:rPr>
          <w:szCs w:val="22"/>
        </w:rPr>
        <w:t xml:space="preserve">Opatrnosť je tiež potrebná u pacientov s poruchou funkcie obličiek, odporúča sa postupná úprava dávkovania (pozri časť 4.2). Pri dlhodobej liečbe Paracetamolom Saneca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nemožno vylúčiť obličkovú nedostatočnosť. </w:t>
      </w:r>
    </w:p>
    <w:p w:rsidR="001208D6" w:rsidRPr="00E11FF6" w:rsidRDefault="001208D6" w:rsidP="001E5F29">
      <w:pPr>
        <w:rPr>
          <w:szCs w:val="22"/>
        </w:rPr>
      </w:pPr>
    </w:p>
    <w:p w:rsidR="001208D6" w:rsidRPr="00E11FF6" w:rsidRDefault="001208D6" w:rsidP="001E5F29">
      <w:pPr>
        <w:rPr>
          <w:szCs w:val="22"/>
        </w:rPr>
      </w:pPr>
      <w:r w:rsidRPr="00E11FF6">
        <w:rPr>
          <w:szCs w:val="22"/>
        </w:rPr>
        <w:t>Užívanie vyšších dávok ako odporúčaných môže viesť k</w:t>
      </w:r>
      <w:r w:rsidR="00FB6ABE" w:rsidRPr="00E11FF6">
        <w:rPr>
          <w:szCs w:val="22"/>
        </w:rPr>
        <w:t xml:space="preserve"> ťažkej poruche funkcie </w:t>
      </w:r>
      <w:r w:rsidRPr="00E11FF6">
        <w:rPr>
          <w:szCs w:val="22"/>
        </w:rPr>
        <w:t>pečene.</w:t>
      </w:r>
    </w:p>
    <w:p w:rsidR="00F663C5" w:rsidRPr="00E11FF6" w:rsidRDefault="001208D6" w:rsidP="00F663C5">
      <w:pPr>
        <w:rPr>
          <w:szCs w:val="22"/>
        </w:rPr>
      </w:pPr>
      <w:r w:rsidRPr="00E11FF6">
        <w:rPr>
          <w:szCs w:val="22"/>
        </w:rPr>
        <w:t xml:space="preserve">Pravidelné kontroly funkcie </w:t>
      </w:r>
      <w:r w:rsidR="00CB18B0" w:rsidRPr="00E11FF6">
        <w:rPr>
          <w:szCs w:val="22"/>
        </w:rPr>
        <w:t xml:space="preserve">pečene </w:t>
      </w:r>
      <w:r w:rsidRPr="00E11FF6">
        <w:rPr>
          <w:szCs w:val="22"/>
        </w:rPr>
        <w:t xml:space="preserve">sa odporúčajú u pacientov s miernym až stredne závažným ochorením pečene a u pacientov dlhodobo užívajúcich vysoké dávky paracetamolu. </w:t>
      </w:r>
      <w:r w:rsidR="00B87E6A" w:rsidRPr="00E11FF6">
        <w:rPr>
          <w:szCs w:val="22"/>
        </w:rPr>
        <w:t>Riziko predávkovania je vyššie u pacientov s ochorením pečene.</w:t>
      </w:r>
    </w:p>
    <w:p w:rsidR="00F663C5" w:rsidRPr="00E11FF6" w:rsidRDefault="00F663C5" w:rsidP="00F663C5">
      <w:pPr>
        <w:rPr>
          <w:szCs w:val="22"/>
        </w:rPr>
      </w:pPr>
    </w:p>
    <w:p w:rsidR="00B87E6A" w:rsidRPr="00E11FF6" w:rsidRDefault="00B87E6A" w:rsidP="00F663C5">
      <w:pPr>
        <w:rPr>
          <w:szCs w:val="22"/>
        </w:rPr>
      </w:pPr>
      <w:r w:rsidRPr="00E11FF6">
        <w:rPr>
          <w:szCs w:val="22"/>
        </w:rPr>
        <w:t>Vzhľadom na po</w:t>
      </w:r>
      <w:r w:rsidR="002E4BD2" w:rsidRPr="00E11FF6">
        <w:rPr>
          <w:szCs w:val="22"/>
        </w:rPr>
        <w:t>st</w:t>
      </w:r>
      <w:r w:rsidRPr="00E11FF6">
        <w:rPr>
          <w:szCs w:val="22"/>
        </w:rPr>
        <w:t>-marketingové skúsenosti s paracetamolo</w:t>
      </w:r>
      <w:r w:rsidR="000F473B" w:rsidRPr="00E11FF6">
        <w:rPr>
          <w:szCs w:val="22"/>
        </w:rPr>
        <w:t>m</w:t>
      </w:r>
      <w:r w:rsidRPr="00E11FF6">
        <w:rPr>
          <w:szCs w:val="22"/>
        </w:rPr>
        <w:t>, hepatotoxicita sa môže tiež objaviť pri nižších dávkach alebo počas krátkodobej liečby u pacientov bez predchádzajúcej poruchy funkcie pečene, ak je spoluaktívny alkohol, hepatálne induktory alebo iné látky toxické pre pečeň (pozri časť 4.5). Dlhodobá závislos</w:t>
      </w:r>
      <w:r w:rsidR="000F473B" w:rsidRPr="00E11FF6">
        <w:rPr>
          <w:szCs w:val="22"/>
        </w:rPr>
        <w:t>ť</w:t>
      </w:r>
      <w:r w:rsidRPr="00E11FF6">
        <w:rPr>
          <w:szCs w:val="22"/>
        </w:rPr>
        <w:t xml:space="preserve"> </w:t>
      </w:r>
      <w:r w:rsidR="00FB6ABE" w:rsidRPr="00E11FF6">
        <w:rPr>
          <w:szCs w:val="22"/>
        </w:rPr>
        <w:t xml:space="preserve">na alkohole </w:t>
      </w:r>
      <w:r w:rsidRPr="00E11FF6">
        <w:rPr>
          <w:szCs w:val="22"/>
        </w:rPr>
        <w:t>zvyšuje riziko paracetamolovej hepatotoxicity. Najvyššie riziko je u chronických alkoholikov, ktorí krátkodobo abstinujú (12 hodín).</w:t>
      </w:r>
    </w:p>
    <w:p w:rsidR="00B87E6A" w:rsidRPr="00E11FF6" w:rsidRDefault="00B87E6A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891A33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Počas liečby Paracetamolom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sa </w:t>
      </w:r>
      <w:r w:rsidR="000F473B" w:rsidRPr="00E11FF6">
        <w:rPr>
          <w:szCs w:val="22"/>
        </w:rPr>
        <w:t>treba vyhnúť</w:t>
      </w:r>
      <w:r w:rsidRPr="00E11FF6">
        <w:rPr>
          <w:szCs w:val="22"/>
        </w:rPr>
        <w:t xml:space="preserve"> k</w:t>
      </w:r>
      <w:r w:rsidR="00B87E6A" w:rsidRPr="00E11FF6">
        <w:rPr>
          <w:szCs w:val="22"/>
        </w:rPr>
        <w:t>onzumáci</w:t>
      </w:r>
      <w:r w:rsidRPr="00E11FF6">
        <w:rPr>
          <w:szCs w:val="22"/>
        </w:rPr>
        <w:t>i</w:t>
      </w:r>
      <w:r w:rsidR="00B87E6A" w:rsidRPr="00E11FF6">
        <w:rPr>
          <w:szCs w:val="22"/>
        </w:rPr>
        <w:t xml:space="preserve"> alkoholu</w:t>
      </w:r>
      <w:r w:rsidRPr="00E11FF6">
        <w:rPr>
          <w:szCs w:val="22"/>
        </w:rPr>
        <w:t>.</w:t>
      </w:r>
    </w:p>
    <w:p w:rsidR="00891A33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1E5F29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nemajú bez konzultácie s lekárom užívať pacienti trpiaci ochorením pečene a/alebo tí, ktorí užívajú iné lieky obsahujúce paracetamol.  </w:t>
      </w:r>
      <w:r w:rsidR="00B87E6A" w:rsidRPr="00E11FF6">
        <w:rPr>
          <w:szCs w:val="22"/>
        </w:rPr>
        <w:t xml:space="preserve">  </w:t>
      </w:r>
    </w:p>
    <w:p w:rsidR="001E5F29" w:rsidRPr="00E11FF6" w:rsidRDefault="001E5F29" w:rsidP="007320B3">
      <w:pPr>
        <w:keepNext/>
        <w:spacing w:line="240" w:lineRule="auto"/>
        <w:ind w:left="567" w:hanging="567"/>
        <w:rPr>
          <w:szCs w:val="22"/>
        </w:rPr>
      </w:pPr>
    </w:p>
    <w:p w:rsidR="001E5F29" w:rsidRPr="00E11FF6" w:rsidRDefault="00710709" w:rsidP="00B00CD7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Protrombínový čas </w:t>
      </w:r>
      <w:r w:rsidR="00B00CD7" w:rsidRPr="00E11FF6">
        <w:rPr>
          <w:szCs w:val="22"/>
        </w:rPr>
        <w:t xml:space="preserve">sa má sledovať u pacientov užívajúcich </w:t>
      </w:r>
      <w:r w:rsidR="002E4BD2" w:rsidRPr="00E11FF6">
        <w:rPr>
          <w:szCs w:val="22"/>
        </w:rPr>
        <w:t>per</w:t>
      </w:r>
      <w:r w:rsidR="00B00CD7" w:rsidRPr="00E11FF6">
        <w:rPr>
          <w:szCs w:val="22"/>
        </w:rPr>
        <w:t xml:space="preserve">orálne antikoagulanciá a vyššie dávky paracetamolu, najmä v kombinácii s dextropropoxyfénom alebo kodeínom. </w:t>
      </w:r>
    </w:p>
    <w:p w:rsidR="00B00CD7" w:rsidRPr="00E11FF6" w:rsidRDefault="00B00CD7" w:rsidP="007320B3">
      <w:pPr>
        <w:keepNext/>
        <w:spacing w:line="240" w:lineRule="auto"/>
        <w:ind w:left="567" w:hanging="567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i/>
          <w:szCs w:val="22"/>
        </w:rPr>
      </w:pPr>
      <w:r w:rsidRPr="00E11FF6">
        <w:rPr>
          <w:szCs w:val="22"/>
          <w:u w:val="single"/>
        </w:rPr>
        <w:t>Pediatrická populácia</w:t>
      </w:r>
    </w:p>
    <w:p w:rsidR="007320B3" w:rsidRPr="00E11FF6" w:rsidRDefault="00B00CD7" w:rsidP="007320B3">
      <w:pPr>
        <w:spacing w:line="240" w:lineRule="auto"/>
        <w:outlineLvl w:val="0"/>
        <w:rPr>
          <w:szCs w:val="22"/>
        </w:rPr>
      </w:pPr>
      <w:r w:rsidRPr="00E11FF6">
        <w:rPr>
          <w:szCs w:val="22"/>
        </w:rPr>
        <w:t xml:space="preserve">Paracetamol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nie je určený pre deti mladšie ako </w:t>
      </w:r>
      <w:r w:rsidR="00F663C5" w:rsidRPr="00E11FF6">
        <w:rPr>
          <w:szCs w:val="22"/>
        </w:rPr>
        <w:t>12</w:t>
      </w:r>
      <w:r w:rsidRPr="00E11FF6">
        <w:rPr>
          <w:szCs w:val="22"/>
        </w:rPr>
        <w:t xml:space="preserve"> rokov. </w:t>
      </w:r>
    </w:p>
    <w:p w:rsidR="00B00CD7" w:rsidRPr="00E11FF6" w:rsidRDefault="00B00CD7" w:rsidP="007320B3">
      <w:pPr>
        <w:spacing w:line="240" w:lineRule="auto"/>
        <w:outlineLvl w:val="0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Liekové a iné interakcie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B00CD7" w:rsidP="007320B3">
      <w:pPr>
        <w:spacing w:line="240" w:lineRule="auto"/>
        <w:rPr>
          <w:szCs w:val="22"/>
        </w:rPr>
      </w:pPr>
      <w:r w:rsidRPr="00E11FF6">
        <w:rPr>
          <w:i/>
          <w:szCs w:val="22"/>
        </w:rPr>
        <w:t xml:space="preserve">Hepatotoxické látky </w:t>
      </w:r>
      <w:r w:rsidRPr="00E11FF6">
        <w:rPr>
          <w:szCs w:val="22"/>
        </w:rPr>
        <w:t xml:space="preserve">môžu zvyšovať riziko hromadenia sa </w:t>
      </w:r>
      <w:r w:rsidR="00FB6ABE" w:rsidRPr="00E11FF6">
        <w:rPr>
          <w:szCs w:val="22"/>
        </w:rPr>
        <w:t xml:space="preserve">paracetamolu </w:t>
      </w:r>
      <w:r w:rsidRPr="00E11FF6">
        <w:rPr>
          <w:szCs w:val="22"/>
        </w:rPr>
        <w:t xml:space="preserve">a predávkovania </w:t>
      </w:r>
      <w:r w:rsidR="00FB6ABE" w:rsidRPr="00E11FF6">
        <w:rPr>
          <w:szCs w:val="22"/>
        </w:rPr>
        <w:t xml:space="preserve">sa </w:t>
      </w:r>
      <w:r w:rsidRPr="00E11FF6">
        <w:rPr>
          <w:szCs w:val="22"/>
        </w:rPr>
        <w:t xml:space="preserve">paracetamolom. </w:t>
      </w:r>
    </w:p>
    <w:p w:rsidR="00B00CD7" w:rsidRPr="00E11FF6" w:rsidRDefault="00B00CD7" w:rsidP="007320B3">
      <w:pPr>
        <w:spacing w:line="240" w:lineRule="auto"/>
        <w:rPr>
          <w:szCs w:val="22"/>
        </w:rPr>
      </w:pP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zvyšuje plazmatické hladiny </w:t>
      </w:r>
      <w:r w:rsidRPr="00E11FF6">
        <w:rPr>
          <w:i/>
          <w:szCs w:val="22"/>
        </w:rPr>
        <w:t>kyseliny acetylsalicylovej</w:t>
      </w:r>
      <w:r w:rsidRPr="00E11FF6">
        <w:rPr>
          <w:szCs w:val="22"/>
        </w:rPr>
        <w:t xml:space="preserve"> a </w:t>
      </w:r>
      <w:r w:rsidRPr="00E11FF6">
        <w:rPr>
          <w:i/>
          <w:szCs w:val="22"/>
        </w:rPr>
        <w:t>chloramfenikolu</w:t>
      </w:r>
      <w:r w:rsidRPr="00E11FF6">
        <w:rPr>
          <w:szCs w:val="22"/>
        </w:rPr>
        <w:t>.</w:t>
      </w: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t>Súbežné užívanie paracetamolu s NSAID (najmä kyselina acety</w:t>
      </w:r>
      <w:r w:rsidR="002E4BD2" w:rsidRPr="00E11FF6">
        <w:rPr>
          <w:szCs w:val="22"/>
        </w:rPr>
        <w:t>l</w:t>
      </w:r>
      <w:r w:rsidRPr="00E11FF6">
        <w:rPr>
          <w:szCs w:val="22"/>
        </w:rPr>
        <w:t>salicylová) vo vyšších dávkach zvyšuje rizi</w:t>
      </w:r>
      <w:r w:rsidR="00FB6ABE" w:rsidRPr="00E11FF6">
        <w:rPr>
          <w:szCs w:val="22"/>
        </w:rPr>
        <w:t xml:space="preserve">ko analgetickej nefropatie a iných </w:t>
      </w:r>
      <w:r w:rsidR="002E4BD2" w:rsidRPr="00E11FF6">
        <w:rPr>
          <w:szCs w:val="22"/>
        </w:rPr>
        <w:t xml:space="preserve">renálnych </w:t>
      </w:r>
      <w:r w:rsidR="00FB6ABE" w:rsidRPr="00E11FF6">
        <w:rPr>
          <w:szCs w:val="22"/>
        </w:rPr>
        <w:t>nežiaducich účinkov</w:t>
      </w:r>
      <w:r w:rsidRPr="00E11FF6">
        <w:rPr>
          <w:szCs w:val="22"/>
        </w:rPr>
        <w:t>.</w:t>
      </w:r>
    </w:p>
    <w:p w:rsidR="00B00CD7" w:rsidRPr="00E11FF6" w:rsidRDefault="00B00CD7" w:rsidP="007320B3">
      <w:pPr>
        <w:spacing w:line="240" w:lineRule="auto"/>
        <w:rPr>
          <w:szCs w:val="22"/>
        </w:rPr>
      </w:pP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lastRenderedPageBreak/>
        <w:t xml:space="preserve">Súbežné </w:t>
      </w:r>
      <w:r w:rsidR="00655744" w:rsidRPr="00E11FF6">
        <w:rPr>
          <w:szCs w:val="22"/>
        </w:rPr>
        <w:t xml:space="preserve">užívanie </w:t>
      </w:r>
      <w:r w:rsidR="00655744" w:rsidRPr="00E11FF6">
        <w:rPr>
          <w:i/>
          <w:szCs w:val="22"/>
        </w:rPr>
        <w:t>induktorov hepatálnych enzýmov</w:t>
      </w:r>
      <w:r w:rsidR="00655744" w:rsidRPr="00E11FF6">
        <w:rPr>
          <w:szCs w:val="22"/>
        </w:rPr>
        <w:t>, napr. barbituráty, inhibítory monoaminooxidázy, tricyklické antidepresíva, ľubovník bodkovaný, antiepileptiká (okrem glutetimidu, fenobarbitalu, fenytoínu, karbamazepínu) a </w:t>
      </w:r>
      <w:r w:rsidR="00655744" w:rsidRPr="00E11FF6">
        <w:rPr>
          <w:i/>
          <w:szCs w:val="22"/>
        </w:rPr>
        <w:t>rifampicínu</w:t>
      </w:r>
      <w:r w:rsidR="00655744" w:rsidRPr="00E11FF6">
        <w:rPr>
          <w:szCs w:val="22"/>
        </w:rPr>
        <w:t xml:space="preserve"> - dávky paracetamolu, ktoré sú zvyčajne bezpečné, môžu viesť k poruche funkcie pečen</w:t>
      </w:r>
      <w:r w:rsidR="00FB6ABE" w:rsidRPr="00E11FF6">
        <w:rPr>
          <w:szCs w:val="22"/>
        </w:rPr>
        <w:t>e. To isté platí aj pre nadmernú</w:t>
      </w:r>
      <w:r w:rsidR="00655744" w:rsidRPr="00E11FF6">
        <w:rPr>
          <w:szCs w:val="22"/>
        </w:rPr>
        <w:t xml:space="preserve"> </w:t>
      </w:r>
      <w:r w:rsidR="00FB6ABE" w:rsidRPr="00E11FF6">
        <w:rPr>
          <w:szCs w:val="22"/>
        </w:rPr>
        <w:t>konzumáciu</w:t>
      </w:r>
      <w:r w:rsidR="00655744" w:rsidRPr="00E11FF6">
        <w:rPr>
          <w:szCs w:val="22"/>
        </w:rPr>
        <w:t xml:space="preserve"> </w:t>
      </w:r>
      <w:r w:rsidR="00655744" w:rsidRPr="00E11FF6">
        <w:rPr>
          <w:i/>
          <w:szCs w:val="22"/>
        </w:rPr>
        <w:t>alkoholu</w:t>
      </w:r>
      <w:r w:rsidR="00655744" w:rsidRPr="00E11FF6">
        <w:rPr>
          <w:szCs w:val="22"/>
        </w:rPr>
        <w:t xml:space="preserve">.  </w:t>
      </w:r>
    </w:p>
    <w:p w:rsidR="00B00CD7" w:rsidRPr="00E11FF6" w:rsidRDefault="00B00CD7" w:rsidP="007320B3">
      <w:pPr>
        <w:spacing w:line="240" w:lineRule="auto"/>
        <w:rPr>
          <w:i/>
          <w:szCs w:val="22"/>
        </w:rPr>
      </w:pPr>
    </w:p>
    <w:p w:rsidR="007320B3" w:rsidRPr="00E11FF6" w:rsidRDefault="00655744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Absorpcia paracetamolu môže byť zvýšená  </w:t>
      </w:r>
      <w:r w:rsidRPr="00E11FF6">
        <w:rPr>
          <w:i/>
          <w:szCs w:val="22"/>
        </w:rPr>
        <w:t>metoklopramidom</w:t>
      </w:r>
      <w:r w:rsidRPr="00E11FF6">
        <w:rPr>
          <w:szCs w:val="22"/>
        </w:rPr>
        <w:t xml:space="preserve"> alebo </w:t>
      </w:r>
      <w:r w:rsidRPr="00E11FF6">
        <w:rPr>
          <w:i/>
          <w:szCs w:val="22"/>
        </w:rPr>
        <w:t>domperidónom</w:t>
      </w:r>
      <w:r w:rsidRPr="00E11FF6">
        <w:rPr>
          <w:szCs w:val="22"/>
        </w:rPr>
        <w:t xml:space="preserve"> a znížená </w:t>
      </w:r>
      <w:r w:rsidR="00DC4365" w:rsidRPr="00DC4365">
        <w:rPr>
          <w:i/>
          <w:szCs w:val="22"/>
        </w:rPr>
        <w:t>kolestyramínom</w:t>
      </w:r>
      <w:r w:rsidR="00DC4365" w:rsidRPr="00DC4365">
        <w:rPr>
          <w:szCs w:val="22"/>
        </w:rPr>
        <w:t xml:space="preserve">. 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655744" w:rsidRPr="00E11FF6" w:rsidRDefault="00DC4365" w:rsidP="007320B3">
      <w:pPr>
        <w:spacing w:line="240" w:lineRule="auto"/>
        <w:rPr>
          <w:szCs w:val="22"/>
        </w:rPr>
      </w:pPr>
      <w:r w:rsidRPr="00DC4365">
        <w:rPr>
          <w:i/>
          <w:szCs w:val="22"/>
        </w:rPr>
        <w:t>Probenecid</w:t>
      </w:r>
      <w:r w:rsidRPr="00DC4365">
        <w:rPr>
          <w:szCs w:val="22"/>
        </w:rPr>
        <w:t xml:space="preserve"> a </w:t>
      </w:r>
      <w:r w:rsidRPr="00DC4365">
        <w:rPr>
          <w:i/>
          <w:szCs w:val="22"/>
        </w:rPr>
        <w:t>salicylamid</w:t>
      </w:r>
      <w:r w:rsidRPr="00DC4365">
        <w:rPr>
          <w:szCs w:val="22"/>
        </w:rPr>
        <w:t xml:space="preserve"> ovplyvňujú vylučovanie a koncentráciu paracetamolu v plazme.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655744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Antikoagulačný účinok </w:t>
      </w:r>
      <w:r w:rsidRPr="00DC4365">
        <w:rPr>
          <w:i/>
          <w:szCs w:val="22"/>
        </w:rPr>
        <w:t xml:space="preserve">warfarínu </w:t>
      </w:r>
      <w:r w:rsidRPr="00DC4365">
        <w:rPr>
          <w:szCs w:val="22"/>
        </w:rPr>
        <w:t>a </w:t>
      </w:r>
      <w:r w:rsidRPr="00DC4365">
        <w:rPr>
          <w:i/>
          <w:szCs w:val="22"/>
        </w:rPr>
        <w:t>iných kumarínov</w:t>
      </w:r>
      <w:r w:rsidRPr="00DC4365">
        <w:rPr>
          <w:szCs w:val="22"/>
        </w:rPr>
        <w:t xml:space="preserve"> môže byť zvýšený predĺženým pravidelným denným užívaním paracetamolu so zvýšeným rizikom krvácania. Občasné užitie nemá žiadny významný účinok. 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Súbežné užívanie liekov predlžujúcich vyprázdňovanie žalúdka, ako je </w:t>
      </w:r>
      <w:r w:rsidRPr="00DC4365">
        <w:rPr>
          <w:i/>
          <w:szCs w:val="22"/>
        </w:rPr>
        <w:t>propantelín</w:t>
      </w:r>
      <w:r w:rsidRPr="00DC4365">
        <w:rPr>
          <w:szCs w:val="22"/>
        </w:rPr>
        <w:t>, môže viesť k pomalšej absorpcii a predĺženému účinku paracetamolu.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Zníženie účinku </w:t>
      </w:r>
      <w:r w:rsidRPr="00DC4365">
        <w:rPr>
          <w:i/>
          <w:szCs w:val="22"/>
        </w:rPr>
        <w:t>lamotrigínu</w:t>
      </w:r>
      <w:r w:rsidRPr="00DC4365">
        <w:rPr>
          <w:szCs w:val="22"/>
        </w:rPr>
        <w:t xml:space="preserve"> spoločne s jeho zvýšeným hepatálnym klírensom bolo hlásené u pacientov súbežne užívajúcich paracetamol. 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Súbežné užívanie paracetamolu a </w:t>
      </w:r>
      <w:r w:rsidRPr="00DC4365">
        <w:rPr>
          <w:i/>
          <w:szCs w:val="22"/>
        </w:rPr>
        <w:t>izoniazidu</w:t>
      </w:r>
      <w:r w:rsidRPr="00DC4365">
        <w:rPr>
          <w:szCs w:val="22"/>
        </w:rPr>
        <w:t xml:space="preserve"> môže zvyšovať riziko hepatotoxicity.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Rozvoj neutropénie a hepatotoxicity sa pozoroval pri súbežnej liečbe paracetamolom a </w:t>
      </w:r>
      <w:r w:rsidRPr="00DC4365">
        <w:rPr>
          <w:i/>
          <w:szCs w:val="22"/>
        </w:rPr>
        <w:t>zidovudínom</w:t>
      </w:r>
      <w:r w:rsidRPr="00DC4365">
        <w:rPr>
          <w:szCs w:val="22"/>
        </w:rPr>
        <w:t xml:space="preserve">. Paracetamol </w:t>
      </w:r>
      <w:r w:rsidR="00943EC3">
        <w:rPr>
          <w:szCs w:val="22"/>
        </w:rPr>
        <w:t>Xantis</w:t>
      </w:r>
      <w:r w:rsidRPr="00DC4365">
        <w:rPr>
          <w:szCs w:val="22"/>
        </w:rPr>
        <w:t xml:space="preserve"> 1000 mg sa má užívať len po starostlivom zvážení prínosov a rizík. 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Fertilita, gravidita a laktácia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  <w:u w:val="single"/>
        </w:rPr>
        <w:t>Gravidita</w:t>
      </w:r>
    </w:p>
    <w:p w:rsidR="00B17C97" w:rsidRPr="00E11FF6" w:rsidRDefault="00DC4365" w:rsidP="00B17C97">
      <w:pPr>
        <w:widowControl w:val="0"/>
        <w:rPr>
          <w:szCs w:val="22"/>
        </w:rPr>
      </w:pPr>
      <w:r w:rsidRPr="00DC4365">
        <w:rPr>
          <w:szCs w:val="22"/>
        </w:rPr>
        <w:t>Veľké množstvo údajov u gravidných žien nepoukazuje na malformačnú toxicitu ani na toxický vplyv na plod/novorodenca. Paracetamol sa môže podávať počas tehotenstva, ak je klinicky indikovaný, avšak má sa použiť najnižšia účinná dávka počas najkratšej možnej doby a s čo najnižšou možnou frekvenciou.</w:t>
      </w:r>
    </w:p>
    <w:p w:rsidR="00B17C97" w:rsidRPr="00E11FF6" w:rsidRDefault="00B17C97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  <w:u w:val="single"/>
        </w:rPr>
      </w:pPr>
      <w:r w:rsidRPr="00DC4365">
        <w:rPr>
          <w:szCs w:val="22"/>
          <w:u w:val="single"/>
        </w:rPr>
        <w:t>Dojčenie</w:t>
      </w:r>
    </w:p>
    <w:p w:rsidR="00B17C97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Paracetamol sa vylučuje do materského mlieka, ale v množstvách, ktoré nie sú klinicky významné. Počas krátkodobej liečby paracetamolom nie je potrebné ukončovať dojčenie, ak je novorodenec starostlivo sledovaný. Hoci počas dlhodobej liečby paracetamolom sa nepozorovali u novorodencov nežiaduce účinky, bol hlásený jeden prípad makulopapulárnej vyrážky.  </w:t>
      </w:r>
    </w:p>
    <w:p w:rsidR="00B17C97" w:rsidRPr="00E11FF6" w:rsidRDefault="00B17C97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  <w:u w:val="single"/>
        </w:rPr>
        <w:t>Fertilita</w:t>
      </w:r>
    </w:p>
    <w:p w:rsidR="00B17C97" w:rsidRPr="00E11FF6" w:rsidRDefault="00DC4365" w:rsidP="00B17C97">
      <w:pPr>
        <w:rPr>
          <w:szCs w:val="22"/>
        </w:rPr>
      </w:pPr>
      <w:r>
        <w:rPr>
          <w:szCs w:val="22"/>
        </w:rPr>
        <w:t xml:space="preserve">Štúdie chronickej toxicity paracetamolu u zvierat preukázali výskyt atrofie semenníkov a inhibíciu spermatogenézy, relevancia tohto nálezu u človeka však nie je známa. </w:t>
      </w:r>
    </w:p>
    <w:p w:rsidR="007320B3" w:rsidRPr="00E11FF6" w:rsidRDefault="007320B3" w:rsidP="007320B3">
      <w:pPr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Ovplyvnenie schopnosti viesť vozidlá a obsluhovať stroje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Paracetamol </w:t>
      </w:r>
      <w:r w:rsidR="006226DB">
        <w:rPr>
          <w:szCs w:val="22"/>
        </w:rPr>
        <w:t>Xantis</w:t>
      </w:r>
      <w:r w:rsidRPr="00DC4365">
        <w:rPr>
          <w:szCs w:val="22"/>
        </w:rPr>
        <w:t xml:space="preserve"> 1000 mg nemá žiadny vplyv na schopnosť viesť vozidlá a obsluhovať stroje.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Nežiaduce účinky</w:t>
      </w:r>
    </w:p>
    <w:p w:rsidR="007320B3" w:rsidRPr="00E11FF6" w:rsidRDefault="007320B3" w:rsidP="007320B3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4C63D2" w:rsidRPr="00E11FF6" w:rsidRDefault="00DC4365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Nasledujúce nežiaduce účinky sú rozdelené podľa orgánových tried a na základe frekvencie výskytu sa delia na:</w:t>
      </w:r>
    </w:p>
    <w:p w:rsidR="004C63D2" w:rsidRPr="00E11FF6" w:rsidRDefault="00DC4365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veľmi časté 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časté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1/100 až &lt;1/10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menej časté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1/1 000 až &lt;1/100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zriedkavé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1/10 000 až &lt;1/1 000</w:t>
      </w:r>
      <w:r>
        <w:rPr>
          <w:szCs w:val="22"/>
        </w:rPr>
        <w:t>); menej zriedkavé (&lt;1/10 000); neznáme (z dostupných údajov).</w:t>
      </w:r>
    </w:p>
    <w:p w:rsidR="007320B3" w:rsidRPr="00E11FF6" w:rsidRDefault="007320B3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ED7276" w:rsidRPr="00E11FF6" w:rsidRDefault="00ED7276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1842"/>
        <w:gridCol w:w="4568"/>
      </w:tblGrid>
      <w:tr w:rsidR="004C63D2" w:rsidRPr="00E11FF6" w:rsidTr="004C63D2">
        <w:tc>
          <w:tcPr>
            <w:tcW w:w="2802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lastRenderedPageBreak/>
              <w:t>Trieda orgánov</w:t>
            </w:r>
          </w:p>
        </w:tc>
        <w:tc>
          <w:tcPr>
            <w:tcW w:w="1842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t xml:space="preserve">Frekvencia </w:t>
            </w:r>
          </w:p>
        </w:tc>
        <w:tc>
          <w:tcPr>
            <w:tcW w:w="4568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t>Nežiaduce účinky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Porucha krvi a lymfatického systému</w:t>
            </w: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trombocytopénia, agranulocytóza, leukopénia, pancytopénia, neutropénia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imunitného systému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anafylaxia (vrátane anafylaktického šoku), angioedém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dýchacej sústavy, hrudníka a mediastína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bronchospazmus</w:t>
            </w:r>
          </w:p>
        </w:tc>
      </w:tr>
      <w:tr w:rsidR="004C63D2" w:rsidRPr="00E11FF6" w:rsidTr="004C63D2">
        <w:tc>
          <w:tcPr>
            <w:tcW w:w="2802" w:type="dxa"/>
            <w:vMerge w:val="restart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pečene a žlčových ciest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žltačka</w:t>
            </w:r>
          </w:p>
        </w:tc>
      </w:tr>
      <w:tr w:rsidR="004C63D2" w:rsidRPr="00E11FF6" w:rsidTr="004C63D2">
        <w:tc>
          <w:tcPr>
            <w:tcW w:w="2802" w:type="dxa"/>
            <w:vMerge/>
          </w:tcPr>
          <w:p w:rsidR="004C63D2" w:rsidRPr="00E11FF6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 xml:space="preserve">Neznáme 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cytolytická hepatitída, ktorá môže viesť k akútnemu zlyhaniu pečene</w:t>
            </w:r>
          </w:p>
        </w:tc>
      </w:tr>
      <w:tr w:rsidR="004C63D2" w:rsidRPr="00E11FF6" w:rsidTr="004C63D2">
        <w:tc>
          <w:tcPr>
            <w:tcW w:w="2802" w:type="dxa"/>
            <w:vMerge w:val="restart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kože a podkožného tkaniva</w:t>
            </w: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 xml:space="preserve">Zriedkavé 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kožná alergická reakcia, vyrážka</w:t>
            </w:r>
          </w:p>
        </w:tc>
      </w:tr>
      <w:tr w:rsidR="004C63D2" w:rsidRPr="00E11FF6" w:rsidTr="004C63D2">
        <w:tc>
          <w:tcPr>
            <w:tcW w:w="2802" w:type="dxa"/>
            <w:vMerge/>
          </w:tcPr>
          <w:p w:rsidR="004C63D2" w:rsidRPr="00E11FF6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erytém, žihľavka, závažné kožné reakcie, ako je toxická epidermálna nekrolýza (TEN), Stevensov-Johnsonov syndróm (SJS), akútna generalizovaná exantematózna pustulóza, fixný liekový exantém</w:t>
            </w:r>
          </w:p>
        </w:tc>
      </w:tr>
    </w:tbl>
    <w:p w:rsidR="004C63D2" w:rsidRPr="00E11FF6" w:rsidRDefault="004C63D2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320B3" w:rsidRPr="00E11FF6" w:rsidRDefault="00DC4365" w:rsidP="007320B3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DC4365">
        <w:rPr>
          <w:szCs w:val="22"/>
          <w:u w:val="single"/>
        </w:rPr>
        <w:t>Hlásenie podozrení na nežiaduce reakcie</w:t>
      </w:r>
    </w:p>
    <w:p w:rsidR="007320B3" w:rsidRPr="00E11FF6" w:rsidRDefault="00DC4365" w:rsidP="007320B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DC4365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DC4365">
        <w:rPr>
          <w:szCs w:val="22"/>
          <w:highlight w:val="lightGray"/>
        </w:rPr>
        <w:t>národné centrum hlásenia uvedené v </w:t>
      </w:r>
      <w:hyperlink r:id="rId7" w:history="1">
        <w:r w:rsidR="007320B3" w:rsidRPr="00E11FF6">
          <w:rPr>
            <w:rStyle w:val="Hypertextovprepojenie"/>
            <w:szCs w:val="22"/>
            <w:highlight w:val="lightGray"/>
          </w:rPr>
          <w:t>Prílohe V</w:t>
        </w:r>
      </w:hyperlink>
      <w:r w:rsidR="004C63D2" w:rsidRPr="00E11FF6">
        <w:rPr>
          <w:color w:val="008000"/>
          <w:szCs w:val="22"/>
        </w:rPr>
        <w:t>.</w:t>
      </w:r>
    </w:p>
    <w:p w:rsidR="007320B3" w:rsidRPr="00E11FF6" w:rsidRDefault="007320B3" w:rsidP="007320B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Predávkovanie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Predávkovanie už relatívne nízkymi dávkami paracetamolu (8 – 15 g v závislosti od telesnej hmotnosti pacienta) môže mať za následok závažné poškodenie pečene a niekedy akútnu renálnu tubulárnu nekrózu. </w:t>
      </w: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>K poškodeniu pečene po požití 5 alebo viac gramov paracetamolu môže dôjsť u pacientov s nasledovnými rizikovými faktormi:</w:t>
      </w:r>
    </w:p>
    <w:p w:rsidR="009D5AD6" w:rsidRPr="00E11FF6" w:rsidRDefault="00DC4365" w:rsidP="009D5AD6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dlhodobá liečba enzýmovými induktormi (karbamazepín, glutetimid, fenobarbital, fenytoín, rifampicín, primidón, ľubovník bodkovaný),</w:t>
      </w:r>
    </w:p>
    <w:p w:rsidR="009D5AD6" w:rsidRPr="00E11FF6" w:rsidRDefault="00DC4365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pravidelná konzumácia väčšieho množstva alkoholu,</w:t>
      </w:r>
    </w:p>
    <w:p w:rsidR="009D5AD6" w:rsidRPr="00E11FF6" w:rsidRDefault="00DC4365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pravdepodobnosť, že sú vyčerpané zásoby glutatiónu (napr. pri poruche príjmu potravy, cystickej fibróze, HIV infekcii, hladovaní, kachexii).</w:t>
      </w:r>
    </w:p>
    <w:p w:rsidR="009D5AD6" w:rsidRPr="00E11FF6" w:rsidRDefault="009D5AD6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 w:rsidRPr="00DC4365">
        <w:rPr>
          <w:szCs w:val="22"/>
          <w:u w:val="single"/>
        </w:rPr>
        <w:t>Symptómy</w:t>
      </w:r>
    </w:p>
    <w:p w:rsidR="000F473B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Príznaky predávkovania paracetamolom počas prvých 24 hodím môžu zahŕňať nauzeu, vracanie, stratu chuti do jedla, potenie a bolesť brucha. Príznaky zlyhania pečene sa môžu objaviť v priebehu 12 – 24 hodín od požitia lieku. Môžu sa objaviť abnormality glukózového metabolizmu, hemorágia a hypotenzia. Akútne zlyhanie obličiek s akútnou tubulárnou nekrózou sa môže rozvinúť aj pri absencii závažnej poruchy funkcie pečene. Hlásila sa pankreatitída a srdcové arytmie. Pri závažnej otrave, zlyhanie pečene môže progredovať do encefalopatie, kómy a smrti.    </w:t>
      </w:r>
    </w:p>
    <w:p w:rsidR="000F473B" w:rsidRPr="00E11FF6" w:rsidRDefault="000F473B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Predĺženie protrombínového času je jedným z indikátorom zhoršenia funkcie pečene, a preto sa odporúča jeho monitorovanie. Pacienti, ktorí užívajú induktory enzýmov (karbamazepín, fenytoín, barbituráty, rifampicín) alebo majú v anamnéze abúzus alkoholu, sú náchylnejší na poškodenie pečene. </w:t>
      </w:r>
    </w:p>
    <w:p w:rsidR="00CB0F80" w:rsidRPr="00E11FF6" w:rsidRDefault="00CB0F80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 w:rsidRPr="00DC4365">
        <w:rPr>
          <w:szCs w:val="22"/>
          <w:u w:val="single"/>
        </w:rPr>
        <w:t>Liečba</w:t>
      </w:r>
    </w:p>
    <w:p w:rsidR="00CB0F80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Okamžitá hospitalizácia je zásadná. Vyvolanie vracania, laváž žalúdka sa má použiť u pacientov, ktorí užili paracetamol v predchádzajúcich 4 hodinách. Potom sa má podať metionín (2,5 g perorálne) alebo špecifické antidótum. Podanie aktívneho uhlia s cieľom znížiť gastrointestinálnu absorpciu je otázne. Odporúča sa monitorovanie plazmatickej koncentrácie paracetamolu. Špecifické antidótum N-acetylcysteín sa má podať v priebehu 8 – 15 hodín od predávkovania sa paracetamolom. Účinnosť </w:t>
      </w:r>
      <w:r w:rsidRPr="00DC4365">
        <w:rPr>
          <w:szCs w:val="22"/>
        </w:rPr>
        <w:lastRenderedPageBreak/>
        <w:t>rapídne klesá po tomto čase, avšak N-acetylcysteín môže poskytovať priaznivé účinky až po dobu 24 hodín, a možno aj neskôr. N-acetylcysteín sa podáva dospelým a deťom intravenózne v infúzii 5 % roztoku glukózy s počiatočnou dávkou 150 mg/kg počas 60 minút. Po počiatočnej infúzii nasleduje kontinuálna infúzia. Lekár sa má riadiť pokynmi v nomograme v odporúčaní na liečbu predávkovania sa paracetamolom N-acetylcysteínom vydanom anglickou národnou autoritou MHRA v Septembri 2012 (</w:t>
      </w:r>
      <w:r>
        <w:rPr>
          <w:i/>
          <w:noProof/>
          <w:szCs w:val="22"/>
        </w:rPr>
        <w:t>New simplified guidance on treating paracetamol overdose with intravenous acetylcysteine including an updated treatment nomogram,</w:t>
      </w:r>
      <w:r w:rsidRPr="00DC4365">
        <w:rPr>
          <w:i/>
          <w:szCs w:val="22"/>
        </w:rPr>
        <w:t xml:space="preserve"> Nové zjednodušené odporúčanie na liečbu predávkovania sa paracetamolom s podaním intravenózneho acetylcysteínu vrátane aktualizovaného liečebného nomogramu</w:t>
      </w:r>
      <w:r w:rsidRPr="00DC4365">
        <w:rPr>
          <w:szCs w:val="22"/>
        </w:rPr>
        <w:t xml:space="preserve">). </w:t>
      </w:r>
    </w:p>
    <w:p w:rsidR="00CB0F80" w:rsidRPr="00E11FF6" w:rsidRDefault="00CB0F80" w:rsidP="009D5AD6">
      <w:pPr>
        <w:widowControl w:val="0"/>
        <w:rPr>
          <w:szCs w:val="22"/>
        </w:rPr>
      </w:pPr>
    </w:p>
    <w:p w:rsidR="00CB0F80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N-acetylcysteín sa môže podať aj perorálne, 70 – 140 mg/kg trikrát denne do 10 hodín od predávkovania sa paracetamolom. V prípade veľmi závažnej otravy je možná hemodialýza a hemoperfúzia. </w:t>
      </w:r>
    </w:p>
    <w:p w:rsidR="009D5AD6" w:rsidRPr="00E11FF6" w:rsidRDefault="009D5AD6" w:rsidP="009D5AD6">
      <w:pPr>
        <w:widowControl w:val="0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DC4365">
        <w:rPr>
          <w:b/>
          <w:szCs w:val="22"/>
        </w:rPr>
        <w:t>FARMAKOLOGICKÉ VLASTNOSTI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Farmakodynamické vlastnosti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outlineLvl w:val="0"/>
        <w:rPr>
          <w:szCs w:val="22"/>
        </w:rPr>
      </w:pPr>
      <w:r w:rsidRPr="00DC4365">
        <w:rPr>
          <w:szCs w:val="22"/>
        </w:rPr>
        <w:t>Farmakoterapeutická skupina: analgetiká, iné analgetiká a antipyretiká, ATC kód: N02BE01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434CB7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Paracetamol je analgetikum a antipyretikum bez antiflogistickej aktivity a s dobrou gastrointestinálnou znášanlivosťou. Je vhodný pre dospelých a takisto pre pediatrickú populáciu. Mechanizmus účinku je podobný kyseline acetylsalicylovej a závisí na inhibícii prostaglandínov v centrálnej nervovej sústave. </w:t>
      </w:r>
    </w:p>
    <w:p w:rsidR="00434CB7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Neprítomnosť inhibície periférnych prostaglandínov zabezpečuje paracetamolu dôležité farmakologické vlastnosti, ako je udržiavanie ochranných prostaglandínov v tráviacom trakte. Paracetamol je preto tiež vhodný pre pacientov s anamnézou ochorenia alebo u pacientov dostávajúcich inú liečbu, kde je inhibícia periférnych prostaglandínov nežiaduca (napr. pacienti s anamnézou krvácania do tráviaceho traktu alebo starší pacienti).  </w:t>
      </w:r>
    </w:p>
    <w:p w:rsidR="00434CB7" w:rsidRPr="00E11FF6" w:rsidRDefault="00434CB7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>Analgetický účinok paracetamolu po jednorazovej dávke 0,5 - 1 g trvá 3 - 6 hodín, antipyretický 3 - 4 hodiny. Intenzita obidvoch účinkov zodpovedá kyseline acetylsalicylovej v rovnakých dávkach.</w:t>
      </w:r>
    </w:p>
    <w:p w:rsidR="007320B3" w:rsidRPr="00E11FF6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Farmakokinetické vlastnosti</w:t>
      </w:r>
    </w:p>
    <w:p w:rsidR="007320B3" w:rsidRPr="00E11FF6" w:rsidRDefault="007320B3" w:rsidP="007320B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Absorpcia</w:t>
      </w:r>
    </w:p>
    <w:p w:rsidR="009D5AD6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Paracetamol sa rýchlo a takmer úplne vstrebáva z gastrointestinálneho traktu. </w:t>
      </w:r>
    </w:p>
    <w:p w:rsidR="009D5AD6" w:rsidRPr="00E11FF6" w:rsidRDefault="009D5AD6" w:rsidP="009D5AD6">
      <w:pPr>
        <w:widowControl w:val="0"/>
        <w:rPr>
          <w:szCs w:val="22"/>
          <w:u w:val="single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Distribúcia</w:t>
      </w:r>
    </w:p>
    <w:p w:rsidR="009D5AD6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>Paracetamol sa rýchlo distribuuje do všetkých tkanív a telesných tekutín. Maximálna plazmatická koncentrácia sa dosiahne  10 - 60 minút po p.o. podaní. Prechádza cez hematoencefalickú bariéru a  vylučuje sa do materského mlieka.</w:t>
      </w:r>
    </w:p>
    <w:p w:rsidR="009F1D82" w:rsidRPr="00E11FF6" w:rsidRDefault="009F1D82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 xml:space="preserve">Biotransformácia </w:t>
      </w:r>
    </w:p>
    <w:p w:rsidR="009F1D82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Biologický plazmatický polčas po perorálnom podaní je 1 – 4 hodiny (priemer 2,3 hodiny). V prípade závažnej nedostatočnosti pečene je predĺžený až na 5 hodín. Hoci v prípade poruchy funkcie obličiek polčas nie je predĺžený, ale keďže vylučovanie obličkami je obmedzené, odporúča sa úprava dávkovania paracetamolu. Väzba na plazmatické proteíny je minimálna pri terapeutických koncentráciách. </w:t>
      </w:r>
    </w:p>
    <w:p w:rsidR="009F1D82" w:rsidRPr="00E11FF6" w:rsidRDefault="009F1D82" w:rsidP="009D5AD6">
      <w:pPr>
        <w:widowControl w:val="0"/>
        <w:rPr>
          <w:szCs w:val="22"/>
        </w:rPr>
      </w:pPr>
    </w:p>
    <w:p w:rsidR="009F1D82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Eliminácia</w:t>
      </w:r>
    </w:p>
    <w:p w:rsidR="009F1D82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Paracetamol sa metabolizuje v pečeni a vylučuje sa obličkami ako glukuronidový alebo sulfátový konjugát. Menej ako 85 % paracetamolu sa vylučuje v nezmenenej forme. </w:t>
      </w:r>
    </w:p>
    <w:p w:rsidR="007320B3" w:rsidRPr="00E11FF6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lastRenderedPageBreak/>
        <w:t>Predklinické údaje o bezpečnosti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9D5AD6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Toxicita paracetamolu sa študovala na mnohých zvieracích druhoch.</w:t>
      </w:r>
    </w:p>
    <w:p w:rsidR="009D5AD6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Predklinické údaje na potkanoch a myšiach preukázali hodnoty LD</w:t>
      </w:r>
      <w:r w:rsidRPr="00DC4365">
        <w:rPr>
          <w:szCs w:val="22"/>
          <w:vertAlign w:val="subscript"/>
        </w:rPr>
        <w:t>50</w:t>
      </w:r>
      <w:r w:rsidRPr="00DC4365">
        <w:rPr>
          <w:szCs w:val="22"/>
        </w:rPr>
        <w:t xml:space="preserve"> po jednorazovej perorálnej dávke 3,7 g/kg a 388 mg/kg. Chronická toxicita, ktorá sa u týchto druhov dosiahla s dávkami niekoľkonásobne prevyšujúcimi ľudské terapeutické dávky, manifestovala ako degenerácia a nekróza pečene, obličiek alebo lymfatického tkaniva a abnormalitami v krvnom obraze. Metabolity, ktoré sa považujú za zodpovedné za tieto účinky, sa stanovili aj u ľudí. Preto sa paracetamol nemá užívať dlhodobo a v nadmerných dávkach. Normálne terapeutické dávky paracetamolu sa nespájajú so zvýšeným rizikom genotoxicity a kancerogenity. Nie sú žiadne dôkazy embryotoxicity a fetotoxicity paracetamolu v štúdiách na laboratórnych zvieratách.  </w:t>
      </w:r>
    </w:p>
    <w:p w:rsidR="009D5AD6" w:rsidRPr="00E11FF6" w:rsidRDefault="009D5AD6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DC4365">
        <w:rPr>
          <w:b/>
          <w:szCs w:val="22"/>
        </w:rPr>
        <w:t>FARMACEUTICKÉ INFORMÁCIE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Zoznam pomocných látok</w:t>
      </w:r>
    </w:p>
    <w:p w:rsidR="007320B3" w:rsidRPr="00E11FF6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predželatinovaný kukuričný škrob 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povidón (K-25)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kroskarmelóza, sodná soľ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mikrokryštalická celulóza (PH102)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bezvodý koloidný oxid kremičitý</w:t>
      </w:r>
    </w:p>
    <w:p w:rsidR="007E2D68" w:rsidRPr="00E11FF6" w:rsidRDefault="00DC4365" w:rsidP="007E2D68">
      <w:pPr>
        <w:spacing w:line="240" w:lineRule="auto"/>
        <w:rPr>
          <w:szCs w:val="22"/>
        </w:rPr>
      </w:pPr>
      <w:r w:rsidRPr="00DC4365">
        <w:rPr>
          <w:szCs w:val="22"/>
        </w:rPr>
        <w:t>stearan horečnatý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Inkompatibility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Neaplikovateľné.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Čas použiteľnosti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30 mesiacov</w:t>
      </w:r>
    </w:p>
    <w:p w:rsidR="00762473" w:rsidRPr="00E11FF6" w:rsidRDefault="0076247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Špeciálne upozornenia na uchovávanie</w:t>
      </w:r>
    </w:p>
    <w:p w:rsidR="007320B3" w:rsidRPr="00E11FF6" w:rsidRDefault="007320B3" w:rsidP="007320B3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i/>
          <w:szCs w:val="22"/>
        </w:rPr>
      </w:pPr>
      <w:r w:rsidRPr="00DC4365">
        <w:rPr>
          <w:szCs w:val="22"/>
        </w:rPr>
        <w:t>Tento liek nevyžaduje žiadne zvláštne podmienky na uchovávanie.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szCs w:val="22"/>
        </w:rPr>
      </w:pPr>
      <w:r w:rsidRPr="00DC4365">
        <w:rPr>
          <w:b/>
          <w:szCs w:val="22"/>
        </w:rPr>
        <w:t xml:space="preserve">Druh obalu a obsah balenia </w:t>
      </w:r>
    </w:p>
    <w:p w:rsidR="0075127E" w:rsidRPr="00E11FF6" w:rsidRDefault="0075127E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</w:p>
    <w:p w:rsidR="0075127E" w:rsidRPr="00E11FF6" w:rsidRDefault="00DC4365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DC4365">
        <w:rPr>
          <w:szCs w:val="22"/>
        </w:rPr>
        <w:t>číry PVC/PVdC/Al blister</w:t>
      </w:r>
    </w:p>
    <w:p w:rsidR="0075127E" w:rsidRPr="00E11FF6" w:rsidRDefault="00DC4365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DC4365">
        <w:rPr>
          <w:szCs w:val="22"/>
        </w:rPr>
        <w:t>veľkosť balenia: 10, 20, 30 tabliet</w:t>
      </w: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Na trh nemusia byť uvedené všetky veľkosti balenia.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1" w:name="OLE_LINK1"/>
      <w:r w:rsidRPr="00DC4365">
        <w:rPr>
          <w:b/>
          <w:szCs w:val="22"/>
        </w:rPr>
        <w:t xml:space="preserve">Špeciálne opatrenia na likvidáciu </w:t>
      </w:r>
    </w:p>
    <w:p w:rsidR="007320B3" w:rsidRPr="00E11FF6" w:rsidRDefault="007320B3" w:rsidP="007320B3">
      <w:pPr>
        <w:spacing w:line="240" w:lineRule="auto"/>
        <w:rPr>
          <w:i/>
          <w:szCs w:val="22"/>
        </w:rPr>
      </w:pPr>
    </w:p>
    <w:p w:rsidR="007320B3" w:rsidRPr="00E11FF6" w:rsidRDefault="00DC4365" w:rsidP="0075127E">
      <w:pPr>
        <w:spacing w:line="240" w:lineRule="auto"/>
        <w:rPr>
          <w:szCs w:val="22"/>
        </w:rPr>
      </w:pPr>
      <w:r w:rsidRPr="00DC4365">
        <w:rPr>
          <w:szCs w:val="22"/>
        </w:rPr>
        <w:t>Žiadne zvláštne požiadavky na likvidáciu.</w:t>
      </w:r>
    </w:p>
    <w:bookmarkEnd w:id="1"/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DC4365">
        <w:rPr>
          <w:b/>
          <w:szCs w:val="22"/>
        </w:rPr>
        <w:t>DRŽITEĽ ROZHODNUTIA O</w:t>
      </w:r>
      <w:r w:rsidRPr="00DC4365">
        <w:rPr>
          <w:b/>
          <w:noProof/>
          <w:szCs w:val="22"/>
        </w:rPr>
        <w:t> </w:t>
      </w:r>
      <w:r w:rsidRPr="00DC4365">
        <w:rPr>
          <w:b/>
          <w:szCs w:val="22"/>
        </w:rPr>
        <w:t>REGISTRÁCII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XANTIS PHARMA LIMITED</w:t>
      </w:r>
    </w:p>
    <w:p w:rsidR="004114B2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Lemesou 5, EUROSURE TOWER, 1st floor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Flat/Office 101 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2112 Nicosia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Cyprus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DC4365">
        <w:rPr>
          <w:b/>
          <w:szCs w:val="22"/>
        </w:rPr>
        <w:t>REGISTRAČNÉ ČÍSLO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07/0229/17-S</w:t>
      </w:r>
    </w:p>
    <w:p w:rsidR="003C1162" w:rsidRPr="00E11FF6" w:rsidRDefault="003C1162" w:rsidP="007320B3">
      <w:pPr>
        <w:spacing w:line="240" w:lineRule="auto"/>
        <w:rPr>
          <w:szCs w:val="22"/>
        </w:rPr>
      </w:pPr>
    </w:p>
    <w:p w:rsidR="003A08AA" w:rsidRPr="00E11FF6" w:rsidRDefault="003A08AA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DC4365">
        <w:rPr>
          <w:b/>
          <w:szCs w:val="22"/>
        </w:rPr>
        <w:t>DÁTUM PRVEJ REGISTRÁCIE/PREDĹŽENIA REGISTRÁCIE</w:t>
      </w:r>
    </w:p>
    <w:p w:rsidR="007320B3" w:rsidRPr="00E11FF6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keepNext/>
        <w:spacing w:line="240" w:lineRule="auto"/>
        <w:rPr>
          <w:i/>
          <w:szCs w:val="22"/>
        </w:rPr>
      </w:pPr>
      <w:r w:rsidRPr="00DC4365">
        <w:rPr>
          <w:szCs w:val="22"/>
        </w:rPr>
        <w:t>Dátum prvej registrácie: 16 august 2017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DC4365">
        <w:rPr>
          <w:b/>
          <w:szCs w:val="22"/>
        </w:rPr>
        <w:t>DÁTUM REVÍZIE TEXTU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47EDE" w:rsidRPr="00E11FF6" w:rsidRDefault="00DD1BCE" w:rsidP="007320B3">
      <w:pPr>
        <w:rPr>
          <w:szCs w:val="22"/>
        </w:rPr>
      </w:pPr>
      <w:r>
        <w:rPr>
          <w:szCs w:val="22"/>
        </w:rPr>
        <w:t>05/2018</w:t>
      </w:r>
    </w:p>
    <w:sectPr w:rsidR="00747EDE" w:rsidRPr="00E11FF6" w:rsidSect="009C37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AF2" w:rsidRDefault="00132AF2" w:rsidP="000F473B">
      <w:pPr>
        <w:spacing w:line="240" w:lineRule="auto"/>
      </w:pPr>
      <w:r>
        <w:separator/>
      </w:r>
    </w:p>
  </w:endnote>
  <w:endnote w:type="continuationSeparator" w:id="0">
    <w:p w:rsidR="00132AF2" w:rsidRDefault="00132AF2" w:rsidP="000F4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674944"/>
      <w:docPartObj>
        <w:docPartGallery w:val="Page Numbers (Bottom of Page)"/>
        <w:docPartUnique/>
      </w:docPartObj>
    </w:sdtPr>
    <w:sdtContent>
      <w:p w:rsidR="000F473B" w:rsidRDefault="00A367F8">
        <w:pPr>
          <w:pStyle w:val="Pta"/>
          <w:jc w:val="center"/>
        </w:pPr>
        <w:r w:rsidRPr="006A2EDA">
          <w:rPr>
            <w:sz w:val="18"/>
            <w:szCs w:val="18"/>
          </w:rPr>
          <w:fldChar w:fldCharType="begin"/>
        </w:r>
        <w:r w:rsidR="000F473B" w:rsidRPr="006A2EDA">
          <w:rPr>
            <w:sz w:val="18"/>
            <w:szCs w:val="18"/>
          </w:rPr>
          <w:instrText>PAGE   \* MERGEFORMAT</w:instrText>
        </w:r>
        <w:r w:rsidRPr="006A2EDA">
          <w:rPr>
            <w:sz w:val="18"/>
            <w:szCs w:val="18"/>
          </w:rPr>
          <w:fldChar w:fldCharType="separate"/>
        </w:r>
        <w:r w:rsidR="008134B1">
          <w:rPr>
            <w:noProof/>
            <w:sz w:val="18"/>
            <w:szCs w:val="18"/>
          </w:rPr>
          <w:t>7</w:t>
        </w:r>
        <w:r w:rsidRPr="006A2EDA">
          <w:rPr>
            <w:sz w:val="18"/>
            <w:szCs w:val="18"/>
          </w:rPr>
          <w:fldChar w:fldCharType="end"/>
        </w:r>
      </w:p>
    </w:sdtContent>
  </w:sdt>
  <w:p w:rsidR="000F473B" w:rsidRDefault="000F473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AF2" w:rsidRDefault="00132AF2" w:rsidP="000F473B">
      <w:pPr>
        <w:spacing w:line="240" w:lineRule="auto"/>
      </w:pPr>
      <w:r>
        <w:separator/>
      </w:r>
    </w:p>
  </w:footnote>
  <w:footnote w:type="continuationSeparator" w:id="0">
    <w:p w:rsidR="00132AF2" w:rsidRDefault="00132AF2" w:rsidP="000F47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B2" w:rsidRPr="000058C1" w:rsidRDefault="00097FB1" w:rsidP="004114B2">
    <w:pPr>
      <w:spacing w:line="240" w:lineRule="auto"/>
      <w:outlineLvl w:val="0"/>
      <w:rPr>
        <w:sz w:val="18"/>
      </w:rPr>
    </w:pPr>
    <w:r>
      <w:rPr>
        <w:sz w:val="18"/>
      </w:rPr>
      <w:t xml:space="preserve">Príloha č. </w:t>
    </w:r>
    <w:r w:rsidR="008134B1">
      <w:rPr>
        <w:sz w:val="18"/>
      </w:rPr>
      <w:t>2</w:t>
    </w:r>
    <w:r>
      <w:rPr>
        <w:sz w:val="18"/>
      </w:rPr>
      <w:t xml:space="preserve"> k notifikácii o zmene, </w:t>
    </w:r>
    <w:r w:rsidR="004114B2" w:rsidRPr="000058C1">
      <w:rPr>
        <w:sz w:val="18"/>
      </w:rPr>
      <w:t>ev. č.:</w:t>
    </w:r>
    <w:r w:rsidR="00E57885">
      <w:rPr>
        <w:sz w:val="18"/>
      </w:rPr>
      <w:t xml:space="preserve"> </w:t>
    </w:r>
    <w:r w:rsidR="00145AF2">
      <w:rPr>
        <w:sz w:val="18"/>
      </w:rPr>
      <w:t>2018/01</w:t>
    </w:r>
    <w:r>
      <w:rPr>
        <w:sz w:val="18"/>
      </w:rPr>
      <w:t>577-Z1B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611"/>
    <w:multiLevelType w:val="hybridMultilevel"/>
    <w:tmpl w:val="9620E0AE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5B46"/>
    <w:multiLevelType w:val="hybridMultilevel"/>
    <w:tmpl w:val="83A4D414"/>
    <w:lvl w:ilvl="0" w:tplc="C4324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38E"/>
    <w:multiLevelType w:val="hybridMultilevel"/>
    <w:tmpl w:val="7D84B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0B3"/>
    <w:rsid w:val="000058C1"/>
    <w:rsid w:val="00053767"/>
    <w:rsid w:val="00072C1D"/>
    <w:rsid w:val="00097FB1"/>
    <w:rsid w:val="000A1DED"/>
    <w:rsid w:val="000C4B6A"/>
    <w:rsid w:val="000F473B"/>
    <w:rsid w:val="00110FA0"/>
    <w:rsid w:val="00117EF4"/>
    <w:rsid w:val="001208D6"/>
    <w:rsid w:val="00132AF2"/>
    <w:rsid w:val="00145AF2"/>
    <w:rsid w:val="001E5F29"/>
    <w:rsid w:val="002240C8"/>
    <w:rsid w:val="00272D6D"/>
    <w:rsid w:val="002912F3"/>
    <w:rsid w:val="002D23C0"/>
    <w:rsid w:val="002E4BD2"/>
    <w:rsid w:val="003A08AA"/>
    <w:rsid w:val="003C1162"/>
    <w:rsid w:val="003F5FA4"/>
    <w:rsid w:val="004114B2"/>
    <w:rsid w:val="004265FD"/>
    <w:rsid w:val="00434CB7"/>
    <w:rsid w:val="00472B1B"/>
    <w:rsid w:val="004C63D2"/>
    <w:rsid w:val="00504AB6"/>
    <w:rsid w:val="005D787D"/>
    <w:rsid w:val="005E7DDD"/>
    <w:rsid w:val="006226DB"/>
    <w:rsid w:val="00655744"/>
    <w:rsid w:val="006A2EDA"/>
    <w:rsid w:val="006A3BA8"/>
    <w:rsid w:val="006B5D4C"/>
    <w:rsid w:val="006C77FA"/>
    <w:rsid w:val="006F532E"/>
    <w:rsid w:val="00710709"/>
    <w:rsid w:val="00723931"/>
    <w:rsid w:val="007320B3"/>
    <w:rsid w:val="00747EDE"/>
    <w:rsid w:val="0075127E"/>
    <w:rsid w:val="00762473"/>
    <w:rsid w:val="007E2D68"/>
    <w:rsid w:val="008134B1"/>
    <w:rsid w:val="008422E3"/>
    <w:rsid w:val="00891A33"/>
    <w:rsid w:val="008B5B8C"/>
    <w:rsid w:val="00912FCC"/>
    <w:rsid w:val="00943EC3"/>
    <w:rsid w:val="009C37B5"/>
    <w:rsid w:val="009D5AD6"/>
    <w:rsid w:val="009F1D82"/>
    <w:rsid w:val="00A11BE3"/>
    <w:rsid w:val="00A1617E"/>
    <w:rsid w:val="00A367F8"/>
    <w:rsid w:val="00B00CD7"/>
    <w:rsid w:val="00B17C97"/>
    <w:rsid w:val="00B2274D"/>
    <w:rsid w:val="00B87E6A"/>
    <w:rsid w:val="00B975B5"/>
    <w:rsid w:val="00CB0F80"/>
    <w:rsid w:val="00CB0F9A"/>
    <w:rsid w:val="00CB18B0"/>
    <w:rsid w:val="00D0508C"/>
    <w:rsid w:val="00D75BAF"/>
    <w:rsid w:val="00D80D58"/>
    <w:rsid w:val="00DC4365"/>
    <w:rsid w:val="00DD1BCE"/>
    <w:rsid w:val="00E06E59"/>
    <w:rsid w:val="00E11FF6"/>
    <w:rsid w:val="00E57885"/>
    <w:rsid w:val="00E96D6A"/>
    <w:rsid w:val="00E97D18"/>
    <w:rsid w:val="00ED7276"/>
    <w:rsid w:val="00F034B7"/>
    <w:rsid w:val="00F16221"/>
    <w:rsid w:val="00F663C5"/>
    <w:rsid w:val="00FB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7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77F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7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Andrea Krajčí</cp:lastModifiedBy>
  <cp:revision>38</cp:revision>
  <cp:lastPrinted>2018-05-10T11:47:00Z</cp:lastPrinted>
  <dcterms:created xsi:type="dcterms:W3CDTF">2017-07-13T09:08:00Z</dcterms:created>
  <dcterms:modified xsi:type="dcterms:W3CDTF">2018-05-10T12:11:00Z</dcterms:modified>
</cp:coreProperties>
</file>