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117C3" w14:textId="77777777" w:rsidR="00E9223E" w:rsidRPr="00597A34" w:rsidRDefault="00E9223E" w:rsidP="0000128F">
      <w:pPr>
        <w:tabs>
          <w:tab w:val="left" w:pos="567"/>
        </w:tabs>
        <w:jc w:val="center"/>
        <w:outlineLvl w:val="0"/>
        <w:rPr>
          <w:b/>
          <w:bCs/>
          <w:caps/>
          <w:sz w:val="22"/>
          <w:szCs w:val="22"/>
        </w:rPr>
      </w:pPr>
      <w:r w:rsidRPr="00597A34">
        <w:rPr>
          <w:b/>
          <w:bCs/>
          <w:caps/>
          <w:sz w:val="22"/>
          <w:szCs w:val="22"/>
        </w:rPr>
        <w:t>Súhrn charakteristických vlastností lieku</w:t>
      </w:r>
    </w:p>
    <w:p w14:paraId="60C95BEB" w14:textId="77777777" w:rsidR="00E9223E" w:rsidRPr="00597A34" w:rsidRDefault="00E9223E" w:rsidP="0000128F">
      <w:pPr>
        <w:rPr>
          <w:b/>
          <w:bCs/>
          <w:sz w:val="22"/>
          <w:szCs w:val="22"/>
        </w:rPr>
      </w:pPr>
    </w:p>
    <w:p w14:paraId="27D83C89" w14:textId="77777777" w:rsidR="00E9223E" w:rsidRPr="00597A34" w:rsidRDefault="00E9223E" w:rsidP="0000128F">
      <w:pPr>
        <w:rPr>
          <w:b/>
          <w:bCs/>
          <w:sz w:val="22"/>
          <w:szCs w:val="22"/>
        </w:rPr>
      </w:pPr>
    </w:p>
    <w:p w14:paraId="2D971868" w14:textId="77777777" w:rsidR="00E9223E" w:rsidRPr="00597A34" w:rsidRDefault="00E9223E" w:rsidP="0000128F">
      <w:pPr>
        <w:tabs>
          <w:tab w:val="left" w:pos="567"/>
        </w:tabs>
        <w:rPr>
          <w:sz w:val="22"/>
          <w:szCs w:val="22"/>
        </w:rPr>
      </w:pPr>
      <w:r w:rsidRPr="00597A34">
        <w:rPr>
          <w:b/>
          <w:bCs/>
          <w:sz w:val="22"/>
          <w:szCs w:val="22"/>
        </w:rPr>
        <w:t>1.</w:t>
      </w:r>
      <w:r w:rsidRPr="00597A34">
        <w:rPr>
          <w:b/>
          <w:bCs/>
          <w:sz w:val="22"/>
          <w:szCs w:val="22"/>
        </w:rPr>
        <w:tab/>
        <w:t>NÁZOV LIEKU</w:t>
      </w:r>
    </w:p>
    <w:p w14:paraId="18900FF2" w14:textId="77777777" w:rsidR="00E9223E" w:rsidRPr="00597A34" w:rsidRDefault="00E9223E" w:rsidP="0000128F">
      <w:pPr>
        <w:rPr>
          <w:sz w:val="22"/>
          <w:szCs w:val="22"/>
        </w:rPr>
      </w:pPr>
    </w:p>
    <w:p w14:paraId="69C0794C" w14:textId="77777777" w:rsidR="00E9223E" w:rsidRPr="00597A34" w:rsidRDefault="00E9223E" w:rsidP="0000128F">
      <w:pPr>
        <w:rPr>
          <w:color w:val="000000"/>
          <w:spacing w:val="-2"/>
          <w:sz w:val="22"/>
          <w:szCs w:val="22"/>
        </w:rPr>
      </w:pPr>
      <w:r w:rsidRPr="00597A34">
        <w:rPr>
          <w:color w:val="000000"/>
          <w:spacing w:val="-2"/>
          <w:sz w:val="22"/>
          <w:szCs w:val="22"/>
        </w:rPr>
        <w:t>Fluorescite</w:t>
      </w:r>
    </w:p>
    <w:p w14:paraId="17FA5644" w14:textId="77777777" w:rsidR="00E9223E" w:rsidRPr="00597A34" w:rsidRDefault="00E9223E" w:rsidP="0000128F">
      <w:pPr>
        <w:rPr>
          <w:color w:val="000000"/>
          <w:spacing w:val="-2"/>
          <w:sz w:val="22"/>
          <w:szCs w:val="22"/>
        </w:rPr>
      </w:pPr>
      <w:r w:rsidRPr="00597A34">
        <w:rPr>
          <w:color w:val="000000"/>
          <w:spacing w:val="-2"/>
          <w:sz w:val="22"/>
          <w:szCs w:val="22"/>
        </w:rPr>
        <w:t>100 mg/ml, injekčný roztok</w:t>
      </w:r>
    </w:p>
    <w:p w14:paraId="79CC39A1" w14:textId="77777777" w:rsidR="00E9223E" w:rsidRPr="00597A34" w:rsidRDefault="00E9223E" w:rsidP="0000128F">
      <w:pPr>
        <w:rPr>
          <w:sz w:val="22"/>
          <w:szCs w:val="22"/>
        </w:rPr>
      </w:pPr>
    </w:p>
    <w:p w14:paraId="2ACBC7E8" w14:textId="77777777" w:rsidR="00E9223E" w:rsidRPr="00597A34" w:rsidRDefault="00E9223E" w:rsidP="0000128F">
      <w:pPr>
        <w:rPr>
          <w:sz w:val="22"/>
          <w:szCs w:val="22"/>
        </w:rPr>
      </w:pPr>
    </w:p>
    <w:p w14:paraId="66C0D0D7" w14:textId="77777777" w:rsidR="00E9223E" w:rsidRPr="00597A34" w:rsidRDefault="00E9223E" w:rsidP="0000128F">
      <w:pPr>
        <w:ind w:left="567" w:hanging="567"/>
        <w:rPr>
          <w:sz w:val="22"/>
          <w:szCs w:val="22"/>
        </w:rPr>
      </w:pPr>
      <w:r w:rsidRPr="00597A34">
        <w:rPr>
          <w:b/>
          <w:bCs/>
          <w:sz w:val="22"/>
          <w:szCs w:val="22"/>
        </w:rPr>
        <w:t>2.</w:t>
      </w:r>
      <w:r w:rsidRPr="00597A34">
        <w:rPr>
          <w:b/>
          <w:bCs/>
          <w:sz w:val="22"/>
          <w:szCs w:val="22"/>
        </w:rPr>
        <w:tab/>
        <w:t>KVALITATÍVNE A KVANTITATÍVNE ZLOŽENIE</w:t>
      </w:r>
    </w:p>
    <w:p w14:paraId="0E18C5D7" w14:textId="77777777" w:rsidR="00E9223E" w:rsidRPr="00597A34" w:rsidRDefault="00E9223E" w:rsidP="0000128F">
      <w:pPr>
        <w:rPr>
          <w:sz w:val="22"/>
          <w:szCs w:val="22"/>
        </w:rPr>
      </w:pPr>
    </w:p>
    <w:p w14:paraId="676A74A3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1 ml roztoku obsahuje 100 mg fluoresceínu (ako 113,2 mg dinátriumfluoresceinátu).</w:t>
      </w:r>
    </w:p>
    <w:p w14:paraId="7A097F82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Jedna 5 ml injekčná liekovka obsahuje 500 mg fluoresceínu (ako 566 mg dinátriumfluoresceinátu).</w:t>
      </w:r>
    </w:p>
    <w:p w14:paraId="596D8673" w14:textId="77777777" w:rsidR="00E9223E" w:rsidRPr="00597A34" w:rsidRDefault="00E9223E" w:rsidP="0000128F">
      <w:pPr>
        <w:rPr>
          <w:sz w:val="22"/>
          <w:szCs w:val="22"/>
        </w:rPr>
      </w:pPr>
    </w:p>
    <w:p w14:paraId="59CBDD17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color w:val="000000"/>
          <w:sz w:val="22"/>
          <w:szCs w:val="22"/>
        </w:rPr>
        <w:t xml:space="preserve">Obsahuje sodík (z dinátriumfluoresceinátu a hydroxidu sodného) v množstve až do 1,45 % (približne </w:t>
      </w:r>
      <w:r w:rsidRPr="00597A34">
        <w:rPr>
          <w:sz w:val="22"/>
          <w:szCs w:val="22"/>
        </w:rPr>
        <w:t xml:space="preserve">3,15 mmol) na dávku. </w:t>
      </w:r>
    </w:p>
    <w:p w14:paraId="7CEDAA19" w14:textId="77777777" w:rsidR="00E9223E" w:rsidRPr="00597A34" w:rsidRDefault="00E9223E" w:rsidP="0000128F">
      <w:pPr>
        <w:rPr>
          <w:sz w:val="22"/>
          <w:szCs w:val="22"/>
        </w:rPr>
      </w:pPr>
    </w:p>
    <w:p w14:paraId="44A36CC1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Úplný zoznam pomocných látok, pozri časť 6.1.</w:t>
      </w:r>
    </w:p>
    <w:p w14:paraId="4C9002B3" w14:textId="77777777" w:rsidR="00E9223E" w:rsidRPr="00597A34" w:rsidRDefault="00E9223E" w:rsidP="0000128F">
      <w:pPr>
        <w:rPr>
          <w:sz w:val="22"/>
          <w:szCs w:val="22"/>
        </w:rPr>
      </w:pPr>
    </w:p>
    <w:p w14:paraId="4BC47E05" w14:textId="77777777" w:rsidR="00E9223E" w:rsidRPr="00597A34" w:rsidRDefault="00E9223E" w:rsidP="0000128F">
      <w:pPr>
        <w:rPr>
          <w:sz w:val="22"/>
          <w:szCs w:val="22"/>
        </w:rPr>
      </w:pPr>
    </w:p>
    <w:p w14:paraId="4C235C5C" w14:textId="77777777" w:rsidR="00E9223E" w:rsidRPr="00597A34" w:rsidRDefault="00E9223E" w:rsidP="0000128F">
      <w:pPr>
        <w:ind w:left="567" w:hanging="567"/>
        <w:rPr>
          <w:caps/>
          <w:sz w:val="22"/>
          <w:szCs w:val="22"/>
        </w:rPr>
      </w:pPr>
      <w:r w:rsidRPr="00597A34">
        <w:rPr>
          <w:b/>
          <w:bCs/>
          <w:sz w:val="22"/>
          <w:szCs w:val="22"/>
        </w:rPr>
        <w:t>3.</w:t>
      </w:r>
      <w:r w:rsidRPr="00597A34">
        <w:rPr>
          <w:b/>
          <w:bCs/>
          <w:sz w:val="22"/>
          <w:szCs w:val="22"/>
        </w:rPr>
        <w:tab/>
        <w:t>LIEKOVÁ FORMA</w:t>
      </w:r>
    </w:p>
    <w:p w14:paraId="039B0766" w14:textId="77777777" w:rsidR="00E9223E" w:rsidRPr="00597A34" w:rsidRDefault="00E9223E" w:rsidP="0000128F">
      <w:pPr>
        <w:rPr>
          <w:sz w:val="22"/>
          <w:szCs w:val="22"/>
        </w:rPr>
      </w:pPr>
    </w:p>
    <w:p w14:paraId="6D777C97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Injekčný roztok</w:t>
      </w:r>
    </w:p>
    <w:p w14:paraId="1BF390F6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Číry, červenooranžový roztok</w:t>
      </w:r>
    </w:p>
    <w:p w14:paraId="6A0CFA9E" w14:textId="77777777" w:rsidR="00E9223E" w:rsidRPr="00597A34" w:rsidRDefault="00E9223E" w:rsidP="0000128F">
      <w:pPr>
        <w:rPr>
          <w:sz w:val="22"/>
          <w:szCs w:val="22"/>
          <w:lang w:eastAsia="en-GB"/>
        </w:rPr>
      </w:pPr>
    </w:p>
    <w:p w14:paraId="0EF763A8" w14:textId="77777777" w:rsidR="00E9223E" w:rsidRPr="00597A34" w:rsidRDefault="00E9223E" w:rsidP="0000128F">
      <w:pPr>
        <w:rPr>
          <w:sz w:val="22"/>
          <w:szCs w:val="22"/>
          <w:lang w:eastAsia="en-GB"/>
        </w:rPr>
      </w:pPr>
    </w:p>
    <w:p w14:paraId="43B6D8DB" w14:textId="77777777" w:rsidR="00E9223E" w:rsidRPr="00597A34" w:rsidRDefault="00E9223E" w:rsidP="0000128F">
      <w:pPr>
        <w:ind w:left="567" w:hanging="567"/>
        <w:rPr>
          <w:caps/>
          <w:sz w:val="22"/>
          <w:szCs w:val="22"/>
        </w:rPr>
      </w:pPr>
      <w:r w:rsidRPr="00597A34">
        <w:rPr>
          <w:b/>
          <w:bCs/>
          <w:caps/>
          <w:sz w:val="22"/>
          <w:szCs w:val="22"/>
        </w:rPr>
        <w:t>4.</w:t>
      </w:r>
      <w:r w:rsidRPr="00597A34">
        <w:rPr>
          <w:b/>
          <w:bCs/>
          <w:caps/>
          <w:sz w:val="22"/>
          <w:szCs w:val="22"/>
        </w:rPr>
        <w:tab/>
        <w:t>KlinicKÉ ÚDAJE</w:t>
      </w:r>
    </w:p>
    <w:p w14:paraId="58AA2592" w14:textId="77777777" w:rsidR="00E9223E" w:rsidRPr="00597A34" w:rsidRDefault="00E9223E" w:rsidP="0000128F">
      <w:pPr>
        <w:rPr>
          <w:sz w:val="22"/>
          <w:szCs w:val="22"/>
        </w:rPr>
      </w:pPr>
    </w:p>
    <w:p w14:paraId="12702DFB" w14:textId="77777777" w:rsidR="00E9223E" w:rsidRPr="00597A34" w:rsidRDefault="00E9223E" w:rsidP="0000128F">
      <w:pPr>
        <w:ind w:left="567" w:hanging="567"/>
        <w:rPr>
          <w:sz w:val="22"/>
          <w:szCs w:val="22"/>
        </w:rPr>
      </w:pPr>
      <w:r w:rsidRPr="00597A34">
        <w:rPr>
          <w:b/>
          <w:bCs/>
          <w:sz w:val="22"/>
          <w:szCs w:val="22"/>
        </w:rPr>
        <w:t>4.1</w:t>
      </w:r>
      <w:r w:rsidRPr="00597A34">
        <w:rPr>
          <w:b/>
          <w:bCs/>
          <w:sz w:val="22"/>
          <w:szCs w:val="22"/>
        </w:rPr>
        <w:tab/>
        <w:t>Terapeutické indikácie</w:t>
      </w:r>
    </w:p>
    <w:p w14:paraId="74A0A4C9" w14:textId="77777777" w:rsidR="00E9223E" w:rsidRPr="00597A34" w:rsidRDefault="00E9223E" w:rsidP="0000128F">
      <w:pPr>
        <w:rPr>
          <w:sz w:val="22"/>
          <w:szCs w:val="22"/>
        </w:rPr>
      </w:pPr>
    </w:p>
    <w:p w14:paraId="51DEB279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Tento liek je určený len na diagnostické použitie.</w:t>
      </w:r>
    </w:p>
    <w:p w14:paraId="6771A4BF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Na fluorescenčnú angiografickú detekciu očného pozadia.</w:t>
      </w:r>
    </w:p>
    <w:p w14:paraId="0DCA1698" w14:textId="77777777" w:rsidR="00E9223E" w:rsidRPr="00597A34" w:rsidRDefault="00E9223E" w:rsidP="0000128F">
      <w:pPr>
        <w:rPr>
          <w:sz w:val="22"/>
          <w:szCs w:val="22"/>
        </w:rPr>
      </w:pPr>
    </w:p>
    <w:p w14:paraId="1CD18B94" w14:textId="77777777" w:rsidR="00E9223E" w:rsidRPr="00597A34" w:rsidRDefault="00E9223E" w:rsidP="0000128F">
      <w:pPr>
        <w:ind w:left="567" w:hanging="567"/>
        <w:rPr>
          <w:b/>
          <w:bCs/>
          <w:sz w:val="22"/>
          <w:szCs w:val="22"/>
        </w:rPr>
      </w:pPr>
      <w:r w:rsidRPr="00597A34">
        <w:rPr>
          <w:b/>
          <w:bCs/>
          <w:sz w:val="22"/>
          <w:szCs w:val="22"/>
        </w:rPr>
        <w:t>4.2</w:t>
      </w:r>
      <w:r w:rsidRPr="00597A34">
        <w:rPr>
          <w:b/>
          <w:bCs/>
          <w:sz w:val="22"/>
          <w:szCs w:val="22"/>
        </w:rPr>
        <w:tab/>
        <w:t>Dávkovanie a spôsob podávania</w:t>
      </w:r>
    </w:p>
    <w:p w14:paraId="2DE475BF" w14:textId="77777777" w:rsidR="00E9223E" w:rsidRPr="00597A34" w:rsidRDefault="00E9223E" w:rsidP="0000128F">
      <w:pPr>
        <w:ind w:left="567" w:hanging="567"/>
        <w:rPr>
          <w:sz w:val="22"/>
          <w:szCs w:val="22"/>
        </w:rPr>
      </w:pPr>
    </w:p>
    <w:p w14:paraId="3085F714" w14:textId="77777777" w:rsidR="00E9223E" w:rsidRPr="00597A34" w:rsidRDefault="00E9223E" w:rsidP="0000128F">
      <w:pPr>
        <w:rPr>
          <w:bCs/>
          <w:sz w:val="22"/>
          <w:szCs w:val="22"/>
          <w:u w:val="single"/>
        </w:rPr>
      </w:pPr>
      <w:r w:rsidRPr="00597A34">
        <w:rPr>
          <w:bCs/>
          <w:sz w:val="22"/>
          <w:szCs w:val="22"/>
          <w:u w:val="single"/>
        </w:rPr>
        <w:t>Dávkovanie</w:t>
      </w:r>
    </w:p>
    <w:p w14:paraId="1E649A2D" w14:textId="77777777" w:rsidR="00E9223E" w:rsidRPr="00597A34" w:rsidRDefault="00E9223E" w:rsidP="0000128F">
      <w:pPr>
        <w:rPr>
          <w:sz w:val="22"/>
          <w:szCs w:val="22"/>
          <w:u w:val="single"/>
        </w:rPr>
      </w:pPr>
    </w:p>
    <w:p w14:paraId="147B7702" w14:textId="77777777" w:rsidR="00E9223E" w:rsidRPr="00597A34" w:rsidRDefault="00E9223E" w:rsidP="0000128F">
      <w:pPr>
        <w:rPr>
          <w:sz w:val="22"/>
          <w:szCs w:val="22"/>
          <w:u w:val="single"/>
        </w:rPr>
      </w:pPr>
      <w:r w:rsidRPr="00597A34">
        <w:rPr>
          <w:sz w:val="22"/>
          <w:szCs w:val="22"/>
          <w:u w:val="single"/>
        </w:rPr>
        <w:t>Použitie pre dospelých, vrátane starších osôb:</w:t>
      </w:r>
    </w:p>
    <w:p w14:paraId="5F914637" w14:textId="77777777" w:rsidR="00E9223E" w:rsidRPr="00597A34" w:rsidRDefault="00E9223E" w:rsidP="0000128F">
      <w:pPr>
        <w:rPr>
          <w:color w:val="000000"/>
          <w:sz w:val="22"/>
          <w:szCs w:val="22"/>
        </w:rPr>
      </w:pPr>
      <w:r w:rsidRPr="00597A34">
        <w:rPr>
          <w:sz w:val="22"/>
          <w:szCs w:val="22"/>
        </w:rPr>
        <w:t xml:space="preserve">5 ml lieku Fluorescite 100 mg/ml injekčný roztok rýchle injektovať do antekubitálnej (predlakťovej) žily, pričom je potrebné dbať na to, aby sa zabránilo extravazácii. V prípadoch, </w:t>
      </w:r>
      <w:r w:rsidRPr="00597A34">
        <w:rPr>
          <w:color w:val="000000"/>
          <w:sz w:val="22"/>
          <w:szCs w:val="22"/>
        </w:rPr>
        <w:t>keď sa použijú zobrazovacie systémy s vysokou citlivosťou, napr. snímací laserový oftalmoskop</w:t>
      </w:r>
      <w:r w:rsidRPr="00597A34">
        <w:rPr>
          <w:sz w:val="22"/>
          <w:szCs w:val="22"/>
        </w:rPr>
        <w:t>, je potrebné, aby sa dávka tohto prípravku znížila na 2 ml Fluoresciteu.</w:t>
      </w:r>
    </w:p>
    <w:p w14:paraId="633F988D" w14:textId="77777777" w:rsidR="00E9223E" w:rsidRPr="00597A34" w:rsidRDefault="00E9223E" w:rsidP="0000128F">
      <w:pPr>
        <w:rPr>
          <w:color w:val="000000"/>
          <w:sz w:val="22"/>
          <w:szCs w:val="22"/>
        </w:rPr>
      </w:pPr>
    </w:p>
    <w:p w14:paraId="19CC3AA2" w14:textId="77777777" w:rsidR="00E9223E" w:rsidRPr="00597A34" w:rsidRDefault="00E9223E" w:rsidP="0000128F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 w:rsidRPr="00597A34">
        <w:rPr>
          <w:rFonts w:eastAsia="MS Mincho"/>
          <w:sz w:val="22"/>
          <w:szCs w:val="22"/>
          <w:u w:val="single"/>
          <w:lang w:eastAsia="ja-JP"/>
        </w:rPr>
        <w:t>Použitie u detí</w:t>
      </w:r>
      <w:r w:rsidRPr="00597A34">
        <w:rPr>
          <w:rFonts w:eastAsia="MS Mincho"/>
          <w:sz w:val="22"/>
          <w:szCs w:val="22"/>
          <w:lang w:eastAsia="ja-JP"/>
        </w:rPr>
        <w:t>:</w:t>
      </w:r>
    </w:p>
    <w:p w14:paraId="4AF2116C" w14:textId="77777777" w:rsidR="00E9223E" w:rsidRPr="00597A34" w:rsidRDefault="00E9223E" w:rsidP="0000128F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 w:rsidRPr="00597A34">
        <w:rPr>
          <w:rFonts w:eastAsia="MS Mincho"/>
          <w:sz w:val="22"/>
          <w:szCs w:val="22"/>
          <w:lang w:eastAsia="ja-JP"/>
        </w:rPr>
        <w:t>Fluorescite sa neskúmal u detí a údaje pre úpravu dávky nie sú k dispozícii. Fluorescite  sa preto nemá používať u pacientov mladších ako 18 rokov, pretože účinnosť a bezpečnosť nebola pre túto skupinu stanovená.</w:t>
      </w:r>
    </w:p>
    <w:p w14:paraId="43933B65" w14:textId="77777777" w:rsidR="00E9223E" w:rsidRPr="00597A34" w:rsidRDefault="00E9223E" w:rsidP="0000128F">
      <w:pPr>
        <w:rPr>
          <w:color w:val="000000"/>
          <w:sz w:val="22"/>
          <w:szCs w:val="22"/>
        </w:rPr>
      </w:pPr>
    </w:p>
    <w:p w14:paraId="025A5F65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  <w:u w:val="single"/>
        </w:rPr>
        <w:t>Použitie u pacientov s renálnou insuficienciou (rýchlosť glomerulárnej filtrácie menej ako 20 ml/min)</w:t>
      </w:r>
      <w:r w:rsidRPr="00597A34">
        <w:rPr>
          <w:sz w:val="22"/>
          <w:szCs w:val="22"/>
        </w:rPr>
        <w:t>:</w:t>
      </w:r>
    </w:p>
    <w:p w14:paraId="600A6707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 xml:space="preserve">Limitované skúsenosti u jedincov s renálnym poškodením (rýchlosť glomerulárnej filtrácie menej ako 20 ml/min) naznačujú, že vo všeobecnosti sa nevyžaduje úprava dávky, hoci </w:t>
      </w:r>
      <w:r w:rsidRPr="00597A34">
        <w:rPr>
          <w:sz w:val="22"/>
          <w:szCs w:val="22"/>
          <w:lang w:eastAsia="en-GB"/>
        </w:rPr>
        <w:t xml:space="preserve">u pacientov s renálnym poškodením je možná </w:t>
      </w:r>
      <w:r w:rsidRPr="00597A34">
        <w:rPr>
          <w:sz w:val="22"/>
          <w:szCs w:val="22"/>
        </w:rPr>
        <w:t xml:space="preserve">dlhodobejšia </w:t>
      </w:r>
      <w:r w:rsidRPr="00597A34">
        <w:rPr>
          <w:sz w:val="22"/>
          <w:szCs w:val="22"/>
          <w:lang w:eastAsia="en-GB"/>
        </w:rPr>
        <w:t xml:space="preserve">exkrécia </w:t>
      </w:r>
      <w:r w:rsidRPr="00597A34">
        <w:rPr>
          <w:sz w:val="22"/>
          <w:szCs w:val="22"/>
        </w:rPr>
        <w:t>(pozri časť 5.2).</w:t>
      </w:r>
    </w:p>
    <w:p w14:paraId="0A1F6060" w14:textId="77777777" w:rsidR="00E9223E" w:rsidRPr="00597A34" w:rsidRDefault="00E9223E" w:rsidP="0000128F">
      <w:pPr>
        <w:rPr>
          <w:sz w:val="22"/>
          <w:szCs w:val="22"/>
        </w:rPr>
      </w:pPr>
    </w:p>
    <w:p w14:paraId="70C0EB69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Pacienti na dialýze: Je potrebné znížiť dávku na 2,5 ml (polovica injekčnej liekovky).</w:t>
      </w:r>
    </w:p>
    <w:p w14:paraId="3413FF40" w14:textId="77777777" w:rsidR="00E9223E" w:rsidRPr="00597A34" w:rsidRDefault="00E9223E" w:rsidP="0000128F">
      <w:pPr>
        <w:rPr>
          <w:sz w:val="22"/>
          <w:szCs w:val="22"/>
        </w:rPr>
      </w:pPr>
    </w:p>
    <w:p w14:paraId="7E34077F" w14:textId="77777777" w:rsidR="00E9223E" w:rsidRPr="00597A34" w:rsidRDefault="00E9223E" w:rsidP="0000128F">
      <w:pPr>
        <w:rPr>
          <w:b/>
          <w:bCs/>
          <w:sz w:val="22"/>
          <w:szCs w:val="22"/>
        </w:rPr>
      </w:pPr>
      <w:r w:rsidRPr="00597A34">
        <w:rPr>
          <w:b/>
          <w:bCs/>
          <w:sz w:val="22"/>
          <w:szCs w:val="22"/>
        </w:rPr>
        <w:lastRenderedPageBreak/>
        <w:t>Spôsob podania a fluorescenčná angiografia</w:t>
      </w:r>
    </w:p>
    <w:p w14:paraId="2D109DC1" w14:textId="77777777" w:rsidR="00E9223E" w:rsidRPr="00597A34" w:rsidRDefault="00E9223E" w:rsidP="0000128F">
      <w:pPr>
        <w:rPr>
          <w:sz w:val="22"/>
          <w:szCs w:val="22"/>
        </w:rPr>
      </w:pPr>
    </w:p>
    <w:p w14:paraId="7180D073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Je potrebné, aby Fluorescite bol používaný výhradne kvalifikovanými lekármi so špeciálnymi odbornými znalosťami v uskutočňovaní a interpretácii fluorescenčnej angiografie.</w:t>
      </w:r>
    </w:p>
    <w:p w14:paraId="75C9B5B9" w14:textId="77777777" w:rsidR="00E9223E" w:rsidRPr="00597A34" w:rsidRDefault="00E9223E" w:rsidP="0000128F">
      <w:pPr>
        <w:rPr>
          <w:sz w:val="22"/>
          <w:szCs w:val="22"/>
          <w:u w:val="single"/>
        </w:rPr>
      </w:pPr>
    </w:p>
    <w:p w14:paraId="564D746A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Tento liek možno podávať len intravenózne.</w:t>
      </w:r>
    </w:p>
    <w:p w14:paraId="7477EA3C" w14:textId="77777777" w:rsidR="00E9223E" w:rsidRPr="00597A34" w:rsidRDefault="00E9223E" w:rsidP="0000128F">
      <w:pPr>
        <w:rPr>
          <w:sz w:val="22"/>
          <w:szCs w:val="22"/>
        </w:rPr>
      </w:pPr>
    </w:p>
    <w:p w14:paraId="3761F6EF" w14:textId="77777777" w:rsidR="00E9223E" w:rsidRPr="00597A34" w:rsidRDefault="00E9223E" w:rsidP="0000128F">
      <w:pPr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 xml:space="preserve">Intravenózne kanyly je potrebné </w:t>
      </w:r>
      <w:r w:rsidRPr="00597A34">
        <w:rPr>
          <w:sz w:val="22"/>
          <w:szCs w:val="22"/>
        </w:rPr>
        <w:t>vypláchnuť sterilným roztokom chloridu sodného (0,9%) pred</w:t>
      </w:r>
      <w:r w:rsidRPr="00597A34">
        <w:rPr>
          <w:color w:val="000000"/>
          <w:sz w:val="22"/>
          <w:szCs w:val="22"/>
        </w:rPr>
        <w:t xml:space="preserve"> a po injekčnom podaní lieku, aby sa zabránilo reakciám fyzikálnej inkompatibility. Injekciu je potrebné podať rýchle (bežne sa odporúča 1 ml za sekundu) do predlakťovej žily, </w:t>
      </w:r>
      <w:r w:rsidRPr="00597A34">
        <w:rPr>
          <w:sz w:val="22"/>
          <w:szCs w:val="22"/>
        </w:rPr>
        <w:t>pričom treba byť obozretným, aby sa zabránilo extravazácii, s použitím</w:t>
      </w:r>
      <w:r w:rsidRPr="00597A34">
        <w:rPr>
          <w:color w:val="000000"/>
          <w:sz w:val="22"/>
          <w:szCs w:val="22"/>
        </w:rPr>
        <w:t xml:space="preserve"> 23 </w:t>
      </w:r>
      <w:r w:rsidRPr="00597A34">
        <w:rPr>
          <w:sz w:val="22"/>
          <w:szCs w:val="22"/>
        </w:rPr>
        <w:t>kalibrovanej motýľovej ihly</w:t>
      </w:r>
      <w:r w:rsidRPr="00597A34">
        <w:rPr>
          <w:color w:val="000000"/>
          <w:sz w:val="22"/>
          <w:szCs w:val="22"/>
        </w:rPr>
        <w:t xml:space="preserve"> pre injekcie. Luminiscencia sa zvyčajne prejaví na cievach sietnice a cievovky v priebehu 7 až 14 sekúnd.</w:t>
      </w:r>
    </w:p>
    <w:p w14:paraId="444B0178" w14:textId="77777777" w:rsidR="00E9223E" w:rsidRPr="00597A34" w:rsidRDefault="00E9223E" w:rsidP="0000128F">
      <w:pPr>
        <w:rPr>
          <w:color w:val="000000"/>
          <w:sz w:val="22"/>
          <w:szCs w:val="22"/>
        </w:rPr>
      </w:pPr>
    </w:p>
    <w:p w14:paraId="0C843FD9" w14:textId="77777777" w:rsidR="00E9223E" w:rsidRPr="00597A34" w:rsidRDefault="00E9223E" w:rsidP="0000128F">
      <w:pPr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>Pre ďalšie inštrukcie o správnom podávaní/použití tohto lieku, pozri časti 6.2 a 6.6.</w:t>
      </w:r>
    </w:p>
    <w:p w14:paraId="489226D9" w14:textId="77777777" w:rsidR="00E9223E" w:rsidRPr="00597A34" w:rsidRDefault="00E9223E" w:rsidP="0000128F">
      <w:pPr>
        <w:rPr>
          <w:sz w:val="22"/>
          <w:szCs w:val="22"/>
        </w:rPr>
      </w:pPr>
    </w:p>
    <w:p w14:paraId="29E92375" w14:textId="77777777" w:rsidR="00E9223E" w:rsidRPr="00597A34" w:rsidRDefault="00E9223E" w:rsidP="0000128F">
      <w:pPr>
        <w:keepNext/>
        <w:keepLines/>
        <w:ind w:left="567" w:hanging="567"/>
        <w:rPr>
          <w:sz w:val="22"/>
          <w:szCs w:val="22"/>
        </w:rPr>
      </w:pPr>
      <w:r w:rsidRPr="00597A34">
        <w:rPr>
          <w:b/>
          <w:bCs/>
          <w:sz w:val="22"/>
          <w:szCs w:val="22"/>
        </w:rPr>
        <w:t>4.3</w:t>
      </w:r>
      <w:r w:rsidRPr="00597A34">
        <w:rPr>
          <w:b/>
          <w:bCs/>
          <w:sz w:val="22"/>
          <w:szCs w:val="22"/>
        </w:rPr>
        <w:tab/>
        <w:t>Kontraindikácie</w:t>
      </w:r>
    </w:p>
    <w:p w14:paraId="70020410" w14:textId="77777777" w:rsidR="00E9223E" w:rsidRPr="00597A34" w:rsidRDefault="00E9223E" w:rsidP="0000128F">
      <w:pPr>
        <w:keepNext/>
        <w:keepLines/>
        <w:rPr>
          <w:sz w:val="22"/>
          <w:szCs w:val="22"/>
        </w:rPr>
      </w:pPr>
    </w:p>
    <w:p w14:paraId="1862BB5F" w14:textId="77777777" w:rsidR="00E9223E" w:rsidRPr="00597A34" w:rsidRDefault="00E9223E" w:rsidP="0000128F">
      <w:pPr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>Precitlivenosť na liečivo alebo na ktorúkoľvek z pomocných látok uvedených v časti 6.1</w:t>
      </w:r>
      <w:r w:rsidRPr="00597A34">
        <w:rPr>
          <w:sz w:val="22"/>
          <w:szCs w:val="22"/>
        </w:rPr>
        <w:t>.</w:t>
      </w:r>
    </w:p>
    <w:p w14:paraId="1EBAF22C" w14:textId="77777777" w:rsidR="00E9223E" w:rsidRPr="00597A34" w:rsidRDefault="00E9223E" w:rsidP="0000128F">
      <w:pPr>
        <w:rPr>
          <w:sz w:val="22"/>
          <w:szCs w:val="22"/>
        </w:rPr>
      </w:pPr>
    </w:p>
    <w:p w14:paraId="04E9407A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Fluorescite sa nesmie injektovať intratekálne alebo intra-arteriálne.</w:t>
      </w:r>
    </w:p>
    <w:p w14:paraId="035B4E88" w14:textId="77777777" w:rsidR="00E9223E" w:rsidRPr="00597A34" w:rsidRDefault="00E9223E" w:rsidP="0000128F">
      <w:pPr>
        <w:rPr>
          <w:color w:val="000000"/>
          <w:sz w:val="22"/>
          <w:szCs w:val="22"/>
        </w:rPr>
      </w:pPr>
    </w:p>
    <w:p w14:paraId="60E07273" w14:textId="77777777" w:rsidR="00E9223E" w:rsidRPr="00597A34" w:rsidRDefault="00E9223E" w:rsidP="0000128F">
      <w:pPr>
        <w:rPr>
          <w:b/>
          <w:bCs/>
          <w:sz w:val="22"/>
          <w:szCs w:val="22"/>
        </w:rPr>
      </w:pPr>
      <w:r w:rsidRPr="00597A34">
        <w:rPr>
          <w:b/>
          <w:bCs/>
          <w:sz w:val="22"/>
          <w:szCs w:val="22"/>
        </w:rPr>
        <w:t>4.4</w:t>
      </w:r>
      <w:r w:rsidRPr="00597A34">
        <w:rPr>
          <w:b/>
          <w:bCs/>
          <w:sz w:val="22"/>
          <w:szCs w:val="22"/>
        </w:rPr>
        <w:tab/>
        <w:t>Osobitné upozornenia a opatrenia pri používaní</w:t>
      </w:r>
    </w:p>
    <w:p w14:paraId="1D9384B7" w14:textId="77777777" w:rsidR="00E9223E" w:rsidRPr="00597A34" w:rsidRDefault="00E9223E" w:rsidP="0000128F">
      <w:pPr>
        <w:rPr>
          <w:sz w:val="22"/>
          <w:szCs w:val="22"/>
        </w:rPr>
      </w:pPr>
    </w:p>
    <w:p w14:paraId="3F571947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>Fluoresceín-nátrium môže vyvolať závažné intolerančné reakcie.</w:t>
      </w:r>
    </w:p>
    <w:p w14:paraId="0B71867F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D41777A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597A34">
        <w:rPr>
          <w:color w:val="000000"/>
          <w:sz w:val="22"/>
          <w:szCs w:val="22"/>
          <w:u w:val="single"/>
        </w:rPr>
        <w:t>U pacientov s už existujúcimi ochoreniami, ako je kardiovaskulárne ochorenie, diabetes mellitus, je potrebné zvážiť prínos a riziko angiografie a viacnásobnú súbežnú liečbu (pre konkrétne beta-blokátory pozri časť 4.5).</w:t>
      </w:r>
    </w:p>
    <w:p w14:paraId="739145C7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72EE7EB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>Pred angiografiou je potrebné uskutočniť podrobný rozhovor s každým pacientom, aby sa zistila anamnéza kardiopulmonálneho ochorenia alebo alergie alebo sprievodných medikácií (ako sú beta</w:t>
      </w:r>
      <w:r w:rsidRPr="00597A34">
        <w:rPr>
          <w:color w:val="000000"/>
          <w:sz w:val="22"/>
          <w:szCs w:val="22"/>
        </w:rPr>
        <w:noBreakHyphen/>
        <w:t>blokátory, vrátane roztokov očných instilácií). Ak sa preukáže, že vyšetrenie je pre pacienta s vysokým rizikom hypersensitívnych reakcií a pre pacienta liečeného beta</w:t>
      </w:r>
      <w:r w:rsidRPr="00597A34">
        <w:rPr>
          <w:color w:val="000000"/>
          <w:sz w:val="22"/>
          <w:szCs w:val="22"/>
        </w:rPr>
        <w:noBreakHyphen/>
        <w:t>blokátormi (vrátane roztokov očných instilácií) skutočne nevyhnutne potrebné, toto vyšetrenie sa musí uskutočniť pod dohľadom lekára so skúsenosťami v intenzívnej starostlivosti (resuscitácia). Beta</w:t>
      </w:r>
      <w:r w:rsidRPr="00597A34">
        <w:rPr>
          <w:color w:val="000000"/>
          <w:sz w:val="22"/>
          <w:szCs w:val="22"/>
        </w:rPr>
        <w:noBreakHyphen/>
        <w:t>blokátory by mohli znižovať reakcie vaskulárnej kompenzácie na anafylaktický šok a znižovať účinnosť adrenalínu v prípade kardiovaskulárneho kolapsu. Pred každým injekčným podaním dinátriafluoresceinátu je potrebné, aby lekár požadoval informácie o sprievodnej liečbe beta-blokátormi.</w:t>
      </w:r>
    </w:p>
    <w:p w14:paraId="4D83E954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9223E" w:rsidRPr="00597A34" w14:paraId="50A334D3" w14:textId="77777777">
        <w:tc>
          <w:tcPr>
            <w:tcW w:w="9288" w:type="dxa"/>
          </w:tcPr>
          <w:p w14:paraId="589B15E1" w14:textId="77777777" w:rsidR="00E9223E" w:rsidRPr="00597A34" w:rsidRDefault="00E9223E" w:rsidP="004F5E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A34">
              <w:rPr>
                <w:color w:val="000000"/>
                <w:sz w:val="22"/>
                <w:szCs w:val="22"/>
              </w:rPr>
              <w:t>V prípade závažných intolerančných reakcií počas prvého angiografického vyšetrenia je potrebné zvážiť prínos ďalšej fluorescenčnej angiografie v porovnaní s rizikom závažných reakcií precitlivenosti (v niektorých prípadoch s fatálnym dôsledkom).</w:t>
            </w:r>
          </w:p>
        </w:tc>
      </w:tr>
    </w:tbl>
    <w:p w14:paraId="202E658F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EFAEFCC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 xml:space="preserve">Tieto reakcie intolerancie sú vždy nepredvídateľné, avšak častejšie sú u pacientov, ktorí už predtým mali skúsenosť s nepriaznivou reakciou po injekčnom podaní fluoresceínu (iné symptómy ako nauzea a vracanie), u pacientov s anamnézou alergie, ako je potravinami a liekmi vyvolaná urtikária, astma, ekzém, alergická rinitída alebo u pacientov s anamnézou bronchiálnej astmy. </w:t>
      </w:r>
    </w:p>
    <w:p w14:paraId="6BCE3E92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2436298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>Intradermálne testy kože nie sú pri predikcii týchto intolerančných reakcií spoľahlivé a ich použitie môže byť nebezpečné. Na stanovenie tejto diagnózy je potrebné uskutočniť špeciálne konzultácie zamerané na alergiu.</w:t>
      </w:r>
    </w:p>
    <w:p w14:paraId="4E2A4F4A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8309D34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 xml:space="preserve">Je možné uskutočniť premedikáciu. Avšak riziko výskytu závažných nežiaducich reakcií na lieky stále pretrváva. Premedikácia zahŕňa podanie predovšetkým orálnych antihistaminických H1 liečiv, </w:t>
      </w:r>
      <w:r w:rsidRPr="00597A34">
        <w:rPr>
          <w:color w:val="000000"/>
          <w:sz w:val="22"/>
          <w:szCs w:val="22"/>
        </w:rPr>
        <w:lastRenderedPageBreak/>
        <w:t>a následne kortikosteroidov, pred injekčným podaním fluoresceínu. Z dôvodu nízkeho výskytu týchto nežiaducich reakcií sa takáto premedikácia neodporúča u všetkých pacientov.</w:t>
      </w:r>
    </w:p>
    <w:p w14:paraId="0C0BAD22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6FDB1A4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>Riziko reakcií precitlivenosti s fluoresceín-nátriom vyžaduje:</w:t>
      </w:r>
    </w:p>
    <w:p w14:paraId="3D94B493" w14:textId="77777777" w:rsidR="00E9223E" w:rsidRPr="00597A34" w:rsidRDefault="00E9223E" w:rsidP="0000128F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>Presné monitorovanie pacienta zo strany oftalmológa uskutočňujúceho vyšetrenie, v priebehu vyšetrenia a najmenej 30 minút po ňom.</w:t>
      </w:r>
    </w:p>
    <w:p w14:paraId="0CE036A2" w14:textId="77777777" w:rsidR="00E9223E" w:rsidRPr="00597A34" w:rsidRDefault="00E9223E" w:rsidP="0000128F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>Udržiavanie vedenia infúzie počas najmenej 5 minút, tak aby sa bezodkladne ošetrila možná závažná nežiaduca reakcia.</w:t>
      </w:r>
    </w:p>
    <w:p w14:paraId="109CA66B" w14:textId="77777777" w:rsidR="00E9223E" w:rsidRPr="00597A34" w:rsidRDefault="00E9223E" w:rsidP="0000128F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>Mať k dispozícii vhodný materiál na núdzovú resuscitáciu, ktorý spočíva najskôr v zavedení druhej intravenóznej injekcie, umožňujúcej obnovenie objemu plazmy (vodný roztok polyiónovej alebo koloidnej náhrady plazmy) a intravenóznej injekcie adrenalínu v odporúčanej dávke (pozri časť 4.5).</w:t>
      </w:r>
    </w:p>
    <w:p w14:paraId="64A907DF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39FEE46" w14:textId="77777777" w:rsidR="00E9223E" w:rsidRPr="00597A34" w:rsidRDefault="00E9223E" w:rsidP="0000128F">
      <w:pPr>
        <w:rPr>
          <w:b/>
          <w:bCs/>
          <w:spacing w:val="-2"/>
          <w:sz w:val="22"/>
          <w:szCs w:val="22"/>
        </w:rPr>
      </w:pPr>
      <w:r w:rsidRPr="00597A34">
        <w:rPr>
          <w:b/>
          <w:bCs/>
          <w:spacing w:val="-2"/>
          <w:sz w:val="22"/>
          <w:szCs w:val="22"/>
        </w:rPr>
        <w:t>Poznámka:</w:t>
      </w:r>
    </w:p>
    <w:p w14:paraId="6984BB5C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 xml:space="preserve">Extravazácii je potrebné zamedziť z dôvodu vysokého pH roztoku fluoresceínu, čo môže spôsobiť závažné lokálne poškodenie tkaniva (silná bolesť v ramene počas niekoľkých hodín, odlupovanie kože; povrchová flebitída). Je potrebné sa presvedčiť o správnosti intravenóznej polohy hrotu ihly. Ak sa vyskytne extravazácia, je potrebné okamžite prerušiť injekčné podávanie. </w:t>
      </w:r>
      <w:r w:rsidRPr="00597A34">
        <w:rPr>
          <w:rStyle w:val="hps"/>
          <w:color w:val="222222"/>
          <w:sz w:val="22"/>
          <w:szCs w:val="22"/>
        </w:rPr>
        <w:t>Je potrebné prijať vhodné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opatrenia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na liečbu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poškodeného tkaniva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a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k úľave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od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bolesti.</w:t>
      </w:r>
    </w:p>
    <w:p w14:paraId="2414A0A6" w14:textId="77777777" w:rsidR="00E9223E" w:rsidRPr="00597A34" w:rsidRDefault="00E9223E" w:rsidP="0000128F">
      <w:pPr>
        <w:rPr>
          <w:spacing w:val="-2"/>
          <w:sz w:val="22"/>
          <w:szCs w:val="22"/>
        </w:rPr>
      </w:pPr>
    </w:p>
    <w:p w14:paraId="4663CD2E" w14:textId="77777777" w:rsidR="00E9223E" w:rsidRPr="00597A34" w:rsidRDefault="00E9223E" w:rsidP="0000128F">
      <w:pPr>
        <w:rPr>
          <w:noProof/>
          <w:sz w:val="22"/>
          <w:szCs w:val="22"/>
        </w:rPr>
      </w:pPr>
      <w:r w:rsidRPr="00597A34">
        <w:rPr>
          <w:sz w:val="22"/>
          <w:szCs w:val="22"/>
        </w:rPr>
        <w:t>Ak sa v rozpätí 36 hodín po injekčnom podaní uskutočňuje röntgenografické vyšetrenie (maximálna doba vylučovania fluoresceínu z tela), výsledná vysoká viditeľnosť vylučovacích orgánov na röntgenovej snímke môže viesť k nesprávnej interpretácii</w:t>
      </w:r>
      <w:r w:rsidRPr="00597A34">
        <w:rPr>
          <w:spacing w:val="-2"/>
          <w:sz w:val="22"/>
          <w:szCs w:val="22"/>
        </w:rPr>
        <w:t>.</w:t>
      </w:r>
    </w:p>
    <w:p w14:paraId="7DC3457C" w14:textId="77777777" w:rsidR="00E9223E" w:rsidRPr="00597A34" w:rsidRDefault="00E9223E" w:rsidP="0000128F">
      <w:pPr>
        <w:rPr>
          <w:sz w:val="22"/>
          <w:szCs w:val="22"/>
        </w:rPr>
      </w:pPr>
    </w:p>
    <w:p w14:paraId="474D95D7" w14:textId="77777777" w:rsidR="00E9223E" w:rsidRPr="00597A34" w:rsidRDefault="00E9223E" w:rsidP="0000128F">
      <w:pPr>
        <w:rPr>
          <w:spacing w:val="-2"/>
          <w:sz w:val="22"/>
          <w:szCs w:val="22"/>
        </w:rPr>
      </w:pPr>
      <w:r w:rsidRPr="00597A34">
        <w:rPr>
          <w:color w:val="000000"/>
          <w:sz w:val="22"/>
          <w:szCs w:val="22"/>
        </w:rPr>
        <w:t>Tento liek obsahuje až 3,15 mmol (72,45 mg) sodíka v jednej dávke. Toto je potrebné vziať do úvahy u pacientov, ktorí majú diétu s regulovaným príjmom sodíka.</w:t>
      </w:r>
    </w:p>
    <w:p w14:paraId="067A333F" w14:textId="77777777" w:rsidR="00E9223E" w:rsidRPr="00597A34" w:rsidRDefault="00E9223E" w:rsidP="0000128F">
      <w:pPr>
        <w:keepNext/>
        <w:keepLines/>
        <w:rPr>
          <w:sz w:val="22"/>
          <w:szCs w:val="22"/>
        </w:rPr>
      </w:pPr>
    </w:p>
    <w:p w14:paraId="190CBF12" w14:textId="77777777" w:rsidR="00E9223E" w:rsidRPr="00597A34" w:rsidRDefault="00E9223E" w:rsidP="0000128F">
      <w:pPr>
        <w:keepNext/>
        <w:keepLines/>
        <w:ind w:left="567" w:hanging="567"/>
        <w:rPr>
          <w:sz w:val="22"/>
          <w:szCs w:val="22"/>
        </w:rPr>
      </w:pPr>
      <w:r w:rsidRPr="00597A34">
        <w:rPr>
          <w:b/>
          <w:bCs/>
          <w:sz w:val="22"/>
          <w:szCs w:val="22"/>
        </w:rPr>
        <w:t>4.5</w:t>
      </w:r>
      <w:r w:rsidRPr="00597A34">
        <w:rPr>
          <w:b/>
          <w:bCs/>
          <w:sz w:val="22"/>
          <w:szCs w:val="22"/>
        </w:rPr>
        <w:tab/>
        <w:t>Liekové a iné interakcie</w:t>
      </w:r>
    </w:p>
    <w:p w14:paraId="190ADE72" w14:textId="77777777" w:rsidR="00E9223E" w:rsidRPr="00597A34" w:rsidRDefault="00E9223E" w:rsidP="0000128F">
      <w:pPr>
        <w:keepNext/>
        <w:keepLines/>
        <w:rPr>
          <w:sz w:val="22"/>
          <w:szCs w:val="22"/>
          <w:lang w:eastAsia="en-GB"/>
        </w:rPr>
      </w:pPr>
    </w:p>
    <w:p w14:paraId="51048B23" w14:textId="77777777" w:rsidR="00E9223E" w:rsidRPr="00597A34" w:rsidRDefault="00E9223E" w:rsidP="00224D77">
      <w:pPr>
        <w:keepNext/>
        <w:keepLines/>
        <w:rPr>
          <w:color w:val="222222"/>
          <w:sz w:val="22"/>
          <w:szCs w:val="22"/>
        </w:rPr>
      </w:pPr>
      <w:r w:rsidRPr="00597A34">
        <w:rPr>
          <w:sz w:val="22"/>
          <w:szCs w:val="22"/>
        </w:rPr>
        <w:t xml:space="preserve">Fluoresceín je relatívne inertné farbivo a štúdie špecifických liekových interakcií neboli publikované. Je niekoľko málo údajov o možných interakciách s transportérmi organických aniónov a interferencie pri určitých laboratórnych testoch. Je možné, že fluoresceín môže ovplyvňovať určité hodnoty v krvi a moči počas 3 až 4 dní po aplikácii. </w:t>
      </w:r>
      <w:r w:rsidRPr="00597A34">
        <w:rPr>
          <w:rStyle w:val="hps"/>
          <w:color w:val="222222"/>
          <w:sz w:val="22"/>
          <w:szCs w:val="22"/>
        </w:rPr>
        <w:t>Opatrnosť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sa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odporúča pri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vykonávaní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terapeutického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monitorovania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liečiv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s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bCs/>
          <w:color w:val="222222"/>
          <w:sz w:val="22"/>
          <w:szCs w:val="22"/>
        </w:rPr>
        <w:t xml:space="preserve">úzkym terapeutickým rozsahom plazmatických koncentrácií, </w:t>
      </w:r>
      <w:r w:rsidRPr="00597A34">
        <w:rPr>
          <w:rStyle w:val="hps"/>
          <w:color w:val="222222"/>
          <w:sz w:val="22"/>
          <w:szCs w:val="22"/>
        </w:rPr>
        <w:t>napríklad</w:t>
      </w:r>
      <w:r w:rsidRPr="00597A34">
        <w:rPr>
          <w:color w:val="222222"/>
          <w:sz w:val="22"/>
          <w:szCs w:val="22"/>
        </w:rPr>
        <w:t xml:space="preserve"> </w:t>
      </w:r>
      <w:r w:rsidRPr="00597A34">
        <w:rPr>
          <w:rStyle w:val="hps"/>
          <w:color w:val="222222"/>
          <w:sz w:val="22"/>
          <w:szCs w:val="22"/>
        </w:rPr>
        <w:t>digoxín</w:t>
      </w:r>
      <w:r w:rsidRPr="00597A34">
        <w:rPr>
          <w:color w:val="222222"/>
          <w:sz w:val="22"/>
          <w:szCs w:val="22"/>
        </w:rPr>
        <w:t xml:space="preserve">, </w:t>
      </w:r>
      <w:r w:rsidRPr="00597A34">
        <w:rPr>
          <w:rStyle w:val="hps"/>
          <w:color w:val="222222"/>
          <w:sz w:val="22"/>
          <w:szCs w:val="22"/>
        </w:rPr>
        <w:t xml:space="preserve">chinidín. </w:t>
      </w:r>
      <w:r w:rsidRPr="00597A34">
        <w:rPr>
          <w:sz w:val="22"/>
          <w:szCs w:val="22"/>
        </w:rPr>
        <w:t>Zlúčeniny, ktoré inhibujú alebo konkurujú aktívnym transportom organických aniónov (napr. probenicid), môžu ovplyvňovať systémový profil fluoresceínu.</w:t>
      </w:r>
    </w:p>
    <w:p w14:paraId="365AA1BF" w14:textId="77777777" w:rsidR="00E9223E" w:rsidRPr="00597A34" w:rsidRDefault="00E9223E" w:rsidP="0000128F">
      <w:pPr>
        <w:keepNext/>
        <w:keepLines/>
        <w:rPr>
          <w:sz w:val="22"/>
          <w:szCs w:val="22"/>
        </w:rPr>
      </w:pPr>
    </w:p>
    <w:p w14:paraId="4DFBE2AB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</w:rPr>
        <w:t xml:space="preserve">Súbežné použitie </w:t>
      </w:r>
      <w:r w:rsidRPr="00597A34">
        <w:rPr>
          <w:sz w:val="22"/>
          <w:szCs w:val="22"/>
        </w:rPr>
        <w:t>Fluoresciteu s </w:t>
      </w:r>
      <w:r w:rsidRPr="00597A34">
        <w:rPr>
          <w:color w:val="000000"/>
          <w:sz w:val="22"/>
          <w:szCs w:val="22"/>
        </w:rPr>
        <w:t xml:space="preserve">beta-blokátormi (vrátane roztokov očných instilácií) môže zriedka vyvolať závažné anafylaktické reakcie. Beta-blokátory môžu zredukovať vaskulárne kompenzačné reakcie na anafylaktický šok, a tiež môžu znížiť účinnosť adrenalínu v prípade kardiovaskulárneho kolapsu, ktorý môže vyžadovať intenzívnu farmakologickú terapiu a taktiež použitie resuscitačných krokov (pozri časť 4.4).  </w:t>
      </w:r>
    </w:p>
    <w:p w14:paraId="5333A27F" w14:textId="77777777" w:rsidR="00E9223E" w:rsidRPr="00597A34" w:rsidRDefault="00E9223E" w:rsidP="0000128F">
      <w:pPr>
        <w:keepNext/>
        <w:keepLines/>
        <w:rPr>
          <w:sz w:val="22"/>
          <w:szCs w:val="22"/>
        </w:rPr>
      </w:pPr>
    </w:p>
    <w:p w14:paraId="7EEDBCF2" w14:textId="77777777" w:rsidR="00E9223E" w:rsidRPr="00597A34" w:rsidRDefault="00E9223E" w:rsidP="0000128F">
      <w:pPr>
        <w:keepNext/>
        <w:keepLines/>
        <w:rPr>
          <w:sz w:val="22"/>
          <w:szCs w:val="22"/>
        </w:rPr>
      </w:pPr>
      <w:r w:rsidRPr="00597A34">
        <w:rPr>
          <w:sz w:val="22"/>
          <w:szCs w:val="22"/>
        </w:rPr>
        <w:t xml:space="preserve">Súbežnej intravenóznej injekcii ďalších roztokov alebo zmesi </w:t>
      </w:r>
      <w:r w:rsidRPr="00597A34">
        <w:rPr>
          <w:spacing w:val="-2"/>
          <w:sz w:val="22"/>
          <w:szCs w:val="22"/>
        </w:rPr>
        <w:t>Fluoresciteu</w:t>
      </w:r>
      <w:r w:rsidRPr="00597A34">
        <w:rPr>
          <w:sz w:val="22"/>
          <w:szCs w:val="22"/>
        </w:rPr>
        <w:t xml:space="preserve"> </w:t>
      </w:r>
      <w:r w:rsidRPr="00597A34">
        <w:rPr>
          <w:spacing w:val="-2"/>
          <w:sz w:val="22"/>
          <w:szCs w:val="22"/>
        </w:rPr>
        <w:t xml:space="preserve">s ďalšími roztokmi je potrebné zamedziť, pretože možnosť </w:t>
      </w:r>
      <w:r w:rsidRPr="00597A34">
        <w:rPr>
          <w:sz w:val="22"/>
          <w:szCs w:val="22"/>
        </w:rPr>
        <w:t>interakcií sa nedá vylúčiť.</w:t>
      </w:r>
    </w:p>
    <w:p w14:paraId="017695D1" w14:textId="77777777" w:rsidR="00E9223E" w:rsidRPr="00597A34" w:rsidRDefault="00E9223E" w:rsidP="0000128F">
      <w:pPr>
        <w:keepNext/>
        <w:keepLines/>
        <w:rPr>
          <w:sz w:val="22"/>
          <w:szCs w:val="22"/>
        </w:rPr>
      </w:pPr>
    </w:p>
    <w:p w14:paraId="3D5E16D1" w14:textId="77777777" w:rsidR="00E9223E" w:rsidRPr="00597A34" w:rsidRDefault="00E9223E" w:rsidP="0000128F">
      <w:pPr>
        <w:keepNext/>
        <w:keepLines/>
        <w:rPr>
          <w:sz w:val="22"/>
          <w:szCs w:val="22"/>
        </w:rPr>
      </w:pPr>
    </w:p>
    <w:p w14:paraId="5D9E29FD" w14:textId="77777777" w:rsidR="00E9223E" w:rsidRPr="00597A34" w:rsidRDefault="00E9223E" w:rsidP="0000128F">
      <w:pPr>
        <w:keepNext/>
        <w:keepLines/>
        <w:ind w:left="567" w:hanging="567"/>
        <w:rPr>
          <w:sz w:val="22"/>
          <w:szCs w:val="22"/>
        </w:rPr>
      </w:pPr>
      <w:r w:rsidRPr="00597A34">
        <w:rPr>
          <w:b/>
          <w:bCs/>
          <w:sz w:val="22"/>
          <w:szCs w:val="22"/>
        </w:rPr>
        <w:t>4.6</w:t>
      </w:r>
      <w:r w:rsidRPr="00597A34">
        <w:rPr>
          <w:b/>
          <w:bCs/>
          <w:sz w:val="22"/>
          <w:szCs w:val="22"/>
        </w:rPr>
        <w:tab/>
        <w:t>Fertilita, gravidita a laktácia</w:t>
      </w:r>
    </w:p>
    <w:p w14:paraId="17BDC0F4" w14:textId="77777777" w:rsidR="00E9223E" w:rsidRPr="00597A34" w:rsidRDefault="00E9223E" w:rsidP="0000128F">
      <w:pPr>
        <w:keepNext/>
        <w:keepLines/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</w:p>
    <w:p w14:paraId="65A015A6" w14:textId="77777777" w:rsidR="00E9223E" w:rsidRPr="00597A34" w:rsidRDefault="00E9223E" w:rsidP="0000128F">
      <w:pPr>
        <w:rPr>
          <w:rFonts w:eastAsia="MS Mincho"/>
          <w:sz w:val="22"/>
          <w:szCs w:val="22"/>
          <w:u w:val="single"/>
          <w:lang w:eastAsia="ja-JP"/>
        </w:rPr>
      </w:pPr>
      <w:r w:rsidRPr="00597A34">
        <w:rPr>
          <w:rFonts w:eastAsia="MS Mincho"/>
          <w:sz w:val="22"/>
          <w:szCs w:val="22"/>
          <w:u w:val="single"/>
          <w:lang w:eastAsia="ja-JP"/>
        </w:rPr>
        <w:t>Gravidita</w:t>
      </w:r>
    </w:p>
    <w:p w14:paraId="496B664F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 xml:space="preserve">Nie sú k dispozícii obmedzené ani iné údaje týkajúce sa používania </w:t>
      </w:r>
      <w:r w:rsidRPr="00597A34">
        <w:rPr>
          <w:spacing w:val="-2"/>
          <w:sz w:val="22"/>
          <w:szCs w:val="22"/>
        </w:rPr>
        <w:t>Fluoresciteu</w:t>
      </w:r>
      <w:r w:rsidRPr="00597A34">
        <w:rPr>
          <w:sz w:val="22"/>
          <w:szCs w:val="22"/>
        </w:rPr>
        <w:t xml:space="preserve"> </w:t>
      </w:r>
      <w:r w:rsidRPr="00597A34">
        <w:rPr>
          <w:spacing w:val="-2"/>
          <w:sz w:val="22"/>
          <w:szCs w:val="22"/>
        </w:rPr>
        <w:t>v gravidite</w:t>
      </w:r>
      <w:r w:rsidRPr="00597A34">
        <w:rPr>
          <w:sz w:val="22"/>
          <w:szCs w:val="22"/>
        </w:rPr>
        <w:t>. Štúdie na zvieratách nepreukázali žiadne teratogénne účinky (pozri časť 5.3). Z preventívnych dôvodov je vhodné zamedziť podávaniu injekčného roztoku Fluorescite počas gravidity.</w:t>
      </w:r>
    </w:p>
    <w:p w14:paraId="3840B8D8" w14:textId="77777777" w:rsidR="00E9223E" w:rsidRPr="00597A34" w:rsidRDefault="00E9223E" w:rsidP="0000128F">
      <w:pPr>
        <w:rPr>
          <w:rFonts w:eastAsia="MS Mincho"/>
          <w:sz w:val="22"/>
          <w:szCs w:val="22"/>
          <w:lang w:eastAsia="ja-JP"/>
        </w:rPr>
      </w:pPr>
    </w:p>
    <w:p w14:paraId="26000FA3" w14:textId="77777777" w:rsidR="00E9223E" w:rsidRPr="00597A34" w:rsidRDefault="00E9223E" w:rsidP="00CF0D59">
      <w:pPr>
        <w:keepNext/>
        <w:rPr>
          <w:rFonts w:eastAsia="MS Mincho"/>
          <w:sz w:val="22"/>
          <w:szCs w:val="22"/>
          <w:u w:val="single"/>
          <w:lang w:eastAsia="ja-JP"/>
        </w:rPr>
      </w:pPr>
      <w:r w:rsidRPr="00597A34">
        <w:rPr>
          <w:rFonts w:eastAsia="MS Mincho"/>
          <w:sz w:val="22"/>
          <w:szCs w:val="22"/>
          <w:u w:val="single"/>
          <w:lang w:eastAsia="ja-JP"/>
        </w:rPr>
        <w:lastRenderedPageBreak/>
        <w:t>Laktácia</w:t>
      </w:r>
    </w:p>
    <w:p w14:paraId="6B649988" w14:textId="77777777" w:rsidR="00E9223E" w:rsidRPr="00597A34" w:rsidRDefault="00E9223E" w:rsidP="00CF0D59">
      <w:pPr>
        <w:keepNext/>
        <w:rPr>
          <w:rFonts w:eastAsia="MS Mincho"/>
          <w:sz w:val="22"/>
          <w:szCs w:val="22"/>
          <w:lang w:eastAsia="ja-JP"/>
        </w:rPr>
      </w:pPr>
      <w:r w:rsidRPr="00597A34">
        <w:rPr>
          <w:rFonts w:eastAsia="MS Mincho"/>
          <w:sz w:val="22"/>
          <w:szCs w:val="22"/>
          <w:lang w:eastAsia="ja-JP"/>
        </w:rPr>
        <w:t>Dinátriumfluoresceinát sa po systémovom podaní vylučuje do materského mlieka počas 7 dní. Nie je možné vylúčiť riziko pre dojčené dieťa. Po fluorescenčnej angiografii je preto potrebné prerušiť dojčenie na 7 dní a počas tohto obdobia sa má mlieko odsávať a likvidovať.</w:t>
      </w:r>
    </w:p>
    <w:p w14:paraId="0D62F4E3" w14:textId="77777777" w:rsidR="00E9223E" w:rsidRPr="00597A34" w:rsidRDefault="00E9223E" w:rsidP="0000128F">
      <w:pPr>
        <w:rPr>
          <w:rFonts w:eastAsia="MS Mincho"/>
          <w:sz w:val="22"/>
          <w:szCs w:val="22"/>
          <w:u w:val="single"/>
          <w:lang w:eastAsia="ja-JP"/>
        </w:rPr>
      </w:pPr>
    </w:p>
    <w:p w14:paraId="28597352" w14:textId="77777777" w:rsidR="00E9223E" w:rsidRPr="00597A34" w:rsidRDefault="00E9223E" w:rsidP="00CF0D59">
      <w:pPr>
        <w:keepNext/>
        <w:rPr>
          <w:rFonts w:eastAsia="MS Mincho"/>
          <w:sz w:val="22"/>
          <w:szCs w:val="22"/>
          <w:u w:val="single"/>
          <w:lang w:eastAsia="ja-JP"/>
        </w:rPr>
      </w:pPr>
      <w:r w:rsidRPr="00597A34">
        <w:rPr>
          <w:rFonts w:eastAsia="MS Mincho"/>
          <w:sz w:val="22"/>
          <w:szCs w:val="22"/>
          <w:u w:val="single"/>
          <w:lang w:eastAsia="ja-JP"/>
        </w:rPr>
        <w:t>Fertilita</w:t>
      </w:r>
    </w:p>
    <w:p w14:paraId="0AA9D5E0" w14:textId="77777777" w:rsidR="00E9223E" w:rsidRPr="00CF0D59" w:rsidRDefault="00E9223E" w:rsidP="00CF0D59">
      <w:pPr>
        <w:keepNext/>
        <w:rPr>
          <w:rFonts w:eastAsia="MS Mincho"/>
          <w:sz w:val="22"/>
          <w:szCs w:val="22"/>
          <w:lang w:eastAsia="ja-JP"/>
        </w:rPr>
      </w:pPr>
      <w:r w:rsidRPr="00CF0D59">
        <w:rPr>
          <w:rFonts w:eastAsia="MS Mincho"/>
          <w:sz w:val="22"/>
          <w:szCs w:val="22"/>
          <w:lang w:eastAsia="ja-JP"/>
        </w:rPr>
        <w:t>Doposiaľ sa neuskutočnili žiadne štúdie zamerané na hodnotenie účinku intravenózne podávaného fluoresceínu na fertilitu.</w:t>
      </w:r>
    </w:p>
    <w:p w14:paraId="307EB7FC" w14:textId="77777777" w:rsidR="00E9223E" w:rsidRPr="00597A34" w:rsidRDefault="00E9223E" w:rsidP="0000128F">
      <w:pPr>
        <w:rPr>
          <w:rFonts w:eastAsia="MS Mincho"/>
          <w:sz w:val="22"/>
          <w:szCs w:val="22"/>
          <w:u w:val="single"/>
          <w:lang w:eastAsia="ja-JP"/>
        </w:rPr>
      </w:pPr>
    </w:p>
    <w:p w14:paraId="08650E93" w14:textId="77777777" w:rsidR="00E9223E" w:rsidRPr="00597A34" w:rsidRDefault="00E9223E" w:rsidP="0000128F">
      <w:pPr>
        <w:keepNext/>
        <w:keepLines/>
        <w:ind w:left="567" w:hanging="567"/>
        <w:rPr>
          <w:sz w:val="22"/>
          <w:szCs w:val="22"/>
        </w:rPr>
      </w:pPr>
      <w:r w:rsidRPr="00597A34">
        <w:rPr>
          <w:b/>
          <w:bCs/>
          <w:sz w:val="22"/>
          <w:szCs w:val="22"/>
        </w:rPr>
        <w:t>4.7</w:t>
      </w:r>
      <w:r w:rsidRPr="00597A34">
        <w:rPr>
          <w:b/>
          <w:bCs/>
          <w:sz w:val="22"/>
          <w:szCs w:val="22"/>
        </w:rPr>
        <w:tab/>
        <w:t>Ovplyvnenie schopnosti viesť vozidlá a obsluhovať stroje</w:t>
      </w:r>
    </w:p>
    <w:p w14:paraId="27ECD095" w14:textId="77777777" w:rsidR="00E9223E" w:rsidRPr="00597A34" w:rsidRDefault="00E9223E" w:rsidP="0000128F">
      <w:pPr>
        <w:keepNext/>
        <w:keepLines/>
        <w:ind w:left="567" w:hanging="567"/>
        <w:rPr>
          <w:sz w:val="22"/>
          <w:szCs w:val="22"/>
        </w:rPr>
      </w:pPr>
    </w:p>
    <w:p w14:paraId="430A99ED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Ak je pre vyšetrenie fluorescenčnou angiografiou potrebná mydriáza, zraková ostrosť je ovplyvnená a týmto ovplyvňuje schopnosť reagovať v dopravnom ruchu alebo pri obsluhe strojov. Pacient musí byť upozornený, že po aplikácii a až do navrátenia normálnej zrakovej ostrosti je zakázané viesť vozidlá alebo obsluhovať nebezpečné stroje.</w:t>
      </w:r>
    </w:p>
    <w:p w14:paraId="08C002FA" w14:textId="77777777" w:rsidR="00E9223E" w:rsidRPr="00597A34" w:rsidRDefault="00E9223E" w:rsidP="0000128F">
      <w:pPr>
        <w:rPr>
          <w:sz w:val="22"/>
          <w:szCs w:val="22"/>
        </w:rPr>
      </w:pPr>
    </w:p>
    <w:p w14:paraId="493ED72F" w14:textId="77777777" w:rsidR="00E9223E" w:rsidRPr="00597A34" w:rsidRDefault="00E9223E" w:rsidP="0000128F">
      <w:pPr>
        <w:keepNext/>
        <w:keepLines/>
        <w:ind w:left="567" w:hanging="567"/>
        <w:rPr>
          <w:b/>
          <w:bCs/>
          <w:sz w:val="22"/>
          <w:szCs w:val="22"/>
        </w:rPr>
      </w:pPr>
      <w:r w:rsidRPr="00597A34">
        <w:rPr>
          <w:b/>
          <w:bCs/>
          <w:sz w:val="22"/>
          <w:szCs w:val="22"/>
        </w:rPr>
        <w:t>4.8</w:t>
      </w:r>
      <w:r w:rsidRPr="00597A34">
        <w:rPr>
          <w:b/>
          <w:bCs/>
          <w:sz w:val="22"/>
          <w:szCs w:val="22"/>
        </w:rPr>
        <w:tab/>
        <w:t>Nežiaduce účinky</w:t>
      </w:r>
    </w:p>
    <w:p w14:paraId="0AD1FFEB" w14:textId="77777777" w:rsidR="00E9223E" w:rsidRPr="00597A34" w:rsidRDefault="00E9223E" w:rsidP="0000128F">
      <w:pPr>
        <w:keepNext/>
        <w:keepLines/>
        <w:rPr>
          <w:sz w:val="22"/>
          <w:szCs w:val="22"/>
          <w:lang w:eastAsia="en-GB"/>
        </w:rPr>
      </w:pPr>
    </w:p>
    <w:p w14:paraId="355385AE" w14:textId="77777777" w:rsidR="00E9223E" w:rsidRPr="00597A34" w:rsidRDefault="00E9223E" w:rsidP="0000128F">
      <w:pPr>
        <w:keepNext/>
        <w:keepLines/>
        <w:rPr>
          <w:sz w:val="22"/>
          <w:szCs w:val="22"/>
          <w:lang w:eastAsia="en-GB"/>
        </w:rPr>
      </w:pPr>
      <w:r w:rsidRPr="00597A34">
        <w:rPr>
          <w:sz w:val="22"/>
          <w:szCs w:val="22"/>
          <w:lang w:eastAsia="en-GB"/>
        </w:rPr>
        <w:t>Súhrnný bezpečnostný profil</w:t>
      </w:r>
    </w:p>
    <w:p w14:paraId="603C3D99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7A34">
        <w:rPr>
          <w:sz w:val="22"/>
          <w:szCs w:val="22"/>
        </w:rPr>
        <w:t>Najčastejšie uvádzanými s liečbou spojenými nežiaducimi účinkami boli nauzea, vracanie, synkopa a</w:t>
      </w:r>
      <w:r w:rsidRPr="00597A34">
        <w:rPr>
          <w:color w:val="000000"/>
          <w:sz w:val="22"/>
          <w:szCs w:val="22"/>
        </w:rPr>
        <w:t> pruritus. Menej častejšie, ale závažnejšie nežiaduce reakcie boli uvádzané krátko po injekčnom podaní fluoresceínu, ako sú: angioedém, respiračné poruchy (</w:t>
      </w:r>
      <w:r w:rsidRPr="00597A34">
        <w:rPr>
          <w:color w:val="000000"/>
          <w:sz w:val="22"/>
          <w:szCs w:val="22"/>
          <w:lang w:eastAsia="fr-FR"/>
        </w:rPr>
        <w:t>bronchospazmus, laryngálny edém, respiračné zlyhanie</w:t>
      </w:r>
      <w:r w:rsidRPr="00597A34">
        <w:rPr>
          <w:color w:val="000000"/>
          <w:sz w:val="22"/>
          <w:szCs w:val="22"/>
        </w:rPr>
        <w:t xml:space="preserve">), anafylaktický šok, </w:t>
      </w:r>
      <w:r w:rsidRPr="00597A34">
        <w:rPr>
          <w:color w:val="000000"/>
          <w:sz w:val="22"/>
          <w:szCs w:val="22"/>
          <w:lang w:eastAsia="fr-FR"/>
        </w:rPr>
        <w:t>hypotenzia, strata vedomia, kŕče, respiračná zástava a zástava srdca</w:t>
      </w:r>
      <w:r w:rsidRPr="00597A34">
        <w:rPr>
          <w:color w:val="000000"/>
          <w:sz w:val="22"/>
          <w:szCs w:val="22"/>
        </w:rPr>
        <w:t>.</w:t>
      </w:r>
    </w:p>
    <w:p w14:paraId="02140B2D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5FD62BC" w14:textId="77777777" w:rsidR="00E9223E" w:rsidRPr="00597A34" w:rsidRDefault="00E9223E" w:rsidP="0000128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97A34">
        <w:rPr>
          <w:color w:val="000000"/>
          <w:sz w:val="22"/>
          <w:szCs w:val="22"/>
          <w:lang w:eastAsia="fr-FR"/>
        </w:rPr>
        <w:t>Tabuľkový prehľad nežiaducich reakcií</w:t>
      </w:r>
    </w:p>
    <w:p w14:paraId="74C1B8A3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  <w:r w:rsidRPr="00597A34">
        <w:rPr>
          <w:sz w:val="22"/>
          <w:szCs w:val="22"/>
          <w:lang w:val="sk-SK"/>
        </w:rPr>
        <w:t>Nasledujúce nežiaduce reakcie boli hodnotené ako súvisiace s liečbou a sú klasifikované podľa nasledujúceho hodnotenia: veľmi časté (</w:t>
      </w:r>
      <w:r w:rsidRPr="00597A34">
        <w:rPr>
          <w:sz w:val="22"/>
          <w:szCs w:val="22"/>
          <w:lang w:val="sk-SK"/>
        </w:rPr>
        <w:sym w:font="Symbol" w:char="F0B3"/>
      </w:r>
      <w:r w:rsidRPr="00597A34">
        <w:rPr>
          <w:sz w:val="22"/>
          <w:szCs w:val="22"/>
          <w:lang w:val="sk-SK"/>
        </w:rPr>
        <w:t xml:space="preserve"> 1/10), časté (≥ 1/100 až </w:t>
      </w:r>
      <w:r w:rsidRPr="00597A34">
        <w:rPr>
          <w:sz w:val="22"/>
          <w:szCs w:val="22"/>
          <w:lang w:val="sk-SK"/>
        </w:rPr>
        <w:sym w:font="Symbol" w:char="F03C"/>
      </w:r>
      <w:r w:rsidRPr="00597A34">
        <w:rPr>
          <w:sz w:val="22"/>
          <w:szCs w:val="22"/>
          <w:lang w:val="sk-SK"/>
        </w:rPr>
        <w:t xml:space="preserve"> 1/10), menej časté (≥ 1/1 000 až </w:t>
      </w:r>
      <w:r w:rsidRPr="00597A34">
        <w:rPr>
          <w:sz w:val="22"/>
          <w:szCs w:val="22"/>
          <w:lang w:val="sk-SK"/>
        </w:rPr>
        <w:sym w:font="Symbol" w:char="F03C"/>
      </w:r>
      <w:r w:rsidRPr="00597A34">
        <w:rPr>
          <w:sz w:val="22"/>
          <w:szCs w:val="22"/>
          <w:lang w:val="sk-SK"/>
        </w:rPr>
        <w:t xml:space="preserve"> 1/100), zriedkavé (≥ 1/10 000 až </w:t>
      </w:r>
      <w:r w:rsidRPr="00597A34">
        <w:rPr>
          <w:sz w:val="22"/>
          <w:szCs w:val="22"/>
          <w:lang w:val="sk-SK"/>
        </w:rPr>
        <w:sym w:font="Symbol" w:char="F03C"/>
      </w:r>
      <w:r w:rsidRPr="00597A34">
        <w:rPr>
          <w:sz w:val="22"/>
          <w:szCs w:val="22"/>
          <w:lang w:val="sk-SK"/>
        </w:rPr>
        <w:t> 1/1 000), veľmi zriedkavé (&lt; 1/10 000) alebo neznáme (z dostupných údajov). V rámci jednotlivých skupín frekvencií sú nežiaduce účinky usporiadané v poradí klesajúcej závažnosti.</w:t>
      </w:r>
    </w:p>
    <w:p w14:paraId="46D53D1A" w14:textId="77777777" w:rsidR="00E9223E" w:rsidRPr="00597A34" w:rsidRDefault="00E9223E" w:rsidP="0000128F">
      <w:pPr>
        <w:keepNext/>
        <w:keepLines/>
        <w:rPr>
          <w:sz w:val="22"/>
          <w:szCs w:val="22"/>
          <w:lang w:eastAsia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126"/>
      </w:tblGrid>
      <w:tr w:rsidR="00E9223E" w:rsidRPr="00597A34" w14:paraId="23AD6856" w14:textId="77777777">
        <w:tc>
          <w:tcPr>
            <w:tcW w:w="3828" w:type="dxa"/>
          </w:tcPr>
          <w:p w14:paraId="7D95D9E5" w14:textId="77777777" w:rsidR="00E9223E" w:rsidRPr="00597A34" w:rsidRDefault="00E9223E" w:rsidP="0000128F">
            <w:pPr>
              <w:pStyle w:val="TableText"/>
              <w:rPr>
                <w:b/>
                <w:bCs/>
                <w:lang w:val="sk-SK"/>
              </w:rPr>
            </w:pPr>
            <w:r w:rsidRPr="00597A34">
              <w:rPr>
                <w:b/>
                <w:b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5126" w:type="dxa"/>
          </w:tcPr>
          <w:p w14:paraId="78D52305" w14:textId="77777777" w:rsidR="00E9223E" w:rsidRPr="00597A34" w:rsidRDefault="00E9223E" w:rsidP="002A5EC8">
            <w:pPr>
              <w:pStyle w:val="TableText"/>
              <w:rPr>
                <w:b/>
                <w:bCs/>
                <w:lang w:val="sk-SK"/>
              </w:rPr>
            </w:pPr>
            <w:r w:rsidRPr="00597A34">
              <w:rPr>
                <w:b/>
                <w:bCs/>
                <w:sz w:val="22"/>
                <w:szCs w:val="22"/>
                <w:lang w:val="sk-SK"/>
              </w:rPr>
              <w:t>Výraz podľa MedDRA (v. 16.0)</w:t>
            </w:r>
          </w:p>
        </w:tc>
      </w:tr>
      <w:tr w:rsidR="00E9223E" w:rsidRPr="00597A34" w14:paraId="0B166E58" w14:textId="77777777">
        <w:tc>
          <w:tcPr>
            <w:tcW w:w="3828" w:type="dxa"/>
          </w:tcPr>
          <w:p w14:paraId="4E8865E9" w14:textId="77777777" w:rsidR="00E9223E" w:rsidRPr="00597A34" w:rsidRDefault="00E9223E" w:rsidP="0000128F">
            <w:pPr>
              <w:ind w:right="540"/>
            </w:pPr>
            <w:r w:rsidRPr="00597A34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5126" w:type="dxa"/>
          </w:tcPr>
          <w:p w14:paraId="61BA7E19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Menej časté</w:t>
            </w:r>
            <w:r w:rsidRPr="00597A34">
              <w:rPr>
                <w:sz w:val="22"/>
                <w:szCs w:val="22"/>
              </w:rPr>
              <w:t>: hypersenzitivita</w:t>
            </w:r>
          </w:p>
          <w:p w14:paraId="4A8478D9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Zriedkavé</w:t>
            </w:r>
            <w:r w:rsidRPr="00597A34">
              <w:rPr>
                <w:sz w:val="22"/>
                <w:szCs w:val="22"/>
              </w:rPr>
              <w:t>: anafylaktická reakcia</w:t>
            </w:r>
          </w:p>
          <w:p w14:paraId="571CE8A9" w14:textId="77777777" w:rsidR="00E9223E" w:rsidRPr="00597A34" w:rsidRDefault="00E9223E" w:rsidP="0000128F">
            <w:pPr>
              <w:pStyle w:val="TableText"/>
              <w:rPr>
                <w:lang w:val="sk-SK"/>
              </w:rPr>
            </w:pPr>
            <w:r w:rsidRPr="00597A34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597A34">
              <w:rPr>
                <w:sz w:val="22"/>
                <w:szCs w:val="22"/>
                <w:lang w:val="sk-SK"/>
              </w:rPr>
              <w:t>: anafylaktický šok</w:t>
            </w:r>
          </w:p>
        </w:tc>
      </w:tr>
      <w:tr w:rsidR="00E9223E" w:rsidRPr="00597A34" w14:paraId="00487D1A" w14:textId="77777777">
        <w:tc>
          <w:tcPr>
            <w:tcW w:w="3828" w:type="dxa"/>
          </w:tcPr>
          <w:p w14:paraId="7693DC5D" w14:textId="77777777" w:rsidR="00E9223E" w:rsidRPr="00597A34" w:rsidRDefault="00E9223E" w:rsidP="0000128F">
            <w:pPr>
              <w:ind w:right="540"/>
            </w:pPr>
            <w:r w:rsidRPr="00597A34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5126" w:type="dxa"/>
          </w:tcPr>
          <w:p w14:paraId="2179D70B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Časté:</w:t>
            </w:r>
            <w:r w:rsidRPr="00597A34">
              <w:rPr>
                <w:sz w:val="22"/>
                <w:szCs w:val="22"/>
              </w:rPr>
              <w:t xml:space="preserve"> synkopa</w:t>
            </w:r>
          </w:p>
          <w:p w14:paraId="5A3B9331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Menej časté</w:t>
            </w:r>
            <w:r w:rsidRPr="00597A34">
              <w:rPr>
                <w:sz w:val="22"/>
                <w:szCs w:val="22"/>
              </w:rPr>
              <w:t>: dysfázia, parestézia, závrat, bolesť hlavy</w:t>
            </w:r>
          </w:p>
          <w:p w14:paraId="3A8AA29B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Veľmi zriedkavé</w:t>
            </w:r>
            <w:r w:rsidRPr="00597A34">
              <w:rPr>
                <w:sz w:val="22"/>
                <w:szCs w:val="22"/>
              </w:rPr>
              <w:t>: kŕče</w:t>
            </w:r>
          </w:p>
          <w:p w14:paraId="738CEC0C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Neznáme</w:t>
            </w:r>
            <w:r w:rsidRPr="00597A34">
              <w:rPr>
                <w:sz w:val="22"/>
                <w:szCs w:val="22"/>
              </w:rPr>
              <w:t>: cerebrovaskulárna príhoda, vertebrobazilárna nedostatočnosť, strata vedomia, tremor, hypoestézia, dysgeúzia</w:t>
            </w:r>
          </w:p>
        </w:tc>
      </w:tr>
      <w:tr w:rsidR="00E9223E" w:rsidRPr="00597A34" w14:paraId="439F3F61" w14:textId="77777777">
        <w:tc>
          <w:tcPr>
            <w:tcW w:w="3828" w:type="dxa"/>
          </w:tcPr>
          <w:p w14:paraId="77F401EB" w14:textId="77777777" w:rsidR="00E9223E" w:rsidRPr="00597A34" w:rsidRDefault="00E9223E" w:rsidP="0000128F">
            <w:pPr>
              <w:ind w:right="540"/>
            </w:pPr>
            <w:r w:rsidRPr="00597A34">
              <w:rPr>
                <w:sz w:val="22"/>
                <w:szCs w:val="22"/>
              </w:rPr>
              <w:t>Poruchy srdca a srdcovej činnosti</w:t>
            </w:r>
          </w:p>
        </w:tc>
        <w:tc>
          <w:tcPr>
            <w:tcW w:w="5126" w:type="dxa"/>
          </w:tcPr>
          <w:p w14:paraId="66FA8C68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Zriedkavé</w:t>
            </w:r>
            <w:r w:rsidRPr="00597A34">
              <w:rPr>
                <w:sz w:val="22"/>
                <w:szCs w:val="22"/>
              </w:rPr>
              <w:t>: zástava srdca</w:t>
            </w:r>
          </w:p>
          <w:p w14:paraId="34E9598F" w14:textId="77777777" w:rsidR="00E9223E" w:rsidRPr="00597A34" w:rsidRDefault="00E9223E" w:rsidP="0000128F">
            <w:pPr>
              <w:pStyle w:val="TableText"/>
              <w:rPr>
                <w:lang w:val="sk-SK"/>
              </w:rPr>
            </w:pPr>
            <w:r w:rsidRPr="00597A34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597A34">
              <w:rPr>
                <w:sz w:val="22"/>
                <w:szCs w:val="22"/>
                <w:lang w:val="sk-SK"/>
              </w:rPr>
              <w:t>: angína pektoris, bradykardia, tachykardia</w:t>
            </w:r>
          </w:p>
          <w:p w14:paraId="771D8C60" w14:textId="77777777" w:rsidR="00E9223E" w:rsidRPr="00597A34" w:rsidRDefault="00E9223E" w:rsidP="0000128F">
            <w:pPr>
              <w:pStyle w:val="TableText"/>
              <w:rPr>
                <w:lang w:val="sk-SK"/>
              </w:rPr>
            </w:pPr>
            <w:proofErr w:type="spellStart"/>
            <w:r w:rsidRPr="00597A34">
              <w:rPr>
                <w:i/>
                <w:iCs/>
                <w:sz w:val="22"/>
                <w:szCs w:val="22"/>
              </w:rPr>
              <w:t>Neznáme</w:t>
            </w:r>
            <w:proofErr w:type="spellEnd"/>
            <w:r w:rsidRPr="00597A34">
              <w:rPr>
                <w:sz w:val="22"/>
                <w:szCs w:val="22"/>
              </w:rPr>
              <w:t xml:space="preserve">: </w:t>
            </w:r>
            <w:proofErr w:type="spellStart"/>
            <w:r w:rsidRPr="00597A34">
              <w:rPr>
                <w:sz w:val="22"/>
                <w:szCs w:val="22"/>
              </w:rPr>
              <w:t>infarkt</w:t>
            </w:r>
            <w:proofErr w:type="spellEnd"/>
            <w:r w:rsidRPr="00597A34">
              <w:rPr>
                <w:sz w:val="22"/>
                <w:szCs w:val="22"/>
              </w:rPr>
              <w:t xml:space="preserve"> </w:t>
            </w:r>
            <w:proofErr w:type="spellStart"/>
            <w:r w:rsidRPr="00597A34">
              <w:rPr>
                <w:sz w:val="22"/>
                <w:szCs w:val="22"/>
              </w:rPr>
              <w:t>myokardu</w:t>
            </w:r>
            <w:proofErr w:type="spellEnd"/>
          </w:p>
        </w:tc>
      </w:tr>
      <w:tr w:rsidR="00E9223E" w:rsidRPr="00597A34" w14:paraId="13BDB4BA" w14:textId="77777777">
        <w:tc>
          <w:tcPr>
            <w:tcW w:w="3828" w:type="dxa"/>
          </w:tcPr>
          <w:p w14:paraId="4F4F337F" w14:textId="77777777" w:rsidR="00E9223E" w:rsidRPr="00597A34" w:rsidRDefault="00E9223E" w:rsidP="0000128F">
            <w:pPr>
              <w:ind w:right="540"/>
            </w:pPr>
            <w:r w:rsidRPr="00597A34">
              <w:rPr>
                <w:sz w:val="22"/>
                <w:szCs w:val="22"/>
              </w:rPr>
              <w:t>Poruchy ciev</w:t>
            </w:r>
          </w:p>
          <w:p w14:paraId="2C775F03" w14:textId="77777777" w:rsidR="00E9223E" w:rsidRPr="00597A34" w:rsidRDefault="00E9223E" w:rsidP="0000128F">
            <w:pPr>
              <w:ind w:right="540"/>
            </w:pPr>
          </w:p>
        </w:tc>
        <w:tc>
          <w:tcPr>
            <w:tcW w:w="5126" w:type="dxa"/>
          </w:tcPr>
          <w:p w14:paraId="7A84C1B0" w14:textId="77777777" w:rsidR="00E9223E" w:rsidRPr="00597A34" w:rsidRDefault="00E9223E" w:rsidP="0000128F">
            <w:pPr>
              <w:tabs>
                <w:tab w:val="left" w:pos="5535"/>
              </w:tabs>
            </w:pPr>
            <w:r w:rsidRPr="00597A34">
              <w:rPr>
                <w:i/>
                <w:iCs/>
                <w:sz w:val="22"/>
                <w:szCs w:val="22"/>
              </w:rPr>
              <w:t>Menej časté</w:t>
            </w:r>
            <w:r w:rsidRPr="00597A34">
              <w:rPr>
                <w:sz w:val="22"/>
                <w:szCs w:val="22"/>
              </w:rPr>
              <w:t>: tromboflebitída</w:t>
            </w:r>
          </w:p>
          <w:p w14:paraId="520787B4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Zriedkavé</w:t>
            </w:r>
            <w:r w:rsidRPr="00597A34">
              <w:rPr>
                <w:sz w:val="22"/>
                <w:szCs w:val="22"/>
              </w:rPr>
              <w:t>: hypotenzia, šok</w:t>
            </w:r>
          </w:p>
          <w:p w14:paraId="05EDED85" w14:textId="77777777" w:rsidR="00E9223E" w:rsidRPr="00597A34" w:rsidRDefault="00E9223E" w:rsidP="0000128F">
            <w:pPr>
              <w:pStyle w:val="TableText"/>
              <w:rPr>
                <w:i/>
                <w:iCs/>
                <w:lang w:val="sk-SK"/>
              </w:rPr>
            </w:pPr>
            <w:r w:rsidRPr="00597A34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597A34">
              <w:rPr>
                <w:sz w:val="22"/>
                <w:szCs w:val="22"/>
                <w:lang w:val="sk-SK"/>
              </w:rPr>
              <w:t>: hypertenzia, vazospazmus, vazodilatácia, bledosť, nával horúčavy</w:t>
            </w:r>
          </w:p>
        </w:tc>
      </w:tr>
      <w:tr w:rsidR="00E9223E" w:rsidRPr="00597A34" w14:paraId="1F056990" w14:textId="77777777">
        <w:tc>
          <w:tcPr>
            <w:tcW w:w="3828" w:type="dxa"/>
          </w:tcPr>
          <w:p w14:paraId="6FCAF9E4" w14:textId="77777777" w:rsidR="00E9223E" w:rsidRPr="00597A34" w:rsidRDefault="00E9223E" w:rsidP="0000128F">
            <w:pPr>
              <w:ind w:right="540"/>
              <w:rPr>
                <w:u w:val="single"/>
              </w:rPr>
            </w:pPr>
            <w:r w:rsidRPr="00597A34">
              <w:rPr>
                <w:sz w:val="22"/>
                <w:szCs w:val="22"/>
              </w:rPr>
              <w:t>Poruchy dýchacej sústavy, hrudníka a mediastína</w:t>
            </w:r>
          </w:p>
        </w:tc>
        <w:tc>
          <w:tcPr>
            <w:tcW w:w="5126" w:type="dxa"/>
          </w:tcPr>
          <w:p w14:paraId="58E1941E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Menej časté:</w:t>
            </w:r>
            <w:r w:rsidRPr="00597A34">
              <w:rPr>
                <w:sz w:val="22"/>
                <w:szCs w:val="22"/>
              </w:rPr>
              <w:t xml:space="preserve"> kašeľ, zovreté hrdlo</w:t>
            </w:r>
          </w:p>
          <w:p w14:paraId="60FC1924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Zriedkavé:</w:t>
            </w:r>
            <w:r w:rsidRPr="00597A34">
              <w:rPr>
                <w:sz w:val="22"/>
                <w:szCs w:val="22"/>
              </w:rPr>
              <w:t xml:space="preserve"> bronchospazmus</w:t>
            </w:r>
          </w:p>
          <w:p w14:paraId="425D568A" w14:textId="77777777" w:rsidR="00E9223E" w:rsidRPr="00597A34" w:rsidRDefault="00E9223E" w:rsidP="0000128F">
            <w:pPr>
              <w:pStyle w:val="TableText"/>
              <w:rPr>
                <w:lang w:val="sk-SK"/>
              </w:rPr>
            </w:pPr>
            <w:r w:rsidRPr="00597A34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597A34">
              <w:rPr>
                <w:sz w:val="22"/>
                <w:szCs w:val="22"/>
                <w:lang w:val="sk-SK"/>
              </w:rPr>
              <w:t>: respiračná zástava, pulmonálny edém, astma, edém hrtana, dyspnoe, kýchanie, nazálny edém</w:t>
            </w:r>
          </w:p>
          <w:p w14:paraId="11CDCB85" w14:textId="77777777" w:rsidR="00E9223E" w:rsidRPr="00597A34" w:rsidRDefault="00E9223E" w:rsidP="0000128F">
            <w:pPr>
              <w:pStyle w:val="TableText"/>
              <w:rPr>
                <w:i/>
                <w:iCs/>
                <w:color w:val="008000"/>
                <w:lang w:val="sk-SK"/>
              </w:rPr>
            </w:pPr>
            <w:r w:rsidRPr="00597A34">
              <w:rPr>
                <w:i/>
                <w:iCs/>
                <w:sz w:val="22"/>
                <w:szCs w:val="22"/>
                <w:lang w:val="sk-SK"/>
              </w:rPr>
              <w:lastRenderedPageBreak/>
              <w:t>Neznáme</w:t>
            </w:r>
            <w:r w:rsidRPr="00597A34">
              <w:rPr>
                <w:sz w:val="22"/>
                <w:szCs w:val="22"/>
                <w:lang w:val="sk-SK"/>
              </w:rPr>
              <w:t>: dráždenie v hrdle</w:t>
            </w:r>
          </w:p>
        </w:tc>
      </w:tr>
      <w:tr w:rsidR="00E9223E" w:rsidRPr="00597A34" w14:paraId="5FF13E24" w14:textId="77777777">
        <w:tc>
          <w:tcPr>
            <w:tcW w:w="3828" w:type="dxa"/>
          </w:tcPr>
          <w:p w14:paraId="2DAF6E4A" w14:textId="77777777" w:rsidR="00E9223E" w:rsidRPr="00597A34" w:rsidRDefault="00E9223E" w:rsidP="0000128F">
            <w:pPr>
              <w:ind w:right="540"/>
            </w:pPr>
            <w:r w:rsidRPr="00597A34">
              <w:rPr>
                <w:sz w:val="22"/>
                <w:szCs w:val="22"/>
              </w:rPr>
              <w:lastRenderedPageBreak/>
              <w:t>Poruchy gastrointestinálneho traktu</w:t>
            </w:r>
          </w:p>
        </w:tc>
        <w:tc>
          <w:tcPr>
            <w:tcW w:w="5126" w:type="dxa"/>
          </w:tcPr>
          <w:p w14:paraId="3E26D078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Veľmi časté</w:t>
            </w:r>
            <w:r w:rsidRPr="00597A34">
              <w:rPr>
                <w:sz w:val="22"/>
                <w:szCs w:val="22"/>
              </w:rPr>
              <w:t>: nauzea</w:t>
            </w:r>
          </w:p>
          <w:p w14:paraId="72185F49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Časté:</w:t>
            </w:r>
            <w:r w:rsidRPr="00597A34">
              <w:rPr>
                <w:sz w:val="22"/>
                <w:szCs w:val="22"/>
              </w:rPr>
              <w:t xml:space="preserve"> abdominálny diskomfort, vracanie</w:t>
            </w:r>
          </w:p>
          <w:p w14:paraId="2C0C6F9A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Menej časté</w:t>
            </w:r>
            <w:r w:rsidRPr="00597A34">
              <w:rPr>
                <w:sz w:val="22"/>
                <w:szCs w:val="22"/>
              </w:rPr>
              <w:t>: abdominálna bolesť</w:t>
            </w:r>
          </w:p>
          <w:p w14:paraId="742238FD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Neznáme</w:t>
            </w:r>
            <w:r w:rsidRPr="00597A34">
              <w:rPr>
                <w:sz w:val="22"/>
                <w:szCs w:val="22"/>
              </w:rPr>
              <w:t>: nevoľnosť</w:t>
            </w:r>
          </w:p>
        </w:tc>
      </w:tr>
      <w:tr w:rsidR="00E9223E" w:rsidRPr="00597A34" w14:paraId="390F4A8D" w14:textId="77777777">
        <w:tc>
          <w:tcPr>
            <w:tcW w:w="3828" w:type="dxa"/>
          </w:tcPr>
          <w:p w14:paraId="44E9CB36" w14:textId="77777777" w:rsidR="00E9223E" w:rsidRPr="00597A34" w:rsidRDefault="00E9223E" w:rsidP="0000128F">
            <w:pPr>
              <w:pStyle w:val="TableText"/>
              <w:rPr>
                <w:lang w:val="sk-SK"/>
              </w:rPr>
            </w:pPr>
            <w:r w:rsidRPr="00597A34">
              <w:rPr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5126" w:type="dxa"/>
          </w:tcPr>
          <w:p w14:paraId="5825B22E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Časté</w:t>
            </w:r>
            <w:r w:rsidRPr="00597A34">
              <w:rPr>
                <w:sz w:val="22"/>
                <w:szCs w:val="22"/>
              </w:rPr>
              <w:t>: pruritus</w:t>
            </w:r>
          </w:p>
          <w:p w14:paraId="39316734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Menej časté</w:t>
            </w:r>
            <w:r w:rsidRPr="00597A34">
              <w:rPr>
                <w:sz w:val="22"/>
                <w:szCs w:val="22"/>
              </w:rPr>
              <w:t>: urtikária</w:t>
            </w:r>
          </w:p>
          <w:p w14:paraId="3750FD39" w14:textId="77777777" w:rsidR="00E9223E" w:rsidRPr="00597A34" w:rsidRDefault="00E9223E" w:rsidP="0000128F">
            <w:pPr>
              <w:rPr>
                <w:i/>
                <w:iCs/>
              </w:rPr>
            </w:pPr>
            <w:r w:rsidRPr="00597A34">
              <w:rPr>
                <w:i/>
                <w:iCs/>
                <w:sz w:val="22"/>
                <w:szCs w:val="22"/>
              </w:rPr>
              <w:t xml:space="preserve">Neznáme: </w:t>
            </w:r>
            <w:r w:rsidRPr="00597A34">
              <w:rPr>
                <w:sz w:val="22"/>
                <w:szCs w:val="22"/>
              </w:rPr>
              <w:t>vyrážka, studený pot, ekzém, erytém, hyperhidróza, sfarbenie pokožky</w:t>
            </w:r>
          </w:p>
        </w:tc>
      </w:tr>
      <w:tr w:rsidR="00E9223E" w:rsidRPr="00597A34" w14:paraId="5EA71B5B" w14:textId="77777777">
        <w:tc>
          <w:tcPr>
            <w:tcW w:w="3828" w:type="dxa"/>
          </w:tcPr>
          <w:p w14:paraId="1AABCAB5" w14:textId="77777777" w:rsidR="00E9223E" w:rsidRPr="00597A34" w:rsidRDefault="00E9223E" w:rsidP="0000128F">
            <w:pPr>
              <w:ind w:right="540"/>
            </w:pPr>
            <w:r w:rsidRPr="00597A34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5126" w:type="dxa"/>
          </w:tcPr>
          <w:p w14:paraId="4B8C402B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Časté:</w:t>
            </w:r>
            <w:r w:rsidRPr="00597A34">
              <w:rPr>
                <w:sz w:val="22"/>
                <w:szCs w:val="22"/>
              </w:rPr>
              <w:t xml:space="preserve"> extravazácia</w:t>
            </w:r>
          </w:p>
          <w:p w14:paraId="5E869739" w14:textId="77777777" w:rsidR="00E9223E" w:rsidRPr="00597A34" w:rsidRDefault="00E9223E" w:rsidP="0000128F">
            <w:r w:rsidRPr="00597A34">
              <w:rPr>
                <w:i/>
                <w:iCs/>
                <w:sz w:val="22"/>
                <w:szCs w:val="22"/>
              </w:rPr>
              <w:t>Menej časté:</w:t>
            </w:r>
            <w:r w:rsidRPr="00597A34">
              <w:rPr>
                <w:sz w:val="22"/>
                <w:szCs w:val="22"/>
              </w:rPr>
              <w:t xml:space="preserve"> bolesť, pocit tepla</w:t>
            </w:r>
          </w:p>
          <w:p w14:paraId="6C644B3C" w14:textId="77777777" w:rsidR="00E9223E" w:rsidRPr="00597A34" w:rsidRDefault="00E9223E" w:rsidP="0000128F">
            <w:pPr>
              <w:rPr>
                <w:i/>
                <w:iCs/>
              </w:rPr>
            </w:pPr>
            <w:r w:rsidRPr="00597A34">
              <w:rPr>
                <w:i/>
                <w:iCs/>
                <w:sz w:val="22"/>
                <w:szCs w:val="22"/>
              </w:rPr>
              <w:t>Neznáme</w:t>
            </w:r>
            <w:r w:rsidRPr="00597A34">
              <w:rPr>
                <w:sz w:val="22"/>
                <w:szCs w:val="22"/>
              </w:rPr>
              <w:t xml:space="preserve">: bolesť na hrudi, edém, nevoľnosť, asténia, </w:t>
            </w:r>
            <w:r w:rsidR="00453C21" w:rsidRPr="00597A34">
              <w:rPr>
                <w:sz w:val="22"/>
                <w:szCs w:val="22"/>
              </w:rPr>
              <w:t>triaška</w:t>
            </w:r>
          </w:p>
        </w:tc>
      </w:tr>
    </w:tbl>
    <w:p w14:paraId="4BD154E3" w14:textId="77777777" w:rsidR="00E9223E" w:rsidRPr="00597A34" w:rsidRDefault="00E9223E" w:rsidP="0000128F">
      <w:pPr>
        <w:rPr>
          <w:sz w:val="22"/>
          <w:szCs w:val="22"/>
        </w:rPr>
      </w:pPr>
    </w:p>
    <w:p w14:paraId="38B278B5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Popis niektorých nežiaducich reakcií.</w:t>
      </w:r>
    </w:p>
    <w:p w14:paraId="31CD9557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color w:val="000000"/>
          <w:sz w:val="22"/>
          <w:szCs w:val="22"/>
          <w:lang w:eastAsia="fr-FR"/>
        </w:rPr>
        <w:t>Môže sa</w:t>
      </w:r>
      <w:r w:rsidRPr="00597A34">
        <w:rPr>
          <w:sz w:val="22"/>
          <w:szCs w:val="22"/>
        </w:rPr>
        <w:t xml:space="preserve"> vyskytnúť</w:t>
      </w:r>
      <w:r w:rsidRPr="00597A34">
        <w:rPr>
          <w:color w:val="000000"/>
          <w:sz w:val="22"/>
          <w:szCs w:val="22"/>
          <w:lang w:eastAsia="fr-FR"/>
        </w:rPr>
        <w:t xml:space="preserve"> ž</w:t>
      </w:r>
      <w:r w:rsidRPr="00597A34">
        <w:rPr>
          <w:sz w:val="22"/>
          <w:szCs w:val="22"/>
        </w:rPr>
        <w:t>ltkasté sfarbenie pokožky, ale zvyčajne zmizne v rozpätí 6 – 12 hodín. Moč, ktorý tiež môže vykazovať jasne žlté sfarbenie, bude mať svoju normálnu farbu po 24 – 36 hodinách.</w:t>
      </w:r>
    </w:p>
    <w:p w14:paraId="36E6FF6D" w14:textId="77777777" w:rsidR="00E9223E" w:rsidRPr="00597A34" w:rsidRDefault="00E9223E" w:rsidP="0000128F">
      <w:pPr>
        <w:rPr>
          <w:sz w:val="22"/>
          <w:szCs w:val="22"/>
        </w:rPr>
      </w:pPr>
    </w:p>
    <w:p w14:paraId="56E1C3C0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Hlásenie podozrení na nežiaduce reakcie</w:t>
      </w:r>
    </w:p>
    <w:p w14:paraId="2E1F7DB5" w14:textId="1CB9F0B7" w:rsidR="00E9223E" w:rsidRPr="00597A34" w:rsidRDefault="00E9223E" w:rsidP="0000128F">
      <w:pPr>
        <w:rPr>
          <w:sz w:val="22"/>
          <w:szCs w:val="22"/>
        </w:rPr>
      </w:pPr>
      <w:r w:rsidRPr="00597A34">
        <w:rPr>
          <w:noProof/>
          <w:sz w:val="22"/>
          <w:szCs w:val="22"/>
        </w:rPr>
        <w:t>Hlásenie podozrení na nežiaduce reakcie po registrácii lieku je dôležité.</w:t>
      </w:r>
      <w:r w:rsidRPr="00597A34">
        <w:rPr>
          <w:sz w:val="22"/>
          <w:szCs w:val="22"/>
        </w:rPr>
        <w:t xml:space="preserve"> </w:t>
      </w:r>
      <w:r w:rsidRPr="00597A34">
        <w:rPr>
          <w:noProof/>
          <w:sz w:val="22"/>
          <w:szCs w:val="22"/>
        </w:rPr>
        <w:t>Umožňuje priebežné monitorovanie pomeru prínosu a rizika lieku.</w:t>
      </w:r>
      <w:r w:rsidRPr="00597A34">
        <w:rPr>
          <w:sz w:val="22"/>
          <w:szCs w:val="22"/>
        </w:rPr>
        <w:t xml:space="preserve"> Od </w:t>
      </w:r>
      <w:r w:rsidRPr="00597A34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6C03F3" w:rsidRPr="00CF0D59">
        <w:rPr>
          <w:noProof/>
          <w:sz w:val="22"/>
          <w:szCs w:val="22"/>
          <w:highlight w:val="lightGray"/>
        </w:rPr>
        <w:t xml:space="preserve">na </w:t>
      </w:r>
      <w:r w:rsidRPr="00CF0D59">
        <w:rPr>
          <w:noProof/>
          <w:sz w:val="22"/>
          <w:szCs w:val="22"/>
          <w:highlight w:val="lightGray"/>
        </w:rPr>
        <w:t>národné</w:t>
      </w:r>
      <w:r w:rsidR="006C03F3" w:rsidRPr="00CF0D59">
        <w:rPr>
          <w:noProof/>
          <w:sz w:val="22"/>
          <w:szCs w:val="22"/>
          <w:highlight w:val="lightGray"/>
        </w:rPr>
        <w:t xml:space="preserve"> centrum </w:t>
      </w:r>
      <w:r w:rsidRPr="00CF0D59">
        <w:rPr>
          <w:noProof/>
          <w:sz w:val="22"/>
          <w:szCs w:val="22"/>
          <w:highlight w:val="lightGray"/>
        </w:rPr>
        <w:t>hlásenia uvedené v </w:t>
      </w:r>
      <w:hyperlink r:id="rId9" w:history="1">
        <w:r w:rsidRPr="00CF0D59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CF0D59">
        <w:rPr>
          <w:sz w:val="22"/>
          <w:szCs w:val="22"/>
          <w:highlight w:val="lightGray"/>
        </w:rPr>
        <w:t>.</w:t>
      </w:r>
    </w:p>
    <w:p w14:paraId="0926643F" w14:textId="77777777" w:rsidR="00E9223E" w:rsidRPr="00597A34" w:rsidRDefault="00E9223E" w:rsidP="0000128F">
      <w:pPr>
        <w:rPr>
          <w:sz w:val="22"/>
          <w:szCs w:val="22"/>
        </w:rPr>
      </w:pPr>
    </w:p>
    <w:p w14:paraId="20E0700C" w14:textId="77777777" w:rsidR="00E9223E" w:rsidRPr="00597A34" w:rsidRDefault="00E9223E" w:rsidP="0000128F">
      <w:pPr>
        <w:keepNext/>
        <w:keepLines/>
        <w:rPr>
          <w:b/>
          <w:bCs/>
          <w:sz w:val="22"/>
          <w:szCs w:val="22"/>
        </w:rPr>
      </w:pPr>
      <w:r w:rsidRPr="00597A34">
        <w:rPr>
          <w:b/>
          <w:bCs/>
          <w:sz w:val="22"/>
          <w:szCs w:val="22"/>
        </w:rPr>
        <w:t>4.9</w:t>
      </w:r>
      <w:r w:rsidRPr="00597A34">
        <w:rPr>
          <w:b/>
          <w:bCs/>
          <w:sz w:val="22"/>
          <w:szCs w:val="22"/>
        </w:rPr>
        <w:tab/>
        <w:t>Predávkovanie</w:t>
      </w:r>
    </w:p>
    <w:p w14:paraId="5D3747D0" w14:textId="77777777" w:rsidR="00E9223E" w:rsidRPr="00597A34" w:rsidRDefault="00E9223E" w:rsidP="0000128F">
      <w:pPr>
        <w:keepNext/>
        <w:keepLines/>
        <w:ind w:left="567" w:hanging="567"/>
        <w:rPr>
          <w:sz w:val="22"/>
          <w:szCs w:val="22"/>
        </w:rPr>
      </w:pPr>
    </w:p>
    <w:p w14:paraId="2CCACD08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Vzhľadom na minimálne riziko predávkovania injekčným roztokom Fluorescite sa neočakávajú žiadne toxické účinky.</w:t>
      </w:r>
    </w:p>
    <w:p w14:paraId="7B2876E8" w14:textId="77777777" w:rsidR="00E9223E" w:rsidRPr="00597A34" w:rsidRDefault="00E9223E" w:rsidP="0000128F">
      <w:pPr>
        <w:rPr>
          <w:sz w:val="22"/>
          <w:szCs w:val="22"/>
        </w:rPr>
      </w:pPr>
    </w:p>
    <w:p w14:paraId="5A669BAA" w14:textId="77777777" w:rsidR="00E9223E" w:rsidRPr="00597A34" w:rsidRDefault="00E9223E" w:rsidP="0000128F">
      <w:pPr>
        <w:rPr>
          <w:sz w:val="22"/>
          <w:szCs w:val="22"/>
        </w:rPr>
      </w:pPr>
    </w:p>
    <w:p w14:paraId="2D6EAC7D" w14:textId="77777777" w:rsidR="00E9223E" w:rsidRPr="00597A34" w:rsidRDefault="00E9223E" w:rsidP="0000128F">
      <w:pPr>
        <w:keepNext/>
        <w:keepLines/>
        <w:ind w:left="567" w:hanging="567"/>
        <w:rPr>
          <w:sz w:val="22"/>
          <w:szCs w:val="22"/>
        </w:rPr>
      </w:pPr>
      <w:r w:rsidRPr="00597A34">
        <w:rPr>
          <w:b/>
          <w:bCs/>
          <w:sz w:val="22"/>
          <w:szCs w:val="22"/>
        </w:rPr>
        <w:t>5.</w:t>
      </w:r>
      <w:r w:rsidRPr="00597A34">
        <w:rPr>
          <w:b/>
          <w:bCs/>
          <w:sz w:val="22"/>
          <w:szCs w:val="22"/>
        </w:rPr>
        <w:tab/>
        <w:t>FARMAKOLOGICKÉ VLASTNOSTI</w:t>
      </w:r>
    </w:p>
    <w:p w14:paraId="09DC0830" w14:textId="77777777" w:rsidR="00E9223E" w:rsidRPr="00597A34" w:rsidRDefault="00E9223E" w:rsidP="0000128F">
      <w:pPr>
        <w:keepNext/>
        <w:keepLines/>
        <w:rPr>
          <w:b/>
          <w:bCs/>
          <w:sz w:val="22"/>
          <w:szCs w:val="22"/>
        </w:rPr>
      </w:pPr>
    </w:p>
    <w:p w14:paraId="5932C592" w14:textId="77777777" w:rsidR="00E9223E" w:rsidRPr="00597A34" w:rsidRDefault="00E9223E" w:rsidP="0000128F">
      <w:pPr>
        <w:keepNext/>
        <w:keepLines/>
        <w:ind w:left="567" w:hanging="567"/>
        <w:rPr>
          <w:sz w:val="22"/>
          <w:szCs w:val="22"/>
        </w:rPr>
      </w:pPr>
      <w:r w:rsidRPr="00597A34">
        <w:rPr>
          <w:b/>
          <w:bCs/>
          <w:sz w:val="22"/>
          <w:szCs w:val="22"/>
        </w:rPr>
        <w:t xml:space="preserve">5.1 </w:t>
      </w:r>
      <w:r w:rsidRPr="00597A34">
        <w:rPr>
          <w:b/>
          <w:bCs/>
          <w:sz w:val="22"/>
          <w:szCs w:val="22"/>
        </w:rPr>
        <w:tab/>
        <w:t>Farmakodynamické vlastnosti</w:t>
      </w:r>
    </w:p>
    <w:p w14:paraId="0BD24B5B" w14:textId="77777777" w:rsidR="00E9223E" w:rsidRPr="00597A34" w:rsidRDefault="00E9223E" w:rsidP="0000128F">
      <w:pPr>
        <w:keepNext/>
        <w:keepLines/>
        <w:rPr>
          <w:sz w:val="22"/>
          <w:szCs w:val="22"/>
        </w:rPr>
      </w:pPr>
    </w:p>
    <w:p w14:paraId="1DA1A951" w14:textId="77777777" w:rsidR="00E9223E" w:rsidRPr="00597A34" w:rsidRDefault="00E9223E" w:rsidP="0000128F">
      <w:pPr>
        <w:rPr>
          <w:sz w:val="22"/>
          <w:szCs w:val="22"/>
        </w:rPr>
      </w:pPr>
      <w:proofErr w:type="spellStart"/>
      <w:r w:rsidRPr="00597A34">
        <w:rPr>
          <w:sz w:val="22"/>
          <w:szCs w:val="22"/>
        </w:rPr>
        <w:t>Farmakoterapeutická</w:t>
      </w:r>
      <w:proofErr w:type="spellEnd"/>
      <w:r w:rsidRPr="00597A34">
        <w:rPr>
          <w:sz w:val="22"/>
          <w:szCs w:val="22"/>
        </w:rPr>
        <w:t xml:space="preserve"> skupina: </w:t>
      </w:r>
      <w:proofErr w:type="spellStart"/>
      <w:r w:rsidRPr="006C03F3">
        <w:rPr>
          <w:sz w:val="22"/>
          <w:szCs w:val="22"/>
        </w:rPr>
        <w:t>DIAGNOSTIKÁ</w:t>
      </w:r>
      <w:proofErr w:type="spellEnd"/>
      <w:r w:rsidRPr="006C03F3">
        <w:rPr>
          <w:sz w:val="22"/>
          <w:szCs w:val="22"/>
        </w:rPr>
        <w:t xml:space="preserve"> V </w:t>
      </w:r>
      <w:proofErr w:type="spellStart"/>
      <w:r w:rsidRPr="006C03F3">
        <w:rPr>
          <w:sz w:val="22"/>
          <w:szCs w:val="22"/>
        </w:rPr>
        <w:t>OFTALMOLÓGII</w:t>
      </w:r>
      <w:proofErr w:type="spellEnd"/>
      <w:r w:rsidRPr="00597A34">
        <w:rPr>
          <w:sz w:val="22"/>
          <w:szCs w:val="22"/>
        </w:rPr>
        <w:t xml:space="preserve">, farbivá, </w:t>
      </w:r>
      <w:proofErr w:type="spellStart"/>
      <w:r w:rsidRPr="00597A34">
        <w:rPr>
          <w:sz w:val="22"/>
          <w:szCs w:val="22"/>
        </w:rPr>
        <w:t>ATC</w:t>
      </w:r>
      <w:proofErr w:type="spellEnd"/>
      <w:r w:rsidRPr="00597A34">
        <w:rPr>
          <w:sz w:val="22"/>
          <w:szCs w:val="22"/>
        </w:rPr>
        <w:t xml:space="preserve"> kód: S01JA01</w:t>
      </w:r>
    </w:p>
    <w:p w14:paraId="5DE9584C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5BED4D93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  <w:r w:rsidRPr="00597A34">
        <w:rPr>
          <w:sz w:val="22"/>
          <w:szCs w:val="22"/>
          <w:lang w:val="sk-SK"/>
        </w:rPr>
        <w:t>Dinátriumfluoresceinát je fluorochromatické činidlo používané v medicíne ako diagnostické farbivo. Fluoresceín sa používa na zobrazenie krvných ciev očného pozadia (angiografia sietnice a cievovky).</w:t>
      </w:r>
    </w:p>
    <w:p w14:paraId="39C5E4CF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77E79BF5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5.2</w:t>
      </w:r>
      <w:r w:rsidRPr="00597A34">
        <w:rPr>
          <w:b/>
          <w:bCs/>
          <w:sz w:val="22"/>
          <w:szCs w:val="22"/>
          <w:lang w:val="sk-SK"/>
        </w:rPr>
        <w:tab/>
        <w:t>Farmakokinetické vlastnosti</w:t>
      </w:r>
    </w:p>
    <w:p w14:paraId="0B570024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</w:p>
    <w:p w14:paraId="23AD1B8E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  <w:r w:rsidRPr="00597A34">
        <w:rPr>
          <w:sz w:val="22"/>
          <w:szCs w:val="22"/>
          <w:u w:val="single"/>
          <w:lang w:val="sk-SK"/>
        </w:rPr>
        <w:t>Distribúcia</w:t>
      </w:r>
      <w:r w:rsidRPr="00597A34">
        <w:rPr>
          <w:sz w:val="22"/>
          <w:szCs w:val="22"/>
          <w:lang w:val="sk-SK"/>
        </w:rPr>
        <w:t>:</w:t>
      </w:r>
    </w:p>
    <w:p w14:paraId="4306CC16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  <w:r w:rsidRPr="00597A34">
        <w:rPr>
          <w:sz w:val="22"/>
          <w:szCs w:val="22"/>
          <w:lang w:val="sk-SK"/>
        </w:rPr>
        <w:t>V rozpätí 7 až 14 sekúnd po intravenóznom podaní do antekubitálnej žily sa fluoresceín zvyčajne objaví v stredovej cieve oka. V rozpätí niekoľkých minút od intravenózneho podania fluoresceínu sa prejaví žltkasté sfarbenie kože, ktoré začne blednúť 6 až 12 hodín po podaní dávky. Rozličné odhady objemu distribúcie naznačujú, že fluoresceín sa dobre distribuuje do intersticiálneho priestoru (0,5 l/kg).</w:t>
      </w:r>
    </w:p>
    <w:p w14:paraId="76D035FD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2CB42E7C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  <w:r w:rsidRPr="00597A34">
        <w:rPr>
          <w:sz w:val="22"/>
          <w:szCs w:val="22"/>
          <w:u w:val="single"/>
          <w:lang w:val="sk-SK"/>
        </w:rPr>
        <w:t>Metabolizmus</w:t>
      </w:r>
      <w:r w:rsidRPr="00597A34">
        <w:rPr>
          <w:sz w:val="22"/>
          <w:szCs w:val="22"/>
          <w:lang w:val="sk-SK"/>
        </w:rPr>
        <w:t>:</w:t>
      </w:r>
    </w:p>
    <w:p w14:paraId="17682364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  <w:r w:rsidRPr="00597A34">
        <w:rPr>
          <w:sz w:val="22"/>
          <w:szCs w:val="22"/>
          <w:lang w:val="sk-SK"/>
        </w:rPr>
        <w:t>Fluoresceín podlieha rýchlemu metabolizmu na fluoresceín</w:t>
      </w:r>
      <w:r w:rsidRPr="00597A34">
        <w:rPr>
          <w:sz w:val="22"/>
          <w:szCs w:val="22"/>
          <w:lang w:val="sk-SK"/>
        </w:rPr>
        <w:noBreakHyphen/>
        <w:t>monoglukuronid. Po intravenóznom podaní dinátriumfluoresceinátu (14 mg/kg) siedmym zdravým osobám, približne 80 % fluoresceínu v plazme konvertovalo na konjugát glukuronidu po uplynutí 1 hodiny po podaní dávky, čo naznačuje relatívne rýchlu konjugáciu.</w:t>
      </w:r>
    </w:p>
    <w:p w14:paraId="11226CBA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70B1D44A" w14:textId="77777777" w:rsidR="00E9223E" w:rsidRPr="00597A34" w:rsidRDefault="00E9223E" w:rsidP="00CF0D59">
      <w:pPr>
        <w:pStyle w:val="TableText"/>
        <w:keepNext/>
        <w:rPr>
          <w:sz w:val="22"/>
          <w:szCs w:val="22"/>
          <w:lang w:val="sk-SK"/>
        </w:rPr>
      </w:pPr>
      <w:r w:rsidRPr="00597A34">
        <w:rPr>
          <w:sz w:val="22"/>
          <w:szCs w:val="22"/>
          <w:u w:val="single"/>
          <w:lang w:val="sk-SK"/>
        </w:rPr>
        <w:lastRenderedPageBreak/>
        <w:t>Exkrécia</w:t>
      </w:r>
      <w:r w:rsidRPr="00597A34">
        <w:rPr>
          <w:sz w:val="22"/>
          <w:szCs w:val="22"/>
          <w:lang w:val="sk-SK"/>
        </w:rPr>
        <w:t>:</w:t>
      </w:r>
    </w:p>
    <w:p w14:paraId="712A07FA" w14:textId="77777777" w:rsidR="00E9223E" w:rsidRPr="00597A34" w:rsidRDefault="00E9223E" w:rsidP="00CF0D59">
      <w:pPr>
        <w:keepNext/>
        <w:rPr>
          <w:sz w:val="22"/>
          <w:szCs w:val="22"/>
        </w:rPr>
      </w:pPr>
      <w:r w:rsidRPr="00597A34">
        <w:rPr>
          <w:sz w:val="22"/>
          <w:szCs w:val="22"/>
        </w:rPr>
        <w:t xml:space="preserve">Fluoresceín a jeho metabolity sa vylučujú hlavne renálnou exkréciou. Po intravenóznom podaní moč zostáva mierne fluorescentný počas 24 až 36 hodín. Bol stanovený klírens obličiek 1,75 ml/min/kg a klírens pečene (z dôvodu konjugácie) 1,50 ml/min/kg. Systémový klírens fluoresceínu je v podstate ukončený o 48 až 72 hodín po podaní 500 mg fluoresceínu. I keď je </w:t>
      </w:r>
      <w:r w:rsidRPr="00597A34">
        <w:rPr>
          <w:sz w:val="22"/>
          <w:szCs w:val="22"/>
          <w:lang w:eastAsia="en-GB"/>
        </w:rPr>
        <w:t xml:space="preserve">u pacientov s renálnym poškodením možná </w:t>
      </w:r>
      <w:r w:rsidRPr="00597A34">
        <w:rPr>
          <w:sz w:val="22"/>
          <w:szCs w:val="22"/>
        </w:rPr>
        <w:t xml:space="preserve">dlhodobejšia </w:t>
      </w:r>
      <w:r w:rsidRPr="00597A34">
        <w:rPr>
          <w:sz w:val="22"/>
          <w:szCs w:val="22"/>
          <w:lang w:eastAsia="en-GB"/>
        </w:rPr>
        <w:t>exkrécia, l</w:t>
      </w:r>
      <w:r w:rsidRPr="00597A34">
        <w:rPr>
          <w:sz w:val="22"/>
          <w:szCs w:val="22"/>
        </w:rPr>
        <w:t>imitované skúsenosti u subjektov s renálnym poškodením (rýchlosť glomerulárnej filtrácie menej ako 20 ml/min) naznačujú, že vo všeobecnosti nie je potrebná úprava dávky.</w:t>
      </w:r>
    </w:p>
    <w:p w14:paraId="7480EDA4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1129951B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5.3</w:t>
      </w:r>
      <w:r w:rsidRPr="00597A34">
        <w:rPr>
          <w:b/>
          <w:bCs/>
          <w:sz w:val="22"/>
          <w:szCs w:val="22"/>
          <w:lang w:val="sk-SK"/>
        </w:rPr>
        <w:tab/>
        <w:t>Predklinické údaje o bezpečnosti</w:t>
      </w:r>
    </w:p>
    <w:p w14:paraId="0349EF46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</w:p>
    <w:p w14:paraId="466D0853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Predklinické údaje získané pre dinátriumfluoresceinát na základe štúdií toxicity jednotlivej dávky neodhalili žiadne osobitné riziko pre ľudí.</w:t>
      </w:r>
    </w:p>
    <w:p w14:paraId="5FE54553" w14:textId="77777777" w:rsidR="00E9223E" w:rsidRPr="00597A34" w:rsidRDefault="00E9223E" w:rsidP="0000128F">
      <w:pPr>
        <w:pStyle w:val="Zarkazkladnhotextu2"/>
        <w:ind w:left="0"/>
        <w:rPr>
          <w:i/>
          <w:iCs/>
          <w:sz w:val="22"/>
          <w:szCs w:val="22"/>
          <w:lang w:eastAsia="x-none"/>
        </w:rPr>
      </w:pPr>
    </w:p>
    <w:p w14:paraId="79A16494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Fluoresceín nevykazoval teratogénne účinky u potkanov a králikov. Fluoresceín prechádza cez bariéru placenty. Po intravenóznej aplikácii 500 mg/kg sa intenzívna fluorescencia dala detegovať ako vo féte tak aj v amniotickej tekutine.</w:t>
      </w:r>
    </w:p>
    <w:p w14:paraId="3F9C8364" w14:textId="77777777" w:rsidR="00E9223E" w:rsidRPr="00597A34" w:rsidRDefault="00E9223E" w:rsidP="0000128F">
      <w:pPr>
        <w:rPr>
          <w:rFonts w:eastAsia="MS Mincho"/>
          <w:sz w:val="22"/>
          <w:szCs w:val="22"/>
          <w:lang w:eastAsia="ja-JP"/>
        </w:rPr>
      </w:pPr>
    </w:p>
    <w:p w14:paraId="72697675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Štúdie mutagenicity nepreukázali žiadne klinicky relevantné mutagénne účinky dinátriumfluoresceinátu.</w:t>
      </w:r>
    </w:p>
    <w:p w14:paraId="52F24C41" w14:textId="77777777" w:rsidR="00E9223E" w:rsidRPr="00597A34" w:rsidRDefault="00E9223E" w:rsidP="0000128F">
      <w:pPr>
        <w:pStyle w:val="TableText"/>
        <w:keepNext/>
        <w:keepLines/>
        <w:rPr>
          <w:b/>
          <w:bCs/>
          <w:sz w:val="22"/>
          <w:szCs w:val="22"/>
          <w:lang w:val="sk-SK"/>
        </w:rPr>
      </w:pPr>
    </w:p>
    <w:p w14:paraId="34644D3B" w14:textId="77777777" w:rsidR="00E9223E" w:rsidRPr="00597A34" w:rsidRDefault="00E9223E" w:rsidP="0000128F">
      <w:pPr>
        <w:pStyle w:val="TableText"/>
        <w:keepNext/>
        <w:keepLines/>
        <w:rPr>
          <w:b/>
          <w:bCs/>
          <w:sz w:val="22"/>
          <w:szCs w:val="22"/>
          <w:lang w:val="sk-SK"/>
        </w:rPr>
      </w:pPr>
    </w:p>
    <w:p w14:paraId="06F38E54" w14:textId="77777777" w:rsidR="00E9223E" w:rsidRPr="00597A34" w:rsidRDefault="00E9223E" w:rsidP="0000128F">
      <w:pPr>
        <w:pStyle w:val="TableText"/>
        <w:keepNext/>
        <w:keepLines/>
        <w:rPr>
          <w:b/>
          <w:bCs/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6.</w:t>
      </w:r>
      <w:r w:rsidRPr="00597A34">
        <w:rPr>
          <w:b/>
          <w:bCs/>
          <w:sz w:val="22"/>
          <w:szCs w:val="22"/>
          <w:lang w:val="sk-SK"/>
        </w:rPr>
        <w:tab/>
        <w:t>FARMACEUTICKÉ INFORMÁCIE</w:t>
      </w:r>
    </w:p>
    <w:p w14:paraId="48A7E157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</w:p>
    <w:p w14:paraId="6B7CA29D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6.1</w:t>
      </w:r>
      <w:r w:rsidRPr="00597A34">
        <w:rPr>
          <w:b/>
          <w:bCs/>
          <w:sz w:val="22"/>
          <w:szCs w:val="22"/>
          <w:lang w:val="sk-SK"/>
        </w:rPr>
        <w:tab/>
        <w:t>Zoznam pomocných látok</w:t>
      </w:r>
    </w:p>
    <w:p w14:paraId="27776356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</w:p>
    <w:p w14:paraId="2A2AAF4A" w14:textId="77777777" w:rsidR="00E9223E" w:rsidRPr="00597A34" w:rsidRDefault="00E9223E" w:rsidP="0000128F">
      <w:pPr>
        <w:rPr>
          <w:spacing w:val="-2"/>
          <w:sz w:val="22"/>
          <w:szCs w:val="22"/>
        </w:rPr>
      </w:pPr>
      <w:r w:rsidRPr="00597A34">
        <w:rPr>
          <w:spacing w:val="-2"/>
          <w:sz w:val="22"/>
          <w:szCs w:val="22"/>
        </w:rPr>
        <w:t>Hydroxid sodný (na úpravu pH)</w:t>
      </w:r>
    </w:p>
    <w:p w14:paraId="42936394" w14:textId="77777777" w:rsidR="00E9223E" w:rsidRPr="00597A34" w:rsidRDefault="00E9223E" w:rsidP="0000128F">
      <w:pPr>
        <w:rPr>
          <w:spacing w:val="-2"/>
          <w:sz w:val="22"/>
          <w:szCs w:val="22"/>
        </w:rPr>
      </w:pPr>
      <w:r w:rsidRPr="00597A34">
        <w:rPr>
          <w:spacing w:val="-2"/>
          <w:sz w:val="22"/>
          <w:szCs w:val="22"/>
        </w:rPr>
        <w:t>Kyselina chlorovodíková (na úpravu pH)</w:t>
      </w:r>
    </w:p>
    <w:p w14:paraId="2B5FF95C" w14:textId="77777777" w:rsidR="00E9223E" w:rsidRPr="00597A34" w:rsidRDefault="00E9223E" w:rsidP="0000128F">
      <w:pPr>
        <w:pStyle w:val="TableText"/>
        <w:rPr>
          <w:spacing w:val="-2"/>
          <w:sz w:val="22"/>
          <w:szCs w:val="22"/>
          <w:lang w:val="sk-SK"/>
        </w:rPr>
      </w:pPr>
      <w:r w:rsidRPr="00597A34">
        <w:rPr>
          <w:spacing w:val="-2"/>
          <w:sz w:val="22"/>
          <w:szCs w:val="22"/>
          <w:lang w:val="sk-SK"/>
        </w:rPr>
        <w:t>Voda na injekcie</w:t>
      </w:r>
    </w:p>
    <w:p w14:paraId="1BEE1B09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188FEF3B" w14:textId="77777777" w:rsidR="00E9223E" w:rsidRPr="00597A34" w:rsidRDefault="00E9223E" w:rsidP="0000128F">
      <w:pPr>
        <w:pStyle w:val="TableText"/>
        <w:keepNext/>
        <w:keepLines/>
        <w:numPr>
          <w:ilvl w:val="1"/>
          <w:numId w:val="2"/>
        </w:numPr>
        <w:rPr>
          <w:b/>
          <w:bCs/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Inkompatibility</w:t>
      </w:r>
    </w:p>
    <w:p w14:paraId="64D95E6F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</w:p>
    <w:p w14:paraId="0208A46A" w14:textId="77777777" w:rsidR="00E9223E" w:rsidRPr="00597A34" w:rsidRDefault="00E9223E" w:rsidP="0000128F">
      <w:pPr>
        <w:pStyle w:val="TableText"/>
        <w:rPr>
          <w:spacing w:val="-2"/>
          <w:sz w:val="22"/>
          <w:szCs w:val="22"/>
          <w:lang w:val="sk-SK"/>
        </w:rPr>
      </w:pPr>
      <w:r w:rsidRPr="00597A34">
        <w:rPr>
          <w:spacing w:val="-2"/>
          <w:sz w:val="22"/>
          <w:szCs w:val="22"/>
          <w:lang w:val="sk-SK"/>
        </w:rPr>
        <w:t>Nevykonali sa štúdie kompatibility, preto sa tento liek nesmie miešať s inými liekmi.</w:t>
      </w:r>
    </w:p>
    <w:p w14:paraId="2098330D" w14:textId="77777777" w:rsidR="00E9223E" w:rsidRPr="00597A34" w:rsidRDefault="00E9223E" w:rsidP="0000128F">
      <w:pPr>
        <w:pStyle w:val="TableText"/>
        <w:rPr>
          <w:spacing w:val="-2"/>
          <w:sz w:val="22"/>
          <w:szCs w:val="22"/>
          <w:lang w:val="sk-SK"/>
        </w:rPr>
      </w:pPr>
    </w:p>
    <w:p w14:paraId="09EB4A94" w14:textId="77777777" w:rsidR="00E9223E" w:rsidRPr="00597A34" w:rsidRDefault="00E9223E" w:rsidP="0000128F">
      <w:pPr>
        <w:autoSpaceDE w:val="0"/>
        <w:autoSpaceDN w:val="0"/>
        <w:adjustRightInd w:val="0"/>
        <w:rPr>
          <w:sz w:val="22"/>
          <w:szCs w:val="22"/>
        </w:rPr>
      </w:pPr>
      <w:r w:rsidRPr="00597A34">
        <w:rPr>
          <w:spacing w:val="-2"/>
          <w:sz w:val="22"/>
          <w:szCs w:val="22"/>
        </w:rPr>
        <w:t xml:space="preserve">Aby sa zabránilo fyzikálnym nekompatibilitám, </w:t>
      </w:r>
      <w:r w:rsidRPr="00597A34">
        <w:rPr>
          <w:sz w:val="22"/>
          <w:szCs w:val="22"/>
        </w:rPr>
        <w:t>tento liek sa nesmie podávať simultánne s inými roztokmi pre injekcie s kyslým pH (predovšetkým antihistaminikami) rovnakou intravenóznou cestou (informácie o kanylách, pozri časť 4.2).</w:t>
      </w:r>
    </w:p>
    <w:p w14:paraId="2298B382" w14:textId="77777777" w:rsidR="00E9223E" w:rsidRPr="00597A34" w:rsidRDefault="00E9223E" w:rsidP="0000128F">
      <w:pPr>
        <w:rPr>
          <w:spacing w:val="-2"/>
          <w:sz w:val="22"/>
          <w:szCs w:val="22"/>
          <w:lang w:eastAsia="en-GB"/>
        </w:rPr>
      </w:pPr>
    </w:p>
    <w:p w14:paraId="572B4E5A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Len čo sa injekčná liekovka otvorí, je potrebné ihneď ju použiť.</w:t>
      </w:r>
    </w:p>
    <w:p w14:paraId="3369C184" w14:textId="77777777" w:rsidR="00E9223E" w:rsidRPr="00597A34" w:rsidRDefault="00E9223E" w:rsidP="0000128F">
      <w:pPr>
        <w:pStyle w:val="TableText"/>
        <w:rPr>
          <w:spacing w:val="-2"/>
          <w:sz w:val="22"/>
          <w:szCs w:val="22"/>
          <w:lang w:val="sk-SK"/>
        </w:rPr>
      </w:pPr>
    </w:p>
    <w:p w14:paraId="7B31B13A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6.3</w:t>
      </w:r>
      <w:r w:rsidRPr="00597A34">
        <w:rPr>
          <w:b/>
          <w:bCs/>
          <w:sz w:val="22"/>
          <w:szCs w:val="22"/>
          <w:lang w:val="sk-SK"/>
        </w:rPr>
        <w:tab/>
        <w:t>Čas použiteľnosti</w:t>
      </w:r>
    </w:p>
    <w:p w14:paraId="3C68FAD4" w14:textId="77777777" w:rsidR="00E9223E" w:rsidRPr="00597A34" w:rsidRDefault="00E9223E" w:rsidP="0000128F">
      <w:pPr>
        <w:rPr>
          <w:sz w:val="22"/>
          <w:szCs w:val="22"/>
        </w:rPr>
      </w:pPr>
    </w:p>
    <w:p w14:paraId="226B5B21" w14:textId="77777777" w:rsidR="00E9223E" w:rsidRPr="00597A34" w:rsidRDefault="00E9223E" w:rsidP="0000128F">
      <w:pPr>
        <w:rPr>
          <w:sz w:val="22"/>
          <w:szCs w:val="22"/>
        </w:rPr>
      </w:pPr>
      <w:r w:rsidRPr="00597A34">
        <w:rPr>
          <w:sz w:val="22"/>
          <w:szCs w:val="22"/>
        </w:rPr>
        <w:t>2 roky</w:t>
      </w:r>
    </w:p>
    <w:p w14:paraId="0B93B8BD" w14:textId="77777777" w:rsidR="00E9223E" w:rsidRPr="00597A34" w:rsidRDefault="00E9223E" w:rsidP="0000128F">
      <w:pPr>
        <w:rPr>
          <w:sz w:val="22"/>
          <w:szCs w:val="22"/>
        </w:rPr>
      </w:pPr>
    </w:p>
    <w:p w14:paraId="3D22E388" w14:textId="77777777" w:rsidR="00E9223E" w:rsidRPr="00597A34" w:rsidRDefault="00E9223E" w:rsidP="00CF0D59">
      <w:pPr>
        <w:rPr>
          <w:sz w:val="22"/>
          <w:szCs w:val="22"/>
        </w:rPr>
      </w:pPr>
      <w:r w:rsidRPr="006C03F3">
        <w:rPr>
          <w:b/>
          <w:sz w:val="22"/>
        </w:rPr>
        <w:t>6.4</w:t>
      </w:r>
      <w:r w:rsidRPr="006C03F3">
        <w:rPr>
          <w:b/>
          <w:sz w:val="22"/>
        </w:rPr>
        <w:tab/>
        <w:t>Špeciálne upozornenia na uchovávanie</w:t>
      </w:r>
    </w:p>
    <w:p w14:paraId="7E7FAD12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</w:p>
    <w:p w14:paraId="031F957C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  <w:r w:rsidRPr="00597A34">
        <w:rPr>
          <w:sz w:val="22"/>
          <w:szCs w:val="22"/>
          <w:lang w:val="sk-SK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597A34">
          <w:rPr>
            <w:sz w:val="22"/>
            <w:szCs w:val="22"/>
            <w:lang w:val="sk-SK"/>
          </w:rPr>
          <w:t>25 °C</w:t>
        </w:r>
      </w:smartTag>
      <w:r w:rsidRPr="00597A34">
        <w:rPr>
          <w:sz w:val="22"/>
          <w:szCs w:val="22"/>
          <w:lang w:val="sk-SK"/>
        </w:rPr>
        <w:t>.</w:t>
      </w:r>
    </w:p>
    <w:p w14:paraId="6DB678F5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</w:p>
    <w:p w14:paraId="0C4B30B7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  <w:r w:rsidRPr="00597A34">
        <w:rPr>
          <w:sz w:val="22"/>
          <w:szCs w:val="22"/>
          <w:lang w:val="sk-SK"/>
        </w:rPr>
        <w:t>Neuchovávajte v mrazničke.</w:t>
      </w:r>
    </w:p>
    <w:p w14:paraId="3B98A1A4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</w:p>
    <w:p w14:paraId="697DDD27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  <w:r w:rsidRPr="00597A34">
        <w:rPr>
          <w:sz w:val="22"/>
          <w:szCs w:val="22"/>
          <w:lang w:val="sk-SK"/>
        </w:rPr>
        <w:t>Uchovávajte injekčnú liekovku vo vonkajšom obale na ochranu pred svetlom.</w:t>
      </w:r>
    </w:p>
    <w:p w14:paraId="1C9A1370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</w:p>
    <w:p w14:paraId="2DCD01DD" w14:textId="77777777" w:rsidR="00835227" w:rsidRDefault="00835227" w:rsidP="0000128F">
      <w:pPr>
        <w:pStyle w:val="TableText"/>
        <w:keepNext/>
        <w:keepLines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br w:type="page"/>
      </w:r>
    </w:p>
    <w:p w14:paraId="5DE8633D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6.5</w:t>
      </w:r>
      <w:r w:rsidRPr="00597A34">
        <w:rPr>
          <w:b/>
          <w:bCs/>
          <w:sz w:val="22"/>
          <w:szCs w:val="22"/>
          <w:lang w:val="sk-SK"/>
        </w:rPr>
        <w:tab/>
        <w:t>Druh obalu a obsah balenia</w:t>
      </w:r>
    </w:p>
    <w:p w14:paraId="3733F3CD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</w:p>
    <w:p w14:paraId="5F1CD4BD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  <w:r w:rsidRPr="00597A34">
        <w:rPr>
          <w:sz w:val="22"/>
          <w:szCs w:val="22"/>
          <w:lang w:val="sk-SK"/>
        </w:rPr>
        <w:t>Sklenená (typ I) injekčná liekovka so šedou, chlórbutylom potiahnutou gumenou zátkou a hliníkovým hermetickým uzáverom s polypropylénovým otočným viečkom.</w:t>
      </w:r>
    </w:p>
    <w:p w14:paraId="701A4B9F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3BD4015B" w14:textId="77777777" w:rsidR="00E9223E" w:rsidRPr="00597A34" w:rsidRDefault="00E9223E" w:rsidP="0000128F">
      <w:pPr>
        <w:pStyle w:val="TableText"/>
        <w:rPr>
          <w:spacing w:val="-2"/>
          <w:sz w:val="22"/>
          <w:szCs w:val="22"/>
          <w:lang w:val="sk-SK"/>
        </w:rPr>
      </w:pPr>
      <w:r w:rsidRPr="00597A34">
        <w:rPr>
          <w:spacing w:val="-2"/>
          <w:sz w:val="22"/>
          <w:szCs w:val="22"/>
          <w:lang w:val="sk-SK"/>
        </w:rPr>
        <w:t>Balenie obsahujúce 12 injekčných liekoviek po 5 ml injekčného roztoku.</w:t>
      </w:r>
    </w:p>
    <w:p w14:paraId="4F44DDCB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1FFD9781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6.6</w:t>
      </w:r>
      <w:r w:rsidRPr="00597A34">
        <w:rPr>
          <w:b/>
          <w:bCs/>
          <w:sz w:val="22"/>
          <w:szCs w:val="22"/>
          <w:lang w:val="sk-SK"/>
        </w:rPr>
        <w:tab/>
        <w:t>Špeciálne opatrenia na likvidáciu a iné zaobchádzanie s liekom</w:t>
      </w:r>
    </w:p>
    <w:p w14:paraId="5EA9F2C6" w14:textId="77777777" w:rsidR="00E9223E" w:rsidRPr="00597A34" w:rsidRDefault="00E9223E" w:rsidP="0000128F">
      <w:pPr>
        <w:pStyle w:val="TableText"/>
        <w:keepNext/>
        <w:keepLines/>
        <w:rPr>
          <w:sz w:val="22"/>
          <w:szCs w:val="22"/>
          <w:lang w:val="sk-SK"/>
        </w:rPr>
      </w:pPr>
    </w:p>
    <w:p w14:paraId="38D377A3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  <w:r w:rsidRPr="00597A34">
        <w:rPr>
          <w:sz w:val="22"/>
          <w:szCs w:val="22"/>
          <w:lang w:val="sk-SK"/>
        </w:rPr>
        <w:t xml:space="preserve">Pred podaním je potrebné roztok vizuálne prekontrolovať, pokiaľ ide o konkrétnu látku a sfarbenie. Roztok je možné použiť len vtedy, ak je roztok číry a neobsahuje častice. Len na jednorazové použitie. Nepoužitý liek alebo odpad vzniknutý z lieku treba vrátiť do lekárne. Nepoužívajte </w:t>
      </w:r>
      <w:r w:rsidRPr="00597A34">
        <w:rPr>
          <w:color w:val="000000"/>
          <w:spacing w:val="-2"/>
          <w:sz w:val="22"/>
          <w:szCs w:val="22"/>
          <w:lang w:val="sk-SK"/>
        </w:rPr>
        <w:t>Fluorescite, ak je injekčná liekovka prasknutá alebo akýmkoľvek spôsobom poškodená.</w:t>
      </w:r>
    </w:p>
    <w:p w14:paraId="23A17CA9" w14:textId="77777777" w:rsidR="00E9223E" w:rsidRPr="00597A34" w:rsidRDefault="00E9223E" w:rsidP="0000128F">
      <w:pPr>
        <w:pStyle w:val="TableText"/>
        <w:rPr>
          <w:b/>
          <w:bCs/>
          <w:sz w:val="22"/>
          <w:szCs w:val="22"/>
          <w:lang w:val="sk-SK"/>
        </w:rPr>
      </w:pPr>
    </w:p>
    <w:p w14:paraId="05382E13" w14:textId="77777777" w:rsidR="00E9223E" w:rsidRPr="00597A34" w:rsidRDefault="00E9223E" w:rsidP="0000128F">
      <w:pPr>
        <w:pStyle w:val="TableText"/>
        <w:rPr>
          <w:b/>
          <w:bCs/>
          <w:sz w:val="22"/>
          <w:szCs w:val="22"/>
          <w:lang w:val="sk-SK"/>
        </w:rPr>
      </w:pPr>
    </w:p>
    <w:p w14:paraId="574C37BD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7.</w:t>
      </w:r>
      <w:r w:rsidRPr="00597A34">
        <w:rPr>
          <w:b/>
          <w:bCs/>
          <w:sz w:val="22"/>
          <w:szCs w:val="22"/>
          <w:lang w:val="sk-SK"/>
        </w:rPr>
        <w:tab/>
        <w:t>DRŽITEĽ ROZHODNUTIA O REGISTRÁCII</w:t>
      </w:r>
    </w:p>
    <w:p w14:paraId="22032747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07A391B8" w14:textId="77777777" w:rsidR="003747C7" w:rsidRPr="00CF0D59" w:rsidRDefault="003747C7" w:rsidP="003747C7">
      <w:pPr>
        <w:rPr>
          <w:rFonts w:cs="Calibri"/>
          <w:noProof/>
          <w:sz w:val="22"/>
          <w:szCs w:val="22"/>
        </w:rPr>
      </w:pPr>
      <w:r w:rsidRPr="00CF0D59">
        <w:rPr>
          <w:rFonts w:cs="Calibri"/>
          <w:noProof/>
          <w:sz w:val="22"/>
          <w:szCs w:val="22"/>
        </w:rPr>
        <w:t>Alcon Pharmaceuticals (Czech Republic) s.r.o.</w:t>
      </w:r>
    </w:p>
    <w:p w14:paraId="291A036E" w14:textId="77777777" w:rsidR="003747C7" w:rsidRPr="00CF0D59" w:rsidRDefault="003747C7" w:rsidP="003747C7">
      <w:pPr>
        <w:rPr>
          <w:rFonts w:cs="Calibri"/>
          <w:noProof/>
          <w:sz w:val="22"/>
          <w:szCs w:val="22"/>
        </w:rPr>
      </w:pPr>
      <w:r w:rsidRPr="00CF0D59">
        <w:rPr>
          <w:rFonts w:cs="Calibri"/>
          <w:noProof/>
          <w:sz w:val="22"/>
          <w:szCs w:val="22"/>
        </w:rPr>
        <w:t>Na Pankráci 1724/129</w:t>
      </w:r>
    </w:p>
    <w:p w14:paraId="660266A7" w14:textId="77777777" w:rsidR="003747C7" w:rsidRPr="00CF0D59" w:rsidRDefault="003747C7" w:rsidP="003747C7">
      <w:pPr>
        <w:rPr>
          <w:rFonts w:cs="Calibri"/>
          <w:noProof/>
          <w:sz w:val="22"/>
          <w:szCs w:val="22"/>
        </w:rPr>
      </w:pPr>
      <w:r w:rsidRPr="00CF0D59">
        <w:rPr>
          <w:rFonts w:cs="Calibri"/>
          <w:noProof/>
          <w:sz w:val="22"/>
          <w:szCs w:val="22"/>
        </w:rPr>
        <w:t xml:space="preserve">140 00 Praha </w:t>
      </w:r>
      <w:r w:rsidR="00191F8B">
        <w:rPr>
          <w:rFonts w:cs="Calibri"/>
          <w:noProof/>
          <w:sz w:val="22"/>
          <w:szCs w:val="22"/>
        </w:rPr>
        <w:t>4</w:t>
      </w:r>
    </w:p>
    <w:p w14:paraId="052910C1" w14:textId="77777777" w:rsidR="003747C7" w:rsidRPr="00CF0D59" w:rsidRDefault="003747C7" w:rsidP="003747C7">
      <w:pPr>
        <w:rPr>
          <w:rFonts w:cs="Calibri"/>
          <w:noProof/>
          <w:sz w:val="22"/>
          <w:szCs w:val="22"/>
        </w:rPr>
      </w:pPr>
      <w:r w:rsidRPr="00CF0D59">
        <w:rPr>
          <w:rFonts w:cs="Calibri"/>
          <w:noProof/>
          <w:sz w:val="22"/>
          <w:szCs w:val="22"/>
        </w:rPr>
        <w:t xml:space="preserve">Česká republika </w:t>
      </w:r>
    </w:p>
    <w:p w14:paraId="137467CD" w14:textId="77777777" w:rsidR="00E9223E" w:rsidRPr="00D655FF" w:rsidRDefault="00E9223E" w:rsidP="0000128F">
      <w:pPr>
        <w:pStyle w:val="TableText"/>
        <w:rPr>
          <w:sz w:val="22"/>
          <w:szCs w:val="22"/>
          <w:lang w:val="sk-SK"/>
        </w:rPr>
      </w:pPr>
    </w:p>
    <w:p w14:paraId="73BED2F9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7AB0A0CD" w14:textId="77777777" w:rsidR="00E9223E" w:rsidRPr="00597A34" w:rsidRDefault="00E9223E" w:rsidP="0000128F">
      <w:pPr>
        <w:pStyle w:val="TableText"/>
        <w:rPr>
          <w:b/>
          <w:bCs/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8.</w:t>
      </w:r>
      <w:r w:rsidRPr="00597A34">
        <w:rPr>
          <w:b/>
          <w:bCs/>
          <w:sz w:val="22"/>
          <w:szCs w:val="22"/>
          <w:lang w:val="sk-SK"/>
        </w:rPr>
        <w:tab/>
        <w:t>REGISTRAČNÉ ČÍSLO</w:t>
      </w:r>
    </w:p>
    <w:p w14:paraId="6515CC89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10548B8C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  <w:r w:rsidRPr="00597A34">
        <w:rPr>
          <w:sz w:val="22"/>
          <w:szCs w:val="22"/>
          <w:lang w:val="sk-SK"/>
        </w:rPr>
        <w:t>48/0340/07-S</w:t>
      </w:r>
    </w:p>
    <w:p w14:paraId="167A434B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6B744805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</w:p>
    <w:p w14:paraId="66FBD55C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9.</w:t>
      </w:r>
      <w:r w:rsidRPr="00597A34">
        <w:rPr>
          <w:b/>
          <w:bCs/>
          <w:sz w:val="22"/>
          <w:szCs w:val="22"/>
          <w:lang w:val="sk-SK"/>
        </w:rPr>
        <w:tab/>
        <w:t>DÁTUM PRVEJ REGISTRÁCIE/PREDĹŽENIA REGISTRÁCIE</w:t>
      </w:r>
    </w:p>
    <w:p w14:paraId="663519D7" w14:textId="77777777" w:rsidR="00E9223E" w:rsidRPr="00597A34" w:rsidRDefault="00E9223E" w:rsidP="0000128F">
      <w:pPr>
        <w:pStyle w:val="TableText"/>
        <w:rPr>
          <w:b/>
          <w:bCs/>
          <w:sz w:val="22"/>
          <w:szCs w:val="22"/>
          <w:lang w:val="sk-SK"/>
        </w:rPr>
      </w:pPr>
    </w:p>
    <w:p w14:paraId="1E2D2AC5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  <w:r w:rsidRPr="00597A34">
        <w:rPr>
          <w:sz w:val="22"/>
          <w:szCs w:val="22"/>
          <w:lang w:val="sk-SK"/>
        </w:rPr>
        <w:t>Dátum prvej registrácie: 31. august</w:t>
      </w:r>
      <w:r w:rsidR="00240C15" w:rsidRPr="00597A34">
        <w:rPr>
          <w:sz w:val="22"/>
          <w:szCs w:val="22"/>
          <w:lang w:val="sk-SK"/>
        </w:rPr>
        <w:t>a</w:t>
      </w:r>
      <w:r w:rsidRPr="00597A34">
        <w:rPr>
          <w:sz w:val="22"/>
          <w:szCs w:val="22"/>
          <w:lang w:val="sk-SK"/>
        </w:rPr>
        <w:t xml:space="preserve"> 2007</w:t>
      </w:r>
    </w:p>
    <w:p w14:paraId="45CE7CFE" w14:textId="77777777" w:rsidR="00E9223E" w:rsidRPr="00597A34" w:rsidRDefault="00E9223E" w:rsidP="0000128F">
      <w:pPr>
        <w:pStyle w:val="TableText"/>
        <w:rPr>
          <w:sz w:val="22"/>
          <w:szCs w:val="22"/>
          <w:lang w:val="sk-SK"/>
        </w:rPr>
      </w:pPr>
      <w:r w:rsidRPr="00597A34">
        <w:rPr>
          <w:sz w:val="22"/>
          <w:szCs w:val="22"/>
          <w:lang w:val="sk-SK"/>
        </w:rPr>
        <w:t xml:space="preserve">Dátum </w:t>
      </w:r>
      <w:r w:rsidR="00240C15" w:rsidRPr="00597A34">
        <w:rPr>
          <w:sz w:val="22"/>
          <w:szCs w:val="22"/>
          <w:lang w:val="sk-SK"/>
        </w:rPr>
        <w:t xml:space="preserve">posledného </w:t>
      </w:r>
      <w:r w:rsidRPr="00597A34">
        <w:rPr>
          <w:sz w:val="22"/>
          <w:szCs w:val="22"/>
          <w:lang w:val="sk-SK"/>
        </w:rPr>
        <w:t>predĺženia registrácie: 12. jún</w:t>
      </w:r>
      <w:r w:rsidR="00240C15" w:rsidRPr="00597A34">
        <w:rPr>
          <w:sz w:val="22"/>
          <w:szCs w:val="22"/>
          <w:lang w:val="sk-SK"/>
        </w:rPr>
        <w:t>a</w:t>
      </w:r>
      <w:r w:rsidRPr="00597A34">
        <w:rPr>
          <w:sz w:val="22"/>
          <w:szCs w:val="22"/>
          <w:lang w:val="sk-SK"/>
        </w:rPr>
        <w:t xml:space="preserve"> 2012</w:t>
      </w:r>
    </w:p>
    <w:p w14:paraId="1D9DE34F" w14:textId="77777777" w:rsidR="00E9223E" w:rsidRPr="00597A34" w:rsidRDefault="00E9223E" w:rsidP="0000128F">
      <w:pPr>
        <w:pStyle w:val="TableText"/>
        <w:rPr>
          <w:b/>
          <w:bCs/>
          <w:sz w:val="22"/>
          <w:szCs w:val="22"/>
          <w:lang w:val="sk-SK"/>
        </w:rPr>
      </w:pPr>
    </w:p>
    <w:p w14:paraId="4D2608AB" w14:textId="77777777" w:rsidR="00E9223E" w:rsidRPr="00597A34" w:rsidRDefault="00E9223E" w:rsidP="0000128F">
      <w:pPr>
        <w:pStyle w:val="TableText"/>
        <w:rPr>
          <w:b/>
          <w:bCs/>
          <w:sz w:val="22"/>
          <w:szCs w:val="22"/>
          <w:lang w:val="sk-SK"/>
        </w:rPr>
      </w:pPr>
    </w:p>
    <w:p w14:paraId="47276016" w14:textId="77777777" w:rsidR="00E9223E" w:rsidRPr="00597A34" w:rsidRDefault="00E9223E" w:rsidP="0000128F">
      <w:pPr>
        <w:pStyle w:val="TableText"/>
        <w:rPr>
          <w:b/>
          <w:bCs/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10.</w:t>
      </w:r>
      <w:r w:rsidRPr="00597A34">
        <w:rPr>
          <w:b/>
          <w:bCs/>
          <w:sz w:val="22"/>
          <w:szCs w:val="22"/>
          <w:lang w:val="sk-SK"/>
        </w:rPr>
        <w:tab/>
        <w:t>DÁTUM REVÍZIE TEXTU</w:t>
      </w:r>
    </w:p>
    <w:p w14:paraId="4C9E0F46" w14:textId="77777777" w:rsidR="00E9223E" w:rsidRPr="00597A34" w:rsidRDefault="00E9223E" w:rsidP="0000128F">
      <w:pPr>
        <w:pStyle w:val="TableText"/>
        <w:rPr>
          <w:b/>
          <w:bCs/>
          <w:sz w:val="22"/>
          <w:szCs w:val="22"/>
          <w:lang w:val="sk-SK"/>
        </w:rPr>
      </w:pPr>
    </w:p>
    <w:p w14:paraId="71C88055" w14:textId="77777777" w:rsidR="00E9223E" w:rsidRPr="00597A34" w:rsidRDefault="00D655FF" w:rsidP="0000128F">
      <w:pPr>
        <w:pStyle w:val="Table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Máj</w:t>
      </w:r>
      <w:r w:rsidR="003747C7">
        <w:rPr>
          <w:sz w:val="22"/>
          <w:szCs w:val="22"/>
          <w:lang w:val="sk-SK"/>
        </w:rPr>
        <w:t xml:space="preserve"> 2018</w:t>
      </w:r>
    </w:p>
    <w:p w14:paraId="33F03A4F" w14:textId="77777777" w:rsidR="00E9223E" w:rsidRDefault="00E9223E" w:rsidP="0000128F">
      <w:pPr>
        <w:pStyle w:val="TableText"/>
        <w:rPr>
          <w:sz w:val="22"/>
          <w:szCs w:val="22"/>
          <w:lang w:val="sk-SK"/>
        </w:rPr>
      </w:pPr>
    </w:p>
    <w:p w14:paraId="24545222" w14:textId="77777777" w:rsidR="00CF0D59" w:rsidRPr="00597A34" w:rsidRDefault="00CF0D59" w:rsidP="0000128F">
      <w:pPr>
        <w:pStyle w:val="TableText"/>
        <w:rPr>
          <w:sz w:val="22"/>
          <w:szCs w:val="22"/>
          <w:lang w:val="sk-SK"/>
        </w:rPr>
      </w:pPr>
      <w:bookmarkStart w:id="0" w:name="_GoBack"/>
      <w:bookmarkEnd w:id="0"/>
    </w:p>
    <w:p w14:paraId="21F9C53D" w14:textId="77777777" w:rsidR="00E9223E" w:rsidRPr="00597A34" w:rsidRDefault="00E9223E" w:rsidP="003E42EC">
      <w:pPr>
        <w:pStyle w:val="TableText"/>
        <w:rPr>
          <w:b/>
          <w:bCs/>
          <w:sz w:val="22"/>
          <w:szCs w:val="22"/>
          <w:lang w:val="sk-SK"/>
        </w:rPr>
      </w:pPr>
      <w:r w:rsidRPr="00597A34">
        <w:rPr>
          <w:b/>
          <w:bCs/>
          <w:sz w:val="22"/>
          <w:szCs w:val="22"/>
          <w:lang w:val="sk-SK"/>
        </w:rPr>
        <w:t>11.</w:t>
      </w:r>
      <w:r w:rsidRPr="00597A34">
        <w:rPr>
          <w:b/>
          <w:bCs/>
          <w:sz w:val="22"/>
          <w:szCs w:val="22"/>
          <w:lang w:val="sk-SK"/>
        </w:rPr>
        <w:tab/>
        <w:t>KATEGÓRIA</w:t>
      </w:r>
    </w:p>
    <w:p w14:paraId="06107527" w14:textId="77777777" w:rsidR="00E9223E" w:rsidRPr="00597A34" w:rsidRDefault="00E9223E" w:rsidP="003E42EC">
      <w:pPr>
        <w:pStyle w:val="TableText"/>
        <w:rPr>
          <w:b/>
          <w:bCs/>
          <w:sz w:val="22"/>
          <w:szCs w:val="22"/>
          <w:lang w:val="sk-SK"/>
        </w:rPr>
      </w:pPr>
    </w:p>
    <w:p w14:paraId="406B114A" w14:textId="77777777" w:rsidR="00E9223E" w:rsidRPr="00CF0D59" w:rsidRDefault="00E9223E" w:rsidP="00240C15">
      <w:pPr>
        <w:pStyle w:val="TableText"/>
        <w:rPr>
          <w:lang w:val="sk-SK"/>
        </w:rPr>
      </w:pPr>
      <w:r w:rsidRPr="00597A34">
        <w:rPr>
          <w:sz w:val="22"/>
          <w:szCs w:val="22"/>
          <w:lang w:val="sk-SK"/>
        </w:rPr>
        <w:t>Tento liek je iba na lekársky predpis.</w:t>
      </w:r>
    </w:p>
    <w:sectPr w:rsidR="00E9223E" w:rsidRPr="00CF0D59" w:rsidSect="00CF0D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9F40C" w14:textId="77777777" w:rsidR="006C03F3" w:rsidRDefault="006C03F3" w:rsidP="0000128F">
      <w:r>
        <w:separator/>
      </w:r>
    </w:p>
  </w:endnote>
  <w:endnote w:type="continuationSeparator" w:id="0">
    <w:p w14:paraId="7E7DB78D" w14:textId="77777777" w:rsidR="006C03F3" w:rsidRDefault="006C03F3" w:rsidP="0000128F">
      <w:r>
        <w:continuationSeparator/>
      </w:r>
    </w:p>
  </w:endnote>
  <w:endnote w:type="continuationNotice" w:id="1">
    <w:p w14:paraId="00820537" w14:textId="77777777" w:rsidR="006C03F3" w:rsidRDefault="006C0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B032D" w14:textId="77777777" w:rsidR="00E9223E" w:rsidRPr="00CF0D59" w:rsidRDefault="00E9223E">
    <w:pPr>
      <w:pStyle w:val="Pta"/>
      <w:jc w:val="center"/>
      <w:rPr>
        <w:sz w:val="18"/>
        <w:szCs w:val="18"/>
      </w:rPr>
    </w:pPr>
    <w:r w:rsidRPr="00CF0D59">
      <w:rPr>
        <w:sz w:val="18"/>
        <w:szCs w:val="18"/>
      </w:rPr>
      <w:fldChar w:fldCharType="begin"/>
    </w:r>
    <w:r w:rsidRPr="00CF0D59">
      <w:rPr>
        <w:sz w:val="18"/>
        <w:szCs w:val="18"/>
      </w:rPr>
      <w:instrText>PAGE   \* MERGEFORMAT</w:instrText>
    </w:r>
    <w:r w:rsidRPr="00CF0D59">
      <w:rPr>
        <w:sz w:val="18"/>
        <w:szCs w:val="18"/>
      </w:rPr>
      <w:fldChar w:fldCharType="separate"/>
    </w:r>
    <w:r w:rsidR="00CF0D59">
      <w:rPr>
        <w:noProof/>
        <w:sz w:val="18"/>
        <w:szCs w:val="18"/>
      </w:rPr>
      <w:t>7</w:t>
    </w:r>
    <w:r w:rsidRPr="00CF0D59">
      <w:rPr>
        <w:sz w:val="18"/>
        <w:szCs w:val="18"/>
      </w:rPr>
      <w:fldChar w:fldCharType="end"/>
    </w:r>
  </w:p>
  <w:p w14:paraId="0AE597AA" w14:textId="77777777" w:rsidR="00E9223E" w:rsidRDefault="00E922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B75D6" w14:textId="77777777" w:rsidR="00420041" w:rsidRPr="00835227" w:rsidRDefault="00420041">
    <w:pPr>
      <w:pStyle w:val="Pta"/>
      <w:jc w:val="center"/>
      <w:rPr>
        <w:sz w:val="18"/>
        <w:szCs w:val="18"/>
      </w:rPr>
    </w:pPr>
    <w:r w:rsidRPr="00835227">
      <w:rPr>
        <w:sz w:val="18"/>
        <w:szCs w:val="18"/>
      </w:rPr>
      <w:fldChar w:fldCharType="begin"/>
    </w:r>
    <w:r w:rsidRPr="00835227">
      <w:rPr>
        <w:sz w:val="18"/>
        <w:szCs w:val="18"/>
      </w:rPr>
      <w:instrText>PAGE   \* MERGEFORMAT</w:instrText>
    </w:r>
    <w:r w:rsidRPr="00835227">
      <w:rPr>
        <w:sz w:val="18"/>
        <w:szCs w:val="18"/>
      </w:rPr>
      <w:fldChar w:fldCharType="separate"/>
    </w:r>
    <w:r w:rsidR="00CF0D59">
      <w:rPr>
        <w:noProof/>
        <w:sz w:val="18"/>
        <w:szCs w:val="18"/>
      </w:rPr>
      <w:t>1</w:t>
    </w:r>
    <w:r w:rsidRPr="00835227">
      <w:rPr>
        <w:sz w:val="18"/>
        <w:szCs w:val="18"/>
      </w:rPr>
      <w:fldChar w:fldCharType="end"/>
    </w:r>
  </w:p>
  <w:p w14:paraId="15D853D3" w14:textId="77777777" w:rsidR="0068470C" w:rsidRDefault="0068470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10A2A" w14:textId="77777777" w:rsidR="006C03F3" w:rsidRDefault="006C03F3" w:rsidP="0000128F">
      <w:r>
        <w:separator/>
      </w:r>
    </w:p>
  </w:footnote>
  <w:footnote w:type="continuationSeparator" w:id="0">
    <w:p w14:paraId="057ABDB3" w14:textId="77777777" w:rsidR="006C03F3" w:rsidRDefault="006C03F3" w:rsidP="0000128F">
      <w:r>
        <w:continuationSeparator/>
      </w:r>
    </w:p>
  </w:footnote>
  <w:footnote w:type="continuationNotice" w:id="1">
    <w:p w14:paraId="3639014C" w14:textId="77777777" w:rsidR="006C03F3" w:rsidRDefault="006C03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F2520" w14:textId="77777777" w:rsidR="00CF0D59" w:rsidRPr="00CF0D59" w:rsidRDefault="00CF0D59" w:rsidP="00CF0D59">
    <w:pPr>
      <w:pStyle w:val="Hlavika"/>
    </w:pPr>
    <w:r>
      <w:rPr>
        <w:sz w:val="18"/>
        <w:szCs w:val="18"/>
        <w:lang w:eastAsia="cs-CZ"/>
      </w:rPr>
      <w:t xml:space="preserve">Schválený text k rozhodnutiu o prevode, </w:t>
    </w:r>
    <w:proofErr w:type="spellStart"/>
    <w:r>
      <w:rPr>
        <w:sz w:val="18"/>
        <w:szCs w:val="18"/>
        <w:lang w:eastAsia="cs-CZ"/>
      </w:rPr>
      <w:t>ev.č</w:t>
    </w:r>
    <w:proofErr w:type="spellEnd"/>
    <w:r>
      <w:rPr>
        <w:sz w:val="18"/>
        <w:szCs w:val="18"/>
        <w:lang w:eastAsia="cs-CZ"/>
      </w:rPr>
      <w:t>.: 2018/</w:t>
    </w:r>
    <w:proofErr w:type="spellStart"/>
    <w:r>
      <w:rPr>
        <w:sz w:val="18"/>
        <w:szCs w:val="18"/>
        <w:lang w:eastAsia="cs-CZ"/>
      </w:rPr>
      <w:t>01747-TR</w:t>
    </w:r>
    <w:proofErr w:type="spellEnd"/>
  </w:p>
  <w:p w14:paraId="2E9FCF65" w14:textId="044C5756" w:rsidR="0068470C" w:rsidRPr="00CF0D59" w:rsidRDefault="0068470C" w:rsidP="00CF0D5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3A7E4" w14:textId="52781461" w:rsidR="009E02FC" w:rsidRPr="00CF0D59" w:rsidRDefault="00C54F41" w:rsidP="009E02FC">
    <w:pPr>
      <w:pStyle w:val="Hlavika"/>
    </w:pPr>
    <w:r>
      <w:rPr>
        <w:sz w:val="18"/>
        <w:szCs w:val="18"/>
        <w:lang w:eastAsia="cs-CZ"/>
      </w:rPr>
      <w:t xml:space="preserve">Schválený text k rozhodnutiu o prevode, </w:t>
    </w:r>
    <w:proofErr w:type="spellStart"/>
    <w:r>
      <w:rPr>
        <w:sz w:val="18"/>
        <w:szCs w:val="18"/>
        <w:lang w:eastAsia="cs-CZ"/>
      </w:rPr>
      <w:t>ev.č</w:t>
    </w:r>
    <w:proofErr w:type="spellEnd"/>
    <w:r>
      <w:rPr>
        <w:sz w:val="18"/>
        <w:szCs w:val="18"/>
        <w:lang w:eastAsia="cs-CZ"/>
      </w:rPr>
      <w:t xml:space="preserve">.: </w:t>
    </w:r>
    <w:r w:rsidR="006C03F3">
      <w:rPr>
        <w:sz w:val="18"/>
        <w:szCs w:val="18"/>
        <w:lang w:eastAsia="cs-CZ"/>
      </w:rPr>
      <w:t>2018/</w:t>
    </w:r>
    <w:proofErr w:type="spellStart"/>
    <w:r w:rsidR="006C03F3">
      <w:rPr>
        <w:sz w:val="18"/>
        <w:szCs w:val="18"/>
        <w:lang w:eastAsia="cs-CZ"/>
      </w:rPr>
      <w:t>01747-TR</w:t>
    </w:r>
    <w:proofErr w:type="spellEnd"/>
  </w:p>
  <w:p w14:paraId="167CC7DF" w14:textId="77777777" w:rsidR="0079591C" w:rsidRDefault="0079591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28F3499"/>
    <w:multiLevelType w:val="multilevel"/>
    <w:tmpl w:val="0F4061C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43AF56A2"/>
    <w:multiLevelType w:val="multilevel"/>
    <w:tmpl w:val="925EA69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51F15FA8"/>
    <w:multiLevelType w:val="hybridMultilevel"/>
    <w:tmpl w:val="A46AE75A"/>
    <w:lvl w:ilvl="0" w:tplc="982E92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5A7"/>
    <w:rsid w:val="00000708"/>
    <w:rsid w:val="0000128F"/>
    <w:rsid w:val="00001846"/>
    <w:rsid w:val="000107A3"/>
    <w:rsid w:val="000110A7"/>
    <w:rsid w:val="000176F3"/>
    <w:rsid w:val="000441AF"/>
    <w:rsid w:val="00050029"/>
    <w:rsid w:val="0005608B"/>
    <w:rsid w:val="000630E4"/>
    <w:rsid w:val="00064045"/>
    <w:rsid w:val="00091001"/>
    <w:rsid w:val="000B3F34"/>
    <w:rsid w:val="000D1DE7"/>
    <w:rsid w:val="000E15FB"/>
    <w:rsid w:val="000E1A06"/>
    <w:rsid w:val="00104C50"/>
    <w:rsid w:val="00117971"/>
    <w:rsid w:val="0012094F"/>
    <w:rsid w:val="00124513"/>
    <w:rsid w:val="00124A29"/>
    <w:rsid w:val="00130BB2"/>
    <w:rsid w:val="00141F0C"/>
    <w:rsid w:val="001613E7"/>
    <w:rsid w:val="00175268"/>
    <w:rsid w:val="001869DE"/>
    <w:rsid w:val="00191C68"/>
    <w:rsid w:val="00191F8B"/>
    <w:rsid w:val="001932D6"/>
    <w:rsid w:val="001B7547"/>
    <w:rsid w:val="001B776E"/>
    <w:rsid w:val="001D7B3D"/>
    <w:rsid w:val="001F68CD"/>
    <w:rsid w:val="001F7398"/>
    <w:rsid w:val="00205797"/>
    <w:rsid w:val="00214CF6"/>
    <w:rsid w:val="002164B1"/>
    <w:rsid w:val="00224D77"/>
    <w:rsid w:val="00240C15"/>
    <w:rsid w:val="0026257B"/>
    <w:rsid w:val="00262C81"/>
    <w:rsid w:val="002935AB"/>
    <w:rsid w:val="002A55F5"/>
    <w:rsid w:val="002A5EC8"/>
    <w:rsid w:val="002B0F15"/>
    <w:rsid w:val="002B1F34"/>
    <w:rsid w:val="002B42E3"/>
    <w:rsid w:val="002D2627"/>
    <w:rsid w:val="002E2496"/>
    <w:rsid w:val="00300A71"/>
    <w:rsid w:val="00315595"/>
    <w:rsid w:val="00326E7D"/>
    <w:rsid w:val="00337CEE"/>
    <w:rsid w:val="00347AA2"/>
    <w:rsid w:val="00360358"/>
    <w:rsid w:val="00362E20"/>
    <w:rsid w:val="00370012"/>
    <w:rsid w:val="003747C7"/>
    <w:rsid w:val="003852D0"/>
    <w:rsid w:val="0038795F"/>
    <w:rsid w:val="003966C9"/>
    <w:rsid w:val="003A4D99"/>
    <w:rsid w:val="003B750A"/>
    <w:rsid w:val="003E42EC"/>
    <w:rsid w:val="003F60C7"/>
    <w:rsid w:val="004146C0"/>
    <w:rsid w:val="00420041"/>
    <w:rsid w:val="004470A2"/>
    <w:rsid w:val="004519EB"/>
    <w:rsid w:val="00453C21"/>
    <w:rsid w:val="00463CFD"/>
    <w:rsid w:val="004674BA"/>
    <w:rsid w:val="00472F68"/>
    <w:rsid w:val="00495D75"/>
    <w:rsid w:val="00496A30"/>
    <w:rsid w:val="004A3B58"/>
    <w:rsid w:val="004B20B7"/>
    <w:rsid w:val="004D04D6"/>
    <w:rsid w:val="004D3AAC"/>
    <w:rsid w:val="004F0AAD"/>
    <w:rsid w:val="004F539E"/>
    <w:rsid w:val="004F5E03"/>
    <w:rsid w:val="005309E2"/>
    <w:rsid w:val="00542FDC"/>
    <w:rsid w:val="00544927"/>
    <w:rsid w:val="00554F3B"/>
    <w:rsid w:val="00562C7B"/>
    <w:rsid w:val="00575DF8"/>
    <w:rsid w:val="00584CA1"/>
    <w:rsid w:val="00594C48"/>
    <w:rsid w:val="0059558D"/>
    <w:rsid w:val="00597A34"/>
    <w:rsid w:val="005A66EF"/>
    <w:rsid w:val="005B056A"/>
    <w:rsid w:val="005D008C"/>
    <w:rsid w:val="005D2940"/>
    <w:rsid w:val="005D3916"/>
    <w:rsid w:val="005E0075"/>
    <w:rsid w:val="005F7B83"/>
    <w:rsid w:val="006018A8"/>
    <w:rsid w:val="006216A6"/>
    <w:rsid w:val="006229AC"/>
    <w:rsid w:val="0064256E"/>
    <w:rsid w:val="00652BC1"/>
    <w:rsid w:val="00665D57"/>
    <w:rsid w:val="00665EFA"/>
    <w:rsid w:val="00682988"/>
    <w:rsid w:val="0068331B"/>
    <w:rsid w:val="0068470C"/>
    <w:rsid w:val="00685936"/>
    <w:rsid w:val="00690904"/>
    <w:rsid w:val="0069429D"/>
    <w:rsid w:val="0069438E"/>
    <w:rsid w:val="0069484D"/>
    <w:rsid w:val="006A7B49"/>
    <w:rsid w:val="006B1AF1"/>
    <w:rsid w:val="006C03F3"/>
    <w:rsid w:val="006C3D5E"/>
    <w:rsid w:val="006C5B99"/>
    <w:rsid w:val="006D5F10"/>
    <w:rsid w:val="006E501F"/>
    <w:rsid w:val="006F7233"/>
    <w:rsid w:val="007076FC"/>
    <w:rsid w:val="00721B03"/>
    <w:rsid w:val="0072331E"/>
    <w:rsid w:val="00724464"/>
    <w:rsid w:val="0073582A"/>
    <w:rsid w:val="00742815"/>
    <w:rsid w:val="00744507"/>
    <w:rsid w:val="007504F3"/>
    <w:rsid w:val="007508CA"/>
    <w:rsid w:val="00750C4A"/>
    <w:rsid w:val="007605B4"/>
    <w:rsid w:val="007622E5"/>
    <w:rsid w:val="00773A97"/>
    <w:rsid w:val="00774298"/>
    <w:rsid w:val="007835A7"/>
    <w:rsid w:val="00786CF4"/>
    <w:rsid w:val="0079591C"/>
    <w:rsid w:val="007A3F62"/>
    <w:rsid w:val="007A5657"/>
    <w:rsid w:val="007B531D"/>
    <w:rsid w:val="007B5960"/>
    <w:rsid w:val="007B7E02"/>
    <w:rsid w:val="007C73F5"/>
    <w:rsid w:val="007D4FD0"/>
    <w:rsid w:val="007E16A6"/>
    <w:rsid w:val="007E3FCE"/>
    <w:rsid w:val="007E7055"/>
    <w:rsid w:val="007F292D"/>
    <w:rsid w:val="007F34BB"/>
    <w:rsid w:val="007F7B61"/>
    <w:rsid w:val="00805E64"/>
    <w:rsid w:val="00810758"/>
    <w:rsid w:val="00813948"/>
    <w:rsid w:val="0082550B"/>
    <w:rsid w:val="0083394E"/>
    <w:rsid w:val="00835227"/>
    <w:rsid w:val="008423B0"/>
    <w:rsid w:val="00850D58"/>
    <w:rsid w:val="00860478"/>
    <w:rsid w:val="008842FD"/>
    <w:rsid w:val="008965C2"/>
    <w:rsid w:val="008A5CDC"/>
    <w:rsid w:val="008A695C"/>
    <w:rsid w:val="008A78BC"/>
    <w:rsid w:val="008B111F"/>
    <w:rsid w:val="008B1A91"/>
    <w:rsid w:val="008B6BE3"/>
    <w:rsid w:val="008C0998"/>
    <w:rsid w:val="008C5DA4"/>
    <w:rsid w:val="008D2176"/>
    <w:rsid w:val="00904FD1"/>
    <w:rsid w:val="00924123"/>
    <w:rsid w:val="00925A30"/>
    <w:rsid w:val="00945A01"/>
    <w:rsid w:val="00946E4E"/>
    <w:rsid w:val="00961C97"/>
    <w:rsid w:val="00986205"/>
    <w:rsid w:val="00990842"/>
    <w:rsid w:val="009A4945"/>
    <w:rsid w:val="009B11B8"/>
    <w:rsid w:val="009C1644"/>
    <w:rsid w:val="009C27E7"/>
    <w:rsid w:val="009D26E6"/>
    <w:rsid w:val="009E0042"/>
    <w:rsid w:val="009E02FC"/>
    <w:rsid w:val="009E2159"/>
    <w:rsid w:val="009F4A5A"/>
    <w:rsid w:val="00A034EE"/>
    <w:rsid w:val="00A03E10"/>
    <w:rsid w:val="00A10772"/>
    <w:rsid w:val="00A1336E"/>
    <w:rsid w:val="00A17C6B"/>
    <w:rsid w:val="00A24126"/>
    <w:rsid w:val="00A27DFF"/>
    <w:rsid w:val="00A44E51"/>
    <w:rsid w:val="00A4507C"/>
    <w:rsid w:val="00A64F5B"/>
    <w:rsid w:val="00A736C5"/>
    <w:rsid w:val="00A77967"/>
    <w:rsid w:val="00A86E8F"/>
    <w:rsid w:val="00A87F0E"/>
    <w:rsid w:val="00A90255"/>
    <w:rsid w:val="00AA672B"/>
    <w:rsid w:val="00AC0676"/>
    <w:rsid w:val="00AE0699"/>
    <w:rsid w:val="00AE5DEA"/>
    <w:rsid w:val="00B363EA"/>
    <w:rsid w:val="00B57220"/>
    <w:rsid w:val="00B66666"/>
    <w:rsid w:val="00B952CC"/>
    <w:rsid w:val="00BA41B5"/>
    <w:rsid w:val="00BB2148"/>
    <w:rsid w:val="00BB4AA3"/>
    <w:rsid w:val="00BB576E"/>
    <w:rsid w:val="00BC144A"/>
    <w:rsid w:val="00BC15E5"/>
    <w:rsid w:val="00BC411F"/>
    <w:rsid w:val="00BC65B7"/>
    <w:rsid w:val="00BD5835"/>
    <w:rsid w:val="00BE52C3"/>
    <w:rsid w:val="00BF1D5D"/>
    <w:rsid w:val="00C022A2"/>
    <w:rsid w:val="00C03CBD"/>
    <w:rsid w:val="00C30FCF"/>
    <w:rsid w:val="00C32505"/>
    <w:rsid w:val="00C36645"/>
    <w:rsid w:val="00C460BF"/>
    <w:rsid w:val="00C505DD"/>
    <w:rsid w:val="00C53AE2"/>
    <w:rsid w:val="00C54F41"/>
    <w:rsid w:val="00C55077"/>
    <w:rsid w:val="00C73487"/>
    <w:rsid w:val="00C761E9"/>
    <w:rsid w:val="00C9172E"/>
    <w:rsid w:val="00C94E12"/>
    <w:rsid w:val="00CA3385"/>
    <w:rsid w:val="00CA3792"/>
    <w:rsid w:val="00CA5DA9"/>
    <w:rsid w:val="00CB515D"/>
    <w:rsid w:val="00CC7C8D"/>
    <w:rsid w:val="00CD19F2"/>
    <w:rsid w:val="00CD490D"/>
    <w:rsid w:val="00CF0D59"/>
    <w:rsid w:val="00CF43F3"/>
    <w:rsid w:val="00CF4421"/>
    <w:rsid w:val="00CF6845"/>
    <w:rsid w:val="00D046F3"/>
    <w:rsid w:val="00D20594"/>
    <w:rsid w:val="00D21147"/>
    <w:rsid w:val="00D320AF"/>
    <w:rsid w:val="00D41C74"/>
    <w:rsid w:val="00D56343"/>
    <w:rsid w:val="00D565DD"/>
    <w:rsid w:val="00D56AAC"/>
    <w:rsid w:val="00D655FF"/>
    <w:rsid w:val="00D76136"/>
    <w:rsid w:val="00D95B7E"/>
    <w:rsid w:val="00DA16E9"/>
    <w:rsid w:val="00DA4A8D"/>
    <w:rsid w:val="00DB15C1"/>
    <w:rsid w:val="00DC1A0F"/>
    <w:rsid w:val="00DC287C"/>
    <w:rsid w:val="00DC39C8"/>
    <w:rsid w:val="00DD63C7"/>
    <w:rsid w:val="00DD65C5"/>
    <w:rsid w:val="00DE03CB"/>
    <w:rsid w:val="00DF060A"/>
    <w:rsid w:val="00E05A52"/>
    <w:rsid w:val="00E1417A"/>
    <w:rsid w:val="00E31D73"/>
    <w:rsid w:val="00E371ED"/>
    <w:rsid w:val="00E465C1"/>
    <w:rsid w:val="00E474F8"/>
    <w:rsid w:val="00E51CBD"/>
    <w:rsid w:val="00E53D2D"/>
    <w:rsid w:val="00E56ACB"/>
    <w:rsid w:val="00E75A9A"/>
    <w:rsid w:val="00E83084"/>
    <w:rsid w:val="00E85EC2"/>
    <w:rsid w:val="00E86616"/>
    <w:rsid w:val="00E9223E"/>
    <w:rsid w:val="00EA7B82"/>
    <w:rsid w:val="00EB5877"/>
    <w:rsid w:val="00EE252A"/>
    <w:rsid w:val="00EE345F"/>
    <w:rsid w:val="00EE4CB2"/>
    <w:rsid w:val="00EE7440"/>
    <w:rsid w:val="00EF7911"/>
    <w:rsid w:val="00F16A03"/>
    <w:rsid w:val="00F22E23"/>
    <w:rsid w:val="00F23AE6"/>
    <w:rsid w:val="00F2478C"/>
    <w:rsid w:val="00F53AC1"/>
    <w:rsid w:val="00F55DD2"/>
    <w:rsid w:val="00F75498"/>
    <w:rsid w:val="00F82CB3"/>
    <w:rsid w:val="00FA1CA5"/>
    <w:rsid w:val="00FA22C6"/>
    <w:rsid w:val="00FA23A0"/>
    <w:rsid w:val="00FB14EA"/>
    <w:rsid w:val="00FB7B41"/>
    <w:rsid w:val="00FC2B62"/>
    <w:rsid w:val="00FC3F61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770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C0676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A736C5"/>
    <w:pPr>
      <w:keepNext/>
      <w:spacing w:before="120"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qFormat/>
    <w:rsid w:val="006859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2Char">
    <w:name w:val="Nadpis 2 Char"/>
    <w:link w:val="Nadpis2"/>
    <w:semiHidden/>
    <w:locked/>
    <w:rPr>
      <w:rFonts w:ascii="Cambria" w:hAnsi="Cambria"/>
      <w:b/>
      <w:i/>
      <w:sz w:val="28"/>
    </w:rPr>
  </w:style>
  <w:style w:type="character" w:customStyle="1" w:styleId="Nadpis4Char">
    <w:name w:val="Nadpis 4 Char"/>
    <w:link w:val="Nadpis4"/>
    <w:semiHidden/>
    <w:locked/>
    <w:rPr>
      <w:rFonts w:ascii="Calibri" w:hAnsi="Calibri"/>
      <w:b/>
      <w:sz w:val="28"/>
    </w:rPr>
  </w:style>
  <w:style w:type="table" w:styleId="Mriekatabuky">
    <w:name w:val="Table Grid"/>
    <w:basedOn w:val="Normlnatabuka"/>
    <w:rsid w:val="00D2059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y"/>
    <w:rsid w:val="00BB576E"/>
    <w:rPr>
      <w:lang w:val="en-US" w:eastAsia="en-GB"/>
    </w:rPr>
  </w:style>
  <w:style w:type="paragraph" w:styleId="Textvysvetlivky">
    <w:name w:val="endnote text"/>
    <w:basedOn w:val="Normlny"/>
    <w:next w:val="Normlny"/>
    <w:link w:val="TextvysvetlivkyChar"/>
    <w:semiHidden/>
    <w:rsid w:val="00685936"/>
    <w:pPr>
      <w:tabs>
        <w:tab w:val="left" w:pos="567"/>
      </w:tabs>
    </w:pPr>
    <w:rPr>
      <w:sz w:val="20"/>
      <w:szCs w:val="20"/>
    </w:rPr>
  </w:style>
  <w:style w:type="character" w:customStyle="1" w:styleId="TextvysvetlivkyChar">
    <w:name w:val="Text vysvetlivky Char"/>
    <w:link w:val="Textvysvetlivky"/>
    <w:semiHidden/>
    <w:locked/>
    <w:rPr>
      <w:sz w:val="20"/>
    </w:rPr>
  </w:style>
  <w:style w:type="paragraph" w:styleId="Zarkazkladnhotextu2">
    <w:name w:val="Body Text Indent 2"/>
    <w:basedOn w:val="Normlny"/>
    <w:link w:val="Zarkazkladnhotextu2Char"/>
    <w:rsid w:val="00A24126"/>
    <w:pPr>
      <w:ind w:left="360"/>
    </w:pPr>
  </w:style>
  <w:style w:type="character" w:customStyle="1" w:styleId="Zarkazkladnhotextu2Char">
    <w:name w:val="Zarážka základného textu 2 Char"/>
    <w:link w:val="Zarkazkladnhotextu2"/>
    <w:semiHidden/>
    <w:locked/>
    <w:rPr>
      <w:sz w:val="24"/>
    </w:rPr>
  </w:style>
  <w:style w:type="paragraph" w:styleId="Nzov">
    <w:name w:val="Title"/>
    <w:basedOn w:val="Normlny"/>
    <w:link w:val="NzovChar"/>
    <w:qFormat/>
    <w:rsid w:val="00594C4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locked/>
    <w:rPr>
      <w:rFonts w:ascii="Cambria" w:hAnsi="Cambria"/>
      <w:b/>
      <w:kern w:val="28"/>
      <w:sz w:val="32"/>
    </w:rPr>
  </w:style>
  <w:style w:type="paragraph" w:customStyle="1" w:styleId="GI-Standardabsatz">
    <w:name w:val="GI-Standardabsatz"/>
    <w:basedOn w:val="Normlny"/>
    <w:rsid w:val="00750C4A"/>
    <w:pPr>
      <w:tabs>
        <w:tab w:val="center" w:pos="851"/>
        <w:tab w:val="center" w:pos="1134"/>
        <w:tab w:val="center" w:pos="4513"/>
      </w:tabs>
      <w:spacing w:after="120" w:line="260" w:lineRule="exact"/>
      <w:jc w:val="both"/>
    </w:pPr>
    <w:rPr>
      <w:rFonts w:ascii="Courier New" w:hAnsi="Courier New" w:cs="Courier New"/>
      <w:lang w:val="de-DE" w:eastAsia="de-DE"/>
    </w:rPr>
  </w:style>
  <w:style w:type="paragraph" w:styleId="Zarkazkladnhotextu">
    <w:name w:val="Body Text Indent"/>
    <w:basedOn w:val="Normlny"/>
    <w:link w:val="ZarkazkladnhotextuChar"/>
    <w:rsid w:val="002E249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sz w:val="24"/>
    </w:rPr>
  </w:style>
  <w:style w:type="paragraph" w:styleId="truktradokumentu">
    <w:name w:val="Document Map"/>
    <w:basedOn w:val="Normlny"/>
    <w:link w:val="truktradokumentuChar"/>
    <w:semiHidden/>
    <w:rsid w:val="005B056A"/>
    <w:pPr>
      <w:shd w:val="clear" w:color="auto" w:fill="000080"/>
    </w:pPr>
    <w:rPr>
      <w:sz w:val="2"/>
    </w:rPr>
  </w:style>
  <w:style w:type="character" w:customStyle="1" w:styleId="truktradokumentuChar">
    <w:name w:val="Štruktúra dokumentu Char"/>
    <w:link w:val="truktradokumentu"/>
    <w:semiHidden/>
    <w:locked/>
    <w:rPr>
      <w:sz w:val="2"/>
    </w:rPr>
  </w:style>
  <w:style w:type="paragraph" w:styleId="Textbubliny">
    <w:name w:val="Balloon Text"/>
    <w:basedOn w:val="Normlny"/>
    <w:link w:val="TextbublinyChar"/>
    <w:semiHidden/>
    <w:rsid w:val="00CA3792"/>
    <w:rPr>
      <w:sz w:val="2"/>
    </w:rPr>
  </w:style>
  <w:style w:type="character" w:customStyle="1" w:styleId="TextbublinyChar">
    <w:name w:val="Text bubliny Char"/>
    <w:link w:val="Textbubliny"/>
    <w:semiHidden/>
    <w:locked/>
    <w:rPr>
      <w:sz w:val="2"/>
    </w:rPr>
  </w:style>
  <w:style w:type="character" w:styleId="Odkaznakomentr">
    <w:name w:val="annotation reference"/>
    <w:semiHidden/>
    <w:rsid w:val="00DB15C1"/>
    <w:rPr>
      <w:sz w:val="16"/>
    </w:rPr>
  </w:style>
  <w:style w:type="paragraph" w:styleId="Textkomentra">
    <w:name w:val="annotation text"/>
    <w:basedOn w:val="Normlny"/>
    <w:link w:val="TextkomentraChar"/>
    <w:semiHidden/>
    <w:rsid w:val="00DB15C1"/>
    <w:rPr>
      <w:sz w:val="20"/>
      <w:szCs w:val="20"/>
    </w:rPr>
  </w:style>
  <w:style w:type="character" w:customStyle="1" w:styleId="TextkomentraChar">
    <w:name w:val="Text komentára Char"/>
    <w:link w:val="Textkomentra"/>
    <w:semiHidden/>
    <w:locked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DB15C1"/>
    <w:rPr>
      <w:b/>
      <w:bCs/>
    </w:rPr>
  </w:style>
  <w:style w:type="character" w:customStyle="1" w:styleId="PredmetkomentraChar">
    <w:name w:val="Predmet komentára Char"/>
    <w:link w:val="Predmetkomentra"/>
    <w:semiHidden/>
    <w:locked/>
    <w:rPr>
      <w:b/>
      <w:sz w:val="20"/>
    </w:rPr>
  </w:style>
  <w:style w:type="paragraph" w:styleId="Hlavika">
    <w:name w:val="header"/>
    <w:basedOn w:val="Normlny"/>
    <w:link w:val="HlavikaChar"/>
    <w:uiPriority w:val="99"/>
    <w:rsid w:val="000012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00128F"/>
    <w:rPr>
      <w:sz w:val="24"/>
    </w:rPr>
  </w:style>
  <w:style w:type="paragraph" w:styleId="Pta">
    <w:name w:val="footer"/>
    <w:basedOn w:val="Normlny"/>
    <w:link w:val="PtaChar"/>
    <w:uiPriority w:val="99"/>
    <w:rsid w:val="0000128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00128F"/>
    <w:rPr>
      <w:sz w:val="24"/>
    </w:rPr>
  </w:style>
  <w:style w:type="character" w:styleId="Hypertextovprepojenie">
    <w:name w:val="Hyperlink"/>
    <w:rsid w:val="00117971"/>
    <w:rPr>
      <w:color w:val="0000FF"/>
      <w:u w:val="single"/>
    </w:rPr>
  </w:style>
  <w:style w:type="character" w:customStyle="1" w:styleId="hps">
    <w:name w:val="hps"/>
    <w:rsid w:val="006B1AF1"/>
    <w:rPr>
      <w:rFonts w:cs="Times New Roman"/>
    </w:rPr>
  </w:style>
  <w:style w:type="paragraph" w:styleId="Normlnywebov">
    <w:name w:val="Normal (Web)"/>
    <w:basedOn w:val="Normlny"/>
    <w:semiHidden/>
    <w:rsid w:val="00224D77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C0676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A736C5"/>
    <w:pPr>
      <w:keepNext/>
      <w:spacing w:before="120"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qFormat/>
    <w:rsid w:val="006859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2Char">
    <w:name w:val="Nadpis 2 Char"/>
    <w:link w:val="Nadpis2"/>
    <w:semiHidden/>
    <w:locked/>
    <w:rPr>
      <w:rFonts w:ascii="Cambria" w:hAnsi="Cambria"/>
      <w:b/>
      <w:i/>
      <w:sz w:val="28"/>
    </w:rPr>
  </w:style>
  <w:style w:type="character" w:customStyle="1" w:styleId="Nadpis4Char">
    <w:name w:val="Nadpis 4 Char"/>
    <w:link w:val="Nadpis4"/>
    <w:semiHidden/>
    <w:locked/>
    <w:rPr>
      <w:rFonts w:ascii="Calibri" w:hAnsi="Calibri"/>
      <w:b/>
      <w:sz w:val="28"/>
    </w:rPr>
  </w:style>
  <w:style w:type="table" w:styleId="Mriekatabuky">
    <w:name w:val="Table Grid"/>
    <w:basedOn w:val="Normlnatabuka"/>
    <w:rsid w:val="00D2059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y"/>
    <w:rsid w:val="00BB576E"/>
    <w:rPr>
      <w:lang w:val="en-US" w:eastAsia="en-GB"/>
    </w:rPr>
  </w:style>
  <w:style w:type="paragraph" w:styleId="Textvysvetlivky">
    <w:name w:val="endnote text"/>
    <w:basedOn w:val="Normlny"/>
    <w:next w:val="Normlny"/>
    <w:link w:val="TextvysvetlivkyChar"/>
    <w:semiHidden/>
    <w:rsid w:val="00685936"/>
    <w:pPr>
      <w:tabs>
        <w:tab w:val="left" w:pos="567"/>
      </w:tabs>
    </w:pPr>
    <w:rPr>
      <w:sz w:val="20"/>
      <w:szCs w:val="20"/>
    </w:rPr>
  </w:style>
  <w:style w:type="character" w:customStyle="1" w:styleId="TextvysvetlivkyChar">
    <w:name w:val="Text vysvetlivky Char"/>
    <w:link w:val="Textvysvetlivky"/>
    <w:semiHidden/>
    <w:locked/>
    <w:rPr>
      <w:sz w:val="20"/>
    </w:rPr>
  </w:style>
  <w:style w:type="paragraph" w:styleId="Zarkazkladnhotextu2">
    <w:name w:val="Body Text Indent 2"/>
    <w:basedOn w:val="Normlny"/>
    <w:link w:val="Zarkazkladnhotextu2Char"/>
    <w:rsid w:val="00A24126"/>
    <w:pPr>
      <w:ind w:left="360"/>
    </w:pPr>
  </w:style>
  <w:style w:type="character" w:customStyle="1" w:styleId="Zarkazkladnhotextu2Char">
    <w:name w:val="Zarážka základného textu 2 Char"/>
    <w:link w:val="Zarkazkladnhotextu2"/>
    <w:semiHidden/>
    <w:locked/>
    <w:rPr>
      <w:sz w:val="24"/>
    </w:rPr>
  </w:style>
  <w:style w:type="paragraph" w:styleId="Nzov">
    <w:name w:val="Title"/>
    <w:basedOn w:val="Normlny"/>
    <w:link w:val="NzovChar"/>
    <w:qFormat/>
    <w:rsid w:val="00594C4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locked/>
    <w:rPr>
      <w:rFonts w:ascii="Cambria" w:hAnsi="Cambria"/>
      <w:b/>
      <w:kern w:val="28"/>
      <w:sz w:val="32"/>
    </w:rPr>
  </w:style>
  <w:style w:type="paragraph" w:customStyle="1" w:styleId="GI-Standardabsatz">
    <w:name w:val="GI-Standardabsatz"/>
    <w:basedOn w:val="Normlny"/>
    <w:rsid w:val="00750C4A"/>
    <w:pPr>
      <w:tabs>
        <w:tab w:val="center" w:pos="851"/>
        <w:tab w:val="center" w:pos="1134"/>
        <w:tab w:val="center" w:pos="4513"/>
      </w:tabs>
      <w:spacing w:after="120" w:line="260" w:lineRule="exact"/>
      <w:jc w:val="both"/>
    </w:pPr>
    <w:rPr>
      <w:rFonts w:ascii="Courier New" w:hAnsi="Courier New" w:cs="Courier New"/>
      <w:lang w:val="de-DE" w:eastAsia="de-DE"/>
    </w:rPr>
  </w:style>
  <w:style w:type="paragraph" w:styleId="Zarkazkladnhotextu">
    <w:name w:val="Body Text Indent"/>
    <w:basedOn w:val="Normlny"/>
    <w:link w:val="ZarkazkladnhotextuChar"/>
    <w:rsid w:val="002E249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sz w:val="24"/>
    </w:rPr>
  </w:style>
  <w:style w:type="paragraph" w:styleId="truktradokumentu">
    <w:name w:val="Document Map"/>
    <w:basedOn w:val="Normlny"/>
    <w:link w:val="truktradokumentuChar"/>
    <w:semiHidden/>
    <w:rsid w:val="005B056A"/>
    <w:pPr>
      <w:shd w:val="clear" w:color="auto" w:fill="000080"/>
    </w:pPr>
    <w:rPr>
      <w:sz w:val="2"/>
    </w:rPr>
  </w:style>
  <w:style w:type="character" w:customStyle="1" w:styleId="truktradokumentuChar">
    <w:name w:val="Štruktúra dokumentu Char"/>
    <w:link w:val="truktradokumentu"/>
    <w:semiHidden/>
    <w:locked/>
    <w:rPr>
      <w:sz w:val="2"/>
    </w:rPr>
  </w:style>
  <w:style w:type="paragraph" w:styleId="Textbubliny">
    <w:name w:val="Balloon Text"/>
    <w:basedOn w:val="Normlny"/>
    <w:link w:val="TextbublinyChar"/>
    <w:semiHidden/>
    <w:rsid w:val="00CA3792"/>
    <w:rPr>
      <w:sz w:val="2"/>
    </w:rPr>
  </w:style>
  <w:style w:type="character" w:customStyle="1" w:styleId="TextbublinyChar">
    <w:name w:val="Text bubliny Char"/>
    <w:link w:val="Textbubliny"/>
    <w:semiHidden/>
    <w:locked/>
    <w:rPr>
      <w:sz w:val="2"/>
    </w:rPr>
  </w:style>
  <w:style w:type="character" w:styleId="Odkaznakomentr">
    <w:name w:val="annotation reference"/>
    <w:semiHidden/>
    <w:rsid w:val="00DB15C1"/>
    <w:rPr>
      <w:sz w:val="16"/>
    </w:rPr>
  </w:style>
  <w:style w:type="paragraph" w:styleId="Textkomentra">
    <w:name w:val="annotation text"/>
    <w:basedOn w:val="Normlny"/>
    <w:link w:val="TextkomentraChar"/>
    <w:semiHidden/>
    <w:rsid w:val="00DB15C1"/>
    <w:rPr>
      <w:sz w:val="20"/>
      <w:szCs w:val="20"/>
    </w:rPr>
  </w:style>
  <w:style w:type="character" w:customStyle="1" w:styleId="TextkomentraChar">
    <w:name w:val="Text komentára Char"/>
    <w:link w:val="Textkomentra"/>
    <w:semiHidden/>
    <w:locked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DB15C1"/>
    <w:rPr>
      <w:b/>
      <w:bCs/>
    </w:rPr>
  </w:style>
  <w:style w:type="character" w:customStyle="1" w:styleId="PredmetkomentraChar">
    <w:name w:val="Predmet komentára Char"/>
    <w:link w:val="Predmetkomentra"/>
    <w:semiHidden/>
    <w:locked/>
    <w:rPr>
      <w:b/>
      <w:sz w:val="20"/>
    </w:rPr>
  </w:style>
  <w:style w:type="paragraph" w:styleId="Hlavika">
    <w:name w:val="header"/>
    <w:basedOn w:val="Normlny"/>
    <w:link w:val="HlavikaChar"/>
    <w:uiPriority w:val="99"/>
    <w:rsid w:val="000012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00128F"/>
    <w:rPr>
      <w:sz w:val="24"/>
    </w:rPr>
  </w:style>
  <w:style w:type="paragraph" w:styleId="Pta">
    <w:name w:val="footer"/>
    <w:basedOn w:val="Normlny"/>
    <w:link w:val="PtaChar"/>
    <w:uiPriority w:val="99"/>
    <w:rsid w:val="0000128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00128F"/>
    <w:rPr>
      <w:sz w:val="24"/>
    </w:rPr>
  </w:style>
  <w:style w:type="character" w:styleId="Hypertextovprepojenie">
    <w:name w:val="Hyperlink"/>
    <w:rsid w:val="00117971"/>
    <w:rPr>
      <w:color w:val="0000FF"/>
      <w:u w:val="single"/>
    </w:rPr>
  </w:style>
  <w:style w:type="character" w:customStyle="1" w:styleId="hps">
    <w:name w:val="hps"/>
    <w:rsid w:val="006B1AF1"/>
    <w:rPr>
      <w:rFonts w:cs="Times New Roman"/>
    </w:rPr>
  </w:style>
  <w:style w:type="paragraph" w:styleId="Normlnywebov">
    <w:name w:val="Normal (Web)"/>
    <w:basedOn w:val="Normlny"/>
    <w:semiHidden/>
    <w:rsid w:val="00224D7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48D3-69CB-4108-8C61-33C73289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2115</Words>
  <Characters>14225</Characters>
  <Application>Microsoft Office Word</Application>
  <DocSecurity>0</DocSecurity>
  <Lines>118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aa</Company>
  <LinksUpToDate>false</LinksUpToDate>
  <CharactersWithSpaces>16308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Translator</dc:creator>
  <cp:lastModifiedBy>Skladaná, Judita</cp:lastModifiedBy>
  <cp:revision>2</cp:revision>
  <cp:lastPrinted>2018-05-14T07:38:00Z</cp:lastPrinted>
  <dcterms:created xsi:type="dcterms:W3CDTF">2018-05-14T07:39:00Z</dcterms:created>
  <dcterms:modified xsi:type="dcterms:W3CDTF">2018-05-14T07:39:00Z</dcterms:modified>
</cp:coreProperties>
</file>