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65" w:rsidRPr="00C27E75" w:rsidRDefault="00240E65">
      <w:pPr>
        <w:tabs>
          <w:tab w:val="left" w:pos="8505"/>
        </w:tabs>
        <w:ind w:right="566"/>
        <w:jc w:val="center"/>
        <w:outlineLvl w:val="0"/>
        <w:rPr>
          <w:sz w:val="22"/>
          <w:szCs w:val="22"/>
        </w:rPr>
      </w:pPr>
      <w:bookmarkStart w:id="0" w:name="_GoBack"/>
      <w:bookmarkEnd w:id="0"/>
    </w:p>
    <w:p w:rsidR="00240E65" w:rsidRPr="00C27E75" w:rsidRDefault="00240E65" w:rsidP="00C27E75">
      <w:pPr>
        <w:tabs>
          <w:tab w:val="left" w:pos="8505"/>
        </w:tabs>
        <w:ind w:right="566"/>
        <w:jc w:val="center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SÚHRN CHARAKTERISTICKÝCH VLASTNOSTÍ LIEKU</w:t>
      </w:r>
    </w:p>
    <w:p w:rsidR="00240E65" w:rsidRDefault="00240E65">
      <w:pPr>
        <w:tabs>
          <w:tab w:val="left" w:pos="9356"/>
        </w:tabs>
        <w:ind w:right="566"/>
        <w:jc w:val="both"/>
        <w:rPr>
          <w:sz w:val="22"/>
          <w:szCs w:val="22"/>
        </w:rPr>
      </w:pPr>
    </w:p>
    <w:p w:rsidR="00C27E75" w:rsidRPr="00C27E75" w:rsidRDefault="00C27E75">
      <w:pPr>
        <w:tabs>
          <w:tab w:val="left" w:pos="9356"/>
        </w:tabs>
        <w:ind w:right="566"/>
        <w:jc w:val="both"/>
        <w:rPr>
          <w:sz w:val="22"/>
          <w:szCs w:val="22"/>
        </w:rPr>
      </w:pPr>
    </w:p>
    <w:p w:rsidR="00240E65" w:rsidRPr="00C27E75" w:rsidRDefault="00240E65" w:rsidP="00CF7C4D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1</w:t>
      </w:r>
      <w:r w:rsidR="00E908B5" w:rsidRPr="00C27E75">
        <w:rPr>
          <w:b/>
          <w:sz w:val="22"/>
          <w:szCs w:val="22"/>
        </w:rPr>
        <w:t>.</w:t>
      </w:r>
      <w:r w:rsidR="00E908B5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NÁZOV LIEKU</w:t>
      </w:r>
    </w:p>
    <w:p w:rsidR="00C27E75" w:rsidRDefault="00C27E75" w:rsidP="00E908B5">
      <w:pPr>
        <w:tabs>
          <w:tab w:val="left" w:pos="8505"/>
        </w:tabs>
        <w:ind w:right="566"/>
        <w:jc w:val="both"/>
        <w:outlineLvl w:val="0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8505"/>
        </w:tabs>
        <w:ind w:right="566"/>
        <w:outlineLvl w:val="0"/>
        <w:rPr>
          <w:sz w:val="22"/>
          <w:szCs w:val="22"/>
          <w:vertAlign w:val="superscript"/>
        </w:rPr>
      </w:pPr>
      <w:r w:rsidRPr="00C27E75">
        <w:rPr>
          <w:sz w:val="22"/>
          <w:szCs w:val="22"/>
        </w:rPr>
        <w:t>ENELBIN</w:t>
      </w:r>
      <w:r w:rsidRPr="00C27E75">
        <w:rPr>
          <w:sz w:val="22"/>
          <w:szCs w:val="22"/>
          <w:vertAlign w:val="superscript"/>
        </w:rPr>
        <w:t xml:space="preserve"> </w:t>
      </w:r>
      <w:r w:rsidRPr="00C27E75">
        <w:rPr>
          <w:sz w:val="22"/>
          <w:szCs w:val="22"/>
        </w:rPr>
        <w:t xml:space="preserve">100 </w:t>
      </w:r>
      <w:proofErr w:type="spellStart"/>
      <w:r w:rsidRPr="00C27E75">
        <w:rPr>
          <w:sz w:val="22"/>
          <w:szCs w:val="22"/>
        </w:rPr>
        <w:t>retard</w:t>
      </w:r>
      <w:proofErr w:type="spellEnd"/>
    </w:p>
    <w:p w:rsidR="00240E65" w:rsidRPr="00E908B5" w:rsidRDefault="00C27E75" w:rsidP="00E908B5">
      <w:pPr>
        <w:tabs>
          <w:tab w:val="left" w:pos="8505"/>
        </w:tabs>
        <w:ind w:right="566"/>
        <w:rPr>
          <w:sz w:val="22"/>
          <w:szCs w:val="22"/>
        </w:rPr>
      </w:pPr>
      <w:r w:rsidRPr="00E908B5">
        <w:rPr>
          <w:sz w:val="22"/>
          <w:szCs w:val="22"/>
        </w:rPr>
        <w:t>tablety</w:t>
      </w:r>
      <w:r w:rsidR="00FD3876">
        <w:rPr>
          <w:sz w:val="22"/>
          <w:szCs w:val="22"/>
        </w:rPr>
        <w:t xml:space="preserve"> s predĺženým uvoľňovaním</w:t>
      </w:r>
    </w:p>
    <w:p w:rsidR="00C27E75" w:rsidRDefault="00C27E75" w:rsidP="00E908B5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C27E75" w:rsidRPr="00C27E75" w:rsidRDefault="00C27E75" w:rsidP="00E908B5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E908B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2.</w:t>
      </w:r>
      <w:r>
        <w:rPr>
          <w:b/>
          <w:sz w:val="22"/>
          <w:szCs w:val="22"/>
        </w:rPr>
        <w:tab/>
      </w:r>
      <w:r w:rsidR="00240E65" w:rsidRPr="00C27E75">
        <w:rPr>
          <w:b/>
          <w:sz w:val="22"/>
          <w:szCs w:val="22"/>
        </w:rPr>
        <w:t xml:space="preserve">KVALITATÍVNE AJ KVANTITATÍVNE ZLOŽENIE 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Default="00C27E75" w:rsidP="00E908B5">
      <w:pPr>
        <w:tabs>
          <w:tab w:val="left" w:pos="0"/>
        </w:tabs>
        <w:ind w:right="566"/>
        <w:rPr>
          <w:sz w:val="22"/>
          <w:szCs w:val="22"/>
        </w:rPr>
      </w:pPr>
      <w:r w:rsidRPr="00E908B5">
        <w:rPr>
          <w:sz w:val="22"/>
          <w:szCs w:val="22"/>
        </w:rPr>
        <w:t xml:space="preserve">Jedna </w:t>
      </w:r>
      <w:r w:rsidR="00FD3876">
        <w:rPr>
          <w:sz w:val="22"/>
          <w:szCs w:val="22"/>
        </w:rPr>
        <w:t xml:space="preserve">tableta s predĺženým uvoľňovaním obsahuje 100 mg </w:t>
      </w:r>
      <w:proofErr w:type="spellStart"/>
      <w:r w:rsidR="00FD3876">
        <w:rPr>
          <w:sz w:val="22"/>
          <w:szCs w:val="22"/>
        </w:rPr>
        <w:t>naftidrofuryloxalátu</w:t>
      </w:r>
      <w:proofErr w:type="spellEnd"/>
      <w:r w:rsidR="00FD3876">
        <w:rPr>
          <w:sz w:val="22"/>
          <w:szCs w:val="22"/>
        </w:rPr>
        <w:t>.</w:t>
      </w:r>
    </w:p>
    <w:p w:rsidR="002F73B5" w:rsidRDefault="002F73B5" w:rsidP="00E908B5">
      <w:pPr>
        <w:tabs>
          <w:tab w:val="left" w:pos="0"/>
        </w:tabs>
        <w:ind w:right="566"/>
        <w:rPr>
          <w:sz w:val="22"/>
          <w:szCs w:val="22"/>
        </w:rPr>
      </w:pPr>
    </w:p>
    <w:p w:rsidR="002F73B5" w:rsidRPr="00E908B5" w:rsidRDefault="002F73B5" w:rsidP="00E908B5">
      <w:pPr>
        <w:tabs>
          <w:tab w:val="left" w:pos="0"/>
        </w:tabs>
        <w:ind w:right="566"/>
        <w:rPr>
          <w:sz w:val="22"/>
          <w:szCs w:val="22"/>
        </w:rPr>
      </w:pPr>
      <w:r>
        <w:rPr>
          <w:sz w:val="22"/>
          <w:szCs w:val="22"/>
        </w:rPr>
        <w:t>Pomocná látka so známym účinkom</w:t>
      </w:r>
      <w:r w:rsidRPr="00E908B5">
        <w:rPr>
          <w:sz w:val="22"/>
          <w:szCs w:val="22"/>
        </w:rPr>
        <w:t xml:space="preserve">: </w:t>
      </w:r>
      <w:r w:rsidRPr="00CF7C4D">
        <w:rPr>
          <w:sz w:val="22"/>
          <w:szCs w:val="22"/>
        </w:rPr>
        <w:t xml:space="preserve">hlinitý lak červene </w:t>
      </w:r>
      <w:proofErr w:type="spellStart"/>
      <w:r w:rsidRPr="00CF7C4D">
        <w:rPr>
          <w:sz w:val="22"/>
          <w:szCs w:val="22"/>
        </w:rPr>
        <w:t>košenilovej</w:t>
      </w:r>
      <w:proofErr w:type="spellEnd"/>
      <w:r w:rsidRPr="00CF7C4D">
        <w:rPr>
          <w:szCs w:val="22"/>
        </w:rPr>
        <w:t xml:space="preserve"> </w:t>
      </w:r>
      <w:r w:rsidRPr="00CF7C4D">
        <w:rPr>
          <w:sz w:val="22"/>
          <w:szCs w:val="22"/>
        </w:rPr>
        <w:t>A</w:t>
      </w:r>
      <w:r w:rsidRPr="00CF7C4D">
        <w:rPr>
          <w:szCs w:val="22"/>
        </w:rPr>
        <w:t xml:space="preserve"> (</w:t>
      </w:r>
      <w:proofErr w:type="spellStart"/>
      <w:r w:rsidRPr="00CF7C4D">
        <w:rPr>
          <w:sz w:val="22"/>
          <w:szCs w:val="22"/>
        </w:rPr>
        <w:t>Ponceau</w:t>
      </w:r>
      <w:proofErr w:type="spellEnd"/>
      <w:r w:rsidRPr="00CF7C4D">
        <w:rPr>
          <w:sz w:val="22"/>
          <w:szCs w:val="22"/>
        </w:rPr>
        <w:t xml:space="preserve"> 4R, E124) 0,0014 mg v každej tablete.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9019BD" w:rsidRPr="009019BD" w:rsidRDefault="009019BD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3.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LIEKOVÁ FORMA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061F91" w:rsidP="00E908B5">
      <w:pPr>
        <w:tabs>
          <w:tab w:val="left" w:pos="0"/>
        </w:tabs>
        <w:ind w:right="566"/>
        <w:rPr>
          <w:sz w:val="22"/>
          <w:szCs w:val="22"/>
        </w:rPr>
      </w:pPr>
      <w:r>
        <w:rPr>
          <w:sz w:val="22"/>
          <w:szCs w:val="22"/>
        </w:rPr>
        <w:t>T</w:t>
      </w:r>
      <w:r w:rsidR="00240E65" w:rsidRPr="00C27E75">
        <w:rPr>
          <w:sz w:val="22"/>
          <w:szCs w:val="22"/>
        </w:rPr>
        <w:t>ablet</w:t>
      </w:r>
      <w:r w:rsidR="00FE3385" w:rsidRPr="00C27E75">
        <w:rPr>
          <w:sz w:val="22"/>
          <w:szCs w:val="22"/>
        </w:rPr>
        <w:t>a</w:t>
      </w:r>
      <w:r w:rsidR="00240E65" w:rsidRPr="00C27E75">
        <w:rPr>
          <w:sz w:val="22"/>
          <w:szCs w:val="22"/>
        </w:rPr>
        <w:t xml:space="preserve"> s predĺženým uvoľňovaním</w:t>
      </w:r>
      <w:r>
        <w:rPr>
          <w:sz w:val="22"/>
          <w:szCs w:val="22"/>
        </w:rPr>
        <w:t>.</w:t>
      </w:r>
    </w:p>
    <w:p w:rsidR="00240E65" w:rsidRPr="00C27E75" w:rsidRDefault="00411EFE" w:rsidP="00E908B5">
      <w:pPr>
        <w:tabs>
          <w:tab w:val="left" w:pos="0"/>
        </w:tabs>
        <w:ind w:right="566"/>
        <w:rPr>
          <w:b/>
          <w:sz w:val="22"/>
          <w:szCs w:val="22"/>
        </w:rPr>
      </w:pPr>
      <w:r>
        <w:rPr>
          <w:sz w:val="22"/>
          <w:szCs w:val="22"/>
        </w:rPr>
        <w:t>S</w:t>
      </w:r>
      <w:r w:rsidR="00240E65" w:rsidRPr="00C27E75">
        <w:rPr>
          <w:sz w:val="22"/>
          <w:szCs w:val="22"/>
        </w:rPr>
        <w:t>vetložlté šošovkovité filmom obalené tablety s predĺženým uvoľňovaním</w:t>
      </w:r>
      <w:r w:rsidR="00FD3876">
        <w:rPr>
          <w:sz w:val="22"/>
          <w:szCs w:val="22"/>
        </w:rPr>
        <w:t>.</w:t>
      </w:r>
    </w:p>
    <w:p w:rsidR="00240E65" w:rsidRDefault="00240E65" w:rsidP="00E908B5">
      <w:pPr>
        <w:tabs>
          <w:tab w:val="left" w:pos="0"/>
        </w:tabs>
        <w:ind w:right="566"/>
        <w:rPr>
          <w:b/>
          <w:sz w:val="22"/>
          <w:szCs w:val="22"/>
        </w:rPr>
      </w:pPr>
    </w:p>
    <w:p w:rsidR="00C27E75" w:rsidRPr="00C27E75" w:rsidRDefault="00C27E75" w:rsidP="00E908B5">
      <w:pPr>
        <w:tabs>
          <w:tab w:val="left" w:pos="0"/>
        </w:tabs>
        <w:ind w:right="566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</w:t>
      </w:r>
      <w:r w:rsidR="009019BD" w:rsidRPr="00C27E75">
        <w:rPr>
          <w:b/>
          <w:sz w:val="22"/>
          <w:szCs w:val="22"/>
        </w:rPr>
        <w:t>.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KLINICKÉ ÚDAJE</w:t>
      </w:r>
    </w:p>
    <w:p w:rsidR="00C27E75" w:rsidRDefault="00C27E75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4.1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Terapeutické indikácie</w:t>
      </w:r>
    </w:p>
    <w:p w:rsidR="00C27E75" w:rsidRDefault="00C27E75" w:rsidP="00E908B5">
      <w:pPr>
        <w:tabs>
          <w:tab w:val="left" w:pos="0"/>
        </w:tabs>
        <w:ind w:right="566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Poruchy periférneho prekrvenia a bunkového metabolizmu, organické aj funkčné: </w:t>
      </w:r>
      <w:proofErr w:type="spellStart"/>
      <w:r w:rsidRPr="00C27E75">
        <w:rPr>
          <w:sz w:val="22"/>
          <w:szCs w:val="22"/>
        </w:rPr>
        <w:t>claudicatio</w:t>
      </w:r>
      <w:proofErr w:type="spellEnd"/>
      <w:r w:rsidRPr="00C27E75">
        <w:rPr>
          <w:sz w:val="22"/>
          <w:szCs w:val="22"/>
        </w:rPr>
        <w:t xml:space="preserve"> </w:t>
      </w:r>
      <w:proofErr w:type="spellStart"/>
      <w:r w:rsidRPr="00C27E75">
        <w:rPr>
          <w:sz w:val="22"/>
          <w:szCs w:val="22"/>
        </w:rPr>
        <w:t>intermittens</w:t>
      </w:r>
      <w:proofErr w:type="spellEnd"/>
      <w:r w:rsidRPr="00C27E75">
        <w:rPr>
          <w:sz w:val="22"/>
          <w:szCs w:val="22"/>
        </w:rPr>
        <w:t xml:space="preserve">, </w:t>
      </w:r>
      <w:proofErr w:type="spellStart"/>
      <w:r w:rsidRPr="00C27E75">
        <w:rPr>
          <w:sz w:val="22"/>
          <w:szCs w:val="22"/>
        </w:rPr>
        <w:t>trofické</w:t>
      </w:r>
      <w:proofErr w:type="spellEnd"/>
      <w:r w:rsidRPr="00C27E75">
        <w:rPr>
          <w:sz w:val="22"/>
          <w:szCs w:val="22"/>
        </w:rPr>
        <w:t xml:space="preserve"> kožné zmeny sprevádzané bledosťou alebo </w:t>
      </w:r>
      <w:proofErr w:type="spellStart"/>
      <w:r w:rsidRPr="00C27E75">
        <w:rPr>
          <w:sz w:val="22"/>
          <w:szCs w:val="22"/>
        </w:rPr>
        <w:t>cyanózou</w:t>
      </w:r>
      <w:proofErr w:type="spellEnd"/>
      <w:r w:rsidRPr="00C27E75">
        <w:rPr>
          <w:sz w:val="22"/>
          <w:szCs w:val="22"/>
        </w:rPr>
        <w:t xml:space="preserve">, </w:t>
      </w:r>
      <w:proofErr w:type="spellStart"/>
      <w:r w:rsidRPr="00C27E75">
        <w:rPr>
          <w:sz w:val="22"/>
          <w:szCs w:val="22"/>
        </w:rPr>
        <w:t>ulcus</w:t>
      </w:r>
      <w:proofErr w:type="spellEnd"/>
      <w:r w:rsidRPr="00C27E75">
        <w:rPr>
          <w:sz w:val="22"/>
          <w:szCs w:val="22"/>
        </w:rPr>
        <w:t xml:space="preserve"> </w:t>
      </w:r>
      <w:proofErr w:type="spellStart"/>
      <w:r w:rsidRPr="00C27E75">
        <w:rPr>
          <w:sz w:val="22"/>
          <w:szCs w:val="22"/>
        </w:rPr>
        <w:t>cruris</w:t>
      </w:r>
      <w:proofErr w:type="spellEnd"/>
      <w:r w:rsidRPr="00C27E75">
        <w:rPr>
          <w:sz w:val="22"/>
          <w:szCs w:val="22"/>
        </w:rPr>
        <w:t xml:space="preserve">, dekubity, poruchy hojenia rán.  Ďalej diabetické </w:t>
      </w:r>
      <w:proofErr w:type="spellStart"/>
      <w:r w:rsidRPr="00C27E75">
        <w:rPr>
          <w:sz w:val="22"/>
          <w:szCs w:val="22"/>
        </w:rPr>
        <w:t>angiopatie</w:t>
      </w:r>
      <w:proofErr w:type="spellEnd"/>
      <w:r w:rsidRPr="00C27E75">
        <w:rPr>
          <w:sz w:val="22"/>
          <w:szCs w:val="22"/>
        </w:rPr>
        <w:t xml:space="preserve">, </w:t>
      </w:r>
      <w:proofErr w:type="spellStart"/>
      <w:r w:rsidRPr="00C27E75">
        <w:rPr>
          <w:sz w:val="22"/>
          <w:szCs w:val="22"/>
        </w:rPr>
        <w:t>Raynaudova</w:t>
      </w:r>
      <w:proofErr w:type="spellEnd"/>
      <w:r w:rsidRPr="00C27E75">
        <w:rPr>
          <w:sz w:val="22"/>
          <w:szCs w:val="22"/>
        </w:rPr>
        <w:t xml:space="preserve"> choroba a </w:t>
      </w:r>
      <w:proofErr w:type="spellStart"/>
      <w:r w:rsidRPr="00C27E75">
        <w:rPr>
          <w:sz w:val="22"/>
          <w:szCs w:val="22"/>
        </w:rPr>
        <w:t>Raynaudov</w:t>
      </w:r>
      <w:proofErr w:type="spellEnd"/>
      <w:r w:rsidRPr="00C27E75">
        <w:rPr>
          <w:sz w:val="22"/>
          <w:szCs w:val="22"/>
        </w:rPr>
        <w:t xml:space="preserve"> syndróm, </w:t>
      </w:r>
      <w:proofErr w:type="spellStart"/>
      <w:r w:rsidRPr="00C27E75">
        <w:rPr>
          <w:sz w:val="22"/>
          <w:szCs w:val="22"/>
        </w:rPr>
        <w:t>akrocyanóza</w:t>
      </w:r>
      <w:proofErr w:type="spellEnd"/>
      <w:r w:rsidRPr="00C27E75">
        <w:rPr>
          <w:sz w:val="22"/>
          <w:szCs w:val="22"/>
        </w:rPr>
        <w:t xml:space="preserve">, bolesti počas nočného pokoja a </w:t>
      </w:r>
      <w:proofErr w:type="spellStart"/>
      <w:r w:rsidRPr="00C27E75">
        <w:rPr>
          <w:sz w:val="22"/>
          <w:szCs w:val="22"/>
        </w:rPr>
        <w:t>parestézie</w:t>
      </w:r>
      <w:proofErr w:type="spellEnd"/>
      <w:r w:rsidRPr="00C27E75">
        <w:rPr>
          <w:sz w:val="22"/>
          <w:szCs w:val="22"/>
        </w:rPr>
        <w:t>, chladné končatiny.</w:t>
      </w: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Poruchy centrálneho prekrvenia a bunkového metabolizmu: mozgová ateroskleróza a jej symptómy - poruchy spánku, závraty, bolesti hlavy, hučanie v ušiach, zníženie schopnosti koncentrácie, zábudlivosť, zmätenosť. </w:t>
      </w:r>
      <w:proofErr w:type="spellStart"/>
      <w:r w:rsidRPr="00C27E75">
        <w:rPr>
          <w:sz w:val="22"/>
          <w:szCs w:val="22"/>
        </w:rPr>
        <w:t>Presenilné</w:t>
      </w:r>
      <w:proofErr w:type="spellEnd"/>
      <w:r w:rsidRPr="00C27E75">
        <w:rPr>
          <w:sz w:val="22"/>
          <w:szCs w:val="22"/>
        </w:rPr>
        <w:t xml:space="preserve"> poruchy</w:t>
      </w:r>
      <w:r w:rsidR="00FD3876">
        <w:rPr>
          <w:sz w:val="22"/>
          <w:szCs w:val="22"/>
        </w:rPr>
        <w:t xml:space="preserve"> správania</w:t>
      </w:r>
      <w:r w:rsidRPr="00C27E75">
        <w:rPr>
          <w:sz w:val="22"/>
          <w:szCs w:val="22"/>
        </w:rPr>
        <w:t xml:space="preserve">. Rehabilitácia po apoplexii. Akútne </w:t>
      </w:r>
      <w:proofErr w:type="spellStart"/>
      <w:r w:rsidRPr="00C27E75">
        <w:rPr>
          <w:sz w:val="22"/>
          <w:szCs w:val="22"/>
        </w:rPr>
        <w:t>apoplektické</w:t>
      </w:r>
      <w:proofErr w:type="spellEnd"/>
      <w:r w:rsidRPr="00C27E75">
        <w:rPr>
          <w:sz w:val="22"/>
          <w:szCs w:val="22"/>
        </w:rPr>
        <w:t xml:space="preserve"> príhody. </w:t>
      </w:r>
      <w:proofErr w:type="spellStart"/>
      <w:r w:rsidRPr="00C27E75">
        <w:rPr>
          <w:sz w:val="22"/>
          <w:szCs w:val="22"/>
        </w:rPr>
        <w:t>Postkomočné</w:t>
      </w:r>
      <w:proofErr w:type="spellEnd"/>
      <w:r w:rsidRPr="00C27E75">
        <w:rPr>
          <w:sz w:val="22"/>
          <w:szCs w:val="22"/>
        </w:rPr>
        <w:t xml:space="preserve"> a </w:t>
      </w:r>
      <w:proofErr w:type="spellStart"/>
      <w:r w:rsidRPr="00C27E75">
        <w:rPr>
          <w:sz w:val="22"/>
          <w:szCs w:val="22"/>
        </w:rPr>
        <w:t>posttraumatické</w:t>
      </w:r>
      <w:proofErr w:type="spellEnd"/>
      <w:r w:rsidRPr="00C27E75">
        <w:rPr>
          <w:sz w:val="22"/>
          <w:szCs w:val="22"/>
        </w:rPr>
        <w:t xml:space="preserve"> stavy. </w:t>
      </w:r>
      <w:proofErr w:type="spellStart"/>
      <w:r w:rsidRPr="00C27E75">
        <w:rPr>
          <w:sz w:val="22"/>
          <w:szCs w:val="22"/>
        </w:rPr>
        <w:t>Meniérova</w:t>
      </w:r>
      <w:proofErr w:type="spellEnd"/>
      <w:r w:rsidRPr="00C27E75">
        <w:rPr>
          <w:sz w:val="22"/>
          <w:szCs w:val="22"/>
        </w:rPr>
        <w:t xml:space="preserve"> choroba. Poškodenie </w:t>
      </w:r>
      <w:proofErr w:type="spellStart"/>
      <w:r w:rsidRPr="00C27E75">
        <w:rPr>
          <w:sz w:val="22"/>
          <w:szCs w:val="22"/>
        </w:rPr>
        <w:t>retiny</w:t>
      </w:r>
      <w:proofErr w:type="spellEnd"/>
      <w:r w:rsidRPr="00C27E75">
        <w:rPr>
          <w:sz w:val="22"/>
          <w:szCs w:val="22"/>
        </w:rPr>
        <w:t xml:space="preserve"> a funkcie oka ischemického pôvodu, poruchy prekrvenia vnútorného ucha.</w:t>
      </w: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4.2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Dávkovanie a spôsob podávania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4236FA" w:rsidRPr="00E908B5" w:rsidRDefault="004236FA" w:rsidP="00E908B5">
      <w:pPr>
        <w:tabs>
          <w:tab w:val="left" w:pos="0"/>
        </w:tabs>
        <w:ind w:right="566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Dávkovanie</w:t>
      </w:r>
    </w:p>
    <w:p w:rsidR="004236FA" w:rsidRDefault="004236FA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FE338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Liek </w:t>
      </w:r>
      <w:r w:rsidR="00240E65" w:rsidRPr="00C27E75">
        <w:rPr>
          <w:sz w:val="22"/>
          <w:szCs w:val="22"/>
        </w:rPr>
        <w:t>je určený na liečbu dospelých a</w:t>
      </w:r>
      <w:r w:rsidR="004236FA">
        <w:rPr>
          <w:sz w:val="22"/>
          <w:szCs w:val="22"/>
        </w:rPr>
        <w:t>  dospievajúcich</w:t>
      </w:r>
      <w:r w:rsidR="00240E65" w:rsidRPr="00C27E75">
        <w:rPr>
          <w:sz w:val="22"/>
          <w:szCs w:val="22"/>
        </w:rPr>
        <w:t xml:space="preserve">. </w:t>
      </w:r>
      <w:r w:rsidR="004236FA">
        <w:rPr>
          <w:sz w:val="22"/>
          <w:szCs w:val="22"/>
        </w:rPr>
        <w:t xml:space="preserve">Odporúčaná </w:t>
      </w:r>
      <w:r w:rsidR="00240E65" w:rsidRPr="00C27E75">
        <w:rPr>
          <w:sz w:val="22"/>
          <w:szCs w:val="22"/>
        </w:rPr>
        <w:t xml:space="preserve">dávka pri terapii periférnych </w:t>
      </w:r>
      <w:proofErr w:type="spellStart"/>
      <w:r w:rsidR="00240E65" w:rsidRPr="00C27E75">
        <w:rPr>
          <w:sz w:val="22"/>
          <w:szCs w:val="22"/>
        </w:rPr>
        <w:t>vaskulárnych</w:t>
      </w:r>
      <w:proofErr w:type="spellEnd"/>
      <w:r w:rsidR="00240E65" w:rsidRPr="00C27E75">
        <w:rPr>
          <w:sz w:val="22"/>
          <w:szCs w:val="22"/>
        </w:rPr>
        <w:t xml:space="preserve"> porúch je 100 - 200 mg (1 - 2 filmom obalené tablety s predĺženým uvoľňovaním) 2 - 3 razy denne. Najvyššia účinnosť sa dosiahne pri dennej dávke 400 - 600 mg. Terapia má trvať  najmenej 3 mesiace.</w:t>
      </w: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Pri terapii demencie a iných </w:t>
      </w:r>
      <w:proofErr w:type="spellStart"/>
      <w:r w:rsidRPr="00C27E75">
        <w:rPr>
          <w:sz w:val="22"/>
          <w:szCs w:val="22"/>
        </w:rPr>
        <w:t>cerebrovaskulárnych</w:t>
      </w:r>
      <w:proofErr w:type="spellEnd"/>
      <w:r w:rsidRPr="00C27E75">
        <w:rPr>
          <w:sz w:val="22"/>
          <w:szCs w:val="22"/>
        </w:rPr>
        <w:t xml:space="preserve"> porúch sa podáva 3 razy denne 100 mg (1 filmom obalená tableta s predĺženým uvoľňovaním).</w:t>
      </w:r>
    </w:p>
    <w:p w:rsidR="006440BD" w:rsidRPr="00C27E75" w:rsidRDefault="00240E65" w:rsidP="00E908B5">
      <w:pPr>
        <w:tabs>
          <w:tab w:val="left" w:pos="8505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Pri terapii </w:t>
      </w:r>
      <w:proofErr w:type="spellStart"/>
      <w:r w:rsidRPr="00C27E75">
        <w:rPr>
          <w:sz w:val="22"/>
          <w:szCs w:val="22"/>
        </w:rPr>
        <w:t>iktu</w:t>
      </w:r>
      <w:proofErr w:type="spellEnd"/>
      <w:r w:rsidRPr="00C27E75">
        <w:rPr>
          <w:sz w:val="22"/>
          <w:szCs w:val="22"/>
        </w:rPr>
        <w:t xml:space="preserve"> sa podáva 3 razy denne 200 mg (2 filmom obalené tablety s predĺženým uvoľňovaním) alebo 2 razy denne 300 - 400 mg (3 - 4 filmom obalené tablety s predĺženým uvoľňovaním).</w:t>
      </w:r>
    </w:p>
    <w:p w:rsidR="004236FA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 </w:t>
      </w:r>
    </w:p>
    <w:p w:rsidR="004236FA" w:rsidRPr="00E908B5" w:rsidRDefault="004236FA" w:rsidP="00E908B5">
      <w:pPr>
        <w:tabs>
          <w:tab w:val="left" w:pos="0"/>
        </w:tabs>
        <w:ind w:right="566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Spôsob podávania</w:t>
      </w: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>Liečba je dlhodobá. Filmom obalené tablety s predĺženým uvoľňovaním sa prehĺtajú celé, nerozhryznuté, zapíjajú sa vodou alebo iným nealkoholickým nápojom.</w:t>
      </w: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4.3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Kontraindikácie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4236FA" w:rsidP="00E908B5">
      <w:pPr>
        <w:tabs>
          <w:tab w:val="left" w:pos="0"/>
        </w:tabs>
        <w:ind w:right="566"/>
        <w:rPr>
          <w:sz w:val="22"/>
          <w:szCs w:val="22"/>
        </w:rPr>
      </w:pPr>
      <w:r>
        <w:rPr>
          <w:sz w:val="22"/>
          <w:szCs w:val="22"/>
        </w:rPr>
        <w:t>P</w:t>
      </w:r>
      <w:r w:rsidR="00240E65" w:rsidRPr="00C27E75">
        <w:rPr>
          <w:sz w:val="22"/>
          <w:szCs w:val="22"/>
        </w:rPr>
        <w:t xml:space="preserve">recitlivenosť na </w:t>
      </w:r>
      <w:proofErr w:type="spellStart"/>
      <w:r w:rsidR="00240E65" w:rsidRPr="00C27E75">
        <w:rPr>
          <w:sz w:val="22"/>
          <w:szCs w:val="22"/>
        </w:rPr>
        <w:t>naftidrofuryl</w:t>
      </w:r>
      <w:proofErr w:type="spellEnd"/>
      <w:r w:rsidR="00240E65" w:rsidRPr="00C27E75">
        <w:rPr>
          <w:sz w:val="22"/>
          <w:szCs w:val="22"/>
        </w:rPr>
        <w:t xml:space="preserve"> alebo</w:t>
      </w:r>
      <w:r>
        <w:rPr>
          <w:sz w:val="22"/>
          <w:szCs w:val="22"/>
        </w:rPr>
        <w:t xml:space="preserve"> na ktorúkoľvek z pomocných látok uvedených v časti 6.1</w:t>
      </w:r>
      <w:r w:rsidR="00240E65" w:rsidRPr="00C27E75">
        <w:rPr>
          <w:sz w:val="22"/>
          <w:szCs w:val="22"/>
        </w:rPr>
        <w:t xml:space="preserve"> </w:t>
      </w:r>
      <w:r>
        <w:rPr>
          <w:sz w:val="22"/>
          <w:szCs w:val="22"/>
        </w:rPr>
        <w:t>Č</w:t>
      </w:r>
      <w:r w:rsidR="00240E65" w:rsidRPr="00C27E75">
        <w:rPr>
          <w:sz w:val="22"/>
          <w:szCs w:val="22"/>
        </w:rPr>
        <w:t xml:space="preserve">erstvý infarkt myokardu, </w:t>
      </w:r>
      <w:proofErr w:type="spellStart"/>
      <w:r w:rsidR="00240E65" w:rsidRPr="00C27E75">
        <w:rPr>
          <w:sz w:val="22"/>
          <w:szCs w:val="22"/>
        </w:rPr>
        <w:t>manifestná</w:t>
      </w:r>
      <w:proofErr w:type="spellEnd"/>
      <w:r w:rsidR="00240E65" w:rsidRPr="00C27E75">
        <w:rPr>
          <w:sz w:val="22"/>
          <w:szCs w:val="22"/>
        </w:rPr>
        <w:t xml:space="preserve"> srdcová </w:t>
      </w:r>
      <w:proofErr w:type="spellStart"/>
      <w:r w:rsidR="00240E65" w:rsidRPr="00C27E75">
        <w:rPr>
          <w:sz w:val="22"/>
          <w:szCs w:val="22"/>
        </w:rPr>
        <w:t>insuficiencia</w:t>
      </w:r>
      <w:proofErr w:type="spellEnd"/>
      <w:r w:rsidR="00240E65" w:rsidRPr="00C27E75">
        <w:rPr>
          <w:sz w:val="22"/>
          <w:szCs w:val="22"/>
        </w:rPr>
        <w:t xml:space="preserve"> štádia NYHA III a IV, závažné prevodové poruchy, závažná koronárna </w:t>
      </w:r>
      <w:proofErr w:type="spellStart"/>
      <w:r w:rsidR="00240E65" w:rsidRPr="00C27E75">
        <w:rPr>
          <w:sz w:val="22"/>
          <w:szCs w:val="22"/>
        </w:rPr>
        <w:t>insuficiencia</w:t>
      </w:r>
      <w:proofErr w:type="spellEnd"/>
      <w:r w:rsidR="00240E65" w:rsidRPr="00C27E75">
        <w:rPr>
          <w:sz w:val="22"/>
          <w:szCs w:val="22"/>
        </w:rPr>
        <w:t xml:space="preserve">, </w:t>
      </w:r>
      <w:proofErr w:type="spellStart"/>
      <w:r w:rsidR="00240E65" w:rsidRPr="00C27E75">
        <w:rPr>
          <w:sz w:val="22"/>
          <w:szCs w:val="22"/>
        </w:rPr>
        <w:t>tranzitórne</w:t>
      </w:r>
      <w:proofErr w:type="spellEnd"/>
      <w:r w:rsidR="00240E65" w:rsidRPr="00C27E75">
        <w:rPr>
          <w:sz w:val="22"/>
          <w:szCs w:val="22"/>
        </w:rPr>
        <w:t xml:space="preserve"> ischemické príhody (TIA), krvácavé stavy, obehové kolapsy v anamnéze,  výrazná hypotenzia, </w:t>
      </w:r>
      <w:proofErr w:type="spellStart"/>
      <w:r w:rsidR="00240E65" w:rsidRPr="00C27E75">
        <w:rPr>
          <w:sz w:val="22"/>
          <w:szCs w:val="22"/>
        </w:rPr>
        <w:t>ortostatická</w:t>
      </w:r>
      <w:proofErr w:type="spellEnd"/>
      <w:r w:rsidR="00240E65" w:rsidRPr="00C27E75">
        <w:rPr>
          <w:sz w:val="22"/>
          <w:szCs w:val="22"/>
        </w:rPr>
        <w:t xml:space="preserve"> </w:t>
      </w:r>
      <w:proofErr w:type="spellStart"/>
      <w:r w:rsidR="00240E65" w:rsidRPr="00C27E75">
        <w:rPr>
          <w:sz w:val="22"/>
          <w:szCs w:val="22"/>
        </w:rPr>
        <w:t>dysregulácia</w:t>
      </w:r>
      <w:proofErr w:type="spellEnd"/>
      <w:r w:rsidR="00240E65" w:rsidRPr="00C27E75">
        <w:rPr>
          <w:sz w:val="22"/>
          <w:szCs w:val="22"/>
        </w:rPr>
        <w:t>.</w:t>
      </w:r>
    </w:p>
    <w:p w:rsidR="00240E65" w:rsidRPr="00C27E75" w:rsidRDefault="00240E65" w:rsidP="00E908B5">
      <w:pPr>
        <w:tabs>
          <w:tab w:val="left" w:pos="0"/>
        </w:tabs>
        <w:ind w:right="566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4.4</w:t>
      </w:r>
      <w:r w:rsidR="009019BD">
        <w:rPr>
          <w:b/>
          <w:sz w:val="22"/>
          <w:szCs w:val="22"/>
        </w:rPr>
        <w:tab/>
      </w:r>
      <w:r w:rsidR="004236FA">
        <w:rPr>
          <w:b/>
          <w:sz w:val="22"/>
          <w:szCs w:val="22"/>
        </w:rPr>
        <w:t xml:space="preserve">Osobitné </w:t>
      </w:r>
      <w:r w:rsidRPr="00C27E75">
        <w:rPr>
          <w:b/>
          <w:sz w:val="22"/>
          <w:szCs w:val="22"/>
        </w:rPr>
        <w:t>upozornenia</w:t>
      </w:r>
      <w:r w:rsidR="004236FA">
        <w:rPr>
          <w:b/>
          <w:sz w:val="22"/>
          <w:szCs w:val="22"/>
        </w:rPr>
        <w:t xml:space="preserve"> a opatrenia pri používaní</w:t>
      </w:r>
    </w:p>
    <w:p w:rsidR="00C27E75" w:rsidRDefault="00C27E75" w:rsidP="00E908B5">
      <w:pPr>
        <w:tabs>
          <w:tab w:val="left" w:pos="8505"/>
        </w:tabs>
        <w:ind w:right="566"/>
        <w:rPr>
          <w:sz w:val="22"/>
          <w:szCs w:val="22"/>
        </w:rPr>
      </w:pPr>
    </w:p>
    <w:p w:rsidR="00240E65" w:rsidRPr="00E908B5" w:rsidRDefault="00240E65" w:rsidP="00E908B5">
      <w:pPr>
        <w:tabs>
          <w:tab w:val="left" w:pos="8505"/>
        </w:tabs>
        <w:ind w:right="566"/>
        <w:rPr>
          <w:sz w:val="22"/>
          <w:szCs w:val="22"/>
        </w:rPr>
      </w:pPr>
      <w:r w:rsidRPr="00E908B5">
        <w:rPr>
          <w:sz w:val="22"/>
          <w:szCs w:val="22"/>
        </w:rPr>
        <w:t>Počas terapie nie je vhodné fajčenie a pitie alkoholu.</w:t>
      </w:r>
    </w:p>
    <w:p w:rsidR="002028B0" w:rsidRDefault="009019BD" w:rsidP="009019BD">
      <w:pPr>
        <w:rPr>
          <w:sz w:val="22"/>
          <w:szCs w:val="22"/>
        </w:rPr>
      </w:pPr>
      <w:r>
        <w:rPr>
          <w:sz w:val="22"/>
          <w:szCs w:val="22"/>
        </w:rPr>
        <w:t>Tento liek obsahuje</w:t>
      </w:r>
      <w:r w:rsidR="002028B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laktózu. </w:t>
      </w:r>
    </w:p>
    <w:p w:rsidR="009019BD" w:rsidRPr="000778AE" w:rsidRDefault="009019BD" w:rsidP="009019BD">
      <w:pPr>
        <w:rPr>
          <w:sz w:val="22"/>
          <w:szCs w:val="22"/>
        </w:rPr>
      </w:pPr>
      <w:r w:rsidRPr="000778AE">
        <w:rPr>
          <w:sz w:val="22"/>
          <w:szCs w:val="22"/>
        </w:rPr>
        <w:t xml:space="preserve">Pacienti so zriedkavými dedičnými problémami </w:t>
      </w:r>
      <w:proofErr w:type="spellStart"/>
      <w:r w:rsidRPr="000778AE">
        <w:rPr>
          <w:sz w:val="22"/>
          <w:szCs w:val="22"/>
        </w:rPr>
        <w:t>galaktózovej</w:t>
      </w:r>
      <w:proofErr w:type="spellEnd"/>
      <w:r w:rsidRPr="000778AE">
        <w:rPr>
          <w:sz w:val="22"/>
          <w:szCs w:val="22"/>
        </w:rPr>
        <w:t xml:space="preserve"> intolerancie, laponského deficitu </w:t>
      </w:r>
      <w:proofErr w:type="spellStart"/>
      <w:r w:rsidRPr="000778AE">
        <w:rPr>
          <w:sz w:val="22"/>
          <w:szCs w:val="22"/>
        </w:rPr>
        <w:t>laktázy</w:t>
      </w:r>
      <w:proofErr w:type="spellEnd"/>
      <w:r w:rsidRPr="000778AE">
        <w:rPr>
          <w:sz w:val="22"/>
          <w:szCs w:val="22"/>
        </w:rPr>
        <w:t xml:space="preserve"> alebo </w:t>
      </w:r>
      <w:proofErr w:type="spellStart"/>
      <w:r w:rsidRPr="000778AE">
        <w:rPr>
          <w:sz w:val="22"/>
          <w:szCs w:val="22"/>
        </w:rPr>
        <w:t>glukózo-galaktózovej</w:t>
      </w:r>
      <w:proofErr w:type="spellEnd"/>
      <w:r w:rsidRPr="000778AE">
        <w:rPr>
          <w:sz w:val="22"/>
          <w:szCs w:val="22"/>
        </w:rPr>
        <w:t xml:space="preserve"> </w:t>
      </w:r>
      <w:proofErr w:type="spellStart"/>
      <w:r w:rsidRPr="000778AE">
        <w:rPr>
          <w:sz w:val="22"/>
          <w:szCs w:val="22"/>
        </w:rPr>
        <w:t>malabsorpcie</w:t>
      </w:r>
      <w:proofErr w:type="spellEnd"/>
      <w:r w:rsidRPr="000778AE">
        <w:rPr>
          <w:sz w:val="22"/>
          <w:szCs w:val="22"/>
        </w:rPr>
        <w:t xml:space="preserve"> nesmú užívať tento liek.</w:t>
      </w:r>
    </w:p>
    <w:p w:rsidR="0003179B" w:rsidRDefault="002F73B5" w:rsidP="00E908B5">
      <w:pPr>
        <w:pStyle w:val="Zkladntext"/>
        <w:suppressAutoHyphens/>
        <w:ind w:right="566"/>
        <w:jc w:val="left"/>
        <w:rPr>
          <w:b w:val="0"/>
          <w:lang w:val="sk-SK"/>
        </w:rPr>
      </w:pPr>
      <w:r w:rsidRPr="00E908B5">
        <w:rPr>
          <w:b w:val="0"/>
          <w:szCs w:val="22"/>
          <w:lang w:val="sk-SK"/>
        </w:rPr>
        <w:t>Tento liek</w:t>
      </w:r>
      <w:r w:rsidR="0003179B" w:rsidRPr="00E908B5">
        <w:rPr>
          <w:b w:val="0"/>
          <w:szCs w:val="22"/>
          <w:lang w:val="sk-SK"/>
        </w:rPr>
        <w:t xml:space="preserve"> obsahuje pomocnú látku hlinitý lak červene </w:t>
      </w:r>
      <w:proofErr w:type="spellStart"/>
      <w:r w:rsidR="0003179B" w:rsidRPr="00E908B5">
        <w:rPr>
          <w:b w:val="0"/>
          <w:szCs w:val="22"/>
          <w:lang w:val="sk-SK"/>
        </w:rPr>
        <w:t>košenilovej</w:t>
      </w:r>
      <w:proofErr w:type="spellEnd"/>
      <w:r w:rsidR="0003179B" w:rsidRPr="00E908B5">
        <w:rPr>
          <w:b w:val="0"/>
          <w:szCs w:val="22"/>
          <w:lang w:val="sk-SK"/>
        </w:rPr>
        <w:t xml:space="preserve"> </w:t>
      </w:r>
      <w:r w:rsidR="000E1915" w:rsidRPr="00E908B5">
        <w:rPr>
          <w:b w:val="0"/>
          <w:szCs w:val="22"/>
          <w:lang w:val="sk-SK"/>
        </w:rPr>
        <w:t xml:space="preserve">A </w:t>
      </w:r>
      <w:r w:rsidR="0003179B" w:rsidRPr="00E908B5">
        <w:rPr>
          <w:b w:val="0"/>
          <w:szCs w:val="22"/>
          <w:lang w:val="sk-SK"/>
        </w:rPr>
        <w:t>(</w:t>
      </w:r>
      <w:proofErr w:type="spellStart"/>
      <w:r w:rsidR="0003179B" w:rsidRPr="00E908B5">
        <w:rPr>
          <w:b w:val="0"/>
          <w:szCs w:val="22"/>
          <w:lang w:val="sk-SK"/>
        </w:rPr>
        <w:t>Ponceau</w:t>
      </w:r>
      <w:proofErr w:type="spellEnd"/>
      <w:r w:rsidR="0003179B" w:rsidRPr="00E908B5">
        <w:rPr>
          <w:b w:val="0"/>
          <w:szCs w:val="22"/>
          <w:lang w:val="sk-SK"/>
        </w:rPr>
        <w:t xml:space="preserve"> 4R</w:t>
      </w:r>
      <w:r w:rsidR="000E1915" w:rsidRPr="00E908B5">
        <w:rPr>
          <w:b w:val="0"/>
          <w:szCs w:val="22"/>
          <w:lang w:val="sk-SK"/>
        </w:rPr>
        <w:t>, E124</w:t>
      </w:r>
      <w:r w:rsidR="0003179B" w:rsidRPr="00E908B5">
        <w:rPr>
          <w:b w:val="0"/>
          <w:szCs w:val="22"/>
          <w:lang w:val="sk-SK"/>
        </w:rPr>
        <w:t>)</w:t>
      </w:r>
      <w:r w:rsidR="000E1915" w:rsidRPr="00E908B5">
        <w:rPr>
          <w:b w:val="0"/>
          <w:szCs w:val="22"/>
          <w:lang w:val="sk-SK"/>
        </w:rPr>
        <w:t xml:space="preserve">. </w:t>
      </w:r>
      <w:r w:rsidR="000E1915" w:rsidRPr="00E908B5">
        <w:rPr>
          <w:b w:val="0"/>
          <w:lang w:val="sk-SK"/>
        </w:rPr>
        <w:t>Môže vyvolať alergické reakcie.</w:t>
      </w:r>
    </w:p>
    <w:p w:rsidR="00B673A8" w:rsidRPr="00E908B5" w:rsidRDefault="00B673A8" w:rsidP="00E908B5">
      <w:pPr>
        <w:pStyle w:val="Zkladntext"/>
        <w:suppressAutoHyphens/>
        <w:ind w:right="566"/>
        <w:jc w:val="left"/>
        <w:rPr>
          <w:szCs w:val="22"/>
          <w:lang w:val="sk-SK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E908B5">
        <w:rPr>
          <w:b/>
          <w:sz w:val="22"/>
          <w:szCs w:val="22"/>
        </w:rPr>
        <w:t>4.5</w:t>
      </w:r>
      <w:r w:rsidR="009019BD">
        <w:rPr>
          <w:b/>
          <w:sz w:val="22"/>
          <w:szCs w:val="22"/>
        </w:rPr>
        <w:tab/>
      </w:r>
      <w:r w:rsidRPr="00E908B5">
        <w:rPr>
          <w:b/>
          <w:sz w:val="22"/>
          <w:szCs w:val="22"/>
        </w:rPr>
        <w:t>Liekové a iné interakcie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Súčasné podanie </w:t>
      </w:r>
      <w:proofErr w:type="spellStart"/>
      <w:r w:rsidRPr="00C27E75">
        <w:rPr>
          <w:sz w:val="22"/>
          <w:szCs w:val="22"/>
        </w:rPr>
        <w:t>naftidrofurylu</w:t>
      </w:r>
      <w:proofErr w:type="spellEnd"/>
      <w:r w:rsidRPr="00C27E75">
        <w:rPr>
          <w:sz w:val="22"/>
          <w:szCs w:val="22"/>
        </w:rPr>
        <w:t xml:space="preserve"> s </w:t>
      </w:r>
      <w:proofErr w:type="spellStart"/>
      <w:r w:rsidRPr="00C27E75">
        <w:rPr>
          <w:sz w:val="22"/>
          <w:szCs w:val="22"/>
        </w:rPr>
        <w:t>antiarytmikami</w:t>
      </w:r>
      <w:proofErr w:type="spellEnd"/>
      <w:r w:rsidRPr="00C27E75">
        <w:rPr>
          <w:sz w:val="22"/>
          <w:szCs w:val="22"/>
        </w:rPr>
        <w:t xml:space="preserve"> a </w:t>
      </w:r>
      <w:proofErr w:type="spellStart"/>
      <w:r w:rsidRPr="00C27E75">
        <w:rPr>
          <w:sz w:val="22"/>
          <w:szCs w:val="22"/>
        </w:rPr>
        <w:t>betablokátormi</w:t>
      </w:r>
      <w:proofErr w:type="spellEnd"/>
      <w:r w:rsidRPr="00C27E75">
        <w:rPr>
          <w:sz w:val="22"/>
          <w:szCs w:val="22"/>
        </w:rPr>
        <w:t xml:space="preserve"> má </w:t>
      </w:r>
      <w:proofErr w:type="spellStart"/>
      <w:r w:rsidRPr="00C27E75">
        <w:rPr>
          <w:sz w:val="22"/>
          <w:szCs w:val="22"/>
        </w:rPr>
        <w:t>kardiodepresívne</w:t>
      </w:r>
      <w:proofErr w:type="spellEnd"/>
      <w:r w:rsidRPr="00C27E75">
        <w:rPr>
          <w:sz w:val="22"/>
          <w:szCs w:val="22"/>
        </w:rPr>
        <w:t xml:space="preserve">, negatívne </w:t>
      </w:r>
      <w:proofErr w:type="spellStart"/>
      <w:r w:rsidRPr="00C27E75">
        <w:rPr>
          <w:sz w:val="22"/>
          <w:szCs w:val="22"/>
        </w:rPr>
        <w:t>dromotropné</w:t>
      </w:r>
      <w:proofErr w:type="spellEnd"/>
      <w:r w:rsidRPr="00C27E75">
        <w:rPr>
          <w:sz w:val="22"/>
          <w:szCs w:val="22"/>
        </w:rPr>
        <w:t xml:space="preserve"> účinky,  ktoré môžu viesť až k vzniku AV blokády.</w:t>
      </w: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4.6</w:t>
      </w:r>
      <w:r w:rsidR="009019BD">
        <w:rPr>
          <w:b/>
          <w:sz w:val="22"/>
          <w:szCs w:val="22"/>
        </w:rPr>
        <w:tab/>
      </w:r>
      <w:proofErr w:type="spellStart"/>
      <w:r w:rsidR="004236FA">
        <w:rPr>
          <w:b/>
          <w:sz w:val="22"/>
          <w:szCs w:val="22"/>
        </w:rPr>
        <w:t>Fertilita</w:t>
      </w:r>
      <w:proofErr w:type="spellEnd"/>
      <w:r w:rsidR="004236FA">
        <w:rPr>
          <w:b/>
          <w:sz w:val="22"/>
          <w:szCs w:val="22"/>
        </w:rPr>
        <w:t>, gravidita a laktácia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Bezpečnosť podávania </w:t>
      </w:r>
      <w:r w:rsidR="00FE3385" w:rsidRPr="00C27E75">
        <w:rPr>
          <w:sz w:val="22"/>
          <w:szCs w:val="22"/>
        </w:rPr>
        <w:t>lieku</w:t>
      </w:r>
      <w:r w:rsidRPr="00C27E75">
        <w:rPr>
          <w:sz w:val="22"/>
          <w:szCs w:val="22"/>
        </w:rPr>
        <w:t xml:space="preserve"> </w:t>
      </w:r>
      <w:r w:rsidR="007557A2" w:rsidRPr="00C27E75">
        <w:rPr>
          <w:sz w:val="22"/>
          <w:szCs w:val="22"/>
        </w:rPr>
        <w:t xml:space="preserve">v gravidite a počas laktácie </w:t>
      </w:r>
      <w:r w:rsidRPr="00C27E75">
        <w:rPr>
          <w:sz w:val="22"/>
          <w:szCs w:val="22"/>
        </w:rPr>
        <w:t xml:space="preserve">nie je dostatočne preukázaná. Z tohto dôvodu je možné povoliť podávanie </w:t>
      </w:r>
      <w:r w:rsidR="00FE3385" w:rsidRPr="00C27E75">
        <w:rPr>
          <w:sz w:val="22"/>
          <w:szCs w:val="22"/>
        </w:rPr>
        <w:t>lieku</w:t>
      </w:r>
      <w:r w:rsidRPr="00C27E75">
        <w:rPr>
          <w:sz w:val="22"/>
          <w:szCs w:val="22"/>
        </w:rPr>
        <w:t xml:space="preserve"> </w:t>
      </w:r>
      <w:r w:rsidR="00FE3385" w:rsidRPr="00C27E75">
        <w:rPr>
          <w:sz w:val="22"/>
          <w:szCs w:val="22"/>
        </w:rPr>
        <w:t>v gravidi</w:t>
      </w:r>
      <w:r w:rsidR="006440BD" w:rsidRPr="00C27E75">
        <w:rPr>
          <w:sz w:val="22"/>
          <w:szCs w:val="22"/>
        </w:rPr>
        <w:t>t</w:t>
      </w:r>
      <w:r w:rsidR="00FE3385" w:rsidRPr="00C27E75">
        <w:rPr>
          <w:sz w:val="22"/>
          <w:szCs w:val="22"/>
        </w:rPr>
        <w:t>e</w:t>
      </w:r>
      <w:r w:rsidRPr="00C27E75">
        <w:rPr>
          <w:sz w:val="22"/>
          <w:szCs w:val="22"/>
        </w:rPr>
        <w:t xml:space="preserve"> iba vtedy, ak predpokladaný terapeutický prínos presahuje potenciálne riziko pre plod. Počas liečby sa neodporúča dojčiť.</w:t>
      </w:r>
    </w:p>
    <w:p w:rsidR="00240E65" w:rsidRPr="00C27E75" w:rsidRDefault="00240E65" w:rsidP="00E908B5">
      <w:pPr>
        <w:tabs>
          <w:tab w:val="left" w:pos="8505"/>
        </w:tabs>
        <w:ind w:right="566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4.7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Ovplyvnenie schopnosti viesť vozidlá a obsluhovať stroje</w:t>
      </w:r>
    </w:p>
    <w:p w:rsidR="00C27E75" w:rsidRDefault="00C27E75" w:rsidP="00E908B5">
      <w:pPr>
        <w:tabs>
          <w:tab w:val="left" w:pos="0"/>
        </w:tabs>
        <w:ind w:right="566"/>
        <w:rPr>
          <w:sz w:val="22"/>
          <w:szCs w:val="22"/>
        </w:rPr>
      </w:pPr>
    </w:p>
    <w:p w:rsidR="00240E6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 xml:space="preserve">Pri vyššom dávkovaní sa výnimočne najmä na začiatku liečby môže u niektorých pacientov vyskytnúť únava, závraty, pokles TK alebo </w:t>
      </w:r>
      <w:proofErr w:type="spellStart"/>
      <w:r w:rsidRPr="00C27E75">
        <w:rPr>
          <w:sz w:val="22"/>
          <w:szCs w:val="22"/>
        </w:rPr>
        <w:t>ortostatická</w:t>
      </w:r>
      <w:proofErr w:type="spellEnd"/>
      <w:r w:rsidRPr="00C27E75">
        <w:rPr>
          <w:sz w:val="22"/>
          <w:szCs w:val="22"/>
        </w:rPr>
        <w:t xml:space="preserve"> hypotenzia. Tým sa dočasne môže znížiť schopnosť vykonávať činnosti so zvýšenými nárokmi na pozornosť, motorickú koordináciu a rýchle rozhodovanie (vedenie vozidiel, obsluha strojov, práca vo výškach a pod.).</w:t>
      </w:r>
    </w:p>
    <w:p w:rsidR="00240E65" w:rsidRPr="00C27E75" w:rsidRDefault="00240E65" w:rsidP="00E908B5">
      <w:pPr>
        <w:tabs>
          <w:tab w:val="left" w:pos="8505"/>
        </w:tabs>
        <w:ind w:right="566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4.8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Nežiaduce účinky</w:t>
      </w:r>
    </w:p>
    <w:p w:rsidR="00C27E75" w:rsidRDefault="00C27E75" w:rsidP="00E908B5">
      <w:pPr>
        <w:tabs>
          <w:tab w:val="left" w:pos="8505"/>
        </w:tabs>
        <w:ind w:right="566"/>
        <w:rPr>
          <w:sz w:val="22"/>
          <w:szCs w:val="22"/>
        </w:rPr>
      </w:pPr>
    </w:p>
    <w:p w:rsidR="00240E65" w:rsidRDefault="00FE3385" w:rsidP="00E908B5">
      <w:pPr>
        <w:tabs>
          <w:tab w:val="left" w:pos="8505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>Liek</w:t>
      </w:r>
      <w:r w:rsidR="00240E65" w:rsidRPr="00C27E75">
        <w:rPr>
          <w:sz w:val="22"/>
          <w:szCs w:val="22"/>
        </w:rPr>
        <w:t xml:space="preserve"> sa veľmi dobre znáša, iba  zriedkavo sa môže vyskytnúť </w:t>
      </w:r>
      <w:proofErr w:type="spellStart"/>
      <w:r w:rsidR="00240E65" w:rsidRPr="00C27E75">
        <w:rPr>
          <w:sz w:val="22"/>
          <w:szCs w:val="22"/>
        </w:rPr>
        <w:t>nauzea</w:t>
      </w:r>
      <w:proofErr w:type="spellEnd"/>
      <w:r w:rsidR="00240E65" w:rsidRPr="00C27E75">
        <w:rPr>
          <w:sz w:val="22"/>
          <w:szCs w:val="22"/>
        </w:rPr>
        <w:t xml:space="preserve">, žalúdočné ťažkosti, bolesť v </w:t>
      </w:r>
      <w:proofErr w:type="spellStart"/>
      <w:r w:rsidR="00240E65" w:rsidRPr="00C27E75">
        <w:rPr>
          <w:sz w:val="22"/>
          <w:szCs w:val="22"/>
        </w:rPr>
        <w:t>epigastriu</w:t>
      </w:r>
      <w:proofErr w:type="spellEnd"/>
      <w:r w:rsidR="00240E65" w:rsidRPr="00C27E75">
        <w:rPr>
          <w:sz w:val="22"/>
          <w:szCs w:val="22"/>
        </w:rPr>
        <w:t xml:space="preserve">, ďalej nespavosť, výnimočne kožná vyrážka. Veľmi zriedkavo sa môže vyskytnúť nepokoj, závraty, únava, bolesť hlavy, pokles TK, </w:t>
      </w:r>
      <w:proofErr w:type="spellStart"/>
      <w:r w:rsidR="00240E65" w:rsidRPr="00C27E75">
        <w:rPr>
          <w:sz w:val="22"/>
          <w:szCs w:val="22"/>
        </w:rPr>
        <w:t>ortostatická</w:t>
      </w:r>
      <w:proofErr w:type="spellEnd"/>
      <w:r w:rsidR="00240E65" w:rsidRPr="00C27E75">
        <w:rPr>
          <w:sz w:val="22"/>
          <w:szCs w:val="22"/>
        </w:rPr>
        <w:t xml:space="preserve"> hypotenzia, zriedkavo poruchy rytmu, </w:t>
      </w:r>
      <w:proofErr w:type="spellStart"/>
      <w:r w:rsidR="00240E65" w:rsidRPr="00C27E75">
        <w:rPr>
          <w:sz w:val="22"/>
          <w:szCs w:val="22"/>
        </w:rPr>
        <w:t>hepatopatia</w:t>
      </w:r>
      <w:proofErr w:type="spellEnd"/>
      <w:r w:rsidR="00240E65" w:rsidRPr="00C27E75">
        <w:rPr>
          <w:sz w:val="22"/>
          <w:szCs w:val="22"/>
        </w:rPr>
        <w:t>.</w:t>
      </w:r>
    </w:p>
    <w:p w:rsidR="004236FA" w:rsidRDefault="004236FA" w:rsidP="00E908B5">
      <w:pPr>
        <w:tabs>
          <w:tab w:val="left" w:pos="8505"/>
        </w:tabs>
        <w:ind w:right="566"/>
        <w:rPr>
          <w:sz w:val="22"/>
          <w:szCs w:val="22"/>
        </w:rPr>
      </w:pPr>
    </w:p>
    <w:p w:rsidR="002028B0" w:rsidRDefault="002028B0" w:rsidP="002028B0">
      <w:pPr>
        <w:keepNext/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sz w:val="22"/>
          <w:u w:val="single"/>
        </w:rPr>
      </w:pPr>
      <w:r>
        <w:rPr>
          <w:sz w:val="22"/>
          <w:u w:val="single"/>
        </w:rPr>
        <w:t>Hlásenie podozrení na nežiaduce reakcie</w:t>
      </w:r>
    </w:p>
    <w:p w:rsidR="002028B0" w:rsidRDefault="002028B0" w:rsidP="002028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Style w:val="Hypertextovprepojenie"/>
          <w:sz w:val="22"/>
        </w:rPr>
      </w:pPr>
      <w:r>
        <w:rPr>
          <w:sz w:val="22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 nežiaduce reakcie na </w:t>
      </w:r>
      <w:r>
        <w:rPr>
          <w:sz w:val="22"/>
          <w:shd w:val="clear" w:color="auto" w:fill="C0C0C0"/>
        </w:rPr>
        <w:t>národné centrum hlásenia uvedené v </w:t>
      </w:r>
      <w:hyperlink r:id="rId9" w:history="1">
        <w:r>
          <w:rPr>
            <w:rStyle w:val="Hypertextovprepojenie"/>
            <w:sz w:val="22"/>
            <w:shd w:val="clear" w:color="auto" w:fill="C0C0C0"/>
          </w:rPr>
          <w:t>Prílohe V</w:t>
        </w:r>
      </w:hyperlink>
      <w:r>
        <w:rPr>
          <w:rStyle w:val="Hypertextovprepojenie"/>
          <w:sz w:val="22"/>
        </w:rPr>
        <w:t>.</w:t>
      </w:r>
    </w:p>
    <w:p w:rsidR="00CF7C4D" w:rsidRDefault="00CF7C4D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4.9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Predávkovanie</w:t>
      </w:r>
    </w:p>
    <w:p w:rsidR="00C27E75" w:rsidRDefault="00C27E75" w:rsidP="00E908B5">
      <w:pPr>
        <w:tabs>
          <w:tab w:val="left" w:pos="8505"/>
        </w:tabs>
        <w:ind w:right="566"/>
        <w:rPr>
          <w:sz w:val="22"/>
          <w:szCs w:val="22"/>
        </w:rPr>
      </w:pPr>
    </w:p>
    <w:p w:rsidR="00240E65" w:rsidRPr="00C27E75" w:rsidRDefault="00240E65" w:rsidP="00CF7C4D">
      <w:pPr>
        <w:tabs>
          <w:tab w:val="left" w:pos="9072"/>
        </w:tabs>
        <w:ind w:right="1"/>
        <w:rPr>
          <w:sz w:val="22"/>
          <w:szCs w:val="22"/>
        </w:rPr>
      </w:pPr>
      <w:r w:rsidRPr="00C27E75">
        <w:rPr>
          <w:sz w:val="22"/>
          <w:szCs w:val="22"/>
        </w:rPr>
        <w:t xml:space="preserve">Pri intoxikácii </w:t>
      </w:r>
      <w:proofErr w:type="spellStart"/>
      <w:r w:rsidRPr="00C27E75">
        <w:rPr>
          <w:sz w:val="22"/>
          <w:szCs w:val="22"/>
        </w:rPr>
        <w:t>naftidrofurylom</w:t>
      </w:r>
      <w:proofErr w:type="spellEnd"/>
      <w:r w:rsidRPr="00C27E75">
        <w:rPr>
          <w:sz w:val="22"/>
          <w:szCs w:val="22"/>
        </w:rPr>
        <w:t xml:space="preserve"> sa najčastejšie objavujú stavy zmätenosti, kŕče centrálneho pôvodu, predĺženie kardiálneho prevodu vzruchov, pokles TK. Liečba je iba symptomatická a podporná so zabezpečením a monitorovaním vitálnych funkcií pacienta.</w:t>
      </w:r>
    </w:p>
    <w:p w:rsidR="00240E65" w:rsidRDefault="00240E65" w:rsidP="00E908B5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C27E75" w:rsidRPr="00C27E75" w:rsidRDefault="00C27E75" w:rsidP="00E908B5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5</w:t>
      </w:r>
      <w:r w:rsidR="009019BD" w:rsidRPr="00C27E75">
        <w:rPr>
          <w:b/>
          <w:sz w:val="22"/>
          <w:szCs w:val="22"/>
        </w:rPr>
        <w:t>.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FARMAKOLOGICKÉ VLASTNOSTI</w:t>
      </w:r>
    </w:p>
    <w:p w:rsidR="00C27E75" w:rsidRDefault="00C27E7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5.1</w:t>
      </w:r>
      <w:r w:rsidR="009019BD">
        <w:rPr>
          <w:b/>
          <w:sz w:val="22"/>
          <w:szCs w:val="22"/>
        </w:rPr>
        <w:tab/>
      </w:r>
      <w:proofErr w:type="spellStart"/>
      <w:r w:rsidRPr="00C27E75">
        <w:rPr>
          <w:b/>
          <w:sz w:val="22"/>
          <w:szCs w:val="22"/>
        </w:rPr>
        <w:t>Farmakodynamické</w:t>
      </w:r>
      <w:proofErr w:type="spellEnd"/>
      <w:r w:rsidRPr="00C27E75">
        <w:rPr>
          <w:b/>
          <w:sz w:val="22"/>
          <w:szCs w:val="22"/>
        </w:rPr>
        <w:t xml:space="preserve"> vlastnosti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i/>
          <w:sz w:val="22"/>
          <w:szCs w:val="22"/>
        </w:rPr>
      </w:pPr>
    </w:p>
    <w:p w:rsidR="00240E65" w:rsidRPr="00C27E75" w:rsidRDefault="00240E65" w:rsidP="009827B5">
      <w:pPr>
        <w:tabs>
          <w:tab w:val="left" w:pos="0"/>
        </w:tabs>
        <w:ind w:right="566"/>
        <w:rPr>
          <w:sz w:val="22"/>
          <w:szCs w:val="22"/>
        </w:rPr>
      </w:pPr>
      <w:proofErr w:type="spellStart"/>
      <w:r w:rsidRPr="00E908B5">
        <w:rPr>
          <w:sz w:val="22"/>
          <w:szCs w:val="22"/>
        </w:rPr>
        <w:t>Farmakoterapeutická</w:t>
      </w:r>
      <w:proofErr w:type="spellEnd"/>
      <w:r w:rsidRPr="00E908B5">
        <w:rPr>
          <w:sz w:val="22"/>
          <w:szCs w:val="22"/>
        </w:rPr>
        <w:t xml:space="preserve"> skupina:</w:t>
      </w:r>
      <w:r w:rsidRPr="00C27E75">
        <w:rPr>
          <w:i/>
          <w:sz w:val="22"/>
          <w:szCs w:val="22"/>
        </w:rPr>
        <w:t xml:space="preserve"> </w:t>
      </w:r>
      <w:proofErr w:type="spellStart"/>
      <w:r w:rsidRPr="00C27E75">
        <w:rPr>
          <w:sz w:val="22"/>
          <w:szCs w:val="22"/>
        </w:rPr>
        <w:t>Vazodilatans</w:t>
      </w:r>
      <w:proofErr w:type="spellEnd"/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E908B5">
        <w:rPr>
          <w:sz w:val="22"/>
          <w:szCs w:val="22"/>
        </w:rPr>
        <w:lastRenderedPageBreak/>
        <w:t>ATC</w:t>
      </w:r>
      <w:r w:rsidR="00411EFE">
        <w:rPr>
          <w:sz w:val="22"/>
          <w:szCs w:val="22"/>
        </w:rPr>
        <w:t xml:space="preserve"> </w:t>
      </w:r>
      <w:r w:rsidR="004236FA">
        <w:rPr>
          <w:sz w:val="22"/>
          <w:szCs w:val="22"/>
        </w:rPr>
        <w:t>kód</w:t>
      </w:r>
      <w:r w:rsidRPr="00E908B5">
        <w:rPr>
          <w:sz w:val="22"/>
          <w:szCs w:val="22"/>
        </w:rPr>
        <w:t>:</w:t>
      </w:r>
      <w:r w:rsidRPr="00C27E75">
        <w:rPr>
          <w:i/>
          <w:sz w:val="22"/>
          <w:szCs w:val="22"/>
        </w:rPr>
        <w:t xml:space="preserve"> </w:t>
      </w:r>
      <w:r w:rsidRPr="00C27E75">
        <w:rPr>
          <w:sz w:val="22"/>
          <w:szCs w:val="22"/>
        </w:rPr>
        <w:t xml:space="preserve"> C04AX21 - iné periférne </w:t>
      </w:r>
      <w:proofErr w:type="spellStart"/>
      <w:r w:rsidRPr="00C27E75">
        <w:rPr>
          <w:sz w:val="22"/>
          <w:szCs w:val="22"/>
        </w:rPr>
        <w:t>vazodilatanciá</w:t>
      </w:r>
      <w:proofErr w:type="spellEnd"/>
      <w:r w:rsidRPr="00C27E75">
        <w:rPr>
          <w:sz w:val="22"/>
          <w:szCs w:val="22"/>
        </w:rPr>
        <w:t xml:space="preserve"> - </w:t>
      </w:r>
      <w:proofErr w:type="spellStart"/>
      <w:r w:rsidRPr="00C27E75">
        <w:rPr>
          <w:sz w:val="22"/>
          <w:szCs w:val="22"/>
        </w:rPr>
        <w:t>naftidrofuryl</w:t>
      </w:r>
      <w:proofErr w:type="spellEnd"/>
      <w:r w:rsidRPr="00C27E75">
        <w:rPr>
          <w:sz w:val="22"/>
          <w:szCs w:val="22"/>
        </w:rPr>
        <w:t>.</w:t>
      </w: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proofErr w:type="spellStart"/>
      <w:r w:rsidRPr="00C27E75">
        <w:rPr>
          <w:sz w:val="22"/>
          <w:szCs w:val="22"/>
        </w:rPr>
        <w:t>Naftidrofuryl</w:t>
      </w:r>
      <w:proofErr w:type="spellEnd"/>
      <w:r w:rsidRPr="00C27E75">
        <w:rPr>
          <w:sz w:val="22"/>
          <w:szCs w:val="22"/>
        </w:rPr>
        <w:t xml:space="preserve"> pôsobí </w:t>
      </w:r>
      <w:proofErr w:type="spellStart"/>
      <w:r w:rsidRPr="00C27E75">
        <w:rPr>
          <w:sz w:val="22"/>
          <w:szCs w:val="22"/>
        </w:rPr>
        <w:t>muskulotropne</w:t>
      </w:r>
      <w:proofErr w:type="spellEnd"/>
      <w:r w:rsidRPr="00C27E75">
        <w:rPr>
          <w:sz w:val="22"/>
          <w:szCs w:val="22"/>
        </w:rPr>
        <w:t xml:space="preserve"> </w:t>
      </w:r>
      <w:proofErr w:type="spellStart"/>
      <w:r w:rsidRPr="00C27E75">
        <w:rPr>
          <w:sz w:val="22"/>
          <w:szCs w:val="22"/>
        </w:rPr>
        <w:t>spazmolyticky</w:t>
      </w:r>
      <w:proofErr w:type="spellEnd"/>
      <w:r w:rsidRPr="00C27E75">
        <w:rPr>
          <w:sz w:val="22"/>
          <w:szCs w:val="22"/>
        </w:rPr>
        <w:t xml:space="preserve"> na hladkú svalovinu artérií, znižuje tonus </w:t>
      </w:r>
      <w:proofErr w:type="spellStart"/>
      <w:r w:rsidRPr="00C27E75">
        <w:rPr>
          <w:sz w:val="22"/>
          <w:szCs w:val="22"/>
        </w:rPr>
        <w:t>arteriol</w:t>
      </w:r>
      <w:proofErr w:type="spellEnd"/>
      <w:r w:rsidRPr="00C27E75">
        <w:rPr>
          <w:sz w:val="22"/>
          <w:szCs w:val="22"/>
        </w:rPr>
        <w:t xml:space="preserve"> a periférny cievny odpor. Zlepšuje prekrvenie periférnych tkanív a najmä CNS, zmierňuje ischemické bolesti. </w:t>
      </w:r>
      <w:proofErr w:type="spellStart"/>
      <w:r w:rsidRPr="00C27E75">
        <w:rPr>
          <w:sz w:val="22"/>
          <w:szCs w:val="22"/>
        </w:rPr>
        <w:t>Naftidrofuryl</w:t>
      </w:r>
      <w:proofErr w:type="spellEnd"/>
      <w:r w:rsidRPr="00C27E75">
        <w:rPr>
          <w:sz w:val="22"/>
          <w:szCs w:val="22"/>
        </w:rPr>
        <w:t xml:space="preserve"> špecificky blokuje S</w:t>
      </w:r>
      <w:r w:rsidRPr="00C27E75">
        <w:rPr>
          <w:sz w:val="22"/>
          <w:szCs w:val="22"/>
          <w:vertAlign w:val="subscript"/>
        </w:rPr>
        <w:t xml:space="preserve">2 </w:t>
      </w:r>
      <w:r w:rsidRPr="00C27E75">
        <w:rPr>
          <w:sz w:val="22"/>
          <w:szCs w:val="22"/>
        </w:rPr>
        <w:t>receptory prítomné v</w:t>
      </w:r>
      <w:r w:rsidR="009019BD">
        <w:rPr>
          <w:sz w:val="22"/>
          <w:szCs w:val="22"/>
        </w:rPr>
        <w:t> </w:t>
      </w:r>
      <w:proofErr w:type="spellStart"/>
      <w:r w:rsidRPr="00C27E75">
        <w:rPr>
          <w:sz w:val="22"/>
          <w:szCs w:val="22"/>
        </w:rPr>
        <w:t>trombocytoch</w:t>
      </w:r>
      <w:proofErr w:type="spellEnd"/>
      <w:r w:rsidRPr="00C27E75">
        <w:rPr>
          <w:sz w:val="22"/>
          <w:szCs w:val="22"/>
        </w:rPr>
        <w:t xml:space="preserve"> a hladkej svalovine ciev (</w:t>
      </w:r>
      <w:proofErr w:type="spellStart"/>
      <w:r w:rsidRPr="00C27E75">
        <w:rPr>
          <w:sz w:val="22"/>
          <w:szCs w:val="22"/>
        </w:rPr>
        <w:t>antiserotonínové</w:t>
      </w:r>
      <w:proofErr w:type="spellEnd"/>
      <w:r w:rsidRPr="00C27E75">
        <w:rPr>
          <w:sz w:val="22"/>
          <w:szCs w:val="22"/>
        </w:rPr>
        <w:t xml:space="preserve"> účinky </w:t>
      </w:r>
      <w:proofErr w:type="spellStart"/>
      <w:r w:rsidRPr="00C27E75">
        <w:rPr>
          <w:sz w:val="22"/>
          <w:szCs w:val="22"/>
        </w:rPr>
        <w:t>vazodilatačné</w:t>
      </w:r>
      <w:proofErr w:type="spellEnd"/>
      <w:r w:rsidRPr="00C27E75">
        <w:rPr>
          <w:sz w:val="22"/>
          <w:szCs w:val="22"/>
        </w:rPr>
        <w:t xml:space="preserve"> a </w:t>
      </w:r>
      <w:proofErr w:type="spellStart"/>
      <w:r w:rsidRPr="00C27E75">
        <w:rPr>
          <w:sz w:val="22"/>
          <w:szCs w:val="22"/>
        </w:rPr>
        <w:t>antiagregačné</w:t>
      </w:r>
      <w:proofErr w:type="spellEnd"/>
      <w:r w:rsidRPr="00C27E75">
        <w:rPr>
          <w:sz w:val="22"/>
          <w:szCs w:val="22"/>
        </w:rPr>
        <w:t xml:space="preserve">). Takisto je antagonistom nikotínu a </w:t>
      </w:r>
      <w:proofErr w:type="spellStart"/>
      <w:r w:rsidRPr="00C27E75">
        <w:rPr>
          <w:sz w:val="22"/>
          <w:szCs w:val="22"/>
        </w:rPr>
        <w:t>bradykinínu</w:t>
      </w:r>
      <w:proofErr w:type="spellEnd"/>
      <w:r w:rsidRPr="00C27E75">
        <w:rPr>
          <w:sz w:val="22"/>
          <w:szCs w:val="22"/>
        </w:rPr>
        <w:t xml:space="preserve">. </w:t>
      </w:r>
      <w:proofErr w:type="spellStart"/>
      <w:r w:rsidRPr="00C27E75">
        <w:rPr>
          <w:sz w:val="22"/>
          <w:szCs w:val="22"/>
        </w:rPr>
        <w:t>Naftidrofuryl</w:t>
      </w:r>
      <w:proofErr w:type="spellEnd"/>
      <w:r w:rsidRPr="00C27E75">
        <w:rPr>
          <w:sz w:val="22"/>
          <w:szCs w:val="22"/>
        </w:rPr>
        <w:t xml:space="preserve"> stimuluje energetický metabolizmus neurónu  a znižuje produkciu </w:t>
      </w:r>
      <w:proofErr w:type="spellStart"/>
      <w:r w:rsidRPr="00C27E75">
        <w:rPr>
          <w:sz w:val="22"/>
          <w:szCs w:val="22"/>
        </w:rPr>
        <w:t>algogénnych</w:t>
      </w:r>
      <w:proofErr w:type="spellEnd"/>
      <w:r w:rsidRPr="00C27E75">
        <w:rPr>
          <w:sz w:val="22"/>
          <w:szCs w:val="22"/>
        </w:rPr>
        <w:t xml:space="preserve"> látok (kyseliny mliečnej). Aktivuje tkanivovú </w:t>
      </w:r>
      <w:proofErr w:type="spellStart"/>
      <w:r w:rsidRPr="00C27E75">
        <w:rPr>
          <w:sz w:val="22"/>
          <w:szCs w:val="22"/>
        </w:rPr>
        <w:t>sukcinyldehydrogenázu</w:t>
      </w:r>
      <w:proofErr w:type="spellEnd"/>
      <w:r w:rsidRPr="00C27E75">
        <w:rPr>
          <w:sz w:val="22"/>
          <w:szCs w:val="22"/>
        </w:rPr>
        <w:t xml:space="preserve">, zvyšuje ponuku kyslíka tkanivám, zlepšuje </w:t>
      </w:r>
      <w:proofErr w:type="spellStart"/>
      <w:r w:rsidRPr="00C27E75">
        <w:rPr>
          <w:sz w:val="22"/>
          <w:szCs w:val="22"/>
        </w:rPr>
        <w:t>utilizáciu</w:t>
      </w:r>
      <w:proofErr w:type="spellEnd"/>
      <w:r w:rsidRPr="00C27E75">
        <w:rPr>
          <w:sz w:val="22"/>
          <w:szCs w:val="22"/>
        </w:rPr>
        <w:t xml:space="preserve"> glukózy, zvyšuje tvorbu ATP.</w:t>
      </w:r>
    </w:p>
    <w:p w:rsidR="00240E65" w:rsidRPr="00C27E75" w:rsidRDefault="00240E65" w:rsidP="00E908B5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5.2</w:t>
      </w:r>
      <w:r w:rsidR="009019BD">
        <w:rPr>
          <w:b/>
          <w:sz w:val="22"/>
          <w:szCs w:val="22"/>
        </w:rPr>
        <w:tab/>
      </w:r>
      <w:proofErr w:type="spellStart"/>
      <w:r w:rsidRPr="00C27E75">
        <w:rPr>
          <w:b/>
          <w:sz w:val="22"/>
          <w:szCs w:val="22"/>
        </w:rPr>
        <w:t>Farmakokinetické</w:t>
      </w:r>
      <w:proofErr w:type="spellEnd"/>
      <w:r w:rsidRPr="00C27E75">
        <w:rPr>
          <w:b/>
          <w:sz w:val="22"/>
          <w:szCs w:val="22"/>
        </w:rPr>
        <w:t xml:space="preserve"> vlastnosti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proofErr w:type="spellStart"/>
      <w:r w:rsidRPr="00C27E75">
        <w:rPr>
          <w:sz w:val="22"/>
          <w:szCs w:val="22"/>
        </w:rPr>
        <w:t>Naftidrofuryl</w:t>
      </w:r>
      <w:proofErr w:type="spellEnd"/>
      <w:r w:rsidRPr="00C27E75">
        <w:rPr>
          <w:sz w:val="22"/>
          <w:szCs w:val="22"/>
        </w:rPr>
        <w:t xml:space="preserve">  sa dobre vstrebáva z tráviaceho traktu. Vzhľadom na predĺžené uvoľňovanie účinnej látky z filmom obalenej tablety pretrvávajú účinné plazmatické koncentrácie najmenej 3 - 5 hodín po podaní. </w:t>
      </w:r>
      <w:proofErr w:type="spellStart"/>
      <w:r w:rsidRPr="00C27E75">
        <w:rPr>
          <w:sz w:val="22"/>
          <w:szCs w:val="22"/>
        </w:rPr>
        <w:t>Naftidrofuryl</w:t>
      </w:r>
      <w:proofErr w:type="spellEnd"/>
      <w:r w:rsidRPr="00C27E75">
        <w:rPr>
          <w:sz w:val="22"/>
          <w:szCs w:val="22"/>
        </w:rPr>
        <w:t xml:space="preserve"> sa viaže na plazmatické bielkoviny asi v 80%, vylučuje sa predovšetkým žlčou prevažne vo forme </w:t>
      </w:r>
      <w:proofErr w:type="spellStart"/>
      <w:r w:rsidRPr="00C27E75">
        <w:rPr>
          <w:sz w:val="22"/>
          <w:szCs w:val="22"/>
        </w:rPr>
        <w:t>metabolitov</w:t>
      </w:r>
      <w:proofErr w:type="spellEnd"/>
      <w:r w:rsidRPr="00C27E75">
        <w:rPr>
          <w:sz w:val="22"/>
          <w:szCs w:val="22"/>
        </w:rPr>
        <w:t xml:space="preserve">, iba z malej časti močom. Plazmatický polčas je asi 40 - 60 minút. </w:t>
      </w:r>
      <w:proofErr w:type="spellStart"/>
      <w:r w:rsidRPr="00C27E75">
        <w:rPr>
          <w:sz w:val="22"/>
          <w:szCs w:val="22"/>
        </w:rPr>
        <w:t>Naftidrofuryl</w:t>
      </w:r>
      <w:proofErr w:type="spellEnd"/>
      <w:r w:rsidRPr="00C27E75">
        <w:rPr>
          <w:sz w:val="22"/>
          <w:szCs w:val="22"/>
        </w:rPr>
        <w:t xml:space="preserve"> dobre preniká cez </w:t>
      </w:r>
      <w:proofErr w:type="spellStart"/>
      <w:r w:rsidRPr="00C27E75">
        <w:rPr>
          <w:sz w:val="22"/>
          <w:szCs w:val="22"/>
        </w:rPr>
        <w:t>hematoencefalickú</w:t>
      </w:r>
      <w:proofErr w:type="spellEnd"/>
      <w:r w:rsidRPr="00C27E75">
        <w:rPr>
          <w:sz w:val="22"/>
          <w:szCs w:val="22"/>
        </w:rPr>
        <w:t xml:space="preserve"> bariéru a vylučuje sa do materského mlieka. </w:t>
      </w: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5.3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Predklinické údaje o bezpečnosti</w:t>
      </w:r>
    </w:p>
    <w:p w:rsidR="00C27E75" w:rsidRDefault="00C27E75" w:rsidP="00E908B5">
      <w:pPr>
        <w:tabs>
          <w:tab w:val="left" w:pos="0"/>
        </w:tabs>
        <w:ind w:right="566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r w:rsidRPr="00C27E75">
        <w:rPr>
          <w:sz w:val="22"/>
          <w:szCs w:val="22"/>
        </w:rPr>
        <w:t>Pri teste akútnej toxicity na myšiach sa zistila LD</w:t>
      </w:r>
      <w:r w:rsidRPr="00C27E75">
        <w:rPr>
          <w:sz w:val="22"/>
          <w:szCs w:val="22"/>
          <w:vertAlign w:val="subscript"/>
        </w:rPr>
        <w:t xml:space="preserve">50 </w:t>
      </w:r>
      <w:r w:rsidRPr="00C27E75">
        <w:rPr>
          <w:sz w:val="22"/>
          <w:szCs w:val="22"/>
        </w:rPr>
        <w:t>pre perorálne podanie približne 550 -600 mg/kg.</w:t>
      </w:r>
    </w:p>
    <w:p w:rsidR="00240E65" w:rsidRPr="00C27E75" w:rsidRDefault="00240E65" w:rsidP="00E908B5">
      <w:pPr>
        <w:tabs>
          <w:tab w:val="left" w:pos="0"/>
        </w:tabs>
        <w:ind w:right="566"/>
        <w:rPr>
          <w:sz w:val="22"/>
          <w:szCs w:val="22"/>
        </w:rPr>
      </w:pPr>
      <w:proofErr w:type="spellStart"/>
      <w:r w:rsidRPr="00C27E75">
        <w:rPr>
          <w:sz w:val="22"/>
          <w:szCs w:val="22"/>
        </w:rPr>
        <w:t>Teratogenita</w:t>
      </w:r>
      <w:proofErr w:type="spellEnd"/>
      <w:r w:rsidRPr="00C27E75">
        <w:rPr>
          <w:sz w:val="22"/>
          <w:szCs w:val="22"/>
        </w:rPr>
        <w:t xml:space="preserve"> sa testovala na myšiach, potkanoch a králikoch pri dávke 30 - 480 mg/kg </w:t>
      </w:r>
      <w:proofErr w:type="spellStart"/>
      <w:r w:rsidRPr="00C27E75">
        <w:rPr>
          <w:sz w:val="22"/>
          <w:szCs w:val="22"/>
        </w:rPr>
        <w:t>p.o</w:t>
      </w:r>
      <w:proofErr w:type="spellEnd"/>
      <w:r w:rsidRPr="00C27E75">
        <w:rPr>
          <w:sz w:val="22"/>
          <w:szCs w:val="22"/>
        </w:rPr>
        <w:t xml:space="preserve">., prípadne 2,5 - 5 mg/kg </w:t>
      </w:r>
      <w:proofErr w:type="spellStart"/>
      <w:r w:rsidRPr="00C27E75">
        <w:rPr>
          <w:sz w:val="22"/>
          <w:szCs w:val="22"/>
        </w:rPr>
        <w:t>i.v</w:t>
      </w:r>
      <w:proofErr w:type="spellEnd"/>
      <w:r w:rsidRPr="00C27E75">
        <w:rPr>
          <w:sz w:val="22"/>
          <w:szCs w:val="22"/>
        </w:rPr>
        <w:t xml:space="preserve">., podávané od 6. do 15. - 19. dňa gravidity. </w:t>
      </w:r>
      <w:proofErr w:type="spellStart"/>
      <w:r w:rsidRPr="00C27E75">
        <w:rPr>
          <w:sz w:val="22"/>
          <w:szCs w:val="22"/>
        </w:rPr>
        <w:t>Teratogénne</w:t>
      </w:r>
      <w:proofErr w:type="spellEnd"/>
      <w:r w:rsidRPr="00C27E75">
        <w:rPr>
          <w:sz w:val="22"/>
          <w:szCs w:val="22"/>
        </w:rPr>
        <w:t xml:space="preserve"> účinky sa  nezistili.</w:t>
      </w:r>
    </w:p>
    <w:p w:rsidR="00240E65" w:rsidRDefault="00240E65" w:rsidP="00E908B5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C27E75" w:rsidRPr="00C27E75" w:rsidRDefault="00C27E7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6</w:t>
      </w:r>
      <w:r w:rsidR="009019BD" w:rsidRPr="00C27E75">
        <w:rPr>
          <w:b/>
          <w:sz w:val="22"/>
          <w:szCs w:val="22"/>
        </w:rPr>
        <w:t>.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FARMACEUTICKÉ INFORMÁCIE</w:t>
      </w:r>
    </w:p>
    <w:p w:rsidR="00C27E75" w:rsidRDefault="00C27E7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6.1</w:t>
      </w:r>
      <w:r w:rsidR="009019BD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 xml:space="preserve">Zoznam pomocných látok  </w:t>
      </w:r>
    </w:p>
    <w:p w:rsidR="00827898" w:rsidRDefault="00827898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Default="004236FA" w:rsidP="00827898">
      <w:pPr>
        <w:tabs>
          <w:tab w:val="left" w:pos="0"/>
        </w:tabs>
        <w:ind w:right="566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M</w:t>
      </w:r>
      <w:r w:rsidRPr="00335B90">
        <w:rPr>
          <w:sz w:val="22"/>
          <w:szCs w:val="22"/>
        </w:rPr>
        <w:t>onohydrát</w:t>
      </w:r>
      <w:proofErr w:type="spellEnd"/>
      <w:r w:rsidRPr="00335B90">
        <w:rPr>
          <w:sz w:val="22"/>
          <w:szCs w:val="22"/>
        </w:rPr>
        <w:t xml:space="preserve"> laktózy, mikrokryštalická celulóza, upravený montánny vosk, </w:t>
      </w:r>
      <w:proofErr w:type="spellStart"/>
      <w:r w:rsidRPr="00335B90">
        <w:rPr>
          <w:sz w:val="22"/>
          <w:szCs w:val="22"/>
        </w:rPr>
        <w:t>metylovaný</w:t>
      </w:r>
      <w:proofErr w:type="spellEnd"/>
      <w:r w:rsidRPr="00335B90">
        <w:rPr>
          <w:sz w:val="22"/>
          <w:szCs w:val="22"/>
        </w:rPr>
        <w:t xml:space="preserve"> oxid kremičitý, </w:t>
      </w:r>
      <w:proofErr w:type="spellStart"/>
      <w:r>
        <w:rPr>
          <w:sz w:val="22"/>
          <w:szCs w:val="22"/>
        </w:rPr>
        <w:t>magnéziumstearát</w:t>
      </w:r>
      <w:proofErr w:type="spellEnd"/>
      <w:r>
        <w:rPr>
          <w:sz w:val="22"/>
          <w:szCs w:val="22"/>
        </w:rPr>
        <w:t xml:space="preserve">, </w:t>
      </w:r>
      <w:r w:rsidRPr="00335B90">
        <w:rPr>
          <w:sz w:val="22"/>
          <w:szCs w:val="22"/>
        </w:rPr>
        <w:t xml:space="preserve">mastenec, </w:t>
      </w:r>
      <w:proofErr w:type="spellStart"/>
      <w:r w:rsidRPr="00335B90">
        <w:rPr>
          <w:sz w:val="22"/>
          <w:szCs w:val="22"/>
        </w:rPr>
        <w:t>hypromelóza</w:t>
      </w:r>
      <w:proofErr w:type="spellEnd"/>
      <w:r w:rsidRPr="00335B90">
        <w:rPr>
          <w:sz w:val="22"/>
          <w:szCs w:val="22"/>
        </w:rPr>
        <w:t xml:space="preserve">, </w:t>
      </w:r>
      <w:proofErr w:type="spellStart"/>
      <w:r w:rsidRPr="00335B90">
        <w:rPr>
          <w:sz w:val="22"/>
          <w:szCs w:val="22"/>
        </w:rPr>
        <w:t>makrogol</w:t>
      </w:r>
      <w:proofErr w:type="spellEnd"/>
      <w:r w:rsidRPr="00335B90">
        <w:rPr>
          <w:sz w:val="22"/>
          <w:szCs w:val="22"/>
        </w:rPr>
        <w:t xml:space="preserve">, </w:t>
      </w:r>
      <w:proofErr w:type="spellStart"/>
      <w:r w:rsidRPr="00335B90">
        <w:rPr>
          <w:sz w:val="22"/>
          <w:szCs w:val="22"/>
        </w:rPr>
        <w:t>polysorbát</w:t>
      </w:r>
      <w:proofErr w:type="spellEnd"/>
      <w:r w:rsidRPr="00335B90"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simetikónová</w:t>
      </w:r>
      <w:proofErr w:type="spellEnd"/>
      <w:r w:rsidRPr="00335B90">
        <w:rPr>
          <w:sz w:val="22"/>
          <w:szCs w:val="22"/>
        </w:rPr>
        <w:t xml:space="preserve"> </w:t>
      </w:r>
      <w:r w:rsidRPr="00E908B5">
        <w:rPr>
          <w:sz w:val="22"/>
          <w:szCs w:val="22"/>
        </w:rPr>
        <w:t xml:space="preserve">emulzia, </w:t>
      </w:r>
      <w:r w:rsidR="00251BC9" w:rsidRPr="00E908B5">
        <w:rPr>
          <w:sz w:val="22"/>
          <w:szCs w:val="22"/>
        </w:rPr>
        <w:t xml:space="preserve">oxid </w:t>
      </w:r>
      <w:proofErr w:type="spellStart"/>
      <w:r w:rsidR="00251BC9" w:rsidRPr="00E908B5">
        <w:rPr>
          <w:sz w:val="22"/>
          <w:szCs w:val="22"/>
        </w:rPr>
        <w:t>titaničitý</w:t>
      </w:r>
      <w:proofErr w:type="spellEnd"/>
      <w:r w:rsidR="00251BC9" w:rsidRPr="00E908B5">
        <w:rPr>
          <w:sz w:val="22"/>
          <w:szCs w:val="22"/>
        </w:rPr>
        <w:t xml:space="preserve">, hlinitý lak </w:t>
      </w:r>
      <w:proofErr w:type="spellStart"/>
      <w:r w:rsidR="00251BC9" w:rsidRPr="00E908B5">
        <w:rPr>
          <w:sz w:val="22"/>
          <w:szCs w:val="22"/>
        </w:rPr>
        <w:t>chinolínovej</w:t>
      </w:r>
      <w:proofErr w:type="spellEnd"/>
      <w:r w:rsidR="00251BC9" w:rsidRPr="00E908B5">
        <w:rPr>
          <w:sz w:val="22"/>
          <w:szCs w:val="22"/>
        </w:rPr>
        <w:t xml:space="preserve"> žlt</w:t>
      </w:r>
      <w:r w:rsidR="003B71B8">
        <w:rPr>
          <w:sz w:val="22"/>
          <w:szCs w:val="22"/>
        </w:rPr>
        <w:t>e (E104)</w:t>
      </w:r>
      <w:r w:rsidR="00251BC9" w:rsidRPr="00E908B5">
        <w:rPr>
          <w:sz w:val="22"/>
          <w:szCs w:val="22"/>
        </w:rPr>
        <w:t xml:space="preserve">, hlinitý lak červene </w:t>
      </w:r>
      <w:proofErr w:type="spellStart"/>
      <w:r w:rsidR="00251BC9" w:rsidRPr="00E908B5">
        <w:rPr>
          <w:sz w:val="22"/>
          <w:szCs w:val="22"/>
        </w:rPr>
        <w:t>košenilovej</w:t>
      </w:r>
      <w:proofErr w:type="spellEnd"/>
      <w:r w:rsidR="00251BC9" w:rsidRPr="00E908B5">
        <w:rPr>
          <w:sz w:val="22"/>
          <w:szCs w:val="22"/>
        </w:rPr>
        <w:t xml:space="preserve"> </w:t>
      </w:r>
      <w:r w:rsidR="000E1915" w:rsidRPr="00E908B5">
        <w:rPr>
          <w:sz w:val="22"/>
          <w:szCs w:val="22"/>
        </w:rPr>
        <w:t>A</w:t>
      </w:r>
      <w:r w:rsidR="000E1915" w:rsidRPr="00E908B5">
        <w:rPr>
          <w:szCs w:val="22"/>
        </w:rPr>
        <w:t xml:space="preserve"> </w:t>
      </w:r>
      <w:r w:rsidR="00251BC9" w:rsidRPr="00E908B5">
        <w:rPr>
          <w:szCs w:val="22"/>
        </w:rPr>
        <w:t>(</w:t>
      </w:r>
      <w:proofErr w:type="spellStart"/>
      <w:r w:rsidR="00251BC9" w:rsidRPr="00E908B5">
        <w:rPr>
          <w:sz w:val="22"/>
          <w:szCs w:val="22"/>
        </w:rPr>
        <w:t>Ponceau</w:t>
      </w:r>
      <w:proofErr w:type="spellEnd"/>
      <w:r w:rsidR="00251BC9" w:rsidRPr="00E908B5">
        <w:rPr>
          <w:sz w:val="22"/>
          <w:szCs w:val="22"/>
        </w:rPr>
        <w:t xml:space="preserve"> 4R</w:t>
      </w:r>
      <w:r w:rsidR="000E1915" w:rsidRPr="00E908B5">
        <w:rPr>
          <w:sz w:val="22"/>
          <w:szCs w:val="22"/>
        </w:rPr>
        <w:t>, E124</w:t>
      </w:r>
      <w:r w:rsidR="00251BC9" w:rsidRPr="00E908B5">
        <w:rPr>
          <w:sz w:val="22"/>
          <w:szCs w:val="22"/>
        </w:rPr>
        <w:t>).</w:t>
      </w:r>
    </w:p>
    <w:p w:rsidR="003B71B8" w:rsidRPr="00E908B5" w:rsidRDefault="003B71B8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E908B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E908B5">
        <w:rPr>
          <w:b/>
          <w:sz w:val="22"/>
          <w:szCs w:val="22"/>
        </w:rPr>
        <w:t>6.2</w:t>
      </w:r>
      <w:r w:rsidR="003B71B8">
        <w:rPr>
          <w:b/>
          <w:sz w:val="22"/>
          <w:szCs w:val="22"/>
        </w:rPr>
        <w:tab/>
      </w:r>
      <w:r w:rsidRPr="00E908B5">
        <w:rPr>
          <w:b/>
          <w:sz w:val="22"/>
          <w:szCs w:val="22"/>
        </w:rPr>
        <w:t>Inkompatibility</w:t>
      </w:r>
    </w:p>
    <w:p w:rsidR="00C27E75" w:rsidRPr="00E908B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E908B5" w:rsidRDefault="00240E6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E908B5">
        <w:rPr>
          <w:sz w:val="22"/>
          <w:szCs w:val="22"/>
        </w:rPr>
        <w:t>Nie sú známe.</w:t>
      </w: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CF7C4D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6.3</w:t>
      </w:r>
      <w:r w:rsidR="003B71B8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Čas použiteľnosti</w:t>
      </w:r>
    </w:p>
    <w:p w:rsidR="00C27E75" w:rsidRDefault="00C27E75" w:rsidP="00E908B5">
      <w:pPr>
        <w:tabs>
          <w:tab w:val="left" w:pos="8505"/>
        </w:tabs>
        <w:ind w:right="566"/>
        <w:jc w:val="both"/>
        <w:rPr>
          <w:sz w:val="22"/>
          <w:szCs w:val="22"/>
        </w:rPr>
      </w:pPr>
    </w:p>
    <w:p w:rsidR="00240E65" w:rsidRPr="00C27E75" w:rsidRDefault="002028B0" w:rsidP="00E908B5">
      <w:pPr>
        <w:tabs>
          <w:tab w:val="left" w:pos="8505"/>
        </w:tabs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240E65" w:rsidRPr="00C27E75">
        <w:rPr>
          <w:sz w:val="22"/>
          <w:szCs w:val="22"/>
        </w:rPr>
        <w:t xml:space="preserve"> roky</w:t>
      </w:r>
      <w:r w:rsidR="00827898" w:rsidRPr="00827898">
        <w:t xml:space="preserve"> </w:t>
      </w:r>
      <w:r w:rsidR="00827898" w:rsidRPr="00827898">
        <w:rPr>
          <w:sz w:val="22"/>
          <w:szCs w:val="22"/>
        </w:rPr>
        <w:t>pri teplote do 25 °C</w:t>
      </w:r>
      <w:r w:rsidR="00827898">
        <w:rPr>
          <w:sz w:val="22"/>
          <w:szCs w:val="22"/>
        </w:rPr>
        <w:t xml:space="preserve"> </w:t>
      </w:r>
    </w:p>
    <w:p w:rsidR="00240E65" w:rsidRPr="00C27E75" w:rsidRDefault="00240E65" w:rsidP="00E908B5">
      <w:pPr>
        <w:tabs>
          <w:tab w:val="left" w:pos="8505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CF7C4D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6.4</w:t>
      </w:r>
      <w:r w:rsidR="000F3A56">
        <w:rPr>
          <w:b/>
          <w:sz w:val="22"/>
          <w:szCs w:val="22"/>
        </w:rPr>
        <w:tab/>
      </w:r>
      <w:r w:rsidR="004236FA">
        <w:rPr>
          <w:b/>
          <w:sz w:val="22"/>
          <w:szCs w:val="22"/>
        </w:rPr>
        <w:t>Špeciálne upozornenia na uchovávanie</w:t>
      </w:r>
    </w:p>
    <w:p w:rsidR="00C27E75" w:rsidRDefault="00C27E75" w:rsidP="00E908B5">
      <w:pPr>
        <w:tabs>
          <w:tab w:val="left" w:pos="8505"/>
        </w:tabs>
        <w:ind w:right="566"/>
        <w:jc w:val="both"/>
        <w:rPr>
          <w:sz w:val="22"/>
          <w:szCs w:val="22"/>
        </w:rPr>
      </w:pPr>
    </w:p>
    <w:p w:rsidR="00240E65" w:rsidRPr="00C27E75" w:rsidRDefault="004236FA" w:rsidP="00E908B5">
      <w:pPr>
        <w:tabs>
          <w:tab w:val="left" w:pos="0"/>
        </w:tabs>
        <w:ind w:right="566"/>
        <w:rPr>
          <w:sz w:val="22"/>
          <w:szCs w:val="22"/>
        </w:rPr>
      </w:pPr>
      <w:r>
        <w:rPr>
          <w:sz w:val="22"/>
          <w:szCs w:val="22"/>
        </w:rPr>
        <w:t>Uchovávajte p</w:t>
      </w:r>
      <w:r w:rsidR="00240E65" w:rsidRPr="00C27E75">
        <w:rPr>
          <w:sz w:val="22"/>
          <w:szCs w:val="22"/>
        </w:rPr>
        <w:t>ri teplote do 25</w:t>
      </w:r>
      <w:r w:rsidR="000F3A56">
        <w:rPr>
          <w:sz w:val="22"/>
          <w:szCs w:val="22"/>
        </w:rPr>
        <w:t> </w:t>
      </w:r>
      <w:r w:rsidR="00240E65" w:rsidRPr="00C27E75">
        <w:rPr>
          <w:sz w:val="22"/>
          <w:szCs w:val="22"/>
        </w:rPr>
        <w:sym w:font="Times New Roman" w:char="00B0"/>
      </w:r>
      <w:r w:rsidR="00240E65" w:rsidRPr="00C27E75">
        <w:rPr>
          <w:sz w:val="22"/>
          <w:szCs w:val="22"/>
        </w:rPr>
        <w:t>C v pôvodnom vnútornom obale.</w:t>
      </w:r>
    </w:p>
    <w:p w:rsidR="00240E65" w:rsidRPr="00C27E75" w:rsidRDefault="00240E65" w:rsidP="00E908B5">
      <w:pPr>
        <w:tabs>
          <w:tab w:val="left" w:pos="0"/>
        </w:tabs>
        <w:ind w:right="566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6.5</w:t>
      </w:r>
      <w:r w:rsidR="000F3A56">
        <w:rPr>
          <w:b/>
          <w:sz w:val="22"/>
          <w:szCs w:val="22"/>
        </w:rPr>
        <w:tab/>
      </w:r>
      <w:r w:rsidR="004236FA">
        <w:rPr>
          <w:b/>
          <w:sz w:val="22"/>
          <w:szCs w:val="22"/>
        </w:rPr>
        <w:t xml:space="preserve">Druh </w:t>
      </w:r>
      <w:r w:rsidRPr="00C27E75">
        <w:rPr>
          <w:b/>
          <w:sz w:val="22"/>
          <w:szCs w:val="22"/>
        </w:rPr>
        <w:t>obalu</w:t>
      </w:r>
      <w:r w:rsidR="004236FA">
        <w:rPr>
          <w:b/>
          <w:sz w:val="22"/>
          <w:szCs w:val="22"/>
        </w:rPr>
        <w:t xml:space="preserve"> a obsah</w:t>
      </w:r>
      <w:r w:rsidRPr="00C27E75">
        <w:rPr>
          <w:b/>
          <w:sz w:val="22"/>
          <w:szCs w:val="22"/>
        </w:rPr>
        <w:t xml:space="preserve"> balenia</w:t>
      </w:r>
    </w:p>
    <w:p w:rsidR="00C27E75" w:rsidRDefault="00C27E75" w:rsidP="007D47DC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0F3A56" w:rsidRDefault="00240E65" w:rsidP="007D47DC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C27E75">
        <w:rPr>
          <w:sz w:val="22"/>
          <w:szCs w:val="22"/>
        </w:rPr>
        <w:t>Druh obalu:</w:t>
      </w:r>
      <w:r w:rsidR="007D47DC">
        <w:rPr>
          <w:sz w:val="22"/>
          <w:szCs w:val="22"/>
        </w:rPr>
        <w:t xml:space="preserve"> </w:t>
      </w:r>
      <w:r w:rsidRPr="00C27E75">
        <w:rPr>
          <w:sz w:val="22"/>
          <w:szCs w:val="22"/>
        </w:rPr>
        <w:t>PVC/A</w:t>
      </w:r>
      <w:r w:rsidR="004236FA">
        <w:rPr>
          <w:sz w:val="22"/>
          <w:szCs w:val="22"/>
        </w:rPr>
        <w:t>LU</w:t>
      </w:r>
      <w:r w:rsidRPr="00C27E75">
        <w:rPr>
          <w:sz w:val="22"/>
          <w:szCs w:val="22"/>
        </w:rPr>
        <w:t xml:space="preserve"> </w:t>
      </w:r>
      <w:proofErr w:type="spellStart"/>
      <w:r w:rsidRPr="00C27E75">
        <w:rPr>
          <w:sz w:val="22"/>
          <w:szCs w:val="22"/>
        </w:rPr>
        <w:t>blister</w:t>
      </w:r>
      <w:proofErr w:type="spellEnd"/>
      <w:r w:rsidRPr="00C27E75">
        <w:rPr>
          <w:sz w:val="22"/>
          <w:szCs w:val="22"/>
        </w:rPr>
        <w:t>,</w:t>
      </w:r>
      <w:r w:rsidR="000F3A56">
        <w:rPr>
          <w:sz w:val="22"/>
          <w:szCs w:val="22"/>
        </w:rPr>
        <w:t xml:space="preserve"> </w:t>
      </w:r>
      <w:r w:rsidR="000F3A56" w:rsidRPr="00C27E75">
        <w:rPr>
          <w:sz w:val="22"/>
          <w:szCs w:val="22"/>
        </w:rPr>
        <w:t>písomná informácia pre používateľ</w:t>
      </w:r>
      <w:r w:rsidR="00F071F1">
        <w:rPr>
          <w:sz w:val="22"/>
          <w:szCs w:val="22"/>
        </w:rPr>
        <w:t>a</w:t>
      </w:r>
      <w:r w:rsidR="000F3A56">
        <w:rPr>
          <w:sz w:val="22"/>
          <w:szCs w:val="22"/>
        </w:rPr>
        <w:t>,</w:t>
      </w:r>
      <w:r w:rsidRPr="00C27E75">
        <w:rPr>
          <w:sz w:val="22"/>
          <w:szCs w:val="22"/>
        </w:rPr>
        <w:t xml:space="preserve"> papierová </w:t>
      </w:r>
      <w:r w:rsidR="00FE3385" w:rsidRPr="00C27E75">
        <w:rPr>
          <w:sz w:val="22"/>
          <w:szCs w:val="22"/>
        </w:rPr>
        <w:t>škatuľka</w:t>
      </w:r>
      <w:r w:rsidR="00CC392C">
        <w:rPr>
          <w:sz w:val="22"/>
          <w:szCs w:val="22"/>
        </w:rPr>
        <w:t>.</w:t>
      </w:r>
      <w:r w:rsidRPr="00C27E75">
        <w:rPr>
          <w:sz w:val="22"/>
          <w:szCs w:val="22"/>
        </w:rPr>
        <w:t xml:space="preserve"> </w:t>
      </w:r>
    </w:p>
    <w:p w:rsidR="000F3A56" w:rsidRDefault="000F3A56" w:rsidP="007D47DC">
      <w:pPr>
        <w:tabs>
          <w:tab w:val="left" w:pos="0"/>
        </w:tabs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Veľkosť balenia: </w:t>
      </w:r>
      <w:r w:rsidR="00240E65" w:rsidRPr="00C27E75">
        <w:rPr>
          <w:sz w:val="22"/>
          <w:szCs w:val="22"/>
        </w:rPr>
        <w:t>20</w:t>
      </w:r>
      <w:r w:rsidR="000E1915">
        <w:rPr>
          <w:sz w:val="22"/>
          <w:szCs w:val="22"/>
        </w:rPr>
        <w:t>,</w:t>
      </w:r>
      <w:r w:rsidR="00240E65" w:rsidRPr="00C27E75">
        <w:rPr>
          <w:sz w:val="22"/>
          <w:szCs w:val="22"/>
        </w:rPr>
        <w:t xml:space="preserve"> 50</w:t>
      </w:r>
      <w:r w:rsidR="000E1915">
        <w:rPr>
          <w:sz w:val="22"/>
          <w:szCs w:val="22"/>
        </w:rPr>
        <w:t xml:space="preserve"> a</w:t>
      </w:r>
      <w:r>
        <w:rPr>
          <w:sz w:val="22"/>
          <w:szCs w:val="22"/>
        </w:rPr>
        <w:t>lebo</w:t>
      </w:r>
      <w:r w:rsidR="000E1915">
        <w:rPr>
          <w:sz w:val="22"/>
          <w:szCs w:val="22"/>
        </w:rPr>
        <w:t xml:space="preserve"> 100</w:t>
      </w:r>
      <w:r w:rsidR="00240E65" w:rsidRPr="00C27E75">
        <w:rPr>
          <w:sz w:val="22"/>
          <w:szCs w:val="22"/>
        </w:rPr>
        <w:t xml:space="preserve"> tabliet s predĺženým uvoľňovaním</w:t>
      </w:r>
      <w:r w:rsidR="00CC392C">
        <w:rPr>
          <w:sz w:val="22"/>
          <w:szCs w:val="22"/>
        </w:rPr>
        <w:t>.</w:t>
      </w:r>
      <w:r w:rsidR="000E1915">
        <w:rPr>
          <w:sz w:val="22"/>
          <w:szCs w:val="22"/>
        </w:rPr>
        <w:t xml:space="preserve"> </w:t>
      </w:r>
    </w:p>
    <w:p w:rsidR="002A10DC" w:rsidRDefault="002A10DC" w:rsidP="007D47DC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0F3A56" w:rsidP="007D47DC">
      <w:pPr>
        <w:tabs>
          <w:tab w:val="left" w:pos="0"/>
        </w:tabs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>Druh obalu:</w:t>
      </w:r>
      <w:r w:rsidR="007D47DC">
        <w:rPr>
          <w:sz w:val="22"/>
          <w:szCs w:val="22"/>
        </w:rPr>
        <w:t xml:space="preserve"> </w:t>
      </w:r>
      <w:r w:rsidR="00240E65" w:rsidRPr="00C27E75">
        <w:rPr>
          <w:sz w:val="22"/>
          <w:szCs w:val="22"/>
        </w:rPr>
        <w:t>PE fľaša so závitovým uzáverom, písomná informácia pre používateľ</w:t>
      </w:r>
      <w:r w:rsidR="004236FA">
        <w:rPr>
          <w:sz w:val="22"/>
          <w:szCs w:val="22"/>
        </w:rPr>
        <w:t>a</w:t>
      </w:r>
      <w:r w:rsidR="00240E65" w:rsidRPr="00C27E75">
        <w:rPr>
          <w:sz w:val="22"/>
          <w:szCs w:val="22"/>
        </w:rPr>
        <w:t xml:space="preserve">, papierová </w:t>
      </w:r>
      <w:r w:rsidR="00FE3385" w:rsidRPr="00C27E75">
        <w:rPr>
          <w:sz w:val="22"/>
          <w:szCs w:val="22"/>
        </w:rPr>
        <w:t>škatuľka</w:t>
      </w:r>
      <w:r w:rsidR="00F071F1">
        <w:rPr>
          <w:sz w:val="22"/>
          <w:szCs w:val="22"/>
        </w:rPr>
        <w:t>.</w:t>
      </w:r>
      <w:r w:rsidR="00240E65" w:rsidRPr="00C27E75">
        <w:rPr>
          <w:sz w:val="22"/>
          <w:szCs w:val="22"/>
        </w:rPr>
        <w:t xml:space="preserve"> </w:t>
      </w:r>
    </w:p>
    <w:p w:rsidR="00240E65" w:rsidRPr="00C27E75" w:rsidRDefault="00240E65" w:rsidP="007D47DC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C27E75">
        <w:rPr>
          <w:sz w:val="22"/>
          <w:szCs w:val="22"/>
        </w:rPr>
        <w:lastRenderedPageBreak/>
        <w:t>Veľkos</w:t>
      </w:r>
      <w:r w:rsidR="00CC392C">
        <w:rPr>
          <w:sz w:val="22"/>
          <w:szCs w:val="22"/>
        </w:rPr>
        <w:t xml:space="preserve">ť </w:t>
      </w:r>
      <w:r w:rsidRPr="00C27E75">
        <w:rPr>
          <w:sz w:val="22"/>
          <w:szCs w:val="22"/>
        </w:rPr>
        <w:t>bale</w:t>
      </w:r>
      <w:r w:rsidR="000F3A56">
        <w:rPr>
          <w:sz w:val="22"/>
          <w:szCs w:val="22"/>
        </w:rPr>
        <w:t>nia</w:t>
      </w:r>
      <w:r w:rsidRPr="00C27E75">
        <w:rPr>
          <w:sz w:val="22"/>
          <w:szCs w:val="22"/>
        </w:rPr>
        <w:t>: 100 tabliet s predĺženým uvoľňovaním</w:t>
      </w:r>
      <w:r w:rsidR="00F071F1">
        <w:rPr>
          <w:sz w:val="22"/>
          <w:szCs w:val="22"/>
        </w:rPr>
        <w:t>.</w:t>
      </w:r>
      <w:r w:rsidRPr="00C27E75">
        <w:rPr>
          <w:sz w:val="22"/>
          <w:szCs w:val="22"/>
        </w:rPr>
        <w:t xml:space="preserve"> </w:t>
      </w:r>
    </w:p>
    <w:p w:rsidR="00027731" w:rsidRPr="00C27E75" w:rsidRDefault="00027731" w:rsidP="007D47DC">
      <w:pPr>
        <w:tabs>
          <w:tab w:val="left" w:pos="8505"/>
        </w:tabs>
        <w:ind w:right="566"/>
        <w:jc w:val="both"/>
        <w:outlineLvl w:val="0"/>
        <w:rPr>
          <w:b/>
          <w:sz w:val="22"/>
          <w:szCs w:val="22"/>
        </w:rPr>
      </w:pPr>
    </w:p>
    <w:p w:rsidR="002A10DC" w:rsidRDefault="002A10DC" w:rsidP="007D47DC">
      <w:pPr>
        <w:tabs>
          <w:tab w:val="left" w:pos="0"/>
        </w:tabs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:rsidR="002A10DC" w:rsidRDefault="002A10DC" w:rsidP="002A10DC">
      <w:pPr>
        <w:tabs>
          <w:tab w:val="left" w:pos="0"/>
        </w:tabs>
        <w:ind w:right="566"/>
        <w:rPr>
          <w:sz w:val="22"/>
          <w:szCs w:val="22"/>
        </w:rPr>
      </w:pPr>
    </w:p>
    <w:p w:rsidR="00BF1A90" w:rsidRPr="00C27E75" w:rsidRDefault="00BF1A90" w:rsidP="00E908B5">
      <w:pPr>
        <w:tabs>
          <w:tab w:val="left" w:pos="8505"/>
        </w:tabs>
        <w:ind w:right="566"/>
        <w:jc w:val="both"/>
        <w:outlineLvl w:val="0"/>
        <w:rPr>
          <w:b/>
          <w:sz w:val="22"/>
          <w:szCs w:val="22"/>
        </w:rPr>
      </w:pPr>
    </w:p>
    <w:p w:rsidR="00BF1A90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7</w:t>
      </w:r>
      <w:r w:rsidR="000F3A56" w:rsidRPr="00C27E75">
        <w:rPr>
          <w:b/>
          <w:sz w:val="22"/>
          <w:szCs w:val="22"/>
        </w:rPr>
        <w:t>.</w:t>
      </w:r>
      <w:r w:rsidR="000F3A56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 xml:space="preserve">DRŽITEĽ </w:t>
      </w:r>
      <w:r w:rsidR="00BF1A90" w:rsidRPr="00C27E75">
        <w:rPr>
          <w:b/>
          <w:sz w:val="22"/>
          <w:szCs w:val="22"/>
        </w:rPr>
        <w:t>ROZHODNUTIA  REGISTRÁCII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C27E75" w:rsidRDefault="00240E6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C27E75">
        <w:rPr>
          <w:sz w:val="22"/>
          <w:szCs w:val="22"/>
        </w:rPr>
        <w:t xml:space="preserve">STADA </w:t>
      </w:r>
      <w:proofErr w:type="spellStart"/>
      <w:r w:rsidRPr="00C27E75">
        <w:rPr>
          <w:sz w:val="22"/>
          <w:szCs w:val="22"/>
        </w:rPr>
        <w:t>Arzneitmittel</w:t>
      </w:r>
      <w:proofErr w:type="spellEnd"/>
      <w:r w:rsidRPr="00C27E75">
        <w:rPr>
          <w:sz w:val="22"/>
          <w:szCs w:val="22"/>
        </w:rPr>
        <w:t xml:space="preserve"> AG</w:t>
      </w:r>
    </w:p>
    <w:p w:rsidR="00C27E75" w:rsidRDefault="00240E6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  <w:proofErr w:type="spellStart"/>
      <w:r w:rsidRPr="00C27E75">
        <w:rPr>
          <w:sz w:val="22"/>
          <w:szCs w:val="22"/>
        </w:rPr>
        <w:t>Stadastrasse</w:t>
      </w:r>
      <w:proofErr w:type="spellEnd"/>
      <w:r w:rsidRPr="00C27E75">
        <w:rPr>
          <w:sz w:val="22"/>
          <w:szCs w:val="22"/>
        </w:rPr>
        <w:t xml:space="preserve"> 2-18</w:t>
      </w:r>
    </w:p>
    <w:p w:rsidR="00C27E75" w:rsidRDefault="00240E6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C27E75">
        <w:rPr>
          <w:sz w:val="22"/>
          <w:szCs w:val="22"/>
        </w:rPr>
        <w:t xml:space="preserve">61118 </w:t>
      </w:r>
      <w:proofErr w:type="spellStart"/>
      <w:r w:rsidRPr="00C27E75">
        <w:rPr>
          <w:sz w:val="22"/>
          <w:szCs w:val="22"/>
        </w:rPr>
        <w:t>Bad</w:t>
      </w:r>
      <w:proofErr w:type="spellEnd"/>
      <w:r w:rsidRPr="00C27E75">
        <w:rPr>
          <w:sz w:val="22"/>
          <w:szCs w:val="22"/>
        </w:rPr>
        <w:t xml:space="preserve"> </w:t>
      </w:r>
      <w:proofErr w:type="spellStart"/>
      <w:r w:rsidRPr="00C27E75">
        <w:rPr>
          <w:sz w:val="22"/>
          <w:szCs w:val="22"/>
        </w:rPr>
        <w:t>Vilbel</w:t>
      </w:r>
      <w:proofErr w:type="spellEnd"/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C27E75">
        <w:rPr>
          <w:sz w:val="22"/>
          <w:szCs w:val="22"/>
        </w:rPr>
        <w:t>Nemecko</w:t>
      </w: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8</w:t>
      </w:r>
      <w:r w:rsidR="000F3A56" w:rsidRPr="00C27E75">
        <w:rPr>
          <w:b/>
          <w:sz w:val="22"/>
          <w:szCs w:val="22"/>
        </w:rPr>
        <w:t>.</w:t>
      </w:r>
      <w:r w:rsidR="000F3A56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REGISTRAČNÉ ČÍSLO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  <w:r w:rsidRPr="00C27E75">
        <w:rPr>
          <w:sz w:val="22"/>
          <w:szCs w:val="22"/>
        </w:rPr>
        <w:t>83/0329/91-CS</w:t>
      </w:r>
    </w:p>
    <w:p w:rsidR="00240E65" w:rsidRPr="00C27E75" w:rsidRDefault="00240E65" w:rsidP="00E908B5">
      <w:pPr>
        <w:tabs>
          <w:tab w:val="left" w:pos="0"/>
        </w:tabs>
        <w:ind w:right="566"/>
        <w:jc w:val="both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</w:p>
    <w:p w:rsidR="00240E65" w:rsidRPr="00C27E75" w:rsidRDefault="00240E65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9</w:t>
      </w:r>
      <w:r w:rsidR="000F3A56" w:rsidRPr="00C27E75">
        <w:rPr>
          <w:b/>
          <w:sz w:val="22"/>
          <w:szCs w:val="22"/>
        </w:rPr>
        <w:t>.</w:t>
      </w:r>
      <w:r w:rsidR="000F3A56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 xml:space="preserve">DÁTUM </w:t>
      </w:r>
      <w:r w:rsidR="004236FA">
        <w:rPr>
          <w:b/>
          <w:sz w:val="22"/>
          <w:szCs w:val="22"/>
        </w:rPr>
        <w:t xml:space="preserve">PRVEJ </w:t>
      </w:r>
      <w:r w:rsidRPr="00C27E75">
        <w:rPr>
          <w:b/>
          <w:sz w:val="22"/>
          <w:szCs w:val="22"/>
        </w:rPr>
        <w:t xml:space="preserve">REGISTRÁCIE/ PREDĹŽENIA REGISTRÁCIE </w:t>
      </w:r>
    </w:p>
    <w:p w:rsidR="00C27E75" w:rsidRDefault="00C27E75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</w:p>
    <w:p w:rsidR="00240E65" w:rsidRDefault="004236FA" w:rsidP="00E908B5">
      <w:pPr>
        <w:tabs>
          <w:tab w:val="left" w:pos="0"/>
        </w:tabs>
        <w:ind w:right="56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Dátum prvej registrácie: </w:t>
      </w:r>
      <w:r w:rsidR="00FE3385" w:rsidRPr="00C27E75">
        <w:rPr>
          <w:sz w:val="22"/>
          <w:szCs w:val="22"/>
        </w:rPr>
        <w:t>3.</w:t>
      </w:r>
      <w:r>
        <w:rPr>
          <w:sz w:val="22"/>
          <w:szCs w:val="22"/>
        </w:rPr>
        <w:t xml:space="preserve"> decembra </w:t>
      </w:r>
      <w:r w:rsidR="00FE3385" w:rsidRPr="00C27E75">
        <w:rPr>
          <w:sz w:val="22"/>
          <w:szCs w:val="22"/>
        </w:rPr>
        <w:t>1991</w:t>
      </w:r>
    </w:p>
    <w:p w:rsidR="00027731" w:rsidRPr="00C27E75" w:rsidRDefault="004236FA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Dátum posledného predĺženia registrácie: </w:t>
      </w:r>
      <w:r w:rsidR="00F071F1">
        <w:rPr>
          <w:sz w:val="22"/>
          <w:szCs w:val="22"/>
        </w:rPr>
        <w:t>13. marca 2003</w:t>
      </w:r>
    </w:p>
    <w:p w:rsidR="00027731" w:rsidRDefault="00027731" w:rsidP="00E908B5">
      <w:pPr>
        <w:tabs>
          <w:tab w:val="left" w:pos="8505"/>
        </w:tabs>
        <w:ind w:right="566"/>
        <w:jc w:val="both"/>
        <w:outlineLvl w:val="0"/>
        <w:rPr>
          <w:b/>
          <w:sz w:val="22"/>
          <w:szCs w:val="22"/>
        </w:rPr>
      </w:pPr>
    </w:p>
    <w:p w:rsidR="000F3A56" w:rsidRPr="00C27E75" w:rsidRDefault="000F3A56" w:rsidP="00E908B5">
      <w:pPr>
        <w:tabs>
          <w:tab w:val="left" w:pos="8505"/>
        </w:tabs>
        <w:ind w:right="566"/>
        <w:jc w:val="both"/>
        <w:outlineLvl w:val="0"/>
        <w:rPr>
          <w:b/>
          <w:sz w:val="22"/>
          <w:szCs w:val="22"/>
        </w:rPr>
      </w:pPr>
    </w:p>
    <w:p w:rsidR="00027731" w:rsidRPr="00C27E75" w:rsidRDefault="00027731" w:rsidP="00E908B5">
      <w:pPr>
        <w:tabs>
          <w:tab w:val="left" w:pos="0"/>
        </w:tabs>
        <w:ind w:right="566"/>
        <w:jc w:val="both"/>
        <w:outlineLvl w:val="0"/>
        <w:rPr>
          <w:b/>
          <w:sz w:val="22"/>
          <w:szCs w:val="22"/>
        </w:rPr>
      </w:pPr>
      <w:r w:rsidRPr="00C27E75">
        <w:rPr>
          <w:b/>
          <w:sz w:val="22"/>
          <w:szCs w:val="22"/>
        </w:rPr>
        <w:t>10.</w:t>
      </w:r>
      <w:r w:rsidR="000F3A56">
        <w:rPr>
          <w:b/>
          <w:sz w:val="22"/>
          <w:szCs w:val="22"/>
        </w:rPr>
        <w:tab/>
      </w:r>
      <w:r w:rsidRPr="00C27E75">
        <w:rPr>
          <w:b/>
          <w:sz w:val="22"/>
          <w:szCs w:val="22"/>
        </w:rPr>
        <w:t>DÁTUM REVÍZIE TEXTU</w:t>
      </w:r>
    </w:p>
    <w:p w:rsidR="00C27E75" w:rsidRDefault="00C27E75" w:rsidP="00E908B5">
      <w:pPr>
        <w:tabs>
          <w:tab w:val="left" w:pos="8505"/>
        </w:tabs>
        <w:ind w:right="566"/>
        <w:jc w:val="both"/>
        <w:outlineLvl w:val="0"/>
        <w:rPr>
          <w:sz w:val="22"/>
          <w:szCs w:val="22"/>
        </w:rPr>
      </w:pPr>
    </w:p>
    <w:p w:rsidR="00027731" w:rsidRPr="00C27E75" w:rsidRDefault="004D79FB" w:rsidP="00B673A8">
      <w:pPr>
        <w:tabs>
          <w:tab w:val="left" w:pos="8505"/>
        </w:tabs>
        <w:ind w:right="566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Máj 2018</w:t>
      </w:r>
    </w:p>
    <w:sectPr w:rsidR="00027731" w:rsidRPr="00C27E75" w:rsidSect="00B673A8">
      <w:headerReference w:type="default" r:id="rId10"/>
      <w:footerReference w:type="even" r:id="rId11"/>
      <w:footerReference w:type="default" r:id="rId12"/>
      <w:pgSz w:w="11907" w:h="16840"/>
      <w:pgMar w:top="1134" w:right="1418" w:bottom="1134" w:left="1418" w:header="73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151" w:rsidRDefault="00DA3151">
      <w:r>
        <w:separator/>
      </w:r>
    </w:p>
  </w:endnote>
  <w:endnote w:type="continuationSeparator" w:id="0">
    <w:p w:rsidR="00DA3151" w:rsidRDefault="00DA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82" w:rsidRDefault="00E66382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2</w:t>
    </w:r>
    <w:r>
      <w:rPr>
        <w:rStyle w:val="slostrany"/>
      </w:rPr>
      <w:fldChar w:fldCharType="end"/>
    </w:r>
  </w:p>
  <w:p w:rsidR="00E66382" w:rsidRDefault="00E6638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E75" w:rsidRPr="00C27E75" w:rsidRDefault="00C27E75">
    <w:pPr>
      <w:pStyle w:val="Pta"/>
      <w:jc w:val="center"/>
      <w:rPr>
        <w:sz w:val="18"/>
        <w:szCs w:val="18"/>
      </w:rPr>
    </w:pPr>
    <w:r w:rsidRPr="00C27E75">
      <w:rPr>
        <w:sz w:val="18"/>
        <w:szCs w:val="18"/>
      </w:rPr>
      <w:fldChar w:fldCharType="begin"/>
    </w:r>
    <w:r w:rsidRPr="00C27E75">
      <w:rPr>
        <w:sz w:val="18"/>
        <w:szCs w:val="18"/>
      </w:rPr>
      <w:instrText>PAGE   \* MERGEFORMAT</w:instrText>
    </w:r>
    <w:r w:rsidRPr="00C27E75">
      <w:rPr>
        <w:sz w:val="18"/>
        <w:szCs w:val="18"/>
      </w:rPr>
      <w:fldChar w:fldCharType="separate"/>
    </w:r>
    <w:r w:rsidR="007A2819">
      <w:rPr>
        <w:noProof/>
        <w:sz w:val="18"/>
        <w:szCs w:val="18"/>
      </w:rPr>
      <w:t>4</w:t>
    </w:r>
    <w:r w:rsidRPr="00C27E75">
      <w:rPr>
        <w:sz w:val="18"/>
        <w:szCs w:val="18"/>
      </w:rPr>
      <w:fldChar w:fldCharType="end"/>
    </w:r>
  </w:p>
  <w:p w:rsidR="00C27E75" w:rsidRDefault="00C27E7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151" w:rsidRDefault="00DA3151">
      <w:r>
        <w:separator/>
      </w:r>
    </w:p>
  </w:footnote>
  <w:footnote w:type="continuationSeparator" w:id="0">
    <w:p w:rsidR="00DA3151" w:rsidRDefault="00DA31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28B0" w:rsidRPr="009827B5" w:rsidRDefault="002028B0" w:rsidP="009827B5">
    <w:pPr>
      <w:tabs>
        <w:tab w:val="left" w:pos="8505"/>
      </w:tabs>
      <w:ind w:right="566"/>
      <w:rPr>
        <w:sz w:val="18"/>
        <w:szCs w:val="18"/>
      </w:rPr>
    </w:pPr>
    <w:r>
      <w:rPr>
        <w:sz w:val="18"/>
        <w:szCs w:val="18"/>
      </w:rPr>
      <w:t>Príloha č. 1 k notifikácii o zmene, ev. č.: 201</w:t>
    </w:r>
    <w:r w:rsidR="00733C91">
      <w:rPr>
        <w:sz w:val="18"/>
        <w:szCs w:val="18"/>
      </w:rPr>
      <w:t>8/0</w:t>
    </w:r>
    <w:r w:rsidR="006607D0">
      <w:rPr>
        <w:sz w:val="18"/>
        <w:szCs w:val="18"/>
      </w:rPr>
      <w:t>1121-Z1B</w:t>
    </w:r>
  </w:p>
  <w:p w:rsidR="00E66382" w:rsidRDefault="00E66382">
    <w:pPr>
      <w:pStyle w:val="Hlavika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D226F1"/>
    <w:multiLevelType w:val="hybridMultilevel"/>
    <w:tmpl w:val="B03443B8"/>
    <w:lvl w:ilvl="0" w:tplc="5E12574E">
      <w:start w:val="10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7E"/>
    <w:rsid w:val="00013ECA"/>
    <w:rsid w:val="00027731"/>
    <w:rsid w:val="0003179B"/>
    <w:rsid w:val="00061F91"/>
    <w:rsid w:val="00077475"/>
    <w:rsid w:val="000E1915"/>
    <w:rsid w:val="000F3A56"/>
    <w:rsid w:val="00171B67"/>
    <w:rsid w:val="001D2EAD"/>
    <w:rsid w:val="001E690C"/>
    <w:rsid w:val="002028B0"/>
    <w:rsid w:val="00233527"/>
    <w:rsid w:val="00240E65"/>
    <w:rsid w:val="00251BC9"/>
    <w:rsid w:val="002A10DC"/>
    <w:rsid w:val="002E00BD"/>
    <w:rsid w:val="002F73B5"/>
    <w:rsid w:val="00311D92"/>
    <w:rsid w:val="003A0214"/>
    <w:rsid w:val="003B71B8"/>
    <w:rsid w:val="003F4A0F"/>
    <w:rsid w:val="00411EFE"/>
    <w:rsid w:val="004236FA"/>
    <w:rsid w:val="00485368"/>
    <w:rsid w:val="004C37EE"/>
    <w:rsid w:val="004D79FB"/>
    <w:rsid w:val="00551359"/>
    <w:rsid w:val="005E7F5E"/>
    <w:rsid w:val="00623B58"/>
    <w:rsid w:val="006440BD"/>
    <w:rsid w:val="006607D0"/>
    <w:rsid w:val="00672AE6"/>
    <w:rsid w:val="006F1F2E"/>
    <w:rsid w:val="00733C91"/>
    <w:rsid w:val="007557A2"/>
    <w:rsid w:val="007616B4"/>
    <w:rsid w:val="007A2819"/>
    <w:rsid w:val="007D47DC"/>
    <w:rsid w:val="00827898"/>
    <w:rsid w:val="0083457E"/>
    <w:rsid w:val="008A65F5"/>
    <w:rsid w:val="009019BD"/>
    <w:rsid w:val="009827B5"/>
    <w:rsid w:val="009D62AC"/>
    <w:rsid w:val="00B673A8"/>
    <w:rsid w:val="00B73A2C"/>
    <w:rsid w:val="00BF1A90"/>
    <w:rsid w:val="00C042F7"/>
    <w:rsid w:val="00C27E75"/>
    <w:rsid w:val="00CC392C"/>
    <w:rsid w:val="00CF7C4D"/>
    <w:rsid w:val="00D27462"/>
    <w:rsid w:val="00D332FA"/>
    <w:rsid w:val="00D453E4"/>
    <w:rsid w:val="00D5059E"/>
    <w:rsid w:val="00DA3151"/>
    <w:rsid w:val="00DF5C20"/>
    <w:rsid w:val="00E66382"/>
    <w:rsid w:val="00E77272"/>
    <w:rsid w:val="00E908B5"/>
    <w:rsid w:val="00F071F1"/>
    <w:rsid w:val="00F9444B"/>
    <w:rsid w:val="00FD3876"/>
    <w:rsid w:val="00FE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73A8"/>
  </w:style>
  <w:style w:type="paragraph" w:styleId="Nadpis1">
    <w:name w:val="heading 1"/>
    <w:basedOn w:val="Normlny"/>
    <w:next w:val="Normlny"/>
    <w:qFormat/>
    <w:rsid w:val="00B673A8"/>
    <w:pPr>
      <w:keepNext/>
      <w:tabs>
        <w:tab w:val="left" w:pos="8505"/>
      </w:tabs>
      <w:ind w:right="566"/>
      <w:outlineLvl w:val="0"/>
    </w:pPr>
    <w:rPr>
      <w:rFonts w:ascii="Arial" w:eastAsiaTheme="majorEastAsia" w:hAnsi="Arial" w:cs="Arial"/>
      <w:i/>
      <w:iC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FE3385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C27E75"/>
  </w:style>
  <w:style w:type="paragraph" w:styleId="Zkladntext">
    <w:name w:val="Body Text"/>
    <w:basedOn w:val="Normlny"/>
    <w:link w:val="ZkladntextChar"/>
    <w:rsid w:val="000E1915"/>
    <w:pPr>
      <w:widowControl w:val="0"/>
      <w:jc w:val="center"/>
    </w:pPr>
    <w:rPr>
      <w:b/>
      <w:sz w:val="22"/>
      <w:lang w:val="en-US" w:eastAsia="en-US"/>
    </w:rPr>
  </w:style>
  <w:style w:type="character" w:customStyle="1" w:styleId="ZkladntextChar">
    <w:name w:val="Základný text Char"/>
    <w:link w:val="Zkladntext"/>
    <w:rsid w:val="000E1915"/>
    <w:rPr>
      <w:b/>
      <w:sz w:val="22"/>
    </w:rPr>
  </w:style>
  <w:style w:type="character" w:styleId="Hypertextovprepojenie">
    <w:name w:val="Hyperlink"/>
    <w:rsid w:val="00CF7C4D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2028B0"/>
  </w:style>
  <w:style w:type="character" w:styleId="Odkaznakomentr">
    <w:name w:val="annotation reference"/>
    <w:basedOn w:val="Predvolenpsmoodseku"/>
    <w:rsid w:val="0082789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27898"/>
  </w:style>
  <w:style w:type="character" w:customStyle="1" w:styleId="TextkomentraChar">
    <w:name w:val="Text komentára Char"/>
    <w:basedOn w:val="Predvolenpsmoodseku"/>
    <w:link w:val="Textkomentra"/>
    <w:rsid w:val="00827898"/>
  </w:style>
  <w:style w:type="paragraph" w:styleId="Predmetkomentra">
    <w:name w:val="annotation subject"/>
    <w:basedOn w:val="Textkomentra"/>
    <w:next w:val="Textkomentra"/>
    <w:link w:val="PredmetkomentraChar"/>
    <w:rsid w:val="008278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278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673A8"/>
  </w:style>
  <w:style w:type="paragraph" w:styleId="Nadpis1">
    <w:name w:val="heading 1"/>
    <w:basedOn w:val="Normlny"/>
    <w:next w:val="Normlny"/>
    <w:qFormat/>
    <w:rsid w:val="00B673A8"/>
    <w:pPr>
      <w:keepNext/>
      <w:tabs>
        <w:tab w:val="left" w:pos="8505"/>
      </w:tabs>
      <w:ind w:right="566"/>
      <w:outlineLvl w:val="0"/>
    </w:pPr>
    <w:rPr>
      <w:rFonts w:ascii="Arial" w:eastAsiaTheme="majorEastAsia" w:hAnsi="Arial" w:cs="Arial"/>
      <w:i/>
      <w:iCs/>
      <w:sz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semiHidden/>
    <w:rsid w:val="00FE3385"/>
    <w:rPr>
      <w:rFonts w:ascii="Tahoma" w:hAnsi="Tahoma" w:cs="Tahoma"/>
      <w:sz w:val="16"/>
      <w:szCs w:val="16"/>
    </w:rPr>
  </w:style>
  <w:style w:type="character" w:customStyle="1" w:styleId="PtaChar">
    <w:name w:val="Päta Char"/>
    <w:link w:val="Pta"/>
    <w:uiPriority w:val="99"/>
    <w:rsid w:val="00C27E75"/>
  </w:style>
  <w:style w:type="paragraph" w:styleId="Zkladntext">
    <w:name w:val="Body Text"/>
    <w:basedOn w:val="Normlny"/>
    <w:link w:val="ZkladntextChar"/>
    <w:rsid w:val="000E1915"/>
    <w:pPr>
      <w:widowControl w:val="0"/>
      <w:jc w:val="center"/>
    </w:pPr>
    <w:rPr>
      <w:b/>
      <w:sz w:val="22"/>
      <w:lang w:val="en-US" w:eastAsia="en-US"/>
    </w:rPr>
  </w:style>
  <w:style w:type="character" w:customStyle="1" w:styleId="ZkladntextChar">
    <w:name w:val="Základný text Char"/>
    <w:link w:val="Zkladntext"/>
    <w:rsid w:val="000E1915"/>
    <w:rPr>
      <w:b/>
      <w:sz w:val="22"/>
    </w:rPr>
  </w:style>
  <w:style w:type="character" w:styleId="Hypertextovprepojenie">
    <w:name w:val="Hyperlink"/>
    <w:rsid w:val="00CF7C4D"/>
    <w:rPr>
      <w:color w:val="0000FF"/>
      <w:u w:val="single"/>
    </w:rPr>
  </w:style>
  <w:style w:type="character" w:customStyle="1" w:styleId="HlavikaChar">
    <w:name w:val="Hlavička Char"/>
    <w:link w:val="Hlavika"/>
    <w:uiPriority w:val="99"/>
    <w:rsid w:val="002028B0"/>
  </w:style>
  <w:style w:type="character" w:styleId="Odkaznakomentr">
    <w:name w:val="annotation reference"/>
    <w:basedOn w:val="Predvolenpsmoodseku"/>
    <w:rsid w:val="00827898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827898"/>
  </w:style>
  <w:style w:type="character" w:customStyle="1" w:styleId="TextkomentraChar">
    <w:name w:val="Text komentára Char"/>
    <w:basedOn w:val="Predvolenpsmoodseku"/>
    <w:link w:val="Textkomentra"/>
    <w:rsid w:val="00827898"/>
  </w:style>
  <w:style w:type="paragraph" w:styleId="Predmetkomentra">
    <w:name w:val="annotation subject"/>
    <w:basedOn w:val="Textkomentra"/>
    <w:next w:val="Textkomentra"/>
    <w:link w:val="PredmetkomentraChar"/>
    <w:rsid w:val="0082789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8278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3F2A-A651-40CC-87AE-94E7144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SÚHRN ÚDAJOV O PRÍPRAVKU</vt:lpstr>
    </vt:vector>
  </TitlesOfParts>
  <Company>Osobné použitie</Company>
  <LinksUpToDate>false</LinksUpToDate>
  <CharactersWithSpaces>7867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SÚHRN ÚDAJOV O PRÍPRAVKU</dc:title>
  <dc:creator>Dr. Štefan Pártoš</dc:creator>
  <cp:lastModifiedBy>EM</cp:lastModifiedBy>
  <cp:revision>4</cp:revision>
  <cp:lastPrinted>2014-04-07T09:01:00Z</cp:lastPrinted>
  <dcterms:created xsi:type="dcterms:W3CDTF">2018-05-16T06:03:00Z</dcterms:created>
  <dcterms:modified xsi:type="dcterms:W3CDTF">2018-05-16T06:04:00Z</dcterms:modified>
</cp:coreProperties>
</file>