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4B6ED" w14:textId="77777777" w:rsidR="00A1485B" w:rsidRPr="00031671" w:rsidRDefault="00A1485B" w:rsidP="00A1485B">
      <w:pPr>
        <w:widowControl w:val="0"/>
        <w:jc w:val="center"/>
        <w:rPr>
          <w:b/>
          <w:szCs w:val="22"/>
          <w:lang w:bidi="si-LK"/>
        </w:rPr>
      </w:pPr>
      <w:bookmarkStart w:id="0" w:name="_GoBack"/>
      <w:bookmarkEnd w:id="0"/>
    </w:p>
    <w:p w14:paraId="697A73B1" w14:textId="77777777" w:rsidR="00A1485B" w:rsidRPr="00031671" w:rsidRDefault="00A1485B" w:rsidP="00A1485B">
      <w:pPr>
        <w:widowControl w:val="0"/>
        <w:jc w:val="center"/>
        <w:rPr>
          <w:b/>
          <w:szCs w:val="22"/>
          <w:lang w:bidi="si-LK"/>
        </w:rPr>
      </w:pPr>
    </w:p>
    <w:p w14:paraId="19B54616" w14:textId="77777777" w:rsidR="00A1485B" w:rsidRPr="00031671" w:rsidRDefault="00A1485B" w:rsidP="00A1485B">
      <w:pPr>
        <w:widowControl w:val="0"/>
        <w:jc w:val="center"/>
        <w:rPr>
          <w:bCs/>
          <w:iCs/>
          <w:szCs w:val="22"/>
          <w:lang w:bidi="si-LK"/>
        </w:rPr>
      </w:pPr>
      <w:r w:rsidRPr="00031671">
        <w:rPr>
          <w:b/>
          <w:szCs w:val="22"/>
          <w:lang w:bidi="si-LK"/>
        </w:rPr>
        <w:t>SÚHRN CHARAKTERISTICKÝCH VLASTNOSTÍ LIEKU</w:t>
      </w:r>
    </w:p>
    <w:p w14:paraId="5A4E8C56" w14:textId="77777777" w:rsidR="00A1485B" w:rsidRPr="00031671" w:rsidRDefault="00A1485B" w:rsidP="00F3126E">
      <w:pPr>
        <w:rPr>
          <w:b/>
          <w:szCs w:val="22"/>
        </w:rPr>
      </w:pPr>
    </w:p>
    <w:p w14:paraId="126AB0FD" w14:textId="77777777" w:rsidR="00A1485B" w:rsidRPr="00031671" w:rsidRDefault="00A1485B" w:rsidP="00F3126E">
      <w:pPr>
        <w:rPr>
          <w:b/>
          <w:szCs w:val="22"/>
        </w:rPr>
      </w:pPr>
    </w:p>
    <w:p w14:paraId="2214830C" w14:textId="77777777" w:rsidR="001E1948" w:rsidRPr="00031671" w:rsidRDefault="001E1948" w:rsidP="00F3126E">
      <w:pPr>
        <w:rPr>
          <w:szCs w:val="22"/>
        </w:rPr>
      </w:pPr>
      <w:r w:rsidRPr="00031671">
        <w:rPr>
          <w:b/>
          <w:szCs w:val="22"/>
        </w:rPr>
        <w:t>1.</w:t>
      </w:r>
      <w:r w:rsidRPr="00031671">
        <w:rPr>
          <w:b/>
          <w:szCs w:val="22"/>
        </w:rPr>
        <w:tab/>
        <w:t>NÁZOV LIEKU</w:t>
      </w:r>
    </w:p>
    <w:p w14:paraId="07F4327D" w14:textId="77777777" w:rsidR="001E1948" w:rsidRPr="00031671" w:rsidRDefault="001E1948" w:rsidP="00F3126E">
      <w:pPr>
        <w:rPr>
          <w:szCs w:val="22"/>
        </w:rPr>
      </w:pPr>
    </w:p>
    <w:p w14:paraId="3E4191B1" w14:textId="77777777" w:rsidR="001E1948" w:rsidRPr="00031671" w:rsidRDefault="00304E8C" w:rsidP="00F3126E">
      <w:pPr>
        <w:rPr>
          <w:szCs w:val="22"/>
        </w:rPr>
      </w:pPr>
      <w:r w:rsidRPr="00031671">
        <w:rPr>
          <w:szCs w:val="22"/>
        </w:rPr>
        <w:t>VIDONORM</w:t>
      </w:r>
      <w:r w:rsidR="001E1948" w:rsidRPr="00031671">
        <w:rPr>
          <w:szCs w:val="22"/>
        </w:rPr>
        <w:t xml:space="preserve"> 4 mg/5 mg tablety</w:t>
      </w:r>
    </w:p>
    <w:p w14:paraId="747F1A8D" w14:textId="77777777" w:rsidR="001E1948" w:rsidRPr="00031671" w:rsidRDefault="00304E8C" w:rsidP="00F3126E">
      <w:pPr>
        <w:rPr>
          <w:szCs w:val="22"/>
        </w:rPr>
      </w:pPr>
      <w:r w:rsidRPr="00031671">
        <w:rPr>
          <w:szCs w:val="22"/>
        </w:rPr>
        <w:t>VIDONORM</w:t>
      </w:r>
      <w:r w:rsidR="001E1948" w:rsidRPr="00031671">
        <w:rPr>
          <w:szCs w:val="22"/>
        </w:rPr>
        <w:t xml:space="preserve"> 8 mg/5 mg tablety</w:t>
      </w:r>
    </w:p>
    <w:p w14:paraId="4B2A789A" w14:textId="77777777" w:rsidR="001E1948" w:rsidRPr="00031671" w:rsidRDefault="00304E8C" w:rsidP="00F3126E">
      <w:pPr>
        <w:rPr>
          <w:szCs w:val="22"/>
        </w:rPr>
      </w:pPr>
      <w:r w:rsidRPr="00031671">
        <w:rPr>
          <w:szCs w:val="22"/>
        </w:rPr>
        <w:t>VIDONORM</w:t>
      </w:r>
      <w:r w:rsidR="001E1948" w:rsidRPr="00031671">
        <w:rPr>
          <w:szCs w:val="22"/>
        </w:rPr>
        <w:t xml:space="preserve"> 4 mg/10 mg tablety</w:t>
      </w:r>
    </w:p>
    <w:p w14:paraId="37617CA5" w14:textId="77777777" w:rsidR="001E1948" w:rsidRPr="00031671" w:rsidRDefault="00304E8C" w:rsidP="00F3126E">
      <w:pPr>
        <w:rPr>
          <w:szCs w:val="22"/>
        </w:rPr>
      </w:pPr>
      <w:r w:rsidRPr="00031671">
        <w:rPr>
          <w:szCs w:val="22"/>
        </w:rPr>
        <w:t>VIDONORM</w:t>
      </w:r>
      <w:r w:rsidR="001E1948" w:rsidRPr="00031671">
        <w:rPr>
          <w:szCs w:val="22"/>
        </w:rPr>
        <w:t xml:space="preserve"> 8 mg/10 mg tablety</w:t>
      </w:r>
    </w:p>
    <w:p w14:paraId="31F79178" w14:textId="77777777" w:rsidR="001E1948" w:rsidRPr="00031671" w:rsidRDefault="001E1948" w:rsidP="00F3126E">
      <w:pPr>
        <w:rPr>
          <w:szCs w:val="22"/>
        </w:rPr>
      </w:pPr>
    </w:p>
    <w:p w14:paraId="01948609" w14:textId="77777777" w:rsidR="001E1948" w:rsidRPr="00031671" w:rsidRDefault="001E1948" w:rsidP="00F3126E">
      <w:pPr>
        <w:rPr>
          <w:szCs w:val="22"/>
        </w:rPr>
      </w:pPr>
    </w:p>
    <w:p w14:paraId="39E6A7CA" w14:textId="77777777" w:rsidR="001E1948" w:rsidRPr="00031671" w:rsidRDefault="001E1948" w:rsidP="00F3126E">
      <w:pPr>
        <w:rPr>
          <w:szCs w:val="22"/>
        </w:rPr>
      </w:pPr>
      <w:r w:rsidRPr="00031671">
        <w:rPr>
          <w:b/>
          <w:szCs w:val="22"/>
        </w:rPr>
        <w:t>2.</w:t>
      </w:r>
      <w:r w:rsidRPr="00031671">
        <w:rPr>
          <w:b/>
          <w:szCs w:val="22"/>
        </w:rPr>
        <w:tab/>
        <w:t>KVALITATÍVNE A KVANTITATÍVNE ZLOŽENIE</w:t>
      </w:r>
    </w:p>
    <w:p w14:paraId="60BFC3C7" w14:textId="77777777" w:rsidR="001E1948" w:rsidRPr="00031671" w:rsidRDefault="001E1948" w:rsidP="00F3126E">
      <w:pPr>
        <w:rPr>
          <w:i/>
          <w:szCs w:val="22"/>
        </w:rPr>
      </w:pPr>
    </w:p>
    <w:p w14:paraId="37C694F7" w14:textId="77777777" w:rsidR="001E1948" w:rsidRPr="00031671" w:rsidRDefault="00304E8C" w:rsidP="00F3126E">
      <w:pPr>
        <w:rPr>
          <w:szCs w:val="22"/>
        </w:rPr>
      </w:pPr>
      <w:r w:rsidRPr="00031671">
        <w:rPr>
          <w:szCs w:val="22"/>
        </w:rPr>
        <w:t>VIDONORM</w:t>
      </w:r>
      <w:r w:rsidR="001E1948" w:rsidRPr="00031671">
        <w:rPr>
          <w:szCs w:val="22"/>
        </w:rPr>
        <w:t xml:space="preserve"> 4 mg/5 mg tableta:</w:t>
      </w:r>
    </w:p>
    <w:p w14:paraId="584DA23E" w14:textId="77777777" w:rsidR="001E1948" w:rsidRPr="00031671" w:rsidRDefault="004A3DE1" w:rsidP="00F3126E">
      <w:pPr>
        <w:ind w:left="0" w:firstLine="0"/>
        <w:rPr>
          <w:szCs w:val="22"/>
        </w:rPr>
      </w:pPr>
      <w:r w:rsidRPr="00031671">
        <w:rPr>
          <w:szCs w:val="22"/>
        </w:rPr>
        <w:t>Každá</w:t>
      </w:r>
      <w:r w:rsidR="001E1948" w:rsidRPr="00031671">
        <w:rPr>
          <w:szCs w:val="22"/>
        </w:rPr>
        <w:t xml:space="preserve"> tableta obsahuje 4 mg perindoprilerbumínu a 5 mg amlodipínu (</w:t>
      </w:r>
      <w:r w:rsidR="009366A2" w:rsidRPr="00031671">
        <w:rPr>
          <w:szCs w:val="22"/>
        </w:rPr>
        <w:t>vo forme</w:t>
      </w:r>
      <w:r w:rsidR="001E1948" w:rsidRPr="00031671">
        <w:rPr>
          <w:szCs w:val="22"/>
        </w:rPr>
        <w:t xml:space="preserve"> amlodipíniumbesilát</w:t>
      </w:r>
      <w:r w:rsidR="009366A2" w:rsidRPr="00031671">
        <w:rPr>
          <w:szCs w:val="22"/>
        </w:rPr>
        <w:t>u</w:t>
      </w:r>
      <w:r w:rsidR="001E1948" w:rsidRPr="00031671">
        <w:rPr>
          <w:szCs w:val="22"/>
        </w:rPr>
        <w:t>).</w:t>
      </w:r>
    </w:p>
    <w:p w14:paraId="35560E8C" w14:textId="77777777" w:rsidR="001E1948" w:rsidRPr="00031671" w:rsidRDefault="00304E8C" w:rsidP="00F3126E">
      <w:pPr>
        <w:rPr>
          <w:szCs w:val="22"/>
        </w:rPr>
      </w:pPr>
      <w:r w:rsidRPr="00031671">
        <w:rPr>
          <w:szCs w:val="22"/>
        </w:rPr>
        <w:t>VIDONORM</w:t>
      </w:r>
      <w:r w:rsidR="001E1948" w:rsidRPr="00031671">
        <w:rPr>
          <w:szCs w:val="22"/>
        </w:rPr>
        <w:t xml:space="preserve"> 8 mg/5 mg </w:t>
      </w:r>
      <w:r w:rsidR="0068578F" w:rsidRPr="00031671">
        <w:rPr>
          <w:szCs w:val="22"/>
        </w:rPr>
        <w:t>tableta:</w:t>
      </w:r>
    </w:p>
    <w:p w14:paraId="4178EB86" w14:textId="77777777" w:rsidR="0068578F" w:rsidRPr="00031671" w:rsidRDefault="00564F10" w:rsidP="00F3126E">
      <w:pPr>
        <w:ind w:left="0" w:firstLine="0"/>
        <w:rPr>
          <w:szCs w:val="22"/>
        </w:rPr>
      </w:pPr>
      <w:r w:rsidRPr="00031671">
        <w:rPr>
          <w:szCs w:val="22"/>
        </w:rPr>
        <w:t>Každá</w:t>
      </w:r>
      <w:r w:rsidR="0068578F" w:rsidRPr="00031671">
        <w:rPr>
          <w:szCs w:val="22"/>
        </w:rPr>
        <w:t xml:space="preserve"> tableta obsahuje 8 mg perindoprilerbumínu a 5 mg amlodipínu (</w:t>
      </w:r>
      <w:r w:rsidR="009366A2" w:rsidRPr="00031671">
        <w:rPr>
          <w:szCs w:val="22"/>
        </w:rPr>
        <w:t>vo forme</w:t>
      </w:r>
      <w:r w:rsidR="0068578F" w:rsidRPr="00031671">
        <w:rPr>
          <w:szCs w:val="22"/>
        </w:rPr>
        <w:t xml:space="preserve"> amlodipíniumbesilát</w:t>
      </w:r>
      <w:r w:rsidR="009366A2" w:rsidRPr="00031671">
        <w:rPr>
          <w:szCs w:val="22"/>
        </w:rPr>
        <w:t>u</w:t>
      </w:r>
      <w:r w:rsidR="0068578F" w:rsidRPr="00031671">
        <w:rPr>
          <w:szCs w:val="22"/>
        </w:rPr>
        <w:t>).</w:t>
      </w:r>
    </w:p>
    <w:p w14:paraId="56F04547" w14:textId="77777777" w:rsidR="0068578F" w:rsidRPr="00031671" w:rsidRDefault="00304E8C" w:rsidP="00F3126E">
      <w:pPr>
        <w:rPr>
          <w:szCs w:val="22"/>
        </w:rPr>
      </w:pPr>
      <w:r w:rsidRPr="00031671">
        <w:rPr>
          <w:szCs w:val="22"/>
        </w:rPr>
        <w:t>VIDONORM</w:t>
      </w:r>
      <w:r w:rsidR="0068578F" w:rsidRPr="00031671">
        <w:rPr>
          <w:szCs w:val="22"/>
        </w:rPr>
        <w:t xml:space="preserve"> 4 mg/10 mg tableta:</w:t>
      </w:r>
    </w:p>
    <w:p w14:paraId="5A9E8736" w14:textId="77777777" w:rsidR="0068578F" w:rsidRPr="00031671" w:rsidRDefault="00564F10" w:rsidP="00F3126E">
      <w:pPr>
        <w:ind w:left="0" w:firstLine="0"/>
        <w:rPr>
          <w:szCs w:val="22"/>
        </w:rPr>
      </w:pPr>
      <w:r w:rsidRPr="00031671">
        <w:rPr>
          <w:szCs w:val="22"/>
        </w:rPr>
        <w:t>Každá</w:t>
      </w:r>
      <w:r w:rsidR="0068578F" w:rsidRPr="00031671">
        <w:rPr>
          <w:szCs w:val="22"/>
        </w:rPr>
        <w:t xml:space="preserve"> tableta obsahuje 4 mg perindopri erbumínu a 10 mg amlodipínu (</w:t>
      </w:r>
      <w:r w:rsidR="009366A2" w:rsidRPr="00031671">
        <w:rPr>
          <w:szCs w:val="22"/>
        </w:rPr>
        <w:t xml:space="preserve">vo forme </w:t>
      </w:r>
      <w:r w:rsidR="0068578F" w:rsidRPr="00031671">
        <w:rPr>
          <w:szCs w:val="22"/>
        </w:rPr>
        <w:t>amlodipíniumbesilát</w:t>
      </w:r>
      <w:r w:rsidR="009366A2" w:rsidRPr="00031671">
        <w:rPr>
          <w:szCs w:val="22"/>
        </w:rPr>
        <w:t>u</w:t>
      </w:r>
      <w:r w:rsidR="0068578F" w:rsidRPr="00031671">
        <w:rPr>
          <w:szCs w:val="22"/>
        </w:rPr>
        <w:t>).</w:t>
      </w:r>
    </w:p>
    <w:p w14:paraId="0EB61B54" w14:textId="77777777" w:rsidR="0068578F" w:rsidRPr="00031671" w:rsidRDefault="00304E8C" w:rsidP="00F3126E">
      <w:pPr>
        <w:rPr>
          <w:szCs w:val="22"/>
        </w:rPr>
      </w:pPr>
      <w:r w:rsidRPr="00031671">
        <w:rPr>
          <w:szCs w:val="22"/>
        </w:rPr>
        <w:t>VIDONORM</w:t>
      </w:r>
      <w:r w:rsidR="0068578F" w:rsidRPr="00031671">
        <w:rPr>
          <w:szCs w:val="22"/>
        </w:rPr>
        <w:t xml:space="preserve"> 8 mg/10 mg tableta:</w:t>
      </w:r>
    </w:p>
    <w:p w14:paraId="7B4330E4" w14:textId="77777777" w:rsidR="0068578F" w:rsidRPr="00031671" w:rsidRDefault="00564F10" w:rsidP="00F3126E">
      <w:pPr>
        <w:ind w:left="0" w:firstLine="0"/>
        <w:rPr>
          <w:szCs w:val="22"/>
        </w:rPr>
      </w:pPr>
      <w:r w:rsidRPr="00031671">
        <w:rPr>
          <w:szCs w:val="22"/>
        </w:rPr>
        <w:t>Každá</w:t>
      </w:r>
      <w:r w:rsidR="0068578F" w:rsidRPr="00031671">
        <w:rPr>
          <w:szCs w:val="22"/>
        </w:rPr>
        <w:t xml:space="preserve"> tableta obsahuje 8 mg perindoprilerbumínu a 10 mg amlodipínu (</w:t>
      </w:r>
      <w:r w:rsidR="009366A2" w:rsidRPr="00031671">
        <w:rPr>
          <w:szCs w:val="22"/>
        </w:rPr>
        <w:t xml:space="preserve">vo forme </w:t>
      </w:r>
      <w:r w:rsidR="0068578F" w:rsidRPr="00031671">
        <w:rPr>
          <w:szCs w:val="22"/>
        </w:rPr>
        <w:t>amlodipíniumbesilát</w:t>
      </w:r>
      <w:r w:rsidR="009366A2" w:rsidRPr="00031671">
        <w:rPr>
          <w:szCs w:val="22"/>
        </w:rPr>
        <w:t>u</w:t>
      </w:r>
      <w:r w:rsidR="0068578F" w:rsidRPr="00031671">
        <w:rPr>
          <w:szCs w:val="22"/>
        </w:rPr>
        <w:t>).</w:t>
      </w:r>
    </w:p>
    <w:p w14:paraId="5BB790B0" w14:textId="77777777" w:rsidR="001E1948" w:rsidRPr="00031671" w:rsidRDefault="001E1948" w:rsidP="00F3126E">
      <w:pPr>
        <w:ind w:left="0" w:firstLine="0"/>
        <w:rPr>
          <w:szCs w:val="22"/>
        </w:rPr>
      </w:pPr>
    </w:p>
    <w:p w14:paraId="2C36A580" w14:textId="77777777" w:rsidR="001E1948" w:rsidRPr="00031671" w:rsidRDefault="001E1948" w:rsidP="00F3126E">
      <w:pPr>
        <w:rPr>
          <w:szCs w:val="22"/>
        </w:rPr>
      </w:pPr>
      <w:r w:rsidRPr="00031671">
        <w:rPr>
          <w:szCs w:val="22"/>
        </w:rPr>
        <w:t>Úplný zoznam pomocných látok, pozri časť 6.1.</w:t>
      </w:r>
    </w:p>
    <w:p w14:paraId="4777F91D" w14:textId="77777777" w:rsidR="001E1948" w:rsidRPr="00031671" w:rsidRDefault="001E1948" w:rsidP="00F3126E">
      <w:pPr>
        <w:ind w:left="0" w:firstLine="0"/>
        <w:rPr>
          <w:szCs w:val="22"/>
        </w:rPr>
      </w:pPr>
    </w:p>
    <w:p w14:paraId="609CB0AA" w14:textId="77777777" w:rsidR="001E1948" w:rsidRPr="00031671" w:rsidRDefault="001E1948" w:rsidP="00F3126E">
      <w:pPr>
        <w:ind w:left="0" w:firstLine="0"/>
        <w:rPr>
          <w:szCs w:val="22"/>
        </w:rPr>
      </w:pPr>
    </w:p>
    <w:p w14:paraId="76324F82" w14:textId="77777777" w:rsidR="001E1948" w:rsidRPr="00031671" w:rsidRDefault="001E1948" w:rsidP="00F3126E">
      <w:pPr>
        <w:rPr>
          <w:caps/>
          <w:szCs w:val="22"/>
        </w:rPr>
      </w:pPr>
      <w:r w:rsidRPr="00031671">
        <w:rPr>
          <w:b/>
          <w:szCs w:val="22"/>
        </w:rPr>
        <w:t>3.</w:t>
      </w:r>
      <w:r w:rsidRPr="00031671">
        <w:rPr>
          <w:b/>
          <w:szCs w:val="22"/>
        </w:rPr>
        <w:tab/>
        <w:t>LIEKOVÁ FORMA</w:t>
      </w:r>
    </w:p>
    <w:p w14:paraId="032121B2" w14:textId="77777777" w:rsidR="001E1948" w:rsidRPr="00031671" w:rsidRDefault="001E1948" w:rsidP="00F3126E">
      <w:pPr>
        <w:rPr>
          <w:szCs w:val="22"/>
        </w:rPr>
      </w:pPr>
    </w:p>
    <w:p w14:paraId="291659B2" w14:textId="77777777" w:rsidR="001E1948" w:rsidRPr="00506927" w:rsidRDefault="001E1948" w:rsidP="00F3126E">
      <w:pPr>
        <w:pStyle w:val="Zkladntext"/>
        <w:rPr>
          <w:sz w:val="22"/>
          <w:lang w:val="sk-SK"/>
        </w:rPr>
      </w:pPr>
      <w:r w:rsidRPr="00506927">
        <w:rPr>
          <w:sz w:val="22"/>
          <w:lang w:val="sk-SK"/>
        </w:rPr>
        <w:t>Tableta.</w:t>
      </w:r>
    </w:p>
    <w:p w14:paraId="597BC5B3" w14:textId="77777777" w:rsidR="0068578F" w:rsidRPr="00762B3B" w:rsidRDefault="00304E8C" w:rsidP="00F3126E">
      <w:pPr>
        <w:numPr>
          <w:ilvl w:val="12"/>
          <w:numId w:val="0"/>
        </w:numPr>
        <w:ind w:right="-2"/>
        <w:rPr>
          <w:szCs w:val="22"/>
        </w:rPr>
      </w:pPr>
      <w:r w:rsidRPr="00762B3B">
        <w:rPr>
          <w:szCs w:val="22"/>
        </w:rPr>
        <w:t>VIDONORM</w:t>
      </w:r>
      <w:r w:rsidR="0068578F" w:rsidRPr="00762B3B">
        <w:rPr>
          <w:szCs w:val="22"/>
        </w:rPr>
        <w:t> 4 mg/5 mg tablet</w:t>
      </w:r>
      <w:r w:rsidR="00AD7447" w:rsidRPr="00762B3B">
        <w:rPr>
          <w:szCs w:val="22"/>
        </w:rPr>
        <w:t>y</w:t>
      </w:r>
      <w:r w:rsidR="0068578F" w:rsidRPr="00762B3B">
        <w:rPr>
          <w:szCs w:val="22"/>
        </w:rPr>
        <w:t xml:space="preserve">: Biele alebo takmer biele okrúhle ploché tablety s priemerom </w:t>
      </w:r>
      <w:smartTag w:uri="urn:schemas-microsoft-com:office:smarttags" w:element="metricconverter">
        <w:smartTagPr>
          <w:attr w:name="ProductID" w:val="8 mm"/>
        </w:smartTagPr>
        <w:r w:rsidR="0068578F" w:rsidRPr="00762B3B">
          <w:rPr>
            <w:szCs w:val="22"/>
          </w:rPr>
          <w:t>8 mm</w:t>
        </w:r>
      </w:smartTag>
      <w:r w:rsidR="0068578F" w:rsidRPr="00762B3B">
        <w:rPr>
          <w:szCs w:val="22"/>
        </w:rPr>
        <w:t>, s vyrytým „CH3“ na jednej strane, druhá strana bez označenia.</w:t>
      </w:r>
    </w:p>
    <w:p w14:paraId="7C5C522B" w14:textId="77777777" w:rsidR="0068578F" w:rsidRPr="00031671" w:rsidRDefault="00304E8C" w:rsidP="00F3126E">
      <w:pPr>
        <w:numPr>
          <w:ilvl w:val="12"/>
          <w:numId w:val="0"/>
        </w:numPr>
        <w:ind w:right="-2"/>
        <w:rPr>
          <w:szCs w:val="22"/>
        </w:rPr>
      </w:pPr>
      <w:r w:rsidRPr="00031671">
        <w:rPr>
          <w:szCs w:val="22"/>
        </w:rPr>
        <w:t>VIDONORM</w:t>
      </w:r>
      <w:r w:rsidR="0068578F" w:rsidRPr="00031671">
        <w:rPr>
          <w:szCs w:val="22"/>
        </w:rPr>
        <w:t> 8 mg/5 mg tablet</w:t>
      </w:r>
      <w:r w:rsidR="00AD7447" w:rsidRPr="00031671">
        <w:rPr>
          <w:szCs w:val="22"/>
        </w:rPr>
        <w:t>y</w:t>
      </w:r>
      <w:r w:rsidR="0068578F" w:rsidRPr="00031671">
        <w:rPr>
          <w:szCs w:val="22"/>
        </w:rPr>
        <w:t xml:space="preserve">: Biele alebo takmer biele okrúhle ploché tablety s priemerom </w:t>
      </w:r>
      <w:smartTag w:uri="urn:schemas-microsoft-com:office:smarttags" w:element="metricconverter">
        <w:smartTagPr>
          <w:attr w:name="ProductID" w:val="8 mm"/>
        </w:smartTagPr>
        <w:r w:rsidR="0068578F" w:rsidRPr="00031671">
          <w:rPr>
            <w:szCs w:val="22"/>
          </w:rPr>
          <w:t>8 mm</w:t>
        </w:r>
      </w:smartTag>
      <w:r w:rsidR="0068578F" w:rsidRPr="00031671">
        <w:rPr>
          <w:szCs w:val="22"/>
        </w:rPr>
        <w:t>, s vyrytým „CH4“ na jednej strane, druhá strana bez označenia.</w:t>
      </w:r>
    </w:p>
    <w:p w14:paraId="7CC93C45" w14:textId="77777777" w:rsidR="0068578F" w:rsidRPr="00031671" w:rsidRDefault="00304E8C" w:rsidP="00F3126E">
      <w:pPr>
        <w:numPr>
          <w:ilvl w:val="12"/>
          <w:numId w:val="0"/>
        </w:numPr>
        <w:ind w:right="-2"/>
        <w:rPr>
          <w:szCs w:val="22"/>
        </w:rPr>
      </w:pPr>
      <w:r w:rsidRPr="00031671">
        <w:rPr>
          <w:szCs w:val="22"/>
        </w:rPr>
        <w:t>VIDONORM</w:t>
      </w:r>
      <w:r w:rsidR="0068578F" w:rsidRPr="00031671">
        <w:rPr>
          <w:szCs w:val="22"/>
        </w:rPr>
        <w:t> 4 mg/10 mg tablet</w:t>
      </w:r>
      <w:r w:rsidR="00AD7447" w:rsidRPr="00031671">
        <w:rPr>
          <w:szCs w:val="22"/>
        </w:rPr>
        <w:t>y</w:t>
      </w:r>
      <w:r w:rsidR="0068578F" w:rsidRPr="00031671">
        <w:rPr>
          <w:szCs w:val="22"/>
        </w:rPr>
        <w:t xml:space="preserve">: Biele alebo takmer biele okrúhle ploché tablety s priemerom </w:t>
      </w:r>
      <w:smartTag w:uri="urn:schemas-microsoft-com:office:smarttags" w:element="metricconverter">
        <w:smartTagPr>
          <w:attr w:name="ProductID" w:val="11 mm"/>
        </w:smartTagPr>
        <w:r w:rsidR="0068578F" w:rsidRPr="00031671">
          <w:rPr>
            <w:szCs w:val="22"/>
          </w:rPr>
          <w:t>11 mm</w:t>
        </w:r>
      </w:smartTag>
      <w:r w:rsidR="0068578F" w:rsidRPr="00031671">
        <w:rPr>
          <w:szCs w:val="22"/>
        </w:rPr>
        <w:t>, s vyrytým „CH5“ na jednej strane, druhá strana bez označenia.</w:t>
      </w:r>
    </w:p>
    <w:p w14:paraId="4F1A1E9F" w14:textId="77777777" w:rsidR="0068578F" w:rsidRPr="00031671" w:rsidRDefault="00304E8C" w:rsidP="00F3126E">
      <w:pPr>
        <w:numPr>
          <w:ilvl w:val="12"/>
          <w:numId w:val="0"/>
        </w:numPr>
        <w:ind w:right="-2"/>
        <w:rPr>
          <w:szCs w:val="22"/>
        </w:rPr>
      </w:pPr>
      <w:r w:rsidRPr="00031671">
        <w:rPr>
          <w:szCs w:val="22"/>
        </w:rPr>
        <w:t>VIDONORM</w:t>
      </w:r>
      <w:r w:rsidR="0068578F" w:rsidRPr="00031671">
        <w:rPr>
          <w:szCs w:val="22"/>
        </w:rPr>
        <w:t> 8 mg/10 mg tablet</w:t>
      </w:r>
      <w:r w:rsidR="00AD7447" w:rsidRPr="00031671">
        <w:rPr>
          <w:szCs w:val="22"/>
        </w:rPr>
        <w:t>y</w:t>
      </w:r>
      <w:r w:rsidR="0068578F" w:rsidRPr="00031671">
        <w:rPr>
          <w:szCs w:val="22"/>
        </w:rPr>
        <w:t xml:space="preserve">: Biele alebo takmer biele okrúhle ploché tablety s priemerom </w:t>
      </w:r>
      <w:smartTag w:uri="urn:schemas-microsoft-com:office:smarttags" w:element="metricconverter">
        <w:smartTagPr>
          <w:attr w:name="ProductID" w:val="11 mm"/>
        </w:smartTagPr>
        <w:r w:rsidR="0068578F" w:rsidRPr="00031671">
          <w:rPr>
            <w:szCs w:val="22"/>
          </w:rPr>
          <w:t>11 mm</w:t>
        </w:r>
      </w:smartTag>
      <w:r w:rsidR="0068578F" w:rsidRPr="00031671">
        <w:rPr>
          <w:szCs w:val="22"/>
        </w:rPr>
        <w:t>, s vyrytým „CH6“ na jednej strane, druhá strana bez označenia.</w:t>
      </w:r>
    </w:p>
    <w:p w14:paraId="3815A7D5" w14:textId="77777777" w:rsidR="001E1948" w:rsidRPr="00506927" w:rsidRDefault="001E1948" w:rsidP="00F3126E">
      <w:pPr>
        <w:pStyle w:val="Zkladntext"/>
        <w:rPr>
          <w:sz w:val="22"/>
          <w:lang w:val="sk-SK"/>
        </w:rPr>
      </w:pPr>
    </w:p>
    <w:p w14:paraId="31D469B3" w14:textId="77777777" w:rsidR="001E1948" w:rsidRPr="00762B3B" w:rsidRDefault="001E1948" w:rsidP="00F3126E">
      <w:pPr>
        <w:ind w:left="0" w:firstLine="0"/>
        <w:rPr>
          <w:szCs w:val="22"/>
        </w:rPr>
      </w:pPr>
    </w:p>
    <w:p w14:paraId="3CE7D144" w14:textId="77777777" w:rsidR="001E1948" w:rsidRPr="00762B3B" w:rsidRDefault="001E1948" w:rsidP="00F3126E">
      <w:pPr>
        <w:rPr>
          <w:caps/>
          <w:szCs w:val="22"/>
        </w:rPr>
      </w:pPr>
      <w:r w:rsidRPr="00762B3B">
        <w:rPr>
          <w:b/>
          <w:caps/>
          <w:szCs w:val="22"/>
        </w:rPr>
        <w:t>4.</w:t>
      </w:r>
      <w:r w:rsidRPr="00762B3B">
        <w:rPr>
          <w:b/>
          <w:caps/>
          <w:szCs w:val="22"/>
        </w:rPr>
        <w:tab/>
        <w:t>KLINICKÉ ÚDAJE</w:t>
      </w:r>
    </w:p>
    <w:p w14:paraId="2454045B" w14:textId="77777777" w:rsidR="001E1948" w:rsidRPr="00031671" w:rsidRDefault="001E1948" w:rsidP="00F3126E">
      <w:pPr>
        <w:rPr>
          <w:szCs w:val="22"/>
        </w:rPr>
      </w:pPr>
    </w:p>
    <w:p w14:paraId="4637EB0E" w14:textId="77777777" w:rsidR="001E1948" w:rsidRPr="00031671" w:rsidRDefault="001E1948" w:rsidP="00F3126E">
      <w:pPr>
        <w:rPr>
          <w:szCs w:val="22"/>
        </w:rPr>
      </w:pPr>
      <w:r w:rsidRPr="00031671">
        <w:rPr>
          <w:b/>
          <w:szCs w:val="22"/>
        </w:rPr>
        <w:t>4.1</w:t>
      </w:r>
      <w:r w:rsidRPr="00031671">
        <w:rPr>
          <w:b/>
          <w:szCs w:val="22"/>
        </w:rPr>
        <w:tab/>
        <w:t>Terapeutické indikácie</w:t>
      </w:r>
    </w:p>
    <w:p w14:paraId="6A414350" w14:textId="77777777" w:rsidR="001E1948" w:rsidRPr="00031671" w:rsidRDefault="001E1948" w:rsidP="00F3126E">
      <w:pPr>
        <w:rPr>
          <w:szCs w:val="22"/>
        </w:rPr>
      </w:pPr>
    </w:p>
    <w:p w14:paraId="64C03BFC" w14:textId="77777777" w:rsidR="001E1948" w:rsidRPr="00031671" w:rsidRDefault="00304E8C" w:rsidP="00F3126E">
      <w:pPr>
        <w:ind w:left="0" w:firstLine="0"/>
        <w:rPr>
          <w:szCs w:val="22"/>
        </w:rPr>
      </w:pPr>
      <w:r w:rsidRPr="00031671">
        <w:rPr>
          <w:szCs w:val="22"/>
        </w:rPr>
        <w:t>VIDONORM</w:t>
      </w:r>
      <w:r w:rsidR="0068578F" w:rsidRPr="00031671">
        <w:rPr>
          <w:szCs w:val="22"/>
        </w:rPr>
        <w:t xml:space="preserve"> je indikovaný</w:t>
      </w:r>
      <w:r w:rsidR="001E1948" w:rsidRPr="00031671">
        <w:rPr>
          <w:szCs w:val="22"/>
        </w:rPr>
        <w:t xml:space="preserve"> ako substitučná terapia na liečbu esenciálnej hypertenzie a/alebo stabilnej ischemickej choroby srdca u pacientov, ktorí sú už kontrolovaní perindoprilom a amlodipínom podávanými súbežne v rovnakých </w:t>
      </w:r>
      <w:r w:rsidR="006F31F6" w:rsidRPr="00031671">
        <w:rPr>
          <w:szCs w:val="22"/>
        </w:rPr>
        <w:t>dávkových hladinách</w:t>
      </w:r>
      <w:r w:rsidR="001E1948" w:rsidRPr="00031671">
        <w:rPr>
          <w:szCs w:val="22"/>
        </w:rPr>
        <w:t>.</w:t>
      </w:r>
    </w:p>
    <w:p w14:paraId="3DCA3047" w14:textId="77777777" w:rsidR="001E1948" w:rsidRPr="00031671" w:rsidRDefault="001E1948" w:rsidP="00F3126E">
      <w:pPr>
        <w:rPr>
          <w:szCs w:val="22"/>
        </w:rPr>
      </w:pPr>
    </w:p>
    <w:p w14:paraId="10AAE5B1" w14:textId="77777777" w:rsidR="001E1948" w:rsidRPr="00031671" w:rsidRDefault="001E1948" w:rsidP="00506927">
      <w:pPr>
        <w:keepNext/>
        <w:ind w:left="562" w:hanging="562"/>
        <w:rPr>
          <w:szCs w:val="22"/>
        </w:rPr>
      </w:pPr>
      <w:r w:rsidRPr="00031671">
        <w:rPr>
          <w:b/>
          <w:szCs w:val="22"/>
        </w:rPr>
        <w:t>4.2</w:t>
      </w:r>
      <w:r w:rsidRPr="00031671">
        <w:rPr>
          <w:b/>
          <w:szCs w:val="22"/>
        </w:rPr>
        <w:tab/>
        <w:t>Dávkovanie a spôsob podávania</w:t>
      </w:r>
    </w:p>
    <w:p w14:paraId="073A7F3C" w14:textId="77777777" w:rsidR="001E1948" w:rsidRPr="00031671" w:rsidRDefault="001E1948" w:rsidP="00506927">
      <w:pPr>
        <w:keepNext/>
        <w:ind w:left="562" w:hanging="562"/>
        <w:rPr>
          <w:szCs w:val="22"/>
        </w:rPr>
      </w:pPr>
    </w:p>
    <w:p w14:paraId="6A2FE2A8" w14:textId="77777777" w:rsidR="00F675CD" w:rsidRPr="00031671" w:rsidRDefault="00F675CD" w:rsidP="00F675CD">
      <w:pPr>
        <w:rPr>
          <w:szCs w:val="22"/>
          <w:u w:val="single"/>
        </w:rPr>
      </w:pPr>
      <w:r w:rsidRPr="00031671">
        <w:rPr>
          <w:szCs w:val="22"/>
          <w:u w:val="single"/>
        </w:rPr>
        <w:t>Dávkovanie</w:t>
      </w:r>
    </w:p>
    <w:p w14:paraId="4A173A45" w14:textId="77777777" w:rsidR="00F675CD" w:rsidRPr="00031671" w:rsidRDefault="00F675CD" w:rsidP="00F3126E">
      <w:pPr>
        <w:pStyle w:val="Zkladntext"/>
        <w:rPr>
          <w:szCs w:val="22"/>
          <w:lang w:val="sk-SK"/>
        </w:rPr>
      </w:pPr>
    </w:p>
    <w:p w14:paraId="782350D7" w14:textId="0E1A715D" w:rsidR="001E1948" w:rsidRPr="00506927" w:rsidRDefault="001E1948" w:rsidP="00F3126E">
      <w:pPr>
        <w:pStyle w:val="Zkladntext"/>
        <w:rPr>
          <w:sz w:val="22"/>
          <w:lang w:val="sk-SK"/>
        </w:rPr>
      </w:pPr>
      <w:r w:rsidRPr="00506927">
        <w:rPr>
          <w:sz w:val="22"/>
          <w:lang w:val="sk-SK"/>
        </w:rPr>
        <w:t>Jedna</w:t>
      </w:r>
      <w:r w:rsidR="0068578F" w:rsidRPr="00506927">
        <w:rPr>
          <w:sz w:val="22"/>
          <w:lang w:val="sk-SK"/>
        </w:rPr>
        <w:t xml:space="preserve"> tableta denne</w:t>
      </w:r>
      <w:r w:rsidRPr="00506927">
        <w:rPr>
          <w:sz w:val="22"/>
          <w:lang w:val="sk-SK"/>
        </w:rPr>
        <w:t xml:space="preserve"> užitá ako jednotlivá dávka</w:t>
      </w:r>
      <w:r w:rsidR="007B356D" w:rsidRPr="00762B3B">
        <w:rPr>
          <w:sz w:val="22"/>
          <w:szCs w:val="22"/>
          <w:lang w:val="sk-SK"/>
        </w:rPr>
        <w:t>.</w:t>
      </w:r>
      <w:r w:rsidR="00CD1F1A">
        <w:rPr>
          <w:sz w:val="22"/>
          <w:szCs w:val="22"/>
          <w:lang w:val="sk-SK"/>
        </w:rPr>
        <w:t xml:space="preserve"> </w:t>
      </w:r>
      <w:r w:rsidRPr="00506927">
        <w:rPr>
          <w:sz w:val="22"/>
          <w:lang w:val="sk-SK"/>
        </w:rPr>
        <w:t>Fixná kombinácia dávok nie je vhodná ako začiatočná terapia.</w:t>
      </w:r>
    </w:p>
    <w:p w14:paraId="7DE137E5" w14:textId="77777777" w:rsidR="0068578F" w:rsidRPr="00506927" w:rsidRDefault="0068578F" w:rsidP="00F3126E">
      <w:pPr>
        <w:pStyle w:val="Zkladntext"/>
        <w:rPr>
          <w:sz w:val="22"/>
          <w:lang w:val="sk-SK"/>
        </w:rPr>
      </w:pPr>
    </w:p>
    <w:p w14:paraId="442A4CB2" w14:textId="77777777" w:rsidR="001E1948" w:rsidRPr="00506927" w:rsidRDefault="001E1948" w:rsidP="00F3126E">
      <w:pPr>
        <w:pStyle w:val="Zkladntext"/>
        <w:rPr>
          <w:sz w:val="22"/>
          <w:lang w:val="sk-SK"/>
        </w:rPr>
      </w:pPr>
      <w:r w:rsidRPr="00506927">
        <w:rPr>
          <w:sz w:val="22"/>
          <w:lang w:val="sk-SK"/>
        </w:rPr>
        <w:t xml:space="preserve">Ak je potrebná zmena dávkovania, môže sa dávka </w:t>
      </w:r>
      <w:r w:rsidR="00304E8C" w:rsidRPr="00506927">
        <w:rPr>
          <w:sz w:val="22"/>
          <w:lang w:val="sk-SK"/>
        </w:rPr>
        <w:t>VIDONORMU</w:t>
      </w:r>
      <w:r w:rsidRPr="00506927">
        <w:rPr>
          <w:sz w:val="22"/>
          <w:lang w:val="sk-SK"/>
        </w:rPr>
        <w:t xml:space="preserve"> upraviť alebo sa môže zvážiť individuálna titrácia </w:t>
      </w:r>
      <w:r w:rsidR="00056530" w:rsidRPr="00506927">
        <w:rPr>
          <w:sz w:val="22"/>
          <w:lang w:val="sk-SK"/>
        </w:rPr>
        <w:t>jednotlivých zložiek lieku</w:t>
      </w:r>
      <w:r w:rsidRPr="00506927">
        <w:rPr>
          <w:sz w:val="22"/>
          <w:lang w:val="sk-SK"/>
        </w:rPr>
        <w:t>.</w:t>
      </w:r>
    </w:p>
    <w:p w14:paraId="25CD0FEC" w14:textId="77777777" w:rsidR="001E1948" w:rsidRPr="00506927" w:rsidRDefault="001E1948" w:rsidP="00F3126E">
      <w:pPr>
        <w:pStyle w:val="Zkladntext"/>
        <w:rPr>
          <w:sz w:val="22"/>
          <w:lang w:val="sk-SK"/>
        </w:rPr>
      </w:pPr>
    </w:p>
    <w:p w14:paraId="46E8A09C" w14:textId="272F5175" w:rsidR="006564A5" w:rsidRPr="00762B3B" w:rsidRDefault="00B821FC" w:rsidP="00EE6F13">
      <w:pPr>
        <w:pStyle w:val="Zkladntext"/>
        <w:rPr>
          <w:i/>
          <w:sz w:val="22"/>
          <w:szCs w:val="22"/>
          <w:lang w:val="sk-SK"/>
        </w:rPr>
      </w:pPr>
      <w:r w:rsidRPr="00762B3B">
        <w:rPr>
          <w:i/>
          <w:sz w:val="22"/>
          <w:szCs w:val="22"/>
          <w:lang w:val="sk-SK"/>
        </w:rPr>
        <w:t>P</w:t>
      </w:r>
      <w:r w:rsidR="00A1485B" w:rsidRPr="00762B3B">
        <w:rPr>
          <w:i/>
          <w:sz w:val="22"/>
          <w:szCs w:val="22"/>
          <w:lang w:val="sk-SK"/>
        </w:rPr>
        <w:t>oruch</w:t>
      </w:r>
      <w:r w:rsidRPr="00762B3B">
        <w:rPr>
          <w:i/>
          <w:sz w:val="22"/>
          <w:szCs w:val="22"/>
          <w:lang w:val="sk-SK"/>
        </w:rPr>
        <w:t>a</w:t>
      </w:r>
      <w:r w:rsidR="00A1485B" w:rsidRPr="00762B3B">
        <w:rPr>
          <w:i/>
          <w:sz w:val="22"/>
          <w:szCs w:val="22"/>
          <w:lang w:val="sk-SK"/>
        </w:rPr>
        <w:t xml:space="preserve"> funkcie obličiek</w:t>
      </w:r>
      <w:r w:rsidR="001E1948" w:rsidRPr="00506927">
        <w:rPr>
          <w:i/>
          <w:sz w:val="22"/>
          <w:lang w:val="sk-SK"/>
        </w:rPr>
        <w:t xml:space="preserve"> a starší </w:t>
      </w:r>
      <w:r w:rsidR="00CD1F1A">
        <w:rPr>
          <w:i/>
          <w:sz w:val="22"/>
          <w:szCs w:val="22"/>
          <w:lang w:val="sk-SK"/>
        </w:rPr>
        <w:t>ľudia</w:t>
      </w:r>
      <w:r w:rsidR="00EE6F13" w:rsidRPr="00506927">
        <w:rPr>
          <w:i/>
          <w:sz w:val="22"/>
          <w:lang w:val="sk-SK"/>
        </w:rPr>
        <w:t xml:space="preserve"> </w:t>
      </w:r>
      <w:r w:rsidR="001E1948" w:rsidRPr="00506927">
        <w:rPr>
          <w:i/>
          <w:sz w:val="22"/>
          <w:lang w:val="sk-SK"/>
        </w:rPr>
        <w:t>(pozri časti 4.4 a 5.2</w:t>
      </w:r>
      <w:r w:rsidR="001E1948" w:rsidRPr="00031671">
        <w:rPr>
          <w:i/>
          <w:sz w:val="22"/>
          <w:szCs w:val="22"/>
          <w:lang w:val="sk-SK"/>
        </w:rPr>
        <w:t>)</w:t>
      </w:r>
    </w:p>
    <w:p w14:paraId="65664C46" w14:textId="77777777" w:rsidR="001E1948" w:rsidRPr="00031671" w:rsidRDefault="001E1948" w:rsidP="00F3126E">
      <w:pPr>
        <w:ind w:left="0" w:firstLine="0"/>
        <w:rPr>
          <w:szCs w:val="22"/>
        </w:rPr>
      </w:pPr>
      <w:r w:rsidRPr="00031671">
        <w:rPr>
          <w:szCs w:val="22"/>
        </w:rPr>
        <w:t xml:space="preserve">U pacientov s renálnym zlyhaním a starších </w:t>
      </w:r>
      <w:r w:rsidR="009F3787" w:rsidRPr="00031671">
        <w:rPr>
          <w:szCs w:val="22"/>
        </w:rPr>
        <w:t>ľudí</w:t>
      </w:r>
      <w:r w:rsidRPr="00031671">
        <w:rPr>
          <w:szCs w:val="22"/>
        </w:rPr>
        <w:t xml:space="preserve"> je znížená eliminácia peri</w:t>
      </w:r>
      <w:r w:rsidR="006F31F6" w:rsidRPr="00031671">
        <w:rPr>
          <w:szCs w:val="22"/>
        </w:rPr>
        <w:t>n</w:t>
      </w:r>
      <w:r w:rsidRPr="00031671">
        <w:rPr>
          <w:szCs w:val="22"/>
        </w:rPr>
        <w:t>doprilátu. Preto bude bežné lekárske sledovanie zahŕňať časté monitorovanie kreatinínu a draslíka.</w:t>
      </w:r>
    </w:p>
    <w:p w14:paraId="2088FDD6" w14:textId="77777777" w:rsidR="00056530" w:rsidRPr="00031671" w:rsidRDefault="00056530" w:rsidP="00F3126E">
      <w:pPr>
        <w:ind w:left="0" w:firstLine="0"/>
        <w:rPr>
          <w:szCs w:val="22"/>
        </w:rPr>
      </w:pPr>
    </w:p>
    <w:p w14:paraId="427EBD81" w14:textId="77777777" w:rsidR="001E1948" w:rsidRPr="00031671" w:rsidRDefault="00304E8C" w:rsidP="00F3126E">
      <w:pPr>
        <w:ind w:left="0" w:firstLine="0"/>
        <w:rPr>
          <w:szCs w:val="22"/>
        </w:rPr>
      </w:pPr>
      <w:r w:rsidRPr="00031671">
        <w:rPr>
          <w:szCs w:val="22"/>
        </w:rPr>
        <w:t>VIDONORM</w:t>
      </w:r>
      <w:r w:rsidR="00056530" w:rsidRPr="00031671">
        <w:rPr>
          <w:szCs w:val="22"/>
        </w:rPr>
        <w:t xml:space="preserve"> môže byť podávaný</w:t>
      </w:r>
      <w:r w:rsidR="001E1948" w:rsidRPr="00031671">
        <w:rPr>
          <w:szCs w:val="22"/>
        </w:rPr>
        <w:t xml:space="preserve"> pacientom s CL</w:t>
      </w:r>
      <w:r w:rsidR="001E1948" w:rsidRPr="00031671">
        <w:rPr>
          <w:szCs w:val="22"/>
          <w:vertAlign w:val="subscript"/>
        </w:rPr>
        <w:t>cr</w:t>
      </w:r>
      <w:r w:rsidR="001E1948" w:rsidRPr="00031671">
        <w:rPr>
          <w:szCs w:val="22"/>
        </w:rPr>
        <w:t xml:space="preserve"> ≥ 60 ml/min</w:t>
      </w:r>
      <w:r w:rsidR="00056530" w:rsidRPr="00031671">
        <w:rPr>
          <w:szCs w:val="22"/>
        </w:rPr>
        <w:t xml:space="preserve"> a nie je vhodný</w:t>
      </w:r>
      <w:r w:rsidR="001E1948" w:rsidRPr="00031671">
        <w:rPr>
          <w:szCs w:val="22"/>
        </w:rPr>
        <w:t xml:space="preserve"> pre pacientov s CL</w:t>
      </w:r>
      <w:r w:rsidR="001E1948" w:rsidRPr="00031671">
        <w:rPr>
          <w:szCs w:val="22"/>
          <w:vertAlign w:val="subscript"/>
        </w:rPr>
        <w:t>cr</w:t>
      </w:r>
      <w:r w:rsidR="001E1948" w:rsidRPr="00031671">
        <w:rPr>
          <w:szCs w:val="22"/>
        </w:rPr>
        <w:t xml:space="preserve"> &lt; 60 ml/min. U týchto pacientov sa odporúča individuálna titrácia dávky </w:t>
      </w:r>
      <w:r w:rsidR="00056530" w:rsidRPr="00031671">
        <w:rPr>
          <w:szCs w:val="22"/>
        </w:rPr>
        <w:t xml:space="preserve">jednotlivými </w:t>
      </w:r>
      <w:r w:rsidR="001E1948" w:rsidRPr="00031671">
        <w:rPr>
          <w:szCs w:val="22"/>
        </w:rPr>
        <w:t>zložkami lieku.</w:t>
      </w:r>
    </w:p>
    <w:p w14:paraId="1338D1A3" w14:textId="77777777" w:rsidR="001E1948" w:rsidRPr="00031671" w:rsidRDefault="001E1948" w:rsidP="00F3126E">
      <w:pPr>
        <w:ind w:left="0" w:firstLine="0"/>
        <w:rPr>
          <w:szCs w:val="22"/>
        </w:rPr>
      </w:pPr>
    </w:p>
    <w:p w14:paraId="05CF108B" w14:textId="77777777" w:rsidR="001E1948" w:rsidRPr="00031671" w:rsidRDefault="001E1948" w:rsidP="00F3126E">
      <w:pPr>
        <w:ind w:left="0" w:firstLine="0"/>
        <w:rPr>
          <w:szCs w:val="22"/>
        </w:rPr>
      </w:pPr>
      <w:r w:rsidRPr="00031671">
        <w:rPr>
          <w:szCs w:val="22"/>
        </w:rPr>
        <w:t xml:space="preserve">Zmeny plazmatickej koncentrácie amlodipínu nesúvisia so stupňom </w:t>
      </w:r>
      <w:r w:rsidR="00B10E42" w:rsidRPr="00031671">
        <w:rPr>
          <w:szCs w:val="22"/>
        </w:rPr>
        <w:t>poruchy funkcie obličiek</w:t>
      </w:r>
      <w:r w:rsidRPr="00031671">
        <w:rPr>
          <w:szCs w:val="22"/>
        </w:rPr>
        <w:t>.</w:t>
      </w:r>
      <w:r w:rsidR="00056530" w:rsidRPr="00031671">
        <w:rPr>
          <w:szCs w:val="22"/>
        </w:rPr>
        <w:t xml:space="preserve"> Amlodipín nie je dialyzovateľný.</w:t>
      </w:r>
    </w:p>
    <w:p w14:paraId="73BA4C0E" w14:textId="77777777" w:rsidR="001E1948" w:rsidRPr="00031671" w:rsidRDefault="001E1948" w:rsidP="00F3126E">
      <w:pPr>
        <w:ind w:left="0" w:firstLine="0"/>
        <w:rPr>
          <w:szCs w:val="22"/>
        </w:rPr>
      </w:pPr>
    </w:p>
    <w:p w14:paraId="4D04B1B1" w14:textId="3848B4DF" w:rsidR="000E3F3D" w:rsidRPr="00031671" w:rsidRDefault="00B821FC" w:rsidP="00EE6F13">
      <w:pPr>
        <w:ind w:left="0" w:firstLine="0"/>
        <w:rPr>
          <w:szCs w:val="22"/>
        </w:rPr>
      </w:pPr>
      <w:r w:rsidRPr="00031671">
        <w:rPr>
          <w:i/>
          <w:szCs w:val="22"/>
        </w:rPr>
        <w:t>P</w:t>
      </w:r>
      <w:r w:rsidR="00A1485B" w:rsidRPr="00031671">
        <w:rPr>
          <w:i/>
          <w:szCs w:val="22"/>
        </w:rPr>
        <w:t>oruch</w:t>
      </w:r>
      <w:r w:rsidRPr="00031671">
        <w:rPr>
          <w:i/>
          <w:szCs w:val="22"/>
        </w:rPr>
        <w:t>a</w:t>
      </w:r>
      <w:r w:rsidR="00A1485B" w:rsidRPr="00031671">
        <w:rPr>
          <w:i/>
          <w:szCs w:val="22"/>
        </w:rPr>
        <w:t xml:space="preserve"> funkcie pečene</w:t>
      </w:r>
      <w:r w:rsidRPr="00031671">
        <w:rPr>
          <w:i/>
          <w:szCs w:val="22"/>
        </w:rPr>
        <w:t xml:space="preserve"> (</w:t>
      </w:r>
      <w:r w:rsidR="001E1948" w:rsidRPr="00031671">
        <w:rPr>
          <w:i/>
          <w:szCs w:val="22"/>
        </w:rPr>
        <w:t>pozri časti 4.4 a 5.2</w:t>
      </w:r>
      <w:r w:rsidRPr="00031671">
        <w:rPr>
          <w:i/>
          <w:szCs w:val="22"/>
        </w:rPr>
        <w:t>)</w:t>
      </w:r>
    </w:p>
    <w:p w14:paraId="4821AFD6" w14:textId="77777777" w:rsidR="001E1948" w:rsidRPr="00031671" w:rsidRDefault="001E1948" w:rsidP="00F3126E">
      <w:pPr>
        <w:ind w:left="0" w:firstLine="0"/>
        <w:rPr>
          <w:szCs w:val="22"/>
        </w:rPr>
      </w:pPr>
      <w:r w:rsidRPr="00031671">
        <w:rPr>
          <w:szCs w:val="22"/>
        </w:rPr>
        <w:t>Dávkovací režim pre pacientov s </w:t>
      </w:r>
      <w:r w:rsidR="00B10E42" w:rsidRPr="00031671">
        <w:rPr>
          <w:szCs w:val="22"/>
        </w:rPr>
        <w:t>poruchou funkcie pečene</w:t>
      </w:r>
      <w:r w:rsidRPr="00031671">
        <w:rPr>
          <w:szCs w:val="22"/>
        </w:rPr>
        <w:t xml:space="preserve"> nebol stanovený. Preto je potrebné </w:t>
      </w:r>
      <w:r w:rsidR="00304E8C" w:rsidRPr="00031671">
        <w:rPr>
          <w:szCs w:val="22"/>
        </w:rPr>
        <w:t>VIDONORM</w:t>
      </w:r>
      <w:r w:rsidRPr="00031671">
        <w:rPr>
          <w:szCs w:val="22"/>
        </w:rPr>
        <w:t xml:space="preserve"> podávať opatrne.</w:t>
      </w:r>
    </w:p>
    <w:p w14:paraId="4F638B18" w14:textId="77777777" w:rsidR="001E1948" w:rsidRPr="00031671" w:rsidRDefault="001E1948" w:rsidP="00F3126E">
      <w:pPr>
        <w:ind w:left="0" w:firstLine="0"/>
        <w:rPr>
          <w:i/>
          <w:szCs w:val="22"/>
        </w:rPr>
      </w:pPr>
    </w:p>
    <w:p w14:paraId="38DBF634" w14:textId="77777777" w:rsidR="000E3F3D" w:rsidRPr="00031671" w:rsidRDefault="00F675CD" w:rsidP="003D239F">
      <w:pPr>
        <w:ind w:left="0" w:firstLine="0"/>
        <w:rPr>
          <w:szCs w:val="22"/>
        </w:rPr>
      </w:pPr>
      <w:r w:rsidRPr="00031671">
        <w:rPr>
          <w:i/>
          <w:szCs w:val="22"/>
        </w:rPr>
        <w:t>Pediatrická populácia</w:t>
      </w:r>
    </w:p>
    <w:p w14:paraId="6981049A" w14:textId="77777777" w:rsidR="001E1948" w:rsidRPr="00031671" w:rsidRDefault="00304E8C" w:rsidP="00F3126E">
      <w:pPr>
        <w:spacing w:line="240" w:lineRule="atLeast"/>
        <w:ind w:left="0" w:firstLine="0"/>
        <w:rPr>
          <w:szCs w:val="22"/>
        </w:rPr>
      </w:pPr>
      <w:r w:rsidRPr="00031671">
        <w:rPr>
          <w:szCs w:val="22"/>
        </w:rPr>
        <w:t>VIDONORM</w:t>
      </w:r>
      <w:r w:rsidR="001E1948" w:rsidRPr="00031671">
        <w:rPr>
          <w:szCs w:val="22"/>
        </w:rPr>
        <w:t xml:space="preserve"> sa nemá používať u detí a dospievajúcich, </w:t>
      </w:r>
      <w:r w:rsidR="006F31F6" w:rsidRPr="00031671">
        <w:rPr>
          <w:szCs w:val="22"/>
        </w:rPr>
        <w:t>keďže</w:t>
      </w:r>
      <w:r w:rsidR="001E1948" w:rsidRPr="00031671">
        <w:rPr>
          <w:szCs w:val="22"/>
        </w:rPr>
        <w:t xml:space="preserve"> účinnosť a znášanlivosť perindoprilu </w:t>
      </w:r>
      <w:r w:rsidR="000E3F3D" w:rsidRPr="00031671">
        <w:rPr>
          <w:szCs w:val="22"/>
        </w:rPr>
        <w:t xml:space="preserve">samotného </w:t>
      </w:r>
      <w:r w:rsidR="001E1948" w:rsidRPr="00031671">
        <w:rPr>
          <w:szCs w:val="22"/>
        </w:rPr>
        <w:t>a</w:t>
      </w:r>
      <w:r w:rsidR="000E3F3D" w:rsidRPr="00031671">
        <w:rPr>
          <w:szCs w:val="22"/>
        </w:rPr>
        <w:t>lebo</w:t>
      </w:r>
      <w:r w:rsidR="00564F10" w:rsidRPr="00031671">
        <w:rPr>
          <w:szCs w:val="22"/>
        </w:rPr>
        <w:t xml:space="preserve"> </w:t>
      </w:r>
      <w:r w:rsidR="000E3F3D" w:rsidRPr="00031671">
        <w:rPr>
          <w:szCs w:val="22"/>
        </w:rPr>
        <w:t>v kombinácii</w:t>
      </w:r>
      <w:r w:rsidR="00564F10" w:rsidRPr="00031671">
        <w:rPr>
          <w:szCs w:val="22"/>
        </w:rPr>
        <w:t xml:space="preserve"> </w:t>
      </w:r>
      <w:r w:rsidR="000E3F3D" w:rsidRPr="00031671">
        <w:rPr>
          <w:szCs w:val="22"/>
        </w:rPr>
        <w:t>s amlodipínom</w:t>
      </w:r>
      <w:r w:rsidR="001E1948" w:rsidRPr="00031671">
        <w:rPr>
          <w:szCs w:val="22"/>
        </w:rPr>
        <w:t xml:space="preserve"> u detí a dospievajúcich nebola stanovená.</w:t>
      </w:r>
    </w:p>
    <w:p w14:paraId="159A6E60" w14:textId="77777777" w:rsidR="001E1948" w:rsidRPr="00031671" w:rsidRDefault="001E1948" w:rsidP="00F3126E">
      <w:pPr>
        <w:ind w:left="0" w:firstLine="0"/>
        <w:rPr>
          <w:szCs w:val="22"/>
        </w:rPr>
      </w:pPr>
    </w:p>
    <w:p w14:paraId="608917F7" w14:textId="77777777" w:rsidR="00F675CD" w:rsidRPr="00031671" w:rsidRDefault="00F675CD" w:rsidP="00F675CD">
      <w:pPr>
        <w:rPr>
          <w:szCs w:val="22"/>
          <w:u w:val="single"/>
        </w:rPr>
      </w:pPr>
      <w:r w:rsidRPr="00031671">
        <w:rPr>
          <w:szCs w:val="22"/>
          <w:u w:val="single"/>
        </w:rPr>
        <w:t>Spôsob podávania</w:t>
      </w:r>
    </w:p>
    <w:p w14:paraId="06693653" w14:textId="77777777" w:rsidR="00F675CD" w:rsidRPr="00031671" w:rsidRDefault="00F675CD" w:rsidP="00F3126E">
      <w:pPr>
        <w:ind w:left="0" w:firstLine="0"/>
        <w:rPr>
          <w:szCs w:val="22"/>
        </w:rPr>
      </w:pPr>
    </w:p>
    <w:p w14:paraId="0D55CE98" w14:textId="77777777" w:rsidR="00766BFA" w:rsidRPr="00506927" w:rsidRDefault="00766BFA" w:rsidP="00766BFA">
      <w:pPr>
        <w:pStyle w:val="Zkladntext"/>
        <w:rPr>
          <w:sz w:val="22"/>
          <w:lang w:val="sk-SK"/>
        </w:rPr>
      </w:pPr>
      <w:r w:rsidRPr="00506927">
        <w:rPr>
          <w:sz w:val="22"/>
          <w:lang w:val="sk-SK"/>
        </w:rPr>
        <w:t xml:space="preserve">Perorálne použitie. </w:t>
      </w:r>
      <w:r w:rsidR="007B356D" w:rsidRPr="00762B3B">
        <w:rPr>
          <w:sz w:val="22"/>
          <w:szCs w:val="22"/>
          <w:lang w:val="sk-SK"/>
        </w:rPr>
        <w:t xml:space="preserve">Prednostne sa má užiť </w:t>
      </w:r>
      <w:r w:rsidRPr="00506927">
        <w:rPr>
          <w:sz w:val="22"/>
          <w:lang w:val="sk-SK"/>
        </w:rPr>
        <w:t>ráno a pred jedlom.</w:t>
      </w:r>
    </w:p>
    <w:p w14:paraId="2FE358CA" w14:textId="77777777" w:rsidR="00766BFA" w:rsidRPr="00506927" w:rsidRDefault="00766BFA" w:rsidP="00F3126E">
      <w:pPr>
        <w:ind w:left="0" w:firstLine="0"/>
      </w:pPr>
    </w:p>
    <w:p w14:paraId="3FD2005E" w14:textId="77777777" w:rsidR="001E1948" w:rsidRPr="00762B3B" w:rsidRDefault="001E1948" w:rsidP="00F3126E">
      <w:pPr>
        <w:rPr>
          <w:szCs w:val="22"/>
        </w:rPr>
      </w:pPr>
      <w:r w:rsidRPr="00762B3B">
        <w:rPr>
          <w:b/>
          <w:szCs w:val="22"/>
        </w:rPr>
        <w:t>4.3</w:t>
      </w:r>
      <w:r w:rsidRPr="00762B3B">
        <w:rPr>
          <w:b/>
          <w:szCs w:val="22"/>
        </w:rPr>
        <w:tab/>
        <w:t>Kontraindikácie</w:t>
      </w:r>
    </w:p>
    <w:p w14:paraId="7664FED2" w14:textId="77777777" w:rsidR="001E1948" w:rsidRPr="00031671" w:rsidRDefault="001E1948" w:rsidP="00F3126E">
      <w:pPr>
        <w:rPr>
          <w:szCs w:val="22"/>
        </w:rPr>
      </w:pPr>
    </w:p>
    <w:p w14:paraId="1B90B4FA" w14:textId="584FB044" w:rsidR="001E1948" w:rsidRPr="00031671" w:rsidRDefault="001E1948" w:rsidP="00F3126E">
      <w:pPr>
        <w:tabs>
          <w:tab w:val="left" w:pos="284"/>
          <w:tab w:val="left" w:pos="709"/>
          <w:tab w:val="left" w:pos="993"/>
        </w:tabs>
        <w:spacing w:line="240" w:lineRule="atLeast"/>
        <w:rPr>
          <w:i/>
          <w:szCs w:val="22"/>
          <w:u w:val="single"/>
        </w:rPr>
      </w:pPr>
      <w:r w:rsidRPr="00031671">
        <w:rPr>
          <w:i/>
          <w:szCs w:val="22"/>
          <w:u w:val="single"/>
        </w:rPr>
        <w:t>Súvisiace s perindoprilom</w:t>
      </w:r>
    </w:p>
    <w:p w14:paraId="197BA9DF" w14:textId="77777777" w:rsidR="000E3F3D" w:rsidRPr="00031671" w:rsidRDefault="000E3F3D" w:rsidP="00F3126E">
      <w:pPr>
        <w:tabs>
          <w:tab w:val="left" w:pos="284"/>
          <w:tab w:val="left" w:pos="709"/>
          <w:tab w:val="left" w:pos="993"/>
        </w:tabs>
        <w:spacing w:line="240" w:lineRule="atLeast"/>
        <w:rPr>
          <w:i/>
          <w:szCs w:val="22"/>
        </w:rPr>
      </w:pPr>
    </w:p>
    <w:p w14:paraId="38309BB1" w14:textId="77777777" w:rsidR="001E1948" w:rsidRPr="00031671" w:rsidRDefault="001E1948" w:rsidP="00F3126E">
      <w:pPr>
        <w:numPr>
          <w:ilvl w:val="0"/>
          <w:numId w:val="3"/>
        </w:numPr>
        <w:ind w:left="425" w:right="113" w:hanging="425"/>
        <w:rPr>
          <w:szCs w:val="22"/>
        </w:rPr>
      </w:pPr>
      <w:r w:rsidRPr="00031671">
        <w:rPr>
          <w:szCs w:val="22"/>
        </w:rPr>
        <w:t>Precitlivenosť na perindopril alebo na ktorýkoľvek iný ACE inhibítor,</w:t>
      </w:r>
    </w:p>
    <w:p w14:paraId="3BD19A4F" w14:textId="77777777" w:rsidR="001E1948" w:rsidRPr="00031671" w:rsidRDefault="001E1948" w:rsidP="00F3126E">
      <w:pPr>
        <w:numPr>
          <w:ilvl w:val="0"/>
          <w:numId w:val="3"/>
        </w:numPr>
        <w:ind w:left="426" w:right="113" w:hanging="426"/>
        <w:rPr>
          <w:szCs w:val="22"/>
        </w:rPr>
      </w:pPr>
      <w:r w:rsidRPr="00031671">
        <w:rPr>
          <w:szCs w:val="22"/>
        </w:rPr>
        <w:t>Anamnéza angioedému súvisiaceho s predchádzajúcou liečbou ACE inhibítorom,</w:t>
      </w:r>
    </w:p>
    <w:p w14:paraId="7319ADB3" w14:textId="77777777" w:rsidR="001E1948" w:rsidRPr="00031671" w:rsidRDefault="001E1948" w:rsidP="00F3126E">
      <w:pPr>
        <w:numPr>
          <w:ilvl w:val="0"/>
          <w:numId w:val="3"/>
        </w:numPr>
        <w:ind w:left="426" w:right="113" w:hanging="426"/>
        <w:rPr>
          <w:szCs w:val="22"/>
        </w:rPr>
      </w:pPr>
      <w:r w:rsidRPr="00031671">
        <w:rPr>
          <w:szCs w:val="22"/>
        </w:rPr>
        <w:t>Hereditárny alebo idiopatický angioedém,</w:t>
      </w:r>
    </w:p>
    <w:p w14:paraId="3B29A689" w14:textId="77777777" w:rsidR="00BF092D" w:rsidRPr="00031671" w:rsidRDefault="001E1948" w:rsidP="00F3126E">
      <w:pPr>
        <w:numPr>
          <w:ilvl w:val="0"/>
          <w:numId w:val="3"/>
        </w:numPr>
        <w:ind w:left="426" w:right="113" w:hanging="426"/>
        <w:rPr>
          <w:szCs w:val="22"/>
        </w:rPr>
      </w:pPr>
      <w:r w:rsidRPr="00031671">
        <w:rPr>
          <w:szCs w:val="22"/>
        </w:rPr>
        <w:t>Druhý a tretí trimester gravidity (pozri časti 4.4 a 4.6)</w:t>
      </w:r>
      <w:r w:rsidR="00BF092D" w:rsidRPr="00031671">
        <w:rPr>
          <w:szCs w:val="22"/>
        </w:rPr>
        <w:t>,</w:t>
      </w:r>
    </w:p>
    <w:p w14:paraId="47E6AF02" w14:textId="77777777" w:rsidR="001E1948" w:rsidRPr="00031671" w:rsidRDefault="00BF092D" w:rsidP="00F3126E">
      <w:pPr>
        <w:numPr>
          <w:ilvl w:val="0"/>
          <w:numId w:val="3"/>
        </w:numPr>
        <w:ind w:left="426" w:right="113" w:hanging="426"/>
        <w:rPr>
          <w:szCs w:val="22"/>
        </w:rPr>
      </w:pPr>
      <w:r w:rsidRPr="00031671">
        <w:rPr>
          <w:szCs w:val="22"/>
        </w:rPr>
        <w:t xml:space="preserve">Súbežné používanie </w:t>
      </w:r>
      <w:r w:rsidR="00304E8C" w:rsidRPr="00031671">
        <w:rPr>
          <w:szCs w:val="22"/>
        </w:rPr>
        <w:t>VIDONORMU</w:t>
      </w:r>
      <w:r w:rsidRPr="00031671">
        <w:rPr>
          <w:szCs w:val="22"/>
        </w:rPr>
        <w:t xml:space="preserve"> s liekmi obsahujúcimi aliskiren u pacientov s diabetes mellitus alebo poruchou funkcie obličiek (GFR &lt; 60 ml/min/1,73 m</w:t>
      </w:r>
      <w:r w:rsidRPr="00031671">
        <w:rPr>
          <w:szCs w:val="22"/>
          <w:vertAlign w:val="superscript"/>
        </w:rPr>
        <w:t>2</w:t>
      </w:r>
      <w:r w:rsidRPr="00031671">
        <w:rPr>
          <w:szCs w:val="22"/>
        </w:rPr>
        <w:t xml:space="preserve">) (pozri časti </w:t>
      </w:r>
      <w:r w:rsidR="00FF43EB" w:rsidRPr="00031671">
        <w:rPr>
          <w:szCs w:val="22"/>
        </w:rPr>
        <w:t xml:space="preserve">4.4, </w:t>
      </w:r>
      <w:r w:rsidRPr="00031671">
        <w:rPr>
          <w:szCs w:val="22"/>
        </w:rPr>
        <w:t>4.5 a 5.1).</w:t>
      </w:r>
    </w:p>
    <w:p w14:paraId="77D4C660" w14:textId="77777777" w:rsidR="001E1948" w:rsidRPr="00031671" w:rsidRDefault="001E1948" w:rsidP="00F3126E">
      <w:pPr>
        <w:ind w:left="0" w:firstLine="0"/>
        <w:rPr>
          <w:szCs w:val="22"/>
        </w:rPr>
      </w:pPr>
    </w:p>
    <w:p w14:paraId="38CB4B3C" w14:textId="042A1811" w:rsidR="001E1948" w:rsidRPr="00031671" w:rsidRDefault="001E1948" w:rsidP="00F3126E">
      <w:pPr>
        <w:ind w:left="0" w:firstLine="0"/>
        <w:rPr>
          <w:i/>
          <w:szCs w:val="22"/>
          <w:u w:val="single"/>
        </w:rPr>
      </w:pPr>
      <w:r w:rsidRPr="00031671">
        <w:rPr>
          <w:i/>
          <w:szCs w:val="22"/>
          <w:u w:val="single"/>
        </w:rPr>
        <w:t>Súvisiace s amlodipínom</w:t>
      </w:r>
    </w:p>
    <w:p w14:paraId="6A120819" w14:textId="77777777" w:rsidR="000E3F3D" w:rsidRPr="00031671" w:rsidRDefault="000E3F3D" w:rsidP="00F3126E">
      <w:pPr>
        <w:ind w:left="0" w:firstLine="0"/>
        <w:rPr>
          <w:i/>
          <w:szCs w:val="22"/>
        </w:rPr>
      </w:pPr>
    </w:p>
    <w:p w14:paraId="50CD95FA" w14:textId="77777777" w:rsidR="005A0007" w:rsidRPr="00031671" w:rsidRDefault="005A0007" w:rsidP="005A0007">
      <w:pPr>
        <w:numPr>
          <w:ilvl w:val="0"/>
          <w:numId w:val="3"/>
        </w:numPr>
        <w:ind w:left="425" w:hanging="425"/>
        <w:rPr>
          <w:szCs w:val="22"/>
        </w:rPr>
      </w:pPr>
      <w:r w:rsidRPr="00031671">
        <w:rPr>
          <w:szCs w:val="22"/>
        </w:rPr>
        <w:t>Precitlivenosť na amlodipín alebo na ktorýkoľvek iný dihydropyridín,</w:t>
      </w:r>
    </w:p>
    <w:p w14:paraId="79FF6B10" w14:textId="77777777" w:rsidR="001E1948" w:rsidRPr="00031671" w:rsidRDefault="001E1948" w:rsidP="00F3126E">
      <w:pPr>
        <w:numPr>
          <w:ilvl w:val="0"/>
          <w:numId w:val="3"/>
        </w:numPr>
        <w:ind w:left="425" w:hanging="425"/>
        <w:rPr>
          <w:szCs w:val="22"/>
        </w:rPr>
      </w:pPr>
      <w:r w:rsidRPr="00031671">
        <w:rPr>
          <w:szCs w:val="22"/>
        </w:rPr>
        <w:t>Závažná hypotenzia,</w:t>
      </w:r>
    </w:p>
    <w:p w14:paraId="56BB3D72" w14:textId="77777777" w:rsidR="001E1948" w:rsidRPr="00031671" w:rsidRDefault="001E1948" w:rsidP="00F3126E">
      <w:pPr>
        <w:numPr>
          <w:ilvl w:val="0"/>
          <w:numId w:val="3"/>
        </w:numPr>
        <w:ind w:left="425" w:hanging="425"/>
        <w:rPr>
          <w:szCs w:val="22"/>
        </w:rPr>
      </w:pPr>
      <w:r w:rsidRPr="00031671">
        <w:rPr>
          <w:szCs w:val="22"/>
        </w:rPr>
        <w:t>Šok, vrátane kardiogénneho šoku,</w:t>
      </w:r>
    </w:p>
    <w:p w14:paraId="6831292F" w14:textId="77777777" w:rsidR="001E1948" w:rsidRPr="00031671" w:rsidRDefault="001E1948" w:rsidP="00F3126E">
      <w:pPr>
        <w:numPr>
          <w:ilvl w:val="0"/>
          <w:numId w:val="3"/>
        </w:numPr>
        <w:ind w:left="426" w:hanging="426"/>
        <w:rPr>
          <w:szCs w:val="22"/>
        </w:rPr>
      </w:pPr>
      <w:r w:rsidRPr="00031671">
        <w:rPr>
          <w:szCs w:val="22"/>
        </w:rPr>
        <w:t>Obštrukcia prietoku ľavej srdcovej komory (napr. vysoký stupeň aortálnej stenózy),</w:t>
      </w:r>
    </w:p>
    <w:p w14:paraId="4105EA0F" w14:textId="77777777" w:rsidR="001E1948" w:rsidRPr="00031671" w:rsidRDefault="00056530" w:rsidP="00F3126E">
      <w:pPr>
        <w:numPr>
          <w:ilvl w:val="0"/>
          <w:numId w:val="3"/>
        </w:numPr>
        <w:ind w:left="426" w:hanging="426"/>
        <w:rPr>
          <w:szCs w:val="22"/>
        </w:rPr>
      </w:pPr>
      <w:r w:rsidRPr="00031671">
        <w:rPr>
          <w:szCs w:val="22"/>
        </w:rPr>
        <w:t>Hemodynamicky nestabilné zlyhanie srdca</w:t>
      </w:r>
      <w:r w:rsidR="001E1948" w:rsidRPr="00031671">
        <w:rPr>
          <w:szCs w:val="22"/>
        </w:rPr>
        <w:t xml:space="preserve"> po akútnom inf</w:t>
      </w:r>
      <w:r w:rsidRPr="00031671">
        <w:rPr>
          <w:szCs w:val="22"/>
        </w:rPr>
        <w:t>arkte myokardu</w:t>
      </w:r>
      <w:r w:rsidR="001E1948" w:rsidRPr="00031671">
        <w:rPr>
          <w:szCs w:val="22"/>
        </w:rPr>
        <w:t>.</w:t>
      </w:r>
    </w:p>
    <w:p w14:paraId="1AF11034" w14:textId="77777777" w:rsidR="001E1948" w:rsidRPr="00031671" w:rsidRDefault="001E1948" w:rsidP="00F3126E">
      <w:pPr>
        <w:ind w:left="340" w:hanging="340"/>
        <w:rPr>
          <w:szCs w:val="22"/>
        </w:rPr>
      </w:pPr>
    </w:p>
    <w:p w14:paraId="2D074AB2" w14:textId="5DEA0536" w:rsidR="001E1948" w:rsidRPr="00031671" w:rsidRDefault="001E1948" w:rsidP="00F3126E">
      <w:pPr>
        <w:ind w:left="0" w:firstLine="0"/>
        <w:rPr>
          <w:i/>
          <w:szCs w:val="22"/>
          <w:u w:val="single"/>
        </w:rPr>
      </w:pPr>
      <w:r w:rsidRPr="00031671">
        <w:rPr>
          <w:i/>
          <w:szCs w:val="22"/>
          <w:u w:val="single"/>
        </w:rPr>
        <w:t>Súvisiace s </w:t>
      </w:r>
      <w:r w:rsidR="00304E8C" w:rsidRPr="00031671">
        <w:rPr>
          <w:i/>
          <w:szCs w:val="22"/>
          <w:u w:val="single"/>
        </w:rPr>
        <w:t>VIDONORMOM</w:t>
      </w:r>
    </w:p>
    <w:p w14:paraId="0BC96429" w14:textId="77777777" w:rsidR="000E3F3D" w:rsidRPr="00031671" w:rsidRDefault="000E3F3D" w:rsidP="00F3126E">
      <w:pPr>
        <w:ind w:left="0" w:firstLine="0"/>
        <w:rPr>
          <w:i/>
          <w:szCs w:val="22"/>
        </w:rPr>
      </w:pPr>
    </w:p>
    <w:p w14:paraId="48143609" w14:textId="77777777" w:rsidR="001E1948" w:rsidRPr="00031671" w:rsidRDefault="001E1948" w:rsidP="00F3126E">
      <w:pPr>
        <w:ind w:left="0" w:firstLine="0"/>
        <w:rPr>
          <w:szCs w:val="22"/>
        </w:rPr>
      </w:pPr>
      <w:r w:rsidRPr="00031671">
        <w:rPr>
          <w:szCs w:val="22"/>
        </w:rPr>
        <w:t xml:space="preserve">Všetky kontraindikácie súvisiace s jednotlivými liečivami uvedené vyššie platia aj pre fixnú kombináciu </w:t>
      </w:r>
      <w:r w:rsidR="00304E8C" w:rsidRPr="00031671">
        <w:rPr>
          <w:szCs w:val="22"/>
        </w:rPr>
        <w:t>VIDONORMU</w:t>
      </w:r>
      <w:r w:rsidRPr="00031671">
        <w:rPr>
          <w:szCs w:val="22"/>
        </w:rPr>
        <w:t>.</w:t>
      </w:r>
    </w:p>
    <w:p w14:paraId="4A69D980" w14:textId="77777777" w:rsidR="001E1948" w:rsidRPr="00031671" w:rsidRDefault="001E1948" w:rsidP="00F3126E">
      <w:pPr>
        <w:numPr>
          <w:ilvl w:val="0"/>
          <w:numId w:val="3"/>
        </w:numPr>
        <w:ind w:left="425" w:hanging="425"/>
        <w:rPr>
          <w:szCs w:val="22"/>
        </w:rPr>
      </w:pPr>
      <w:r w:rsidRPr="00031671">
        <w:rPr>
          <w:szCs w:val="22"/>
        </w:rPr>
        <w:t>Precitlivenosť na ktorúkoľvek z pomocných látok</w:t>
      </w:r>
      <w:r w:rsidR="006564A5" w:rsidRPr="00031671">
        <w:rPr>
          <w:szCs w:val="22"/>
        </w:rPr>
        <w:t xml:space="preserve"> uvedených v časti 6.1</w:t>
      </w:r>
      <w:r w:rsidRPr="00031671">
        <w:rPr>
          <w:szCs w:val="22"/>
        </w:rPr>
        <w:t>.</w:t>
      </w:r>
    </w:p>
    <w:p w14:paraId="59C9E25C" w14:textId="77777777" w:rsidR="001E1948" w:rsidRPr="00031671" w:rsidRDefault="001E1948" w:rsidP="00F3126E">
      <w:pPr>
        <w:rPr>
          <w:szCs w:val="22"/>
        </w:rPr>
      </w:pPr>
    </w:p>
    <w:p w14:paraId="30FDBB9D" w14:textId="77777777" w:rsidR="001E1948" w:rsidRPr="00031671" w:rsidRDefault="001E1948" w:rsidP="00F3126E">
      <w:pPr>
        <w:rPr>
          <w:szCs w:val="22"/>
        </w:rPr>
      </w:pPr>
      <w:r w:rsidRPr="00031671">
        <w:rPr>
          <w:b/>
          <w:szCs w:val="22"/>
        </w:rPr>
        <w:t>4.4</w:t>
      </w:r>
      <w:r w:rsidRPr="00031671">
        <w:rPr>
          <w:b/>
          <w:szCs w:val="22"/>
        </w:rPr>
        <w:tab/>
        <w:t>Osobitné upozornenia a opatrenia pri používaní</w:t>
      </w:r>
    </w:p>
    <w:p w14:paraId="111347DC" w14:textId="77777777" w:rsidR="001E1948" w:rsidRPr="00031671" w:rsidRDefault="001E1948" w:rsidP="00F3126E">
      <w:pPr>
        <w:rPr>
          <w:szCs w:val="22"/>
        </w:rPr>
      </w:pPr>
    </w:p>
    <w:p w14:paraId="2BB883E3" w14:textId="77777777" w:rsidR="001E1948" w:rsidRPr="00031671" w:rsidRDefault="001E1948" w:rsidP="00762B3B">
      <w:pPr>
        <w:ind w:left="0" w:firstLine="0"/>
        <w:rPr>
          <w:szCs w:val="22"/>
        </w:rPr>
      </w:pPr>
      <w:r w:rsidRPr="00031671">
        <w:rPr>
          <w:szCs w:val="22"/>
        </w:rPr>
        <w:t xml:space="preserve">Všetky upozornenia súvisiace s jednotlivými liečivami uvedené nižšie platia aj pre fixnú kombináciu </w:t>
      </w:r>
      <w:r w:rsidR="00304E8C" w:rsidRPr="00031671">
        <w:rPr>
          <w:szCs w:val="22"/>
        </w:rPr>
        <w:t>VIDONORMU</w:t>
      </w:r>
      <w:r w:rsidRPr="00031671">
        <w:rPr>
          <w:szCs w:val="22"/>
        </w:rPr>
        <w:t>.</w:t>
      </w:r>
    </w:p>
    <w:p w14:paraId="60A86172" w14:textId="77777777" w:rsidR="001E1948" w:rsidRPr="00031671" w:rsidRDefault="001E1948" w:rsidP="00031671">
      <w:pPr>
        <w:rPr>
          <w:szCs w:val="22"/>
        </w:rPr>
      </w:pPr>
    </w:p>
    <w:p w14:paraId="36AF4548" w14:textId="77777777" w:rsidR="001E1948" w:rsidRPr="00031671" w:rsidRDefault="001E1948" w:rsidP="00031671">
      <w:pPr>
        <w:outlineLvl w:val="0"/>
        <w:rPr>
          <w:i/>
          <w:iCs/>
          <w:szCs w:val="22"/>
          <w:u w:val="single"/>
        </w:rPr>
      </w:pPr>
      <w:r w:rsidRPr="00031671">
        <w:rPr>
          <w:i/>
          <w:iCs/>
          <w:szCs w:val="22"/>
          <w:u w:val="single"/>
        </w:rPr>
        <w:t>Súvisiace s perindoprilom</w:t>
      </w:r>
    </w:p>
    <w:p w14:paraId="7D01A016" w14:textId="77777777" w:rsidR="001E1948" w:rsidRPr="00031671" w:rsidRDefault="001E1948" w:rsidP="00031671">
      <w:pPr>
        <w:outlineLvl w:val="0"/>
        <w:rPr>
          <w:i/>
          <w:iCs/>
          <w:szCs w:val="22"/>
          <w:u w:val="single"/>
        </w:rPr>
      </w:pPr>
    </w:p>
    <w:p w14:paraId="42677064" w14:textId="77777777" w:rsidR="0029432C" w:rsidRPr="00031671" w:rsidRDefault="0029432C" w:rsidP="00031671">
      <w:pPr>
        <w:autoSpaceDE w:val="0"/>
        <w:autoSpaceDN w:val="0"/>
        <w:adjustRightInd w:val="0"/>
        <w:rPr>
          <w:szCs w:val="22"/>
          <w:u w:val="single"/>
        </w:rPr>
      </w:pPr>
      <w:r w:rsidRPr="00031671">
        <w:rPr>
          <w:szCs w:val="22"/>
          <w:u w:val="single"/>
        </w:rPr>
        <w:t>Stabilná ischemická choroba srdca</w:t>
      </w:r>
    </w:p>
    <w:p w14:paraId="154F84AC" w14:textId="77777777" w:rsidR="0029432C" w:rsidRPr="00031671" w:rsidRDefault="0029432C" w:rsidP="00031671">
      <w:pPr>
        <w:autoSpaceDE w:val="0"/>
        <w:autoSpaceDN w:val="0"/>
        <w:adjustRightInd w:val="0"/>
        <w:ind w:left="0" w:firstLine="0"/>
        <w:rPr>
          <w:szCs w:val="22"/>
        </w:rPr>
      </w:pPr>
      <w:r w:rsidRPr="00031671">
        <w:rPr>
          <w:szCs w:val="22"/>
        </w:rPr>
        <w:t>Ak sa počas prvého mesiaca liečby perindoprilom vyskytne epizóda nestabilnej angíny pektoris (bez ohľadu na to, či je alebo nie je závažná), pred pokračovaním liečby sa má vykonať dôkladné zhodnotenie pomeru medzi rizikom a prínosom.</w:t>
      </w:r>
    </w:p>
    <w:p w14:paraId="26A173E2" w14:textId="77777777" w:rsidR="0029432C" w:rsidRPr="00031671" w:rsidRDefault="0029432C" w:rsidP="00031671">
      <w:pPr>
        <w:autoSpaceDE w:val="0"/>
        <w:autoSpaceDN w:val="0"/>
        <w:adjustRightInd w:val="0"/>
        <w:rPr>
          <w:szCs w:val="22"/>
        </w:rPr>
      </w:pPr>
    </w:p>
    <w:p w14:paraId="1AE75DD3" w14:textId="77777777" w:rsidR="0029432C" w:rsidRPr="00031671" w:rsidRDefault="0029432C" w:rsidP="00031671">
      <w:pPr>
        <w:autoSpaceDE w:val="0"/>
        <w:autoSpaceDN w:val="0"/>
        <w:adjustRightInd w:val="0"/>
        <w:rPr>
          <w:szCs w:val="22"/>
          <w:u w:val="single"/>
        </w:rPr>
      </w:pPr>
      <w:r w:rsidRPr="00031671">
        <w:rPr>
          <w:szCs w:val="22"/>
          <w:u w:val="single"/>
        </w:rPr>
        <w:t>Hypotenzia</w:t>
      </w:r>
    </w:p>
    <w:p w14:paraId="39072E63" w14:textId="77777777" w:rsidR="0029432C" w:rsidRPr="00031671" w:rsidRDefault="0029432C" w:rsidP="00506927">
      <w:pPr>
        <w:autoSpaceDE w:val="0"/>
        <w:autoSpaceDN w:val="0"/>
        <w:adjustRightInd w:val="0"/>
        <w:ind w:left="0" w:firstLine="0"/>
        <w:rPr>
          <w:szCs w:val="22"/>
        </w:rPr>
      </w:pPr>
      <w:r w:rsidRPr="00031671">
        <w:rPr>
          <w:szCs w:val="22"/>
        </w:rPr>
        <w:t>ACE inhibítory môžu spôsobiť pokles krvného tlaku. U pacientov s nekomplikovanou hypertenziou sa symptomatická hypotenzia vyskytuje zriedkavo a jej výskyt je pravdepodobnejší u pacientov s hypovolémiou spôsobenou napríklad diuretickou liečbou, diétou s obmedzením soli, dialýzou, hnačkou alebo vracaním, alebo u pacientov, ktorí majú ťažkú renín-dependentnú hypertenziu (pozri časti 4.5 a 4.8). U pacientov so symptomatickým srdcovým zlyhaním, s pridruženou renálnou insuficienciou alebo bez nej, bola pozorovaná symptomatická hypotenzia. Jej výskyt je najpravdepodobnejší u pacientov so závažnejším srdcovým zlyhaním, ktoré si vyžaduje užívanie vysokých dávok slučkových diuretík, u pacientov s hyponatriémiou alebo poruchou funkcie obličiek. U pacientov vystavených zvýšenému riziku vzniku symptomatickej hypotenzie je potrebné dôkladne monitorovať začiatok liečby a úpravu dávky (pozri časti 4.2 a 4.8). Podobné preventívne opatrenia sa vzťahujú tiež na pacientov s ischemickou chorobou srdca alebo cerebrovaskulárnym ochorením, u</w:t>
      </w:r>
      <w:r w:rsidR="00B120B9" w:rsidRPr="00031671">
        <w:rPr>
          <w:szCs w:val="22"/>
        </w:rPr>
        <w:t> </w:t>
      </w:r>
      <w:r w:rsidRPr="00031671">
        <w:rPr>
          <w:szCs w:val="22"/>
        </w:rPr>
        <w:t>ktorých by nadmerný pokles krvného tlaku mohol viesť k infarktu myokardu alebo k cerebrovaskulárnej príhode.</w:t>
      </w:r>
    </w:p>
    <w:p w14:paraId="638B516C" w14:textId="77777777" w:rsidR="0029432C" w:rsidRPr="00031671" w:rsidRDefault="0029432C" w:rsidP="00506927">
      <w:pPr>
        <w:autoSpaceDE w:val="0"/>
        <w:autoSpaceDN w:val="0"/>
        <w:adjustRightInd w:val="0"/>
        <w:ind w:left="0" w:firstLine="0"/>
        <w:rPr>
          <w:szCs w:val="22"/>
        </w:rPr>
      </w:pPr>
    </w:p>
    <w:p w14:paraId="72BF84AF" w14:textId="77777777" w:rsidR="0029432C" w:rsidRPr="00031671" w:rsidRDefault="0029432C" w:rsidP="00506927">
      <w:pPr>
        <w:autoSpaceDE w:val="0"/>
        <w:autoSpaceDN w:val="0"/>
        <w:adjustRightInd w:val="0"/>
        <w:ind w:left="0" w:firstLine="0"/>
        <w:rPr>
          <w:szCs w:val="22"/>
        </w:rPr>
      </w:pPr>
      <w:r w:rsidRPr="00031671">
        <w:rPr>
          <w:szCs w:val="22"/>
        </w:rPr>
        <w:t>Ak dôjde k hypotenzii, pacient sa má uložiť do polohy ležmo na chrbte a v prípade potreby má dostať intravenóznu infúziu roztok chloridu sodného 9 mg/ml (0,9 %). Prechodná hypotenzná reakcia nie je kontraindikáciou pre podávanie ďalších dávok, ktoré je možné podať zvyčajne bez ťažkostí, keď sa krvný tlak zvýši po zvýšení objemu.</w:t>
      </w:r>
    </w:p>
    <w:p w14:paraId="38520F5B" w14:textId="77777777" w:rsidR="0029432C" w:rsidRPr="00031671" w:rsidRDefault="0029432C" w:rsidP="00506927">
      <w:pPr>
        <w:autoSpaceDE w:val="0"/>
        <w:autoSpaceDN w:val="0"/>
        <w:adjustRightInd w:val="0"/>
        <w:ind w:left="0" w:firstLine="0"/>
        <w:rPr>
          <w:szCs w:val="22"/>
        </w:rPr>
      </w:pPr>
      <w:r w:rsidRPr="00031671">
        <w:rPr>
          <w:szCs w:val="22"/>
        </w:rPr>
        <w:t>U niektorých pacientov s kongestívnym srdcovým zlyhaním, ktorí majú normálny alebo nízky krvný tlak, môže po podaní perindoprilu dôjsť k ďalšiemu zníženiu systémového krvného tlaku. Takýto účinok sa očakáva a zvyčajne nie je dôvodom na prerušenie liečby. Ak sa hypotenzia stane symptomatickou, môže byť potrebné zníženie dávky perindoprilu alebo jeho vysadenie.</w:t>
      </w:r>
    </w:p>
    <w:p w14:paraId="3F23F18C" w14:textId="77777777" w:rsidR="0029432C" w:rsidRPr="00031671" w:rsidRDefault="0029432C" w:rsidP="00506927">
      <w:pPr>
        <w:autoSpaceDE w:val="0"/>
        <w:autoSpaceDN w:val="0"/>
        <w:adjustRightInd w:val="0"/>
        <w:ind w:left="0" w:firstLine="0"/>
        <w:rPr>
          <w:szCs w:val="22"/>
        </w:rPr>
      </w:pPr>
    </w:p>
    <w:p w14:paraId="60F65961" w14:textId="77777777" w:rsidR="0029432C" w:rsidRPr="00031671" w:rsidRDefault="0029432C" w:rsidP="00762B3B">
      <w:pPr>
        <w:autoSpaceDE w:val="0"/>
        <w:autoSpaceDN w:val="0"/>
        <w:adjustRightInd w:val="0"/>
        <w:rPr>
          <w:szCs w:val="22"/>
          <w:u w:val="single"/>
        </w:rPr>
      </w:pPr>
      <w:r w:rsidRPr="00031671">
        <w:rPr>
          <w:szCs w:val="22"/>
          <w:u w:val="single"/>
        </w:rPr>
        <w:t xml:space="preserve">Stenóza aortálnej a mitrálnej chlopne/hypertrofická kardiomyopatia </w:t>
      </w:r>
    </w:p>
    <w:p w14:paraId="65CFD00D" w14:textId="77777777" w:rsidR="0029432C" w:rsidRPr="00031671" w:rsidRDefault="0029432C" w:rsidP="00031671">
      <w:pPr>
        <w:autoSpaceDE w:val="0"/>
        <w:autoSpaceDN w:val="0"/>
        <w:adjustRightInd w:val="0"/>
        <w:ind w:left="0" w:firstLine="0"/>
        <w:rPr>
          <w:szCs w:val="22"/>
        </w:rPr>
      </w:pPr>
      <w:r w:rsidRPr="00031671">
        <w:rPr>
          <w:szCs w:val="22"/>
        </w:rPr>
        <w:t>Tak ako iné ACE inhibítory, perindopril sa má podávať opatrne pacientom so stenózou mitrálnej chlopne a obštrukciou odtoku z ľavej komory, ako je aortálna stenóza alebo hypertrofická kardiomyopatia.</w:t>
      </w:r>
    </w:p>
    <w:p w14:paraId="706D7F8D" w14:textId="77777777" w:rsidR="0029432C" w:rsidRPr="00031671" w:rsidRDefault="0029432C" w:rsidP="00031671">
      <w:pPr>
        <w:autoSpaceDE w:val="0"/>
        <w:autoSpaceDN w:val="0"/>
        <w:adjustRightInd w:val="0"/>
        <w:rPr>
          <w:szCs w:val="22"/>
        </w:rPr>
      </w:pPr>
    </w:p>
    <w:p w14:paraId="33C33597" w14:textId="77777777" w:rsidR="0029432C" w:rsidRPr="00031671" w:rsidRDefault="0029432C" w:rsidP="00031671">
      <w:pPr>
        <w:autoSpaceDE w:val="0"/>
        <w:autoSpaceDN w:val="0"/>
        <w:adjustRightInd w:val="0"/>
        <w:rPr>
          <w:szCs w:val="22"/>
          <w:u w:val="single"/>
        </w:rPr>
      </w:pPr>
      <w:r w:rsidRPr="00031671">
        <w:rPr>
          <w:szCs w:val="22"/>
          <w:u w:val="single"/>
        </w:rPr>
        <w:t>Porucha funkcie obličiek</w:t>
      </w:r>
    </w:p>
    <w:p w14:paraId="62EBB4F3" w14:textId="75D6DBEE" w:rsidR="0029432C" w:rsidRPr="00031671" w:rsidRDefault="0029432C" w:rsidP="00506927">
      <w:pPr>
        <w:autoSpaceDE w:val="0"/>
        <w:autoSpaceDN w:val="0"/>
        <w:adjustRightInd w:val="0"/>
        <w:ind w:left="0" w:firstLine="0"/>
        <w:rPr>
          <w:szCs w:val="22"/>
        </w:rPr>
      </w:pPr>
      <w:r w:rsidRPr="00031671">
        <w:rPr>
          <w:szCs w:val="22"/>
        </w:rPr>
        <w:t>V prípade poruchy funkcie obličiek (klírens kreatinínu &lt; 60 ml/min) sa má začiatočná dávka perindoprilu upraviť podľa pacientovho klírensu kreatinínu (pozri časť 4.2) a potom v závislosti od pacientovej odpovede na liečbu. U takýchto pacientov je rutinné monitorovanie hladín draslíka a</w:t>
      </w:r>
      <w:r w:rsidR="00031671">
        <w:rPr>
          <w:szCs w:val="22"/>
        </w:rPr>
        <w:t> </w:t>
      </w:r>
      <w:r w:rsidRPr="00031671">
        <w:rPr>
          <w:szCs w:val="22"/>
        </w:rPr>
        <w:t>kreatinínu súčasťou bežného lekárskeho postupu (pozri časť 4.8).</w:t>
      </w:r>
    </w:p>
    <w:p w14:paraId="0789B8FB" w14:textId="77777777" w:rsidR="0029432C" w:rsidRPr="00031671" w:rsidRDefault="0029432C" w:rsidP="00506927">
      <w:pPr>
        <w:autoSpaceDE w:val="0"/>
        <w:autoSpaceDN w:val="0"/>
        <w:adjustRightInd w:val="0"/>
        <w:ind w:left="0" w:firstLine="0"/>
        <w:rPr>
          <w:szCs w:val="22"/>
        </w:rPr>
      </w:pPr>
    </w:p>
    <w:p w14:paraId="498A1B79" w14:textId="77777777" w:rsidR="0029432C" w:rsidRPr="00031671" w:rsidRDefault="0029432C" w:rsidP="00506927">
      <w:pPr>
        <w:autoSpaceDE w:val="0"/>
        <w:autoSpaceDN w:val="0"/>
        <w:adjustRightInd w:val="0"/>
        <w:ind w:left="0" w:firstLine="0"/>
        <w:rPr>
          <w:szCs w:val="22"/>
        </w:rPr>
      </w:pPr>
      <w:r w:rsidRPr="00031671">
        <w:rPr>
          <w:szCs w:val="22"/>
        </w:rPr>
        <w:t>U pacientov so symptomatickým srdcovým zlyhaním môže hypotenzia nasledujúca po začatí liečby ACE inhibítormi, viesť k zhoršeniu funkcie obličiek. V takejto situácii bolo hlásené akútne, zvyčajne reverzibilné zlyhanie obličiek.</w:t>
      </w:r>
    </w:p>
    <w:p w14:paraId="524CC3D4" w14:textId="77777777" w:rsidR="0029432C" w:rsidRPr="00031671" w:rsidRDefault="0029432C" w:rsidP="00506927">
      <w:pPr>
        <w:autoSpaceDE w:val="0"/>
        <w:autoSpaceDN w:val="0"/>
        <w:adjustRightInd w:val="0"/>
        <w:ind w:left="0" w:firstLine="0"/>
        <w:rPr>
          <w:szCs w:val="22"/>
        </w:rPr>
      </w:pPr>
    </w:p>
    <w:p w14:paraId="660171CE" w14:textId="4EC02834" w:rsidR="0029432C" w:rsidRPr="00031671" w:rsidRDefault="0029432C" w:rsidP="00506927">
      <w:pPr>
        <w:autoSpaceDE w:val="0"/>
        <w:autoSpaceDN w:val="0"/>
        <w:adjustRightInd w:val="0"/>
        <w:ind w:left="0" w:firstLine="0"/>
        <w:rPr>
          <w:szCs w:val="22"/>
        </w:rPr>
      </w:pPr>
      <w:r w:rsidRPr="00031671">
        <w:rPr>
          <w:szCs w:val="22"/>
        </w:rPr>
        <w:t>U niektorých pacientov s bilaterálnou stenózou renálnych artérií alebo stenózou artérie solitérnej obličky, ktorí boli liečení ACE inhibítormi, bolo pozorované zvýšenie hladiny močoviny v krvi a</w:t>
      </w:r>
      <w:r w:rsidR="00031671">
        <w:rPr>
          <w:szCs w:val="22"/>
        </w:rPr>
        <w:t> </w:t>
      </w:r>
      <w:r w:rsidRPr="00762B3B">
        <w:rPr>
          <w:szCs w:val="22"/>
        </w:rPr>
        <w:t xml:space="preserve">kreatinínu v sére, ktoré bolo zvyčajne reverzibilné po ukončení liečby. Toto je obzvlášť pravdepodobné u pacientov s renálnou insuficienciou. Ak je prítomná aj renovaskulárna hypertenzia, existuje zvýšené riziko závažnej hypotenzie a renálnej insuficiencie. U takýchto pacientov sa má </w:t>
      </w:r>
      <w:r w:rsidRPr="00762B3B">
        <w:rPr>
          <w:szCs w:val="22"/>
        </w:rPr>
        <w:lastRenderedPageBreak/>
        <w:t>liečba začať pod prísnym lekár</w:t>
      </w:r>
      <w:r w:rsidRPr="00031671">
        <w:rPr>
          <w:szCs w:val="22"/>
        </w:rPr>
        <w:t>skym dohľadom, a to s nízkymi dávkami a opatrnou titráciou dávky. Vzhľadom k tomu, že liečba diuretikami môže byť faktorom zvyšujúcim riziko vyššie uvedených stavov, diuretiká sa majú vysadiť a počas prvých týždňov liečby perindoprilom je potrebné sledovať funkciu obličiek.</w:t>
      </w:r>
    </w:p>
    <w:p w14:paraId="6077EB36" w14:textId="77777777" w:rsidR="0029432C" w:rsidRPr="00031671" w:rsidRDefault="0029432C" w:rsidP="00506927">
      <w:pPr>
        <w:autoSpaceDE w:val="0"/>
        <w:autoSpaceDN w:val="0"/>
        <w:adjustRightInd w:val="0"/>
        <w:ind w:left="0" w:firstLine="0"/>
        <w:rPr>
          <w:szCs w:val="22"/>
        </w:rPr>
      </w:pPr>
    </w:p>
    <w:p w14:paraId="73876EB9" w14:textId="77777777" w:rsidR="0029432C" w:rsidRPr="00031671" w:rsidRDefault="0029432C" w:rsidP="00506927">
      <w:pPr>
        <w:autoSpaceDE w:val="0"/>
        <w:autoSpaceDN w:val="0"/>
        <w:adjustRightInd w:val="0"/>
        <w:ind w:left="0" w:firstLine="0"/>
        <w:rPr>
          <w:szCs w:val="22"/>
        </w:rPr>
      </w:pPr>
      <w:r w:rsidRPr="00031671">
        <w:rPr>
          <w:szCs w:val="22"/>
        </w:rPr>
        <w:t>U niektorých hypertenzných pacientov bez zjavného už existujúceho renovaskulárneho ochorenia došlo k zvyčajne miernemu a prechodnému zvýšeniu hladiny močoviny v krvi a kreatinínu v sére, obzvlášť vtedy, keď sa perindopril podával súbežne s diuretikom. Toto môže pravdepodobnejšie nastať u pacientov s už existujúcou poruchou funkcie obličiek. Môže byť potrebné zníženie dávky a/alebo vysadenie diuretika a/alebo perindoprilu.</w:t>
      </w:r>
    </w:p>
    <w:p w14:paraId="2DAFB5EE" w14:textId="77777777" w:rsidR="0029432C" w:rsidRPr="00031671" w:rsidRDefault="0029432C" w:rsidP="00762B3B">
      <w:pPr>
        <w:rPr>
          <w:szCs w:val="22"/>
        </w:rPr>
      </w:pPr>
    </w:p>
    <w:p w14:paraId="48E33591" w14:textId="77777777" w:rsidR="0029432C" w:rsidRPr="00031671" w:rsidRDefault="0029432C" w:rsidP="00031671">
      <w:pPr>
        <w:keepNext/>
        <w:autoSpaceDE w:val="0"/>
        <w:autoSpaceDN w:val="0"/>
        <w:adjustRightInd w:val="0"/>
        <w:rPr>
          <w:szCs w:val="22"/>
          <w:u w:val="single"/>
        </w:rPr>
      </w:pPr>
      <w:r w:rsidRPr="00031671">
        <w:rPr>
          <w:szCs w:val="22"/>
          <w:u w:val="single"/>
        </w:rPr>
        <w:t>Hemodialyzovaní pacienti</w:t>
      </w:r>
    </w:p>
    <w:p w14:paraId="4F8AC7CD" w14:textId="77777777" w:rsidR="0029432C" w:rsidRPr="00031671" w:rsidRDefault="0029432C" w:rsidP="00031671">
      <w:pPr>
        <w:autoSpaceDE w:val="0"/>
        <w:autoSpaceDN w:val="0"/>
        <w:adjustRightInd w:val="0"/>
        <w:ind w:left="0" w:firstLine="0"/>
        <w:rPr>
          <w:szCs w:val="22"/>
        </w:rPr>
      </w:pPr>
      <w:r w:rsidRPr="00031671">
        <w:rPr>
          <w:szCs w:val="22"/>
        </w:rPr>
        <w:t>U pacientov dialyzovaných pomocou vysokopriepustných membrán a súbežne liečených ACE inhibítorom boli hlásené anafylaktoidné reakcie. U týchto pacientov je potrebné zvážiť použitie iného druhu dialyzačnej membrány alebo podanie antihypertenzíva inej skupiny.</w:t>
      </w:r>
    </w:p>
    <w:p w14:paraId="1A1FF24B" w14:textId="77777777" w:rsidR="0029432C" w:rsidRPr="00031671" w:rsidRDefault="0029432C" w:rsidP="00031671">
      <w:pPr>
        <w:rPr>
          <w:szCs w:val="22"/>
        </w:rPr>
      </w:pPr>
    </w:p>
    <w:p w14:paraId="569EF386" w14:textId="77777777" w:rsidR="0029432C" w:rsidRPr="00031671" w:rsidRDefault="0029432C" w:rsidP="00031671">
      <w:pPr>
        <w:keepNext/>
        <w:rPr>
          <w:szCs w:val="22"/>
          <w:u w:val="single"/>
        </w:rPr>
      </w:pPr>
      <w:r w:rsidRPr="00031671">
        <w:rPr>
          <w:szCs w:val="22"/>
          <w:u w:val="single"/>
        </w:rPr>
        <w:t>Transplantácia obličiek</w:t>
      </w:r>
    </w:p>
    <w:p w14:paraId="2AF13213" w14:textId="77777777" w:rsidR="0029432C" w:rsidRPr="00031671" w:rsidRDefault="0029432C" w:rsidP="00031671">
      <w:pPr>
        <w:autoSpaceDE w:val="0"/>
        <w:autoSpaceDN w:val="0"/>
        <w:adjustRightInd w:val="0"/>
        <w:ind w:left="0" w:firstLine="0"/>
        <w:rPr>
          <w:szCs w:val="22"/>
        </w:rPr>
      </w:pPr>
      <w:r w:rsidRPr="00031671">
        <w:rPr>
          <w:szCs w:val="22"/>
        </w:rPr>
        <w:t>Nie sú k dispozícii skúsenosti týkajúce sa použitia perindoprilu u pacientov, ktorí nedávno podstúpili transplantáciu obličiek.</w:t>
      </w:r>
    </w:p>
    <w:p w14:paraId="021AC6F1" w14:textId="77777777" w:rsidR="0029432C" w:rsidRPr="00031671" w:rsidRDefault="0029432C" w:rsidP="00031671">
      <w:pPr>
        <w:autoSpaceDE w:val="0"/>
        <w:autoSpaceDN w:val="0"/>
        <w:adjustRightInd w:val="0"/>
        <w:rPr>
          <w:szCs w:val="22"/>
        </w:rPr>
      </w:pPr>
    </w:p>
    <w:p w14:paraId="584EBC54" w14:textId="77777777" w:rsidR="0029432C" w:rsidRPr="00031671" w:rsidRDefault="0029432C" w:rsidP="00031671">
      <w:pPr>
        <w:autoSpaceDE w:val="0"/>
        <w:autoSpaceDN w:val="0"/>
        <w:adjustRightInd w:val="0"/>
        <w:rPr>
          <w:szCs w:val="22"/>
          <w:u w:val="single"/>
        </w:rPr>
      </w:pPr>
      <w:r w:rsidRPr="00031671">
        <w:rPr>
          <w:szCs w:val="22"/>
          <w:u w:val="single"/>
        </w:rPr>
        <w:t>Precitlivenosť/angioedém</w:t>
      </w:r>
    </w:p>
    <w:p w14:paraId="5F9BC5DF" w14:textId="77777777" w:rsidR="0029432C" w:rsidRPr="00031671" w:rsidRDefault="0029432C" w:rsidP="00506927">
      <w:pPr>
        <w:autoSpaceDE w:val="0"/>
        <w:autoSpaceDN w:val="0"/>
        <w:adjustRightInd w:val="0"/>
        <w:ind w:left="0" w:firstLine="0"/>
        <w:rPr>
          <w:szCs w:val="22"/>
        </w:rPr>
      </w:pPr>
      <w:r w:rsidRPr="00031671">
        <w:rPr>
          <w:szCs w:val="22"/>
        </w:rPr>
        <w:t>U pacientov liečených ACE inhibítormi, vrátane perindoprilu, bol zriedkavo hlásený angioedém tváre, končatín, pier, slizníc, jazyka, hlasiviek a/alebo hrtana (pozri časť 4.8). Tento sa môže vyskytnúť kedykoľvek počas liečby.</w:t>
      </w:r>
      <w:r w:rsidRPr="00031671">
        <w:rPr>
          <w:b/>
          <w:i/>
          <w:szCs w:val="22"/>
        </w:rPr>
        <w:t xml:space="preserve"> </w:t>
      </w:r>
      <w:r w:rsidRPr="00031671">
        <w:rPr>
          <w:szCs w:val="22"/>
        </w:rPr>
        <w:t>V takýchto prípadoch sa má perindopril ihneď vysadiť a má sa začať náležité monitorovanie, v ktorom sa má pokračovať až dovtedy, kým nedôjde k úplnému vymiznutiu príznakov. V prípadoch, v ktorých opuch zasiahol tvár a pery, sa stav zvyčajne upravil bez liečby, aj keď antihistaminiká boli pri zmierňovaní príznakov užitočné.</w:t>
      </w:r>
    </w:p>
    <w:p w14:paraId="7602E74E" w14:textId="77777777" w:rsidR="0029432C" w:rsidRPr="00031671" w:rsidRDefault="0029432C" w:rsidP="00506927">
      <w:pPr>
        <w:autoSpaceDE w:val="0"/>
        <w:autoSpaceDN w:val="0"/>
        <w:adjustRightInd w:val="0"/>
        <w:ind w:left="0" w:firstLine="0"/>
        <w:rPr>
          <w:szCs w:val="22"/>
        </w:rPr>
      </w:pPr>
    </w:p>
    <w:p w14:paraId="68709FBB" w14:textId="3CD33EB7" w:rsidR="0029432C" w:rsidRPr="00031671" w:rsidRDefault="0029432C" w:rsidP="00506927">
      <w:pPr>
        <w:autoSpaceDE w:val="0"/>
        <w:autoSpaceDN w:val="0"/>
        <w:adjustRightInd w:val="0"/>
        <w:ind w:left="0" w:firstLine="0"/>
        <w:rPr>
          <w:szCs w:val="22"/>
        </w:rPr>
      </w:pPr>
      <w:r w:rsidRPr="00031671">
        <w:rPr>
          <w:szCs w:val="22"/>
        </w:rPr>
        <w:t>Angioedém spojený s edémom hrtana môže byť smrteľný. V prípadoch, v ktorých je zasiahnutý jazyk, hlasivky alebo hrtan, čo môže spôsobiť obštrukciu dýchacích ciest, sa musí ihneď poskytnúť záchranná liečba. Táto môže zahŕňať podanie adrenalínu a/alebo udržiavanie priechodnosti dýchacích ciest. Pacient má zostať pod prísnym lekárskym dohľadom až dovtedy, kým nedôjde k úplnému a</w:t>
      </w:r>
      <w:r w:rsidR="00031671">
        <w:rPr>
          <w:szCs w:val="22"/>
        </w:rPr>
        <w:t> </w:t>
      </w:r>
      <w:r w:rsidRPr="00031671">
        <w:rPr>
          <w:szCs w:val="22"/>
        </w:rPr>
        <w:t>trvalému vymiznutiu príznakov.</w:t>
      </w:r>
    </w:p>
    <w:p w14:paraId="43ACC7A3" w14:textId="77777777" w:rsidR="0029432C" w:rsidRPr="00031671" w:rsidRDefault="0029432C" w:rsidP="00506927">
      <w:pPr>
        <w:autoSpaceDE w:val="0"/>
        <w:autoSpaceDN w:val="0"/>
        <w:adjustRightInd w:val="0"/>
        <w:ind w:left="0" w:firstLine="0"/>
        <w:rPr>
          <w:szCs w:val="22"/>
        </w:rPr>
      </w:pPr>
    </w:p>
    <w:p w14:paraId="567397F9" w14:textId="77777777" w:rsidR="0029432C" w:rsidRPr="00031671" w:rsidRDefault="0029432C" w:rsidP="00506927">
      <w:pPr>
        <w:autoSpaceDE w:val="0"/>
        <w:autoSpaceDN w:val="0"/>
        <w:adjustRightInd w:val="0"/>
        <w:ind w:left="0" w:firstLine="0"/>
        <w:rPr>
          <w:szCs w:val="22"/>
        </w:rPr>
      </w:pPr>
      <w:r w:rsidRPr="00031671">
        <w:rPr>
          <w:szCs w:val="22"/>
        </w:rPr>
        <w:t>Pacienti s anamnézou angioedému nesúvisiaceho s liečbou ACE inhibítorom môžu byť vystavení zvýšenému riziku vzniku angioedému počas užívania ACE inhibítora (pozri časť 4.3).</w:t>
      </w:r>
    </w:p>
    <w:p w14:paraId="2B9A0A8B" w14:textId="77777777" w:rsidR="0029432C" w:rsidRPr="00031671" w:rsidRDefault="0029432C" w:rsidP="00506927">
      <w:pPr>
        <w:autoSpaceDE w:val="0"/>
        <w:autoSpaceDN w:val="0"/>
        <w:adjustRightInd w:val="0"/>
        <w:ind w:left="0" w:firstLine="0"/>
        <w:rPr>
          <w:szCs w:val="22"/>
        </w:rPr>
      </w:pPr>
    </w:p>
    <w:p w14:paraId="4F933D3A" w14:textId="77777777" w:rsidR="0029432C" w:rsidRPr="00031671" w:rsidRDefault="0029432C" w:rsidP="00506927">
      <w:pPr>
        <w:autoSpaceDE w:val="0"/>
        <w:autoSpaceDN w:val="0"/>
        <w:adjustRightInd w:val="0"/>
        <w:ind w:left="0" w:firstLine="0"/>
        <w:rPr>
          <w:szCs w:val="22"/>
        </w:rPr>
      </w:pPr>
      <w:r w:rsidRPr="00031671">
        <w:rPr>
          <w:szCs w:val="22"/>
        </w:rPr>
        <w:t>U pacientov liečených ACE inhibítormi bol zriedkavo hlásený intestinálny angioedém. Títo pacienti mali bolesti brucha (s nauzeou a vracaním alebo bez nich); v niektorých prípadoch bez predchádzajúceho angioedému tváre a s hladinami C-1 esterázy v norme. Angioedém bol diagnostikovaný pri vyšetreniach zahŕňajúcich CT brucha alebo ultrazvuk, alebo pri chirurgickom zákroku a symptómy ustúpili po ukončení podávania ACE inhibítorov. Intestinálny angioedém sa má zahrnúť do diferenciálnej diagnózy pacientov s bolesťou brucha užívajúcich ACE inhibítory.</w:t>
      </w:r>
    </w:p>
    <w:p w14:paraId="5EA0C5E4" w14:textId="77777777" w:rsidR="0029432C" w:rsidRPr="00031671" w:rsidRDefault="0029432C" w:rsidP="00762B3B">
      <w:pPr>
        <w:rPr>
          <w:szCs w:val="22"/>
        </w:rPr>
      </w:pPr>
    </w:p>
    <w:p w14:paraId="58D4A447" w14:textId="0F19B492" w:rsidR="005A0007" w:rsidRPr="00031671" w:rsidRDefault="005A0007" w:rsidP="00506927">
      <w:pPr>
        <w:ind w:left="0" w:firstLine="0"/>
        <w:rPr>
          <w:i/>
          <w:szCs w:val="22"/>
        </w:rPr>
      </w:pPr>
      <w:r w:rsidRPr="00031671">
        <w:rPr>
          <w:bCs/>
          <w:i/>
          <w:szCs w:val="22"/>
        </w:rPr>
        <w:t xml:space="preserve">Súbežné použitie inhibítorov </w:t>
      </w:r>
      <w:r w:rsidR="00A337FE" w:rsidRPr="00031671">
        <w:rPr>
          <w:bCs/>
          <w:i/>
          <w:szCs w:val="22"/>
        </w:rPr>
        <w:t>mTOR</w:t>
      </w:r>
      <w:r w:rsidR="00A337FE" w:rsidRPr="00031671" w:rsidDel="00A337FE">
        <w:rPr>
          <w:bCs/>
          <w:i/>
          <w:szCs w:val="22"/>
        </w:rPr>
        <w:t xml:space="preserve"> </w:t>
      </w:r>
      <w:r w:rsidR="00B821FC" w:rsidRPr="00031671">
        <w:rPr>
          <w:bCs/>
          <w:i/>
          <w:szCs w:val="22"/>
        </w:rPr>
        <w:t>(Mammalian Target of Rapamycin)</w:t>
      </w:r>
      <w:r w:rsidRPr="00031671">
        <w:rPr>
          <w:bCs/>
          <w:i/>
          <w:szCs w:val="22"/>
        </w:rPr>
        <w:t xml:space="preserve"> (napr. sirolimus, everolimus, temsirolimus) </w:t>
      </w:r>
    </w:p>
    <w:p w14:paraId="70AF1992" w14:textId="77777777" w:rsidR="005A0007" w:rsidRPr="00031671" w:rsidRDefault="005A0007" w:rsidP="00031671">
      <w:pPr>
        <w:ind w:left="0" w:firstLine="0"/>
        <w:rPr>
          <w:szCs w:val="22"/>
        </w:rPr>
      </w:pPr>
      <w:r w:rsidRPr="00031671">
        <w:rPr>
          <w:bCs/>
          <w:szCs w:val="22"/>
        </w:rPr>
        <w:t>Pacient</w:t>
      </w:r>
      <w:r w:rsidR="002A3AC4" w:rsidRPr="00031671">
        <w:rPr>
          <w:bCs/>
          <w:szCs w:val="22"/>
        </w:rPr>
        <w:t>om na</w:t>
      </w:r>
      <w:r w:rsidRPr="00031671">
        <w:rPr>
          <w:bCs/>
          <w:szCs w:val="22"/>
        </w:rPr>
        <w:t xml:space="preserve"> súbežne</w:t>
      </w:r>
      <w:r w:rsidR="002A3AC4" w:rsidRPr="00031671">
        <w:rPr>
          <w:bCs/>
          <w:szCs w:val="22"/>
        </w:rPr>
        <w:t>j</w:t>
      </w:r>
      <w:r w:rsidRPr="00031671">
        <w:rPr>
          <w:bCs/>
          <w:szCs w:val="22"/>
        </w:rPr>
        <w:t xml:space="preserve"> liečb</w:t>
      </w:r>
      <w:r w:rsidR="002A3AC4" w:rsidRPr="00031671">
        <w:rPr>
          <w:bCs/>
          <w:szCs w:val="22"/>
        </w:rPr>
        <w:t>e</w:t>
      </w:r>
      <w:r w:rsidRPr="00031671">
        <w:rPr>
          <w:bCs/>
          <w:szCs w:val="22"/>
        </w:rPr>
        <w:t xml:space="preserve"> inhibítormi mTOR (e.g. sirolimus, everolimus, temsirolimus) môž</w:t>
      </w:r>
      <w:r w:rsidR="002A3AC4" w:rsidRPr="00031671">
        <w:rPr>
          <w:bCs/>
          <w:szCs w:val="22"/>
        </w:rPr>
        <w:t>e hroziť vyššie</w:t>
      </w:r>
      <w:r w:rsidRPr="00031671">
        <w:rPr>
          <w:bCs/>
          <w:szCs w:val="22"/>
        </w:rPr>
        <w:t xml:space="preserve"> riziko angioedému (napr. opuch dýchacích ciest alebo jazyka, s</w:t>
      </w:r>
      <w:r w:rsidR="002A3AC4" w:rsidRPr="00031671">
        <w:rPr>
          <w:bCs/>
          <w:szCs w:val="22"/>
        </w:rPr>
        <w:t> narušením respiračnej funkcie</w:t>
      </w:r>
      <w:r w:rsidRPr="00031671">
        <w:rPr>
          <w:bCs/>
          <w:szCs w:val="22"/>
        </w:rPr>
        <w:t xml:space="preserve"> alebo bez nej) (pozri časť 4.5). </w:t>
      </w:r>
    </w:p>
    <w:p w14:paraId="0874F7D2" w14:textId="77777777" w:rsidR="005A0007" w:rsidRPr="00031671" w:rsidRDefault="005A0007" w:rsidP="0029432C">
      <w:pPr>
        <w:rPr>
          <w:szCs w:val="22"/>
        </w:rPr>
      </w:pPr>
    </w:p>
    <w:p w14:paraId="0A53D77C" w14:textId="77777777" w:rsidR="0029432C" w:rsidRPr="00031671" w:rsidRDefault="0029432C" w:rsidP="00506927">
      <w:pPr>
        <w:keepNext/>
        <w:autoSpaceDE w:val="0"/>
        <w:autoSpaceDN w:val="0"/>
        <w:adjustRightInd w:val="0"/>
        <w:ind w:left="562" w:hanging="562"/>
        <w:rPr>
          <w:szCs w:val="22"/>
          <w:u w:val="single"/>
        </w:rPr>
      </w:pPr>
      <w:r w:rsidRPr="00031671">
        <w:rPr>
          <w:szCs w:val="22"/>
          <w:u w:val="single"/>
        </w:rPr>
        <w:t>Anafylaktoidné reakcie počas aferézy lipoproteínov s nízkou hustotou (LDL aferéza)</w:t>
      </w:r>
    </w:p>
    <w:p w14:paraId="4D7E5942" w14:textId="77777777" w:rsidR="0029432C" w:rsidRPr="00031671" w:rsidRDefault="0029432C" w:rsidP="00506927">
      <w:pPr>
        <w:autoSpaceDE w:val="0"/>
        <w:autoSpaceDN w:val="0"/>
        <w:adjustRightInd w:val="0"/>
        <w:ind w:left="0" w:firstLine="0"/>
        <w:rPr>
          <w:szCs w:val="22"/>
        </w:rPr>
      </w:pPr>
      <w:r w:rsidRPr="00031671">
        <w:rPr>
          <w:szCs w:val="22"/>
        </w:rPr>
        <w:t>Zriedkavo sa u pacientov užívajúcich ACE inhibítory počas aferézy lipoproteínmi s nízkou hustotou (LDL), so síranom dextránu, vyskytli život ohrozujúce anafylaktoidné reakcie. Týmto reakciám sa predišlo dočasným vysadením liečby ACE inhibítormi pred každou aferézou.</w:t>
      </w:r>
    </w:p>
    <w:p w14:paraId="03330F13" w14:textId="77777777" w:rsidR="0029432C" w:rsidRPr="00031671" w:rsidRDefault="0029432C" w:rsidP="00762B3B">
      <w:pPr>
        <w:autoSpaceDE w:val="0"/>
        <w:autoSpaceDN w:val="0"/>
        <w:adjustRightInd w:val="0"/>
        <w:rPr>
          <w:szCs w:val="22"/>
        </w:rPr>
      </w:pPr>
    </w:p>
    <w:p w14:paraId="58D5F410" w14:textId="77777777" w:rsidR="0029432C" w:rsidRPr="00031671" w:rsidRDefault="0029432C" w:rsidP="00031671">
      <w:pPr>
        <w:autoSpaceDE w:val="0"/>
        <w:autoSpaceDN w:val="0"/>
        <w:adjustRightInd w:val="0"/>
        <w:rPr>
          <w:szCs w:val="22"/>
          <w:u w:val="single"/>
        </w:rPr>
      </w:pPr>
      <w:r w:rsidRPr="00031671">
        <w:rPr>
          <w:szCs w:val="22"/>
          <w:u w:val="single"/>
        </w:rPr>
        <w:lastRenderedPageBreak/>
        <w:t>Anafylaktické reakcie počas desenzibilizačnej liečby</w:t>
      </w:r>
    </w:p>
    <w:p w14:paraId="2300F171" w14:textId="77777777" w:rsidR="0029432C" w:rsidRPr="00031671" w:rsidRDefault="0029432C" w:rsidP="00031671">
      <w:pPr>
        <w:ind w:left="0" w:firstLine="0"/>
        <w:rPr>
          <w:strike/>
          <w:szCs w:val="22"/>
        </w:rPr>
      </w:pPr>
      <w:r w:rsidRPr="00031671">
        <w:rPr>
          <w:szCs w:val="22"/>
        </w:rPr>
        <w:t xml:space="preserve">U pacientov liečených ACE inhibítormi počas desenzibilizačnej liečby (napríklad jedom blanokrídlovcov) sa vyskytli anafylaktoidné reakcie. U týchto pacientov sa predišlo spomínaným reakciám dočasným vysadením ACE inhibítorov, ale pri náhodnej opätovnej expozícii sa tieto objavili znova. </w:t>
      </w:r>
    </w:p>
    <w:p w14:paraId="763B4E8B" w14:textId="77777777" w:rsidR="0029432C" w:rsidRPr="00031671" w:rsidRDefault="0029432C" w:rsidP="00031671">
      <w:pPr>
        <w:autoSpaceDE w:val="0"/>
        <w:autoSpaceDN w:val="0"/>
        <w:adjustRightInd w:val="0"/>
        <w:ind w:left="0" w:firstLine="0"/>
        <w:rPr>
          <w:szCs w:val="22"/>
        </w:rPr>
      </w:pPr>
    </w:p>
    <w:p w14:paraId="5C412A2C" w14:textId="77777777" w:rsidR="0029432C" w:rsidRPr="00031671" w:rsidRDefault="0029432C" w:rsidP="00031671">
      <w:pPr>
        <w:autoSpaceDE w:val="0"/>
        <w:autoSpaceDN w:val="0"/>
        <w:adjustRightInd w:val="0"/>
        <w:rPr>
          <w:szCs w:val="22"/>
          <w:u w:val="single"/>
        </w:rPr>
      </w:pPr>
      <w:r w:rsidRPr="00031671">
        <w:rPr>
          <w:szCs w:val="22"/>
          <w:u w:val="single"/>
        </w:rPr>
        <w:t>Zlyhávanie pečene</w:t>
      </w:r>
    </w:p>
    <w:p w14:paraId="4AFBC79B" w14:textId="77777777" w:rsidR="0029432C" w:rsidRPr="00031671" w:rsidRDefault="0029432C" w:rsidP="00031671">
      <w:pPr>
        <w:autoSpaceDE w:val="0"/>
        <w:autoSpaceDN w:val="0"/>
        <w:adjustRightInd w:val="0"/>
        <w:ind w:left="0" w:firstLine="0"/>
        <w:rPr>
          <w:szCs w:val="22"/>
        </w:rPr>
      </w:pPr>
      <w:r w:rsidRPr="00031671">
        <w:rPr>
          <w:szCs w:val="22"/>
        </w:rPr>
        <w:t>Zriedkavo boli ACE inhibítory spojené so vznikom syndrómu, ktorý sa začína cholestatickou žltačkou a progreduje do fulminantnej nekrózy pečene a (niekedy) úmrtia. Mechanizmus zodpovedný za tento syndróm nie je dosiaľ známy. Pacienti, u ktorých sa počas liečby ACE inhibítormi rozvinie žltačka alebo nastane výrazné zvýšenie hladín pečeňových enzýmov, majú ukončiť liečbu ACE inhibítorom a majú byť pod náležitým lekárskym dohľadom (pozri časť 4.8).</w:t>
      </w:r>
    </w:p>
    <w:p w14:paraId="3825552F" w14:textId="77777777" w:rsidR="0029432C" w:rsidRPr="00031671" w:rsidRDefault="0029432C" w:rsidP="00031671">
      <w:pPr>
        <w:rPr>
          <w:szCs w:val="22"/>
        </w:rPr>
      </w:pPr>
    </w:p>
    <w:p w14:paraId="0B41B7AE" w14:textId="77777777" w:rsidR="0029432C" w:rsidRPr="00031671" w:rsidRDefault="0029432C" w:rsidP="00031671">
      <w:pPr>
        <w:autoSpaceDE w:val="0"/>
        <w:autoSpaceDN w:val="0"/>
        <w:adjustRightInd w:val="0"/>
        <w:rPr>
          <w:szCs w:val="22"/>
          <w:u w:val="single"/>
        </w:rPr>
      </w:pPr>
      <w:r w:rsidRPr="00031671">
        <w:rPr>
          <w:szCs w:val="22"/>
          <w:u w:val="single"/>
        </w:rPr>
        <w:t>Neutropénia/agranulocytóza/trombocytopénia/anémia</w:t>
      </w:r>
    </w:p>
    <w:p w14:paraId="73304C40" w14:textId="68310074" w:rsidR="0029432C" w:rsidRPr="00762B3B" w:rsidRDefault="0029432C" w:rsidP="00506927">
      <w:pPr>
        <w:autoSpaceDE w:val="0"/>
        <w:autoSpaceDN w:val="0"/>
        <w:adjustRightInd w:val="0"/>
        <w:ind w:left="0" w:firstLine="0"/>
        <w:rPr>
          <w:szCs w:val="22"/>
        </w:rPr>
      </w:pPr>
      <w:r w:rsidRPr="00031671">
        <w:rPr>
          <w:szCs w:val="22"/>
        </w:rPr>
        <w:t>U pacientov liečených ACE inhibítormi bola hlásená neutropénia/agranulocytóza, trombocytopénia a</w:t>
      </w:r>
      <w:r w:rsidR="00031671">
        <w:rPr>
          <w:szCs w:val="22"/>
        </w:rPr>
        <w:t> </w:t>
      </w:r>
      <w:r w:rsidRPr="00762B3B">
        <w:rPr>
          <w:szCs w:val="22"/>
        </w:rPr>
        <w:t xml:space="preserve">anémia. U pacientov s normálnou funkciou obličiek a bez ďalších komplikujúcich faktorov sa neutropénia vyskytuje zriedkavo. </w:t>
      </w:r>
    </w:p>
    <w:p w14:paraId="1EEA1C60" w14:textId="77777777" w:rsidR="0029432C" w:rsidRPr="00031671" w:rsidRDefault="0029432C" w:rsidP="00506927">
      <w:pPr>
        <w:autoSpaceDE w:val="0"/>
        <w:autoSpaceDN w:val="0"/>
        <w:adjustRightInd w:val="0"/>
        <w:ind w:left="0" w:firstLine="0"/>
        <w:rPr>
          <w:szCs w:val="22"/>
        </w:rPr>
      </w:pPr>
    </w:p>
    <w:p w14:paraId="164F62B9" w14:textId="3AEB63EB" w:rsidR="0029432C" w:rsidRPr="00031671" w:rsidRDefault="0029432C" w:rsidP="00506927">
      <w:pPr>
        <w:autoSpaceDE w:val="0"/>
        <w:autoSpaceDN w:val="0"/>
        <w:adjustRightInd w:val="0"/>
        <w:ind w:left="0" w:firstLine="0"/>
        <w:rPr>
          <w:szCs w:val="22"/>
        </w:rPr>
      </w:pPr>
      <w:r w:rsidRPr="00031671">
        <w:rPr>
          <w:szCs w:val="22"/>
        </w:rPr>
        <w:t>Perindopril sa má používať s najvyššou opatrnosťou u pacientov s kolagénovým vaskulárnym ochorením, u pacientov liečených imunosupresívami, u pacientov liečených alopurinolom alebo prokaínamidom alebo u pacientov s kombináciou týchto komplikujúcich faktorov, obzvlášť v</w:t>
      </w:r>
      <w:r w:rsidR="00031671">
        <w:rPr>
          <w:szCs w:val="22"/>
        </w:rPr>
        <w:t> </w:t>
      </w:r>
      <w:r w:rsidRPr="00031671">
        <w:rPr>
          <w:szCs w:val="22"/>
        </w:rPr>
        <w:t>prítomnosti už existujúcej poruchy funkcie obličiek. U niektorých z týchto pacientov sa vyvinuli závažné infekcie, ktoré v niekoľkých málo prípadoch neodpovedali na intenzívnu antibiotickú liečbu. Ak sa perindopril používa u takýchto pacientov, odporúča sa pravidelné monitorovanie počtu leukocytov a pacienti majú byť poučení, aby hlásili akýkoľvek príznak infekcie (napr. bolesť hrdla, horúčka).</w:t>
      </w:r>
    </w:p>
    <w:p w14:paraId="7E8B107F" w14:textId="77777777" w:rsidR="0029432C" w:rsidRPr="00031671" w:rsidRDefault="0029432C" w:rsidP="00762B3B">
      <w:pPr>
        <w:autoSpaceDE w:val="0"/>
        <w:autoSpaceDN w:val="0"/>
        <w:adjustRightInd w:val="0"/>
        <w:rPr>
          <w:szCs w:val="22"/>
        </w:rPr>
      </w:pPr>
    </w:p>
    <w:p w14:paraId="3804C84E" w14:textId="77777777" w:rsidR="0029432C" w:rsidRPr="00031671" w:rsidRDefault="0029432C" w:rsidP="00031671">
      <w:pPr>
        <w:autoSpaceDE w:val="0"/>
        <w:autoSpaceDN w:val="0"/>
        <w:adjustRightInd w:val="0"/>
        <w:rPr>
          <w:szCs w:val="22"/>
          <w:u w:val="single"/>
        </w:rPr>
      </w:pPr>
      <w:r w:rsidRPr="00031671">
        <w:rPr>
          <w:szCs w:val="22"/>
          <w:u w:val="single"/>
        </w:rPr>
        <w:t>Rasa</w:t>
      </w:r>
    </w:p>
    <w:p w14:paraId="2A852F08" w14:textId="77777777" w:rsidR="0029432C" w:rsidRPr="00031671" w:rsidRDefault="0029432C" w:rsidP="00506927">
      <w:pPr>
        <w:autoSpaceDE w:val="0"/>
        <w:autoSpaceDN w:val="0"/>
        <w:adjustRightInd w:val="0"/>
        <w:ind w:left="0" w:firstLine="0"/>
        <w:rPr>
          <w:szCs w:val="22"/>
        </w:rPr>
      </w:pPr>
      <w:r w:rsidRPr="00031671">
        <w:rPr>
          <w:szCs w:val="22"/>
        </w:rPr>
        <w:t>ACE inhibítory spôsobujú vyšší výskyt angioedému u pacientov čiernej pleti ako u pacientov inej rasy. Tak ako iné ACE inhibítory, perindopril môže byť menej účinný v znižovaní krvného tlaku u pacientov čiernej pleti ako u pacientov inej rasy, pravdepodobne kvôli vyššej prevalencii stavov s nízkym renínom v hypertenznej populácii čiernej pleti.</w:t>
      </w:r>
    </w:p>
    <w:p w14:paraId="5269FF73" w14:textId="77777777" w:rsidR="0029432C" w:rsidRPr="00031671" w:rsidRDefault="0029432C" w:rsidP="00506927">
      <w:pPr>
        <w:autoSpaceDE w:val="0"/>
        <w:autoSpaceDN w:val="0"/>
        <w:adjustRightInd w:val="0"/>
        <w:rPr>
          <w:szCs w:val="22"/>
        </w:rPr>
      </w:pPr>
    </w:p>
    <w:p w14:paraId="4779CBCC" w14:textId="77777777" w:rsidR="0029432C" w:rsidRPr="00031671" w:rsidRDefault="0029432C" w:rsidP="00762B3B">
      <w:pPr>
        <w:autoSpaceDE w:val="0"/>
        <w:autoSpaceDN w:val="0"/>
        <w:adjustRightInd w:val="0"/>
        <w:rPr>
          <w:szCs w:val="22"/>
          <w:u w:val="single"/>
        </w:rPr>
      </w:pPr>
      <w:r w:rsidRPr="00031671">
        <w:rPr>
          <w:szCs w:val="22"/>
          <w:u w:val="single"/>
        </w:rPr>
        <w:t>Kašeľ</w:t>
      </w:r>
    </w:p>
    <w:p w14:paraId="268C35F7" w14:textId="7364F8EC" w:rsidR="0029432C" w:rsidRPr="00762B3B" w:rsidRDefault="0029432C" w:rsidP="00506927">
      <w:pPr>
        <w:autoSpaceDE w:val="0"/>
        <w:autoSpaceDN w:val="0"/>
        <w:adjustRightInd w:val="0"/>
        <w:ind w:left="0" w:firstLine="0"/>
        <w:rPr>
          <w:szCs w:val="22"/>
        </w:rPr>
      </w:pPr>
      <w:r w:rsidRPr="00031671">
        <w:rPr>
          <w:szCs w:val="22"/>
        </w:rPr>
        <w:t>Pri používaní ACE inhibítorov bol hlásený kašeľ. Tento kašeľ je typicky neproduktívny, perzistentný a</w:t>
      </w:r>
      <w:r w:rsidR="00031671">
        <w:rPr>
          <w:szCs w:val="22"/>
        </w:rPr>
        <w:t> </w:t>
      </w:r>
      <w:r w:rsidRPr="00762B3B">
        <w:rPr>
          <w:szCs w:val="22"/>
        </w:rPr>
        <w:t>vymizne po prerušení liečby. Kašeľ vyvolaný ACE inhibítormi má byť považovaný za súčasť diferenciálnej diagnostiky kašľa.</w:t>
      </w:r>
    </w:p>
    <w:p w14:paraId="6BFF0AF0" w14:textId="77777777" w:rsidR="0029432C" w:rsidRPr="00762B3B" w:rsidRDefault="0029432C" w:rsidP="00762B3B">
      <w:pPr>
        <w:autoSpaceDE w:val="0"/>
        <w:autoSpaceDN w:val="0"/>
        <w:adjustRightInd w:val="0"/>
        <w:rPr>
          <w:szCs w:val="22"/>
        </w:rPr>
      </w:pPr>
    </w:p>
    <w:p w14:paraId="32537A98" w14:textId="77777777" w:rsidR="0029432C" w:rsidRPr="00031671" w:rsidRDefault="0029432C" w:rsidP="00031671">
      <w:pPr>
        <w:autoSpaceDE w:val="0"/>
        <w:autoSpaceDN w:val="0"/>
        <w:adjustRightInd w:val="0"/>
        <w:rPr>
          <w:szCs w:val="22"/>
          <w:u w:val="single"/>
        </w:rPr>
      </w:pPr>
      <w:r w:rsidRPr="00031671">
        <w:rPr>
          <w:szCs w:val="22"/>
          <w:u w:val="single"/>
        </w:rPr>
        <w:t>Operácia/anestézia</w:t>
      </w:r>
    </w:p>
    <w:p w14:paraId="4792F827" w14:textId="77777777" w:rsidR="0029432C" w:rsidRPr="00031671" w:rsidRDefault="0029432C" w:rsidP="00506927">
      <w:pPr>
        <w:autoSpaceDE w:val="0"/>
        <w:autoSpaceDN w:val="0"/>
        <w:adjustRightInd w:val="0"/>
        <w:ind w:left="0" w:firstLine="0"/>
        <w:rPr>
          <w:szCs w:val="22"/>
        </w:rPr>
      </w:pPr>
      <w:r w:rsidRPr="00031671">
        <w:rPr>
          <w:szCs w:val="22"/>
        </w:rPr>
        <w:t>U pacientov, ktorí podstupujú závažný chirurgický zákrok, alebo počas anestézie látkami, ktoré vyvolávajú hypotenziu, môže perindopril blokovať sekundárnu tvorbu angiotenzínu II po kompenzačnom uvoľnení renínu. Liečba sa má prerušiť jeden deň pred chirurgickým zákrokom. Ak dôjde k hypotenzii a je považovaná za dôsledok tohto mechanizmu, možno ju korigovať zvýšením cirkulujúceho objemu.</w:t>
      </w:r>
    </w:p>
    <w:p w14:paraId="6C46CF53" w14:textId="77777777" w:rsidR="0029432C" w:rsidRPr="00031671" w:rsidRDefault="0029432C" w:rsidP="00506927">
      <w:pPr>
        <w:autoSpaceDE w:val="0"/>
        <w:autoSpaceDN w:val="0"/>
        <w:adjustRightInd w:val="0"/>
        <w:rPr>
          <w:szCs w:val="22"/>
        </w:rPr>
      </w:pPr>
    </w:p>
    <w:p w14:paraId="738C9737" w14:textId="77777777" w:rsidR="0029432C" w:rsidRPr="00031671" w:rsidRDefault="0029432C" w:rsidP="00762B3B">
      <w:pPr>
        <w:autoSpaceDE w:val="0"/>
        <w:autoSpaceDN w:val="0"/>
        <w:adjustRightInd w:val="0"/>
        <w:rPr>
          <w:szCs w:val="22"/>
          <w:u w:val="single"/>
        </w:rPr>
      </w:pPr>
      <w:r w:rsidRPr="00031671">
        <w:rPr>
          <w:szCs w:val="22"/>
          <w:u w:val="single"/>
        </w:rPr>
        <w:t>Hyperkaliémia</w:t>
      </w:r>
    </w:p>
    <w:p w14:paraId="739200C1" w14:textId="55657BBA" w:rsidR="0029432C" w:rsidRPr="00031671" w:rsidRDefault="0029432C" w:rsidP="00506927">
      <w:pPr>
        <w:autoSpaceDE w:val="0"/>
        <w:autoSpaceDN w:val="0"/>
        <w:adjustRightInd w:val="0"/>
        <w:ind w:left="0" w:firstLine="0"/>
        <w:rPr>
          <w:szCs w:val="22"/>
        </w:rPr>
      </w:pPr>
      <w:r w:rsidRPr="00031671">
        <w:rPr>
          <w:szCs w:val="22"/>
        </w:rPr>
        <w:t>U niektorých pacientov liečených ACE inhibítormi, vrátane perindoprilu, bolo pozorované zvýšenie hladín draslíka v sére. Pacienti vystavení zvýšenému riziku vzniku hyperkaliémie sú pacienti s renálnou insuficienciou, starší pacienti (nad 70 rokov), s diabetom mellitus, s pridruženými udalosťami, najmä s dehydratáciou, akútnou srdcovou dekompenzáciou, metabolickou acidózou a</w:t>
      </w:r>
      <w:r w:rsidR="00031671">
        <w:rPr>
          <w:szCs w:val="22"/>
        </w:rPr>
        <w:t> </w:t>
      </w:r>
      <w:r w:rsidRPr="00762B3B">
        <w:rPr>
          <w:szCs w:val="22"/>
        </w:rPr>
        <w:t xml:space="preserve">pacienti súbežne užívajúci diuretiká šetriace draslík, doplnky draslíka alebo náhrady solí obsahujúce draslík; alebo pacienti užívajúci iné </w:t>
      </w:r>
      <w:r w:rsidR="00DD067E" w:rsidRPr="00031671">
        <w:rPr>
          <w:szCs w:val="22"/>
        </w:rPr>
        <w:t xml:space="preserve">lieky </w:t>
      </w:r>
      <w:r w:rsidRPr="00031671">
        <w:rPr>
          <w:szCs w:val="22"/>
        </w:rPr>
        <w:t>spôsobujúce zvýšenie hladín draslíka v sére (napr. heparín</w:t>
      </w:r>
      <w:r w:rsidR="00DD067E" w:rsidRPr="00031671">
        <w:rPr>
          <w:szCs w:val="22"/>
        </w:rPr>
        <w:t xml:space="preserve">, </w:t>
      </w:r>
      <w:r w:rsidR="00A337FE">
        <w:rPr>
          <w:szCs w:val="22"/>
        </w:rPr>
        <w:t>k</w:t>
      </w:r>
      <w:r w:rsidR="00DD067E" w:rsidRPr="00031671">
        <w:rPr>
          <w:szCs w:val="22"/>
        </w:rPr>
        <w:t>otrimoxazol známy tiež ako trimetoprim/sulfametoxazol</w:t>
      </w:r>
      <w:r w:rsidRPr="00031671">
        <w:rPr>
          <w:szCs w:val="22"/>
        </w:rPr>
        <w:t xml:space="preserve">). </w:t>
      </w:r>
    </w:p>
    <w:p w14:paraId="4333DBFB" w14:textId="77777777" w:rsidR="0029432C" w:rsidRPr="00031671" w:rsidRDefault="0029432C" w:rsidP="00506927">
      <w:pPr>
        <w:autoSpaceDE w:val="0"/>
        <w:autoSpaceDN w:val="0"/>
        <w:adjustRightInd w:val="0"/>
        <w:ind w:left="0" w:firstLine="0"/>
        <w:rPr>
          <w:szCs w:val="22"/>
        </w:rPr>
      </w:pPr>
    </w:p>
    <w:p w14:paraId="378B0D5E" w14:textId="77777777" w:rsidR="0029432C" w:rsidRPr="00031671" w:rsidRDefault="0029432C" w:rsidP="00506927">
      <w:pPr>
        <w:autoSpaceDE w:val="0"/>
        <w:autoSpaceDN w:val="0"/>
        <w:adjustRightInd w:val="0"/>
        <w:ind w:left="0" w:firstLine="0"/>
        <w:rPr>
          <w:szCs w:val="22"/>
        </w:rPr>
      </w:pPr>
      <w:r w:rsidRPr="00031671">
        <w:rPr>
          <w:szCs w:val="22"/>
        </w:rPr>
        <w:lastRenderedPageBreak/>
        <w:t>Použitie doplnkov draslíka, draslík-šetriacich diuretík alebo náhrad soli s obsahom draslíka môže, najmä u pacientov s</w:t>
      </w:r>
      <w:r w:rsidR="009279AD" w:rsidRPr="00031671">
        <w:rPr>
          <w:szCs w:val="22"/>
        </w:rPr>
        <w:t> poruchou funkcie obličiek</w:t>
      </w:r>
      <w:r w:rsidRPr="00031671">
        <w:rPr>
          <w:szCs w:val="22"/>
        </w:rPr>
        <w:t>, viesť k významnému nárastu draslíka v sére. Hyperkaliémia môže spôsobiť vážne, niekedy fatálne arytmie. Ak sa súčasné použitie vyššie uvedených látok považuje za potrebné, majú sa užívať s opatrnosťou a odporúča sa častá kontrola hladiny draslíka v sére (pozri časť 4.5).</w:t>
      </w:r>
    </w:p>
    <w:p w14:paraId="6C8C992D" w14:textId="77777777" w:rsidR="0029432C" w:rsidRPr="00031671" w:rsidRDefault="0029432C" w:rsidP="0029432C">
      <w:pPr>
        <w:rPr>
          <w:szCs w:val="22"/>
        </w:rPr>
      </w:pPr>
    </w:p>
    <w:p w14:paraId="68DD3EDE" w14:textId="77777777" w:rsidR="0029432C" w:rsidRPr="00031671" w:rsidRDefault="0029432C" w:rsidP="0029432C">
      <w:pPr>
        <w:autoSpaceDE w:val="0"/>
        <w:autoSpaceDN w:val="0"/>
        <w:adjustRightInd w:val="0"/>
        <w:rPr>
          <w:szCs w:val="22"/>
          <w:u w:val="single"/>
        </w:rPr>
      </w:pPr>
      <w:r w:rsidRPr="00031671">
        <w:rPr>
          <w:szCs w:val="22"/>
          <w:u w:val="single"/>
        </w:rPr>
        <w:t>Diabetickí pacienti</w:t>
      </w:r>
    </w:p>
    <w:p w14:paraId="0AC1BDAB" w14:textId="77777777" w:rsidR="0029432C" w:rsidRPr="00031671" w:rsidRDefault="0029432C" w:rsidP="0029432C">
      <w:pPr>
        <w:autoSpaceDE w:val="0"/>
        <w:autoSpaceDN w:val="0"/>
        <w:adjustRightInd w:val="0"/>
        <w:ind w:left="0" w:firstLine="0"/>
        <w:rPr>
          <w:szCs w:val="22"/>
        </w:rPr>
      </w:pPr>
      <w:r w:rsidRPr="00031671">
        <w:rPr>
          <w:szCs w:val="22"/>
        </w:rPr>
        <w:t>U diabetických pacientov liečených perorálnymi antidiabetikami alebo inzulínom sa má počas prvého mesiaca liečby ACE inhibítorom pozorne monitorovať glykémia (pozri časť 4.5).</w:t>
      </w:r>
    </w:p>
    <w:p w14:paraId="4595F5A1" w14:textId="77777777" w:rsidR="0029432C" w:rsidRPr="00031671" w:rsidRDefault="0029432C" w:rsidP="0029432C">
      <w:pPr>
        <w:autoSpaceDE w:val="0"/>
        <w:autoSpaceDN w:val="0"/>
        <w:adjustRightInd w:val="0"/>
        <w:rPr>
          <w:szCs w:val="22"/>
        </w:rPr>
      </w:pPr>
    </w:p>
    <w:p w14:paraId="24FCF748" w14:textId="77777777" w:rsidR="0029432C" w:rsidRPr="00031671" w:rsidRDefault="0029432C" w:rsidP="0029432C">
      <w:pPr>
        <w:autoSpaceDE w:val="0"/>
        <w:autoSpaceDN w:val="0"/>
        <w:adjustRightInd w:val="0"/>
        <w:rPr>
          <w:szCs w:val="22"/>
          <w:u w:val="single"/>
        </w:rPr>
      </w:pPr>
      <w:r w:rsidRPr="00031671">
        <w:rPr>
          <w:szCs w:val="22"/>
          <w:u w:val="single"/>
        </w:rPr>
        <w:t>Lítium</w:t>
      </w:r>
    </w:p>
    <w:p w14:paraId="17A75E2D" w14:textId="77777777" w:rsidR="0029432C" w:rsidRPr="00031671" w:rsidRDefault="0029432C" w:rsidP="0029432C">
      <w:pPr>
        <w:autoSpaceDE w:val="0"/>
        <w:autoSpaceDN w:val="0"/>
        <w:adjustRightInd w:val="0"/>
        <w:jc w:val="both"/>
        <w:rPr>
          <w:szCs w:val="22"/>
        </w:rPr>
      </w:pPr>
      <w:r w:rsidRPr="00031671">
        <w:rPr>
          <w:szCs w:val="22"/>
        </w:rPr>
        <w:t xml:space="preserve">Kombinácia lítia a perindoprilu sa zvyčajne neodporúča (pozri časť 4.5). </w:t>
      </w:r>
    </w:p>
    <w:p w14:paraId="0AD48FBC" w14:textId="77777777" w:rsidR="0029432C" w:rsidRPr="00031671" w:rsidRDefault="0029432C" w:rsidP="0029432C">
      <w:pPr>
        <w:autoSpaceDE w:val="0"/>
        <w:autoSpaceDN w:val="0"/>
        <w:adjustRightInd w:val="0"/>
        <w:rPr>
          <w:szCs w:val="22"/>
        </w:rPr>
      </w:pPr>
    </w:p>
    <w:p w14:paraId="179AD94B" w14:textId="77777777" w:rsidR="0029432C" w:rsidRPr="00031671" w:rsidRDefault="0029432C" w:rsidP="0029432C">
      <w:pPr>
        <w:ind w:left="0" w:firstLine="0"/>
        <w:rPr>
          <w:color w:val="000000"/>
          <w:szCs w:val="22"/>
          <w:u w:val="single"/>
          <w:lang w:eastAsia="fr-FR"/>
        </w:rPr>
      </w:pPr>
      <w:r w:rsidRPr="00031671">
        <w:rPr>
          <w:color w:val="000000"/>
          <w:szCs w:val="22"/>
          <w:u w:val="single"/>
          <w:lang w:eastAsia="fr-FR"/>
        </w:rPr>
        <w:t>Draslík šetriace diuretiká, doplnky draslíka alebo soľné náhrady s obsahom draslíka</w:t>
      </w:r>
    </w:p>
    <w:p w14:paraId="2A8EDC5A" w14:textId="77777777" w:rsidR="0029432C" w:rsidRPr="00031671" w:rsidRDefault="0029432C" w:rsidP="0029432C">
      <w:pPr>
        <w:ind w:left="0" w:firstLine="0"/>
        <w:rPr>
          <w:szCs w:val="22"/>
        </w:rPr>
      </w:pPr>
      <w:r w:rsidRPr="00031671">
        <w:rPr>
          <w:szCs w:val="22"/>
        </w:rPr>
        <w:t>Všeobecne sa kombinácia perindoprilu a draslík šetriacich diuretík, doplnkov draslíka alebo soľných náhrad s obsahom draslíka neodporúča (pozri časť 4.5).</w:t>
      </w:r>
    </w:p>
    <w:p w14:paraId="45A834D3" w14:textId="77777777" w:rsidR="0029432C" w:rsidRPr="00031671" w:rsidRDefault="0029432C" w:rsidP="0029432C">
      <w:pPr>
        <w:autoSpaceDE w:val="0"/>
        <w:autoSpaceDN w:val="0"/>
        <w:adjustRightInd w:val="0"/>
        <w:rPr>
          <w:szCs w:val="22"/>
        </w:rPr>
      </w:pPr>
    </w:p>
    <w:p w14:paraId="60FF4B1B" w14:textId="77777777" w:rsidR="0029432C" w:rsidRPr="00031671" w:rsidRDefault="0029432C" w:rsidP="0029432C">
      <w:pPr>
        <w:autoSpaceDE w:val="0"/>
        <w:autoSpaceDN w:val="0"/>
        <w:adjustRightInd w:val="0"/>
        <w:rPr>
          <w:szCs w:val="22"/>
          <w:u w:val="single"/>
        </w:rPr>
      </w:pPr>
      <w:r w:rsidRPr="00031671">
        <w:rPr>
          <w:szCs w:val="22"/>
          <w:u w:val="single"/>
        </w:rPr>
        <w:t>Duálna inhibícia systému renín-angiotenzín-aldosterón (RAAS)</w:t>
      </w:r>
    </w:p>
    <w:p w14:paraId="3CF13D73" w14:textId="77777777" w:rsidR="0029432C" w:rsidRPr="00031671" w:rsidRDefault="0029432C" w:rsidP="0029432C">
      <w:pPr>
        <w:autoSpaceDE w:val="0"/>
        <w:autoSpaceDN w:val="0"/>
        <w:adjustRightInd w:val="0"/>
        <w:ind w:left="0" w:firstLine="0"/>
        <w:rPr>
          <w:szCs w:val="22"/>
        </w:rPr>
      </w:pPr>
      <w:r w:rsidRPr="00031671">
        <w:rPr>
          <w:szCs w:val="22"/>
        </w:rPr>
        <w:t xml:space="preserve">Preukázalo sa, že súbežné použitie inhibítorov ACE, blokátorov receptorov angiotenzínu II alebo aliskirenu zvyšuje riziko hypotenzie, hyperkaliémie a zníženia funkcie obličiek (vrátane akútneho zlyhávania obličiek). Duálna inhibícia RAAS kombinovaným použitím inhibítorov ACE, blokátorov receptorov angiotenzínu II alebo aliskirenu sa preto neodporúča (pozri časti 4.5 a 5.1). </w:t>
      </w:r>
    </w:p>
    <w:p w14:paraId="0DCF3B2C" w14:textId="77777777" w:rsidR="0029432C" w:rsidRPr="00031671" w:rsidRDefault="0029432C" w:rsidP="0029432C">
      <w:pPr>
        <w:autoSpaceDE w:val="0"/>
        <w:autoSpaceDN w:val="0"/>
        <w:adjustRightInd w:val="0"/>
        <w:ind w:left="0" w:firstLine="0"/>
        <w:rPr>
          <w:szCs w:val="22"/>
        </w:rPr>
      </w:pPr>
    </w:p>
    <w:p w14:paraId="621DCB04" w14:textId="77777777" w:rsidR="0029432C" w:rsidRPr="00031671" w:rsidRDefault="0029432C" w:rsidP="0029432C">
      <w:pPr>
        <w:autoSpaceDE w:val="0"/>
        <w:autoSpaceDN w:val="0"/>
        <w:adjustRightInd w:val="0"/>
        <w:ind w:left="0" w:firstLine="0"/>
        <w:rPr>
          <w:szCs w:val="22"/>
        </w:rPr>
      </w:pPr>
      <w:r w:rsidRPr="00031671">
        <w:rPr>
          <w:szCs w:val="22"/>
        </w:rPr>
        <w:t>Ak sa liečba duálnou inhibíciou považuje za absolútne nevyhnutnú, má sa podať iba pod dohľadom odborníka a u pacienta sa majú často a dôsledne kontrolovať funkcia obličiek, elektrolyty a krvný tlak.</w:t>
      </w:r>
    </w:p>
    <w:p w14:paraId="2C0255F6" w14:textId="31486B08" w:rsidR="0029432C" w:rsidRPr="00031671" w:rsidRDefault="0029432C" w:rsidP="0029432C">
      <w:pPr>
        <w:autoSpaceDE w:val="0"/>
        <w:autoSpaceDN w:val="0"/>
        <w:adjustRightInd w:val="0"/>
        <w:ind w:left="0" w:firstLine="0"/>
        <w:rPr>
          <w:szCs w:val="22"/>
        </w:rPr>
      </w:pPr>
      <w:r w:rsidRPr="00031671">
        <w:rPr>
          <w:szCs w:val="22"/>
        </w:rPr>
        <w:t>Inhibítory ACE a blokátory receptorov angiotenzínu II sa nemajú súbežne používať u pacientov s</w:t>
      </w:r>
      <w:r w:rsidR="00031671">
        <w:rPr>
          <w:szCs w:val="22"/>
        </w:rPr>
        <w:t> </w:t>
      </w:r>
      <w:r w:rsidRPr="00031671">
        <w:rPr>
          <w:szCs w:val="22"/>
        </w:rPr>
        <w:t>diabetickou nefropatiou.</w:t>
      </w:r>
    </w:p>
    <w:p w14:paraId="70A87B5B" w14:textId="77777777" w:rsidR="0029432C" w:rsidRPr="00031671" w:rsidRDefault="0029432C" w:rsidP="0029432C">
      <w:pPr>
        <w:autoSpaceDE w:val="0"/>
        <w:autoSpaceDN w:val="0"/>
        <w:adjustRightInd w:val="0"/>
        <w:rPr>
          <w:szCs w:val="22"/>
        </w:rPr>
      </w:pPr>
    </w:p>
    <w:p w14:paraId="0A914CB8" w14:textId="77777777" w:rsidR="0029432C" w:rsidRPr="00031671" w:rsidRDefault="0029432C" w:rsidP="0029432C">
      <w:pPr>
        <w:autoSpaceDE w:val="0"/>
        <w:autoSpaceDN w:val="0"/>
        <w:adjustRightInd w:val="0"/>
        <w:rPr>
          <w:szCs w:val="22"/>
          <w:u w:val="single"/>
        </w:rPr>
      </w:pPr>
      <w:r w:rsidRPr="00031671">
        <w:rPr>
          <w:szCs w:val="22"/>
          <w:u w:val="single"/>
        </w:rPr>
        <w:t>Gravidita</w:t>
      </w:r>
    </w:p>
    <w:p w14:paraId="0338EFA9" w14:textId="77777777" w:rsidR="0029432C" w:rsidRPr="00031671" w:rsidRDefault="0029432C" w:rsidP="00506927">
      <w:pPr>
        <w:autoSpaceDE w:val="0"/>
        <w:autoSpaceDN w:val="0"/>
        <w:adjustRightInd w:val="0"/>
        <w:ind w:left="0" w:firstLine="0"/>
        <w:rPr>
          <w:szCs w:val="22"/>
        </w:rPr>
      </w:pPr>
      <w:r w:rsidRPr="00031671">
        <w:rPr>
          <w:szCs w:val="22"/>
        </w:rPr>
        <w:t>Liečba ACE inhibítormi sa nemá začínať počas gravidity. Ak nie je pokračovanie liečby ACE inhibítormi nevyhnutné, pacientkam plánujúcim graviditu sa má liečba zameniť za alternatívnu antihypertenznú liečbu, ktorá má stanovený bezpečnostný profil pre užívanie počas gravidity. Pokiaľ sa potvrdí gravidita, liečba ACE inhibítormi sa má ihneď zastaviť a pokiaľ je to vhodné, má sa začať alternatívna liečba (</w:t>
      </w:r>
      <w:r w:rsidR="009279AD" w:rsidRPr="00031671">
        <w:rPr>
          <w:szCs w:val="22"/>
        </w:rPr>
        <w:t>p</w:t>
      </w:r>
      <w:r w:rsidRPr="00031671">
        <w:rPr>
          <w:szCs w:val="22"/>
        </w:rPr>
        <w:t xml:space="preserve">ozri časti </w:t>
      </w:r>
      <w:smartTag w:uri="urn:schemas-microsoft-com:office:smarttags" w:element="metricconverter">
        <w:smartTagPr>
          <w:attr w:name="ProductID" w:val="4.3 a"/>
        </w:smartTagPr>
        <w:r w:rsidRPr="00031671">
          <w:rPr>
            <w:szCs w:val="22"/>
          </w:rPr>
          <w:t>4.3 a</w:t>
        </w:r>
      </w:smartTag>
      <w:r w:rsidRPr="00031671">
        <w:rPr>
          <w:szCs w:val="22"/>
        </w:rPr>
        <w:t xml:space="preserve"> 4.6).</w:t>
      </w:r>
    </w:p>
    <w:p w14:paraId="3A4EDE71" w14:textId="77777777" w:rsidR="001E1948" w:rsidRPr="00031671" w:rsidRDefault="001E1948" w:rsidP="0029432C">
      <w:pPr>
        <w:ind w:left="0" w:firstLine="0"/>
        <w:rPr>
          <w:bCs/>
          <w:i/>
          <w:iCs/>
          <w:szCs w:val="22"/>
        </w:rPr>
      </w:pPr>
    </w:p>
    <w:p w14:paraId="7EB869CB" w14:textId="77777777" w:rsidR="001E1948" w:rsidRPr="00031671" w:rsidRDefault="00DD6ECB" w:rsidP="00F3126E">
      <w:pPr>
        <w:ind w:left="0" w:firstLine="0"/>
        <w:rPr>
          <w:i/>
          <w:szCs w:val="22"/>
          <w:u w:val="single"/>
        </w:rPr>
      </w:pPr>
      <w:r w:rsidRPr="00031671">
        <w:rPr>
          <w:i/>
          <w:szCs w:val="22"/>
          <w:u w:val="single"/>
        </w:rPr>
        <w:t>Súvisiace s amlodipínom</w:t>
      </w:r>
    </w:p>
    <w:p w14:paraId="03BF924D" w14:textId="77777777" w:rsidR="001E1948" w:rsidRPr="00031671" w:rsidRDefault="001E1948" w:rsidP="00F3126E">
      <w:pPr>
        <w:tabs>
          <w:tab w:val="left" w:pos="180"/>
        </w:tabs>
        <w:ind w:left="0" w:firstLine="0"/>
        <w:rPr>
          <w:szCs w:val="22"/>
        </w:rPr>
      </w:pPr>
    </w:p>
    <w:p w14:paraId="675C49B2" w14:textId="77777777" w:rsidR="00687FA6" w:rsidRPr="00031671" w:rsidRDefault="00687FA6" w:rsidP="00F3126E">
      <w:pPr>
        <w:tabs>
          <w:tab w:val="left" w:pos="180"/>
        </w:tabs>
        <w:ind w:left="0" w:firstLine="0"/>
        <w:rPr>
          <w:szCs w:val="22"/>
        </w:rPr>
      </w:pPr>
      <w:r w:rsidRPr="00031671">
        <w:rPr>
          <w:szCs w:val="22"/>
        </w:rPr>
        <w:t>Bezpečnosť a účinnosť amlodipínu v hypertenznej kríze nebola stanovená.</w:t>
      </w:r>
    </w:p>
    <w:p w14:paraId="5A841491" w14:textId="77777777" w:rsidR="001E1948" w:rsidRPr="00031671" w:rsidRDefault="001E1948" w:rsidP="00F3126E">
      <w:pPr>
        <w:tabs>
          <w:tab w:val="left" w:pos="0"/>
          <w:tab w:val="left" w:pos="284"/>
          <w:tab w:val="left" w:pos="709"/>
        </w:tabs>
        <w:spacing w:line="240" w:lineRule="atLeast"/>
        <w:ind w:left="0" w:firstLine="0"/>
        <w:rPr>
          <w:iCs/>
          <w:szCs w:val="22"/>
        </w:rPr>
      </w:pPr>
    </w:p>
    <w:p w14:paraId="1815F5E4" w14:textId="423EF14A" w:rsidR="00687FA6" w:rsidRPr="00031671" w:rsidRDefault="001E1948" w:rsidP="00F3126E">
      <w:pPr>
        <w:tabs>
          <w:tab w:val="left" w:pos="0"/>
          <w:tab w:val="left" w:pos="284"/>
          <w:tab w:val="left" w:pos="709"/>
        </w:tabs>
        <w:spacing w:line="240" w:lineRule="atLeast"/>
        <w:ind w:left="0" w:firstLine="0"/>
        <w:rPr>
          <w:i/>
          <w:iCs/>
          <w:szCs w:val="22"/>
        </w:rPr>
      </w:pPr>
      <w:r w:rsidRPr="00031671">
        <w:rPr>
          <w:iCs/>
          <w:szCs w:val="22"/>
          <w:u w:val="single"/>
        </w:rPr>
        <w:t>Pacienti so srdcovým zlyhaním</w:t>
      </w:r>
    </w:p>
    <w:p w14:paraId="1D86DEEF" w14:textId="77777777" w:rsidR="001E1948" w:rsidRPr="00031671" w:rsidRDefault="001E1948"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Pacienti so srdcovým zlyhaním majú byť liečení opatrne.</w:t>
      </w:r>
    </w:p>
    <w:p w14:paraId="5A2325A7" w14:textId="77777777" w:rsidR="00687FA6" w:rsidRPr="00031671" w:rsidRDefault="00687FA6" w:rsidP="00F3126E">
      <w:pPr>
        <w:pStyle w:val="Default"/>
        <w:rPr>
          <w:rFonts w:ascii="Times New Roman" w:hAnsi="Times New Roman" w:cs="Times New Roman"/>
          <w:color w:val="auto"/>
          <w:sz w:val="22"/>
          <w:szCs w:val="22"/>
        </w:rPr>
      </w:pPr>
    </w:p>
    <w:p w14:paraId="116865AA" w14:textId="77777777" w:rsidR="00EB61C5" w:rsidRPr="00506927" w:rsidRDefault="00EB61C5" w:rsidP="00EB61C5">
      <w:pPr>
        <w:pStyle w:val="Zkladntext"/>
        <w:tabs>
          <w:tab w:val="left" w:pos="567"/>
        </w:tabs>
        <w:rPr>
          <w:sz w:val="22"/>
          <w:lang w:val="sk-SK"/>
        </w:rPr>
      </w:pPr>
      <w:r w:rsidRPr="00506927">
        <w:rPr>
          <w:sz w:val="22"/>
          <w:lang w:val="sk-SK"/>
        </w:rPr>
        <w:t>V dlhodobej placebom kontrolovanej štúdii u pacientov s ťažkým srdcovým zlyhaním (III. a IV. stupňa podľa NYHA) bol hlásený vyšší výskyt pľúcneho edému v skupine liečenej amlodipínom ako v skupine s placebom (pozri časť 5.1). Blokátory kalciového kanála, vrátane amlodipínu, sa majú používať s opatrnosťou u pacientov s kongestívnym srdcovým zlyhaním, keďže môžu zvyšovať riziko kardiovaskulárnych príhod a mortality v budúcnosti.</w:t>
      </w:r>
    </w:p>
    <w:p w14:paraId="6D10F71B" w14:textId="77777777" w:rsidR="00EB61C5" w:rsidRPr="00762B3B" w:rsidRDefault="00EB61C5" w:rsidP="00EB61C5">
      <w:pPr>
        <w:tabs>
          <w:tab w:val="left" w:pos="567"/>
        </w:tabs>
        <w:ind w:left="0" w:firstLine="0"/>
        <w:rPr>
          <w:szCs w:val="22"/>
        </w:rPr>
      </w:pPr>
    </w:p>
    <w:p w14:paraId="3EE4CA88" w14:textId="77777777" w:rsidR="00EB61C5" w:rsidRPr="00031671" w:rsidRDefault="00610D74" w:rsidP="00EB61C5">
      <w:pPr>
        <w:tabs>
          <w:tab w:val="left" w:pos="567"/>
        </w:tabs>
        <w:ind w:left="0" w:firstLine="0"/>
        <w:rPr>
          <w:szCs w:val="22"/>
          <w:u w:val="single"/>
        </w:rPr>
      </w:pPr>
      <w:r w:rsidRPr="00031671">
        <w:rPr>
          <w:szCs w:val="22"/>
          <w:u w:val="single"/>
        </w:rPr>
        <w:t>P</w:t>
      </w:r>
      <w:r w:rsidR="00EB61C5" w:rsidRPr="00031671">
        <w:rPr>
          <w:szCs w:val="22"/>
          <w:u w:val="single"/>
        </w:rPr>
        <w:t>oruch</w:t>
      </w:r>
      <w:r w:rsidRPr="00031671">
        <w:rPr>
          <w:szCs w:val="22"/>
          <w:u w:val="single"/>
        </w:rPr>
        <w:t>a</w:t>
      </w:r>
      <w:r w:rsidR="00EB61C5" w:rsidRPr="00031671">
        <w:rPr>
          <w:szCs w:val="22"/>
          <w:u w:val="single"/>
        </w:rPr>
        <w:t xml:space="preserve"> funkcie pečene</w:t>
      </w:r>
    </w:p>
    <w:p w14:paraId="6A3AA9AE" w14:textId="77777777" w:rsidR="00EB61C5" w:rsidRPr="00031671" w:rsidRDefault="00EB61C5" w:rsidP="00EB61C5">
      <w:pPr>
        <w:tabs>
          <w:tab w:val="left" w:pos="567"/>
        </w:tabs>
        <w:ind w:left="0" w:firstLine="0"/>
        <w:rPr>
          <w:szCs w:val="22"/>
        </w:rPr>
      </w:pPr>
      <w:r w:rsidRPr="00031671">
        <w:rPr>
          <w:szCs w:val="22"/>
        </w:rPr>
        <w:t>Biologický polčas amlodipínu je u pacientov s poruchou funkcie pečene predĺžený a hodnoty AUC sú vyššie; odporúčania pre dávkovanie neboli stanovené. Podávanie amlodipínu sa má preto začať na dolnej hranici dávkovacieho rozsahu a pri začatí liečby ako aj pri zvyšovaní dávky treba postupovať s opatrnosťou.</w:t>
      </w:r>
    </w:p>
    <w:p w14:paraId="678C7617" w14:textId="77777777" w:rsidR="00EB61C5" w:rsidRPr="00031671" w:rsidRDefault="00EB61C5" w:rsidP="00EB61C5">
      <w:pPr>
        <w:tabs>
          <w:tab w:val="left" w:pos="567"/>
        </w:tabs>
        <w:suppressAutoHyphens/>
        <w:ind w:left="0" w:firstLine="0"/>
        <w:rPr>
          <w:szCs w:val="22"/>
        </w:rPr>
      </w:pPr>
    </w:p>
    <w:p w14:paraId="129B3031" w14:textId="03BB867E" w:rsidR="00EB61C5" w:rsidRPr="00031671" w:rsidRDefault="00610D74" w:rsidP="00E740C5">
      <w:pPr>
        <w:tabs>
          <w:tab w:val="left" w:pos="567"/>
        </w:tabs>
        <w:ind w:left="0" w:firstLine="0"/>
        <w:rPr>
          <w:bCs/>
          <w:szCs w:val="22"/>
          <w:u w:val="single"/>
        </w:rPr>
      </w:pPr>
      <w:r w:rsidRPr="00031671">
        <w:rPr>
          <w:bCs/>
          <w:szCs w:val="22"/>
          <w:u w:val="single"/>
        </w:rPr>
        <w:t>S</w:t>
      </w:r>
      <w:r w:rsidR="00EB61C5" w:rsidRPr="00031671">
        <w:rPr>
          <w:bCs/>
          <w:szCs w:val="22"/>
          <w:u w:val="single"/>
        </w:rPr>
        <w:t xml:space="preserve">tarší </w:t>
      </w:r>
      <w:r w:rsidR="00E740C5" w:rsidRPr="00031671">
        <w:rPr>
          <w:bCs/>
          <w:szCs w:val="22"/>
          <w:u w:val="single"/>
        </w:rPr>
        <w:t>pacienti</w:t>
      </w:r>
    </w:p>
    <w:p w14:paraId="6694877D" w14:textId="77777777" w:rsidR="00EB61C5" w:rsidRPr="00031671" w:rsidRDefault="00EB61C5" w:rsidP="00EB61C5">
      <w:pPr>
        <w:tabs>
          <w:tab w:val="left" w:pos="567"/>
        </w:tabs>
        <w:ind w:left="0" w:firstLine="0"/>
        <w:rPr>
          <w:bCs/>
          <w:szCs w:val="22"/>
        </w:rPr>
      </w:pPr>
      <w:r w:rsidRPr="00031671">
        <w:rPr>
          <w:bCs/>
          <w:szCs w:val="22"/>
        </w:rPr>
        <w:lastRenderedPageBreak/>
        <w:t>Zvyšovanie dávky sa má u starších pacientov vykonávať s opatrnosťou (pozri časti 4.2 a 5.2).</w:t>
      </w:r>
    </w:p>
    <w:p w14:paraId="6B1EAF62" w14:textId="77777777" w:rsidR="00EB61C5" w:rsidRPr="00031671" w:rsidRDefault="00EB61C5" w:rsidP="00EB61C5">
      <w:pPr>
        <w:tabs>
          <w:tab w:val="left" w:pos="567"/>
        </w:tabs>
        <w:ind w:left="0" w:firstLine="0"/>
        <w:rPr>
          <w:szCs w:val="22"/>
        </w:rPr>
      </w:pPr>
    </w:p>
    <w:p w14:paraId="133B2ECD" w14:textId="77777777" w:rsidR="00EB61C5" w:rsidRPr="00031671" w:rsidRDefault="00B120B9" w:rsidP="00EB61C5">
      <w:pPr>
        <w:tabs>
          <w:tab w:val="left" w:pos="567"/>
        </w:tabs>
        <w:ind w:left="0" w:firstLine="0"/>
        <w:outlineLvl w:val="0"/>
        <w:rPr>
          <w:szCs w:val="22"/>
          <w:u w:val="single"/>
        </w:rPr>
      </w:pPr>
      <w:r w:rsidRPr="00031671">
        <w:rPr>
          <w:szCs w:val="22"/>
          <w:u w:val="single"/>
        </w:rPr>
        <w:t>Porucha funkcie obličiek</w:t>
      </w:r>
      <w:r w:rsidR="00EB61C5" w:rsidRPr="00031671">
        <w:rPr>
          <w:szCs w:val="22"/>
          <w:u w:val="single"/>
        </w:rPr>
        <w:t xml:space="preserve"> </w:t>
      </w:r>
    </w:p>
    <w:p w14:paraId="607F2D09" w14:textId="77777777" w:rsidR="00EB61C5" w:rsidRPr="00031671" w:rsidRDefault="00EB61C5" w:rsidP="00EE6876">
      <w:pPr>
        <w:tabs>
          <w:tab w:val="left" w:pos="567"/>
        </w:tabs>
        <w:ind w:left="0" w:firstLine="0"/>
        <w:outlineLvl w:val="0"/>
        <w:rPr>
          <w:szCs w:val="22"/>
        </w:rPr>
      </w:pPr>
      <w:r w:rsidRPr="00031671">
        <w:rPr>
          <w:szCs w:val="22"/>
        </w:rPr>
        <w:t xml:space="preserve">U takýchto pacientov sa môžu používať bežné dávky amlodipínu. Zmeny plazmatických koncentrácií amlodipínu nie sú v súlade so stupňom </w:t>
      </w:r>
      <w:r w:rsidR="00B120B9" w:rsidRPr="00031671">
        <w:rPr>
          <w:szCs w:val="22"/>
        </w:rPr>
        <w:t>poruchy funkcie obličiek</w:t>
      </w:r>
      <w:r w:rsidRPr="00031671">
        <w:rPr>
          <w:szCs w:val="22"/>
        </w:rPr>
        <w:t>. Amlodipín nie je dialyzovateľný.</w:t>
      </w:r>
    </w:p>
    <w:p w14:paraId="09EFA5D0" w14:textId="77777777" w:rsidR="001E1948" w:rsidRPr="00031671" w:rsidRDefault="001E1948" w:rsidP="00EB61C5">
      <w:pPr>
        <w:tabs>
          <w:tab w:val="left" w:pos="0"/>
          <w:tab w:val="left" w:pos="284"/>
          <w:tab w:val="left" w:pos="709"/>
        </w:tabs>
        <w:ind w:left="0" w:firstLine="0"/>
        <w:rPr>
          <w:iCs/>
          <w:szCs w:val="22"/>
        </w:rPr>
      </w:pPr>
    </w:p>
    <w:p w14:paraId="49B8D37C" w14:textId="77777777" w:rsidR="001E1948" w:rsidRPr="00031671" w:rsidRDefault="001E1948" w:rsidP="00F3126E">
      <w:pPr>
        <w:tabs>
          <w:tab w:val="left" w:pos="0"/>
          <w:tab w:val="left" w:pos="284"/>
          <w:tab w:val="left" w:pos="709"/>
        </w:tabs>
        <w:spacing w:line="240" w:lineRule="atLeast"/>
        <w:ind w:left="0" w:firstLine="0"/>
        <w:rPr>
          <w:iCs/>
          <w:szCs w:val="22"/>
        </w:rPr>
      </w:pPr>
      <w:r w:rsidRPr="00031671">
        <w:rPr>
          <w:i/>
          <w:iCs/>
          <w:szCs w:val="22"/>
          <w:u w:val="single"/>
        </w:rPr>
        <w:t>Súvisiace s </w:t>
      </w:r>
      <w:r w:rsidR="00304E8C" w:rsidRPr="00031671">
        <w:rPr>
          <w:i/>
          <w:iCs/>
          <w:szCs w:val="22"/>
          <w:u w:val="single"/>
        </w:rPr>
        <w:t>VIDONORMOM</w:t>
      </w:r>
    </w:p>
    <w:p w14:paraId="52961B5B" w14:textId="77777777" w:rsidR="001E1948" w:rsidRPr="00031671" w:rsidRDefault="001E1948" w:rsidP="00F3126E">
      <w:pPr>
        <w:tabs>
          <w:tab w:val="left" w:pos="0"/>
          <w:tab w:val="left" w:pos="284"/>
          <w:tab w:val="left" w:pos="709"/>
        </w:tabs>
        <w:spacing w:line="240" w:lineRule="atLeast"/>
        <w:ind w:left="0" w:firstLine="0"/>
        <w:rPr>
          <w:iCs/>
          <w:szCs w:val="22"/>
        </w:rPr>
      </w:pPr>
    </w:p>
    <w:p w14:paraId="63A44DB2" w14:textId="77777777" w:rsidR="001E1948" w:rsidRPr="00031671" w:rsidRDefault="00DD6ECB" w:rsidP="00F3126E">
      <w:pPr>
        <w:tabs>
          <w:tab w:val="left" w:pos="0"/>
          <w:tab w:val="left" w:pos="284"/>
          <w:tab w:val="left" w:pos="709"/>
        </w:tabs>
        <w:spacing w:line="240" w:lineRule="atLeast"/>
        <w:ind w:left="0" w:firstLine="0"/>
        <w:rPr>
          <w:iCs/>
          <w:szCs w:val="22"/>
        </w:rPr>
      </w:pPr>
      <w:r w:rsidRPr="00031671">
        <w:rPr>
          <w:iCs/>
          <w:szCs w:val="22"/>
        </w:rPr>
        <w:t>Všetky upozornenia</w:t>
      </w:r>
      <w:r w:rsidR="001E1948" w:rsidRPr="00031671">
        <w:rPr>
          <w:iCs/>
          <w:szCs w:val="22"/>
        </w:rPr>
        <w:t xml:space="preserve"> súvisiace s jednotlivými monokomponentmi, ako </w:t>
      </w:r>
      <w:r w:rsidRPr="00031671">
        <w:rPr>
          <w:iCs/>
          <w:szCs w:val="22"/>
        </w:rPr>
        <w:t>sú</w:t>
      </w:r>
      <w:r w:rsidR="001E1948" w:rsidRPr="00031671">
        <w:rPr>
          <w:iCs/>
          <w:szCs w:val="22"/>
        </w:rPr>
        <w:t xml:space="preserve"> uvedené</w:t>
      </w:r>
      <w:r w:rsidRPr="00031671">
        <w:rPr>
          <w:iCs/>
          <w:szCs w:val="22"/>
        </w:rPr>
        <w:t xml:space="preserve"> vyššie</w:t>
      </w:r>
      <w:r w:rsidR="001E1948" w:rsidRPr="00031671">
        <w:rPr>
          <w:iCs/>
          <w:szCs w:val="22"/>
        </w:rPr>
        <w:t xml:space="preserve">, sa tiež týkajú fixnej kombinácie </w:t>
      </w:r>
      <w:r w:rsidR="00304E8C" w:rsidRPr="00031671">
        <w:rPr>
          <w:iCs/>
          <w:szCs w:val="22"/>
        </w:rPr>
        <w:t>VIDONORMU</w:t>
      </w:r>
      <w:r w:rsidR="001E1948" w:rsidRPr="00031671">
        <w:rPr>
          <w:iCs/>
          <w:szCs w:val="22"/>
        </w:rPr>
        <w:t>.</w:t>
      </w:r>
    </w:p>
    <w:p w14:paraId="31458520" w14:textId="77777777" w:rsidR="001E1948" w:rsidRPr="00031671" w:rsidRDefault="001E1948" w:rsidP="00F3126E">
      <w:pPr>
        <w:tabs>
          <w:tab w:val="left" w:pos="0"/>
          <w:tab w:val="left" w:pos="284"/>
          <w:tab w:val="left" w:pos="709"/>
        </w:tabs>
        <w:spacing w:line="240" w:lineRule="atLeast"/>
        <w:ind w:left="0" w:firstLine="0"/>
        <w:rPr>
          <w:iCs/>
          <w:szCs w:val="22"/>
        </w:rPr>
      </w:pPr>
    </w:p>
    <w:p w14:paraId="5310DFD6" w14:textId="77777777" w:rsidR="001E1948" w:rsidRPr="00031671" w:rsidRDefault="001E1948" w:rsidP="00F3126E">
      <w:pPr>
        <w:tabs>
          <w:tab w:val="left" w:pos="0"/>
          <w:tab w:val="left" w:pos="284"/>
          <w:tab w:val="left" w:pos="709"/>
        </w:tabs>
        <w:spacing w:line="240" w:lineRule="atLeast"/>
        <w:rPr>
          <w:iCs/>
          <w:szCs w:val="22"/>
          <w:u w:val="single"/>
        </w:rPr>
      </w:pPr>
      <w:r w:rsidRPr="00031671">
        <w:rPr>
          <w:iCs/>
          <w:szCs w:val="22"/>
          <w:u w:val="single"/>
        </w:rPr>
        <w:t>Opatrenia pri používaní</w:t>
      </w:r>
    </w:p>
    <w:p w14:paraId="4967EBF5" w14:textId="77777777" w:rsidR="001E1948" w:rsidRPr="00031671" w:rsidRDefault="001E1948" w:rsidP="00F3126E">
      <w:pPr>
        <w:tabs>
          <w:tab w:val="left" w:pos="0"/>
          <w:tab w:val="left" w:pos="284"/>
          <w:tab w:val="left" w:pos="709"/>
        </w:tabs>
        <w:spacing w:line="240" w:lineRule="atLeast"/>
        <w:rPr>
          <w:i/>
          <w:iCs/>
          <w:szCs w:val="22"/>
          <w:u w:val="single"/>
        </w:rPr>
      </w:pPr>
    </w:p>
    <w:p w14:paraId="32D40054" w14:textId="77777777" w:rsidR="00DD6ECB" w:rsidRPr="00031671" w:rsidRDefault="001E1948" w:rsidP="00F3126E">
      <w:pPr>
        <w:tabs>
          <w:tab w:val="left" w:pos="0"/>
          <w:tab w:val="left" w:pos="284"/>
          <w:tab w:val="left" w:pos="709"/>
        </w:tabs>
        <w:spacing w:line="240" w:lineRule="atLeast"/>
        <w:ind w:left="0" w:firstLine="0"/>
        <w:rPr>
          <w:szCs w:val="22"/>
        </w:rPr>
      </w:pPr>
      <w:r w:rsidRPr="00031671">
        <w:rPr>
          <w:i/>
          <w:szCs w:val="22"/>
        </w:rPr>
        <w:t>Interakcie</w:t>
      </w:r>
    </w:p>
    <w:p w14:paraId="0A1D66B1" w14:textId="77777777" w:rsidR="001E1948" w:rsidRPr="00031671" w:rsidRDefault="001E1948" w:rsidP="00F3126E">
      <w:pPr>
        <w:tabs>
          <w:tab w:val="left" w:pos="0"/>
          <w:tab w:val="left" w:pos="284"/>
          <w:tab w:val="left" w:pos="709"/>
        </w:tabs>
        <w:spacing w:line="240" w:lineRule="atLeast"/>
        <w:ind w:left="0" w:firstLine="0"/>
        <w:rPr>
          <w:iCs/>
          <w:szCs w:val="22"/>
        </w:rPr>
      </w:pPr>
      <w:r w:rsidRPr="00031671">
        <w:rPr>
          <w:iCs/>
          <w:szCs w:val="22"/>
        </w:rPr>
        <w:t xml:space="preserve">Súčasné užívanie </w:t>
      </w:r>
      <w:r w:rsidR="00304E8C" w:rsidRPr="00031671">
        <w:rPr>
          <w:iCs/>
          <w:szCs w:val="22"/>
        </w:rPr>
        <w:t>VIDONORMU</w:t>
      </w:r>
      <w:r w:rsidRPr="00031671">
        <w:rPr>
          <w:iCs/>
          <w:szCs w:val="22"/>
        </w:rPr>
        <w:t xml:space="preserve"> s lítiom, draslík šetriacimi diuretikami alebo </w:t>
      </w:r>
      <w:r w:rsidR="00DC4CE8" w:rsidRPr="00031671">
        <w:rPr>
          <w:iCs/>
          <w:szCs w:val="22"/>
        </w:rPr>
        <w:t>doplnkami</w:t>
      </w:r>
      <w:r w:rsidRPr="00031671">
        <w:rPr>
          <w:iCs/>
          <w:szCs w:val="22"/>
        </w:rPr>
        <w:t xml:space="preserve"> draslíka, alebo s dantrol</w:t>
      </w:r>
      <w:r w:rsidR="00D367BD" w:rsidRPr="00031671">
        <w:rPr>
          <w:iCs/>
          <w:szCs w:val="22"/>
        </w:rPr>
        <w:t>é</w:t>
      </w:r>
      <w:r w:rsidRPr="00031671">
        <w:rPr>
          <w:iCs/>
          <w:szCs w:val="22"/>
        </w:rPr>
        <w:t>nom sa neodporúča (pozri časť 4.5).</w:t>
      </w:r>
    </w:p>
    <w:p w14:paraId="24F9556A" w14:textId="77777777" w:rsidR="001E1948" w:rsidRPr="00031671" w:rsidRDefault="001E1948" w:rsidP="00F3126E">
      <w:pPr>
        <w:ind w:left="0" w:firstLine="0"/>
        <w:outlineLvl w:val="0"/>
        <w:rPr>
          <w:i/>
          <w:iCs/>
          <w:szCs w:val="22"/>
          <w:u w:val="single"/>
        </w:rPr>
      </w:pPr>
    </w:p>
    <w:p w14:paraId="0C4E976E" w14:textId="77777777" w:rsidR="001E1948" w:rsidRPr="00031671" w:rsidRDefault="001E1948" w:rsidP="00F3126E">
      <w:pPr>
        <w:numPr>
          <w:ilvl w:val="1"/>
          <w:numId w:val="2"/>
        </w:numPr>
        <w:rPr>
          <w:b/>
          <w:szCs w:val="22"/>
        </w:rPr>
      </w:pPr>
      <w:r w:rsidRPr="00031671">
        <w:rPr>
          <w:b/>
          <w:szCs w:val="22"/>
        </w:rPr>
        <w:t>Liekové a iné interakcie</w:t>
      </w:r>
    </w:p>
    <w:p w14:paraId="3E141B39" w14:textId="77777777" w:rsidR="001E1948" w:rsidRPr="00031671" w:rsidRDefault="001E1948" w:rsidP="00F3126E">
      <w:pPr>
        <w:ind w:left="0" w:firstLine="0"/>
        <w:rPr>
          <w:b/>
          <w:szCs w:val="22"/>
        </w:rPr>
      </w:pPr>
    </w:p>
    <w:p w14:paraId="24651F64" w14:textId="77777777" w:rsidR="001E1948" w:rsidRPr="00031671" w:rsidRDefault="001E1948" w:rsidP="00F3126E">
      <w:pPr>
        <w:ind w:left="0" w:firstLine="0"/>
        <w:rPr>
          <w:i/>
          <w:szCs w:val="22"/>
        </w:rPr>
      </w:pPr>
      <w:r w:rsidRPr="00031671">
        <w:rPr>
          <w:i/>
          <w:iCs/>
          <w:szCs w:val="22"/>
          <w:u w:val="single"/>
        </w:rPr>
        <w:t>Súvisiace s</w:t>
      </w:r>
      <w:r w:rsidR="00564F10" w:rsidRPr="00031671">
        <w:rPr>
          <w:i/>
          <w:iCs/>
          <w:szCs w:val="22"/>
          <w:u w:val="single"/>
        </w:rPr>
        <w:t xml:space="preserve"> </w:t>
      </w:r>
      <w:r w:rsidRPr="00031671">
        <w:rPr>
          <w:i/>
          <w:szCs w:val="22"/>
          <w:u w:val="single"/>
        </w:rPr>
        <w:t>perindoprilom</w:t>
      </w:r>
    </w:p>
    <w:p w14:paraId="56721652" w14:textId="77777777" w:rsidR="003D7BB5" w:rsidRPr="00031671" w:rsidRDefault="003D7BB5" w:rsidP="00F3126E">
      <w:pPr>
        <w:pStyle w:val="nr2g"/>
        <w:tabs>
          <w:tab w:val="left" w:pos="0"/>
        </w:tabs>
        <w:ind w:left="0"/>
        <w:jc w:val="left"/>
        <w:rPr>
          <w:i/>
          <w:sz w:val="22"/>
          <w:szCs w:val="22"/>
          <w:lang w:val="sk-SK" w:eastAsia="en-US"/>
        </w:rPr>
      </w:pPr>
    </w:p>
    <w:p w14:paraId="71CF1D34" w14:textId="4C2344BF" w:rsidR="003D7BB5" w:rsidRPr="00031671" w:rsidRDefault="003D7BB5" w:rsidP="003D7BB5">
      <w:pPr>
        <w:tabs>
          <w:tab w:val="left" w:pos="0"/>
        </w:tabs>
        <w:ind w:left="0" w:firstLine="0"/>
        <w:rPr>
          <w:szCs w:val="22"/>
        </w:rPr>
      </w:pPr>
      <w:r w:rsidRPr="00031671">
        <w:rPr>
          <w:szCs w:val="22"/>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w:t>
      </w:r>
      <w:r w:rsidR="00031671">
        <w:rPr>
          <w:szCs w:val="22"/>
        </w:rPr>
        <w:t> </w:t>
      </w:r>
      <w:r w:rsidRPr="00031671">
        <w:rPr>
          <w:szCs w:val="22"/>
        </w:rPr>
        <w:t>monoterapii (pozri časti 4.3, 4.4 a 5.1).</w:t>
      </w:r>
    </w:p>
    <w:p w14:paraId="31A056CB" w14:textId="77777777" w:rsidR="003306FF" w:rsidRPr="00031671" w:rsidRDefault="003306FF" w:rsidP="003306FF">
      <w:pPr>
        <w:tabs>
          <w:tab w:val="left" w:pos="0"/>
        </w:tabs>
        <w:rPr>
          <w:bCs/>
          <w:szCs w:val="22"/>
          <w:u w:val="single"/>
        </w:rPr>
      </w:pPr>
    </w:p>
    <w:p w14:paraId="6F2E69CF" w14:textId="77777777" w:rsidR="005A0007" w:rsidRPr="00031671" w:rsidRDefault="005A0007" w:rsidP="005A0007">
      <w:pPr>
        <w:tabs>
          <w:tab w:val="left" w:pos="0"/>
        </w:tabs>
        <w:rPr>
          <w:bCs/>
          <w:szCs w:val="22"/>
          <w:u w:val="single"/>
        </w:rPr>
      </w:pPr>
      <w:r w:rsidRPr="00031671">
        <w:rPr>
          <w:bCs/>
          <w:szCs w:val="22"/>
          <w:u w:val="single"/>
        </w:rPr>
        <w:t xml:space="preserve">Racekadotril </w:t>
      </w:r>
    </w:p>
    <w:p w14:paraId="629E0FA6" w14:textId="77777777" w:rsidR="005A0007" w:rsidRPr="00031671" w:rsidRDefault="005A0007" w:rsidP="005A0007">
      <w:pPr>
        <w:tabs>
          <w:tab w:val="left" w:pos="0"/>
        </w:tabs>
        <w:ind w:left="0" w:firstLine="0"/>
        <w:rPr>
          <w:bCs/>
          <w:szCs w:val="22"/>
        </w:rPr>
      </w:pPr>
      <w:r w:rsidRPr="00031671">
        <w:rPr>
          <w:bCs/>
          <w:szCs w:val="22"/>
        </w:rPr>
        <w:t xml:space="preserve">ACE inhibítory (napr. perindopril) sú známe tým, že môžu spôsobiť angioedém. Toto riziko sa môže zvýšiť pri súbežnom užívaní s racekadotrilom (liek používaný proti akútnej hnačke). </w:t>
      </w:r>
    </w:p>
    <w:p w14:paraId="64CB5142" w14:textId="77777777" w:rsidR="005A0007" w:rsidRPr="00031671" w:rsidRDefault="005A0007" w:rsidP="005A0007">
      <w:pPr>
        <w:tabs>
          <w:tab w:val="left" w:pos="0"/>
        </w:tabs>
        <w:rPr>
          <w:b/>
          <w:bCs/>
          <w:szCs w:val="22"/>
          <w:u w:val="single"/>
        </w:rPr>
      </w:pPr>
    </w:p>
    <w:p w14:paraId="66F937C7" w14:textId="05BDD6F8" w:rsidR="005A0007" w:rsidRPr="00762B3B" w:rsidRDefault="005A0007" w:rsidP="00DD067E">
      <w:pPr>
        <w:tabs>
          <w:tab w:val="left" w:pos="0"/>
        </w:tabs>
        <w:rPr>
          <w:bCs/>
          <w:szCs w:val="22"/>
          <w:u w:val="single"/>
        </w:rPr>
      </w:pPr>
      <w:r w:rsidRPr="00031671">
        <w:rPr>
          <w:bCs/>
          <w:szCs w:val="22"/>
          <w:u w:val="single"/>
        </w:rPr>
        <w:t>Inhib</w:t>
      </w:r>
      <w:r w:rsidR="00CD1F1A">
        <w:rPr>
          <w:bCs/>
          <w:szCs w:val="22"/>
          <w:u w:val="single"/>
        </w:rPr>
        <w:t>í</w:t>
      </w:r>
      <w:r w:rsidRPr="00031671">
        <w:rPr>
          <w:bCs/>
          <w:szCs w:val="22"/>
          <w:u w:val="single"/>
        </w:rPr>
        <w:t xml:space="preserve">tory </w:t>
      </w:r>
      <w:r w:rsidR="00CD1F1A">
        <w:rPr>
          <w:bCs/>
          <w:szCs w:val="22"/>
          <w:u w:val="single"/>
        </w:rPr>
        <w:t>mTOR (</w:t>
      </w:r>
      <w:r w:rsidR="00AF62DF" w:rsidRPr="001772F4">
        <w:rPr>
          <w:bCs/>
          <w:szCs w:val="22"/>
          <w:u w:val="single"/>
          <w:lang w:val="en-GB"/>
        </w:rPr>
        <w:t>Mammalian Target of Rapamycin</w:t>
      </w:r>
      <w:r w:rsidR="00AF62DF">
        <w:rPr>
          <w:bCs/>
          <w:szCs w:val="22"/>
          <w:u w:val="single"/>
        </w:rPr>
        <w:t>)</w:t>
      </w:r>
      <w:r w:rsidRPr="00762B3B">
        <w:rPr>
          <w:bCs/>
          <w:szCs w:val="22"/>
          <w:u w:val="single"/>
        </w:rPr>
        <w:t xml:space="preserve"> (napr. sirolimus, everolimus, temsirolimus) </w:t>
      </w:r>
    </w:p>
    <w:p w14:paraId="01DDAF3A" w14:textId="77777777" w:rsidR="005A0007" w:rsidRPr="00031671" w:rsidRDefault="005A0007" w:rsidP="005A0007">
      <w:pPr>
        <w:tabs>
          <w:tab w:val="left" w:pos="0"/>
        </w:tabs>
        <w:ind w:left="0" w:firstLine="0"/>
        <w:rPr>
          <w:bCs/>
          <w:szCs w:val="22"/>
        </w:rPr>
      </w:pPr>
      <w:r w:rsidRPr="00031671">
        <w:rPr>
          <w:bCs/>
          <w:szCs w:val="22"/>
        </w:rPr>
        <w:t>Pacient</w:t>
      </w:r>
      <w:r w:rsidR="00F90AA0" w:rsidRPr="00031671">
        <w:rPr>
          <w:bCs/>
          <w:szCs w:val="22"/>
        </w:rPr>
        <w:t xml:space="preserve">om na </w:t>
      </w:r>
      <w:r w:rsidRPr="00031671">
        <w:rPr>
          <w:bCs/>
          <w:szCs w:val="22"/>
        </w:rPr>
        <w:t>súbežne</w:t>
      </w:r>
      <w:r w:rsidR="00F90AA0" w:rsidRPr="00031671">
        <w:rPr>
          <w:bCs/>
          <w:szCs w:val="22"/>
        </w:rPr>
        <w:t>j</w:t>
      </w:r>
      <w:r w:rsidRPr="00031671">
        <w:rPr>
          <w:bCs/>
          <w:szCs w:val="22"/>
        </w:rPr>
        <w:t xml:space="preserve"> liečb</w:t>
      </w:r>
      <w:r w:rsidR="00F90AA0" w:rsidRPr="00031671">
        <w:rPr>
          <w:bCs/>
          <w:szCs w:val="22"/>
        </w:rPr>
        <w:t>e</w:t>
      </w:r>
      <w:r w:rsidRPr="00031671">
        <w:rPr>
          <w:bCs/>
          <w:szCs w:val="22"/>
        </w:rPr>
        <w:t xml:space="preserve"> inhibítormi mTOR môž</w:t>
      </w:r>
      <w:r w:rsidR="00F90AA0" w:rsidRPr="00031671">
        <w:rPr>
          <w:bCs/>
          <w:szCs w:val="22"/>
        </w:rPr>
        <w:t>e hroziť</w:t>
      </w:r>
      <w:r w:rsidRPr="00031671">
        <w:rPr>
          <w:bCs/>
          <w:szCs w:val="22"/>
        </w:rPr>
        <w:t xml:space="preserve"> </w:t>
      </w:r>
      <w:r w:rsidR="00F90AA0" w:rsidRPr="00031671">
        <w:rPr>
          <w:bCs/>
          <w:szCs w:val="22"/>
        </w:rPr>
        <w:t>vyššie</w:t>
      </w:r>
      <w:r w:rsidRPr="00031671">
        <w:rPr>
          <w:bCs/>
          <w:szCs w:val="22"/>
        </w:rPr>
        <w:t xml:space="preserve"> riziko angioedému (pozri časť 4.4). </w:t>
      </w:r>
    </w:p>
    <w:p w14:paraId="3098070F" w14:textId="77777777" w:rsidR="005A0007" w:rsidRPr="00031671" w:rsidRDefault="005A0007" w:rsidP="005A0007">
      <w:pPr>
        <w:tabs>
          <w:tab w:val="left" w:pos="0"/>
        </w:tabs>
        <w:ind w:left="0" w:firstLine="0"/>
        <w:rPr>
          <w:bCs/>
          <w:szCs w:val="22"/>
          <w:u w:val="single"/>
        </w:rPr>
      </w:pPr>
    </w:p>
    <w:p w14:paraId="53538CC3" w14:textId="77777777" w:rsidR="003306FF" w:rsidRPr="00031671" w:rsidRDefault="003306FF" w:rsidP="003306FF">
      <w:pPr>
        <w:ind w:left="0" w:firstLine="0"/>
        <w:rPr>
          <w:szCs w:val="22"/>
        </w:rPr>
      </w:pPr>
      <w:r w:rsidRPr="00031671">
        <w:rPr>
          <w:szCs w:val="22"/>
          <w:u w:val="single"/>
        </w:rPr>
        <w:t>Lieky indukujúce hyperkaliémiu</w:t>
      </w:r>
    </w:p>
    <w:p w14:paraId="474BFC2A" w14:textId="77777777" w:rsidR="003306FF" w:rsidRPr="00031671" w:rsidRDefault="003306FF" w:rsidP="003306FF">
      <w:pPr>
        <w:ind w:left="0" w:firstLine="0"/>
        <w:rPr>
          <w:szCs w:val="22"/>
        </w:rPr>
      </w:pPr>
      <w:r w:rsidRPr="00031671">
        <w:rPr>
          <w:szCs w:val="22"/>
        </w:rPr>
        <w:t>Niektoré lieky alebo terapeutické skupiny môžu zvýšiť výskyt hyperkaliémie: aliskiren, draselné soli, draslík šetriace diuretiká, inhibítory ACE, antagonisty receptorov angiotenzínu-II, NSA, heparíny, imunosupresíva ako cyklosporín alebo takrolimus, trimetoprim. Kombinácia týchto liekov zvyšuje riziko hyperkaliémie.</w:t>
      </w:r>
    </w:p>
    <w:p w14:paraId="4915C39B" w14:textId="77777777" w:rsidR="00DD067E" w:rsidRPr="00031671" w:rsidRDefault="00DD067E" w:rsidP="003306FF">
      <w:pPr>
        <w:ind w:left="0" w:firstLine="0"/>
        <w:rPr>
          <w:szCs w:val="22"/>
        </w:rPr>
      </w:pPr>
    </w:p>
    <w:p w14:paraId="62FDDDCF" w14:textId="77777777" w:rsidR="00DD067E" w:rsidRPr="00762B3B" w:rsidRDefault="00A337FE" w:rsidP="00EE6F13">
      <w:pPr>
        <w:ind w:left="0" w:firstLine="0"/>
        <w:rPr>
          <w:szCs w:val="22"/>
          <w:u w:val="single"/>
        </w:rPr>
      </w:pPr>
      <w:r>
        <w:rPr>
          <w:szCs w:val="22"/>
          <w:u w:val="single"/>
        </w:rPr>
        <w:t>K</w:t>
      </w:r>
      <w:r w:rsidR="00DD067E" w:rsidRPr="00031671">
        <w:rPr>
          <w:szCs w:val="22"/>
          <w:u w:val="single"/>
        </w:rPr>
        <w:t>otrimoxazol (trimetoprim/sulfametoxazol)</w:t>
      </w:r>
    </w:p>
    <w:p w14:paraId="4033397F" w14:textId="77777777" w:rsidR="00DD067E" w:rsidRPr="00031671" w:rsidRDefault="00DD067E" w:rsidP="00762B3B">
      <w:pPr>
        <w:ind w:left="0" w:firstLine="0"/>
        <w:rPr>
          <w:szCs w:val="22"/>
        </w:rPr>
      </w:pPr>
      <w:r w:rsidRPr="00762B3B">
        <w:rPr>
          <w:szCs w:val="22"/>
        </w:rPr>
        <w:t xml:space="preserve">U pacientov užívajúcich súbežne </w:t>
      </w:r>
      <w:r w:rsidR="00A337FE">
        <w:rPr>
          <w:szCs w:val="22"/>
        </w:rPr>
        <w:t>k</w:t>
      </w:r>
      <w:r w:rsidRPr="00762B3B">
        <w:rPr>
          <w:szCs w:val="22"/>
        </w:rPr>
        <w:t xml:space="preserve">otrimoxazol (trimetoprim/sulfametoxazol) môže byť zvýšené </w:t>
      </w:r>
      <w:r w:rsidRPr="00031671">
        <w:rPr>
          <w:szCs w:val="22"/>
        </w:rPr>
        <w:t>riziko hyperkaliémie (pozri časť 4.4).</w:t>
      </w:r>
    </w:p>
    <w:p w14:paraId="08319B2D" w14:textId="77777777" w:rsidR="003306FF" w:rsidRPr="00031671" w:rsidRDefault="003306FF" w:rsidP="003306FF">
      <w:pPr>
        <w:ind w:left="0" w:firstLine="0"/>
        <w:rPr>
          <w:szCs w:val="22"/>
        </w:rPr>
      </w:pPr>
    </w:p>
    <w:p w14:paraId="721ABF3F" w14:textId="5EEC99D8" w:rsidR="003306FF" w:rsidRPr="00031671" w:rsidRDefault="003306FF" w:rsidP="003306FF">
      <w:pPr>
        <w:ind w:left="0" w:firstLine="0"/>
        <w:rPr>
          <w:szCs w:val="22"/>
          <w:u w:val="single"/>
        </w:rPr>
      </w:pPr>
      <w:r w:rsidRPr="00031671">
        <w:rPr>
          <w:b/>
          <w:i/>
          <w:szCs w:val="22"/>
          <w:u w:val="single"/>
        </w:rPr>
        <w:t>Súbežné použitie, ktoré sa neodporúča (pozri časť 4.4)</w:t>
      </w:r>
    </w:p>
    <w:p w14:paraId="0727D30B" w14:textId="77777777" w:rsidR="003306FF" w:rsidRPr="00031671" w:rsidRDefault="003306FF" w:rsidP="003306FF">
      <w:pPr>
        <w:ind w:left="0" w:firstLine="0"/>
        <w:rPr>
          <w:szCs w:val="22"/>
          <w:u w:val="single"/>
        </w:rPr>
      </w:pPr>
    </w:p>
    <w:p w14:paraId="1DD809EA" w14:textId="35D6E4B0" w:rsidR="003306FF" w:rsidRPr="00031671" w:rsidRDefault="003306FF" w:rsidP="003306FF">
      <w:pPr>
        <w:tabs>
          <w:tab w:val="left" w:pos="1650"/>
        </w:tabs>
        <w:ind w:left="0" w:firstLine="0"/>
        <w:rPr>
          <w:bCs/>
          <w:szCs w:val="22"/>
          <w:lang w:eastAsia="cs-CZ"/>
        </w:rPr>
      </w:pPr>
      <w:r w:rsidRPr="00031671">
        <w:rPr>
          <w:bCs/>
          <w:szCs w:val="22"/>
          <w:u w:val="single"/>
          <w:lang w:eastAsia="cs-CZ"/>
        </w:rPr>
        <w:t>Estramustín</w:t>
      </w:r>
    </w:p>
    <w:p w14:paraId="04012356" w14:textId="77777777" w:rsidR="003306FF" w:rsidRPr="00031671" w:rsidRDefault="003306FF" w:rsidP="003306FF">
      <w:pPr>
        <w:tabs>
          <w:tab w:val="left" w:pos="0"/>
        </w:tabs>
        <w:ind w:left="0" w:firstLine="0"/>
        <w:rPr>
          <w:szCs w:val="22"/>
        </w:rPr>
      </w:pPr>
      <w:r w:rsidRPr="00031671">
        <w:rPr>
          <w:bCs/>
          <w:szCs w:val="22"/>
          <w:lang w:eastAsia="cs-CZ"/>
        </w:rPr>
        <w:t>Riziko zvýšenia nežiaducich účinkov ako angioneurotický edém (angioedém).</w:t>
      </w:r>
    </w:p>
    <w:p w14:paraId="3AB55F1A" w14:textId="77777777" w:rsidR="003306FF" w:rsidRPr="00031671" w:rsidRDefault="003306FF" w:rsidP="003306FF">
      <w:pPr>
        <w:keepNext/>
        <w:ind w:left="0" w:firstLine="0"/>
        <w:outlineLvl w:val="3"/>
        <w:rPr>
          <w:bCs/>
          <w:szCs w:val="22"/>
          <w:u w:val="single"/>
        </w:rPr>
      </w:pPr>
    </w:p>
    <w:p w14:paraId="5B0E3F83" w14:textId="100FF906" w:rsidR="003306FF" w:rsidRPr="00031671" w:rsidRDefault="003306FF" w:rsidP="003306FF">
      <w:pPr>
        <w:keepNext/>
        <w:ind w:left="0" w:firstLine="0"/>
        <w:outlineLvl w:val="3"/>
        <w:rPr>
          <w:bCs/>
          <w:szCs w:val="22"/>
          <w:u w:val="single"/>
        </w:rPr>
      </w:pPr>
      <w:r w:rsidRPr="00031671">
        <w:rPr>
          <w:bCs/>
          <w:szCs w:val="22"/>
          <w:u w:val="single"/>
        </w:rPr>
        <w:t>Draslík šetriace diuretiká (napr. triamterén, amilorid,...), soli draslíka</w:t>
      </w:r>
    </w:p>
    <w:p w14:paraId="4CA760FA" w14:textId="77777777" w:rsidR="003306FF" w:rsidRPr="00031671" w:rsidRDefault="003306FF" w:rsidP="003306FF">
      <w:pPr>
        <w:tabs>
          <w:tab w:val="left" w:pos="0"/>
        </w:tabs>
        <w:ind w:left="0" w:firstLine="0"/>
        <w:rPr>
          <w:szCs w:val="22"/>
        </w:rPr>
      </w:pPr>
      <w:r w:rsidRPr="00031671">
        <w:rPr>
          <w:szCs w:val="22"/>
        </w:rPr>
        <w:t>Hyperkaliémia (potenciálne smrteľná), najmä v spojení s </w:t>
      </w:r>
      <w:r w:rsidR="00604478" w:rsidRPr="00031671">
        <w:rPr>
          <w:szCs w:val="22"/>
        </w:rPr>
        <w:t xml:space="preserve">poruchou </w:t>
      </w:r>
      <w:r w:rsidRPr="00031671">
        <w:rPr>
          <w:szCs w:val="22"/>
        </w:rPr>
        <w:t xml:space="preserve">funkcie obličiek (aditívne hyperkalemické účinky). Kombinácia perindoprilu s vyššie uvedenými liekmi sa neodporúča (pozri časť 4.4). Ak je ich súbežné použitie rovnako indikované, majú byť používané s opatrnosťou </w:t>
      </w:r>
      <w:r w:rsidRPr="00031671">
        <w:rPr>
          <w:szCs w:val="22"/>
        </w:rPr>
        <w:lastRenderedPageBreak/>
        <w:t>a pri častom monitorovaní hladín draslíka v sére. Pre použitie spironolaktónu u srdcového zlyhania, pozri nižšie.</w:t>
      </w:r>
    </w:p>
    <w:p w14:paraId="4C402F3C" w14:textId="77777777" w:rsidR="003306FF" w:rsidRPr="00031671" w:rsidRDefault="003306FF" w:rsidP="003306FF">
      <w:pPr>
        <w:tabs>
          <w:tab w:val="left" w:pos="0"/>
        </w:tabs>
        <w:ind w:left="0" w:firstLine="0"/>
        <w:rPr>
          <w:bCs/>
          <w:szCs w:val="22"/>
          <w:u w:val="single"/>
        </w:rPr>
      </w:pPr>
    </w:p>
    <w:p w14:paraId="5560F786" w14:textId="4FD120CA" w:rsidR="003306FF" w:rsidRPr="00031671" w:rsidRDefault="003306FF" w:rsidP="003306FF">
      <w:pPr>
        <w:tabs>
          <w:tab w:val="left" w:pos="0"/>
        </w:tabs>
        <w:ind w:left="0" w:firstLine="0"/>
        <w:rPr>
          <w:bCs/>
          <w:szCs w:val="22"/>
          <w:u w:val="single"/>
        </w:rPr>
      </w:pPr>
      <w:r w:rsidRPr="00031671">
        <w:rPr>
          <w:bCs/>
          <w:szCs w:val="22"/>
          <w:u w:val="single"/>
        </w:rPr>
        <w:t>Lítium</w:t>
      </w:r>
    </w:p>
    <w:p w14:paraId="0404AAA6" w14:textId="77777777" w:rsidR="003306FF" w:rsidRPr="00031671" w:rsidRDefault="003306FF" w:rsidP="003306FF">
      <w:pPr>
        <w:autoSpaceDE w:val="0"/>
        <w:autoSpaceDN w:val="0"/>
        <w:adjustRightInd w:val="0"/>
        <w:ind w:left="0" w:firstLine="0"/>
        <w:rPr>
          <w:szCs w:val="22"/>
        </w:rPr>
      </w:pPr>
      <w:r w:rsidRPr="00031671">
        <w:rPr>
          <w:szCs w:val="22"/>
        </w:rPr>
        <w:t>Počas súbežného podávania lítia s inhibítormi ACE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14:paraId="4213430C" w14:textId="77777777" w:rsidR="003306FF" w:rsidRPr="00031671" w:rsidRDefault="003306FF" w:rsidP="003306FF">
      <w:pPr>
        <w:tabs>
          <w:tab w:val="left" w:pos="0"/>
        </w:tabs>
        <w:ind w:left="0" w:firstLine="0"/>
        <w:rPr>
          <w:bCs/>
          <w:szCs w:val="22"/>
          <w:u w:val="single"/>
        </w:rPr>
      </w:pPr>
    </w:p>
    <w:p w14:paraId="78000BA8" w14:textId="24E3B569" w:rsidR="003306FF" w:rsidRPr="00031671" w:rsidRDefault="003306FF" w:rsidP="003306FF">
      <w:pPr>
        <w:ind w:left="0" w:firstLine="0"/>
        <w:rPr>
          <w:b/>
          <w:i/>
          <w:szCs w:val="22"/>
          <w:u w:val="single"/>
        </w:rPr>
      </w:pPr>
      <w:r w:rsidRPr="00031671">
        <w:rPr>
          <w:b/>
          <w:i/>
          <w:szCs w:val="22"/>
          <w:u w:val="single"/>
        </w:rPr>
        <w:t>Súbežné použitie, ktoré si vyžaduje osobitnú starostlivosť</w:t>
      </w:r>
    </w:p>
    <w:p w14:paraId="34CC263E" w14:textId="77777777" w:rsidR="003306FF" w:rsidRPr="00031671" w:rsidRDefault="003306FF" w:rsidP="003306FF">
      <w:pPr>
        <w:ind w:left="0" w:firstLine="0"/>
        <w:rPr>
          <w:szCs w:val="22"/>
        </w:rPr>
      </w:pPr>
    </w:p>
    <w:p w14:paraId="16E3D5E4" w14:textId="4EB33052" w:rsidR="003306FF" w:rsidRPr="00031671" w:rsidRDefault="003306FF" w:rsidP="003306FF">
      <w:pPr>
        <w:ind w:left="0" w:firstLine="0"/>
        <w:rPr>
          <w:szCs w:val="22"/>
        </w:rPr>
      </w:pPr>
      <w:r w:rsidRPr="00031671">
        <w:rPr>
          <w:szCs w:val="22"/>
          <w:u w:val="single"/>
        </w:rPr>
        <w:t>Antidiabetiká (inzulíny, perorálne hypoglykemizujúce látky)</w:t>
      </w:r>
    </w:p>
    <w:p w14:paraId="3D915C9A" w14:textId="77777777" w:rsidR="003306FF" w:rsidRPr="00031671" w:rsidRDefault="003306FF" w:rsidP="003306FF">
      <w:pPr>
        <w:ind w:left="0" w:firstLine="0"/>
        <w:rPr>
          <w:szCs w:val="22"/>
        </w:rPr>
      </w:pPr>
      <w:r w:rsidRPr="00031671">
        <w:rPr>
          <w:szCs w:val="22"/>
        </w:rPr>
        <w:t>Epidemiologické štúdie naznačili, že súbežné podávanie inhibítorov ACE a antidiabetík (inzulíny, perorálne hypoglykemizujúce látky) môže spôsobiť zvýšenie účinku na zníženie hladiny glukózy v krvi s rizikom vzniku hypoglykémie. Tento jav sa zdá byť pravdepodobnejší počas prvých týždňov kombinovanej liečby a u pacientov s poškodením funkcie obličiek.</w:t>
      </w:r>
    </w:p>
    <w:p w14:paraId="0C9A5272" w14:textId="77777777" w:rsidR="003306FF" w:rsidRPr="00031671" w:rsidRDefault="003306FF" w:rsidP="003306FF">
      <w:pPr>
        <w:ind w:left="0" w:firstLine="0"/>
        <w:rPr>
          <w:szCs w:val="22"/>
        </w:rPr>
      </w:pPr>
    </w:p>
    <w:p w14:paraId="1759925E" w14:textId="4B5195F3" w:rsidR="003306FF" w:rsidRPr="00031671" w:rsidRDefault="003306FF" w:rsidP="003306FF">
      <w:pPr>
        <w:ind w:left="0" w:firstLine="0"/>
        <w:rPr>
          <w:szCs w:val="22"/>
        </w:rPr>
      </w:pPr>
      <w:r w:rsidRPr="00031671">
        <w:rPr>
          <w:szCs w:val="22"/>
          <w:u w:val="single"/>
        </w:rPr>
        <w:t>Baklofén</w:t>
      </w:r>
    </w:p>
    <w:p w14:paraId="6250E767" w14:textId="77777777" w:rsidR="003306FF" w:rsidRPr="00031671" w:rsidRDefault="003306FF" w:rsidP="003306FF">
      <w:pPr>
        <w:ind w:left="0" w:firstLine="0"/>
        <w:rPr>
          <w:szCs w:val="22"/>
        </w:rPr>
      </w:pPr>
      <w:r w:rsidRPr="00031671">
        <w:rPr>
          <w:szCs w:val="22"/>
        </w:rPr>
        <w:t>Zvýšený antihypertenzný účinok. Monitorovanie krvného tlaku a v prípade potreby úprava dávky antihypertenzíva.</w:t>
      </w:r>
    </w:p>
    <w:p w14:paraId="54CA50A7" w14:textId="77777777" w:rsidR="003306FF" w:rsidRPr="00031671" w:rsidRDefault="003306FF" w:rsidP="003306FF">
      <w:pPr>
        <w:ind w:left="0" w:firstLine="0"/>
        <w:rPr>
          <w:szCs w:val="22"/>
        </w:rPr>
      </w:pPr>
    </w:p>
    <w:p w14:paraId="708508A2" w14:textId="13F27527" w:rsidR="003306FF" w:rsidRPr="00031671" w:rsidRDefault="003306FF" w:rsidP="003306FF">
      <w:pPr>
        <w:ind w:left="0" w:firstLine="0"/>
        <w:rPr>
          <w:szCs w:val="22"/>
        </w:rPr>
      </w:pPr>
      <w:r w:rsidRPr="00031671">
        <w:rPr>
          <w:szCs w:val="22"/>
          <w:u w:val="single"/>
        </w:rPr>
        <w:t>Diuretiká nešetriace draslík</w:t>
      </w:r>
    </w:p>
    <w:p w14:paraId="3AA91342" w14:textId="77777777" w:rsidR="003306FF" w:rsidRPr="00031671" w:rsidRDefault="003306FF" w:rsidP="003306FF">
      <w:pPr>
        <w:ind w:left="0" w:firstLine="0"/>
        <w:rPr>
          <w:szCs w:val="22"/>
        </w:rPr>
      </w:pPr>
      <w:r w:rsidRPr="00031671">
        <w:rPr>
          <w:szCs w:val="22"/>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nízkymi a postupne sa zvyšujúcimi dávkami perindoprilu.</w:t>
      </w:r>
    </w:p>
    <w:p w14:paraId="03548DBE" w14:textId="77777777" w:rsidR="003306FF" w:rsidRPr="00031671" w:rsidRDefault="003306FF" w:rsidP="003306FF">
      <w:pPr>
        <w:ind w:left="0" w:firstLine="0"/>
        <w:rPr>
          <w:i/>
          <w:szCs w:val="22"/>
        </w:rPr>
      </w:pPr>
    </w:p>
    <w:p w14:paraId="5DCE5F6E" w14:textId="77777777" w:rsidR="003306FF" w:rsidRPr="00031671" w:rsidRDefault="003306FF" w:rsidP="003306FF">
      <w:pPr>
        <w:ind w:left="0" w:firstLine="0"/>
        <w:rPr>
          <w:szCs w:val="22"/>
        </w:rPr>
      </w:pPr>
      <w:r w:rsidRPr="00031671">
        <w:rPr>
          <w:i/>
          <w:szCs w:val="22"/>
        </w:rPr>
        <w:t>Pri arteriálnej hypertenzii</w:t>
      </w:r>
      <w:r w:rsidRPr="00031671">
        <w:rPr>
          <w:szCs w:val="22"/>
        </w:rPr>
        <w:t>, kedy predchádzajúca liečba diuretikom môže spôsobiť depléciu solí/objemu, sa buď musí pred začatím liečby inhibítorom ACE vysadiť diuretikum, a v takom prípade sa potom môže znovu použiť diuretikum nešetriace draslík, alebo sa musí začať liečba inhibítorom ACE s nízkou a postupne sa zvyšujúcou dávkou.</w:t>
      </w:r>
    </w:p>
    <w:p w14:paraId="512FDBA6" w14:textId="77777777" w:rsidR="003306FF" w:rsidRPr="00031671" w:rsidRDefault="003306FF" w:rsidP="003306FF">
      <w:pPr>
        <w:ind w:left="0" w:firstLine="0"/>
        <w:rPr>
          <w:i/>
          <w:szCs w:val="22"/>
        </w:rPr>
      </w:pPr>
    </w:p>
    <w:p w14:paraId="340A543C" w14:textId="77777777" w:rsidR="003306FF" w:rsidRPr="00031671" w:rsidRDefault="003306FF" w:rsidP="003306FF">
      <w:pPr>
        <w:ind w:left="0" w:firstLine="0"/>
        <w:rPr>
          <w:szCs w:val="22"/>
        </w:rPr>
      </w:pPr>
      <w:r w:rsidRPr="00031671">
        <w:rPr>
          <w:i/>
          <w:szCs w:val="22"/>
        </w:rPr>
        <w:t>Pri kongestívnom srdcovom zlyhaní liečenom diuretikom</w:t>
      </w:r>
      <w:r w:rsidRPr="00031671">
        <w:rPr>
          <w:szCs w:val="22"/>
        </w:rPr>
        <w:t xml:space="preserve"> sa má začať liečba inhibítorom ACE s veľmi nízkou dávkou, prípadne po znížení dávky pridaného diuretika nešetriaceho draslík.</w:t>
      </w:r>
    </w:p>
    <w:p w14:paraId="0B4E4EFA" w14:textId="77777777" w:rsidR="003306FF" w:rsidRPr="00031671" w:rsidRDefault="003306FF" w:rsidP="003306FF">
      <w:pPr>
        <w:tabs>
          <w:tab w:val="left" w:pos="0"/>
        </w:tabs>
        <w:ind w:left="0" w:firstLine="0"/>
        <w:rPr>
          <w:bCs/>
          <w:szCs w:val="22"/>
          <w:u w:val="single"/>
        </w:rPr>
      </w:pPr>
      <w:r w:rsidRPr="00031671">
        <w:rPr>
          <w:szCs w:val="22"/>
        </w:rPr>
        <w:t>Vo všetkých prípadoch sa musí monitorovať funkcia obličiek (hladiny kreatinínu) počas prvých niekoľkých týždňov liečby inhibítorom ACE.</w:t>
      </w:r>
    </w:p>
    <w:p w14:paraId="563883BE" w14:textId="77777777" w:rsidR="003306FF" w:rsidRPr="00031671" w:rsidRDefault="003306FF" w:rsidP="003306FF">
      <w:pPr>
        <w:tabs>
          <w:tab w:val="left" w:pos="0"/>
        </w:tabs>
        <w:ind w:left="0" w:firstLine="0"/>
        <w:rPr>
          <w:bCs/>
          <w:szCs w:val="22"/>
          <w:u w:val="single"/>
        </w:rPr>
      </w:pPr>
    </w:p>
    <w:p w14:paraId="5122EF55" w14:textId="77777777" w:rsidR="003306FF" w:rsidRPr="00031671" w:rsidRDefault="003306FF" w:rsidP="003306FF">
      <w:pPr>
        <w:tabs>
          <w:tab w:val="left" w:pos="0"/>
        </w:tabs>
        <w:ind w:left="0" w:firstLine="0"/>
        <w:rPr>
          <w:bCs/>
          <w:szCs w:val="22"/>
          <w:u w:val="single"/>
        </w:rPr>
      </w:pPr>
      <w:r w:rsidRPr="00031671">
        <w:rPr>
          <w:bCs/>
          <w:szCs w:val="22"/>
          <w:u w:val="single"/>
        </w:rPr>
        <w:t>Draslík šetriace diuretiká (eplerenón, spironolaktón)</w:t>
      </w:r>
    </w:p>
    <w:p w14:paraId="44446B84" w14:textId="77777777" w:rsidR="003306FF" w:rsidRPr="00031671" w:rsidRDefault="003306FF" w:rsidP="003306FF">
      <w:pPr>
        <w:tabs>
          <w:tab w:val="left" w:pos="0"/>
        </w:tabs>
        <w:ind w:left="0" w:firstLine="0"/>
        <w:rPr>
          <w:bCs/>
          <w:szCs w:val="22"/>
        </w:rPr>
      </w:pPr>
      <w:r w:rsidRPr="00031671">
        <w:rPr>
          <w:bCs/>
          <w:szCs w:val="22"/>
        </w:rPr>
        <w:t>Eplerenón a spironolaktón v dávkach medzi 12,5 mg až 50 mg denne a nízke dávky inhibítorov ACE:</w:t>
      </w:r>
    </w:p>
    <w:p w14:paraId="0FDD866A" w14:textId="77777777" w:rsidR="003306FF" w:rsidRPr="00031671" w:rsidRDefault="003306FF" w:rsidP="003306FF">
      <w:pPr>
        <w:tabs>
          <w:tab w:val="left" w:pos="0"/>
        </w:tabs>
        <w:ind w:left="0" w:firstLine="0"/>
        <w:rPr>
          <w:bCs/>
          <w:szCs w:val="22"/>
        </w:rPr>
      </w:pPr>
      <w:r w:rsidRPr="00031671">
        <w:rPr>
          <w:bCs/>
          <w:szCs w:val="22"/>
        </w:rPr>
        <w:t>Pri liečbe srdcového zlyhania triedy II - IV (NYHA) s ejekčnou frakciou &lt; 40 % a predtým liečbou inhibítormi ACE a slučkovými diuretikami je riziko hyperkaliémie, potenciálne smrteľné, najmä v prípade nedodržania preskripčných odporúčaní týkajúcich sa tejto kombinácie.</w:t>
      </w:r>
    </w:p>
    <w:p w14:paraId="407A53B8" w14:textId="77777777" w:rsidR="003306FF" w:rsidRPr="00031671" w:rsidRDefault="003306FF" w:rsidP="003306FF">
      <w:pPr>
        <w:tabs>
          <w:tab w:val="left" w:pos="0"/>
        </w:tabs>
        <w:ind w:left="0" w:firstLine="0"/>
        <w:rPr>
          <w:bCs/>
          <w:szCs w:val="22"/>
        </w:rPr>
      </w:pPr>
      <w:r w:rsidRPr="00031671">
        <w:rPr>
          <w:bCs/>
          <w:szCs w:val="22"/>
        </w:rPr>
        <w:t>Pred začatím liečby touto kombináciou skontrolujte absenciu hyperkaliémie a </w:t>
      </w:r>
      <w:r w:rsidR="00604478" w:rsidRPr="00031671">
        <w:rPr>
          <w:bCs/>
          <w:szCs w:val="22"/>
        </w:rPr>
        <w:t xml:space="preserve">poruchy </w:t>
      </w:r>
      <w:r w:rsidRPr="00031671">
        <w:rPr>
          <w:bCs/>
          <w:szCs w:val="22"/>
        </w:rPr>
        <w:t>funkcie obličiek.</w:t>
      </w:r>
    </w:p>
    <w:p w14:paraId="2FEA9110" w14:textId="77777777" w:rsidR="003306FF" w:rsidRPr="00031671" w:rsidRDefault="003306FF" w:rsidP="003306FF">
      <w:pPr>
        <w:tabs>
          <w:tab w:val="left" w:pos="0"/>
        </w:tabs>
        <w:ind w:left="0" w:firstLine="0"/>
        <w:rPr>
          <w:bCs/>
          <w:szCs w:val="22"/>
        </w:rPr>
      </w:pPr>
      <w:r w:rsidRPr="00031671">
        <w:rPr>
          <w:bCs/>
          <w:szCs w:val="22"/>
        </w:rPr>
        <w:t>Dôkladné monitorovanie kaliémie a kreatinémie sa odporúča v prvom mesiaci liečby raz týždenne na začiatku a potom raz za mesiac.</w:t>
      </w:r>
    </w:p>
    <w:p w14:paraId="54CBD6C6" w14:textId="77777777" w:rsidR="003306FF" w:rsidRPr="00031671" w:rsidRDefault="003306FF" w:rsidP="003306FF">
      <w:pPr>
        <w:tabs>
          <w:tab w:val="left" w:pos="0"/>
        </w:tabs>
        <w:ind w:left="0" w:firstLine="0"/>
        <w:rPr>
          <w:bCs/>
          <w:szCs w:val="22"/>
          <w:u w:val="single"/>
        </w:rPr>
      </w:pPr>
    </w:p>
    <w:p w14:paraId="2AFB3A1B" w14:textId="578525E5" w:rsidR="003306FF" w:rsidRPr="00762B3B" w:rsidRDefault="003306FF" w:rsidP="003306FF">
      <w:pPr>
        <w:tabs>
          <w:tab w:val="left" w:pos="0"/>
        </w:tabs>
        <w:ind w:left="0" w:firstLine="0"/>
        <w:rPr>
          <w:bCs/>
          <w:szCs w:val="22"/>
          <w:u w:val="single"/>
        </w:rPr>
      </w:pPr>
      <w:r w:rsidRPr="00031671">
        <w:rPr>
          <w:szCs w:val="22"/>
          <w:u w:val="single"/>
        </w:rPr>
        <w:t xml:space="preserve">Nesteroidné antiflogistiká (NSA), vrátane aspirínu </w:t>
      </w:r>
      <w:r w:rsidRPr="00762B3B">
        <w:rPr>
          <w:szCs w:val="22"/>
          <w:u w:val="single"/>
        </w:rPr>
        <w:sym w:font="Symbol" w:char="F0B3"/>
      </w:r>
      <w:r w:rsidRPr="00762B3B">
        <w:rPr>
          <w:szCs w:val="22"/>
          <w:u w:val="single"/>
        </w:rPr>
        <w:t> 3 g/deň</w:t>
      </w:r>
    </w:p>
    <w:p w14:paraId="02F0DEED" w14:textId="77777777" w:rsidR="003306FF" w:rsidRPr="00031671" w:rsidRDefault="003306FF" w:rsidP="003306FF">
      <w:pPr>
        <w:tabs>
          <w:tab w:val="left" w:pos="0"/>
        </w:tabs>
        <w:ind w:left="0" w:firstLine="0"/>
        <w:rPr>
          <w:szCs w:val="22"/>
        </w:rPr>
      </w:pPr>
      <w:r w:rsidRPr="00031671">
        <w:rPr>
          <w:szCs w:val="22"/>
        </w:rPr>
        <w:t>Pri podávaní inhibítorov ACE súbežne s nesteroidnými antiflogistikami (t.j. kyselina acetylsalicylová pri protizápalovom dávkovaní, inhibítory COX-2 a neselektívne NSA) sa môže oslabiť antihypertenzný účinok. Súbežné používanie inhibítorov ACE a NSA môžu viesť k zvýšenému riziku zhoršenia renálnej funkcie, vrátane možného akútneho renálneho zlyhania a zvýšenia sérovej hladiny draslíka, predovšetkým u pacientov so slabou preexistujúcou renálnou funkciou. Kombinácia sa má podávať opatrne, najmä u starších pacientov. Pacienti majú byť adekvátne hydratovaní a je potrebné zvážiť monitorovanie renálnej funkcie po začatí súbežnej liečby a potom pravidelne.</w:t>
      </w:r>
    </w:p>
    <w:p w14:paraId="6DA4D7A7" w14:textId="77777777" w:rsidR="003306FF" w:rsidRPr="00031671" w:rsidRDefault="003306FF" w:rsidP="003306FF">
      <w:pPr>
        <w:ind w:left="0" w:firstLine="0"/>
        <w:rPr>
          <w:szCs w:val="22"/>
        </w:rPr>
      </w:pPr>
    </w:p>
    <w:p w14:paraId="67F20C4B" w14:textId="2A0B9C08" w:rsidR="003306FF" w:rsidRPr="00031671" w:rsidRDefault="003306FF" w:rsidP="003306FF">
      <w:pPr>
        <w:tabs>
          <w:tab w:val="left" w:pos="0"/>
        </w:tabs>
        <w:ind w:left="0" w:firstLine="0"/>
        <w:rPr>
          <w:bCs/>
          <w:szCs w:val="22"/>
          <w:u w:val="single"/>
        </w:rPr>
      </w:pPr>
      <w:r w:rsidRPr="00031671">
        <w:rPr>
          <w:b/>
          <w:i/>
          <w:szCs w:val="22"/>
          <w:u w:val="single"/>
        </w:rPr>
        <w:lastRenderedPageBreak/>
        <w:t>Súbežné použitie, ktoré vyžaduje určitú starostlivosť</w:t>
      </w:r>
    </w:p>
    <w:p w14:paraId="4BCE75EF" w14:textId="77777777" w:rsidR="003306FF" w:rsidRPr="00031671" w:rsidRDefault="003306FF" w:rsidP="003306FF">
      <w:pPr>
        <w:tabs>
          <w:tab w:val="left" w:pos="0"/>
        </w:tabs>
        <w:ind w:left="0" w:firstLine="0"/>
        <w:rPr>
          <w:bCs/>
          <w:szCs w:val="22"/>
          <w:u w:val="single"/>
        </w:rPr>
      </w:pPr>
    </w:p>
    <w:p w14:paraId="4A8F1FC0" w14:textId="1A6DB095" w:rsidR="003306FF" w:rsidRPr="00031671" w:rsidRDefault="003306FF" w:rsidP="003306FF">
      <w:pPr>
        <w:tabs>
          <w:tab w:val="left" w:pos="0"/>
        </w:tabs>
        <w:ind w:left="0" w:firstLine="0"/>
        <w:rPr>
          <w:bCs/>
          <w:szCs w:val="22"/>
          <w:u w:val="single"/>
        </w:rPr>
      </w:pPr>
      <w:r w:rsidRPr="00031671">
        <w:rPr>
          <w:szCs w:val="22"/>
          <w:u w:val="single"/>
        </w:rPr>
        <w:t>Antihypertenzíva a vazodilatanciá</w:t>
      </w:r>
    </w:p>
    <w:p w14:paraId="6FC1DEFD" w14:textId="77777777" w:rsidR="003306FF" w:rsidRPr="00031671" w:rsidRDefault="003306FF" w:rsidP="003306FF">
      <w:pPr>
        <w:ind w:left="0" w:firstLine="0"/>
        <w:rPr>
          <w:szCs w:val="22"/>
        </w:rPr>
      </w:pPr>
      <w:r w:rsidRPr="00031671">
        <w:rPr>
          <w:szCs w:val="22"/>
        </w:rPr>
        <w:t>Súbežné použitie týchto liekov môže zvyšovať hypotenzné účinky perindoprilu. Súbežné použitie s nitroglycerínom a inými nitrátmi alebo inými vazodilatanciami môže viesť k ďalšiemu zníženiu tlaku krvi.</w:t>
      </w:r>
    </w:p>
    <w:p w14:paraId="7B9492BB" w14:textId="77777777" w:rsidR="003306FF" w:rsidRPr="00031671" w:rsidRDefault="003306FF" w:rsidP="003306FF">
      <w:pPr>
        <w:tabs>
          <w:tab w:val="left" w:pos="0"/>
          <w:tab w:val="center" w:pos="5387"/>
        </w:tabs>
        <w:ind w:left="0" w:firstLine="0"/>
        <w:rPr>
          <w:bCs/>
          <w:szCs w:val="22"/>
          <w:u w:val="single"/>
          <w:lang w:eastAsia="fr-FR"/>
        </w:rPr>
      </w:pPr>
    </w:p>
    <w:p w14:paraId="0DCE15AF" w14:textId="7D1BF727" w:rsidR="003306FF" w:rsidRPr="00031671" w:rsidRDefault="003306FF" w:rsidP="003306FF">
      <w:pPr>
        <w:ind w:left="0" w:firstLine="0"/>
        <w:rPr>
          <w:szCs w:val="22"/>
          <w:lang w:eastAsia="cs-CZ"/>
        </w:rPr>
      </w:pPr>
      <w:r w:rsidRPr="00031671">
        <w:rPr>
          <w:szCs w:val="22"/>
          <w:u w:val="single"/>
          <w:lang w:eastAsia="cs-CZ"/>
        </w:rPr>
        <w:t>Gliptíny (linagliptín, saxagliptín, sitagliptín, vildagliptín)</w:t>
      </w:r>
    </w:p>
    <w:p w14:paraId="362296E4" w14:textId="77777777" w:rsidR="003306FF" w:rsidRPr="00031671" w:rsidRDefault="003306FF" w:rsidP="003306FF">
      <w:pPr>
        <w:tabs>
          <w:tab w:val="left" w:pos="0"/>
          <w:tab w:val="center" w:pos="5387"/>
        </w:tabs>
        <w:ind w:left="0" w:firstLine="0"/>
        <w:rPr>
          <w:bCs/>
          <w:szCs w:val="22"/>
          <w:u w:val="single"/>
          <w:lang w:eastAsia="fr-FR"/>
        </w:rPr>
      </w:pPr>
      <w:r w:rsidRPr="00031671">
        <w:rPr>
          <w:szCs w:val="22"/>
          <w:lang w:eastAsia="cs-CZ"/>
        </w:rPr>
        <w:t>Zvýšené riziko angioedému, vzhľadom na dipeptidylpeptidázu IV (DPP-IV) znížená aktivita gliptínu u pacientov súbežne liečených inhibítorom ACE.</w:t>
      </w:r>
    </w:p>
    <w:p w14:paraId="68038B22" w14:textId="77777777" w:rsidR="003306FF" w:rsidRPr="00031671" w:rsidRDefault="003306FF" w:rsidP="003306FF">
      <w:pPr>
        <w:tabs>
          <w:tab w:val="left" w:pos="540"/>
          <w:tab w:val="center" w:pos="4153"/>
          <w:tab w:val="right" w:pos="8306"/>
        </w:tabs>
        <w:ind w:left="0" w:firstLine="0"/>
        <w:rPr>
          <w:bCs/>
          <w:iCs/>
          <w:szCs w:val="22"/>
          <w:u w:val="single"/>
        </w:rPr>
      </w:pPr>
    </w:p>
    <w:p w14:paraId="6AFD7D2D" w14:textId="34E587C2" w:rsidR="003306FF" w:rsidRPr="00031671" w:rsidRDefault="003306FF" w:rsidP="003306FF">
      <w:pPr>
        <w:tabs>
          <w:tab w:val="left" w:pos="540"/>
          <w:tab w:val="center" w:pos="4153"/>
          <w:tab w:val="right" w:pos="8306"/>
        </w:tabs>
        <w:ind w:left="0" w:firstLine="0"/>
        <w:rPr>
          <w:bCs/>
          <w:iCs/>
          <w:szCs w:val="22"/>
          <w:u w:val="single"/>
        </w:rPr>
      </w:pPr>
      <w:r w:rsidRPr="00031671">
        <w:rPr>
          <w:szCs w:val="22"/>
          <w:u w:val="single"/>
        </w:rPr>
        <w:t>Tricyklické antidepresíva/Antipsychotiká/Anestetiká</w:t>
      </w:r>
    </w:p>
    <w:p w14:paraId="19B821C8" w14:textId="77777777" w:rsidR="003306FF" w:rsidRPr="00031671" w:rsidRDefault="003306FF" w:rsidP="003306FF">
      <w:pPr>
        <w:tabs>
          <w:tab w:val="left" w:pos="540"/>
        </w:tabs>
        <w:ind w:left="0" w:firstLine="0"/>
        <w:rPr>
          <w:szCs w:val="22"/>
        </w:rPr>
      </w:pPr>
      <w:r w:rsidRPr="00031671">
        <w:rPr>
          <w:szCs w:val="22"/>
        </w:rPr>
        <w:t>Súbežné použitie určitých anestetík, tricyklických antidepresív a antipsychotík spolu s inhibítormi ACE môže viesť k ďalšiemu zníženiu tlaku krvi (pozri časť 4.4).</w:t>
      </w:r>
    </w:p>
    <w:p w14:paraId="47F4C7DA" w14:textId="77777777" w:rsidR="001E1948" w:rsidRPr="00031671" w:rsidRDefault="001E1948" w:rsidP="00F3126E">
      <w:pPr>
        <w:ind w:left="0" w:firstLine="0"/>
        <w:rPr>
          <w:i/>
          <w:szCs w:val="22"/>
        </w:rPr>
      </w:pPr>
    </w:p>
    <w:p w14:paraId="14A3DA01" w14:textId="6495E93A" w:rsidR="001E1948" w:rsidRPr="00506927" w:rsidRDefault="001E1948" w:rsidP="00F3126E">
      <w:pPr>
        <w:ind w:left="0" w:firstLine="0"/>
        <w:rPr>
          <w:u w:val="single"/>
        </w:rPr>
      </w:pPr>
      <w:r w:rsidRPr="00506927">
        <w:rPr>
          <w:u w:val="single"/>
        </w:rPr>
        <w:t>Sympatomimetiká</w:t>
      </w:r>
    </w:p>
    <w:p w14:paraId="6CEF09BD" w14:textId="77777777" w:rsidR="001E1948" w:rsidRPr="00762B3B" w:rsidRDefault="001E1948" w:rsidP="00F3126E">
      <w:pPr>
        <w:ind w:left="0" w:firstLine="0"/>
        <w:rPr>
          <w:i/>
          <w:szCs w:val="22"/>
        </w:rPr>
      </w:pPr>
      <w:r w:rsidRPr="00762B3B">
        <w:rPr>
          <w:szCs w:val="22"/>
        </w:rPr>
        <w:t>Sympatomimetiká môžu znížiť antihypertenzný účinok ACE inhibítorov</w:t>
      </w:r>
      <w:r w:rsidRPr="00762B3B">
        <w:rPr>
          <w:i/>
          <w:szCs w:val="22"/>
        </w:rPr>
        <w:t>.</w:t>
      </w:r>
    </w:p>
    <w:p w14:paraId="29558C66" w14:textId="77777777" w:rsidR="001E1948" w:rsidRPr="00031671" w:rsidRDefault="001E1948" w:rsidP="00F3126E">
      <w:pPr>
        <w:ind w:left="0" w:firstLine="0"/>
        <w:rPr>
          <w:i/>
          <w:szCs w:val="22"/>
        </w:rPr>
      </w:pPr>
    </w:p>
    <w:p w14:paraId="51F7FEBE" w14:textId="66214869" w:rsidR="001E1948" w:rsidRPr="00506927" w:rsidRDefault="001E1948" w:rsidP="00F3126E">
      <w:pPr>
        <w:ind w:left="0" w:firstLine="0"/>
        <w:rPr>
          <w:u w:val="single"/>
        </w:rPr>
      </w:pPr>
      <w:r w:rsidRPr="00506927">
        <w:rPr>
          <w:u w:val="single"/>
        </w:rPr>
        <w:t>Zlato</w:t>
      </w:r>
    </w:p>
    <w:p w14:paraId="31F4A920" w14:textId="77777777" w:rsidR="001E1948" w:rsidRPr="00762B3B" w:rsidRDefault="001E1948" w:rsidP="00F3126E">
      <w:pPr>
        <w:numPr>
          <w:ilvl w:val="12"/>
          <w:numId w:val="0"/>
        </w:numPr>
        <w:rPr>
          <w:szCs w:val="22"/>
        </w:rPr>
      </w:pPr>
      <w:r w:rsidRPr="00762B3B">
        <w:rPr>
          <w:szCs w:val="22"/>
        </w:rPr>
        <w:t>Nitritoidné reakcie (symptómy zahŕňajú sčervenanie tváre, nauzeu, vracanie a hypotenziu) boli zriedkavo hlásené u pacientov liečených injekčným zlatom (aurotiomalát sodný) a súbežne ACE inhibítormi vrátane perindoprilu.</w:t>
      </w:r>
    </w:p>
    <w:p w14:paraId="1208EBE5" w14:textId="77777777" w:rsidR="001E1948" w:rsidRPr="00031671" w:rsidRDefault="001E1948" w:rsidP="00F3126E">
      <w:pPr>
        <w:ind w:left="0" w:firstLine="0"/>
        <w:rPr>
          <w:i/>
          <w:szCs w:val="22"/>
          <w:u w:val="single"/>
        </w:rPr>
      </w:pPr>
    </w:p>
    <w:p w14:paraId="7B4E7DAA" w14:textId="77777777" w:rsidR="001E1948" w:rsidRPr="00031671" w:rsidRDefault="001E1948" w:rsidP="00F3126E">
      <w:pPr>
        <w:ind w:left="0" w:firstLine="0"/>
        <w:rPr>
          <w:i/>
          <w:szCs w:val="22"/>
          <w:u w:val="single"/>
        </w:rPr>
      </w:pPr>
      <w:r w:rsidRPr="00031671">
        <w:rPr>
          <w:i/>
          <w:szCs w:val="22"/>
          <w:u w:val="single"/>
        </w:rPr>
        <w:t>Súvisiace s amlodipínom</w:t>
      </w:r>
    </w:p>
    <w:p w14:paraId="0D37DBEC" w14:textId="77777777" w:rsidR="001E1948" w:rsidRPr="00031671" w:rsidRDefault="001E1948" w:rsidP="00F3126E">
      <w:pPr>
        <w:ind w:left="0" w:firstLine="0"/>
        <w:rPr>
          <w:i/>
          <w:szCs w:val="22"/>
          <w:u w:val="single"/>
        </w:rPr>
      </w:pPr>
    </w:p>
    <w:p w14:paraId="32FC9546" w14:textId="77777777" w:rsidR="00733692" w:rsidRPr="00031671" w:rsidRDefault="00733692" w:rsidP="009D2A08">
      <w:pPr>
        <w:ind w:left="0" w:firstLine="0"/>
        <w:rPr>
          <w:i/>
          <w:szCs w:val="22"/>
        </w:rPr>
      </w:pPr>
      <w:r w:rsidRPr="00031671">
        <w:rPr>
          <w:i/>
          <w:szCs w:val="22"/>
        </w:rPr>
        <w:t xml:space="preserve">Účinky iných liekov na amlodipín </w:t>
      </w:r>
    </w:p>
    <w:p w14:paraId="1EF75C2C" w14:textId="77777777" w:rsidR="00733692" w:rsidRPr="00031671" w:rsidRDefault="00733692" w:rsidP="009D2A08">
      <w:pPr>
        <w:ind w:left="0" w:firstLine="0"/>
        <w:rPr>
          <w:szCs w:val="22"/>
        </w:rPr>
      </w:pPr>
    </w:p>
    <w:p w14:paraId="1297D13D" w14:textId="25E3C507" w:rsidR="00733692" w:rsidRPr="00031671" w:rsidRDefault="00733692" w:rsidP="009D2A08">
      <w:pPr>
        <w:ind w:left="0" w:firstLine="0"/>
        <w:rPr>
          <w:szCs w:val="22"/>
          <w:u w:val="single"/>
        </w:rPr>
      </w:pPr>
      <w:r w:rsidRPr="00031671">
        <w:rPr>
          <w:szCs w:val="22"/>
          <w:u w:val="single"/>
        </w:rPr>
        <w:t>CYP3A4 inhibítory</w:t>
      </w:r>
    </w:p>
    <w:p w14:paraId="6542CF0D" w14:textId="77777777" w:rsidR="00D51761" w:rsidRPr="00031671" w:rsidRDefault="00EC5997" w:rsidP="00D51761">
      <w:pPr>
        <w:autoSpaceDE w:val="0"/>
        <w:autoSpaceDN w:val="0"/>
        <w:adjustRightInd w:val="0"/>
        <w:ind w:left="0" w:firstLine="0"/>
        <w:rPr>
          <w:bCs/>
        </w:rPr>
      </w:pPr>
      <w:r w:rsidRPr="00031671">
        <w:rPr>
          <w:szCs w:val="22"/>
        </w:rPr>
        <w:t>Súbežné po</w:t>
      </w:r>
      <w:r w:rsidR="00733692" w:rsidRPr="00031671">
        <w:rPr>
          <w:szCs w:val="22"/>
        </w:rPr>
        <w:t>užívanie amlodipínu so silnými alebo miernymi inhibítormi CYP3A4 (inhibítory proteázy, azolové antimykotiká, makrolidy, ako je erytromycín alebo klaritromycín, verapamil alebo diltiazem) môže viesť k významnému zvýšeniu expozície amlodipínom</w:t>
      </w:r>
      <w:r w:rsidR="00610D74" w:rsidRPr="00031671">
        <w:rPr>
          <w:szCs w:val="22"/>
        </w:rPr>
        <w:t>, ktorá spôsobuje zvýšené riziko hypotenzie</w:t>
      </w:r>
      <w:r w:rsidR="00733692" w:rsidRPr="00031671">
        <w:rPr>
          <w:szCs w:val="22"/>
        </w:rPr>
        <w:t xml:space="preserve">. Klinický význam týchto zmien vo farmakokinetike (PK) môže byť výraznejší u starších ľudí. </w:t>
      </w:r>
      <w:r w:rsidR="00EB1E9A" w:rsidRPr="00031671">
        <w:rPr>
          <w:szCs w:val="22"/>
        </w:rPr>
        <w:t xml:space="preserve">Odporúča sa </w:t>
      </w:r>
      <w:r w:rsidR="00733692" w:rsidRPr="00031671">
        <w:rPr>
          <w:szCs w:val="22"/>
        </w:rPr>
        <w:t xml:space="preserve">klinické monitorovanie </w:t>
      </w:r>
      <w:r w:rsidR="00EB1E9A" w:rsidRPr="00031671">
        <w:rPr>
          <w:szCs w:val="22"/>
        </w:rPr>
        <w:t xml:space="preserve">pacientov a môže sa preto vyžadovať </w:t>
      </w:r>
      <w:r w:rsidR="00733692" w:rsidRPr="00031671">
        <w:rPr>
          <w:szCs w:val="22"/>
        </w:rPr>
        <w:t>úprava dávky.</w:t>
      </w:r>
      <w:r w:rsidR="00D51761" w:rsidRPr="00031671">
        <w:rPr>
          <w:bCs/>
        </w:rPr>
        <w:t xml:space="preserve"> Klaritromycín je inhibítor CYP3A4. U pacientov užívajúcich klaritromycín spolu s amlodipínom je zvýšené riziko vzniku hypotenzie. Pri súčasnom podávaní amlodipínu spolu s klaritromycínom sa odporúča dôkladné pozorovanie pacientov.</w:t>
      </w:r>
    </w:p>
    <w:p w14:paraId="4F0E00E9" w14:textId="77777777" w:rsidR="00733692" w:rsidRPr="00031671" w:rsidRDefault="00733692" w:rsidP="009D2A08">
      <w:pPr>
        <w:ind w:left="0" w:firstLine="0"/>
        <w:rPr>
          <w:szCs w:val="22"/>
        </w:rPr>
      </w:pPr>
    </w:p>
    <w:p w14:paraId="6745C6A8" w14:textId="2E0A7210" w:rsidR="00733692" w:rsidRPr="00031671" w:rsidRDefault="00733692" w:rsidP="009D2A08">
      <w:pPr>
        <w:ind w:left="0" w:firstLine="0"/>
        <w:rPr>
          <w:szCs w:val="22"/>
          <w:u w:val="single"/>
        </w:rPr>
      </w:pPr>
      <w:r w:rsidRPr="00031671">
        <w:rPr>
          <w:szCs w:val="22"/>
          <w:u w:val="single"/>
        </w:rPr>
        <w:t>CYP3A4 induktory</w:t>
      </w:r>
    </w:p>
    <w:p w14:paraId="60CADACF" w14:textId="77777777" w:rsidR="00AF182A" w:rsidRPr="00AF182A" w:rsidRDefault="00AF182A" w:rsidP="00AF182A">
      <w:pPr>
        <w:ind w:left="0" w:firstLine="0"/>
        <w:rPr>
          <w:szCs w:val="22"/>
        </w:rPr>
      </w:pPr>
      <w:r w:rsidRPr="00AF182A">
        <w:rPr>
          <w:szCs w:val="22"/>
        </w:rPr>
        <w:t>Pri súbežnom podávaní známych induktorov CYP3A4 sa môže meniť plazmatická koncentrácia</w:t>
      </w:r>
    </w:p>
    <w:p w14:paraId="61392EEF" w14:textId="77777777" w:rsidR="00AF182A" w:rsidRPr="00AF182A" w:rsidRDefault="00AF182A" w:rsidP="00AF182A">
      <w:pPr>
        <w:ind w:left="0" w:firstLine="0"/>
        <w:rPr>
          <w:szCs w:val="22"/>
        </w:rPr>
      </w:pPr>
      <w:r w:rsidRPr="00AF182A">
        <w:rPr>
          <w:szCs w:val="22"/>
        </w:rPr>
        <w:t>amlodipínu. Preto sa má v prípade súbežného podávania najmä so silnými induktormi CYP3A4</w:t>
      </w:r>
    </w:p>
    <w:p w14:paraId="69CA6AB4" w14:textId="270105DA" w:rsidR="00AF182A" w:rsidRPr="00AF182A" w:rsidRDefault="00AF182A" w:rsidP="00AF182A">
      <w:pPr>
        <w:ind w:left="0" w:firstLine="0"/>
        <w:rPr>
          <w:szCs w:val="22"/>
        </w:rPr>
      </w:pPr>
      <w:r w:rsidRPr="00AF182A">
        <w:rPr>
          <w:szCs w:val="22"/>
        </w:rPr>
        <w:t xml:space="preserve">(napr. rifampicínom, </w:t>
      </w:r>
      <w:r w:rsidR="00FF625C">
        <w:rPr>
          <w:i/>
          <w:szCs w:val="22"/>
        </w:rPr>
        <w:t>H</w:t>
      </w:r>
      <w:r w:rsidRPr="00506927">
        <w:rPr>
          <w:i/>
          <w:szCs w:val="22"/>
        </w:rPr>
        <w:t>ypericum perforatum</w:t>
      </w:r>
      <w:r w:rsidRPr="00AF182A">
        <w:rPr>
          <w:szCs w:val="22"/>
        </w:rPr>
        <w:t xml:space="preserve"> – </w:t>
      </w:r>
      <w:r w:rsidR="00FF625C">
        <w:rPr>
          <w:szCs w:val="22"/>
        </w:rPr>
        <w:t>ľ</w:t>
      </w:r>
      <w:r w:rsidRPr="00AF182A">
        <w:rPr>
          <w:szCs w:val="22"/>
        </w:rPr>
        <w:t>ubovníkom bodkovaným) monitorovať krvný</w:t>
      </w:r>
    </w:p>
    <w:p w14:paraId="156C5A1A" w14:textId="77777777" w:rsidR="00733692" w:rsidRPr="00E351FD" w:rsidRDefault="00AF182A" w:rsidP="00AF182A">
      <w:pPr>
        <w:ind w:left="0" w:firstLine="0"/>
        <w:rPr>
          <w:szCs w:val="22"/>
        </w:rPr>
      </w:pPr>
      <w:r w:rsidRPr="00AF182A">
        <w:rPr>
          <w:szCs w:val="22"/>
        </w:rPr>
        <w:t>tlak a zvážiť regulácia dávkovania počas takejto súbežnej liečby aj po nej.</w:t>
      </w:r>
    </w:p>
    <w:p w14:paraId="70295D0F" w14:textId="77777777" w:rsidR="00733692" w:rsidRPr="00031671" w:rsidRDefault="00733692" w:rsidP="009D2A08">
      <w:pPr>
        <w:ind w:left="0" w:firstLine="0"/>
        <w:rPr>
          <w:szCs w:val="22"/>
        </w:rPr>
      </w:pPr>
    </w:p>
    <w:p w14:paraId="7DE407E6" w14:textId="6D4A40E7" w:rsidR="00733692" w:rsidRPr="00031671" w:rsidRDefault="00733692" w:rsidP="009D2A08">
      <w:pPr>
        <w:ind w:left="0" w:firstLine="0"/>
        <w:rPr>
          <w:szCs w:val="22"/>
        </w:rPr>
      </w:pPr>
      <w:r w:rsidRPr="00031671">
        <w:rPr>
          <w:szCs w:val="22"/>
        </w:rPr>
        <w:t>Podávanie amlodipínu s grapefruitom alebo grapefruitovou šťavou sa neodporúča, pretože u</w:t>
      </w:r>
      <w:r w:rsidR="00031671">
        <w:rPr>
          <w:szCs w:val="22"/>
        </w:rPr>
        <w:t> </w:t>
      </w:r>
      <w:r w:rsidRPr="00031671">
        <w:rPr>
          <w:szCs w:val="22"/>
        </w:rPr>
        <w:t>niektorých pacientov môže dôjsť k zvýšeniu biologickej dostupnosti, čo vedie k zosilneniu účinku na zníženie krvného tlaku.</w:t>
      </w:r>
    </w:p>
    <w:p w14:paraId="301001B6" w14:textId="77777777" w:rsidR="00733692" w:rsidRPr="00031671" w:rsidRDefault="00733692" w:rsidP="009D2A08">
      <w:pPr>
        <w:ind w:left="0" w:firstLine="0"/>
        <w:rPr>
          <w:szCs w:val="22"/>
        </w:rPr>
      </w:pPr>
    </w:p>
    <w:p w14:paraId="711E6008" w14:textId="54A8CD69" w:rsidR="00733692" w:rsidRPr="00031671" w:rsidRDefault="00733692" w:rsidP="009D2A08">
      <w:pPr>
        <w:ind w:left="0" w:firstLine="0"/>
        <w:rPr>
          <w:szCs w:val="22"/>
          <w:u w:val="single"/>
        </w:rPr>
      </w:pPr>
      <w:r w:rsidRPr="00031671">
        <w:rPr>
          <w:szCs w:val="22"/>
          <w:u w:val="single"/>
        </w:rPr>
        <w:t>Dantrolén (infúzia)</w:t>
      </w:r>
    </w:p>
    <w:p w14:paraId="35570699" w14:textId="77777777" w:rsidR="00733692" w:rsidRPr="00031671" w:rsidRDefault="00733692" w:rsidP="009D2A08">
      <w:pPr>
        <w:ind w:left="0" w:firstLine="0"/>
        <w:rPr>
          <w:szCs w:val="22"/>
        </w:rPr>
      </w:pPr>
      <w:r w:rsidRPr="00031671">
        <w:rPr>
          <w:szCs w:val="22"/>
        </w:rPr>
        <w:t>U zvierat sa pozorovala smrteľná komorová fibrilácia a kardiovaskulárny kolaps v súvislosti s hyperkaliémiou po podaní verapamilu a intravenózneho dantrolénu. Vzhľadom na riziko hyperkaliémie sa odporúča, aby sa u pacientov náchylných k malígnej hypertermii a pacientov liečených na malígnu hypertermiu vyhlo súčasnému podávaniu blokátorov kalciových kanálov, akým je amlodipín.</w:t>
      </w:r>
    </w:p>
    <w:p w14:paraId="66A4E070" w14:textId="77777777" w:rsidR="00733692" w:rsidRPr="00031671" w:rsidRDefault="00733692" w:rsidP="009D2A08">
      <w:pPr>
        <w:ind w:left="0" w:firstLine="0"/>
        <w:rPr>
          <w:szCs w:val="22"/>
        </w:rPr>
      </w:pPr>
    </w:p>
    <w:p w14:paraId="5E43261E" w14:textId="77777777" w:rsidR="00733692" w:rsidRPr="00031671" w:rsidRDefault="00733692" w:rsidP="009D2A08">
      <w:pPr>
        <w:ind w:left="0" w:firstLine="0"/>
        <w:rPr>
          <w:i/>
          <w:szCs w:val="22"/>
        </w:rPr>
      </w:pPr>
      <w:r w:rsidRPr="00031671">
        <w:rPr>
          <w:i/>
          <w:szCs w:val="22"/>
        </w:rPr>
        <w:t>Účinok amlodipínu na iné lieky</w:t>
      </w:r>
    </w:p>
    <w:p w14:paraId="511A2949" w14:textId="77777777" w:rsidR="00733692" w:rsidRPr="00031671" w:rsidRDefault="00733692" w:rsidP="009D2A08">
      <w:pPr>
        <w:ind w:left="0" w:firstLine="0"/>
        <w:rPr>
          <w:szCs w:val="22"/>
        </w:rPr>
      </w:pPr>
    </w:p>
    <w:p w14:paraId="73AEADEF" w14:textId="77777777" w:rsidR="00733692" w:rsidRPr="00031671" w:rsidRDefault="00733692" w:rsidP="009D2A08">
      <w:pPr>
        <w:ind w:left="0" w:firstLine="0"/>
        <w:rPr>
          <w:szCs w:val="22"/>
        </w:rPr>
      </w:pPr>
      <w:r w:rsidRPr="00031671">
        <w:rPr>
          <w:szCs w:val="22"/>
        </w:rPr>
        <w:t>Účinky amlodipínu na zníženie krvného tlaku sa sčítavajú s účinkami iných liekov s antihypertenznými vlastnosťami znižujúcich tlak krvi.</w:t>
      </w:r>
    </w:p>
    <w:p w14:paraId="0F53908E" w14:textId="77777777" w:rsidR="00733692" w:rsidRPr="00031671" w:rsidRDefault="00733692" w:rsidP="009D2A08">
      <w:pPr>
        <w:ind w:left="0" w:firstLine="0"/>
        <w:rPr>
          <w:szCs w:val="22"/>
        </w:rPr>
      </w:pPr>
      <w:r w:rsidRPr="00031671">
        <w:rPr>
          <w:szCs w:val="22"/>
        </w:rPr>
        <w:t>V štúdiách zaoberajúcich sa klinickými interakciami, amlodipín nemal účinok na farmakokinetiku atorvastatínu, digoxínu, warfarínu alebo cyklosporínu.</w:t>
      </w:r>
    </w:p>
    <w:p w14:paraId="13DD4C43" w14:textId="77777777" w:rsidR="00733692" w:rsidRPr="00031671" w:rsidRDefault="00733692" w:rsidP="009D2A08">
      <w:pPr>
        <w:widowControl w:val="0"/>
        <w:ind w:left="0" w:firstLine="0"/>
        <w:rPr>
          <w:szCs w:val="22"/>
        </w:rPr>
      </w:pPr>
    </w:p>
    <w:p w14:paraId="2BC3746B" w14:textId="6ADD19C5" w:rsidR="00733692" w:rsidRPr="00031671" w:rsidRDefault="00733692" w:rsidP="009D2A08">
      <w:pPr>
        <w:widowControl w:val="0"/>
        <w:ind w:left="0" w:firstLine="0"/>
        <w:rPr>
          <w:szCs w:val="22"/>
          <w:u w:val="single"/>
        </w:rPr>
      </w:pPr>
      <w:r w:rsidRPr="00031671">
        <w:rPr>
          <w:szCs w:val="22"/>
          <w:u w:val="single"/>
        </w:rPr>
        <w:t>Takrolimus</w:t>
      </w:r>
    </w:p>
    <w:p w14:paraId="0455EAB1" w14:textId="3F329899" w:rsidR="00733692" w:rsidRPr="00031671" w:rsidRDefault="00733692" w:rsidP="009D2A08">
      <w:pPr>
        <w:widowControl w:val="0"/>
        <w:ind w:left="0" w:firstLine="0"/>
        <w:rPr>
          <w:szCs w:val="22"/>
        </w:rPr>
      </w:pPr>
      <w:r w:rsidRPr="00031671">
        <w:rPr>
          <w:szCs w:val="22"/>
        </w:rPr>
        <w:t>Keď sa takrolimus podáva súbežne s amlodipínom, dochádza k riziku zvýšenia hladín takrolimu v</w:t>
      </w:r>
      <w:r w:rsidR="00031671">
        <w:rPr>
          <w:szCs w:val="22"/>
        </w:rPr>
        <w:t> </w:t>
      </w:r>
      <w:r w:rsidRPr="00031671">
        <w:rPr>
          <w:szCs w:val="22"/>
        </w:rPr>
        <w:t>krvi, ale farmakokinetickému mechanizmu tejto interakcie úplne nerozumieme. Aby sa zabránilo toxicite takrolimu, podávanie amlodipínu pacientovi s takrolimom vyžaduje monitorovanie krvných hladín takrolimu a úpravu dávky takrolimu, kde je to vhodné.</w:t>
      </w:r>
    </w:p>
    <w:p w14:paraId="6F193628" w14:textId="77777777" w:rsidR="00733692" w:rsidRPr="00031671" w:rsidRDefault="00733692">
      <w:pPr>
        <w:widowControl w:val="0"/>
        <w:tabs>
          <w:tab w:val="left" w:pos="567"/>
        </w:tabs>
        <w:ind w:left="0" w:firstLine="0"/>
        <w:rPr>
          <w:szCs w:val="22"/>
        </w:rPr>
      </w:pPr>
    </w:p>
    <w:p w14:paraId="353F7CAA" w14:textId="1314ED24" w:rsidR="00733692" w:rsidRPr="00031671" w:rsidRDefault="00733692" w:rsidP="009D2A08">
      <w:pPr>
        <w:widowControl w:val="0"/>
        <w:tabs>
          <w:tab w:val="left" w:pos="567"/>
        </w:tabs>
        <w:ind w:left="0" w:firstLine="0"/>
        <w:rPr>
          <w:szCs w:val="22"/>
          <w:u w:val="single"/>
        </w:rPr>
      </w:pPr>
      <w:r w:rsidRPr="00031671">
        <w:rPr>
          <w:szCs w:val="22"/>
          <w:u w:val="single"/>
        </w:rPr>
        <w:t>Cyklosporín</w:t>
      </w:r>
    </w:p>
    <w:p w14:paraId="5F9E6165" w14:textId="24DA4377" w:rsidR="009D2A08" w:rsidRPr="00031671" w:rsidRDefault="009D2A08" w:rsidP="00762B3B">
      <w:pPr>
        <w:widowControl w:val="0"/>
        <w:tabs>
          <w:tab w:val="left" w:pos="567"/>
        </w:tabs>
        <w:ind w:left="0" w:firstLine="0"/>
        <w:rPr>
          <w:szCs w:val="22"/>
        </w:rPr>
      </w:pPr>
      <w:r w:rsidRPr="00031671">
        <w:rPr>
          <w:szCs w:val="22"/>
        </w:rPr>
        <w:t>S cyklosporínom a amlodipínom neboli vykonané žiadne interakčné štúdie u zdravých dobrovoľníkov alebo u iných populácií s výnimkou pacientov s transplantovanou obličkou, kde boli pozorované zmeny vo zvýšení koncentrácií cyklosporínu (priemer 0 % - 40 %). Pacientom s transplantovanou obličkou</w:t>
      </w:r>
      <w:r w:rsidR="00E06F6E" w:rsidRPr="00031671">
        <w:rPr>
          <w:szCs w:val="22"/>
        </w:rPr>
        <w:t xml:space="preserve"> liečeným amlodipínom sa musí venovať pozornosť pri monitorovaní hladín cyklosporínu a, ak je to potrebné, musia sa znížiť dávky.</w:t>
      </w:r>
    </w:p>
    <w:p w14:paraId="5A0B3F26" w14:textId="77777777" w:rsidR="00E06F6E" w:rsidRPr="00031671" w:rsidRDefault="00E06F6E" w:rsidP="009D2A08">
      <w:pPr>
        <w:widowControl w:val="0"/>
        <w:tabs>
          <w:tab w:val="left" w:pos="567"/>
        </w:tabs>
        <w:ind w:left="0" w:firstLine="0"/>
        <w:rPr>
          <w:szCs w:val="22"/>
        </w:rPr>
      </w:pPr>
    </w:p>
    <w:p w14:paraId="7C827E60" w14:textId="645AE759" w:rsidR="00733692" w:rsidRPr="00031671" w:rsidRDefault="00733692" w:rsidP="009D2A08">
      <w:pPr>
        <w:widowControl w:val="0"/>
        <w:tabs>
          <w:tab w:val="left" w:pos="567"/>
        </w:tabs>
        <w:ind w:left="0" w:firstLine="0"/>
        <w:rPr>
          <w:szCs w:val="22"/>
          <w:u w:val="single"/>
        </w:rPr>
      </w:pPr>
      <w:r w:rsidRPr="00031671">
        <w:rPr>
          <w:szCs w:val="22"/>
          <w:u w:val="single"/>
        </w:rPr>
        <w:t>Simvastatín</w:t>
      </w:r>
    </w:p>
    <w:p w14:paraId="35372675" w14:textId="77777777" w:rsidR="00733692" w:rsidRPr="00506927" w:rsidRDefault="00733692" w:rsidP="0091695B">
      <w:pPr>
        <w:widowControl w:val="0"/>
        <w:tabs>
          <w:tab w:val="left" w:pos="567"/>
        </w:tabs>
        <w:ind w:left="0" w:firstLine="0"/>
      </w:pPr>
      <w:r w:rsidRPr="00031671">
        <w:rPr>
          <w:szCs w:val="22"/>
        </w:rPr>
        <w:t xml:space="preserve">Súbežné podávanie početných dávok 10 mg amlodipínu s 80 mg simvastatínu vyústilo do 77 %-ného zvýšenia v expozícii simvastatínu v porovnaní so simvastatínom samotným. </w:t>
      </w:r>
      <w:r w:rsidRPr="00506927">
        <w:t>Obmedzte dávku simvastatínu u pacientov s amlodipínom na 20 mg denne.</w:t>
      </w:r>
    </w:p>
    <w:p w14:paraId="1FCB1A77" w14:textId="77777777" w:rsidR="00DB33C1" w:rsidRPr="00762B3B" w:rsidRDefault="00DB33C1" w:rsidP="00F3126E">
      <w:pPr>
        <w:ind w:left="0" w:firstLine="0"/>
        <w:rPr>
          <w:szCs w:val="22"/>
        </w:rPr>
      </w:pPr>
    </w:p>
    <w:p w14:paraId="4DC31767" w14:textId="77777777" w:rsidR="00DB33C1" w:rsidRPr="00031671" w:rsidRDefault="00DB33C1" w:rsidP="00F3126E">
      <w:pPr>
        <w:ind w:left="0" w:firstLine="0"/>
        <w:rPr>
          <w:i/>
          <w:szCs w:val="22"/>
          <w:u w:val="single"/>
        </w:rPr>
      </w:pPr>
      <w:r w:rsidRPr="00031671">
        <w:rPr>
          <w:i/>
          <w:szCs w:val="22"/>
          <w:u w:val="single"/>
        </w:rPr>
        <w:t>Súvisiace s </w:t>
      </w:r>
      <w:r w:rsidR="00304E8C" w:rsidRPr="00031671">
        <w:rPr>
          <w:i/>
          <w:szCs w:val="22"/>
          <w:u w:val="single"/>
        </w:rPr>
        <w:t>VIDONORMOM</w:t>
      </w:r>
    </w:p>
    <w:p w14:paraId="5065B1E5" w14:textId="77777777" w:rsidR="00DB33C1" w:rsidRPr="00031671" w:rsidRDefault="00DB33C1" w:rsidP="00F3126E">
      <w:pPr>
        <w:ind w:left="0" w:firstLine="0"/>
        <w:rPr>
          <w:szCs w:val="22"/>
        </w:rPr>
      </w:pPr>
    </w:p>
    <w:p w14:paraId="6866721C" w14:textId="0E6A273D" w:rsidR="001E1948" w:rsidRPr="00031671" w:rsidRDefault="001E1948" w:rsidP="00F3126E">
      <w:pPr>
        <w:rPr>
          <w:i/>
          <w:iCs/>
          <w:szCs w:val="22"/>
          <w:u w:val="single"/>
        </w:rPr>
      </w:pPr>
      <w:r w:rsidRPr="00031671">
        <w:rPr>
          <w:i/>
          <w:szCs w:val="22"/>
          <w:u w:val="single"/>
        </w:rPr>
        <w:t>Súbežné použitie, ktoré vyžaduje osobitnú pozornosť</w:t>
      </w:r>
    </w:p>
    <w:p w14:paraId="3D3486CC" w14:textId="77777777" w:rsidR="001E1948" w:rsidRPr="00031671" w:rsidRDefault="001E1948" w:rsidP="00F3126E">
      <w:pPr>
        <w:tabs>
          <w:tab w:val="left" w:pos="284"/>
          <w:tab w:val="left" w:pos="709"/>
          <w:tab w:val="left" w:pos="993"/>
        </w:tabs>
        <w:spacing w:line="240" w:lineRule="atLeast"/>
        <w:ind w:left="426" w:hanging="426"/>
        <w:rPr>
          <w:i/>
          <w:szCs w:val="22"/>
          <w:u w:val="single"/>
        </w:rPr>
      </w:pPr>
    </w:p>
    <w:p w14:paraId="232405CB" w14:textId="197003D6" w:rsidR="00D51761" w:rsidRPr="00031671" w:rsidRDefault="001E1948" w:rsidP="00F3126E">
      <w:pPr>
        <w:tabs>
          <w:tab w:val="left" w:pos="540"/>
          <w:tab w:val="left" w:pos="709"/>
          <w:tab w:val="left" w:pos="993"/>
        </w:tabs>
        <w:spacing w:line="240" w:lineRule="atLeast"/>
        <w:ind w:left="0" w:firstLine="0"/>
        <w:rPr>
          <w:szCs w:val="22"/>
        </w:rPr>
      </w:pPr>
      <w:r w:rsidRPr="00031671">
        <w:rPr>
          <w:szCs w:val="22"/>
          <w:u w:val="single"/>
        </w:rPr>
        <w:t>Baklofén</w:t>
      </w:r>
    </w:p>
    <w:p w14:paraId="37FF13BD" w14:textId="77777777" w:rsidR="001E1948" w:rsidRPr="00031671" w:rsidRDefault="001E1948" w:rsidP="00F3126E">
      <w:pPr>
        <w:tabs>
          <w:tab w:val="left" w:pos="540"/>
          <w:tab w:val="left" w:pos="709"/>
          <w:tab w:val="left" w:pos="993"/>
        </w:tabs>
        <w:spacing w:line="240" w:lineRule="atLeast"/>
        <w:ind w:left="0" w:firstLine="0"/>
        <w:rPr>
          <w:szCs w:val="22"/>
        </w:rPr>
      </w:pPr>
      <w:r w:rsidRPr="00031671">
        <w:rPr>
          <w:szCs w:val="22"/>
        </w:rPr>
        <w:t>Zosilnenie antihypertenzného účinku. Monitorovanie krvného tlaku a renálnych funkcií, a v prípade potreby úprava dávky antihypertenzíva.</w:t>
      </w:r>
    </w:p>
    <w:p w14:paraId="4FA50F14" w14:textId="77777777" w:rsidR="001E1948" w:rsidRPr="00031671" w:rsidRDefault="001E1948" w:rsidP="00F3126E">
      <w:pPr>
        <w:ind w:left="0" w:firstLine="0"/>
        <w:rPr>
          <w:i/>
          <w:iCs/>
          <w:szCs w:val="22"/>
          <w:u w:val="single"/>
        </w:rPr>
      </w:pPr>
    </w:p>
    <w:p w14:paraId="0A404ECE" w14:textId="794FF6D0" w:rsidR="001E1948" w:rsidRPr="00031671" w:rsidRDefault="001E1948" w:rsidP="00F3126E">
      <w:pPr>
        <w:ind w:left="0" w:firstLine="0"/>
        <w:rPr>
          <w:i/>
          <w:iCs/>
          <w:szCs w:val="22"/>
          <w:u w:val="single"/>
        </w:rPr>
      </w:pPr>
      <w:r w:rsidRPr="00031671">
        <w:rPr>
          <w:i/>
          <w:iCs/>
          <w:szCs w:val="22"/>
          <w:u w:val="single"/>
        </w:rPr>
        <w:t>Súbežné použitie, ktoré je potrebné vziať do úvahy</w:t>
      </w:r>
    </w:p>
    <w:p w14:paraId="601BF4D3" w14:textId="77777777" w:rsidR="00DB33C1" w:rsidRPr="00031671" w:rsidRDefault="00DB33C1" w:rsidP="00F3126E">
      <w:pPr>
        <w:ind w:left="0" w:firstLine="0"/>
        <w:rPr>
          <w:i/>
          <w:iCs/>
          <w:szCs w:val="22"/>
          <w:u w:val="single"/>
        </w:rPr>
      </w:pPr>
    </w:p>
    <w:p w14:paraId="2B8C2123" w14:textId="0BBC941C" w:rsidR="001E1948" w:rsidRPr="00031671" w:rsidRDefault="001E1948" w:rsidP="00633688">
      <w:pPr>
        <w:tabs>
          <w:tab w:val="left" w:pos="993"/>
        </w:tabs>
        <w:spacing w:line="240" w:lineRule="atLeast"/>
        <w:ind w:left="0" w:firstLine="0"/>
        <w:rPr>
          <w:szCs w:val="22"/>
          <w:u w:val="single"/>
        </w:rPr>
      </w:pPr>
      <w:r w:rsidRPr="00031671">
        <w:rPr>
          <w:szCs w:val="22"/>
          <w:u w:val="single"/>
        </w:rPr>
        <w:t>Antihypertenzíva (ako napr. betablokátory) a vazodilatanciá</w:t>
      </w:r>
    </w:p>
    <w:p w14:paraId="39E0176E" w14:textId="77777777" w:rsidR="001E1948" w:rsidRPr="00031671" w:rsidRDefault="001E1948" w:rsidP="00F90AA0">
      <w:pPr>
        <w:tabs>
          <w:tab w:val="left" w:pos="-284"/>
        </w:tabs>
        <w:spacing w:line="240" w:lineRule="atLeast"/>
        <w:ind w:left="0" w:firstLine="0"/>
        <w:rPr>
          <w:szCs w:val="22"/>
        </w:rPr>
      </w:pPr>
      <w:r w:rsidRPr="00031671">
        <w:rPr>
          <w:szCs w:val="22"/>
        </w:rPr>
        <w:t>Súbežné použitie týchto látok môže zvýšiť hypotenzný účinok perindoprilu a amlodipínu.</w:t>
      </w:r>
      <w:r w:rsidR="00DB33C1" w:rsidRPr="00031671">
        <w:rPr>
          <w:szCs w:val="22"/>
        </w:rPr>
        <w:t xml:space="preserve"> </w:t>
      </w:r>
      <w:r w:rsidRPr="00031671">
        <w:rPr>
          <w:szCs w:val="22"/>
        </w:rPr>
        <w:t>Súbežné použitie s nitroglycerínom a inými nitrátmi alebo inými vazodilatanciami môže spôsobiť ďalšie zníženie krvného tlaku</w:t>
      </w:r>
      <w:r w:rsidR="00DB33C1" w:rsidRPr="00031671">
        <w:rPr>
          <w:szCs w:val="22"/>
        </w:rPr>
        <w:t>,</w:t>
      </w:r>
      <w:r w:rsidRPr="00031671">
        <w:rPr>
          <w:szCs w:val="22"/>
        </w:rPr>
        <w:t xml:space="preserve"> a preto je potrebné ho starostlivo zvážiť.</w:t>
      </w:r>
    </w:p>
    <w:p w14:paraId="64EF9706" w14:textId="77777777" w:rsidR="00EC5997" w:rsidRPr="00031671" w:rsidRDefault="00EC5997" w:rsidP="000A11DE">
      <w:pPr>
        <w:tabs>
          <w:tab w:val="left" w:pos="993"/>
        </w:tabs>
        <w:spacing w:line="240" w:lineRule="atLeast"/>
        <w:rPr>
          <w:szCs w:val="22"/>
          <w:u w:val="single"/>
        </w:rPr>
      </w:pPr>
    </w:p>
    <w:p w14:paraId="5681A6A2" w14:textId="4DC6608C" w:rsidR="00633688" w:rsidRPr="00031671" w:rsidRDefault="001E1948" w:rsidP="000A11DE">
      <w:pPr>
        <w:tabs>
          <w:tab w:val="left" w:pos="993"/>
        </w:tabs>
        <w:spacing w:line="240" w:lineRule="atLeast"/>
        <w:rPr>
          <w:szCs w:val="22"/>
        </w:rPr>
      </w:pPr>
      <w:r w:rsidRPr="00031671">
        <w:rPr>
          <w:szCs w:val="22"/>
          <w:u w:val="single"/>
        </w:rPr>
        <w:t>Kortikosteroidy, tetrakosaktid</w:t>
      </w:r>
    </w:p>
    <w:p w14:paraId="46E26C71" w14:textId="77777777" w:rsidR="001E1948" w:rsidRPr="00031671" w:rsidRDefault="00D51761" w:rsidP="00633688">
      <w:pPr>
        <w:tabs>
          <w:tab w:val="left" w:pos="993"/>
        </w:tabs>
        <w:spacing w:line="240" w:lineRule="atLeast"/>
        <w:rPr>
          <w:szCs w:val="22"/>
        </w:rPr>
      </w:pPr>
      <w:r w:rsidRPr="00031671">
        <w:rPr>
          <w:szCs w:val="22"/>
        </w:rPr>
        <w:t>Z</w:t>
      </w:r>
      <w:r w:rsidR="001E1948" w:rsidRPr="00031671">
        <w:rPr>
          <w:szCs w:val="22"/>
        </w:rPr>
        <w:t>níženie antihypertenzného účinku (retencia solí a vody spôsobená kortikosteroidmi).</w:t>
      </w:r>
    </w:p>
    <w:p w14:paraId="776711D9" w14:textId="77777777" w:rsidR="00EC5997" w:rsidRPr="00031671" w:rsidRDefault="00EC5997" w:rsidP="000A11DE">
      <w:pPr>
        <w:tabs>
          <w:tab w:val="left" w:pos="993"/>
        </w:tabs>
        <w:spacing w:line="240" w:lineRule="atLeast"/>
        <w:rPr>
          <w:szCs w:val="22"/>
          <w:u w:val="single"/>
        </w:rPr>
      </w:pPr>
    </w:p>
    <w:p w14:paraId="4824BA20" w14:textId="212F0CD7" w:rsidR="00633688" w:rsidRPr="00031671" w:rsidRDefault="001E1948" w:rsidP="000A11DE">
      <w:pPr>
        <w:tabs>
          <w:tab w:val="left" w:pos="993"/>
        </w:tabs>
        <w:spacing w:line="240" w:lineRule="atLeast"/>
        <w:rPr>
          <w:szCs w:val="22"/>
        </w:rPr>
      </w:pPr>
      <w:r w:rsidRPr="00031671">
        <w:rPr>
          <w:szCs w:val="22"/>
          <w:u w:val="single"/>
        </w:rPr>
        <w:t>Alfablokátory (prazosín, alfuzosín, doxazosín, tamsulo</w:t>
      </w:r>
      <w:r w:rsidR="00F945E7" w:rsidRPr="00031671">
        <w:rPr>
          <w:szCs w:val="22"/>
          <w:u w:val="single"/>
        </w:rPr>
        <w:t>z</w:t>
      </w:r>
      <w:r w:rsidRPr="00031671">
        <w:rPr>
          <w:szCs w:val="22"/>
          <w:u w:val="single"/>
        </w:rPr>
        <w:t>ín, terazosín)</w:t>
      </w:r>
    </w:p>
    <w:p w14:paraId="4405470D" w14:textId="77777777" w:rsidR="001E1948" w:rsidRPr="00031671" w:rsidRDefault="00D51761" w:rsidP="000A11DE">
      <w:pPr>
        <w:tabs>
          <w:tab w:val="left" w:pos="993"/>
        </w:tabs>
        <w:spacing w:line="240" w:lineRule="atLeast"/>
        <w:rPr>
          <w:szCs w:val="22"/>
        </w:rPr>
      </w:pPr>
      <w:r w:rsidRPr="00031671">
        <w:rPr>
          <w:szCs w:val="22"/>
        </w:rPr>
        <w:t>Z</w:t>
      </w:r>
      <w:r w:rsidR="001E1948" w:rsidRPr="00031671">
        <w:rPr>
          <w:szCs w:val="22"/>
        </w:rPr>
        <w:t>výšený antihypertenzný účinok a zvýšené riziko ortostatickej hypotenzie.</w:t>
      </w:r>
    </w:p>
    <w:p w14:paraId="19838701" w14:textId="77777777" w:rsidR="00EC5997" w:rsidRPr="00031671" w:rsidRDefault="00EC5997" w:rsidP="000A11DE">
      <w:pPr>
        <w:tabs>
          <w:tab w:val="left" w:pos="993"/>
        </w:tabs>
        <w:spacing w:line="240" w:lineRule="atLeast"/>
        <w:rPr>
          <w:szCs w:val="22"/>
          <w:u w:val="single"/>
        </w:rPr>
      </w:pPr>
    </w:p>
    <w:p w14:paraId="65DEFD90" w14:textId="6595949B" w:rsidR="00633688" w:rsidRPr="00031671" w:rsidRDefault="001E1948" w:rsidP="000A11DE">
      <w:pPr>
        <w:tabs>
          <w:tab w:val="left" w:pos="993"/>
        </w:tabs>
        <w:spacing w:line="240" w:lineRule="atLeast"/>
        <w:rPr>
          <w:szCs w:val="22"/>
        </w:rPr>
      </w:pPr>
      <w:r w:rsidRPr="00031671">
        <w:rPr>
          <w:szCs w:val="22"/>
          <w:u w:val="single"/>
        </w:rPr>
        <w:t>Amifostín</w:t>
      </w:r>
    </w:p>
    <w:p w14:paraId="36B2731A" w14:textId="77777777" w:rsidR="001E1948" w:rsidRPr="00031671" w:rsidRDefault="00D51761" w:rsidP="000A11DE">
      <w:pPr>
        <w:tabs>
          <w:tab w:val="left" w:pos="993"/>
        </w:tabs>
        <w:spacing w:line="240" w:lineRule="atLeast"/>
        <w:rPr>
          <w:szCs w:val="22"/>
        </w:rPr>
      </w:pPr>
      <w:r w:rsidRPr="00031671">
        <w:rPr>
          <w:szCs w:val="22"/>
        </w:rPr>
        <w:t>M</w:t>
      </w:r>
      <w:r w:rsidR="001E1948" w:rsidRPr="00031671">
        <w:rPr>
          <w:szCs w:val="22"/>
        </w:rPr>
        <w:t>ôže zosilniť antihypertenzný účinok amlodipínu.</w:t>
      </w:r>
    </w:p>
    <w:p w14:paraId="76F67499" w14:textId="77777777" w:rsidR="00EC5997" w:rsidRPr="00031671" w:rsidRDefault="00EC5997" w:rsidP="000A11DE">
      <w:pPr>
        <w:tabs>
          <w:tab w:val="left" w:pos="993"/>
        </w:tabs>
        <w:spacing w:line="240" w:lineRule="atLeast"/>
        <w:rPr>
          <w:szCs w:val="22"/>
          <w:u w:val="single"/>
        </w:rPr>
      </w:pPr>
    </w:p>
    <w:p w14:paraId="67E40EB6" w14:textId="3672EE07" w:rsidR="00633688" w:rsidRPr="00031671" w:rsidRDefault="001E1948" w:rsidP="000A11DE">
      <w:pPr>
        <w:tabs>
          <w:tab w:val="left" w:pos="993"/>
        </w:tabs>
        <w:spacing w:line="240" w:lineRule="atLeast"/>
        <w:rPr>
          <w:szCs w:val="22"/>
        </w:rPr>
      </w:pPr>
      <w:r w:rsidRPr="00031671">
        <w:rPr>
          <w:szCs w:val="22"/>
          <w:u w:val="single"/>
        </w:rPr>
        <w:t>Tricyklické antidepresíva/antipsychotiká/anestetiká</w:t>
      </w:r>
      <w:r w:rsidRPr="00031671">
        <w:rPr>
          <w:szCs w:val="22"/>
        </w:rPr>
        <w:t xml:space="preserve"> </w:t>
      </w:r>
    </w:p>
    <w:p w14:paraId="331542FF" w14:textId="77777777" w:rsidR="001E1948" w:rsidRPr="00031671" w:rsidRDefault="00D51761" w:rsidP="000A11DE">
      <w:pPr>
        <w:tabs>
          <w:tab w:val="left" w:pos="993"/>
        </w:tabs>
        <w:spacing w:line="240" w:lineRule="atLeast"/>
        <w:rPr>
          <w:szCs w:val="22"/>
        </w:rPr>
      </w:pPr>
      <w:r w:rsidRPr="00031671">
        <w:rPr>
          <w:szCs w:val="22"/>
        </w:rPr>
        <w:t>Z</w:t>
      </w:r>
      <w:r w:rsidR="001E1948" w:rsidRPr="00031671">
        <w:rPr>
          <w:szCs w:val="22"/>
        </w:rPr>
        <w:t>výšený antihypertenzný účinok a zvýšené riziko ortostatickej hypotenzie.</w:t>
      </w:r>
    </w:p>
    <w:p w14:paraId="51B7F32C" w14:textId="77777777" w:rsidR="001E1948" w:rsidRPr="00031671" w:rsidRDefault="001E1948" w:rsidP="00F3126E">
      <w:pPr>
        <w:ind w:left="0" w:firstLine="0"/>
        <w:rPr>
          <w:szCs w:val="22"/>
        </w:rPr>
      </w:pPr>
    </w:p>
    <w:p w14:paraId="18F8C437" w14:textId="77777777" w:rsidR="001E1948" w:rsidRPr="00031671" w:rsidRDefault="00ED1F04" w:rsidP="00F3126E">
      <w:pPr>
        <w:numPr>
          <w:ilvl w:val="1"/>
          <w:numId w:val="2"/>
        </w:numPr>
        <w:rPr>
          <w:b/>
          <w:szCs w:val="22"/>
        </w:rPr>
      </w:pPr>
      <w:r w:rsidRPr="00031671">
        <w:rPr>
          <w:b/>
          <w:szCs w:val="22"/>
        </w:rPr>
        <w:t>Fertilita, g</w:t>
      </w:r>
      <w:r w:rsidR="001E1948" w:rsidRPr="00031671">
        <w:rPr>
          <w:b/>
          <w:szCs w:val="22"/>
        </w:rPr>
        <w:t>ravidita a laktácia</w:t>
      </w:r>
    </w:p>
    <w:p w14:paraId="1A8C34AB" w14:textId="77777777" w:rsidR="001E1948" w:rsidRPr="00031671" w:rsidRDefault="001E1948" w:rsidP="00F3126E">
      <w:pPr>
        <w:ind w:left="0" w:firstLine="0"/>
        <w:rPr>
          <w:b/>
          <w:szCs w:val="22"/>
        </w:rPr>
      </w:pPr>
    </w:p>
    <w:p w14:paraId="0FCD50ED" w14:textId="77777777" w:rsidR="001E1948" w:rsidRPr="00031671" w:rsidRDefault="001E1948" w:rsidP="00F3126E">
      <w:pPr>
        <w:ind w:left="0" w:firstLine="0"/>
        <w:rPr>
          <w:szCs w:val="22"/>
        </w:rPr>
      </w:pPr>
      <w:r w:rsidRPr="00031671">
        <w:rPr>
          <w:szCs w:val="22"/>
        </w:rPr>
        <w:t>Účinky jednotlivých komponentov v tejto kombinácii lieku na graviditu a laktáciu:</w:t>
      </w:r>
    </w:p>
    <w:p w14:paraId="52A64E8A" w14:textId="77777777" w:rsidR="00ED1F04" w:rsidRPr="00031671" w:rsidRDefault="00ED1F04" w:rsidP="00F3126E">
      <w:pPr>
        <w:spacing w:line="260" w:lineRule="exact"/>
        <w:ind w:left="0" w:firstLine="0"/>
        <w:rPr>
          <w:szCs w:val="22"/>
        </w:rPr>
      </w:pPr>
    </w:p>
    <w:p w14:paraId="511FF80C" w14:textId="77777777" w:rsidR="00ED1F04" w:rsidRPr="00031671" w:rsidRDefault="00304E8C" w:rsidP="00F3126E">
      <w:pPr>
        <w:spacing w:line="260" w:lineRule="exact"/>
        <w:ind w:left="0" w:firstLine="0"/>
        <w:rPr>
          <w:szCs w:val="22"/>
        </w:rPr>
      </w:pPr>
      <w:r w:rsidRPr="00031671">
        <w:rPr>
          <w:szCs w:val="22"/>
        </w:rPr>
        <w:lastRenderedPageBreak/>
        <w:t>VIDONORM</w:t>
      </w:r>
      <w:r w:rsidR="001E1948" w:rsidRPr="00031671">
        <w:rPr>
          <w:szCs w:val="22"/>
        </w:rPr>
        <w:t xml:space="preserve"> sa neodporúča počas prvého trimestra gravidity. </w:t>
      </w:r>
      <w:r w:rsidR="00ED1F04" w:rsidRPr="00031671">
        <w:rPr>
          <w:szCs w:val="22"/>
        </w:rPr>
        <w:t>Ak je gravidita plánovaná alebo potvrdená, musí sa prejsť čo najskôr na alternatívnu liečbu.</w:t>
      </w:r>
    </w:p>
    <w:p w14:paraId="527BBE1F" w14:textId="77777777" w:rsidR="00EC5997" w:rsidRPr="00031671" w:rsidRDefault="00EC5997" w:rsidP="00F3126E">
      <w:pPr>
        <w:spacing w:line="260" w:lineRule="exact"/>
        <w:ind w:left="0" w:firstLine="0"/>
        <w:rPr>
          <w:szCs w:val="22"/>
        </w:rPr>
      </w:pPr>
    </w:p>
    <w:p w14:paraId="70399C53" w14:textId="77777777" w:rsidR="001E1948" w:rsidRPr="00031671" w:rsidRDefault="00304E8C" w:rsidP="00F3126E">
      <w:pPr>
        <w:spacing w:line="260" w:lineRule="exact"/>
        <w:ind w:left="0" w:firstLine="0"/>
        <w:rPr>
          <w:szCs w:val="22"/>
        </w:rPr>
      </w:pPr>
      <w:r w:rsidRPr="00031671">
        <w:rPr>
          <w:szCs w:val="22"/>
        </w:rPr>
        <w:t>VIDONORM</w:t>
      </w:r>
      <w:r w:rsidR="00ED1F04" w:rsidRPr="00031671">
        <w:rPr>
          <w:szCs w:val="22"/>
        </w:rPr>
        <w:t xml:space="preserve"> je kontraindikovaný</w:t>
      </w:r>
      <w:r w:rsidR="001E1948" w:rsidRPr="00031671">
        <w:rPr>
          <w:szCs w:val="22"/>
        </w:rPr>
        <w:t xml:space="preserve"> počas druhého a tretieho trimestra gravidity.</w:t>
      </w:r>
    </w:p>
    <w:p w14:paraId="6D2F2006" w14:textId="77777777" w:rsidR="00ED1F04" w:rsidRPr="00031671" w:rsidRDefault="00ED1F04" w:rsidP="00F3126E">
      <w:pPr>
        <w:ind w:left="0" w:firstLine="0"/>
        <w:rPr>
          <w:szCs w:val="22"/>
        </w:rPr>
      </w:pPr>
    </w:p>
    <w:p w14:paraId="43EC7A65" w14:textId="77777777" w:rsidR="001E1948" w:rsidRPr="00031671" w:rsidRDefault="00304E8C" w:rsidP="00F3126E">
      <w:pPr>
        <w:ind w:left="0" w:firstLine="0"/>
        <w:rPr>
          <w:bCs/>
          <w:szCs w:val="22"/>
        </w:rPr>
      </w:pPr>
      <w:r w:rsidRPr="00031671">
        <w:rPr>
          <w:szCs w:val="22"/>
        </w:rPr>
        <w:t>VIDONORM</w:t>
      </w:r>
      <w:r w:rsidR="001E1948" w:rsidRPr="00031671">
        <w:rPr>
          <w:szCs w:val="22"/>
        </w:rPr>
        <w:t xml:space="preserve"> sa neodporúča počas laktácie. Preto </w:t>
      </w:r>
      <w:r w:rsidR="001E1948" w:rsidRPr="00031671">
        <w:rPr>
          <w:bCs/>
          <w:szCs w:val="22"/>
        </w:rPr>
        <w:t xml:space="preserve">je potrebné rozhodnúť, či prerušiť dojčenie alebo liečbu </w:t>
      </w:r>
      <w:r w:rsidRPr="00031671">
        <w:rPr>
          <w:bCs/>
          <w:szCs w:val="22"/>
        </w:rPr>
        <w:t>VIDONORMOM</w:t>
      </w:r>
      <w:r w:rsidR="001E1948" w:rsidRPr="00031671">
        <w:rPr>
          <w:bCs/>
          <w:szCs w:val="22"/>
        </w:rPr>
        <w:t>, pričom treba brať do úvahy dôležitosť tejto liečby pre matku.</w:t>
      </w:r>
    </w:p>
    <w:p w14:paraId="6220440A" w14:textId="77777777" w:rsidR="001E1948" w:rsidRPr="00031671" w:rsidRDefault="001E1948" w:rsidP="00F3126E">
      <w:pPr>
        <w:ind w:left="0" w:firstLine="0"/>
        <w:rPr>
          <w:szCs w:val="22"/>
        </w:rPr>
      </w:pPr>
    </w:p>
    <w:p w14:paraId="0ADF1B30" w14:textId="722255B6" w:rsidR="001E1948" w:rsidRPr="00031671" w:rsidRDefault="001E1948" w:rsidP="00F3126E">
      <w:pPr>
        <w:rPr>
          <w:iCs/>
          <w:szCs w:val="22"/>
          <w:u w:val="single"/>
        </w:rPr>
      </w:pPr>
      <w:r w:rsidRPr="00031671">
        <w:rPr>
          <w:iCs/>
          <w:szCs w:val="22"/>
          <w:u w:val="single"/>
        </w:rPr>
        <w:t>Gravidita</w:t>
      </w:r>
    </w:p>
    <w:p w14:paraId="2C22B4F7" w14:textId="77777777" w:rsidR="00ED1F04" w:rsidRPr="00031671" w:rsidRDefault="00ED1F04" w:rsidP="00F3126E">
      <w:pPr>
        <w:rPr>
          <w:i/>
          <w:iCs/>
          <w:szCs w:val="22"/>
          <w:u w:val="single"/>
        </w:rPr>
      </w:pPr>
    </w:p>
    <w:p w14:paraId="4A8527DE" w14:textId="77777777" w:rsidR="001E1948" w:rsidRPr="00031671" w:rsidRDefault="001E1948" w:rsidP="00F3126E">
      <w:pPr>
        <w:ind w:left="0" w:firstLine="0"/>
        <w:rPr>
          <w:i/>
          <w:szCs w:val="22"/>
          <w:u w:val="single"/>
        </w:rPr>
      </w:pPr>
      <w:r w:rsidRPr="00031671">
        <w:rPr>
          <w:i/>
          <w:szCs w:val="22"/>
          <w:u w:val="single"/>
        </w:rPr>
        <w:t>Súvisiace s</w:t>
      </w:r>
      <w:r w:rsidR="00ED1F04" w:rsidRPr="00031671">
        <w:rPr>
          <w:i/>
          <w:szCs w:val="22"/>
          <w:u w:val="single"/>
        </w:rPr>
        <w:t> </w:t>
      </w:r>
      <w:r w:rsidRPr="00031671">
        <w:rPr>
          <w:i/>
          <w:szCs w:val="22"/>
          <w:u w:val="single"/>
        </w:rPr>
        <w:t>perindoprilom</w:t>
      </w:r>
    </w:p>
    <w:p w14:paraId="71575C11" w14:textId="77777777" w:rsidR="00ED1F04" w:rsidRPr="00031671" w:rsidRDefault="00ED1F04" w:rsidP="00F3126E">
      <w:pPr>
        <w:ind w:left="0" w:firstLine="0"/>
        <w:rPr>
          <w:szCs w:val="22"/>
          <w:u w:val="single"/>
        </w:rPr>
      </w:pPr>
    </w:p>
    <w:p w14:paraId="3F73F202" w14:textId="77777777" w:rsidR="00ED1F04" w:rsidRPr="00031671" w:rsidRDefault="00ED1F04" w:rsidP="00F3126E">
      <w:pPr>
        <w:ind w:left="0" w:firstLine="0"/>
        <w:rPr>
          <w:szCs w:val="22"/>
        </w:rPr>
      </w:pPr>
      <w:r w:rsidRPr="00031671">
        <w:rPr>
          <w:szCs w:val="22"/>
        </w:rPr>
        <w:t>Použitie ACE inhibítorov sa neodporúča počas prvého trimestra gravidity (pozri časť 4.4). Použitie ACE inhibítorov je kontraindikované počas druhého a tretieho trimestra gravidity (pozri časti 4.3 a 4.4).</w:t>
      </w:r>
    </w:p>
    <w:p w14:paraId="5E181DE7" w14:textId="77777777" w:rsidR="00ED1F04" w:rsidRPr="00031671" w:rsidRDefault="00ED1F04" w:rsidP="00F3126E">
      <w:pPr>
        <w:ind w:left="0" w:firstLine="0"/>
        <w:rPr>
          <w:szCs w:val="22"/>
        </w:rPr>
      </w:pPr>
    </w:p>
    <w:p w14:paraId="5E400553" w14:textId="77777777" w:rsidR="001E1948" w:rsidRPr="00031671" w:rsidRDefault="001E1948" w:rsidP="00F3126E">
      <w:pPr>
        <w:ind w:left="0" w:firstLine="0"/>
        <w:rPr>
          <w:iCs/>
          <w:szCs w:val="22"/>
        </w:rPr>
      </w:pPr>
      <w:r w:rsidRPr="00031671">
        <w:rPr>
          <w:szCs w:val="22"/>
        </w:rPr>
        <w:t xml:space="preserve">Neexistujú </w:t>
      </w:r>
      <w:r w:rsidR="00C81B53" w:rsidRPr="00031671">
        <w:rPr>
          <w:szCs w:val="22"/>
        </w:rPr>
        <w:t>presvedčivé</w:t>
      </w:r>
      <w:r w:rsidRPr="00031671">
        <w:rPr>
          <w:szCs w:val="22"/>
        </w:rPr>
        <w:t xml:space="preserve"> epidemiologické údaje</w:t>
      </w:r>
      <w:r w:rsidR="00F3126E" w:rsidRPr="00031671">
        <w:rPr>
          <w:szCs w:val="22"/>
        </w:rPr>
        <w:t>,</w:t>
      </w:r>
      <w:r w:rsidRPr="00031671">
        <w:rPr>
          <w:szCs w:val="22"/>
        </w:rPr>
        <w:t xml:space="preserve"> </w:t>
      </w:r>
      <w:r w:rsidR="00F3126E" w:rsidRPr="00031671">
        <w:rPr>
          <w:szCs w:val="22"/>
        </w:rPr>
        <w:t>pokiaľ ide o riziko</w:t>
      </w:r>
      <w:r w:rsidRPr="00031671">
        <w:rPr>
          <w:szCs w:val="22"/>
        </w:rPr>
        <w:t xml:space="preserve"> teratogenity po expozícii ACE inhibítorom počas prvého trimestra gravidity; malé zvýšenie rizika však nemožno vylúčiť. </w:t>
      </w:r>
      <w:r w:rsidRPr="00031671">
        <w:rPr>
          <w:iCs/>
          <w:szCs w:val="22"/>
        </w:rPr>
        <w:t>Pokiaľ sa pokračovanie v terapii ACE inhibítormi nepovažuje za nevyhnutné, pacientky plánujúce tehotenstvo majú prejsť na alternatívnu antihypertenznú liečbu, ktorá má lepšie stanovený bezpečnostný profil pre použitie počas tehotenstva. Pokiaľ je diagnostikované tehotenstvo, terapia ACE inhibítormi sa má okamžite prerušiť a</w:t>
      </w:r>
      <w:r w:rsidR="00F3126E" w:rsidRPr="00031671">
        <w:rPr>
          <w:iCs/>
          <w:szCs w:val="22"/>
        </w:rPr>
        <w:t> ak je to vhodné, má sa</w:t>
      </w:r>
      <w:r w:rsidRPr="00031671">
        <w:rPr>
          <w:iCs/>
          <w:szCs w:val="22"/>
        </w:rPr>
        <w:t xml:space="preserve"> začať </w:t>
      </w:r>
      <w:r w:rsidR="00F3126E" w:rsidRPr="00031671">
        <w:rPr>
          <w:iCs/>
          <w:szCs w:val="22"/>
        </w:rPr>
        <w:t>s alternatívnou liečbou</w:t>
      </w:r>
      <w:r w:rsidRPr="00031671">
        <w:rPr>
          <w:iCs/>
          <w:szCs w:val="22"/>
        </w:rPr>
        <w:t>.</w:t>
      </w:r>
    </w:p>
    <w:p w14:paraId="59193C42" w14:textId="77777777" w:rsidR="00ED1F04" w:rsidRPr="00031671" w:rsidRDefault="00ED1F04" w:rsidP="00F3126E">
      <w:pPr>
        <w:ind w:left="0" w:firstLine="0"/>
        <w:rPr>
          <w:iCs/>
          <w:szCs w:val="22"/>
        </w:rPr>
      </w:pPr>
    </w:p>
    <w:p w14:paraId="38299A87" w14:textId="77777777" w:rsidR="001E1948" w:rsidRPr="00031671" w:rsidRDefault="001E1948" w:rsidP="00F3126E">
      <w:pPr>
        <w:ind w:left="0" w:firstLine="0"/>
        <w:rPr>
          <w:szCs w:val="22"/>
        </w:rPr>
      </w:pPr>
      <w:r w:rsidRPr="00031671">
        <w:rPr>
          <w:szCs w:val="22"/>
        </w:rPr>
        <w:t>Je známe, že vystavenie účinku ACE inhibítorov počas druhého a tretieho trimestra vyvoláva humánnu fetotoxicitu (znížené renálne funkcie, oligohydramnión, spomalenie osifikácie lebky) a neonatálnu toxicitu (renálne zlyhanie, hypotenzia, hyperk</w:t>
      </w:r>
      <w:r w:rsidR="00C81B53" w:rsidRPr="00031671">
        <w:rPr>
          <w:szCs w:val="22"/>
        </w:rPr>
        <w:t>a</w:t>
      </w:r>
      <w:r w:rsidRPr="00031671">
        <w:rPr>
          <w:szCs w:val="22"/>
        </w:rPr>
        <w:t>liémia) (pozri časť 5.3).</w:t>
      </w:r>
    </w:p>
    <w:p w14:paraId="2F19EBC2" w14:textId="77777777" w:rsidR="00F3126E" w:rsidRPr="00031671" w:rsidRDefault="00F3126E" w:rsidP="00F3126E">
      <w:pPr>
        <w:ind w:left="0" w:firstLine="0"/>
        <w:rPr>
          <w:szCs w:val="22"/>
        </w:rPr>
      </w:pPr>
    </w:p>
    <w:p w14:paraId="10764C98" w14:textId="77777777" w:rsidR="001E1948" w:rsidRPr="00031671" w:rsidRDefault="001E1948" w:rsidP="00F3126E">
      <w:pPr>
        <w:ind w:left="0" w:firstLine="0"/>
        <w:rPr>
          <w:szCs w:val="22"/>
        </w:rPr>
      </w:pPr>
      <w:r w:rsidRPr="00031671">
        <w:rPr>
          <w:szCs w:val="22"/>
        </w:rPr>
        <w:t>Ak by došlo k vystaveniu ACE inhibítoru od druhého trimestra gravidity, odporúča sa vykonať ultrazvukovú kontrolu renálnych funkcií a lebky.</w:t>
      </w:r>
    </w:p>
    <w:p w14:paraId="256511E7" w14:textId="77777777" w:rsidR="00F3126E" w:rsidRPr="00031671" w:rsidRDefault="00F3126E" w:rsidP="00F3126E">
      <w:pPr>
        <w:ind w:left="0" w:firstLine="0"/>
        <w:rPr>
          <w:szCs w:val="22"/>
        </w:rPr>
      </w:pPr>
    </w:p>
    <w:p w14:paraId="316C849D" w14:textId="77777777" w:rsidR="001E1948" w:rsidRPr="00031671" w:rsidRDefault="001E1948" w:rsidP="00F3126E">
      <w:pPr>
        <w:ind w:left="0" w:firstLine="0"/>
        <w:rPr>
          <w:szCs w:val="22"/>
        </w:rPr>
      </w:pPr>
      <w:r w:rsidRPr="00031671">
        <w:rPr>
          <w:szCs w:val="22"/>
        </w:rPr>
        <w:t xml:space="preserve">Deti, ktorých matky užívali ACE inhibítory, </w:t>
      </w:r>
      <w:r w:rsidR="00F3126E" w:rsidRPr="00031671">
        <w:rPr>
          <w:szCs w:val="22"/>
        </w:rPr>
        <w:t xml:space="preserve">majú </w:t>
      </w:r>
      <w:r w:rsidRPr="00031671">
        <w:rPr>
          <w:szCs w:val="22"/>
        </w:rPr>
        <w:t xml:space="preserve">byť starostlivo sledované </w:t>
      </w:r>
      <w:r w:rsidR="001044F5" w:rsidRPr="00031671">
        <w:rPr>
          <w:szCs w:val="22"/>
        </w:rPr>
        <w:t>kvôli možnej hypotenzii</w:t>
      </w:r>
      <w:r w:rsidRPr="00031671">
        <w:rPr>
          <w:szCs w:val="22"/>
        </w:rPr>
        <w:t xml:space="preserve"> (pozri časti 4.3 a 4.4).</w:t>
      </w:r>
    </w:p>
    <w:p w14:paraId="2B284FA1" w14:textId="77777777" w:rsidR="001E1948" w:rsidRPr="00031671" w:rsidRDefault="001E1948" w:rsidP="00F3126E">
      <w:pPr>
        <w:ind w:left="0" w:firstLine="0"/>
        <w:rPr>
          <w:szCs w:val="22"/>
        </w:rPr>
      </w:pPr>
    </w:p>
    <w:p w14:paraId="4483B01A" w14:textId="77777777" w:rsidR="001E1948" w:rsidRPr="00031671" w:rsidRDefault="001E1948" w:rsidP="00F3126E">
      <w:pPr>
        <w:ind w:left="0" w:firstLine="0"/>
        <w:rPr>
          <w:i/>
          <w:szCs w:val="22"/>
          <w:u w:val="single"/>
        </w:rPr>
      </w:pPr>
      <w:r w:rsidRPr="00031671">
        <w:rPr>
          <w:i/>
          <w:szCs w:val="22"/>
          <w:u w:val="single"/>
        </w:rPr>
        <w:t>Súvisiace s</w:t>
      </w:r>
      <w:r w:rsidR="001044F5" w:rsidRPr="00031671">
        <w:rPr>
          <w:i/>
          <w:szCs w:val="22"/>
          <w:u w:val="single"/>
        </w:rPr>
        <w:t> </w:t>
      </w:r>
      <w:r w:rsidRPr="00031671">
        <w:rPr>
          <w:i/>
          <w:szCs w:val="22"/>
          <w:u w:val="single"/>
        </w:rPr>
        <w:t>amlodipínom</w:t>
      </w:r>
    </w:p>
    <w:p w14:paraId="0B079C68" w14:textId="77777777" w:rsidR="001044F5" w:rsidRPr="00031671" w:rsidRDefault="001044F5" w:rsidP="00F3126E">
      <w:pPr>
        <w:ind w:left="0" w:firstLine="0"/>
        <w:rPr>
          <w:szCs w:val="22"/>
          <w:u w:val="single"/>
        </w:rPr>
      </w:pPr>
    </w:p>
    <w:p w14:paraId="3E07F5C8" w14:textId="77777777" w:rsidR="001044F5" w:rsidRPr="00031671" w:rsidRDefault="001044F5" w:rsidP="00F3126E">
      <w:pPr>
        <w:ind w:left="0" w:firstLine="0"/>
        <w:rPr>
          <w:szCs w:val="22"/>
        </w:rPr>
      </w:pPr>
      <w:r w:rsidRPr="00031671">
        <w:rPr>
          <w:szCs w:val="22"/>
        </w:rPr>
        <w:t xml:space="preserve">Bezpečnosť amlodipínu počas </w:t>
      </w:r>
      <w:r w:rsidR="00EC5997" w:rsidRPr="00031671">
        <w:rPr>
          <w:szCs w:val="22"/>
        </w:rPr>
        <w:t xml:space="preserve">gravidity </w:t>
      </w:r>
      <w:r w:rsidRPr="00031671">
        <w:rPr>
          <w:szCs w:val="22"/>
        </w:rPr>
        <w:t>nebola stanovená.</w:t>
      </w:r>
    </w:p>
    <w:p w14:paraId="526CD5BE" w14:textId="77777777" w:rsidR="001044F5" w:rsidRPr="00031671" w:rsidRDefault="001044F5" w:rsidP="00F3126E">
      <w:pPr>
        <w:ind w:left="0" w:firstLine="0"/>
        <w:rPr>
          <w:szCs w:val="22"/>
        </w:rPr>
      </w:pPr>
    </w:p>
    <w:p w14:paraId="3450BCEE" w14:textId="77777777" w:rsidR="001044F5" w:rsidRPr="00031671" w:rsidRDefault="001044F5" w:rsidP="00F3126E">
      <w:pPr>
        <w:ind w:left="0" w:firstLine="0"/>
        <w:rPr>
          <w:szCs w:val="22"/>
        </w:rPr>
      </w:pPr>
      <w:r w:rsidRPr="00031671">
        <w:rPr>
          <w:szCs w:val="22"/>
        </w:rPr>
        <w:t>V štúdiách na zvieratách bola pri vysokých dávkach pozorovaná reprodukčná toxicita (pozri časť 5.3).</w:t>
      </w:r>
    </w:p>
    <w:p w14:paraId="186CC750" w14:textId="77777777" w:rsidR="001044F5" w:rsidRPr="00031671" w:rsidRDefault="001044F5" w:rsidP="00F3126E">
      <w:pPr>
        <w:ind w:left="0" w:firstLine="0"/>
        <w:rPr>
          <w:szCs w:val="22"/>
        </w:rPr>
      </w:pPr>
    </w:p>
    <w:p w14:paraId="2026FB2A" w14:textId="77777777" w:rsidR="001044F5" w:rsidRPr="00031671" w:rsidRDefault="001044F5" w:rsidP="00F3126E">
      <w:pPr>
        <w:ind w:left="0" w:firstLine="0"/>
        <w:rPr>
          <w:szCs w:val="22"/>
        </w:rPr>
      </w:pPr>
      <w:r w:rsidRPr="00031671">
        <w:rPr>
          <w:szCs w:val="22"/>
        </w:rPr>
        <w:t>Použitie v</w:t>
      </w:r>
      <w:r w:rsidR="00EC5997" w:rsidRPr="00031671">
        <w:rPr>
          <w:szCs w:val="22"/>
        </w:rPr>
        <w:t> gravidite</w:t>
      </w:r>
      <w:r w:rsidRPr="00031671">
        <w:rPr>
          <w:szCs w:val="22"/>
        </w:rPr>
        <w:t xml:space="preserve"> sa odporúča len vtedy, ak neexistuje žiadna bezpečnejšia alternatívna liečba a ak samotná choroba nesie väčšie riziko pre matku i plod.</w:t>
      </w:r>
    </w:p>
    <w:p w14:paraId="127E4F74" w14:textId="77777777" w:rsidR="001044F5" w:rsidRPr="00031671" w:rsidRDefault="001044F5" w:rsidP="00F3126E">
      <w:pPr>
        <w:ind w:left="0" w:firstLine="0"/>
        <w:rPr>
          <w:szCs w:val="22"/>
        </w:rPr>
      </w:pPr>
    </w:p>
    <w:p w14:paraId="12BADCC6" w14:textId="2A3F18C9" w:rsidR="001E1948" w:rsidRPr="00031671" w:rsidRDefault="00EC5997" w:rsidP="00F3126E">
      <w:pPr>
        <w:tabs>
          <w:tab w:val="left" w:pos="284"/>
          <w:tab w:val="left" w:pos="709"/>
          <w:tab w:val="left" w:pos="993"/>
        </w:tabs>
        <w:spacing w:line="240" w:lineRule="atLeast"/>
        <w:rPr>
          <w:bCs/>
          <w:iCs/>
          <w:szCs w:val="22"/>
          <w:u w:val="single"/>
        </w:rPr>
      </w:pPr>
      <w:r w:rsidRPr="00031671">
        <w:rPr>
          <w:bCs/>
          <w:iCs/>
          <w:szCs w:val="22"/>
          <w:u w:val="single"/>
        </w:rPr>
        <w:t>Dojčenie</w:t>
      </w:r>
    </w:p>
    <w:p w14:paraId="25B46449" w14:textId="77777777" w:rsidR="001044F5" w:rsidRPr="00031671" w:rsidRDefault="001044F5" w:rsidP="00F3126E">
      <w:pPr>
        <w:tabs>
          <w:tab w:val="left" w:pos="284"/>
          <w:tab w:val="left" w:pos="709"/>
          <w:tab w:val="left" w:pos="993"/>
        </w:tabs>
        <w:spacing w:line="240" w:lineRule="atLeast"/>
        <w:rPr>
          <w:bCs/>
          <w:i/>
          <w:iCs/>
          <w:szCs w:val="22"/>
          <w:u w:val="single"/>
        </w:rPr>
      </w:pPr>
    </w:p>
    <w:p w14:paraId="1477FB85" w14:textId="77777777" w:rsidR="001E1948" w:rsidRPr="00031671" w:rsidRDefault="001E1948" w:rsidP="00F3126E">
      <w:pPr>
        <w:ind w:left="0" w:firstLine="0"/>
        <w:rPr>
          <w:i/>
          <w:szCs w:val="22"/>
          <w:u w:val="single"/>
        </w:rPr>
      </w:pPr>
      <w:r w:rsidRPr="00031671">
        <w:rPr>
          <w:i/>
          <w:szCs w:val="22"/>
          <w:u w:val="single"/>
        </w:rPr>
        <w:t>Súvisiace s</w:t>
      </w:r>
      <w:r w:rsidR="001044F5" w:rsidRPr="00031671">
        <w:rPr>
          <w:i/>
          <w:szCs w:val="22"/>
          <w:u w:val="single"/>
        </w:rPr>
        <w:t> </w:t>
      </w:r>
      <w:r w:rsidRPr="00031671">
        <w:rPr>
          <w:i/>
          <w:szCs w:val="22"/>
          <w:u w:val="single"/>
        </w:rPr>
        <w:t>perindoprilom</w:t>
      </w:r>
    </w:p>
    <w:p w14:paraId="59F8DD3B" w14:textId="77777777" w:rsidR="001044F5" w:rsidRPr="00031671" w:rsidRDefault="001044F5" w:rsidP="00F3126E">
      <w:pPr>
        <w:ind w:left="0" w:firstLine="0"/>
        <w:rPr>
          <w:szCs w:val="22"/>
          <w:u w:val="single"/>
        </w:rPr>
      </w:pPr>
    </w:p>
    <w:p w14:paraId="3B4BF7F3" w14:textId="77777777" w:rsidR="001E1948" w:rsidRPr="00031671" w:rsidRDefault="001E1948" w:rsidP="00F3126E">
      <w:pPr>
        <w:tabs>
          <w:tab w:val="left" w:pos="284"/>
          <w:tab w:val="left" w:pos="709"/>
          <w:tab w:val="left" w:pos="993"/>
        </w:tabs>
        <w:spacing w:line="240" w:lineRule="atLeast"/>
        <w:ind w:left="0" w:firstLine="0"/>
        <w:rPr>
          <w:bCs/>
          <w:iCs/>
          <w:szCs w:val="22"/>
        </w:rPr>
      </w:pPr>
      <w:r w:rsidRPr="00031671">
        <w:rPr>
          <w:bCs/>
          <w:iCs/>
          <w:szCs w:val="22"/>
        </w:rPr>
        <w:t>Pretože nie sú dostupné žiadne informácie o použití perindoprilu počas dojčenia, perindopril sa neodporúča a vhodnejšia je alternatívna liečba s lepšie stanoveným bezpečnostným profilom počas dojčenia, obzvlášť počas dojčenia novorodenca alebo predčasne narodeného dieťaťa.</w:t>
      </w:r>
    </w:p>
    <w:p w14:paraId="6C74051C" w14:textId="77777777" w:rsidR="001E1948" w:rsidRPr="00031671" w:rsidRDefault="001E1948" w:rsidP="00F3126E">
      <w:pPr>
        <w:tabs>
          <w:tab w:val="left" w:pos="284"/>
          <w:tab w:val="left" w:pos="709"/>
          <w:tab w:val="left" w:pos="993"/>
        </w:tabs>
        <w:spacing w:line="240" w:lineRule="atLeast"/>
        <w:ind w:left="0" w:firstLine="0"/>
        <w:rPr>
          <w:bCs/>
          <w:iCs/>
          <w:szCs w:val="22"/>
        </w:rPr>
      </w:pPr>
    </w:p>
    <w:p w14:paraId="39F4E93A" w14:textId="77777777" w:rsidR="001E1948" w:rsidRPr="00031671" w:rsidRDefault="001E1948" w:rsidP="00506927">
      <w:pPr>
        <w:keepNext/>
        <w:ind w:left="0" w:firstLine="0"/>
        <w:rPr>
          <w:i/>
          <w:szCs w:val="22"/>
          <w:u w:val="single"/>
        </w:rPr>
      </w:pPr>
      <w:r w:rsidRPr="00031671">
        <w:rPr>
          <w:i/>
          <w:szCs w:val="22"/>
          <w:u w:val="single"/>
        </w:rPr>
        <w:t>Súvisiace s</w:t>
      </w:r>
      <w:r w:rsidR="00811FF3" w:rsidRPr="00031671">
        <w:rPr>
          <w:i/>
          <w:szCs w:val="22"/>
          <w:u w:val="single"/>
        </w:rPr>
        <w:t> </w:t>
      </w:r>
      <w:r w:rsidRPr="00031671">
        <w:rPr>
          <w:i/>
          <w:szCs w:val="22"/>
          <w:u w:val="single"/>
        </w:rPr>
        <w:t>amlodipínom</w:t>
      </w:r>
    </w:p>
    <w:p w14:paraId="03A418B0" w14:textId="77777777" w:rsidR="00811FF3" w:rsidRPr="00031671" w:rsidRDefault="00811FF3" w:rsidP="00506927">
      <w:pPr>
        <w:keepNext/>
        <w:ind w:left="0" w:firstLine="0"/>
        <w:rPr>
          <w:szCs w:val="22"/>
          <w:u w:val="single"/>
        </w:rPr>
      </w:pPr>
    </w:p>
    <w:p w14:paraId="4953B768" w14:textId="51A69FA0" w:rsidR="00811FF3" w:rsidRPr="00031671" w:rsidRDefault="009E1DCC" w:rsidP="00F3126E">
      <w:pPr>
        <w:ind w:left="0" w:firstLine="0"/>
        <w:rPr>
          <w:szCs w:val="22"/>
        </w:rPr>
      </w:pPr>
      <w:r w:rsidRPr="009E1DCC">
        <w:t xml:space="preserve"> </w:t>
      </w:r>
      <w:r w:rsidRPr="009E1DCC">
        <w:rPr>
          <w:szCs w:val="22"/>
        </w:rPr>
        <w:t>Amlodipín sa vylučuje do ľudského materského mlieka. Podiel dávky podanej matke, ktorý</w:t>
      </w:r>
      <w:r>
        <w:rPr>
          <w:szCs w:val="22"/>
        </w:rPr>
        <w:t xml:space="preserve"> </w:t>
      </w:r>
      <w:r w:rsidRPr="009E1DCC">
        <w:rPr>
          <w:szCs w:val="22"/>
        </w:rPr>
        <w:t>dostane dieťa, sa odhadol s interkvartilovým rozsahom 3 až 7 %, s maximom 15 %. Účinok</w:t>
      </w:r>
      <w:r>
        <w:rPr>
          <w:szCs w:val="22"/>
        </w:rPr>
        <w:t xml:space="preserve"> </w:t>
      </w:r>
      <w:r w:rsidRPr="009E1DCC">
        <w:rPr>
          <w:szCs w:val="22"/>
        </w:rPr>
        <w:t>amlodipínu na deti nie je známy.</w:t>
      </w:r>
    </w:p>
    <w:p w14:paraId="2BAFF5B6" w14:textId="77777777" w:rsidR="00811FF3" w:rsidRPr="00031671" w:rsidRDefault="00811FF3" w:rsidP="00F3126E">
      <w:pPr>
        <w:ind w:left="0" w:firstLine="0"/>
        <w:rPr>
          <w:szCs w:val="22"/>
        </w:rPr>
      </w:pPr>
    </w:p>
    <w:p w14:paraId="1872144C" w14:textId="77777777" w:rsidR="00811FF3" w:rsidRPr="00031671" w:rsidRDefault="00811FF3" w:rsidP="00F3126E">
      <w:pPr>
        <w:ind w:left="0" w:firstLine="0"/>
        <w:rPr>
          <w:szCs w:val="22"/>
        </w:rPr>
      </w:pPr>
      <w:r w:rsidRPr="00031671">
        <w:rPr>
          <w:szCs w:val="22"/>
        </w:rPr>
        <w:t>Pri rozhodnutí, či pokračovať/prerušiť dojčenie alebo pokračovať/prerušiť liečbu amlodipínom, je potrebné vziať do úvahy prínos dojčenia pre dieťa a prínos liečby amlodipínom pre matku.</w:t>
      </w:r>
    </w:p>
    <w:p w14:paraId="6B815E88" w14:textId="77777777" w:rsidR="00811FF3" w:rsidRPr="00031671" w:rsidRDefault="00811FF3" w:rsidP="00F3126E">
      <w:pPr>
        <w:ind w:left="0" w:firstLine="0"/>
        <w:rPr>
          <w:szCs w:val="22"/>
        </w:rPr>
      </w:pPr>
    </w:p>
    <w:p w14:paraId="5D1466B7" w14:textId="77777777" w:rsidR="001E1948" w:rsidRPr="00031671" w:rsidRDefault="00694579" w:rsidP="00F3126E">
      <w:pPr>
        <w:ind w:left="0" w:firstLine="0"/>
        <w:rPr>
          <w:szCs w:val="22"/>
          <w:u w:val="single"/>
        </w:rPr>
      </w:pPr>
      <w:r w:rsidRPr="00031671">
        <w:rPr>
          <w:szCs w:val="22"/>
          <w:u w:val="single"/>
        </w:rPr>
        <w:t>Fertilita</w:t>
      </w:r>
    </w:p>
    <w:p w14:paraId="72B5561D" w14:textId="77777777" w:rsidR="00811FF3" w:rsidRPr="00031671" w:rsidRDefault="00811FF3" w:rsidP="00F3126E">
      <w:pPr>
        <w:ind w:left="0" w:firstLine="0"/>
        <w:rPr>
          <w:i/>
          <w:szCs w:val="22"/>
          <w:u w:val="single"/>
        </w:rPr>
      </w:pPr>
    </w:p>
    <w:p w14:paraId="31B59C5C" w14:textId="77777777" w:rsidR="00AF08F2" w:rsidRPr="00031671" w:rsidRDefault="00AF08F2" w:rsidP="00AF08F2">
      <w:pPr>
        <w:ind w:left="0" w:firstLine="0"/>
        <w:rPr>
          <w:i/>
          <w:szCs w:val="22"/>
          <w:u w:val="single"/>
        </w:rPr>
      </w:pPr>
      <w:r w:rsidRPr="00031671">
        <w:rPr>
          <w:i/>
          <w:szCs w:val="22"/>
          <w:u w:val="single"/>
        </w:rPr>
        <w:t>Súvisiace s perindoprilom</w:t>
      </w:r>
    </w:p>
    <w:p w14:paraId="1F3C38A3" w14:textId="77777777" w:rsidR="00AF08F2" w:rsidRPr="00031671" w:rsidRDefault="00AF08F2" w:rsidP="00AF08F2">
      <w:pPr>
        <w:ind w:left="0" w:firstLine="0"/>
        <w:rPr>
          <w:i/>
          <w:szCs w:val="22"/>
          <w:u w:val="single"/>
        </w:rPr>
      </w:pPr>
    </w:p>
    <w:p w14:paraId="64557611" w14:textId="77777777" w:rsidR="00AF08F2" w:rsidRPr="00031671" w:rsidRDefault="00AF08F2" w:rsidP="00AF08F2">
      <w:pPr>
        <w:ind w:left="0" w:firstLine="0"/>
        <w:rPr>
          <w:szCs w:val="22"/>
        </w:rPr>
      </w:pPr>
      <w:r w:rsidRPr="00031671">
        <w:rPr>
          <w:szCs w:val="22"/>
        </w:rPr>
        <w:t>Nepozoroval sa žiadny účinok na schopnosť reprodukcie alebo plodnosť.</w:t>
      </w:r>
    </w:p>
    <w:p w14:paraId="3D9F5480" w14:textId="77777777" w:rsidR="00AF08F2" w:rsidRPr="00031671" w:rsidRDefault="00AF08F2" w:rsidP="00AF08F2">
      <w:pPr>
        <w:ind w:left="0" w:firstLine="0"/>
        <w:rPr>
          <w:szCs w:val="22"/>
        </w:rPr>
      </w:pPr>
    </w:p>
    <w:p w14:paraId="247982AD" w14:textId="77777777" w:rsidR="00AF08F2" w:rsidRPr="00031671" w:rsidRDefault="00AF08F2" w:rsidP="00AF08F2">
      <w:pPr>
        <w:ind w:left="0" w:firstLine="0"/>
        <w:rPr>
          <w:i/>
          <w:szCs w:val="22"/>
          <w:u w:val="single"/>
        </w:rPr>
      </w:pPr>
      <w:r w:rsidRPr="00031671">
        <w:rPr>
          <w:i/>
          <w:szCs w:val="22"/>
          <w:u w:val="single"/>
        </w:rPr>
        <w:t>Súvisiace s amlodipínom</w:t>
      </w:r>
    </w:p>
    <w:p w14:paraId="6496E7F5" w14:textId="77777777" w:rsidR="00AF08F2" w:rsidRPr="00031671" w:rsidRDefault="00AF08F2" w:rsidP="00F3126E">
      <w:pPr>
        <w:ind w:left="0" w:firstLine="0"/>
        <w:rPr>
          <w:szCs w:val="22"/>
        </w:rPr>
      </w:pPr>
    </w:p>
    <w:p w14:paraId="0C4D9C4A" w14:textId="77777777" w:rsidR="001E1948" w:rsidRPr="00031671" w:rsidRDefault="00811FF3" w:rsidP="00F3126E">
      <w:pPr>
        <w:ind w:left="0" w:firstLine="0"/>
        <w:rPr>
          <w:szCs w:val="22"/>
        </w:rPr>
      </w:pPr>
      <w:r w:rsidRPr="00031671">
        <w:rPr>
          <w:szCs w:val="22"/>
        </w:rPr>
        <w:t>U niektorých pacientov</w:t>
      </w:r>
      <w:r w:rsidR="001E1948" w:rsidRPr="00031671">
        <w:rPr>
          <w:szCs w:val="22"/>
        </w:rPr>
        <w:t xml:space="preserve"> liečených blokátormi kalciových kanálov boli zaznamenané reverzibilné biochemické zmeny na hlavičke spermií.</w:t>
      </w:r>
      <w:r w:rsidRPr="00031671">
        <w:rPr>
          <w:szCs w:val="22"/>
        </w:rPr>
        <w:t xml:space="preserve"> Klinické údaje nie sú dostatočné, pokiaľ ide o potenciálny účinok amlodipínu na plodnosť. V štúdii na potkanoch boli zistené nežiaduce účinky na </w:t>
      </w:r>
      <w:r w:rsidR="00731030" w:rsidRPr="00031671">
        <w:rPr>
          <w:szCs w:val="22"/>
        </w:rPr>
        <w:t>samčiu</w:t>
      </w:r>
      <w:r w:rsidRPr="00031671">
        <w:rPr>
          <w:szCs w:val="22"/>
        </w:rPr>
        <w:t xml:space="preserve"> plodnosť (pozri </w:t>
      </w:r>
      <w:r w:rsidR="00C81B53" w:rsidRPr="00031671">
        <w:rPr>
          <w:szCs w:val="22"/>
        </w:rPr>
        <w:t>časť</w:t>
      </w:r>
      <w:r w:rsidRPr="00031671">
        <w:rPr>
          <w:szCs w:val="22"/>
        </w:rPr>
        <w:t xml:space="preserve"> 5.3).</w:t>
      </w:r>
    </w:p>
    <w:p w14:paraId="18718725" w14:textId="77777777" w:rsidR="001E1948" w:rsidRPr="00031671" w:rsidRDefault="001E1948" w:rsidP="00F3126E">
      <w:pPr>
        <w:rPr>
          <w:szCs w:val="22"/>
        </w:rPr>
      </w:pPr>
    </w:p>
    <w:p w14:paraId="565A5C20" w14:textId="77777777" w:rsidR="001E1948" w:rsidRPr="00031671" w:rsidRDefault="001E1948" w:rsidP="00F3126E">
      <w:pPr>
        <w:rPr>
          <w:szCs w:val="22"/>
        </w:rPr>
      </w:pPr>
      <w:r w:rsidRPr="00031671">
        <w:rPr>
          <w:b/>
          <w:szCs w:val="22"/>
        </w:rPr>
        <w:t>4.7</w:t>
      </w:r>
      <w:r w:rsidRPr="00031671">
        <w:rPr>
          <w:b/>
          <w:szCs w:val="22"/>
        </w:rPr>
        <w:tab/>
        <w:t>Ovplyvnenie schopnosti viesť vozidlá a obsluhovať stroje</w:t>
      </w:r>
    </w:p>
    <w:p w14:paraId="638D0E9D" w14:textId="77777777" w:rsidR="001E1948" w:rsidRPr="00031671" w:rsidRDefault="001E1948" w:rsidP="00F3126E">
      <w:pPr>
        <w:rPr>
          <w:szCs w:val="22"/>
        </w:rPr>
      </w:pPr>
    </w:p>
    <w:p w14:paraId="357698D1" w14:textId="77777777" w:rsidR="001E1948" w:rsidRPr="00031671" w:rsidRDefault="001E1948" w:rsidP="00F3126E">
      <w:pPr>
        <w:ind w:left="0" w:firstLine="0"/>
        <w:rPr>
          <w:szCs w:val="22"/>
        </w:rPr>
      </w:pPr>
      <w:r w:rsidRPr="00031671">
        <w:rPr>
          <w:szCs w:val="22"/>
        </w:rPr>
        <w:t>Neuskutočnili sa žiadn</w:t>
      </w:r>
      <w:r w:rsidR="006E74AC" w:rsidRPr="00031671">
        <w:rPr>
          <w:szCs w:val="22"/>
        </w:rPr>
        <w:t>e štúdie o účinkoch</w:t>
      </w:r>
      <w:r w:rsidRPr="00031671">
        <w:rPr>
          <w:szCs w:val="22"/>
        </w:rPr>
        <w:t xml:space="preserve"> </w:t>
      </w:r>
      <w:r w:rsidR="00304E8C" w:rsidRPr="00031671">
        <w:rPr>
          <w:szCs w:val="22"/>
        </w:rPr>
        <w:t>VIDONORMU</w:t>
      </w:r>
      <w:r w:rsidRPr="00031671">
        <w:rPr>
          <w:szCs w:val="22"/>
        </w:rPr>
        <w:t xml:space="preserve"> na schopnosť viesť vozidlá a obsluhovať stroje. Pri vedení vozidiel alebo obsluhovaní strojov sa má brať do úvahy fakt, že </w:t>
      </w:r>
      <w:r w:rsidR="006E74AC" w:rsidRPr="00031671">
        <w:rPr>
          <w:szCs w:val="22"/>
        </w:rPr>
        <w:t xml:space="preserve">sa </w:t>
      </w:r>
      <w:r w:rsidRPr="00031671">
        <w:rPr>
          <w:szCs w:val="22"/>
        </w:rPr>
        <w:t>príležitostne môž</w:t>
      </w:r>
      <w:r w:rsidR="00AF08F2" w:rsidRPr="00031671">
        <w:rPr>
          <w:szCs w:val="22"/>
        </w:rPr>
        <w:t>e</w:t>
      </w:r>
      <w:r w:rsidRPr="00031671">
        <w:rPr>
          <w:szCs w:val="22"/>
        </w:rPr>
        <w:t xml:space="preserve"> vyskytnúť </w:t>
      </w:r>
      <w:r w:rsidR="00AF08F2" w:rsidRPr="00031671">
        <w:rPr>
          <w:szCs w:val="22"/>
        </w:rPr>
        <w:t xml:space="preserve">nízky krvný tlak, </w:t>
      </w:r>
      <w:r w:rsidR="002B0F16" w:rsidRPr="00031671">
        <w:rPr>
          <w:szCs w:val="22"/>
        </w:rPr>
        <w:t xml:space="preserve">bolesti hlavy, nevoľnosť, </w:t>
      </w:r>
      <w:r w:rsidRPr="00031671">
        <w:rPr>
          <w:szCs w:val="22"/>
        </w:rPr>
        <w:t>závraty alebo únava.</w:t>
      </w:r>
    </w:p>
    <w:p w14:paraId="21D16677" w14:textId="77777777" w:rsidR="001E1948" w:rsidRPr="00031671" w:rsidRDefault="001E1948" w:rsidP="00F3126E">
      <w:pPr>
        <w:rPr>
          <w:szCs w:val="22"/>
        </w:rPr>
      </w:pPr>
    </w:p>
    <w:p w14:paraId="7954A337" w14:textId="77777777" w:rsidR="001E1948" w:rsidRPr="00031671" w:rsidRDefault="001E1948" w:rsidP="00F3126E">
      <w:pPr>
        <w:rPr>
          <w:b/>
          <w:szCs w:val="22"/>
        </w:rPr>
      </w:pPr>
      <w:r w:rsidRPr="00031671">
        <w:rPr>
          <w:b/>
          <w:szCs w:val="22"/>
        </w:rPr>
        <w:t>4.8</w:t>
      </w:r>
      <w:r w:rsidRPr="00031671">
        <w:rPr>
          <w:b/>
          <w:szCs w:val="22"/>
        </w:rPr>
        <w:tab/>
        <w:t>Nežiaduce účinky</w:t>
      </w:r>
    </w:p>
    <w:p w14:paraId="3F0679D4" w14:textId="77777777" w:rsidR="001E1948" w:rsidRPr="00031671" w:rsidRDefault="001E1948" w:rsidP="00F3126E">
      <w:pPr>
        <w:rPr>
          <w:szCs w:val="22"/>
        </w:rPr>
      </w:pPr>
    </w:p>
    <w:p w14:paraId="767C95CD" w14:textId="77777777" w:rsidR="001E1948" w:rsidRPr="00031671" w:rsidRDefault="001E1948" w:rsidP="00F3126E">
      <w:pPr>
        <w:ind w:left="0" w:firstLine="0"/>
        <w:rPr>
          <w:szCs w:val="22"/>
        </w:rPr>
      </w:pPr>
      <w:r w:rsidRPr="00031671">
        <w:rPr>
          <w:szCs w:val="22"/>
        </w:rPr>
        <w:t xml:space="preserve">Počas liečby perindoprilom alebo amlodipínom boli pozorované nasledujúce nežiaduce účinky, ktoré sú udávané oddelene a zoradené v súlade s </w:t>
      </w:r>
      <w:r w:rsidR="006E74AC" w:rsidRPr="00031671">
        <w:rPr>
          <w:szCs w:val="22"/>
        </w:rPr>
        <w:t xml:space="preserve">klasifikáciou </w:t>
      </w:r>
      <w:r w:rsidRPr="00031671">
        <w:rPr>
          <w:szCs w:val="22"/>
        </w:rPr>
        <w:t>MedDRA podľa telesných sústav a podľa nasledujúcej frekvencie:</w:t>
      </w:r>
    </w:p>
    <w:p w14:paraId="248BC6DF" w14:textId="77777777" w:rsidR="006E74AC" w:rsidRPr="00031671" w:rsidRDefault="006E74AC" w:rsidP="00F3126E">
      <w:pPr>
        <w:ind w:left="0" w:firstLine="0"/>
        <w:rPr>
          <w:szCs w:val="22"/>
        </w:rPr>
      </w:pPr>
    </w:p>
    <w:p w14:paraId="215913FC" w14:textId="77777777" w:rsidR="001E1948" w:rsidRPr="00031671" w:rsidRDefault="006E74AC" w:rsidP="00F3126E">
      <w:pPr>
        <w:ind w:left="0" w:firstLine="0"/>
        <w:rPr>
          <w:bCs/>
          <w:iCs/>
          <w:szCs w:val="22"/>
        </w:rPr>
      </w:pPr>
      <w:r w:rsidRPr="00031671">
        <w:rPr>
          <w:szCs w:val="22"/>
        </w:rPr>
        <w:t>V</w:t>
      </w:r>
      <w:r w:rsidR="001E1948" w:rsidRPr="00031671">
        <w:rPr>
          <w:szCs w:val="22"/>
        </w:rPr>
        <w:t>eľmi časté (≥1/10); časté (≥1/100 až &lt;1/10); menej časté (≥1/1</w:t>
      </w:r>
      <w:r w:rsidR="001D2513" w:rsidRPr="00031671">
        <w:rPr>
          <w:szCs w:val="22"/>
        </w:rPr>
        <w:t> </w:t>
      </w:r>
      <w:r w:rsidR="001E1948" w:rsidRPr="00031671">
        <w:rPr>
          <w:szCs w:val="22"/>
        </w:rPr>
        <w:t>000 až &lt;1/100); zriedkavé (≥1/10 000 až &lt;1/1</w:t>
      </w:r>
      <w:r w:rsidR="001D2513" w:rsidRPr="00031671">
        <w:rPr>
          <w:szCs w:val="22"/>
        </w:rPr>
        <w:t> </w:t>
      </w:r>
      <w:r w:rsidR="001E1948" w:rsidRPr="00031671">
        <w:rPr>
          <w:szCs w:val="22"/>
        </w:rPr>
        <w:t>000); veľmi zriedkavé (&lt;1/10 000), neznáme (</w:t>
      </w:r>
      <w:r w:rsidRPr="00031671">
        <w:rPr>
          <w:szCs w:val="22"/>
        </w:rPr>
        <w:t xml:space="preserve">nedajú sa odhadnúť </w:t>
      </w:r>
      <w:r w:rsidR="001E1948" w:rsidRPr="00031671">
        <w:rPr>
          <w:szCs w:val="22"/>
        </w:rPr>
        <w:t>z dostupných údajov)</w:t>
      </w:r>
      <w:r w:rsidR="001E1948" w:rsidRPr="00031671">
        <w:rPr>
          <w:bCs/>
          <w:iCs/>
          <w:szCs w:val="22"/>
        </w:rPr>
        <w:t>.</w:t>
      </w:r>
    </w:p>
    <w:p w14:paraId="71605C26" w14:textId="77777777" w:rsidR="001E1948" w:rsidRPr="00031671" w:rsidRDefault="001E1948" w:rsidP="00F3126E">
      <w:pPr>
        <w:ind w:left="0" w:firstLine="0"/>
        <w:rPr>
          <w:bCs/>
          <w:iCs/>
          <w:szCs w:val="22"/>
        </w:rPr>
      </w:pPr>
    </w:p>
    <w:p w14:paraId="18BC0116" w14:textId="77777777" w:rsidR="00987E33" w:rsidRPr="00031671" w:rsidRDefault="00987E33" w:rsidP="00987E33">
      <w:pPr>
        <w:widowControl w:val="0"/>
        <w:suppressAutoHyphens/>
        <w:spacing w:line="360" w:lineRule="auto"/>
      </w:pPr>
    </w:p>
    <w:tbl>
      <w:tblPr>
        <w:tblW w:w="102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157"/>
        <w:gridCol w:w="2126"/>
        <w:gridCol w:w="2906"/>
        <w:gridCol w:w="3047"/>
      </w:tblGrid>
      <w:tr w:rsidR="00987E33" w:rsidRPr="00031671" w14:paraId="78033019" w14:textId="77777777" w:rsidTr="00D428DD">
        <w:tc>
          <w:tcPr>
            <w:tcW w:w="2157" w:type="dxa"/>
            <w:tcBorders>
              <w:top w:val="outset" w:sz="6" w:space="0" w:color="auto"/>
              <w:left w:val="outset" w:sz="6" w:space="0" w:color="auto"/>
              <w:bottom w:val="outset" w:sz="6" w:space="0" w:color="auto"/>
              <w:right w:val="outset" w:sz="6" w:space="0" w:color="auto"/>
            </w:tcBorders>
            <w:hideMark/>
          </w:tcPr>
          <w:p w14:paraId="7F827664" w14:textId="77777777" w:rsidR="00987E33" w:rsidRPr="00031671" w:rsidRDefault="00987E33" w:rsidP="000A11DE">
            <w:pPr>
              <w:tabs>
                <w:tab w:val="left" w:pos="0"/>
              </w:tabs>
              <w:ind w:left="0" w:firstLine="0"/>
              <w:rPr>
                <w:color w:val="000000"/>
              </w:rPr>
            </w:pPr>
            <w:r w:rsidRPr="00031671">
              <w:rPr>
                <w:b/>
                <w:bCs/>
                <w:iCs/>
              </w:rPr>
              <w:t>Trieda orgánových</w:t>
            </w:r>
            <w:r w:rsidR="00F90AA0" w:rsidRPr="00031671">
              <w:rPr>
                <w:b/>
                <w:bCs/>
                <w:iCs/>
              </w:rPr>
              <w:t xml:space="preserve"> </w:t>
            </w:r>
            <w:r w:rsidRPr="00031671">
              <w:rPr>
                <w:b/>
                <w:bCs/>
                <w:iCs/>
              </w:rPr>
              <w:t xml:space="preserve">systémov </w:t>
            </w:r>
          </w:p>
        </w:tc>
        <w:tc>
          <w:tcPr>
            <w:tcW w:w="2126" w:type="dxa"/>
            <w:tcBorders>
              <w:top w:val="outset" w:sz="6" w:space="0" w:color="auto"/>
              <w:left w:val="outset" w:sz="6" w:space="0" w:color="auto"/>
              <w:bottom w:val="outset" w:sz="6" w:space="0" w:color="auto"/>
              <w:right w:val="outset" w:sz="6" w:space="0" w:color="auto"/>
            </w:tcBorders>
            <w:hideMark/>
          </w:tcPr>
          <w:p w14:paraId="4B04CC85" w14:textId="77777777" w:rsidR="00987E33" w:rsidRPr="00031671" w:rsidRDefault="00987E33" w:rsidP="00D428DD">
            <w:pPr>
              <w:jc w:val="center"/>
              <w:rPr>
                <w:color w:val="000000"/>
              </w:rPr>
            </w:pPr>
            <w:r w:rsidRPr="00031671">
              <w:rPr>
                <w:b/>
                <w:bCs/>
                <w:iCs/>
              </w:rPr>
              <w:t>Frekvencia</w:t>
            </w:r>
          </w:p>
        </w:tc>
        <w:tc>
          <w:tcPr>
            <w:tcW w:w="5953" w:type="dxa"/>
            <w:gridSpan w:val="2"/>
            <w:tcBorders>
              <w:top w:val="outset" w:sz="6" w:space="0" w:color="auto"/>
              <w:left w:val="outset" w:sz="6" w:space="0" w:color="auto"/>
              <w:bottom w:val="outset" w:sz="6" w:space="0" w:color="auto"/>
              <w:right w:val="outset" w:sz="6" w:space="0" w:color="auto"/>
            </w:tcBorders>
            <w:hideMark/>
          </w:tcPr>
          <w:p w14:paraId="1226DD44" w14:textId="77777777" w:rsidR="00987E33" w:rsidRPr="00031671" w:rsidRDefault="00987E33" w:rsidP="00BC5DFA">
            <w:pPr>
              <w:jc w:val="center"/>
              <w:rPr>
                <w:b/>
                <w:bCs/>
                <w:iCs/>
              </w:rPr>
            </w:pPr>
            <w:r w:rsidRPr="00031671">
              <w:rPr>
                <w:b/>
                <w:bCs/>
                <w:iCs/>
              </w:rPr>
              <w:t xml:space="preserve">Nežiaduce </w:t>
            </w:r>
            <w:r w:rsidR="001D2513" w:rsidRPr="00031671">
              <w:rPr>
                <w:b/>
                <w:bCs/>
                <w:iCs/>
              </w:rPr>
              <w:t>reakcie</w:t>
            </w:r>
          </w:p>
        </w:tc>
      </w:tr>
      <w:tr w:rsidR="00987E33" w:rsidRPr="00031671" w14:paraId="3B9F1225" w14:textId="77777777" w:rsidTr="00D428DD">
        <w:tc>
          <w:tcPr>
            <w:tcW w:w="2157" w:type="dxa"/>
            <w:tcBorders>
              <w:top w:val="outset" w:sz="6" w:space="0" w:color="auto"/>
              <w:left w:val="outset" w:sz="6" w:space="0" w:color="auto"/>
              <w:bottom w:val="outset" w:sz="6" w:space="0" w:color="auto"/>
              <w:right w:val="outset" w:sz="6" w:space="0" w:color="auto"/>
            </w:tcBorders>
            <w:hideMark/>
          </w:tcPr>
          <w:p w14:paraId="2D592A57" w14:textId="77777777" w:rsidR="00987E33" w:rsidRPr="00031671" w:rsidRDefault="00987E33" w:rsidP="00D428DD">
            <w:pPr>
              <w:jc w:val="center"/>
              <w:rPr>
                <w:b/>
                <w:bCs/>
                <w:color w:val="000000"/>
              </w:rPr>
            </w:pPr>
          </w:p>
        </w:tc>
        <w:tc>
          <w:tcPr>
            <w:tcW w:w="2126" w:type="dxa"/>
            <w:tcBorders>
              <w:top w:val="outset" w:sz="6" w:space="0" w:color="auto"/>
              <w:left w:val="outset" w:sz="6" w:space="0" w:color="auto"/>
              <w:bottom w:val="outset" w:sz="6" w:space="0" w:color="auto"/>
              <w:right w:val="outset" w:sz="6" w:space="0" w:color="auto"/>
            </w:tcBorders>
            <w:hideMark/>
          </w:tcPr>
          <w:p w14:paraId="50BA1DCD" w14:textId="77777777" w:rsidR="00987E33" w:rsidRPr="00031671" w:rsidRDefault="00987E33" w:rsidP="00D428DD">
            <w:pPr>
              <w:jc w:val="center"/>
              <w:rPr>
                <w:color w:val="000000"/>
              </w:rPr>
            </w:pPr>
          </w:p>
        </w:tc>
        <w:tc>
          <w:tcPr>
            <w:tcW w:w="2906" w:type="dxa"/>
            <w:tcBorders>
              <w:top w:val="outset" w:sz="6" w:space="0" w:color="auto"/>
              <w:left w:val="outset" w:sz="6" w:space="0" w:color="auto"/>
              <w:bottom w:val="outset" w:sz="6" w:space="0" w:color="auto"/>
              <w:right w:val="outset" w:sz="6" w:space="0" w:color="auto"/>
            </w:tcBorders>
            <w:hideMark/>
          </w:tcPr>
          <w:p w14:paraId="0F162548" w14:textId="77777777" w:rsidR="00987E33" w:rsidRPr="00031671" w:rsidRDefault="00987E33" w:rsidP="00D428DD">
            <w:pPr>
              <w:jc w:val="center"/>
              <w:rPr>
                <w:b/>
                <w:bCs/>
                <w:iCs/>
              </w:rPr>
            </w:pPr>
            <w:r w:rsidRPr="00031671">
              <w:rPr>
                <w:b/>
                <w:bCs/>
                <w:iCs/>
              </w:rPr>
              <w:t>amlodipín</w:t>
            </w:r>
          </w:p>
        </w:tc>
        <w:tc>
          <w:tcPr>
            <w:tcW w:w="3047" w:type="dxa"/>
            <w:tcBorders>
              <w:top w:val="outset" w:sz="6" w:space="0" w:color="auto"/>
              <w:left w:val="outset" w:sz="6" w:space="0" w:color="auto"/>
              <w:bottom w:val="outset" w:sz="6" w:space="0" w:color="auto"/>
              <w:right w:val="outset" w:sz="6" w:space="0" w:color="auto"/>
            </w:tcBorders>
          </w:tcPr>
          <w:p w14:paraId="5FA0EC88" w14:textId="77777777" w:rsidR="00987E33" w:rsidRPr="00031671" w:rsidRDefault="00987E33" w:rsidP="00D428DD">
            <w:pPr>
              <w:jc w:val="center"/>
              <w:rPr>
                <w:b/>
                <w:bCs/>
                <w:iCs/>
              </w:rPr>
            </w:pPr>
            <w:r w:rsidRPr="00031671">
              <w:rPr>
                <w:b/>
                <w:bCs/>
                <w:iCs/>
              </w:rPr>
              <w:t>perindopril</w:t>
            </w:r>
          </w:p>
        </w:tc>
      </w:tr>
      <w:tr w:rsidR="00987E33" w:rsidRPr="00031671" w14:paraId="6052F1BD" w14:textId="77777777" w:rsidTr="00D428DD">
        <w:tc>
          <w:tcPr>
            <w:tcW w:w="2157" w:type="dxa"/>
            <w:vMerge w:val="restart"/>
            <w:tcBorders>
              <w:top w:val="outset" w:sz="6" w:space="0" w:color="auto"/>
              <w:left w:val="outset" w:sz="6" w:space="0" w:color="auto"/>
              <w:right w:val="outset" w:sz="6" w:space="0" w:color="auto"/>
            </w:tcBorders>
          </w:tcPr>
          <w:p w14:paraId="6087EF21" w14:textId="77777777" w:rsidR="00987E33" w:rsidRPr="00031671" w:rsidRDefault="00987E33" w:rsidP="001D2513">
            <w:pPr>
              <w:ind w:left="0" w:firstLine="0"/>
              <w:rPr>
                <w:b/>
                <w:bCs/>
                <w:color w:val="000000"/>
              </w:rPr>
            </w:pPr>
            <w:r w:rsidRPr="00031671">
              <w:rPr>
                <w:b/>
                <w:bCs/>
                <w:iCs/>
              </w:rPr>
              <w:t>Poruchy krvi a lymfatického systému</w:t>
            </w:r>
          </w:p>
        </w:tc>
        <w:tc>
          <w:tcPr>
            <w:tcW w:w="2126" w:type="dxa"/>
            <w:tcBorders>
              <w:top w:val="outset" w:sz="6" w:space="0" w:color="auto"/>
              <w:left w:val="outset" w:sz="6" w:space="0" w:color="auto"/>
              <w:bottom w:val="outset" w:sz="6" w:space="0" w:color="auto"/>
              <w:right w:val="outset" w:sz="6" w:space="0" w:color="auto"/>
            </w:tcBorders>
          </w:tcPr>
          <w:p w14:paraId="59EDAF16" w14:textId="77777777" w:rsidR="00987E33" w:rsidRPr="00031671" w:rsidRDefault="00987E33" w:rsidP="00D428DD">
            <w:pPr>
              <w:rPr>
                <w:bCs/>
                <w:iCs/>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0E62C0A1" w14:textId="77777777" w:rsidR="00987E33" w:rsidRPr="00031671" w:rsidRDefault="00987E33" w:rsidP="00D428DD">
            <w:pPr>
              <w:rPr>
                <w:bCs/>
                <w:iCs/>
              </w:rPr>
            </w:pPr>
          </w:p>
        </w:tc>
        <w:tc>
          <w:tcPr>
            <w:tcW w:w="3047" w:type="dxa"/>
            <w:tcBorders>
              <w:top w:val="outset" w:sz="6" w:space="0" w:color="auto"/>
              <w:left w:val="outset" w:sz="6" w:space="0" w:color="auto"/>
              <w:bottom w:val="outset" w:sz="6" w:space="0" w:color="auto"/>
              <w:right w:val="outset" w:sz="6" w:space="0" w:color="auto"/>
            </w:tcBorders>
          </w:tcPr>
          <w:p w14:paraId="7D848799" w14:textId="77777777" w:rsidR="00987E33" w:rsidRPr="00031671" w:rsidRDefault="00987E33" w:rsidP="00D428DD">
            <w:pPr>
              <w:rPr>
                <w:bCs/>
                <w:iCs/>
              </w:rPr>
            </w:pPr>
            <w:r w:rsidRPr="00031671">
              <w:rPr>
                <w:color w:val="000000"/>
              </w:rPr>
              <w:t>eozinofília</w:t>
            </w:r>
            <w:r w:rsidRPr="00031671">
              <w:rPr>
                <w:color w:val="000000"/>
                <w:vertAlign w:val="superscript"/>
              </w:rPr>
              <w:t>**</w:t>
            </w:r>
          </w:p>
        </w:tc>
      </w:tr>
      <w:tr w:rsidR="00987E33" w:rsidRPr="00031671" w14:paraId="47E30A64" w14:textId="77777777" w:rsidTr="00D428DD">
        <w:tc>
          <w:tcPr>
            <w:tcW w:w="2157" w:type="dxa"/>
            <w:vMerge/>
            <w:tcBorders>
              <w:left w:val="outset" w:sz="6" w:space="0" w:color="auto"/>
              <w:bottom w:val="outset" w:sz="6" w:space="0" w:color="auto"/>
              <w:right w:val="outset" w:sz="6" w:space="0" w:color="auto"/>
            </w:tcBorders>
            <w:hideMark/>
          </w:tcPr>
          <w:p w14:paraId="6910D4EC" w14:textId="77777777" w:rsidR="00987E33" w:rsidRPr="00031671" w:rsidRDefault="00987E33"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45C545D7" w14:textId="77777777" w:rsidR="00987E33" w:rsidRPr="00031671" w:rsidRDefault="00987E33" w:rsidP="00D428DD">
            <w:pPr>
              <w:rPr>
                <w:color w:val="000000"/>
              </w:rPr>
            </w:pPr>
            <w:r w:rsidRPr="00031671">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3C15165B" w14:textId="77777777" w:rsidR="00987E33" w:rsidRPr="00031671" w:rsidRDefault="00987E33" w:rsidP="00D428DD">
            <w:pPr>
              <w:rPr>
                <w:color w:val="000000"/>
              </w:rPr>
            </w:pPr>
            <w:r w:rsidRPr="00031671">
              <w:rPr>
                <w:color w:val="000000"/>
              </w:rPr>
              <w:t>leukocytopénia,</w:t>
            </w:r>
          </w:p>
          <w:p w14:paraId="10078551" w14:textId="77777777" w:rsidR="00987E33" w:rsidRPr="00031671" w:rsidRDefault="00987E33" w:rsidP="00D428DD">
            <w:pPr>
              <w:rPr>
                <w:bCs/>
                <w:iCs/>
              </w:rPr>
            </w:pPr>
            <w:r w:rsidRPr="00031671">
              <w:rPr>
                <w:color w:val="000000"/>
              </w:rPr>
              <w:t>trombocytopénia</w:t>
            </w:r>
          </w:p>
        </w:tc>
        <w:tc>
          <w:tcPr>
            <w:tcW w:w="3047" w:type="dxa"/>
            <w:tcBorders>
              <w:top w:val="outset" w:sz="6" w:space="0" w:color="auto"/>
              <w:left w:val="outset" w:sz="6" w:space="0" w:color="auto"/>
              <w:bottom w:val="outset" w:sz="6" w:space="0" w:color="auto"/>
              <w:right w:val="outset" w:sz="6" w:space="0" w:color="auto"/>
            </w:tcBorders>
          </w:tcPr>
          <w:p w14:paraId="0B922941" w14:textId="77777777" w:rsidR="00987E33" w:rsidRPr="00031671" w:rsidRDefault="00987E33" w:rsidP="001D2513">
            <w:pPr>
              <w:ind w:left="0" w:firstLine="0"/>
              <w:rPr>
                <w:bCs/>
                <w:iCs/>
              </w:rPr>
            </w:pPr>
            <w:r w:rsidRPr="00031671">
              <w:rPr>
                <w:bCs/>
                <w:iCs/>
              </w:rPr>
              <w:t>agranulocytóza alebo pancytopénia,</w:t>
            </w:r>
          </w:p>
          <w:p w14:paraId="01455844" w14:textId="77777777" w:rsidR="00987E33" w:rsidRPr="00031671" w:rsidRDefault="00987E33" w:rsidP="001D2513">
            <w:pPr>
              <w:ind w:left="0" w:firstLine="0"/>
              <w:rPr>
                <w:bCs/>
                <w:iCs/>
              </w:rPr>
            </w:pPr>
            <w:r w:rsidRPr="00031671">
              <w:rPr>
                <w:bCs/>
                <w:iCs/>
              </w:rPr>
              <w:t>zníženie hemoglobínu a zníženie hematokrytu,</w:t>
            </w:r>
          </w:p>
          <w:p w14:paraId="5C57DE47" w14:textId="77777777" w:rsidR="00987E33" w:rsidRPr="00031671" w:rsidRDefault="00987E33" w:rsidP="001D2513">
            <w:pPr>
              <w:ind w:left="0" w:firstLine="0"/>
              <w:rPr>
                <w:bCs/>
                <w:iCs/>
              </w:rPr>
            </w:pPr>
            <w:r w:rsidRPr="00031671">
              <w:rPr>
                <w:bCs/>
                <w:iCs/>
              </w:rPr>
              <w:t>leukopénia/neutropénia,</w:t>
            </w:r>
          </w:p>
          <w:p w14:paraId="31F71EC4" w14:textId="77777777" w:rsidR="00987E33" w:rsidRPr="00031671" w:rsidRDefault="00987E33" w:rsidP="001D2513">
            <w:pPr>
              <w:ind w:left="0" w:firstLine="0"/>
              <w:rPr>
                <w:bCs/>
                <w:iCs/>
              </w:rPr>
            </w:pPr>
            <w:r w:rsidRPr="00031671">
              <w:rPr>
                <w:bCs/>
                <w:iCs/>
              </w:rPr>
              <w:t>hemolytická anémia u pacientov s vroden</w:t>
            </w:r>
            <w:r w:rsidR="00F90AA0" w:rsidRPr="00031671">
              <w:rPr>
                <w:bCs/>
                <w:iCs/>
              </w:rPr>
              <w:t>ým</w:t>
            </w:r>
            <w:r w:rsidRPr="00031671">
              <w:rPr>
                <w:bCs/>
                <w:iCs/>
              </w:rPr>
              <w:t xml:space="preserve"> defici</w:t>
            </w:r>
            <w:r w:rsidR="00F90AA0" w:rsidRPr="00031671">
              <w:rPr>
                <w:bCs/>
                <w:iCs/>
              </w:rPr>
              <w:t>tom</w:t>
            </w:r>
            <w:r w:rsidRPr="00031671">
              <w:rPr>
                <w:bCs/>
                <w:iCs/>
              </w:rPr>
              <w:t xml:space="preserve"> G-6PDH (pozri časť 4.4),</w:t>
            </w:r>
          </w:p>
          <w:p w14:paraId="70640364" w14:textId="77777777" w:rsidR="00987E33" w:rsidRPr="00031671" w:rsidRDefault="00987E33" w:rsidP="001D2513">
            <w:pPr>
              <w:ind w:left="0" w:firstLine="0"/>
              <w:rPr>
                <w:color w:val="000000"/>
              </w:rPr>
            </w:pPr>
            <w:r w:rsidRPr="00031671">
              <w:rPr>
                <w:bCs/>
                <w:iCs/>
              </w:rPr>
              <w:t>trombocytopénia</w:t>
            </w:r>
          </w:p>
        </w:tc>
      </w:tr>
      <w:tr w:rsidR="00987E33" w:rsidRPr="00031671" w14:paraId="0141DEB3" w14:textId="77777777" w:rsidTr="00D428DD">
        <w:tc>
          <w:tcPr>
            <w:tcW w:w="2157" w:type="dxa"/>
            <w:tcBorders>
              <w:top w:val="outset" w:sz="6" w:space="0" w:color="auto"/>
              <w:left w:val="outset" w:sz="6" w:space="0" w:color="auto"/>
              <w:bottom w:val="outset" w:sz="6" w:space="0" w:color="auto"/>
              <w:right w:val="outset" w:sz="6" w:space="0" w:color="auto"/>
            </w:tcBorders>
            <w:hideMark/>
          </w:tcPr>
          <w:p w14:paraId="6C1269EE" w14:textId="77777777" w:rsidR="00987E33" w:rsidRPr="00031671" w:rsidRDefault="00987E33" w:rsidP="000A11DE">
            <w:pPr>
              <w:ind w:left="0" w:firstLine="0"/>
              <w:rPr>
                <w:color w:val="000000"/>
              </w:rPr>
            </w:pPr>
            <w:r w:rsidRPr="00031671">
              <w:rPr>
                <w:b/>
                <w:bCs/>
                <w:iCs/>
              </w:rPr>
              <w:t>Poruchy imunitného systému</w:t>
            </w:r>
          </w:p>
        </w:tc>
        <w:tc>
          <w:tcPr>
            <w:tcW w:w="2126" w:type="dxa"/>
            <w:tcBorders>
              <w:top w:val="outset" w:sz="6" w:space="0" w:color="auto"/>
              <w:left w:val="outset" w:sz="6" w:space="0" w:color="auto"/>
              <w:bottom w:val="outset" w:sz="6" w:space="0" w:color="auto"/>
              <w:right w:val="outset" w:sz="6" w:space="0" w:color="auto"/>
            </w:tcBorders>
          </w:tcPr>
          <w:p w14:paraId="1976B3DE" w14:textId="77777777" w:rsidR="00987E33" w:rsidRPr="00031671" w:rsidRDefault="00987E33" w:rsidP="00D428DD">
            <w:pPr>
              <w:rPr>
                <w:color w:val="000000"/>
              </w:rPr>
            </w:pPr>
            <w:r w:rsidRPr="00031671">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79DF0E68" w14:textId="77777777" w:rsidR="00987E33" w:rsidRPr="00031671" w:rsidRDefault="00987E33" w:rsidP="00D428DD">
            <w:pPr>
              <w:rPr>
                <w:color w:val="000000"/>
              </w:rPr>
            </w:pPr>
            <w:r w:rsidRPr="00031671">
              <w:rPr>
                <w:color w:val="000000"/>
              </w:rPr>
              <w:t>alergické reakcie</w:t>
            </w:r>
          </w:p>
        </w:tc>
        <w:tc>
          <w:tcPr>
            <w:tcW w:w="3047" w:type="dxa"/>
            <w:tcBorders>
              <w:top w:val="outset" w:sz="6" w:space="0" w:color="auto"/>
              <w:left w:val="outset" w:sz="6" w:space="0" w:color="auto"/>
              <w:bottom w:val="outset" w:sz="6" w:space="0" w:color="auto"/>
              <w:right w:val="outset" w:sz="6" w:space="0" w:color="auto"/>
            </w:tcBorders>
          </w:tcPr>
          <w:p w14:paraId="7D38A5E9" w14:textId="77777777" w:rsidR="00987E33" w:rsidRPr="00031671" w:rsidRDefault="00987E33" w:rsidP="00D428DD">
            <w:pPr>
              <w:rPr>
                <w:color w:val="000000"/>
              </w:rPr>
            </w:pPr>
          </w:p>
        </w:tc>
      </w:tr>
      <w:tr w:rsidR="00987E33" w:rsidRPr="00031671" w14:paraId="0A384FE6" w14:textId="77777777" w:rsidTr="00D428DD">
        <w:tc>
          <w:tcPr>
            <w:tcW w:w="2157" w:type="dxa"/>
            <w:vMerge w:val="restart"/>
            <w:tcBorders>
              <w:top w:val="outset" w:sz="6" w:space="0" w:color="auto"/>
              <w:left w:val="outset" w:sz="6" w:space="0" w:color="auto"/>
              <w:right w:val="outset" w:sz="6" w:space="0" w:color="auto"/>
            </w:tcBorders>
            <w:hideMark/>
          </w:tcPr>
          <w:p w14:paraId="570920AA" w14:textId="77777777" w:rsidR="00987E33" w:rsidRPr="00031671" w:rsidRDefault="00987E33" w:rsidP="000A11DE">
            <w:pPr>
              <w:ind w:left="0" w:firstLine="0"/>
              <w:rPr>
                <w:b/>
                <w:bCs/>
                <w:iCs/>
              </w:rPr>
            </w:pPr>
            <w:r w:rsidRPr="00031671">
              <w:rPr>
                <w:b/>
                <w:bCs/>
                <w:iCs/>
              </w:rPr>
              <w:t>Poruchy metabolizmu a výživy</w:t>
            </w:r>
          </w:p>
        </w:tc>
        <w:tc>
          <w:tcPr>
            <w:tcW w:w="2126" w:type="dxa"/>
            <w:tcBorders>
              <w:top w:val="outset" w:sz="6" w:space="0" w:color="auto"/>
              <w:left w:val="outset" w:sz="6" w:space="0" w:color="auto"/>
              <w:bottom w:val="outset" w:sz="6" w:space="0" w:color="auto"/>
              <w:right w:val="outset" w:sz="6" w:space="0" w:color="auto"/>
            </w:tcBorders>
          </w:tcPr>
          <w:p w14:paraId="1436F6F9" w14:textId="77777777" w:rsidR="00987E33" w:rsidRPr="00031671" w:rsidRDefault="00987E33" w:rsidP="00D428DD">
            <w:pPr>
              <w:rPr>
                <w:bCs/>
                <w:iCs/>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1BAD6BE7" w14:textId="77777777" w:rsidR="00987E33" w:rsidRPr="00031671" w:rsidRDefault="00987E33" w:rsidP="00D428DD">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67112E4B" w14:textId="77777777" w:rsidR="00987E33" w:rsidRPr="00031671" w:rsidRDefault="00987E33" w:rsidP="001D2513">
            <w:pPr>
              <w:ind w:left="0" w:firstLine="0"/>
              <w:rPr>
                <w:bCs/>
                <w:iCs/>
              </w:rPr>
            </w:pPr>
            <w:r w:rsidRPr="00031671">
              <w:rPr>
                <w:bCs/>
                <w:iCs/>
              </w:rPr>
              <w:t>hypoglykémia (pozri čas</w:t>
            </w:r>
            <w:r w:rsidR="001D2513" w:rsidRPr="00031671">
              <w:rPr>
                <w:bCs/>
                <w:iCs/>
              </w:rPr>
              <w:t>ti</w:t>
            </w:r>
            <w:r w:rsidRPr="00031671">
              <w:rPr>
                <w:bCs/>
                <w:iCs/>
              </w:rPr>
              <w:t xml:space="preserve"> 4.4 a 4.5)</w:t>
            </w:r>
            <w:r w:rsidRPr="00031671">
              <w:rPr>
                <w:color w:val="000000"/>
                <w:vertAlign w:val="superscript"/>
              </w:rPr>
              <w:t>**</w:t>
            </w:r>
            <w:r w:rsidRPr="00031671">
              <w:rPr>
                <w:bCs/>
                <w:iCs/>
              </w:rPr>
              <w:t>,</w:t>
            </w:r>
          </w:p>
          <w:p w14:paraId="1929E7FD" w14:textId="77777777" w:rsidR="00987E33" w:rsidRPr="00031671" w:rsidRDefault="00987E33" w:rsidP="001D2513">
            <w:pPr>
              <w:ind w:left="0" w:firstLine="0"/>
              <w:rPr>
                <w:bCs/>
                <w:iCs/>
              </w:rPr>
            </w:pPr>
            <w:r w:rsidRPr="00031671">
              <w:rPr>
                <w:bCs/>
                <w:iCs/>
              </w:rPr>
              <w:t>hyperkaliémia reverzibilná pri vysadení liečby (pozri časť 4.4)</w:t>
            </w:r>
            <w:r w:rsidRPr="00031671">
              <w:rPr>
                <w:color w:val="000000"/>
                <w:vertAlign w:val="superscript"/>
              </w:rPr>
              <w:t>**</w:t>
            </w:r>
            <w:r w:rsidRPr="00031671">
              <w:rPr>
                <w:bCs/>
                <w:iCs/>
              </w:rPr>
              <w:t>,</w:t>
            </w:r>
          </w:p>
          <w:p w14:paraId="77B5883C" w14:textId="77777777" w:rsidR="00987E33" w:rsidRPr="00031671" w:rsidRDefault="00987E33" w:rsidP="00D428DD">
            <w:pPr>
              <w:rPr>
                <w:bCs/>
                <w:iCs/>
              </w:rPr>
            </w:pPr>
            <w:r w:rsidRPr="00031671">
              <w:rPr>
                <w:bCs/>
                <w:iCs/>
              </w:rPr>
              <w:t>hyponatriémia</w:t>
            </w:r>
            <w:r w:rsidRPr="00031671">
              <w:rPr>
                <w:color w:val="000000"/>
                <w:vertAlign w:val="superscript"/>
              </w:rPr>
              <w:t>**</w:t>
            </w:r>
          </w:p>
        </w:tc>
      </w:tr>
      <w:tr w:rsidR="00987E33" w:rsidRPr="00031671" w14:paraId="24A3499B" w14:textId="77777777" w:rsidTr="00D428DD">
        <w:tc>
          <w:tcPr>
            <w:tcW w:w="2157" w:type="dxa"/>
            <w:vMerge/>
            <w:tcBorders>
              <w:left w:val="outset" w:sz="6" w:space="0" w:color="auto"/>
              <w:bottom w:val="outset" w:sz="6" w:space="0" w:color="auto"/>
              <w:right w:val="outset" w:sz="6" w:space="0" w:color="auto"/>
            </w:tcBorders>
            <w:hideMark/>
          </w:tcPr>
          <w:p w14:paraId="2D5DE5D3" w14:textId="77777777" w:rsidR="00987E33" w:rsidRPr="00031671" w:rsidRDefault="00987E33"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06469D22" w14:textId="77777777" w:rsidR="00987E33" w:rsidRPr="00031671" w:rsidRDefault="00987E33" w:rsidP="00D428DD">
            <w:pPr>
              <w:rPr>
                <w:color w:val="000000"/>
              </w:rPr>
            </w:pPr>
            <w:r w:rsidRPr="00031671">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5E06CDC8" w14:textId="77777777" w:rsidR="00987E33" w:rsidRPr="00031671" w:rsidRDefault="00987E33" w:rsidP="00D428DD">
            <w:pPr>
              <w:rPr>
                <w:color w:val="000000"/>
              </w:rPr>
            </w:pPr>
            <w:r w:rsidRPr="00031671">
              <w:rPr>
                <w:bCs/>
                <w:iCs/>
              </w:rPr>
              <w:t>hyperglykémia</w:t>
            </w:r>
          </w:p>
        </w:tc>
        <w:tc>
          <w:tcPr>
            <w:tcW w:w="3047" w:type="dxa"/>
            <w:tcBorders>
              <w:top w:val="outset" w:sz="6" w:space="0" w:color="auto"/>
              <w:left w:val="outset" w:sz="6" w:space="0" w:color="auto"/>
              <w:bottom w:val="outset" w:sz="6" w:space="0" w:color="auto"/>
              <w:right w:val="outset" w:sz="6" w:space="0" w:color="auto"/>
            </w:tcBorders>
          </w:tcPr>
          <w:p w14:paraId="461166D8" w14:textId="77777777" w:rsidR="00987E33" w:rsidRPr="00031671" w:rsidRDefault="00987E33" w:rsidP="00D428DD">
            <w:pPr>
              <w:rPr>
                <w:bCs/>
                <w:iCs/>
              </w:rPr>
            </w:pPr>
          </w:p>
        </w:tc>
      </w:tr>
      <w:tr w:rsidR="00987E33" w:rsidRPr="00031671" w14:paraId="6E7E0315" w14:textId="77777777" w:rsidTr="00D428DD">
        <w:tc>
          <w:tcPr>
            <w:tcW w:w="2157" w:type="dxa"/>
            <w:vMerge w:val="restart"/>
            <w:tcBorders>
              <w:top w:val="outset" w:sz="6" w:space="0" w:color="auto"/>
              <w:left w:val="outset" w:sz="6" w:space="0" w:color="auto"/>
              <w:bottom w:val="outset" w:sz="6" w:space="0" w:color="auto"/>
              <w:right w:val="outset" w:sz="6" w:space="0" w:color="auto"/>
            </w:tcBorders>
            <w:hideMark/>
          </w:tcPr>
          <w:p w14:paraId="274B90AF" w14:textId="77777777" w:rsidR="00987E33" w:rsidRPr="00031671" w:rsidRDefault="00987E33" w:rsidP="00D428DD">
            <w:pPr>
              <w:rPr>
                <w:b/>
                <w:bCs/>
                <w:iCs/>
              </w:rPr>
            </w:pPr>
            <w:r w:rsidRPr="00031671">
              <w:rPr>
                <w:b/>
                <w:bCs/>
                <w:iCs/>
              </w:rPr>
              <w:t>Psychické poruchy</w:t>
            </w:r>
          </w:p>
        </w:tc>
        <w:tc>
          <w:tcPr>
            <w:tcW w:w="2126" w:type="dxa"/>
            <w:tcBorders>
              <w:top w:val="outset" w:sz="6" w:space="0" w:color="auto"/>
              <w:left w:val="outset" w:sz="6" w:space="0" w:color="auto"/>
              <w:bottom w:val="outset" w:sz="6" w:space="0" w:color="auto"/>
              <w:right w:val="outset" w:sz="6" w:space="0" w:color="auto"/>
            </w:tcBorders>
          </w:tcPr>
          <w:p w14:paraId="18FA4718" w14:textId="77777777" w:rsidR="00987E33" w:rsidRPr="00031671" w:rsidRDefault="00987E33" w:rsidP="00D428DD">
            <w:pPr>
              <w:rPr>
                <w:color w:val="000000"/>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54861C10" w14:textId="77777777" w:rsidR="00987E33" w:rsidRPr="00031671" w:rsidRDefault="00987E33" w:rsidP="00D428DD">
            <w:pPr>
              <w:rPr>
                <w:color w:val="000000"/>
              </w:rPr>
            </w:pPr>
            <w:r w:rsidRPr="00031671">
              <w:rPr>
                <w:color w:val="000000"/>
              </w:rPr>
              <w:t>depresia,</w:t>
            </w:r>
          </w:p>
          <w:p w14:paraId="37EF826E" w14:textId="77777777" w:rsidR="00987E33" w:rsidRPr="00031671" w:rsidRDefault="00987E33" w:rsidP="00D428DD">
            <w:pPr>
              <w:rPr>
                <w:color w:val="000000"/>
              </w:rPr>
            </w:pPr>
            <w:r w:rsidRPr="00031671">
              <w:rPr>
                <w:color w:val="000000"/>
              </w:rPr>
              <w:t>zmeny nálad (vrátane úzkosti),</w:t>
            </w:r>
          </w:p>
          <w:p w14:paraId="7A6B9006" w14:textId="77777777" w:rsidR="00987E33" w:rsidRPr="00031671" w:rsidRDefault="00987E33" w:rsidP="00D428DD">
            <w:pPr>
              <w:rPr>
                <w:color w:val="000000"/>
              </w:rPr>
            </w:pPr>
            <w:r w:rsidRPr="00031671">
              <w:rPr>
                <w:bCs/>
                <w:iCs/>
              </w:rPr>
              <w:t>nespavosť</w:t>
            </w:r>
          </w:p>
        </w:tc>
        <w:tc>
          <w:tcPr>
            <w:tcW w:w="3047" w:type="dxa"/>
            <w:tcBorders>
              <w:top w:val="outset" w:sz="6" w:space="0" w:color="auto"/>
              <w:left w:val="outset" w:sz="6" w:space="0" w:color="auto"/>
              <w:bottom w:val="outset" w:sz="6" w:space="0" w:color="auto"/>
              <w:right w:val="outset" w:sz="6" w:space="0" w:color="auto"/>
            </w:tcBorders>
          </w:tcPr>
          <w:p w14:paraId="0B811CC3" w14:textId="77777777" w:rsidR="00987E33" w:rsidRPr="00031671" w:rsidRDefault="00987E33" w:rsidP="00D428DD">
            <w:pPr>
              <w:rPr>
                <w:bCs/>
                <w:iCs/>
              </w:rPr>
            </w:pPr>
            <w:r w:rsidRPr="00031671">
              <w:rPr>
                <w:bCs/>
                <w:iCs/>
              </w:rPr>
              <w:t>poruchy nálady,</w:t>
            </w:r>
          </w:p>
          <w:p w14:paraId="73390B93" w14:textId="77777777" w:rsidR="00987E33" w:rsidRPr="00031671" w:rsidRDefault="00987E33" w:rsidP="00D428DD">
            <w:pPr>
              <w:rPr>
                <w:bCs/>
                <w:iCs/>
              </w:rPr>
            </w:pPr>
            <w:r w:rsidRPr="00031671">
              <w:rPr>
                <w:bCs/>
                <w:iCs/>
              </w:rPr>
              <w:t>poruchy spánku</w:t>
            </w:r>
          </w:p>
        </w:tc>
      </w:tr>
      <w:tr w:rsidR="005A0007" w:rsidRPr="00031671" w14:paraId="340857FE"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7349200E" w14:textId="77777777" w:rsidR="005A0007" w:rsidRPr="00031671" w:rsidRDefault="005A0007" w:rsidP="00D428DD">
            <w:pPr>
              <w:rPr>
                <w:b/>
                <w:bCs/>
                <w:iCs/>
              </w:rPr>
            </w:pPr>
          </w:p>
        </w:tc>
        <w:tc>
          <w:tcPr>
            <w:tcW w:w="2126" w:type="dxa"/>
            <w:tcBorders>
              <w:top w:val="outset" w:sz="6" w:space="0" w:color="auto"/>
              <w:left w:val="outset" w:sz="6" w:space="0" w:color="auto"/>
              <w:bottom w:val="outset" w:sz="6" w:space="0" w:color="auto"/>
              <w:right w:val="outset" w:sz="6" w:space="0" w:color="auto"/>
            </w:tcBorders>
          </w:tcPr>
          <w:p w14:paraId="575FBAC9" w14:textId="77777777" w:rsidR="005A0007" w:rsidRPr="00031671" w:rsidRDefault="00AC4DA9" w:rsidP="00D428DD">
            <w:pPr>
              <w:rPr>
                <w:bCs/>
                <w:iCs/>
              </w:rPr>
            </w:pPr>
            <w:r w:rsidRPr="00031671">
              <w:rPr>
                <w:color w:val="000000"/>
              </w:rPr>
              <w:t>z</w:t>
            </w:r>
            <w:r w:rsidR="005A0007" w:rsidRPr="00031671">
              <w:rPr>
                <w:color w:val="000000"/>
              </w:rPr>
              <w:t>riedkavé</w:t>
            </w:r>
          </w:p>
        </w:tc>
        <w:tc>
          <w:tcPr>
            <w:tcW w:w="2906" w:type="dxa"/>
            <w:tcBorders>
              <w:top w:val="outset" w:sz="6" w:space="0" w:color="auto"/>
              <w:left w:val="outset" w:sz="6" w:space="0" w:color="auto"/>
              <w:bottom w:val="outset" w:sz="6" w:space="0" w:color="auto"/>
              <w:right w:val="outset" w:sz="6" w:space="0" w:color="auto"/>
            </w:tcBorders>
          </w:tcPr>
          <w:p w14:paraId="0E8D9B0C" w14:textId="77777777" w:rsidR="005A0007" w:rsidRPr="00031671" w:rsidRDefault="005A0007" w:rsidP="00D428DD">
            <w:pPr>
              <w:rPr>
                <w:color w:val="000000"/>
              </w:rPr>
            </w:pPr>
            <w:r w:rsidRPr="00031671">
              <w:rPr>
                <w:bCs/>
                <w:iCs/>
              </w:rPr>
              <w:t>zmätenos</w:t>
            </w:r>
            <w:r w:rsidR="00F90AA0" w:rsidRPr="00031671">
              <w:rPr>
                <w:bCs/>
                <w:iCs/>
              </w:rPr>
              <w:t>ť</w:t>
            </w:r>
          </w:p>
        </w:tc>
        <w:tc>
          <w:tcPr>
            <w:tcW w:w="3047" w:type="dxa"/>
            <w:tcBorders>
              <w:top w:val="outset" w:sz="6" w:space="0" w:color="auto"/>
              <w:left w:val="outset" w:sz="6" w:space="0" w:color="auto"/>
              <w:bottom w:val="outset" w:sz="6" w:space="0" w:color="auto"/>
              <w:right w:val="outset" w:sz="6" w:space="0" w:color="auto"/>
            </w:tcBorders>
          </w:tcPr>
          <w:p w14:paraId="6981CFA8" w14:textId="77777777" w:rsidR="005A0007" w:rsidRPr="00031671" w:rsidRDefault="005A0007" w:rsidP="00D428DD">
            <w:pPr>
              <w:rPr>
                <w:bCs/>
                <w:iCs/>
              </w:rPr>
            </w:pPr>
          </w:p>
        </w:tc>
      </w:tr>
      <w:tr w:rsidR="00987E33" w:rsidRPr="00031671" w14:paraId="56FB78C5" w14:textId="77777777" w:rsidTr="00D428DD">
        <w:tc>
          <w:tcPr>
            <w:tcW w:w="2157" w:type="dxa"/>
            <w:vMerge w:val="restart"/>
            <w:tcBorders>
              <w:top w:val="outset" w:sz="6" w:space="0" w:color="auto"/>
              <w:left w:val="outset" w:sz="6" w:space="0" w:color="auto"/>
              <w:bottom w:val="outset" w:sz="6" w:space="0" w:color="auto"/>
              <w:right w:val="outset" w:sz="6" w:space="0" w:color="auto"/>
            </w:tcBorders>
            <w:hideMark/>
          </w:tcPr>
          <w:p w14:paraId="3F247DB2" w14:textId="77777777" w:rsidR="00987E33" w:rsidRPr="00031671" w:rsidRDefault="00987E33" w:rsidP="000A11DE">
            <w:pPr>
              <w:ind w:left="0" w:firstLine="0"/>
              <w:rPr>
                <w:b/>
                <w:bCs/>
                <w:iCs/>
              </w:rPr>
            </w:pPr>
            <w:r w:rsidRPr="00031671">
              <w:rPr>
                <w:b/>
                <w:bCs/>
                <w:iCs/>
              </w:rPr>
              <w:t>Poruchy nervového systému</w:t>
            </w:r>
          </w:p>
        </w:tc>
        <w:tc>
          <w:tcPr>
            <w:tcW w:w="2126" w:type="dxa"/>
            <w:tcBorders>
              <w:top w:val="outset" w:sz="6" w:space="0" w:color="auto"/>
              <w:left w:val="outset" w:sz="6" w:space="0" w:color="auto"/>
              <w:bottom w:val="outset" w:sz="6" w:space="0" w:color="auto"/>
              <w:right w:val="outset" w:sz="6" w:space="0" w:color="auto"/>
            </w:tcBorders>
          </w:tcPr>
          <w:p w14:paraId="75F6E802" w14:textId="77777777" w:rsidR="00987E33" w:rsidRPr="00031671" w:rsidRDefault="005A0007" w:rsidP="00D428DD">
            <w:pPr>
              <w:rPr>
                <w:color w:val="000000"/>
              </w:rPr>
            </w:pPr>
            <w:r w:rsidRPr="00031671">
              <w:rPr>
                <w:bCs/>
                <w:iCs/>
              </w:rPr>
              <w:t>Č</w:t>
            </w:r>
            <w:r w:rsidR="00987E33" w:rsidRPr="00031671">
              <w:rPr>
                <w:bCs/>
                <w:iCs/>
              </w:rPr>
              <w:t>asté</w:t>
            </w:r>
          </w:p>
        </w:tc>
        <w:tc>
          <w:tcPr>
            <w:tcW w:w="2906" w:type="dxa"/>
            <w:tcBorders>
              <w:top w:val="outset" w:sz="6" w:space="0" w:color="auto"/>
              <w:left w:val="outset" w:sz="6" w:space="0" w:color="auto"/>
              <w:bottom w:val="outset" w:sz="6" w:space="0" w:color="auto"/>
              <w:right w:val="outset" w:sz="6" w:space="0" w:color="auto"/>
            </w:tcBorders>
          </w:tcPr>
          <w:p w14:paraId="1C2F8678" w14:textId="77777777" w:rsidR="00987E33" w:rsidRPr="00031671" w:rsidRDefault="00987E33" w:rsidP="00D428DD">
            <w:pPr>
              <w:rPr>
                <w:bCs/>
                <w:iCs/>
              </w:rPr>
            </w:pPr>
            <w:r w:rsidRPr="00031671">
              <w:rPr>
                <w:bCs/>
                <w:iCs/>
              </w:rPr>
              <w:t>somnolencia,</w:t>
            </w:r>
          </w:p>
          <w:p w14:paraId="66467917" w14:textId="77777777" w:rsidR="00987E33" w:rsidRPr="00031671" w:rsidRDefault="00987E33" w:rsidP="00D428DD">
            <w:pPr>
              <w:rPr>
                <w:bCs/>
                <w:iCs/>
              </w:rPr>
            </w:pPr>
            <w:r w:rsidRPr="00031671">
              <w:rPr>
                <w:bCs/>
                <w:iCs/>
              </w:rPr>
              <w:t>závraty</w:t>
            </w:r>
          </w:p>
          <w:p w14:paraId="38A05CD8" w14:textId="77777777" w:rsidR="00987E33" w:rsidRPr="00031671" w:rsidRDefault="00987E33" w:rsidP="000A11DE">
            <w:pPr>
              <w:ind w:left="0" w:firstLine="0"/>
              <w:rPr>
                <w:color w:val="000000"/>
              </w:rPr>
            </w:pPr>
            <w:r w:rsidRPr="00031671">
              <w:rPr>
                <w:bCs/>
                <w:iCs/>
              </w:rPr>
              <w:t>bolesť hlavy (najmä na začiatku liečby)</w:t>
            </w:r>
          </w:p>
        </w:tc>
        <w:tc>
          <w:tcPr>
            <w:tcW w:w="3047" w:type="dxa"/>
            <w:tcBorders>
              <w:top w:val="outset" w:sz="6" w:space="0" w:color="auto"/>
              <w:left w:val="outset" w:sz="6" w:space="0" w:color="auto"/>
              <w:bottom w:val="outset" w:sz="6" w:space="0" w:color="auto"/>
              <w:right w:val="outset" w:sz="6" w:space="0" w:color="auto"/>
            </w:tcBorders>
          </w:tcPr>
          <w:p w14:paraId="7B169D1D" w14:textId="77777777" w:rsidR="00987E33" w:rsidRPr="00031671" w:rsidRDefault="00987E33" w:rsidP="00D428DD">
            <w:pPr>
              <w:rPr>
                <w:color w:val="000000"/>
              </w:rPr>
            </w:pPr>
            <w:r w:rsidRPr="00031671">
              <w:rPr>
                <w:color w:val="000000"/>
              </w:rPr>
              <w:t>závraty,</w:t>
            </w:r>
          </w:p>
          <w:p w14:paraId="2D9648CA" w14:textId="77777777" w:rsidR="00987E33" w:rsidRPr="00031671" w:rsidRDefault="00987E33" w:rsidP="00D428DD">
            <w:pPr>
              <w:rPr>
                <w:color w:val="000000"/>
              </w:rPr>
            </w:pPr>
            <w:r w:rsidRPr="00031671">
              <w:rPr>
                <w:color w:val="000000"/>
              </w:rPr>
              <w:t>bolesť hlavy,</w:t>
            </w:r>
          </w:p>
          <w:p w14:paraId="79732C65" w14:textId="77777777" w:rsidR="00987E33" w:rsidRPr="00031671" w:rsidRDefault="00987E33" w:rsidP="00D428DD">
            <w:pPr>
              <w:rPr>
                <w:color w:val="000000"/>
              </w:rPr>
            </w:pPr>
            <w:r w:rsidRPr="00031671">
              <w:rPr>
                <w:color w:val="000000"/>
              </w:rPr>
              <w:t>parestézia,</w:t>
            </w:r>
          </w:p>
          <w:p w14:paraId="527B15AD" w14:textId="77777777" w:rsidR="00987E33" w:rsidRPr="00031671" w:rsidRDefault="00987E33" w:rsidP="00D428DD">
            <w:pPr>
              <w:rPr>
                <w:color w:val="000000"/>
              </w:rPr>
            </w:pPr>
            <w:r w:rsidRPr="00031671">
              <w:rPr>
                <w:color w:val="000000"/>
              </w:rPr>
              <w:t>vertigo</w:t>
            </w:r>
          </w:p>
        </w:tc>
      </w:tr>
      <w:tr w:rsidR="00987E33" w:rsidRPr="00031671" w14:paraId="776B074B"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0854FF20" w14:textId="77777777" w:rsidR="00987E33" w:rsidRPr="00031671" w:rsidRDefault="00987E33"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3FCC3522" w14:textId="77777777" w:rsidR="00987E33" w:rsidRPr="00031671" w:rsidRDefault="00987E33" w:rsidP="00D428DD">
            <w:pPr>
              <w:rPr>
                <w:color w:val="000000"/>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181F3045" w14:textId="77777777" w:rsidR="00987E33" w:rsidRPr="00031671" w:rsidRDefault="00987E33" w:rsidP="00D428DD">
            <w:pPr>
              <w:rPr>
                <w:color w:val="000000"/>
              </w:rPr>
            </w:pPr>
            <w:r w:rsidRPr="00031671">
              <w:rPr>
                <w:color w:val="000000"/>
              </w:rPr>
              <w:t>tremor</w:t>
            </w:r>
          </w:p>
          <w:p w14:paraId="7F8B9583" w14:textId="77777777" w:rsidR="00987E33" w:rsidRPr="00031671" w:rsidRDefault="00987E33" w:rsidP="00D428DD">
            <w:pPr>
              <w:rPr>
                <w:color w:val="000000"/>
              </w:rPr>
            </w:pPr>
            <w:r w:rsidRPr="00031671">
              <w:rPr>
                <w:color w:val="000000"/>
              </w:rPr>
              <w:t>porucha chuti,</w:t>
            </w:r>
          </w:p>
          <w:p w14:paraId="28F3C99D" w14:textId="77777777" w:rsidR="00987E33" w:rsidRPr="00031671" w:rsidRDefault="00987E33" w:rsidP="00D428DD">
            <w:pPr>
              <w:rPr>
                <w:color w:val="000000"/>
              </w:rPr>
            </w:pPr>
            <w:r w:rsidRPr="00031671">
              <w:rPr>
                <w:color w:val="000000"/>
              </w:rPr>
              <w:t>synkopa,</w:t>
            </w:r>
          </w:p>
          <w:p w14:paraId="2B8A4BA7" w14:textId="77777777" w:rsidR="00987E33" w:rsidRPr="00031671" w:rsidRDefault="00987E33" w:rsidP="00D428DD">
            <w:pPr>
              <w:rPr>
                <w:color w:val="000000"/>
              </w:rPr>
            </w:pPr>
            <w:r w:rsidRPr="00031671">
              <w:rPr>
                <w:bCs/>
                <w:iCs/>
              </w:rPr>
              <w:t>hypoestézia,</w:t>
            </w:r>
          </w:p>
          <w:p w14:paraId="7385014F" w14:textId="77777777" w:rsidR="00987E33" w:rsidRPr="00031671" w:rsidRDefault="00987E33" w:rsidP="00D428DD">
            <w:pPr>
              <w:rPr>
                <w:color w:val="000000"/>
              </w:rPr>
            </w:pPr>
            <w:r w:rsidRPr="00031671">
              <w:rPr>
                <w:bCs/>
                <w:iCs/>
              </w:rPr>
              <w:t>parestézia</w:t>
            </w:r>
          </w:p>
        </w:tc>
        <w:tc>
          <w:tcPr>
            <w:tcW w:w="3047" w:type="dxa"/>
            <w:tcBorders>
              <w:top w:val="outset" w:sz="6" w:space="0" w:color="auto"/>
              <w:left w:val="outset" w:sz="6" w:space="0" w:color="auto"/>
              <w:bottom w:val="outset" w:sz="6" w:space="0" w:color="auto"/>
              <w:right w:val="outset" w:sz="6" w:space="0" w:color="auto"/>
            </w:tcBorders>
          </w:tcPr>
          <w:p w14:paraId="50902404" w14:textId="77777777" w:rsidR="00987E33" w:rsidRPr="00031671" w:rsidRDefault="00987E33" w:rsidP="00D428DD">
            <w:pPr>
              <w:rPr>
                <w:color w:val="000000"/>
              </w:rPr>
            </w:pPr>
            <w:r w:rsidRPr="00031671">
              <w:rPr>
                <w:color w:val="000000"/>
              </w:rPr>
              <w:t>somnolencia,</w:t>
            </w:r>
          </w:p>
          <w:p w14:paraId="44C29215" w14:textId="77777777" w:rsidR="00987E33" w:rsidRPr="00031671" w:rsidRDefault="00987E33" w:rsidP="00D428DD">
            <w:pPr>
              <w:rPr>
                <w:color w:val="000000"/>
              </w:rPr>
            </w:pPr>
            <w:r w:rsidRPr="00031671">
              <w:rPr>
                <w:color w:val="000000"/>
              </w:rPr>
              <w:t>synkopa</w:t>
            </w:r>
          </w:p>
        </w:tc>
      </w:tr>
      <w:tr w:rsidR="00A628C0" w:rsidRPr="00031671" w14:paraId="6D9787DA"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6003B604"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096A9558" w14:textId="77777777" w:rsidR="00A628C0" w:rsidRPr="00031671" w:rsidRDefault="00A628C0" w:rsidP="00F23A4C">
            <w:pPr>
              <w:rPr>
                <w:color w:val="000000"/>
              </w:rPr>
            </w:pPr>
            <w:r w:rsidRPr="00031671">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58EFF4EF" w14:textId="77777777" w:rsidR="00A628C0" w:rsidRPr="00031671" w:rsidRDefault="00A628C0" w:rsidP="00F23A4C">
            <w:pPr>
              <w:rPr>
                <w:color w:val="000000"/>
              </w:rPr>
            </w:pPr>
            <w:r w:rsidRPr="00031671">
              <w:rPr>
                <w:color w:val="000000"/>
              </w:rPr>
              <w:t>hypert</w:t>
            </w:r>
            <w:r w:rsidR="00F23A4C" w:rsidRPr="00031671">
              <w:rPr>
                <w:color w:val="000000"/>
              </w:rPr>
              <w:t>ó</w:t>
            </w:r>
            <w:r w:rsidRPr="00031671">
              <w:rPr>
                <w:color w:val="000000"/>
              </w:rPr>
              <w:t>nia,</w:t>
            </w:r>
          </w:p>
          <w:p w14:paraId="089455DC" w14:textId="77777777" w:rsidR="00A628C0" w:rsidRPr="00031671" w:rsidRDefault="00A628C0" w:rsidP="00F23A4C">
            <w:pPr>
              <w:rPr>
                <w:color w:val="000000"/>
              </w:rPr>
            </w:pPr>
            <w:r w:rsidRPr="00031671">
              <w:rPr>
                <w:color w:val="000000"/>
              </w:rPr>
              <w:t>periférna neuropatia</w:t>
            </w:r>
          </w:p>
        </w:tc>
        <w:tc>
          <w:tcPr>
            <w:tcW w:w="3047" w:type="dxa"/>
            <w:tcBorders>
              <w:top w:val="outset" w:sz="6" w:space="0" w:color="auto"/>
              <w:left w:val="outset" w:sz="6" w:space="0" w:color="auto"/>
              <w:bottom w:val="outset" w:sz="6" w:space="0" w:color="auto"/>
              <w:right w:val="outset" w:sz="6" w:space="0" w:color="auto"/>
            </w:tcBorders>
          </w:tcPr>
          <w:p w14:paraId="3DAE9504" w14:textId="77777777" w:rsidR="00A628C0" w:rsidRPr="00031671" w:rsidRDefault="00A628C0" w:rsidP="00F23A4C">
            <w:pPr>
              <w:rPr>
                <w:color w:val="000000"/>
              </w:rPr>
            </w:pPr>
            <w:r w:rsidRPr="00031671">
              <w:rPr>
                <w:color w:val="000000"/>
              </w:rPr>
              <w:t>zmätenosť</w:t>
            </w:r>
          </w:p>
        </w:tc>
      </w:tr>
      <w:tr w:rsidR="00A628C0" w:rsidRPr="00031671" w14:paraId="0741EFF9"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6943A862"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639FB0E9" w14:textId="77777777" w:rsidR="00A628C0" w:rsidRPr="00031671" w:rsidRDefault="00A628C0" w:rsidP="00D428DD">
            <w:pPr>
              <w:rPr>
                <w:color w:val="000000"/>
              </w:rPr>
            </w:pPr>
            <w:r w:rsidRPr="00031671">
              <w:rPr>
                <w:color w:val="000000"/>
              </w:rPr>
              <w:t>neznáme</w:t>
            </w:r>
          </w:p>
        </w:tc>
        <w:tc>
          <w:tcPr>
            <w:tcW w:w="2906" w:type="dxa"/>
            <w:tcBorders>
              <w:top w:val="outset" w:sz="6" w:space="0" w:color="auto"/>
              <w:left w:val="outset" w:sz="6" w:space="0" w:color="auto"/>
              <w:bottom w:val="outset" w:sz="6" w:space="0" w:color="auto"/>
              <w:right w:val="outset" w:sz="6" w:space="0" w:color="auto"/>
            </w:tcBorders>
          </w:tcPr>
          <w:p w14:paraId="0052B769" w14:textId="77777777" w:rsidR="00A628C0" w:rsidRPr="00031671" w:rsidRDefault="00A628C0" w:rsidP="00A628C0">
            <w:pPr>
              <w:rPr>
                <w:color w:val="000000"/>
              </w:rPr>
            </w:pPr>
            <w:r w:rsidRPr="00031671">
              <w:rPr>
                <w:color w:val="000000"/>
              </w:rPr>
              <w:t>extrapyramídová porucha</w:t>
            </w:r>
          </w:p>
        </w:tc>
        <w:tc>
          <w:tcPr>
            <w:tcW w:w="3047" w:type="dxa"/>
            <w:tcBorders>
              <w:top w:val="outset" w:sz="6" w:space="0" w:color="auto"/>
              <w:left w:val="outset" w:sz="6" w:space="0" w:color="auto"/>
              <w:bottom w:val="outset" w:sz="6" w:space="0" w:color="auto"/>
              <w:right w:val="outset" w:sz="6" w:space="0" w:color="auto"/>
            </w:tcBorders>
          </w:tcPr>
          <w:p w14:paraId="0052E5AE" w14:textId="77777777" w:rsidR="00A628C0" w:rsidRPr="00031671" w:rsidRDefault="00A628C0" w:rsidP="00D428DD">
            <w:pPr>
              <w:rPr>
                <w:color w:val="000000"/>
              </w:rPr>
            </w:pPr>
          </w:p>
        </w:tc>
      </w:tr>
      <w:tr w:rsidR="00A628C0" w:rsidRPr="00031671" w14:paraId="06610BB1" w14:textId="77777777" w:rsidTr="00D428DD">
        <w:tc>
          <w:tcPr>
            <w:tcW w:w="2157" w:type="dxa"/>
            <w:tcBorders>
              <w:top w:val="outset" w:sz="6" w:space="0" w:color="auto"/>
              <w:left w:val="outset" w:sz="6" w:space="0" w:color="auto"/>
              <w:bottom w:val="outset" w:sz="6" w:space="0" w:color="auto"/>
              <w:right w:val="outset" w:sz="6" w:space="0" w:color="auto"/>
            </w:tcBorders>
            <w:hideMark/>
          </w:tcPr>
          <w:p w14:paraId="079FE84F" w14:textId="77777777" w:rsidR="00A628C0" w:rsidRPr="00031671" w:rsidRDefault="00A628C0" w:rsidP="00D428DD">
            <w:pPr>
              <w:rPr>
                <w:b/>
                <w:bCs/>
                <w:iCs/>
              </w:rPr>
            </w:pPr>
            <w:r w:rsidRPr="00031671">
              <w:rPr>
                <w:b/>
                <w:bCs/>
                <w:iCs/>
              </w:rPr>
              <w:t>Poruchy oka</w:t>
            </w:r>
          </w:p>
        </w:tc>
        <w:tc>
          <w:tcPr>
            <w:tcW w:w="2126" w:type="dxa"/>
            <w:tcBorders>
              <w:top w:val="outset" w:sz="6" w:space="0" w:color="auto"/>
              <w:left w:val="outset" w:sz="6" w:space="0" w:color="auto"/>
              <w:bottom w:val="outset" w:sz="6" w:space="0" w:color="auto"/>
              <w:right w:val="outset" w:sz="6" w:space="0" w:color="auto"/>
            </w:tcBorders>
          </w:tcPr>
          <w:p w14:paraId="1C9FC9C4" w14:textId="77777777" w:rsidR="00A628C0" w:rsidRPr="00031671" w:rsidRDefault="00A628C0" w:rsidP="00D428DD">
            <w:pPr>
              <w:rPr>
                <w:color w:val="000000"/>
              </w:rPr>
            </w:pPr>
            <w:r w:rsidRPr="00031671">
              <w:rPr>
                <w:bCs/>
                <w:iCs/>
              </w:rPr>
              <w:t>Časté</w:t>
            </w:r>
          </w:p>
        </w:tc>
        <w:tc>
          <w:tcPr>
            <w:tcW w:w="2906" w:type="dxa"/>
            <w:tcBorders>
              <w:top w:val="outset" w:sz="6" w:space="0" w:color="auto"/>
              <w:left w:val="outset" w:sz="6" w:space="0" w:color="auto"/>
              <w:bottom w:val="outset" w:sz="6" w:space="0" w:color="auto"/>
              <w:right w:val="outset" w:sz="6" w:space="0" w:color="auto"/>
            </w:tcBorders>
          </w:tcPr>
          <w:p w14:paraId="390C3089" w14:textId="77777777" w:rsidR="00A628C0" w:rsidRPr="00031671" w:rsidRDefault="00A628C0" w:rsidP="000A11DE">
            <w:pPr>
              <w:ind w:left="0" w:firstLine="0"/>
              <w:rPr>
                <w:color w:val="000000"/>
              </w:rPr>
            </w:pPr>
            <w:r w:rsidRPr="00031671">
              <w:rPr>
                <w:color w:val="000000"/>
              </w:rPr>
              <w:t xml:space="preserve">poruchy </w:t>
            </w:r>
            <w:r w:rsidR="00F90AA0" w:rsidRPr="00031671">
              <w:rPr>
                <w:color w:val="000000"/>
              </w:rPr>
              <w:t xml:space="preserve">zraku </w:t>
            </w:r>
            <w:r w:rsidRPr="00031671">
              <w:rPr>
                <w:color w:val="000000"/>
              </w:rPr>
              <w:t>(vrátane</w:t>
            </w:r>
            <w:r w:rsidR="001D2513" w:rsidRPr="00031671">
              <w:rPr>
                <w:color w:val="000000"/>
              </w:rPr>
              <w:t xml:space="preserve"> </w:t>
            </w:r>
            <w:r w:rsidRPr="00031671">
              <w:rPr>
                <w:color w:val="000000"/>
              </w:rPr>
              <w:t>diplopie)</w:t>
            </w:r>
          </w:p>
        </w:tc>
        <w:tc>
          <w:tcPr>
            <w:tcW w:w="3047" w:type="dxa"/>
            <w:tcBorders>
              <w:top w:val="outset" w:sz="6" w:space="0" w:color="auto"/>
              <w:left w:val="outset" w:sz="6" w:space="0" w:color="auto"/>
              <w:bottom w:val="outset" w:sz="6" w:space="0" w:color="auto"/>
              <w:right w:val="outset" w:sz="6" w:space="0" w:color="auto"/>
            </w:tcBorders>
          </w:tcPr>
          <w:p w14:paraId="23AEDD00" w14:textId="77777777" w:rsidR="00A628C0" w:rsidRPr="00031671" w:rsidRDefault="00A628C0" w:rsidP="00901908">
            <w:pPr>
              <w:rPr>
                <w:color w:val="000000"/>
              </w:rPr>
            </w:pPr>
            <w:r w:rsidRPr="00031671">
              <w:rPr>
                <w:color w:val="000000"/>
              </w:rPr>
              <w:t xml:space="preserve">poruchy </w:t>
            </w:r>
            <w:r w:rsidR="00F90AA0" w:rsidRPr="00031671">
              <w:rPr>
                <w:color w:val="000000"/>
              </w:rPr>
              <w:t>zraku</w:t>
            </w:r>
          </w:p>
        </w:tc>
      </w:tr>
      <w:tr w:rsidR="00A628C0" w:rsidRPr="00031671" w14:paraId="7C9257F4" w14:textId="77777777" w:rsidTr="00D428DD">
        <w:tc>
          <w:tcPr>
            <w:tcW w:w="2157" w:type="dxa"/>
            <w:vMerge w:val="restart"/>
            <w:tcBorders>
              <w:top w:val="outset" w:sz="6" w:space="0" w:color="auto"/>
              <w:left w:val="outset" w:sz="6" w:space="0" w:color="auto"/>
              <w:right w:val="outset" w:sz="6" w:space="0" w:color="auto"/>
            </w:tcBorders>
          </w:tcPr>
          <w:p w14:paraId="540A2BBD" w14:textId="77777777" w:rsidR="00A628C0" w:rsidRPr="00031671" w:rsidRDefault="00A628C0" w:rsidP="000A11DE">
            <w:pPr>
              <w:ind w:left="0" w:firstLine="0"/>
              <w:rPr>
                <w:b/>
                <w:bCs/>
                <w:iCs/>
              </w:rPr>
            </w:pPr>
            <w:r w:rsidRPr="00031671">
              <w:rPr>
                <w:b/>
                <w:bCs/>
                <w:iCs/>
              </w:rPr>
              <w:t>Poruchy ucha a labyrintu</w:t>
            </w:r>
          </w:p>
        </w:tc>
        <w:tc>
          <w:tcPr>
            <w:tcW w:w="2126" w:type="dxa"/>
            <w:tcBorders>
              <w:top w:val="outset" w:sz="6" w:space="0" w:color="auto"/>
              <w:left w:val="outset" w:sz="6" w:space="0" w:color="auto"/>
              <w:bottom w:val="outset" w:sz="6" w:space="0" w:color="auto"/>
              <w:right w:val="outset" w:sz="6" w:space="0" w:color="auto"/>
            </w:tcBorders>
          </w:tcPr>
          <w:p w14:paraId="253CD278" w14:textId="77777777" w:rsidR="00A628C0" w:rsidRPr="00031671" w:rsidRDefault="00A628C0" w:rsidP="00D428DD">
            <w:pPr>
              <w:rPr>
                <w:color w:val="000000"/>
              </w:rPr>
            </w:pPr>
            <w:r w:rsidRPr="00031671">
              <w:rPr>
                <w:bCs/>
                <w:iCs/>
              </w:rPr>
              <w:t>Časté</w:t>
            </w:r>
          </w:p>
        </w:tc>
        <w:tc>
          <w:tcPr>
            <w:tcW w:w="2906" w:type="dxa"/>
            <w:tcBorders>
              <w:top w:val="outset" w:sz="6" w:space="0" w:color="auto"/>
              <w:left w:val="outset" w:sz="6" w:space="0" w:color="auto"/>
              <w:bottom w:val="outset" w:sz="6" w:space="0" w:color="auto"/>
              <w:right w:val="outset" w:sz="6" w:space="0" w:color="auto"/>
            </w:tcBorders>
          </w:tcPr>
          <w:p w14:paraId="29631325" w14:textId="77777777" w:rsidR="00A628C0" w:rsidRPr="00031671" w:rsidRDefault="00A628C0" w:rsidP="00D428DD">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58E24C34" w14:textId="77777777" w:rsidR="00A628C0" w:rsidRPr="00031671" w:rsidRDefault="00A628C0" w:rsidP="00D428DD">
            <w:pPr>
              <w:rPr>
                <w:color w:val="000000"/>
              </w:rPr>
            </w:pPr>
            <w:r w:rsidRPr="00031671">
              <w:rPr>
                <w:color w:val="000000"/>
              </w:rPr>
              <w:t>tinnitus</w:t>
            </w:r>
          </w:p>
        </w:tc>
      </w:tr>
      <w:tr w:rsidR="00A628C0" w:rsidRPr="00031671" w14:paraId="3E3A3B1F" w14:textId="77777777" w:rsidTr="00D428DD">
        <w:tc>
          <w:tcPr>
            <w:tcW w:w="2157" w:type="dxa"/>
            <w:vMerge/>
            <w:tcBorders>
              <w:left w:val="outset" w:sz="6" w:space="0" w:color="auto"/>
              <w:bottom w:val="outset" w:sz="6" w:space="0" w:color="auto"/>
              <w:right w:val="outset" w:sz="6" w:space="0" w:color="auto"/>
            </w:tcBorders>
            <w:hideMark/>
          </w:tcPr>
          <w:p w14:paraId="15452F84"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1A3CA8CE" w14:textId="77777777" w:rsidR="00A628C0" w:rsidRPr="00031671" w:rsidRDefault="00A628C0" w:rsidP="00D428DD">
            <w:pPr>
              <w:rPr>
                <w:color w:val="000000"/>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2424B61D" w14:textId="77777777" w:rsidR="00A628C0" w:rsidRPr="00031671" w:rsidRDefault="00A628C0" w:rsidP="00D428DD">
            <w:pPr>
              <w:rPr>
                <w:color w:val="000000"/>
              </w:rPr>
            </w:pPr>
            <w:r w:rsidRPr="00031671">
              <w:rPr>
                <w:color w:val="000000"/>
              </w:rPr>
              <w:t>tinnitus</w:t>
            </w:r>
          </w:p>
        </w:tc>
        <w:tc>
          <w:tcPr>
            <w:tcW w:w="3047" w:type="dxa"/>
            <w:tcBorders>
              <w:top w:val="outset" w:sz="6" w:space="0" w:color="auto"/>
              <w:left w:val="outset" w:sz="6" w:space="0" w:color="auto"/>
              <w:bottom w:val="outset" w:sz="6" w:space="0" w:color="auto"/>
              <w:right w:val="outset" w:sz="6" w:space="0" w:color="auto"/>
            </w:tcBorders>
          </w:tcPr>
          <w:p w14:paraId="2F6B30C1" w14:textId="77777777" w:rsidR="00A628C0" w:rsidRPr="00031671" w:rsidRDefault="00A628C0" w:rsidP="00D428DD">
            <w:pPr>
              <w:rPr>
                <w:color w:val="000000"/>
              </w:rPr>
            </w:pPr>
          </w:p>
        </w:tc>
      </w:tr>
      <w:tr w:rsidR="00A628C0" w:rsidRPr="00031671" w14:paraId="5C472070" w14:textId="77777777" w:rsidTr="00D428DD">
        <w:tc>
          <w:tcPr>
            <w:tcW w:w="2157" w:type="dxa"/>
            <w:vMerge w:val="restart"/>
            <w:tcBorders>
              <w:top w:val="outset" w:sz="6" w:space="0" w:color="auto"/>
              <w:left w:val="outset" w:sz="6" w:space="0" w:color="auto"/>
              <w:bottom w:val="outset" w:sz="6" w:space="0" w:color="auto"/>
              <w:right w:val="outset" w:sz="6" w:space="0" w:color="auto"/>
            </w:tcBorders>
            <w:hideMark/>
          </w:tcPr>
          <w:p w14:paraId="5AFAFA63" w14:textId="77777777" w:rsidR="00A628C0" w:rsidRPr="00031671" w:rsidRDefault="00A628C0" w:rsidP="001D2513">
            <w:pPr>
              <w:ind w:left="0" w:firstLine="0"/>
              <w:rPr>
                <w:b/>
                <w:bCs/>
                <w:iCs/>
              </w:rPr>
            </w:pPr>
            <w:r w:rsidRPr="00031671">
              <w:rPr>
                <w:b/>
                <w:bCs/>
                <w:iCs/>
              </w:rPr>
              <w:t>Poruchy srdca a srdcovej činnosti</w:t>
            </w:r>
          </w:p>
        </w:tc>
        <w:tc>
          <w:tcPr>
            <w:tcW w:w="2126" w:type="dxa"/>
            <w:tcBorders>
              <w:top w:val="outset" w:sz="6" w:space="0" w:color="auto"/>
              <w:left w:val="outset" w:sz="6" w:space="0" w:color="auto"/>
              <w:bottom w:val="outset" w:sz="6" w:space="0" w:color="auto"/>
              <w:right w:val="outset" w:sz="6" w:space="0" w:color="auto"/>
            </w:tcBorders>
          </w:tcPr>
          <w:p w14:paraId="696497E8" w14:textId="77777777" w:rsidR="00A628C0" w:rsidRPr="00031671" w:rsidRDefault="00A628C0" w:rsidP="00D428DD">
            <w:pPr>
              <w:rPr>
                <w:color w:val="000000"/>
              </w:rPr>
            </w:pPr>
            <w:r w:rsidRPr="00031671">
              <w:rPr>
                <w:bCs/>
                <w:iCs/>
              </w:rPr>
              <w:t>Časté</w:t>
            </w:r>
          </w:p>
        </w:tc>
        <w:tc>
          <w:tcPr>
            <w:tcW w:w="2906" w:type="dxa"/>
            <w:tcBorders>
              <w:top w:val="outset" w:sz="6" w:space="0" w:color="auto"/>
              <w:left w:val="outset" w:sz="6" w:space="0" w:color="auto"/>
              <w:bottom w:val="outset" w:sz="6" w:space="0" w:color="auto"/>
              <w:right w:val="outset" w:sz="6" w:space="0" w:color="auto"/>
            </w:tcBorders>
          </w:tcPr>
          <w:p w14:paraId="5324875B" w14:textId="77777777" w:rsidR="00A628C0" w:rsidRPr="00031671" w:rsidRDefault="00A628C0" w:rsidP="00D428DD">
            <w:pPr>
              <w:rPr>
                <w:color w:val="000000"/>
              </w:rPr>
            </w:pPr>
            <w:r w:rsidRPr="00031671">
              <w:rPr>
                <w:color w:val="000000"/>
              </w:rPr>
              <w:t>palpitácie</w:t>
            </w:r>
          </w:p>
        </w:tc>
        <w:tc>
          <w:tcPr>
            <w:tcW w:w="3047" w:type="dxa"/>
            <w:tcBorders>
              <w:top w:val="outset" w:sz="6" w:space="0" w:color="auto"/>
              <w:left w:val="outset" w:sz="6" w:space="0" w:color="auto"/>
              <w:bottom w:val="outset" w:sz="6" w:space="0" w:color="auto"/>
              <w:right w:val="outset" w:sz="6" w:space="0" w:color="auto"/>
            </w:tcBorders>
          </w:tcPr>
          <w:p w14:paraId="3B69935D" w14:textId="77777777" w:rsidR="00A628C0" w:rsidRPr="00031671" w:rsidRDefault="00A628C0" w:rsidP="00D428DD">
            <w:pPr>
              <w:rPr>
                <w:color w:val="000000"/>
              </w:rPr>
            </w:pPr>
          </w:p>
        </w:tc>
      </w:tr>
      <w:tr w:rsidR="00A628C0" w:rsidRPr="00031671" w14:paraId="6FE6A681"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2FB457BC"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3496821E" w14:textId="77777777" w:rsidR="00A628C0" w:rsidRPr="00031671" w:rsidRDefault="00A628C0" w:rsidP="00D428DD">
            <w:pPr>
              <w:rPr>
                <w:color w:val="000000"/>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0D0A82EE" w14:textId="77777777" w:rsidR="00A628C0" w:rsidRPr="00031671" w:rsidRDefault="00A628C0" w:rsidP="001D2513">
            <w:pPr>
              <w:ind w:left="0" w:firstLine="0"/>
              <w:rPr>
                <w:color w:val="000000"/>
              </w:rPr>
            </w:pPr>
            <w:r w:rsidRPr="00031671">
              <w:rPr>
                <w:bCs/>
                <w:iCs/>
              </w:rPr>
              <w:t>arytmia (vrátane bradykardie, ventrikulárnej tachykardie a átrialnej fibrilácie)</w:t>
            </w:r>
          </w:p>
        </w:tc>
        <w:tc>
          <w:tcPr>
            <w:tcW w:w="3047" w:type="dxa"/>
            <w:tcBorders>
              <w:top w:val="outset" w:sz="6" w:space="0" w:color="auto"/>
              <w:left w:val="outset" w:sz="6" w:space="0" w:color="auto"/>
              <w:bottom w:val="outset" w:sz="6" w:space="0" w:color="auto"/>
              <w:right w:val="outset" w:sz="6" w:space="0" w:color="auto"/>
            </w:tcBorders>
          </w:tcPr>
          <w:p w14:paraId="674DA99E" w14:textId="77777777" w:rsidR="00A628C0" w:rsidRPr="00031671" w:rsidRDefault="00A628C0" w:rsidP="00D428DD">
            <w:pPr>
              <w:rPr>
                <w:color w:val="000000"/>
              </w:rPr>
            </w:pPr>
            <w:r w:rsidRPr="00031671">
              <w:rPr>
                <w:color w:val="000000"/>
              </w:rPr>
              <w:t>palpitácie</w:t>
            </w:r>
            <w:r w:rsidRPr="00031671">
              <w:rPr>
                <w:color w:val="000000"/>
                <w:vertAlign w:val="superscript"/>
              </w:rPr>
              <w:t>**</w:t>
            </w:r>
            <w:r w:rsidRPr="00031671">
              <w:rPr>
                <w:color w:val="000000"/>
              </w:rPr>
              <w:t>,</w:t>
            </w:r>
          </w:p>
          <w:p w14:paraId="29710557" w14:textId="77777777" w:rsidR="00A628C0" w:rsidRPr="00031671" w:rsidRDefault="00A628C0" w:rsidP="00D428DD">
            <w:pPr>
              <w:rPr>
                <w:color w:val="000000"/>
              </w:rPr>
            </w:pPr>
            <w:r w:rsidRPr="00031671">
              <w:rPr>
                <w:color w:val="000000"/>
              </w:rPr>
              <w:t>tachykardia</w:t>
            </w:r>
            <w:r w:rsidRPr="00031671">
              <w:rPr>
                <w:color w:val="000000"/>
                <w:vertAlign w:val="superscript"/>
              </w:rPr>
              <w:t>**</w:t>
            </w:r>
          </w:p>
        </w:tc>
      </w:tr>
      <w:tr w:rsidR="00A628C0" w:rsidRPr="00031671" w14:paraId="31CC3C4D"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7E8EA323"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411574B8" w14:textId="77777777" w:rsidR="00A628C0" w:rsidRPr="00031671" w:rsidRDefault="00A628C0" w:rsidP="00D428DD">
            <w:pPr>
              <w:rPr>
                <w:color w:val="000000"/>
              </w:rPr>
            </w:pPr>
            <w:r w:rsidRPr="00031671">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6F2B8C2F" w14:textId="77777777" w:rsidR="00A628C0" w:rsidRPr="00031671" w:rsidRDefault="00A628C0" w:rsidP="00D428DD">
            <w:pPr>
              <w:rPr>
                <w:color w:val="000000"/>
              </w:rPr>
            </w:pPr>
            <w:r w:rsidRPr="00031671">
              <w:rPr>
                <w:color w:val="000000"/>
              </w:rPr>
              <w:t>infarkt myokardu</w:t>
            </w:r>
          </w:p>
        </w:tc>
        <w:tc>
          <w:tcPr>
            <w:tcW w:w="3047" w:type="dxa"/>
            <w:tcBorders>
              <w:top w:val="outset" w:sz="6" w:space="0" w:color="auto"/>
              <w:left w:val="outset" w:sz="6" w:space="0" w:color="auto"/>
              <w:bottom w:val="outset" w:sz="6" w:space="0" w:color="auto"/>
              <w:right w:val="outset" w:sz="6" w:space="0" w:color="auto"/>
            </w:tcBorders>
          </w:tcPr>
          <w:p w14:paraId="74ADE301" w14:textId="77777777" w:rsidR="00A628C0" w:rsidRPr="00031671" w:rsidRDefault="00A628C0" w:rsidP="00D428DD">
            <w:pPr>
              <w:rPr>
                <w:color w:val="000000"/>
              </w:rPr>
            </w:pPr>
            <w:r w:rsidRPr="00031671">
              <w:rPr>
                <w:color w:val="000000"/>
              </w:rPr>
              <w:t>angina pectoris (pozri časť 4.4),</w:t>
            </w:r>
          </w:p>
          <w:p w14:paraId="4DEA87D6" w14:textId="77777777" w:rsidR="00A628C0" w:rsidRPr="00031671" w:rsidRDefault="00A628C0" w:rsidP="00D428DD">
            <w:pPr>
              <w:rPr>
                <w:color w:val="000000"/>
              </w:rPr>
            </w:pPr>
            <w:r w:rsidRPr="00031671">
              <w:rPr>
                <w:color w:val="000000"/>
              </w:rPr>
              <w:t>arytmia,</w:t>
            </w:r>
          </w:p>
          <w:p w14:paraId="3969FAEE" w14:textId="77777777" w:rsidR="00A628C0" w:rsidRPr="00031671" w:rsidRDefault="00A628C0" w:rsidP="001D2513">
            <w:pPr>
              <w:ind w:left="0" w:firstLine="0"/>
              <w:rPr>
                <w:color w:val="000000"/>
              </w:rPr>
            </w:pPr>
            <w:r w:rsidRPr="00031671">
              <w:rPr>
                <w:color w:val="000000"/>
              </w:rPr>
              <w:t xml:space="preserve">infarkt myokardu pravdepodobne sekundárny </w:t>
            </w:r>
            <w:r w:rsidRPr="00031671">
              <w:t>v dôsledku nadmernej hypotenzie u vysokorizikových pacientov</w:t>
            </w:r>
            <w:r w:rsidRPr="00031671">
              <w:rPr>
                <w:bCs/>
                <w:iCs/>
              </w:rPr>
              <w:t xml:space="preserve"> (pozri časť 4.4)</w:t>
            </w:r>
          </w:p>
        </w:tc>
      </w:tr>
      <w:tr w:rsidR="00A628C0" w:rsidRPr="00031671" w14:paraId="1D142E0E" w14:textId="77777777" w:rsidTr="00D428DD">
        <w:tc>
          <w:tcPr>
            <w:tcW w:w="2157" w:type="dxa"/>
            <w:vMerge w:val="restart"/>
            <w:tcBorders>
              <w:top w:val="outset" w:sz="6" w:space="0" w:color="auto"/>
              <w:left w:val="outset" w:sz="6" w:space="0" w:color="auto"/>
              <w:bottom w:val="outset" w:sz="6" w:space="0" w:color="auto"/>
              <w:right w:val="outset" w:sz="6" w:space="0" w:color="auto"/>
            </w:tcBorders>
            <w:hideMark/>
          </w:tcPr>
          <w:p w14:paraId="03322686" w14:textId="77777777" w:rsidR="00A628C0" w:rsidRPr="00031671" w:rsidRDefault="00A628C0" w:rsidP="00D428DD">
            <w:pPr>
              <w:rPr>
                <w:b/>
                <w:bCs/>
                <w:iCs/>
              </w:rPr>
            </w:pPr>
            <w:r w:rsidRPr="00031671">
              <w:rPr>
                <w:b/>
                <w:bCs/>
                <w:iCs/>
              </w:rPr>
              <w:t>Poruchy ciev</w:t>
            </w:r>
          </w:p>
        </w:tc>
        <w:tc>
          <w:tcPr>
            <w:tcW w:w="2126" w:type="dxa"/>
            <w:tcBorders>
              <w:top w:val="outset" w:sz="6" w:space="0" w:color="auto"/>
              <w:left w:val="outset" w:sz="6" w:space="0" w:color="auto"/>
              <w:bottom w:val="outset" w:sz="6" w:space="0" w:color="auto"/>
              <w:right w:val="outset" w:sz="6" w:space="0" w:color="auto"/>
            </w:tcBorders>
          </w:tcPr>
          <w:p w14:paraId="35FCA046" w14:textId="77777777" w:rsidR="00A628C0" w:rsidRPr="00031671" w:rsidRDefault="00A628C0" w:rsidP="00D428DD">
            <w:pPr>
              <w:rPr>
                <w:color w:val="000000"/>
              </w:rPr>
            </w:pPr>
            <w:r w:rsidRPr="00031671">
              <w:rPr>
                <w:bCs/>
                <w:iCs/>
              </w:rPr>
              <w:t>Časté</w:t>
            </w:r>
          </w:p>
        </w:tc>
        <w:tc>
          <w:tcPr>
            <w:tcW w:w="2906" w:type="dxa"/>
            <w:tcBorders>
              <w:top w:val="outset" w:sz="6" w:space="0" w:color="auto"/>
              <w:left w:val="outset" w:sz="6" w:space="0" w:color="auto"/>
              <w:bottom w:val="outset" w:sz="6" w:space="0" w:color="auto"/>
              <w:right w:val="outset" w:sz="6" w:space="0" w:color="auto"/>
            </w:tcBorders>
          </w:tcPr>
          <w:p w14:paraId="379D5CBF" w14:textId="77777777" w:rsidR="00A628C0" w:rsidRPr="00031671" w:rsidRDefault="00A628C0" w:rsidP="00D428DD">
            <w:pPr>
              <w:rPr>
                <w:color w:val="000000"/>
              </w:rPr>
            </w:pPr>
            <w:r w:rsidRPr="00031671">
              <w:rPr>
                <w:color w:val="000000"/>
              </w:rPr>
              <w:t>sčervenanie</w:t>
            </w:r>
          </w:p>
        </w:tc>
        <w:tc>
          <w:tcPr>
            <w:tcW w:w="3047" w:type="dxa"/>
            <w:tcBorders>
              <w:top w:val="outset" w:sz="6" w:space="0" w:color="auto"/>
              <w:left w:val="outset" w:sz="6" w:space="0" w:color="auto"/>
              <w:bottom w:val="outset" w:sz="6" w:space="0" w:color="auto"/>
              <w:right w:val="outset" w:sz="6" w:space="0" w:color="auto"/>
            </w:tcBorders>
          </w:tcPr>
          <w:p w14:paraId="2AFBE886" w14:textId="77777777" w:rsidR="00A628C0" w:rsidRPr="00031671" w:rsidRDefault="00A628C0" w:rsidP="000A11DE">
            <w:pPr>
              <w:ind w:left="0" w:firstLine="0"/>
              <w:rPr>
                <w:color w:val="000000"/>
              </w:rPr>
            </w:pPr>
            <w:r w:rsidRPr="00031671">
              <w:rPr>
                <w:bCs/>
                <w:iCs/>
              </w:rPr>
              <w:t>hypotenzia (a účinky súvisiace s hypotenziou)</w:t>
            </w:r>
          </w:p>
        </w:tc>
      </w:tr>
      <w:tr w:rsidR="00A628C0" w:rsidRPr="00031671" w14:paraId="7F5E91B4"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2A378C9B"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3019CEA8" w14:textId="77777777" w:rsidR="00A628C0" w:rsidRPr="00031671" w:rsidRDefault="00A628C0" w:rsidP="00D428DD">
            <w:pPr>
              <w:rPr>
                <w:color w:val="000000"/>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6919CD48" w14:textId="77777777" w:rsidR="00A628C0" w:rsidRPr="00031671" w:rsidRDefault="00A628C0" w:rsidP="00D428DD">
            <w:pPr>
              <w:rPr>
                <w:color w:val="000000"/>
              </w:rPr>
            </w:pPr>
            <w:r w:rsidRPr="00031671">
              <w:rPr>
                <w:bCs/>
                <w:iCs/>
              </w:rPr>
              <w:t>hypotenzia</w:t>
            </w:r>
          </w:p>
        </w:tc>
        <w:tc>
          <w:tcPr>
            <w:tcW w:w="3047" w:type="dxa"/>
            <w:tcBorders>
              <w:top w:val="outset" w:sz="6" w:space="0" w:color="auto"/>
              <w:left w:val="outset" w:sz="6" w:space="0" w:color="auto"/>
              <w:bottom w:val="outset" w:sz="6" w:space="0" w:color="auto"/>
              <w:right w:val="outset" w:sz="6" w:space="0" w:color="auto"/>
            </w:tcBorders>
          </w:tcPr>
          <w:p w14:paraId="1DE54396" w14:textId="77777777" w:rsidR="00A628C0" w:rsidRPr="00031671" w:rsidRDefault="00A628C0" w:rsidP="00D428DD">
            <w:pPr>
              <w:rPr>
                <w:color w:val="000000"/>
              </w:rPr>
            </w:pPr>
            <w:r w:rsidRPr="00031671">
              <w:rPr>
                <w:color w:val="000000"/>
              </w:rPr>
              <w:t>vaskulitída</w:t>
            </w:r>
            <w:r w:rsidRPr="00031671">
              <w:rPr>
                <w:color w:val="000000"/>
                <w:vertAlign w:val="superscript"/>
              </w:rPr>
              <w:t>**</w:t>
            </w:r>
          </w:p>
        </w:tc>
      </w:tr>
      <w:tr w:rsidR="00A628C0" w:rsidRPr="00031671" w14:paraId="1DFB9CB2"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6A0899C7"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67005D01" w14:textId="77777777" w:rsidR="00A628C0" w:rsidRPr="00031671" w:rsidRDefault="00A628C0" w:rsidP="00D428DD">
            <w:pPr>
              <w:rPr>
                <w:color w:val="000000"/>
              </w:rPr>
            </w:pPr>
            <w:r w:rsidRPr="00031671">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13FCD6EB" w14:textId="77777777" w:rsidR="00A628C0" w:rsidRPr="00031671" w:rsidRDefault="00A628C0" w:rsidP="00D428DD">
            <w:pPr>
              <w:rPr>
                <w:color w:val="000000"/>
              </w:rPr>
            </w:pPr>
            <w:r w:rsidRPr="00031671">
              <w:rPr>
                <w:color w:val="000000"/>
              </w:rPr>
              <w:t>vaskulitída</w:t>
            </w:r>
          </w:p>
        </w:tc>
        <w:tc>
          <w:tcPr>
            <w:tcW w:w="3047" w:type="dxa"/>
            <w:tcBorders>
              <w:top w:val="outset" w:sz="6" w:space="0" w:color="auto"/>
              <w:left w:val="outset" w:sz="6" w:space="0" w:color="auto"/>
              <w:bottom w:val="outset" w:sz="6" w:space="0" w:color="auto"/>
              <w:right w:val="outset" w:sz="6" w:space="0" w:color="auto"/>
            </w:tcBorders>
          </w:tcPr>
          <w:p w14:paraId="65CDA9E5" w14:textId="77777777" w:rsidR="00A628C0" w:rsidRPr="00031671" w:rsidRDefault="00A628C0" w:rsidP="001D2513">
            <w:pPr>
              <w:ind w:left="0" w:firstLine="0"/>
              <w:rPr>
                <w:color w:val="000000"/>
              </w:rPr>
            </w:pPr>
            <w:r w:rsidRPr="00031671">
              <w:rPr>
                <w:bCs/>
                <w:iCs/>
              </w:rPr>
              <w:t>cievna mozgová príhoda, pravdepodobne sekundárna v dôsledku nadmernej hypotenzie u vysokorizikových pacientov (pozri časť 4.4)</w:t>
            </w:r>
          </w:p>
        </w:tc>
      </w:tr>
      <w:tr w:rsidR="00A628C0" w:rsidRPr="00031671" w14:paraId="73457334" w14:textId="77777777" w:rsidTr="00D428DD">
        <w:tc>
          <w:tcPr>
            <w:tcW w:w="2157" w:type="dxa"/>
            <w:vMerge w:val="restart"/>
            <w:tcBorders>
              <w:top w:val="outset" w:sz="6" w:space="0" w:color="auto"/>
              <w:left w:val="outset" w:sz="6" w:space="0" w:color="auto"/>
              <w:right w:val="outset" w:sz="6" w:space="0" w:color="auto"/>
            </w:tcBorders>
            <w:hideMark/>
          </w:tcPr>
          <w:p w14:paraId="58B71EB9" w14:textId="77777777" w:rsidR="00A628C0" w:rsidRPr="00031671" w:rsidRDefault="00A628C0" w:rsidP="001D2513">
            <w:pPr>
              <w:ind w:left="0" w:firstLine="0"/>
              <w:rPr>
                <w:b/>
                <w:bCs/>
                <w:iCs/>
              </w:rPr>
            </w:pPr>
            <w:r w:rsidRPr="00031671">
              <w:rPr>
                <w:b/>
                <w:bCs/>
                <w:iCs/>
              </w:rPr>
              <w:t>Poruchy dýchacej sústavy, hrudníka a mediastína</w:t>
            </w:r>
          </w:p>
        </w:tc>
        <w:tc>
          <w:tcPr>
            <w:tcW w:w="2126" w:type="dxa"/>
            <w:tcBorders>
              <w:top w:val="outset" w:sz="6" w:space="0" w:color="auto"/>
              <w:left w:val="outset" w:sz="6" w:space="0" w:color="auto"/>
              <w:bottom w:val="outset" w:sz="6" w:space="0" w:color="auto"/>
              <w:right w:val="outset" w:sz="6" w:space="0" w:color="auto"/>
            </w:tcBorders>
          </w:tcPr>
          <w:p w14:paraId="042272AE" w14:textId="77777777" w:rsidR="00A628C0" w:rsidRPr="00031671" w:rsidRDefault="00A628C0" w:rsidP="00D428DD">
            <w:pPr>
              <w:rPr>
                <w:color w:val="000000"/>
              </w:rPr>
            </w:pPr>
            <w:r w:rsidRPr="00031671">
              <w:rPr>
                <w:bCs/>
                <w:iCs/>
              </w:rPr>
              <w:t>Časté</w:t>
            </w:r>
          </w:p>
        </w:tc>
        <w:tc>
          <w:tcPr>
            <w:tcW w:w="2906" w:type="dxa"/>
            <w:tcBorders>
              <w:top w:val="outset" w:sz="6" w:space="0" w:color="auto"/>
              <w:left w:val="outset" w:sz="6" w:space="0" w:color="auto"/>
              <w:bottom w:val="outset" w:sz="6" w:space="0" w:color="auto"/>
              <w:right w:val="outset" w:sz="6" w:space="0" w:color="auto"/>
            </w:tcBorders>
          </w:tcPr>
          <w:p w14:paraId="38963E06" w14:textId="77777777" w:rsidR="00A628C0" w:rsidRPr="00031671" w:rsidRDefault="00A628C0" w:rsidP="00D428DD">
            <w:pPr>
              <w:rPr>
                <w:color w:val="000000"/>
              </w:rPr>
            </w:pPr>
            <w:r w:rsidRPr="00031671">
              <w:rPr>
                <w:color w:val="000000"/>
              </w:rPr>
              <w:t>dýchavičnosť</w:t>
            </w:r>
          </w:p>
        </w:tc>
        <w:tc>
          <w:tcPr>
            <w:tcW w:w="3047" w:type="dxa"/>
            <w:tcBorders>
              <w:top w:val="outset" w:sz="6" w:space="0" w:color="auto"/>
              <w:left w:val="outset" w:sz="6" w:space="0" w:color="auto"/>
              <w:bottom w:val="outset" w:sz="6" w:space="0" w:color="auto"/>
              <w:right w:val="outset" w:sz="6" w:space="0" w:color="auto"/>
            </w:tcBorders>
          </w:tcPr>
          <w:p w14:paraId="76D64A96" w14:textId="77777777" w:rsidR="00A628C0" w:rsidRPr="00031671" w:rsidRDefault="00A628C0" w:rsidP="00D428DD">
            <w:pPr>
              <w:rPr>
                <w:color w:val="000000"/>
              </w:rPr>
            </w:pPr>
            <w:r w:rsidRPr="00031671">
              <w:rPr>
                <w:color w:val="000000"/>
              </w:rPr>
              <w:t>kašeľ,</w:t>
            </w:r>
          </w:p>
          <w:p w14:paraId="15F8579A" w14:textId="77777777" w:rsidR="00A628C0" w:rsidRPr="00031671" w:rsidRDefault="00A628C0" w:rsidP="00D428DD">
            <w:pPr>
              <w:rPr>
                <w:color w:val="000000"/>
              </w:rPr>
            </w:pPr>
            <w:r w:rsidRPr="00031671">
              <w:rPr>
                <w:color w:val="000000"/>
              </w:rPr>
              <w:t>dýchavičnosť</w:t>
            </w:r>
          </w:p>
        </w:tc>
      </w:tr>
      <w:tr w:rsidR="00A628C0" w:rsidRPr="00031671" w14:paraId="31D58764" w14:textId="77777777" w:rsidTr="00D428DD">
        <w:tc>
          <w:tcPr>
            <w:tcW w:w="2157" w:type="dxa"/>
            <w:vMerge/>
            <w:tcBorders>
              <w:left w:val="outset" w:sz="6" w:space="0" w:color="auto"/>
              <w:right w:val="outset" w:sz="6" w:space="0" w:color="auto"/>
            </w:tcBorders>
            <w:hideMark/>
          </w:tcPr>
          <w:p w14:paraId="4A617DF0"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1929372F" w14:textId="77777777" w:rsidR="00A628C0" w:rsidRPr="00031671" w:rsidRDefault="00A628C0" w:rsidP="00D428DD">
            <w:pPr>
              <w:rPr>
                <w:color w:val="000000"/>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5D36B521" w14:textId="77777777" w:rsidR="00A628C0" w:rsidRPr="00031671" w:rsidRDefault="00A628C0" w:rsidP="00D428DD">
            <w:pPr>
              <w:rPr>
                <w:color w:val="000000"/>
              </w:rPr>
            </w:pPr>
            <w:r w:rsidRPr="00031671">
              <w:rPr>
                <w:color w:val="000000"/>
              </w:rPr>
              <w:t>kašeľ,</w:t>
            </w:r>
          </w:p>
          <w:p w14:paraId="16CF8F87" w14:textId="77777777" w:rsidR="00A628C0" w:rsidRPr="00031671" w:rsidRDefault="00A628C0" w:rsidP="00D428DD">
            <w:pPr>
              <w:rPr>
                <w:color w:val="000000"/>
              </w:rPr>
            </w:pPr>
            <w:r w:rsidRPr="00031671">
              <w:rPr>
                <w:color w:val="000000"/>
              </w:rPr>
              <w:t>rinitída</w:t>
            </w:r>
          </w:p>
        </w:tc>
        <w:tc>
          <w:tcPr>
            <w:tcW w:w="3047" w:type="dxa"/>
            <w:tcBorders>
              <w:top w:val="outset" w:sz="6" w:space="0" w:color="auto"/>
              <w:left w:val="outset" w:sz="6" w:space="0" w:color="auto"/>
              <w:bottom w:val="outset" w:sz="6" w:space="0" w:color="auto"/>
              <w:right w:val="outset" w:sz="6" w:space="0" w:color="auto"/>
            </w:tcBorders>
          </w:tcPr>
          <w:p w14:paraId="33C1EE08" w14:textId="77777777" w:rsidR="00A628C0" w:rsidRPr="00031671" w:rsidRDefault="00A628C0" w:rsidP="00D428DD">
            <w:pPr>
              <w:rPr>
                <w:color w:val="000000"/>
              </w:rPr>
            </w:pPr>
            <w:r w:rsidRPr="00031671">
              <w:rPr>
                <w:color w:val="000000"/>
              </w:rPr>
              <w:t>bronchospazmus</w:t>
            </w:r>
          </w:p>
        </w:tc>
      </w:tr>
      <w:tr w:rsidR="00A628C0" w:rsidRPr="00031671" w14:paraId="74298679" w14:textId="77777777" w:rsidTr="00D428DD">
        <w:tc>
          <w:tcPr>
            <w:tcW w:w="2157" w:type="dxa"/>
            <w:vMerge/>
            <w:tcBorders>
              <w:left w:val="outset" w:sz="6" w:space="0" w:color="auto"/>
              <w:bottom w:val="outset" w:sz="6" w:space="0" w:color="auto"/>
              <w:right w:val="outset" w:sz="6" w:space="0" w:color="auto"/>
            </w:tcBorders>
            <w:hideMark/>
          </w:tcPr>
          <w:p w14:paraId="67B7E30A" w14:textId="77777777" w:rsidR="00A628C0" w:rsidRPr="00031671" w:rsidRDefault="00A628C0" w:rsidP="00D428DD">
            <w:pPr>
              <w:rPr>
                <w:b/>
                <w:bCs/>
                <w:color w:val="000000"/>
              </w:rPr>
            </w:pPr>
          </w:p>
        </w:tc>
        <w:tc>
          <w:tcPr>
            <w:tcW w:w="2126" w:type="dxa"/>
            <w:tcBorders>
              <w:top w:val="outset" w:sz="6" w:space="0" w:color="auto"/>
              <w:left w:val="outset" w:sz="6" w:space="0" w:color="auto"/>
              <w:bottom w:val="outset" w:sz="6" w:space="0" w:color="auto"/>
              <w:right w:val="outset" w:sz="6" w:space="0" w:color="auto"/>
            </w:tcBorders>
          </w:tcPr>
          <w:p w14:paraId="148DDD10" w14:textId="77777777" w:rsidR="00A628C0" w:rsidRPr="00031671" w:rsidRDefault="00A628C0" w:rsidP="00D428DD">
            <w:pPr>
              <w:rPr>
                <w:color w:val="000000"/>
              </w:rPr>
            </w:pPr>
            <w:r w:rsidRPr="00031671">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21666DE8" w14:textId="77777777" w:rsidR="00A628C0" w:rsidRPr="00031671" w:rsidRDefault="00A628C0" w:rsidP="00D428DD">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71930E82" w14:textId="77777777" w:rsidR="00A628C0" w:rsidRPr="00031671" w:rsidRDefault="00A628C0" w:rsidP="00D428DD">
            <w:pPr>
              <w:rPr>
                <w:bCs/>
                <w:iCs/>
              </w:rPr>
            </w:pPr>
            <w:r w:rsidRPr="00031671">
              <w:rPr>
                <w:bCs/>
                <w:iCs/>
              </w:rPr>
              <w:t>eozinofilná pneumónia,</w:t>
            </w:r>
          </w:p>
          <w:p w14:paraId="31A07808" w14:textId="77777777" w:rsidR="00A628C0" w:rsidRPr="00031671" w:rsidRDefault="00A628C0" w:rsidP="00D428DD">
            <w:pPr>
              <w:rPr>
                <w:color w:val="000000"/>
              </w:rPr>
            </w:pPr>
            <w:r w:rsidRPr="00031671">
              <w:rPr>
                <w:bCs/>
                <w:iCs/>
              </w:rPr>
              <w:t>rinitída</w:t>
            </w:r>
          </w:p>
        </w:tc>
      </w:tr>
      <w:tr w:rsidR="00A628C0" w:rsidRPr="00031671" w14:paraId="6C03C3CC" w14:textId="77777777" w:rsidTr="00D428DD">
        <w:tc>
          <w:tcPr>
            <w:tcW w:w="2157" w:type="dxa"/>
            <w:vMerge w:val="restart"/>
            <w:tcBorders>
              <w:top w:val="outset" w:sz="6" w:space="0" w:color="auto"/>
              <w:left w:val="outset" w:sz="6" w:space="0" w:color="auto"/>
              <w:bottom w:val="outset" w:sz="6" w:space="0" w:color="auto"/>
              <w:right w:val="outset" w:sz="6" w:space="0" w:color="auto"/>
            </w:tcBorders>
            <w:hideMark/>
          </w:tcPr>
          <w:p w14:paraId="7818B94E" w14:textId="77777777" w:rsidR="00A628C0" w:rsidRPr="00031671" w:rsidRDefault="00A628C0" w:rsidP="001D2513">
            <w:pPr>
              <w:ind w:left="0" w:firstLine="0"/>
              <w:rPr>
                <w:b/>
                <w:bCs/>
                <w:iCs/>
              </w:rPr>
            </w:pPr>
            <w:r w:rsidRPr="00031671">
              <w:rPr>
                <w:b/>
                <w:bCs/>
                <w:iCs/>
              </w:rPr>
              <w:t>Poruchy gastrointestinálneho traktu</w:t>
            </w:r>
          </w:p>
        </w:tc>
        <w:tc>
          <w:tcPr>
            <w:tcW w:w="2126" w:type="dxa"/>
            <w:tcBorders>
              <w:top w:val="outset" w:sz="6" w:space="0" w:color="auto"/>
              <w:left w:val="outset" w:sz="6" w:space="0" w:color="auto"/>
              <w:bottom w:val="outset" w:sz="6" w:space="0" w:color="auto"/>
              <w:right w:val="outset" w:sz="6" w:space="0" w:color="auto"/>
            </w:tcBorders>
          </w:tcPr>
          <w:p w14:paraId="6789CE02" w14:textId="77777777" w:rsidR="00A628C0" w:rsidRPr="00031671" w:rsidRDefault="00A628C0" w:rsidP="00D428DD">
            <w:pPr>
              <w:rPr>
                <w:color w:val="000000"/>
              </w:rPr>
            </w:pPr>
            <w:r w:rsidRPr="00031671">
              <w:rPr>
                <w:bCs/>
                <w:iCs/>
              </w:rPr>
              <w:t>Časté</w:t>
            </w:r>
          </w:p>
        </w:tc>
        <w:tc>
          <w:tcPr>
            <w:tcW w:w="2906" w:type="dxa"/>
            <w:tcBorders>
              <w:top w:val="outset" w:sz="6" w:space="0" w:color="auto"/>
              <w:left w:val="outset" w:sz="6" w:space="0" w:color="auto"/>
              <w:bottom w:val="outset" w:sz="6" w:space="0" w:color="auto"/>
              <w:right w:val="outset" w:sz="6" w:space="0" w:color="auto"/>
            </w:tcBorders>
          </w:tcPr>
          <w:p w14:paraId="2CB1197D" w14:textId="77777777" w:rsidR="00A628C0" w:rsidRPr="00031671" w:rsidRDefault="00A628C0" w:rsidP="00D428DD">
            <w:pPr>
              <w:rPr>
                <w:bCs/>
                <w:iCs/>
              </w:rPr>
            </w:pPr>
            <w:r w:rsidRPr="00031671">
              <w:rPr>
                <w:bCs/>
                <w:iCs/>
              </w:rPr>
              <w:t>bolesť brucha,</w:t>
            </w:r>
          </w:p>
          <w:p w14:paraId="212BA66E" w14:textId="77777777" w:rsidR="00A628C0" w:rsidRPr="00031671" w:rsidRDefault="00A628C0" w:rsidP="00D428DD">
            <w:pPr>
              <w:rPr>
                <w:color w:val="000000"/>
              </w:rPr>
            </w:pPr>
            <w:r w:rsidRPr="00031671">
              <w:rPr>
                <w:color w:val="000000"/>
              </w:rPr>
              <w:t>nauzea,</w:t>
            </w:r>
          </w:p>
          <w:p w14:paraId="229C9185" w14:textId="77777777" w:rsidR="00A628C0" w:rsidRPr="00031671" w:rsidRDefault="00A628C0" w:rsidP="00D428DD">
            <w:pPr>
              <w:rPr>
                <w:color w:val="000000"/>
              </w:rPr>
            </w:pPr>
            <w:r w:rsidRPr="00031671">
              <w:rPr>
                <w:color w:val="000000"/>
              </w:rPr>
              <w:t>dyspepsia,</w:t>
            </w:r>
          </w:p>
          <w:p w14:paraId="6B8760B3" w14:textId="77777777" w:rsidR="00A628C0" w:rsidRPr="00031671" w:rsidRDefault="00A628C0" w:rsidP="000A11DE">
            <w:pPr>
              <w:ind w:left="-30" w:firstLine="30"/>
              <w:rPr>
                <w:color w:val="000000"/>
              </w:rPr>
            </w:pPr>
            <w:r w:rsidRPr="00031671">
              <w:rPr>
                <w:bCs/>
                <w:iCs/>
              </w:rPr>
              <w:lastRenderedPageBreak/>
              <w:t>porucha činnosti čriev (vrátane hnačky a zápchy)</w:t>
            </w:r>
          </w:p>
        </w:tc>
        <w:tc>
          <w:tcPr>
            <w:tcW w:w="3047" w:type="dxa"/>
            <w:tcBorders>
              <w:top w:val="outset" w:sz="6" w:space="0" w:color="auto"/>
              <w:left w:val="outset" w:sz="6" w:space="0" w:color="auto"/>
              <w:bottom w:val="outset" w:sz="6" w:space="0" w:color="auto"/>
              <w:right w:val="outset" w:sz="6" w:space="0" w:color="auto"/>
            </w:tcBorders>
          </w:tcPr>
          <w:p w14:paraId="43959482" w14:textId="77777777" w:rsidR="00A628C0" w:rsidRPr="00031671" w:rsidRDefault="00A628C0" w:rsidP="00D428DD">
            <w:pPr>
              <w:rPr>
                <w:bCs/>
                <w:iCs/>
              </w:rPr>
            </w:pPr>
            <w:r w:rsidRPr="00031671">
              <w:rPr>
                <w:bCs/>
                <w:iCs/>
              </w:rPr>
              <w:lastRenderedPageBreak/>
              <w:t>bolesť brucha,</w:t>
            </w:r>
          </w:p>
          <w:p w14:paraId="5C6F2534" w14:textId="77777777" w:rsidR="00A628C0" w:rsidRPr="00031671" w:rsidRDefault="00A628C0" w:rsidP="00D428DD">
            <w:pPr>
              <w:rPr>
                <w:bCs/>
                <w:iCs/>
              </w:rPr>
            </w:pPr>
            <w:r w:rsidRPr="00031671">
              <w:rPr>
                <w:bCs/>
                <w:iCs/>
              </w:rPr>
              <w:t>zápcha,</w:t>
            </w:r>
          </w:p>
          <w:p w14:paraId="2EF31DE6" w14:textId="77777777" w:rsidR="00A628C0" w:rsidRPr="00031671" w:rsidRDefault="00A628C0" w:rsidP="00D428DD">
            <w:pPr>
              <w:rPr>
                <w:bCs/>
                <w:iCs/>
              </w:rPr>
            </w:pPr>
            <w:r w:rsidRPr="00031671">
              <w:rPr>
                <w:bCs/>
                <w:iCs/>
              </w:rPr>
              <w:t>hnačka,</w:t>
            </w:r>
          </w:p>
          <w:p w14:paraId="3FCECA82" w14:textId="77777777" w:rsidR="00A628C0" w:rsidRPr="00031671" w:rsidRDefault="00A628C0" w:rsidP="00D428DD">
            <w:pPr>
              <w:rPr>
                <w:bCs/>
                <w:iCs/>
              </w:rPr>
            </w:pPr>
            <w:r w:rsidRPr="00031671">
              <w:rPr>
                <w:bCs/>
                <w:iCs/>
              </w:rPr>
              <w:lastRenderedPageBreak/>
              <w:t>porucha chuti,</w:t>
            </w:r>
          </w:p>
          <w:p w14:paraId="7B3BC1C7" w14:textId="77777777" w:rsidR="00A628C0" w:rsidRPr="00031671" w:rsidRDefault="00A628C0" w:rsidP="00D428DD">
            <w:pPr>
              <w:rPr>
                <w:color w:val="000000"/>
              </w:rPr>
            </w:pPr>
            <w:r w:rsidRPr="00031671">
              <w:rPr>
                <w:color w:val="000000"/>
              </w:rPr>
              <w:t>dyspepsia,</w:t>
            </w:r>
          </w:p>
          <w:p w14:paraId="3E85E65B" w14:textId="77777777" w:rsidR="00A628C0" w:rsidRPr="00031671" w:rsidRDefault="00A628C0" w:rsidP="00D428DD">
            <w:pPr>
              <w:rPr>
                <w:color w:val="000000"/>
              </w:rPr>
            </w:pPr>
            <w:r w:rsidRPr="00031671">
              <w:rPr>
                <w:color w:val="000000"/>
              </w:rPr>
              <w:t>nauzea,</w:t>
            </w:r>
          </w:p>
          <w:p w14:paraId="31E2FCAA" w14:textId="77777777" w:rsidR="00A628C0" w:rsidRPr="00031671" w:rsidRDefault="00A628C0" w:rsidP="00D428DD">
            <w:pPr>
              <w:rPr>
                <w:color w:val="000000"/>
              </w:rPr>
            </w:pPr>
            <w:r w:rsidRPr="00031671">
              <w:rPr>
                <w:color w:val="000000"/>
              </w:rPr>
              <w:t>vracanie</w:t>
            </w:r>
          </w:p>
        </w:tc>
      </w:tr>
      <w:tr w:rsidR="00A628C0" w:rsidRPr="00031671" w14:paraId="1DA4C871"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677B523B"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010E9BA5" w14:textId="77777777" w:rsidR="00A628C0" w:rsidRPr="00031671" w:rsidRDefault="00A628C0" w:rsidP="00D428DD">
            <w:pPr>
              <w:rPr>
                <w:color w:val="000000"/>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2875C63C" w14:textId="77777777" w:rsidR="00A628C0" w:rsidRPr="00031671" w:rsidRDefault="00A628C0" w:rsidP="00D428DD">
            <w:pPr>
              <w:rPr>
                <w:color w:val="000000"/>
              </w:rPr>
            </w:pPr>
            <w:r w:rsidRPr="00031671">
              <w:rPr>
                <w:color w:val="000000"/>
              </w:rPr>
              <w:t>vracanie,</w:t>
            </w:r>
          </w:p>
          <w:p w14:paraId="4942B59A" w14:textId="77777777" w:rsidR="00A628C0" w:rsidRPr="00031671" w:rsidRDefault="00A628C0" w:rsidP="00D428DD">
            <w:pPr>
              <w:rPr>
                <w:color w:val="000000"/>
              </w:rPr>
            </w:pPr>
            <w:r w:rsidRPr="00031671">
              <w:rPr>
                <w:color w:val="000000"/>
              </w:rPr>
              <w:t>sucho v ústach</w:t>
            </w:r>
          </w:p>
        </w:tc>
        <w:tc>
          <w:tcPr>
            <w:tcW w:w="3047" w:type="dxa"/>
            <w:tcBorders>
              <w:top w:val="outset" w:sz="6" w:space="0" w:color="auto"/>
              <w:left w:val="outset" w:sz="6" w:space="0" w:color="auto"/>
              <w:bottom w:val="outset" w:sz="6" w:space="0" w:color="auto"/>
              <w:right w:val="outset" w:sz="6" w:space="0" w:color="auto"/>
            </w:tcBorders>
          </w:tcPr>
          <w:p w14:paraId="1F3DB711" w14:textId="77777777" w:rsidR="00A628C0" w:rsidRPr="00031671" w:rsidRDefault="00A628C0" w:rsidP="00D428DD">
            <w:pPr>
              <w:rPr>
                <w:color w:val="000000"/>
              </w:rPr>
            </w:pPr>
            <w:r w:rsidRPr="00031671">
              <w:rPr>
                <w:color w:val="000000"/>
              </w:rPr>
              <w:t>sucho v ústach</w:t>
            </w:r>
          </w:p>
        </w:tc>
      </w:tr>
      <w:tr w:rsidR="00A628C0" w:rsidRPr="00031671" w14:paraId="62424C63"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55AA528B"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022D80E2" w14:textId="77777777" w:rsidR="00A628C0" w:rsidRPr="00031671" w:rsidRDefault="00A628C0" w:rsidP="00D428DD">
            <w:pPr>
              <w:rPr>
                <w:color w:val="000000"/>
              </w:rPr>
            </w:pPr>
            <w:r w:rsidRPr="00031671">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26B5FE2C" w14:textId="77777777" w:rsidR="00A628C0" w:rsidRPr="00031671" w:rsidRDefault="00A628C0" w:rsidP="00D428DD">
            <w:pPr>
              <w:rPr>
                <w:bCs/>
                <w:iCs/>
              </w:rPr>
            </w:pPr>
            <w:r w:rsidRPr="00031671">
              <w:rPr>
                <w:bCs/>
                <w:iCs/>
              </w:rPr>
              <w:t>pankreatitída,</w:t>
            </w:r>
          </w:p>
          <w:p w14:paraId="2EE4ADF0" w14:textId="77777777" w:rsidR="00A628C0" w:rsidRPr="00031671" w:rsidRDefault="00A628C0" w:rsidP="00D428DD">
            <w:pPr>
              <w:rPr>
                <w:bCs/>
                <w:iCs/>
              </w:rPr>
            </w:pPr>
            <w:r w:rsidRPr="00031671">
              <w:rPr>
                <w:bCs/>
                <w:iCs/>
              </w:rPr>
              <w:t>gastritída,</w:t>
            </w:r>
          </w:p>
          <w:p w14:paraId="15F19367" w14:textId="77777777" w:rsidR="00A628C0" w:rsidRPr="00031671" w:rsidRDefault="00A628C0" w:rsidP="00D428DD">
            <w:pPr>
              <w:rPr>
                <w:color w:val="000000"/>
              </w:rPr>
            </w:pPr>
            <w:r w:rsidRPr="00031671">
              <w:rPr>
                <w:bCs/>
                <w:iCs/>
              </w:rPr>
              <w:t>hyperplázia gingívy</w:t>
            </w:r>
          </w:p>
        </w:tc>
        <w:tc>
          <w:tcPr>
            <w:tcW w:w="3047" w:type="dxa"/>
            <w:tcBorders>
              <w:top w:val="outset" w:sz="6" w:space="0" w:color="auto"/>
              <w:left w:val="outset" w:sz="6" w:space="0" w:color="auto"/>
              <w:bottom w:val="outset" w:sz="6" w:space="0" w:color="auto"/>
              <w:right w:val="outset" w:sz="6" w:space="0" w:color="auto"/>
            </w:tcBorders>
          </w:tcPr>
          <w:p w14:paraId="6FB08745" w14:textId="77777777" w:rsidR="00A628C0" w:rsidRPr="00031671" w:rsidRDefault="00A628C0" w:rsidP="00D428DD">
            <w:pPr>
              <w:rPr>
                <w:color w:val="000000"/>
              </w:rPr>
            </w:pPr>
            <w:r w:rsidRPr="00031671">
              <w:rPr>
                <w:bCs/>
                <w:iCs/>
              </w:rPr>
              <w:t>pankreatitída</w:t>
            </w:r>
          </w:p>
        </w:tc>
      </w:tr>
      <w:tr w:rsidR="00A628C0" w:rsidRPr="00031671" w14:paraId="72690AAC" w14:textId="77777777" w:rsidTr="00AF62DF">
        <w:tc>
          <w:tcPr>
            <w:tcW w:w="2157" w:type="dxa"/>
            <w:tcBorders>
              <w:top w:val="outset" w:sz="6" w:space="0" w:color="auto"/>
              <w:left w:val="outset" w:sz="6" w:space="0" w:color="auto"/>
              <w:bottom w:val="single" w:sz="4" w:space="0" w:color="auto"/>
              <w:right w:val="outset" w:sz="6" w:space="0" w:color="auto"/>
            </w:tcBorders>
            <w:hideMark/>
          </w:tcPr>
          <w:p w14:paraId="24796894" w14:textId="77777777" w:rsidR="00A628C0" w:rsidRPr="00031671" w:rsidRDefault="00A628C0" w:rsidP="000A11DE">
            <w:pPr>
              <w:ind w:left="0" w:firstLine="0"/>
              <w:rPr>
                <w:b/>
                <w:bCs/>
                <w:iCs/>
              </w:rPr>
            </w:pPr>
            <w:r w:rsidRPr="00031671">
              <w:rPr>
                <w:b/>
                <w:bCs/>
                <w:iCs/>
              </w:rPr>
              <w:t>Poruchy pečene a žlčových ciest</w:t>
            </w:r>
          </w:p>
        </w:tc>
        <w:tc>
          <w:tcPr>
            <w:tcW w:w="2126" w:type="dxa"/>
            <w:tcBorders>
              <w:top w:val="outset" w:sz="6" w:space="0" w:color="auto"/>
              <w:left w:val="outset" w:sz="6" w:space="0" w:color="auto"/>
              <w:bottom w:val="outset" w:sz="6" w:space="0" w:color="auto"/>
              <w:right w:val="outset" w:sz="6" w:space="0" w:color="auto"/>
            </w:tcBorders>
          </w:tcPr>
          <w:p w14:paraId="60ADBDD8" w14:textId="77777777" w:rsidR="00A628C0" w:rsidRPr="00031671" w:rsidRDefault="00A628C0" w:rsidP="00D428DD">
            <w:pPr>
              <w:rPr>
                <w:color w:val="000000"/>
              </w:rPr>
            </w:pPr>
            <w:r w:rsidRPr="00031671">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0458FDA2" w14:textId="77777777" w:rsidR="00A628C0" w:rsidRPr="00031671" w:rsidRDefault="00A628C0" w:rsidP="00D428DD">
            <w:pPr>
              <w:rPr>
                <w:bCs/>
                <w:iCs/>
              </w:rPr>
            </w:pPr>
            <w:r w:rsidRPr="00031671">
              <w:rPr>
                <w:bCs/>
                <w:iCs/>
              </w:rPr>
              <w:t>hepatitída,</w:t>
            </w:r>
          </w:p>
          <w:p w14:paraId="6506F47C" w14:textId="77777777" w:rsidR="00A628C0" w:rsidRPr="00031671" w:rsidRDefault="00A628C0" w:rsidP="00D428DD">
            <w:pPr>
              <w:rPr>
                <w:color w:val="000000"/>
              </w:rPr>
            </w:pPr>
            <w:r w:rsidRPr="00031671">
              <w:rPr>
                <w:color w:val="000000"/>
              </w:rPr>
              <w:t>žltačka,</w:t>
            </w:r>
          </w:p>
          <w:p w14:paraId="56DE2192" w14:textId="77777777" w:rsidR="00A628C0" w:rsidRPr="00031671" w:rsidRDefault="00A628C0" w:rsidP="00D428DD">
            <w:pPr>
              <w:rPr>
                <w:color w:val="000000"/>
                <w:vertAlign w:val="superscript"/>
              </w:rPr>
            </w:pPr>
            <w:r w:rsidRPr="00031671">
              <w:rPr>
                <w:color w:val="000000"/>
              </w:rPr>
              <w:t>zvýšenie pečeňových enzýmov</w:t>
            </w:r>
            <w:r w:rsidRPr="00031671">
              <w:rPr>
                <w:color w:val="000000"/>
                <w:vertAlign w:val="superscript"/>
              </w:rPr>
              <w:t>*</w:t>
            </w:r>
          </w:p>
        </w:tc>
        <w:tc>
          <w:tcPr>
            <w:tcW w:w="3047" w:type="dxa"/>
            <w:tcBorders>
              <w:top w:val="outset" w:sz="6" w:space="0" w:color="auto"/>
              <w:left w:val="outset" w:sz="6" w:space="0" w:color="auto"/>
              <w:bottom w:val="outset" w:sz="6" w:space="0" w:color="auto"/>
              <w:right w:val="outset" w:sz="6" w:space="0" w:color="auto"/>
            </w:tcBorders>
          </w:tcPr>
          <w:p w14:paraId="22BAC6CA" w14:textId="77777777" w:rsidR="00A628C0" w:rsidRPr="00031671" w:rsidRDefault="00A628C0" w:rsidP="000A11DE">
            <w:pPr>
              <w:ind w:left="0" w:firstLine="0"/>
              <w:rPr>
                <w:color w:val="000000"/>
              </w:rPr>
            </w:pPr>
            <w:r w:rsidRPr="00031671">
              <w:rPr>
                <w:bCs/>
                <w:iCs/>
              </w:rPr>
              <w:t>hepatitída, cytolytická alebo cholestatická (pozri časť 4.4)</w:t>
            </w:r>
          </w:p>
        </w:tc>
      </w:tr>
      <w:tr w:rsidR="00A628C0" w:rsidRPr="00031671" w14:paraId="24AF1D90" w14:textId="77777777" w:rsidTr="00AF62DF">
        <w:tc>
          <w:tcPr>
            <w:tcW w:w="2157" w:type="dxa"/>
            <w:vMerge w:val="restart"/>
            <w:tcBorders>
              <w:top w:val="single" w:sz="4" w:space="0" w:color="auto"/>
              <w:left w:val="single" w:sz="4" w:space="0" w:color="auto"/>
              <w:right w:val="single" w:sz="4" w:space="0" w:color="auto"/>
            </w:tcBorders>
            <w:hideMark/>
          </w:tcPr>
          <w:p w14:paraId="42CB59C7" w14:textId="77777777" w:rsidR="00A628C0" w:rsidRPr="00031671" w:rsidRDefault="00A628C0" w:rsidP="001D2513">
            <w:pPr>
              <w:ind w:left="0" w:firstLine="0"/>
              <w:rPr>
                <w:b/>
                <w:bCs/>
                <w:iCs/>
              </w:rPr>
            </w:pPr>
            <w:r w:rsidRPr="00031671">
              <w:rPr>
                <w:b/>
                <w:bCs/>
                <w:iCs/>
              </w:rPr>
              <w:t>Poruchy kože a podkožného tkaniva</w:t>
            </w:r>
          </w:p>
        </w:tc>
        <w:tc>
          <w:tcPr>
            <w:tcW w:w="2126" w:type="dxa"/>
            <w:tcBorders>
              <w:top w:val="outset" w:sz="6" w:space="0" w:color="auto"/>
              <w:left w:val="single" w:sz="4" w:space="0" w:color="auto"/>
              <w:bottom w:val="outset" w:sz="6" w:space="0" w:color="auto"/>
              <w:right w:val="outset" w:sz="6" w:space="0" w:color="auto"/>
            </w:tcBorders>
          </w:tcPr>
          <w:p w14:paraId="0E3FF359" w14:textId="77777777" w:rsidR="00A628C0" w:rsidRPr="00031671" w:rsidRDefault="00A628C0" w:rsidP="00D428DD">
            <w:pPr>
              <w:rPr>
                <w:color w:val="000000"/>
              </w:rPr>
            </w:pPr>
            <w:r w:rsidRPr="00031671">
              <w:rPr>
                <w:bCs/>
                <w:iCs/>
              </w:rPr>
              <w:t>Časté</w:t>
            </w:r>
          </w:p>
        </w:tc>
        <w:tc>
          <w:tcPr>
            <w:tcW w:w="2906" w:type="dxa"/>
            <w:tcBorders>
              <w:top w:val="outset" w:sz="6" w:space="0" w:color="auto"/>
              <w:left w:val="outset" w:sz="6" w:space="0" w:color="auto"/>
              <w:bottom w:val="outset" w:sz="6" w:space="0" w:color="auto"/>
              <w:right w:val="outset" w:sz="6" w:space="0" w:color="auto"/>
            </w:tcBorders>
          </w:tcPr>
          <w:p w14:paraId="46675ED2" w14:textId="77777777" w:rsidR="00A628C0" w:rsidRPr="00031671" w:rsidRDefault="00A628C0" w:rsidP="00D428DD">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06AD6EB1" w14:textId="77777777" w:rsidR="00A628C0" w:rsidRPr="00031671" w:rsidRDefault="00A628C0" w:rsidP="000A11DE">
            <w:pPr>
              <w:ind w:left="0" w:firstLine="0"/>
              <w:rPr>
                <w:color w:val="000000"/>
              </w:rPr>
            </w:pPr>
            <w:r w:rsidRPr="00031671">
              <w:rPr>
                <w:color w:val="000000"/>
              </w:rPr>
              <w:t>pruritus,</w:t>
            </w:r>
          </w:p>
          <w:p w14:paraId="467C2BF5" w14:textId="77777777" w:rsidR="00A628C0" w:rsidRPr="00031671" w:rsidRDefault="00A628C0" w:rsidP="000A11DE">
            <w:pPr>
              <w:ind w:left="0" w:firstLine="0"/>
              <w:rPr>
                <w:color w:val="000000"/>
              </w:rPr>
            </w:pPr>
            <w:r w:rsidRPr="00031671">
              <w:rPr>
                <w:color w:val="000000"/>
              </w:rPr>
              <w:t>vyrážka</w:t>
            </w:r>
          </w:p>
        </w:tc>
      </w:tr>
      <w:tr w:rsidR="00A628C0" w:rsidRPr="00031671" w14:paraId="2A5688DA" w14:textId="77777777" w:rsidTr="00AF62DF">
        <w:tc>
          <w:tcPr>
            <w:tcW w:w="2157" w:type="dxa"/>
            <w:vMerge/>
            <w:tcBorders>
              <w:top w:val="outset" w:sz="6" w:space="0" w:color="auto"/>
              <w:left w:val="single" w:sz="4" w:space="0" w:color="auto"/>
              <w:right w:val="single" w:sz="4" w:space="0" w:color="auto"/>
            </w:tcBorders>
            <w:hideMark/>
          </w:tcPr>
          <w:p w14:paraId="6D0DE2B2" w14:textId="77777777" w:rsidR="00A628C0" w:rsidRPr="00031671" w:rsidRDefault="00A628C0" w:rsidP="00D428DD">
            <w:pPr>
              <w:rPr>
                <w:b/>
                <w:bCs/>
                <w:iCs/>
              </w:rPr>
            </w:pPr>
          </w:p>
        </w:tc>
        <w:tc>
          <w:tcPr>
            <w:tcW w:w="2126" w:type="dxa"/>
            <w:tcBorders>
              <w:top w:val="outset" w:sz="6" w:space="0" w:color="auto"/>
              <w:left w:val="single" w:sz="4" w:space="0" w:color="auto"/>
              <w:bottom w:val="outset" w:sz="6" w:space="0" w:color="auto"/>
              <w:right w:val="outset" w:sz="6" w:space="0" w:color="auto"/>
            </w:tcBorders>
          </w:tcPr>
          <w:p w14:paraId="48BEA825" w14:textId="77777777" w:rsidR="00A628C0" w:rsidRPr="00031671" w:rsidRDefault="00A628C0" w:rsidP="00D428DD">
            <w:pPr>
              <w:rPr>
                <w:bCs/>
                <w:iCs/>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5545796B" w14:textId="77777777" w:rsidR="00A628C0" w:rsidRPr="00031671" w:rsidRDefault="00A628C0" w:rsidP="005A0007">
            <w:pPr>
              <w:rPr>
                <w:color w:val="000000"/>
              </w:rPr>
            </w:pPr>
            <w:r w:rsidRPr="00031671">
              <w:rPr>
                <w:color w:val="000000"/>
              </w:rPr>
              <w:t>alopécia,</w:t>
            </w:r>
          </w:p>
          <w:p w14:paraId="654FDFE0" w14:textId="77777777" w:rsidR="00A628C0" w:rsidRPr="00031671" w:rsidRDefault="00A628C0" w:rsidP="005A0007">
            <w:pPr>
              <w:rPr>
                <w:color w:val="000000"/>
              </w:rPr>
            </w:pPr>
            <w:r w:rsidRPr="00031671">
              <w:rPr>
                <w:color w:val="000000"/>
              </w:rPr>
              <w:t>purpura,</w:t>
            </w:r>
          </w:p>
          <w:p w14:paraId="444C84B1" w14:textId="77777777" w:rsidR="00A628C0" w:rsidRPr="00031671" w:rsidRDefault="00A628C0" w:rsidP="005A0007">
            <w:pPr>
              <w:rPr>
                <w:color w:val="000000"/>
              </w:rPr>
            </w:pPr>
            <w:r w:rsidRPr="00031671">
              <w:rPr>
                <w:bCs/>
                <w:iCs/>
              </w:rPr>
              <w:t>zmena sfarbenia kože,</w:t>
            </w:r>
          </w:p>
          <w:p w14:paraId="468B5EDB" w14:textId="77777777" w:rsidR="00A628C0" w:rsidRPr="00031671" w:rsidRDefault="00A628C0" w:rsidP="005A0007">
            <w:pPr>
              <w:rPr>
                <w:bCs/>
                <w:iCs/>
              </w:rPr>
            </w:pPr>
            <w:r w:rsidRPr="00031671">
              <w:rPr>
                <w:bCs/>
                <w:iCs/>
              </w:rPr>
              <w:t>hyperhidróza,</w:t>
            </w:r>
          </w:p>
          <w:p w14:paraId="6BC2C841" w14:textId="77777777" w:rsidR="00A628C0" w:rsidRPr="00031671" w:rsidRDefault="00A628C0" w:rsidP="005A0007">
            <w:pPr>
              <w:rPr>
                <w:color w:val="000000"/>
              </w:rPr>
            </w:pPr>
            <w:r w:rsidRPr="00031671">
              <w:rPr>
                <w:color w:val="000000"/>
              </w:rPr>
              <w:t>pruritus,</w:t>
            </w:r>
          </w:p>
          <w:p w14:paraId="2A895782" w14:textId="77777777" w:rsidR="00A628C0" w:rsidRPr="00031671" w:rsidRDefault="00A628C0" w:rsidP="005A0007">
            <w:pPr>
              <w:rPr>
                <w:color w:val="000000"/>
              </w:rPr>
            </w:pPr>
            <w:r w:rsidRPr="00031671">
              <w:rPr>
                <w:color w:val="000000"/>
              </w:rPr>
              <w:t>vyrážka,</w:t>
            </w:r>
          </w:p>
          <w:p w14:paraId="71EECD4C" w14:textId="77777777" w:rsidR="00A628C0" w:rsidRPr="00031671" w:rsidRDefault="00A628C0" w:rsidP="005A0007">
            <w:pPr>
              <w:rPr>
                <w:bCs/>
                <w:iCs/>
              </w:rPr>
            </w:pPr>
            <w:r w:rsidRPr="00031671">
              <w:rPr>
                <w:bCs/>
                <w:iCs/>
              </w:rPr>
              <w:t>exantém,</w:t>
            </w:r>
          </w:p>
          <w:p w14:paraId="7146C9DA" w14:textId="77777777" w:rsidR="00A628C0" w:rsidRPr="00031671" w:rsidRDefault="00A628C0" w:rsidP="005A0007">
            <w:pPr>
              <w:rPr>
                <w:color w:val="000000"/>
              </w:rPr>
            </w:pPr>
            <w:r w:rsidRPr="00031671">
              <w:rPr>
                <w:color w:val="000000"/>
              </w:rPr>
              <w:t>urtikária</w:t>
            </w:r>
          </w:p>
        </w:tc>
        <w:tc>
          <w:tcPr>
            <w:tcW w:w="3047" w:type="dxa"/>
            <w:tcBorders>
              <w:top w:val="outset" w:sz="6" w:space="0" w:color="auto"/>
              <w:left w:val="outset" w:sz="6" w:space="0" w:color="auto"/>
              <w:bottom w:val="outset" w:sz="6" w:space="0" w:color="auto"/>
              <w:right w:val="outset" w:sz="6" w:space="0" w:color="auto"/>
            </w:tcBorders>
          </w:tcPr>
          <w:p w14:paraId="43BAA9F4" w14:textId="77777777" w:rsidR="00A628C0" w:rsidRPr="00031671" w:rsidRDefault="00A628C0" w:rsidP="000A11DE">
            <w:pPr>
              <w:ind w:left="0" w:firstLine="0"/>
              <w:rPr>
                <w:bCs/>
                <w:iCs/>
              </w:rPr>
            </w:pPr>
            <w:r w:rsidRPr="00031671">
              <w:rPr>
                <w:bCs/>
                <w:iCs/>
              </w:rPr>
              <w:t>urtikária (pozri časť 4.4),</w:t>
            </w:r>
          </w:p>
          <w:p w14:paraId="6B16D5EC" w14:textId="77777777" w:rsidR="00A628C0" w:rsidRPr="00031671" w:rsidRDefault="00A628C0" w:rsidP="000A11DE">
            <w:pPr>
              <w:ind w:left="0" w:firstLine="0"/>
            </w:pPr>
            <w:r w:rsidRPr="00031671">
              <w:rPr>
                <w:bCs/>
                <w:iCs/>
              </w:rPr>
              <w:t xml:space="preserve">angioedém tváre, končatín, pier, </w:t>
            </w:r>
            <w:r w:rsidRPr="00031671">
              <w:t>slizníc, jazyka, hlasiviek a/alebo hrtana (pozri časť 4.4),</w:t>
            </w:r>
          </w:p>
          <w:p w14:paraId="6619A83B" w14:textId="77777777" w:rsidR="00A628C0" w:rsidRPr="00031671" w:rsidRDefault="00A628C0" w:rsidP="000A11DE">
            <w:pPr>
              <w:ind w:left="0" w:firstLine="0"/>
              <w:rPr>
                <w:bCs/>
                <w:iCs/>
              </w:rPr>
            </w:pPr>
            <w:r w:rsidRPr="00031671">
              <w:rPr>
                <w:bCs/>
                <w:iCs/>
              </w:rPr>
              <w:t>fotosenzitívne reakcie</w:t>
            </w:r>
            <w:r w:rsidRPr="00031671">
              <w:rPr>
                <w:color w:val="000000"/>
                <w:vertAlign w:val="superscript"/>
              </w:rPr>
              <w:t>**</w:t>
            </w:r>
            <w:r w:rsidRPr="00031671">
              <w:rPr>
                <w:bCs/>
                <w:iCs/>
              </w:rPr>
              <w:t>,</w:t>
            </w:r>
          </w:p>
          <w:p w14:paraId="0157D60D" w14:textId="77777777" w:rsidR="00A628C0" w:rsidRPr="00031671" w:rsidRDefault="00A628C0" w:rsidP="000A11DE">
            <w:pPr>
              <w:ind w:left="0" w:firstLine="0"/>
              <w:rPr>
                <w:bCs/>
                <w:iCs/>
              </w:rPr>
            </w:pPr>
            <w:r w:rsidRPr="00031671">
              <w:rPr>
                <w:bCs/>
                <w:iCs/>
              </w:rPr>
              <w:t>pemfigoid</w:t>
            </w:r>
            <w:r w:rsidRPr="00031671">
              <w:rPr>
                <w:color w:val="000000"/>
                <w:vertAlign w:val="superscript"/>
              </w:rPr>
              <w:t>**</w:t>
            </w:r>
            <w:r w:rsidRPr="00031671">
              <w:rPr>
                <w:bCs/>
                <w:iCs/>
              </w:rPr>
              <w:t>,</w:t>
            </w:r>
          </w:p>
          <w:p w14:paraId="21BB5271" w14:textId="77777777" w:rsidR="00A628C0" w:rsidRPr="00031671" w:rsidRDefault="00A628C0" w:rsidP="000A11DE">
            <w:pPr>
              <w:ind w:left="0" w:firstLine="0"/>
              <w:rPr>
                <w:color w:val="000000"/>
              </w:rPr>
            </w:pPr>
            <w:r w:rsidRPr="00031671">
              <w:rPr>
                <w:bCs/>
                <w:iCs/>
              </w:rPr>
              <w:t>hyperhidróza</w:t>
            </w:r>
          </w:p>
        </w:tc>
      </w:tr>
      <w:tr w:rsidR="00A628C0" w:rsidRPr="00031671" w14:paraId="2966B4C8" w14:textId="77777777" w:rsidTr="00AF62DF">
        <w:tc>
          <w:tcPr>
            <w:tcW w:w="2157" w:type="dxa"/>
            <w:vMerge/>
            <w:tcBorders>
              <w:left w:val="single" w:sz="4" w:space="0" w:color="auto"/>
              <w:right w:val="single" w:sz="4" w:space="0" w:color="auto"/>
            </w:tcBorders>
            <w:hideMark/>
          </w:tcPr>
          <w:p w14:paraId="54CCE355" w14:textId="77777777" w:rsidR="00A628C0" w:rsidRPr="00031671" w:rsidRDefault="00A628C0" w:rsidP="00D428DD">
            <w:pPr>
              <w:rPr>
                <w:color w:val="000000"/>
              </w:rPr>
            </w:pPr>
          </w:p>
        </w:tc>
        <w:tc>
          <w:tcPr>
            <w:tcW w:w="2126" w:type="dxa"/>
            <w:tcBorders>
              <w:top w:val="outset" w:sz="6" w:space="0" w:color="auto"/>
              <w:left w:val="single" w:sz="4" w:space="0" w:color="auto"/>
              <w:bottom w:val="single" w:sz="4" w:space="0" w:color="auto"/>
              <w:right w:val="outset" w:sz="6" w:space="0" w:color="auto"/>
            </w:tcBorders>
          </w:tcPr>
          <w:p w14:paraId="533A04B0" w14:textId="77777777" w:rsidR="00A628C0" w:rsidRPr="00031671" w:rsidRDefault="00A628C0" w:rsidP="00D428DD">
            <w:pPr>
              <w:rPr>
                <w:color w:val="000000"/>
              </w:rPr>
            </w:pPr>
            <w:r w:rsidRPr="00031671">
              <w:rPr>
                <w:color w:val="000000"/>
              </w:rPr>
              <w:t>zriedkavé</w:t>
            </w:r>
          </w:p>
        </w:tc>
        <w:tc>
          <w:tcPr>
            <w:tcW w:w="2906" w:type="dxa"/>
            <w:tcBorders>
              <w:top w:val="outset" w:sz="6" w:space="0" w:color="auto"/>
              <w:left w:val="outset" w:sz="6" w:space="0" w:color="auto"/>
              <w:bottom w:val="single" w:sz="4" w:space="0" w:color="auto"/>
              <w:right w:val="outset" w:sz="6" w:space="0" w:color="auto"/>
            </w:tcBorders>
          </w:tcPr>
          <w:p w14:paraId="73D2BD22" w14:textId="77777777" w:rsidR="00A628C0" w:rsidRPr="00031671" w:rsidRDefault="00A628C0" w:rsidP="00D428DD">
            <w:pPr>
              <w:rPr>
                <w:color w:val="000000"/>
              </w:rPr>
            </w:pPr>
          </w:p>
        </w:tc>
        <w:tc>
          <w:tcPr>
            <w:tcW w:w="3047" w:type="dxa"/>
            <w:tcBorders>
              <w:top w:val="outset" w:sz="6" w:space="0" w:color="auto"/>
              <w:left w:val="outset" w:sz="6" w:space="0" w:color="auto"/>
              <w:bottom w:val="single" w:sz="4" w:space="0" w:color="auto"/>
              <w:right w:val="outset" w:sz="6" w:space="0" w:color="auto"/>
            </w:tcBorders>
          </w:tcPr>
          <w:p w14:paraId="76AEC273" w14:textId="77777777" w:rsidR="00A628C0" w:rsidRPr="00031671" w:rsidRDefault="00A628C0" w:rsidP="00E331D3">
            <w:pPr>
              <w:rPr>
                <w:color w:val="000000"/>
              </w:rPr>
            </w:pPr>
            <w:r w:rsidRPr="00031671">
              <w:rPr>
                <w:color w:val="000000"/>
              </w:rPr>
              <w:t>zhoršenie psoriázy</w:t>
            </w:r>
          </w:p>
        </w:tc>
      </w:tr>
      <w:tr w:rsidR="00A628C0" w:rsidRPr="00031671" w14:paraId="7C470C2F" w14:textId="77777777" w:rsidTr="00506927">
        <w:tc>
          <w:tcPr>
            <w:tcW w:w="2157" w:type="dxa"/>
            <w:vMerge/>
            <w:tcBorders>
              <w:left w:val="single" w:sz="4" w:space="0" w:color="auto"/>
              <w:bottom w:val="nil"/>
              <w:right w:val="single" w:sz="4" w:space="0" w:color="auto"/>
            </w:tcBorders>
            <w:hideMark/>
          </w:tcPr>
          <w:p w14:paraId="643231FF" w14:textId="77777777" w:rsidR="00A628C0" w:rsidRPr="00031671" w:rsidRDefault="00A628C0" w:rsidP="00D428DD">
            <w:pPr>
              <w:rPr>
                <w:color w:val="000000"/>
              </w:rPr>
            </w:pPr>
          </w:p>
        </w:tc>
        <w:tc>
          <w:tcPr>
            <w:tcW w:w="2126" w:type="dxa"/>
            <w:tcBorders>
              <w:top w:val="single" w:sz="4" w:space="0" w:color="auto"/>
              <w:left w:val="single" w:sz="4" w:space="0" w:color="auto"/>
              <w:bottom w:val="outset" w:sz="6" w:space="0" w:color="auto"/>
              <w:right w:val="single" w:sz="4" w:space="0" w:color="auto"/>
            </w:tcBorders>
          </w:tcPr>
          <w:p w14:paraId="74B4FF91" w14:textId="77777777" w:rsidR="00A628C0" w:rsidRPr="00031671" w:rsidRDefault="00A628C0" w:rsidP="00D428DD">
            <w:pPr>
              <w:rPr>
                <w:color w:val="000000"/>
              </w:rPr>
            </w:pPr>
            <w:r w:rsidRPr="00031671">
              <w:rPr>
                <w:bCs/>
                <w:iCs/>
              </w:rPr>
              <w:t>veľmi zriedkavé</w:t>
            </w:r>
          </w:p>
        </w:tc>
        <w:tc>
          <w:tcPr>
            <w:tcW w:w="2906" w:type="dxa"/>
            <w:tcBorders>
              <w:top w:val="single" w:sz="4" w:space="0" w:color="auto"/>
              <w:left w:val="single" w:sz="4" w:space="0" w:color="auto"/>
              <w:bottom w:val="outset" w:sz="6" w:space="0" w:color="auto"/>
              <w:right w:val="single" w:sz="4" w:space="0" w:color="auto"/>
            </w:tcBorders>
          </w:tcPr>
          <w:p w14:paraId="5EBD4826" w14:textId="77777777" w:rsidR="00A628C0" w:rsidRPr="00031671" w:rsidRDefault="00A628C0" w:rsidP="00D428DD">
            <w:pPr>
              <w:rPr>
                <w:bCs/>
                <w:iCs/>
              </w:rPr>
            </w:pPr>
            <w:r w:rsidRPr="00031671">
              <w:rPr>
                <w:bCs/>
                <w:iCs/>
              </w:rPr>
              <w:t>angioedém,</w:t>
            </w:r>
          </w:p>
          <w:p w14:paraId="1E85B7FE" w14:textId="77777777" w:rsidR="00A628C0" w:rsidRPr="00031671" w:rsidRDefault="00A628C0" w:rsidP="00D428DD">
            <w:pPr>
              <w:rPr>
                <w:bCs/>
                <w:iCs/>
              </w:rPr>
            </w:pPr>
            <w:r w:rsidRPr="00031671">
              <w:rPr>
                <w:bCs/>
                <w:iCs/>
              </w:rPr>
              <w:t>multiformný erytém,</w:t>
            </w:r>
          </w:p>
          <w:p w14:paraId="0AF04B1E" w14:textId="77777777" w:rsidR="00A628C0" w:rsidRPr="00031671" w:rsidRDefault="00A628C0" w:rsidP="00D428DD">
            <w:pPr>
              <w:rPr>
                <w:bCs/>
                <w:iCs/>
              </w:rPr>
            </w:pPr>
            <w:r w:rsidRPr="00031671">
              <w:rPr>
                <w:bCs/>
                <w:iCs/>
              </w:rPr>
              <w:t>exfoliatívna dermatitída,</w:t>
            </w:r>
          </w:p>
          <w:p w14:paraId="3F7E6815" w14:textId="77777777" w:rsidR="00A628C0" w:rsidRPr="00031671" w:rsidRDefault="00A628C0" w:rsidP="00D428DD">
            <w:pPr>
              <w:rPr>
                <w:bCs/>
                <w:iCs/>
              </w:rPr>
            </w:pPr>
            <w:r w:rsidRPr="00031671">
              <w:rPr>
                <w:bCs/>
                <w:iCs/>
              </w:rPr>
              <w:t>Stevensov-Johnsonov syndróm,</w:t>
            </w:r>
          </w:p>
          <w:p w14:paraId="6F6BD195" w14:textId="77777777" w:rsidR="00A628C0" w:rsidRPr="00031671" w:rsidRDefault="00A628C0" w:rsidP="00D428DD">
            <w:pPr>
              <w:rPr>
                <w:bCs/>
                <w:iCs/>
              </w:rPr>
            </w:pPr>
            <w:r w:rsidRPr="00031671">
              <w:rPr>
                <w:bCs/>
                <w:iCs/>
              </w:rPr>
              <w:t>Quinckeho edém,</w:t>
            </w:r>
          </w:p>
          <w:p w14:paraId="165426CF" w14:textId="77777777" w:rsidR="00A628C0" w:rsidRPr="00031671" w:rsidRDefault="00A628C0" w:rsidP="00D428DD">
            <w:pPr>
              <w:rPr>
                <w:color w:val="000000"/>
              </w:rPr>
            </w:pPr>
            <w:r w:rsidRPr="00031671">
              <w:rPr>
                <w:bCs/>
                <w:iCs/>
              </w:rPr>
              <w:t>fotosenzitivita</w:t>
            </w:r>
          </w:p>
        </w:tc>
        <w:tc>
          <w:tcPr>
            <w:tcW w:w="3047" w:type="dxa"/>
            <w:tcBorders>
              <w:top w:val="single" w:sz="4" w:space="0" w:color="auto"/>
              <w:left w:val="single" w:sz="4" w:space="0" w:color="auto"/>
              <w:bottom w:val="outset" w:sz="6" w:space="0" w:color="auto"/>
              <w:right w:val="single" w:sz="4" w:space="0" w:color="auto"/>
            </w:tcBorders>
          </w:tcPr>
          <w:p w14:paraId="35619968" w14:textId="77777777" w:rsidR="00A628C0" w:rsidRPr="00031671" w:rsidRDefault="00A628C0" w:rsidP="00D428DD">
            <w:pPr>
              <w:rPr>
                <w:color w:val="000000"/>
              </w:rPr>
            </w:pPr>
            <w:r w:rsidRPr="00031671">
              <w:rPr>
                <w:bCs/>
                <w:iCs/>
              </w:rPr>
              <w:t>multiformný erytém</w:t>
            </w:r>
          </w:p>
        </w:tc>
      </w:tr>
      <w:tr w:rsidR="003067E7" w:rsidRPr="00E351FD" w14:paraId="5B2BB574" w14:textId="77777777" w:rsidTr="00506927">
        <w:tc>
          <w:tcPr>
            <w:tcW w:w="2157" w:type="dxa"/>
            <w:tcBorders>
              <w:top w:val="nil"/>
              <w:left w:val="single" w:sz="4" w:space="0" w:color="auto"/>
              <w:bottom w:val="single" w:sz="4" w:space="0" w:color="auto"/>
              <w:right w:val="single" w:sz="4" w:space="0" w:color="auto"/>
            </w:tcBorders>
          </w:tcPr>
          <w:p w14:paraId="60B5EA17" w14:textId="77777777" w:rsidR="003067E7" w:rsidRPr="00E351FD" w:rsidRDefault="003067E7" w:rsidP="00D428DD">
            <w:pPr>
              <w:rPr>
                <w:color w:val="000000"/>
              </w:rPr>
            </w:pPr>
          </w:p>
        </w:tc>
        <w:tc>
          <w:tcPr>
            <w:tcW w:w="2126" w:type="dxa"/>
            <w:tcBorders>
              <w:top w:val="outset" w:sz="6" w:space="0" w:color="auto"/>
              <w:left w:val="single" w:sz="4" w:space="0" w:color="auto"/>
              <w:bottom w:val="single" w:sz="4" w:space="0" w:color="auto"/>
              <w:right w:val="single" w:sz="4" w:space="0" w:color="auto"/>
            </w:tcBorders>
          </w:tcPr>
          <w:p w14:paraId="3DE25B15" w14:textId="77777777" w:rsidR="003067E7" w:rsidRPr="00E351FD" w:rsidRDefault="003067E7" w:rsidP="003067E7">
            <w:pPr>
              <w:rPr>
                <w:bCs/>
                <w:iCs/>
              </w:rPr>
            </w:pPr>
            <w:r>
              <w:rPr>
                <w:bCs/>
                <w:iCs/>
              </w:rPr>
              <w:t>n</w:t>
            </w:r>
            <w:r w:rsidRPr="003067E7">
              <w:rPr>
                <w:bCs/>
                <w:iCs/>
              </w:rPr>
              <w:t>eznáme</w:t>
            </w:r>
          </w:p>
        </w:tc>
        <w:tc>
          <w:tcPr>
            <w:tcW w:w="2906" w:type="dxa"/>
            <w:tcBorders>
              <w:top w:val="outset" w:sz="6" w:space="0" w:color="auto"/>
              <w:left w:val="single" w:sz="4" w:space="0" w:color="auto"/>
              <w:bottom w:val="single" w:sz="4" w:space="0" w:color="auto"/>
              <w:right w:val="single" w:sz="4" w:space="0" w:color="auto"/>
            </w:tcBorders>
          </w:tcPr>
          <w:p w14:paraId="2FCD0F98" w14:textId="77777777" w:rsidR="003067E7" w:rsidRPr="00E351FD" w:rsidRDefault="003067E7" w:rsidP="003067E7">
            <w:pPr>
              <w:rPr>
                <w:bCs/>
                <w:iCs/>
              </w:rPr>
            </w:pPr>
            <w:r>
              <w:rPr>
                <w:bCs/>
                <w:iCs/>
              </w:rPr>
              <w:t>t</w:t>
            </w:r>
            <w:r w:rsidRPr="003067E7">
              <w:rPr>
                <w:bCs/>
                <w:iCs/>
              </w:rPr>
              <w:t>oxická epidermálna nekrolýza</w:t>
            </w:r>
          </w:p>
        </w:tc>
        <w:tc>
          <w:tcPr>
            <w:tcW w:w="3047" w:type="dxa"/>
            <w:tcBorders>
              <w:top w:val="outset" w:sz="6" w:space="0" w:color="auto"/>
              <w:left w:val="single" w:sz="4" w:space="0" w:color="auto"/>
              <w:bottom w:val="single" w:sz="4" w:space="0" w:color="auto"/>
              <w:right w:val="single" w:sz="4" w:space="0" w:color="auto"/>
            </w:tcBorders>
          </w:tcPr>
          <w:p w14:paraId="68DC0153" w14:textId="77777777" w:rsidR="003067E7" w:rsidRPr="00E351FD" w:rsidRDefault="003067E7" w:rsidP="00D428DD">
            <w:pPr>
              <w:rPr>
                <w:bCs/>
                <w:iCs/>
              </w:rPr>
            </w:pPr>
          </w:p>
        </w:tc>
      </w:tr>
      <w:tr w:rsidR="00A628C0" w:rsidRPr="00031671" w14:paraId="32EF52BF" w14:textId="77777777" w:rsidTr="00506927">
        <w:tc>
          <w:tcPr>
            <w:tcW w:w="2157" w:type="dxa"/>
            <w:vMerge w:val="restart"/>
            <w:tcBorders>
              <w:top w:val="single" w:sz="4" w:space="0" w:color="auto"/>
              <w:left w:val="single" w:sz="4" w:space="0" w:color="auto"/>
              <w:bottom w:val="single" w:sz="4" w:space="0" w:color="auto"/>
              <w:right w:val="single" w:sz="4" w:space="0" w:color="auto"/>
            </w:tcBorders>
            <w:hideMark/>
          </w:tcPr>
          <w:p w14:paraId="4CAB6C5F" w14:textId="77777777" w:rsidR="00A628C0" w:rsidRPr="00031671" w:rsidRDefault="00A628C0" w:rsidP="001D2513">
            <w:pPr>
              <w:ind w:left="0" w:firstLine="0"/>
              <w:rPr>
                <w:b/>
                <w:bCs/>
                <w:iCs/>
              </w:rPr>
            </w:pPr>
            <w:r w:rsidRPr="00031671">
              <w:rPr>
                <w:b/>
                <w:bCs/>
                <w:iCs/>
              </w:rPr>
              <w:t>Poruchy kostrovej a svalovej sústavy a spojivového tkaniva</w:t>
            </w:r>
          </w:p>
        </w:tc>
        <w:tc>
          <w:tcPr>
            <w:tcW w:w="2126" w:type="dxa"/>
            <w:tcBorders>
              <w:top w:val="single" w:sz="4" w:space="0" w:color="auto"/>
              <w:left w:val="single" w:sz="4" w:space="0" w:color="auto"/>
              <w:right w:val="single" w:sz="4" w:space="0" w:color="auto"/>
            </w:tcBorders>
          </w:tcPr>
          <w:p w14:paraId="676957BE" w14:textId="77777777" w:rsidR="00A628C0" w:rsidRPr="00031671" w:rsidRDefault="00A628C0" w:rsidP="00D428DD">
            <w:pPr>
              <w:rPr>
                <w:color w:val="000000"/>
              </w:rPr>
            </w:pPr>
            <w:r w:rsidRPr="00031671">
              <w:rPr>
                <w:bCs/>
                <w:iCs/>
              </w:rPr>
              <w:t>časté</w:t>
            </w:r>
          </w:p>
        </w:tc>
        <w:tc>
          <w:tcPr>
            <w:tcW w:w="2906" w:type="dxa"/>
            <w:tcBorders>
              <w:top w:val="single" w:sz="4" w:space="0" w:color="auto"/>
              <w:left w:val="single" w:sz="4" w:space="0" w:color="auto"/>
              <w:bottom w:val="single" w:sz="4" w:space="0" w:color="auto"/>
              <w:right w:val="single" w:sz="4" w:space="0" w:color="auto"/>
            </w:tcBorders>
          </w:tcPr>
          <w:p w14:paraId="4F580F0E" w14:textId="77777777" w:rsidR="00A628C0" w:rsidRPr="00031671" w:rsidRDefault="00A628C0" w:rsidP="00D428DD">
            <w:pPr>
              <w:rPr>
                <w:bCs/>
                <w:iCs/>
              </w:rPr>
            </w:pPr>
            <w:r w:rsidRPr="00031671">
              <w:rPr>
                <w:bCs/>
                <w:iCs/>
              </w:rPr>
              <w:t>opuch členkov,</w:t>
            </w:r>
          </w:p>
          <w:p w14:paraId="00466FAB" w14:textId="77777777" w:rsidR="00A628C0" w:rsidRPr="00031671" w:rsidRDefault="00A628C0" w:rsidP="00D428DD">
            <w:pPr>
              <w:rPr>
                <w:color w:val="000000"/>
              </w:rPr>
            </w:pPr>
            <w:r w:rsidRPr="00031671">
              <w:rPr>
                <w:bCs/>
                <w:iCs/>
              </w:rPr>
              <w:t>svalové kŕče</w:t>
            </w:r>
          </w:p>
        </w:tc>
        <w:tc>
          <w:tcPr>
            <w:tcW w:w="3047" w:type="dxa"/>
            <w:tcBorders>
              <w:top w:val="single" w:sz="4" w:space="0" w:color="auto"/>
              <w:left w:val="single" w:sz="4" w:space="0" w:color="auto"/>
              <w:bottom w:val="single" w:sz="4" w:space="0" w:color="auto"/>
              <w:right w:val="single" w:sz="4" w:space="0" w:color="auto"/>
            </w:tcBorders>
          </w:tcPr>
          <w:p w14:paraId="2936B5F5" w14:textId="77777777" w:rsidR="00A628C0" w:rsidRPr="00031671" w:rsidRDefault="00A628C0" w:rsidP="00D428DD">
            <w:pPr>
              <w:rPr>
                <w:color w:val="000000"/>
              </w:rPr>
            </w:pPr>
            <w:r w:rsidRPr="00031671">
              <w:rPr>
                <w:bCs/>
                <w:iCs/>
              </w:rPr>
              <w:t>svalové kŕče</w:t>
            </w:r>
          </w:p>
        </w:tc>
      </w:tr>
      <w:tr w:rsidR="00A628C0" w:rsidRPr="00031671" w14:paraId="6FCFF413" w14:textId="77777777" w:rsidTr="007E2622">
        <w:tc>
          <w:tcPr>
            <w:tcW w:w="2157" w:type="dxa"/>
            <w:vMerge/>
            <w:tcBorders>
              <w:top w:val="outset" w:sz="6" w:space="0" w:color="auto"/>
              <w:left w:val="single" w:sz="4" w:space="0" w:color="auto"/>
              <w:bottom w:val="single" w:sz="4" w:space="0" w:color="auto"/>
              <w:right w:val="single" w:sz="4" w:space="0" w:color="auto"/>
            </w:tcBorders>
            <w:hideMark/>
          </w:tcPr>
          <w:p w14:paraId="224629FA" w14:textId="77777777" w:rsidR="00A628C0" w:rsidRPr="00031671" w:rsidRDefault="00A628C0" w:rsidP="00D428DD">
            <w:pPr>
              <w:rPr>
                <w:color w:val="000000"/>
              </w:rPr>
            </w:pPr>
          </w:p>
        </w:tc>
        <w:tc>
          <w:tcPr>
            <w:tcW w:w="2126" w:type="dxa"/>
            <w:tcBorders>
              <w:top w:val="outset" w:sz="6" w:space="0" w:color="auto"/>
              <w:left w:val="single" w:sz="4" w:space="0" w:color="auto"/>
              <w:bottom w:val="outset" w:sz="6" w:space="0" w:color="auto"/>
              <w:right w:val="outset" w:sz="6" w:space="0" w:color="auto"/>
            </w:tcBorders>
          </w:tcPr>
          <w:p w14:paraId="78C52552" w14:textId="77777777" w:rsidR="00A628C0" w:rsidRPr="00031671" w:rsidRDefault="00A628C0" w:rsidP="00D428DD">
            <w:pPr>
              <w:rPr>
                <w:color w:val="000000"/>
              </w:rPr>
            </w:pPr>
            <w:r w:rsidRPr="00031671">
              <w:rPr>
                <w:bCs/>
                <w:iCs/>
              </w:rPr>
              <w:t>menej časté</w:t>
            </w:r>
          </w:p>
        </w:tc>
        <w:tc>
          <w:tcPr>
            <w:tcW w:w="2906" w:type="dxa"/>
            <w:tcBorders>
              <w:top w:val="single" w:sz="4" w:space="0" w:color="auto"/>
              <w:left w:val="outset" w:sz="6" w:space="0" w:color="auto"/>
              <w:bottom w:val="outset" w:sz="6" w:space="0" w:color="auto"/>
              <w:right w:val="outset" w:sz="6" w:space="0" w:color="auto"/>
            </w:tcBorders>
          </w:tcPr>
          <w:p w14:paraId="3E35C243" w14:textId="77777777" w:rsidR="00A628C0" w:rsidRPr="00031671" w:rsidRDefault="00A628C0" w:rsidP="00D428DD">
            <w:pPr>
              <w:rPr>
                <w:bCs/>
                <w:iCs/>
              </w:rPr>
            </w:pPr>
            <w:r w:rsidRPr="00031671">
              <w:rPr>
                <w:bCs/>
                <w:iCs/>
              </w:rPr>
              <w:t>artralgia,</w:t>
            </w:r>
          </w:p>
          <w:p w14:paraId="2F6A4767" w14:textId="77777777" w:rsidR="00A628C0" w:rsidRPr="00031671" w:rsidRDefault="00A628C0" w:rsidP="00D428DD">
            <w:pPr>
              <w:rPr>
                <w:color w:val="000000"/>
              </w:rPr>
            </w:pPr>
            <w:r w:rsidRPr="00031671">
              <w:rPr>
                <w:color w:val="000000"/>
              </w:rPr>
              <w:t>myalgia,</w:t>
            </w:r>
          </w:p>
          <w:p w14:paraId="1B4203B3" w14:textId="77777777" w:rsidR="00A628C0" w:rsidRPr="00031671" w:rsidRDefault="00A628C0" w:rsidP="00D428DD">
            <w:pPr>
              <w:rPr>
                <w:color w:val="000000"/>
              </w:rPr>
            </w:pPr>
            <w:r w:rsidRPr="00031671">
              <w:rPr>
                <w:color w:val="000000"/>
              </w:rPr>
              <w:t>bolesť chrbta</w:t>
            </w:r>
          </w:p>
        </w:tc>
        <w:tc>
          <w:tcPr>
            <w:tcW w:w="3047" w:type="dxa"/>
            <w:tcBorders>
              <w:top w:val="single" w:sz="4" w:space="0" w:color="auto"/>
              <w:left w:val="outset" w:sz="6" w:space="0" w:color="auto"/>
              <w:bottom w:val="outset" w:sz="6" w:space="0" w:color="auto"/>
              <w:right w:val="outset" w:sz="6" w:space="0" w:color="auto"/>
            </w:tcBorders>
          </w:tcPr>
          <w:p w14:paraId="4E94B63B" w14:textId="77777777" w:rsidR="00A628C0" w:rsidRPr="00031671" w:rsidRDefault="00A628C0" w:rsidP="00D428DD">
            <w:pPr>
              <w:rPr>
                <w:bCs/>
                <w:iCs/>
              </w:rPr>
            </w:pPr>
            <w:r w:rsidRPr="00031671">
              <w:rPr>
                <w:bCs/>
                <w:iCs/>
              </w:rPr>
              <w:t>artralgia</w:t>
            </w:r>
            <w:r w:rsidRPr="00031671">
              <w:rPr>
                <w:color w:val="000000"/>
                <w:vertAlign w:val="superscript"/>
              </w:rPr>
              <w:t>**</w:t>
            </w:r>
            <w:r w:rsidRPr="00031671">
              <w:rPr>
                <w:bCs/>
                <w:iCs/>
              </w:rPr>
              <w:t>,</w:t>
            </w:r>
          </w:p>
          <w:p w14:paraId="3A1FC4DC" w14:textId="77777777" w:rsidR="00A628C0" w:rsidRPr="00031671" w:rsidRDefault="00A628C0" w:rsidP="00D428DD">
            <w:pPr>
              <w:rPr>
                <w:color w:val="000000"/>
              </w:rPr>
            </w:pPr>
            <w:r w:rsidRPr="00031671">
              <w:rPr>
                <w:bCs/>
                <w:iCs/>
              </w:rPr>
              <w:t>myalgia</w:t>
            </w:r>
            <w:r w:rsidRPr="00031671">
              <w:rPr>
                <w:color w:val="000000"/>
                <w:vertAlign w:val="superscript"/>
              </w:rPr>
              <w:t>**</w:t>
            </w:r>
          </w:p>
        </w:tc>
      </w:tr>
      <w:tr w:rsidR="00A628C0" w:rsidRPr="00031671" w14:paraId="21D4698D" w14:textId="77777777" w:rsidTr="007E2622">
        <w:tc>
          <w:tcPr>
            <w:tcW w:w="2157" w:type="dxa"/>
            <w:vMerge w:val="restart"/>
            <w:tcBorders>
              <w:top w:val="single" w:sz="4" w:space="0" w:color="auto"/>
              <w:left w:val="outset" w:sz="6" w:space="0" w:color="auto"/>
              <w:right w:val="outset" w:sz="6" w:space="0" w:color="auto"/>
            </w:tcBorders>
            <w:hideMark/>
          </w:tcPr>
          <w:p w14:paraId="17D37A09" w14:textId="77777777" w:rsidR="00A628C0" w:rsidRPr="00031671" w:rsidRDefault="00A628C0" w:rsidP="001D2513">
            <w:pPr>
              <w:ind w:left="0" w:firstLine="0"/>
              <w:rPr>
                <w:b/>
                <w:bCs/>
                <w:iCs/>
              </w:rPr>
            </w:pPr>
            <w:r w:rsidRPr="00031671">
              <w:rPr>
                <w:b/>
                <w:bCs/>
                <w:iCs/>
              </w:rPr>
              <w:t>Poruchy obličiek a močových ciest</w:t>
            </w:r>
          </w:p>
        </w:tc>
        <w:tc>
          <w:tcPr>
            <w:tcW w:w="2126" w:type="dxa"/>
            <w:tcBorders>
              <w:top w:val="outset" w:sz="6" w:space="0" w:color="auto"/>
              <w:left w:val="outset" w:sz="6" w:space="0" w:color="auto"/>
              <w:bottom w:val="outset" w:sz="6" w:space="0" w:color="auto"/>
              <w:right w:val="outset" w:sz="6" w:space="0" w:color="auto"/>
            </w:tcBorders>
          </w:tcPr>
          <w:p w14:paraId="26FD6BC9" w14:textId="77777777" w:rsidR="00A628C0" w:rsidRPr="00031671" w:rsidRDefault="00A628C0" w:rsidP="00D428DD">
            <w:pPr>
              <w:rPr>
                <w:color w:val="000000"/>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631CC08E" w14:textId="77777777" w:rsidR="00A628C0" w:rsidRPr="00031671" w:rsidRDefault="00A628C0" w:rsidP="00D428DD">
            <w:pPr>
              <w:rPr>
                <w:bCs/>
                <w:iCs/>
              </w:rPr>
            </w:pPr>
            <w:r w:rsidRPr="00031671">
              <w:rPr>
                <w:bCs/>
                <w:iCs/>
              </w:rPr>
              <w:t>poruchy močenia,</w:t>
            </w:r>
          </w:p>
          <w:p w14:paraId="6113ECD0" w14:textId="77777777" w:rsidR="00A628C0" w:rsidRPr="00031671" w:rsidRDefault="00A628C0" w:rsidP="00D428DD">
            <w:pPr>
              <w:rPr>
                <w:bCs/>
                <w:iCs/>
              </w:rPr>
            </w:pPr>
            <w:r w:rsidRPr="00031671">
              <w:rPr>
                <w:bCs/>
                <w:iCs/>
              </w:rPr>
              <w:t>noktúria,</w:t>
            </w:r>
          </w:p>
          <w:p w14:paraId="5470D09C" w14:textId="77777777" w:rsidR="00A628C0" w:rsidRPr="00031671" w:rsidRDefault="00A628C0" w:rsidP="00D428DD">
            <w:pPr>
              <w:rPr>
                <w:color w:val="000000"/>
              </w:rPr>
            </w:pPr>
            <w:r w:rsidRPr="00031671">
              <w:rPr>
                <w:bCs/>
                <w:iCs/>
              </w:rPr>
              <w:t>zvýšená frekvencia močenia</w:t>
            </w:r>
          </w:p>
        </w:tc>
        <w:tc>
          <w:tcPr>
            <w:tcW w:w="3047" w:type="dxa"/>
            <w:tcBorders>
              <w:top w:val="outset" w:sz="6" w:space="0" w:color="auto"/>
              <w:left w:val="outset" w:sz="6" w:space="0" w:color="auto"/>
              <w:bottom w:val="outset" w:sz="6" w:space="0" w:color="auto"/>
              <w:right w:val="outset" w:sz="6" w:space="0" w:color="auto"/>
            </w:tcBorders>
          </w:tcPr>
          <w:p w14:paraId="06FFE3D7" w14:textId="77777777" w:rsidR="00A628C0" w:rsidRPr="00031671" w:rsidRDefault="00A628C0" w:rsidP="00D428DD">
            <w:pPr>
              <w:rPr>
                <w:color w:val="000000"/>
              </w:rPr>
            </w:pPr>
            <w:r w:rsidRPr="00031671">
              <w:rPr>
                <w:color w:val="000000"/>
              </w:rPr>
              <w:t>renálna insuficiencia</w:t>
            </w:r>
          </w:p>
        </w:tc>
      </w:tr>
      <w:tr w:rsidR="00A628C0" w:rsidRPr="00031671" w14:paraId="4ACCF33F" w14:textId="77777777" w:rsidTr="00D428DD">
        <w:tc>
          <w:tcPr>
            <w:tcW w:w="2157" w:type="dxa"/>
            <w:vMerge/>
            <w:tcBorders>
              <w:left w:val="outset" w:sz="6" w:space="0" w:color="auto"/>
              <w:bottom w:val="outset" w:sz="6" w:space="0" w:color="auto"/>
              <w:right w:val="outset" w:sz="6" w:space="0" w:color="auto"/>
            </w:tcBorders>
            <w:hideMark/>
          </w:tcPr>
          <w:p w14:paraId="6CE213C5" w14:textId="77777777" w:rsidR="00A628C0" w:rsidRPr="00031671" w:rsidRDefault="00A628C0" w:rsidP="00D428DD">
            <w:pPr>
              <w:rPr>
                <w:b/>
                <w:bCs/>
                <w:color w:val="000000"/>
              </w:rPr>
            </w:pPr>
          </w:p>
        </w:tc>
        <w:tc>
          <w:tcPr>
            <w:tcW w:w="2126" w:type="dxa"/>
            <w:tcBorders>
              <w:top w:val="outset" w:sz="6" w:space="0" w:color="auto"/>
              <w:left w:val="outset" w:sz="6" w:space="0" w:color="auto"/>
              <w:bottom w:val="outset" w:sz="6" w:space="0" w:color="auto"/>
              <w:right w:val="outset" w:sz="6" w:space="0" w:color="auto"/>
            </w:tcBorders>
          </w:tcPr>
          <w:p w14:paraId="381D6CB2" w14:textId="77777777" w:rsidR="00A628C0" w:rsidRPr="00031671" w:rsidRDefault="00A628C0" w:rsidP="00D428DD">
            <w:pPr>
              <w:rPr>
                <w:color w:val="000000"/>
              </w:rPr>
            </w:pPr>
            <w:r w:rsidRPr="00031671">
              <w:rPr>
                <w:bCs/>
                <w:iCs/>
              </w:rPr>
              <w:t>veľmi zriedkavé</w:t>
            </w:r>
          </w:p>
        </w:tc>
        <w:tc>
          <w:tcPr>
            <w:tcW w:w="2906" w:type="dxa"/>
            <w:tcBorders>
              <w:top w:val="outset" w:sz="6" w:space="0" w:color="auto"/>
              <w:left w:val="outset" w:sz="6" w:space="0" w:color="auto"/>
              <w:bottom w:val="outset" w:sz="6" w:space="0" w:color="auto"/>
              <w:right w:val="outset" w:sz="6" w:space="0" w:color="auto"/>
            </w:tcBorders>
          </w:tcPr>
          <w:p w14:paraId="5BDFB35E" w14:textId="77777777" w:rsidR="00A628C0" w:rsidRPr="00031671" w:rsidRDefault="00A628C0" w:rsidP="00D428DD">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2FF0FAA9" w14:textId="77777777" w:rsidR="00A628C0" w:rsidRPr="00031671" w:rsidRDefault="00A628C0" w:rsidP="00D428DD">
            <w:pPr>
              <w:rPr>
                <w:color w:val="000000"/>
              </w:rPr>
            </w:pPr>
            <w:r w:rsidRPr="00031671">
              <w:rPr>
                <w:bCs/>
                <w:iCs/>
              </w:rPr>
              <w:t>akútne renálne zlyhanie</w:t>
            </w:r>
          </w:p>
        </w:tc>
      </w:tr>
      <w:tr w:rsidR="00A628C0" w:rsidRPr="00031671" w14:paraId="066C9C65" w14:textId="77777777" w:rsidTr="00D428DD">
        <w:tc>
          <w:tcPr>
            <w:tcW w:w="2157" w:type="dxa"/>
            <w:tcBorders>
              <w:top w:val="outset" w:sz="6" w:space="0" w:color="auto"/>
              <w:left w:val="outset" w:sz="6" w:space="0" w:color="auto"/>
              <w:bottom w:val="outset" w:sz="6" w:space="0" w:color="auto"/>
              <w:right w:val="outset" w:sz="6" w:space="0" w:color="auto"/>
            </w:tcBorders>
            <w:hideMark/>
          </w:tcPr>
          <w:p w14:paraId="339C8729" w14:textId="77777777" w:rsidR="00A628C0" w:rsidRPr="00031671" w:rsidRDefault="00A628C0" w:rsidP="001D2513">
            <w:pPr>
              <w:ind w:left="0" w:firstLine="0"/>
              <w:rPr>
                <w:b/>
                <w:bCs/>
                <w:iCs/>
              </w:rPr>
            </w:pPr>
            <w:r w:rsidRPr="00031671">
              <w:rPr>
                <w:b/>
                <w:bCs/>
                <w:iCs/>
              </w:rPr>
              <w:t>Poruchy reprodukčného systému a prsníkov</w:t>
            </w:r>
          </w:p>
        </w:tc>
        <w:tc>
          <w:tcPr>
            <w:tcW w:w="2126" w:type="dxa"/>
            <w:tcBorders>
              <w:top w:val="outset" w:sz="6" w:space="0" w:color="auto"/>
              <w:left w:val="outset" w:sz="6" w:space="0" w:color="auto"/>
              <w:bottom w:val="outset" w:sz="6" w:space="0" w:color="auto"/>
              <w:right w:val="outset" w:sz="6" w:space="0" w:color="auto"/>
            </w:tcBorders>
          </w:tcPr>
          <w:p w14:paraId="16FA107B" w14:textId="77777777" w:rsidR="00A628C0" w:rsidRPr="00031671" w:rsidRDefault="00A628C0" w:rsidP="00D428DD">
            <w:pPr>
              <w:rPr>
                <w:color w:val="000000"/>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1256F755" w14:textId="77777777" w:rsidR="00A628C0" w:rsidRPr="00031671" w:rsidRDefault="00A628C0" w:rsidP="00D428DD">
            <w:pPr>
              <w:rPr>
                <w:bCs/>
                <w:iCs/>
              </w:rPr>
            </w:pPr>
            <w:r w:rsidRPr="00031671">
              <w:rPr>
                <w:bCs/>
                <w:iCs/>
              </w:rPr>
              <w:t>impotencia,</w:t>
            </w:r>
          </w:p>
          <w:p w14:paraId="2D5B37A5" w14:textId="77777777" w:rsidR="00A628C0" w:rsidRPr="00031671" w:rsidRDefault="00A628C0" w:rsidP="00D428DD">
            <w:pPr>
              <w:rPr>
                <w:color w:val="000000"/>
              </w:rPr>
            </w:pPr>
            <w:r w:rsidRPr="00031671">
              <w:rPr>
                <w:bCs/>
                <w:iCs/>
              </w:rPr>
              <w:t>gynekomastia</w:t>
            </w:r>
          </w:p>
        </w:tc>
        <w:tc>
          <w:tcPr>
            <w:tcW w:w="3047" w:type="dxa"/>
            <w:tcBorders>
              <w:top w:val="outset" w:sz="6" w:space="0" w:color="auto"/>
              <w:left w:val="outset" w:sz="6" w:space="0" w:color="auto"/>
              <w:bottom w:val="outset" w:sz="6" w:space="0" w:color="auto"/>
              <w:right w:val="outset" w:sz="6" w:space="0" w:color="auto"/>
            </w:tcBorders>
          </w:tcPr>
          <w:p w14:paraId="1F727E86" w14:textId="77777777" w:rsidR="00A628C0" w:rsidRPr="00031671" w:rsidRDefault="00A628C0" w:rsidP="00D428DD">
            <w:pPr>
              <w:rPr>
                <w:color w:val="000000"/>
              </w:rPr>
            </w:pPr>
            <w:r w:rsidRPr="00031671">
              <w:rPr>
                <w:bCs/>
                <w:iCs/>
              </w:rPr>
              <w:t>erektilná dysfunkcia</w:t>
            </w:r>
          </w:p>
        </w:tc>
      </w:tr>
      <w:tr w:rsidR="00A628C0" w:rsidRPr="00031671" w14:paraId="0B569843" w14:textId="77777777" w:rsidTr="00D428DD">
        <w:tc>
          <w:tcPr>
            <w:tcW w:w="2157" w:type="dxa"/>
            <w:vMerge w:val="restart"/>
            <w:tcBorders>
              <w:top w:val="outset" w:sz="6" w:space="0" w:color="auto"/>
              <w:left w:val="outset" w:sz="6" w:space="0" w:color="auto"/>
              <w:bottom w:val="outset" w:sz="6" w:space="0" w:color="auto"/>
              <w:right w:val="outset" w:sz="6" w:space="0" w:color="auto"/>
            </w:tcBorders>
            <w:hideMark/>
          </w:tcPr>
          <w:p w14:paraId="0FB88DA2" w14:textId="77777777" w:rsidR="00A628C0" w:rsidRPr="00031671" w:rsidRDefault="00A628C0" w:rsidP="001D2513">
            <w:pPr>
              <w:ind w:left="0" w:firstLine="0"/>
              <w:rPr>
                <w:b/>
                <w:bCs/>
                <w:iCs/>
              </w:rPr>
            </w:pPr>
            <w:r w:rsidRPr="00031671">
              <w:rPr>
                <w:b/>
                <w:bCs/>
                <w:iCs/>
              </w:rPr>
              <w:t>Celkové poruchy a reakcie v mieste podania</w:t>
            </w:r>
          </w:p>
        </w:tc>
        <w:tc>
          <w:tcPr>
            <w:tcW w:w="2126" w:type="dxa"/>
            <w:tcBorders>
              <w:top w:val="outset" w:sz="6" w:space="0" w:color="auto"/>
              <w:left w:val="outset" w:sz="6" w:space="0" w:color="auto"/>
              <w:bottom w:val="outset" w:sz="6" w:space="0" w:color="auto"/>
              <w:right w:val="outset" w:sz="6" w:space="0" w:color="auto"/>
            </w:tcBorders>
          </w:tcPr>
          <w:p w14:paraId="361E4982" w14:textId="77777777" w:rsidR="00A628C0" w:rsidRPr="00031671" w:rsidRDefault="00A628C0" w:rsidP="00D428DD">
            <w:pPr>
              <w:rPr>
                <w:color w:val="000000"/>
              </w:rPr>
            </w:pPr>
            <w:r w:rsidRPr="00031671">
              <w:rPr>
                <w:color w:val="000000"/>
              </w:rPr>
              <w:t>veľmi časté</w:t>
            </w:r>
          </w:p>
        </w:tc>
        <w:tc>
          <w:tcPr>
            <w:tcW w:w="2906" w:type="dxa"/>
            <w:tcBorders>
              <w:top w:val="outset" w:sz="6" w:space="0" w:color="auto"/>
              <w:left w:val="outset" w:sz="6" w:space="0" w:color="auto"/>
              <w:bottom w:val="outset" w:sz="6" w:space="0" w:color="auto"/>
              <w:right w:val="outset" w:sz="6" w:space="0" w:color="auto"/>
            </w:tcBorders>
          </w:tcPr>
          <w:p w14:paraId="42F6C8E8" w14:textId="77777777" w:rsidR="00A628C0" w:rsidRPr="00031671" w:rsidRDefault="00A628C0" w:rsidP="00D428DD">
            <w:pPr>
              <w:rPr>
                <w:color w:val="000000"/>
              </w:rPr>
            </w:pPr>
            <w:r w:rsidRPr="00031671">
              <w:rPr>
                <w:color w:val="000000"/>
              </w:rPr>
              <w:t>edém</w:t>
            </w:r>
          </w:p>
        </w:tc>
        <w:tc>
          <w:tcPr>
            <w:tcW w:w="3047" w:type="dxa"/>
            <w:tcBorders>
              <w:top w:val="outset" w:sz="6" w:space="0" w:color="auto"/>
              <w:left w:val="outset" w:sz="6" w:space="0" w:color="auto"/>
              <w:bottom w:val="outset" w:sz="6" w:space="0" w:color="auto"/>
              <w:right w:val="outset" w:sz="6" w:space="0" w:color="auto"/>
            </w:tcBorders>
          </w:tcPr>
          <w:p w14:paraId="10864D77" w14:textId="77777777" w:rsidR="00A628C0" w:rsidRPr="00031671" w:rsidRDefault="00A628C0" w:rsidP="00D428DD">
            <w:pPr>
              <w:rPr>
                <w:color w:val="000000"/>
              </w:rPr>
            </w:pPr>
          </w:p>
        </w:tc>
      </w:tr>
      <w:tr w:rsidR="00A628C0" w:rsidRPr="00031671" w14:paraId="6717B169"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141C0780"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12588614" w14:textId="77777777" w:rsidR="00A628C0" w:rsidRPr="00031671" w:rsidRDefault="00A628C0" w:rsidP="00D428DD">
            <w:pPr>
              <w:rPr>
                <w:color w:val="000000"/>
              </w:rPr>
            </w:pPr>
            <w:r w:rsidRPr="00031671">
              <w:rPr>
                <w:bCs/>
                <w:iCs/>
              </w:rPr>
              <w:t>časté</w:t>
            </w:r>
          </w:p>
        </w:tc>
        <w:tc>
          <w:tcPr>
            <w:tcW w:w="2906" w:type="dxa"/>
            <w:tcBorders>
              <w:top w:val="outset" w:sz="6" w:space="0" w:color="auto"/>
              <w:left w:val="outset" w:sz="6" w:space="0" w:color="auto"/>
              <w:bottom w:val="outset" w:sz="6" w:space="0" w:color="auto"/>
              <w:right w:val="outset" w:sz="6" w:space="0" w:color="auto"/>
            </w:tcBorders>
          </w:tcPr>
          <w:p w14:paraId="691C792A" w14:textId="77777777" w:rsidR="00F90AA0" w:rsidRPr="00031671" w:rsidRDefault="00A628C0" w:rsidP="00D428DD">
            <w:pPr>
              <w:rPr>
                <w:color w:val="000000"/>
              </w:rPr>
            </w:pPr>
            <w:r w:rsidRPr="00031671">
              <w:rPr>
                <w:color w:val="000000"/>
              </w:rPr>
              <w:t xml:space="preserve">únava, </w:t>
            </w:r>
          </w:p>
          <w:p w14:paraId="0461408A" w14:textId="77777777" w:rsidR="00A628C0" w:rsidRPr="00031671" w:rsidRDefault="00A628C0" w:rsidP="00D428DD">
            <w:pPr>
              <w:rPr>
                <w:color w:val="000000"/>
              </w:rPr>
            </w:pPr>
            <w:r w:rsidRPr="00031671">
              <w:rPr>
                <w:color w:val="000000"/>
              </w:rPr>
              <w:t>asténia</w:t>
            </w:r>
          </w:p>
        </w:tc>
        <w:tc>
          <w:tcPr>
            <w:tcW w:w="3047" w:type="dxa"/>
            <w:tcBorders>
              <w:top w:val="outset" w:sz="6" w:space="0" w:color="auto"/>
              <w:left w:val="outset" w:sz="6" w:space="0" w:color="auto"/>
              <w:bottom w:val="outset" w:sz="6" w:space="0" w:color="auto"/>
              <w:right w:val="outset" w:sz="6" w:space="0" w:color="auto"/>
            </w:tcBorders>
          </w:tcPr>
          <w:p w14:paraId="21F5A069" w14:textId="77777777" w:rsidR="00A628C0" w:rsidRPr="00031671" w:rsidRDefault="00A628C0" w:rsidP="00D428DD">
            <w:pPr>
              <w:rPr>
                <w:color w:val="000000"/>
              </w:rPr>
            </w:pPr>
            <w:r w:rsidRPr="00031671">
              <w:rPr>
                <w:color w:val="000000"/>
              </w:rPr>
              <w:t>asténia</w:t>
            </w:r>
          </w:p>
        </w:tc>
      </w:tr>
      <w:tr w:rsidR="00A628C0" w:rsidRPr="00031671" w14:paraId="017EEDD3" w14:textId="77777777" w:rsidTr="00D428DD">
        <w:tc>
          <w:tcPr>
            <w:tcW w:w="2157" w:type="dxa"/>
            <w:vMerge/>
            <w:tcBorders>
              <w:top w:val="outset" w:sz="6" w:space="0" w:color="auto"/>
              <w:left w:val="outset" w:sz="6" w:space="0" w:color="auto"/>
              <w:bottom w:val="outset" w:sz="6" w:space="0" w:color="auto"/>
              <w:right w:val="outset" w:sz="6" w:space="0" w:color="auto"/>
            </w:tcBorders>
            <w:hideMark/>
          </w:tcPr>
          <w:p w14:paraId="12FDFE1C" w14:textId="77777777" w:rsidR="00A628C0" w:rsidRPr="00031671" w:rsidRDefault="00A628C0" w:rsidP="00D428DD">
            <w:pPr>
              <w:rPr>
                <w:color w:val="000000"/>
              </w:rPr>
            </w:pPr>
          </w:p>
        </w:tc>
        <w:tc>
          <w:tcPr>
            <w:tcW w:w="2126" w:type="dxa"/>
            <w:tcBorders>
              <w:top w:val="outset" w:sz="6" w:space="0" w:color="auto"/>
              <w:left w:val="outset" w:sz="6" w:space="0" w:color="auto"/>
              <w:bottom w:val="outset" w:sz="6" w:space="0" w:color="auto"/>
              <w:right w:val="outset" w:sz="6" w:space="0" w:color="auto"/>
            </w:tcBorders>
          </w:tcPr>
          <w:p w14:paraId="350A4067" w14:textId="77777777" w:rsidR="00A628C0" w:rsidRPr="00031671" w:rsidRDefault="00A628C0" w:rsidP="00D428DD">
            <w:pPr>
              <w:rPr>
                <w:color w:val="000000"/>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65558D27" w14:textId="77777777" w:rsidR="00A628C0" w:rsidRPr="00031671" w:rsidRDefault="00A628C0" w:rsidP="00D428DD">
            <w:pPr>
              <w:rPr>
                <w:bCs/>
                <w:iCs/>
              </w:rPr>
            </w:pPr>
            <w:r w:rsidRPr="00031671">
              <w:rPr>
                <w:bCs/>
                <w:iCs/>
              </w:rPr>
              <w:t>bolesť na hrudníku,</w:t>
            </w:r>
          </w:p>
          <w:p w14:paraId="1E14F3ED" w14:textId="77777777" w:rsidR="00A628C0" w:rsidRPr="00031671" w:rsidRDefault="00A628C0" w:rsidP="00D428DD">
            <w:pPr>
              <w:rPr>
                <w:bCs/>
                <w:iCs/>
              </w:rPr>
            </w:pPr>
            <w:r w:rsidRPr="00031671">
              <w:rPr>
                <w:bCs/>
                <w:iCs/>
              </w:rPr>
              <w:t>bolesť,</w:t>
            </w:r>
          </w:p>
          <w:p w14:paraId="24DE8E03" w14:textId="77777777" w:rsidR="00A628C0" w:rsidRPr="00031671" w:rsidRDefault="00A628C0" w:rsidP="00987E33">
            <w:pPr>
              <w:rPr>
                <w:color w:val="000000"/>
              </w:rPr>
            </w:pPr>
            <w:r w:rsidRPr="00031671">
              <w:rPr>
                <w:bCs/>
                <w:iCs/>
              </w:rPr>
              <w:t>nevoľnosť</w:t>
            </w:r>
          </w:p>
        </w:tc>
        <w:tc>
          <w:tcPr>
            <w:tcW w:w="3047" w:type="dxa"/>
            <w:tcBorders>
              <w:top w:val="outset" w:sz="6" w:space="0" w:color="auto"/>
              <w:left w:val="outset" w:sz="6" w:space="0" w:color="auto"/>
              <w:bottom w:val="outset" w:sz="6" w:space="0" w:color="auto"/>
              <w:right w:val="outset" w:sz="6" w:space="0" w:color="auto"/>
            </w:tcBorders>
          </w:tcPr>
          <w:p w14:paraId="08FAC470" w14:textId="77777777" w:rsidR="00A628C0" w:rsidRPr="00031671" w:rsidRDefault="00A628C0" w:rsidP="00D428DD">
            <w:pPr>
              <w:rPr>
                <w:bCs/>
                <w:iCs/>
              </w:rPr>
            </w:pPr>
            <w:r w:rsidRPr="00031671">
              <w:rPr>
                <w:bCs/>
                <w:iCs/>
              </w:rPr>
              <w:t>bolesť na hrudníku</w:t>
            </w:r>
            <w:r w:rsidRPr="00031671">
              <w:rPr>
                <w:color w:val="000000"/>
                <w:vertAlign w:val="superscript"/>
              </w:rPr>
              <w:t>**</w:t>
            </w:r>
            <w:r w:rsidRPr="00031671">
              <w:rPr>
                <w:bCs/>
                <w:iCs/>
              </w:rPr>
              <w:t>,</w:t>
            </w:r>
          </w:p>
          <w:p w14:paraId="174EAAC5" w14:textId="77777777" w:rsidR="00A628C0" w:rsidRPr="00031671" w:rsidRDefault="00A628C0" w:rsidP="00D428DD">
            <w:pPr>
              <w:rPr>
                <w:bCs/>
                <w:iCs/>
              </w:rPr>
            </w:pPr>
            <w:r w:rsidRPr="00031671">
              <w:rPr>
                <w:bCs/>
                <w:iCs/>
              </w:rPr>
              <w:t>nevoľnosť</w:t>
            </w:r>
            <w:r w:rsidRPr="00031671">
              <w:rPr>
                <w:color w:val="000000"/>
                <w:vertAlign w:val="superscript"/>
              </w:rPr>
              <w:t>**</w:t>
            </w:r>
            <w:r w:rsidRPr="00031671">
              <w:rPr>
                <w:bCs/>
                <w:iCs/>
              </w:rPr>
              <w:t>,</w:t>
            </w:r>
          </w:p>
          <w:p w14:paraId="3FFA163E" w14:textId="77777777" w:rsidR="00A628C0" w:rsidRPr="00031671" w:rsidRDefault="00A628C0" w:rsidP="00D428DD">
            <w:pPr>
              <w:rPr>
                <w:color w:val="000000"/>
              </w:rPr>
            </w:pPr>
            <w:r w:rsidRPr="00031671">
              <w:rPr>
                <w:color w:val="000000"/>
              </w:rPr>
              <w:t>periférny edém</w:t>
            </w:r>
            <w:r w:rsidRPr="00031671">
              <w:rPr>
                <w:color w:val="000000"/>
                <w:vertAlign w:val="superscript"/>
              </w:rPr>
              <w:t>**</w:t>
            </w:r>
            <w:r w:rsidRPr="00031671">
              <w:rPr>
                <w:color w:val="000000"/>
              </w:rPr>
              <w:t>,</w:t>
            </w:r>
          </w:p>
          <w:p w14:paraId="783417B8" w14:textId="77777777" w:rsidR="00A628C0" w:rsidRPr="00031671" w:rsidRDefault="00A628C0" w:rsidP="00D428DD">
            <w:pPr>
              <w:rPr>
                <w:color w:val="000000"/>
              </w:rPr>
            </w:pPr>
            <w:r w:rsidRPr="00031671">
              <w:rPr>
                <w:color w:val="000000"/>
              </w:rPr>
              <w:t>pyrexia</w:t>
            </w:r>
            <w:r w:rsidRPr="00031671">
              <w:rPr>
                <w:color w:val="000000"/>
                <w:vertAlign w:val="superscript"/>
              </w:rPr>
              <w:t>**</w:t>
            </w:r>
          </w:p>
        </w:tc>
      </w:tr>
      <w:tr w:rsidR="00A628C0" w:rsidRPr="00031671" w14:paraId="3261F073" w14:textId="77777777" w:rsidTr="00D428DD">
        <w:tc>
          <w:tcPr>
            <w:tcW w:w="2157" w:type="dxa"/>
            <w:vMerge w:val="restart"/>
            <w:tcBorders>
              <w:top w:val="outset" w:sz="6" w:space="0" w:color="auto"/>
              <w:left w:val="outset" w:sz="6" w:space="0" w:color="auto"/>
              <w:right w:val="outset" w:sz="6" w:space="0" w:color="auto"/>
            </w:tcBorders>
            <w:hideMark/>
          </w:tcPr>
          <w:p w14:paraId="7D76746A" w14:textId="77777777" w:rsidR="00A628C0" w:rsidRPr="00031671" w:rsidRDefault="00A628C0" w:rsidP="001D2513">
            <w:pPr>
              <w:ind w:left="0" w:firstLine="0"/>
              <w:rPr>
                <w:b/>
                <w:bCs/>
                <w:iCs/>
              </w:rPr>
            </w:pPr>
            <w:r w:rsidRPr="00031671">
              <w:rPr>
                <w:b/>
                <w:bCs/>
                <w:iCs/>
              </w:rPr>
              <w:t xml:space="preserve">Laboratórne </w:t>
            </w:r>
            <w:r w:rsidRPr="00031671">
              <w:rPr>
                <w:b/>
                <w:bCs/>
                <w:iCs/>
              </w:rPr>
              <w:lastRenderedPageBreak/>
              <w:t>a funkčné vyšetrenia</w:t>
            </w:r>
          </w:p>
        </w:tc>
        <w:tc>
          <w:tcPr>
            <w:tcW w:w="2126" w:type="dxa"/>
            <w:tcBorders>
              <w:top w:val="outset" w:sz="6" w:space="0" w:color="auto"/>
              <w:left w:val="outset" w:sz="6" w:space="0" w:color="auto"/>
              <w:bottom w:val="outset" w:sz="6" w:space="0" w:color="auto"/>
              <w:right w:val="outset" w:sz="6" w:space="0" w:color="auto"/>
            </w:tcBorders>
          </w:tcPr>
          <w:p w14:paraId="445D12A0" w14:textId="77777777" w:rsidR="00A628C0" w:rsidRPr="00031671" w:rsidRDefault="00A628C0" w:rsidP="00D428DD">
            <w:pPr>
              <w:rPr>
                <w:color w:val="000000"/>
              </w:rPr>
            </w:pPr>
            <w:r w:rsidRPr="00031671">
              <w:rPr>
                <w:bCs/>
                <w:iCs/>
              </w:rPr>
              <w:lastRenderedPageBreak/>
              <w:t>menej časté</w:t>
            </w:r>
          </w:p>
        </w:tc>
        <w:tc>
          <w:tcPr>
            <w:tcW w:w="2906" w:type="dxa"/>
            <w:tcBorders>
              <w:top w:val="outset" w:sz="6" w:space="0" w:color="auto"/>
              <w:left w:val="outset" w:sz="6" w:space="0" w:color="auto"/>
              <w:bottom w:val="outset" w:sz="6" w:space="0" w:color="auto"/>
              <w:right w:val="outset" w:sz="6" w:space="0" w:color="auto"/>
            </w:tcBorders>
          </w:tcPr>
          <w:p w14:paraId="41A05CC4" w14:textId="77777777" w:rsidR="00A628C0" w:rsidRPr="00031671" w:rsidRDefault="00A628C0" w:rsidP="00D428DD">
            <w:pPr>
              <w:rPr>
                <w:bCs/>
                <w:iCs/>
              </w:rPr>
            </w:pPr>
            <w:r w:rsidRPr="00031671">
              <w:rPr>
                <w:bCs/>
                <w:iCs/>
              </w:rPr>
              <w:t>prírastok hmotnosti,</w:t>
            </w:r>
          </w:p>
          <w:p w14:paraId="4013A079" w14:textId="77777777" w:rsidR="00A628C0" w:rsidRPr="00031671" w:rsidRDefault="00A628C0" w:rsidP="00D428DD">
            <w:pPr>
              <w:rPr>
                <w:color w:val="000000"/>
              </w:rPr>
            </w:pPr>
            <w:r w:rsidRPr="00031671">
              <w:rPr>
                <w:bCs/>
                <w:iCs/>
              </w:rPr>
              <w:lastRenderedPageBreak/>
              <w:t>zníženie hmotnosti</w:t>
            </w:r>
          </w:p>
        </w:tc>
        <w:tc>
          <w:tcPr>
            <w:tcW w:w="3047" w:type="dxa"/>
            <w:tcBorders>
              <w:top w:val="outset" w:sz="6" w:space="0" w:color="auto"/>
              <w:left w:val="outset" w:sz="6" w:space="0" w:color="auto"/>
              <w:bottom w:val="outset" w:sz="6" w:space="0" w:color="auto"/>
              <w:right w:val="outset" w:sz="6" w:space="0" w:color="auto"/>
            </w:tcBorders>
          </w:tcPr>
          <w:p w14:paraId="4C00108E" w14:textId="77777777" w:rsidR="00A628C0" w:rsidRPr="00031671" w:rsidRDefault="00A628C0" w:rsidP="00D428DD">
            <w:pPr>
              <w:rPr>
                <w:bCs/>
                <w:iCs/>
              </w:rPr>
            </w:pPr>
            <w:r w:rsidRPr="00031671">
              <w:rPr>
                <w:bCs/>
                <w:iCs/>
              </w:rPr>
              <w:lastRenderedPageBreak/>
              <w:t>zvýšenie hladiny urey v krvi</w:t>
            </w:r>
            <w:r w:rsidRPr="00031671">
              <w:rPr>
                <w:color w:val="000000"/>
                <w:vertAlign w:val="superscript"/>
              </w:rPr>
              <w:t>**</w:t>
            </w:r>
            <w:r w:rsidRPr="00031671">
              <w:rPr>
                <w:bCs/>
                <w:iCs/>
              </w:rPr>
              <w:t>,</w:t>
            </w:r>
          </w:p>
          <w:p w14:paraId="3988062E" w14:textId="77777777" w:rsidR="00A628C0" w:rsidRPr="00031671" w:rsidRDefault="00A628C0" w:rsidP="00D428DD">
            <w:pPr>
              <w:rPr>
                <w:color w:val="000000"/>
              </w:rPr>
            </w:pPr>
            <w:r w:rsidRPr="00031671">
              <w:rPr>
                <w:bCs/>
                <w:iCs/>
              </w:rPr>
              <w:lastRenderedPageBreak/>
              <w:t>zvýšenie sérového kreatinínu</w:t>
            </w:r>
            <w:r w:rsidRPr="00031671">
              <w:rPr>
                <w:color w:val="000000"/>
                <w:vertAlign w:val="superscript"/>
              </w:rPr>
              <w:t>**</w:t>
            </w:r>
          </w:p>
        </w:tc>
      </w:tr>
      <w:tr w:rsidR="00A628C0" w:rsidRPr="00031671" w14:paraId="48817191" w14:textId="77777777" w:rsidTr="00D428DD">
        <w:tc>
          <w:tcPr>
            <w:tcW w:w="2157" w:type="dxa"/>
            <w:vMerge/>
            <w:tcBorders>
              <w:left w:val="outset" w:sz="6" w:space="0" w:color="auto"/>
              <w:bottom w:val="outset" w:sz="6" w:space="0" w:color="auto"/>
              <w:right w:val="outset" w:sz="6" w:space="0" w:color="auto"/>
            </w:tcBorders>
          </w:tcPr>
          <w:p w14:paraId="7252282B" w14:textId="77777777" w:rsidR="00A628C0" w:rsidRPr="00031671" w:rsidRDefault="00A628C0" w:rsidP="00D428DD">
            <w:pPr>
              <w:rPr>
                <w:b/>
                <w:bCs/>
                <w:color w:val="000000"/>
              </w:rPr>
            </w:pPr>
          </w:p>
        </w:tc>
        <w:tc>
          <w:tcPr>
            <w:tcW w:w="2126" w:type="dxa"/>
            <w:tcBorders>
              <w:top w:val="outset" w:sz="6" w:space="0" w:color="auto"/>
              <w:left w:val="outset" w:sz="6" w:space="0" w:color="auto"/>
              <w:bottom w:val="outset" w:sz="6" w:space="0" w:color="auto"/>
              <w:right w:val="outset" w:sz="6" w:space="0" w:color="auto"/>
            </w:tcBorders>
          </w:tcPr>
          <w:p w14:paraId="54DBE2E5" w14:textId="77777777" w:rsidR="00A628C0" w:rsidRPr="00031671" w:rsidRDefault="00A628C0" w:rsidP="00D428DD">
            <w:pPr>
              <w:rPr>
                <w:color w:val="000000"/>
              </w:rPr>
            </w:pPr>
            <w:r w:rsidRPr="00031671">
              <w:rPr>
                <w:color w:val="000000"/>
              </w:rPr>
              <w:t>zriedkavé</w:t>
            </w:r>
          </w:p>
        </w:tc>
        <w:tc>
          <w:tcPr>
            <w:tcW w:w="2906" w:type="dxa"/>
            <w:tcBorders>
              <w:top w:val="outset" w:sz="6" w:space="0" w:color="auto"/>
              <w:left w:val="outset" w:sz="6" w:space="0" w:color="auto"/>
              <w:bottom w:val="outset" w:sz="6" w:space="0" w:color="auto"/>
              <w:right w:val="outset" w:sz="6" w:space="0" w:color="auto"/>
            </w:tcBorders>
          </w:tcPr>
          <w:p w14:paraId="129C4CFA" w14:textId="77777777" w:rsidR="00A628C0" w:rsidRPr="00031671" w:rsidRDefault="00A628C0" w:rsidP="00D428DD">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1141C7DF" w14:textId="77777777" w:rsidR="00A628C0" w:rsidRPr="00031671" w:rsidRDefault="00A628C0" w:rsidP="00D428DD">
            <w:pPr>
              <w:rPr>
                <w:bCs/>
                <w:iCs/>
              </w:rPr>
            </w:pPr>
            <w:r w:rsidRPr="00031671">
              <w:rPr>
                <w:bCs/>
                <w:iCs/>
              </w:rPr>
              <w:t>zvýšenie sérového bilirubínu,</w:t>
            </w:r>
          </w:p>
          <w:p w14:paraId="239D8091" w14:textId="77777777" w:rsidR="00A628C0" w:rsidRPr="00031671" w:rsidRDefault="00A628C0" w:rsidP="00D428DD">
            <w:pPr>
              <w:rPr>
                <w:bCs/>
                <w:iCs/>
              </w:rPr>
            </w:pPr>
            <w:r w:rsidRPr="00031671">
              <w:rPr>
                <w:bCs/>
                <w:iCs/>
              </w:rPr>
              <w:t>zvýšenie pečeňových enzýmov</w:t>
            </w:r>
          </w:p>
          <w:p w14:paraId="6C5A0A3F" w14:textId="77777777" w:rsidR="001D2513" w:rsidRPr="00031671" w:rsidRDefault="001D2513" w:rsidP="00D428DD">
            <w:pPr>
              <w:rPr>
                <w:bCs/>
                <w:iCs/>
              </w:rPr>
            </w:pPr>
          </w:p>
          <w:p w14:paraId="55480F57" w14:textId="77777777" w:rsidR="001D2513" w:rsidRPr="00031671" w:rsidRDefault="001D2513" w:rsidP="00D428DD">
            <w:pPr>
              <w:rPr>
                <w:color w:val="000000"/>
              </w:rPr>
            </w:pPr>
          </w:p>
        </w:tc>
      </w:tr>
      <w:tr w:rsidR="00A628C0" w:rsidRPr="00031671" w14:paraId="0CAB50AE" w14:textId="77777777" w:rsidTr="00D428DD">
        <w:tc>
          <w:tcPr>
            <w:tcW w:w="2157" w:type="dxa"/>
            <w:tcBorders>
              <w:top w:val="outset" w:sz="6" w:space="0" w:color="auto"/>
              <w:left w:val="outset" w:sz="6" w:space="0" w:color="auto"/>
              <w:bottom w:val="outset" w:sz="6" w:space="0" w:color="auto"/>
              <w:right w:val="outset" w:sz="6" w:space="0" w:color="auto"/>
            </w:tcBorders>
          </w:tcPr>
          <w:p w14:paraId="28EEB646" w14:textId="77777777" w:rsidR="00A628C0" w:rsidRPr="00031671" w:rsidRDefault="00A628C0" w:rsidP="001D2513">
            <w:pPr>
              <w:ind w:left="0" w:firstLine="0"/>
              <w:rPr>
                <w:b/>
                <w:bCs/>
                <w:iCs/>
              </w:rPr>
            </w:pPr>
            <w:r w:rsidRPr="00031671">
              <w:rPr>
                <w:b/>
                <w:bCs/>
                <w:iCs/>
              </w:rPr>
              <w:t>Úrazy, otravy a komplikácie liečebného postupu</w:t>
            </w:r>
          </w:p>
        </w:tc>
        <w:tc>
          <w:tcPr>
            <w:tcW w:w="2126" w:type="dxa"/>
            <w:tcBorders>
              <w:top w:val="outset" w:sz="6" w:space="0" w:color="auto"/>
              <w:left w:val="outset" w:sz="6" w:space="0" w:color="auto"/>
              <w:bottom w:val="outset" w:sz="6" w:space="0" w:color="auto"/>
              <w:right w:val="outset" w:sz="6" w:space="0" w:color="auto"/>
            </w:tcBorders>
          </w:tcPr>
          <w:p w14:paraId="68D352CD" w14:textId="77777777" w:rsidR="00A628C0" w:rsidRPr="00031671" w:rsidRDefault="00A628C0" w:rsidP="00D428DD">
            <w:pPr>
              <w:rPr>
                <w:color w:val="000000"/>
              </w:rPr>
            </w:pPr>
            <w:r w:rsidRPr="00031671">
              <w:rPr>
                <w:bCs/>
                <w:iCs/>
              </w:rPr>
              <w:t>menej časté</w:t>
            </w:r>
          </w:p>
        </w:tc>
        <w:tc>
          <w:tcPr>
            <w:tcW w:w="2906" w:type="dxa"/>
            <w:tcBorders>
              <w:top w:val="outset" w:sz="6" w:space="0" w:color="auto"/>
              <w:left w:val="outset" w:sz="6" w:space="0" w:color="auto"/>
              <w:bottom w:val="outset" w:sz="6" w:space="0" w:color="auto"/>
              <w:right w:val="outset" w:sz="6" w:space="0" w:color="auto"/>
            </w:tcBorders>
          </w:tcPr>
          <w:p w14:paraId="0E1C653B" w14:textId="77777777" w:rsidR="00A628C0" w:rsidRPr="00031671" w:rsidRDefault="00A628C0" w:rsidP="00D428DD">
            <w:pPr>
              <w:rPr>
                <w:color w:val="000000"/>
              </w:rPr>
            </w:pPr>
          </w:p>
        </w:tc>
        <w:tc>
          <w:tcPr>
            <w:tcW w:w="3047" w:type="dxa"/>
            <w:tcBorders>
              <w:top w:val="outset" w:sz="6" w:space="0" w:color="auto"/>
              <w:left w:val="outset" w:sz="6" w:space="0" w:color="auto"/>
              <w:bottom w:val="outset" w:sz="6" w:space="0" w:color="auto"/>
              <w:right w:val="outset" w:sz="6" w:space="0" w:color="auto"/>
            </w:tcBorders>
          </w:tcPr>
          <w:p w14:paraId="72644B58" w14:textId="77777777" w:rsidR="00A628C0" w:rsidRPr="00031671" w:rsidRDefault="00A628C0" w:rsidP="00D428DD">
            <w:pPr>
              <w:rPr>
                <w:color w:val="000000"/>
              </w:rPr>
            </w:pPr>
            <w:r w:rsidRPr="00031671">
              <w:rPr>
                <w:color w:val="000000"/>
              </w:rPr>
              <w:t>pád</w:t>
            </w:r>
            <w:r w:rsidRPr="00031671">
              <w:rPr>
                <w:color w:val="000000"/>
                <w:vertAlign w:val="superscript"/>
              </w:rPr>
              <w:t>**</w:t>
            </w:r>
          </w:p>
        </w:tc>
      </w:tr>
    </w:tbl>
    <w:p w14:paraId="2342D14B" w14:textId="77777777" w:rsidR="00987E33" w:rsidRPr="00031671" w:rsidRDefault="00987E33" w:rsidP="00987E33">
      <w:pPr>
        <w:tabs>
          <w:tab w:val="left" w:pos="567"/>
        </w:tabs>
        <w:spacing w:line="360" w:lineRule="auto"/>
        <w:rPr>
          <w:u w:val="single"/>
        </w:rPr>
      </w:pPr>
    </w:p>
    <w:p w14:paraId="5563F8EB" w14:textId="77777777" w:rsidR="00987E33" w:rsidRPr="00031671" w:rsidRDefault="00987E33" w:rsidP="00987E33">
      <w:pPr>
        <w:tabs>
          <w:tab w:val="left" w:pos="567"/>
        </w:tabs>
        <w:spacing w:line="360" w:lineRule="auto"/>
        <w:rPr>
          <w:i/>
          <w:u w:val="single"/>
        </w:rPr>
      </w:pPr>
      <w:r w:rsidRPr="00031671">
        <w:rPr>
          <w:i/>
          <w:u w:val="single"/>
        </w:rPr>
        <w:t>Súvisiace s perindoprilom</w:t>
      </w:r>
    </w:p>
    <w:p w14:paraId="775144EE" w14:textId="77777777" w:rsidR="00987E33" w:rsidRPr="00031671" w:rsidRDefault="00987E33" w:rsidP="00987E33">
      <w:pPr>
        <w:shd w:val="clear" w:color="auto" w:fill="FFFFFF"/>
        <w:ind w:left="0" w:firstLine="0"/>
        <w:rPr>
          <w:iCs/>
          <w:color w:val="000000"/>
        </w:rPr>
      </w:pPr>
      <w:r w:rsidRPr="00031671">
        <w:rPr>
          <w:color w:val="000000"/>
          <w:vertAlign w:val="superscript"/>
        </w:rPr>
        <w:t>**</w:t>
      </w:r>
      <w:r w:rsidRPr="00031671">
        <w:rPr>
          <w:iCs/>
          <w:color w:val="000000"/>
        </w:rPr>
        <w:t xml:space="preserve"> Frekvencia vypočítaná z klinických štúdií, v ktorých boli nežiaduce účinky zaznamenané zo spontánnych hlásení </w:t>
      </w:r>
    </w:p>
    <w:p w14:paraId="03CE5E71" w14:textId="77777777" w:rsidR="00987E33" w:rsidRPr="00031671" w:rsidRDefault="00987E33" w:rsidP="00987E33">
      <w:pPr>
        <w:tabs>
          <w:tab w:val="left" w:pos="567"/>
        </w:tabs>
        <w:ind w:left="0" w:firstLine="0"/>
        <w:rPr>
          <w:i/>
          <w:u w:val="single"/>
        </w:rPr>
      </w:pPr>
    </w:p>
    <w:p w14:paraId="1F09D1D2" w14:textId="77777777" w:rsidR="00987E33" w:rsidRPr="00031671" w:rsidRDefault="00987E33" w:rsidP="00987E33">
      <w:pPr>
        <w:tabs>
          <w:tab w:val="left" w:pos="567"/>
        </w:tabs>
        <w:spacing w:line="360" w:lineRule="auto"/>
        <w:rPr>
          <w:i/>
          <w:u w:val="single"/>
        </w:rPr>
      </w:pPr>
      <w:r w:rsidRPr="00031671">
        <w:rPr>
          <w:i/>
          <w:u w:val="single"/>
        </w:rPr>
        <w:t>Súvisiace s amlodipínom</w:t>
      </w:r>
    </w:p>
    <w:p w14:paraId="56C324AD" w14:textId="77777777" w:rsidR="00987E33" w:rsidRPr="00031671" w:rsidRDefault="00987E33" w:rsidP="00987E33">
      <w:pPr>
        <w:shd w:val="clear" w:color="auto" w:fill="FFFFFF"/>
        <w:ind w:left="0" w:firstLine="0"/>
        <w:rPr>
          <w:color w:val="000000"/>
        </w:rPr>
      </w:pPr>
      <w:r w:rsidRPr="00031671">
        <w:rPr>
          <w:color w:val="000000"/>
          <w:vertAlign w:val="superscript"/>
        </w:rPr>
        <w:t>*</w:t>
      </w:r>
      <w:r w:rsidRPr="00031671">
        <w:rPr>
          <w:color w:val="000000"/>
        </w:rPr>
        <w:t xml:space="preserve"> Väčšinou konzistentné s cholestázou</w:t>
      </w:r>
    </w:p>
    <w:p w14:paraId="1762F451" w14:textId="77777777" w:rsidR="00987E33" w:rsidRPr="00031671" w:rsidRDefault="00987E33" w:rsidP="0026753F">
      <w:pPr>
        <w:ind w:left="0" w:firstLine="0"/>
        <w:rPr>
          <w:bCs/>
          <w:iCs/>
          <w:szCs w:val="22"/>
          <w:u w:val="single"/>
        </w:rPr>
      </w:pPr>
    </w:p>
    <w:p w14:paraId="4A437761" w14:textId="2F28B2C2" w:rsidR="0026753F" w:rsidRPr="00031671" w:rsidRDefault="0026753F" w:rsidP="0026753F">
      <w:pPr>
        <w:ind w:left="0" w:firstLine="0"/>
        <w:rPr>
          <w:bCs/>
          <w:i/>
          <w:iCs/>
          <w:szCs w:val="22"/>
        </w:rPr>
      </w:pPr>
      <w:r w:rsidRPr="00031671">
        <w:rPr>
          <w:bCs/>
          <w:i/>
          <w:iCs/>
          <w:szCs w:val="22"/>
        </w:rPr>
        <w:t>Klinické štúdie</w:t>
      </w:r>
      <w:r w:rsidR="00817000" w:rsidRPr="00031671">
        <w:rPr>
          <w:bCs/>
          <w:i/>
          <w:iCs/>
          <w:szCs w:val="22"/>
        </w:rPr>
        <w:t xml:space="preserve"> s perindoprilom</w:t>
      </w:r>
    </w:p>
    <w:p w14:paraId="1947A7AC" w14:textId="77777777" w:rsidR="0026753F" w:rsidRPr="00031671" w:rsidRDefault="0026753F" w:rsidP="0026753F">
      <w:pPr>
        <w:ind w:left="0" w:firstLine="0"/>
        <w:rPr>
          <w:bCs/>
          <w:iCs/>
          <w:szCs w:val="22"/>
        </w:rPr>
      </w:pPr>
      <w:r w:rsidRPr="00031671">
        <w:rPr>
          <w:bCs/>
          <w:iCs/>
          <w:szCs w:val="22"/>
        </w:rPr>
        <w:t>Počas randomizovanej fázy štúdie EUROPA boli zaznamenávané len závažné nežiaduce udalosti. Závažné nežiaduce udalosti sa vyskytli u niekoľkých pacientov: u 16 (0,3 %) zo 6 122 pacientov užívajúcich perindopril a u 12 (0,2 %) zo 6 107 pacientov užívajúcich placebo. U pacientov liečených perindoprilom bola hypotenzia pozorovaná u 6 pacientov, angioedém u 3 pacientov a náhle zastavenie srdca u 1 pacienta. Pre kašeľ, hypotenziu a inú neznášanlivosť prerušilo liečbu viac pacientov užívajúcich perindopril (6,0 % (n = 366)) ako placebo (2,1 % (n = 129)).</w:t>
      </w:r>
    </w:p>
    <w:p w14:paraId="6CF82662" w14:textId="77777777" w:rsidR="0026753F" w:rsidRPr="00031671" w:rsidRDefault="0026753F" w:rsidP="0026753F">
      <w:pPr>
        <w:ind w:left="0" w:firstLine="0"/>
        <w:rPr>
          <w:bCs/>
          <w:iCs/>
          <w:szCs w:val="22"/>
        </w:rPr>
      </w:pPr>
    </w:p>
    <w:p w14:paraId="06E56096" w14:textId="77777777" w:rsidR="00766BFA" w:rsidRPr="00031671" w:rsidRDefault="00766BFA" w:rsidP="00766BFA">
      <w:pPr>
        <w:suppressLineNumbers/>
        <w:autoSpaceDE w:val="0"/>
        <w:autoSpaceDN w:val="0"/>
        <w:adjustRightInd w:val="0"/>
        <w:rPr>
          <w:szCs w:val="22"/>
          <w:u w:val="single"/>
        </w:rPr>
      </w:pPr>
      <w:r w:rsidRPr="00031671">
        <w:rPr>
          <w:szCs w:val="22"/>
          <w:u w:val="single"/>
        </w:rPr>
        <w:t>Hlásenie podozrení na nežiaduce reakcie</w:t>
      </w:r>
    </w:p>
    <w:p w14:paraId="28B70C06" w14:textId="0F91C5D4" w:rsidR="00766BFA" w:rsidRPr="00031671" w:rsidRDefault="00766BFA" w:rsidP="00766BFA">
      <w:pPr>
        <w:suppressLineNumbers/>
        <w:autoSpaceDE w:val="0"/>
        <w:autoSpaceDN w:val="0"/>
        <w:adjustRightInd w:val="0"/>
        <w:ind w:left="0" w:firstLine="0"/>
        <w:rPr>
          <w:szCs w:val="22"/>
        </w:rPr>
      </w:pPr>
      <w:r w:rsidRPr="00031671">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C5DFA" w:rsidRPr="00031671">
        <w:rPr>
          <w:szCs w:val="22"/>
        </w:rPr>
        <w:t xml:space="preserve">na </w:t>
      </w:r>
      <w:r w:rsidRPr="005430E7">
        <w:rPr>
          <w:highlight w:val="lightGray"/>
        </w:rPr>
        <w:t xml:space="preserve">národné </w:t>
      </w:r>
      <w:r w:rsidR="00BC5DFA" w:rsidRPr="005430E7">
        <w:rPr>
          <w:highlight w:val="lightGray"/>
        </w:rPr>
        <w:t xml:space="preserve">centrum </w:t>
      </w:r>
      <w:r w:rsidRPr="005430E7">
        <w:rPr>
          <w:highlight w:val="lightGray"/>
        </w:rPr>
        <w:t>hlásenia uvedené v </w:t>
      </w:r>
      <w:hyperlink r:id="rId14" w:history="1">
        <w:r w:rsidRPr="00031671">
          <w:rPr>
            <w:rStyle w:val="Hypertextovprepojenie"/>
            <w:szCs w:val="22"/>
            <w:highlight w:val="lightGray"/>
          </w:rPr>
          <w:t>Prílohe V</w:t>
        </w:r>
      </w:hyperlink>
      <w:r w:rsidRPr="00031671">
        <w:rPr>
          <w:szCs w:val="22"/>
        </w:rPr>
        <w:t>.</w:t>
      </w:r>
    </w:p>
    <w:p w14:paraId="1154F822" w14:textId="77777777" w:rsidR="00766BFA" w:rsidRPr="00031671" w:rsidRDefault="00766BFA" w:rsidP="00F3126E">
      <w:pPr>
        <w:ind w:left="0" w:firstLine="0"/>
        <w:rPr>
          <w:szCs w:val="22"/>
        </w:rPr>
      </w:pPr>
    </w:p>
    <w:p w14:paraId="03BFDB70" w14:textId="77777777" w:rsidR="001E1948" w:rsidRPr="00031671" w:rsidRDefault="001E1948" w:rsidP="00F3126E">
      <w:pPr>
        <w:rPr>
          <w:szCs w:val="22"/>
        </w:rPr>
      </w:pPr>
      <w:r w:rsidRPr="00031671">
        <w:rPr>
          <w:b/>
          <w:szCs w:val="22"/>
        </w:rPr>
        <w:t>4.9</w:t>
      </w:r>
      <w:r w:rsidRPr="00031671">
        <w:rPr>
          <w:b/>
          <w:szCs w:val="22"/>
        </w:rPr>
        <w:tab/>
        <w:t>Predávkovanie</w:t>
      </w:r>
    </w:p>
    <w:p w14:paraId="72521C2B" w14:textId="77777777" w:rsidR="001E1948" w:rsidRPr="00031671" w:rsidRDefault="001E1948" w:rsidP="00F3126E">
      <w:pPr>
        <w:rPr>
          <w:szCs w:val="22"/>
        </w:rPr>
      </w:pPr>
    </w:p>
    <w:p w14:paraId="530F9E92" w14:textId="77777777" w:rsidR="001E1948" w:rsidRPr="00031671" w:rsidRDefault="001E1948" w:rsidP="00F3126E">
      <w:pPr>
        <w:rPr>
          <w:szCs w:val="22"/>
        </w:rPr>
      </w:pPr>
      <w:r w:rsidRPr="00031671">
        <w:rPr>
          <w:szCs w:val="22"/>
        </w:rPr>
        <w:t xml:space="preserve">Nie sú žiadne informácie o predávkovaní </w:t>
      </w:r>
      <w:r w:rsidR="00304E8C" w:rsidRPr="00031671">
        <w:rPr>
          <w:szCs w:val="22"/>
        </w:rPr>
        <w:t>VIDONORMOM</w:t>
      </w:r>
      <w:r w:rsidRPr="00031671">
        <w:rPr>
          <w:szCs w:val="22"/>
        </w:rPr>
        <w:t xml:space="preserve"> u ľudí.</w:t>
      </w:r>
    </w:p>
    <w:p w14:paraId="1943381C" w14:textId="77777777" w:rsidR="0026753F" w:rsidRPr="00031671" w:rsidRDefault="0026753F" w:rsidP="0026753F">
      <w:pPr>
        <w:ind w:left="0" w:firstLine="0"/>
        <w:rPr>
          <w:i/>
          <w:szCs w:val="22"/>
          <w:u w:val="single"/>
        </w:rPr>
      </w:pPr>
    </w:p>
    <w:p w14:paraId="42CC4152" w14:textId="77777777" w:rsidR="0026753F" w:rsidRPr="00031671" w:rsidRDefault="0026753F" w:rsidP="0026753F">
      <w:pPr>
        <w:ind w:left="0" w:firstLine="0"/>
        <w:rPr>
          <w:i/>
          <w:szCs w:val="22"/>
          <w:u w:val="single"/>
        </w:rPr>
      </w:pPr>
      <w:r w:rsidRPr="00031671">
        <w:rPr>
          <w:i/>
          <w:szCs w:val="22"/>
          <w:u w:val="single"/>
        </w:rPr>
        <w:t>Súvisiace s perindoprilom</w:t>
      </w:r>
    </w:p>
    <w:p w14:paraId="30F2B4A4" w14:textId="77777777" w:rsidR="0026753F" w:rsidRPr="00031671" w:rsidRDefault="0026753F" w:rsidP="0026753F">
      <w:pPr>
        <w:ind w:left="0" w:firstLine="0"/>
        <w:rPr>
          <w:szCs w:val="22"/>
        </w:rPr>
      </w:pPr>
    </w:p>
    <w:p w14:paraId="6A08C6DA" w14:textId="77777777" w:rsidR="0026753F" w:rsidRPr="00031671" w:rsidRDefault="0026753F" w:rsidP="0026753F">
      <w:pPr>
        <w:ind w:left="0" w:firstLine="0"/>
        <w:rPr>
          <w:szCs w:val="22"/>
        </w:rPr>
      </w:pPr>
      <w:r w:rsidRPr="00031671">
        <w:rPr>
          <w:szCs w:val="22"/>
        </w:rPr>
        <w:t>O predávkovaní u ľudí sú k dispozícii len obmedzené údaje. Medzi symptómy súvisiace s predávkovaním inhibítormi ACE môže patriť hypotenzia, obehový šok, poruchy elektrolytov, renálne zlyhanie, hyperventilácia, tachykardia, palpitácie, bradykardia, závrat, úzkosť a kašeľ.</w:t>
      </w:r>
    </w:p>
    <w:p w14:paraId="6DC179C7" w14:textId="77777777" w:rsidR="0026753F" w:rsidRPr="00031671" w:rsidRDefault="0026753F" w:rsidP="0026753F">
      <w:pPr>
        <w:ind w:left="0" w:firstLine="0"/>
        <w:rPr>
          <w:szCs w:val="22"/>
        </w:rPr>
      </w:pPr>
      <w:r w:rsidRPr="00031671">
        <w:rPr>
          <w:szCs w:val="22"/>
        </w:rPr>
        <w:t>Odporúčanou liečbou pri predávkovaní je intravenózna infúzia roztoku chloridu sodného 9 mg/ml (0,9 %). Ak dôjde k hypotenzii, pacient sa má uložiť do protišokovej polohy. Ak sú dostupné, môže sa zvážiť tiež liečba infúziou angiotenzínu II a/alebo intravenózne podanie katecholamínov. Perindopril sa dá zo systémového obehu odstrániť hemodialýzou (pozri časť 4.4). Kardiostimulačná liečba je indikovaná pri bradykardii rezistentnej na liečbu. Nepretržite majú byť monitorované životne dôležité funkcie, sérové elektrolyty a koncentrácie kreatinínu.</w:t>
      </w:r>
    </w:p>
    <w:p w14:paraId="3269A64E" w14:textId="77777777" w:rsidR="0026753F" w:rsidRPr="00031671" w:rsidRDefault="0026753F" w:rsidP="0026753F">
      <w:pPr>
        <w:ind w:left="0" w:firstLine="0"/>
        <w:rPr>
          <w:i/>
          <w:szCs w:val="22"/>
          <w:u w:val="single"/>
        </w:rPr>
      </w:pPr>
    </w:p>
    <w:p w14:paraId="1A1DBE1A" w14:textId="77777777" w:rsidR="0026753F" w:rsidRPr="00031671" w:rsidRDefault="0026753F" w:rsidP="0026753F">
      <w:pPr>
        <w:ind w:left="0" w:firstLine="0"/>
        <w:rPr>
          <w:i/>
          <w:szCs w:val="22"/>
          <w:u w:val="single"/>
        </w:rPr>
      </w:pPr>
      <w:r w:rsidRPr="00031671">
        <w:rPr>
          <w:i/>
          <w:szCs w:val="22"/>
          <w:u w:val="single"/>
        </w:rPr>
        <w:t>Súvisiace s amlodipínom</w:t>
      </w:r>
    </w:p>
    <w:p w14:paraId="0212B507" w14:textId="77777777" w:rsidR="0026753F" w:rsidRPr="00031671" w:rsidRDefault="0026753F" w:rsidP="0026753F">
      <w:pPr>
        <w:tabs>
          <w:tab w:val="left" w:pos="-142"/>
          <w:tab w:val="left" w:pos="284"/>
        </w:tabs>
        <w:ind w:left="0" w:firstLine="0"/>
        <w:rPr>
          <w:szCs w:val="22"/>
        </w:rPr>
      </w:pPr>
    </w:p>
    <w:p w14:paraId="22B78F42" w14:textId="77777777" w:rsidR="0026753F" w:rsidRPr="00031671" w:rsidRDefault="00987E33" w:rsidP="0026753F">
      <w:pPr>
        <w:tabs>
          <w:tab w:val="left" w:pos="-142"/>
          <w:tab w:val="left" w:pos="284"/>
        </w:tabs>
        <w:ind w:left="0" w:firstLine="0"/>
        <w:rPr>
          <w:szCs w:val="22"/>
        </w:rPr>
      </w:pPr>
      <w:r w:rsidRPr="00031671">
        <w:rPr>
          <w:szCs w:val="22"/>
        </w:rPr>
        <w:t>U ľudí sú skúsenosti so zámerným predávkovaním obmedzené.</w:t>
      </w:r>
    </w:p>
    <w:p w14:paraId="76FF95EA" w14:textId="77777777" w:rsidR="00987E33" w:rsidRPr="00031671" w:rsidRDefault="00987E33" w:rsidP="0026753F">
      <w:pPr>
        <w:tabs>
          <w:tab w:val="left" w:pos="-142"/>
          <w:tab w:val="left" w:pos="284"/>
        </w:tabs>
        <w:ind w:left="0" w:firstLine="0"/>
        <w:rPr>
          <w:szCs w:val="22"/>
        </w:rPr>
      </w:pPr>
    </w:p>
    <w:p w14:paraId="46273907" w14:textId="77777777" w:rsidR="0026753F" w:rsidRPr="00506927" w:rsidRDefault="0026753F" w:rsidP="00506927">
      <w:pPr>
        <w:keepNext/>
        <w:tabs>
          <w:tab w:val="left" w:pos="-142"/>
          <w:tab w:val="left" w:pos="284"/>
        </w:tabs>
        <w:ind w:left="0" w:firstLine="0"/>
        <w:rPr>
          <w:u w:val="single"/>
        </w:rPr>
      </w:pPr>
      <w:r w:rsidRPr="00506927">
        <w:rPr>
          <w:u w:val="single"/>
        </w:rPr>
        <w:lastRenderedPageBreak/>
        <w:t>Symptómy</w:t>
      </w:r>
    </w:p>
    <w:p w14:paraId="69C3A785" w14:textId="77777777" w:rsidR="0026753F" w:rsidRPr="00031671" w:rsidRDefault="0026753F" w:rsidP="0026753F">
      <w:pPr>
        <w:tabs>
          <w:tab w:val="left" w:pos="-142"/>
          <w:tab w:val="left" w:pos="284"/>
        </w:tabs>
        <w:ind w:left="0" w:firstLine="0"/>
        <w:rPr>
          <w:szCs w:val="22"/>
        </w:rPr>
      </w:pPr>
      <w:r w:rsidRPr="00762B3B">
        <w:rPr>
          <w:szCs w:val="22"/>
        </w:rPr>
        <w:t>Dostupné údaje navodzujú, že veľké predávkovanie by mohlo vyústiť do excesívnej periférnej vazodilatácie a možnej reflexnej ta</w:t>
      </w:r>
      <w:r w:rsidRPr="00031671">
        <w:rPr>
          <w:szCs w:val="22"/>
        </w:rPr>
        <w:t xml:space="preserve">chykardie. </w:t>
      </w:r>
      <w:r w:rsidR="00CC0087" w:rsidRPr="00031671">
        <w:rPr>
          <w:szCs w:val="22"/>
        </w:rPr>
        <w:t xml:space="preserve">Bola hlásená výrazná a pravdepodobne dlhotrvajúca systémová hypotenzia prechádzajúca až do šoku a končiaca fatálne. </w:t>
      </w:r>
    </w:p>
    <w:p w14:paraId="11FE7B53" w14:textId="77777777" w:rsidR="0026753F" w:rsidRPr="00031671" w:rsidRDefault="0026753F" w:rsidP="0026753F">
      <w:pPr>
        <w:tabs>
          <w:tab w:val="left" w:pos="-142"/>
          <w:tab w:val="left" w:pos="284"/>
        </w:tabs>
        <w:ind w:left="0" w:firstLine="0"/>
        <w:rPr>
          <w:szCs w:val="22"/>
        </w:rPr>
      </w:pPr>
    </w:p>
    <w:p w14:paraId="6ACDE91B" w14:textId="77777777" w:rsidR="0026753F" w:rsidRPr="00506927" w:rsidRDefault="0026753F" w:rsidP="0026753F">
      <w:pPr>
        <w:tabs>
          <w:tab w:val="left" w:pos="-142"/>
          <w:tab w:val="left" w:pos="284"/>
        </w:tabs>
        <w:ind w:left="0" w:firstLine="0"/>
        <w:rPr>
          <w:u w:val="single"/>
        </w:rPr>
      </w:pPr>
      <w:r w:rsidRPr="00506927">
        <w:rPr>
          <w:u w:val="single"/>
        </w:rPr>
        <w:t>Liečba</w:t>
      </w:r>
    </w:p>
    <w:p w14:paraId="7874955C" w14:textId="665F0B5D" w:rsidR="00CC0087" w:rsidRPr="00031671" w:rsidRDefault="00CC0087" w:rsidP="0026753F">
      <w:pPr>
        <w:tabs>
          <w:tab w:val="left" w:pos="-142"/>
          <w:tab w:val="left" w:pos="284"/>
        </w:tabs>
        <w:ind w:left="0" w:firstLine="0"/>
        <w:rPr>
          <w:szCs w:val="22"/>
        </w:rPr>
      </w:pPr>
      <w:r w:rsidRPr="00762B3B">
        <w:rPr>
          <w:szCs w:val="22"/>
        </w:rPr>
        <w:t xml:space="preserve">Klinicky významná hypotenzia po predávkovaní s amlodipínom si vyžaduje aktívnu kardiovaskulárnu podporu vrátane častého </w:t>
      </w:r>
      <w:r w:rsidRPr="00031671">
        <w:rPr>
          <w:szCs w:val="22"/>
        </w:rPr>
        <w:t>monitorovania srdcovej a respiračnej funkcie, elevácie končatín a sledovania objemu cirkulujúcich tekutín a vylučovania moču.</w:t>
      </w:r>
      <w:r w:rsidR="00564F10" w:rsidRPr="00031671">
        <w:rPr>
          <w:szCs w:val="22"/>
        </w:rPr>
        <w:t xml:space="preserve"> </w:t>
      </w:r>
      <w:r w:rsidR="001E1948" w:rsidRPr="00031671">
        <w:rPr>
          <w:szCs w:val="22"/>
        </w:rPr>
        <w:t>Podanie vazokonstriktíva môže byť užitočné pri obnovení cievneho tonusu a krvného tlaku za predpokladu, že jeho použitie nie je kontraindikované. Na zvrátenie účinkov blokády kalciového kanála je vhodné intravenózne podanie kalciumglukonátu.</w:t>
      </w:r>
      <w:r w:rsidRPr="00031671">
        <w:rPr>
          <w:szCs w:val="22"/>
        </w:rPr>
        <w:t xml:space="preserve"> V</w:t>
      </w:r>
      <w:r w:rsidR="00031671">
        <w:rPr>
          <w:szCs w:val="22"/>
        </w:rPr>
        <w:t> </w:t>
      </w:r>
      <w:r w:rsidRPr="00762B3B">
        <w:rPr>
          <w:szCs w:val="22"/>
        </w:rPr>
        <w:t>niektorých prípadoch môže byť užitočný v</w:t>
      </w:r>
      <w:r w:rsidR="00DD61B3" w:rsidRPr="00762B3B">
        <w:rPr>
          <w:szCs w:val="22"/>
        </w:rPr>
        <w:t>ýplach ž</w:t>
      </w:r>
      <w:r w:rsidRPr="00762B3B">
        <w:rPr>
          <w:szCs w:val="22"/>
        </w:rPr>
        <w:t>alúdka</w:t>
      </w:r>
      <w:r w:rsidR="00DD61B3" w:rsidRPr="00762B3B">
        <w:rPr>
          <w:szCs w:val="22"/>
        </w:rPr>
        <w:t xml:space="preserve">. </w:t>
      </w:r>
      <w:r w:rsidRPr="00762B3B">
        <w:rPr>
          <w:szCs w:val="22"/>
        </w:rPr>
        <w:t>Ukázalo sa, že podanie aktívneho uhlia zdravým dobrovoľníkom do dvoch hodín od podania</w:t>
      </w:r>
      <w:r w:rsidRPr="00031671">
        <w:rPr>
          <w:szCs w:val="22"/>
        </w:rPr>
        <w:t xml:space="preserve"> 10 mg amlodipínu významne znížilo rýchlosť absorpcie amlodipínu. </w:t>
      </w:r>
    </w:p>
    <w:p w14:paraId="2B92E17C" w14:textId="77777777" w:rsidR="00CC0087" w:rsidRPr="00031671" w:rsidRDefault="00CC0087" w:rsidP="00CC0087">
      <w:pPr>
        <w:tabs>
          <w:tab w:val="left" w:pos="-142"/>
          <w:tab w:val="left" w:pos="284"/>
        </w:tabs>
        <w:spacing w:line="240" w:lineRule="atLeast"/>
        <w:ind w:left="0" w:firstLine="0"/>
        <w:rPr>
          <w:szCs w:val="22"/>
        </w:rPr>
      </w:pPr>
    </w:p>
    <w:p w14:paraId="3CE11DA6" w14:textId="77777777" w:rsidR="00DD61B3" w:rsidRPr="00031671" w:rsidRDefault="00DD61B3" w:rsidP="00F3126E">
      <w:pPr>
        <w:tabs>
          <w:tab w:val="left" w:pos="-142"/>
          <w:tab w:val="left" w:pos="284"/>
        </w:tabs>
        <w:spacing w:line="240" w:lineRule="atLeast"/>
        <w:ind w:left="0" w:firstLine="0"/>
        <w:rPr>
          <w:szCs w:val="22"/>
        </w:rPr>
      </w:pPr>
      <w:r w:rsidRPr="00031671">
        <w:rPr>
          <w:szCs w:val="22"/>
        </w:rPr>
        <w:t xml:space="preserve">Pretože amlodipín </w:t>
      </w:r>
      <w:r w:rsidR="00F827B6" w:rsidRPr="00031671">
        <w:rPr>
          <w:szCs w:val="22"/>
        </w:rPr>
        <w:t>sa vo výraznej miere viaže na</w:t>
      </w:r>
      <w:r w:rsidRPr="00031671">
        <w:rPr>
          <w:szCs w:val="22"/>
        </w:rPr>
        <w:t xml:space="preserve"> bielkoviny, nie je pravdepodobné, že </w:t>
      </w:r>
      <w:r w:rsidR="00CC0087" w:rsidRPr="00031671">
        <w:rPr>
          <w:szCs w:val="22"/>
        </w:rPr>
        <w:t xml:space="preserve">dialýza </w:t>
      </w:r>
      <w:r w:rsidR="00F827B6" w:rsidRPr="00031671">
        <w:rPr>
          <w:szCs w:val="22"/>
        </w:rPr>
        <w:t>môže byť</w:t>
      </w:r>
      <w:r w:rsidRPr="00031671">
        <w:rPr>
          <w:szCs w:val="22"/>
        </w:rPr>
        <w:t xml:space="preserve"> prínosom.</w:t>
      </w:r>
    </w:p>
    <w:p w14:paraId="233B4DB6" w14:textId="77777777" w:rsidR="001E1948" w:rsidRPr="00031671" w:rsidRDefault="001E1948" w:rsidP="00F3126E">
      <w:pPr>
        <w:tabs>
          <w:tab w:val="left" w:pos="-142"/>
          <w:tab w:val="left" w:pos="284"/>
        </w:tabs>
        <w:spacing w:line="240" w:lineRule="atLeast"/>
        <w:ind w:left="0" w:firstLine="0"/>
        <w:rPr>
          <w:szCs w:val="22"/>
        </w:rPr>
      </w:pPr>
    </w:p>
    <w:p w14:paraId="352101E1" w14:textId="77777777" w:rsidR="001E1948" w:rsidRPr="00031671" w:rsidRDefault="001E1948" w:rsidP="00F3126E">
      <w:pPr>
        <w:rPr>
          <w:szCs w:val="22"/>
        </w:rPr>
      </w:pPr>
    </w:p>
    <w:p w14:paraId="4E51E882" w14:textId="77777777" w:rsidR="001E1948" w:rsidRPr="00031671" w:rsidRDefault="001E1948" w:rsidP="00F3126E">
      <w:pPr>
        <w:rPr>
          <w:szCs w:val="22"/>
        </w:rPr>
      </w:pPr>
      <w:r w:rsidRPr="00031671">
        <w:rPr>
          <w:b/>
          <w:szCs w:val="22"/>
        </w:rPr>
        <w:t>5.</w:t>
      </w:r>
      <w:r w:rsidRPr="00031671">
        <w:rPr>
          <w:b/>
          <w:szCs w:val="22"/>
        </w:rPr>
        <w:tab/>
        <w:t>FARMAKOLOGICKÉ VLASTNOSTI</w:t>
      </w:r>
    </w:p>
    <w:p w14:paraId="37519FEA" w14:textId="77777777" w:rsidR="001E1948" w:rsidRPr="00031671" w:rsidRDefault="001E1948" w:rsidP="00F3126E">
      <w:pPr>
        <w:rPr>
          <w:bCs/>
          <w:szCs w:val="22"/>
        </w:rPr>
      </w:pPr>
    </w:p>
    <w:p w14:paraId="5170A1EF" w14:textId="77777777" w:rsidR="001E1948" w:rsidRPr="00031671" w:rsidRDefault="001E1948" w:rsidP="00F3126E">
      <w:pPr>
        <w:rPr>
          <w:szCs w:val="22"/>
        </w:rPr>
      </w:pPr>
      <w:r w:rsidRPr="00031671">
        <w:rPr>
          <w:b/>
          <w:szCs w:val="22"/>
        </w:rPr>
        <w:t>5.1</w:t>
      </w:r>
      <w:r w:rsidRPr="00031671">
        <w:rPr>
          <w:b/>
          <w:szCs w:val="22"/>
        </w:rPr>
        <w:tab/>
        <w:t>Farmakodynamické vlastnosti</w:t>
      </w:r>
    </w:p>
    <w:p w14:paraId="69012411" w14:textId="77777777" w:rsidR="001E1948" w:rsidRPr="00031671" w:rsidRDefault="001E1948" w:rsidP="00F3126E">
      <w:pPr>
        <w:rPr>
          <w:szCs w:val="22"/>
        </w:rPr>
      </w:pPr>
    </w:p>
    <w:p w14:paraId="6BD17CA3" w14:textId="77777777" w:rsidR="001E1948" w:rsidRPr="00031671" w:rsidRDefault="001E1948" w:rsidP="00F3126E">
      <w:pPr>
        <w:ind w:left="0" w:firstLine="0"/>
        <w:outlineLvl w:val="0"/>
        <w:rPr>
          <w:szCs w:val="22"/>
        </w:rPr>
      </w:pPr>
      <w:r w:rsidRPr="00031671">
        <w:rPr>
          <w:szCs w:val="22"/>
        </w:rPr>
        <w:t>Farmakoterapeutická skupina: Inhibítory ACE a blokátory kalciového kanála</w:t>
      </w:r>
      <w:r w:rsidR="00396788" w:rsidRPr="00031671">
        <w:rPr>
          <w:szCs w:val="22"/>
        </w:rPr>
        <w:t xml:space="preserve">, </w:t>
      </w:r>
      <w:r w:rsidRPr="00031671">
        <w:rPr>
          <w:szCs w:val="22"/>
        </w:rPr>
        <w:t xml:space="preserve">ATC kód: </w:t>
      </w:r>
      <w:r w:rsidR="00BB6B90" w:rsidRPr="00031671">
        <w:rPr>
          <w:szCs w:val="22"/>
        </w:rPr>
        <w:t>C09BB04</w:t>
      </w:r>
    </w:p>
    <w:p w14:paraId="5EA75899" w14:textId="77777777" w:rsidR="001E1948" w:rsidRPr="00031671" w:rsidRDefault="001E1948" w:rsidP="00F3126E">
      <w:pPr>
        <w:outlineLvl w:val="0"/>
        <w:rPr>
          <w:szCs w:val="22"/>
        </w:rPr>
      </w:pPr>
    </w:p>
    <w:p w14:paraId="54FEC843" w14:textId="6743D536" w:rsidR="0021333F" w:rsidRPr="00031671" w:rsidRDefault="0021333F" w:rsidP="0021333F">
      <w:pPr>
        <w:ind w:left="0" w:firstLine="0"/>
        <w:rPr>
          <w:i/>
          <w:szCs w:val="22"/>
          <w:u w:val="single"/>
        </w:rPr>
      </w:pPr>
      <w:r w:rsidRPr="00031671">
        <w:rPr>
          <w:i/>
          <w:szCs w:val="22"/>
          <w:u w:val="single"/>
        </w:rPr>
        <w:t>Súvisiace s perindoprilom</w:t>
      </w:r>
    </w:p>
    <w:p w14:paraId="4D5594A5" w14:textId="77777777" w:rsidR="00BB6B90" w:rsidRPr="00031671" w:rsidRDefault="00BB6B90" w:rsidP="00F3126E">
      <w:pPr>
        <w:ind w:left="0" w:firstLine="0"/>
        <w:rPr>
          <w:szCs w:val="22"/>
        </w:rPr>
      </w:pPr>
    </w:p>
    <w:p w14:paraId="673463C4" w14:textId="77777777" w:rsidR="001E1948" w:rsidRPr="00031671" w:rsidRDefault="001E1948" w:rsidP="00F3126E">
      <w:pPr>
        <w:ind w:left="0" w:firstLine="0"/>
        <w:rPr>
          <w:szCs w:val="22"/>
        </w:rPr>
      </w:pPr>
      <w:r w:rsidRPr="00031671">
        <w:rPr>
          <w:szCs w:val="22"/>
        </w:rPr>
        <w:t>Perindopril je inhibítor enzýmu, ktorý konvertuje angiotenzín I</w:t>
      </w:r>
      <w:r w:rsidR="00570AC4" w:rsidRPr="00031671">
        <w:rPr>
          <w:szCs w:val="22"/>
        </w:rPr>
        <w:t xml:space="preserve"> na angiotenzín II (angiotenzín </w:t>
      </w:r>
      <w:r w:rsidRPr="00031671">
        <w:rPr>
          <w:szCs w:val="22"/>
        </w:rPr>
        <w:t>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vedľajšie účinky (napr. kašeľ).</w:t>
      </w:r>
    </w:p>
    <w:p w14:paraId="5FE450A2" w14:textId="77777777" w:rsidR="00BB6B90" w:rsidRPr="00031671" w:rsidRDefault="00BB6B90" w:rsidP="00F3126E">
      <w:pPr>
        <w:ind w:left="0" w:firstLine="0"/>
        <w:rPr>
          <w:szCs w:val="22"/>
        </w:rPr>
      </w:pPr>
    </w:p>
    <w:p w14:paraId="54F64F69" w14:textId="77777777" w:rsidR="001E1948" w:rsidRPr="00031671" w:rsidRDefault="001E1948" w:rsidP="00F3126E">
      <w:pPr>
        <w:ind w:left="0" w:firstLine="0"/>
        <w:rPr>
          <w:szCs w:val="22"/>
        </w:rPr>
      </w:pPr>
      <w:r w:rsidRPr="00031671">
        <w:rPr>
          <w:szCs w:val="22"/>
        </w:rPr>
        <w:t xml:space="preserve">Perindopril pôsobí prostredníctvom svojho aktívneho metabolitu, perindoprilátu. Ostatné metabolity nemajú </w:t>
      </w:r>
      <w:r w:rsidRPr="00031671">
        <w:rPr>
          <w:i/>
          <w:szCs w:val="22"/>
        </w:rPr>
        <w:t>in vitro</w:t>
      </w:r>
      <w:r w:rsidRPr="00031671">
        <w:rPr>
          <w:szCs w:val="22"/>
        </w:rPr>
        <w:t xml:space="preserve"> žiadnu ACE inhibičnú aktivitu.</w:t>
      </w:r>
    </w:p>
    <w:p w14:paraId="085152F4" w14:textId="77777777" w:rsidR="001E1948" w:rsidRPr="00031671" w:rsidRDefault="001E1948" w:rsidP="00F3126E">
      <w:pPr>
        <w:ind w:left="0" w:firstLine="0"/>
        <w:rPr>
          <w:szCs w:val="22"/>
        </w:rPr>
      </w:pPr>
    </w:p>
    <w:p w14:paraId="32E80C05" w14:textId="77777777" w:rsidR="0021333F" w:rsidRPr="00031671" w:rsidRDefault="0021333F" w:rsidP="00F3126E">
      <w:pPr>
        <w:ind w:left="0" w:firstLine="0"/>
        <w:rPr>
          <w:szCs w:val="22"/>
        </w:rPr>
      </w:pPr>
      <w:r w:rsidRPr="00031671">
        <w:rPr>
          <w:szCs w:val="22"/>
        </w:rPr>
        <w:t>Klinická účinnosť a bezpečnosť</w:t>
      </w:r>
    </w:p>
    <w:p w14:paraId="0B21EA32" w14:textId="77777777" w:rsidR="0021333F" w:rsidRPr="00031671" w:rsidRDefault="0021333F" w:rsidP="00F3126E">
      <w:pPr>
        <w:ind w:left="0" w:firstLine="0"/>
        <w:rPr>
          <w:szCs w:val="22"/>
          <w:u w:val="single"/>
        </w:rPr>
      </w:pPr>
    </w:p>
    <w:p w14:paraId="2F22337E" w14:textId="30575E12" w:rsidR="001E1948" w:rsidRPr="00031671" w:rsidRDefault="001E1948" w:rsidP="00F3126E">
      <w:pPr>
        <w:ind w:left="0" w:firstLine="0"/>
        <w:rPr>
          <w:szCs w:val="22"/>
          <w:u w:val="single"/>
        </w:rPr>
      </w:pPr>
      <w:r w:rsidRPr="00031671">
        <w:rPr>
          <w:szCs w:val="22"/>
          <w:u w:val="single"/>
        </w:rPr>
        <w:t>Hypertenzia</w:t>
      </w:r>
    </w:p>
    <w:p w14:paraId="4E1E2C82" w14:textId="77777777" w:rsidR="00BB6B90" w:rsidRPr="00031671" w:rsidRDefault="00BB6B90" w:rsidP="00F3126E">
      <w:pPr>
        <w:ind w:left="0" w:firstLine="0"/>
        <w:rPr>
          <w:szCs w:val="22"/>
        </w:rPr>
      </w:pPr>
    </w:p>
    <w:p w14:paraId="769E58DB" w14:textId="77777777" w:rsidR="00BB6B90" w:rsidRPr="00031671" w:rsidRDefault="001E1948" w:rsidP="00F3126E">
      <w:pPr>
        <w:ind w:left="0" w:firstLine="0"/>
        <w:rPr>
          <w:szCs w:val="22"/>
        </w:rPr>
      </w:pPr>
      <w:r w:rsidRPr="00031671">
        <w:rPr>
          <w:szCs w:val="22"/>
        </w:rPr>
        <w:t xml:space="preserve">Perindopril je účinný pri všetkých stupňoch hypertenzie: miernej, stredne ťažkej, ťažkej; zníženie systolického a diastolického tlaku krvi </w:t>
      </w:r>
      <w:r w:rsidR="00570AC4" w:rsidRPr="00031671">
        <w:rPr>
          <w:szCs w:val="22"/>
        </w:rPr>
        <w:t xml:space="preserve">sa pozoruje ako </w:t>
      </w:r>
      <w:r w:rsidRPr="00031671">
        <w:rPr>
          <w:szCs w:val="22"/>
        </w:rPr>
        <w:t>v polohe ležmo</w:t>
      </w:r>
      <w:r w:rsidR="00570AC4" w:rsidRPr="00031671">
        <w:rPr>
          <w:szCs w:val="22"/>
        </w:rPr>
        <w:t>, tak</w:t>
      </w:r>
      <w:r w:rsidRPr="00031671">
        <w:rPr>
          <w:szCs w:val="22"/>
        </w:rPr>
        <w:t xml:space="preserve"> aj v stoji.</w:t>
      </w:r>
    </w:p>
    <w:p w14:paraId="33C3BD66" w14:textId="77777777" w:rsidR="001E1948" w:rsidRPr="00031671" w:rsidRDefault="001E1948" w:rsidP="00F3126E">
      <w:pPr>
        <w:ind w:left="0" w:firstLine="0"/>
        <w:rPr>
          <w:szCs w:val="22"/>
        </w:rPr>
      </w:pPr>
      <w:r w:rsidRPr="00031671">
        <w:rPr>
          <w:szCs w:val="22"/>
        </w:rPr>
        <w:t>Perindopril znižuje periférnu cievnu rezistenciu, čo vedie k zníženiu tlaku krvi. Dôsledkom toho sa zvyšuje periférny prietok krvi bez ovplyvnenia srdcovej frekvencie.</w:t>
      </w:r>
    </w:p>
    <w:p w14:paraId="7745C4D9" w14:textId="77777777" w:rsidR="00BB6B90" w:rsidRPr="00031671" w:rsidRDefault="001E1948" w:rsidP="00F3126E">
      <w:pPr>
        <w:ind w:left="0" w:firstLine="0"/>
        <w:rPr>
          <w:szCs w:val="22"/>
        </w:rPr>
      </w:pPr>
      <w:r w:rsidRPr="00031671">
        <w:rPr>
          <w:szCs w:val="22"/>
        </w:rPr>
        <w:t xml:space="preserve">Spravidla sa zvyšuje prietok krvi obličkami, kým rýchlosť glomerulárnej filtrácie (GFR) sa zvyčajne nemení. </w:t>
      </w:r>
    </w:p>
    <w:p w14:paraId="4A9DAE05" w14:textId="77777777" w:rsidR="00BB6B90" w:rsidRPr="00031671" w:rsidRDefault="001E1948" w:rsidP="00F3126E">
      <w:pPr>
        <w:ind w:left="0" w:firstLine="0"/>
        <w:rPr>
          <w:szCs w:val="22"/>
        </w:rPr>
      </w:pPr>
      <w:r w:rsidRPr="00031671">
        <w:rPr>
          <w:szCs w:val="22"/>
        </w:rPr>
        <w:t xml:space="preserve">Antihypertenzný účinok je maximálny medzi </w:t>
      </w:r>
      <w:smartTag w:uri="urn:schemas-microsoft-com:office:smarttags" w:element="metricconverter">
        <w:smartTagPr>
          <w:attr w:name="ProductID" w:val="4 a"/>
        </w:smartTagPr>
        <w:r w:rsidRPr="00031671">
          <w:rPr>
            <w:szCs w:val="22"/>
          </w:rPr>
          <w:t>4 a</w:t>
        </w:r>
      </w:smartTag>
      <w:r w:rsidRPr="00031671">
        <w:rPr>
          <w:szCs w:val="22"/>
        </w:rPr>
        <w:t xml:space="preserve"> 6 hodinou po podaní jednorazovej dávky a pretrváva najmenej 24 hodín: účinok v čase minimálnej účinnosti predstavuje približne 87</w:t>
      </w:r>
      <w:r w:rsidR="00396788" w:rsidRPr="00031671">
        <w:rPr>
          <w:szCs w:val="22"/>
        </w:rPr>
        <w:t xml:space="preserve"> </w:t>
      </w:r>
      <w:r w:rsidRPr="00031671">
        <w:rPr>
          <w:szCs w:val="22"/>
        </w:rPr>
        <w:t>–</w:t>
      </w:r>
      <w:r w:rsidR="00396788" w:rsidRPr="00031671">
        <w:rPr>
          <w:szCs w:val="22"/>
        </w:rPr>
        <w:t xml:space="preserve"> </w:t>
      </w:r>
      <w:r w:rsidRPr="00031671">
        <w:rPr>
          <w:szCs w:val="22"/>
        </w:rPr>
        <w:t>100</w:t>
      </w:r>
      <w:r w:rsidR="00564F10" w:rsidRPr="00031671">
        <w:rPr>
          <w:szCs w:val="22"/>
        </w:rPr>
        <w:t xml:space="preserve"> </w:t>
      </w:r>
      <w:r w:rsidRPr="00031671">
        <w:rPr>
          <w:szCs w:val="22"/>
        </w:rPr>
        <w:t>% účinku v čase maximálnej účinnosti.</w:t>
      </w:r>
    </w:p>
    <w:p w14:paraId="1E29D2F4" w14:textId="77777777" w:rsidR="00BB6B90" w:rsidRPr="00031671" w:rsidRDefault="001E1948" w:rsidP="00F3126E">
      <w:pPr>
        <w:ind w:left="0" w:firstLine="0"/>
        <w:rPr>
          <w:szCs w:val="22"/>
        </w:rPr>
      </w:pPr>
      <w:r w:rsidRPr="00031671">
        <w:rPr>
          <w:szCs w:val="22"/>
        </w:rPr>
        <w:lastRenderedPageBreak/>
        <w:t>K zníženiu tlaku krvi dochádza rýchlo. U reagujúcich pacientov sa normalizácia tlaku dosiahne v priebehu jedného mesiaca a pretrváva bez výskytu tachyfylaxie.</w:t>
      </w:r>
    </w:p>
    <w:p w14:paraId="458EAC03" w14:textId="77777777" w:rsidR="00BB6B90" w:rsidRPr="00031671" w:rsidRDefault="001E1948" w:rsidP="00F3126E">
      <w:pPr>
        <w:ind w:left="0" w:firstLine="0"/>
        <w:rPr>
          <w:szCs w:val="22"/>
        </w:rPr>
      </w:pPr>
      <w:r w:rsidRPr="00031671">
        <w:rPr>
          <w:szCs w:val="22"/>
        </w:rPr>
        <w:t xml:space="preserve">Ukončenie liečby nevedie k </w:t>
      </w:r>
      <w:r w:rsidRPr="00031671">
        <w:rPr>
          <w:i/>
          <w:iCs/>
          <w:szCs w:val="22"/>
        </w:rPr>
        <w:t>rebound</w:t>
      </w:r>
      <w:r w:rsidRPr="00031671">
        <w:rPr>
          <w:szCs w:val="22"/>
        </w:rPr>
        <w:t xml:space="preserve"> efektu.</w:t>
      </w:r>
    </w:p>
    <w:p w14:paraId="0D69D2F9" w14:textId="77777777" w:rsidR="00BB6B90" w:rsidRPr="00031671" w:rsidRDefault="001E1948" w:rsidP="00F3126E">
      <w:pPr>
        <w:ind w:left="0" w:firstLine="0"/>
        <w:rPr>
          <w:szCs w:val="22"/>
        </w:rPr>
      </w:pPr>
      <w:r w:rsidRPr="00031671">
        <w:rPr>
          <w:szCs w:val="22"/>
        </w:rPr>
        <w:t>Perindopril redukuje hypertrofiu ľavej komory.</w:t>
      </w:r>
    </w:p>
    <w:p w14:paraId="2FCF52CE" w14:textId="77777777" w:rsidR="001E1948" w:rsidRPr="00031671" w:rsidRDefault="001E1948" w:rsidP="0034482E">
      <w:pPr>
        <w:ind w:left="0" w:firstLine="0"/>
        <w:rPr>
          <w:szCs w:val="22"/>
        </w:rPr>
      </w:pPr>
      <w:r w:rsidRPr="00031671">
        <w:rPr>
          <w:szCs w:val="22"/>
        </w:rPr>
        <w:t>U ľudí boli potvrdené vazodilatačné vlastnosti perindoprilu. Perindopril zlepšuje elasticitu veľkých artérií a znižuje pomer média:lúmen malých artérií.</w:t>
      </w:r>
    </w:p>
    <w:p w14:paraId="3FA87317" w14:textId="77777777" w:rsidR="0021333F" w:rsidRPr="00031671" w:rsidRDefault="0021333F" w:rsidP="0021333F">
      <w:pPr>
        <w:ind w:left="0" w:firstLine="0"/>
        <w:rPr>
          <w:szCs w:val="22"/>
        </w:rPr>
      </w:pPr>
      <w:r w:rsidRPr="00031671">
        <w:rPr>
          <w:szCs w:val="22"/>
        </w:rPr>
        <w:t>Súbežná terapia tiazidovými diuretikami má aditívny synergický účinok. Kombinácia ACE inhibítora a tiazidu znižuje tiež riziko hypokaliémie vyvolanej liečbou diuretikami.</w:t>
      </w:r>
    </w:p>
    <w:p w14:paraId="3C54136B" w14:textId="77777777" w:rsidR="0021333F" w:rsidRPr="00031671" w:rsidRDefault="0021333F" w:rsidP="0021333F">
      <w:pPr>
        <w:ind w:left="0" w:firstLine="0"/>
        <w:rPr>
          <w:szCs w:val="22"/>
        </w:rPr>
      </w:pPr>
    </w:p>
    <w:p w14:paraId="0079D674" w14:textId="22C0B022" w:rsidR="001E1948" w:rsidRPr="00031671" w:rsidRDefault="001E1948" w:rsidP="00F3126E">
      <w:pPr>
        <w:ind w:left="0" w:firstLine="0"/>
        <w:rPr>
          <w:rFonts w:eastAsia="Arial Unicode MS"/>
          <w:szCs w:val="22"/>
          <w:u w:val="single"/>
        </w:rPr>
      </w:pPr>
      <w:r w:rsidRPr="00031671">
        <w:rPr>
          <w:rFonts w:eastAsia="Arial Unicode MS"/>
          <w:szCs w:val="22"/>
          <w:u w:val="single"/>
        </w:rPr>
        <w:t>Pacienti so stabilnou koronárnou chorobou srdca</w:t>
      </w:r>
    </w:p>
    <w:p w14:paraId="5D24C6CD" w14:textId="77777777" w:rsidR="00BB6B90" w:rsidRPr="00506927" w:rsidRDefault="00BB6B90" w:rsidP="00F3126E">
      <w:pPr>
        <w:pStyle w:val="Zarkazkladnhotextu"/>
        <w:spacing w:after="0"/>
        <w:ind w:left="0" w:firstLine="0"/>
        <w:rPr>
          <w:sz w:val="22"/>
          <w:lang w:val="sk-SK"/>
        </w:rPr>
      </w:pPr>
    </w:p>
    <w:p w14:paraId="66EB9C2F" w14:textId="77777777" w:rsidR="001E1948" w:rsidRPr="00506927" w:rsidRDefault="001E1948" w:rsidP="00F3126E">
      <w:pPr>
        <w:pStyle w:val="Zarkazkladnhotextu"/>
        <w:spacing w:after="0"/>
        <w:ind w:left="0" w:firstLine="0"/>
        <w:rPr>
          <w:sz w:val="22"/>
          <w:lang w:val="sk-SK"/>
        </w:rPr>
      </w:pPr>
      <w:r w:rsidRPr="00506927">
        <w:rPr>
          <w:sz w:val="22"/>
          <w:lang w:val="sk-SK"/>
        </w:rPr>
        <w:t xml:space="preserve">Štúdia EUROPA bola multicentrická, medzinárodná, randomizovaná, dvojito </w:t>
      </w:r>
      <w:r w:rsidR="00270522" w:rsidRPr="00506927">
        <w:rPr>
          <w:sz w:val="22"/>
          <w:lang w:val="sk-SK"/>
        </w:rPr>
        <w:t>za</w:t>
      </w:r>
      <w:r w:rsidRPr="00506927">
        <w:rPr>
          <w:sz w:val="22"/>
          <w:lang w:val="sk-SK"/>
        </w:rPr>
        <w:t>slep</w:t>
      </w:r>
      <w:r w:rsidR="00270522" w:rsidRPr="00506927">
        <w:rPr>
          <w:sz w:val="22"/>
          <w:lang w:val="sk-SK"/>
        </w:rPr>
        <w:t>en</w:t>
      </w:r>
      <w:r w:rsidRPr="00506927">
        <w:rPr>
          <w:sz w:val="22"/>
          <w:lang w:val="sk-SK"/>
        </w:rPr>
        <w:t>á, placebom kontrolovaná klinická štúdia, ktorá trvala 4 roky.</w:t>
      </w:r>
    </w:p>
    <w:p w14:paraId="77D3AA16" w14:textId="77777777" w:rsidR="00BB6B90" w:rsidRPr="00506927" w:rsidRDefault="00BB6B90" w:rsidP="00F3126E">
      <w:pPr>
        <w:pStyle w:val="Zarkazkladnhotextu"/>
        <w:spacing w:after="0"/>
        <w:ind w:left="0" w:firstLine="0"/>
        <w:rPr>
          <w:sz w:val="22"/>
          <w:lang w:val="sk-SK"/>
        </w:rPr>
      </w:pPr>
    </w:p>
    <w:p w14:paraId="0E31073B" w14:textId="77777777" w:rsidR="001E1948" w:rsidRPr="00762B3B" w:rsidRDefault="001E1948" w:rsidP="00F3126E">
      <w:pPr>
        <w:pStyle w:val="Zarkazkladnhotextu"/>
        <w:spacing w:after="0"/>
        <w:ind w:left="0" w:firstLine="0"/>
        <w:rPr>
          <w:sz w:val="22"/>
          <w:szCs w:val="22"/>
          <w:lang w:val="sk-SK"/>
        </w:rPr>
      </w:pPr>
      <w:r w:rsidRPr="00506927">
        <w:rPr>
          <w:sz w:val="22"/>
          <w:lang w:val="sk-SK"/>
        </w:rPr>
        <w:t xml:space="preserve">Dvanásťtisícdvestoosemnásť (12 218) pacientov vo veku nad 18 rokov bolo randomizovaných na 8 mg </w:t>
      </w:r>
      <w:r w:rsidR="002916B0" w:rsidRPr="00506927">
        <w:rPr>
          <w:sz w:val="22"/>
          <w:lang w:val="sk-SK"/>
        </w:rPr>
        <w:t>erbumínovej</w:t>
      </w:r>
      <w:r w:rsidRPr="00506927">
        <w:rPr>
          <w:sz w:val="22"/>
          <w:lang w:val="sk-SK"/>
        </w:rPr>
        <w:t xml:space="preserve"> soli perindoprilu (n=6 110) alebo placebo (n=6 108).</w:t>
      </w:r>
    </w:p>
    <w:p w14:paraId="09EF11DE" w14:textId="77777777" w:rsidR="00BB6B90" w:rsidRPr="00506927" w:rsidRDefault="00BB6B90" w:rsidP="00F3126E">
      <w:pPr>
        <w:pStyle w:val="Zarkazkladnhotextu"/>
        <w:spacing w:after="0"/>
        <w:ind w:left="0" w:firstLine="0"/>
        <w:rPr>
          <w:sz w:val="22"/>
          <w:lang w:val="sk-SK"/>
        </w:rPr>
      </w:pPr>
    </w:p>
    <w:p w14:paraId="338D244D" w14:textId="77777777" w:rsidR="001E1948" w:rsidRPr="00506927" w:rsidRDefault="001E1948" w:rsidP="00F3126E">
      <w:pPr>
        <w:pStyle w:val="Zarkazkladnhotextu"/>
        <w:spacing w:after="0"/>
        <w:ind w:left="0" w:firstLine="0"/>
        <w:rPr>
          <w:sz w:val="22"/>
          <w:lang w:val="sk-SK"/>
        </w:rPr>
      </w:pPr>
      <w:r w:rsidRPr="00506927">
        <w:rPr>
          <w:sz w:val="22"/>
          <w:lang w:val="sk-SK"/>
        </w:rPr>
        <w:t>Populácia v štúdii mala potvrdenú koronárnu chorobu srdca bez klinických známok srdcového zlyhania. Celkovo 90 % pacientov prekonalo v minulosti infarkt myokardu a/alebo boli po koronárnej revaskularizácii. Väčšine pacientov bol skúšaný produkt pridaný ku konvenčnej liečbe zahŕňajúcej antiagregačné látky, hypolipidemiká a beta-blokátory.</w:t>
      </w:r>
    </w:p>
    <w:p w14:paraId="48B66FB8" w14:textId="77777777" w:rsidR="00270522" w:rsidRPr="00506927" w:rsidRDefault="00270522" w:rsidP="00F3126E">
      <w:pPr>
        <w:pStyle w:val="Zarkazkladnhotextu"/>
        <w:spacing w:after="0"/>
        <w:ind w:left="0" w:firstLine="0"/>
        <w:rPr>
          <w:sz w:val="22"/>
          <w:lang w:val="sk-SK"/>
        </w:rPr>
      </w:pPr>
    </w:p>
    <w:p w14:paraId="19E8C634" w14:textId="77777777" w:rsidR="001E1948" w:rsidRPr="00506927" w:rsidRDefault="001E1948" w:rsidP="00F3126E">
      <w:pPr>
        <w:pStyle w:val="Zarkazkladnhotextu"/>
        <w:spacing w:after="0"/>
        <w:ind w:left="0" w:firstLine="0"/>
        <w:rPr>
          <w:sz w:val="22"/>
          <w:lang w:val="sk-SK"/>
        </w:rPr>
      </w:pPr>
      <w:r w:rsidRPr="00506927">
        <w:rPr>
          <w:sz w:val="22"/>
          <w:lang w:val="sk-SK"/>
        </w:rPr>
        <w:t xml:space="preserve">Hlavné hodnotiace kritérium účinnosti bol kompozit kardiovaskulárnej mortality, nefatálneho infarktu myokardu a/alebo zastavenia srdca s úspešnou resuscitáciou. Liečba 8 mg </w:t>
      </w:r>
      <w:r w:rsidR="002916B0" w:rsidRPr="00506927">
        <w:rPr>
          <w:sz w:val="22"/>
          <w:lang w:val="sk-SK"/>
        </w:rPr>
        <w:t>erbumínovej</w:t>
      </w:r>
      <w:r w:rsidRPr="00506927">
        <w:rPr>
          <w:sz w:val="22"/>
          <w:lang w:val="sk-SK"/>
        </w:rPr>
        <w:t xml:space="preserve"> soli perindoprilu raz denne viedla k signifikantnému absolútnemu zníženiu primárneho cieľa o 1,9 % (zníženie relatívneho rizika o 20 %, 95 % I</w:t>
      </w:r>
      <w:r w:rsidR="00564F10" w:rsidRPr="00506927">
        <w:rPr>
          <w:sz w:val="22"/>
          <w:lang w:val="sk-SK"/>
        </w:rPr>
        <w:t>S</w:t>
      </w:r>
      <w:r w:rsidRPr="00506927">
        <w:rPr>
          <w:sz w:val="22"/>
          <w:lang w:val="sk-SK"/>
        </w:rPr>
        <w:t xml:space="preserve"> [9,4; 28,6] – p</w:t>
      </w:r>
      <w:r w:rsidR="001B59C3" w:rsidRPr="00506927">
        <w:rPr>
          <w:sz w:val="22"/>
          <w:lang w:val="sk-SK"/>
        </w:rPr>
        <w:t xml:space="preserve"> </w:t>
      </w:r>
      <w:r w:rsidRPr="00506927">
        <w:rPr>
          <w:sz w:val="22"/>
          <w:lang w:val="sk-SK"/>
        </w:rPr>
        <w:t>&lt;0,001).</w:t>
      </w:r>
    </w:p>
    <w:p w14:paraId="120882FF" w14:textId="77777777" w:rsidR="00270522" w:rsidRPr="00506927" w:rsidRDefault="00270522" w:rsidP="00F3126E">
      <w:pPr>
        <w:pStyle w:val="Zarkazkladnhotextu"/>
        <w:spacing w:after="0"/>
        <w:ind w:left="0" w:firstLine="0"/>
        <w:rPr>
          <w:sz w:val="22"/>
          <w:lang w:val="sk-SK"/>
        </w:rPr>
      </w:pPr>
    </w:p>
    <w:p w14:paraId="6B963CC3" w14:textId="77777777" w:rsidR="001E1948" w:rsidRPr="00031671" w:rsidRDefault="001E1948" w:rsidP="00F3126E">
      <w:pPr>
        <w:ind w:left="0" w:firstLine="0"/>
        <w:rPr>
          <w:szCs w:val="22"/>
        </w:rPr>
      </w:pPr>
      <w:r w:rsidRPr="00762B3B">
        <w:rPr>
          <w:szCs w:val="22"/>
        </w:rPr>
        <w:t xml:space="preserve">U pacientov s infarktom myokardu a/alebo revaskularizáciou v anamnéze bolo v porovnaní s placebom </w:t>
      </w:r>
      <w:r w:rsidRPr="00031671">
        <w:rPr>
          <w:szCs w:val="22"/>
        </w:rPr>
        <w:t xml:space="preserve">pozorované absolútne zníženie primárneho cieľa o 2,2 %, zodpovedajúce zníženiu relatívneho rizika (RRR) o 22,4 % (95 </w:t>
      </w:r>
      <w:r w:rsidR="00564F10" w:rsidRPr="00031671">
        <w:rPr>
          <w:szCs w:val="22"/>
        </w:rPr>
        <w:t xml:space="preserve">% </w:t>
      </w:r>
      <w:r w:rsidRPr="00031671">
        <w:rPr>
          <w:szCs w:val="22"/>
        </w:rPr>
        <w:t>I</w:t>
      </w:r>
      <w:r w:rsidR="00564F10" w:rsidRPr="00031671">
        <w:rPr>
          <w:szCs w:val="22"/>
        </w:rPr>
        <w:t>S</w:t>
      </w:r>
      <w:r w:rsidRPr="00031671">
        <w:rPr>
          <w:szCs w:val="22"/>
        </w:rPr>
        <w:t xml:space="preserve"> [12,0; 31,6] – p</w:t>
      </w:r>
      <w:r w:rsidR="001B59C3" w:rsidRPr="00031671">
        <w:rPr>
          <w:szCs w:val="22"/>
        </w:rPr>
        <w:t xml:space="preserve"> </w:t>
      </w:r>
      <w:r w:rsidRPr="00031671">
        <w:rPr>
          <w:szCs w:val="22"/>
        </w:rPr>
        <w:t>&lt;0,001).</w:t>
      </w:r>
    </w:p>
    <w:p w14:paraId="7DA5F3A8" w14:textId="77777777" w:rsidR="001E1948" w:rsidRPr="00031671" w:rsidRDefault="001E1948" w:rsidP="00F3126E">
      <w:pPr>
        <w:tabs>
          <w:tab w:val="left" w:pos="0"/>
        </w:tabs>
        <w:ind w:left="0" w:firstLine="0"/>
        <w:rPr>
          <w:b/>
          <w:i/>
          <w:szCs w:val="22"/>
          <w:u w:val="single"/>
        </w:rPr>
      </w:pPr>
    </w:p>
    <w:p w14:paraId="628166BF" w14:textId="5531C8CA" w:rsidR="00987E33" w:rsidRPr="00031671" w:rsidRDefault="00987E33" w:rsidP="003577EA">
      <w:pPr>
        <w:autoSpaceDE w:val="0"/>
        <w:autoSpaceDN w:val="0"/>
        <w:adjustRightInd w:val="0"/>
        <w:ind w:left="0" w:firstLine="0"/>
        <w:rPr>
          <w:szCs w:val="22"/>
          <w:u w:val="single"/>
          <w:lang w:eastAsia="en-GB"/>
        </w:rPr>
      </w:pPr>
      <w:r w:rsidRPr="00031671">
        <w:rPr>
          <w:szCs w:val="22"/>
          <w:u w:val="single"/>
          <w:lang w:eastAsia="en-GB"/>
        </w:rPr>
        <w:t>Pediatrick</w:t>
      </w:r>
      <w:r w:rsidR="00072B90" w:rsidRPr="00031671">
        <w:rPr>
          <w:szCs w:val="22"/>
          <w:u w:val="single"/>
          <w:lang w:eastAsia="en-GB"/>
        </w:rPr>
        <w:t>á</w:t>
      </w:r>
      <w:r w:rsidRPr="00031671">
        <w:rPr>
          <w:szCs w:val="22"/>
          <w:u w:val="single"/>
          <w:lang w:eastAsia="en-GB"/>
        </w:rPr>
        <w:t xml:space="preserve"> populáci</w:t>
      </w:r>
      <w:r w:rsidR="00072B90" w:rsidRPr="00031671">
        <w:rPr>
          <w:szCs w:val="22"/>
          <w:u w:val="single"/>
          <w:lang w:eastAsia="en-GB"/>
        </w:rPr>
        <w:t>a</w:t>
      </w:r>
    </w:p>
    <w:p w14:paraId="194F8AD3" w14:textId="77777777" w:rsidR="003577EA" w:rsidRPr="00031671" w:rsidRDefault="003577EA" w:rsidP="003577EA">
      <w:pPr>
        <w:autoSpaceDE w:val="0"/>
        <w:autoSpaceDN w:val="0"/>
        <w:adjustRightInd w:val="0"/>
        <w:ind w:left="0" w:firstLine="0"/>
        <w:rPr>
          <w:szCs w:val="22"/>
          <w:lang w:eastAsia="en-GB"/>
        </w:rPr>
      </w:pPr>
    </w:p>
    <w:p w14:paraId="1B8D8789" w14:textId="77777777" w:rsidR="00987E33" w:rsidRPr="00031671" w:rsidRDefault="00987E33" w:rsidP="003577EA">
      <w:pPr>
        <w:autoSpaceDE w:val="0"/>
        <w:autoSpaceDN w:val="0"/>
        <w:adjustRightInd w:val="0"/>
        <w:ind w:left="0" w:firstLine="0"/>
        <w:rPr>
          <w:szCs w:val="22"/>
          <w:lang w:eastAsia="en-GB"/>
        </w:rPr>
      </w:pPr>
      <w:r w:rsidRPr="00031671">
        <w:rPr>
          <w:szCs w:val="22"/>
          <w:lang w:eastAsia="en-GB"/>
        </w:rPr>
        <w:t>Bezpečnosť a účinnosť perindoprilu u detí a dospievajúcich mladších ako 18 rokov nebola stanovená</w:t>
      </w:r>
      <w:r w:rsidR="00E740C5" w:rsidRPr="00031671">
        <w:rPr>
          <w:szCs w:val="22"/>
          <w:lang w:eastAsia="en-GB"/>
        </w:rPr>
        <w:t xml:space="preserve"> </w:t>
      </w:r>
      <w:r w:rsidR="003577EA" w:rsidRPr="00031671">
        <w:rPr>
          <w:szCs w:val="22"/>
          <w:lang w:eastAsia="en-GB"/>
        </w:rPr>
        <w:t>(pozri časť 4.2).</w:t>
      </w:r>
    </w:p>
    <w:p w14:paraId="1F95662B" w14:textId="77777777" w:rsidR="00987E33" w:rsidRPr="00031671" w:rsidRDefault="00987E33" w:rsidP="003577EA">
      <w:pPr>
        <w:autoSpaceDE w:val="0"/>
        <w:autoSpaceDN w:val="0"/>
        <w:adjustRightInd w:val="0"/>
        <w:ind w:left="0" w:firstLine="0"/>
        <w:rPr>
          <w:szCs w:val="22"/>
          <w:lang w:eastAsia="en-GB"/>
        </w:rPr>
      </w:pPr>
      <w:r w:rsidRPr="00031671">
        <w:rPr>
          <w:szCs w:val="22"/>
          <w:lang w:eastAsia="en-GB"/>
        </w:rPr>
        <w:t>V otvorenej neporovnávacej klinickej štúdii u 62 detí s hypertenziou vo veku 2 až 15 rokov s rýchlosťou glomerulárnej filtrácie &gt; 30 ml/min/1,73 m</w:t>
      </w:r>
      <w:r w:rsidRPr="00031671">
        <w:rPr>
          <w:szCs w:val="22"/>
          <w:vertAlign w:val="superscript"/>
          <w:lang w:eastAsia="en-GB"/>
        </w:rPr>
        <w:t>2</w:t>
      </w:r>
      <w:r w:rsidRPr="00031671">
        <w:rPr>
          <w:szCs w:val="22"/>
          <w:lang w:eastAsia="en-GB"/>
        </w:rPr>
        <w:t>, dostávali pacienti perindopril s priemernou dávkou 0,07 mg/kg. Dávka bola individualizovaná podľa profilu pacienta a odpovede krvného tlaku až do maximálnej dávky 0,135 mg/kg/deň.</w:t>
      </w:r>
    </w:p>
    <w:p w14:paraId="417D3977" w14:textId="77777777" w:rsidR="00987E33" w:rsidRPr="00031671" w:rsidRDefault="00987E33" w:rsidP="003577EA">
      <w:pPr>
        <w:autoSpaceDE w:val="0"/>
        <w:autoSpaceDN w:val="0"/>
        <w:adjustRightInd w:val="0"/>
        <w:ind w:left="0" w:firstLine="0"/>
        <w:rPr>
          <w:szCs w:val="22"/>
          <w:lang w:eastAsia="en-GB"/>
        </w:rPr>
      </w:pPr>
      <w:r w:rsidRPr="00031671">
        <w:rPr>
          <w:szCs w:val="22"/>
          <w:lang w:eastAsia="en-GB"/>
        </w:rPr>
        <w:t>59 pacientov dokončilo obdobie troch mesiacov a 36 pacientov dokončilo predĺžené obdobie štúdie, t.j. boli sledovaní najmenej 24 mesiacov (priemerné trvanie štúdie: 44 mesiacov).</w:t>
      </w:r>
    </w:p>
    <w:p w14:paraId="7C126CC2" w14:textId="77777777" w:rsidR="00987E33" w:rsidRPr="00031671" w:rsidRDefault="00987E33" w:rsidP="003577EA">
      <w:pPr>
        <w:autoSpaceDE w:val="0"/>
        <w:autoSpaceDN w:val="0"/>
        <w:adjustRightInd w:val="0"/>
        <w:ind w:left="0" w:firstLine="0"/>
        <w:rPr>
          <w:szCs w:val="22"/>
          <w:lang w:eastAsia="en-GB"/>
        </w:rPr>
      </w:pPr>
      <w:r w:rsidRPr="00031671">
        <w:rPr>
          <w:szCs w:val="22"/>
          <w:lang w:eastAsia="en-GB"/>
        </w:rPr>
        <w:t>Systolický a diastolický krvný tlak zostal stabilný od zaradenia do štúdie až po posledné hodnotenie u pacientov, ktorí boli už liečení inými antihypertenzívami</w:t>
      </w:r>
      <w:r w:rsidR="003577EA" w:rsidRPr="00031671">
        <w:rPr>
          <w:szCs w:val="22"/>
          <w:lang w:eastAsia="en-GB"/>
        </w:rPr>
        <w:t>,</w:t>
      </w:r>
      <w:r w:rsidRPr="00031671">
        <w:rPr>
          <w:szCs w:val="22"/>
          <w:lang w:eastAsia="en-GB"/>
        </w:rPr>
        <w:t xml:space="preserve"> a znížil sa u pacientov bez skúsenosti s liečbou.</w:t>
      </w:r>
    </w:p>
    <w:p w14:paraId="69E34935" w14:textId="77777777" w:rsidR="00987E33" w:rsidRPr="00031671" w:rsidRDefault="00987E33" w:rsidP="003577EA">
      <w:pPr>
        <w:autoSpaceDE w:val="0"/>
        <w:autoSpaceDN w:val="0"/>
        <w:adjustRightInd w:val="0"/>
        <w:ind w:left="0" w:firstLine="0"/>
        <w:rPr>
          <w:szCs w:val="22"/>
          <w:lang w:eastAsia="en-GB"/>
        </w:rPr>
      </w:pPr>
      <w:r w:rsidRPr="00031671">
        <w:rPr>
          <w:szCs w:val="22"/>
          <w:lang w:eastAsia="en-GB"/>
        </w:rPr>
        <w:t>Viac ako 75 % detí malo pri poslednom hodnotení systolický a diastolický krvný tlak pod 95. percentilom.</w:t>
      </w:r>
    </w:p>
    <w:p w14:paraId="4F7C6453" w14:textId="77777777" w:rsidR="00987E33" w:rsidRPr="00031671" w:rsidRDefault="00987E33" w:rsidP="003577EA">
      <w:pPr>
        <w:autoSpaceDE w:val="0"/>
        <w:autoSpaceDN w:val="0"/>
        <w:adjustRightInd w:val="0"/>
        <w:ind w:left="0" w:firstLine="0"/>
        <w:rPr>
          <w:szCs w:val="22"/>
          <w:lang w:eastAsia="en-GB"/>
        </w:rPr>
      </w:pPr>
      <w:r w:rsidRPr="00031671">
        <w:rPr>
          <w:szCs w:val="22"/>
          <w:lang w:eastAsia="en-GB"/>
        </w:rPr>
        <w:t>Bezpečnosť bola zhodná so známym bezpečnostným profilom perindoprilu.</w:t>
      </w:r>
    </w:p>
    <w:p w14:paraId="72219778" w14:textId="77777777" w:rsidR="00987E33" w:rsidRPr="00031671" w:rsidRDefault="00987E33" w:rsidP="003577EA">
      <w:pPr>
        <w:autoSpaceDE w:val="0"/>
        <w:autoSpaceDN w:val="0"/>
        <w:adjustRightInd w:val="0"/>
        <w:ind w:left="0" w:firstLine="0"/>
        <w:rPr>
          <w:szCs w:val="22"/>
          <w:lang w:eastAsia="en-GB"/>
        </w:rPr>
      </w:pPr>
    </w:p>
    <w:p w14:paraId="0DBCD633" w14:textId="71F0CF50" w:rsidR="00987E33" w:rsidRPr="00031671" w:rsidRDefault="00987E33" w:rsidP="00987E33">
      <w:pPr>
        <w:autoSpaceDE w:val="0"/>
        <w:autoSpaceDN w:val="0"/>
        <w:adjustRightInd w:val="0"/>
        <w:rPr>
          <w:bCs/>
          <w:szCs w:val="22"/>
          <w:u w:val="single"/>
        </w:rPr>
      </w:pPr>
      <w:r w:rsidRPr="00031671">
        <w:rPr>
          <w:szCs w:val="22"/>
          <w:u w:val="single"/>
          <w:lang w:eastAsia="en-GB"/>
        </w:rPr>
        <w:t xml:space="preserve">Údaje z klinických skúšaní duálnej inhibície systému </w:t>
      </w:r>
      <w:r w:rsidRPr="00031671">
        <w:rPr>
          <w:bCs/>
          <w:szCs w:val="22"/>
          <w:u w:val="single"/>
        </w:rPr>
        <w:t>renín-angiotenzín-aldosterón (RAAS</w:t>
      </w:r>
      <w:r w:rsidRPr="00E351FD">
        <w:rPr>
          <w:bCs/>
          <w:szCs w:val="22"/>
          <w:u w:val="single"/>
        </w:rPr>
        <w:t>):</w:t>
      </w:r>
      <w:r w:rsidRPr="00031671">
        <w:rPr>
          <w:bCs/>
          <w:szCs w:val="22"/>
          <w:u w:val="single"/>
        </w:rPr>
        <w:t>)</w:t>
      </w:r>
    </w:p>
    <w:p w14:paraId="207222E5" w14:textId="77777777" w:rsidR="003577EA" w:rsidRPr="00031671" w:rsidRDefault="003577EA" w:rsidP="00987E33">
      <w:pPr>
        <w:autoSpaceDE w:val="0"/>
        <w:autoSpaceDN w:val="0"/>
        <w:adjustRightInd w:val="0"/>
        <w:rPr>
          <w:bCs/>
          <w:szCs w:val="22"/>
          <w:u w:val="single"/>
        </w:rPr>
      </w:pPr>
    </w:p>
    <w:p w14:paraId="55B15FCA" w14:textId="3E4E196A" w:rsidR="001D3031" w:rsidRPr="00762B3B" w:rsidRDefault="001D3031" w:rsidP="001D3031">
      <w:pPr>
        <w:pStyle w:val="Zarkazkladnhotextu"/>
        <w:spacing w:after="0"/>
        <w:ind w:left="0" w:firstLine="0"/>
        <w:rPr>
          <w:sz w:val="22"/>
          <w:szCs w:val="22"/>
          <w:lang w:val="sk-SK" w:eastAsia="en-US"/>
        </w:rPr>
      </w:pPr>
      <w:r w:rsidRPr="00506927">
        <w:rPr>
          <w:sz w:val="22"/>
          <w:lang w:val="sk-SK"/>
        </w:rPr>
        <w:t xml:space="preserve">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Skúšanie ONTARGET sa vykonalo u pacientov s kardiovaskulárnym alebo cerebrovaskulárnym ochorením v anamnéze, alebo u pacientov s diabetes mellitus 2. typu, u ktorých </w:t>
      </w:r>
      <w:r w:rsidRPr="00506927">
        <w:rPr>
          <w:sz w:val="22"/>
          <w:lang w:val="sk-SK"/>
        </w:rPr>
        <w:lastRenderedPageBreak/>
        <w:t>sa preukázalo poškodenie cieľových orgánov. Skúšanie VA NEPHRON-D sa vykonalo u pacientov s</w:t>
      </w:r>
      <w:r w:rsidR="00031671">
        <w:rPr>
          <w:sz w:val="22"/>
          <w:szCs w:val="22"/>
          <w:lang w:val="sk-SK" w:eastAsia="en-US"/>
        </w:rPr>
        <w:t> </w:t>
      </w:r>
      <w:r w:rsidRPr="00506927">
        <w:rPr>
          <w:sz w:val="22"/>
          <w:lang w:val="sk-SK"/>
        </w:rPr>
        <w:t>diabetes mellitus 2. typu a diabetickou nefropatiou.</w:t>
      </w:r>
    </w:p>
    <w:p w14:paraId="10B4B5DB" w14:textId="77777777" w:rsidR="000315CC" w:rsidRPr="00762B3B" w:rsidRDefault="001D3031" w:rsidP="001D3031">
      <w:pPr>
        <w:pStyle w:val="Zarkazkladnhotextu"/>
        <w:spacing w:after="0"/>
        <w:ind w:left="0" w:firstLine="0"/>
        <w:rPr>
          <w:sz w:val="22"/>
          <w:szCs w:val="22"/>
          <w:lang w:val="sk-SK" w:eastAsia="en-US"/>
        </w:rPr>
      </w:pPr>
      <w:r w:rsidRPr="00506927">
        <w:rPr>
          <w:sz w:val="22"/>
          <w:lang w:val="sk-SK"/>
        </w:rPr>
        <w:t>Tieto skúšania neukázali významný priaznivý účinok na renálne a/alebo kardiovaskulárne ukazovatele a mortalitu, zatiaľ čo v porovnaní s monoterapiou sa pozorovalo zvýšené riziko hyperkaliémie, akútneho poškodenia obličiek a/alebo hypotenzie.</w:t>
      </w:r>
    </w:p>
    <w:p w14:paraId="7FB1547E" w14:textId="77777777" w:rsidR="001D3031" w:rsidRPr="00762B3B" w:rsidRDefault="001D3031" w:rsidP="001D3031">
      <w:pPr>
        <w:pStyle w:val="Zarkazkladnhotextu"/>
        <w:spacing w:after="0"/>
        <w:ind w:left="0" w:firstLine="0"/>
        <w:rPr>
          <w:sz w:val="22"/>
          <w:szCs w:val="22"/>
          <w:lang w:val="sk-SK" w:eastAsia="en-US"/>
        </w:rPr>
      </w:pPr>
      <w:r w:rsidRPr="00506927">
        <w:rPr>
          <w:sz w:val="22"/>
          <w:lang w:val="sk-SK"/>
        </w:rPr>
        <w:t>Vzhľadom na podobné farmakodynamické vlastnosti sú tieto výsledky relevantné aj pre ostatné inhibítory ACE a blokátory receptorov angiotenzínu II.</w:t>
      </w:r>
    </w:p>
    <w:p w14:paraId="51035FFB" w14:textId="77777777" w:rsidR="001D3031" w:rsidRPr="00762B3B" w:rsidRDefault="001D3031" w:rsidP="001D3031">
      <w:pPr>
        <w:pStyle w:val="Zarkazkladnhotextu"/>
        <w:spacing w:after="0"/>
        <w:ind w:left="0" w:firstLine="0"/>
        <w:rPr>
          <w:sz w:val="22"/>
          <w:szCs w:val="22"/>
          <w:lang w:val="sk-SK" w:eastAsia="en-US"/>
        </w:rPr>
      </w:pPr>
      <w:r w:rsidRPr="00506927">
        <w:rPr>
          <w:sz w:val="22"/>
          <w:lang w:val="sk-SK"/>
        </w:rPr>
        <w:t>Inhibítory ACE a blokátory receptorov angiotenzínu II sa preto nemajú používať súbežne u pacientov s diabetickou nefropatiou.</w:t>
      </w:r>
    </w:p>
    <w:p w14:paraId="098603EB" w14:textId="5531B9F8" w:rsidR="001D3031" w:rsidRPr="00762B3B" w:rsidRDefault="001D3031" w:rsidP="00762B3B">
      <w:pPr>
        <w:pStyle w:val="Zarkazkladnhotextu"/>
        <w:spacing w:after="0"/>
        <w:ind w:left="0" w:firstLine="0"/>
        <w:rPr>
          <w:sz w:val="22"/>
          <w:szCs w:val="22"/>
          <w:lang w:val="sk-SK" w:eastAsia="en-US"/>
        </w:rPr>
      </w:pPr>
      <w:r w:rsidRPr="00506927">
        <w:rPr>
          <w:sz w:val="22"/>
          <w:lang w:val="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w:t>
      </w:r>
      <w:r w:rsidR="00031671" w:rsidRPr="00031671">
        <w:rPr>
          <w:sz w:val="22"/>
          <w:szCs w:val="22"/>
          <w:lang w:val="sk-SK" w:eastAsia="en-US"/>
        </w:rPr>
        <w:t> </w:t>
      </w:r>
      <w:r w:rsidRPr="00506927">
        <w:rPr>
          <w:sz w:val="22"/>
          <w:lang w:val="sk-SK"/>
        </w:rPr>
        <w:t xml:space="preserve">chronickým ochorením obličiek, kardiovaskulárnym ochorením, alebo oboma ochoreniami. Skúšanie bolo predčasne ukončené pre zvýšené riziko nežiaducich udalostí. V skupine aliskirenu bolo </w:t>
      </w:r>
      <w:r w:rsidR="00F769F0" w:rsidRPr="00762B3B">
        <w:rPr>
          <w:sz w:val="22"/>
          <w:szCs w:val="22"/>
          <w:lang w:val="sk-SK" w:eastAsia="en-US"/>
        </w:rPr>
        <w:t xml:space="preserve">numericky </w:t>
      </w:r>
      <w:r w:rsidRPr="00506927">
        <w:rPr>
          <w:sz w:val="22"/>
          <w:lang w:val="sk-SK"/>
        </w:rPr>
        <w:t>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14:paraId="7550F8C7" w14:textId="77777777" w:rsidR="001D3031" w:rsidRPr="00031671" w:rsidRDefault="001D3031" w:rsidP="001D3031">
      <w:pPr>
        <w:tabs>
          <w:tab w:val="left" w:pos="0"/>
        </w:tabs>
        <w:ind w:left="0" w:firstLine="0"/>
        <w:rPr>
          <w:b/>
          <w:i/>
          <w:szCs w:val="22"/>
          <w:u w:val="single"/>
        </w:rPr>
      </w:pPr>
    </w:p>
    <w:p w14:paraId="3E64E327" w14:textId="6FB83D5A" w:rsidR="001E1948" w:rsidRPr="00031671" w:rsidRDefault="00A601AD" w:rsidP="00F3126E">
      <w:pPr>
        <w:tabs>
          <w:tab w:val="left" w:pos="0"/>
        </w:tabs>
        <w:ind w:left="0" w:firstLine="0"/>
        <w:rPr>
          <w:i/>
          <w:szCs w:val="22"/>
          <w:u w:val="single"/>
        </w:rPr>
      </w:pPr>
      <w:r w:rsidRPr="00031671">
        <w:rPr>
          <w:i/>
          <w:szCs w:val="22"/>
          <w:u w:val="single"/>
        </w:rPr>
        <w:t>Súvisiace s a</w:t>
      </w:r>
      <w:r w:rsidR="001E1948" w:rsidRPr="00031671">
        <w:rPr>
          <w:i/>
          <w:szCs w:val="22"/>
          <w:u w:val="single"/>
        </w:rPr>
        <w:t>mlodipín</w:t>
      </w:r>
      <w:r w:rsidRPr="00031671">
        <w:rPr>
          <w:i/>
          <w:szCs w:val="22"/>
          <w:u w:val="single"/>
        </w:rPr>
        <w:t>om</w:t>
      </w:r>
    </w:p>
    <w:p w14:paraId="3F6B288F" w14:textId="77777777" w:rsidR="00BB6B90" w:rsidRPr="00031671" w:rsidRDefault="00BB6B90" w:rsidP="00F3126E">
      <w:pPr>
        <w:tabs>
          <w:tab w:val="left" w:pos="0"/>
        </w:tabs>
        <w:ind w:left="0" w:firstLine="0"/>
        <w:rPr>
          <w:i/>
          <w:szCs w:val="22"/>
          <w:u w:val="single"/>
        </w:rPr>
      </w:pPr>
    </w:p>
    <w:p w14:paraId="0CFFC42E" w14:textId="77777777" w:rsidR="001E1948" w:rsidRPr="00031671" w:rsidRDefault="001E1948" w:rsidP="00F3126E">
      <w:pPr>
        <w:tabs>
          <w:tab w:val="left" w:pos="0"/>
        </w:tabs>
        <w:ind w:left="0" w:firstLine="0"/>
        <w:rPr>
          <w:szCs w:val="22"/>
        </w:rPr>
      </w:pPr>
      <w:r w:rsidRPr="00031671">
        <w:rPr>
          <w:szCs w:val="22"/>
        </w:rPr>
        <w:t>Amlodipín je inhibítor vstupu kalciových iónov z dihydropyridínovej skupiny (blokátor pomalého kanála alebo antagonista kalciových iónov) a inhibuje transmembránový vstup kalciových iónov do hladkých svalov srdca a ciev.</w:t>
      </w:r>
    </w:p>
    <w:p w14:paraId="4B15BE1A" w14:textId="77777777" w:rsidR="001E1948" w:rsidRPr="00031671" w:rsidRDefault="001E1948" w:rsidP="00F3126E">
      <w:pPr>
        <w:tabs>
          <w:tab w:val="left" w:pos="0"/>
        </w:tabs>
        <w:ind w:left="0" w:firstLine="0"/>
        <w:rPr>
          <w:szCs w:val="22"/>
        </w:rPr>
      </w:pPr>
    </w:p>
    <w:p w14:paraId="1C2AB76D" w14:textId="77777777" w:rsidR="001E1948" w:rsidRPr="00031671" w:rsidRDefault="001E1948"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Mechanizmom antihypertenzn</w:t>
      </w:r>
      <w:r w:rsidR="00083DEB" w:rsidRPr="00031671">
        <w:rPr>
          <w:rFonts w:ascii="Times New Roman" w:hAnsi="Times New Roman" w:cs="Times New Roman"/>
          <w:color w:val="auto"/>
          <w:sz w:val="22"/>
          <w:szCs w:val="22"/>
        </w:rPr>
        <w:t>é</w:t>
      </w:r>
      <w:r w:rsidRPr="00031671">
        <w:rPr>
          <w:rFonts w:ascii="Times New Roman" w:hAnsi="Times New Roman" w:cs="Times New Roman"/>
          <w:color w:val="auto"/>
          <w:sz w:val="22"/>
          <w:szCs w:val="22"/>
        </w:rPr>
        <w:t>ho účinku amlodipínu je priamy relaxačný vplyv na hladké svaly ciev. Presný mechanizmus, ktorým amlodip</w:t>
      </w:r>
      <w:r w:rsidR="00270522" w:rsidRPr="00031671">
        <w:rPr>
          <w:rFonts w:ascii="Times New Roman" w:hAnsi="Times New Roman" w:cs="Times New Roman"/>
          <w:color w:val="auto"/>
          <w:sz w:val="22"/>
          <w:szCs w:val="22"/>
        </w:rPr>
        <w:t>ín vyvoláva úľavu symptómov angí</w:t>
      </w:r>
      <w:r w:rsidRPr="00031671">
        <w:rPr>
          <w:rFonts w:ascii="Times New Roman" w:hAnsi="Times New Roman" w:cs="Times New Roman"/>
          <w:color w:val="auto"/>
          <w:sz w:val="22"/>
          <w:szCs w:val="22"/>
        </w:rPr>
        <w:t>ny pe</w:t>
      </w:r>
      <w:r w:rsidR="002916B0" w:rsidRPr="00031671">
        <w:rPr>
          <w:rFonts w:ascii="Times New Roman" w:hAnsi="Times New Roman" w:cs="Times New Roman"/>
          <w:color w:val="auto"/>
          <w:sz w:val="22"/>
          <w:szCs w:val="22"/>
        </w:rPr>
        <w:t>k</w:t>
      </w:r>
      <w:r w:rsidRPr="00031671">
        <w:rPr>
          <w:rFonts w:ascii="Times New Roman" w:hAnsi="Times New Roman" w:cs="Times New Roman"/>
          <w:color w:val="auto"/>
          <w:sz w:val="22"/>
          <w:szCs w:val="22"/>
        </w:rPr>
        <w:t>toris</w:t>
      </w:r>
      <w:r w:rsidR="00270522" w:rsidRPr="00031671">
        <w:rPr>
          <w:rFonts w:ascii="Times New Roman" w:hAnsi="Times New Roman" w:cs="Times New Roman"/>
          <w:color w:val="auto"/>
          <w:sz w:val="22"/>
          <w:szCs w:val="22"/>
        </w:rPr>
        <w:t>,</w:t>
      </w:r>
      <w:r w:rsidRPr="00031671">
        <w:rPr>
          <w:rFonts w:ascii="Times New Roman" w:hAnsi="Times New Roman" w:cs="Times New Roman"/>
          <w:color w:val="auto"/>
          <w:sz w:val="22"/>
          <w:szCs w:val="22"/>
        </w:rPr>
        <w:t xml:space="preserve"> nie je úplne známy, ale amlodipín redukuje celkovú ischemickú záťaž dvoma nasledovnými účinkami:</w:t>
      </w:r>
    </w:p>
    <w:p w14:paraId="2DCB8B1E" w14:textId="77777777" w:rsidR="00270522" w:rsidRPr="00031671" w:rsidRDefault="00270522" w:rsidP="00F3126E">
      <w:pPr>
        <w:pStyle w:val="Default"/>
        <w:rPr>
          <w:rFonts w:ascii="Times New Roman" w:hAnsi="Times New Roman" w:cs="Times New Roman"/>
          <w:color w:val="auto"/>
          <w:sz w:val="22"/>
          <w:szCs w:val="22"/>
        </w:rPr>
      </w:pPr>
    </w:p>
    <w:p w14:paraId="74A4D26A" w14:textId="77777777" w:rsidR="001E1948" w:rsidRPr="00031671" w:rsidRDefault="001E1948" w:rsidP="00F3126E">
      <w:pPr>
        <w:pStyle w:val="Default"/>
        <w:numPr>
          <w:ilvl w:val="0"/>
          <w:numId w:val="3"/>
        </w:numPr>
        <w:ind w:left="357" w:hanging="357"/>
        <w:rPr>
          <w:rFonts w:ascii="Times New Roman" w:hAnsi="Times New Roman" w:cs="Times New Roman"/>
          <w:color w:val="auto"/>
          <w:sz w:val="22"/>
          <w:szCs w:val="22"/>
        </w:rPr>
      </w:pPr>
      <w:r w:rsidRPr="00031671">
        <w:rPr>
          <w:rFonts w:ascii="Times New Roman" w:hAnsi="Times New Roman" w:cs="Times New Roman"/>
          <w:color w:val="auto"/>
          <w:sz w:val="22"/>
          <w:szCs w:val="22"/>
        </w:rPr>
        <w:t>Amlodipín dilatuje periférne arterioly a znižuje teda celkovú periférnu rezistenciu (afterload), proti ktorej pracuje srdce. Keďže frekvencia srdca ostáva stabilná, táto menšia záťaž srdca znižuje spotrebu energie v myokarde a potrebu kyslíka.</w:t>
      </w:r>
    </w:p>
    <w:p w14:paraId="72292883" w14:textId="77777777" w:rsidR="00270522" w:rsidRPr="00031671" w:rsidRDefault="00270522" w:rsidP="00270522">
      <w:pPr>
        <w:pStyle w:val="Default"/>
        <w:rPr>
          <w:rFonts w:ascii="Times New Roman" w:hAnsi="Times New Roman" w:cs="Times New Roman"/>
          <w:color w:val="auto"/>
          <w:sz w:val="22"/>
          <w:szCs w:val="22"/>
        </w:rPr>
      </w:pPr>
    </w:p>
    <w:p w14:paraId="30041B1C" w14:textId="77777777" w:rsidR="001E1948" w:rsidRPr="00031671" w:rsidRDefault="001E1948" w:rsidP="00F3126E">
      <w:pPr>
        <w:pStyle w:val="Default"/>
        <w:numPr>
          <w:ilvl w:val="0"/>
          <w:numId w:val="3"/>
        </w:numPr>
        <w:rPr>
          <w:rFonts w:ascii="Times New Roman" w:hAnsi="Times New Roman" w:cs="Times New Roman"/>
          <w:color w:val="auto"/>
          <w:sz w:val="22"/>
          <w:szCs w:val="22"/>
        </w:rPr>
      </w:pPr>
      <w:r w:rsidRPr="00031671">
        <w:rPr>
          <w:rFonts w:ascii="Times New Roman" w:hAnsi="Times New Roman" w:cs="Times New Roman"/>
          <w:color w:val="auto"/>
          <w:sz w:val="22"/>
          <w:szCs w:val="22"/>
        </w:rPr>
        <w:t>Mechanizmus účinku amlodipínu pravdepodobne tiež zahŕňa aj dilatáciu hlavných koronárnych artérií a koronárnych arteriol v normálnych aj ischemických oblastiach. Táto dilatácia zvyšuje dodávku kyslíka myokardu u pacientov so spazmom koronárnych artérií (Prinzmetalova alebo variantná angína pe</w:t>
      </w:r>
      <w:r w:rsidR="002916B0" w:rsidRPr="00031671">
        <w:rPr>
          <w:rFonts w:ascii="Times New Roman" w:hAnsi="Times New Roman" w:cs="Times New Roman"/>
          <w:color w:val="auto"/>
          <w:sz w:val="22"/>
          <w:szCs w:val="22"/>
        </w:rPr>
        <w:t>k</w:t>
      </w:r>
      <w:r w:rsidRPr="00031671">
        <w:rPr>
          <w:rFonts w:ascii="Times New Roman" w:hAnsi="Times New Roman" w:cs="Times New Roman"/>
          <w:color w:val="auto"/>
          <w:sz w:val="22"/>
          <w:szCs w:val="22"/>
        </w:rPr>
        <w:t>toris).</w:t>
      </w:r>
    </w:p>
    <w:p w14:paraId="2890BBD8" w14:textId="77777777" w:rsidR="001E1948" w:rsidRPr="00031671" w:rsidRDefault="001E1948" w:rsidP="00F3126E">
      <w:pPr>
        <w:pStyle w:val="Default"/>
        <w:rPr>
          <w:rFonts w:ascii="Times New Roman" w:hAnsi="Times New Roman" w:cs="Times New Roman"/>
          <w:color w:val="auto"/>
          <w:sz w:val="22"/>
          <w:szCs w:val="22"/>
        </w:rPr>
      </w:pPr>
    </w:p>
    <w:p w14:paraId="5383098F" w14:textId="77777777" w:rsidR="001E1948" w:rsidRPr="00031671" w:rsidRDefault="001E1948"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U pacientov s hypertenziou vedie dávkovanie jedenkrát denne ku klinicky signifikantnému zníženiu tlaku krvi v ľahu aj v stoji počas celého 24 hodinového intervalu. Vzhľadom k pozvoľnému nástupu účinku nie je podávanie amlodipínu spojené s akútnou hypotenziou.</w:t>
      </w:r>
    </w:p>
    <w:p w14:paraId="6512A6B6" w14:textId="77777777" w:rsidR="001E1948" w:rsidRPr="00031671" w:rsidRDefault="001E1948" w:rsidP="00F3126E">
      <w:pPr>
        <w:pStyle w:val="Default"/>
        <w:rPr>
          <w:rFonts w:ascii="Times New Roman" w:hAnsi="Times New Roman" w:cs="Times New Roman"/>
          <w:color w:val="auto"/>
          <w:sz w:val="22"/>
          <w:szCs w:val="22"/>
        </w:rPr>
      </w:pPr>
    </w:p>
    <w:p w14:paraId="17928650" w14:textId="77777777" w:rsidR="001E1948" w:rsidRPr="00031671" w:rsidRDefault="001E1948"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 xml:space="preserve">U pacientov s angínou pektoris dávkovanie amlodipínu jedenkrát denne predlžuje celkový čas záťaže, časový interval do vzniku anginóznych ťažkostí a čas do objavenia sa 1-milimetrovej depresie ST segmentu a znižuje frekvenciu anginóznych </w:t>
      </w:r>
      <w:r w:rsidR="004C58EC" w:rsidRPr="00031671">
        <w:rPr>
          <w:rFonts w:ascii="Times New Roman" w:hAnsi="Times New Roman" w:cs="Times New Roman"/>
          <w:color w:val="auto"/>
          <w:sz w:val="22"/>
          <w:szCs w:val="22"/>
        </w:rPr>
        <w:t>záchvatov, ako aj potrebu užit</w:t>
      </w:r>
      <w:r w:rsidRPr="00031671">
        <w:rPr>
          <w:rFonts w:ascii="Times New Roman" w:hAnsi="Times New Roman" w:cs="Times New Roman"/>
          <w:color w:val="auto"/>
          <w:sz w:val="22"/>
          <w:szCs w:val="22"/>
        </w:rPr>
        <w:t xml:space="preserve">ia </w:t>
      </w:r>
      <w:r w:rsidR="004C58EC" w:rsidRPr="00031671">
        <w:rPr>
          <w:rFonts w:ascii="Times New Roman" w:hAnsi="Times New Roman" w:cs="Times New Roman"/>
          <w:color w:val="auto"/>
          <w:sz w:val="22"/>
          <w:szCs w:val="22"/>
        </w:rPr>
        <w:t xml:space="preserve">tablety </w:t>
      </w:r>
      <w:r w:rsidRPr="00031671">
        <w:rPr>
          <w:rFonts w:ascii="Times New Roman" w:hAnsi="Times New Roman" w:cs="Times New Roman"/>
          <w:color w:val="auto"/>
          <w:sz w:val="22"/>
          <w:szCs w:val="22"/>
        </w:rPr>
        <w:t>nitroglycerínu.</w:t>
      </w:r>
    </w:p>
    <w:p w14:paraId="6B3757A4" w14:textId="77777777" w:rsidR="001E1948" w:rsidRPr="00031671" w:rsidRDefault="001E1948" w:rsidP="00F3126E">
      <w:pPr>
        <w:pStyle w:val="Default"/>
        <w:rPr>
          <w:rFonts w:ascii="Times New Roman" w:hAnsi="Times New Roman" w:cs="Times New Roman"/>
          <w:color w:val="auto"/>
          <w:sz w:val="22"/>
          <w:szCs w:val="22"/>
        </w:rPr>
      </w:pPr>
    </w:p>
    <w:p w14:paraId="452A31B4" w14:textId="77777777" w:rsidR="001E1948" w:rsidRPr="00031671" w:rsidRDefault="001E1948"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Podávanie amlodipínu nie je spojené so žiadnymi nepriaznivými metabolickými účinkami, ani zmenami plazmatických lipidov a je vhodné u pacientov s astmou, cukrovkou a dnou.</w:t>
      </w:r>
    </w:p>
    <w:p w14:paraId="7EC19B48" w14:textId="77777777" w:rsidR="001E1948" w:rsidRPr="00031671" w:rsidRDefault="001E1948" w:rsidP="00F3126E">
      <w:pPr>
        <w:pStyle w:val="Default"/>
        <w:rPr>
          <w:rFonts w:ascii="Times New Roman" w:hAnsi="Times New Roman" w:cs="Times New Roman"/>
          <w:color w:val="auto"/>
          <w:sz w:val="22"/>
          <w:szCs w:val="22"/>
        </w:rPr>
      </w:pPr>
    </w:p>
    <w:p w14:paraId="646F11A4" w14:textId="0A1692DF" w:rsidR="004C58EC" w:rsidRPr="00506927" w:rsidRDefault="004C58EC" w:rsidP="00F3126E">
      <w:pPr>
        <w:pStyle w:val="Default"/>
        <w:rPr>
          <w:rFonts w:ascii="Times New Roman" w:hAnsi="Times New Roman"/>
          <w:color w:val="auto"/>
          <w:sz w:val="22"/>
          <w:u w:val="single"/>
        </w:rPr>
      </w:pPr>
      <w:r w:rsidRPr="00506927">
        <w:rPr>
          <w:rFonts w:ascii="Times New Roman" w:hAnsi="Times New Roman"/>
          <w:color w:val="auto"/>
          <w:sz w:val="22"/>
          <w:u w:val="single"/>
        </w:rPr>
        <w:t>Použitie u pacientov s ischemickou chorobou srdca (ICHS</w:t>
      </w:r>
      <w:r w:rsidRPr="00031671">
        <w:rPr>
          <w:rFonts w:ascii="Times New Roman" w:hAnsi="Times New Roman" w:cs="Times New Roman"/>
          <w:color w:val="auto"/>
          <w:sz w:val="22"/>
          <w:szCs w:val="22"/>
          <w:u w:val="single"/>
        </w:rPr>
        <w:t>)</w:t>
      </w:r>
    </w:p>
    <w:p w14:paraId="14049D6B" w14:textId="77777777" w:rsidR="00A601AD" w:rsidRPr="00762B3B" w:rsidRDefault="00A601AD" w:rsidP="00F3126E">
      <w:pPr>
        <w:pStyle w:val="Default"/>
        <w:rPr>
          <w:rFonts w:ascii="Times New Roman" w:hAnsi="Times New Roman" w:cs="Times New Roman"/>
          <w:color w:val="auto"/>
          <w:sz w:val="22"/>
          <w:szCs w:val="22"/>
        </w:rPr>
      </w:pPr>
    </w:p>
    <w:p w14:paraId="1017C760" w14:textId="1F0D1B27" w:rsidR="00A601AD" w:rsidRPr="00031671" w:rsidRDefault="00A601AD" w:rsidP="00A601AD">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Účinnosť amlodipínu v prevencii klinických príhod u pacientov s ochorením koronárnych artérií (</w:t>
      </w:r>
      <w:r w:rsidRPr="00031671">
        <w:rPr>
          <w:rFonts w:ascii="Times New Roman" w:hAnsi="Times New Roman" w:cs="Times New Roman"/>
          <w:sz w:val="22"/>
          <w:szCs w:val="22"/>
        </w:rPr>
        <w:t>coronary artery disease,</w:t>
      </w:r>
      <w:r w:rsidRPr="00031671">
        <w:rPr>
          <w:rFonts w:ascii="Times New Roman" w:hAnsi="Times New Roman" w:cs="Times New Roman"/>
          <w:color w:val="auto"/>
          <w:sz w:val="22"/>
          <w:szCs w:val="22"/>
        </w:rPr>
        <w:t xml:space="preserve"> CAD) bola hodnotená v samostatnej, multicentrickej, randomizovanej, dvojito zaslepenej, placebom kontrolovanej štúdii s 1997 pacientmi; Comparison of Amlodipine vs. Enalapril to Limit Occurrences of Thrombosis – (CAMELOT). Z týchto pacientov počas 2 rokov okrem prijímania štandardnej starostlivosti a liečby statínmi, beta-blokátormi, diuretikami a kyselinou </w:t>
      </w:r>
      <w:r w:rsidRPr="00031671">
        <w:rPr>
          <w:rFonts w:ascii="Times New Roman" w:hAnsi="Times New Roman" w:cs="Times New Roman"/>
          <w:color w:val="auto"/>
          <w:sz w:val="22"/>
          <w:szCs w:val="22"/>
        </w:rPr>
        <w:lastRenderedPageBreak/>
        <w:t>acetylsalicylovou bolo 663 pacientov liečených amlodipínom 5-10 mg, 673 liečených 10-20 mg enalaprilu a 655 pacientov bolo liečených placebom. Kľúčové výsledky účinnosti sú uvedené v</w:t>
      </w:r>
      <w:r w:rsidR="00031671" w:rsidRPr="00031671">
        <w:rPr>
          <w:rFonts w:ascii="Times New Roman" w:hAnsi="Times New Roman" w:cs="Times New Roman"/>
          <w:color w:val="auto"/>
          <w:sz w:val="22"/>
          <w:szCs w:val="22"/>
        </w:rPr>
        <w:t> </w:t>
      </w:r>
      <w:r w:rsidRPr="00031671">
        <w:rPr>
          <w:rFonts w:ascii="Times New Roman" w:hAnsi="Times New Roman" w:cs="Times New Roman"/>
          <w:color w:val="auto"/>
          <w:sz w:val="22"/>
          <w:szCs w:val="22"/>
        </w:rPr>
        <w:t>tabuľke 1. Výsledky ukazujú, že liečba amlodipínom bola spojená s menším počtom hospitalizácií kvôli angíne a revaskularizačných postupov u pacientov s CAD.</w:t>
      </w:r>
    </w:p>
    <w:p w14:paraId="7B485582" w14:textId="77777777" w:rsidR="00A601AD" w:rsidRPr="00031671" w:rsidRDefault="00A601AD" w:rsidP="00F3126E">
      <w:pPr>
        <w:pStyle w:val="Default"/>
        <w:rPr>
          <w:rFonts w:ascii="Times New Roman" w:hAnsi="Times New Roman" w:cs="Times New Roman"/>
          <w:color w:val="auto"/>
          <w:sz w:val="22"/>
          <w:szCs w:val="22"/>
        </w:rPr>
      </w:pPr>
    </w:p>
    <w:tbl>
      <w:tblPr>
        <w:tblW w:w="9825" w:type="dxa"/>
        <w:tblInd w:w="6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21"/>
        <w:gridCol w:w="1555"/>
        <w:gridCol w:w="1555"/>
        <w:gridCol w:w="1555"/>
        <w:gridCol w:w="777"/>
        <w:gridCol w:w="778"/>
        <w:gridCol w:w="984"/>
      </w:tblGrid>
      <w:tr w:rsidR="004C58EC" w:rsidRPr="00031671" w14:paraId="663913D0" w14:textId="77777777" w:rsidTr="004C58EC">
        <w:trPr>
          <w:trHeight w:val="109"/>
        </w:trPr>
        <w:tc>
          <w:tcPr>
            <w:tcW w:w="9825" w:type="dxa"/>
            <w:gridSpan w:val="7"/>
            <w:tcBorders>
              <w:top w:val="single" w:sz="8" w:space="0" w:color="000000"/>
              <w:left w:val="single" w:sz="6" w:space="0" w:color="000000"/>
              <w:bottom w:val="single" w:sz="8" w:space="0" w:color="000000"/>
              <w:right w:val="single" w:sz="6" w:space="0" w:color="000000"/>
            </w:tcBorders>
          </w:tcPr>
          <w:p w14:paraId="21055FCE" w14:textId="77777777" w:rsidR="004C58EC" w:rsidRPr="00031671" w:rsidRDefault="004C58EC" w:rsidP="00DD61B3">
            <w:pPr>
              <w:pStyle w:val="TableText"/>
              <w:rPr>
                <w:rFonts w:ascii="Times New Roman" w:hAnsi="Times New Roman"/>
                <w:color w:val="000000"/>
                <w:sz w:val="22"/>
                <w:szCs w:val="22"/>
                <w:lang w:val="sk-SK"/>
              </w:rPr>
            </w:pPr>
            <w:r w:rsidRPr="00031671">
              <w:rPr>
                <w:rFonts w:ascii="Times New Roman" w:hAnsi="Times New Roman"/>
                <w:b/>
                <w:bCs/>
                <w:color w:val="000000"/>
                <w:sz w:val="22"/>
                <w:szCs w:val="22"/>
                <w:lang w:val="sk-SK"/>
              </w:rPr>
              <w:t>Tabuľka 1. Výskyt závažných klinických výsledkov</w:t>
            </w:r>
            <w:r w:rsidR="00DD61B3" w:rsidRPr="00031671">
              <w:rPr>
                <w:rFonts w:ascii="Times New Roman" w:hAnsi="Times New Roman"/>
                <w:b/>
                <w:bCs/>
                <w:color w:val="000000"/>
                <w:sz w:val="22"/>
                <w:szCs w:val="22"/>
                <w:lang w:val="sk-SK"/>
              </w:rPr>
              <w:t xml:space="preserve"> v štúdii CAMELOT</w:t>
            </w:r>
            <w:r w:rsidRPr="00031671">
              <w:rPr>
                <w:rFonts w:ascii="Times New Roman" w:hAnsi="Times New Roman"/>
                <w:b/>
                <w:bCs/>
                <w:color w:val="000000"/>
                <w:sz w:val="22"/>
                <w:szCs w:val="22"/>
                <w:lang w:val="sk-SK"/>
              </w:rPr>
              <w:t xml:space="preserve"> </w:t>
            </w:r>
          </w:p>
        </w:tc>
      </w:tr>
      <w:tr w:rsidR="004C58EC" w:rsidRPr="00031671" w14:paraId="59F111A1" w14:textId="77777777" w:rsidTr="004C58EC">
        <w:trPr>
          <w:trHeight w:val="217"/>
        </w:trPr>
        <w:tc>
          <w:tcPr>
            <w:tcW w:w="8063" w:type="dxa"/>
            <w:gridSpan w:val="5"/>
            <w:tcBorders>
              <w:top w:val="single" w:sz="8" w:space="0" w:color="000000"/>
              <w:left w:val="single" w:sz="6" w:space="0" w:color="000000"/>
              <w:bottom w:val="single" w:sz="8" w:space="0" w:color="000000"/>
              <w:right w:val="single" w:sz="6" w:space="0" w:color="000000"/>
            </w:tcBorders>
          </w:tcPr>
          <w:p w14:paraId="36B9F252" w14:textId="77777777" w:rsidR="004C58EC" w:rsidRPr="00031671" w:rsidRDefault="00675045" w:rsidP="004C58EC">
            <w:pPr>
              <w:pStyle w:val="TableText"/>
              <w:jc w:val="center"/>
              <w:rPr>
                <w:rFonts w:ascii="Times New Roman" w:hAnsi="Times New Roman"/>
                <w:color w:val="000000"/>
                <w:sz w:val="22"/>
                <w:szCs w:val="22"/>
                <w:lang w:val="sk-SK"/>
              </w:rPr>
            </w:pPr>
            <w:r w:rsidRPr="00031671">
              <w:rPr>
                <w:rFonts w:ascii="Times New Roman" w:hAnsi="Times New Roman"/>
                <w:color w:val="000000"/>
                <w:sz w:val="22"/>
                <w:szCs w:val="22"/>
                <w:u w:val="single"/>
                <w:lang w:val="sk-SK"/>
              </w:rPr>
              <w:t>Výskyt kardiovaskulárnych príhod</w:t>
            </w:r>
            <w:r w:rsidR="004C58EC" w:rsidRPr="00031671">
              <w:rPr>
                <w:rFonts w:ascii="Times New Roman" w:hAnsi="Times New Roman"/>
                <w:color w:val="000000"/>
                <w:sz w:val="22"/>
                <w:szCs w:val="22"/>
                <w:u w:val="single"/>
                <w:lang w:val="sk-SK"/>
              </w:rPr>
              <w:t xml:space="preserve">, </w:t>
            </w:r>
          </w:p>
          <w:p w14:paraId="169212E0" w14:textId="77777777" w:rsidR="004C58EC" w:rsidRPr="00031671" w:rsidRDefault="00675045" w:rsidP="00675045">
            <w:pPr>
              <w:pStyle w:val="TableText"/>
              <w:jc w:val="center"/>
              <w:rPr>
                <w:rFonts w:ascii="Times New Roman" w:hAnsi="Times New Roman"/>
                <w:color w:val="000000"/>
                <w:sz w:val="22"/>
                <w:szCs w:val="22"/>
                <w:lang w:val="sk-SK"/>
              </w:rPr>
            </w:pPr>
            <w:r w:rsidRPr="00031671">
              <w:rPr>
                <w:rFonts w:ascii="Times New Roman" w:hAnsi="Times New Roman"/>
                <w:color w:val="000000"/>
                <w:sz w:val="22"/>
                <w:szCs w:val="22"/>
                <w:u w:val="single"/>
                <w:lang w:val="sk-SK"/>
              </w:rPr>
              <w:t>počet</w:t>
            </w:r>
            <w:r w:rsidR="004C58EC" w:rsidRPr="00031671">
              <w:rPr>
                <w:rFonts w:ascii="Times New Roman" w:hAnsi="Times New Roman"/>
                <w:color w:val="000000"/>
                <w:sz w:val="22"/>
                <w:szCs w:val="22"/>
                <w:u w:val="single"/>
                <w:lang w:val="sk-SK"/>
              </w:rPr>
              <w:t xml:space="preserve"> (%) </w:t>
            </w:r>
          </w:p>
        </w:tc>
        <w:tc>
          <w:tcPr>
            <w:tcW w:w="1762" w:type="dxa"/>
            <w:gridSpan w:val="2"/>
            <w:tcBorders>
              <w:top w:val="single" w:sz="8" w:space="0" w:color="000000"/>
              <w:left w:val="single" w:sz="6" w:space="0" w:color="000000"/>
              <w:bottom w:val="single" w:sz="8" w:space="0" w:color="000000"/>
              <w:right w:val="single" w:sz="6" w:space="0" w:color="000000"/>
            </w:tcBorders>
          </w:tcPr>
          <w:p w14:paraId="7CEAE21B" w14:textId="77777777" w:rsidR="004C58EC" w:rsidRPr="00031671" w:rsidRDefault="004C58EC" w:rsidP="00564F10">
            <w:pPr>
              <w:pStyle w:val="Default"/>
              <w:jc w:val="center"/>
              <w:rPr>
                <w:rFonts w:ascii="Times New Roman" w:hAnsi="Times New Roman" w:cs="Times New Roman"/>
                <w:sz w:val="22"/>
                <w:szCs w:val="22"/>
              </w:rPr>
            </w:pPr>
            <w:r w:rsidRPr="00031671">
              <w:rPr>
                <w:rFonts w:ascii="Times New Roman" w:hAnsi="Times New Roman" w:cs="Times New Roman"/>
                <w:sz w:val="22"/>
                <w:szCs w:val="22"/>
                <w:u w:val="single"/>
              </w:rPr>
              <w:t>amlo</w:t>
            </w:r>
            <w:r w:rsidR="00564F10" w:rsidRPr="00031671">
              <w:rPr>
                <w:rFonts w:ascii="Times New Roman" w:hAnsi="Times New Roman" w:cs="Times New Roman"/>
                <w:sz w:val="22"/>
                <w:szCs w:val="22"/>
                <w:u w:val="single"/>
              </w:rPr>
              <w:t>d</w:t>
            </w:r>
            <w:r w:rsidRPr="00031671">
              <w:rPr>
                <w:rFonts w:ascii="Times New Roman" w:hAnsi="Times New Roman" w:cs="Times New Roman"/>
                <w:sz w:val="22"/>
                <w:szCs w:val="22"/>
                <w:u w:val="single"/>
              </w:rPr>
              <w:t>i</w:t>
            </w:r>
            <w:r w:rsidR="00564F10" w:rsidRPr="00031671">
              <w:rPr>
                <w:rFonts w:ascii="Times New Roman" w:hAnsi="Times New Roman" w:cs="Times New Roman"/>
                <w:sz w:val="22"/>
                <w:szCs w:val="22"/>
                <w:u w:val="single"/>
              </w:rPr>
              <w:t>p</w:t>
            </w:r>
            <w:r w:rsidRPr="00031671">
              <w:rPr>
                <w:rFonts w:ascii="Times New Roman" w:hAnsi="Times New Roman" w:cs="Times New Roman"/>
                <w:sz w:val="22"/>
                <w:szCs w:val="22"/>
                <w:u w:val="single"/>
              </w:rPr>
              <w:t xml:space="preserve">ín v. placebo </w:t>
            </w:r>
          </w:p>
        </w:tc>
      </w:tr>
      <w:tr w:rsidR="004C58EC" w:rsidRPr="00031671" w14:paraId="5C603DB9" w14:textId="77777777" w:rsidTr="004C58EC">
        <w:trPr>
          <w:trHeight w:val="217"/>
        </w:trPr>
        <w:tc>
          <w:tcPr>
            <w:tcW w:w="2621" w:type="dxa"/>
            <w:tcBorders>
              <w:top w:val="single" w:sz="8" w:space="0" w:color="000000"/>
              <w:left w:val="single" w:sz="6" w:space="0" w:color="000000"/>
              <w:bottom w:val="single" w:sz="8" w:space="0" w:color="000000"/>
              <w:right w:val="single" w:sz="6" w:space="0" w:color="000000"/>
            </w:tcBorders>
          </w:tcPr>
          <w:p w14:paraId="103E3604" w14:textId="77777777" w:rsidR="004C58EC" w:rsidRPr="00031671" w:rsidRDefault="00675045" w:rsidP="00675045">
            <w:pPr>
              <w:pStyle w:val="Default"/>
              <w:jc w:val="center"/>
              <w:rPr>
                <w:rFonts w:ascii="Times New Roman" w:hAnsi="Times New Roman" w:cs="Times New Roman"/>
                <w:sz w:val="22"/>
                <w:szCs w:val="22"/>
              </w:rPr>
            </w:pPr>
            <w:r w:rsidRPr="00031671">
              <w:rPr>
                <w:rFonts w:ascii="Times New Roman" w:hAnsi="Times New Roman" w:cs="Times New Roman"/>
                <w:sz w:val="22"/>
                <w:szCs w:val="22"/>
              </w:rPr>
              <w:t>Výsledky</w:t>
            </w:r>
            <w:r w:rsidR="004C58EC" w:rsidRPr="00031671">
              <w:rPr>
                <w:rFonts w:ascii="Times New Roman" w:hAnsi="Times New Roman" w:cs="Times New Roman"/>
                <w:sz w:val="22"/>
                <w:szCs w:val="22"/>
              </w:rPr>
              <w:t xml:space="preserve"> </w:t>
            </w:r>
          </w:p>
        </w:tc>
        <w:tc>
          <w:tcPr>
            <w:tcW w:w="1555" w:type="dxa"/>
            <w:tcBorders>
              <w:top w:val="single" w:sz="8" w:space="0" w:color="000000"/>
              <w:left w:val="single" w:sz="6" w:space="0" w:color="000000"/>
              <w:bottom w:val="single" w:sz="8" w:space="0" w:color="000000"/>
              <w:right w:val="single" w:sz="6" w:space="0" w:color="000000"/>
            </w:tcBorders>
          </w:tcPr>
          <w:p w14:paraId="3DAAF9D7" w14:textId="77777777" w:rsidR="004C58EC" w:rsidRPr="00031671" w:rsidRDefault="004C58EC" w:rsidP="00564F10">
            <w:pPr>
              <w:pStyle w:val="TableText"/>
              <w:ind w:firstLine="100"/>
              <w:jc w:val="center"/>
              <w:rPr>
                <w:rFonts w:ascii="Times New Roman" w:hAnsi="Times New Roman"/>
                <w:color w:val="000000"/>
                <w:sz w:val="22"/>
                <w:szCs w:val="22"/>
                <w:lang w:val="sk-SK"/>
              </w:rPr>
            </w:pPr>
            <w:r w:rsidRPr="00031671">
              <w:rPr>
                <w:rFonts w:ascii="Times New Roman" w:hAnsi="Times New Roman"/>
                <w:color w:val="000000"/>
                <w:sz w:val="22"/>
                <w:szCs w:val="22"/>
                <w:lang w:val="sk-SK"/>
              </w:rPr>
              <w:t>amlo</w:t>
            </w:r>
            <w:r w:rsidR="00564F10" w:rsidRPr="00031671">
              <w:rPr>
                <w:rFonts w:ascii="Times New Roman" w:hAnsi="Times New Roman"/>
                <w:color w:val="000000"/>
                <w:sz w:val="22"/>
                <w:szCs w:val="22"/>
                <w:lang w:val="sk-SK"/>
              </w:rPr>
              <w:t>d</w:t>
            </w:r>
            <w:r w:rsidRPr="00031671">
              <w:rPr>
                <w:rFonts w:ascii="Times New Roman" w:hAnsi="Times New Roman"/>
                <w:color w:val="000000"/>
                <w:sz w:val="22"/>
                <w:szCs w:val="22"/>
                <w:lang w:val="sk-SK"/>
              </w:rPr>
              <w:t>i</w:t>
            </w:r>
            <w:r w:rsidR="00564F10" w:rsidRPr="00031671">
              <w:rPr>
                <w:rFonts w:ascii="Times New Roman" w:hAnsi="Times New Roman"/>
                <w:color w:val="000000"/>
                <w:sz w:val="22"/>
                <w:szCs w:val="22"/>
                <w:lang w:val="sk-SK"/>
              </w:rPr>
              <w:t>p</w:t>
            </w:r>
            <w:r w:rsidRPr="00031671">
              <w:rPr>
                <w:rFonts w:ascii="Times New Roman" w:hAnsi="Times New Roman"/>
                <w:color w:val="000000"/>
                <w:sz w:val="22"/>
                <w:szCs w:val="22"/>
                <w:lang w:val="sk-SK"/>
              </w:rPr>
              <w:t xml:space="preserve">ín </w:t>
            </w:r>
          </w:p>
        </w:tc>
        <w:tc>
          <w:tcPr>
            <w:tcW w:w="1555" w:type="dxa"/>
            <w:tcBorders>
              <w:top w:val="single" w:sz="8" w:space="0" w:color="000000"/>
              <w:left w:val="single" w:sz="6" w:space="0" w:color="000000"/>
              <w:bottom w:val="single" w:sz="8" w:space="0" w:color="000000"/>
              <w:right w:val="single" w:sz="6" w:space="0" w:color="000000"/>
            </w:tcBorders>
          </w:tcPr>
          <w:p w14:paraId="633F8465" w14:textId="77777777" w:rsidR="004C58EC" w:rsidRPr="00031671" w:rsidRDefault="004C58EC" w:rsidP="004C58EC">
            <w:pPr>
              <w:pStyle w:val="TableText"/>
              <w:ind w:firstLine="240"/>
              <w:jc w:val="center"/>
              <w:rPr>
                <w:rFonts w:ascii="Times New Roman" w:hAnsi="Times New Roman"/>
                <w:color w:val="000000"/>
                <w:sz w:val="22"/>
                <w:szCs w:val="22"/>
                <w:lang w:val="sk-SK"/>
              </w:rPr>
            </w:pPr>
            <w:r w:rsidRPr="00031671">
              <w:rPr>
                <w:rFonts w:ascii="Times New Roman" w:hAnsi="Times New Roman"/>
                <w:color w:val="000000"/>
                <w:sz w:val="22"/>
                <w:szCs w:val="22"/>
                <w:lang w:val="sk-SK"/>
              </w:rPr>
              <w:t xml:space="preserve">placebo </w:t>
            </w:r>
          </w:p>
        </w:tc>
        <w:tc>
          <w:tcPr>
            <w:tcW w:w="1555" w:type="dxa"/>
            <w:tcBorders>
              <w:top w:val="single" w:sz="8" w:space="0" w:color="000000"/>
              <w:left w:val="single" w:sz="6" w:space="0" w:color="000000"/>
              <w:bottom w:val="single" w:sz="8" w:space="0" w:color="000000"/>
              <w:right w:val="single" w:sz="6" w:space="0" w:color="000000"/>
            </w:tcBorders>
          </w:tcPr>
          <w:p w14:paraId="16C707FC"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enalapril </w:t>
            </w:r>
          </w:p>
        </w:tc>
        <w:tc>
          <w:tcPr>
            <w:tcW w:w="1555" w:type="dxa"/>
            <w:gridSpan w:val="2"/>
            <w:tcBorders>
              <w:top w:val="single" w:sz="8" w:space="0" w:color="000000"/>
              <w:left w:val="single" w:sz="6" w:space="0" w:color="000000"/>
              <w:bottom w:val="single" w:sz="8" w:space="0" w:color="000000"/>
              <w:right w:val="single" w:sz="6" w:space="0" w:color="000000"/>
            </w:tcBorders>
          </w:tcPr>
          <w:p w14:paraId="6C8A1A99" w14:textId="77777777" w:rsidR="004C58EC" w:rsidRPr="00031671" w:rsidRDefault="004C58EC" w:rsidP="00F52E48">
            <w:pPr>
              <w:pStyle w:val="Default"/>
              <w:jc w:val="center"/>
              <w:rPr>
                <w:rFonts w:ascii="Times New Roman" w:hAnsi="Times New Roman" w:cs="Times New Roman"/>
                <w:sz w:val="22"/>
                <w:szCs w:val="22"/>
              </w:rPr>
            </w:pPr>
            <w:r w:rsidRPr="00031671">
              <w:rPr>
                <w:rFonts w:ascii="Times New Roman" w:hAnsi="Times New Roman" w:cs="Times New Roman"/>
                <w:sz w:val="22"/>
                <w:szCs w:val="22"/>
              </w:rPr>
              <w:t>Hazard Ratio (95 % I</w:t>
            </w:r>
            <w:r w:rsidR="00F52E48" w:rsidRPr="00031671">
              <w:rPr>
                <w:rFonts w:ascii="Times New Roman" w:hAnsi="Times New Roman" w:cs="Times New Roman"/>
                <w:sz w:val="22"/>
                <w:szCs w:val="22"/>
              </w:rPr>
              <w:t>S</w:t>
            </w:r>
            <w:r w:rsidRPr="00031671">
              <w:rPr>
                <w:rFonts w:ascii="Times New Roman" w:hAnsi="Times New Roman" w:cs="Times New Roman"/>
                <w:sz w:val="22"/>
                <w:szCs w:val="22"/>
              </w:rPr>
              <w:t xml:space="preserve">) </w:t>
            </w:r>
          </w:p>
        </w:tc>
        <w:tc>
          <w:tcPr>
            <w:tcW w:w="984" w:type="dxa"/>
            <w:tcBorders>
              <w:top w:val="single" w:sz="8" w:space="0" w:color="000000"/>
              <w:left w:val="single" w:sz="6" w:space="0" w:color="000000"/>
              <w:bottom w:val="single" w:sz="8" w:space="0" w:color="000000"/>
              <w:right w:val="single" w:sz="6" w:space="0" w:color="000000"/>
            </w:tcBorders>
          </w:tcPr>
          <w:p w14:paraId="092B4770" w14:textId="77777777" w:rsidR="004C58EC" w:rsidRPr="00031671" w:rsidRDefault="004C58EC" w:rsidP="00675045">
            <w:pPr>
              <w:pStyle w:val="Default"/>
              <w:jc w:val="center"/>
              <w:rPr>
                <w:rFonts w:ascii="Times New Roman" w:hAnsi="Times New Roman" w:cs="Times New Roman"/>
                <w:sz w:val="22"/>
                <w:szCs w:val="22"/>
              </w:rPr>
            </w:pPr>
            <w:r w:rsidRPr="00031671">
              <w:rPr>
                <w:rFonts w:ascii="Times New Roman" w:hAnsi="Times New Roman" w:cs="Times New Roman"/>
                <w:i/>
                <w:iCs/>
                <w:sz w:val="22"/>
                <w:szCs w:val="22"/>
              </w:rPr>
              <w:t xml:space="preserve">P </w:t>
            </w:r>
            <w:r w:rsidR="00675045" w:rsidRPr="00031671">
              <w:rPr>
                <w:rFonts w:ascii="Times New Roman" w:hAnsi="Times New Roman" w:cs="Times New Roman"/>
                <w:sz w:val="22"/>
                <w:szCs w:val="22"/>
              </w:rPr>
              <w:t>hodnota</w:t>
            </w:r>
            <w:r w:rsidRPr="00031671">
              <w:rPr>
                <w:rFonts w:ascii="Times New Roman" w:hAnsi="Times New Roman" w:cs="Times New Roman"/>
                <w:sz w:val="22"/>
                <w:szCs w:val="22"/>
              </w:rPr>
              <w:t xml:space="preserve"> </w:t>
            </w:r>
          </w:p>
        </w:tc>
      </w:tr>
      <w:tr w:rsidR="004C58EC" w:rsidRPr="00031671" w14:paraId="15A450A1" w14:textId="77777777" w:rsidTr="004C58EC">
        <w:trPr>
          <w:trHeight w:val="108"/>
        </w:trPr>
        <w:tc>
          <w:tcPr>
            <w:tcW w:w="9825" w:type="dxa"/>
            <w:gridSpan w:val="7"/>
            <w:tcBorders>
              <w:top w:val="single" w:sz="8" w:space="0" w:color="000000"/>
              <w:left w:val="single" w:sz="6" w:space="0" w:color="000000"/>
              <w:bottom w:val="single" w:sz="6" w:space="0" w:color="000000"/>
              <w:right w:val="single" w:sz="6" w:space="0" w:color="000000"/>
            </w:tcBorders>
          </w:tcPr>
          <w:p w14:paraId="732CB839" w14:textId="77777777" w:rsidR="004C58EC" w:rsidRPr="00031671" w:rsidRDefault="00F52E48" w:rsidP="00314BC3">
            <w:pPr>
              <w:pStyle w:val="Default"/>
              <w:rPr>
                <w:rFonts w:ascii="Times New Roman" w:hAnsi="Times New Roman" w:cs="Times New Roman"/>
                <w:sz w:val="22"/>
                <w:szCs w:val="22"/>
              </w:rPr>
            </w:pPr>
            <w:r w:rsidRPr="00031671">
              <w:rPr>
                <w:rFonts w:ascii="Times New Roman" w:hAnsi="Times New Roman" w:cs="Times New Roman"/>
                <w:sz w:val="22"/>
                <w:szCs w:val="22"/>
                <w:u w:val="single"/>
              </w:rPr>
              <w:t xml:space="preserve">Primárny </w:t>
            </w:r>
            <w:r w:rsidR="00314BC3" w:rsidRPr="00031671">
              <w:rPr>
                <w:rFonts w:ascii="Times New Roman" w:hAnsi="Times New Roman" w:cs="Times New Roman"/>
                <w:sz w:val="22"/>
                <w:szCs w:val="22"/>
                <w:u w:val="single"/>
              </w:rPr>
              <w:t>cieľový</w:t>
            </w:r>
            <w:r w:rsidRPr="00031671">
              <w:rPr>
                <w:rFonts w:ascii="Times New Roman" w:hAnsi="Times New Roman" w:cs="Times New Roman"/>
                <w:sz w:val="22"/>
                <w:szCs w:val="22"/>
                <w:u w:val="single"/>
              </w:rPr>
              <w:t xml:space="preserve"> ukazovateľ</w:t>
            </w:r>
            <w:r w:rsidR="004C58EC" w:rsidRPr="00031671">
              <w:rPr>
                <w:rFonts w:ascii="Times New Roman" w:hAnsi="Times New Roman" w:cs="Times New Roman"/>
                <w:sz w:val="22"/>
                <w:szCs w:val="22"/>
                <w:u w:val="single"/>
              </w:rPr>
              <w:t xml:space="preserve"> </w:t>
            </w:r>
          </w:p>
        </w:tc>
      </w:tr>
      <w:tr w:rsidR="004C58EC" w:rsidRPr="00031671" w14:paraId="0228DA89"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5BB5F5F2" w14:textId="77777777" w:rsidR="004C58EC" w:rsidRPr="00031671" w:rsidRDefault="00675045" w:rsidP="00675045">
            <w:pPr>
              <w:pStyle w:val="TableText"/>
              <w:rPr>
                <w:rFonts w:ascii="Times New Roman" w:hAnsi="Times New Roman"/>
                <w:color w:val="000000"/>
                <w:sz w:val="22"/>
                <w:szCs w:val="22"/>
                <w:lang w:val="sk-SK"/>
              </w:rPr>
            </w:pPr>
            <w:r w:rsidRPr="00031671">
              <w:rPr>
                <w:rFonts w:ascii="Times New Roman" w:hAnsi="Times New Roman"/>
                <w:color w:val="000000"/>
                <w:sz w:val="22"/>
                <w:szCs w:val="22"/>
                <w:lang w:val="sk-SK"/>
              </w:rPr>
              <w:t>Nežiaduce kardiovaskulárne príhody</w:t>
            </w:r>
            <w:r w:rsidR="004C58EC" w:rsidRPr="00031671">
              <w:rPr>
                <w:rFonts w:ascii="Times New Roman" w:hAnsi="Times New Roman"/>
                <w:color w:val="000000"/>
                <w:sz w:val="22"/>
                <w:szCs w:val="22"/>
                <w:lang w:val="sk-SK"/>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6EA92D5D"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110 (16,6) </w:t>
            </w:r>
          </w:p>
        </w:tc>
        <w:tc>
          <w:tcPr>
            <w:tcW w:w="1555" w:type="dxa"/>
            <w:tcBorders>
              <w:top w:val="single" w:sz="6" w:space="0" w:color="000000"/>
              <w:left w:val="single" w:sz="6" w:space="0" w:color="000000"/>
              <w:bottom w:val="single" w:sz="6" w:space="0" w:color="000000"/>
              <w:right w:val="single" w:sz="6" w:space="0" w:color="000000"/>
            </w:tcBorders>
          </w:tcPr>
          <w:p w14:paraId="6B3E2A90"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151 (23,1) </w:t>
            </w:r>
          </w:p>
        </w:tc>
        <w:tc>
          <w:tcPr>
            <w:tcW w:w="1555" w:type="dxa"/>
            <w:tcBorders>
              <w:top w:val="single" w:sz="6" w:space="0" w:color="000000"/>
              <w:left w:val="single" w:sz="6" w:space="0" w:color="000000"/>
              <w:bottom w:val="single" w:sz="6" w:space="0" w:color="000000"/>
              <w:right w:val="single" w:sz="6" w:space="0" w:color="000000"/>
            </w:tcBorders>
          </w:tcPr>
          <w:p w14:paraId="4AF3D82A"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136 (20,2) </w:t>
            </w:r>
          </w:p>
        </w:tc>
        <w:tc>
          <w:tcPr>
            <w:tcW w:w="1555" w:type="dxa"/>
            <w:gridSpan w:val="2"/>
            <w:tcBorders>
              <w:top w:val="single" w:sz="6" w:space="0" w:color="000000"/>
              <w:left w:val="single" w:sz="6" w:space="0" w:color="000000"/>
              <w:bottom w:val="single" w:sz="6" w:space="0" w:color="000000"/>
              <w:right w:val="single" w:sz="6" w:space="0" w:color="000000"/>
            </w:tcBorders>
          </w:tcPr>
          <w:p w14:paraId="07B894DC"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0,69 (0,54-0,88) </w:t>
            </w:r>
          </w:p>
        </w:tc>
        <w:tc>
          <w:tcPr>
            <w:tcW w:w="984" w:type="dxa"/>
            <w:tcBorders>
              <w:top w:val="single" w:sz="6" w:space="0" w:color="000000"/>
              <w:left w:val="single" w:sz="6" w:space="0" w:color="000000"/>
              <w:bottom w:val="single" w:sz="6" w:space="0" w:color="000000"/>
              <w:right w:val="single" w:sz="6" w:space="0" w:color="000000"/>
            </w:tcBorders>
          </w:tcPr>
          <w:p w14:paraId="4F3367FB" w14:textId="77777777" w:rsidR="004C58EC" w:rsidRPr="00031671" w:rsidRDefault="00675045"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0</w:t>
            </w:r>
            <w:r w:rsidR="004C58EC" w:rsidRPr="00031671">
              <w:rPr>
                <w:rFonts w:ascii="Times New Roman" w:hAnsi="Times New Roman" w:cs="Times New Roman"/>
                <w:sz w:val="22"/>
                <w:szCs w:val="22"/>
              </w:rPr>
              <w:t xml:space="preserve">,003 </w:t>
            </w:r>
          </w:p>
        </w:tc>
      </w:tr>
      <w:tr w:rsidR="004C58EC" w:rsidRPr="00031671" w14:paraId="63C51485" w14:textId="77777777" w:rsidTr="004C58EC">
        <w:trPr>
          <w:trHeight w:val="108"/>
        </w:trPr>
        <w:tc>
          <w:tcPr>
            <w:tcW w:w="9825" w:type="dxa"/>
            <w:gridSpan w:val="7"/>
            <w:tcBorders>
              <w:top w:val="single" w:sz="6" w:space="0" w:color="000000"/>
              <w:left w:val="single" w:sz="6" w:space="0" w:color="000000"/>
              <w:bottom w:val="single" w:sz="6" w:space="0" w:color="000000"/>
              <w:right w:val="single" w:sz="6" w:space="0" w:color="000000"/>
            </w:tcBorders>
          </w:tcPr>
          <w:p w14:paraId="74545EC8" w14:textId="77777777" w:rsidR="004C58EC" w:rsidRPr="00031671" w:rsidRDefault="00F52E48" w:rsidP="004C58EC">
            <w:pPr>
              <w:pStyle w:val="Default"/>
              <w:rPr>
                <w:rFonts w:ascii="Times New Roman" w:hAnsi="Times New Roman" w:cs="Times New Roman"/>
                <w:sz w:val="22"/>
                <w:szCs w:val="22"/>
              </w:rPr>
            </w:pPr>
            <w:r w:rsidRPr="00031671">
              <w:rPr>
                <w:rFonts w:ascii="Times New Roman" w:hAnsi="Times New Roman" w:cs="Times New Roman"/>
                <w:sz w:val="22"/>
                <w:szCs w:val="22"/>
                <w:u w:val="single"/>
              </w:rPr>
              <w:t>Jednotlivé zložky</w:t>
            </w:r>
            <w:r w:rsidR="004C58EC" w:rsidRPr="00031671">
              <w:rPr>
                <w:rFonts w:ascii="Times New Roman" w:hAnsi="Times New Roman" w:cs="Times New Roman"/>
                <w:sz w:val="22"/>
                <w:szCs w:val="22"/>
                <w:u w:val="single"/>
              </w:rPr>
              <w:t xml:space="preserve"> </w:t>
            </w:r>
          </w:p>
        </w:tc>
      </w:tr>
      <w:tr w:rsidR="004C58EC" w:rsidRPr="00031671" w14:paraId="2B10D17C"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1AB11872" w14:textId="77777777" w:rsidR="004C58EC" w:rsidRPr="00031671" w:rsidRDefault="00F52E48" w:rsidP="00F52E48">
            <w:pPr>
              <w:pStyle w:val="Default"/>
              <w:rPr>
                <w:rFonts w:ascii="Times New Roman" w:hAnsi="Times New Roman" w:cs="Times New Roman"/>
                <w:sz w:val="22"/>
                <w:szCs w:val="22"/>
              </w:rPr>
            </w:pPr>
            <w:r w:rsidRPr="00031671">
              <w:rPr>
                <w:rFonts w:ascii="Times New Roman" w:hAnsi="Times New Roman" w:cs="Times New Roman"/>
                <w:sz w:val="22"/>
                <w:szCs w:val="22"/>
              </w:rPr>
              <w:t>Koronárna revaskularizácia</w:t>
            </w:r>
            <w:r w:rsidR="004C58EC" w:rsidRPr="00031671">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170396FF"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78 (11,8) </w:t>
            </w:r>
          </w:p>
        </w:tc>
        <w:tc>
          <w:tcPr>
            <w:tcW w:w="1555" w:type="dxa"/>
            <w:tcBorders>
              <w:top w:val="single" w:sz="6" w:space="0" w:color="000000"/>
              <w:left w:val="single" w:sz="6" w:space="0" w:color="000000"/>
              <w:bottom w:val="single" w:sz="6" w:space="0" w:color="000000"/>
              <w:right w:val="single" w:sz="6" w:space="0" w:color="000000"/>
            </w:tcBorders>
          </w:tcPr>
          <w:p w14:paraId="7FC47658"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103 (15,7) </w:t>
            </w:r>
          </w:p>
        </w:tc>
        <w:tc>
          <w:tcPr>
            <w:tcW w:w="1555" w:type="dxa"/>
            <w:tcBorders>
              <w:top w:val="single" w:sz="6" w:space="0" w:color="000000"/>
              <w:left w:val="single" w:sz="6" w:space="0" w:color="000000"/>
              <w:bottom w:val="single" w:sz="6" w:space="0" w:color="000000"/>
              <w:right w:val="single" w:sz="6" w:space="0" w:color="000000"/>
            </w:tcBorders>
          </w:tcPr>
          <w:p w14:paraId="2EFD19A3"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95 (14,1) </w:t>
            </w:r>
          </w:p>
        </w:tc>
        <w:tc>
          <w:tcPr>
            <w:tcW w:w="1555" w:type="dxa"/>
            <w:gridSpan w:val="2"/>
            <w:tcBorders>
              <w:top w:val="single" w:sz="6" w:space="0" w:color="000000"/>
              <w:left w:val="single" w:sz="6" w:space="0" w:color="000000"/>
              <w:bottom w:val="single" w:sz="6" w:space="0" w:color="000000"/>
              <w:right w:val="single" w:sz="6" w:space="0" w:color="000000"/>
            </w:tcBorders>
          </w:tcPr>
          <w:p w14:paraId="3ECD4BDF"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0,73 (0,54-0,98) </w:t>
            </w:r>
          </w:p>
        </w:tc>
        <w:tc>
          <w:tcPr>
            <w:tcW w:w="984" w:type="dxa"/>
            <w:tcBorders>
              <w:top w:val="single" w:sz="6" w:space="0" w:color="000000"/>
              <w:left w:val="single" w:sz="6" w:space="0" w:color="000000"/>
              <w:bottom w:val="single" w:sz="6" w:space="0" w:color="000000"/>
              <w:right w:val="single" w:sz="6" w:space="0" w:color="000000"/>
            </w:tcBorders>
          </w:tcPr>
          <w:p w14:paraId="64E472B1" w14:textId="77777777" w:rsidR="004C58EC" w:rsidRPr="00031671" w:rsidRDefault="00675045"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0</w:t>
            </w:r>
            <w:r w:rsidR="004C58EC" w:rsidRPr="00031671">
              <w:rPr>
                <w:rFonts w:ascii="Times New Roman" w:hAnsi="Times New Roman" w:cs="Times New Roman"/>
                <w:sz w:val="22"/>
                <w:szCs w:val="22"/>
              </w:rPr>
              <w:t xml:space="preserve">,03 </w:t>
            </w:r>
          </w:p>
        </w:tc>
      </w:tr>
      <w:tr w:rsidR="004C58EC" w:rsidRPr="00031671" w14:paraId="22B210D3"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3F414C14" w14:textId="77777777" w:rsidR="004C58EC" w:rsidRPr="00031671" w:rsidRDefault="004C58EC" w:rsidP="00F52E48">
            <w:pPr>
              <w:pStyle w:val="Default"/>
              <w:rPr>
                <w:rFonts w:ascii="Times New Roman" w:hAnsi="Times New Roman" w:cs="Times New Roman"/>
                <w:sz w:val="22"/>
                <w:szCs w:val="22"/>
              </w:rPr>
            </w:pPr>
            <w:r w:rsidRPr="00031671">
              <w:rPr>
                <w:rFonts w:ascii="Times New Roman" w:hAnsi="Times New Roman" w:cs="Times New Roman"/>
                <w:sz w:val="22"/>
                <w:szCs w:val="22"/>
              </w:rPr>
              <w:t>Hospitaliz</w:t>
            </w:r>
            <w:r w:rsidR="00F52E48" w:rsidRPr="00031671">
              <w:rPr>
                <w:rFonts w:ascii="Times New Roman" w:hAnsi="Times New Roman" w:cs="Times New Roman"/>
                <w:sz w:val="22"/>
                <w:szCs w:val="22"/>
              </w:rPr>
              <w:t>ácia kvôli angíne pe</w:t>
            </w:r>
            <w:r w:rsidR="002916B0" w:rsidRPr="00031671">
              <w:rPr>
                <w:rFonts w:ascii="Times New Roman" w:hAnsi="Times New Roman" w:cs="Times New Roman"/>
                <w:sz w:val="22"/>
                <w:szCs w:val="22"/>
              </w:rPr>
              <w:t>k</w:t>
            </w:r>
            <w:r w:rsidR="00F52E48" w:rsidRPr="00031671">
              <w:rPr>
                <w:rFonts w:ascii="Times New Roman" w:hAnsi="Times New Roman" w:cs="Times New Roman"/>
                <w:sz w:val="22"/>
                <w:szCs w:val="22"/>
              </w:rPr>
              <w:t>toris</w:t>
            </w:r>
            <w:r w:rsidRPr="00031671">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4710606D"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51 (7,7) </w:t>
            </w:r>
          </w:p>
        </w:tc>
        <w:tc>
          <w:tcPr>
            <w:tcW w:w="1555" w:type="dxa"/>
            <w:tcBorders>
              <w:top w:val="single" w:sz="6" w:space="0" w:color="000000"/>
              <w:left w:val="single" w:sz="6" w:space="0" w:color="000000"/>
              <w:bottom w:val="single" w:sz="6" w:space="0" w:color="000000"/>
              <w:right w:val="single" w:sz="6" w:space="0" w:color="000000"/>
            </w:tcBorders>
          </w:tcPr>
          <w:p w14:paraId="5A50022C"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84 (12,8) </w:t>
            </w:r>
          </w:p>
        </w:tc>
        <w:tc>
          <w:tcPr>
            <w:tcW w:w="1555" w:type="dxa"/>
            <w:tcBorders>
              <w:top w:val="single" w:sz="6" w:space="0" w:color="000000"/>
              <w:left w:val="single" w:sz="6" w:space="0" w:color="000000"/>
              <w:bottom w:val="single" w:sz="6" w:space="0" w:color="000000"/>
              <w:right w:val="single" w:sz="6" w:space="0" w:color="000000"/>
            </w:tcBorders>
          </w:tcPr>
          <w:p w14:paraId="4A704440"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86 (12,8) </w:t>
            </w:r>
          </w:p>
        </w:tc>
        <w:tc>
          <w:tcPr>
            <w:tcW w:w="1555" w:type="dxa"/>
            <w:gridSpan w:val="2"/>
            <w:tcBorders>
              <w:top w:val="single" w:sz="6" w:space="0" w:color="000000"/>
              <w:left w:val="single" w:sz="6" w:space="0" w:color="000000"/>
              <w:bottom w:val="single" w:sz="6" w:space="0" w:color="000000"/>
              <w:right w:val="single" w:sz="6" w:space="0" w:color="000000"/>
            </w:tcBorders>
          </w:tcPr>
          <w:p w14:paraId="4FF7252A"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0,58 (0,41-0,82) </w:t>
            </w:r>
          </w:p>
        </w:tc>
        <w:tc>
          <w:tcPr>
            <w:tcW w:w="984" w:type="dxa"/>
            <w:tcBorders>
              <w:top w:val="single" w:sz="6" w:space="0" w:color="000000"/>
              <w:left w:val="single" w:sz="6" w:space="0" w:color="000000"/>
              <w:bottom w:val="single" w:sz="6" w:space="0" w:color="000000"/>
              <w:right w:val="single" w:sz="6" w:space="0" w:color="000000"/>
            </w:tcBorders>
          </w:tcPr>
          <w:p w14:paraId="575994E6" w14:textId="77777777" w:rsidR="004C58EC" w:rsidRPr="00031671" w:rsidRDefault="00675045"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0</w:t>
            </w:r>
            <w:r w:rsidR="004C58EC" w:rsidRPr="00031671">
              <w:rPr>
                <w:rFonts w:ascii="Times New Roman" w:hAnsi="Times New Roman" w:cs="Times New Roman"/>
                <w:sz w:val="22"/>
                <w:szCs w:val="22"/>
              </w:rPr>
              <w:t xml:space="preserve">,002 </w:t>
            </w:r>
          </w:p>
        </w:tc>
      </w:tr>
      <w:tr w:rsidR="004C58EC" w:rsidRPr="00031671" w14:paraId="23E9E562"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243C3D41" w14:textId="77777777" w:rsidR="004C58EC" w:rsidRPr="00031671" w:rsidRDefault="004C58EC" w:rsidP="00675045">
            <w:pPr>
              <w:pStyle w:val="Default"/>
              <w:rPr>
                <w:rFonts w:ascii="Times New Roman" w:hAnsi="Times New Roman" w:cs="Times New Roman"/>
                <w:sz w:val="22"/>
                <w:szCs w:val="22"/>
              </w:rPr>
            </w:pPr>
            <w:r w:rsidRPr="00031671">
              <w:rPr>
                <w:rFonts w:ascii="Times New Roman" w:hAnsi="Times New Roman" w:cs="Times New Roman"/>
                <w:sz w:val="22"/>
                <w:szCs w:val="22"/>
              </w:rPr>
              <w:t>N</w:t>
            </w:r>
            <w:r w:rsidR="00675045" w:rsidRPr="00031671">
              <w:rPr>
                <w:rFonts w:ascii="Times New Roman" w:hAnsi="Times New Roman" w:cs="Times New Roman"/>
                <w:sz w:val="22"/>
                <w:szCs w:val="22"/>
              </w:rPr>
              <w:t>efatálny IM</w:t>
            </w:r>
            <w:r w:rsidRPr="00031671">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3606AED8"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14 (2,1) </w:t>
            </w:r>
          </w:p>
        </w:tc>
        <w:tc>
          <w:tcPr>
            <w:tcW w:w="1555" w:type="dxa"/>
            <w:tcBorders>
              <w:top w:val="single" w:sz="6" w:space="0" w:color="000000"/>
              <w:left w:val="single" w:sz="6" w:space="0" w:color="000000"/>
              <w:bottom w:val="single" w:sz="6" w:space="0" w:color="000000"/>
              <w:right w:val="single" w:sz="6" w:space="0" w:color="000000"/>
            </w:tcBorders>
          </w:tcPr>
          <w:p w14:paraId="396E7234"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19 (2,9) </w:t>
            </w:r>
          </w:p>
        </w:tc>
        <w:tc>
          <w:tcPr>
            <w:tcW w:w="1555" w:type="dxa"/>
            <w:tcBorders>
              <w:top w:val="single" w:sz="6" w:space="0" w:color="000000"/>
              <w:left w:val="single" w:sz="6" w:space="0" w:color="000000"/>
              <w:bottom w:val="single" w:sz="6" w:space="0" w:color="000000"/>
              <w:right w:val="single" w:sz="6" w:space="0" w:color="000000"/>
            </w:tcBorders>
          </w:tcPr>
          <w:p w14:paraId="5D2017A5"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11 (1,6) </w:t>
            </w:r>
          </w:p>
        </w:tc>
        <w:tc>
          <w:tcPr>
            <w:tcW w:w="1555" w:type="dxa"/>
            <w:gridSpan w:val="2"/>
            <w:tcBorders>
              <w:top w:val="single" w:sz="6" w:space="0" w:color="000000"/>
              <w:left w:val="single" w:sz="6" w:space="0" w:color="000000"/>
              <w:bottom w:val="single" w:sz="6" w:space="0" w:color="000000"/>
              <w:right w:val="single" w:sz="6" w:space="0" w:color="000000"/>
            </w:tcBorders>
          </w:tcPr>
          <w:p w14:paraId="3337FE37"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0,73 (0,37-1,46) </w:t>
            </w:r>
          </w:p>
        </w:tc>
        <w:tc>
          <w:tcPr>
            <w:tcW w:w="984" w:type="dxa"/>
            <w:tcBorders>
              <w:top w:val="single" w:sz="6" w:space="0" w:color="000000"/>
              <w:left w:val="single" w:sz="6" w:space="0" w:color="000000"/>
              <w:bottom w:val="single" w:sz="6" w:space="0" w:color="000000"/>
              <w:right w:val="single" w:sz="6" w:space="0" w:color="000000"/>
            </w:tcBorders>
          </w:tcPr>
          <w:p w14:paraId="062065B1" w14:textId="77777777" w:rsidR="004C58EC" w:rsidRPr="00031671" w:rsidRDefault="00675045"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0</w:t>
            </w:r>
            <w:r w:rsidR="004C58EC" w:rsidRPr="00031671">
              <w:rPr>
                <w:rFonts w:ascii="Times New Roman" w:hAnsi="Times New Roman" w:cs="Times New Roman"/>
                <w:sz w:val="22"/>
                <w:szCs w:val="22"/>
              </w:rPr>
              <w:t xml:space="preserve">,37 </w:t>
            </w:r>
          </w:p>
        </w:tc>
      </w:tr>
      <w:tr w:rsidR="004C58EC" w:rsidRPr="00031671" w14:paraId="21AB3645" w14:textId="77777777" w:rsidTr="004C58EC">
        <w:trPr>
          <w:trHeight w:val="218"/>
        </w:trPr>
        <w:tc>
          <w:tcPr>
            <w:tcW w:w="2621" w:type="dxa"/>
            <w:tcBorders>
              <w:top w:val="single" w:sz="6" w:space="0" w:color="000000"/>
              <w:left w:val="single" w:sz="6" w:space="0" w:color="000000"/>
              <w:bottom w:val="single" w:sz="6" w:space="0" w:color="000000"/>
              <w:right w:val="single" w:sz="6" w:space="0" w:color="000000"/>
            </w:tcBorders>
          </w:tcPr>
          <w:p w14:paraId="5F11AF46" w14:textId="77777777" w:rsidR="004C58EC" w:rsidRPr="00031671" w:rsidRDefault="00F52E48" w:rsidP="00F52E48">
            <w:pPr>
              <w:pStyle w:val="Default"/>
              <w:rPr>
                <w:rFonts w:ascii="Times New Roman" w:hAnsi="Times New Roman" w:cs="Times New Roman"/>
                <w:sz w:val="22"/>
                <w:szCs w:val="22"/>
              </w:rPr>
            </w:pPr>
            <w:r w:rsidRPr="00031671">
              <w:rPr>
                <w:rFonts w:ascii="Times New Roman" w:hAnsi="Times New Roman" w:cs="Times New Roman"/>
                <w:sz w:val="22"/>
                <w:szCs w:val="22"/>
              </w:rPr>
              <w:t>Mŕtvica alebo TIA</w:t>
            </w:r>
            <w:r w:rsidR="004C58EC" w:rsidRPr="00031671">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447E05FE"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6 (0,9) </w:t>
            </w:r>
          </w:p>
        </w:tc>
        <w:tc>
          <w:tcPr>
            <w:tcW w:w="1555" w:type="dxa"/>
            <w:tcBorders>
              <w:top w:val="single" w:sz="6" w:space="0" w:color="000000"/>
              <w:left w:val="single" w:sz="6" w:space="0" w:color="000000"/>
              <w:bottom w:val="single" w:sz="6" w:space="0" w:color="000000"/>
              <w:right w:val="single" w:sz="6" w:space="0" w:color="000000"/>
            </w:tcBorders>
          </w:tcPr>
          <w:p w14:paraId="31B8BAE4"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12 (1,8) </w:t>
            </w:r>
          </w:p>
        </w:tc>
        <w:tc>
          <w:tcPr>
            <w:tcW w:w="1555" w:type="dxa"/>
            <w:tcBorders>
              <w:top w:val="single" w:sz="6" w:space="0" w:color="000000"/>
              <w:left w:val="single" w:sz="6" w:space="0" w:color="000000"/>
              <w:bottom w:val="single" w:sz="6" w:space="0" w:color="000000"/>
              <w:right w:val="single" w:sz="6" w:space="0" w:color="000000"/>
            </w:tcBorders>
          </w:tcPr>
          <w:p w14:paraId="16E67999"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8 (1,2) </w:t>
            </w:r>
          </w:p>
        </w:tc>
        <w:tc>
          <w:tcPr>
            <w:tcW w:w="1555" w:type="dxa"/>
            <w:gridSpan w:val="2"/>
            <w:tcBorders>
              <w:top w:val="single" w:sz="6" w:space="0" w:color="000000"/>
              <w:left w:val="single" w:sz="6" w:space="0" w:color="000000"/>
              <w:bottom w:val="single" w:sz="6" w:space="0" w:color="000000"/>
              <w:right w:val="single" w:sz="6" w:space="0" w:color="000000"/>
            </w:tcBorders>
          </w:tcPr>
          <w:p w14:paraId="22D3A1F9"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0,50 (0,19-1,32) </w:t>
            </w:r>
          </w:p>
        </w:tc>
        <w:tc>
          <w:tcPr>
            <w:tcW w:w="984" w:type="dxa"/>
            <w:tcBorders>
              <w:top w:val="single" w:sz="6" w:space="0" w:color="000000"/>
              <w:left w:val="single" w:sz="6" w:space="0" w:color="000000"/>
              <w:bottom w:val="single" w:sz="6" w:space="0" w:color="000000"/>
              <w:right w:val="single" w:sz="6" w:space="0" w:color="000000"/>
            </w:tcBorders>
          </w:tcPr>
          <w:p w14:paraId="2BF99A8F" w14:textId="77777777" w:rsidR="004C58EC" w:rsidRPr="00031671" w:rsidRDefault="00675045"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0</w:t>
            </w:r>
            <w:r w:rsidR="004C58EC" w:rsidRPr="00031671">
              <w:rPr>
                <w:rFonts w:ascii="Times New Roman" w:hAnsi="Times New Roman" w:cs="Times New Roman"/>
                <w:sz w:val="22"/>
                <w:szCs w:val="22"/>
              </w:rPr>
              <w:t xml:space="preserve">,15 </w:t>
            </w:r>
          </w:p>
        </w:tc>
      </w:tr>
      <w:tr w:rsidR="004C58EC" w:rsidRPr="00031671" w14:paraId="6E3CD1CA"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404DB222" w14:textId="77777777" w:rsidR="004C58EC" w:rsidRPr="00031671" w:rsidRDefault="00675045" w:rsidP="00675045">
            <w:pPr>
              <w:pStyle w:val="Default"/>
              <w:rPr>
                <w:rFonts w:ascii="Times New Roman" w:hAnsi="Times New Roman" w:cs="Times New Roman"/>
                <w:sz w:val="22"/>
                <w:szCs w:val="22"/>
              </w:rPr>
            </w:pPr>
            <w:r w:rsidRPr="00031671">
              <w:rPr>
                <w:rFonts w:ascii="Times New Roman" w:hAnsi="Times New Roman" w:cs="Times New Roman"/>
                <w:sz w:val="22"/>
                <w:szCs w:val="22"/>
              </w:rPr>
              <w:t>Kardiovaskulárna smrť</w:t>
            </w:r>
            <w:r w:rsidR="004C58EC" w:rsidRPr="00031671">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7FB79D9C"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5 (0,8) </w:t>
            </w:r>
          </w:p>
        </w:tc>
        <w:tc>
          <w:tcPr>
            <w:tcW w:w="1555" w:type="dxa"/>
            <w:tcBorders>
              <w:top w:val="single" w:sz="6" w:space="0" w:color="000000"/>
              <w:left w:val="single" w:sz="6" w:space="0" w:color="000000"/>
              <w:bottom w:val="single" w:sz="6" w:space="0" w:color="000000"/>
              <w:right w:val="single" w:sz="6" w:space="0" w:color="000000"/>
            </w:tcBorders>
          </w:tcPr>
          <w:p w14:paraId="42267304"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2 (0,3) </w:t>
            </w:r>
          </w:p>
        </w:tc>
        <w:tc>
          <w:tcPr>
            <w:tcW w:w="1555" w:type="dxa"/>
            <w:tcBorders>
              <w:top w:val="single" w:sz="6" w:space="0" w:color="000000"/>
              <w:left w:val="single" w:sz="6" w:space="0" w:color="000000"/>
              <w:bottom w:val="single" w:sz="6" w:space="0" w:color="000000"/>
              <w:right w:val="single" w:sz="6" w:space="0" w:color="000000"/>
            </w:tcBorders>
          </w:tcPr>
          <w:p w14:paraId="58173858"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5 (0,7) </w:t>
            </w:r>
          </w:p>
        </w:tc>
        <w:tc>
          <w:tcPr>
            <w:tcW w:w="1555" w:type="dxa"/>
            <w:gridSpan w:val="2"/>
            <w:tcBorders>
              <w:top w:val="single" w:sz="6" w:space="0" w:color="000000"/>
              <w:left w:val="single" w:sz="6" w:space="0" w:color="000000"/>
              <w:bottom w:val="single" w:sz="6" w:space="0" w:color="000000"/>
              <w:right w:val="single" w:sz="6" w:space="0" w:color="000000"/>
            </w:tcBorders>
          </w:tcPr>
          <w:p w14:paraId="0DD96449"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2,46 (0,48-12,7) </w:t>
            </w:r>
          </w:p>
        </w:tc>
        <w:tc>
          <w:tcPr>
            <w:tcW w:w="984" w:type="dxa"/>
            <w:tcBorders>
              <w:top w:val="single" w:sz="6" w:space="0" w:color="000000"/>
              <w:left w:val="single" w:sz="6" w:space="0" w:color="000000"/>
              <w:bottom w:val="single" w:sz="6" w:space="0" w:color="000000"/>
              <w:right w:val="single" w:sz="6" w:space="0" w:color="000000"/>
            </w:tcBorders>
          </w:tcPr>
          <w:p w14:paraId="67E8EF9A" w14:textId="77777777" w:rsidR="004C58EC" w:rsidRPr="00031671" w:rsidRDefault="00675045"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0</w:t>
            </w:r>
            <w:r w:rsidR="004C58EC" w:rsidRPr="00031671">
              <w:rPr>
                <w:rFonts w:ascii="Times New Roman" w:hAnsi="Times New Roman" w:cs="Times New Roman"/>
                <w:sz w:val="22"/>
                <w:szCs w:val="22"/>
              </w:rPr>
              <w:t xml:space="preserve">,27 </w:t>
            </w:r>
          </w:p>
        </w:tc>
      </w:tr>
      <w:tr w:rsidR="004C58EC" w:rsidRPr="00031671" w14:paraId="11369D59" w14:textId="77777777" w:rsidTr="004C58EC">
        <w:trPr>
          <w:trHeight w:val="217"/>
        </w:trPr>
        <w:tc>
          <w:tcPr>
            <w:tcW w:w="2621" w:type="dxa"/>
            <w:tcBorders>
              <w:top w:val="single" w:sz="6" w:space="0" w:color="000000"/>
              <w:left w:val="single" w:sz="6" w:space="0" w:color="000000"/>
              <w:bottom w:val="single" w:sz="6" w:space="0" w:color="000000"/>
              <w:right w:val="single" w:sz="6" w:space="0" w:color="000000"/>
            </w:tcBorders>
          </w:tcPr>
          <w:p w14:paraId="2E493356" w14:textId="77777777" w:rsidR="004C58EC" w:rsidRPr="00031671" w:rsidRDefault="004C58EC" w:rsidP="00F52E48">
            <w:pPr>
              <w:pStyle w:val="Default"/>
              <w:rPr>
                <w:rFonts w:ascii="Times New Roman" w:hAnsi="Times New Roman" w:cs="Times New Roman"/>
                <w:sz w:val="22"/>
                <w:szCs w:val="22"/>
              </w:rPr>
            </w:pPr>
            <w:r w:rsidRPr="00031671">
              <w:rPr>
                <w:rFonts w:ascii="Times New Roman" w:hAnsi="Times New Roman" w:cs="Times New Roman"/>
                <w:sz w:val="22"/>
                <w:szCs w:val="22"/>
              </w:rPr>
              <w:t>Hospitaliz</w:t>
            </w:r>
            <w:r w:rsidR="00675045" w:rsidRPr="00031671">
              <w:rPr>
                <w:rFonts w:ascii="Times New Roman" w:hAnsi="Times New Roman" w:cs="Times New Roman"/>
                <w:sz w:val="22"/>
                <w:szCs w:val="22"/>
              </w:rPr>
              <w:t xml:space="preserve">ácia </w:t>
            </w:r>
            <w:r w:rsidR="00F52E48" w:rsidRPr="00031671">
              <w:rPr>
                <w:rFonts w:ascii="Times New Roman" w:hAnsi="Times New Roman" w:cs="Times New Roman"/>
                <w:sz w:val="22"/>
                <w:szCs w:val="22"/>
              </w:rPr>
              <w:t>kvôli KZS</w:t>
            </w:r>
            <w:r w:rsidRPr="00031671">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494334F2"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3 (0,5) </w:t>
            </w:r>
          </w:p>
        </w:tc>
        <w:tc>
          <w:tcPr>
            <w:tcW w:w="1555" w:type="dxa"/>
            <w:tcBorders>
              <w:top w:val="single" w:sz="6" w:space="0" w:color="000000"/>
              <w:left w:val="single" w:sz="6" w:space="0" w:color="000000"/>
              <w:bottom w:val="single" w:sz="6" w:space="0" w:color="000000"/>
              <w:right w:val="single" w:sz="6" w:space="0" w:color="000000"/>
            </w:tcBorders>
          </w:tcPr>
          <w:p w14:paraId="3253056D"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5 (0,8) </w:t>
            </w:r>
          </w:p>
        </w:tc>
        <w:tc>
          <w:tcPr>
            <w:tcW w:w="1555" w:type="dxa"/>
            <w:tcBorders>
              <w:top w:val="single" w:sz="6" w:space="0" w:color="000000"/>
              <w:left w:val="single" w:sz="6" w:space="0" w:color="000000"/>
              <w:bottom w:val="single" w:sz="6" w:space="0" w:color="000000"/>
              <w:right w:val="single" w:sz="6" w:space="0" w:color="000000"/>
            </w:tcBorders>
          </w:tcPr>
          <w:p w14:paraId="3603F473"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4 (0,6) </w:t>
            </w:r>
          </w:p>
        </w:tc>
        <w:tc>
          <w:tcPr>
            <w:tcW w:w="1555" w:type="dxa"/>
            <w:gridSpan w:val="2"/>
            <w:tcBorders>
              <w:top w:val="single" w:sz="6" w:space="0" w:color="000000"/>
              <w:left w:val="single" w:sz="6" w:space="0" w:color="000000"/>
              <w:bottom w:val="single" w:sz="6" w:space="0" w:color="000000"/>
              <w:right w:val="single" w:sz="6" w:space="0" w:color="000000"/>
            </w:tcBorders>
          </w:tcPr>
          <w:p w14:paraId="50C5AF0D"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0,59 (0,14-2,47) </w:t>
            </w:r>
          </w:p>
        </w:tc>
        <w:tc>
          <w:tcPr>
            <w:tcW w:w="984" w:type="dxa"/>
            <w:tcBorders>
              <w:top w:val="single" w:sz="6" w:space="0" w:color="000000"/>
              <w:left w:val="single" w:sz="6" w:space="0" w:color="000000"/>
              <w:bottom w:val="single" w:sz="6" w:space="0" w:color="000000"/>
              <w:right w:val="single" w:sz="6" w:space="0" w:color="000000"/>
            </w:tcBorders>
          </w:tcPr>
          <w:p w14:paraId="4AD9664E" w14:textId="77777777" w:rsidR="004C58EC" w:rsidRPr="00031671" w:rsidRDefault="00675045"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0</w:t>
            </w:r>
            <w:r w:rsidR="004C58EC" w:rsidRPr="00031671">
              <w:rPr>
                <w:rFonts w:ascii="Times New Roman" w:hAnsi="Times New Roman" w:cs="Times New Roman"/>
                <w:sz w:val="22"/>
                <w:szCs w:val="22"/>
              </w:rPr>
              <w:t xml:space="preserve">,46 </w:t>
            </w:r>
          </w:p>
        </w:tc>
      </w:tr>
      <w:tr w:rsidR="004C58EC" w:rsidRPr="00031671" w14:paraId="231A27CB" w14:textId="77777777" w:rsidTr="004C58EC">
        <w:trPr>
          <w:trHeight w:val="108"/>
        </w:trPr>
        <w:tc>
          <w:tcPr>
            <w:tcW w:w="2621" w:type="dxa"/>
            <w:tcBorders>
              <w:top w:val="single" w:sz="6" w:space="0" w:color="000000"/>
              <w:left w:val="single" w:sz="6" w:space="0" w:color="000000"/>
              <w:bottom w:val="single" w:sz="6" w:space="0" w:color="000000"/>
              <w:right w:val="single" w:sz="6" w:space="0" w:color="000000"/>
            </w:tcBorders>
          </w:tcPr>
          <w:p w14:paraId="773F1F18" w14:textId="77777777" w:rsidR="004C58EC" w:rsidRPr="00031671" w:rsidRDefault="004C58EC" w:rsidP="00901908">
            <w:pPr>
              <w:pStyle w:val="Default"/>
              <w:rPr>
                <w:rFonts w:ascii="Times New Roman" w:hAnsi="Times New Roman" w:cs="Times New Roman"/>
                <w:sz w:val="22"/>
                <w:szCs w:val="22"/>
              </w:rPr>
            </w:pPr>
            <w:r w:rsidRPr="00031671">
              <w:rPr>
                <w:rFonts w:ascii="Times New Roman" w:hAnsi="Times New Roman" w:cs="Times New Roman"/>
                <w:sz w:val="22"/>
                <w:szCs w:val="22"/>
              </w:rPr>
              <w:t>Resuscit</w:t>
            </w:r>
            <w:r w:rsidR="00F52E48" w:rsidRPr="00031671">
              <w:rPr>
                <w:rFonts w:ascii="Times New Roman" w:hAnsi="Times New Roman" w:cs="Times New Roman"/>
                <w:sz w:val="22"/>
                <w:szCs w:val="22"/>
              </w:rPr>
              <w:t>ovan</w:t>
            </w:r>
            <w:r w:rsidR="00901908" w:rsidRPr="00031671">
              <w:rPr>
                <w:rFonts w:ascii="Times New Roman" w:hAnsi="Times New Roman" w:cs="Times New Roman"/>
                <w:sz w:val="22"/>
                <w:szCs w:val="22"/>
              </w:rPr>
              <w:t>é</w:t>
            </w:r>
            <w:r w:rsidR="00F52E48" w:rsidRPr="00031671">
              <w:rPr>
                <w:rFonts w:ascii="Times New Roman" w:hAnsi="Times New Roman" w:cs="Times New Roman"/>
                <w:sz w:val="22"/>
                <w:szCs w:val="22"/>
              </w:rPr>
              <w:t xml:space="preserve"> </w:t>
            </w:r>
            <w:r w:rsidR="00901908" w:rsidRPr="00031671">
              <w:rPr>
                <w:rFonts w:ascii="Times New Roman" w:hAnsi="Times New Roman" w:cs="Times New Roman"/>
                <w:sz w:val="22"/>
                <w:szCs w:val="22"/>
              </w:rPr>
              <w:t xml:space="preserve">zastavenie </w:t>
            </w:r>
            <w:r w:rsidR="00F52E48" w:rsidRPr="00031671">
              <w:rPr>
                <w:rFonts w:ascii="Times New Roman" w:hAnsi="Times New Roman" w:cs="Times New Roman"/>
                <w:sz w:val="22"/>
                <w:szCs w:val="22"/>
              </w:rPr>
              <w:t>srdca</w:t>
            </w:r>
            <w:r w:rsidRPr="00031671">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4B98CBA9"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0 </w:t>
            </w:r>
          </w:p>
        </w:tc>
        <w:tc>
          <w:tcPr>
            <w:tcW w:w="1555" w:type="dxa"/>
            <w:tcBorders>
              <w:top w:val="single" w:sz="6" w:space="0" w:color="000000"/>
              <w:left w:val="single" w:sz="6" w:space="0" w:color="000000"/>
              <w:bottom w:val="single" w:sz="6" w:space="0" w:color="000000"/>
              <w:right w:val="single" w:sz="6" w:space="0" w:color="000000"/>
            </w:tcBorders>
          </w:tcPr>
          <w:p w14:paraId="3FC9FA78"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4 (0,6) </w:t>
            </w:r>
          </w:p>
        </w:tc>
        <w:tc>
          <w:tcPr>
            <w:tcW w:w="1555" w:type="dxa"/>
            <w:tcBorders>
              <w:top w:val="single" w:sz="6" w:space="0" w:color="000000"/>
              <w:left w:val="single" w:sz="6" w:space="0" w:color="000000"/>
              <w:bottom w:val="single" w:sz="6" w:space="0" w:color="000000"/>
              <w:right w:val="single" w:sz="6" w:space="0" w:color="000000"/>
            </w:tcBorders>
          </w:tcPr>
          <w:p w14:paraId="429AB2E6"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1 (0,1) </w:t>
            </w:r>
          </w:p>
        </w:tc>
        <w:tc>
          <w:tcPr>
            <w:tcW w:w="1555" w:type="dxa"/>
            <w:gridSpan w:val="2"/>
            <w:tcBorders>
              <w:top w:val="single" w:sz="6" w:space="0" w:color="000000"/>
              <w:left w:val="single" w:sz="6" w:space="0" w:color="000000"/>
              <w:bottom w:val="single" w:sz="6" w:space="0" w:color="000000"/>
              <w:right w:val="single" w:sz="6" w:space="0" w:color="000000"/>
            </w:tcBorders>
          </w:tcPr>
          <w:p w14:paraId="43CDEB36"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NA </w:t>
            </w:r>
          </w:p>
        </w:tc>
        <w:tc>
          <w:tcPr>
            <w:tcW w:w="984" w:type="dxa"/>
            <w:tcBorders>
              <w:top w:val="single" w:sz="6" w:space="0" w:color="000000"/>
              <w:left w:val="single" w:sz="6" w:space="0" w:color="000000"/>
              <w:bottom w:val="single" w:sz="6" w:space="0" w:color="000000"/>
              <w:right w:val="single" w:sz="6" w:space="0" w:color="000000"/>
            </w:tcBorders>
          </w:tcPr>
          <w:p w14:paraId="4DC53F4C" w14:textId="77777777" w:rsidR="004C58EC" w:rsidRPr="00031671" w:rsidRDefault="00675045"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0</w:t>
            </w:r>
            <w:r w:rsidR="004C58EC" w:rsidRPr="00031671">
              <w:rPr>
                <w:rFonts w:ascii="Times New Roman" w:hAnsi="Times New Roman" w:cs="Times New Roman"/>
                <w:sz w:val="22"/>
                <w:szCs w:val="22"/>
              </w:rPr>
              <w:t xml:space="preserve">,04 </w:t>
            </w:r>
          </w:p>
        </w:tc>
      </w:tr>
      <w:tr w:rsidR="004C58EC" w:rsidRPr="00031671" w14:paraId="2B98864E" w14:textId="77777777" w:rsidTr="004C58EC">
        <w:trPr>
          <w:trHeight w:val="218"/>
        </w:trPr>
        <w:tc>
          <w:tcPr>
            <w:tcW w:w="2621" w:type="dxa"/>
            <w:tcBorders>
              <w:top w:val="single" w:sz="6" w:space="0" w:color="000000"/>
              <w:left w:val="single" w:sz="6" w:space="0" w:color="000000"/>
              <w:bottom w:val="single" w:sz="6" w:space="0" w:color="000000"/>
              <w:right w:val="single" w:sz="6" w:space="0" w:color="000000"/>
            </w:tcBorders>
          </w:tcPr>
          <w:p w14:paraId="3D7560C7" w14:textId="77777777" w:rsidR="004C58EC" w:rsidRPr="00031671" w:rsidRDefault="004C58EC" w:rsidP="00F52E48">
            <w:pPr>
              <w:pStyle w:val="Default"/>
              <w:rPr>
                <w:rFonts w:ascii="Times New Roman" w:hAnsi="Times New Roman" w:cs="Times New Roman"/>
                <w:sz w:val="22"/>
                <w:szCs w:val="22"/>
              </w:rPr>
            </w:pPr>
            <w:r w:rsidRPr="00031671">
              <w:rPr>
                <w:rFonts w:ascii="Times New Roman" w:hAnsi="Times New Roman" w:cs="Times New Roman"/>
                <w:sz w:val="22"/>
                <w:szCs w:val="22"/>
              </w:rPr>
              <w:t>N</w:t>
            </w:r>
            <w:r w:rsidR="00F52E48" w:rsidRPr="00031671">
              <w:rPr>
                <w:rFonts w:ascii="Times New Roman" w:hAnsi="Times New Roman" w:cs="Times New Roman"/>
                <w:sz w:val="22"/>
                <w:szCs w:val="22"/>
              </w:rPr>
              <w:t>ový nástup ochorenia periférnych ciev</w:t>
            </w:r>
            <w:r w:rsidRPr="00031671">
              <w:rPr>
                <w:rFonts w:ascii="Times New Roman" w:hAnsi="Times New Roman" w:cs="Times New Roman"/>
                <w:sz w:val="22"/>
                <w:szCs w:val="22"/>
              </w:rPr>
              <w:t xml:space="preserve"> </w:t>
            </w:r>
          </w:p>
        </w:tc>
        <w:tc>
          <w:tcPr>
            <w:tcW w:w="1555" w:type="dxa"/>
            <w:tcBorders>
              <w:top w:val="single" w:sz="6" w:space="0" w:color="000000"/>
              <w:left w:val="single" w:sz="6" w:space="0" w:color="000000"/>
              <w:bottom w:val="single" w:sz="6" w:space="0" w:color="000000"/>
              <w:right w:val="single" w:sz="6" w:space="0" w:color="000000"/>
            </w:tcBorders>
          </w:tcPr>
          <w:p w14:paraId="5B0E7773"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5 (0,8) </w:t>
            </w:r>
          </w:p>
        </w:tc>
        <w:tc>
          <w:tcPr>
            <w:tcW w:w="1555" w:type="dxa"/>
            <w:tcBorders>
              <w:top w:val="single" w:sz="6" w:space="0" w:color="000000"/>
              <w:left w:val="single" w:sz="6" w:space="0" w:color="000000"/>
              <w:bottom w:val="single" w:sz="6" w:space="0" w:color="000000"/>
              <w:right w:val="single" w:sz="6" w:space="0" w:color="000000"/>
            </w:tcBorders>
          </w:tcPr>
          <w:p w14:paraId="550969B7"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2 (0,3) </w:t>
            </w:r>
          </w:p>
        </w:tc>
        <w:tc>
          <w:tcPr>
            <w:tcW w:w="1555" w:type="dxa"/>
            <w:tcBorders>
              <w:top w:val="single" w:sz="6" w:space="0" w:color="000000"/>
              <w:left w:val="single" w:sz="6" w:space="0" w:color="000000"/>
              <w:bottom w:val="single" w:sz="6" w:space="0" w:color="000000"/>
              <w:right w:val="single" w:sz="6" w:space="0" w:color="000000"/>
            </w:tcBorders>
          </w:tcPr>
          <w:p w14:paraId="652983BF"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8 (1,2) </w:t>
            </w:r>
          </w:p>
        </w:tc>
        <w:tc>
          <w:tcPr>
            <w:tcW w:w="1555" w:type="dxa"/>
            <w:gridSpan w:val="2"/>
            <w:tcBorders>
              <w:top w:val="single" w:sz="6" w:space="0" w:color="000000"/>
              <w:left w:val="single" w:sz="6" w:space="0" w:color="000000"/>
              <w:bottom w:val="single" w:sz="6" w:space="0" w:color="000000"/>
              <w:right w:val="single" w:sz="6" w:space="0" w:color="000000"/>
            </w:tcBorders>
          </w:tcPr>
          <w:p w14:paraId="04B0104E" w14:textId="77777777" w:rsidR="004C58EC" w:rsidRPr="00031671" w:rsidRDefault="004C58EC"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 xml:space="preserve">2,6 (0,50-13,4) </w:t>
            </w:r>
          </w:p>
        </w:tc>
        <w:tc>
          <w:tcPr>
            <w:tcW w:w="984" w:type="dxa"/>
            <w:tcBorders>
              <w:top w:val="single" w:sz="6" w:space="0" w:color="000000"/>
              <w:left w:val="single" w:sz="6" w:space="0" w:color="000000"/>
              <w:bottom w:val="single" w:sz="6" w:space="0" w:color="000000"/>
              <w:right w:val="single" w:sz="6" w:space="0" w:color="000000"/>
            </w:tcBorders>
          </w:tcPr>
          <w:p w14:paraId="716E329C" w14:textId="77777777" w:rsidR="004C58EC" w:rsidRPr="00031671" w:rsidRDefault="00675045" w:rsidP="004C58EC">
            <w:pPr>
              <w:pStyle w:val="Default"/>
              <w:jc w:val="center"/>
              <w:rPr>
                <w:rFonts w:ascii="Times New Roman" w:hAnsi="Times New Roman" w:cs="Times New Roman"/>
                <w:sz w:val="22"/>
                <w:szCs w:val="22"/>
              </w:rPr>
            </w:pPr>
            <w:r w:rsidRPr="00031671">
              <w:rPr>
                <w:rFonts w:ascii="Times New Roman" w:hAnsi="Times New Roman" w:cs="Times New Roman"/>
                <w:sz w:val="22"/>
                <w:szCs w:val="22"/>
              </w:rPr>
              <w:t>0</w:t>
            </w:r>
            <w:r w:rsidR="004C58EC" w:rsidRPr="00031671">
              <w:rPr>
                <w:rFonts w:ascii="Times New Roman" w:hAnsi="Times New Roman" w:cs="Times New Roman"/>
                <w:sz w:val="22"/>
                <w:szCs w:val="22"/>
              </w:rPr>
              <w:t xml:space="preserve">,24 </w:t>
            </w:r>
          </w:p>
        </w:tc>
      </w:tr>
    </w:tbl>
    <w:p w14:paraId="15652CF0" w14:textId="77777777" w:rsidR="00F52E48" w:rsidRPr="00031671" w:rsidRDefault="00F52E48"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Skratky: KZS – kongestívne zlyhanie srdca, IS – interval spoľahlivosti, IM – infarkt myokardu, TIA – tranzitórny ischemický atak</w:t>
      </w:r>
    </w:p>
    <w:p w14:paraId="6579BB6B" w14:textId="77777777" w:rsidR="00BA26D8" w:rsidRPr="00031671" w:rsidRDefault="00BA26D8" w:rsidP="00F3126E">
      <w:pPr>
        <w:pStyle w:val="Default"/>
        <w:rPr>
          <w:rFonts w:ascii="Times New Roman" w:hAnsi="Times New Roman" w:cs="Times New Roman"/>
          <w:color w:val="auto"/>
          <w:sz w:val="22"/>
          <w:szCs w:val="22"/>
        </w:rPr>
      </w:pPr>
    </w:p>
    <w:p w14:paraId="0A17D59C" w14:textId="54D76C1A" w:rsidR="00564F10" w:rsidRPr="00031671" w:rsidRDefault="00554D9A" w:rsidP="00F3126E">
      <w:pPr>
        <w:pStyle w:val="Default"/>
        <w:rPr>
          <w:rFonts w:ascii="Times New Roman" w:hAnsi="Times New Roman" w:cs="Times New Roman"/>
          <w:color w:val="auto"/>
          <w:sz w:val="22"/>
          <w:szCs w:val="22"/>
          <w:u w:val="single"/>
        </w:rPr>
      </w:pPr>
      <w:r w:rsidRPr="00031671">
        <w:rPr>
          <w:rFonts w:ascii="Times New Roman" w:hAnsi="Times New Roman" w:cs="Times New Roman"/>
          <w:color w:val="auto"/>
          <w:sz w:val="22"/>
          <w:szCs w:val="22"/>
          <w:u w:val="single"/>
        </w:rPr>
        <w:t>Použitie u pacientov so srdcovým zlyhaním</w:t>
      </w:r>
    </w:p>
    <w:p w14:paraId="4F6A7E10" w14:textId="77777777" w:rsidR="00564F10" w:rsidRPr="00031671" w:rsidRDefault="00554D9A"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Hemodynamické štúdie a kontrolovan</w:t>
      </w:r>
      <w:r w:rsidR="00513A5B" w:rsidRPr="00031671">
        <w:rPr>
          <w:rFonts w:ascii="Times New Roman" w:hAnsi="Times New Roman" w:cs="Times New Roman"/>
          <w:color w:val="auto"/>
          <w:sz w:val="22"/>
          <w:szCs w:val="22"/>
        </w:rPr>
        <w:t>é</w:t>
      </w:r>
      <w:r w:rsidRPr="00031671">
        <w:rPr>
          <w:rFonts w:ascii="Times New Roman" w:hAnsi="Times New Roman" w:cs="Times New Roman"/>
          <w:color w:val="auto"/>
          <w:sz w:val="22"/>
          <w:szCs w:val="22"/>
        </w:rPr>
        <w:t xml:space="preserve"> klinick</w:t>
      </w:r>
      <w:r w:rsidR="00513A5B" w:rsidRPr="00031671">
        <w:rPr>
          <w:rFonts w:ascii="Times New Roman" w:hAnsi="Times New Roman" w:cs="Times New Roman"/>
          <w:color w:val="auto"/>
          <w:sz w:val="22"/>
          <w:szCs w:val="22"/>
        </w:rPr>
        <w:t>é</w:t>
      </w:r>
      <w:r w:rsidRPr="00031671">
        <w:rPr>
          <w:rFonts w:ascii="Times New Roman" w:hAnsi="Times New Roman" w:cs="Times New Roman"/>
          <w:color w:val="auto"/>
          <w:sz w:val="22"/>
          <w:szCs w:val="22"/>
        </w:rPr>
        <w:t xml:space="preserve"> štúdi</w:t>
      </w:r>
      <w:r w:rsidR="00513A5B" w:rsidRPr="00031671">
        <w:rPr>
          <w:rFonts w:ascii="Times New Roman" w:hAnsi="Times New Roman" w:cs="Times New Roman"/>
          <w:color w:val="auto"/>
          <w:sz w:val="22"/>
          <w:szCs w:val="22"/>
        </w:rPr>
        <w:t>e založené na záťaž</w:t>
      </w:r>
      <w:r w:rsidR="00390F98" w:rsidRPr="00031671">
        <w:rPr>
          <w:rFonts w:ascii="Times New Roman" w:hAnsi="Times New Roman" w:cs="Times New Roman"/>
          <w:color w:val="auto"/>
          <w:sz w:val="22"/>
          <w:szCs w:val="22"/>
        </w:rPr>
        <w:t>ových testoch</w:t>
      </w:r>
      <w:r w:rsidR="00513A5B"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u pacientov so srdcovým zlyhaním v triede II-IV podľa NYHA ukázali, že amlodipín nevedie ku klin</w:t>
      </w:r>
      <w:r w:rsidR="00325D0D" w:rsidRPr="00031671">
        <w:rPr>
          <w:rFonts w:ascii="Times New Roman" w:hAnsi="Times New Roman" w:cs="Times New Roman"/>
          <w:color w:val="auto"/>
          <w:sz w:val="22"/>
          <w:szCs w:val="22"/>
        </w:rPr>
        <w:t>ickému zhoršeniu, čo sa zistilo</w:t>
      </w:r>
      <w:r w:rsidRPr="00031671">
        <w:rPr>
          <w:rFonts w:ascii="Times New Roman" w:hAnsi="Times New Roman" w:cs="Times New Roman"/>
          <w:color w:val="auto"/>
          <w:sz w:val="22"/>
          <w:szCs w:val="22"/>
        </w:rPr>
        <w:t xml:space="preserve"> meran</w:t>
      </w:r>
      <w:r w:rsidR="00325D0D" w:rsidRPr="00031671">
        <w:rPr>
          <w:rFonts w:ascii="Times New Roman" w:hAnsi="Times New Roman" w:cs="Times New Roman"/>
          <w:color w:val="auto"/>
          <w:sz w:val="22"/>
          <w:szCs w:val="22"/>
        </w:rPr>
        <w:t>ím</w:t>
      </w:r>
      <w:r w:rsidRPr="00031671">
        <w:rPr>
          <w:rFonts w:ascii="Times New Roman" w:hAnsi="Times New Roman" w:cs="Times New Roman"/>
          <w:color w:val="auto"/>
          <w:sz w:val="22"/>
          <w:szCs w:val="22"/>
        </w:rPr>
        <w:t xml:space="preserve"> tolerancie fyzickej záťaže</w:t>
      </w:r>
      <w:r w:rsidR="00325D0D" w:rsidRPr="00031671">
        <w:rPr>
          <w:rFonts w:ascii="Times New Roman" w:hAnsi="Times New Roman" w:cs="Times New Roman"/>
          <w:color w:val="auto"/>
          <w:sz w:val="22"/>
          <w:szCs w:val="22"/>
        </w:rPr>
        <w:t>,</w:t>
      </w:r>
      <w:r w:rsidRPr="00031671">
        <w:rPr>
          <w:rFonts w:ascii="Times New Roman" w:hAnsi="Times New Roman" w:cs="Times New Roman"/>
          <w:color w:val="auto"/>
          <w:sz w:val="22"/>
          <w:szCs w:val="22"/>
        </w:rPr>
        <w:t xml:space="preserve"> ejekčnej frakcie ľavej komory a klinickej symptomatológie.</w:t>
      </w:r>
    </w:p>
    <w:p w14:paraId="43731516" w14:textId="675AFF7A" w:rsidR="00564F10" w:rsidRPr="00031671" w:rsidRDefault="00325D0D" w:rsidP="00762B3B">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Placebom kontrolovaná štúdia</w:t>
      </w:r>
      <w:r w:rsidR="00554D9A" w:rsidRPr="00031671">
        <w:rPr>
          <w:rFonts w:ascii="Times New Roman" w:hAnsi="Times New Roman" w:cs="Times New Roman"/>
          <w:color w:val="auto"/>
          <w:sz w:val="22"/>
          <w:szCs w:val="22"/>
        </w:rPr>
        <w:t xml:space="preserve"> (PRAISE) navrhnutá na hodnotenie pacientov </w:t>
      </w:r>
      <w:r w:rsidRPr="00031671">
        <w:rPr>
          <w:rFonts w:ascii="Times New Roman" w:hAnsi="Times New Roman" w:cs="Times New Roman"/>
          <w:color w:val="auto"/>
          <w:sz w:val="22"/>
          <w:szCs w:val="22"/>
        </w:rPr>
        <w:t xml:space="preserve">so srdcovým zlyhaním </w:t>
      </w:r>
      <w:r w:rsidR="00554D9A" w:rsidRPr="00031671">
        <w:rPr>
          <w:rFonts w:ascii="Times New Roman" w:hAnsi="Times New Roman" w:cs="Times New Roman"/>
          <w:color w:val="auto"/>
          <w:sz w:val="22"/>
          <w:szCs w:val="22"/>
        </w:rPr>
        <w:t>v</w:t>
      </w:r>
      <w:r w:rsidR="00031671" w:rsidRPr="00031671">
        <w:rPr>
          <w:rFonts w:ascii="Times New Roman" w:hAnsi="Times New Roman" w:cs="Times New Roman"/>
          <w:color w:val="auto"/>
          <w:sz w:val="22"/>
          <w:szCs w:val="22"/>
        </w:rPr>
        <w:t> </w:t>
      </w:r>
      <w:r w:rsidRPr="00031671">
        <w:rPr>
          <w:rFonts w:ascii="Times New Roman" w:hAnsi="Times New Roman" w:cs="Times New Roman"/>
          <w:color w:val="auto"/>
          <w:sz w:val="22"/>
          <w:szCs w:val="22"/>
        </w:rPr>
        <w:t xml:space="preserve">triede III-IV podľa </w:t>
      </w:r>
      <w:r w:rsidR="00554D9A" w:rsidRPr="00031671">
        <w:rPr>
          <w:rFonts w:ascii="Times New Roman" w:hAnsi="Times New Roman" w:cs="Times New Roman"/>
          <w:color w:val="auto"/>
          <w:sz w:val="22"/>
          <w:szCs w:val="22"/>
        </w:rPr>
        <w:t>NYHA</w:t>
      </w:r>
      <w:r w:rsidRPr="00031671">
        <w:rPr>
          <w:rFonts w:ascii="Times New Roman" w:hAnsi="Times New Roman" w:cs="Times New Roman"/>
          <w:color w:val="auto"/>
          <w:sz w:val="22"/>
          <w:szCs w:val="22"/>
        </w:rPr>
        <w:t xml:space="preserve">, ktorí dostávali </w:t>
      </w:r>
      <w:r w:rsidR="00554D9A" w:rsidRPr="00031671">
        <w:rPr>
          <w:rFonts w:ascii="Times New Roman" w:hAnsi="Times New Roman" w:cs="Times New Roman"/>
          <w:color w:val="auto"/>
          <w:sz w:val="22"/>
          <w:szCs w:val="22"/>
        </w:rPr>
        <w:t>digoxín, diuretiká a inhibítory angiotenzín</w:t>
      </w:r>
      <w:r w:rsidR="005656CE" w:rsidRPr="00031671">
        <w:rPr>
          <w:rFonts w:ascii="Times New Roman" w:hAnsi="Times New Roman" w:cs="Times New Roman"/>
          <w:color w:val="auto"/>
          <w:sz w:val="22"/>
          <w:szCs w:val="22"/>
        </w:rPr>
        <w:t>-</w:t>
      </w:r>
      <w:r w:rsidR="00554D9A" w:rsidRPr="00031671">
        <w:rPr>
          <w:rFonts w:ascii="Times New Roman" w:hAnsi="Times New Roman" w:cs="Times New Roman"/>
          <w:color w:val="auto"/>
          <w:sz w:val="22"/>
          <w:szCs w:val="22"/>
        </w:rPr>
        <w:t>konvertujúceho enzýmu (ACE)</w:t>
      </w:r>
      <w:r w:rsidRPr="00031671">
        <w:rPr>
          <w:rFonts w:ascii="Times New Roman" w:hAnsi="Times New Roman" w:cs="Times New Roman"/>
          <w:color w:val="auto"/>
          <w:sz w:val="22"/>
          <w:szCs w:val="22"/>
        </w:rPr>
        <w:t>, ukázala</w:t>
      </w:r>
      <w:r w:rsidR="00554D9A" w:rsidRPr="00031671">
        <w:rPr>
          <w:rFonts w:ascii="Times New Roman" w:hAnsi="Times New Roman" w:cs="Times New Roman"/>
          <w:color w:val="auto"/>
          <w:sz w:val="22"/>
          <w:szCs w:val="22"/>
        </w:rPr>
        <w:t>, že amlodipín nev</w:t>
      </w:r>
      <w:r w:rsidR="00390F98" w:rsidRPr="00031671">
        <w:rPr>
          <w:rFonts w:ascii="Times New Roman" w:hAnsi="Times New Roman" w:cs="Times New Roman"/>
          <w:color w:val="auto"/>
          <w:sz w:val="22"/>
          <w:szCs w:val="22"/>
        </w:rPr>
        <w:t>i</w:t>
      </w:r>
      <w:r w:rsidR="00554D9A" w:rsidRPr="00031671">
        <w:rPr>
          <w:rFonts w:ascii="Times New Roman" w:hAnsi="Times New Roman" w:cs="Times New Roman"/>
          <w:color w:val="auto"/>
          <w:sz w:val="22"/>
          <w:szCs w:val="22"/>
        </w:rPr>
        <w:t>ed</w:t>
      </w:r>
      <w:r w:rsidR="00390F98" w:rsidRPr="00031671">
        <w:rPr>
          <w:rFonts w:ascii="Times New Roman" w:hAnsi="Times New Roman" w:cs="Times New Roman"/>
          <w:color w:val="auto"/>
          <w:sz w:val="22"/>
          <w:szCs w:val="22"/>
        </w:rPr>
        <w:t>ol</w:t>
      </w:r>
      <w:r w:rsidR="00554D9A" w:rsidRPr="00031671">
        <w:rPr>
          <w:rFonts w:ascii="Times New Roman" w:hAnsi="Times New Roman" w:cs="Times New Roman"/>
          <w:color w:val="auto"/>
          <w:sz w:val="22"/>
          <w:szCs w:val="22"/>
        </w:rPr>
        <w:t xml:space="preserve"> k zvýšeniu rizika mortality alebo kombinovanej mortality a morbidity u pacientov so srdcovým zlyhaním.</w:t>
      </w:r>
    </w:p>
    <w:p w14:paraId="30FCCEB3" w14:textId="2907E9F3" w:rsidR="00554D9A" w:rsidRPr="00031671" w:rsidRDefault="00325D0D" w:rsidP="00031671">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 xml:space="preserve">V </w:t>
      </w:r>
      <w:r w:rsidR="004338ED" w:rsidRPr="00031671">
        <w:rPr>
          <w:rFonts w:ascii="Times New Roman" w:hAnsi="Times New Roman" w:cs="Times New Roman"/>
          <w:color w:val="auto"/>
          <w:sz w:val="22"/>
          <w:szCs w:val="22"/>
        </w:rPr>
        <w:t>pokračujúcej</w:t>
      </w:r>
      <w:r w:rsidRPr="00031671">
        <w:rPr>
          <w:rFonts w:ascii="Times New Roman" w:hAnsi="Times New Roman" w:cs="Times New Roman"/>
          <w:color w:val="auto"/>
          <w:sz w:val="22"/>
          <w:szCs w:val="22"/>
        </w:rPr>
        <w:t>, dlhodobej</w:t>
      </w:r>
      <w:r w:rsidR="00554D9A" w:rsidRPr="00031671">
        <w:rPr>
          <w:rFonts w:ascii="Times New Roman" w:hAnsi="Times New Roman" w:cs="Times New Roman"/>
          <w:color w:val="auto"/>
          <w:sz w:val="22"/>
          <w:szCs w:val="22"/>
        </w:rPr>
        <w:t>, placebom kontrolovanej štúdii (PRAISE-2) s amlodipínom u pacientov s</w:t>
      </w:r>
      <w:r w:rsidRPr="00031671">
        <w:rPr>
          <w:rFonts w:ascii="Times New Roman" w:hAnsi="Times New Roman" w:cs="Times New Roman"/>
          <w:color w:val="auto"/>
          <w:sz w:val="22"/>
          <w:szCs w:val="22"/>
        </w:rPr>
        <w:t>o srdcovým zlyhaním</w:t>
      </w:r>
      <w:r w:rsidR="00554D9A"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 xml:space="preserve">III a IV podľa </w:t>
      </w:r>
      <w:r w:rsidR="00554D9A" w:rsidRPr="00031671">
        <w:rPr>
          <w:rFonts w:ascii="Times New Roman" w:hAnsi="Times New Roman" w:cs="Times New Roman"/>
          <w:color w:val="auto"/>
          <w:sz w:val="22"/>
          <w:szCs w:val="22"/>
        </w:rPr>
        <w:t>NYHA bez klinických príznakov alebo objektívnych nálezov</w:t>
      </w:r>
      <w:r w:rsidRPr="00031671">
        <w:rPr>
          <w:rFonts w:ascii="Times New Roman" w:hAnsi="Times New Roman" w:cs="Times New Roman"/>
          <w:color w:val="auto"/>
          <w:sz w:val="22"/>
          <w:szCs w:val="22"/>
        </w:rPr>
        <w:t>, ktoré by naznačovali</w:t>
      </w:r>
      <w:r w:rsidR="00554D9A" w:rsidRPr="00031671">
        <w:rPr>
          <w:rFonts w:ascii="Times New Roman" w:hAnsi="Times New Roman" w:cs="Times New Roman"/>
          <w:color w:val="auto"/>
          <w:sz w:val="22"/>
          <w:szCs w:val="22"/>
        </w:rPr>
        <w:t xml:space="preserve"> základ</w:t>
      </w:r>
      <w:r w:rsidRPr="00031671">
        <w:rPr>
          <w:rFonts w:ascii="Times New Roman" w:hAnsi="Times New Roman" w:cs="Times New Roman"/>
          <w:color w:val="auto"/>
          <w:sz w:val="22"/>
          <w:szCs w:val="22"/>
        </w:rPr>
        <w:t>né ischemické</w:t>
      </w:r>
      <w:r w:rsidR="00554D9A"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o</w:t>
      </w:r>
      <w:r w:rsidR="00554D9A" w:rsidRPr="00031671">
        <w:rPr>
          <w:rFonts w:ascii="Times New Roman" w:hAnsi="Times New Roman" w:cs="Times New Roman"/>
          <w:color w:val="auto"/>
          <w:sz w:val="22"/>
          <w:szCs w:val="22"/>
        </w:rPr>
        <w:t>chor</w:t>
      </w:r>
      <w:r w:rsidRPr="00031671">
        <w:rPr>
          <w:rFonts w:ascii="Times New Roman" w:hAnsi="Times New Roman" w:cs="Times New Roman"/>
          <w:color w:val="auto"/>
          <w:sz w:val="22"/>
          <w:szCs w:val="22"/>
        </w:rPr>
        <w:t>enie</w:t>
      </w:r>
      <w:r w:rsidR="00554D9A"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pri</w:t>
      </w:r>
      <w:r w:rsidR="00554D9A" w:rsidRPr="00031671">
        <w:rPr>
          <w:rFonts w:ascii="Times New Roman" w:hAnsi="Times New Roman" w:cs="Times New Roman"/>
          <w:color w:val="auto"/>
          <w:sz w:val="22"/>
          <w:szCs w:val="22"/>
        </w:rPr>
        <w:t xml:space="preserve"> s</w:t>
      </w:r>
      <w:r w:rsidRPr="00031671">
        <w:rPr>
          <w:rFonts w:ascii="Times New Roman" w:hAnsi="Times New Roman" w:cs="Times New Roman"/>
          <w:color w:val="auto"/>
          <w:sz w:val="22"/>
          <w:szCs w:val="22"/>
        </w:rPr>
        <w:t>tabilných dávkach ACE inhibítorov</w:t>
      </w:r>
      <w:r w:rsidR="00554D9A" w:rsidRPr="00031671">
        <w:rPr>
          <w:rFonts w:ascii="Times New Roman" w:hAnsi="Times New Roman" w:cs="Times New Roman"/>
          <w:color w:val="auto"/>
          <w:sz w:val="22"/>
          <w:szCs w:val="22"/>
        </w:rPr>
        <w:t>, digit</w:t>
      </w:r>
      <w:r w:rsidR="005656CE" w:rsidRPr="00031671">
        <w:rPr>
          <w:rFonts w:ascii="Times New Roman" w:hAnsi="Times New Roman" w:cs="Times New Roman"/>
          <w:color w:val="auto"/>
          <w:sz w:val="22"/>
          <w:szCs w:val="22"/>
        </w:rPr>
        <w:t>á</w:t>
      </w:r>
      <w:r w:rsidR="00554D9A" w:rsidRPr="00031671">
        <w:rPr>
          <w:rFonts w:ascii="Times New Roman" w:hAnsi="Times New Roman" w:cs="Times New Roman"/>
          <w:color w:val="auto"/>
          <w:sz w:val="22"/>
          <w:szCs w:val="22"/>
        </w:rPr>
        <w:t>lis</w:t>
      </w:r>
      <w:r w:rsidRPr="00031671">
        <w:rPr>
          <w:rFonts w:ascii="Times New Roman" w:hAnsi="Times New Roman" w:cs="Times New Roman"/>
          <w:color w:val="auto"/>
          <w:sz w:val="22"/>
          <w:szCs w:val="22"/>
        </w:rPr>
        <w:t>u</w:t>
      </w:r>
      <w:r w:rsidR="00554D9A" w:rsidRPr="00031671">
        <w:rPr>
          <w:rFonts w:ascii="Times New Roman" w:hAnsi="Times New Roman" w:cs="Times New Roman"/>
          <w:color w:val="auto"/>
          <w:sz w:val="22"/>
          <w:szCs w:val="22"/>
        </w:rPr>
        <w:t xml:space="preserve"> a</w:t>
      </w:r>
      <w:r w:rsidR="00031671" w:rsidRPr="00031671">
        <w:rPr>
          <w:rFonts w:ascii="Times New Roman" w:hAnsi="Times New Roman" w:cs="Times New Roman"/>
          <w:color w:val="auto"/>
          <w:sz w:val="22"/>
          <w:szCs w:val="22"/>
        </w:rPr>
        <w:t> </w:t>
      </w:r>
      <w:r w:rsidR="00554D9A" w:rsidRPr="00031671">
        <w:rPr>
          <w:rFonts w:ascii="Times New Roman" w:hAnsi="Times New Roman" w:cs="Times New Roman"/>
          <w:color w:val="auto"/>
          <w:sz w:val="22"/>
          <w:szCs w:val="22"/>
        </w:rPr>
        <w:t>diuret</w:t>
      </w:r>
      <w:r w:rsidRPr="00031671">
        <w:rPr>
          <w:rFonts w:ascii="Times New Roman" w:hAnsi="Times New Roman" w:cs="Times New Roman"/>
          <w:color w:val="auto"/>
          <w:sz w:val="22"/>
          <w:szCs w:val="22"/>
        </w:rPr>
        <w:t>í</w:t>
      </w:r>
      <w:r w:rsidR="00554D9A" w:rsidRPr="00031671">
        <w:rPr>
          <w:rFonts w:ascii="Times New Roman" w:hAnsi="Times New Roman" w:cs="Times New Roman"/>
          <w:color w:val="auto"/>
          <w:sz w:val="22"/>
          <w:szCs w:val="22"/>
        </w:rPr>
        <w:t>k, amlodipín nemal žiadny vplyv na celkovú alebo kardiovaskulárnu mortalitu. V</w:t>
      </w:r>
      <w:r w:rsidRPr="00031671">
        <w:rPr>
          <w:rFonts w:ascii="Times New Roman" w:hAnsi="Times New Roman" w:cs="Times New Roman"/>
          <w:color w:val="auto"/>
          <w:sz w:val="22"/>
          <w:szCs w:val="22"/>
        </w:rPr>
        <w:t> tej istej</w:t>
      </w:r>
      <w:r w:rsidR="00554D9A" w:rsidRPr="00031671">
        <w:rPr>
          <w:rFonts w:ascii="Times New Roman" w:hAnsi="Times New Roman" w:cs="Times New Roman"/>
          <w:color w:val="auto"/>
          <w:sz w:val="22"/>
          <w:szCs w:val="22"/>
        </w:rPr>
        <w:t xml:space="preserve"> populáci</w:t>
      </w:r>
      <w:r w:rsidRPr="00031671">
        <w:rPr>
          <w:rFonts w:ascii="Times New Roman" w:hAnsi="Times New Roman" w:cs="Times New Roman"/>
          <w:color w:val="auto"/>
          <w:sz w:val="22"/>
          <w:szCs w:val="22"/>
        </w:rPr>
        <w:t>i</w:t>
      </w:r>
      <w:r w:rsidR="00554D9A" w:rsidRPr="00031671">
        <w:rPr>
          <w:rFonts w:ascii="Times New Roman" w:hAnsi="Times New Roman" w:cs="Times New Roman"/>
          <w:color w:val="auto"/>
          <w:sz w:val="22"/>
          <w:szCs w:val="22"/>
        </w:rPr>
        <w:t xml:space="preserve"> bol amlodipín spojený s</w:t>
      </w:r>
      <w:r w:rsidRPr="00031671">
        <w:rPr>
          <w:rFonts w:ascii="Times New Roman" w:hAnsi="Times New Roman" w:cs="Times New Roman"/>
          <w:color w:val="auto"/>
          <w:sz w:val="22"/>
          <w:szCs w:val="22"/>
        </w:rPr>
        <w:t xml:space="preserve"> nárastom hlásení</w:t>
      </w:r>
      <w:r w:rsidR="00554D9A" w:rsidRPr="00031671">
        <w:rPr>
          <w:rFonts w:ascii="Times New Roman" w:hAnsi="Times New Roman" w:cs="Times New Roman"/>
          <w:color w:val="auto"/>
          <w:sz w:val="22"/>
          <w:szCs w:val="22"/>
        </w:rPr>
        <w:t xml:space="preserve"> pľúcneho edému.</w:t>
      </w:r>
    </w:p>
    <w:p w14:paraId="6D927D78" w14:textId="77777777" w:rsidR="004C58EC" w:rsidRPr="00031671" w:rsidRDefault="004C58EC" w:rsidP="004C58EC">
      <w:pPr>
        <w:pStyle w:val="Default"/>
        <w:rPr>
          <w:rFonts w:ascii="Times New Roman" w:hAnsi="Times New Roman" w:cs="Times New Roman"/>
          <w:color w:val="auto"/>
          <w:sz w:val="22"/>
          <w:szCs w:val="22"/>
        </w:rPr>
      </w:pPr>
    </w:p>
    <w:p w14:paraId="27E459A2" w14:textId="2FA6E812" w:rsidR="00325D0D" w:rsidRPr="00031671" w:rsidRDefault="00325D0D" w:rsidP="004C58EC">
      <w:pPr>
        <w:pStyle w:val="Default"/>
        <w:rPr>
          <w:rFonts w:ascii="Times New Roman" w:hAnsi="Times New Roman" w:cs="Times New Roman"/>
          <w:color w:val="auto"/>
          <w:sz w:val="22"/>
          <w:szCs w:val="22"/>
          <w:u w:val="single"/>
        </w:rPr>
      </w:pPr>
      <w:r w:rsidRPr="00031671">
        <w:rPr>
          <w:rFonts w:ascii="Times New Roman" w:hAnsi="Times New Roman" w:cs="Times New Roman"/>
          <w:color w:val="auto"/>
          <w:sz w:val="22"/>
          <w:szCs w:val="22"/>
          <w:u w:val="single"/>
        </w:rPr>
        <w:t xml:space="preserve">Štúdia liečby na prevenciu vzniku infarktu </w:t>
      </w:r>
      <w:r w:rsidR="00D52BF9" w:rsidRPr="00031671">
        <w:rPr>
          <w:rFonts w:ascii="Times New Roman" w:hAnsi="Times New Roman" w:cs="Times New Roman"/>
          <w:color w:val="auto"/>
          <w:sz w:val="22"/>
          <w:szCs w:val="22"/>
          <w:u w:val="single"/>
        </w:rPr>
        <w:t xml:space="preserve">myokardu </w:t>
      </w:r>
      <w:r w:rsidRPr="00031671">
        <w:rPr>
          <w:rFonts w:ascii="Times New Roman" w:hAnsi="Times New Roman" w:cs="Times New Roman"/>
          <w:color w:val="auto"/>
          <w:sz w:val="22"/>
          <w:szCs w:val="22"/>
          <w:u w:val="single"/>
        </w:rPr>
        <w:t>(ALLHAT)</w:t>
      </w:r>
    </w:p>
    <w:p w14:paraId="7E4F6B0C" w14:textId="77777777" w:rsidR="001E1948" w:rsidRPr="00031671" w:rsidRDefault="001E1948"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 xml:space="preserve">Randomizovaná dvojito </w:t>
      </w:r>
      <w:r w:rsidR="00BC6037" w:rsidRPr="00031671">
        <w:rPr>
          <w:rFonts w:ascii="Times New Roman" w:hAnsi="Times New Roman" w:cs="Times New Roman"/>
          <w:color w:val="auto"/>
          <w:sz w:val="22"/>
          <w:szCs w:val="22"/>
        </w:rPr>
        <w:t>za</w:t>
      </w:r>
      <w:r w:rsidRPr="00031671">
        <w:rPr>
          <w:rFonts w:ascii="Times New Roman" w:hAnsi="Times New Roman" w:cs="Times New Roman"/>
          <w:color w:val="auto"/>
          <w:sz w:val="22"/>
          <w:szCs w:val="22"/>
        </w:rPr>
        <w:t>slep</w:t>
      </w:r>
      <w:r w:rsidR="00BC6037" w:rsidRPr="00031671">
        <w:rPr>
          <w:rFonts w:ascii="Times New Roman" w:hAnsi="Times New Roman" w:cs="Times New Roman"/>
          <w:color w:val="auto"/>
          <w:sz w:val="22"/>
          <w:szCs w:val="22"/>
        </w:rPr>
        <w:t>en</w:t>
      </w:r>
      <w:r w:rsidRPr="00031671">
        <w:rPr>
          <w:rFonts w:ascii="Times New Roman" w:hAnsi="Times New Roman" w:cs="Times New Roman"/>
          <w:color w:val="auto"/>
          <w:sz w:val="22"/>
          <w:szCs w:val="22"/>
        </w:rPr>
        <w:t>á morbi-mortalitná štúdia nazvaná Klinické skúšanie zamerané na antihypertenzn</w:t>
      </w:r>
      <w:r w:rsidR="005B0219" w:rsidRPr="00031671">
        <w:rPr>
          <w:rFonts w:ascii="Times New Roman" w:hAnsi="Times New Roman" w:cs="Times New Roman"/>
          <w:color w:val="auto"/>
          <w:sz w:val="22"/>
          <w:szCs w:val="22"/>
        </w:rPr>
        <w:t>ú</w:t>
      </w:r>
      <w:r w:rsidRPr="00031671">
        <w:rPr>
          <w:rFonts w:ascii="Times New Roman" w:hAnsi="Times New Roman" w:cs="Times New Roman"/>
          <w:color w:val="auto"/>
          <w:sz w:val="22"/>
          <w:szCs w:val="22"/>
        </w:rPr>
        <w:t xml:space="preserve"> a hypolipidemickú liečbu za účelom prevenc</w:t>
      </w:r>
      <w:r w:rsidR="00BC6037" w:rsidRPr="00031671">
        <w:rPr>
          <w:rFonts w:ascii="Times New Roman" w:hAnsi="Times New Roman" w:cs="Times New Roman"/>
          <w:color w:val="auto"/>
          <w:sz w:val="22"/>
          <w:szCs w:val="22"/>
        </w:rPr>
        <w:t>ie infarktu myokardu (ALLHAT = „</w:t>
      </w:r>
      <w:r w:rsidRPr="00031671">
        <w:rPr>
          <w:rFonts w:ascii="Times New Roman" w:hAnsi="Times New Roman" w:cs="Times New Roman"/>
          <w:color w:val="auto"/>
          <w:sz w:val="22"/>
          <w:szCs w:val="22"/>
        </w:rPr>
        <w:t>Antihypertensive and Lipid-Lowering Treatment to Prevent Heart Attack Trial</w:t>
      </w:r>
      <w:r w:rsidR="00BC6037" w:rsidRPr="00031671">
        <w:rPr>
          <w:rFonts w:ascii="Times New Roman" w:hAnsi="Times New Roman" w:cs="Times New Roman"/>
          <w:color w:val="auto"/>
          <w:sz w:val="22"/>
          <w:szCs w:val="22"/>
        </w:rPr>
        <w:t>“</w:t>
      </w:r>
      <w:r w:rsidRPr="00031671">
        <w:rPr>
          <w:rFonts w:ascii="Times New Roman" w:hAnsi="Times New Roman" w:cs="Times New Roman"/>
          <w:color w:val="auto"/>
          <w:sz w:val="22"/>
          <w:szCs w:val="22"/>
        </w:rPr>
        <w:t>) bola vykonaná na porovnanie terapie no</w:t>
      </w:r>
      <w:r w:rsidR="00D52BF9" w:rsidRPr="00031671">
        <w:rPr>
          <w:rFonts w:ascii="Times New Roman" w:hAnsi="Times New Roman" w:cs="Times New Roman"/>
          <w:color w:val="auto"/>
          <w:sz w:val="22"/>
          <w:szCs w:val="22"/>
        </w:rPr>
        <w:t>všími liekmi: amlodipínom 2,5-</w:t>
      </w:r>
      <w:r w:rsidRPr="00031671">
        <w:rPr>
          <w:rFonts w:ascii="Times New Roman" w:hAnsi="Times New Roman" w:cs="Times New Roman"/>
          <w:color w:val="auto"/>
          <w:sz w:val="22"/>
          <w:szCs w:val="22"/>
        </w:rPr>
        <w:t xml:space="preserve">10 mg/deň (blokátor kalciového </w:t>
      </w:r>
      <w:r w:rsidR="00D52BF9" w:rsidRPr="00031671">
        <w:rPr>
          <w:rFonts w:ascii="Times New Roman" w:hAnsi="Times New Roman" w:cs="Times New Roman"/>
          <w:color w:val="auto"/>
          <w:sz w:val="22"/>
          <w:szCs w:val="22"/>
        </w:rPr>
        <w:t xml:space="preserve">kanála) alebo </w:t>
      </w:r>
      <w:r w:rsidR="00D52BF9" w:rsidRPr="00031671">
        <w:rPr>
          <w:rFonts w:ascii="Times New Roman" w:hAnsi="Times New Roman" w:cs="Times New Roman"/>
          <w:color w:val="auto"/>
          <w:sz w:val="22"/>
          <w:szCs w:val="22"/>
        </w:rPr>
        <w:lastRenderedPageBreak/>
        <w:t>lizinoprilom 10-</w:t>
      </w:r>
      <w:r w:rsidRPr="00031671">
        <w:rPr>
          <w:rFonts w:ascii="Times New Roman" w:hAnsi="Times New Roman" w:cs="Times New Roman"/>
          <w:color w:val="auto"/>
          <w:sz w:val="22"/>
          <w:szCs w:val="22"/>
        </w:rPr>
        <w:t>40 mg/deň (ACE</w:t>
      </w:r>
      <w:r w:rsidR="00D52BF9"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inhibítor) ako liekov prvej voľby s liečbou tiazidovým diuretikom, chlórtalidónom 12,5</w:t>
      </w:r>
      <w:r w:rsidR="00D52BF9" w:rsidRPr="00031671">
        <w:rPr>
          <w:rFonts w:ascii="Times New Roman" w:hAnsi="Times New Roman" w:cs="Times New Roman"/>
          <w:color w:val="auto"/>
          <w:sz w:val="22"/>
          <w:szCs w:val="22"/>
        </w:rPr>
        <w:t>-</w:t>
      </w:r>
      <w:r w:rsidRPr="00031671">
        <w:rPr>
          <w:rFonts w:ascii="Times New Roman" w:hAnsi="Times New Roman" w:cs="Times New Roman"/>
          <w:color w:val="auto"/>
          <w:sz w:val="22"/>
          <w:szCs w:val="22"/>
        </w:rPr>
        <w:t>25 mg/deň pri miernej až stredne závažnej hypertenzii.</w:t>
      </w:r>
    </w:p>
    <w:p w14:paraId="47CAAB56" w14:textId="77777777" w:rsidR="00542872" w:rsidRPr="00031671" w:rsidRDefault="00542872" w:rsidP="00F3126E">
      <w:pPr>
        <w:pStyle w:val="Default"/>
        <w:rPr>
          <w:rFonts w:ascii="Times New Roman" w:hAnsi="Times New Roman" w:cs="Times New Roman"/>
          <w:color w:val="auto"/>
          <w:sz w:val="22"/>
          <w:szCs w:val="22"/>
        </w:rPr>
      </w:pPr>
    </w:p>
    <w:p w14:paraId="451BE55F" w14:textId="77777777" w:rsidR="001E1948" w:rsidRPr="00031671" w:rsidRDefault="001E1948"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Celkovo bolo randomizovaných 33 357 pacientov s hypertenziou vo veku 55 rokov alebo starších, ktorí pokračovali v liečbe v priemere 4,9 roka. Pacienti mali aspoň jeden ďalší rizikový faktor koronárnej choroby srdca (ICHS) vrátane predchádzajúceho infarktu myokardu alebo cievnej mozgovej príhody &gt; 6 mesiacov pred zaradením alebo dokumentované iné aterosklerotické kardiovaskulárne ochorenie (celkovo 51,5</w:t>
      </w:r>
      <w:r w:rsidR="00D52BF9"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 diabetes 2. typu (36,1</w:t>
      </w:r>
      <w:r w:rsidR="00D52BF9"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 HDL-C &lt; 35 mg/dl (11,6</w:t>
      </w:r>
      <w:r w:rsidR="00D52BF9"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 hypertrofiu ľavej komory diagnostikovanú pomocou elektrokardiogramu alebo echokardiograficky (20,9</w:t>
      </w:r>
      <w:r w:rsidR="00D52BF9"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 fajčenie cigariet v súčasnosti (21,9</w:t>
      </w:r>
      <w:r w:rsidR="00D52BF9"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w:t>
      </w:r>
    </w:p>
    <w:p w14:paraId="5A3B5343" w14:textId="77777777" w:rsidR="00542872" w:rsidRPr="00031671" w:rsidRDefault="00542872" w:rsidP="00F3126E">
      <w:pPr>
        <w:pStyle w:val="Default"/>
        <w:rPr>
          <w:rFonts w:ascii="Times New Roman" w:hAnsi="Times New Roman" w:cs="Times New Roman"/>
          <w:color w:val="auto"/>
          <w:sz w:val="22"/>
          <w:szCs w:val="22"/>
        </w:rPr>
      </w:pPr>
    </w:p>
    <w:p w14:paraId="30F624CE" w14:textId="7584F0F5" w:rsidR="001E1948" w:rsidRPr="00031671" w:rsidRDefault="001E1948"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Primárny cieľový ukazovateľ bol kombináciou fatálnej ICHS alebo nefatálneho infarktu myokardu. V primárnom cieľovom ukazovate</w:t>
      </w:r>
      <w:r w:rsidR="005656CE" w:rsidRPr="00031671">
        <w:rPr>
          <w:rFonts w:ascii="Times New Roman" w:hAnsi="Times New Roman" w:cs="Times New Roman"/>
          <w:color w:val="auto"/>
          <w:sz w:val="22"/>
          <w:szCs w:val="22"/>
        </w:rPr>
        <w:t>li</w:t>
      </w:r>
      <w:r w:rsidRPr="00031671">
        <w:rPr>
          <w:rFonts w:ascii="Times New Roman" w:hAnsi="Times New Roman" w:cs="Times New Roman"/>
          <w:color w:val="auto"/>
          <w:sz w:val="22"/>
          <w:szCs w:val="22"/>
        </w:rPr>
        <w:t xml:space="preserve"> nebol signifikantný rozdiel medzi amlodipínovou liečbou a</w:t>
      </w:r>
      <w:r w:rsidR="00031671" w:rsidRPr="00031671">
        <w:rPr>
          <w:rFonts w:ascii="Times New Roman" w:hAnsi="Times New Roman" w:cs="Times New Roman"/>
          <w:color w:val="auto"/>
          <w:sz w:val="22"/>
          <w:szCs w:val="22"/>
        </w:rPr>
        <w:t> </w:t>
      </w:r>
      <w:r w:rsidRPr="00031671">
        <w:rPr>
          <w:rFonts w:ascii="Times New Roman" w:hAnsi="Times New Roman" w:cs="Times New Roman"/>
          <w:color w:val="auto"/>
          <w:sz w:val="22"/>
          <w:szCs w:val="22"/>
        </w:rPr>
        <w:t xml:space="preserve">chlórtalidónovou liečbou </w:t>
      </w:r>
      <w:r w:rsidR="00517A6B" w:rsidRPr="00506927">
        <w:rPr>
          <w:rFonts w:ascii="Times New Roman" w:hAnsi="Times New Roman" w:cs="Times New Roman"/>
          <w:color w:val="auto"/>
          <w:sz w:val="22"/>
          <w:szCs w:val="22"/>
          <w:highlight w:val="yellow"/>
        </w:rPr>
        <w:t>(relatívne riziko [</w:t>
      </w:r>
      <w:r w:rsidRPr="00506927">
        <w:rPr>
          <w:rFonts w:ascii="Times New Roman" w:hAnsi="Times New Roman"/>
          <w:color w:val="auto"/>
          <w:sz w:val="22"/>
        </w:rPr>
        <w:t>RR</w:t>
      </w:r>
      <w:r w:rsidR="00517A6B" w:rsidRPr="00506927">
        <w:rPr>
          <w:rFonts w:ascii="Times New Roman" w:hAnsi="Times New Roman" w:cs="Times New Roman"/>
          <w:color w:val="auto"/>
          <w:sz w:val="22"/>
          <w:szCs w:val="22"/>
          <w:highlight w:val="yellow"/>
        </w:rPr>
        <w:t>]:</w:t>
      </w:r>
      <w:r w:rsidRPr="00031671">
        <w:rPr>
          <w:rFonts w:ascii="Times New Roman" w:hAnsi="Times New Roman" w:cs="Times New Roman"/>
          <w:color w:val="auto"/>
          <w:sz w:val="22"/>
          <w:szCs w:val="22"/>
        </w:rPr>
        <w:t xml:space="preserve"> 0,98 (</w:t>
      </w:r>
      <w:r w:rsidR="00D52BF9" w:rsidRPr="00031671">
        <w:rPr>
          <w:rFonts w:ascii="Times New Roman" w:hAnsi="Times New Roman" w:cs="Times New Roman"/>
          <w:color w:val="auto"/>
          <w:sz w:val="22"/>
          <w:szCs w:val="22"/>
        </w:rPr>
        <w:t xml:space="preserve">95 % </w:t>
      </w:r>
      <w:r w:rsidRPr="00031671">
        <w:rPr>
          <w:rFonts w:ascii="Times New Roman" w:hAnsi="Times New Roman" w:cs="Times New Roman"/>
          <w:color w:val="auto"/>
          <w:sz w:val="22"/>
          <w:szCs w:val="22"/>
        </w:rPr>
        <w:t>I</w:t>
      </w:r>
      <w:r w:rsidR="00D52BF9" w:rsidRPr="00031671">
        <w:rPr>
          <w:rFonts w:ascii="Times New Roman" w:hAnsi="Times New Roman" w:cs="Times New Roman"/>
          <w:color w:val="auto"/>
          <w:sz w:val="22"/>
          <w:szCs w:val="22"/>
        </w:rPr>
        <w:t>S [0,90-</w:t>
      </w:r>
      <w:r w:rsidRPr="00031671">
        <w:rPr>
          <w:rFonts w:ascii="Times New Roman" w:hAnsi="Times New Roman" w:cs="Times New Roman"/>
          <w:color w:val="auto"/>
          <w:sz w:val="22"/>
          <w:szCs w:val="22"/>
        </w:rPr>
        <w:t>1,07] p = 0,65). Medzi sekundárnymi cieľovými ukazovateľmi bola incidencia srdcového zlyhania (súčasť kompozitného zloženého kardiovaskulárneho cieľového ukazovateľa) v amlodipínovej skupine v porovnaní s chlórtalidónovou skupinou významne vyššia (10,2</w:t>
      </w:r>
      <w:r w:rsidR="00D52BF9" w:rsidRPr="00031671">
        <w:rPr>
          <w:rFonts w:ascii="Times New Roman" w:hAnsi="Times New Roman" w:cs="Times New Roman"/>
          <w:color w:val="auto"/>
          <w:sz w:val="22"/>
          <w:szCs w:val="22"/>
        </w:rPr>
        <w:t xml:space="preserve"> % v</w:t>
      </w:r>
      <w:r w:rsidRPr="00031671">
        <w:rPr>
          <w:rFonts w:ascii="Times New Roman" w:hAnsi="Times New Roman" w:cs="Times New Roman"/>
          <w:color w:val="auto"/>
          <w:sz w:val="22"/>
          <w:szCs w:val="22"/>
        </w:rPr>
        <w:t>. 7,7 %, RR 1,38, (95</w:t>
      </w:r>
      <w:r w:rsidR="00D52BF9"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 I</w:t>
      </w:r>
      <w:r w:rsidR="00D52BF9" w:rsidRPr="00031671">
        <w:rPr>
          <w:rFonts w:ascii="Times New Roman" w:hAnsi="Times New Roman" w:cs="Times New Roman"/>
          <w:color w:val="auto"/>
          <w:sz w:val="22"/>
          <w:szCs w:val="22"/>
        </w:rPr>
        <w:t>S [1,25-</w:t>
      </w:r>
      <w:r w:rsidRPr="00031671">
        <w:rPr>
          <w:rFonts w:ascii="Times New Roman" w:hAnsi="Times New Roman" w:cs="Times New Roman"/>
          <w:color w:val="auto"/>
          <w:sz w:val="22"/>
          <w:szCs w:val="22"/>
        </w:rPr>
        <w:t>1,52] p</w:t>
      </w:r>
      <w:r w:rsidR="00D52BF9"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&lt;</w:t>
      </w:r>
      <w:r w:rsidR="00D52BF9"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0,001).</w:t>
      </w:r>
      <w:r w:rsidR="00564F10"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Nebol však žiadny signifikantný rozdiel v mortalite z akejkoľvek príčiny medzi amlodipínovou liečbou a chlórtalidónovou liečbou: RR 0,96 (95</w:t>
      </w:r>
      <w:r w:rsidR="00D52BF9" w:rsidRPr="00031671">
        <w:rPr>
          <w:rFonts w:ascii="Times New Roman" w:hAnsi="Times New Roman" w:cs="Times New Roman"/>
          <w:color w:val="auto"/>
          <w:sz w:val="22"/>
          <w:szCs w:val="22"/>
        </w:rPr>
        <w:t xml:space="preserve"> % </w:t>
      </w:r>
      <w:r w:rsidRPr="00031671">
        <w:rPr>
          <w:rFonts w:ascii="Times New Roman" w:hAnsi="Times New Roman" w:cs="Times New Roman"/>
          <w:color w:val="auto"/>
          <w:sz w:val="22"/>
          <w:szCs w:val="22"/>
        </w:rPr>
        <w:t>I</w:t>
      </w:r>
      <w:r w:rsidR="00D52BF9" w:rsidRPr="00031671">
        <w:rPr>
          <w:rFonts w:ascii="Times New Roman" w:hAnsi="Times New Roman" w:cs="Times New Roman"/>
          <w:color w:val="auto"/>
          <w:sz w:val="22"/>
          <w:szCs w:val="22"/>
        </w:rPr>
        <w:t>S</w:t>
      </w:r>
      <w:r w:rsidRPr="00031671">
        <w:rPr>
          <w:rFonts w:ascii="Times New Roman" w:hAnsi="Times New Roman" w:cs="Times New Roman"/>
          <w:color w:val="auto"/>
          <w:sz w:val="22"/>
          <w:szCs w:val="22"/>
        </w:rPr>
        <w:t xml:space="preserve"> [0,89</w:t>
      </w:r>
      <w:r w:rsidR="00D52BF9" w:rsidRPr="00031671">
        <w:rPr>
          <w:rFonts w:ascii="Times New Roman" w:hAnsi="Times New Roman" w:cs="Times New Roman"/>
          <w:color w:val="auto"/>
          <w:sz w:val="22"/>
          <w:szCs w:val="22"/>
        </w:rPr>
        <w:t>-</w:t>
      </w:r>
      <w:r w:rsidRPr="00031671">
        <w:rPr>
          <w:rFonts w:ascii="Times New Roman" w:hAnsi="Times New Roman" w:cs="Times New Roman"/>
          <w:color w:val="auto"/>
          <w:sz w:val="22"/>
          <w:szCs w:val="22"/>
        </w:rPr>
        <w:t>1,02] p = 0,20).</w:t>
      </w:r>
    </w:p>
    <w:p w14:paraId="6DEEC927" w14:textId="77777777" w:rsidR="001E1948" w:rsidRPr="00031671" w:rsidRDefault="001E1948" w:rsidP="00F3126E">
      <w:pPr>
        <w:ind w:left="0" w:firstLine="0"/>
        <w:rPr>
          <w:b/>
          <w:szCs w:val="22"/>
        </w:rPr>
      </w:pPr>
    </w:p>
    <w:p w14:paraId="7CA7C098" w14:textId="081CD65A" w:rsidR="00072B90" w:rsidRPr="00031671" w:rsidRDefault="003577EA" w:rsidP="004C6E0F">
      <w:pPr>
        <w:autoSpaceDE w:val="0"/>
        <w:autoSpaceDN w:val="0"/>
        <w:adjustRightInd w:val="0"/>
        <w:ind w:left="0" w:firstLine="0"/>
        <w:rPr>
          <w:szCs w:val="22"/>
        </w:rPr>
      </w:pPr>
      <w:r w:rsidRPr="00031671">
        <w:rPr>
          <w:szCs w:val="22"/>
          <w:u w:val="single"/>
          <w:lang w:eastAsia="en-GB"/>
        </w:rPr>
        <w:t>Pediatrick</w:t>
      </w:r>
      <w:r w:rsidR="00072B90" w:rsidRPr="00031671">
        <w:rPr>
          <w:szCs w:val="22"/>
          <w:u w:val="single"/>
          <w:lang w:eastAsia="en-GB"/>
        </w:rPr>
        <w:t>á</w:t>
      </w:r>
      <w:r w:rsidRPr="00031671">
        <w:rPr>
          <w:szCs w:val="22"/>
          <w:u w:val="single"/>
          <w:lang w:eastAsia="en-GB"/>
        </w:rPr>
        <w:t xml:space="preserve"> populáci</w:t>
      </w:r>
      <w:r w:rsidR="00072B90" w:rsidRPr="00031671">
        <w:rPr>
          <w:szCs w:val="22"/>
          <w:u w:val="single"/>
          <w:lang w:eastAsia="en-GB"/>
        </w:rPr>
        <w:t>a</w:t>
      </w:r>
    </w:p>
    <w:p w14:paraId="4A9488EB" w14:textId="77777777" w:rsidR="003577EA" w:rsidRPr="00031671" w:rsidRDefault="003577EA" w:rsidP="00072B90">
      <w:pPr>
        <w:tabs>
          <w:tab w:val="left" w:pos="567"/>
        </w:tabs>
        <w:ind w:left="0" w:firstLine="0"/>
        <w:rPr>
          <w:szCs w:val="22"/>
        </w:rPr>
      </w:pPr>
      <w:r w:rsidRPr="00031671">
        <w:rPr>
          <w:szCs w:val="22"/>
        </w:rPr>
        <w:t>V štúdii, ktorej sa zúčastnilo 268 detí vo veku 6 </w:t>
      </w:r>
      <w:r w:rsidRPr="00031671">
        <w:rPr>
          <w:szCs w:val="22"/>
        </w:rPr>
        <w:noBreakHyphen/>
        <w:t> 17 rokov s prevažne sekundárnou hypertenziou, porovnanie amlodipínu v dávkach 2,5 mg a 5,0 mg s placebom preukázalo, že obe dávky znížili systolický tlak krvi oveľa významnejšie ako placebo. Rozdiel medzi oboma dávkami nebol štatisticky významný.</w:t>
      </w:r>
    </w:p>
    <w:p w14:paraId="3F558965" w14:textId="77777777" w:rsidR="003577EA" w:rsidRPr="00031671" w:rsidRDefault="003577EA" w:rsidP="00072B90">
      <w:pPr>
        <w:tabs>
          <w:tab w:val="left" w:pos="567"/>
        </w:tabs>
        <w:ind w:left="0" w:firstLine="0"/>
        <w:rPr>
          <w:szCs w:val="22"/>
        </w:rPr>
      </w:pPr>
      <w:r w:rsidRPr="00031671">
        <w:rPr>
          <w:szCs w:val="22"/>
        </w:rPr>
        <w:t xml:space="preserve">Dlhodobé účinky amlodipínu na rast, pubertálny a všeobecný vývin neboli študované. Dlhodobá účinnosť amlodipínu na liečbu v detstve za účelom zníženia kardiovaskulárnej morbidity a mortality v dospelosti nebola </w:t>
      </w:r>
      <w:r w:rsidR="00072B90" w:rsidRPr="00031671">
        <w:rPr>
          <w:szCs w:val="22"/>
        </w:rPr>
        <w:t xml:space="preserve">tiež </w:t>
      </w:r>
      <w:r w:rsidRPr="00031671">
        <w:rPr>
          <w:szCs w:val="22"/>
        </w:rPr>
        <w:t>stanovená</w:t>
      </w:r>
      <w:r w:rsidR="00072B90" w:rsidRPr="00031671">
        <w:rPr>
          <w:szCs w:val="22"/>
        </w:rPr>
        <w:t>. Pozri časť 4.2</w:t>
      </w:r>
      <w:r w:rsidRPr="00031671">
        <w:rPr>
          <w:szCs w:val="22"/>
        </w:rPr>
        <w:t>.</w:t>
      </w:r>
    </w:p>
    <w:p w14:paraId="4F84C25B" w14:textId="77777777" w:rsidR="003577EA" w:rsidRPr="00031671" w:rsidRDefault="003577EA" w:rsidP="00F3126E">
      <w:pPr>
        <w:ind w:left="0" w:firstLine="0"/>
        <w:rPr>
          <w:b/>
          <w:szCs w:val="22"/>
        </w:rPr>
      </w:pPr>
    </w:p>
    <w:p w14:paraId="3320EEA8" w14:textId="77777777" w:rsidR="001E1948" w:rsidRPr="00031671" w:rsidRDefault="001E1948" w:rsidP="00F3126E">
      <w:pPr>
        <w:ind w:left="0" w:firstLine="0"/>
        <w:rPr>
          <w:b/>
          <w:szCs w:val="22"/>
        </w:rPr>
      </w:pPr>
      <w:r w:rsidRPr="00031671">
        <w:rPr>
          <w:b/>
          <w:szCs w:val="22"/>
        </w:rPr>
        <w:t>5.2</w:t>
      </w:r>
      <w:r w:rsidRPr="00031671">
        <w:rPr>
          <w:b/>
          <w:szCs w:val="22"/>
        </w:rPr>
        <w:tab/>
        <w:t>Farmakokinetické vlastnosti</w:t>
      </w:r>
    </w:p>
    <w:p w14:paraId="11707575" w14:textId="77777777" w:rsidR="001E1948" w:rsidRPr="00031671" w:rsidRDefault="001E1948" w:rsidP="00F3126E">
      <w:pPr>
        <w:rPr>
          <w:b/>
          <w:szCs w:val="22"/>
        </w:rPr>
      </w:pPr>
    </w:p>
    <w:p w14:paraId="2256B57D" w14:textId="77777777" w:rsidR="001E1948" w:rsidRPr="00031671" w:rsidRDefault="001E1948" w:rsidP="00F3126E">
      <w:pPr>
        <w:ind w:left="0" w:firstLine="0"/>
        <w:rPr>
          <w:szCs w:val="22"/>
        </w:rPr>
      </w:pPr>
      <w:r w:rsidRPr="00031671">
        <w:rPr>
          <w:szCs w:val="22"/>
        </w:rPr>
        <w:t>Rýchlosť a miera absorpcie perindoprilu a amlodipínu z </w:t>
      </w:r>
      <w:r w:rsidR="00304E8C" w:rsidRPr="00031671">
        <w:rPr>
          <w:szCs w:val="22"/>
        </w:rPr>
        <w:t>VIDONORMU</w:t>
      </w:r>
      <w:r w:rsidRPr="00031671">
        <w:rPr>
          <w:szCs w:val="22"/>
        </w:rPr>
        <w:t xml:space="preserve"> nie sú významne rozdielne v porovnaní s rýchlosťou a mierou absorpcie perindoprilu a amlodipínu zo samostatných tabletových foriem.</w:t>
      </w:r>
    </w:p>
    <w:p w14:paraId="737D47C9" w14:textId="77777777" w:rsidR="001E1948" w:rsidRPr="00031671" w:rsidRDefault="001E1948" w:rsidP="00F3126E">
      <w:pPr>
        <w:ind w:left="0" w:firstLine="0"/>
        <w:rPr>
          <w:szCs w:val="22"/>
        </w:rPr>
      </w:pPr>
    </w:p>
    <w:p w14:paraId="2837DFE2" w14:textId="5557EB2C" w:rsidR="00A601AD" w:rsidRPr="00031671" w:rsidRDefault="00A601AD" w:rsidP="00A601AD">
      <w:pPr>
        <w:ind w:left="0" w:firstLine="0"/>
        <w:rPr>
          <w:i/>
          <w:szCs w:val="22"/>
          <w:u w:val="single"/>
        </w:rPr>
      </w:pPr>
      <w:r w:rsidRPr="00031671">
        <w:rPr>
          <w:i/>
          <w:szCs w:val="22"/>
          <w:u w:val="single"/>
        </w:rPr>
        <w:t>Súvisiace s perindoprilom</w:t>
      </w:r>
    </w:p>
    <w:p w14:paraId="0294B04E" w14:textId="77777777" w:rsidR="00542872" w:rsidRPr="00031671" w:rsidRDefault="00542872" w:rsidP="00F3126E">
      <w:pPr>
        <w:ind w:left="0" w:firstLine="0"/>
        <w:rPr>
          <w:szCs w:val="22"/>
        </w:rPr>
      </w:pPr>
    </w:p>
    <w:p w14:paraId="1D3C5397" w14:textId="77777777" w:rsidR="00A601AD" w:rsidRPr="00031671" w:rsidRDefault="00A601AD" w:rsidP="00F3126E">
      <w:pPr>
        <w:ind w:left="0" w:firstLine="0"/>
        <w:rPr>
          <w:szCs w:val="22"/>
          <w:u w:val="single"/>
        </w:rPr>
      </w:pPr>
      <w:r w:rsidRPr="00031671">
        <w:rPr>
          <w:szCs w:val="22"/>
          <w:u w:val="single"/>
        </w:rPr>
        <w:t>Absorpcia</w:t>
      </w:r>
    </w:p>
    <w:p w14:paraId="2E5F84A0" w14:textId="77777777" w:rsidR="001E1948" w:rsidRPr="00031671" w:rsidRDefault="001E1948" w:rsidP="00F3126E">
      <w:pPr>
        <w:ind w:left="0" w:firstLine="0"/>
        <w:rPr>
          <w:szCs w:val="22"/>
        </w:rPr>
      </w:pPr>
      <w:r w:rsidRPr="00031671">
        <w:rPr>
          <w:szCs w:val="22"/>
        </w:rPr>
        <w:t>Po perorálnom podaní je absorpcia perindoprilu rýchla a maximálna koncentrácia sa dosiahne v priebehu 1 hodiny. Plazmatický polčas perindoprilu je 1 hodina.</w:t>
      </w:r>
    </w:p>
    <w:p w14:paraId="216FC485" w14:textId="77777777" w:rsidR="00542872" w:rsidRPr="00031671" w:rsidRDefault="00542872" w:rsidP="00F3126E">
      <w:pPr>
        <w:ind w:left="0" w:firstLine="0"/>
        <w:rPr>
          <w:szCs w:val="22"/>
        </w:rPr>
      </w:pPr>
    </w:p>
    <w:p w14:paraId="57D2E65A" w14:textId="77777777" w:rsidR="001E1948" w:rsidRPr="00031671" w:rsidRDefault="001E1948" w:rsidP="00F3126E">
      <w:pPr>
        <w:ind w:left="0" w:firstLine="0"/>
        <w:rPr>
          <w:szCs w:val="22"/>
        </w:rPr>
      </w:pPr>
      <w:r w:rsidRPr="00031671">
        <w:rPr>
          <w:szCs w:val="22"/>
        </w:rPr>
        <w:t>Perindopril je prodrug.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14:paraId="50DBE1D6" w14:textId="77777777" w:rsidR="00542872" w:rsidRPr="00031671" w:rsidRDefault="00542872" w:rsidP="00F3126E">
      <w:pPr>
        <w:ind w:left="0" w:firstLine="0"/>
        <w:rPr>
          <w:szCs w:val="22"/>
        </w:rPr>
      </w:pPr>
    </w:p>
    <w:p w14:paraId="1E73B219" w14:textId="77777777" w:rsidR="001E1948" w:rsidRPr="00031671" w:rsidRDefault="001E1948" w:rsidP="00F3126E">
      <w:pPr>
        <w:ind w:left="0" w:firstLine="0"/>
        <w:rPr>
          <w:szCs w:val="22"/>
        </w:rPr>
      </w:pPr>
      <w:r w:rsidRPr="00031671">
        <w:rPr>
          <w:szCs w:val="22"/>
        </w:rPr>
        <w:t>Keďže požitie jedla znižuje premenu na perindoprilát, a tým aj biodostupnosť, perindopril erbumín sa má podávať perorálne v jednorazovej dennej dávke ráno pred jedlom.</w:t>
      </w:r>
    </w:p>
    <w:p w14:paraId="57843D60" w14:textId="77777777" w:rsidR="00542872" w:rsidRPr="00031671" w:rsidRDefault="00542872" w:rsidP="00F3126E">
      <w:pPr>
        <w:ind w:left="0" w:firstLine="0"/>
        <w:rPr>
          <w:szCs w:val="22"/>
        </w:rPr>
      </w:pPr>
    </w:p>
    <w:p w14:paraId="073372FB" w14:textId="77777777" w:rsidR="001E1948" w:rsidRPr="00031671" w:rsidRDefault="001E1948" w:rsidP="00F3126E">
      <w:pPr>
        <w:ind w:left="0" w:firstLine="0"/>
        <w:rPr>
          <w:szCs w:val="22"/>
        </w:rPr>
      </w:pPr>
      <w:r w:rsidRPr="00031671">
        <w:rPr>
          <w:szCs w:val="22"/>
        </w:rPr>
        <w:t>Bol dokázaný lineárny vzťah medzi dávkou perindoprilu a jeho expozíciou v plazme.</w:t>
      </w:r>
    </w:p>
    <w:p w14:paraId="5BCEB843" w14:textId="77777777" w:rsidR="00542872" w:rsidRPr="00031671" w:rsidRDefault="00542872" w:rsidP="00F3126E">
      <w:pPr>
        <w:ind w:left="0" w:firstLine="0"/>
        <w:rPr>
          <w:bCs/>
          <w:iCs/>
          <w:szCs w:val="22"/>
        </w:rPr>
      </w:pPr>
    </w:p>
    <w:p w14:paraId="247FBB35" w14:textId="77777777" w:rsidR="00A601AD" w:rsidRPr="00031671" w:rsidRDefault="00A601AD" w:rsidP="00F3126E">
      <w:pPr>
        <w:ind w:left="0" w:firstLine="0"/>
        <w:rPr>
          <w:bCs/>
          <w:iCs/>
          <w:szCs w:val="22"/>
          <w:u w:val="single"/>
        </w:rPr>
      </w:pPr>
      <w:r w:rsidRPr="00031671">
        <w:rPr>
          <w:bCs/>
          <w:iCs/>
          <w:szCs w:val="22"/>
          <w:u w:val="single"/>
        </w:rPr>
        <w:t>Distribúcia</w:t>
      </w:r>
    </w:p>
    <w:p w14:paraId="533DA410" w14:textId="1DFD0E7B" w:rsidR="001E1948" w:rsidRPr="00031671" w:rsidRDefault="001E1948" w:rsidP="00FD41E5">
      <w:pPr>
        <w:ind w:left="0" w:firstLine="0"/>
        <w:rPr>
          <w:bCs/>
          <w:iCs/>
          <w:szCs w:val="22"/>
        </w:rPr>
      </w:pPr>
      <w:r w:rsidRPr="00031671">
        <w:rPr>
          <w:bCs/>
          <w:iCs/>
          <w:szCs w:val="22"/>
        </w:rPr>
        <w:t>Distribučný objem neviazaného perindoprilátu je približne 0,2 </w:t>
      </w:r>
      <w:r w:rsidR="00F24DA5">
        <w:rPr>
          <w:bCs/>
          <w:iCs/>
          <w:szCs w:val="22"/>
        </w:rPr>
        <w:t>l</w:t>
      </w:r>
      <w:r w:rsidRPr="00031671">
        <w:rPr>
          <w:bCs/>
          <w:iCs/>
          <w:szCs w:val="22"/>
        </w:rPr>
        <w:t>/kg. Väzba perindoprilátu na plazmatické bielkoviny je 20</w:t>
      </w:r>
      <w:r w:rsidR="006D419D" w:rsidRPr="00031671">
        <w:rPr>
          <w:bCs/>
          <w:iCs/>
          <w:szCs w:val="22"/>
        </w:rPr>
        <w:t xml:space="preserve"> </w:t>
      </w:r>
      <w:r w:rsidRPr="00031671">
        <w:rPr>
          <w:bCs/>
          <w:iCs/>
          <w:szCs w:val="22"/>
        </w:rPr>
        <w:t>%, prevažne na angiotenzín</w:t>
      </w:r>
      <w:r w:rsidR="006D419D" w:rsidRPr="00031671">
        <w:rPr>
          <w:bCs/>
          <w:iCs/>
          <w:szCs w:val="22"/>
        </w:rPr>
        <w:t xml:space="preserve"> </w:t>
      </w:r>
      <w:r w:rsidRPr="00031671">
        <w:rPr>
          <w:bCs/>
          <w:iCs/>
          <w:szCs w:val="22"/>
        </w:rPr>
        <w:t xml:space="preserve">konvertujúci enzým, ale je závislá </w:t>
      </w:r>
      <w:r w:rsidRPr="00031671">
        <w:rPr>
          <w:bCs/>
          <w:iCs/>
          <w:szCs w:val="22"/>
        </w:rPr>
        <w:lastRenderedPageBreak/>
        <w:t xml:space="preserve">od koncentrácie. </w:t>
      </w:r>
      <w:r w:rsidRPr="00031671">
        <w:rPr>
          <w:szCs w:val="22"/>
        </w:rPr>
        <w:t>Perindoprilát sa eliminuje močom a konečný polčas neviazanej frakcie je približne 17 hodín, takže rovnovážny stav sa dosiahne v priebehu 4 dní.</w:t>
      </w:r>
    </w:p>
    <w:p w14:paraId="7ECBE269" w14:textId="77777777" w:rsidR="00542872" w:rsidRPr="00031671" w:rsidRDefault="00542872" w:rsidP="00F3126E">
      <w:pPr>
        <w:ind w:left="0" w:firstLine="0"/>
        <w:rPr>
          <w:szCs w:val="22"/>
        </w:rPr>
      </w:pPr>
    </w:p>
    <w:p w14:paraId="6EB9C5DC" w14:textId="77777777" w:rsidR="00A601AD" w:rsidRPr="00031671" w:rsidRDefault="00A601AD" w:rsidP="00F3126E">
      <w:pPr>
        <w:ind w:left="0" w:firstLine="0"/>
        <w:rPr>
          <w:szCs w:val="22"/>
          <w:u w:val="single"/>
        </w:rPr>
      </w:pPr>
      <w:r w:rsidRPr="00031671">
        <w:rPr>
          <w:szCs w:val="22"/>
          <w:u w:val="single"/>
        </w:rPr>
        <w:t>Eliminácia</w:t>
      </w:r>
    </w:p>
    <w:p w14:paraId="67E88287" w14:textId="77777777" w:rsidR="00817000" w:rsidRPr="00031671" w:rsidRDefault="00817000" w:rsidP="00817000">
      <w:pPr>
        <w:ind w:left="0" w:firstLine="0"/>
        <w:rPr>
          <w:bCs/>
          <w:iCs/>
          <w:szCs w:val="22"/>
        </w:rPr>
      </w:pPr>
      <w:r w:rsidRPr="00031671">
        <w:rPr>
          <w:szCs w:val="22"/>
        </w:rPr>
        <w:t>Perindoprilát sa eliminuje močom a konečný polčas neviazanej frakcie je približne 17 hodín, takže rovnovážny stav sa dosiahne v priebehu 4 dní.</w:t>
      </w:r>
    </w:p>
    <w:p w14:paraId="5DE46DC0" w14:textId="77777777" w:rsidR="00542872" w:rsidRPr="00031671" w:rsidRDefault="00542872" w:rsidP="00F3126E">
      <w:pPr>
        <w:ind w:left="0" w:firstLine="0"/>
        <w:rPr>
          <w:szCs w:val="22"/>
        </w:rPr>
      </w:pPr>
    </w:p>
    <w:p w14:paraId="1F53507E" w14:textId="77777777" w:rsidR="00072B90" w:rsidRPr="00031671" w:rsidRDefault="00072B90" w:rsidP="00072B90">
      <w:pPr>
        <w:ind w:left="0" w:firstLine="0"/>
        <w:rPr>
          <w:szCs w:val="22"/>
        </w:rPr>
      </w:pPr>
      <w:r w:rsidRPr="00031671">
        <w:rPr>
          <w:szCs w:val="22"/>
          <w:u w:val="single"/>
        </w:rPr>
        <w:t>Osobitné skupiny pacientov</w:t>
      </w:r>
    </w:p>
    <w:p w14:paraId="5A43C145" w14:textId="77777777" w:rsidR="00072B90" w:rsidRPr="00031671" w:rsidRDefault="00072B90" w:rsidP="00072B90">
      <w:pPr>
        <w:ind w:left="0" w:firstLine="0"/>
        <w:rPr>
          <w:szCs w:val="22"/>
        </w:rPr>
      </w:pPr>
      <w:r w:rsidRPr="00031671">
        <w:rPr>
          <w:szCs w:val="22"/>
        </w:rPr>
        <w:t>Vylučovanie perindoprilátu je znížené u starších osôb, a tiež u pacientov so srdcovým alebo renálnym zlyhaním</w:t>
      </w:r>
      <w:r w:rsidR="00E5461E" w:rsidRPr="00031671">
        <w:rPr>
          <w:szCs w:val="22"/>
        </w:rPr>
        <w:t xml:space="preserve"> (pozri časť 4.2).</w:t>
      </w:r>
      <w:r w:rsidRPr="00031671">
        <w:rPr>
          <w:szCs w:val="22"/>
        </w:rPr>
        <w:t xml:space="preserve"> Úprava dávkovania pri renálnej insuficiencii sa vyžaduje v závislosti od stupňa poškodenia (klírensu kreatinínu).</w:t>
      </w:r>
    </w:p>
    <w:p w14:paraId="745A698D" w14:textId="77777777" w:rsidR="00072B90" w:rsidRPr="00031671" w:rsidRDefault="00072B90" w:rsidP="00F3126E">
      <w:pPr>
        <w:ind w:left="0" w:firstLine="0"/>
        <w:rPr>
          <w:szCs w:val="22"/>
        </w:rPr>
      </w:pPr>
    </w:p>
    <w:p w14:paraId="4B903F3B" w14:textId="77777777" w:rsidR="001E1948" w:rsidRPr="00031671" w:rsidRDefault="001E1948" w:rsidP="00F3126E">
      <w:pPr>
        <w:ind w:left="0" w:firstLine="0"/>
        <w:rPr>
          <w:szCs w:val="22"/>
        </w:rPr>
      </w:pPr>
      <w:r w:rsidRPr="00031671">
        <w:rPr>
          <w:szCs w:val="22"/>
        </w:rPr>
        <w:t>Dialyzačný klírens perindoprilátu je 70 ml/min.</w:t>
      </w:r>
    </w:p>
    <w:p w14:paraId="77D6A1C2" w14:textId="77777777" w:rsidR="00542872" w:rsidRPr="00031671" w:rsidRDefault="00542872" w:rsidP="00F3126E">
      <w:pPr>
        <w:ind w:left="0" w:firstLine="0"/>
        <w:rPr>
          <w:szCs w:val="22"/>
        </w:rPr>
      </w:pPr>
    </w:p>
    <w:p w14:paraId="00087BD4" w14:textId="77777777" w:rsidR="001E1948" w:rsidRPr="00031671" w:rsidRDefault="001E1948" w:rsidP="00F3126E">
      <w:pPr>
        <w:ind w:left="0" w:firstLine="0"/>
        <w:rPr>
          <w:szCs w:val="22"/>
        </w:rPr>
      </w:pPr>
      <w:r w:rsidRPr="00031671">
        <w:rPr>
          <w:szCs w:val="22"/>
        </w:rPr>
        <w:t>Kinetika perindoprilu je modifikovaná u pacientov s cirhózou: hepatálny klírens pôvodnej molekuly je znížený o polovicu. Množstvo vytvoreného perindoprilátu však nie je znížené, a preto nie je nutná úprava dávkovania (pozri časti 4.2 a 4.4).</w:t>
      </w:r>
    </w:p>
    <w:p w14:paraId="60831A27" w14:textId="77777777" w:rsidR="001E1948" w:rsidRPr="00031671" w:rsidRDefault="001E1948" w:rsidP="00F3126E">
      <w:pPr>
        <w:ind w:left="0" w:firstLine="0"/>
        <w:rPr>
          <w:szCs w:val="22"/>
        </w:rPr>
      </w:pPr>
    </w:p>
    <w:p w14:paraId="208F3578" w14:textId="28E5E4D5" w:rsidR="004A33F2" w:rsidRPr="00031671" w:rsidRDefault="004A33F2" w:rsidP="004A33F2">
      <w:pPr>
        <w:tabs>
          <w:tab w:val="left" w:pos="0"/>
        </w:tabs>
        <w:ind w:left="0" w:firstLine="0"/>
        <w:rPr>
          <w:i/>
          <w:szCs w:val="22"/>
          <w:u w:val="single"/>
        </w:rPr>
      </w:pPr>
      <w:r w:rsidRPr="00031671">
        <w:rPr>
          <w:i/>
          <w:szCs w:val="22"/>
          <w:u w:val="single"/>
        </w:rPr>
        <w:t>Súvisiace s amlodipínom</w:t>
      </w:r>
    </w:p>
    <w:p w14:paraId="310301E7" w14:textId="77777777" w:rsidR="00542872" w:rsidRPr="00031671" w:rsidRDefault="00542872" w:rsidP="00F3126E">
      <w:pPr>
        <w:pStyle w:val="Default"/>
        <w:rPr>
          <w:rFonts w:ascii="Times New Roman" w:hAnsi="Times New Roman" w:cs="Times New Roman"/>
          <w:color w:val="auto"/>
          <w:sz w:val="22"/>
          <w:szCs w:val="22"/>
        </w:rPr>
      </w:pPr>
    </w:p>
    <w:p w14:paraId="5B6CD56E" w14:textId="16887DCC" w:rsidR="004A33F2" w:rsidRPr="00031671" w:rsidRDefault="004A33F2"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u w:val="single"/>
        </w:rPr>
        <w:t>Absorpcia, distribúcia, väzba na plazmatické bielkoviny</w:t>
      </w:r>
    </w:p>
    <w:p w14:paraId="7944C6FB" w14:textId="77777777" w:rsidR="001E1948" w:rsidRPr="00031671" w:rsidRDefault="001E1948" w:rsidP="00EE6F13">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 xml:space="preserve">Po perorálnom podaní terapeutických dávok sa amlodipín dobre vstrebáva a </w:t>
      </w:r>
      <w:r w:rsidR="00AF3C93" w:rsidRPr="00031671">
        <w:rPr>
          <w:rFonts w:ascii="Times New Roman" w:hAnsi="Times New Roman" w:cs="Times New Roman"/>
          <w:color w:val="auto"/>
          <w:sz w:val="22"/>
          <w:szCs w:val="22"/>
        </w:rPr>
        <w:t>maximálne</w:t>
      </w:r>
      <w:r w:rsidRPr="00031671">
        <w:rPr>
          <w:rFonts w:ascii="Times New Roman" w:hAnsi="Times New Roman" w:cs="Times New Roman"/>
          <w:color w:val="auto"/>
          <w:sz w:val="22"/>
          <w:szCs w:val="22"/>
        </w:rPr>
        <w:t xml:space="preserve"> plazmatické koncentrácie sa dosiahnu za 6</w:t>
      </w:r>
      <w:r w:rsidR="006D419D" w:rsidRPr="00031671">
        <w:rPr>
          <w:rFonts w:ascii="Times New Roman" w:hAnsi="Times New Roman" w:cs="Times New Roman"/>
          <w:color w:val="auto"/>
          <w:sz w:val="22"/>
          <w:szCs w:val="22"/>
        </w:rPr>
        <w:t>-</w:t>
      </w:r>
      <w:r w:rsidRPr="00031671">
        <w:rPr>
          <w:rFonts w:ascii="Times New Roman" w:hAnsi="Times New Roman" w:cs="Times New Roman"/>
          <w:color w:val="auto"/>
          <w:sz w:val="22"/>
          <w:szCs w:val="22"/>
        </w:rPr>
        <w:t>12 hodín po užití dávky. Absolútna biologická dostupnosť je v rozpätí 64</w:t>
      </w:r>
      <w:r w:rsidR="006D419D" w:rsidRPr="00031671">
        <w:rPr>
          <w:rFonts w:ascii="Times New Roman" w:hAnsi="Times New Roman" w:cs="Times New Roman"/>
          <w:color w:val="auto"/>
          <w:sz w:val="22"/>
          <w:szCs w:val="22"/>
        </w:rPr>
        <w:t>-</w:t>
      </w:r>
      <w:r w:rsidRPr="00031671">
        <w:rPr>
          <w:rFonts w:ascii="Times New Roman" w:hAnsi="Times New Roman" w:cs="Times New Roman"/>
          <w:color w:val="auto"/>
          <w:sz w:val="22"/>
          <w:szCs w:val="22"/>
        </w:rPr>
        <w:t>80</w:t>
      </w:r>
      <w:r w:rsidR="006D419D"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 xml:space="preserve">%. Distribučný objem je približne 21 l/kg. Štúdie </w:t>
      </w:r>
      <w:r w:rsidRPr="00031671">
        <w:rPr>
          <w:rFonts w:ascii="Times New Roman" w:hAnsi="Times New Roman" w:cs="Times New Roman"/>
          <w:i/>
          <w:color w:val="auto"/>
          <w:sz w:val="22"/>
          <w:szCs w:val="22"/>
        </w:rPr>
        <w:t>in vitro</w:t>
      </w:r>
      <w:r w:rsidRPr="00031671">
        <w:rPr>
          <w:rFonts w:ascii="Times New Roman" w:hAnsi="Times New Roman" w:cs="Times New Roman"/>
          <w:color w:val="auto"/>
          <w:sz w:val="22"/>
          <w:szCs w:val="22"/>
        </w:rPr>
        <w:t xml:space="preserve"> ukázali, že približne 97,5</w:t>
      </w:r>
      <w:r w:rsidR="006D419D" w:rsidRPr="00031671">
        <w:rPr>
          <w:rFonts w:ascii="Times New Roman" w:hAnsi="Times New Roman" w:cs="Times New Roman"/>
          <w:color w:val="auto"/>
          <w:sz w:val="22"/>
          <w:szCs w:val="22"/>
        </w:rPr>
        <w:t xml:space="preserve"> </w:t>
      </w:r>
      <w:r w:rsidRPr="00031671">
        <w:rPr>
          <w:rFonts w:ascii="Times New Roman" w:hAnsi="Times New Roman" w:cs="Times New Roman"/>
          <w:color w:val="auto"/>
          <w:sz w:val="22"/>
          <w:szCs w:val="22"/>
        </w:rPr>
        <w:t>% cirkulujúceho amlodipínu je viazan</w:t>
      </w:r>
      <w:r w:rsidR="006D419D" w:rsidRPr="00031671">
        <w:rPr>
          <w:rFonts w:ascii="Times New Roman" w:hAnsi="Times New Roman" w:cs="Times New Roman"/>
          <w:color w:val="auto"/>
          <w:sz w:val="22"/>
          <w:szCs w:val="22"/>
        </w:rPr>
        <w:t>ých</w:t>
      </w:r>
      <w:r w:rsidRPr="00031671">
        <w:rPr>
          <w:rFonts w:ascii="Times New Roman" w:hAnsi="Times New Roman" w:cs="Times New Roman"/>
          <w:color w:val="auto"/>
          <w:sz w:val="22"/>
          <w:szCs w:val="22"/>
        </w:rPr>
        <w:t xml:space="preserve"> na plazmatické bielkoviny.</w:t>
      </w:r>
    </w:p>
    <w:p w14:paraId="5E928C35" w14:textId="77777777" w:rsidR="00542872" w:rsidRPr="00031671" w:rsidRDefault="00542872" w:rsidP="00F3126E">
      <w:pPr>
        <w:pStyle w:val="Default"/>
        <w:rPr>
          <w:rFonts w:ascii="Times New Roman" w:hAnsi="Times New Roman" w:cs="Times New Roman"/>
          <w:color w:val="auto"/>
          <w:sz w:val="22"/>
          <w:szCs w:val="22"/>
        </w:rPr>
      </w:pPr>
    </w:p>
    <w:p w14:paraId="3719C537" w14:textId="77777777" w:rsidR="004A33F2" w:rsidRPr="00031671" w:rsidRDefault="004A33F2"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Biologická dostupnosť amlodipínu nie je ovplyvnená príjmom potravy.</w:t>
      </w:r>
    </w:p>
    <w:p w14:paraId="72AFA166" w14:textId="77777777" w:rsidR="004A33F2" w:rsidRPr="00031671" w:rsidRDefault="004A33F2" w:rsidP="00F3126E">
      <w:pPr>
        <w:pStyle w:val="Default"/>
        <w:rPr>
          <w:rFonts w:ascii="Times New Roman" w:hAnsi="Times New Roman" w:cs="Times New Roman"/>
          <w:color w:val="auto"/>
          <w:sz w:val="22"/>
          <w:szCs w:val="22"/>
        </w:rPr>
      </w:pPr>
    </w:p>
    <w:p w14:paraId="56CFBEC3" w14:textId="77777777" w:rsidR="004A33F2" w:rsidRPr="00031671" w:rsidRDefault="004A33F2"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u w:val="single"/>
        </w:rPr>
        <w:t>Biotransformácia</w:t>
      </w:r>
    </w:p>
    <w:p w14:paraId="7AD630A7" w14:textId="77777777" w:rsidR="001E1948" w:rsidRPr="00031671" w:rsidRDefault="001E1948"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Terminálny plazmatický polčas eliminácie je v rozpätí 35</w:t>
      </w:r>
      <w:r w:rsidR="006D419D" w:rsidRPr="00031671">
        <w:rPr>
          <w:rFonts w:ascii="Times New Roman" w:hAnsi="Times New Roman" w:cs="Times New Roman"/>
          <w:color w:val="auto"/>
          <w:sz w:val="22"/>
          <w:szCs w:val="22"/>
        </w:rPr>
        <w:t>-</w:t>
      </w:r>
      <w:r w:rsidRPr="00031671">
        <w:rPr>
          <w:rFonts w:ascii="Times New Roman" w:hAnsi="Times New Roman" w:cs="Times New Roman"/>
          <w:color w:val="auto"/>
          <w:sz w:val="22"/>
          <w:szCs w:val="22"/>
        </w:rPr>
        <w:t>50 hodín a umožňuje podávanie amlodipínu v jednej dennej dávke. Amlodipín sa extenzívne metabolizuje v pečeni na neúčinné metabolity</w:t>
      </w:r>
      <w:r w:rsidR="004A33F2" w:rsidRPr="00031671">
        <w:rPr>
          <w:rFonts w:ascii="Times New Roman" w:hAnsi="Times New Roman" w:cs="Times New Roman"/>
          <w:color w:val="auto"/>
          <w:sz w:val="22"/>
          <w:szCs w:val="22"/>
        </w:rPr>
        <w:t xml:space="preserve"> s 10 % pôvodnej zlúčeniny a 60 % metabolitov vylúčených močom</w:t>
      </w:r>
      <w:r w:rsidRPr="00031671">
        <w:rPr>
          <w:rFonts w:ascii="Times New Roman" w:hAnsi="Times New Roman" w:cs="Times New Roman"/>
          <w:color w:val="auto"/>
          <w:sz w:val="22"/>
          <w:szCs w:val="22"/>
        </w:rPr>
        <w:t xml:space="preserve">. </w:t>
      </w:r>
    </w:p>
    <w:p w14:paraId="06157381" w14:textId="77777777" w:rsidR="00542872" w:rsidRPr="00031671" w:rsidRDefault="00542872" w:rsidP="00F3126E">
      <w:pPr>
        <w:pStyle w:val="Default"/>
        <w:rPr>
          <w:rFonts w:ascii="Times New Roman" w:hAnsi="Times New Roman" w:cs="Times New Roman"/>
          <w:iCs/>
          <w:color w:val="auto"/>
          <w:sz w:val="22"/>
          <w:szCs w:val="22"/>
        </w:rPr>
      </w:pPr>
    </w:p>
    <w:p w14:paraId="7FFCC080" w14:textId="77777777" w:rsidR="00542872" w:rsidRPr="00031671" w:rsidRDefault="00901908" w:rsidP="00F3126E">
      <w:pPr>
        <w:pStyle w:val="Default"/>
        <w:rPr>
          <w:rFonts w:ascii="Times New Roman" w:hAnsi="Times New Roman" w:cs="Times New Roman"/>
          <w:color w:val="auto"/>
          <w:sz w:val="22"/>
          <w:szCs w:val="22"/>
          <w:u w:val="single"/>
        </w:rPr>
      </w:pPr>
      <w:r w:rsidRPr="00031671">
        <w:rPr>
          <w:rFonts w:ascii="Times New Roman" w:hAnsi="Times New Roman" w:cs="Times New Roman"/>
          <w:color w:val="auto"/>
          <w:sz w:val="22"/>
          <w:szCs w:val="22"/>
          <w:u w:val="single"/>
        </w:rPr>
        <w:t xml:space="preserve">Porucha funkcie </w:t>
      </w:r>
      <w:r w:rsidR="004A33F2" w:rsidRPr="00031671">
        <w:rPr>
          <w:rFonts w:ascii="Times New Roman" w:hAnsi="Times New Roman" w:cs="Times New Roman"/>
          <w:color w:val="auto"/>
          <w:sz w:val="22"/>
          <w:szCs w:val="22"/>
          <w:u w:val="single"/>
        </w:rPr>
        <w:t>pečene</w:t>
      </w:r>
    </w:p>
    <w:p w14:paraId="1E71E7E3" w14:textId="77777777" w:rsidR="007061A2" w:rsidRPr="00031671" w:rsidRDefault="006D419D" w:rsidP="00F3126E">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 xml:space="preserve">K dispozícii sú veľmi obmedzené klinické údaje týkajúce sa podávania amlodipínu pacientom s poruchou funkcie pečene. </w:t>
      </w:r>
      <w:r w:rsidR="00564F10" w:rsidRPr="00031671">
        <w:rPr>
          <w:rFonts w:ascii="Times New Roman" w:hAnsi="Times New Roman" w:cs="Times New Roman"/>
          <w:color w:val="auto"/>
          <w:sz w:val="22"/>
          <w:szCs w:val="22"/>
        </w:rPr>
        <w:t>U pacientov</w:t>
      </w:r>
      <w:r w:rsidRPr="00031671">
        <w:rPr>
          <w:rFonts w:ascii="Times New Roman" w:hAnsi="Times New Roman" w:cs="Times New Roman"/>
          <w:color w:val="auto"/>
          <w:sz w:val="22"/>
          <w:szCs w:val="22"/>
        </w:rPr>
        <w:t xml:space="preserve"> s insuficienciou pečene </w:t>
      </w:r>
      <w:r w:rsidR="00564F10" w:rsidRPr="00031671">
        <w:rPr>
          <w:rFonts w:ascii="Times New Roman" w:hAnsi="Times New Roman" w:cs="Times New Roman"/>
          <w:color w:val="auto"/>
          <w:sz w:val="22"/>
          <w:szCs w:val="22"/>
        </w:rPr>
        <w:t>sa znížil</w:t>
      </w:r>
      <w:r w:rsidR="007061A2" w:rsidRPr="00031671">
        <w:rPr>
          <w:rFonts w:ascii="Times New Roman" w:hAnsi="Times New Roman" w:cs="Times New Roman"/>
          <w:color w:val="auto"/>
          <w:sz w:val="22"/>
          <w:szCs w:val="22"/>
        </w:rPr>
        <w:t xml:space="preserve"> klírens amlodipínu, čo viedlo k predĺženému polčasu a nárastu AUC približne o 40-60 %.</w:t>
      </w:r>
    </w:p>
    <w:p w14:paraId="12D9ACD6" w14:textId="77777777" w:rsidR="004A33F2" w:rsidRPr="00031671" w:rsidRDefault="004A33F2" w:rsidP="004A33F2">
      <w:pPr>
        <w:pStyle w:val="Default"/>
        <w:rPr>
          <w:rFonts w:ascii="Times New Roman" w:hAnsi="Times New Roman" w:cs="Times New Roman"/>
          <w:i/>
          <w:iCs/>
          <w:color w:val="auto"/>
          <w:sz w:val="22"/>
          <w:szCs w:val="22"/>
        </w:rPr>
      </w:pPr>
    </w:p>
    <w:p w14:paraId="43C83827" w14:textId="77777777" w:rsidR="004A33F2" w:rsidRPr="00031671" w:rsidRDefault="00072B90" w:rsidP="004A33F2">
      <w:pPr>
        <w:pStyle w:val="Default"/>
        <w:rPr>
          <w:rFonts w:ascii="Times New Roman" w:hAnsi="Times New Roman" w:cs="Times New Roman"/>
          <w:iCs/>
          <w:color w:val="auto"/>
          <w:sz w:val="22"/>
          <w:szCs w:val="22"/>
          <w:u w:val="single"/>
        </w:rPr>
      </w:pPr>
      <w:r w:rsidRPr="00031671">
        <w:rPr>
          <w:rFonts w:ascii="Times New Roman" w:hAnsi="Times New Roman" w:cs="Times New Roman"/>
          <w:iCs/>
          <w:color w:val="auto"/>
          <w:sz w:val="22"/>
          <w:szCs w:val="22"/>
          <w:u w:val="single"/>
        </w:rPr>
        <w:t>S</w:t>
      </w:r>
      <w:r w:rsidR="004A33F2" w:rsidRPr="00031671">
        <w:rPr>
          <w:rFonts w:ascii="Times New Roman" w:hAnsi="Times New Roman" w:cs="Times New Roman"/>
          <w:iCs/>
          <w:color w:val="auto"/>
          <w:sz w:val="22"/>
          <w:szCs w:val="22"/>
          <w:u w:val="single"/>
        </w:rPr>
        <w:t>tarší ľud</w:t>
      </w:r>
      <w:r w:rsidRPr="00031671">
        <w:rPr>
          <w:rFonts w:ascii="Times New Roman" w:hAnsi="Times New Roman" w:cs="Times New Roman"/>
          <w:iCs/>
          <w:color w:val="auto"/>
          <w:sz w:val="22"/>
          <w:szCs w:val="22"/>
          <w:u w:val="single"/>
        </w:rPr>
        <w:t>ia</w:t>
      </w:r>
    </w:p>
    <w:p w14:paraId="731F02A9" w14:textId="77777777" w:rsidR="004A33F2" w:rsidRPr="00031671" w:rsidRDefault="004A33F2" w:rsidP="004A33F2">
      <w:pPr>
        <w:pStyle w:val="Default"/>
        <w:rPr>
          <w:rFonts w:ascii="Times New Roman" w:hAnsi="Times New Roman" w:cs="Times New Roman"/>
          <w:color w:val="auto"/>
          <w:sz w:val="22"/>
          <w:szCs w:val="22"/>
        </w:rPr>
      </w:pPr>
      <w:r w:rsidRPr="00031671">
        <w:rPr>
          <w:rFonts w:ascii="Times New Roman" w:hAnsi="Times New Roman" w:cs="Times New Roman"/>
          <w:color w:val="auto"/>
          <w:sz w:val="22"/>
          <w:szCs w:val="22"/>
        </w:rPr>
        <w:t>Čas po dosiahnutie maximálnej plazmatickej koncentrácie amlodipínu u starších i mladých ľudí je podobný. Klírens amlodipínu má tendenciu k zníženiu, čo vedie k zväčšeniu plochy pod krivkou (AUC) a k predĺženiu polčasu eliminácie u starších pacientov. Odporúčané dávkovanie pre starších ľudí je rovnaké, zvyšovanie dávky by však malo uskutočňovať opatrne.</w:t>
      </w:r>
    </w:p>
    <w:p w14:paraId="07B60D13" w14:textId="77777777" w:rsidR="006D419D" w:rsidRPr="00031671" w:rsidRDefault="006D419D" w:rsidP="00F3126E">
      <w:pPr>
        <w:ind w:left="0" w:firstLine="0"/>
        <w:rPr>
          <w:b/>
          <w:szCs w:val="22"/>
        </w:rPr>
      </w:pPr>
    </w:p>
    <w:p w14:paraId="6E205928" w14:textId="77777777" w:rsidR="00072B90" w:rsidRPr="00031671" w:rsidRDefault="00072B90" w:rsidP="00072B90">
      <w:pPr>
        <w:tabs>
          <w:tab w:val="left" w:pos="567"/>
        </w:tabs>
        <w:ind w:left="0" w:firstLine="0"/>
        <w:rPr>
          <w:szCs w:val="22"/>
          <w:u w:val="single"/>
        </w:rPr>
      </w:pPr>
      <w:r w:rsidRPr="00031671">
        <w:rPr>
          <w:szCs w:val="22"/>
          <w:u w:val="single"/>
        </w:rPr>
        <w:t>Pediatrická populácia</w:t>
      </w:r>
    </w:p>
    <w:p w14:paraId="6A0949C4" w14:textId="77777777" w:rsidR="00072B90" w:rsidRPr="00031671" w:rsidRDefault="00072B90" w:rsidP="00762B3B">
      <w:pPr>
        <w:tabs>
          <w:tab w:val="left" w:pos="567"/>
        </w:tabs>
        <w:ind w:left="0" w:firstLine="0"/>
        <w:rPr>
          <w:szCs w:val="22"/>
        </w:rPr>
      </w:pPr>
      <w:r w:rsidRPr="00031671">
        <w:rPr>
          <w:szCs w:val="22"/>
        </w:rPr>
        <w:t>Populačná farmakokinetická (PK) štúdia bola vykonaná u 74 hypertenzných detí vo veku od 1 do 17 rokov (kde 34 pacientov bolo vo veku 6 až 12 rokov a 28 pacientov vo veku 13 až 17 rokov), ktoré užívali amlodipín v dávkach 1,25 mg a 20 mg podávaných buď jedenkrát alebo dvakrát denne. Typický klírens po perorálnom podaní (Cl/F) bol u detí vo veku 6 až 12 rokov 22,5 l/h u chlapcov a 16,4 l/h u dievčat a u dospievajúcich vo veku 13 až 17 rokov bol 27,4 l/h u chlapcov a 21,3 l/h u dievčat. Medzi jednotlivcami bola pozorovaná veľká variabilita v expozícii. Údaje hlásené u detí mladších ako 6 rokov sú obmedzené.</w:t>
      </w:r>
      <w:r w:rsidR="00D428DD" w:rsidRPr="00031671">
        <w:rPr>
          <w:szCs w:val="22"/>
        </w:rPr>
        <w:t xml:space="preserve"> Pozri časť 4.2.</w:t>
      </w:r>
    </w:p>
    <w:p w14:paraId="015FD62C" w14:textId="77777777" w:rsidR="00072B90" w:rsidRPr="00031671" w:rsidRDefault="00072B90" w:rsidP="00072B90">
      <w:pPr>
        <w:ind w:left="0" w:firstLine="0"/>
        <w:rPr>
          <w:b/>
          <w:szCs w:val="22"/>
        </w:rPr>
      </w:pPr>
    </w:p>
    <w:p w14:paraId="54A81406" w14:textId="77777777" w:rsidR="001E1948" w:rsidRPr="00031671" w:rsidRDefault="001E1948" w:rsidP="00506927">
      <w:pPr>
        <w:keepNext/>
        <w:ind w:left="562" w:hanging="562"/>
        <w:rPr>
          <w:szCs w:val="22"/>
        </w:rPr>
      </w:pPr>
      <w:r w:rsidRPr="00031671">
        <w:rPr>
          <w:b/>
          <w:szCs w:val="22"/>
        </w:rPr>
        <w:lastRenderedPageBreak/>
        <w:t>5.3</w:t>
      </w:r>
      <w:r w:rsidRPr="00031671">
        <w:rPr>
          <w:b/>
          <w:szCs w:val="22"/>
        </w:rPr>
        <w:tab/>
        <w:t>Predklinické údaje o bezpečnosti</w:t>
      </w:r>
    </w:p>
    <w:p w14:paraId="4F15134E" w14:textId="77777777" w:rsidR="001E1948" w:rsidRPr="00031671" w:rsidRDefault="001E1948" w:rsidP="00506927">
      <w:pPr>
        <w:keepNext/>
        <w:ind w:left="562" w:hanging="562"/>
        <w:rPr>
          <w:szCs w:val="22"/>
        </w:rPr>
      </w:pPr>
    </w:p>
    <w:p w14:paraId="76927691" w14:textId="0D4EBA5A" w:rsidR="004A33F2" w:rsidRPr="00031671" w:rsidRDefault="004A33F2" w:rsidP="004A33F2">
      <w:pPr>
        <w:ind w:left="0" w:firstLine="0"/>
        <w:rPr>
          <w:i/>
          <w:szCs w:val="22"/>
          <w:u w:val="single"/>
        </w:rPr>
      </w:pPr>
      <w:r w:rsidRPr="00031671">
        <w:rPr>
          <w:i/>
          <w:szCs w:val="22"/>
          <w:u w:val="single"/>
        </w:rPr>
        <w:t>Súvisiace s perindoprilom</w:t>
      </w:r>
    </w:p>
    <w:p w14:paraId="6BDB93B5" w14:textId="77777777" w:rsidR="007061A2" w:rsidRPr="00031671" w:rsidRDefault="007061A2" w:rsidP="00F3126E">
      <w:pPr>
        <w:rPr>
          <w:szCs w:val="22"/>
        </w:rPr>
      </w:pPr>
    </w:p>
    <w:p w14:paraId="61BE6A55" w14:textId="77777777" w:rsidR="001E1948" w:rsidRPr="00031671" w:rsidRDefault="001E1948" w:rsidP="00F3126E">
      <w:pPr>
        <w:ind w:left="0" w:firstLine="0"/>
        <w:rPr>
          <w:bCs/>
          <w:iCs/>
          <w:szCs w:val="22"/>
        </w:rPr>
      </w:pPr>
      <w:r w:rsidRPr="00031671">
        <w:rPr>
          <w:szCs w:val="22"/>
        </w:rPr>
        <w:t>V štúdiách chronickej perorálnej toxicity (na potkanoch a opiciach) sú cieľovým orgánom obličky s reverzibilným poškodením</w:t>
      </w:r>
      <w:r w:rsidRPr="00031671">
        <w:rPr>
          <w:bCs/>
          <w:iCs/>
          <w:szCs w:val="22"/>
        </w:rPr>
        <w:t>.</w:t>
      </w:r>
    </w:p>
    <w:p w14:paraId="61022827" w14:textId="77777777" w:rsidR="00542872" w:rsidRPr="00031671" w:rsidRDefault="00542872" w:rsidP="00F3126E">
      <w:pPr>
        <w:ind w:left="0" w:firstLine="0"/>
        <w:rPr>
          <w:bCs/>
          <w:iCs/>
          <w:szCs w:val="22"/>
        </w:rPr>
      </w:pPr>
    </w:p>
    <w:p w14:paraId="2ACB41E0" w14:textId="77777777" w:rsidR="001E1948" w:rsidRPr="00031671" w:rsidRDefault="001E1948" w:rsidP="00F3126E">
      <w:pPr>
        <w:ind w:left="0" w:firstLine="0"/>
        <w:rPr>
          <w:szCs w:val="22"/>
        </w:rPr>
      </w:pPr>
      <w:r w:rsidRPr="00031671">
        <w:rPr>
          <w:szCs w:val="22"/>
        </w:rPr>
        <w:t xml:space="preserve">Mutagenita nebola pozorovaná v </w:t>
      </w:r>
      <w:r w:rsidRPr="00031671">
        <w:rPr>
          <w:i/>
          <w:szCs w:val="22"/>
        </w:rPr>
        <w:t>in vitro</w:t>
      </w:r>
      <w:r w:rsidRPr="00031671">
        <w:rPr>
          <w:szCs w:val="22"/>
        </w:rPr>
        <w:t xml:space="preserve">, ani v </w:t>
      </w:r>
      <w:r w:rsidRPr="00031671">
        <w:rPr>
          <w:i/>
          <w:szCs w:val="22"/>
        </w:rPr>
        <w:t>in vivo</w:t>
      </w:r>
      <w:r w:rsidRPr="00031671">
        <w:rPr>
          <w:szCs w:val="22"/>
        </w:rPr>
        <w:t xml:space="preserve"> štúdiách.</w:t>
      </w:r>
    </w:p>
    <w:p w14:paraId="52AB02D2" w14:textId="77777777" w:rsidR="00542872" w:rsidRPr="00031671" w:rsidRDefault="00542872" w:rsidP="00F3126E">
      <w:pPr>
        <w:ind w:left="0" w:firstLine="0"/>
        <w:rPr>
          <w:szCs w:val="22"/>
        </w:rPr>
      </w:pPr>
    </w:p>
    <w:p w14:paraId="059800F8" w14:textId="77777777" w:rsidR="00542872" w:rsidRPr="00031671" w:rsidRDefault="001E1948" w:rsidP="00F3126E">
      <w:pPr>
        <w:ind w:left="0" w:firstLine="0"/>
        <w:rPr>
          <w:szCs w:val="22"/>
        </w:rPr>
      </w:pPr>
      <w:r w:rsidRPr="00031671">
        <w:rPr>
          <w:szCs w:val="22"/>
        </w:rPr>
        <w:t>Reprodukčné toxikologické štúdie (na potkanoch, myšiach, králikoch a opiciach) nepreukázali žiadne známky embryotoxicity alebo teratogenity. Pri inhibítoroch angiotenzín</w:t>
      </w:r>
      <w:r w:rsidR="007061A2" w:rsidRPr="00031671">
        <w:rPr>
          <w:szCs w:val="22"/>
        </w:rPr>
        <w:t xml:space="preserve"> </w:t>
      </w:r>
      <w:r w:rsidRPr="00031671">
        <w:rPr>
          <w:szCs w:val="22"/>
        </w:rPr>
        <w:t>konvertujúceho enzýmu ako skupine sa však potvrdilo, že vyvolávajú nežiaduce účinky na neskorý vývoj plodu, čo pri hlodavcoch a králikoch vedie k úmrtiu plodu a</w:t>
      </w:r>
      <w:r w:rsidR="007061A2" w:rsidRPr="00031671">
        <w:rPr>
          <w:szCs w:val="22"/>
        </w:rPr>
        <w:t xml:space="preserve"> k </w:t>
      </w:r>
      <w:r w:rsidRPr="00031671">
        <w:rPr>
          <w:szCs w:val="22"/>
        </w:rPr>
        <w:t>vrodeným defektom: boli pozorované renálne lézie a zvýšenie peri- a postnatálnej mortality.</w:t>
      </w:r>
      <w:r w:rsidR="004A33F2" w:rsidRPr="00031671">
        <w:rPr>
          <w:szCs w:val="22"/>
        </w:rPr>
        <w:t xml:space="preserve"> Plodnosť nebola poškodená ani u samčekov, ani u samičiek potkanov.</w:t>
      </w:r>
    </w:p>
    <w:p w14:paraId="3369D2EE" w14:textId="77777777" w:rsidR="001E1948" w:rsidRPr="00031671" w:rsidRDefault="001E1948" w:rsidP="00F3126E">
      <w:pPr>
        <w:ind w:left="0" w:firstLine="0"/>
        <w:rPr>
          <w:szCs w:val="22"/>
        </w:rPr>
      </w:pPr>
      <w:r w:rsidRPr="00031671">
        <w:rPr>
          <w:szCs w:val="22"/>
        </w:rPr>
        <w:t>V dlhodobých štúdiách na potkanoch a myšiach nebola pozorovaná karcinogenita.</w:t>
      </w:r>
    </w:p>
    <w:p w14:paraId="7DCDCE12" w14:textId="77777777" w:rsidR="001E1948" w:rsidRPr="00031671" w:rsidRDefault="001E1948" w:rsidP="00F3126E">
      <w:pPr>
        <w:ind w:left="0" w:firstLine="0"/>
        <w:rPr>
          <w:szCs w:val="22"/>
        </w:rPr>
      </w:pPr>
    </w:p>
    <w:p w14:paraId="5B679208" w14:textId="204FCDDD" w:rsidR="004A33F2" w:rsidRPr="00031671" w:rsidRDefault="004A33F2" w:rsidP="004A33F2">
      <w:pPr>
        <w:tabs>
          <w:tab w:val="left" w:pos="0"/>
        </w:tabs>
        <w:ind w:left="0" w:firstLine="0"/>
        <w:rPr>
          <w:i/>
          <w:szCs w:val="22"/>
          <w:u w:val="single"/>
        </w:rPr>
      </w:pPr>
      <w:r w:rsidRPr="00031671">
        <w:rPr>
          <w:i/>
          <w:szCs w:val="22"/>
          <w:u w:val="single"/>
        </w:rPr>
        <w:t>Súvisiace s amlodipínom</w:t>
      </w:r>
    </w:p>
    <w:p w14:paraId="2F5A22BC" w14:textId="77777777" w:rsidR="00BC6037" w:rsidRPr="00031671" w:rsidRDefault="00BC6037" w:rsidP="00F3126E">
      <w:pPr>
        <w:ind w:left="0" w:firstLine="0"/>
        <w:rPr>
          <w:szCs w:val="22"/>
        </w:rPr>
      </w:pPr>
    </w:p>
    <w:p w14:paraId="2FF35A5E" w14:textId="77777777" w:rsidR="00394F32" w:rsidRPr="00031671" w:rsidRDefault="00394F32" w:rsidP="00F3126E">
      <w:pPr>
        <w:ind w:left="0" w:firstLine="0"/>
        <w:rPr>
          <w:szCs w:val="22"/>
          <w:u w:val="single"/>
        </w:rPr>
      </w:pPr>
      <w:r w:rsidRPr="00031671">
        <w:rPr>
          <w:szCs w:val="22"/>
          <w:u w:val="single"/>
        </w:rPr>
        <w:t>Reprodukčná toxikológia</w:t>
      </w:r>
    </w:p>
    <w:p w14:paraId="25DE9A59" w14:textId="77777777" w:rsidR="007061A2" w:rsidRPr="00031671" w:rsidRDefault="007061A2" w:rsidP="00F3126E">
      <w:pPr>
        <w:ind w:left="0" w:firstLine="0"/>
        <w:rPr>
          <w:szCs w:val="22"/>
        </w:rPr>
      </w:pPr>
      <w:r w:rsidRPr="00031671">
        <w:rPr>
          <w:szCs w:val="22"/>
        </w:rPr>
        <w:t>Reprodukčné štúdie na potkanoch a myšiach ukázali oneskorený termín pôrodu, predĺžené trvanie pôrodu a zníženie prežitia mláďaťa pri dávkach približne 50-krát vyšších</w:t>
      </w:r>
      <w:r w:rsidR="003115F4" w:rsidRPr="00031671">
        <w:rPr>
          <w:szCs w:val="22"/>
        </w:rPr>
        <w:t>,</w:t>
      </w:r>
      <w:r w:rsidRPr="00031671">
        <w:rPr>
          <w:szCs w:val="22"/>
        </w:rPr>
        <w:t xml:space="preserve"> ako je </w:t>
      </w:r>
      <w:r w:rsidR="00E535ED" w:rsidRPr="00031671">
        <w:rPr>
          <w:szCs w:val="22"/>
        </w:rPr>
        <w:t xml:space="preserve">maximálna </w:t>
      </w:r>
      <w:r w:rsidRPr="00031671">
        <w:rPr>
          <w:szCs w:val="22"/>
        </w:rPr>
        <w:t>odporúčaná dávka pre ľudí prepočítaná na mg/kg.</w:t>
      </w:r>
    </w:p>
    <w:p w14:paraId="67D405C5" w14:textId="77777777" w:rsidR="007061A2" w:rsidRPr="00031671" w:rsidRDefault="007061A2" w:rsidP="00F3126E">
      <w:pPr>
        <w:ind w:left="0" w:firstLine="0"/>
        <w:rPr>
          <w:szCs w:val="22"/>
        </w:rPr>
      </w:pPr>
    </w:p>
    <w:p w14:paraId="4BEE54AC" w14:textId="77777777" w:rsidR="00394F32" w:rsidRPr="00031671" w:rsidRDefault="00394F32" w:rsidP="00F3126E">
      <w:pPr>
        <w:ind w:left="0" w:firstLine="0"/>
        <w:rPr>
          <w:szCs w:val="22"/>
          <w:u w:val="single"/>
        </w:rPr>
      </w:pPr>
      <w:r w:rsidRPr="00031671">
        <w:rPr>
          <w:szCs w:val="22"/>
          <w:u w:val="single"/>
        </w:rPr>
        <w:t>Poškodenie plodnosti</w:t>
      </w:r>
    </w:p>
    <w:p w14:paraId="113318DD" w14:textId="30994F7C" w:rsidR="003115F4" w:rsidRPr="00031671" w:rsidRDefault="003115F4" w:rsidP="00762B3B">
      <w:pPr>
        <w:ind w:left="0" w:firstLine="0"/>
        <w:rPr>
          <w:szCs w:val="22"/>
        </w:rPr>
      </w:pPr>
      <w:r w:rsidRPr="00031671">
        <w:rPr>
          <w:szCs w:val="22"/>
        </w:rPr>
        <w:t>Nebol zaznamenaný žiadny vplyv na fertilitu potkanov liečených amlodipínom (samce počas 64 dní a</w:t>
      </w:r>
      <w:r w:rsidR="00031671" w:rsidRPr="00031671">
        <w:rPr>
          <w:szCs w:val="22"/>
        </w:rPr>
        <w:t> </w:t>
      </w:r>
      <w:r w:rsidRPr="00031671">
        <w:rPr>
          <w:szCs w:val="22"/>
        </w:rPr>
        <w:t>samice počas 14 dní pred párením) v dávkach až do 10 mg/kg/deň (8-krát</w:t>
      </w:r>
      <w:r w:rsidRPr="00031671">
        <w:rPr>
          <w:szCs w:val="22"/>
          <w:vertAlign w:val="superscript"/>
        </w:rPr>
        <w:t>*</w:t>
      </w:r>
      <w:r w:rsidRPr="00031671">
        <w:rPr>
          <w:szCs w:val="22"/>
        </w:rPr>
        <w:t xml:space="preserve"> viac ako maximálna odporúčaná dávka u človeka 10 mg na základe mg/m</w:t>
      </w:r>
      <w:r w:rsidRPr="00031671">
        <w:rPr>
          <w:szCs w:val="22"/>
          <w:vertAlign w:val="superscript"/>
        </w:rPr>
        <w:t>2</w:t>
      </w:r>
      <w:r w:rsidRPr="00031671">
        <w:rPr>
          <w:szCs w:val="22"/>
        </w:rPr>
        <w:t>). V inej štúdii na potkanoch, v ktorej boli samce potkanov liečené amlodipín</w:t>
      </w:r>
      <w:r w:rsidR="000D643C" w:rsidRPr="00031671">
        <w:rPr>
          <w:szCs w:val="22"/>
        </w:rPr>
        <w:t>ium</w:t>
      </w:r>
      <w:r w:rsidRPr="00031671">
        <w:rPr>
          <w:szCs w:val="22"/>
        </w:rPr>
        <w:t>besilátom počas 30 dní v dávke porovnateľnej s dávkou pre ľudí na základe mg/kg, sa zistilo, že sa znížil</w:t>
      </w:r>
      <w:r w:rsidR="00FA6871" w:rsidRPr="00031671">
        <w:rPr>
          <w:szCs w:val="22"/>
        </w:rPr>
        <w:t>i</w:t>
      </w:r>
      <w:r w:rsidRPr="00031671">
        <w:rPr>
          <w:szCs w:val="22"/>
        </w:rPr>
        <w:t xml:space="preserve"> plazm</w:t>
      </w:r>
      <w:r w:rsidR="006B10AA" w:rsidRPr="00031671">
        <w:rPr>
          <w:szCs w:val="22"/>
        </w:rPr>
        <w:t>atick</w:t>
      </w:r>
      <w:r w:rsidR="00FA6871" w:rsidRPr="00031671">
        <w:rPr>
          <w:szCs w:val="22"/>
        </w:rPr>
        <w:t>é koncentrácie</w:t>
      </w:r>
      <w:r w:rsidRPr="00031671">
        <w:rPr>
          <w:szCs w:val="22"/>
        </w:rPr>
        <w:t xml:space="preserve"> </w:t>
      </w:r>
      <w:r w:rsidR="006B10AA" w:rsidRPr="00031671">
        <w:rPr>
          <w:szCs w:val="22"/>
        </w:rPr>
        <w:t xml:space="preserve">folikuly </w:t>
      </w:r>
      <w:r w:rsidRPr="00031671">
        <w:rPr>
          <w:szCs w:val="22"/>
        </w:rPr>
        <w:t>stimulujúc</w:t>
      </w:r>
      <w:r w:rsidR="00FA6871" w:rsidRPr="00031671">
        <w:rPr>
          <w:szCs w:val="22"/>
        </w:rPr>
        <w:t>eho</w:t>
      </w:r>
      <w:r w:rsidRPr="00031671">
        <w:rPr>
          <w:szCs w:val="22"/>
        </w:rPr>
        <w:t xml:space="preserve"> </w:t>
      </w:r>
      <w:r w:rsidR="006B10AA" w:rsidRPr="00031671">
        <w:rPr>
          <w:szCs w:val="22"/>
        </w:rPr>
        <w:t>hormón</w:t>
      </w:r>
      <w:r w:rsidR="00FA6871" w:rsidRPr="00031671">
        <w:rPr>
          <w:szCs w:val="22"/>
        </w:rPr>
        <w:t>u</w:t>
      </w:r>
      <w:r w:rsidR="006B10AA" w:rsidRPr="00031671">
        <w:rPr>
          <w:szCs w:val="22"/>
        </w:rPr>
        <w:t xml:space="preserve"> </w:t>
      </w:r>
      <w:r w:rsidRPr="00031671">
        <w:rPr>
          <w:szCs w:val="22"/>
        </w:rPr>
        <w:t>a testosterón</w:t>
      </w:r>
      <w:r w:rsidR="00FA6871" w:rsidRPr="00031671">
        <w:rPr>
          <w:szCs w:val="22"/>
        </w:rPr>
        <w:t>u</w:t>
      </w:r>
      <w:r w:rsidRPr="00031671">
        <w:rPr>
          <w:szCs w:val="22"/>
        </w:rPr>
        <w:t>, rovnako</w:t>
      </w:r>
      <w:r w:rsidR="006B10AA" w:rsidRPr="00031671">
        <w:rPr>
          <w:szCs w:val="22"/>
        </w:rPr>
        <w:t xml:space="preserve"> </w:t>
      </w:r>
      <w:r w:rsidRPr="00031671">
        <w:rPr>
          <w:szCs w:val="22"/>
        </w:rPr>
        <w:t>ako zníženie hustot</w:t>
      </w:r>
      <w:r w:rsidR="006B10AA" w:rsidRPr="00031671">
        <w:rPr>
          <w:szCs w:val="22"/>
        </w:rPr>
        <w:t>y</w:t>
      </w:r>
      <w:r w:rsidRPr="00031671">
        <w:rPr>
          <w:szCs w:val="22"/>
        </w:rPr>
        <w:t xml:space="preserve"> spermií a</w:t>
      </w:r>
      <w:r w:rsidR="008E46C8" w:rsidRPr="00031671">
        <w:rPr>
          <w:szCs w:val="22"/>
        </w:rPr>
        <w:t> </w:t>
      </w:r>
      <w:r w:rsidRPr="00031671">
        <w:rPr>
          <w:szCs w:val="22"/>
        </w:rPr>
        <w:t>počet</w:t>
      </w:r>
      <w:r w:rsidR="008E46C8" w:rsidRPr="00031671">
        <w:rPr>
          <w:szCs w:val="22"/>
        </w:rPr>
        <w:t xml:space="preserve"> </w:t>
      </w:r>
      <w:r w:rsidRPr="00031671">
        <w:rPr>
          <w:szCs w:val="22"/>
        </w:rPr>
        <w:t>zrelých</w:t>
      </w:r>
      <w:r w:rsidR="008E46C8" w:rsidRPr="00031671">
        <w:rPr>
          <w:szCs w:val="22"/>
        </w:rPr>
        <w:t xml:space="preserve"> </w:t>
      </w:r>
      <w:r w:rsidRPr="00031671">
        <w:rPr>
          <w:szCs w:val="22"/>
        </w:rPr>
        <w:t>spermat</w:t>
      </w:r>
      <w:r w:rsidR="008E46C8" w:rsidRPr="00031671">
        <w:rPr>
          <w:szCs w:val="22"/>
        </w:rPr>
        <w:t>í</w:t>
      </w:r>
      <w:r w:rsidRPr="00031671">
        <w:rPr>
          <w:szCs w:val="22"/>
        </w:rPr>
        <w:t>d</w:t>
      </w:r>
      <w:r w:rsidR="006B10AA" w:rsidRPr="00031671">
        <w:rPr>
          <w:szCs w:val="22"/>
        </w:rPr>
        <w:t xml:space="preserve"> </w:t>
      </w:r>
      <w:r w:rsidRPr="00031671">
        <w:rPr>
          <w:szCs w:val="22"/>
        </w:rPr>
        <w:t>a Sertoliho buniek.</w:t>
      </w:r>
    </w:p>
    <w:p w14:paraId="704D899C" w14:textId="77777777" w:rsidR="003115F4" w:rsidRPr="00031671" w:rsidRDefault="003115F4" w:rsidP="00F3126E">
      <w:pPr>
        <w:ind w:left="0" w:firstLine="0"/>
        <w:rPr>
          <w:szCs w:val="22"/>
        </w:rPr>
      </w:pPr>
    </w:p>
    <w:p w14:paraId="69A50FC5" w14:textId="77777777" w:rsidR="00394F32" w:rsidRPr="00031671" w:rsidRDefault="00394F32" w:rsidP="00F3126E">
      <w:pPr>
        <w:ind w:left="0" w:firstLine="0"/>
        <w:rPr>
          <w:szCs w:val="22"/>
          <w:u w:val="single"/>
        </w:rPr>
      </w:pPr>
      <w:r w:rsidRPr="00031671">
        <w:rPr>
          <w:szCs w:val="22"/>
          <w:u w:val="single"/>
        </w:rPr>
        <w:t>Karcinogenéza, mutagenéza</w:t>
      </w:r>
    </w:p>
    <w:p w14:paraId="7C5ADA32" w14:textId="77777777" w:rsidR="008E46C8" w:rsidRPr="00031671" w:rsidRDefault="003115F4" w:rsidP="00F3126E">
      <w:pPr>
        <w:ind w:left="0" w:firstLine="0"/>
        <w:rPr>
          <w:szCs w:val="22"/>
        </w:rPr>
      </w:pPr>
      <w:r w:rsidRPr="00031671">
        <w:rPr>
          <w:szCs w:val="22"/>
        </w:rPr>
        <w:t>Potkan</w:t>
      </w:r>
      <w:r w:rsidR="008E46C8" w:rsidRPr="00031671">
        <w:rPr>
          <w:szCs w:val="22"/>
        </w:rPr>
        <w:t xml:space="preserve">y </w:t>
      </w:r>
      <w:r w:rsidRPr="00031671">
        <w:rPr>
          <w:szCs w:val="22"/>
        </w:rPr>
        <w:t>a</w:t>
      </w:r>
      <w:r w:rsidR="008E46C8" w:rsidRPr="00031671">
        <w:rPr>
          <w:szCs w:val="22"/>
        </w:rPr>
        <w:t> </w:t>
      </w:r>
      <w:r w:rsidRPr="00031671">
        <w:rPr>
          <w:szCs w:val="22"/>
        </w:rPr>
        <w:t>myš</w:t>
      </w:r>
      <w:r w:rsidR="008E46C8" w:rsidRPr="00031671">
        <w:rPr>
          <w:szCs w:val="22"/>
        </w:rPr>
        <w:t xml:space="preserve">i, ktoré dostávali amlodipín </w:t>
      </w:r>
      <w:r w:rsidRPr="00031671">
        <w:rPr>
          <w:szCs w:val="22"/>
        </w:rPr>
        <w:t>v</w:t>
      </w:r>
      <w:r w:rsidR="0048416B" w:rsidRPr="00031671">
        <w:rPr>
          <w:szCs w:val="22"/>
        </w:rPr>
        <w:t> </w:t>
      </w:r>
      <w:r w:rsidRPr="00031671">
        <w:rPr>
          <w:szCs w:val="22"/>
        </w:rPr>
        <w:t>potrave</w:t>
      </w:r>
      <w:r w:rsidR="0048416B" w:rsidRPr="00031671">
        <w:rPr>
          <w:szCs w:val="22"/>
        </w:rPr>
        <w:t xml:space="preserve"> </w:t>
      </w:r>
      <w:r w:rsidRPr="00031671">
        <w:rPr>
          <w:szCs w:val="22"/>
        </w:rPr>
        <w:t>po</w:t>
      </w:r>
      <w:r w:rsidR="008E46C8" w:rsidRPr="00031671">
        <w:rPr>
          <w:szCs w:val="22"/>
        </w:rPr>
        <w:t>čas ob</w:t>
      </w:r>
      <w:r w:rsidRPr="00031671">
        <w:rPr>
          <w:szCs w:val="22"/>
        </w:rPr>
        <w:t>dob</w:t>
      </w:r>
      <w:r w:rsidR="008E46C8" w:rsidRPr="00031671">
        <w:rPr>
          <w:szCs w:val="22"/>
        </w:rPr>
        <w:t>ia</w:t>
      </w:r>
      <w:r w:rsidRPr="00031671">
        <w:rPr>
          <w:szCs w:val="22"/>
        </w:rPr>
        <w:t xml:space="preserve"> dvoch</w:t>
      </w:r>
      <w:r w:rsidR="008E46C8" w:rsidRPr="00031671">
        <w:rPr>
          <w:szCs w:val="22"/>
        </w:rPr>
        <w:t xml:space="preserve"> </w:t>
      </w:r>
      <w:r w:rsidRPr="00031671">
        <w:rPr>
          <w:szCs w:val="22"/>
        </w:rPr>
        <w:t>rokov v</w:t>
      </w:r>
      <w:r w:rsidR="008E46C8" w:rsidRPr="00031671">
        <w:rPr>
          <w:szCs w:val="22"/>
        </w:rPr>
        <w:t xml:space="preserve">o vypočítaných </w:t>
      </w:r>
      <w:r w:rsidRPr="00031671">
        <w:rPr>
          <w:szCs w:val="22"/>
        </w:rPr>
        <w:t>koncentráciách</w:t>
      </w:r>
      <w:r w:rsidR="008E46C8" w:rsidRPr="00031671">
        <w:rPr>
          <w:szCs w:val="22"/>
        </w:rPr>
        <w:t xml:space="preserve">, aby </w:t>
      </w:r>
      <w:r w:rsidRPr="00031671">
        <w:rPr>
          <w:szCs w:val="22"/>
        </w:rPr>
        <w:t>poskytova</w:t>
      </w:r>
      <w:r w:rsidR="008E46C8" w:rsidRPr="00031671">
        <w:rPr>
          <w:szCs w:val="22"/>
        </w:rPr>
        <w:t>li hladiny denných</w:t>
      </w:r>
      <w:r w:rsidRPr="00031671">
        <w:rPr>
          <w:szCs w:val="22"/>
        </w:rPr>
        <w:t xml:space="preserve"> dáv</w:t>
      </w:r>
      <w:r w:rsidR="008E46C8" w:rsidRPr="00031671">
        <w:rPr>
          <w:szCs w:val="22"/>
        </w:rPr>
        <w:t>o</w:t>
      </w:r>
      <w:r w:rsidRPr="00031671">
        <w:rPr>
          <w:szCs w:val="22"/>
        </w:rPr>
        <w:t>k</w:t>
      </w:r>
      <w:r w:rsidR="008E46C8" w:rsidRPr="00031671">
        <w:rPr>
          <w:szCs w:val="22"/>
        </w:rPr>
        <w:t xml:space="preserve"> </w:t>
      </w:r>
      <w:r w:rsidRPr="00031671">
        <w:rPr>
          <w:szCs w:val="22"/>
        </w:rPr>
        <w:t>0,5,</w:t>
      </w:r>
      <w:r w:rsidR="0048416B" w:rsidRPr="00031671">
        <w:rPr>
          <w:szCs w:val="22"/>
        </w:rPr>
        <w:t xml:space="preserve"> </w:t>
      </w:r>
      <w:smartTag w:uri="urn:schemas-microsoft-com:office:smarttags" w:element="metricconverter">
        <w:smartTagPr>
          <w:attr w:name="ProductID" w:val="1,25 a"/>
        </w:smartTagPr>
        <w:r w:rsidRPr="00031671">
          <w:rPr>
            <w:szCs w:val="22"/>
          </w:rPr>
          <w:t>1,25</w:t>
        </w:r>
        <w:r w:rsidR="0048416B" w:rsidRPr="00031671">
          <w:rPr>
            <w:szCs w:val="22"/>
          </w:rPr>
          <w:t xml:space="preserve"> </w:t>
        </w:r>
        <w:r w:rsidRPr="00031671">
          <w:rPr>
            <w:szCs w:val="22"/>
          </w:rPr>
          <w:t>a</w:t>
        </w:r>
      </w:smartTag>
      <w:r w:rsidRPr="00031671">
        <w:rPr>
          <w:szCs w:val="22"/>
        </w:rPr>
        <w:t xml:space="preserve"> 2,5</w:t>
      </w:r>
      <w:r w:rsidR="0048416B" w:rsidRPr="00031671">
        <w:rPr>
          <w:szCs w:val="22"/>
        </w:rPr>
        <w:t xml:space="preserve"> </w:t>
      </w:r>
      <w:r w:rsidRPr="00031671">
        <w:rPr>
          <w:szCs w:val="22"/>
        </w:rPr>
        <w:t>mg/kg/deň</w:t>
      </w:r>
      <w:r w:rsidR="008E46C8" w:rsidRPr="00031671">
        <w:rPr>
          <w:szCs w:val="22"/>
        </w:rPr>
        <w:t xml:space="preserve">, </w:t>
      </w:r>
      <w:r w:rsidRPr="00031671">
        <w:rPr>
          <w:szCs w:val="22"/>
        </w:rPr>
        <w:t>nepre</w:t>
      </w:r>
      <w:r w:rsidR="008E46C8" w:rsidRPr="00031671">
        <w:rPr>
          <w:szCs w:val="22"/>
        </w:rPr>
        <w:t xml:space="preserve">javili </w:t>
      </w:r>
      <w:r w:rsidRPr="00031671">
        <w:rPr>
          <w:szCs w:val="22"/>
        </w:rPr>
        <w:t xml:space="preserve">žiadne </w:t>
      </w:r>
      <w:r w:rsidR="008E46C8" w:rsidRPr="00031671">
        <w:rPr>
          <w:szCs w:val="22"/>
        </w:rPr>
        <w:t>známky karcinogenity</w:t>
      </w:r>
      <w:r w:rsidRPr="00031671">
        <w:rPr>
          <w:szCs w:val="22"/>
        </w:rPr>
        <w:t>.</w:t>
      </w:r>
      <w:r w:rsidR="008E46C8" w:rsidRPr="00031671">
        <w:rPr>
          <w:szCs w:val="22"/>
        </w:rPr>
        <w:t xml:space="preserve"> </w:t>
      </w:r>
      <w:r w:rsidRPr="00031671">
        <w:rPr>
          <w:szCs w:val="22"/>
        </w:rPr>
        <w:t>Najvyššia</w:t>
      </w:r>
      <w:r w:rsidR="008E46C8" w:rsidRPr="00031671">
        <w:rPr>
          <w:szCs w:val="22"/>
        </w:rPr>
        <w:t xml:space="preserve"> </w:t>
      </w:r>
      <w:r w:rsidRPr="00031671">
        <w:rPr>
          <w:szCs w:val="22"/>
        </w:rPr>
        <w:t>dávka</w:t>
      </w:r>
      <w:r w:rsidR="008E46C8" w:rsidRPr="00031671">
        <w:rPr>
          <w:szCs w:val="22"/>
        </w:rPr>
        <w:t xml:space="preserve"> </w:t>
      </w:r>
      <w:r w:rsidRPr="00031671">
        <w:rPr>
          <w:szCs w:val="22"/>
        </w:rPr>
        <w:t>(u myší, podobne,</w:t>
      </w:r>
      <w:r w:rsidR="0048416B" w:rsidRPr="00031671">
        <w:rPr>
          <w:szCs w:val="22"/>
        </w:rPr>
        <w:t xml:space="preserve"> </w:t>
      </w:r>
      <w:r w:rsidRPr="00031671">
        <w:rPr>
          <w:szCs w:val="22"/>
        </w:rPr>
        <w:t>a</w:t>
      </w:r>
      <w:r w:rsidR="008E46C8" w:rsidRPr="00031671">
        <w:rPr>
          <w:szCs w:val="22"/>
        </w:rPr>
        <w:t xml:space="preserve"> u potkanov </w:t>
      </w:r>
      <w:r w:rsidRPr="00031671">
        <w:rPr>
          <w:szCs w:val="22"/>
        </w:rPr>
        <w:t>dv</w:t>
      </w:r>
      <w:r w:rsidR="008E46C8" w:rsidRPr="00031671">
        <w:rPr>
          <w:szCs w:val="22"/>
        </w:rPr>
        <w:t>ojnásobná</w:t>
      </w:r>
      <w:r w:rsidRPr="00031671">
        <w:rPr>
          <w:szCs w:val="22"/>
        </w:rPr>
        <w:t>*</w:t>
      </w:r>
      <w:r w:rsidR="008E46C8" w:rsidRPr="00031671">
        <w:rPr>
          <w:szCs w:val="22"/>
        </w:rPr>
        <w:t xml:space="preserve"> </w:t>
      </w:r>
      <w:r w:rsidRPr="00031671">
        <w:rPr>
          <w:szCs w:val="22"/>
        </w:rPr>
        <w:t>maximálna</w:t>
      </w:r>
      <w:r w:rsidR="008E46C8" w:rsidRPr="00031671">
        <w:rPr>
          <w:szCs w:val="22"/>
        </w:rPr>
        <w:t xml:space="preserve"> </w:t>
      </w:r>
      <w:r w:rsidRPr="00031671">
        <w:rPr>
          <w:szCs w:val="22"/>
        </w:rPr>
        <w:t>odporúčaná</w:t>
      </w:r>
      <w:r w:rsidR="008E46C8" w:rsidRPr="00031671">
        <w:rPr>
          <w:szCs w:val="22"/>
        </w:rPr>
        <w:t xml:space="preserve"> </w:t>
      </w:r>
      <w:r w:rsidRPr="00031671">
        <w:rPr>
          <w:szCs w:val="22"/>
        </w:rPr>
        <w:t>klinická</w:t>
      </w:r>
      <w:r w:rsidR="0048416B" w:rsidRPr="00031671">
        <w:rPr>
          <w:szCs w:val="22"/>
        </w:rPr>
        <w:t xml:space="preserve"> </w:t>
      </w:r>
      <w:r w:rsidRPr="00031671">
        <w:rPr>
          <w:szCs w:val="22"/>
        </w:rPr>
        <w:t>dávka</w:t>
      </w:r>
      <w:r w:rsidR="0048416B" w:rsidRPr="00031671">
        <w:rPr>
          <w:szCs w:val="22"/>
        </w:rPr>
        <w:t xml:space="preserve"> </w:t>
      </w:r>
      <w:r w:rsidRPr="00031671">
        <w:rPr>
          <w:szCs w:val="22"/>
        </w:rPr>
        <w:t>10 mg</w:t>
      </w:r>
      <w:r w:rsidR="0048416B" w:rsidRPr="00031671">
        <w:rPr>
          <w:szCs w:val="22"/>
        </w:rPr>
        <w:t xml:space="preserve"> </w:t>
      </w:r>
      <w:r w:rsidRPr="00031671">
        <w:rPr>
          <w:szCs w:val="22"/>
        </w:rPr>
        <w:t>na</w:t>
      </w:r>
      <w:r w:rsidR="0048416B" w:rsidRPr="00031671">
        <w:rPr>
          <w:szCs w:val="22"/>
        </w:rPr>
        <w:t xml:space="preserve"> </w:t>
      </w:r>
      <w:r w:rsidRPr="00031671">
        <w:rPr>
          <w:szCs w:val="22"/>
        </w:rPr>
        <w:t>mg/m</w:t>
      </w:r>
      <w:r w:rsidRPr="00031671">
        <w:rPr>
          <w:szCs w:val="22"/>
          <w:vertAlign w:val="superscript"/>
        </w:rPr>
        <w:t>2</w:t>
      </w:r>
      <w:r w:rsidRPr="00031671">
        <w:rPr>
          <w:szCs w:val="22"/>
        </w:rPr>
        <w:t>)</w:t>
      </w:r>
      <w:r w:rsidR="0048416B" w:rsidRPr="00031671">
        <w:rPr>
          <w:szCs w:val="22"/>
        </w:rPr>
        <w:t xml:space="preserve"> </w:t>
      </w:r>
      <w:r w:rsidRPr="00031671">
        <w:rPr>
          <w:szCs w:val="22"/>
        </w:rPr>
        <w:t>bola</w:t>
      </w:r>
      <w:r w:rsidR="008E46C8" w:rsidRPr="00031671">
        <w:rPr>
          <w:szCs w:val="22"/>
        </w:rPr>
        <w:t xml:space="preserve"> blízko pri</w:t>
      </w:r>
      <w:r w:rsidR="0048416B" w:rsidRPr="00031671">
        <w:rPr>
          <w:szCs w:val="22"/>
        </w:rPr>
        <w:t xml:space="preserve"> </w:t>
      </w:r>
      <w:r w:rsidR="008E46C8" w:rsidRPr="00031671">
        <w:rPr>
          <w:szCs w:val="22"/>
        </w:rPr>
        <w:t>maximálnej tolerovanej</w:t>
      </w:r>
      <w:r w:rsidR="0048416B" w:rsidRPr="00031671">
        <w:rPr>
          <w:szCs w:val="22"/>
        </w:rPr>
        <w:t xml:space="preserve"> </w:t>
      </w:r>
      <w:r w:rsidR="008E46C8" w:rsidRPr="00031671">
        <w:rPr>
          <w:szCs w:val="22"/>
        </w:rPr>
        <w:t>dávke</w:t>
      </w:r>
      <w:r w:rsidRPr="00031671">
        <w:rPr>
          <w:szCs w:val="22"/>
        </w:rPr>
        <w:t xml:space="preserve"> </w:t>
      </w:r>
      <w:r w:rsidR="008E46C8" w:rsidRPr="00031671">
        <w:rPr>
          <w:szCs w:val="22"/>
        </w:rPr>
        <w:t>u myší</w:t>
      </w:r>
      <w:r w:rsidRPr="00031671">
        <w:rPr>
          <w:szCs w:val="22"/>
        </w:rPr>
        <w:t>,</w:t>
      </w:r>
      <w:r w:rsidR="0048416B" w:rsidRPr="00031671">
        <w:rPr>
          <w:szCs w:val="22"/>
        </w:rPr>
        <w:t xml:space="preserve"> </w:t>
      </w:r>
      <w:r w:rsidRPr="00031671">
        <w:rPr>
          <w:szCs w:val="22"/>
        </w:rPr>
        <w:t>ale</w:t>
      </w:r>
      <w:r w:rsidR="0048416B" w:rsidRPr="00031671">
        <w:rPr>
          <w:szCs w:val="22"/>
        </w:rPr>
        <w:t xml:space="preserve"> </w:t>
      </w:r>
      <w:r w:rsidRPr="00031671">
        <w:rPr>
          <w:szCs w:val="22"/>
        </w:rPr>
        <w:t xml:space="preserve">nie </w:t>
      </w:r>
      <w:r w:rsidR="008E46C8" w:rsidRPr="00031671">
        <w:rPr>
          <w:szCs w:val="22"/>
        </w:rPr>
        <w:t>u potkanov</w:t>
      </w:r>
      <w:r w:rsidRPr="00031671">
        <w:rPr>
          <w:szCs w:val="22"/>
        </w:rPr>
        <w:t>.</w:t>
      </w:r>
    </w:p>
    <w:p w14:paraId="4471A401" w14:textId="77777777" w:rsidR="008E46C8" w:rsidRPr="00031671" w:rsidRDefault="003115F4" w:rsidP="00F3126E">
      <w:pPr>
        <w:ind w:left="0" w:firstLine="0"/>
        <w:rPr>
          <w:szCs w:val="22"/>
        </w:rPr>
      </w:pPr>
      <w:r w:rsidRPr="00031671">
        <w:rPr>
          <w:szCs w:val="22"/>
        </w:rPr>
        <w:t>Štúdie</w:t>
      </w:r>
      <w:r w:rsidR="008E46C8" w:rsidRPr="00031671">
        <w:rPr>
          <w:szCs w:val="22"/>
        </w:rPr>
        <w:t xml:space="preserve"> </w:t>
      </w:r>
      <w:r w:rsidRPr="00031671">
        <w:rPr>
          <w:szCs w:val="22"/>
        </w:rPr>
        <w:t>mutagenity</w:t>
      </w:r>
      <w:r w:rsidR="008E46C8" w:rsidRPr="00031671">
        <w:rPr>
          <w:szCs w:val="22"/>
        </w:rPr>
        <w:t xml:space="preserve"> </w:t>
      </w:r>
      <w:r w:rsidRPr="00031671">
        <w:rPr>
          <w:szCs w:val="22"/>
        </w:rPr>
        <w:t>neodhalili</w:t>
      </w:r>
      <w:r w:rsidR="008E46C8" w:rsidRPr="00031671">
        <w:rPr>
          <w:szCs w:val="22"/>
        </w:rPr>
        <w:t xml:space="preserve"> </w:t>
      </w:r>
      <w:r w:rsidRPr="00031671">
        <w:rPr>
          <w:szCs w:val="22"/>
        </w:rPr>
        <w:t>žiadne účinky</w:t>
      </w:r>
      <w:r w:rsidR="0048416B" w:rsidRPr="00031671">
        <w:rPr>
          <w:szCs w:val="22"/>
        </w:rPr>
        <w:t xml:space="preserve"> </w:t>
      </w:r>
      <w:r w:rsidR="008E46C8" w:rsidRPr="00031671">
        <w:rPr>
          <w:szCs w:val="22"/>
        </w:rPr>
        <w:t>súvisi</w:t>
      </w:r>
      <w:r w:rsidR="0048416B" w:rsidRPr="00031671">
        <w:rPr>
          <w:szCs w:val="22"/>
        </w:rPr>
        <w:t>a</w:t>
      </w:r>
      <w:r w:rsidR="008E46C8" w:rsidRPr="00031671">
        <w:rPr>
          <w:szCs w:val="22"/>
        </w:rPr>
        <w:t xml:space="preserve">ce s liečivom ani na génovej, ani na chromozómovej </w:t>
      </w:r>
      <w:r w:rsidRPr="00031671">
        <w:rPr>
          <w:szCs w:val="22"/>
        </w:rPr>
        <w:t>úrovni.</w:t>
      </w:r>
    </w:p>
    <w:p w14:paraId="56AD8D28" w14:textId="77777777" w:rsidR="0034482E" w:rsidRPr="00031671" w:rsidRDefault="0034482E" w:rsidP="00F3126E">
      <w:pPr>
        <w:ind w:left="0" w:firstLine="0"/>
        <w:rPr>
          <w:szCs w:val="22"/>
        </w:rPr>
      </w:pPr>
    </w:p>
    <w:p w14:paraId="5B0D2CB8" w14:textId="77777777" w:rsidR="003115F4" w:rsidRPr="00031671" w:rsidRDefault="008E46C8" w:rsidP="00F3126E">
      <w:pPr>
        <w:ind w:left="0" w:firstLine="0"/>
        <w:rPr>
          <w:szCs w:val="22"/>
        </w:rPr>
      </w:pPr>
      <w:r w:rsidRPr="00031671">
        <w:rPr>
          <w:szCs w:val="22"/>
        </w:rPr>
        <w:t>*</w:t>
      </w:r>
      <w:r w:rsidR="003115F4" w:rsidRPr="00031671">
        <w:rPr>
          <w:szCs w:val="22"/>
        </w:rPr>
        <w:t>Na základe</w:t>
      </w:r>
      <w:r w:rsidRPr="00031671">
        <w:rPr>
          <w:szCs w:val="22"/>
        </w:rPr>
        <w:t xml:space="preserve"> </w:t>
      </w:r>
      <w:r w:rsidR="00FA6871" w:rsidRPr="00031671">
        <w:rPr>
          <w:szCs w:val="22"/>
        </w:rPr>
        <w:t xml:space="preserve">telesnej </w:t>
      </w:r>
      <w:r w:rsidR="003115F4" w:rsidRPr="00031671">
        <w:rPr>
          <w:szCs w:val="22"/>
        </w:rPr>
        <w:t>hmotnosti pacienta</w:t>
      </w:r>
      <w:r w:rsidRPr="00031671">
        <w:rPr>
          <w:szCs w:val="22"/>
        </w:rPr>
        <w:t xml:space="preserve"> </w:t>
      </w:r>
      <w:smartTag w:uri="urn:schemas-microsoft-com:office:smarttags" w:element="metricconverter">
        <w:smartTagPr>
          <w:attr w:name="ProductID" w:val="50 kg"/>
        </w:smartTagPr>
        <w:r w:rsidR="003115F4" w:rsidRPr="00031671">
          <w:rPr>
            <w:szCs w:val="22"/>
          </w:rPr>
          <w:t>50</w:t>
        </w:r>
        <w:r w:rsidRPr="00031671">
          <w:rPr>
            <w:szCs w:val="22"/>
          </w:rPr>
          <w:t xml:space="preserve"> </w:t>
        </w:r>
        <w:r w:rsidR="003115F4" w:rsidRPr="00031671">
          <w:rPr>
            <w:szCs w:val="22"/>
          </w:rPr>
          <w:t>kg</w:t>
        </w:r>
      </w:smartTag>
    </w:p>
    <w:p w14:paraId="23796BFB" w14:textId="77777777" w:rsidR="003115F4" w:rsidRPr="00031671" w:rsidRDefault="003115F4" w:rsidP="00F3126E">
      <w:pPr>
        <w:ind w:left="0" w:firstLine="0"/>
        <w:rPr>
          <w:szCs w:val="22"/>
        </w:rPr>
      </w:pPr>
    </w:p>
    <w:p w14:paraId="04304D8F" w14:textId="77777777" w:rsidR="001E1948" w:rsidRPr="00031671" w:rsidRDefault="001E1948" w:rsidP="00F3126E">
      <w:pPr>
        <w:rPr>
          <w:szCs w:val="22"/>
        </w:rPr>
      </w:pPr>
    </w:p>
    <w:p w14:paraId="4C1C2477" w14:textId="77777777" w:rsidR="001E1948" w:rsidRPr="00031671" w:rsidRDefault="001E1948" w:rsidP="00F3126E">
      <w:pPr>
        <w:rPr>
          <w:b/>
          <w:szCs w:val="22"/>
        </w:rPr>
      </w:pPr>
      <w:r w:rsidRPr="00031671">
        <w:rPr>
          <w:b/>
          <w:szCs w:val="22"/>
        </w:rPr>
        <w:t>6.</w:t>
      </w:r>
      <w:r w:rsidRPr="00031671">
        <w:rPr>
          <w:b/>
          <w:szCs w:val="22"/>
        </w:rPr>
        <w:tab/>
        <w:t>FARMACEUTICKÉ INFORMÁCIE</w:t>
      </w:r>
    </w:p>
    <w:p w14:paraId="6EAFC7F0" w14:textId="77777777" w:rsidR="001E1948" w:rsidRPr="00031671" w:rsidRDefault="001E1948" w:rsidP="00F3126E">
      <w:pPr>
        <w:rPr>
          <w:szCs w:val="22"/>
        </w:rPr>
      </w:pPr>
    </w:p>
    <w:p w14:paraId="689632CD" w14:textId="77777777" w:rsidR="001E1948" w:rsidRPr="00031671" w:rsidRDefault="001E1948" w:rsidP="00F3126E">
      <w:pPr>
        <w:rPr>
          <w:szCs w:val="22"/>
        </w:rPr>
      </w:pPr>
      <w:r w:rsidRPr="00031671">
        <w:rPr>
          <w:b/>
          <w:szCs w:val="22"/>
        </w:rPr>
        <w:t>6.1</w:t>
      </w:r>
      <w:r w:rsidRPr="00031671">
        <w:rPr>
          <w:b/>
          <w:szCs w:val="22"/>
        </w:rPr>
        <w:tab/>
        <w:t>Zoznam pomocných látok</w:t>
      </w:r>
    </w:p>
    <w:p w14:paraId="6527E2F9" w14:textId="77777777" w:rsidR="001E1948" w:rsidRPr="00031671" w:rsidRDefault="001E1948" w:rsidP="00F3126E">
      <w:pPr>
        <w:rPr>
          <w:szCs w:val="22"/>
        </w:rPr>
      </w:pPr>
    </w:p>
    <w:p w14:paraId="463B5801" w14:textId="77777777" w:rsidR="00542872" w:rsidRPr="00031671" w:rsidRDefault="00901908" w:rsidP="00F3126E">
      <w:pPr>
        <w:ind w:left="0" w:firstLine="0"/>
        <w:rPr>
          <w:szCs w:val="22"/>
        </w:rPr>
      </w:pPr>
      <w:r w:rsidRPr="00031671">
        <w:rPr>
          <w:szCs w:val="22"/>
        </w:rPr>
        <w:t>m</w:t>
      </w:r>
      <w:r w:rsidR="001E1948" w:rsidRPr="00031671">
        <w:rPr>
          <w:szCs w:val="22"/>
        </w:rPr>
        <w:t>ikrokryštalická celulóza</w:t>
      </w:r>
    </w:p>
    <w:p w14:paraId="6DABE744" w14:textId="77777777" w:rsidR="00542872" w:rsidRPr="00031671" w:rsidRDefault="00901908" w:rsidP="00F3126E">
      <w:pPr>
        <w:ind w:left="0" w:firstLine="0"/>
        <w:rPr>
          <w:szCs w:val="22"/>
        </w:rPr>
      </w:pPr>
      <w:r w:rsidRPr="00031671">
        <w:rPr>
          <w:szCs w:val="22"/>
        </w:rPr>
        <w:t>d</w:t>
      </w:r>
      <w:r w:rsidR="00542872" w:rsidRPr="00031671">
        <w:rPr>
          <w:szCs w:val="22"/>
        </w:rPr>
        <w:t>raselná soľ polakrilínu</w:t>
      </w:r>
    </w:p>
    <w:p w14:paraId="76D411C9" w14:textId="77777777" w:rsidR="001E1948" w:rsidRPr="00031671" w:rsidRDefault="00901908" w:rsidP="00F3126E">
      <w:pPr>
        <w:ind w:left="0" w:firstLine="0"/>
        <w:rPr>
          <w:szCs w:val="22"/>
        </w:rPr>
      </w:pPr>
      <w:r w:rsidRPr="00031671">
        <w:rPr>
          <w:szCs w:val="22"/>
        </w:rPr>
        <w:t>hydrofóbny k</w:t>
      </w:r>
      <w:r w:rsidR="001E1948" w:rsidRPr="00031671">
        <w:rPr>
          <w:szCs w:val="22"/>
        </w:rPr>
        <w:t>oloidný oxid kremičitý</w:t>
      </w:r>
    </w:p>
    <w:p w14:paraId="40BB566A" w14:textId="77777777" w:rsidR="001E1948" w:rsidRPr="00031671" w:rsidRDefault="00901908" w:rsidP="00F3126E">
      <w:pPr>
        <w:ind w:left="0" w:firstLine="0"/>
        <w:rPr>
          <w:szCs w:val="22"/>
        </w:rPr>
      </w:pPr>
      <w:r w:rsidRPr="00031671">
        <w:rPr>
          <w:szCs w:val="22"/>
        </w:rPr>
        <w:t>m</w:t>
      </w:r>
      <w:r w:rsidR="00542872" w:rsidRPr="00031671">
        <w:rPr>
          <w:szCs w:val="22"/>
        </w:rPr>
        <w:t>agnéziumstearát</w:t>
      </w:r>
    </w:p>
    <w:p w14:paraId="6DEEE6DD" w14:textId="77777777" w:rsidR="001E1948" w:rsidRPr="00031671" w:rsidRDefault="001E1948" w:rsidP="00F3126E">
      <w:pPr>
        <w:ind w:left="0" w:firstLine="0"/>
        <w:rPr>
          <w:szCs w:val="22"/>
        </w:rPr>
      </w:pPr>
    </w:p>
    <w:p w14:paraId="011B9BA2" w14:textId="77777777" w:rsidR="001E1948" w:rsidRPr="00031671" w:rsidRDefault="001E1948" w:rsidP="00F3126E">
      <w:pPr>
        <w:rPr>
          <w:szCs w:val="22"/>
        </w:rPr>
      </w:pPr>
      <w:r w:rsidRPr="00031671">
        <w:rPr>
          <w:b/>
          <w:szCs w:val="22"/>
        </w:rPr>
        <w:t>6.2</w:t>
      </w:r>
      <w:r w:rsidRPr="00031671">
        <w:rPr>
          <w:b/>
          <w:szCs w:val="22"/>
        </w:rPr>
        <w:tab/>
        <w:t>Inkompatibility</w:t>
      </w:r>
    </w:p>
    <w:p w14:paraId="1B2E462F" w14:textId="77777777" w:rsidR="001E1948" w:rsidRPr="00031671" w:rsidRDefault="001E1948" w:rsidP="00F3126E">
      <w:pPr>
        <w:rPr>
          <w:szCs w:val="22"/>
        </w:rPr>
      </w:pPr>
    </w:p>
    <w:p w14:paraId="5947329E" w14:textId="77777777" w:rsidR="001E1948" w:rsidRPr="00031671" w:rsidRDefault="001E1948" w:rsidP="00F3126E">
      <w:pPr>
        <w:rPr>
          <w:szCs w:val="22"/>
        </w:rPr>
      </w:pPr>
      <w:r w:rsidRPr="00031671">
        <w:rPr>
          <w:szCs w:val="22"/>
        </w:rPr>
        <w:t>Neaplikovateľné.</w:t>
      </w:r>
    </w:p>
    <w:p w14:paraId="1B6DCFEC" w14:textId="77777777" w:rsidR="001E1948" w:rsidRPr="00031671" w:rsidRDefault="001E1948" w:rsidP="00F3126E">
      <w:pPr>
        <w:rPr>
          <w:szCs w:val="22"/>
        </w:rPr>
      </w:pPr>
    </w:p>
    <w:p w14:paraId="5ECE5DE9" w14:textId="77777777" w:rsidR="001E1948" w:rsidRPr="00031671" w:rsidRDefault="001E1948" w:rsidP="00F3126E">
      <w:pPr>
        <w:rPr>
          <w:szCs w:val="22"/>
        </w:rPr>
      </w:pPr>
      <w:r w:rsidRPr="00031671">
        <w:rPr>
          <w:b/>
          <w:szCs w:val="22"/>
        </w:rPr>
        <w:t>6.3</w:t>
      </w:r>
      <w:r w:rsidRPr="00031671">
        <w:rPr>
          <w:b/>
          <w:szCs w:val="22"/>
        </w:rPr>
        <w:tab/>
        <w:t>Čas použiteľnosti</w:t>
      </w:r>
    </w:p>
    <w:p w14:paraId="2DF590EF" w14:textId="77777777" w:rsidR="001E1948" w:rsidRPr="00031671" w:rsidRDefault="001E1948" w:rsidP="00F3126E">
      <w:pPr>
        <w:rPr>
          <w:szCs w:val="22"/>
        </w:rPr>
      </w:pPr>
    </w:p>
    <w:p w14:paraId="40C5D9C5" w14:textId="048B045E" w:rsidR="001E1948" w:rsidRPr="00031671" w:rsidRDefault="00646324" w:rsidP="00F3126E">
      <w:pPr>
        <w:ind w:left="540" w:hanging="540"/>
        <w:rPr>
          <w:szCs w:val="22"/>
        </w:rPr>
      </w:pPr>
      <w:r>
        <w:rPr>
          <w:szCs w:val="22"/>
        </w:rPr>
        <w:t>3</w:t>
      </w:r>
      <w:r w:rsidRPr="00031671">
        <w:rPr>
          <w:szCs w:val="22"/>
        </w:rPr>
        <w:t xml:space="preserve"> </w:t>
      </w:r>
      <w:r w:rsidR="001E1948" w:rsidRPr="00031671">
        <w:rPr>
          <w:szCs w:val="22"/>
        </w:rPr>
        <w:t>roky</w:t>
      </w:r>
    </w:p>
    <w:p w14:paraId="01403635" w14:textId="77777777" w:rsidR="001E1948" w:rsidRPr="00031671" w:rsidRDefault="001E1948" w:rsidP="00F3126E">
      <w:pPr>
        <w:rPr>
          <w:szCs w:val="22"/>
        </w:rPr>
      </w:pPr>
    </w:p>
    <w:p w14:paraId="176C485A" w14:textId="77777777" w:rsidR="001E1948" w:rsidRPr="00031671" w:rsidRDefault="001E1948" w:rsidP="00F3126E">
      <w:pPr>
        <w:rPr>
          <w:szCs w:val="22"/>
        </w:rPr>
      </w:pPr>
      <w:r w:rsidRPr="00031671">
        <w:rPr>
          <w:b/>
          <w:szCs w:val="22"/>
        </w:rPr>
        <w:t>6.4</w:t>
      </w:r>
      <w:r w:rsidRPr="00031671">
        <w:rPr>
          <w:b/>
          <w:szCs w:val="22"/>
        </w:rPr>
        <w:tab/>
        <w:t>Špeciálne upozornenia na uchovávanie</w:t>
      </w:r>
    </w:p>
    <w:p w14:paraId="302067E9" w14:textId="77777777" w:rsidR="001E1948" w:rsidRPr="00031671" w:rsidRDefault="001E1948" w:rsidP="00F3126E">
      <w:pPr>
        <w:rPr>
          <w:bCs/>
          <w:iCs/>
          <w:szCs w:val="22"/>
        </w:rPr>
      </w:pPr>
    </w:p>
    <w:p w14:paraId="663F11FF" w14:textId="77777777" w:rsidR="00542872" w:rsidRPr="00031671" w:rsidRDefault="00542872" w:rsidP="00F3126E">
      <w:pPr>
        <w:numPr>
          <w:ilvl w:val="12"/>
          <w:numId w:val="0"/>
        </w:numPr>
        <w:ind w:right="-2"/>
        <w:rPr>
          <w:szCs w:val="22"/>
        </w:rPr>
      </w:pPr>
      <w:r w:rsidRPr="00031671">
        <w:rPr>
          <w:szCs w:val="22"/>
        </w:rPr>
        <w:t>Tento liek nevyžaduje žiadne zvláštne teplotné podmienky na uchovávanie.</w:t>
      </w:r>
    </w:p>
    <w:p w14:paraId="1CA25C9C" w14:textId="77777777" w:rsidR="00542872" w:rsidRPr="00031671" w:rsidRDefault="00542872" w:rsidP="00F3126E">
      <w:pPr>
        <w:numPr>
          <w:ilvl w:val="12"/>
          <w:numId w:val="0"/>
        </w:numPr>
        <w:ind w:right="-2"/>
        <w:rPr>
          <w:szCs w:val="22"/>
        </w:rPr>
      </w:pPr>
      <w:r w:rsidRPr="00031671">
        <w:rPr>
          <w:szCs w:val="22"/>
        </w:rPr>
        <w:t xml:space="preserve">Uchovávajte v pôvodnom obale </w:t>
      </w:r>
      <w:r w:rsidRPr="00031671">
        <w:rPr>
          <w:bCs/>
          <w:iCs/>
          <w:szCs w:val="22"/>
        </w:rPr>
        <w:t>na ochranu pred svetlom a vlhkosťou</w:t>
      </w:r>
      <w:r w:rsidRPr="00031671">
        <w:rPr>
          <w:szCs w:val="22"/>
        </w:rPr>
        <w:t>.</w:t>
      </w:r>
    </w:p>
    <w:p w14:paraId="1BC79D4C" w14:textId="77777777" w:rsidR="001E1948" w:rsidRPr="00031671" w:rsidRDefault="001E1948" w:rsidP="00F3126E">
      <w:pPr>
        <w:rPr>
          <w:szCs w:val="22"/>
        </w:rPr>
      </w:pPr>
    </w:p>
    <w:p w14:paraId="53EA312B" w14:textId="77777777" w:rsidR="001E1948" w:rsidRPr="00031671" w:rsidRDefault="001E1948" w:rsidP="00F3126E">
      <w:pPr>
        <w:rPr>
          <w:szCs w:val="22"/>
        </w:rPr>
      </w:pPr>
      <w:r w:rsidRPr="00031671">
        <w:rPr>
          <w:b/>
          <w:szCs w:val="22"/>
        </w:rPr>
        <w:t>6.5</w:t>
      </w:r>
      <w:r w:rsidRPr="00031671">
        <w:rPr>
          <w:b/>
          <w:szCs w:val="22"/>
        </w:rPr>
        <w:tab/>
        <w:t>Druh obalu a obsah balenia</w:t>
      </w:r>
      <w:r w:rsidRPr="00031671">
        <w:rPr>
          <w:b/>
          <w:color w:val="0000FF"/>
          <w:szCs w:val="22"/>
        </w:rPr>
        <w:t xml:space="preserve"> </w:t>
      </w:r>
    </w:p>
    <w:p w14:paraId="5A6D202D" w14:textId="77777777" w:rsidR="001E1948" w:rsidRPr="00031671" w:rsidRDefault="001E1948" w:rsidP="00F3126E">
      <w:pPr>
        <w:rPr>
          <w:szCs w:val="22"/>
        </w:rPr>
      </w:pPr>
    </w:p>
    <w:p w14:paraId="27784B38" w14:textId="1E14C62F" w:rsidR="001E1948" w:rsidRPr="00031671" w:rsidRDefault="00542872" w:rsidP="00FD41E5">
      <w:pPr>
        <w:tabs>
          <w:tab w:val="left" w:pos="7080"/>
        </w:tabs>
        <w:ind w:left="0" w:firstLine="0"/>
        <w:rPr>
          <w:szCs w:val="22"/>
        </w:rPr>
      </w:pPr>
      <w:r w:rsidRPr="00031671">
        <w:rPr>
          <w:szCs w:val="22"/>
        </w:rPr>
        <w:t>30 a 90 tabliet v PA/Al/PVC</w:t>
      </w:r>
      <w:r w:rsidR="005656CE" w:rsidRPr="00031671">
        <w:rPr>
          <w:szCs w:val="22"/>
        </w:rPr>
        <w:t>/</w:t>
      </w:r>
      <w:r w:rsidR="000A2D5B">
        <w:rPr>
          <w:szCs w:val="22"/>
        </w:rPr>
        <w:t>/</w:t>
      </w:r>
      <w:r w:rsidR="005656CE" w:rsidRPr="00031671">
        <w:rPr>
          <w:szCs w:val="22"/>
        </w:rPr>
        <w:t>Al</w:t>
      </w:r>
      <w:r w:rsidRPr="00031671">
        <w:rPr>
          <w:szCs w:val="22"/>
        </w:rPr>
        <w:t xml:space="preserve"> blistri a papierovej škatu</w:t>
      </w:r>
      <w:r w:rsidR="005656CE" w:rsidRPr="00031671">
        <w:rPr>
          <w:szCs w:val="22"/>
        </w:rPr>
        <w:t>ľke</w:t>
      </w:r>
      <w:r w:rsidRPr="00031671">
        <w:rPr>
          <w:szCs w:val="22"/>
        </w:rPr>
        <w:t>.</w:t>
      </w:r>
    </w:p>
    <w:p w14:paraId="4CEA7A43" w14:textId="77777777" w:rsidR="001E1948" w:rsidRPr="00762B3B" w:rsidRDefault="001E1948" w:rsidP="00F3126E">
      <w:pPr>
        <w:pStyle w:val="Zarkazkladnhotextu"/>
        <w:tabs>
          <w:tab w:val="left" w:pos="-142"/>
          <w:tab w:val="left" w:pos="284"/>
        </w:tabs>
        <w:spacing w:after="0"/>
        <w:ind w:left="0" w:firstLine="0"/>
        <w:rPr>
          <w:sz w:val="22"/>
          <w:szCs w:val="22"/>
          <w:lang w:val="sk-SK"/>
        </w:rPr>
      </w:pPr>
      <w:r w:rsidRPr="00506927">
        <w:rPr>
          <w:sz w:val="22"/>
          <w:lang w:val="sk-SK"/>
        </w:rPr>
        <w:t>N</w:t>
      </w:r>
      <w:r w:rsidR="00901908" w:rsidRPr="00762B3B">
        <w:rPr>
          <w:sz w:val="22"/>
          <w:szCs w:val="22"/>
          <w:lang w:val="sk-SK"/>
        </w:rPr>
        <w:t>a trh nemusia byť uvedené</w:t>
      </w:r>
      <w:r w:rsidRPr="00506927">
        <w:rPr>
          <w:sz w:val="22"/>
          <w:lang w:val="sk-SK"/>
        </w:rPr>
        <w:t xml:space="preserve"> všetky veľkosti balenia</w:t>
      </w:r>
      <w:r w:rsidR="00901908" w:rsidRPr="00762B3B">
        <w:rPr>
          <w:sz w:val="22"/>
          <w:szCs w:val="22"/>
          <w:lang w:val="sk-SK"/>
        </w:rPr>
        <w:t xml:space="preserve">. </w:t>
      </w:r>
    </w:p>
    <w:p w14:paraId="5A612ACA" w14:textId="77777777" w:rsidR="001E1948" w:rsidRPr="00031671" w:rsidRDefault="001E1948" w:rsidP="00F3126E">
      <w:pPr>
        <w:rPr>
          <w:szCs w:val="22"/>
        </w:rPr>
      </w:pPr>
    </w:p>
    <w:p w14:paraId="5CB3680A" w14:textId="77777777" w:rsidR="001E1948" w:rsidRPr="00031671" w:rsidRDefault="001E1948" w:rsidP="00F3126E">
      <w:pPr>
        <w:rPr>
          <w:b/>
          <w:bCs/>
          <w:szCs w:val="22"/>
        </w:rPr>
      </w:pPr>
      <w:r w:rsidRPr="00031671">
        <w:rPr>
          <w:b/>
          <w:szCs w:val="22"/>
        </w:rPr>
        <w:t>6.6</w:t>
      </w:r>
      <w:r w:rsidRPr="00031671">
        <w:rPr>
          <w:b/>
          <w:szCs w:val="22"/>
        </w:rPr>
        <w:tab/>
      </w:r>
      <w:r w:rsidRPr="00031671">
        <w:rPr>
          <w:b/>
          <w:bCs/>
          <w:szCs w:val="22"/>
        </w:rPr>
        <w:t>Špeciálne opatrenia na likvidáciu a iné zaobchádzanie s liekom</w:t>
      </w:r>
    </w:p>
    <w:p w14:paraId="69AB2D9C" w14:textId="77777777" w:rsidR="001E1948" w:rsidRPr="00031671" w:rsidRDefault="001E1948" w:rsidP="00F3126E">
      <w:pPr>
        <w:rPr>
          <w:szCs w:val="22"/>
        </w:rPr>
      </w:pPr>
    </w:p>
    <w:p w14:paraId="67019BAD" w14:textId="77777777" w:rsidR="001E1948" w:rsidRPr="00031671" w:rsidRDefault="001E1948" w:rsidP="00F3126E">
      <w:pPr>
        <w:rPr>
          <w:szCs w:val="22"/>
        </w:rPr>
      </w:pPr>
      <w:r w:rsidRPr="00031671">
        <w:rPr>
          <w:szCs w:val="22"/>
        </w:rPr>
        <w:t>Žiadne zvláštne požiadavky.</w:t>
      </w:r>
    </w:p>
    <w:p w14:paraId="43BE2C2A" w14:textId="77777777" w:rsidR="001E1948" w:rsidRPr="00031671" w:rsidRDefault="001E1948" w:rsidP="00F3126E">
      <w:pPr>
        <w:rPr>
          <w:szCs w:val="22"/>
        </w:rPr>
      </w:pPr>
    </w:p>
    <w:p w14:paraId="71B12BCF" w14:textId="77777777" w:rsidR="006E7EBC" w:rsidRPr="00031671" w:rsidRDefault="006E7EBC" w:rsidP="006E7EBC">
      <w:pPr>
        <w:ind w:left="0" w:firstLine="0"/>
        <w:rPr>
          <w:szCs w:val="22"/>
        </w:rPr>
      </w:pPr>
      <w:r w:rsidRPr="00031671">
        <w:rPr>
          <w:szCs w:val="22"/>
        </w:rPr>
        <w:t>Nepoužitý liek alebo odpad vzniknutý z lieku má byť zlikvidovaný v súlade s miestnymi požiadavkami.</w:t>
      </w:r>
    </w:p>
    <w:p w14:paraId="34EA9B43" w14:textId="77777777" w:rsidR="006E7EBC" w:rsidRPr="00031671" w:rsidRDefault="006E7EBC" w:rsidP="006E7EBC">
      <w:pPr>
        <w:ind w:left="0" w:firstLine="0"/>
        <w:rPr>
          <w:szCs w:val="22"/>
        </w:rPr>
      </w:pPr>
    </w:p>
    <w:p w14:paraId="275324F2" w14:textId="77777777" w:rsidR="001E1948" w:rsidRPr="00031671" w:rsidRDefault="001E1948" w:rsidP="00F3126E">
      <w:pPr>
        <w:rPr>
          <w:szCs w:val="22"/>
        </w:rPr>
      </w:pPr>
    </w:p>
    <w:p w14:paraId="3BBD15F5" w14:textId="77777777" w:rsidR="001E1948" w:rsidRPr="00031671" w:rsidRDefault="001E1948" w:rsidP="00F3126E">
      <w:pPr>
        <w:rPr>
          <w:szCs w:val="22"/>
        </w:rPr>
      </w:pPr>
      <w:r w:rsidRPr="00031671">
        <w:rPr>
          <w:b/>
          <w:szCs w:val="22"/>
        </w:rPr>
        <w:t>7.</w:t>
      </w:r>
      <w:r w:rsidRPr="00031671">
        <w:rPr>
          <w:b/>
          <w:szCs w:val="22"/>
        </w:rPr>
        <w:tab/>
        <w:t>DRŽITEĽ ROZHODNUTIA O REGISTRÁCII</w:t>
      </w:r>
    </w:p>
    <w:p w14:paraId="60001AC3" w14:textId="77777777" w:rsidR="001E1948" w:rsidRPr="00031671" w:rsidRDefault="001E1948" w:rsidP="00F3126E">
      <w:pPr>
        <w:rPr>
          <w:szCs w:val="22"/>
        </w:rPr>
      </w:pPr>
    </w:p>
    <w:p w14:paraId="7F0FA4F8" w14:textId="77777777" w:rsidR="00542872" w:rsidRPr="00031671" w:rsidRDefault="00542872" w:rsidP="00F3126E">
      <w:pPr>
        <w:rPr>
          <w:spacing w:val="-1"/>
          <w:szCs w:val="22"/>
        </w:rPr>
      </w:pPr>
      <w:smartTag w:uri="urn:schemas-microsoft-com:office:smarttags" w:element="PersonName">
        <w:smartTagPr>
          <w:attr w:name="ProductID" w:val="Gedeon Richter"/>
        </w:smartTagPr>
        <w:r w:rsidRPr="00031671">
          <w:rPr>
            <w:spacing w:val="-1"/>
            <w:szCs w:val="22"/>
          </w:rPr>
          <w:t>Gedeon Richter</w:t>
        </w:r>
      </w:smartTag>
      <w:r w:rsidRPr="00031671">
        <w:rPr>
          <w:spacing w:val="-1"/>
          <w:szCs w:val="22"/>
        </w:rPr>
        <w:t xml:space="preserve"> Plc.</w:t>
      </w:r>
    </w:p>
    <w:p w14:paraId="1638C125" w14:textId="77777777" w:rsidR="00542872" w:rsidRPr="00031671" w:rsidRDefault="00542872" w:rsidP="00F3126E">
      <w:pPr>
        <w:rPr>
          <w:spacing w:val="-1"/>
          <w:szCs w:val="22"/>
        </w:rPr>
      </w:pPr>
      <w:r w:rsidRPr="00031671">
        <w:rPr>
          <w:spacing w:val="-1"/>
          <w:szCs w:val="22"/>
        </w:rPr>
        <w:t>1103 Budapešť,</w:t>
      </w:r>
    </w:p>
    <w:p w14:paraId="1A567672" w14:textId="77777777" w:rsidR="00542872" w:rsidRPr="00031671" w:rsidRDefault="00542872" w:rsidP="00F3126E">
      <w:pPr>
        <w:rPr>
          <w:spacing w:val="-1"/>
          <w:szCs w:val="22"/>
        </w:rPr>
      </w:pPr>
      <w:r w:rsidRPr="00031671">
        <w:rPr>
          <w:spacing w:val="-1"/>
          <w:szCs w:val="22"/>
        </w:rPr>
        <w:t>Gyömrői út 19-21</w:t>
      </w:r>
    </w:p>
    <w:p w14:paraId="020AAA44" w14:textId="77777777" w:rsidR="00542872" w:rsidRPr="00031671" w:rsidRDefault="00542872" w:rsidP="00F3126E">
      <w:pPr>
        <w:rPr>
          <w:spacing w:val="-1"/>
          <w:szCs w:val="22"/>
        </w:rPr>
      </w:pPr>
      <w:r w:rsidRPr="00031671">
        <w:rPr>
          <w:spacing w:val="-1"/>
          <w:szCs w:val="22"/>
        </w:rPr>
        <w:t>Maďarsko</w:t>
      </w:r>
    </w:p>
    <w:p w14:paraId="6E32A4AE" w14:textId="77777777" w:rsidR="001E1948" w:rsidRPr="00031671" w:rsidRDefault="001E1948" w:rsidP="00F3126E">
      <w:pPr>
        <w:rPr>
          <w:szCs w:val="22"/>
        </w:rPr>
      </w:pPr>
    </w:p>
    <w:p w14:paraId="27E486F9" w14:textId="77777777" w:rsidR="001E1948" w:rsidRPr="00031671" w:rsidRDefault="001E1948" w:rsidP="00F3126E">
      <w:pPr>
        <w:rPr>
          <w:szCs w:val="22"/>
        </w:rPr>
      </w:pPr>
    </w:p>
    <w:p w14:paraId="051ACE1C" w14:textId="77777777" w:rsidR="001E1948" w:rsidRPr="00031671" w:rsidRDefault="001E1948" w:rsidP="00F3126E">
      <w:pPr>
        <w:rPr>
          <w:b/>
          <w:szCs w:val="22"/>
        </w:rPr>
      </w:pPr>
      <w:r w:rsidRPr="00031671">
        <w:rPr>
          <w:b/>
          <w:szCs w:val="22"/>
        </w:rPr>
        <w:t>8.</w:t>
      </w:r>
      <w:r w:rsidRPr="00031671">
        <w:rPr>
          <w:b/>
          <w:szCs w:val="22"/>
        </w:rPr>
        <w:tab/>
        <w:t>REGISTRAČNÉ ČÍSLA</w:t>
      </w:r>
    </w:p>
    <w:p w14:paraId="7061BEDE" w14:textId="77777777" w:rsidR="001E1948" w:rsidRPr="00031671" w:rsidRDefault="001E1948" w:rsidP="00F3126E">
      <w:pPr>
        <w:rPr>
          <w:szCs w:val="22"/>
        </w:rPr>
      </w:pPr>
    </w:p>
    <w:p w14:paraId="70E43B6A" w14:textId="77777777" w:rsidR="00EE45F4" w:rsidRPr="00031671" w:rsidRDefault="00304E8C" w:rsidP="00F3126E">
      <w:pPr>
        <w:rPr>
          <w:szCs w:val="22"/>
        </w:rPr>
      </w:pPr>
      <w:r w:rsidRPr="00031671">
        <w:rPr>
          <w:szCs w:val="22"/>
        </w:rPr>
        <w:t>VIDONORM</w:t>
      </w:r>
      <w:r w:rsidR="00F721E0" w:rsidRPr="00031671">
        <w:rPr>
          <w:szCs w:val="22"/>
        </w:rPr>
        <w:t xml:space="preserve"> 4 mg/5 mg tablety: </w:t>
      </w:r>
      <w:r w:rsidR="00EE45F4" w:rsidRPr="00031671">
        <w:rPr>
          <w:szCs w:val="22"/>
        </w:rPr>
        <w:t>58/0167/12-S</w:t>
      </w:r>
    </w:p>
    <w:p w14:paraId="7EC83994" w14:textId="77777777" w:rsidR="00EE45F4" w:rsidRPr="00031671" w:rsidRDefault="00304E8C" w:rsidP="00F721E0">
      <w:pPr>
        <w:rPr>
          <w:szCs w:val="22"/>
        </w:rPr>
      </w:pPr>
      <w:r w:rsidRPr="00031671">
        <w:rPr>
          <w:szCs w:val="22"/>
        </w:rPr>
        <w:t>VIDONORM</w:t>
      </w:r>
      <w:r w:rsidR="00F721E0" w:rsidRPr="00031671">
        <w:rPr>
          <w:szCs w:val="22"/>
        </w:rPr>
        <w:t xml:space="preserve"> </w:t>
      </w:r>
      <w:r w:rsidR="00977BD3" w:rsidRPr="00031671">
        <w:rPr>
          <w:szCs w:val="22"/>
        </w:rPr>
        <w:t>8</w:t>
      </w:r>
      <w:r w:rsidR="00F721E0" w:rsidRPr="00031671">
        <w:rPr>
          <w:szCs w:val="22"/>
        </w:rPr>
        <w:t xml:space="preserve"> mg/5 mg tablety: </w:t>
      </w:r>
      <w:r w:rsidR="00EE45F4" w:rsidRPr="00031671">
        <w:rPr>
          <w:szCs w:val="22"/>
        </w:rPr>
        <w:t>58/0168/12-S</w:t>
      </w:r>
    </w:p>
    <w:p w14:paraId="6255EE81" w14:textId="77777777" w:rsidR="00EE45F4" w:rsidRPr="00031671" w:rsidRDefault="00304E8C" w:rsidP="00F721E0">
      <w:pPr>
        <w:rPr>
          <w:szCs w:val="22"/>
        </w:rPr>
      </w:pPr>
      <w:r w:rsidRPr="00031671">
        <w:rPr>
          <w:szCs w:val="22"/>
        </w:rPr>
        <w:t>VIDONORM</w:t>
      </w:r>
      <w:r w:rsidR="00F721E0" w:rsidRPr="00031671">
        <w:rPr>
          <w:szCs w:val="22"/>
        </w:rPr>
        <w:t xml:space="preserve"> 4 mg/</w:t>
      </w:r>
      <w:r w:rsidR="00977BD3" w:rsidRPr="00031671">
        <w:rPr>
          <w:szCs w:val="22"/>
        </w:rPr>
        <w:t>10</w:t>
      </w:r>
      <w:r w:rsidR="00F721E0" w:rsidRPr="00031671">
        <w:rPr>
          <w:szCs w:val="22"/>
        </w:rPr>
        <w:t xml:space="preserve"> mg tablety: </w:t>
      </w:r>
      <w:r w:rsidR="00EE45F4" w:rsidRPr="00031671">
        <w:rPr>
          <w:szCs w:val="22"/>
        </w:rPr>
        <w:t>58/0169/12-S</w:t>
      </w:r>
    </w:p>
    <w:p w14:paraId="15ABC1ED" w14:textId="77777777" w:rsidR="00EE45F4" w:rsidRPr="00031671" w:rsidRDefault="00304E8C" w:rsidP="00F721E0">
      <w:pPr>
        <w:rPr>
          <w:szCs w:val="22"/>
        </w:rPr>
      </w:pPr>
      <w:r w:rsidRPr="00031671">
        <w:rPr>
          <w:szCs w:val="22"/>
        </w:rPr>
        <w:t>VIDONORM</w:t>
      </w:r>
      <w:r w:rsidR="00F721E0" w:rsidRPr="00031671">
        <w:rPr>
          <w:szCs w:val="22"/>
        </w:rPr>
        <w:t xml:space="preserve"> </w:t>
      </w:r>
      <w:r w:rsidR="00977BD3" w:rsidRPr="00031671">
        <w:rPr>
          <w:szCs w:val="22"/>
        </w:rPr>
        <w:t>8 mg/10</w:t>
      </w:r>
      <w:r w:rsidR="00F721E0" w:rsidRPr="00031671">
        <w:rPr>
          <w:szCs w:val="22"/>
        </w:rPr>
        <w:t xml:space="preserve"> mg tablety: </w:t>
      </w:r>
      <w:r w:rsidR="00EE45F4" w:rsidRPr="00031671">
        <w:rPr>
          <w:szCs w:val="22"/>
        </w:rPr>
        <w:t>58/0170/12-S</w:t>
      </w:r>
    </w:p>
    <w:p w14:paraId="793B6C9F" w14:textId="77777777" w:rsidR="001E1948" w:rsidRPr="00031671" w:rsidRDefault="001E1948" w:rsidP="00F3126E">
      <w:pPr>
        <w:rPr>
          <w:szCs w:val="22"/>
        </w:rPr>
      </w:pPr>
    </w:p>
    <w:p w14:paraId="77C3138F" w14:textId="77777777" w:rsidR="001E1948" w:rsidRPr="00031671" w:rsidRDefault="001E1948" w:rsidP="00F3126E">
      <w:pPr>
        <w:rPr>
          <w:szCs w:val="22"/>
        </w:rPr>
      </w:pPr>
    </w:p>
    <w:p w14:paraId="11D24246" w14:textId="77777777" w:rsidR="001E1948" w:rsidRPr="00031671" w:rsidRDefault="00542872" w:rsidP="00F3126E">
      <w:pPr>
        <w:rPr>
          <w:szCs w:val="22"/>
        </w:rPr>
      </w:pPr>
      <w:r w:rsidRPr="00031671">
        <w:rPr>
          <w:b/>
          <w:szCs w:val="22"/>
        </w:rPr>
        <w:t>9.</w:t>
      </w:r>
      <w:r w:rsidRPr="00031671">
        <w:rPr>
          <w:b/>
          <w:szCs w:val="22"/>
        </w:rPr>
        <w:tab/>
        <w:t>DÁTUM PRVEJ REGISTRÁCIE/</w:t>
      </w:r>
      <w:r w:rsidR="001E1948" w:rsidRPr="00031671">
        <w:rPr>
          <w:b/>
          <w:szCs w:val="22"/>
        </w:rPr>
        <w:t>PREDĹŽENIA REGISTRÁCIE</w:t>
      </w:r>
    </w:p>
    <w:p w14:paraId="4A452B81" w14:textId="77777777" w:rsidR="001E1948" w:rsidRPr="00031671" w:rsidRDefault="001E1948" w:rsidP="00F3126E">
      <w:pPr>
        <w:rPr>
          <w:szCs w:val="22"/>
        </w:rPr>
      </w:pPr>
    </w:p>
    <w:p w14:paraId="5AA2D6EB" w14:textId="77777777" w:rsidR="0052763B" w:rsidRPr="00031671" w:rsidRDefault="0052763B" w:rsidP="0052763B">
      <w:r w:rsidRPr="00031671">
        <w:t>Dátum prvej registrácie: 2. apríla 2012</w:t>
      </w:r>
    </w:p>
    <w:p w14:paraId="2AA6D3C1" w14:textId="77777777" w:rsidR="0052763B" w:rsidRPr="00031671" w:rsidRDefault="0052763B" w:rsidP="00F3126E">
      <w:pPr>
        <w:rPr>
          <w:szCs w:val="22"/>
        </w:rPr>
      </w:pPr>
    </w:p>
    <w:p w14:paraId="5D16690E" w14:textId="77777777" w:rsidR="001E1948" w:rsidRPr="00031671" w:rsidRDefault="001E1948" w:rsidP="00F3126E">
      <w:pPr>
        <w:rPr>
          <w:szCs w:val="22"/>
        </w:rPr>
      </w:pPr>
    </w:p>
    <w:p w14:paraId="3FC9250A" w14:textId="77777777" w:rsidR="001E1948" w:rsidRPr="00031671" w:rsidRDefault="001E1948" w:rsidP="00F3126E">
      <w:pPr>
        <w:rPr>
          <w:b/>
          <w:szCs w:val="22"/>
        </w:rPr>
      </w:pPr>
      <w:r w:rsidRPr="00031671">
        <w:rPr>
          <w:b/>
          <w:szCs w:val="22"/>
        </w:rPr>
        <w:t>10.</w:t>
      </w:r>
      <w:r w:rsidRPr="00031671">
        <w:rPr>
          <w:b/>
          <w:szCs w:val="22"/>
        </w:rPr>
        <w:tab/>
        <w:t>DÁTUM REVÍZIE TEXTU</w:t>
      </w:r>
    </w:p>
    <w:p w14:paraId="229EBA24" w14:textId="77777777" w:rsidR="00C11C2F" w:rsidRPr="007B2AC0" w:rsidRDefault="00C11C2F" w:rsidP="00F3126E">
      <w:pPr>
        <w:rPr>
          <w:szCs w:val="22"/>
        </w:rPr>
      </w:pPr>
    </w:p>
    <w:p w14:paraId="454DAEB7" w14:textId="39F10A8F" w:rsidR="00FA01FD" w:rsidRPr="007B2AC0" w:rsidRDefault="007B2AC0" w:rsidP="00FA01FD">
      <w:pPr>
        <w:pStyle w:val="Default"/>
        <w:rPr>
          <w:rFonts w:ascii="Times New Roman" w:hAnsi="Times New Roman" w:cs="Times New Roman"/>
          <w:color w:val="auto"/>
          <w:sz w:val="22"/>
          <w:szCs w:val="22"/>
        </w:rPr>
      </w:pPr>
      <w:r w:rsidRPr="007B2AC0">
        <w:rPr>
          <w:szCs w:val="22"/>
        </w:rPr>
        <w:t>Máj 2018</w:t>
      </w:r>
    </w:p>
    <w:sectPr w:rsidR="00FA01FD" w:rsidRPr="007B2AC0">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8FB91" w14:textId="77777777" w:rsidR="000068ED" w:rsidRDefault="000068ED" w:rsidP="007B2C1A">
      <w:r>
        <w:separator/>
      </w:r>
    </w:p>
  </w:endnote>
  <w:endnote w:type="continuationSeparator" w:id="0">
    <w:p w14:paraId="1A254847" w14:textId="77777777" w:rsidR="000068ED" w:rsidRDefault="000068ED" w:rsidP="007B2C1A">
      <w:r>
        <w:continuationSeparator/>
      </w:r>
    </w:p>
  </w:endnote>
  <w:endnote w:type="continuationNotice" w:id="1">
    <w:p w14:paraId="31A6AC2F" w14:textId="77777777" w:rsidR="000068ED" w:rsidRDefault="00006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46BC2" w14:textId="77777777" w:rsidR="00871363" w:rsidRPr="00506927" w:rsidRDefault="00871363">
    <w:pPr>
      <w:pStyle w:val="Pta"/>
      <w:jc w:val="center"/>
      <w:rPr>
        <w:sz w:val="18"/>
        <w:szCs w:val="18"/>
      </w:rPr>
    </w:pPr>
    <w:r w:rsidRPr="00506927">
      <w:rPr>
        <w:sz w:val="18"/>
        <w:szCs w:val="18"/>
      </w:rPr>
      <w:fldChar w:fldCharType="begin"/>
    </w:r>
    <w:r w:rsidRPr="00506927">
      <w:rPr>
        <w:sz w:val="18"/>
        <w:szCs w:val="18"/>
      </w:rPr>
      <w:instrText>PAGE   \* MERGEFORMAT</w:instrText>
    </w:r>
    <w:r w:rsidRPr="00506927">
      <w:rPr>
        <w:sz w:val="18"/>
        <w:szCs w:val="18"/>
      </w:rPr>
      <w:fldChar w:fldCharType="separate"/>
    </w:r>
    <w:r w:rsidR="00506927">
      <w:rPr>
        <w:noProof/>
        <w:sz w:val="18"/>
        <w:szCs w:val="18"/>
      </w:rPr>
      <w:t>1</w:t>
    </w:r>
    <w:r w:rsidRPr="00506927">
      <w:rPr>
        <w:sz w:val="18"/>
        <w:szCs w:val="18"/>
      </w:rPr>
      <w:fldChar w:fldCharType="end"/>
    </w:r>
  </w:p>
  <w:p w14:paraId="0616E40C" w14:textId="77777777" w:rsidR="00871363" w:rsidRDefault="0087136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9E470" w14:textId="77777777" w:rsidR="000068ED" w:rsidRDefault="000068ED" w:rsidP="007B2C1A">
      <w:r>
        <w:separator/>
      </w:r>
    </w:p>
  </w:footnote>
  <w:footnote w:type="continuationSeparator" w:id="0">
    <w:p w14:paraId="746F8E68" w14:textId="77777777" w:rsidR="000068ED" w:rsidRDefault="000068ED" w:rsidP="007B2C1A">
      <w:r>
        <w:continuationSeparator/>
      </w:r>
    </w:p>
  </w:footnote>
  <w:footnote w:type="continuationNotice" w:id="1">
    <w:p w14:paraId="6A088C59" w14:textId="77777777" w:rsidR="000068ED" w:rsidRDefault="000068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2D3B8" w14:textId="6CFF7341" w:rsidR="00871363" w:rsidRPr="00506927" w:rsidRDefault="00CD1F1A">
    <w:pPr>
      <w:pStyle w:val="Hlavika"/>
      <w:rPr>
        <w:sz w:val="18"/>
        <w:szCs w:val="18"/>
        <w:lang w:val="sk-SK"/>
      </w:rPr>
    </w:pPr>
    <w:r w:rsidRPr="00506927">
      <w:rPr>
        <w:sz w:val="18"/>
        <w:szCs w:val="18"/>
        <w:lang w:val="sk-SK"/>
      </w:rPr>
      <w:t>Príloha č. 1 k notifikácii o zmene, ev. č.</w:t>
    </w:r>
    <w:r w:rsidR="00F44E24">
      <w:rPr>
        <w:sz w:val="18"/>
        <w:szCs w:val="18"/>
        <w:lang w:val="sk-SK"/>
      </w:rPr>
      <w:t>:</w:t>
    </w:r>
    <w:r w:rsidRPr="00506927">
      <w:rPr>
        <w:sz w:val="18"/>
        <w:szCs w:val="18"/>
        <w:lang w:val="sk-SK"/>
      </w:rPr>
      <w:t xml:space="preserve"> 2018/01545-Z1B, 2018/03037-Z1B, 2018/03046-Z1B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B58A4"/>
    <w:multiLevelType w:val="hybridMultilevel"/>
    <w:tmpl w:val="9A6243E0"/>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FDE7629"/>
    <w:multiLevelType w:val="multilevel"/>
    <w:tmpl w:val="A8B4A7E6"/>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72C786C"/>
    <w:multiLevelType w:val="hybridMultilevel"/>
    <w:tmpl w:val="3F9469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738E7163"/>
    <w:multiLevelType w:val="hybridMultilevel"/>
    <w:tmpl w:val="6D7212F0"/>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948"/>
    <w:rsid w:val="000068ED"/>
    <w:rsid w:val="0001416A"/>
    <w:rsid w:val="000315CC"/>
    <w:rsid w:val="00031671"/>
    <w:rsid w:val="00055073"/>
    <w:rsid w:val="00056530"/>
    <w:rsid w:val="00064DF5"/>
    <w:rsid w:val="00072B90"/>
    <w:rsid w:val="000739B2"/>
    <w:rsid w:val="00077D50"/>
    <w:rsid w:val="00083DEB"/>
    <w:rsid w:val="0008563E"/>
    <w:rsid w:val="00090A48"/>
    <w:rsid w:val="000A11DE"/>
    <w:rsid w:val="000A2D5B"/>
    <w:rsid w:val="000A3F79"/>
    <w:rsid w:val="000A799A"/>
    <w:rsid w:val="000B776D"/>
    <w:rsid w:val="000D00F5"/>
    <w:rsid w:val="000D643C"/>
    <w:rsid w:val="000E3F3D"/>
    <w:rsid w:val="000E50AE"/>
    <w:rsid w:val="000E564A"/>
    <w:rsid w:val="001044F5"/>
    <w:rsid w:val="00113ECD"/>
    <w:rsid w:val="001237E1"/>
    <w:rsid w:val="00134641"/>
    <w:rsid w:val="00146A90"/>
    <w:rsid w:val="00147A0B"/>
    <w:rsid w:val="00160329"/>
    <w:rsid w:val="001B59C3"/>
    <w:rsid w:val="001B721E"/>
    <w:rsid w:val="001C72E9"/>
    <w:rsid w:val="001D2513"/>
    <w:rsid w:val="001D3031"/>
    <w:rsid w:val="001E1948"/>
    <w:rsid w:val="00210998"/>
    <w:rsid w:val="0021333F"/>
    <w:rsid w:val="002431F7"/>
    <w:rsid w:val="00247DBA"/>
    <w:rsid w:val="0026753F"/>
    <w:rsid w:val="00270522"/>
    <w:rsid w:val="002868F3"/>
    <w:rsid w:val="002916B0"/>
    <w:rsid w:val="0029283F"/>
    <w:rsid w:val="0029432C"/>
    <w:rsid w:val="002A3AC4"/>
    <w:rsid w:val="002B0F16"/>
    <w:rsid w:val="002C7678"/>
    <w:rsid w:val="002E572D"/>
    <w:rsid w:val="00304E8C"/>
    <w:rsid w:val="003067E7"/>
    <w:rsid w:val="003115F4"/>
    <w:rsid w:val="00313C7D"/>
    <w:rsid w:val="00314BC3"/>
    <w:rsid w:val="00325D0D"/>
    <w:rsid w:val="003306FF"/>
    <w:rsid w:val="003325A8"/>
    <w:rsid w:val="0034482E"/>
    <w:rsid w:val="003577EA"/>
    <w:rsid w:val="003744A3"/>
    <w:rsid w:val="00386FEC"/>
    <w:rsid w:val="00390EA1"/>
    <w:rsid w:val="00390F98"/>
    <w:rsid w:val="00394F32"/>
    <w:rsid w:val="00396788"/>
    <w:rsid w:val="003A785C"/>
    <w:rsid w:val="003D239F"/>
    <w:rsid w:val="003D277F"/>
    <w:rsid w:val="003D6FF6"/>
    <w:rsid w:val="003D7BB5"/>
    <w:rsid w:val="003D7E98"/>
    <w:rsid w:val="00420B52"/>
    <w:rsid w:val="004338ED"/>
    <w:rsid w:val="004438AB"/>
    <w:rsid w:val="0048124E"/>
    <w:rsid w:val="0048416B"/>
    <w:rsid w:val="00495F7E"/>
    <w:rsid w:val="004A33F2"/>
    <w:rsid w:val="004A3DE1"/>
    <w:rsid w:val="004B22C7"/>
    <w:rsid w:val="004B6BD3"/>
    <w:rsid w:val="004C58EC"/>
    <w:rsid w:val="004C6E0F"/>
    <w:rsid w:val="00505770"/>
    <w:rsid w:val="00506927"/>
    <w:rsid w:val="00513A5B"/>
    <w:rsid w:val="00517A6B"/>
    <w:rsid w:val="0052763B"/>
    <w:rsid w:val="00542872"/>
    <w:rsid w:val="005430E7"/>
    <w:rsid w:val="0055333E"/>
    <w:rsid w:val="00554D9A"/>
    <w:rsid w:val="00564F10"/>
    <w:rsid w:val="00565645"/>
    <w:rsid w:val="005656CE"/>
    <w:rsid w:val="00570AC4"/>
    <w:rsid w:val="00582E6A"/>
    <w:rsid w:val="00586B25"/>
    <w:rsid w:val="005A0007"/>
    <w:rsid w:val="005B0219"/>
    <w:rsid w:val="005B4BCF"/>
    <w:rsid w:val="005B6F3C"/>
    <w:rsid w:val="005E117F"/>
    <w:rsid w:val="005E32AE"/>
    <w:rsid w:val="00604478"/>
    <w:rsid w:val="00610D74"/>
    <w:rsid w:val="00616D0C"/>
    <w:rsid w:val="00623F37"/>
    <w:rsid w:val="00633688"/>
    <w:rsid w:val="00641414"/>
    <w:rsid w:val="00641F9F"/>
    <w:rsid w:val="00646324"/>
    <w:rsid w:val="006564A5"/>
    <w:rsid w:val="00675045"/>
    <w:rsid w:val="00684AC0"/>
    <w:rsid w:val="0068578F"/>
    <w:rsid w:val="00687FA6"/>
    <w:rsid w:val="00694579"/>
    <w:rsid w:val="006B10AA"/>
    <w:rsid w:val="006B1564"/>
    <w:rsid w:val="006B5962"/>
    <w:rsid w:val="006C24D5"/>
    <w:rsid w:val="006D419D"/>
    <w:rsid w:val="006E6AC5"/>
    <w:rsid w:val="006E74AC"/>
    <w:rsid w:val="006E7EBC"/>
    <w:rsid w:val="006F31F6"/>
    <w:rsid w:val="00701C15"/>
    <w:rsid w:val="007061A2"/>
    <w:rsid w:val="00731030"/>
    <w:rsid w:val="00733692"/>
    <w:rsid w:val="00762B3B"/>
    <w:rsid w:val="00763B60"/>
    <w:rsid w:val="00766BFA"/>
    <w:rsid w:val="00770D24"/>
    <w:rsid w:val="00777CBB"/>
    <w:rsid w:val="007A12E6"/>
    <w:rsid w:val="007B2AC0"/>
    <w:rsid w:val="007B2C1A"/>
    <w:rsid w:val="007B356D"/>
    <w:rsid w:val="007B6A90"/>
    <w:rsid w:val="007E2622"/>
    <w:rsid w:val="007F7BAE"/>
    <w:rsid w:val="00806B6F"/>
    <w:rsid w:val="00810B59"/>
    <w:rsid w:val="00811FF3"/>
    <w:rsid w:val="00817000"/>
    <w:rsid w:val="008546B5"/>
    <w:rsid w:val="00871363"/>
    <w:rsid w:val="008770B5"/>
    <w:rsid w:val="00893FAC"/>
    <w:rsid w:val="008A51D9"/>
    <w:rsid w:val="008E46C8"/>
    <w:rsid w:val="008E53EA"/>
    <w:rsid w:val="008F179F"/>
    <w:rsid w:val="00901908"/>
    <w:rsid w:val="0091695B"/>
    <w:rsid w:val="00920C8E"/>
    <w:rsid w:val="009279AD"/>
    <w:rsid w:val="009366A2"/>
    <w:rsid w:val="00942D09"/>
    <w:rsid w:val="00965ADE"/>
    <w:rsid w:val="0097085E"/>
    <w:rsid w:val="0097117C"/>
    <w:rsid w:val="00977BD3"/>
    <w:rsid w:val="0098711A"/>
    <w:rsid w:val="0098755F"/>
    <w:rsid w:val="00987E33"/>
    <w:rsid w:val="009B13DF"/>
    <w:rsid w:val="009B1FB1"/>
    <w:rsid w:val="009D2A08"/>
    <w:rsid w:val="009D459C"/>
    <w:rsid w:val="009E1DCC"/>
    <w:rsid w:val="009F3787"/>
    <w:rsid w:val="00A10905"/>
    <w:rsid w:val="00A1485B"/>
    <w:rsid w:val="00A14CB9"/>
    <w:rsid w:val="00A337FE"/>
    <w:rsid w:val="00A43B0C"/>
    <w:rsid w:val="00A601AD"/>
    <w:rsid w:val="00A6107E"/>
    <w:rsid w:val="00A61124"/>
    <w:rsid w:val="00A628C0"/>
    <w:rsid w:val="00A6472D"/>
    <w:rsid w:val="00A97A3E"/>
    <w:rsid w:val="00AB5EF2"/>
    <w:rsid w:val="00AB7842"/>
    <w:rsid w:val="00AC0594"/>
    <w:rsid w:val="00AC4DA9"/>
    <w:rsid w:val="00AD6DAA"/>
    <w:rsid w:val="00AD7447"/>
    <w:rsid w:val="00AF08F2"/>
    <w:rsid w:val="00AF182A"/>
    <w:rsid w:val="00AF3C93"/>
    <w:rsid w:val="00AF62DF"/>
    <w:rsid w:val="00B004CB"/>
    <w:rsid w:val="00B10E42"/>
    <w:rsid w:val="00B120B9"/>
    <w:rsid w:val="00B20070"/>
    <w:rsid w:val="00B67739"/>
    <w:rsid w:val="00B821FC"/>
    <w:rsid w:val="00B8389E"/>
    <w:rsid w:val="00B86D1F"/>
    <w:rsid w:val="00BA1188"/>
    <w:rsid w:val="00BA26D8"/>
    <w:rsid w:val="00BB6B90"/>
    <w:rsid w:val="00BC5DFA"/>
    <w:rsid w:val="00BC6037"/>
    <w:rsid w:val="00BF01C4"/>
    <w:rsid w:val="00BF092D"/>
    <w:rsid w:val="00C1045C"/>
    <w:rsid w:val="00C11C2F"/>
    <w:rsid w:val="00C6744C"/>
    <w:rsid w:val="00C767C7"/>
    <w:rsid w:val="00C8066D"/>
    <w:rsid w:val="00C81B53"/>
    <w:rsid w:val="00C96D95"/>
    <w:rsid w:val="00CA02BB"/>
    <w:rsid w:val="00CC0087"/>
    <w:rsid w:val="00CD0EFF"/>
    <w:rsid w:val="00CD1F1A"/>
    <w:rsid w:val="00CD5C1D"/>
    <w:rsid w:val="00CF3344"/>
    <w:rsid w:val="00CF7084"/>
    <w:rsid w:val="00D01ACF"/>
    <w:rsid w:val="00D2117A"/>
    <w:rsid w:val="00D246C0"/>
    <w:rsid w:val="00D25CF0"/>
    <w:rsid w:val="00D27EEE"/>
    <w:rsid w:val="00D30858"/>
    <w:rsid w:val="00D349B3"/>
    <w:rsid w:val="00D367BD"/>
    <w:rsid w:val="00D428DD"/>
    <w:rsid w:val="00D50BC1"/>
    <w:rsid w:val="00D51761"/>
    <w:rsid w:val="00D517CF"/>
    <w:rsid w:val="00D51FDC"/>
    <w:rsid w:val="00D52BF9"/>
    <w:rsid w:val="00D761FA"/>
    <w:rsid w:val="00DB33C1"/>
    <w:rsid w:val="00DC0A3A"/>
    <w:rsid w:val="00DC4CE8"/>
    <w:rsid w:val="00DD067E"/>
    <w:rsid w:val="00DD5398"/>
    <w:rsid w:val="00DD61B3"/>
    <w:rsid w:val="00DD6ECB"/>
    <w:rsid w:val="00E06F6E"/>
    <w:rsid w:val="00E142C0"/>
    <w:rsid w:val="00E158E3"/>
    <w:rsid w:val="00E2041D"/>
    <w:rsid w:val="00E2625D"/>
    <w:rsid w:val="00E26EF1"/>
    <w:rsid w:val="00E331D3"/>
    <w:rsid w:val="00E351FD"/>
    <w:rsid w:val="00E535ED"/>
    <w:rsid w:val="00E5461E"/>
    <w:rsid w:val="00E630F8"/>
    <w:rsid w:val="00E740C5"/>
    <w:rsid w:val="00E77B0E"/>
    <w:rsid w:val="00E82E4B"/>
    <w:rsid w:val="00EB1E9A"/>
    <w:rsid w:val="00EB61C5"/>
    <w:rsid w:val="00EB63DB"/>
    <w:rsid w:val="00EC5997"/>
    <w:rsid w:val="00EC68A3"/>
    <w:rsid w:val="00ED1F04"/>
    <w:rsid w:val="00EE45F4"/>
    <w:rsid w:val="00EE6876"/>
    <w:rsid w:val="00EE6F13"/>
    <w:rsid w:val="00F123BD"/>
    <w:rsid w:val="00F23A4C"/>
    <w:rsid w:val="00F23C7F"/>
    <w:rsid w:val="00F24DA5"/>
    <w:rsid w:val="00F3126E"/>
    <w:rsid w:val="00F3350E"/>
    <w:rsid w:val="00F4222E"/>
    <w:rsid w:val="00F44E24"/>
    <w:rsid w:val="00F52E48"/>
    <w:rsid w:val="00F675CD"/>
    <w:rsid w:val="00F721E0"/>
    <w:rsid w:val="00F769F0"/>
    <w:rsid w:val="00F827B6"/>
    <w:rsid w:val="00F90AA0"/>
    <w:rsid w:val="00F945E7"/>
    <w:rsid w:val="00FA01FD"/>
    <w:rsid w:val="00FA6871"/>
    <w:rsid w:val="00FA7842"/>
    <w:rsid w:val="00FB2155"/>
    <w:rsid w:val="00FC6375"/>
    <w:rsid w:val="00FD41E5"/>
    <w:rsid w:val="00FD68A8"/>
    <w:rsid w:val="00FF43EB"/>
    <w:rsid w:val="00FF625C"/>
    <w:rsid w:val="00FF68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F59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1948"/>
    <w:pPr>
      <w:ind w:left="567" w:hanging="567"/>
    </w:pPr>
    <w:rPr>
      <w:rFonts w:ascii="Times New Roman" w:eastAsia="Times New Roman" w:hAnsi="Times New Roman"/>
      <w:sz w:val="22"/>
      <w:szCs w:val="24"/>
      <w:lang w:val="sk-SK" w:eastAsia="sk-SK"/>
    </w:rPr>
  </w:style>
  <w:style w:type="paragraph" w:styleId="Nadpis1">
    <w:name w:val="heading 1"/>
    <w:basedOn w:val="Normlny"/>
    <w:next w:val="Normlny"/>
    <w:link w:val="Nadpis1Char"/>
    <w:qFormat/>
    <w:rsid w:val="001E1948"/>
    <w:pPr>
      <w:keepNext/>
      <w:spacing w:before="240" w:after="60"/>
      <w:outlineLvl w:val="0"/>
    </w:pPr>
    <w:rPr>
      <w:rFonts w:ascii="Arial" w:hAnsi="Arial"/>
      <w:b/>
      <w:bCs/>
      <w:kern w:val="32"/>
      <w:sz w:val="32"/>
      <w:szCs w:val="32"/>
      <w:lang w:val="x-none"/>
    </w:rPr>
  </w:style>
  <w:style w:type="paragraph" w:styleId="Nadpis3">
    <w:name w:val="heading 3"/>
    <w:basedOn w:val="Normlny"/>
    <w:next w:val="Normlny"/>
    <w:link w:val="Nadpis3Char"/>
    <w:qFormat/>
    <w:rsid w:val="001E1948"/>
    <w:pPr>
      <w:keepNext/>
      <w:spacing w:before="240" w:after="60"/>
      <w:outlineLvl w:val="2"/>
    </w:pPr>
    <w:rPr>
      <w:rFonts w:ascii="Arial" w:hAnsi="Arial"/>
      <w:b/>
      <w:bCs/>
      <w:sz w:val="26"/>
      <w:szCs w:val="26"/>
      <w:lang w:val="x-none"/>
    </w:rPr>
  </w:style>
  <w:style w:type="paragraph" w:styleId="Nadpis4">
    <w:name w:val="heading 4"/>
    <w:basedOn w:val="Normlny"/>
    <w:next w:val="Normlny"/>
    <w:link w:val="Nadpis4Char"/>
    <w:qFormat/>
    <w:rsid w:val="001E1948"/>
    <w:pPr>
      <w:keepNext/>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1E1948"/>
    <w:pPr>
      <w:spacing w:before="240" w:after="60"/>
      <w:outlineLvl w:val="4"/>
    </w:pPr>
    <w:rPr>
      <w:b/>
      <w:bCs/>
      <w:i/>
      <w:iCs/>
      <w:sz w:val="26"/>
      <w:szCs w:val="26"/>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1E1948"/>
    <w:rPr>
      <w:rFonts w:ascii="Arial" w:eastAsia="Times New Roman" w:hAnsi="Arial" w:cs="Arial"/>
      <w:b/>
      <w:bCs/>
      <w:kern w:val="32"/>
      <w:sz w:val="32"/>
      <w:szCs w:val="32"/>
      <w:lang w:eastAsia="sk-SK"/>
    </w:rPr>
  </w:style>
  <w:style w:type="character" w:customStyle="1" w:styleId="Nadpis3Char">
    <w:name w:val="Nadpis 3 Char"/>
    <w:link w:val="Nadpis3"/>
    <w:rsid w:val="001E1948"/>
    <w:rPr>
      <w:rFonts w:ascii="Arial" w:eastAsia="Times New Roman" w:hAnsi="Arial" w:cs="Arial"/>
      <w:b/>
      <w:bCs/>
      <w:sz w:val="26"/>
      <w:szCs w:val="26"/>
      <w:lang w:eastAsia="sk-SK"/>
    </w:rPr>
  </w:style>
  <w:style w:type="character" w:customStyle="1" w:styleId="Nadpis4Char">
    <w:name w:val="Nadpis 4 Char"/>
    <w:link w:val="Nadpis4"/>
    <w:rsid w:val="001E1948"/>
    <w:rPr>
      <w:rFonts w:ascii="Calibri" w:eastAsia="Times New Roman" w:hAnsi="Calibri" w:cs="Times New Roman"/>
      <w:b/>
      <w:bCs/>
      <w:sz w:val="28"/>
      <w:szCs w:val="28"/>
      <w:lang w:eastAsia="sk-SK"/>
    </w:rPr>
  </w:style>
  <w:style w:type="character" w:customStyle="1" w:styleId="Nadpis5Char">
    <w:name w:val="Nadpis 5 Char"/>
    <w:link w:val="Nadpis5"/>
    <w:rsid w:val="001E1948"/>
    <w:rPr>
      <w:rFonts w:ascii="Times New Roman" w:eastAsia="Times New Roman" w:hAnsi="Times New Roman" w:cs="Times New Roman"/>
      <w:b/>
      <w:bCs/>
      <w:i/>
      <w:iCs/>
      <w:sz w:val="26"/>
      <w:szCs w:val="26"/>
      <w:lang w:eastAsia="sk-SK"/>
    </w:rPr>
  </w:style>
  <w:style w:type="paragraph" w:customStyle="1" w:styleId="EMEAEnBodyText">
    <w:name w:val="EMEA En Body Text"/>
    <w:basedOn w:val="Normlny"/>
    <w:rsid w:val="001E1948"/>
    <w:pPr>
      <w:spacing w:before="120" w:after="120"/>
      <w:ind w:left="0" w:firstLine="0"/>
      <w:jc w:val="both"/>
    </w:pPr>
    <w:rPr>
      <w:szCs w:val="20"/>
      <w:lang w:val="en-US" w:eastAsia="en-US"/>
    </w:rPr>
  </w:style>
  <w:style w:type="paragraph" w:styleId="Zkladntext">
    <w:name w:val="Body Text"/>
    <w:basedOn w:val="Normlny"/>
    <w:link w:val="ZkladntextChar"/>
    <w:rsid w:val="001E1948"/>
    <w:pPr>
      <w:ind w:left="0" w:firstLine="0"/>
    </w:pPr>
    <w:rPr>
      <w:sz w:val="20"/>
      <w:lang w:val="x-none"/>
    </w:rPr>
  </w:style>
  <w:style w:type="character" w:customStyle="1" w:styleId="ZkladntextChar">
    <w:name w:val="Základný text Char"/>
    <w:link w:val="Zkladntext"/>
    <w:rsid w:val="001E1948"/>
    <w:rPr>
      <w:rFonts w:ascii="Times New Roman" w:eastAsia="Times New Roman" w:hAnsi="Times New Roman" w:cs="Times New Roman"/>
      <w:szCs w:val="24"/>
      <w:lang w:eastAsia="sk-SK"/>
    </w:rPr>
  </w:style>
  <w:style w:type="paragraph" w:styleId="Hlavika">
    <w:name w:val="header"/>
    <w:basedOn w:val="Normlny"/>
    <w:link w:val="HlavikaChar"/>
    <w:rsid w:val="001E1948"/>
    <w:pPr>
      <w:tabs>
        <w:tab w:val="center" w:pos="4153"/>
        <w:tab w:val="right" w:pos="8306"/>
      </w:tabs>
    </w:pPr>
    <w:rPr>
      <w:sz w:val="20"/>
      <w:lang w:val="x-none"/>
    </w:rPr>
  </w:style>
  <w:style w:type="character" w:customStyle="1" w:styleId="HlavikaChar">
    <w:name w:val="Hlavička Char"/>
    <w:link w:val="Hlavika"/>
    <w:rsid w:val="001E1948"/>
    <w:rPr>
      <w:rFonts w:ascii="Times New Roman" w:eastAsia="Times New Roman" w:hAnsi="Times New Roman" w:cs="Times New Roman"/>
      <w:szCs w:val="24"/>
      <w:lang w:eastAsia="sk-SK"/>
    </w:rPr>
  </w:style>
  <w:style w:type="paragraph" w:styleId="Zarkazkladnhotextu">
    <w:name w:val="Body Text Indent"/>
    <w:basedOn w:val="Normlny"/>
    <w:link w:val="ZarkazkladnhotextuChar"/>
    <w:rsid w:val="001E1948"/>
    <w:pPr>
      <w:spacing w:after="120"/>
      <w:ind w:left="283"/>
    </w:pPr>
    <w:rPr>
      <w:sz w:val="20"/>
      <w:lang w:val="x-none"/>
    </w:rPr>
  </w:style>
  <w:style w:type="character" w:customStyle="1" w:styleId="ZarkazkladnhotextuChar">
    <w:name w:val="Zarážka základného textu Char"/>
    <w:link w:val="Zarkazkladnhotextu"/>
    <w:rsid w:val="001E1948"/>
    <w:rPr>
      <w:rFonts w:ascii="Times New Roman" w:eastAsia="Times New Roman" w:hAnsi="Times New Roman" w:cs="Times New Roman"/>
      <w:szCs w:val="24"/>
      <w:lang w:eastAsia="sk-SK"/>
    </w:rPr>
  </w:style>
  <w:style w:type="paragraph" w:customStyle="1" w:styleId="Default">
    <w:name w:val="Default"/>
    <w:rsid w:val="001E1948"/>
    <w:pPr>
      <w:autoSpaceDE w:val="0"/>
      <w:autoSpaceDN w:val="0"/>
      <w:adjustRightInd w:val="0"/>
    </w:pPr>
    <w:rPr>
      <w:rFonts w:ascii="Arial" w:eastAsia="Times New Roman" w:hAnsi="Arial" w:cs="Arial"/>
      <w:color w:val="000000"/>
      <w:sz w:val="24"/>
      <w:szCs w:val="24"/>
      <w:lang w:val="sk-SK" w:eastAsia="sk-SK"/>
    </w:rPr>
  </w:style>
  <w:style w:type="paragraph" w:customStyle="1" w:styleId="nr2g">
    <w:name w:val="nr2g'"/>
    <w:basedOn w:val="Normlny"/>
    <w:rsid w:val="001E1948"/>
    <w:pPr>
      <w:tabs>
        <w:tab w:val="center" w:pos="5387"/>
      </w:tabs>
      <w:ind w:left="993" w:firstLine="0"/>
      <w:jc w:val="both"/>
    </w:pPr>
    <w:rPr>
      <w:sz w:val="24"/>
      <w:szCs w:val="20"/>
      <w:lang w:val="en-US" w:eastAsia="fr-FR"/>
    </w:rPr>
  </w:style>
  <w:style w:type="paragraph" w:styleId="Textbubliny">
    <w:name w:val="Balloon Text"/>
    <w:basedOn w:val="Normlny"/>
    <w:link w:val="TextbublinyChar"/>
    <w:semiHidden/>
    <w:rsid w:val="001E1948"/>
    <w:rPr>
      <w:rFonts w:ascii="Tahoma" w:hAnsi="Tahoma"/>
      <w:sz w:val="16"/>
      <w:szCs w:val="16"/>
      <w:lang w:val="x-none"/>
    </w:rPr>
  </w:style>
  <w:style w:type="character" w:customStyle="1" w:styleId="TextbublinyChar">
    <w:name w:val="Text bubliny Char"/>
    <w:link w:val="Textbubliny"/>
    <w:semiHidden/>
    <w:rsid w:val="001E1948"/>
    <w:rPr>
      <w:rFonts w:ascii="Tahoma" w:eastAsia="Times New Roman" w:hAnsi="Tahoma" w:cs="Tahoma"/>
      <w:sz w:val="16"/>
      <w:szCs w:val="16"/>
      <w:lang w:eastAsia="sk-SK"/>
    </w:rPr>
  </w:style>
  <w:style w:type="table" w:styleId="Mriekatabuky">
    <w:name w:val="Table Grid"/>
    <w:basedOn w:val="Normlnatabuka"/>
    <w:rsid w:val="001E1948"/>
    <w:pPr>
      <w:ind w:left="567" w:hanging="567"/>
    </w:pPr>
    <w:rPr>
      <w:rFonts w:ascii="Times New Roman" w:eastAsia="Times New Roman" w:hAnsi="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1E1948"/>
    <w:rPr>
      <w:sz w:val="16"/>
      <w:szCs w:val="16"/>
    </w:rPr>
  </w:style>
  <w:style w:type="paragraph" w:styleId="Textkomentra">
    <w:name w:val="annotation text"/>
    <w:basedOn w:val="Normlny"/>
    <w:link w:val="TextkomentraChar"/>
    <w:semiHidden/>
    <w:rsid w:val="001E1948"/>
    <w:rPr>
      <w:sz w:val="20"/>
      <w:szCs w:val="20"/>
      <w:lang w:val="x-none"/>
    </w:rPr>
  </w:style>
  <w:style w:type="character" w:customStyle="1" w:styleId="TextkomentraChar">
    <w:name w:val="Text komentára Char"/>
    <w:link w:val="Textkomentra"/>
    <w:semiHidden/>
    <w:rsid w:val="001E1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1E1948"/>
    <w:rPr>
      <w:b/>
      <w:bCs/>
    </w:rPr>
  </w:style>
  <w:style w:type="character" w:customStyle="1" w:styleId="PredmetkomentraChar">
    <w:name w:val="Predmet komentára Char"/>
    <w:link w:val="Predmetkomentra"/>
    <w:semiHidden/>
    <w:rsid w:val="001E1948"/>
    <w:rPr>
      <w:rFonts w:ascii="Times New Roman" w:eastAsia="Times New Roman" w:hAnsi="Times New Roman" w:cs="Times New Roman"/>
      <w:b/>
      <w:bCs/>
      <w:sz w:val="20"/>
      <w:szCs w:val="20"/>
      <w:lang w:eastAsia="sk-SK"/>
    </w:rPr>
  </w:style>
  <w:style w:type="character" w:customStyle="1" w:styleId="hps">
    <w:name w:val="hps"/>
    <w:basedOn w:val="Predvolenpsmoodseku"/>
    <w:rsid w:val="00641F9F"/>
  </w:style>
  <w:style w:type="character" w:customStyle="1" w:styleId="apple-converted-space">
    <w:name w:val="apple-converted-space"/>
    <w:basedOn w:val="Predvolenpsmoodseku"/>
    <w:rsid w:val="00641F9F"/>
  </w:style>
  <w:style w:type="paragraph" w:customStyle="1" w:styleId="TableText">
    <w:name w:val="TableText"/>
    <w:basedOn w:val="Default"/>
    <w:next w:val="Default"/>
    <w:uiPriority w:val="99"/>
    <w:rsid w:val="004C58EC"/>
    <w:rPr>
      <w:rFonts w:ascii="Verdana" w:hAnsi="Verdana" w:cs="Times New Roman"/>
      <w:color w:val="auto"/>
      <w:lang w:val="hu-HU" w:eastAsia="hu-HU"/>
    </w:rPr>
  </w:style>
  <w:style w:type="character" w:styleId="Hypertextovprepojenie">
    <w:name w:val="Hyperlink"/>
    <w:rsid w:val="00766BFA"/>
    <w:rPr>
      <w:color w:val="0000FF"/>
      <w:u w:val="single"/>
    </w:rPr>
  </w:style>
  <w:style w:type="paragraph" w:styleId="Pta">
    <w:name w:val="footer"/>
    <w:basedOn w:val="Normlny"/>
    <w:link w:val="PtaChar"/>
    <w:uiPriority w:val="99"/>
    <w:unhideWhenUsed/>
    <w:rsid w:val="007B2C1A"/>
    <w:pPr>
      <w:tabs>
        <w:tab w:val="center" w:pos="4536"/>
        <w:tab w:val="right" w:pos="9072"/>
      </w:tabs>
    </w:pPr>
    <w:rPr>
      <w:lang w:val="x-none" w:eastAsia="x-none"/>
    </w:rPr>
  </w:style>
  <w:style w:type="character" w:customStyle="1" w:styleId="PtaChar">
    <w:name w:val="Päta Char"/>
    <w:link w:val="Pta"/>
    <w:uiPriority w:val="99"/>
    <w:rsid w:val="007B2C1A"/>
    <w:rPr>
      <w:rFonts w:ascii="Times New Roman" w:eastAsia="Times New Roman" w:hAnsi="Times New Roman"/>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1948"/>
    <w:pPr>
      <w:ind w:left="567" w:hanging="567"/>
    </w:pPr>
    <w:rPr>
      <w:rFonts w:ascii="Times New Roman" w:eastAsia="Times New Roman" w:hAnsi="Times New Roman"/>
      <w:sz w:val="22"/>
      <w:szCs w:val="24"/>
      <w:lang w:val="sk-SK" w:eastAsia="sk-SK"/>
    </w:rPr>
  </w:style>
  <w:style w:type="paragraph" w:styleId="Nadpis1">
    <w:name w:val="heading 1"/>
    <w:basedOn w:val="Normlny"/>
    <w:next w:val="Normlny"/>
    <w:link w:val="Nadpis1Char"/>
    <w:qFormat/>
    <w:rsid w:val="001E1948"/>
    <w:pPr>
      <w:keepNext/>
      <w:spacing w:before="240" w:after="60"/>
      <w:outlineLvl w:val="0"/>
    </w:pPr>
    <w:rPr>
      <w:rFonts w:ascii="Arial" w:hAnsi="Arial"/>
      <w:b/>
      <w:bCs/>
      <w:kern w:val="32"/>
      <w:sz w:val="32"/>
      <w:szCs w:val="32"/>
      <w:lang w:val="x-none"/>
    </w:rPr>
  </w:style>
  <w:style w:type="paragraph" w:styleId="Nadpis3">
    <w:name w:val="heading 3"/>
    <w:basedOn w:val="Normlny"/>
    <w:next w:val="Normlny"/>
    <w:link w:val="Nadpis3Char"/>
    <w:qFormat/>
    <w:rsid w:val="001E1948"/>
    <w:pPr>
      <w:keepNext/>
      <w:spacing w:before="240" w:after="60"/>
      <w:outlineLvl w:val="2"/>
    </w:pPr>
    <w:rPr>
      <w:rFonts w:ascii="Arial" w:hAnsi="Arial"/>
      <w:b/>
      <w:bCs/>
      <w:sz w:val="26"/>
      <w:szCs w:val="26"/>
      <w:lang w:val="x-none"/>
    </w:rPr>
  </w:style>
  <w:style w:type="paragraph" w:styleId="Nadpis4">
    <w:name w:val="heading 4"/>
    <w:basedOn w:val="Normlny"/>
    <w:next w:val="Normlny"/>
    <w:link w:val="Nadpis4Char"/>
    <w:qFormat/>
    <w:rsid w:val="001E1948"/>
    <w:pPr>
      <w:keepNext/>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1E1948"/>
    <w:pPr>
      <w:spacing w:before="240" w:after="60"/>
      <w:outlineLvl w:val="4"/>
    </w:pPr>
    <w:rPr>
      <w:b/>
      <w:bCs/>
      <w:i/>
      <w:iCs/>
      <w:sz w:val="26"/>
      <w:szCs w:val="26"/>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1E1948"/>
    <w:rPr>
      <w:rFonts w:ascii="Arial" w:eastAsia="Times New Roman" w:hAnsi="Arial" w:cs="Arial"/>
      <w:b/>
      <w:bCs/>
      <w:kern w:val="32"/>
      <w:sz w:val="32"/>
      <w:szCs w:val="32"/>
      <w:lang w:eastAsia="sk-SK"/>
    </w:rPr>
  </w:style>
  <w:style w:type="character" w:customStyle="1" w:styleId="Nadpis3Char">
    <w:name w:val="Nadpis 3 Char"/>
    <w:link w:val="Nadpis3"/>
    <w:rsid w:val="001E1948"/>
    <w:rPr>
      <w:rFonts w:ascii="Arial" w:eastAsia="Times New Roman" w:hAnsi="Arial" w:cs="Arial"/>
      <w:b/>
      <w:bCs/>
      <w:sz w:val="26"/>
      <w:szCs w:val="26"/>
      <w:lang w:eastAsia="sk-SK"/>
    </w:rPr>
  </w:style>
  <w:style w:type="character" w:customStyle="1" w:styleId="Nadpis4Char">
    <w:name w:val="Nadpis 4 Char"/>
    <w:link w:val="Nadpis4"/>
    <w:rsid w:val="001E1948"/>
    <w:rPr>
      <w:rFonts w:ascii="Calibri" w:eastAsia="Times New Roman" w:hAnsi="Calibri" w:cs="Times New Roman"/>
      <w:b/>
      <w:bCs/>
      <w:sz w:val="28"/>
      <w:szCs w:val="28"/>
      <w:lang w:eastAsia="sk-SK"/>
    </w:rPr>
  </w:style>
  <w:style w:type="character" w:customStyle="1" w:styleId="Nadpis5Char">
    <w:name w:val="Nadpis 5 Char"/>
    <w:link w:val="Nadpis5"/>
    <w:rsid w:val="001E1948"/>
    <w:rPr>
      <w:rFonts w:ascii="Times New Roman" w:eastAsia="Times New Roman" w:hAnsi="Times New Roman" w:cs="Times New Roman"/>
      <w:b/>
      <w:bCs/>
      <w:i/>
      <w:iCs/>
      <w:sz w:val="26"/>
      <w:szCs w:val="26"/>
      <w:lang w:eastAsia="sk-SK"/>
    </w:rPr>
  </w:style>
  <w:style w:type="paragraph" w:customStyle="1" w:styleId="EMEAEnBodyText">
    <w:name w:val="EMEA En Body Text"/>
    <w:basedOn w:val="Normlny"/>
    <w:rsid w:val="001E1948"/>
    <w:pPr>
      <w:spacing w:before="120" w:after="120"/>
      <w:ind w:left="0" w:firstLine="0"/>
      <w:jc w:val="both"/>
    </w:pPr>
    <w:rPr>
      <w:szCs w:val="20"/>
      <w:lang w:val="en-US" w:eastAsia="en-US"/>
    </w:rPr>
  </w:style>
  <w:style w:type="paragraph" w:styleId="Zkladntext">
    <w:name w:val="Body Text"/>
    <w:basedOn w:val="Normlny"/>
    <w:link w:val="ZkladntextChar"/>
    <w:rsid w:val="001E1948"/>
    <w:pPr>
      <w:ind w:left="0" w:firstLine="0"/>
    </w:pPr>
    <w:rPr>
      <w:sz w:val="20"/>
      <w:lang w:val="x-none"/>
    </w:rPr>
  </w:style>
  <w:style w:type="character" w:customStyle="1" w:styleId="ZkladntextChar">
    <w:name w:val="Základný text Char"/>
    <w:link w:val="Zkladntext"/>
    <w:rsid w:val="001E1948"/>
    <w:rPr>
      <w:rFonts w:ascii="Times New Roman" w:eastAsia="Times New Roman" w:hAnsi="Times New Roman" w:cs="Times New Roman"/>
      <w:szCs w:val="24"/>
      <w:lang w:eastAsia="sk-SK"/>
    </w:rPr>
  </w:style>
  <w:style w:type="paragraph" w:styleId="Hlavika">
    <w:name w:val="header"/>
    <w:basedOn w:val="Normlny"/>
    <w:link w:val="HlavikaChar"/>
    <w:rsid w:val="001E1948"/>
    <w:pPr>
      <w:tabs>
        <w:tab w:val="center" w:pos="4153"/>
        <w:tab w:val="right" w:pos="8306"/>
      </w:tabs>
    </w:pPr>
    <w:rPr>
      <w:sz w:val="20"/>
      <w:lang w:val="x-none"/>
    </w:rPr>
  </w:style>
  <w:style w:type="character" w:customStyle="1" w:styleId="HlavikaChar">
    <w:name w:val="Hlavička Char"/>
    <w:link w:val="Hlavika"/>
    <w:rsid w:val="001E1948"/>
    <w:rPr>
      <w:rFonts w:ascii="Times New Roman" w:eastAsia="Times New Roman" w:hAnsi="Times New Roman" w:cs="Times New Roman"/>
      <w:szCs w:val="24"/>
      <w:lang w:eastAsia="sk-SK"/>
    </w:rPr>
  </w:style>
  <w:style w:type="paragraph" w:styleId="Zarkazkladnhotextu">
    <w:name w:val="Body Text Indent"/>
    <w:basedOn w:val="Normlny"/>
    <w:link w:val="ZarkazkladnhotextuChar"/>
    <w:rsid w:val="001E1948"/>
    <w:pPr>
      <w:spacing w:after="120"/>
      <w:ind w:left="283"/>
    </w:pPr>
    <w:rPr>
      <w:sz w:val="20"/>
      <w:lang w:val="x-none"/>
    </w:rPr>
  </w:style>
  <w:style w:type="character" w:customStyle="1" w:styleId="ZarkazkladnhotextuChar">
    <w:name w:val="Zarážka základného textu Char"/>
    <w:link w:val="Zarkazkladnhotextu"/>
    <w:rsid w:val="001E1948"/>
    <w:rPr>
      <w:rFonts w:ascii="Times New Roman" w:eastAsia="Times New Roman" w:hAnsi="Times New Roman" w:cs="Times New Roman"/>
      <w:szCs w:val="24"/>
      <w:lang w:eastAsia="sk-SK"/>
    </w:rPr>
  </w:style>
  <w:style w:type="paragraph" w:customStyle="1" w:styleId="Default">
    <w:name w:val="Default"/>
    <w:rsid w:val="001E1948"/>
    <w:pPr>
      <w:autoSpaceDE w:val="0"/>
      <w:autoSpaceDN w:val="0"/>
      <w:adjustRightInd w:val="0"/>
    </w:pPr>
    <w:rPr>
      <w:rFonts w:ascii="Arial" w:eastAsia="Times New Roman" w:hAnsi="Arial" w:cs="Arial"/>
      <w:color w:val="000000"/>
      <w:sz w:val="24"/>
      <w:szCs w:val="24"/>
      <w:lang w:val="sk-SK" w:eastAsia="sk-SK"/>
    </w:rPr>
  </w:style>
  <w:style w:type="paragraph" w:customStyle="1" w:styleId="nr2g">
    <w:name w:val="nr2g'"/>
    <w:basedOn w:val="Normlny"/>
    <w:rsid w:val="001E1948"/>
    <w:pPr>
      <w:tabs>
        <w:tab w:val="center" w:pos="5387"/>
      </w:tabs>
      <w:ind w:left="993" w:firstLine="0"/>
      <w:jc w:val="both"/>
    </w:pPr>
    <w:rPr>
      <w:sz w:val="24"/>
      <w:szCs w:val="20"/>
      <w:lang w:val="en-US" w:eastAsia="fr-FR"/>
    </w:rPr>
  </w:style>
  <w:style w:type="paragraph" w:styleId="Textbubliny">
    <w:name w:val="Balloon Text"/>
    <w:basedOn w:val="Normlny"/>
    <w:link w:val="TextbublinyChar"/>
    <w:semiHidden/>
    <w:rsid w:val="001E1948"/>
    <w:rPr>
      <w:rFonts w:ascii="Tahoma" w:hAnsi="Tahoma"/>
      <w:sz w:val="16"/>
      <w:szCs w:val="16"/>
      <w:lang w:val="x-none"/>
    </w:rPr>
  </w:style>
  <w:style w:type="character" w:customStyle="1" w:styleId="TextbublinyChar">
    <w:name w:val="Text bubliny Char"/>
    <w:link w:val="Textbubliny"/>
    <w:semiHidden/>
    <w:rsid w:val="001E1948"/>
    <w:rPr>
      <w:rFonts w:ascii="Tahoma" w:eastAsia="Times New Roman" w:hAnsi="Tahoma" w:cs="Tahoma"/>
      <w:sz w:val="16"/>
      <w:szCs w:val="16"/>
      <w:lang w:eastAsia="sk-SK"/>
    </w:rPr>
  </w:style>
  <w:style w:type="table" w:styleId="Mriekatabuky">
    <w:name w:val="Table Grid"/>
    <w:basedOn w:val="Normlnatabuka"/>
    <w:rsid w:val="001E1948"/>
    <w:pPr>
      <w:ind w:left="567" w:hanging="567"/>
    </w:pPr>
    <w:rPr>
      <w:rFonts w:ascii="Times New Roman" w:eastAsia="Times New Roman" w:hAnsi="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1E1948"/>
    <w:rPr>
      <w:sz w:val="16"/>
      <w:szCs w:val="16"/>
    </w:rPr>
  </w:style>
  <w:style w:type="paragraph" w:styleId="Textkomentra">
    <w:name w:val="annotation text"/>
    <w:basedOn w:val="Normlny"/>
    <w:link w:val="TextkomentraChar"/>
    <w:semiHidden/>
    <w:rsid w:val="001E1948"/>
    <w:rPr>
      <w:sz w:val="20"/>
      <w:szCs w:val="20"/>
      <w:lang w:val="x-none"/>
    </w:rPr>
  </w:style>
  <w:style w:type="character" w:customStyle="1" w:styleId="TextkomentraChar">
    <w:name w:val="Text komentára Char"/>
    <w:link w:val="Textkomentra"/>
    <w:semiHidden/>
    <w:rsid w:val="001E1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1E1948"/>
    <w:rPr>
      <w:b/>
      <w:bCs/>
    </w:rPr>
  </w:style>
  <w:style w:type="character" w:customStyle="1" w:styleId="PredmetkomentraChar">
    <w:name w:val="Predmet komentára Char"/>
    <w:link w:val="Predmetkomentra"/>
    <w:semiHidden/>
    <w:rsid w:val="001E1948"/>
    <w:rPr>
      <w:rFonts w:ascii="Times New Roman" w:eastAsia="Times New Roman" w:hAnsi="Times New Roman" w:cs="Times New Roman"/>
      <w:b/>
      <w:bCs/>
      <w:sz w:val="20"/>
      <w:szCs w:val="20"/>
      <w:lang w:eastAsia="sk-SK"/>
    </w:rPr>
  </w:style>
  <w:style w:type="character" w:customStyle="1" w:styleId="hps">
    <w:name w:val="hps"/>
    <w:basedOn w:val="Predvolenpsmoodseku"/>
    <w:rsid w:val="00641F9F"/>
  </w:style>
  <w:style w:type="character" w:customStyle="1" w:styleId="apple-converted-space">
    <w:name w:val="apple-converted-space"/>
    <w:basedOn w:val="Predvolenpsmoodseku"/>
    <w:rsid w:val="00641F9F"/>
  </w:style>
  <w:style w:type="paragraph" w:customStyle="1" w:styleId="TableText">
    <w:name w:val="TableText"/>
    <w:basedOn w:val="Default"/>
    <w:next w:val="Default"/>
    <w:uiPriority w:val="99"/>
    <w:rsid w:val="004C58EC"/>
    <w:rPr>
      <w:rFonts w:ascii="Verdana" w:hAnsi="Verdana" w:cs="Times New Roman"/>
      <w:color w:val="auto"/>
      <w:lang w:val="hu-HU" w:eastAsia="hu-HU"/>
    </w:rPr>
  </w:style>
  <w:style w:type="character" w:styleId="Hypertextovprepojenie">
    <w:name w:val="Hyperlink"/>
    <w:rsid w:val="00766BFA"/>
    <w:rPr>
      <w:color w:val="0000FF"/>
      <w:u w:val="single"/>
    </w:rPr>
  </w:style>
  <w:style w:type="paragraph" w:styleId="Pta">
    <w:name w:val="footer"/>
    <w:basedOn w:val="Normlny"/>
    <w:link w:val="PtaChar"/>
    <w:uiPriority w:val="99"/>
    <w:unhideWhenUsed/>
    <w:rsid w:val="007B2C1A"/>
    <w:pPr>
      <w:tabs>
        <w:tab w:val="center" w:pos="4536"/>
        <w:tab w:val="right" w:pos="9072"/>
      </w:tabs>
    </w:pPr>
    <w:rPr>
      <w:lang w:val="x-none" w:eastAsia="x-none"/>
    </w:rPr>
  </w:style>
  <w:style w:type="character" w:customStyle="1" w:styleId="PtaChar">
    <w:name w:val="Päta Char"/>
    <w:link w:val="Pta"/>
    <w:uiPriority w:val="99"/>
    <w:rsid w:val="007B2C1A"/>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651042">
      <w:bodyDiv w:val="1"/>
      <w:marLeft w:val="0"/>
      <w:marRight w:val="0"/>
      <w:marTop w:val="0"/>
      <w:marBottom w:val="0"/>
      <w:divBdr>
        <w:top w:val="none" w:sz="0" w:space="0" w:color="auto"/>
        <w:left w:val="none" w:sz="0" w:space="0" w:color="auto"/>
        <w:bottom w:val="none" w:sz="0" w:space="0" w:color="auto"/>
        <w:right w:val="none" w:sz="0" w:space="0" w:color="auto"/>
      </w:divBdr>
    </w:div>
    <w:div w:id="204566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B276A-940D-4256-8AAF-DDE782FFF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9DFA75-E292-4AFB-B331-8870C754F27E}">
  <ds:schemaRefs>
    <ds:schemaRef ds:uri="http://schemas.microsoft.com/sharepoint/v3/contenttype/forms"/>
  </ds:schemaRefs>
</ds:datastoreItem>
</file>

<file path=customXml/itemProps3.xml><?xml version="1.0" encoding="utf-8"?>
<ds:datastoreItem xmlns:ds="http://schemas.openxmlformats.org/officeDocument/2006/customXml" ds:itemID="{476B97FB-30EF-48E4-BF43-395453F1FB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061804-AE30-47E0-AE49-B7174F894505}">
  <ds:schemaRefs>
    <ds:schemaRef ds:uri="http://schemas.openxmlformats.org/officeDocument/2006/bibliography"/>
  </ds:schemaRefs>
</ds:datastoreItem>
</file>

<file path=customXml/itemProps5.xml><?xml version="1.0" encoding="utf-8"?>
<ds:datastoreItem xmlns:ds="http://schemas.openxmlformats.org/officeDocument/2006/customXml" ds:itemID="{2BB845F1-F70E-4120-AB8B-FC09406CEDEC}">
  <ds:schemaRefs>
    <ds:schemaRef ds:uri="http://schemas.openxmlformats.org/officeDocument/2006/bibliography"/>
  </ds:schemaRefs>
</ds:datastoreItem>
</file>

<file path=customXml/itemProps6.xml><?xml version="1.0" encoding="utf-8"?>
<ds:datastoreItem xmlns:ds="http://schemas.openxmlformats.org/officeDocument/2006/customXml" ds:itemID="{FFCF29CF-B426-4183-ADA0-B00A478D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23</Pages>
  <Words>9309</Words>
  <Characters>53065</Characters>
  <Application>Microsoft Office Word</Application>
  <DocSecurity>0</DocSecurity>
  <Lines>442</Lines>
  <Paragraphs>124</Paragraphs>
  <ScaleCrop>false</ScaleCrop>
  <HeadingPairs>
    <vt:vector size="8" baseType="variant">
      <vt:variant>
        <vt:lpstr>Názov</vt:lpstr>
      </vt:variant>
      <vt:variant>
        <vt:i4>1</vt:i4>
      </vt:variant>
      <vt:variant>
        <vt:lpstr>Title</vt:lpstr>
      </vt:variant>
      <vt:variant>
        <vt:i4>1</vt:i4>
      </vt:variant>
      <vt:variant>
        <vt:lpstr>Cím</vt:lpstr>
      </vt:variant>
      <vt:variant>
        <vt:i4>1</vt:i4>
      </vt:variant>
      <vt:variant>
        <vt:lpstr>Tytuł</vt:lpstr>
      </vt:variant>
      <vt:variant>
        <vt:i4>1</vt:i4>
      </vt:variant>
    </vt:vector>
  </HeadingPairs>
  <TitlesOfParts>
    <vt:vector size="4" baseType="lpstr">
      <vt:lpstr>1</vt:lpstr>
      <vt:lpstr>1</vt:lpstr>
      <vt:lpstr>1</vt:lpstr>
      <vt:lpstr>1</vt:lpstr>
    </vt:vector>
  </TitlesOfParts>
  <Company>Richter Gedeon Nyrt.</Company>
  <LinksUpToDate>false</LinksUpToDate>
  <CharactersWithSpaces>62250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Ľubica</dc:creator>
  <cp:lastModifiedBy>Grančaiová, Zuzana</cp:lastModifiedBy>
  <cp:revision>7</cp:revision>
  <cp:lastPrinted>2017-03-03T11:51:00Z</cp:lastPrinted>
  <dcterms:created xsi:type="dcterms:W3CDTF">2017-09-08T08:56:00Z</dcterms:created>
  <dcterms:modified xsi:type="dcterms:W3CDTF">2018-05-24T08:27:00Z</dcterms:modified>
</cp:coreProperties>
</file>