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549E8" w14:textId="77777777" w:rsidR="00553706" w:rsidRPr="002647F1" w:rsidRDefault="00553706" w:rsidP="002B47B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14:paraId="24410EF7" w14:textId="77777777" w:rsidR="00553706" w:rsidRPr="005D78EE" w:rsidRDefault="00553706" w:rsidP="002B47B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>S</w:t>
      </w:r>
      <w:r w:rsidR="009C75F7" w:rsidRPr="005D78EE">
        <w:rPr>
          <w:rFonts w:ascii="Times New Roman" w:hAnsi="Times New Roman"/>
          <w:b/>
          <w:bCs/>
          <w:color w:val="000000"/>
        </w:rPr>
        <w:t>ÚHRN CHARAKTERISTICKÝCH VLASTNOSTÍ LIEKU</w:t>
      </w:r>
    </w:p>
    <w:p w14:paraId="6EE7F0B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530ABEA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5E3FDCA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1. </w:t>
      </w:r>
      <w:r w:rsidRPr="005D78EE">
        <w:rPr>
          <w:rFonts w:ascii="Times New Roman" w:hAnsi="Times New Roman"/>
          <w:b/>
          <w:bCs/>
          <w:color w:val="000000"/>
        </w:rPr>
        <w:tab/>
        <w:t>NÁZOV LIEKU</w:t>
      </w:r>
    </w:p>
    <w:p w14:paraId="530125B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E11EED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5D78EE">
        <w:rPr>
          <w:rFonts w:ascii="Times New Roman" w:hAnsi="Times New Roman"/>
          <w:bCs/>
        </w:rPr>
        <w:t>Levetiracetam</w:t>
      </w:r>
      <w:proofErr w:type="spellEnd"/>
      <w:r w:rsidRPr="005D78EE">
        <w:rPr>
          <w:rFonts w:ascii="Times New Roman" w:hAnsi="Times New Roman"/>
          <w:bCs/>
        </w:rPr>
        <w:t xml:space="preserve"> </w:t>
      </w:r>
      <w:proofErr w:type="spellStart"/>
      <w:r w:rsidRPr="005D78EE">
        <w:rPr>
          <w:rFonts w:ascii="Times New Roman" w:hAnsi="Times New Roman"/>
          <w:bCs/>
        </w:rPr>
        <w:t>STADA</w:t>
      </w:r>
      <w:proofErr w:type="spellEnd"/>
      <w:r w:rsidRPr="005D78EE">
        <w:rPr>
          <w:rFonts w:ascii="Times New Roman" w:hAnsi="Times New Roman"/>
          <w:bCs/>
        </w:rPr>
        <w:t xml:space="preserve"> 250 mg </w:t>
      </w:r>
    </w:p>
    <w:p w14:paraId="4105BCB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5D78EE">
        <w:rPr>
          <w:rFonts w:ascii="Times New Roman" w:hAnsi="Times New Roman"/>
          <w:bCs/>
        </w:rPr>
        <w:t>Levetiracetam</w:t>
      </w:r>
      <w:proofErr w:type="spellEnd"/>
      <w:r w:rsidRPr="005D78EE">
        <w:rPr>
          <w:rFonts w:ascii="Times New Roman" w:hAnsi="Times New Roman"/>
          <w:bCs/>
        </w:rPr>
        <w:t xml:space="preserve"> </w:t>
      </w:r>
      <w:proofErr w:type="spellStart"/>
      <w:r w:rsidRPr="005D78EE">
        <w:rPr>
          <w:rFonts w:ascii="Times New Roman" w:hAnsi="Times New Roman"/>
          <w:bCs/>
        </w:rPr>
        <w:t>STADA</w:t>
      </w:r>
      <w:proofErr w:type="spellEnd"/>
      <w:r w:rsidRPr="005D78EE">
        <w:rPr>
          <w:rFonts w:ascii="Times New Roman" w:hAnsi="Times New Roman"/>
          <w:bCs/>
        </w:rPr>
        <w:t xml:space="preserve"> 500 mg </w:t>
      </w:r>
    </w:p>
    <w:p w14:paraId="1425EBA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5D78EE">
        <w:rPr>
          <w:rFonts w:ascii="Times New Roman" w:hAnsi="Times New Roman"/>
          <w:bCs/>
        </w:rPr>
        <w:t>Levetiracetam</w:t>
      </w:r>
      <w:proofErr w:type="spellEnd"/>
      <w:r w:rsidRPr="005D78EE">
        <w:rPr>
          <w:rFonts w:ascii="Times New Roman" w:hAnsi="Times New Roman"/>
          <w:bCs/>
        </w:rPr>
        <w:t xml:space="preserve"> </w:t>
      </w:r>
      <w:proofErr w:type="spellStart"/>
      <w:r w:rsidRPr="005D78EE">
        <w:rPr>
          <w:rFonts w:ascii="Times New Roman" w:hAnsi="Times New Roman"/>
          <w:bCs/>
        </w:rPr>
        <w:t>STADA</w:t>
      </w:r>
      <w:proofErr w:type="spellEnd"/>
      <w:r w:rsidRPr="005D78EE">
        <w:rPr>
          <w:rFonts w:ascii="Times New Roman" w:hAnsi="Times New Roman"/>
          <w:bCs/>
        </w:rPr>
        <w:t xml:space="preserve"> 1000 mg </w:t>
      </w:r>
    </w:p>
    <w:p w14:paraId="0DCD8B4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5D78EE">
        <w:rPr>
          <w:rFonts w:ascii="Times New Roman" w:hAnsi="Times New Roman"/>
          <w:bCs/>
        </w:rPr>
        <w:t>filmom obalené tablety</w:t>
      </w:r>
    </w:p>
    <w:p w14:paraId="216606E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622498E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310A917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2. </w:t>
      </w:r>
      <w:r w:rsidRPr="005D78EE">
        <w:rPr>
          <w:rFonts w:ascii="Times New Roman" w:hAnsi="Times New Roman"/>
          <w:b/>
          <w:bCs/>
          <w:color w:val="000000"/>
        </w:rPr>
        <w:tab/>
        <w:t>KVALITATÍVNE A KVANTITATÍVNE ZLOŽENIE</w:t>
      </w:r>
    </w:p>
    <w:p w14:paraId="7D7C2B6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F99AA5E" w14:textId="77777777" w:rsidR="00553706" w:rsidRPr="005D78EE" w:rsidRDefault="00553706" w:rsidP="00BA3F6E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  <w:proofErr w:type="spellStart"/>
      <w:r w:rsidRPr="005D78EE">
        <w:rPr>
          <w:rFonts w:ascii="Times New Roman" w:hAnsi="Times New Roman"/>
          <w:bCs/>
          <w:i/>
        </w:rPr>
        <w:t>Levetiracetam</w:t>
      </w:r>
      <w:proofErr w:type="spellEnd"/>
      <w:r w:rsidRPr="005D78EE">
        <w:rPr>
          <w:rFonts w:ascii="Times New Roman" w:hAnsi="Times New Roman"/>
          <w:bCs/>
          <w:i/>
        </w:rPr>
        <w:t xml:space="preserve"> </w:t>
      </w:r>
      <w:proofErr w:type="spellStart"/>
      <w:r w:rsidRPr="005D78EE">
        <w:rPr>
          <w:rFonts w:ascii="Times New Roman" w:hAnsi="Times New Roman"/>
          <w:bCs/>
          <w:i/>
        </w:rPr>
        <w:t>STADA</w:t>
      </w:r>
      <w:proofErr w:type="spellEnd"/>
      <w:r w:rsidRPr="005D78EE">
        <w:rPr>
          <w:rFonts w:ascii="Times New Roman" w:hAnsi="Times New Roman"/>
          <w:bCs/>
          <w:i/>
        </w:rPr>
        <w:t xml:space="preserve"> 250 mg </w:t>
      </w:r>
    </w:p>
    <w:p w14:paraId="6529A88B" w14:textId="77777777" w:rsidR="00553706" w:rsidRPr="005D78EE" w:rsidRDefault="00553706" w:rsidP="00BA3F6E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Každá filmom obalená tableta obsahuje 250 mg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0A33D8E1" w14:textId="77777777" w:rsidR="00553706" w:rsidRPr="005D78EE" w:rsidRDefault="00553706" w:rsidP="00BA3F6E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</w:p>
    <w:p w14:paraId="0213F74D" w14:textId="77777777" w:rsidR="00553706" w:rsidRPr="005D78EE" w:rsidRDefault="00553706" w:rsidP="00BA3F6E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  <w:proofErr w:type="spellStart"/>
      <w:r w:rsidRPr="005D78EE">
        <w:rPr>
          <w:rFonts w:ascii="Times New Roman" w:hAnsi="Times New Roman"/>
          <w:bCs/>
          <w:i/>
        </w:rPr>
        <w:t>Levetiracetam</w:t>
      </w:r>
      <w:proofErr w:type="spellEnd"/>
      <w:r w:rsidRPr="005D78EE">
        <w:rPr>
          <w:rFonts w:ascii="Times New Roman" w:hAnsi="Times New Roman"/>
          <w:bCs/>
          <w:i/>
        </w:rPr>
        <w:t xml:space="preserve"> </w:t>
      </w:r>
      <w:proofErr w:type="spellStart"/>
      <w:r w:rsidRPr="005D78EE">
        <w:rPr>
          <w:rFonts w:ascii="Times New Roman" w:hAnsi="Times New Roman"/>
          <w:bCs/>
          <w:i/>
        </w:rPr>
        <w:t>STADA</w:t>
      </w:r>
      <w:proofErr w:type="spellEnd"/>
      <w:r w:rsidRPr="005D78EE">
        <w:rPr>
          <w:rFonts w:ascii="Times New Roman" w:hAnsi="Times New Roman"/>
          <w:bCs/>
          <w:i/>
        </w:rPr>
        <w:t xml:space="preserve"> 500 mg </w:t>
      </w:r>
    </w:p>
    <w:p w14:paraId="5302E3FE" w14:textId="77777777" w:rsidR="00553706" w:rsidRPr="005D78EE" w:rsidRDefault="00553706" w:rsidP="00BA3F6E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Každá filmom obalená tableta obsahuje 500 mg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30F168C2" w14:textId="77777777" w:rsidR="00553706" w:rsidRPr="005D78EE" w:rsidRDefault="00553706" w:rsidP="00BA3F6E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</w:p>
    <w:p w14:paraId="384CB105" w14:textId="77777777" w:rsidR="00553706" w:rsidRPr="005D78EE" w:rsidRDefault="00553706" w:rsidP="00BA3F6E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  <w:proofErr w:type="spellStart"/>
      <w:r w:rsidRPr="005D78EE">
        <w:rPr>
          <w:rFonts w:ascii="Times New Roman" w:hAnsi="Times New Roman"/>
          <w:bCs/>
          <w:i/>
        </w:rPr>
        <w:t>Levetiracetam</w:t>
      </w:r>
      <w:proofErr w:type="spellEnd"/>
      <w:r w:rsidRPr="005D78EE">
        <w:rPr>
          <w:rFonts w:ascii="Times New Roman" w:hAnsi="Times New Roman"/>
          <w:bCs/>
          <w:i/>
        </w:rPr>
        <w:t xml:space="preserve"> </w:t>
      </w:r>
      <w:proofErr w:type="spellStart"/>
      <w:r w:rsidRPr="005D78EE">
        <w:rPr>
          <w:rFonts w:ascii="Times New Roman" w:hAnsi="Times New Roman"/>
          <w:bCs/>
          <w:i/>
        </w:rPr>
        <w:t>STADA</w:t>
      </w:r>
      <w:proofErr w:type="spellEnd"/>
      <w:r w:rsidRPr="005D78EE">
        <w:rPr>
          <w:rFonts w:ascii="Times New Roman" w:hAnsi="Times New Roman"/>
          <w:bCs/>
          <w:i/>
        </w:rPr>
        <w:t xml:space="preserve"> 1000 mg </w:t>
      </w:r>
    </w:p>
    <w:p w14:paraId="712FDEC9" w14:textId="77777777" w:rsidR="00553706" w:rsidRPr="005D78EE" w:rsidRDefault="00553706" w:rsidP="00781CD0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Každá filmom obalená tableta obsahuje 1000 mg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5482BA4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631405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Úplný zoznam pomocných látok, pozri časť 6.1.</w:t>
      </w:r>
    </w:p>
    <w:p w14:paraId="1A7DF77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6D8B49F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13A2BD9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3. </w:t>
      </w:r>
      <w:r w:rsidRPr="005D78EE">
        <w:rPr>
          <w:rFonts w:ascii="Times New Roman" w:hAnsi="Times New Roman"/>
          <w:b/>
          <w:bCs/>
          <w:color w:val="000000"/>
        </w:rPr>
        <w:tab/>
        <w:t>LIEKOVÁ FORMA</w:t>
      </w:r>
    </w:p>
    <w:p w14:paraId="654F15F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60A06E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Filmom obalená tableta.</w:t>
      </w:r>
    </w:p>
    <w:p w14:paraId="69B7E73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F2F241E" w14:textId="77777777" w:rsidR="00553706" w:rsidRPr="005D78EE" w:rsidRDefault="00553706" w:rsidP="00BA3F6E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  <w:proofErr w:type="spellStart"/>
      <w:r w:rsidRPr="005D78EE">
        <w:rPr>
          <w:rFonts w:ascii="Times New Roman" w:hAnsi="Times New Roman"/>
          <w:bCs/>
          <w:i/>
        </w:rPr>
        <w:t>Levetiracetam</w:t>
      </w:r>
      <w:proofErr w:type="spellEnd"/>
      <w:r w:rsidRPr="005D78EE">
        <w:rPr>
          <w:rFonts w:ascii="Times New Roman" w:hAnsi="Times New Roman"/>
          <w:bCs/>
          <w:i/>
        </w:rPr>
        <w:t xml:space="preserve"> </w:t>
      </w:r>
      <w:proofErr w:type="spellStart"/>
      <w:r w:rsidRPr="005D78EE">
        <w:rPr>
          <w:rFonts w:ascii="Times New Roman" w:hAnsi="Times New Roman"/>
          <w:bCs/>
          <w:i/>
        </w:rPr>
        <w:t>STADA</w:t>
      </w:r>
      <w:proofErr w:type="spellEnd"/>
      <w:r w:rsidRPr="005D78EE">
        <w:rPr>
          <w:rFonts w:ascii="Times New Roman" w:hAnsi="Times New Roman"/>
          <w:bCs/>
          <w:i/>
        </w:rPr>
        <w:t xml:space="preserve"> 250 mg </w:t>
      </w:r>
    </w:p>
    <w:p w14:paraId="5E8970A2" w14:textId="77777777" w:rsidR="00553706" w:rsidRPr="005D78EE" w:rsidRDefault="00553706" w:rsidP="00BA3F6E">
      <w:pPr>
        <w:pStyle w:val="Zkladntext2"/>
        <w:rPr>
          <w:noProof/>
          <w:sz w:val="22"/>
          <w:szCs w:val="22"/>
        </w:rPr>
      </w:pPr>
      <w:r w:rsidRPr="005D78EE">
        <w:rPr>
          <w:sz w:val="22"/>
          <w:szCs w:val="22"/>
        </w:rPr>
        <w:t xml:space="preserve">Modré, podlhovasté, obojstranne vypuklé filmom obalené tablety s deliacou ryhou na jednej strane s dĺžkou cca. </w:t>
      </w:r>
      <w:smartTag w:uri="urn:schemas-microsoft-com:office:smarttags" w:element="metricconverter">
        <w:smartTagPr>
          <w:attr w:name="ProductID" w:val="12,8 mm"/>
        </w:smartTagPr>
        <w:r w:rsidRPr="005D78EE">
          <w:rPr>
            <w:sz w:val="22"/>
            <w:szCs w:val="22"/>
          </w:rPr>
          <w:t>12,8 mm</w:t>
        </w:r>
      </w:smartTag>
      <w:r w:rsidRPr="005D78EE">
        <w:rPr>
          <w:sz w:val="22"/>
          <w:szCs w:val="22"/>
        </w:rPr>
        <w:t xml:space="preserve">. </w:t>
      </w:r>
      <w:r w:rsidRPr="005D78EE">
        <w:rPr>
          <w:noProof/>
          <w:sz w:val="22"/>
          <w:szCs w:val="22"/>
        </w:rPr>
        <w:t>Tableta sa môže rozdeliť na rovnaké</w:t>
      </w:r>
      <w:r w:rsidR="00405CBA">
        <w:rPr>
          <w:noProof/>
          <w:sz w:val="22"/>
          <w:szCs w:val="22"/>
          <w:lang w:val="sk-SK"/>
        </w:rPr>
        <w:t xml:space="preserve"> </w:t>
      </w:r>
      <w:r w:rsidR="00152C55">
        <w:rPr>
          <w:noProof/>
          <w:sz w:val="22"/>
          <w:szCs w:val="22"/>
          <w:lang w:val="sk-SK"/>
        </w:rPr>
        <w:t>dávky</w:t>
      </w:r>
      <w:r w:rsidRPr="005D78EE">
        <w:rPr>
          <w:noProof/>
          <w:sz w:val="22"/>
          <w:szCs w:val="22"/>
        </w:rPr>
        <w:t>.</w:t>
      </w:r>
    </w:p>
    <w:p w14:paraId="59B2D99B" w14:textId="77777777" w:rsidR="00553706" w:rsidRPr="005D78EE" w:rsidRDefault="00553706" w:rsidP="00BA3F6E">
      <w:pPr>
        <w:pStyle w:val="Zkladntext2"/>
        <w:rPr>
          <w:noProof/>
          <w:sz w:val="22"/>
          <w:szCs w:val="22"/>
        </w:rPr>
      </w:pPr>
    </w:p>
    <w:p w14:paraId="3D52F895" w14:textId="77777777" w:rsidR="00553706" w:rsidRPr="005D78EE" w:rsidRDefault="00553706" w:rsidP="00BA3F6E">
      <w:pPr>
        <w:pStyle w:val="Zkladntext2"/>
        <w:rPr>
          <w:noProof/>
          <w:sz w:val="22"/>
          <w:szCs w:val="22"/>
        </w:rPr>
      </w:pPr>
      <w:proofErr w:type="spellStart"/>
      <w:r w:rsidRPr="005D78EE">
        <w:rPr>
          <w:bCs/>
          <w:i/>
          <w:sz w:val="22"/>
          <w:szCs w:val="22"/>
        </w:rPr>
        <w:t>Levetiracetam</w:t>
      </w:r>
      <w:proofErr w:type="spellEnd"/>
      <w:r w:rsidRPr="005D78EE">
        <w:rPr>
          <w:bCs/>
          <w:i/>
          <w:sz w:val="22"/>
          <w:szCs w:val="22"/>
        </w:rPr>
        <w:t xml:space="preserve"> </w:t>
      </w:r>
      <w:proofErr w:type="spellStart"/>
      <w:r w:rsidRPr="005D78EE">
        <w:rPr>
          <w:bCs/>
          <w:i/>
          <w:sz w:val="22"/>
          <w:szCs w:val="22"/>
        </w:rPr>
        <w:t>STADA</w:t>
      </w:r>
      <w:proofErr w:type="spellEnd"/>
      <w:r w:rsidRPr="005D78EE">
        <w:rPr>
          <w:bCs/>
          <w:i/>
          <w:sz w:val="22"/>
          <w:szCs w:val="22"/>
        </w:rPr>
        <w:t xml:space="preserve"> 500 mg</w:t>
      </w:r>
    </w:p>
    <w:p w14:paraId="33174DD6" w14:textId="77777777" w:rsidR="00553706" w:rsidRPr="005D78EE" w:rsidRDefault="00553706" w:rsidP="00BA3F6E">
      <w:pPr>
        <w:pStyle w:val="Zkladntext2"/>
        <w:rPr>
          <w:noProof/>
          <w:sz w:val="22"/>
          <w:szCs w:val="22"/>
        </w:rPr>
      </w:pPr>
      <w:r w:rsidRPr="005D78EE">
        <w:rPr>
          <w:sz w:val="22"/>
          <w:szCs w:val="22"/>
        </w:rPr>
        <w:t xml:space="preserve">Žlté, podlhovasté, obojstranne vypuklé filmom obalené tablety s deliacou ryhou na jednej strane s dĺžkou cca. </w:t>
      </w:r>
      <w:smartTag w:uri="urn:schemas-microsoft-com:office:smarttags" w:element="metricconverter">
        <w:smartTagPr>
          <w:attr w:name="ProductID" w:val="16,4 mm"/>
        </w:smartTagPr>
        <w:r w:rsidRPr="005D78EE">
          <w:rPr>
            <w:sz w:val="22"/>
            <w:szCs w:val="22"/>
          </w:rPr>
          <w:t>16,4 mm</w:t>
        </w:r>
      </w:smartTag>
      <w:r w:rsidRPr="005D78EE">
        <w:rPr>
          <w:sz w:val="22"/>
          <w:szCs w:val="22"/>
        </w:rPr>
        <w:t xml:space="preserve">. </w:t>
      </w:r>
      <w:r w:rsidRPr="005D78EE">
        <w:rPr>
          <w:noProof/>
          <w:sz w:val="22"/>
          <w:szCs w:val="22"/>
        </w:rPr>
        <w:t>Tableta sa môže rozdeliť na rovnaké</w:t>
      </w:r>
      <w:r w:rsidR="00405CBA">
        <w:rPr>
          <w:noProof/>
          <w:sz w:val="22"/>
          <w:szCs w:val="22"/>
          <w:lang w:val="sk-SK"/>
        </w:rPr>
        <w:t xml:space="preserve"> </w:t>
      </w:r>
      <w:r w:rsidR="00152C55">
        <w:rPr>
          <w:noProof/>
          <w:sz w:val="22"/>
          <w:szCs w:val="22"/>
          <w:lang w:val="sk-SK"/>
        </w:rPr>
        <w:t>dávky</w:t>
      </w:r>
      <w:r w:rsidRPr="005D78EE">
        <w:rPr>
          <w:noProof/>
          <w:sz w:val="22"/>
          <w:szCs w:val="22"/>
        </w:rPr>
        <w:t>.</w:t>
      </w:r>
    </w:p>
    <w:p w14:paraId="2011DF30" w14:textId="77777777" w:rsidR="00553706" w:rsidRPr="005D78EE" w:rsidRDefault="00553706" w:rsidP="00BA3F6E">
      <w:pPr>
        <w:pStyle w:val="Zkladntext2"/>
        <w:rPr>
          <w:noProof/>
          <w:sz w:val="22"/>
          <w:szCs w:val="22"/>
        </w:rPr>
      </w:pPr>
    </w:p>
    <w:p w14:paraId="68AC031C" w14:textId="77777777" w:rsidR="00553706" w:rsidRPr="005D78EE" w:rsidRDefault="00553706" w:rsidP="00BA3F6E">
      <w:pPr>
        <w:pStyle w:val="Zkladntext2"/>
        <w:rPr>
          <w:noProof/>
          <w:sz w:val="22"/>
          <w:szCs w:val="22"/>
        </w:rPr>
      </w:pPr>
      <w:proofErr w:type="spellStart"/>
      <w:r w:rsidRPr="005D78EE">
        <w:rPr>
          <w:bCs/>
          <w:i/>
          <w:sz w:val="22"/>
          <w:szCs w:val="22"/>
        </w:rPr>
        <w:t>Levetiracetam</w:t>
      </w:r>
      <w:proofErr w:type="spellEnd"/>
      <w:r w:rsidRPr="005D78EE">
        <w:rPr>
          <w:bCs/>
          <w:i/>
          <w:sz w:val="22"/>
          <w:szCs w:val="22"/>
        </w:rPr>
        <w:t xml:space="preserve"> </w:t>
      </w:r>
      <w:proofErr w:type="spellStart"/>
      <w:r w:rsidRPr="005D78EE">
        <w:rPr>
          <w:bCs/>
          <w:i/>
          <w:sz w:val="22"/>
          <w:szCs w:val="22"/>
        </w:rPr>
        <w:t>STADA</w:t>
      </w:r>
      <w:proofErr w:type="spellEnd"/>
      <w:r w:rsidRPr="005D78EE">
        <w:rPr>
          <w:bCs/>
          <w:i/>
          <w:sz w:val="22"/>
          <w:szCs w:val="22"/>
        </w:rPr>
        <w:t xml:space="preserve"> 1000 mg</w:t>
      </w:r>
    </w:p>
    <w:p w14:paraId="2A003EBC" w14:textId="77777777" w:rsidR="00553706" w:rsidRPr="005D78EE" w:rsidRDefault="00553706" w:rsidP="00BA3F6E">
      <w:pPr>
        <w:pStyle w:val="Zkladntext2"/>
        <w:rPr>
          <w:noProof/>
          <w:sz w:val="22"/>
          <w:szCs w:val="22"/>
        </w:rPr>
      </w:pPr>
      <w:r w:rsidRPr="005D78EE">
        <w:rPr>
          <w:sz w:val="22"/>
          <w:szCs w:val="22"/>
        </w:rPr>
        <w:t xml:space="preserve">Biele, podlhovasté, obojstranne vypuklé filmom obalené tablety s deliacou ryhou na jednej strane s dĺžkou cca. </w:t>
      </w:r>
      <w:smartTag w:uri="urn:schemas-microsoft-com:office:smarttags" w:element="metricconverter">
        <w:smartTagPr>
          <w:attr w:name="ProductID" w:val="19,1 mm"/>
        </w:smartTagPr>
        <w:r w:rsidRPr="005D78EE">
          <w:rPr>
            <w:sz w:val="22"/>
            <w:szCs w:val="22"/>
          </w:rPr>
          <w:t>19,1 mm</w:t>
        </w:r>
      </w:smartTag>
      <w:r w:rsidRPr="005D78EE">
        <w:rPr>
          <w:sz w:val="22"/>
          <w:szCs w:val="22"/>
        </w:rPr>
        <w:t xml:space="preserve">. </w:t>
      </w:r>
      <w:r w:rsidRPr="005D78EE">
        <w:rPr>
          <w:noProof/>
          <w:sz w:val="22"/>
          <w:szCs w:val="22"/>
        </w:rPr>
        <w:t>Deliaca ryha iba pomáha rozlom</w:t>
      </w:r>
      <w:r w:rsidR="00152C55">
        <w:rPr>
          <w:noProof/>
          <w:sz w:val="22"/>
          <w:szCs w:val="22"/>
          <w:lang w:val="sk-SK"/>
        </w:rPr>
        <w:t xml:space="preserve">iť tabletu, aby sa dala </w:t>
      </w:r>
      <w:r w:rsidRPr="005D78EE">
        <w:rPr>
          <w:noProof/>
          <w:sz w:val="22"/>
          <w:szCs w:val="22"/>
        </w:rPr>
        <w:t xml:space="preserve"> ľahšie </w:t>
      </w:r>
      <w:r w:rsidR="00152C55">
        <w:rPr>
          <w:noProof/>
          <w:sz w:val="22"/>
          <w:szCs w:val="22"/>
          <w:lang w:val="sk-SK"/>
        </w:rPr>
        <w:t xml:space="preserve">prehltnúť </w:t>
      </w:r>
      <w:r w:rsidRPr="005D78EE">
        <w:rPr>
          <w:noProof/>
          <w:sz w:val="22"/>
          <w:szCs w:val="22"/>
        </w:rPr>
        <w:t xml:space="preserve">a neslúži </w:t>
      </w:r>
      <w:r w:rsidR="00152C55">
        <w:rPr>
          <w:noProof/>
          <w:sz w:val="22"/>
          <w:szCs w:val="22"/>
          <w:lang w:val="sk-SK"/>
        </w:rPr>
        <w:t xml:space="preserve">na </w:t>
      </w:r>
      <w:r w:rsidRPr="005D78EE">
        <w:rPr>
          <w:noProof/>
          <w:sz w:val="22"/>
          <w:szCs w:val="22"/>
        </w:rPr>
        <w:t>rozdelenie na rovnaké dávky</w:t>
      </w:r>
      <w:r w:rsidR="008E1CBA" w:rsidRPr="005D78EE">
        <w:rPr>
          <w:noProof/>
          <w:sz w:val="22"/>
          <w:szCs w:val="22"/>
        </w:rPr>
        <w:t>.</w:t>
      </w:r>
    </w:p>
    <w:p w14:paraId="66738BE9" w14:textId="77777777" w:rsidR="00553706" w:rsidRPr="005D78EE" w:rsidRDefault="00553706" w:rsidP="00BA3F6E">
      <w:pPr>
        <w:pStyle w:val="Zkladntext2"/>
        <w:rPr>
          <w:noProof/>
          <w:sz w:val="22"/>
          <w:szCs w:val="22"/>
        </w:rPr>
      </w:pPr>
    </w:p>
    <w:p w14:paraId="79CB4CC5" w14:textId="77777777" w:rsidR="00553706" w:rsidRPr="002647F1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074D2DB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4. </w:t>
      </w:r>
      <w:r w:rsidRPr="005D78EE">
        <w:rPr>
          <w:rFonts w:ascii="Times New Roman" w:hAnsi="Times New Roman"/>
          <w:b/>
          <w:bCs/>
          <w:color w:val="000000"/>
        </w:rPr>
        <w:tab/>
        <w:t>KLINICKÉ ÚDAJE</w:t>
      </w:r>
    </w:p>
    <w:p w14:paraId="36DE5FD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0C0F05E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4.1 </w:t>
      </w:r>
      <w:r w:rsidRPr="005D78EE">
        <w:rPr>
          <w:rFonts w:ascii="Times New Roman" w:hAnsi="Times New Roman"/>
          <w:b/>
          <w:bCs/>
          <w:color w:val="000000"/>
        </w:rPr>
        <w:tab/>
        <w:t>Terapeutické indikácie</w:t>
      </w:r>
    </w:p>
    <w:p w14:paraId="3762707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681879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STADA</w:t>
      </w:r>
      <w:proofErr w:type="spellEnd"/>
      <w:r w:rsidRPr="005D78EE">
        <w:rPr>
          <w:rFonts w:ascii="Times New Roman" w:hAnsi="Times New Roman"/>
          <w:color w:val="000000"/>
        </w:rPr>
        <w:t xml:space="preserve">  je indikovaný ako monoterapia pri liečbe parciálnych záchvatov so sekundárnou generalizáciou alebo bez nej u </w:t>
      </w:r>
      <w:r w:rsidR="007D4B90" w:rsidRPr="005D78EE">
        <w:rPr>
          <w:rFonts w:ascii="Times New Roman" w:hAnsi="Times New Roman"/>
          <w:color w:val="000000"/>
        </w:rPr>
        <w:t xml:space="preserve">dospelých a dospievajúcich </w:t>
      </w:r>
      <w:r w:rsidRPr="005D78EE">
        <w:rPr>
          <w:rFonts w:ascii="Times New Roman" w:hAnsi="Times New Roman"/>
          <w:color w:val="000000"/>
        </w:rPr>
        <w:t>od veku 16 rokov s práve diagnostikovanou epilepsiou.</w:t>
      </w:r>
    </w:p>
    <w:p w14:paraId="423C213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7D442D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STADA</w:t>
      </w:r>
      <w:proofErr w:type="spellEnd"/>
      <w:r w:rsidRPr="005D78EE">
        <w:rPr>
          <w:rFonts w:ascii="Times New Roman" w:hAnsi="Times New Roman"/>
          <w:color w:val="000000"/>
        </w:rPr>
        <w:t xml:space="preserve">  je indikovaný ako prídavná terapia</w:t>
      </w:r>
      <w:r w:rsidR="00471739">
        <w:rPr>
          <w:rFonts w:ascii="Times New Roman" w:hAnsi="Times New Roman"/>
          <w:color w:val="000000"/>
        </w:rPr>
        <w:t>.</w:t>
      </w:r>
    </w:p>
    <w:p w14:paraId="6A5A4D04" w14:textId="33E51EAC" w:rsidR="00553706" w:rsidRPr="00405CBA" w:rsidRDefault="00553706" w:rsidP="00405CBA">
      <w:pPr>
        <w:tabs>
          <w:tab w:val="left" w:pos="7335"/>
        </w:tabs>
        <w:rPr>
          <w:rFonts w:ascii="Times New Roman" w:hAnsi="Times New Roman"/>
        </w:rPr>
      </w:pPr>
    </w:p>
    <w:p w14:paraId="2549950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eastAsia="SymbolMT" w:hAnsi="Times New Roman"/>
          <w:color w:val="000000"/>
        </w:rPr>
        <w:t xml:space="preserve">• </w:t>
      </w:r>
      <w:r w:rsidRPr="005D78EE">
        <w:rPr>
          <w:rFonts w:ascii="Times New Roman" w:hAnsi="Times New Roman"/>
          <w:color w:val="000000"/>
        </w:rPr>
        <w:t xml:space="preserve">pri liečbe parciálnych záchvatov s alebo bez sekundárnej generalizácie u dospelých, </w:t>
      </w:r>
      <w:r w:rsidR="007D4B90" w:rsidRPr="005D78EE">
        <w:rPr>
          <w:rFonts w:ascii="Times New Roman" w:hAnsi="Times New Roman"/>
          <w:color w:val="000000"/>
        </w:rPr>
        <w:t xml:space="preserve">dospievajúcich, </w:t>
      </w:r>
      <w:r w:rsidRPr="005D78EE">
        <w:rPr>
          <w:rFonts w:ascii="Times New Roman" w:hAnsi="Times New Roman"/>
          <w:color w:val="000000"/>
        </w:rPr>
        <w:t>detí a</w:t>
      </w:r>
      <w:r w:rsidR="00471739">
        <w:rPr>
          <w:rFonts w:ascii="Times New Roman" w:hAnsi="Times New Roman"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>dojčiat vo veku od 1 mesiaca s epilepsiou.</w:t>
      </w:r>
    </w:p>
    <w:p w14:paraId="12E8049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eastAsia="SymbolMT" w:hAnsi="Times New Roman"/>
          <w:color w:val="000000"/>
        </w:rPr>
        <w:t xml:space="preserve">• </w:t>
      </w:r>
      <w:r w:rsidRPr="005D78EE">
        <w:rPr>
          <w:rFonts w:ascii="Times New Roman" w:hAnsi="Times New Roman"/>
          <w:color w:val="000000"/>
        </w:rPr>
        <w:t xml:space="preserve">pri liečbe </w:t>
      </w:r>
      <w:proofErr w:type="spellStart"/>
      <w:r w:rsidRPr="005D78EE">
        <w:rPr>
          <w:rFonts w:ascii="Times New Roman" w:hAnsi="Times New Roman"/>
          <w:color w:val="000000"/>
        </w:rPr>
        <w:t>myoklonických</w:t>
      </w:r>
      <w:proofErr w:type="spellEnd"/>
      <w:r w:rsidRPr="005D78EE">
        <w:rPr>
          <w:rFonts w:ascii="Times New Roman" w:hAnsi="Times New Roman"/>
          <w:color w:val="000000"/>
        </w:rPr>
        <w:t xml:space="preserve"> záchvatov u dospelých a </w:t>
      </w:r>
      <w:r w:rsidR="00EB648B" w:rsidRPr="005D78EE">
        <w:rPr>
          <w:rFonts w:ascii="Times New Roman" w:hAnsi="Times New Roman"/>
          <w:color w:val="000000"/>
        </w:rPr>
        <w:t xml:space="preserve">dospievajúcich </w:t>
      </w:r>
      <w:r w:rsidRPr="005D78EE">
        <w:rPr>
          <w:rFonts w:ascii="Times New Roman" w:hAnsi="Times New Roman"/>
          <w:color w:val="000000"/>
        </w:rPr>
        <w:t>od veku 12 rokov s juvenilnou</w:t>
      </w:r>
    </w:p>
    <w:p w14:paraId="6A03F74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lastRenderedPageBreak/>
        <w:t>myoklonickou</w:t>
      </w:r>
      <w:proofErr w:type="spellEnd"/>
      <w:r w:rsidRPr="005D78EE">
        <w:rPr>
          <w:rFonts w:ascii="Times New Roman" w:hAnsi="Times New Roman"/>
          <w:color w:val="000000"/>
        </w:rPr>
        <w:t xml:space="preserve"> epilepsiou.</w:t>
      </w:r>
    </w:p>
    <w:p w14:paraId="35325F5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eastAsia="SymbolMT" w:hAnsi="Times New Roman"/>
          <w:color w:val="000000"/>
        </w:rPr>
        <w:t xml:space="preserve">• </w:t>
      </w:r>
      <w:r w:rsidRPr="005D78EE">
        <w:rPr>
          <w:rFonts w:ascii="Times New Roman" w:hAnsi="Times New Roman"/>
          <w:color w:val="000000"/>
        </w:rPr>
        <w:t xml:space="preserve">pri liečbe primárnych generalizovaných </w:t>
      </w:r>
      <w:proofErr w:type="spellStart"/>
      <w:r w:rsidRPr="005D78EE">
        <w:rPr>
          <w:rFonts w:ascii="Times New Roman" w:hAnsi="Times New Roman"/>
          <w:color w:val="000000"/>
        </w:rPr>
        <w:t>tonicko-klonických</w:t>
      </w:r>
      <w:proofErr w:type="spellEnd"/>
      <w:r w:rsidRPr="005D78EE">
        <w:rPr>
          <w:rFonts w:ascii="Times New Roman" w:hAnsi="Times New Roman"/>
          <w:color w:val="000000"/>
        </w:rPr>
        <w:t xml:space="preserve"> záchvatov u dospelých a</w:t>
      </w:r>
      <w:r w:rsidR="00471739">
        <w:rPr>
          <w:rFonts w:ascii="Times New Roman" w:hAnsi="Times New Roman"/>
          <w:color w:val="000000"/>
        </w:rPr>
        <w:t xml:space="preserve"> </w:t>
      </w:r>
      <w:r w:rsidR="00EB648B" w:rsidRPr="005D78EE">
        <w:rPr>
          <w:rFonts w:ascii="Times New Roman" w:hAnsi="Times New Roman"/>
          <w:color w:val="000000"/>
        </w:rPr>
        <w:t xml:space="preserve">dospievajúcich </w:t>
      </w:r>
      <w:r w:rsidRPr="005D78EE">
        <w:rPr>
          <w:rFonts w:ascii="Times New Roman" w:hAnsi="Times New Roman"/>
          <w:color w:val="000000"/>
        </w:rPr>
        <w:t xml:space="preserve">od veku 12 rokov s </w:t>
      </w:r>
      <w:proofErr w:type="spellStart"/>
      <w:r w:rsidRPr="005D78EE">
        <w:rPr>
          <w:rFonts w:ascii="Times New Roman" w:hAnsi="Times New Roman"/>
          <w:color w:val="000000"/>
        </w:rPr>
        <w:t>idiopatickou</w:t>
      </w:r>
      <w:proofErr w:type="spellEnd"/>
      <w:r w:rsidRPr="005D78EE">
        <w:rPr>
          <w:rFonts w:ascii="Times New Roman" w:hAnsi="Times New Roman"/>
          <w:color w:val="000000"/>
        </w:rPr>
        <w:t xml:space="preserve"> generalizovanou epilepsiou.</w:t>
      </w:r>
    </w:p>
    <w:p w14:paraId="68818DA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4D24778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4.2 </w:t>
      </w:r>
      <w:r w:rsidRPr="005D78EE">
        <w:rPr>
          <w:rFonts w:ascii="Times New Roman" w:hAnsi="Times New Roman"/>
          <w:b/>
          <w:bCs/>
          <w:color w:val="000000"/>
        </w:rPr>
        <w:tab/>
        <w:t>Dávkovanie a spôsob podávania</w:t>
      </w:r>
    </w:p>
    <w:p w14:paraId="0B0ADF9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B30AAB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Dávkovanie</w:t>
      </w:r>
    </w:p>
    <w:p w14:paraId="5512799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40D03FEC" w14:textId="77777777" w:rsidR="00553706" w:rsidRPr="005D78EE" w:rsidRDefault="00553706" w:rsidP="00781CD0">
      <w:pPr>
        <w:pStyle w:val="Odsekzoznamu1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Monoterapia u dospelých a dospievajúcich od veku 16 rokov</w:t>
      </w:r>
    </w:p>
    <w:p w14:paraId="103109F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45727C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Odporúčaná úvodná dávka je 250 mg dvakrát denne, ktorú je možné po 2 týždňoch zvýšiť na</w:t>
      </w:r>
    </w:p>
    <w:p w14:paraId="5E9E1D9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začiatočnú terapeutickú dávku 500 mg dvakrát denne. Dávku je možné ďalej zvyšovať o 250 mg</w:t>
      </w:r>
    </w:p>
    <w:p w14:paraId="72E10B7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dvakrát denne každé dva týždne v závislosti na klinickej odpovedi. Maximálna dávka je 1500 mg</w:t>
      </w:r>
    </w:p>
    <w:p w14:paraId="3E8161C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dvakrát denne.</w:t>
      </w:r>
    </w:p>
    <w:p w14:paraId="04917DF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C994E2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Prídavná lie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>ba u dospelých (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 xml:space="preserve">≥ </w:t>
      </w:r>
      <w:r w:rsidRPr="005D78EE">
        <w:rPr>
          <w:rFonts w:ascii="Times New Roman" w:hAnsi="Times New Roman"/>
          <w:i/>
          <w:iCs/>
          <w:color w:val="000000"/>
        </w:rPr>
        <w:t>18 rokov) a dospievajúcich (12 až 17 rokov) s hmotnos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ť</w:t>
      </w:r>
      <w:r w:rsidRPr="005D78EE">
        <w:rPr>
          <w:rFonts w:ascii="Times New Roman" w:hAnsi="Times New Roman"/>
          <w:i/>
          <w:iCs/>
          <w:color w:val="000000"/>
        </w:rPr>
        <w:t xml:space="preserve">ou </w:t>
      </w:r>
      <w:smartTag w:uri="urn:schemas-microsoft-com:office:smarttags" w:element="metricconverter">
        <w:smartTagPr>
          <w:attr w:name="ProductID" w:val="50 kg"/>
        </w:smartTagPr>
        <w:r w:rsidRPr="005D78EE">
          <w:rPr>
            <w:rFonts w:ascii="Times New Roman" w:hAnsi="Times New Roman"/>
            <w:i/>
            <w:iCs/>
            <w:color w:val="000000"/>
          </w:rPr>
          <w:t>50 kg</w:t>
        </w:r>
      </w:smartTag>
    </w:p>
    <w:p w14:paraId="00592D6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alebo vyššou</w:t>
      </w:r>
    </w:p>
    <w:p w14:paraId="78308BF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Začiatočná terapeutická dávka je 500 mg dvakrát denne. S touto dávkou možno začať v prvý deň</w:t>
      </w:r>
    </w:p>
    <w:p w14:paraId="79761C4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liečby.</w:t>
      </w:r>
    </w:p>
    <w:p w14:paraId="4327DC2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B34E66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 závislosti od klinickej odpovede a znášanlivosti možno dennú dávku zvýšiť až na 1500 mg dvakrát</w:t>
      </w:r>
    </w:p>
    <w:p w14:paraId="6779013F" w14:textId="77777777" w:rsidR="00553706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denne. Dávku je možné zvyšovať alebo znižovať o 500 mg dvakrát denne každé dva až štyri týždne.</w:t>
      </w:r>
    </w:p>
    <w:p w14:paraId="2831AE52" w14:textId="77777777" w:rsidR="006E3934" w:rsidRDefault="006E3934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4F950DD" w14:textId="77777777" w:rsidR="00405CBA" w:rsidRPr="00A74CFF" w:rsidRDefault="00405CBA" w:rsidP="00405CBA">
      <w:pPr>
        <w:autoSpaceDE w:val="0"/>
        <w:autoSpaceDN w:val="0"/>
        <w:adjustRightInd w:val="0"/>
        <w:rPr>
          <w:rFonts w:ascii="Times New Roman" w:eastAsia="TimesNewRomanPSMT" w:hAnsi="Times New Roman"/>
          <w:color w:val="222222"/>
          <w:u w:val="single"/>
          <w:lang w:eastAsia="sk-SK"/>
        </w:rPr>
      </w:pPr>
      <w:r>
        <w:rPr>
          <w:rFonts w:ascii="Times New Roman" w:eastAsia="TimesNewRomanPSMT" w:hAnsi="Times New Roman"/>
          <w:color w:val="222222"/>
          <w:u w:val="single"/>
          <w:lang w:eastAsia="sk-SK"/>
        </w:rPr>
        <w:t>Ukončenie liečby</w:t>
      </w:r>
    </w:p>
    <w:p w14:paraId="3B9FF64B" w14:textId="77777777" w:rsidR="00405CBA" w:rsidRPr="00A74CFF" w:rsidRDefault="00405CBA" w:rsidP="00405CBA">
      <w:pPr>
        <w:autoSpaceDE w:val="0"/>
        <w:autoSpaceDN w:val="0"/>
        <w:adjustRightInd w:val="0"/>
        <w:rPr>
          <w:rFonts w:ascii="Times New Roman" w:eastAsia="TimesNewRomanPSMT" w:hAnsi="Times New Roman"/>
          <w:color w:val="222222"/>
          <w:lang w:eastAsia="sk-SK"/>
        </w:rPr>
      </w:pPr>
      <w:r w:rsidRPr="00A74CFF">
        <w:rPr>
          <w:rFonts w:ascii="Times New Roman" w:eastAsia="TimesNewRomanPSMT" w:hAnsi="Times New Roman"/>
          <w:color w:val="222222"/>
          <w:lang w:eastAsia="sk-SK"/>
        </w:rPr>
        <w:t xml:space="preserve">Ak je potrebné liečbu </w:t>
      </w:r>
      <w:proofErr w:type="spellStart"/>
      <w:r w:rsidRPr="00A74CFF">
        <w:rPr>
          <w:rFonts w:ascii="Times New Roman" w:eastAsia="TimesNewRomanPSMT" w:hAnsi="Times New Roman"/>
          <w:color w:val="222222"/>
          <w:lang w:eastAsia="sk-SK"/>
        </w:rPr>
        <w:t>levetiracetamom</w:t>
      </w:r>
      <w:proofErr w:type="spellEnd"/>
      <w:r w:rsidRPr="00A74CFF">
        <w:rPr>
          <w:rFonts w:ascii="Times New Roman" w:eastAsia="TimesNewRomanPSMT" w:hAnsi="Times New Roman"/>
          <w:color w:val="222222"/>
          <w:lang w:eastAsia="sk-SK"/>
        </w:rPr>
        <w:t xml:space="preserve"> ukončiť, odporúča sa vysadzovať ju postupne (napr. u</w:t>
      </w:r>
    </w:p>
    <w:p w14:paraId="02B86415" w14:textId="77777777" w:rsidR="00405CBA" w:rsidRPr="00A74CFF" w:rsidRDefault="00405CBA" w:rsidP="00405CBA">
      <w:pPr>
        <w:autoSpaceDE w:val="0"/>
        <w:autoSpaceDN w:val="0"/>
        <w:adjustRightInd w:val="0"/>
        <w:rPr>
          <w:rFonts w:ascii="Times New Roman" w:eastAsia="TimesNewRomanPSMT" w:hAnsi="Times New Roman"/>
          <w:color w:val="222222"/>
          <w:lang w:eastAsia="sk-SK"/>
        </w:rPr>
      </w:pPr>
      <w:r w:rsidRPr="00A74CFF">
        <w:rPr>
          <w:rFonts w:ascii="Times New Roman" w:eastAsia="TimesNewRomanPSMT" w:hAnsi="Times New Roman"/>
          <w:color w:val="222222"/>
          <w:lang w:eastAsia="sk-SK"/>
        </w:rPr>
        <w:t>dospelých a dospievajúcich s hmotnosťou vyššou ako 50 kg: znižovanie o 500 mg dvakrát denne,</w:t>
      </w:r>
    </w:p>
    <w:p w14:paraId="76E41C05" w14:textId="77777777" w:rsidR="00405CBA" w:rsidRPr="00A74CFF" w:rsidRDefault="00405CBA" w:rsidP="00405CBA">
      <w:pPr>
        <w:autoSpaceDE w:val="0"/>
        <w:autoSpaceDN w:val="0"/>
        <w:adjustRightInd w:val="0"/>
        <w:rPr>
          <w:rFonts w:ascii="Times New Roman" w:eastAsia="TimesNewRomanPSMT" w:hAnsi="Times New Roman"/>
          <w:color w:val="222222"/>
          <w:lang w:eastAsia="sk-SK"/>
        </w:rPr>
      </w:pPr>
      <w:r w:rsidRPr="00405CBA">
        <w:rPr>
          <w:rFonts w:ascii="Times New Roman" w:eastAsia="TimesNewRomanPSMT" w:hAnsi="Times New Roman"/>
          <w:color w:val="222222"/>
          <w:lang w:eastAsia="sk-SK"/>
        </w:rPr>
        <w:t xml:space="preserve">každé dva až štyri týždne, </w:t>
      </w:r>
      <w:r w:rsidRPr="00A74CFF">
        <w:rPr>
          <w:rFonts w:ascii="Times New Roman" w:eastAsia="TimesNewRomanPSMT" w:hAnsi="Times New Roman"/>
          <w:color w:val="222222"/>
          <w:lang w:eastAsia="sk-SK"/>
        </w:rPr>
        <w:t>u dojčiat star</w:t>
      </w:r>
      <w:r w:rsidRPr="00405CBA">
        <w:rPr>
          <w:rFonts w:ascii="Times New Roman" w:eastAsia="TimesNewRomanPSMT" w:hAnsi="Times New Roman"/>
          <w:color w:val="222222"/>
          <w:lang w:eastAsia="sk-SK"/>
        </w:rPr>
        <w:t>ší</w:t>
      </w:r>
      <w:r w:rsidRPr="00A74CFF">
        <w:rPr>
          <w:rFonts w:ascii="Times New Roman" w:eastAsia="TimesNewRomanPSMT" w:hAnsi="Times New Roman"/>
          <w:color w:val="222222"/>
          <w:lang w:eastAsia="sk-SK"/>
        </w:rPr>
        <w:t>ch ako 6 mesiacov, detí a dospievajúcich s hmotnosťou</w:t>
      </w:r>
    </w:p>
    <w:p w14:paraId="2813D3F9" w14:textId="77777777" w:rsidR="00405CBA" w:rsidRPr="00A74CFF" w:rsidRDefault="00405CBA" w:rsidP="00405CBA">
      <w:pPr>
        <w:autoSpaceDE w:val="0"/>
        <w:autoSpaceDN w:val="0"/>
        <w:adjustRightInd w:val="0"/>
        <w:rPr>
          <w:rFonts w:ascii="Times New Roman" w:eastAsia="TimesNewRomanPSMT" w:hAnsi="Times New Roman"/>
          <w:color w:val="222222"/>
          <w:lang w:eastAsia="sk-SK"/>
        </w:rPr>
      </w:pPr>
      <w:r w:rsidRPr="00A74CFF">
        <w:rPr>
          <w:rFonts w:ascii="Times New Roman" w:eastAsia="TimesNewRomanPSMT" w:hAnsi="Times New Roman"/>
          <w:color w:val="222222"/>
          <w:lang w:eastAsia="sk-SK"/>
        </w:rPr>
        <w:t>ni</w:t>
      </w:r>
      <w:r w:rsidRPr="00405CBA">
        <w:rPr>
          <w:rFonts w:ascii="Times New Roman" w:eastAsia="TimesNewRomanPSMT" w:hAnsi="Times New Roman"/>
          <w:color w:val="222222"/>
          <w:lang w:eastAsia="sk-SK"/>
        </w:rPr>
        <w:t>žšou ako 50 kg: dá</w:t>
      </w:r>
      <w:r w:rsidRPr="00A74CFF">
        <w:rPr>
          <w:rFonts w:ascii="Times New Roman" w:eastAsia="TimesNewRomanPSMT" w:hAnsi="Times New Roman"/>
          <w:color w:val="222222"/>
          <w:lang w:eastAsia="sk-SK"/>
        </w:rPr>
        <w:t>vka sa má znižovať maximálne o 10 mg/kg dvakrát denne každé dva týždne; u</w:t>
      </w:r>
    </w:p>
    <w:p w14:paraId="1BB7AE15" w14:textId="77777777" w:rsidR="00405CBA" w:rsidRPr="00405CBA" w:rsidRDefault="00405CBA" w:rsidP="00405CB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A74CFF">
        <w:rPr>
          <w:rFonts w:ascii="Times New Roman" w:eastAsia="TimesNewRomanPSMT" w:hAnsi="Times New Roman"/>
          <w:color w:val="222222"/>
          <w:lang w:eastAsia="sk-SK"/>
        </w:rPr>
        <w:t>doj</w:t>
      </w:r>
      <w:r w:rsidRPr="00405CBA">
        <w:rPr>
          <w:rFonts w:ascii="Times New Roman" w:eastAsia="TimesNewRomanPSMT" w:hAnsi="Times New Roman"/>
          <w:color w:val="222222"/>
          <w:lang w:eastAsia="sk-SK"/>
        </w:rPr>
        <w:t>čiat (pod 6 mesiacov): zníženie dávky nemá presiahnuť 7 mg/kg dvakrát denne, každé 2 týždne).</w:t>
      </w:r>
    </w:p>
    <w:p w14:paraId="709E1F1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D1A94E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Osobitné skupiny pacientov</w:t>
      </w:r>
    </w:p>
    <w:p w14:paraId="7FD072D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AD33A4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 xml:space="preserve">Starší </w:t>
      </w:r>
      <w:r w:rsidR="006E3934">
        <w:rPr>
          <w:rFonts w:ascii="Times New Roman" w:hAnsi="Times New Roman"/>
          <w:i/>
          <w:iCs/>
          <w:color w:val="000000"/>
        </w:rPr>
        <w:t xml:space="preserve">ľudia </w:t>
      </w:r>
      <w:r w:rsidRPr="005D78EE">
        <w:rPr>
          <w:rFonts w:ascii="Times New Roman" w:hAnsi="Times New Roman"/>
          <w:i/>
          <w:iCs/>
          <w:color w:val="000000"/>
        </w:rPr>
        <w:t>(65 rokov a starší)</w:t>
      </w:r>
    </w:p>
    <w:p w14:paraId="146EFC2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0CD0A1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U starších </w:t>
      </w:r>
      <w:r w:rsidR="006E3934">
        <w:rPr>
          <w:rFonts w:ascii="Times New Roman" w:hAnsi="Times New Roman"/>
          <w:color w:val="000000"/>
        </w:rPr>
        <w:t xml:space="preserve">ľudí </w:t>
      </w:r>
      <w:r w:rsidRPr="005D78EE">
        <w:rPr>
          <w:rFonts w:ascii="Times New Roman" w:hAnsi="Times New Roman"/>
          <w:color w:val="000000"/>
        </w:rPr>
        <w:t>so zhoršenou funkciou obličiek (pozri „Porucha funkcie obličiek“ nižšie) sa</w:t>
      </w:r>
    </w:p>
    <w:p w14:paraId="5509C41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odporúča úprava dávky.</w:t>
      </w:r>
    </w:p>
    <w:p w14:paraId="72B5749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3647757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Porucha funkcie obli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>iek</w:t>
      </w:r>
    </w:p>
    <w:p w14:paraId="6E7131C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Denná dávka sa musí upraviť individuálne podľa funkcie obličiek.</w:t>
      </w:r>
    </w:p>
    <w:p w14:paraId="078EEB2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0DFB41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Pre dospelých pacientov použite nasledovnú tabuľku a dávku upravte zodpovedajúcim spôsobom. Pri</w:t>
      </w:r>
    </w:p>
    <w:p w14:paraId="710CEBC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použití tejto tabuľky pre dávkovanie je potrebné stanoviť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kreatinínu</w:t>
      </w:r>
      <w:proofErr w:type="spellEnd"/>
      <w:r w:rsidRPr="005D78EE">
        <w:rPr>
          <w:rFonts w:ascii="Times New Roman" w:hAnsi="Times New Roman"/>
          <w:color w:val="000000"/>
        </w:rPr>
        <w:t xml:space="preserve"> (</w:t>
      </w:r>
      <w:proofErr w:type="spellStart"/>
      <w:r w:rsidRPr="005D78EE">
        <w:rPr>
          <w:rFonts w:ascii="Times New Roman" w:hAnsi="Times New Roman"/>
          <w:color w:val="000000"/>
        </w:rPr>
        <w:t>CLcr</w:t>
      </w:r>
      <w:proofErr w:type="spellEnd"/>
      <w:r w:rsidRPr="005D78EE">
        <w:rPr>
          <w:rFonts w:ascii="Times New Roman" w:hAnsi="Times New Roman"/>
          <w:color w:val="000000"/>
        </w:rPr>
        <w:t>) pacienta v ml/min.</w:t>
      </w:r>
    </w:p>
    <w:p w14:paraId="17BD790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U dospelých a dospievajúcich s hmotnosťou </w:t>
      </w:r>
      <w:smartTag w:uri="urn:schemas-microsoft-com:office:smarttags" w:element="metricconverter">
        <w:smartTagPr>
          <w:attr w:name="ProductID" w:val="50 kg"/>
        </w:smartTagPr>
        <w:r w:rsidRPr="005D78EE">
          <w:rPr>
            <w:rFonts w:ascii="Times New Roman" w:hAnsi="Times New Roman"/>
            <w:color w:val="000000"/>
          </w:rPr>
          <w:t>50 kg</w:t>
        </w:r>
      </w:smartTag>
      <w:r w:rsidRPr="005D78EE">
        <w:rPr>
          <w:rFonts w:ascii="Times New Roman" w:hAnsi="Times New Roman"/>
          <w:color w:val="000000"/>
        </w:rPr>
        <w:t xml:space="preserve"> alebo vyššou je možné </w:t>
      </w:r>
      <w:proofErr w:type="spellStart"/>
      <w:r w:rsidRPr="005D78EE">
        <w:rPr>
          <w:rFonts w:ascii="Times New Roman" w:hAnsi="Times New Roman"/>
          <w:color w:val="000000"/>
        </w:rPr>
        <w:t>CLcr</w:t>
      </w:r>
      <w:proofErr w:type="spellEnd"/>
      <w:r w:rsidRPr="005D78EE">
        <w:rPr>
          <w:rFonts w:ascii="Times New Roman" w:hAnsi="Times New Roman"/>
          <w:color w:val="000000"/>
        </w:rPr>
        <w:t xml:space="preserve"> v ml/min stanoviť</w:t>
      </w:r>
    </w:p>
    <w:p w14:paraId="5AD8A54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z merania </w:t>
      </w:r>
      <w:proofErr w:type="spellStart"/>
      <w:r w:rsidRPr="005D78EE">
        <w:rPr>
          <w:rFonts w:ascii="Times New Roman" w:hAnsi="Times New Roman"/>
          <w:color w:val="000000"/>
        </w:rPr>
        <w:t>kreatinínu</w:t>
      </w:r>
      <w:proofErr w:type="spellEnd"/>
      <w:r w:rsidRPr="005D78EE">
        <w:rPr>
          <w:rFonts w:ascii="Times New Roman" w:hAnsi="Times New Roman"/>
          <w:color w:val="000000"/>
        </w:rPr>
        <w:t xml:space="preserve"> v sére (mg/dl) pomocou nasledovnej rovnice.</w:t>
      </w:r>
    </w:p>
    <w:p w14:paraId="4449ADA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99781C2" w14:textId="77777777" w:rsidR="00553706" w:rsidRPr="005D78EE" w:rsidRDefault="00553706" w:rsidP="00781CD0">
      <w:pPr>
        <w:autoSpaceDE w:val="0"/>
        <w:autoSpaceDN w:val="0"/>
        <w:adjustRightInd w:val="0"/>
        <w:ind w:left="1416" w:firstLine="708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[140-vek (roky)] x hmotnosť (kg)</w:t>
      </w:r>
    </w:p>
    <w:p w14:paraId="2459E21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CLcr</w:t>
      </w:r>
      <w:proofErr w:type="spellEnd"/>
      <w:r w:rsidRPr="005D78EE">
        <w:rPr>
          <w:rFonts w:ascii="Times New Roman" w:hAnsi="Times New Roman"/>
          <w:color w:val="000000"/>
        </w:rPr>
        <w:t xml:space="preserve"> (ml/min) = --------------------------------------------                     (x 0,85 u žien)</w:t>
      </w:r>
    </w:p>
    <w:p w14:paraId="27446F4B" w14:textId="77777777" w:rsidR="00553706" w:rsidRPr="005D78EE" w:rsidRDefault="00553706" w:rsidP="00781CD0">
      <w:pPr>
        <w:autoSpaceDE w:val="0"/>
        <w:autoSpaceDN w:val="0"/>
        <w:adjustRightInd w:val="0"/>
        <w:ind w:left="1416" w:firstLine="708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72 x </w:t>
      </w:r>
      <w:proofErr w:type="spellStart"/>
      <w:r w:rsidRPr="005D78EE">
        <w:rPr>
          <w:rFonts w:ascii="Times New Roman" w:hAnsi="Times New Roman"/>
          <w:color w:val="000000"/>
        </w:rPr>
        <w:t>kreatinín</w:t>
      </w:r>
      <w:proofErr w:type="spellEnd"/>
      <w:r w:rsidRPr="005D78EE">
        <w:rPr>
          <w:rFonts w:ascii="Times New Roman" w:hAnsi="Times New Roman"/>
          <w:color w:val="000000"/>
        </w:rPr>
        <w:t xml:space="preserve"> v sére (mg/dl)</w:t>
      </w:r>
    </w:p>
    <w:p w14:paraId="076E544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EA4254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CLcr</w:t>
      </w:r>
      <w:proofErr w:type="spellEnd"/>
      <w:r w:rsidRPr="005D78EE">
        <w:rPr>
          <w:rFonts w:ascii="Times New Roman" w:hAnsi="Times New Roman"/>
          <w:color w:val="000000"/>
        </w:rPr>
        <w:t xml:space="preserve"> sa potom prepočíta podľa nasledujúceho vzorca na plochu povrchu tela (body </w:t>
      </w:r>
      <w:proofErr w:type="spellStart"/>
      <w:r w:rsidRPr="005D78EE">
        <w:rPr>
          <w:rFonts w:ascii="Times New Roman" w:hAnsi="Times New Roman"/>
          <w:color w:val="000000"/>
        </w:rPr>
        <w:t>surface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area</w:t>
      </w:r>
      <w:proofErr w:type="spellEnd"/>
      <w:r w:rsidRPr="005D78EE">
        <w:rPr>
          <w:rFonts w:ascii="Times New Roman" w:hAnsi="Times New Roman"/>
          <w:color w:val="000000"/>
        </w:rPr>
        <w:t>,</w:t>
      </w:r>
    </w:p>
    <w:p w14:paraId="6A37B7F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BSA):</w:t>
      </w:r>
    </w:p>
    <w:p w14:paraId="7699530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312F447" w14:textId="77777777" w:rsidR="00553706" w:rsidRPr="005D78EE" w:rsidRDefault="00553706" w:rsidP="00781CD0">
      <w:pPr>
        <w:autoSpaceDE w:val="0"/>
        <w:autoSpaceDN w:val="0"/>
        <w:adjustRightInd w:val="0"/>
        <w:ind w:left="2124" w:firstLine="708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Clcr</w:t>
      </w:r>
      <w:proofErr w:type="spellEnd"/>
      <w:r w:rsidRPr="005D78EE">
        <w:rPr>
          <w:rFonts w:ascii="Times New Roman" w:hAnsi="Times New Roman"/>
          <w:color w:val="000000"/>
        </w:rPr>
        <w:t xml:space="preserve"> (ml/min)</w:t>
      </w:r>
    </w:p>
    <w:p w14:paraId="3932459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CLcr</w:t>
      </w:r>
      <w:proofErr w:type="spellEnd"/>
      <w:r w:rsidRPr="005D78EE">
        <w:rPr>
          <w:rFonts w:ascii="Times New Roman" w:hAnsi="Times New Roman"/>
          <w:color w:val="000000"/>
        </w:rPr>
        <w:t xml:space="preserve"> (ml/min/1,73 m²) = ------------------------               x 1,73</w:t>
      </w:r>
    </w:p>
    <w:p w14:paraId="58A4D785" w14:textId="77777777" w:rsidR="00553706" w:rsidRPr="005D78EE" w:rsidRDefault="00553706" w:rsidP="00781CD0">
      <w:pPr>
        <w:autoSpaceDE w:val="0"/>
        <w:autoSpaceDN w:val="0"/>
        <w:adjustRightInd w:val="0"/>
        <w:ind w:left="2124" w:firstLine="708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BSA pacienta (m²)</w:t>
      </w:r>
    </w:p>
    <w:p w14:paraId="46ECFA7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C513EF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Úprava dávky u dospelých a dospievajúcich pacientov s telesnou hmotnosťou viac ako </w:t>
      </w:r>
      <w:smartTag w:uri="urn:schemas-microsoft-com:office:smarttags" w:element="metricconverter">
        <w:smartTagPr>
          <w:attr w:name="ProductID" w:val="50 kg"/>
        </w:smartTagPr>
        <w:r w:rsidRPr="005D78EE">
          <w:rPr>
            <w:rFonts w:ascii="Times New Roman" w:hAnsi="Times New Roman"/>
            <w:color w:val="000000"/>
          </w:rPr>
          <w:t>50 kg</w:t>
        </w:r>
      </w:smartTag>
    </w:p>
    <w:p w14:paraId="23EA134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lastRenderedPageBreak/>
        <w:t>s poruchou funkcie obličiek:</w:t>
      </w:r>
    </w:p>
    <w:p w14:paraId="65F25A71" w14:textId="77777777" w:rsidR="00553706" w:rsidRPr="005D78EE" w:rsidRDefault="00553706" w:rsidP="002B72D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EE6E8EF" w14:textId="77777777" w:rsidR="00553706" w:rsidRPr="005D78EE" w:rsidRDefault="00553706" w:rsidP="00781CD0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</w:r>
      <w:r w:rsidRPr="005D78EE">
        <w:rPr>
          <w:rFonts w:ascii="Times New Roman" w:hAnsi="Times New Roman"/>
          <w:color w:val="000000"/>
        </w:rPr>
        <w:softHyphen/>
        <w:t xml:space="preserve">Skupina </w:t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kreatinínu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  <w:t>Dávka a frekvencia</w:t>
      </w:r>
    </w:p>
    <w:p w14:paraId="7B83272F" w14:textId="77777777" w:rsidR="00553706" w:rsidRPr="005D78EE" w:rsidRDefault="00553706" w:rsidP="00781CD0">
      <w:pPr>
        <w:pBdr>
          <w:bottom w:val="single" w:sz="12" w:space="1" w:color="auto"/>
        </w:pBdr>
        <w:autoSpaceDE w:val="0"/>
        <w:autoSpaceDN w:val="0"/>
        <w:adjustRightInd w:val="0"/>
        <w:ind w:left="2406" w:firstLine="426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(ml/min/1,73 m2)</w:t>
      </w:r>
    </w:p>
    <w:p w14:paraId="71833AC5" w14:textId="77777777" w:rsidR="00553706" w:rsidRPr="005D78EE" w:rsidRDefault="00553706" w:rsidP="00FC6914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Normálna</w:t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  <w:t>&gt; 80</w:t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  <w:t>500 až 1500 mg dvakrát denne</w:t>
      </w:r>
    </w:p>
    <w:p w14:paraId="52728BC8" w14:textId="77777777" w:rsidR="00553706" w:rsidRPr="005D78EE" w:rsidRDefault="00553706" w:rsidP="00FC6914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Mierna</w:t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  <w:t>50-79</w:t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  <w:t>500 až 1000 mg dvakrát denne</w:t>
      </w:r>
    </w:p>
    <w:p w14:paraId="0F694702" w14:textId="77777777" w:rsidR="00553706" w:rsidRPr="005D78EE" w:rsidRDefault="00553706" w:rsidP="00FC6914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Stredne závažná</w:t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  <w:t>30-49</w:t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  <w:t>250 až 750 mg dvakrát denne</w:t>
      </w:r>
    </w:p>
    <w:p w14:paraId="54D5D8EA" w14:textId="77777777" w:rsidR="00553706" w:rsidRPr="005D78EE" w:rsidRDefault="00553706" w:rsidP="00FC6914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Závažná</w:t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  <w:t>&lt; 30</w:t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  <w:t>250 až 500 mg dvakrát denne</w:t>
      </w:r>
    </w:p>
    <w:p w14:paraId="2AEF63E6" w14:textId="77777777" w:rsidR="00553706" w:rsidRPr="005D78EE" w:rsidRDefault="00553706" w:rsidP="00FC6914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Dialyzovaní pacienti</w:t>
      </w:r>
      <w:r w:rsidRPr="005D78EE">
        <w:rPr>
          <w:rFonts w:ascii="Times New Roman" w:hAnsi="Times New Roman"/>
          <w:color w:val="000000"/>
        </w:rPr>
        <w:tab/>
        <w:t xml:space="preserve"> </w:t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  <w:t>-</w:t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</w:r>
      <w:r w:rsidRPr="005D78EE">
        <w:rPr>
          <w:rFonts w:ascii="Times New Roman" w:hAnsi="Times New Roman"/>
          <w:color w:val="000000"/>
        </w:rPr>
        <w:tab/>
        <w:t xml:space="preserve">500 až 1000 mg jedenkrát denne </w:t>
      </w:r>
      <w:r w:rsidRPr="00D71043">
        <w:rPr>
          <w:rFonts w:ascii="Times New Roman" w:hAnsi="Times New Roman"/>
          <w:color w:val="000000"/>
          <w:vertAlign w:val="superscript"/>
        </w:rPr>
        <w:t>(2)</w:t>
      </w:r>
    </w:p>
    <w:p w14:paraId="3CD82EB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 terminálnom</w:t>
      </w:r>
    </w:p>
    <w:p w14:paraId="4C8428B9" w14:textId="77777777" w:rsidR="00553706" w:rsidRPr="005D78EE" w:rsidRDefault="00553706" w:rsidP="002B47B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štádiu zlyhania obličiek </w:t>
      </w:r>
      <w:r w:rsidRPr="00D71043">
        <w:rPr>
          <w:rFonts w:ascii="Times New Roman" w:hAnsi="Times New Roman"/>
          <w:color w:val="000000"/>
          <w:vertAlign w:val="superscript"/>
        </w:rPr>
        <w:t>(1)</w:t>
      </w:r>
    </w:p>
    <w:p w14:paraId="051B14A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AF5180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(1) V prvý deň liečby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sa odporúča podať úvodnú dávku 750 mg.</w:t>
      </w:r>
    </w:p>
    <w:p w14:paraId="27A77C9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(2) Po dialýze sa odporúča dodatočná dávka 250 až 500 mg.</w:t>
      </w:r>
    </w:p>
    <w:p w14:paraId="5F63819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76FB52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U detí s poruchou funkcie obličiek je potrebné upraviť dávku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podľa funkcie obličiek,</w:t>
      </w:r>
    </w:p>
    <w:p w14:paraId="6384981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pretože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závisí od funkcie obličiek. Toto odporúčanie je založené na štúdii</w:t>
      </w:r>
    </w:p>
    <w:p w14:paraId="70CA9F4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s dospelými pacientmi s poruchou funkcie obličiek.</w:t>
      </w:r>
    </w:p>
    <w:p w14:paraId="284DAEE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73C9A3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CLcr</w:t>
      </w:r>
      <w:proofErr w:type="spellEnd"/>
      <w:r w:rsidRPr="005D78EE">
        <w:rPr>
          <w:rFonts w:ascii="Times New Roman" w:hAnsi="Times New Roman"/>
          <w:color w:val="000000"/>
        </w:rPr>
        <w:t xml:space="preserve"> v ml/min/1,73 m² je možné odhadnúť zo stanoveného sérového </w:t>
      </w:r>
      <w:proofErr w:type="spellStart"/>
      <w:r w:rsidRPr="005D78EE">
        <w:rPr>
          <w:rFonts w:ascii="Times New Roman" w:hAnsi="Times New Roman"/>
          <w:color w:val="000000"/>
        </w:rPr>
        <w:t>kreatinínu</w:t>
      </w:r>
      <w:proofErr w:type="spellEnd"/>
      <w:r w:rsidRPr="005D78EE">
        <w:rPr>
          <w:rFonts w:ascii="Times New Roman" w:hAnsi="Times New Roman"/>
          <w:color w:val="000000"/>
        </w:rPr>
        <w:t xml:space="preserve"> (mg/dl) pre mladých</w:t>
      </w:r>
    </w:p>
    <w:p w14:paraId="7AF5A4F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dospievajúcich, deti a dojčatá s použitím nasledujúceho vzorca (</w:t>
      </w:r>
      <w:proofErr w:type="spellStart"/>
      <w:r w:rsidRPr="005D78EE">
        <w:rPr>
          <w:rFonts w:ascii="Times New Roman" w:hAnsi="Times New Roman"/>
          <w:color w:val="000000"/>
        </w:rPr>
        <w:t>Schwartzov</w:t>
      </w:r>
      <w:proofErr w:type="spellEnd"/>
      <w:r w:rsidRPr="005D78EE">
        <w:rPr>
          <w:rFonts w:ascii="Times New Roman" w:hAnsi="Times New Roman"/>
          <w:color w:val="000000"/>
        </w:rPr>
        <w:t xml:space="preserve"> vzorec):</w:t>
      </w:r>
    </w:p>
    <w:p w14:paraId="3CC7A32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1C9F065" w14:textId="77777777" w:rsidR="00553706" w:rsidRPr="005D78EE" w:rsidRDefault="00553706" w:rsidP="0076750C">
      <w:pPr>
        <w:autoSpaceDE w:val="0"/>
        <w:autoSpaceDN w:val="0"/>
        <w:adjustRightInd w:val="0"/>
        <w:ind w:left="2124" w:firstLine="708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Výška (cm) x ks</w:t>
      </w:r>
    </w:p>
    <w:p w14:paraId="4B18308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CLcr</w:t>
      </w:r>
      <w:proofErr w:type="spellEnd"/>
      <w:r w:rsidRPr="005D78EE">
        <w:rPr>
          <w:rFonts w:ascii="Times New Roman" w:hAnsi="Times New Roman"/>
          <w:color w:val="000000"/>
        </w:rPr>
        <w:t xml:space="preserve"> (ml/min/1,73 m2) = --------------------------------------</w:t>
      </w:r>
    </w:p>
    <w:p w14:paraId="7A098838" w14:textId="77777777" w:rsidR="00553706" w:rsidRPr="005D78EE" w:rsidRDefault="00553706" w:rsidP="0076750C">
      <w:pPr>
        <w:autoSpaceDE w:val="0"/>
        <w:autoSpaceDN w:val="0"/>
        <w:adjustRightInd w:val="0"/>
        <w:ind w:left="2124" w:firstLine="708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Sérový </w:t>
      </w:r>
      <w:proofErr w:type="spellStart"/>
      <w:r w:rsidRPr="005D78EE">
        <w:rPr>
          <w:rFonts w:ascii="Times New Roman" w:hAnsi="Times New Roman"/>
          <w:color w:val="000000"/>
        </w:rPr>
        <w:t>kreatinín</w:t>
      </w:r>
      <w:proofErr w:type="spellEnd"/>
      <w:r w:rsidRPr="005D78EE">
        <w:rPr>
          <w:rFonts w:ascii="Times New Roman" w:hAnsi="Times New Roman"/>
          <w:color w:val="000000"/>
        </w:rPr>
        <w:t xml:space="preserve"> (mg/dl)</w:t>
      </w:r>
    </w:p>
    <w:p w14:paraId="5ABBD7D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354F52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ks = 0,45 pre donosené dojčatá vo veku do 1 roka; ks = 0,55 pre deti mladšie ako 13 rokov</w:t>
      </w:r>
    </w:p>
    <w:p w14:paraId="1D4DB80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a dospievajúce dievčatá; ks = 0,7 pre dospievajúcich chlapcov</w:t>
      </w:r>
    </w:p>
    <w:p w14:paraId="4999BCE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9F009D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Úprava dávkovania pre dojčatá, deti a dospievajúcich pacientov s telesnou hmotnosťou menej ako</w:t>
      </w:r>
    </w:p>
    <w:p w14:paraId="78B71C0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smartTag w:uri="urn:schemas-microsoft-com:office:smarttags" w:element="metricconverter">
        <w:smartTagPr>
          <w:attr w:name="ProductID" w:val="50 kg"/>
        </w:smartTagPr>
        <w:r w:rsidRPr="005D78EE">
          <w:rPr>
            <w:rFonts w:ascii="Times New Roman" w:hAnsi="Times New Roman"/>
            <w:color w:val="000000"/>
          </w:rPr>
          <w:t>50 kg</w:t>
        </w:r>
      </w:smartTag>
      <w:r w:rsidRPr="005D78EE">
        <w:rPr>
          <w:rFonts w:ascii="Times New Roman" w:hAnsi="Times New Roman"/>
          <w:color w:val="000000"/>
        </w:rPr>
        <w:t xml:space="preserve"> s poruchou funkcie obličiek:</w:t>
      </w:r>
    </w:p>
    <w:p w14:paraId="23BA3F7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53706" w:rsidRPr="005D78EE" w14:paraId="049672EA" w14:textId="77777777" w:rsidTr="009B3CB8">
        <w:tc>
          <w:tcPr>
            <w:tcW w:w="2303" w:type="dxa"/>
          </w:tcPr>
          <w:p w14:paraId="3B215754" w14:textId="77777777" w:rsidR="00553706" w:rsidRPr="005D78EE" w:rsidRDefault="00553706" w:rsidP="009B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D78EE">
              <w:rPr>
                <w:rFonts w:ascii="Times New Roman" w:hAnsi="Times New Roman"/>
                <w:b/>
                <w:color w:val="000000"/>
              </w:rPr>
              <w:t>Skupina</w:t>
            </w:r>
          </w:p>
        </w:tc>
        <w:tc>
          <w:tcPr>
            <w:tcW w:w="2303" w:type="dxa"/>
          </w:tcPr>
          <w:p w14:paraId="091FF39B" w14:textId="77777777" w:rsidR="00553706" w:rsidRPr="005D78EE" w:rsidRDefault="00553706" w:rsidP="009B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5D78EE">
              <w:rPr>
                <w:rFonts w:ascii="Times New Roman" w:hAnsi="Times New Roman"/>
                <w:b/>
                <w:color w:val="000000"/>
              </w:rPr>
              <w:t>Klírens</w:t>
            </w:r>
            <w:proofErr w:type="spellEnd"/>
          </w:p>
          <w:p w14:paraId="29D13CBA" w14:textId="77777777" w:rsidR="00553706" w:rsidRPr="005D78EE" w:rsidRDefault="00553706" w:rsidP="009B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5D78EE">
              <w:rPr>
                <w:rFonts w:ascii="Times New Roman" w:hAnsi="Times New Roman"/>
                <w:b/>
                <w:color w:val="000000"/>
              </w:rPr>
              <w:t>kreatinínu</w:t>
            </w:r>
            <w:proofErr w:type="spellEnd"/>
          </w:p>
          <w:p w14:paraId="5B1386FB" w14:textId="77777777" w:rsidR="00553706" w:rsidRPr="005D78EE" w:rsidRDefault="00553706" w:rsidP="009B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D78EE">
              <w:rPr>
                <w:rFonts w:ascii="Times New Roman" w:hAnsi="Times New Roman"/>
                <w:b/>
                <w:color w:val="000000"/>
              </w:rPr>
              <w:t>(ml/min/1,73 m</w:t>
            </w:r>
            <w:r w:rsidRPr="005D78EE">
              <w:rPr>
                <w:rFonts w:ascii="Times New Roman" w:hAnsi="Times New Roman"/>
                <w:b/>
                <w:color w:val="000000"/>
                <w:vertAlign w:val="superscript"/>
              </w:rPr>
              <w:t>2</w:t>
            </w:r>
            <w:r w:rsidRPr="005D78EE">
              <w:rPr>
                <w:rFonts w:ascii="Times New Roman" w:hAnsi="Times New Roman"/>
                <w:b/>
                <w:color w:val="000000"/>
              </w:rPr>
              <w:t>)</w:t>
            </w:r>
          </w:p>
          <w:p w14:paraId="172E3C1A" w14:textId="77777777" w:rsidR="00553706" w:rsidRPr="005D78EE" w:rsidRDefault="00553706" w:rsidP="009B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606" w:type="dxa"/>
            <w:gridSpan w:val="2"/>
          </w:tcPr>
          <w:p w14:paraId="63C48104" w14:textId="77777777" w:rsidR="00553706" w:rsidRPr="005D78EE" w:rsidRDefault="00553706" w:rsidP="009B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D78EE">
              <w:rPr>
                <w:rFonts w:ascii="Times New Roman" w:hAnsi="Times New Roman"/>
                <w:b/>
                <w:color w:val="000000"/>
              </w:rPr>
              <w:t>Dávka a frekvencia (1)</w:t>
            </w:r>
          </w:p>
        </w:tc>
      </w:tr>
      <w:tr w:rsidR="00553706" w:rsidRPr="005D78EE" w14:paraId="34D76824" w14:textId="77777777" w:rsidTr="009B3CB8">
        <w:tc>
          <w:tcPr>
            <w:tcW w:w="2303" w:type="dxa"/>
          </w:tcPr>
          <w:p w14:paraId="1AC3232C" w14:textId="77777777" w:rsidR="00553706" w:rsidRPr="002647F1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3" w:type="dxa"/>
          </w:tcPr>
          <w:p w14:paraId="4B29103F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3" w:type="dxa"/>
          </w:tcPr>
          <w:p w14:paraId="016122BF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Dojčatá od 1 do 6 mesiacov</w:t>
            </w:r>
          </w:p>
        </w:tc>
        <w:tc>
          <w:tcPr>
            <w:tcW w:w="2303" w:type="dxa"/>
          </w:tcPr>
          <w:p w14:paraId="067EB568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Dojčatá od 6 do</w:t>
            </w:r>
          </w:p>
          <w:p w14:paraId="46021D37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23 mesiacov, deti a</w:t>
            </w:r>
          </w:p>
          <w:p w14:paraId="5A27A26D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dospievajúci s hmotnosťou</w:t>
            </w:r>
          </w:p>
          <w:p w14:paraId="3D8F0936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5D78EE">
                <w:rPr>
                  <w:rFonts w:ascii="Times New Roman" w:hAnsi="Times New Roman"/>
                  <w:color w:val="000000"/>
                </w:rPr>
                <w:t>50 kg</w:t>
              </w:r>
            </w:smartTag>
          </w:p>
          <w:p w14:paraId="33613FC0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553706" w:rsidRPr="005D78EE" w14:paraId="51667CD3" w14:textId="77777777" w:rsidTr="009B3CB8">
        <w:tc>
          <w:tcPr>
            <w:tcW w:w="2303" w:type="dxa"/>
          </w:tcPr>
          <w:p w14:paraId="46C2FA2E" w14:textId="77777777" w:rsidR="00553706" w:rsidRPr="002647F1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2647F1">
              <w:rPr>
                <w:rFonts w:ascii="Times New Roman" w:hAnsi="Times New Roman"/>
                <w:color w:val="000000"/>
              </w:rPr>
              <w:t>Normálna</w:t>
            </w:r>
          </w:p>
        </w:tc>
        <w:tc>
          <w:tcPr>
            <w:tcW w:w="2303" w:type="dxa"/>
          </w:tcPr>
          <w:p w14:paraId="41048D07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&gt; 80</w:t>
            </w:r>
          </w:p>
        </w:tc>
        <w:tc>
          <w:tcPr>
            <w:tcW w:w="2303" w:type="dxa"/>
          </w:tcPr>
          <w:p w14:paraId="66A328F9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7 až 21 mg/kg dvakrát denne</w:t>
            </w:r>
          </w:p>
        </w:tc>
        <w:tc>
          <w:tcPr>
            <w:tcW w:w="2303" w:type="dxa"/>
          </w:tcPr>
          <w:p w14:paraId="1C67B3B9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10 až 30 mg/kg dvakrát denne</w:t>
            </w:r>
          </w:p>
        </w:tc>
      </w:tr>
      <w:tr w:rsidR="00553706" w:rsidRPr="005D78EE" w14:paraId="06D7749B" w14:textId="77777777" w:rsidTr="009B3CB8">
        <w:tc>
          <w:tcPr>
            <w:tcW w:w="2303" w:type="dxa"/>
          </w:tcPr>
          <w:p w14:paraId="63CF8277" w14:textId="77777777" w:rsidR="00553706" w:rsidRPr="002647F1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2647F1">
              <w:rPr>
                <w:rFonts w:ascii="Times New Roman" w:hAnsi="Times New Roman"/>
                <w:color w:val="000000"/>
              </w:rPr>
              <w:t>Mierna</w:t>
            </w:r>
          </w:p>
        </w:tc>
        <w:tc>
          <w:tcPr>
            <w:tcW w:w="2303" w:type="dxa"/>
          </w:tcPr>
          <w:p w14:paraId="2ACD0AF0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50-79</w:t>
            </w:r>
          </w:p>
        </w:tc>
        <w:tc>
          <w:tcPr>
            <w:tcW w:w="2303" w:type="dxa"/>
          </w:tcPr>
          <w:p w14:paraId="17296EC2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7 až 14 mg/kg dvakrát denne</w:t>
            </w:r>
          </w:p>
        </w:tc>
        <w:tc>
          <w:tcPr>
            <w:tcW w:w="2303" w:type="dxa"/>
          </w:tcPr>
          <w:p w14:paraId="2B8ACC97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10 až 20 mg/kg dvakrát denne</w:t>
            </w:r>
          </w:p>
        </w:tc>
      </w:tr>
      <w:tr w:rsidR="00553706" w:rsidRPr="005D78EE" w14:paraId="76D8455C" w14:textId="77777777" w:rsidTr="009B3CB8">
        <w:tc>
          <w:tcPr>
            <w:tcW w:w="2303" w:type="dxa"/>
          </w:tcPr>
          <w:p w14:paraId="12A1172F" w14:textId="77777777" w:rsidR="00553706" w:rsidRPr="002647F1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2647F1">
              <w:rPr>
                <w:rFonts w:ascii="Times New Roman" w:hAnsi="Times New Roman"/>
                <w:color w:val="000000"/>
              </w:rPr>
              <w:t>Stredne závažná</w:t>
            </w:r>
          </w:p>
        </w:tc>
        <w:tc>
          <w:tcPr>
            <w:tcW w:w="2303" w:type="dxa"/>
          </w:tcPr>
          <w:p w14:paraId="49031461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30-49</w:t>
            </w:r>
          </w:p>
        </w:tc>
        <w:tc>
          <w:tcPr>
            <w:tcW w:w="2303" w:type="dxa"/>
          </w:tcPr>
          <w:p w14:paraId="1631B0D2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3,5 až 10,5 mg/kg dvakrát denne</w:t>
            </w:r>
          </w:p>
        </w:tc>
        <w:tc>
          <w:tcPr>
            <w:tcW w:w="2303" w:type="dxa"/>
          </w:tcPr>
          <w:p w14:paraId="0B592B21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5 až 15 mg/kg dvakrát denne</w:t>
            </w:r>
          </w:p>
        </w:tc>
      </w:tr>
      <w:tr w:rsidR="00553706" w:rsidRPr="005D78EE" w14:paraId="61207E74" w14:textId="77777777" w:rsidTr="009B3CB8">
        <w:tc>
          <w:tcPr>
            <w:tcW w:w="2303" w:type="dxa"/>
          </w:tcPr>
          <w:p w14:paraId="61E9D959" w14:textId="77777777" w:rsidR="00553706" w:rsidRPr="002647F1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2647F1">
              <w:rPr>
                <w:rFonts w:ascii="Times New Roman" w:hAnsi="Times New Roman"/>
                <w:color w:val="000000"/>
              </w:rPr>
              <w:t>Závažná</w:t>
            </w:r>
          </w:p>
        </w:tc>
        <w:tc>
          <w:tcPr>
            <w:tcW w:w="2303" w:type="dxa"/>
          </w:tcPr>
          <w:p w14:paraId="63442025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&lt; 30</w:t>
            </w:r>
          </w:p>
        </w:tc>
        <w:tc>
          <w:tcPr>
            <w:tcW w:w="2303" w:type="dxa"/>
          </w:tcPr>
          <w:p w14:paraId="47920C19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3,5 až 7 mg/kg dvakrát denne</w:t>
            </w:r>
          </w:p>
        </w:tc>
        <w:tc>
          <w:tcPr>
            <w:tcW w:w="2303" w:type="dxa"/>
          </w:tcPr>
          <w:p w14:paraId="48E7010F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5 až 10 mg/kg dvakrát denne</w:t>
            </w:r>
          </w:p>
        </w:tc>
      </w:tr>
      <w:tr w:rsidR="00553706" w:rsidRPr="005D78EE" w14:paraId="7AD3188C" w14:textId="77777777" w:rsidTr="009B3CB8">
        <w:tc>
          <w:tcPr>
            <w:tcW w:w="2303" w:type="dxa"/>
          </w:tcPr>
          <w:p w14:paraId="36A01876" w14:textId="77777777" w:rsidR="00553706" w:rsidRPr="002647F1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2647F1">
              <w:rPr>
                <w:rFonts w:ascii="Times New Roman" w:hAnsi="Times New Roman"/>
                <w:color w:val="000000"/>
              </w:rPr>
              <w:t>Dialyzovaní pacienti</w:t>
            </w:r>
          </w:p>
          <w:p w14:paraId="36D7250F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v terminálnom štádiu</w:t>
            </w:r>
          </w:p>
          <w:p w14:paraId="76B58125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zlyhania obličiek</w:t>
            </w:r>
          </w:p>
          <w:p w14:paraId="2C285A55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3" w:type="dxa"/>
          </w:tcPr>
          <w:p w14:paraId="231E4C51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303" w:type="dxa"/>
          </w:tcPr>
          <w:p w14:paraId="5C62864E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7 až 14 mg/kg jedenkrát denne</w:t>
            </w:r>
          </w:p>
          <w:p w14:paraId="4AC75818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(2) (4)</w:t>
            </w:r>
          </w:p>
          <w:p w14:paraId="5C8B70ED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3" w:type="dxa"/>
          </w:tcPr>
          <w:p w14:paraId="6C7816A0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10 až 20 mg/kg jedenkrát denne</w:t>
            </w:r>
          </w:p>
          <w:p w14:paraId="5608F2DB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(3) (5)</w:t>
            </w:r>
          </w:p>
          <w:p w14:paraId="3059A9C8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</w:tbl>
    <w:p w14:paraId="0F61AA39" w14:textId="77777777" w:rsidR="00553706" w:rsidRPr="002647F1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0CC0DD2" w14:textId="77777777" w:rsidR="00553706" w:rsidRPr="005D78EE" w:rsidRDefault="00553706" w:rsidP="006E3934">
      <w:pPr>
        <w:autoSpaceDE w:val="0"/>
        <w:autoSpaceDN w:val="0"/>
        <w:adjustRightInd w:val="0"/>
        <w:ind w:left="426" w:hanging="426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lastRenderedPageBreak/>
        <w:t xml:space="preserve"> (1</w:t>
      </w:r>
      <w:r w:rsidRPr="00405CBA">
        <w:rPr>
          <w:rFonts w:ascii="Times New Roman" w:hAnsi="Times New Roman"/>
          <w:color w:val="000000"/>
        </w:rPr>
        <w:t xml:space="preserve">) </w:t>
      </w:r>
      <w:proofErr w:type="spellStart"/>
      <w:r w:rsidRPr="00405CBA">
        <w:rPr>
          <w:rFonts w:ascii="Times New Roman" w:hAnsi="Times New Roman"/>
          <w:color w:val="000000"/>
        </w:rPr>
        <w:t>Levetiracetam</w:t>
      </w:r>
      <w:proofErr w:type="spellEnd"/>
      <w:r w:rsidRPr="00405CBA">
        <w:rPr>
          <w:rFonts w:ascii="Times New Roman" w:hAnsi="Times New Roman"/>
          <w:color w:val="000000"/>
        </w:rPr>
        <w:t xml:space="preserve"> perorálny roztok sa má používať pre dávky nižšie ako </w:t>
      </w:r>
      <w:r w:rsidR="006E3934" w:rsidRPr="00405CBA">
        <w:rPr>
          <w:rFonts w:ascii="Times New Roman" w:hAnsi="Times New Roman"/>
          <w:color w:val="000000"/>
        </w:rPr>
        <w:t>1</w:t>
      </w:r>
      <w:r w:rsidRPr="00405CBA">
        <w:rPr>
          <w:rFonts w:ascii="Times New Roman" w:hAnsi="Times New Roman"/>
          <w:color w:val="000000"/>
        </w:rPr>
        <w:t>25 mg</w:t>
      </w:r>
      <w:r w:rsidR="006E3934">
        <w:rPr>
          <w:rFonts w:ascii="Times New Roman" w:hAnsi="Times New Roman"/>
          <w:color w:val="000000"/>
        </w:rPr>
        <w:t>,</w:t>
      </w:r>
      <w:r w:rsidRPr="00405CBA">
        <w:rPr>
          <w:rFonts w:ascii="Times New Roman" w:hAnsi="Times New Roman"/>
          <w:color w:val="000000"/>
        </w:rPr>
        <w:t xml:space="preserve"> </w:t>
      </w:r>
      <w:r w:rsidR="006E3934" w:rsidRPr="00D71043">
        <w:rPr>
          <w:rFonts w:ascii="Times New Roman" w:eastAsia="TimesNewRomanPSMT" w:hAnsi="Times New Roman"/>
          <w:color w:val="222222"/>
          <w:lang w:eastAsia="sk-SK"/>
        </w:rPr>
        <w:t>pre dávky, ktoré nie sú</w:t>
      </w:r>
      <w:r w:rsidR="006E3934">
        <w:rPr>
          <w:rFonts w:ascii="Times New Roman" w:eastAsia="TimesNewRomanPSMT" w:hAnsi="Times New Roman"/>
          <w:color w:val="222222"/>
          <w:lang w:eastAsia="sk-SK"/>
        </w:rPr>
        <w:t xml:space="preserve"> </w:t>
      </w:r>
      <w:r w:rsidR="006E3934" w:rsidRPr="00D71043">
        <w:rPr>
          <w:rFonts w:ascii="Times New Roman" w:eastAsia="TimesNewRomanPSMT" w:hAnsi="Times New Roman"/>
          <w:color w:val="222222"/>
          <w:lang w:eastAsia="sk-SK"/>
        </w:rPr>
        <w:t xml:space="preserve">násobkom </w:t>
      </w:r>
      <w:r w:rsidR="006E3934">
        <w:rPr>
          <w:rFonts w:ascii="Times New Roman" w:eastAsia="TimesNewRomanPSMT" w:hAnsi="Times New Roman"/>
          <w:color w:val="222222"/>
          <w:lang w:eastAsia="sk-SK"/>
        </w:rPr>
        <w:t>125</w:t>
      </w:r>
      <w:r w:rsidR="006E3934" w:rsidRPr="00D71043">
        <w:rPr>
          <w:rFonts w:ascii="Times New Roman" w:eastAsia="TimesNewRomanPSMT" w:hAnsi="Times New Roman"/>
          <w:color w:val="222222"/>
          <w:lang w:eastAsia="sk-SK"/>
        </w:rPr>
        <w:t xml:space="preserve"> mg, ke</w:t>
      </w:r>
      <w:r w:rsidR="006E3934">
        <w:rPr>
          <w:rFonts w:ascii="Times New Roman" w:eastAsia="TimesNewRomanPSMT" w:hAnsi="Times New Roman"/>
          <w:color w:val="222222"/>
          <w:lang w:eastAsia="sk-SK"/>
        </w:rPr>
        <w:t>ď</w:t>
      </w:r>
      <w:r w:rsidR="006E3934" w:rsidRPr="00D71043">
        <w:rPr>
          <w:rFonts w:ascii="Times New Roman" w:eastAsia="TimesNewRomanPSMT" w:hAnsi="Times New Roman"/>
          <w:color w:val="222222"/>
          <w:lang w:eastAsia="sk-SK"/>
        </w:rPr>
        <w:t xml:space="preserve"> odporúčané dávkovanie nie je možné dosiahnuť podaním viacerých tabliet</w:t>
      </w:r>
      <w:r w:rsidR="006E3934">
        <w:rPr>
          <w:rFonts w:ascii="Times New Roman" w:eastAsia="TimesNewRomanPSMT" w:hAnsi="Times New Roman"/>
          <w:color w:val="222222"/>
          <w:lang w:eastAsia="sk-SK"/>
        </w:rPr>
        <w:t xml:space="preserve"> </w:t>
      </w:r>
      <w:r w:rsidRPr="00405CBA">
        <w:rPr>
          <w:rFonts w:ascii="Times New Roman" w:hAnsi="Times New Roman"/>
          <w:color w:val="000000"/>
        </w:rPr>
        <w:t>a pre pacientov, ktorí nie sú schopní</w:t>
      </w:r>
      <w:r w:rsidRPr="005D78EE">
        <w:rPr>
          <w:rFonts w:ascii="Times New Roman" w:hAnsi="Times New Roman"/>
          <w:color w:val="000000"/>
        </w:rPr>
        <w:t xml:space="preserve"> prehĺtať tablety.</w:t>
      </w:r>
    </w:p>
    <w:p w14:paraId="1F3B053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(2) V prvý deň liečby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sa odporúča úvodná dávka 10,5 mg/kg (0,105 ml/kg).</w:t>
      </w:r>
    </w:p>
    <w:p w14:paraId="3643ACE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(3) V prvý deň liečby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sa odporúča úvodná dávka 15 mg/kg (0,15 ml/kg).</w:t>
      </w:r>
    </w:p>
    <w:p w14:paraId="5D4BF96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(4) Po dialýze sa odporúča dodatočná dávka 3,5 až 7 mg/kg (0,035 až 0,07 ml/kg).</w:t>
      </w:r>
    </w:p>
    <w:p w14:paraId="46AC7B3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(5) Po dialýze sa odporúča dodatočná dávka 5 až 10 mg/kg (0,05 až 0,1 ml/kg).</w:t>
      </w:r>
    </w:p>
    <w:p w14:paraId="6200357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D10D8F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Porucha funkcie pe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>ene</w:t>
      </w:r>
    </w:p>
    <w:p w14:paraId="4A5FA24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1E0E93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U pacientov s miernou až stredne závažnou poruchou funkcie pečene nie je potrebná žiadna úprava</w:t>
      </w:r>
    </w:p>
    <w:p w14:paraId="3C5EB22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dávky. U pacientov so závažnou poruchou funkcie pečene môže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kreatinínu</w:t>
      </w:r>
      <w:proofErr w:type="spellEnd"/>
      <w:r w:rsidRPr="005D78EE">
        <w:rPr>
          <w:rFonts w:ascii="Times New Roman" w:hAnsi="Times New Roman"/>
          <w:color w:val="000000"/>
        </w:rPr>
        <w:t xml:space="preserve"> podhodnocovať</w:t>
      </w:r>
    </w:p>
    <w:p w14:paraId="17E5423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insuficienciu</w:t>
      </w:r>
      <w:proofErr w:type="spellEnd"/>
      <w:r w:rsidRPr="005D78EE">
        <w:rPr>
          <w:rFonts w:ascii="Times New Roman" w:hAnsi="Times New Roman"/>
          <w:color w:val="000000"/>
        </w:rPr>
        <w:t xml:space="preserve"> obličiek. </w:t>
      </w:r>
    </w:p>
    <w:p w14:paraId="512AB6E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EB6FA0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Preto sa pri </w:t>
      </w:r>
      <w:proofErr w:type="spellStart"/>
      <w:r w:rsidRPr="005D78EE">
        <w:rPr>
          <w:rFonts w:ascii="Times New Roman" w:hAnsi="Times New Roman"/>
          <w:color w:val="000000"/>
        </w:rPr>
        <w:t>klírense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kreatinínu</w:t>
      </w:r>
      <w:proofErr w:type="spellEnd"/>
      <w:r w:rsidRPr="005D78EE">
        <w:rPr>
          <w:rFonts w:ascii="Times New Roman" w:hAnsi="Times New Roman"/>
          <w:color w:val="000000"/>
        </w:rPr>
        <w:t xml:space="preserve"> &lt; 60 ml/min/1,73 m</w:t>
      </w:r>
      <w:r w:rsidRPr="005D78EE">
        <w:rPr>
          <w:rFonts w:ascii="Times New Roman" w:hAnsi="Times New Roman"/>
          <w:color w:val="000000"/>
          <w:vertAlign w:val="superscript"/>
        </w:rPr>
        <w:t>2</w:t>
      </w:r>
      <w:r w:rsidRPr="005D78EE">
        <w:rPr>
          <w:rFonts w:ascii="Times New Roman" w:hAnsi="Times New Roman"/>
          <w:color w:val="000000"/>
        </w:rPr>
        <w:t xml:space="preserve"> odporúča znížiť dennú udržiavaciu dávku o 50 %.</w:t>
      </w:r>
    </w:p>
    <w:p w14:paraId="7CA3D1E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3B7D366" w14:textId="77777777" w:rsidR="00553706" w:rsidRPr="005D78EE" w:rsidRDefault="009C75F7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  <w:u w:val="single"/>
        </w:rPr>
        <w:t>Pediatrická populácia</w:t>
      </w:r>
    </w:p>
    <w:p w14:paraId="2E35B31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Lekár má predpísať najvhodnejšiu liekovú formu, balenie a silu podľa veku, hmotnosti a dávky.</w:t>
      </w:r>
    </w:p>
    <w:p w14:paraId="5D254F2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B5B63E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Lieková forma tablety nie je prispôsobená na používanie u dojčiat a detí vo veku do 6 rokov.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perorálny roztok je uprednostňovaná lieková forma na používanie u tejto populácie. Okrem toho dostupné sily tabliet nie sú vhodné na začiatok liečby u detí s telesnou hmotnosťou menej ako </w:t>
      </w:r>
      <w:smartTag w:uri="urn:schemas-microsoft-com:office:smarttags" w:element="metricconverter">
        <w:smartTagPr>
          <w:attr w:name="ProductID" w:val="25 kg"/>
        </w:smartTagPr>
        <w:r w:rsidRPr="005D78EE">
          <w:rPr>
            <w:rFonts w:ascii="Times New Roman" w:hAnsi="Times New Roman"/>
            <w:color w:val="000000"/>
          </w:rPr>
          <w:t>25 kg</w:t>
        </w:r>
      </w:smartTag>
      <w:r w:rsidRPr="005D78EE">
        <w:rPr>
          <w:rFonts w:ascii="Times New Roman" w:hAnsi="Times New Roman"/>
          <w:color w:val="000000"/>
        </w:rPr>
        <w:t>, pre pacientov, ktorí nie sú schopní prehĺtať tablety alebo pre podávanie dávok nižších ako 250 mg. Vo všetkých vyššie uvedených prípadoch sa má použiť perorálny roztok.</w:t>
      </w:r>
    </w:p>
    <w:p w14:paraId="7C14D76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4699857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Monoterapia</w:t>
      </w:r>
    </w:p>
    <w:p w14:paraId="0AA2968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A75808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Bezpečnosť a účinnosť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u detí a dospievajúcich vo veku do 16 rokov ako </w:t>
      </w:r>
      <w:proofErr w:type="spellStart"/>
      <w:r w:rsidRPr="005D78EE">
        <w:rPr>
          <w:rFonts w:ascii="Times New Roman" w:hAnsi="Times New Roman"/>
          <w:color w:val="000000"/>
        </w:rPr>
        <w:t>monoterapie</w:t>
      </w:r>
      <w:proofErr w:type="spellEnd"/>
      <w:r w:rsidRPr="005D78EE">
        <w:rPr>
          <w:rFonts w:ascii="Times New Roman" w:hAnsi="Times New Roman"/>
          <w:color w:val="000000"/>
        </w:rPr>
        <w:t xml:space="preserve"> neboli stanovené.</w:t>
      </w:r>
    </w:p>
    <w:p w14:paraId="28D0797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K dispozícii nie sú žiadne údaje.</w:t>
      </w:r>
    </w:p>
    <w:p w14:paraId="60D0631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576E85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Prídavná lie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>ba pre doj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>atá vo veku 6 až 23 mesiacov, deti (2 až 11 rokov) a dospievajúcich (12 až 17</w:t>
      </w:r>
    </w:p>
    <w:p w14:paraId="2DBC09C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rokov) s hmotnos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ť</w:t>
      </w:r>
      <w:r w:rsidRPr="005D78EE">
        <w:rPr>
          <w:rFonts w:ascii="Times New Roman" w:hAnsi="Times New Roman"/>
          <w:i/>
          <w:iCs/>
          <w:color w:val="000000"/>
        </w:rPr>
        <w:t xml:space="preserve">ou nižšou ako </w:t>
      </w:r>
      <w:smartTag w:uri="urn:schemas-microsoft-com:office:smarttags" w:element="metricconverter">
        <w:smartTagPr>
          <w:attr w:name="ProductID" w:val="50 kg"/>
        </w:smartTagPr>
        <w:r w:rsidRPr="005D78EE">
          <w:rPr>
            <w:rFonts w:ascii="Times New Roman" w:hAnsi="Times New Roman"/>
            <w:i/>
            <w:iCs/>
            <w:color w:val="000000"/>
          </w:rPr>
          <w:t>50 kg</w:t>
        </w:r>
      </w:smartTag>
    </w:p>
    <w:p w14:paraId="21D0E028" w14:textId="77777777" w:rsidR="00553706" w:rsidRPr="00405CBA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5341A79" w14:textId="77777777" w:rsidR="00553706" w:rsidRPr="00405CBA" w:rsidRDefault="00553706" w:rsidP="000B574D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405CBA">
        <w:rPr>
          <w:rFonts w:ascii="Times New Roman" w:hAnsi="Times New Roman"/>
          <w:color w:val="000000"/>
        </w:rPr>
        <w:t>Levetiracetam</w:t>
      </w:r>
      <w:proofErr w:type="spellEnd"/>
      <w:r w:rsidRPr="00405CBA">
        <w:rPr>
          <w:rFonts w:ascii="Times New Roman" w:hAnsi="Times New Roman"/>
          <w:color w:val="000000"/>
        </w:rPr>
        <w:t xml:space="preserve"> perorálny roztok je uprednostňovaná lieková forma pre používanie u dojčiat a detí vo veku do</w:t>
      </w:r>
      <w:r w:rsidR="00010619" w:rsidRPr="00405CBA">
        <w:rPr>
          <w:rFonts w:ascii="Times New Roman" w:hAnsi="Times New Roman"/>
          <w:color w:val="000000"/>
        </w:rPr>
        <w:t xml:space="preserve"> </w:t>
      </w:r>
      <w:r w:rsidRPr="00405CBA">
        <w:rPr>
          <w:rFonts w:ascii="Times New Roman" w:hAnsi="Times New Roman"/>
          <w:color w:val="000000"/>
        </w:rPr>
        <w:t>6 rokov.</w:t>
      </w:r>
    </w:p>
    <w:p w14:paraId="1AE879CA" w14:textId="77777777" w:rsidR="006E3934" w:rsidRPr="00502A90" w:rsidRDefault="006E3934" w:rsidP="000B574D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394E816" w14:textId="77777777" w:rsidR="006E3934" w:rsidRPr="00D71043" w:rsidRDefault="006E3934" w:rsidP="006E3934">
      <w:pPr>
        <w:autoSpaceDE w:val="0"/>
        <w:autoSpaceDN w:val="0"/>
        <w:adjustRightInd w:val="0"/>
        <w:rPr>
          <w:rFonts w:ascii="Times New Roman" w:eastAsia="TimesNewRomanPSMT" w:hAnsi="Times New Roman"/>
          <w:color w:val="222222"/>
          <w:lang w:eastAsia="sk-SK"/>
        </w:rPr>
      </w:pPr>
      <w:r>
        <w:rPr>
          <w:rFonts w:ascii="Times New Roman" w:eastAsia="TimesNewRomanPSMT" w:hAnsi="Times New Roman"/>
          <w:color w:val="222222"/>
          <w:lang w:eastAsia="sk-SK"/>
        </w:rPr>
        <w:t>P</w:t>
      </w:r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erorálny roztok sa má u detí vo veku od 6 rokov použiť pre dávky nižšie ako </w:t>
      </w:r>
      <w:r>
        <w:rPr>
          <w:rFonts w:ascii="Times New Roman" w:eastAsia="TimesNewRomanPSMT" w:hAnsi="Times New Roman"/>
          <w:color w:val="222222"/>
          <w:lang w:eastAsia="sk-SK"/>
        </w:rPr>
        <w:t>125</w:t>
      </w:r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 mg, pre</w:t>
      </w:r>
    </w:p>
    <w:p w14:paraId="62988C8D" w14:textId="77777777" w:rsidR="006E3934" w:rsidRPr="00D71043" w:rsidRDefault="006E3934" w:rsidP="006E3934">
      <w:pPr>
        <w:autoSpaceDE w:val="0"/>
        <w:autoSpaceDN w:val="0"/>
        <w:adjustRightInd w:val="0"/>
        <w:rPr>
          <w:rFonts w:ascii="Times New Roman" w:eastAsia="TimesNewRomanPSMT" w:hAnsi="Times New Roman"/>
          <w:color w:val="222222"/>
          <w:lang w:eastAsia="sk-SK"/>
        </w:rPr>
      </w:pPr>
      <w:r w:rsidRPr="00405CBA">
        <w:rPr>
          <w:rFonts w:ascii="Times New Roman" w:eastAsia="TimesNewRomanPSMT" w:hAnsi="Times New Roman"/>
          <w:color w:val="222222"/>
          <w:lang w:eastAsia="sk-SK"/>
        </w:rPr>
        <w:t>dávky, ktoré nie sú násobko</w:t>
      </w:r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m </w:t>
      </w:r>
      <w:r>
        <w:rPr>
          <w:rFonts w:ascii="Times New Roman" w:eastAsia="TimesNewRomanPSMT" w:hAnsi="Times New Roman"/>
          <w:color w:val="222222"/>
          <w:lang w:eastAsia="sk-SK"/>
        </w:rPr>
        <w:t>125</w:t>
      </w:r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 mg, ke</w:t>
      </w:r>
      <w:r>
        <w:rPr>
          <w:rFonts w:ascii="Times New Roman" w:eastAsia="TimesNewRomanPSMT" w:hAnsi="Times New Roman"/>
          <w:color w:val="222222"/>
          <w:lang w:eastAsia="sk-SK"/>
        </w:rPr>
        <w:t>ď</w:t>
      </w:r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 odporúčané dávkovanie nie je možné dosiahnuť podaním</w:t>
      </w:r>
    </w:p>
    <w:p w14:paraId="1154E108" w14:textId="77777777" w:rsidR="006E3934" w:rsidRPr="00405CBA" w:rsidRDefault="006E3934" w:rsidP="006E3934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71043">
        <w:rPr>
          <w:rFonts w:ascii="Times New Roman" w:eastAsia="TimesNewRomanPSMT" w:hAnsi="Times New Roman"/>
          <w:color w:val="222222"/>
          <w:lang w:eastAsia="sk-SK"/>
        </w:rPr>
        <w:t>viacerých tabliet a u pacientov, ktorí nie sú schopní prehĺtať tablety.</w:t>
      </w:r>
    </w:p>
    <w:p w14:paraId="0049A14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3BD3BE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Začiatočná terapeutická dávka je 10 mg/kg dvakrát denne.</w:t>
      </w:r>
    </w:p>
    <w:p w14:paraId="2DAF99E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 závislosti od klinickej odpovede a znášanlivosti možno dávku zvýšiť až na 30 mg/kg dvakrát denne.</w:t>
      </w:r>
    </w:p>
    <w:p w14:paraId="44AF453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Zmeny dávky nemajú prekročiť zvýšenie alebo zníženie o 10 mg/kg dvakrát denne každé dva týždne.</w:t>
      </w:r>
    </w:p>
    <w:p w14:paraId="6DC0485B" w14:textId="40430E0C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Má sa použiť najnižšia účinná dávka.</w:t>
      </w:r>
    </w:p>
    <w:p w14:paraId="677EC7BC" w14:textId="05C16E49" w:rsidR="002B72DA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Dávka u detí s hmotnosťou </w:t>
      </w:r>
      <w:smartTag w:uri="urn:schemas-microsoft-com:office:smarttags" w:element="metricconverter">
        <w:smartTagPr>
          <w:attr w:name="ProductID" w:val="50 kg"/>
        </w:smartTagPr>
        <w:r w:rsidRPr="005D78EE">
          <w:rPr>
            <w:rFonts w:ascii="Times New Roman" w:hAnsi="Times New Roman"/>
            <w:color w:val="000000"/>
          </w:rPr>
          <w:t>50 kg</w:t>
        </w:r>
      </w:smartTag>
      <w:r w:rsidRPr="005D78EE">
        <w:rPr>
          <w:rFonts w:ascii="Times New Roman" w:hAnsi="Times New Roman"/>
          <w:color w:val="000000"/>
        </w:rPr>
        <w:t xml:space="preserve"> alebo vyššou je rovnaká ako u dospelých.</w:t>
      </w:r>
    </w:p>
    <w:p w14:paraId="68B0AB14" w14:textId="77777777" w:rsidR="002B72DA" w:rsidRPr="005D78EE" w:rsidRDefault="002B72DA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D9775C3" w14:textId="578DD00C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Odporúčaná dávka pre dojčatá vo veku od 6 mesiacov, deti a dospievajúcich: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3071"/>
      </w:tblGrid>
      <w:tr w:rsidR="00553706" w:rsidRPr="005D78EE" w14:paraId="5E675F46" w14:textId="77777777" w:rsidTr="009B3CB8">
        <w:tc>
          <w:tcPr>
            <w:tcW w:w="1668" w:type="dxa"/>
          </w:tcPr>
          <w:p w14:paraId="768D994C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Hmotnosť</w:t>
            </w:r>
          </w:p>
        </w:tc>
        <w:tc>
          <w:tcPr>
            <w:tcW w:w="3402" w:type="dxa"/>
          </w:tcPr>
          <w:p w14:paraId="313EE22F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Začiatočná dávka:</w:t>
            </w:r>
          </w:p>
          <w:p w14:paraId="5477FC5D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10 mg/kg dvakrát denne</w:t>
            </w:r>
          </w:p>
        </w:tc>
        <w:tc>
          <w:tcPr>
            <w:tcW w:w="3071" w:type="dxa"/>
          </w:tcPr>
          <w:p w14:paraId="1A196D14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Maximálna dávka:</w:t>
            </w:r>
          </w:p>
          <w:p w14:paraId="5C7A6451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30 mg/kg dvakrát denne</w:t>
            </w:r>
          </w:p>
        </w:tc>
      </w:tr>
      <w:tr w:rsidR="00553706" w:rsidRPr="005D78EE" w14:paraId="465D5537" w14:textId="77777777" w:rsidTr="009B3CB8">
        <w:tc>
          <w:tcPr>
            <w:tcW w:w="1668" w:type="dxa"/>
          </w:tcPr>
          <w:p w14:paraId="3EBEF731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6 kg"/>
              </w:smartTagPr>
              <w:r w:rsidRPr="002647F1">
                <w:rPr>
                  <w:rFonts w:ascii="Times New Roman" w:hAnsi="Times New Roman"/>
                  <w:color w:val="000000"/>
                </w:rPr>
                <w:t>6 kg</w:t>
              </w:r>
            </w:smartTag>
            <w:r w:rsidRPr="002647F1">
              <w:rPr>
                <w:rFonts w:ascii="Times New Roman" w:hAnsi="Times New Roman"/>
                <w:color w:val="000000"/>
              </w:rPr>
              <w:t xml:space="preserve"> </w:t>
            </w:r>
            <w:r w:rsidRPr="002647F1">
              <w:rPr>
                <w:rFonts w:ascii="Times New Roman" w:hAnsi="Times New Roman"/>
                <w:color w:val="000000"/>
                <w:vertAlign w:val="superscript"/>
              </w:rPr>
              <w:t>(1)</w:t>
            </w:r>
          </w:p>
        </w:tc>
        <w:tc>
          <w:tcPr>
            <w:tcW w:w="3402" w:type="dxa"/>
          </w:tcPr>
          <w:p w14:paraId="3F1DE8D2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60 mg dvakrát denne</w:t>
            </w:r>
          </w:p>
        </w:tc>
        <w:tc>
          <w:tcPr>
            <w:tcW w:w="3071" w:type="dxa"/>
          </w:tcPr>
          <w:p w14:paraId="797987D8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180 mg dvakrát denne</w:t>
            </w:r>
          </w:p>
        </w:tc>
      </w:tr>
      <w:tr w:rsidR="00553706" w:rsidRPr="005D78EE" w14:paraId="48AEBCCA" w14:textId="77777777" w:rsidTr="009B3CB8">
        <w:tc>
          <w:tcPr>
            <w:tcW w:w="1668" w:type="dxa"/>
          </w:tcPr>
          <w:p w14:paraId="059B009E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10 kg"/>
              </w:smartTagPr>
              <w:r w:rsidRPr="002647F1">
                <w:rPr>
                  <w:rFonts w:ascii="Times New Roman" w:hAnsi="Times New Roman"/>
                  <w:color w:val="000000"/>
                </w:rPr>
                <w:t>10 kg</w:t>
              </w:r>
            </w:smartTag>
            <w:r w:rsidRPr="002647F1">
              <w:rPr>
                <w:rFonts w:ascii="Times New Roman" w:hAnsi="Times New Roman"/>
                <w:color w:val="000000"/>
              </w:rPr>
              <w:t xml:space="preserve"> </w:t>
            </w:r>
            <w:r w:rsidRPr="005D78EE">
              <w:rPr>
                <w:rFonts w:ascii="Times New Roman" w:hAnsi="Times New Roman"/>
                <w:color w:val="000000"/>
                <w:vertAlign w:val="superscript"/>
              </w:rPr>
              <w:t>(1)</w:t>
            </w:r>
          </w:p>
        </w:tc>
        <w:tc>
          <w:tcPr>
            <w:tcW w:w="3402" w:type="dxa"/>
          </w:tcPr>
          <w:p w14:paraId="26735483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100 mg  dvakrát denne</w:t>
            </w:r>
          </w:p>
        </w:tc>
        <w:tc>
          <w:tcPr>
            <w:tcW w:w="3071" w:type="dxa"/>
          </w:tcPr>
          <w:p w14:paraId="317DF863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300 mg dvakrát denne</w:t>
            </w:r>
          </w:p>
        </w:tc>
      </w:tr>
      <w:tr w:rsidR="00553706" w:rsidRPr="005D78EE" w14:paraId="2BD36461" w14:textId="77777777" w:rsidTr="009B3CB8">
        <w:tc>
          <w:tcPr>
            <w:tcW w:w="1668" w:type="dxa"/>
          </w:tcPr>
          <w:p w14:paraId="728D6E84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15 kg"/>
              </w:smartTagPr>
              <w:r w:rsidRPr="002647F1">
                <w:rPr>
                  <w:rFonts w:ascii="Times New Roman" w:hAnsi="Times New Roman"/>
                  <w:color w:val="000000"/>
                </w:rPr>
                <w:t>15 kg</w:t>
              </w:r>
            </w:smartTag>
            <w:r w:rsidRPr="002647F1">
              <w:rPr>
                <w:rFonts w:ascii="Times New Roman" w:hAnsi="Times New Roman"/>
                <w:color w:val="000000"/>
              </w:rPr>
              <w:t xml:space="preserve"> </w:t>
            </w:r>
            <w:r w:rsidRPr="005D78EE">
              <w:rPr>
                <w:rFonts w:ascii="Times New Roman" w:hAnsi="Times New Roman"/>
                <w:color w:val="000000"/>
                <w:vertAlign w:val="superscript"/>
              </w:rPr>
              <w:t>(1)</w:t>
            </w:r>
          </w:p>
        </w:tc>
        <w:tc>
          <w:tcPr>
            <w:tcW w:w="3402" w:type="dxa"/>
          </w:tcPr>
          <w:p w14:paraId="36D5B5B0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150 mg dvakrát denne</w:t>
            </w:r>
          </w:p>
        </w:tc>
        <w:tc>
          <w:tcPr>
            <w:tcW w:w="3071" w:type="dxa"/>
          </w:tcPr>
          <w:p w14:paraId="3FA804F8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450 mg dvakrát denne</w:t>
            </w:r>
          </w:p>
        </w:tc>
      </w:tr>
      <w:tr w:rsidR="00553706" w:rsidRPr="005D78EE" w14:paraId="189ECE84" w14:textId="77777777" w:rsidTr="009B3CB8">
        <w:trPr>
          <w:trHeight w:val="274"/>
        </w:trPr>
        <w:tc>
          <w:tcPr>
            <w:tcW w:w="1668" w:type="dxa"/>
          </w:tcPr>
          <w:p w14:paraId="67BE9F3F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 kg"/>
              </w:smartTagPr>
              <w:r w:rsidRPr="002647F1">
                <w:rPr>
                  <w:rFonts w:ascii="Times New Roman" w:hAnsi="Times New Roman"/>
                  <w:color w:val="000000"/>
                </w:rPr>
                <w:t>20 kg</w:t>
              </w:r>
            </w:smartTag>
            <w:r w:rsidRPr="002647F1">
              <w:rPr>
                <w:rFonts w:ascii="Times New Roman" w:hAnsi="Times New Roman"/>
                <w:color w:val="000000"/>
              </w:rPr>
              <w:t xml:space="preserve"> </w:t>
            </w:r>
            <w:r w:rsidRPr="005D78EE">
              <w:rPr>
                <w:rFonts w:ascii="Times New Roman" w:hAnsi="Times New Roman"/>
                <w:color w:val="000000"/>
                <w:vertAlign w:val="superscript"/>
              </w:rPr>
              <w:t>(1)</w:t>
            </w:r>
          </w:p>
        </w:tc>
        <w:tc>
          <w:tcPr>
            <w:tcW w:w="3402" w:type="dxa"/>
          </w:tcPr>
          <w:p w14:paraId="16F03511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 xml:space="preserve">200 mg dvakrát denne </w:t>
            </w:r>
          </w:p>
        </w:tc>
        <w:tc>
          <w:tcPr>
            <w:tcW w:w="3071" w:type="dxa"/>
          </w:tcPr>
          <w:p w14:paraId="18308659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600 mg dvakrát denne</w:t>
            </w:r>
          </w:p>
        </w:tc>
      </w:tr>
      <w:tr w:rsidR="00553706" w:rsidRPr="005D78EE" w14:paraId="379B9080" w14:textId="77777777" w:rsidTr="009B3CB8">
        <w:tc>
          <w:tcPr>
            <w:tcW w:w="1668" w:type="dxa"/>
          </w:tcPr>
          <w:p w14:paraId="1F654AB0" w14:textId="77777777" w:rsidR="00553706" w:rsidRPr="002647F1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5 kg"/>
              </w:smartTagPr>
              <w:r w:rsidRPr="002647F1">
                <w:rPr>
                  <w:rFonts w:ascii="Times New Roman" w:hAnsi="Times New Roman"/>
                  <w:color w:val="000000"/>
                </w:rPr>
                <w:t>25 kg</w:t>
              </w:r>
            </w:smartTag>
          </w:p>
        </w:tc>
        <w:tc>
          <w:tcPr>
            <w:tcW w:w="3402" w:type="dxa"/>
          </w:tcPr>
          <w:p w14:paraId="0BEF0647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 xml:space="preserve">250 mg dvakrát denne </w:t>
            </w:r>
          </w:p>
        </w:tc>
        <w:tc>
          <w:tcPr>
            <w:tcW w:w="3071" w:type="dxa"/>
          </w:tcPr>
          <w:p w14:paraId="6BD07814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750 mg dvakrát denne</w:t>
            </w:r>
          </w:p>
        </w:tc>
      </w:tr>
      <w:tr w:rsidR="00553706" w:rsidRPr="005D78EE" w14:paraId="2976A2C2" w14:textId="77777777" w:rsidTr="009B3CB8">
        <w:tc>
          <w:tcPr>
            <w:tcW w:w="1668" w:type="dxa"/>
          </w:tcPr>
          <w:p w14:paraId="66035471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2647F1">
              <w:rPr>
                <w:rFonts w:ascii="Times New Roman" w:hAnsi="Times New Roman"/>
                <w:color w:val="000000"/>
              </w:rPr>
              <w:t>od</w:t>
            </w:r>
            <w:r w:rsidRPr="005D78EE">
              <w:rPr>
                <w:rFonts w:ascii="Times New Roman" w:hAnsi="Times New Roman"/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5D78EE">
                <w:rPr>
                  <w:rFonts w:ascii="Times New Roman" w:hAnsi="Times New Roman"/>
                  <w:color w:val="000000"/>
                </w:rPr>
                <w:t>50 kg</w:t>
              </w:r>
            </w:smartTag>
            <w:r w:rsidRPr="005D78EE">
              <w:rPr>
                <w:rFonts w:ascii="Times New Roman" w:hAnsi="Times New Roman"/>
                <w:color w:val="000000"/>
              </w:rPr>
              <w:t xml:space="preserve"> </w:t>
            </w:r>
            <w:r w:rsidRPr="005D78EE">
              <w:rPr>
                <w:rFonts w:ascii="Times New Roman" w:hAnsi="Times New Roman"/>
                <w:color w:val="000000"/>
                <w:vertAlign w:val="superscript"/>
              </w:rPr>
              <w:t>(2)</w:t>
            </w:r>
          </w:p>
        </w:tc>
        <w:tc>
          <w:tcPr>
            <w:tcW w:w="3402" w:type="dxa"/>
          </w:tcPr>
          <w:p w14:paraId="28CB5A01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 xml:space="preserve">500 mg dvakrát denne </w:t>
            </w:r>
          </w:p>
        </w:tc>
        <w:tc>
          <w:tcPr>
            <w:tcW w:w="3071" w:type="dxa"/>
          </w:tcPr>
          <w:p w14:paraId="1C48A1DF" w14:textId="77777777" w:rsidR="00553706" w:rsidRPr="005D78EE" w:rsidRDefault="00553706" w:rsidP="009B3C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D78EE">
              <w:rPr>
                <w:rFonts w:ascii="Times New Roman" w:hAnsi="Times New Roman"/>
                <w:color w:val="000000"/>
              </w:rPr>
              <w:t>1 500 mg dvakrát denne</w:t>
            </w:r>
          </w:p>
        </w:tc>
      </w:tr>
    </w:tbl>
    <w:p w14:paraId="474EAF8A" w14:textId="77777777" w:rsidR="00553706" w:rsidRPr="002647F1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0B10A6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 (1) Deti s hmotnosťou </w:t>
      </w:r>
      <w:smartTag w:uri="urn:schemas-microsoft-com:office:smarttags" w:element="metricconverter">
        <w:smartTagPr>
          <w:attr w:name="ProductID" w:val="25 kg"/>
        </w:smartTagPr>
        <w:r w:rsidRPr="005D78EE">
          <w:rPr>
            <w:rFonts w:ascii="Times New Roman" w:hAnsi="Times New Roman"/>
            <w:color w:val="000000"/>
          </w:rPr>
          <w:t>25 kg</w:t>
        </w:r>
      </w:smartTag>
      <w:r w:rsidRPr="005D78EE">
        <w:rPr>
          <w:rFonts w:ascii="Times New Roman" w:hAnsi="Times New Roman"/>
          <w:color w:val="000000"/>
        </w:rPr>
        <w:t xml:space="preserve"> alebo nižšou majú prednostne začať liečbu perorálnym</w:t>
      </w:r>
    </w:p>
    <w:p w14:paraId="12E950B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roztokom.</w:t>
      </w:r>
    </w:p>
    <w:p w14:paraId="1BCA258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(2) Dávka u detí a dospievajúcich s hmotnosťou </w:t>
      </w:r>
      <w:smartTag w:uri="urn:schemas-microsoft-com:office:smarttags" w:element="metricconverter">
        <w:smartTagPr>
          <w:attr w:name="ProductID" w:val="50 kg"/>
        </w:smartTagPr>
        <w:r w:rsidRPr="005D78EE">
          <w:rPr>
            <w:rFonts w:ascii="Times New Roman" w:hAnsi="Times New Roman"/>
            <w:color w:val="000000"/>
          </w:rPr>
          <w:t>50 kg</w:t>
        </w:r>
      </w:smartTag>
      <w:r w:rsidRPr="005D78EE">
        <w:rPr>
          <w:rFonts w:ascii="Times New Roman" w:hAnsi="Times New Roman"/>
          <w:color w:val="000000"/>
        </w:rPr>
        <w:t xml:space="preserve"> alebo vyššou je rovnaká ako u dospelých.</w:t>
      </w:r>
    </w:p>
    <w:p w14:paraId="350F0DA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1D8B967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Prídavná lie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>ba pre doj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>atá vo veku 1 až 6 mesiacov</w:t>
      </w:r>
    </w:p>
    <w:p w14:paraId="0F17073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17C186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Na používanie u dojčiat je určená lieková forma perorálny roztok.</w:t>
      </w:r>
    </w:p>
    <w:p w14:paraId="10C1F2D4" w14:textId="77777777" w:rsidR="00FB0237" w:rsidRPr="002B72DA" w:rsidRDefault="00FB0237" w:rsidP="00FB0237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</w:p>
    <w:p w14:paraId="7C4FDEB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Spôsob pod</w:t>
      </w:r>
      <w:r w:rsidR="009C75F7" w:rsidRPr="005D78EE">
        <w:rPr>
          <w:rFonts w:ascii="Times New Roman" w:hAnsi="Times New Roman"/>
          <w:color w:val="000000"/>
          <w:u w:val="single"/>
        </w:rPr>
        <w:t>áv</w:t>
      </w:r>
      <w:r w:rsidRPr="005D78EE">
        <w:rPr>
          <w:rFonts w:ascii="Times New Roman" w:hAnsi="Times New Roman"/>
          <w:color w:val="000000"/>
          <w:u w:val="single"/>
        </w:rPr>
        <w:t>ania</w:t>
      </w:r>
    </w:p>
    <w:p w14:paraId="1F1F1BD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Filmom obalené tablety sa musia užívať perorálne, prehĺtať s dostatočným množstvom tekutiny a</w:t>
      </w:r>
    </w:p>
    <w:p w14:paraId="077CFF5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možno ich užívať s jedlom alebo bez jedla. Denná dávka sa podáva v dvoch rovnakých čiastkových</w:t>
      </w:r>
    </w:p>
    <w:p w14:paraId="615BC74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dávkach.</w:t>
      </w:r>
    </w:p>
    <w:p w14:paraId="18F9BF0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4021174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4.3 </w:t>
      </w:r>
      <w:r w:rsidRPr="005D78EE">
        <w:rPr>
          <w:rFonts w:ascii="Times New Roman" w:hAnsi="Times New Roman"/>
          <w:b/>
          <w:bCs/>
          <w:color w:val="000000"/>
        </w:rPr>
        <w:tab/>
        <w:t>Kontraindikácie</w:t>
      </w:r>
    </w:p>
    <w:p w14:paraId="5087B69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173D17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Precitlivenosť na </w:t>
      </w:r>
      <w:r w:rsidR="00DF6C80">
        <w:rPr>
          <w:rFonts w:ascii="Times New Roman" w:hAnsi="Times New Roman"/>
          <w:color w:val="000000"/>
        </w:rPr>
        <w:t xml:space="preserve">liečivo </w:t>
      </w:r>
      <w:r w:rsidRPr="005D78EE">
        <w:rPr>
          <w:rFonts w:ascii="Times New Roman" w:hAnsi="Times New Roman"/>
          <w:color w:val="000000"/>
        </w:rPr>
        <w:t xml:space="preserve">alebo na iné deriváty </w:t>
      </w:r>
      <w:proofErr w:type="spellStart"/>
      <w:r w:rsidRPr="005D78EE">
        <w:rPr>
          <w:rFonts w:ascii="Times New Roman" w:hAnsi="Times New Roman"/>
          <w:color w:val="000000"/>
        </w:rPr>
        <w:t>pyrolidónu</w:t>
      </w:r>
      <w:proofErr w:type="spellEnd"/>
      <w:r w:rsidRPr="005D78EE">
        <w:rPr>
          <w:rFonts w:ascii="Times New Roman" w:hAnsi="Times New Roman"/>
          <w:color w:val="000000"/>
        </w:rPr>
        <w:t xml:space="preserve"> alebo na ktorúkoľvek z pomocných látok</w:t>
      </w:r>
      <w:r w:rsidR="009C75F7" w:rsidRPr="005D78EE">
        <w:rPr>
          <w:rFonts w:ascii="Times New Roman" w:hAnsi="Times New Roman"/>
          <w:color w:val="000000"/>
        </w:rPr>
        <w:t xml:space="preserve"> uvedených v časti 6.1</w:t>
      </w:r>
      <w:r w:rsidRPr="005D78EE">
        <w:rPr>
          <w:rFonts w:ascii="Times New Roman" w:hAnsi="Times New Roman"/>
          <w:color w:val="000000"/>
        </w:rPr>
        <w:t>.</w:t>
      </w:r>
    </w:p>
    <w:p w14:paraId="53376E3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108BFF5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4.4 </w:t>
      </w:r>
      <w:r w:rsidRPr="005D78EE">
        <w:rPr>
          <w:rFonts w:ascii="Times New Roman" w:hAnsi="Times New Roman"/>
          <w:b/>
          <w:bCs/>
          <w:color w:val="000000"/>
        </w:rPr>
        <w:tab/>
        <w:t>Osobitné upozornenia a opatrenia pri používaní</w:t>
      </w:r>
    </w:p>
    <w:p w14:paraId="65D0476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B5862D7" w14:textId="77777777" w:rsidR="00473788" w:rsidRPr="005D78EE" w:rsidRDefault="00405CBA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Porucha funkcie </w:t>
      </w:r>
      <w:r w:rsidR="00DF6C80">
        <w:rPr>
          <w:rFonts w:ascii="Times New Roman" w:hAnsi="Times New Roman"/>
          <w:color w:val="000000"/>
          <w:u w:val="single"/>
        </w:rPr>
        <w:t xml:space="preserve">obličiek </w:t>
      </w:r>
    </w:p>
    <w:p w14:paraId="263A0BB7" w14:textId="77777777" w:rsidR="00676A48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Podávanie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pacientom s poruchou funkcie obličiek si môže vyžadovať úpravu dávky. </w:t>
      </w:r>
    </w:p>
    <w:p w14:paraId="20EF55F0" w14:textId="77D66979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U</w:t>
      </w:r>
      <w:r w:rsidR="00676A48">
        <w:rPr>
          <w:rFonts w:ascii="Times New Roman" w:hAnsi="Times New Roman"/>
          <w:color w:val="000000"/>
        </w:rPr>
        <w:t> </w:t>
      </w:r>
      <w:r w:rsidRPr="005D78EE">
        <w:rPr>
          <w:rFonts w:ascii="Times New Roman" w:hAnsi="Times New Roman"/>
          <w:color w:val="000000"/>
        </w:rPr>
        <w:t>pacientov so závažnou poruchou funkcie pečene sa pred stanovením dávky odporúča posúdiť funkciu</w:t>
      </w:r>
    </w:p>
    <w:p w14:paraId="18C098E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obličiek (pozri časť 4.2).</w:t>
      </w:r>
    </w:p>
    <w:p w14:paraId="2FB7938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E43AF28" w14:textId="77777777" w:rsidR="006A6569" w:rsidRPr="002B72DA" w:rsidRDefault="006A6569" w:rsidP="006A6569">
      <w:pPr>
        <w:pStyle w:val="Default"/>
        <w:rPr>
          <w:sz w:val="22"/>
          <w:szCs w:val="22"/>
          <w:u w:val="single"/>
        </w:rPr>
      </w:pPr>
      <w:r w:rsidRPr="002B72DA">
        <w:rPr>
          <w:sz w:val="22"/>
          <w:szCs w:val="22"/>
          <w:u w:val="single"/>
        </w:rPr>
        <w:t xml:space="preserve">Akútne poškodenie obličiek </w:t>
      </w:r>
    </w:p>
    <w:p w14:paraId="75A361A0" w14:textId="77777777" w:rsidR="006A6569" w:rsidRPr="006A6569" w:rsidRDefault="006A6569" w:rsidP="006A6569">
      <w:pPr>
        <w:pStyle w:val="Default"/>
        <w:rPr>
          <w:sz w:val="22"/>
          <w:szCs w:val="22"/>
        </w:rPr>
      </w:pPr>
      <w:r w:rsidRPr="0017457A">
        <w:rPr>
          <w:sz w:val="22"/>
          <w:szCs w:val="22"/>
        </w:rPr>
        <w:t xml:space="preserve">Podávanie </w:t>
      </w:r>
      <w:proofErr w:type="spellStart"/>
      <w:r w:rsidRPr="0017457A">
        <w:rPr>
          <w:sz w:val="22"/>
          <w:szCs w:val="22"/>
        </w:rPr>
        <w:t>levetiracetamu</w:t>
      </w:r>
      <w:proofErr w:type="spellEnd"/>
      <w:r w:rsidRPr="0017457A">
        <w:rPr>
          <w:sz w:val="22"/>
          <w:szCs w:val="22"/>
        </w:rPr>
        <w:t xml:space="preserve"> bolo veľmi zriedkavo</w:t>
      </w:r>
      <w:r w:rsidRPr="00676A48">
        <w:rPr>
          <w:sz w:val="22"/>
          <w:szCs w:val="22"/>
        </w:rPr>
        <w:t xml:space="preserve"> spojené s akútnym poškodením obličiek, ku ktorému došlo v časovom rozme</w:t>
      </w:r>
      <w:r w:rsidRPr="006A6569">
        <w:rPr>
          <w:sz w:val="22"/>
          <w:szCs w:val="22"/>
        </w:rPr>
        <w:t xml:space="preserve">dzí od niekoľkých dní až po niekoľko mesiacov. </w:t>
      </w:r>
    </w:p>
    <w:p w14:paraId="17E53E00" w14:textId="77777777" w:rsidR="006A6569" w:rsidRPr="006A6569" w:rsidRDefault="006A6569" w:rsidP="006A6569">
      <w:pPr>
        <w:pStyle w:val="Default"/>
        <w:rPr>
          <w:sz w:val="22"/>
          <w:szCs w:val="22"/>
        </w:rPr>
      </w:pPr>
    </w:p>
    <w:p w14:paraId="508837AD" w14:textId="77777777" w:rsidR="006A6569" w:rsidRPr="002B72DA" w:rsidRDefault="006A6569" w:rsidP="006A6569">
      <w:pPr>
        <w:pStyle w:val="Default"/>
        <w:rPr>
          <w:sz w:val="22"/>
          <w:szCs w:val="22"/>
          <w:u w:val="single"/>
        </w:rPr>
      </w:pPr>
      <w:r w:rsidRPr="002B72DA">
        <w:rPr>
          <w:sz w:val="22"/>
          <w:szCs w:val="22"/>
          <w:u w:val="single"/>
        </w:rPr>
        <w:t xml:space="preserve">Krvný obraz </w:t>
      </w:r>
    </w:p>
    <w:p w14:paraId="14CCD219" w14:textId="77777777" w:rsidR="006A6569" w:rsidRPr="0017457A" w:rsidRDefault="006A6569" w:rsidP="006A6569">
      <w:pPr>
        <w:pStyle w:val="Default"/>
        <w:rPr>
          <w:sz w:val="22"/>
          <w:szCs w:val="22"/>
        </w:rPr>
      </w:pPr>
      <w:r w:rsidRPr="0017457A">
        <w:rPr>
          <w:sz w:val="22"/>
          <w:szCs w:val="22"/>
        </w:rPr>
        <w:t xml:space="preserve">V súvislosti s podávaním </w:t>
      </w:r>
      <w:proofErr w:type="spellStart"/>
      <w:r w:rsidRPr="0017457A">
        <w:rPr>
          <w:sz w:val="22"/>
          <w:szCs w:val="22"/>
        </w:rPr>
        <w:t>levetiracetamu</w:t>
      </w:r>
      <w:proofErr w:type="spellEnd"/>
      <w:r w:rsidRPr="0017457A">
        <w:rPr>
          <w:sz w:val="22"/>
          <w:szCs w:val="22"/>
        </w:rPr>
        <w:t xml:space="preserve"> boli opísané zriedkavé prípady zníženia hodnôt krvného obrazu (</w:t>
      </w:r>
      <w:proofErr w:type="spellStart"/>
      <w:r w:rsidRPr="0017457A">
        <w:rPr>
          <w:sz w:val="22"/>
          <w:szCs w:val="22"/>
        </w:rPr>
        <w:t>neutropénia</w:t>
      </w:r>
      <w:proofErr w:type="spellEnd"/>
      <w:r w:rsidRPr="0017457A">
        <w:rPr>
          <w:sz w:val="22"/>
          <w:szCs w:val="22"/>
        </w:rPr>
        <w:t xml:space="preserve">, </w:t>
      </w:r>
      <w:proofErr w:type="spellStart"/>
      <w:r w:rsidRPr="0017457A">
        <w:rPr>
          <w:sz w:val="22"/>
          <w:szCs w:val="22"/>
        </w:rPr>
        <w:t>agranulocytóza</w:t>
      </w:r>
      <w:proofErr w:type="spellEnd"/>
      <w:r w:rsidRPr="0017457A">
        <w:rPr>
          <w:sz w:val="22"/>
          <w:szCs w:val="22"/>
        </w:rPr>
        <w:t xml:space="preserve">, </w:t>
      </w:r>
      <w:proofErr w:type="spellStart"/>
      <w:r w:rsidRPr="0017457A">
        <w:rPr>
          <w:sz w:val="22"/>
          <w:szCs w:val="22"/>
        </w:rPr>
        <w:t>leukopénia</w:t>
      </w:r>
      <w:proofErr w:type="spellEnd"/>
      <w:r w:rsidRPr="0017457A">
        <w:rPr>
          <w:sz w:val="22"/>
          <w:szCs w:val="22"/>
        </w:rPr>
        <w:t xml:space="preserve">, </w:t>
      </w:r>
      <w:proofErr w:type="spellStart"/>
      <w:r w:rsidRPr="0017457A">
        <w:rPr>
          <w:sz w:val="22"/>
          <w:szCs w:val="22"/>
        </w:rPr>
        <w:t>trombocytopénia</w:t>
      </w:r>
      <w:proofErr w:type="spellEnd"/>
      <w:r w:rsidRPr="0017457A">
        <w:rPr>
          <w:sz w:val="22"/>
          <w:szCs w:val="22"/>
        </w:rPr>
        <w:t xml:space="preserve"> a </w:t>
      </w:r>
      <w:proofErr w:type="spellStart"/>
      <w:r w:rsidRPr="0017457A">
        <w:rPr>
          <w:sz w:val="22"/>
          <w:szCs w:val="22"/>
        </w:rPr>
        <w:t>pancytopénia</w:t>
      </w:r>
      <w:proofErr w:type="spellEnd"/>
      <w:r w:rsidRPr="0017457A">
        <w:rPr>
          <w:sz w:val="22"/>
          <w:szCs w:val="22"/>
        </w:rPr>
        <w:t xml:space="preserve">), zvyčajne </w:t>
      </w:r>
    </w:p>
    <w:p w14:paraId="00E804FB" w14:textId="77777777" w:rsidR="00676A48" w:rsidRDefault="006A6569" w:rsidP="006A6569">
      <w:pPr>
        <w:autoSpaceDE w:val="0"/>
        <w:autoSpaceDN w:val="0"/>
        <w:adjustRightInd w:val="0"/>
        <w:rPr>
          <w:rFonts w:ascii="Times New Roman" w:hAnsi="Times New Roman"/>
        </w:rPr>
      </w:pPr>
      <w:r w:rsidRPr="002B72DA">
        <w:rPr>
          <w:rFonts w:ascii="Times New Roman" w:hAnsi="Times New Roman"/>
        </w:rPr>
        <w:t xml:space="preserve">na začiatku liečby. U pacientov s významnou slabosťou, horúčkou, </w:t>
      </w:r>
      <w:proofErr w:type="spellStart"/>
      <w:r w:rsidRPr="002B72DA">
        <w:rPr>
          <w:rFonts w:ascii="Times New Roman" w:hAnsi="Times New Roman"/>
        </w:rPr>
        <w:t>rekurentnými</w:t>
      </w:r>
      <w:proofErr w:type="spellEnd"/>
      <w:r w:rsidRPr="002B72DA">
        <w:rPr>
          <w:rFonts w:ascii="Times New Roman" w:hAnsi="Times New Roman"/>
        </w:rPr>
        <w:t xml:space="preserve"> infekciami alebo </w:t>
      </w:r>
    </w:p>
    <w:p w14:paraId="10A4D24A" w14:textId="7799419D" w:rsidR="006A6569" w:rsidRPr="002B72DA" w:rsidRDefault="006A6569" w:rsidP="006A6569">
      <w:pPr>
        <w:autoSpaceDE w:val="0"/>
        <w:autoSpaceDN w:val="0"/>
        <w:adjustRightInd w:val="0"/>
        <w:rPr>
          <w:rFonts w:ascii="Times New Roman" w:hAnsi="Times New Roman"/>
        </w:rPr>
      </w:pPr>
      <w:r w:rsidRPr="002B72DA">
        <w:rPr>
          <w:rFonts w:ascii="Times New Roman" w:hAnsi="Times New Roman"/>
        </w:rPr>
        <w:t>s</w:t>
      </w:r>
      <w:r w:rsidR="00676A48">
        <w:rPr>
          <w:rFonts w:ascii="Times New Roman" w:hAnsi="Times New Roman"/>
        </w:rPr>
        <w:t> </w:t>
      </w:r>
      <w:r w:rsidRPr="002B72DA">
        <w:rPr>
          <w:rFonts w:ascii="Times New Roman" w:hAnsi="Times New Roman"/>
        </w:rPr>
        <w:t>poruchou zráža</w:t>
      </w:r>
      <w:r w:rsidR="00676A48">
        <w:rPr>
          <w:rFonts w:ascii="Times New Roman" w:hAnsi="Times New Roman"/>
        </w:rPr>
        <w:t>nli</w:t>
      </w:r>
      <w:r w:rsidRPr="002B72DA">
        <w:rPr>
          <w:rFonts w:ascii="Times New Roman" w:hAnsi="Times New Roman"/>
        </w:rPr>
        <w:t>vosti krvi je vhodné skontrolovať celkový krvný obraz (pozri časť 4.8).</w:t>
      </w:r>
    </w:p>
    <w:p w14:paraId="1E24261E" w14:textId="77777777" w:rsidR="006A6569" w:rsidRPr="005D78EE" w:rsidRDefault="006A6569" w:rsidP="006A6569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0A3EE0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Samovražda</w:t>
      </w:r>
    </w:p>
    <w:p w14:paraId="1BEE39D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U pacientov liečených </w:t>
      </w:r>
      <w:proofErr w:type="spellStart"/>
      <w:r w:rsidRPr="005D78EE">
        <w:rPr>
          <w:rFonts w:ascii="Times New Roman" w:hAnsi="Times New Roman"/>
          <w:color w:val="000000"/>
        </w:rPr>
        <w:t>antiepileptikami</w:t>
      </w:r>
      <w:proofErr w:type="spellEnd"/>
      <w:r w:rsidRPr="005D78EE">
        <w:rPr>
          <w:rFonts w:ascii="Times New Roman" w:hAnsi="Times New Roman"/>
          <w:color w:val="000000"/>
        </w:rPr>
        <w:t xml:space="preserve"> (vrátane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>) boli hlásené prípady samovraždy,</w:t>
      </w:r>
    </w:p>
    <w:p w14:paraId="1D2CA2C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pokusov o samovraždu, samovražedných myšlienok a správania. </w:t>
      </w:r>
      <w:proofErr w:type="spellStart"/>
      <w:r w:rsidRPr="005D78EE">
        <w:rPr>
          <w:rFonts w:ascii="Times New Roman" w:hAnsi="Times New Roman"/>
          <w:color w:val="000000"/>
        </w:rPr>
        <w:t>Meta-analýza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randomizovaných</w:t>
      </w:r>
      <w:proofErr w:type="spellEnd"/>
      <w:r w:rsidRPr="005D78EE">
        <w:rPr>
          <w:rFonts w:ascii="Times New Roman" w:hAnsi="Times New Roman"/>
          <w:color w:val="000000"/>
        </w:rPr>
        <w:t>,</w:t>
      </w:r>
    </w:p>
    <w:p w14:paraId="546E5BD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placebom</w:t>
      </w:r>
      <w:proofErr w:type="spellEnd"/>
      <w:r w:rsidRPr="005D78EE">
        <w:rPr>
          <w:rFonts w:ascii="Times New Roman" w:hAnsi="Times New Roman"/>
          <w:color w:val="000000"/>
        </w:rPr>
        <w:t xml:space="preserve"> kontrolovaných štúdií s </w:t>
      </w:r>
      <w:proofErr w:type="spellStart"/>
      <w:r w:rsidRPr="005D78EE">
        <w:rPr>
          <w:rFonts w:ascii="Times New Roman" w:hAnsi="Times New Roman"/>
          <w:color w:val="000000"/>
        </w:rPr>
        <w:t>antiepileptikami</w:t>
      </w:r>
      <w:proofErr w:type="spellEnd"/>
      <w:r w:rsidRPr="005D78EE">
        <w:rPr>
          <w:rFonts w:ascii="Times New Roman" w:hAnsi="Times New Roman"/>
          <w:color w:val="000000"/>
        </w:rPr>
        <w:t xml:space="preserve"> preukázala malé zvýšenie rizika samovražedných</w:t>
      </w:r>
    </w:p>
    <w:p w14:paraId="28C5A73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myšlienok a správania. Mechanizmus vzniku tohto rizika nie je známy.</w:t>
      </w:r>
    </w:p>
    <w:p w14:paraId="41ABA7B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14EEC8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Z tohto dôvodu sa majú u pacientov sledovať príznaky depresie a/alebo samovražedných myšlienok a</w:t>
      </w:r>
    </w:p>
    <w:p w14:paraId="7BD5D6D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správania, prípadne sa má zvážiť vhodná liečba. Pacientom (a ich opatrovateľom) sa má odporučiť,</w:t>
      </w:r>
    </w:p>
    <w:p w14:paraId="559F7BB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aby v prípade výskytu príznakov depresie a/alebo samovražedných myšlienok alebo správania,</w:t>
      </w:r>
    </w:p>
    <w:p w14:paraId="625A5A0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okamžite vyhľadali lekársku pomoc.</w:t>
      </w:r>
    </w:p>
    <w:p w14:paraId="3F3C6EA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C6DA150" w14:textId="77777777" w:rsidR="00F507B9" w:rsidRPr="005D78EE" w:rsidRDefault="009C75F7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 xml:space="preserve">Pediatrická populácia </w:t>
      </w:r>
    </w:p>
    <w:p w14:paraId="64D226B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Tabletová</w:t>
      </w:r>
      <w:proofErr w:type="spellEnd"/>
      <w:r w:rsidRPr="005D78EE">
        <w:rPr>
          <w:rFonts w:ascii="Times New Roman" w:hAnsi="Times New Roman"/>
          <w:color w:val="000000"/>
        </w:rPr>
        <w:t xml:space="preserve"> lieková forma nie je prispôsobená na používanie u dojčiat a detí mladších ako 6 rokov.</w:t>
      </w:r>
    </w:p>
    <w:p w14:paraId="6D24449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3678C2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Dostupné údaje u detí nenaznačili vplyv na rast a pubertu. Avšak dlhodobé účinky u detí na schopnosť</w:t>
      </w:r>
    </w:p>
    <w:p w14:paraId="56796CF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učiť sa, inteligenciu, rast, endokrinnú funkciu, pubertu a plodnosť sú naďalej neznáme.</w:t>
      </w:r>
    </w:p>
    <w:p w14:paraId="0B57338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B60810F" w14:textId="77777777" w:rsidR="00553706" w:rsidRPr="005D78EE" w:rsidRDefault="00553706" w:rsidP="002B72DA">
      <w:pPr>
        <w:keepNext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lastRenderedPageBreak/>
        <w:t xml:space="preserve">4.5 </w:t>
      </w:r>
      <w:r w:rsidRPr="005D78EE">
        <w:rPr>
          <w:rFonts w:ascii="Times New Roman" w:hAnsi="Times New Roman"/>
          <w:b/>
          <w:bCs/>
          <w:color w:val="000000"/>
        </w:rPr>
        <w:tab/>
        <w:t>Liekové a iné interakcie</w:t>
      </w:r>
    </w:p>
    <w:p w14:paraId="3043ED13" w14:textId="77777777" w:rsidR="00553706" w:rsidRPr="005D78EE" w:rsidRDefault="00553706" w:rsidP="002B72DA">
      <w:pPr>
        <w:keepNext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8EAB676" w14:textId="77777777" w:rsidR="00553706" w:rsidRPr="005D78EE" w:rsidRDefault="00553706" w:rsidP="002B72DA">
      <w:pPr>
        <w:keepNext/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proofErr w:type="spellStart"/>
      <w:r w:rsidRPr="005D78EE">
        <w:rPr>
          <w:rFonts w:ascii="Times New Roman" w:hAnsi="Times New Roman"/>
          <w:color w:val="000000"/>
          <w:u w:val="single"/>
        </w:rPr>
        <w:t>Antiepileptiká</w:t>
      </w:r>
      <w:proofErr w:type="spellEnd"/>
    </w:p>
    <w:p w14:paraId="1F66AE6D" w14:textId="77777777" w:rsidR="00553706" w:rsidRPr="005D78EE" w:rsidRDefault="00553706" w:rsidP="002B72DA">
      <w:pPr>
        <w:keepNext/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Predmarketingové</w:t>
      </w:r>
      <w:proofErr w:type="spellEnd"/>
      <w:r w:rsidRPr="005D78EE">
        <w:rPr>
          <w:rFonts w:ascii="Times New Roman" w:hAnsi="Times New Roman"/>
          <w:color w:val="000000"/>
        </w:rPr>
        <w:t xml:space="preserve"> údaje z klinických štúdií vykonaných na dospelých ukazujú, že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nemal</w:t>
      </w:r>
    </w:p>
    <w:p w14:paraId="413E521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vplyv na sérové koncentrácie už podávaných </w:t>
      </w:r>
      <w:proofErr w:type="spellStart"/>
      <w:r w:rsidRPr="005D78EE">
        <w:rPr>
          <w:rFonts w:ascii="Times New Roman" w:hAnsi="Times New Roman"/>
          <w:color w:val="000000"/>
        </w:rPr>
        <w:t>antiepileptík</w:t>
      </w:r>
      <w:proofErr w:type="spellEnd"/>
      <w:r w:rsidRPr="005D78EE">
        <w:rPr>
          <w:rFonts w:ascii="Times New Roman" w:hAnsi="Times New Roman"/>
          <w:color w:val="000000"/>
        </w:rPr>
        <w:t xml:space="preserve"> (</w:t>
      </w:r>
      <w:proofErr w:type="spellStart"/>
      <w:r w:rsidRPr="005D78EE">
        <w:rPr>
          <w:rFonts w:ascii="Times New Roman" w:hAnsi="Times New Roman"/>
          <w:color w:val="000000"/>
        </w:rPr>
        <w:t>fenytoín</w:t>
      </w:r>
      <w:proofErr w:type="spellEnd"/>
      <w:r w:rsidRPr="005D78EE">
        <w:rPr>
          <w:rFonts w:ascii="Times New Roman" w:hAnsi="Times New Roman"/>
          <w:color w:val="000000"/>
        </w:rPr>
        <w:t xml:space="preserve">, </w:t>
      </w:r>
      <w:proofErr w:type="spellStart"/>
      <w:r w:rsidRPr="005D78EE">
        <w:rPr>
          <w:rFonts w:ascii="Times New Roman" w:hAnsi="Times New Roman"/>
          <w:color w:val="000000"/>
        </w:rPr>
        <w:t>karbamazepín</w:t>
      </w:r>
      <w:proofErr w:type="spellEnd"/>
      <w:r w:rsidRPr="005D78EE">
        <w:rPr>
          <w:rFonts w:ascii="Times New Roman" w:hAnsi="Times New Roman"/>
          <w:color w:val="000000"/>
        </w:rPr>
        <w:t>, kyselina</w:t>
      </w:r>
    </w:p>
    <w:p w14:paraId="0EE0ACB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valproová</w:t>
      </w:r>
      <w:proofErr w:type="spellEnd"/>
      <w:r w:rsidRPr="005D78EE">
        <w:rPr>
          <w:rFonts w:ascii="Times New Roman" w:hAnsi="Times New Roman"/>
          <w:color w:val="000000"/>
        </w:rPr>
        <w:t xml:space="preserve">, </w:t>
      </w:r>
      <w:proofErr w:type="spellStart"/>
      <w:r w:rsidRPr="005D78EE">
        <w:rPr>
          <w:rFonts w:ascii="Times New Roman" w:hAnsi="Times New Roman"/>
          <w:color w:val="000000"/>
        </w:rPr>
        <w:t>fenobarbital</w:t>
      </w:r>
      <w:proofErr w:type="spellEnd"/>
      <w:r w:rsidRPr="005D78EE">
        <w:rPr>
          <w:rFonts w:ascii="Times New Roman" w:hAnsi="Times New Roman"/>
          <w:color w:val="000000"/>
        </w:rPr>
        <w:t xml:space="preserve">, </w:t>
      </w:r>
      <w:proofErr w:type="spellStart"/>
      <w:r w:rsidRPr="005D78EE">
        <w:rPr>
          <w:rFonts w:ascii="Times New Roman" w:hAnsi="Times New Roman"/>
          <w:color w:val="000000"/>
        </w:rPr>
        <w:t>lamotrigín</w:t>
      </w:r>
      <w:proofErr w:type="spellEnd"/>
      <w:r w:rsidRPr="005D78EE">
        <w:rPr>
          <w:rFonts w:ascii="Times New Roman" w:hAnsi="Times New Roman"/>
          <w:color w:val="000000"/>
        </w:rPr>
        <w:t xml:space="preserve">, </w:t>
      </w:r>
      <w:proofErr w:type="spellStart"/>
      <w:r w:rsidRPr="005D78EE">
        <w:rPr>
          <w:rFonts w:ascii="Times New Roman" w:hAnsi="Times New Roman"/>
          <w:color w:val="000000"/>
        </w:rPr>
        <w:t>gabapentín</w:t>
      </w:r>
      <w:proofErr w:type="spellEnd"/>
      <w:r w:rsidRPr="005D78EE">
        <w:rPr>
          <w:rFonts w:ascii="Times New Roman" w:hAnsi="Times New Roman"/>
          <w:color w:val="000000"/>
        </w:rPr>
        <w:t xml:space="preserve"> a </w:t>
      </w:r>
      <w:proofErr w:type="spellStart"/>
      <w:r w:rsidRPr="005D78EE">
        <w:rPr>
          <w:rFonts w:ascii="Times New Roman" w:hAnsi="Times New Roman"/>
          <w:color w:val="000000"/>
        </w:rPr>
        <w:t>primidon</w:t>
      </w:r>
      <w:proofErr w:type="spellEnd"/>
      <w:r w:rsidRPr="005D78EE">
        <w:rPr>
          <w:rFonts w:ascii="Times New Roman" w:hAnsi="Times New Roman"/>
          <w:color w:val="000000"/>
        </w:rPr>
        <w:t xml:space="preserve">) a že tieto </w:t>
      </w:r>
      <w:proofErr w:type="spellStart"/>
      <w:r w:rsidRPr="005D78EE">
        <w:rPr>
          <w:rFonts w:ascii="Times New Roman" w:hAnsi="Times New Roman"/>
          <w:color w:val="000000"/>
        </w:rPr>
        <w:t>antiepileptiká</w:t>
      </w:r>
      <w:proofErr w:type="spellEnd"/>
      <w:r w:rsidRPr="005D78EE">
        <w:rPr>
          <w:rFonts w:ascii="Times New Roman" w:hAnsi="Times New Roman"/>
          <w:color w:val="000000"/>
        </w:rPr>
        <w:t xml:space="preserve"> neovplyvnili</w:t>
      </w:r>
    </w:p>
    <w:p w14:paraId="5C4F2A0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farmakokinetiku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640BE27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6FC21E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Rovnako ako u dospelých, ani u </w:t>
      </w:r>
      <w:r w:rsidR="00063406" w:rsidRPr="005D78EE">
        <w:rPr>
          <w:rFonts w:ascii="Times New Roman" w:hAnsi="Times New Roman"/>
          <w:color w:val="000000"/>
        </w:rPr>
        <w:t>detí a dospievajúcich</w:t>
      </w:r>
      <w:r w:rsidRPr="005D78EE">
        <w:rPr>
          <w:rFonts w:ascii="Times New Roman" w:hAnsi="Times New Roman"/>
          <w:color w:val="000000"/>
        </w:rPr>
        <w:t xml:space="preserve"> užívajúcich až do 60 mg/kg/deň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</w:p>
    <w:p w14:paraId="01AEAFD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nie je žiadny dôkaz klinicky významných liekových interakcií.</w:t>
      </w:r>
    </w:p>
    <w:p w14:paraId="259C485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Retrospektívne hodnotenie </w:t>
      </w:r>
      <w:proofErr w:type="spellStart"/>
      <w:r w:rsidRPr="005D78EE">
        <w:rPr>
          <w:rFonts w:ascii="Times New Roman" w:hAnsi="Times New Roman"/>
          <w:color w:val="000000"/>
        </w:rPr>
        <w:t>farmakokinetických</w:t>
      </w:r>
      <w:proofErr w:type="spellEnd"/>
      <w:r w:rsidRPr="005D78EE">
        <w:rPr>
          <w:rFonts w:ascii="Times New Roman" w:hAnsi="Times New Roman"/>
          <w:color w:val="000000"/>
        </w:rPr>
        <w:t xml:space="preserve"> interakcií u detí a dospievajúcich s epilepsiou (4 až</w:t>
      </w:r>
    </w:p>
    <w:p w14:paraId="778FC96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17 rokov) potvrdilo, že prídavná liečba s perorálne podávaným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neovplyvnila sérové</w:t>
      </w:r>
    </w:p>
    <w:p w14:paraId="622F8F0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koncentrácie v rovnovážnom stave súbežne podávaného </w:t>
      </w:r>
      <w:proofErr w:type="spellStart"/>
      <w:r w:rsidRPr="005D78EE">
        <w:rPr>
          <w:rFonts w:ascii="Times New Roman" w:hAnsi="Times New Roman"/>
          <w:color w:val="000000"/>
        </w:rPr>
        <w:t>karbamazepínu</w:t>
      </w:r>
      <w:proofErr w:type="spellEnd"/>
      <w:r w:rsidRPr="005D78EE">
        <w:rPr>
          <w:rFonts w:ascii="Times New Roman" w:hAnsi="Times New Roman"/>
          <w:color w:val="000000"/>
        </w:rPr>
        <w:t xml:space="preserve"> a </w:t>
      </w:r>
      <w:proofErr w:type="spellStart"/>
      <w:r w:rsidRPr="005D78EE">
        <w:rPr>
          <w:rFonts w:ascii="Times New Roman" w:hAnsi="Times New Roman"/>
          <w:color w:val="000000"/>
        </w:rPr>
        <w:t>valproátu</w:t>
      </w:r>
      <w:proofErr w:type="spellEnd"/>
      <w:r w:rsidRPr="005D78EE">
        <w:rPr>
          <w:rFonts w:ascii="Times New Roman" w:hAnsi="Times New Roman"/>
          <w:color w:val="000000"/>
        </w:rPr>
        <w:t>. Avšak údaje</w:t>
      </w:r>
    </w:p>
    <w:p w14:paraId="558EC20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naznačujú o 20 % vyšší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u detí užívajúcich enzýmy indukujúce </w:t>
      </w:r>
      <w:proofErr w:type="spellStart"/>
      <w:r w:rsidRPr="005D78EE">
        <w:rPr>
          <w:rFonts w:ascii="Times New Roman" w:hAnsi="Times New Roman"/>
          <w:color w:val="000000"/>
        </w:rPr>
        <w:t>antiepileptiká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60B57E9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Úprava dávky sa nevyžaduje.</w:t>
      </w:r>
    </w:p>
    <w:p w14:paraId="2DC786E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A904B4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proofErr w:type="spellStart"/>
      <w:r w:rsidRPr="005D78EE">
        <w:rPr>
          <w:rFonts w:ascii="Times New Roman" w:hAnsi="Times New Roman"/>
          <w:color w:val="000000"/>
          <w:u w:val="single"/>
        </w:rPr>
        <w:t>Probenecid</w:t>
      </w:r>
      <w:proofErr w:type="spellEnd"/>
    </w:p>
    <w:p w14:paraId="6CA3BA9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Zistilo sa, že </w:t>
      </w:r>
      <w:proofErr w:type="spellStart"/>
      <w:r w:rsidRPr="005D78EE">
        <w:rPr>
          <w:rFonts w:ascii="Times New Roman" w:hAnsi="Times New Roman"/>
          <w:color w:val="000000"/>
        </w:rPr>
        <w:t>probenecid</w:t>
      </w:r>
      <w:proofErr w:type="spellEnd"/>
      <w:r w:rsidRPr="005D78EE">
        <w:rPr>
          <w:rFonts w:ascii="Times New Roman" w:hAnsi="Times New Roman"/>
          <w:color w:val="000000"/>
        </w:rPr>
        <w:t xml:space="preserve"> (500 mg štyrikrát denne), </w:t>
      </w:r>
      <w:proofErr w:type="spellStart"/>
      <w:r w:rsidRPr="005D78EE">
        <w:rPr>
          <w:rFonts w:ascii="Times New Roman" w:hAnsi="Times New Roman"/>
          <w:color w:val="000000"/>
        </w:rPr>
        <w:t>blokátor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renálnej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tubulárnej</w:t>
      </w:r>
      <w:proofErr w:type="spellEnd"/>
      <w:r w:rsidRPr="005D78EE">
        <w:rPr>
          <w:rFonts w:ascii="Times New Roman" w:hAnsi="Times New Roman"/>
          <w:color w:val="000000"/>
        </w:rPr>
        <w:t xml:space="preserve"> sekrécie, </w:t>
      </w:r>
      <w:proofErr w:type="spellStart"/>
      <w:r w:rsidRPr="005D78EE">
        <w:rPr>
          <w:rFonts w:ascii="Times New Roman" w:hAnsi="Times New Roman"/>
          <w:color w:val="000000"/>
        </w:rPr>
        <w:t>inhibuje</w:t>
      </w:r>
      <w:proofErr w:type="spellEnd"/>
    </w:p>
    <w:p w14:paraId="6039A1E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renálny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 xml:space="preserve"> primárneho </w:t>
      </w:r>
      <w:proofErr w:type="spellStart"/>
      <w:r w:rsidRPr="005D78EE">
        <w:rPr>
          <w:rFonts w:ascii="Times New Roman" w:hAnsi="Times New Roman"/>
          <w:color w:val="000000"/>
        </w:rPr>
        <w:t>metabolitu</w:t>
      </w:r>
      <w:proofErr w:type="spellEnd"/>
      <w:r w:rsidRPr="005D78EE">
        <w:rPr>
          <w:rFonts w:ascii="Times New Roman" w:hAnsi="Times New Roman"/>
          <w:color w:val="000000"/>
        </w:rPr>
        <w:t xml:space="preserve">, nie však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. Koncentrácia uvedeného </w:t>
      </w:r>
      <w:proofErr w:type="spellStart"/>
      <w:r w:rsidRPr="005D78EE">
        <w:rPr>
          <w:rFonts w:ascii="Times New Roman" w:hAnsi="Times New Roman"/>
          <w:color w:val="000000"/>
        </w:rPr>
        <w:t>metabolitu</w:t>
      </w:r>
      <w:proofErr w:type="spellEnd"/>
    </w:p>
    <w:p w14:paraId="1E05B2C7" w14:textId="4D770B36" w:rsidR="00553706" w:rsidRPr="00405CBA" w:rsidRDefault="00553706" w:rsidP="0047378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však zostáva nízka. </w:t>
      </w:r>
    </w:p>
    <w:p w14:paraId="5BA8402D" w14:textId="77777777" w:rsidR="00553706" w:rsidRPr="00405CBA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0B2EDEA" w14:textId="77777777" w:rsidR="00DF6C80" w:rsidRPr="00405CBA" w:rsidRDefault="00DF6C80" w:rsidP="00DF6C80">
      <w:pPr>
        <w:autoSpaceDE w:val="0"/>
        <w:autoSpaceDN w:val="0"/>
        <w:adjustRightInd w:val="0"/>
        <w:rPr>
          <w:rFonts w:ascii="Times New Roman" w:hAnsi="Times New Roman"/>
          <w:color w:val="222222"/>
          <w:lang w:eastAsia="sk-SK"/>
        </w:rPr>
      </w:pPr>
      <w:proofErr w:type="spellStart"/>
      <w:r w:rsidRPr="00405CBA">
        <w:rPr>
          <w:rFonts w:ascii="Times New Roman" w:hAnsi="Times New Roman"/>
          <w:color w:val="222222"/>
          <w:lang w:eastAsia="sk-SK"/>
        </w:rPr>
        <w:t>Metotrexát</w:t>
      </w:r>
      <w:proofErr w:type="spellEnd"/>
    </w:p>
    <w:p w14:paraId="4B5E159B" w14:textId="77777777" w:rsidR="00DF6C80" w:rsidRPr="00D71043" w:rsidRDefault="00DF6C80" w:rsidP="00DF6C80">
      <w:pPr>
        <w:autoSpaceDE w:val="0"/>
        <w:autoSpaceDN w:val="0"/>
        <w:adjustRightInd w:val="0"/>
        <w:rPr>
          <w:rFonts w:ascii="Times New Roman" w:eastAsia="TimesNewRomanPSMT" w:hAnsi="Times New Roman"/>
          <w:color w:val="222222"/>
          <w:lang w:eastAsia="sk-SK"/>
        </w:rPr>
      </w:pPr>
      <w:r w:rsidRPr="00D71043">
        <w:rPr>
          <w:rFonts w:ascii="Times New Roman" w:eastAsia="TimesNewRomanPSMT" w:hAnsi="Times New Roman"/>
          <w:color w:val="222222"/>
          <w:lang w:eastAsia="sk-SK"/>
        </w:rPr>
        <w:t>Pri súčasnom pod</w:t>
      </w:r>
      <w:r w:rsidRPr="00405CBA">
        <w:rPr>
          <w:rFonts w:ascii="Times New Roman" w:hAnsi="Times New Roman"/>
          <w:color w:val="222222"/>
          <w:lang w:eastAsia="sk-SK"/>
        </w:rPr>
        <w:t xml:space="preserve">ávaní </w:t>
      </w:r>
      <w:proofErr w:type="spellStart"/>
      <w:r w:rsidRPr="00405CBA">
        <w:rPr>
          <w:rFonts w:ascii="Times New Roman" w:hAnsi="Times New Roman"/>
          <w:color w:val="222222"/>
          <w:lang w:eastAsia="sk-SK"/>
        </w:rPr>
        <w:t>levetiracetamu</w:t>
      </w:r>
      <w:proofErr w:type="spellEnd"/>
      <w:r w:rsidRPr="00405CBA">
        <w:rPr>
          <w:rFonts w:ascii="Times New Roman" w:hAnsi="Times New Roman"/>
          <w:color w:val="222222"/>
          <w:lang w:eastAsia="sk-SK"/>
        </w:rPr>
        <w:t xml:space="preserve"> a </w:t>
      </w:r>
      <w:proofErr w:type="spellStart"/>
      <w:r w:rsidRPr="00405CBA">
        <w:rPr>
          <w:rFonts w:ascii="Times New Roman" w:hAnsi="Times New Roman"/>
          <w:color w:val="222222"/>
          <w:lang w:eastAsia="sk-SK"/>
        </w:rPr>
        <w:t>metotrexátu</w:t>
      </w:r>
      <w:proofErr w:type="spellEnd"/>
      <w:r w:rsidRPr="00405CBA">
        <w:rPr>
          <w:rFonts w:ascii="Times New Roman" w:hAnsi="Times New Roman"/>
          <w:color w:val="222222"/>
          <w:lang w:eastAsia="sk-SK"/>
        </w:rPr>
        <w:t xml:space="preserve"> bolo </w:t>
      </w:r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hlásené zníženie </w:t>
      </w:r>
      <w:proofErr w:type="spellStart"/>
      <w:r w:rsidRPr="00D71043">
        <w:rPr>
          <w:rFonts w:ascii="Times New Roman" w:eastAsia="TimesNewRomanPSMT" w:hAnsi="Times New Roman"/>
          <w:color w:val="222222"/>
          <w:lang w:eastAsia="sk-SK"/>
        </w:rPr>
        <w:t>klírensu</w:t>
      </w:r>
      <w:proofErr w:type="spellEnd"/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 </w:t>
      </w:r>
      <w:proofErr w:type="spellStart"/>
      <w:r w:rsidRPr="00D71043">
        <w:rPr>
          <w:rFonts w:ascii="Times New Roman" w:eastAsia="TimesNewRomanPSMT" w:hAnsi="Times New Roman"/>
          <w:color w:val="222222"/>
          <w:lang w:eastAsia="sk-SK"/>
        </w:rPr>
        <w:t>metotrexátu</w:t>
      </w:r>
      <w:proofErr w:type="spellEnd"/>
      <w:r w:rsidRPr="00D71043">
        <w:rPr>
          <w:rFonts w:ascii="Times New Roman" w:eastAsia="TimesNewRomanPSMT" w:hAnsi="Times New Roman"/>
          <w:color w:val="222222"/>
          <w:lang w:eastAsia="sk-SK"/>
        </w:rPr>
        <w:t>, čo</w:t>
      </w:r>
    </w:p>
    <w:p w14:paraId="736FAEDA" w14:textId="77777777" w:rsidR="00DF6C80" w:rsidRPr="00405CBA" w:rsidRDefault="00DF6C80" w:rsidP="00DF6C80">
      <w:pPr>
        <w:autoSpaceDE w:val="0"/>
        <w:autoSpaceDN w:val="0"/>
        <w:adjustRightInd w:val="0"/>
        <w:rPr>
          <w:rFonts w:ascii="Times New Roman" w:hAnsi="Times New Roman"/>
          <w:color w:val="222222"/>
          <w:lang w:eastAsia="sk-SK"/>
        </w:rPr>
      </w:pPr>
      <w:r w:rsidRPr="00405CBA">
        <w:rPr>
          <w:rFonts w:ascii="Times New Roman" w:hAnsi="Times New Roman"/>
          <w:color w:val="222222"/>
          <w:lang w:eastAsia="sk-SK"/>
        </w:rPr>
        <w:t>vedie k zvýšeniu (</w:t>
      </w:r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predĺženiu) </w:t>
      </w:r>
      <w:r>
        <w:rPr>
          <w:rFonts w:ascii="Times New Roman" w:hAnsi="Times New Roman"/>
          <w:color w:val="222222"/>
          <w:lang w:eastAsia="sk-SK"/>
        </w:rPr>
        <w:t>času</w:t>
      </w:r>
      <w:r w:rsidRPr="00405CBA">
        <w:rPr>
          <w:rFonts w:ascii="Times New Roman" w:hAnsi="Times New Roman"/>
          <w:color w:val="222222"/>
          <w:lang w:eastAsia="sk-SK"/>
        </w:rPr>
        <w:t xml:space="preserve"> koncentrácie </w:t>
      </w:r>
      <w:proofErr w:type="spellStart"/>
      <w:r w:rsidRPr="00405CBA">
        <w:rPr>
          <w:rFonts w:ascii="Times New Roman" w:hAnsi="Times New Roman"/>
          <w:color w:val="222222"/>
          <w:lang w:eastAsia="sk-SK"/>
        </w:rPr>
        <w:t>metotrexátu</w:t>
      </w:r>
      <w:proofErr w:type="spellEnd"/>
      <w:r w:rsidRPr="00405CBA">
        <w:rPr>
          <w:rFonts w:ascii="Times New Roman" w:hAnsi="Times New Roman"/>
          <w:color w:val="222222"/>
          <w:lang w:eastAsia="sk-SK"/>
        </w:rPr>
        <w:t xml:space="preserve"> v krvi na potenciálne toxické hladiny.</w:t>
      </w:r>
    </w:p>
    <w:p w14:paraId="1E93CF58" w14:textId="77777777" w:rsidR="00DF6C80" w:rsidRPr="00405CBA" w:rsidRDefault="00DF6C80" w:rsidP="00DF6C80">
      <w:pPr>
        <w:autoSpaceDE w:val="0"/>
        <w:autoSpaceDN w:val="0"/>
        <w:adjustRightInd w:val="0"/>
        <w:rPr>
          <w:rFonts w:ascii="Times New Roman" w:hAnsi="Times New Roman"/>
          <w:color w:val="222222"/>
          <w:lang w:eastAsia="sk-SK"/>
        </w:rPr>
      </w:pPr>
      <w:r w:rsidRPr="00405CBA">
        <w:rPr>
          <w:rFonts w:ascii="Times New Roman" w:hAnsi="Times New Roman"/>
          <w:color w:val="222222"/>
          <w:lang w:eastAsia="sk-SK"/>
        </w:rPr>
        <w:t xml:space="preserve">Hladiny </w:t>
      </w:r>
      <w:proofErr w:type="spellStart"/>
      <w:r w:rsidRPr="00405CBA">
        <w:rPr>
          <w:rFonts w:ascii="Times New Roman" w:hAnsi="Times New Roman"/>
          <w:color w:val="222222"/>
          <w:lang w:eastAsia="sk-SK"/>
        </w:rPr>
        <w:t>metotrexátu</w:t>
      </w:r>
      <w:proofErr w:type="spellEnd"/>
      <w:r w:rsidRPr="00405CBA">
        <w:rPr>
          <w:rFonts w:ascii="Times New Roman" w:hAnsi="Times New Roman"/>
          <w:color w:val="222222"/>
          <w:lang w:eastAsia="sk-SK"/>
        </w:rPr>
        <w:t xml:space="preserve"> a </w:t>
      </w:r>
      <w:proofErr w:type="spellStart"/>
      <w:r w:rsidRPr="00405CBA">
        <w:rPr>
          <w:rFonts w:ascii="Times New Roman" w:hAnsi="Times New Roman"/>
          <w:color w:val="222222"/>
          <w:lang w:eastAsia="sk-SK"/>
        </w:rPr>
        <w:t>levetiracetamu</w:t>
      </w:r>
      <w:proofErr w:type="spellEnd"/>
      <w:r w:rsidRPr="00405CBA">
        <w:rPr>
          <w:rFonts w:ascii="Times New Roman" w:hAnsi="Times New Roman"/>
          <w:color w:val="222222"/>
          <w:lang w:eastAsia="sk-SK"/>
        </w:rPr>
        <w:t xml:space="preserve"> v krvi by </w:t>
      </w:r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mali byť starostlivo </w:t>
      </w:r>
      <w:r w:rsidRPr="00405CBA">
        <w:rPr>
          <w:rFonts w:ascii="Times New Roman" w:hAnsi="Times New Roman"/>
          <w:color w:val="222222"/>
          <w:lang w:eastAsia="sk-SK"/>
        </w:rPr>
        <w:t>monitorované u pacientov, ktorí</w:t>
      </w:r>
    </w:p>
    <w:p w14:paraId="2786170C" w14:textId="77777777" w:rsidR="00DF6C80" w:rsidRDefault="00DF6C80" w:rsidP="00DF6C80">
      <w:pPr>
        <w:autoSpaceDE w:val="0"/>
        <w:autoSpaceDN w:val="0"/>
        <w:adjustRightInd w:val="0"/>
        <w:rPr>
          <w:rFonts w:ascii="Times New Roman" w:hAnsi="Times New Roman"/>
          <w:color w:val="222222"/>
          <w:lang w:eastAsia="sk-SK"/>
        </w:rPr>
      </w:pPr>
      <w:r w:rsidRPr="00405CBA">
        <w:rPr>
          <w:rFonts w:ascii="Times New Roman" w:hAnsi="Times New Roman"/>
          <w:color w:val="222222"/>
          <w:lang w:eastAsia="sk-SK"/>
        </w:rPr>
        <w:t xml:space="preserve">užívajú </w:t>
      </w:r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súčasne oba </w:t>
      </w:r>
      <w:r w:rsidRPr="00405CBA">
        <w:rPr>
          <w:rFonts w:ascii="Times New Roman" w:hAnsi="Times New Roman"/>
          <w:color w:val="222222"/>
          <w:lang w:eastAsia="sk-SK"/>
        </w:rPr>
        <w:t>lieky.</w:t>
      </w:r>
    </w:p>
    <w:p w14:paraId="5E2EE40D" w14:textId="77777777" w:rsidR="00DF6C80" w:rsidRPr="00405CBA" w:rsidRDefault="00DF6C80" w:rsidP="00DF6C80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7EFA58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 xml:space="preserve">Perorálne </w:t>
      </w:r>
      <w:proofErr w:type="spellStart"/>
      <w:r w:rsidRPr="005D78EE">
        <w:rPr>
          <w:rFonts w:ascii="Times New Roman" w:hAnsi="Times New Roman"/>
          <w:color w:val="000000"/>
          <w:u w:val="single"/>
        </w:rPr>
        <w:t>kontraceptíva</w:t>
      </w:r>
      <w:proofErr w:type="spellEnd"/>
      <w:r w:rsidRPr="005D78EE">
        <w:rPr>
          <w:rFonts w:ascii="Times New Roman" w:hAnsi="Times New Roman"/>
          <w:color w:val="000000"/>
          <w:u w:val="single"/>
        </w:rPr>
        <w:t xml:space="preserve"> a iné </w:t>
      </w:r>
      <w:proofErr w:type="spellStart"/>
      <w:r w:rsidRPr="005D78EE">
        <w:rPr>
          <w:rFonts w:ascii="Times New Roman" w:hAnsi="Times New Roman"/>
          <w:color w:val="000000"/>
          <w:u w:val="single"/>
        </w:rPr>
        <w:t>farmakokinetické</w:t>
      </w:r>
      <w:proofErr w:type="spellEnd"/>
      <w:r w:rsidRPr="005D78EE">
        <w:rPr>
          <w:rFonts w:ascii="Times New Roman" w:hAnsi="Times New Roman"/>
          <w:color w:val="000000"/>
          <w:u w:val="single"/>
        </w:rPr>
        <w:t xml:space="preserve"> interakcie</w:t>
      </w:r>
    </w:p>
    <w:p w14:paraId="4FAD3D7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v dávke 1000 mg denne nemal vplyv na </w:t>
      </w:r>
      <w:proofErr w:type="spellStart"/>
      <w:r w:rsidRPr="005D78EE">
        <w:rPr>
          <w:rFonts w:ascii="Times New Roman" w:hAnsi="Times New Roman"/>
          <w:color w:val="000000"/>
        </w:rPr>
        <w:t>farmakokinetiku</w:t>
      </w:r>
      <w:proofErr w:type="spellEnd"/>
      <w:r w:rsidRPr="005D78EE">
        <w:rPr>
          <w:rFonts w:ascii="Times New Roman" w:hAnsi="Times New Roman"/>
          <w:color w:val="000000"/>
        </w:rPr>
        <w:t xml:space="preserve"> perorálnych </w:t>
      </w:r>
      <w:proofErr w:type="spellStart"/>
      <w:r w:rsidRPr="005D78EE">
        <w:rPr>
          <w:rFonts w:ascii="Times New Roman" w:hAnsi="Times New Roman"/>
          <w:color w:val="000000"/>
        </w:rPr>
        <w:t>kontraceptív</w:t>
      </w:r>
      <w:proofErr w:type="spellEnd"/>
    </w:p>
    <w:p w14:paraId="441B3AB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(</w:t>
      </w:r>
      <w:proofErr w:type="spellStart"/>
      <w:r w:rsidRPr="005D78EE">
        <w:rPr>
          <w:rFonts w:ascii="Times New Roman" w:hAnsi="Times New Roman"/>
          <w:color w:val="000000"/>
        </w:rPr>
        <w:t>etinylestradiol</w:t>
      </w:r>
      <w:proofErr w:type="spellEnd"/>
      <w:r w:rsidRPr="005D78EE">
        <w:rPr>
          <w:rFonts w:ascii="Times New Roman" w:hAnsi="Times New Roman"/>
          <w:color w:val="000000"/>
        </w:rPr>
        <w:t xml:space="preserve"> a </w:t>
      </w:r>
      <w:proofErr w:type="spellStart"/>
      <w:r w:rsidRPr="005D78EE">
        <w:rPr>
          <w:rFonts w:ascii="Times New Roman" w:hAnsi="Times New Roman"/>
          <w:color w:val="000000"/>
        </w:rPr>
        <w:t>levonorgestrel</w:t>
      </w:r>
      <w:proofErr w:type="spellEnd"/>
      <w:r w:rsidRPr="005D78EE">
        <w:rPr>
          <w:rFonts w:ascii="Times New Roman" w:hAnsi="Times New Roman"/>
          <w:color w:val="000000"/>
        </w:rPr>
        <w:t>); endokrinné parametre (</w:t>
      </w:r>
      <w:proofErr w:type="spellStart"/>
      <w:r w:rsidRPr="005D78EE">
        <w:rPr>
          <w:rFonts w:ascii="Times New Roman" w:hAnsi="Times New Roman"/>
          <w:color w:val="000000"/>
        </w:rPr>
        <w:t>luteinizačný</w:t>
      </w:r>
      <w:proofErr w:type="spellEnd"/>
      <w:r w:rsidRPr="005D78EE">
        <w:rPr>
          <w:rFonts w:ascii="Times New Roman" w:hAnsi="Times New Roman"/>
          <w:color w:val="000000"/>
        </w:rPr>
        <w:t xml:space="preserve"> hormón a </w:t>
      </w:r>
      <w:proofErr w:type="spellStart"/>
      <w:r w:rsidRPr="005D78EE">
        <w:rPr>
          <w:rFonts w:ascii="Times New Roman" w:hAnsi="Times New Roman"/>
          <w:color w:val="000000"/>
        </w:rPr>
        <w:t>progesterón</w:t>
      </w:r>
      <w:proofErr w:type="spellEnd"/>
      <w:r w:rsidRPr="005D78EE">
        <w:rPr>
          <w:rFonts w:ascii="Times New Roman" w:hAnsi="Times New Roman"/>
          <w:color w:val="000000"/>
        </w:rPr>
        <w:t>) sa</w:t>
      </w:r>
    </w:p>
    <w:p w14:paraId="63A88BC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nezmenili.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v dávke 2000 mg denne nemal vplyv na </w:t>
      </w:r>
      <w:proofErr w:type="spellStart"/>
      <w:r w:rsidRPr="005D78EE">
        <w:rPr>
          <w:rFonts w:ascii="Times New Roman" w:hAnsi="Times New Roman"/>
          <w:color w:val="000000"/>
        </w:rPr>
        <w:t>farmakokinetiku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digoxínu</w:t>
      </w:r>
      <w:proofErr w:type="spellEnd"/>
    </w:p>
    <w:p w14:paraId="5407DA9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a </w:t>
      </w:r>
      <w:proofErr w:type="spellStart"/>
      <w:r w:rsidRPr="005D78EE">
        <w:rPr>
          <w:rFonts w:ascii="Times New Roman" w:hAnsi="Times New Roman"/>
          <w:color w:val="000000"/>
        </w:rPr>
        <w:t>warfarínu</w:t>
      </w:r>
      <w:proofErr w:type="spellEnd"/>
      <w:r w:rsidRPr="005D78EE">
        <w:rPr>
          <w:rFonts w:ascii="Times New Roman" w:hAnsi="Times New Roman"/>
          <w:color w:val="000000"/>
        </w:rPr>
        <w:t xml:space="preserve">; </w:t>
      </w:r>
      <w:proofErr w:type="spellStart"/>
      <w:r w:rsidRPr="005D78EE">
        <w:rPr>
          <w:rFonts w:ascii="Times New Roman" w:hAnsi="Times New Roman"/>
          <w:color w:val="000000"/>
        </w:rPr>
        <w:t>protrombínové</w:t>
      </w:r>
      <w:proofErr w:type="spellEnd"/>
      <w:r w:rsidRPr="005D78EE">
        <w:rPr>
          <w:rFonts w:ascii="Times New Roman" w:hAnsi="Times New Roman"/>
          <w:color w:val="000000"/>
        </w:rPr>
        <w:t xml:space="preserve"> časy sa nezmenili. Súbežné podávanie s </w:t>
      </w:r>
      <w:proofErr w:type="spellStart"/>
      <w:r w:rsidRPr="005D78EE">
        <w:rPr>
          <w:rFonts w:ascii="Times New Roman" w:hAnsi="Times New Roman"/>
          <w:color w:val="000000"/>
        </w:rPr>
        <w:t>digoxínom</w:t>
      </w:r>
      <w:proofErr w:type="spellEnd"/>
      <w:r w:rsidRPr="005D78EE">
        <w:rPr>
          <w:rFonts w:ascii="Times New Roman" w:hAnsi="Times New Roman"/>
          <w:color w:val="000000"/>
        </w:rPr>
        <w:t>, perorálnymi</w:t>
      </w:r>
    </w:p>
    <w:p w14:paraId="4C5A9A2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kontraceptívami</w:t>
      </w:r>
      <w:proofErr w:type="spellEnd"/>
      <w:r w:rsidRPr="005D78EE">
        <w:rPr>
          <w:rFonts w:ascii="Times New Roman" w:hAnsi="Times New Roman"/>
          <w:color w:val="000000"/>
        </w:rPr>
        <w:t xml:space="preserve"> a </w:t>
      </w:r>
      <w:proofErr w:type="spellStart"/>
      <w:r w:rsidRPr="005D78EE">
        <w:rPr>
          <w:rFonts w:ascii="Times New Roman" w:hAnsi="Times New Roman"/>
          <w:color w:val="000000"/>
        </w:rPr>
        <w:t>warfarínom</w:t>
      </w:r>
      <w:proofErr w:type="spellEnd"/>
      <w:r w:rsidRPr="005D78EE">
        <w:rPr>
          <w:rFonts w:ascii="Times New Roman" w:hAnsi="Times New Roman"/>
          <w:color w:val="000000"/>
        </w:rPr>
        <w:t xml:space="preserve"> neovplyvnilo </w:t>
      </w:r>
      <w:proofErr w:type="spellStart"/>
      <w:r w:rsidRPr="005D78EE">
        <w:rPr>
          <w:rFonts w:ascii="Times New Roman" w:hAnsi="Times New Roman"/>
          <w:color w:val="000000"/>
        </w:rPr>
        <w:t>farmakokinetiku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4AD8408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52F5E24" w14:textId="77777777" w:rsidR="007D4B90" w:rsidRPr="005D78EE" w:rsidRDefault="007D4B90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53B7DA4" w14:textId="77777777" w:rsidR="007D4B90" w:rsidRPr="00D71043" w:rsidRDefault="007D4B90" w:rsidP="007D4B90">
      <w:pPr>
        <w:pStyle w:val="Default"/>
        <w:rPr>
          <w:sz w:val="22"/>
          <w:szCs w:val="22"/>
          <w:u w:val="single"/>
        </w:rPr>
      </w:pPr>
      <w:r w:rsidRPr="00D71043">
        <w:rPr>
          <w:sz w:val="22"/>
          <w:szCs w:val="22"/>
          <w:u w:val="single"/>
        </w:rPr>
        <w:t xml:space="preserve">Laxatíva </w:t>
      </w:r>
    </w:p>
    <w:p w14:paraId="364FF25E" w14:textId="77777777" w:rsidR="007D4B90" w:rsidRPr="002647F1" w:rsidRDefault="007D4B90" w:rsidP="007D4B90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</w:rPr>
        <w:t xml:space="preserve">Zaznamenali sa izolované prípady zníženej účinnosti </w:t>
      </w:r>
      <w:proofErr w:type="spellStart"/>
      <w:r w:rsidRPr="005D78EE">
        <w:rPr>
          <w:rFonts w:ascii="Times New Roman" w:hAnsi="Times New Roman"/>
        </w:rPr>
        <w:t>levetiracetamu</w:t>
      </w:r>
      <w:proofErr w:type="spellEnd"/>
      <w:r w:rsidRPr="005D78EE">
        <w:rPr>
          <w:rFonts w:ascii="Times New Roman" w:hAnsi="Times New Roman"/>
        </w:rPr>
        <w:t xml:space="preserve"> pri podávaní </w:t>
      </w:r>
      <w:proofErr w:type="spellStart"/>
      <w:r w:rsidRPr="005D78EE">
        <w:rPr>
          <w:rFonts w:ascii="Times New Roman" w:hAnsi="Times New Roman"/>
        </w:rPr>
        <w:t>osmotického</w:t>
      </w:r>
      <w:proofErr w:type="spellEnd"/>
      <w:r w:rsidRPr="005D78EE">
        <w:rPr>
          <w:rFonts w:ascii="Times New Roman" w:hAnsi="Times New Roman"/>
        </w:rPr>
        <w:t xml:space="preserve"> laxatíva </w:t>
      </w:r>
      <w:proofErr w:type="spellStart"/>
      <w:r w:rsidRPr="005D78EE">
        <w:rPr>
          <w:rFonts w:ascii="Times New Roman" w:hAnsi="Times New Roman"/>
        </w:rPr>
        <w:t>makrogolu</w:t>
      </w:r>
      <w:proofErr w:type="spellEnd"/>
      <w:r w:rsidRPr="005D78EE">
        <w:rPr>
          <w:rFonts w:ascii="Times New Roman" w:hAnsi="Times New Roman"/>
        </w:rPr>
        <w:t xml:space="preserve"> súbežne s perorálnym </w:t>
      </w:r>
      <w:proofErr w:type="spellStart"/>
      <w:r w:rsidRPr="005D78EE">
        <w:rPr>
          <w:rFonts w:ascii="Times New Roman" w:hAnsi="Times New Roman"/>
        </w:rPr>
        <w:t>levetiracetamom</w:t>
      </w:r>
      <w:proofErr w:type="spellEnd"/>
      <w:r w:rsidRPr="005D78EE">
        <w:rPr>
          <w:rFonts w:ascii="Times New Roman" w:hAnsi="Times New Roman"/>
        </w:rPr>
        <w:t xml:space="preserve">. Preto sa </w:t>
      </w:r>
      <w:proofErr w:type="spellStart"/>
      <w:r w:rsidRPr="005D78EE">
        <w:rPr>
          <w:rFonts w:ascii="Times New Roman" w:hAnsi="Times New Roman"/>
        </w:rPr>
        <w:t>makrogol</w:t>
      </w:r>
      <w:proofErr w:type="spellEnd"/>
      <w:r w:rsidRPr="005D78EE">
        <w:rPr>
          <w:rFonts w:ascii="Times New Roman" w:hAnsi="Times New Roman"/>
        </w:rPr>
        <w:t xml:space="preserve"> nemá užívať perorálne počas jednej hodiny pred užitím </w:t>
      </w:r>
      <w:proofErr w:type="spellStart"/>
      <w:r w:rsidRPr="005D78EE">
        <w:rPr>
          <w:rFonts w:ascii="Times New Roman" w:hAnsi="Times New Roman"/>
        </w:rPr>
        <w:t>levetiracetamu</w:t>
      </w:r>
      <w:proofErr w:type="spellEnd"/>
      <w:r w:rsidRPr="005D78EE">
        <w:rPr>
          <w:rFonts w:ascii="Times New Roman" w:hAnsi="Times New Roman"/>
        </w:rPr>
        <w:t xml:space="preserve"> a počas jednej hodiny po jeho užití.</w:t>
      </w:r>
    </w:p>
    <w:p w14:paraId="3411C84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93E2F1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Jedlo a alkohol</w:t>
      </w:r>
    </w:p>
    <w:p w14:paraId="51A1DF5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Jedlo neovplyvnilo rozsah vstrebávania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>, ale rýchlosť vstrebávania sa mierne znížila.</w:t>
      </w:r>
    </w:p>
    <w:p w14:paraId="4A0135B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B75862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Nie sú k dispozícií žiadne údaje o interakcii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s alkoholom.</w:t>
      </w:r>
    </w:p>
    <w:p w14:paraId="56A8E24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7FEBD8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4.6 </w:t>
      </w:r>
      <w:r w:rsidRPr="005D78EE">
        <w:rPr>
          <w:rFonts w:ascii="Times New Roman" w:hAnsi="Times New Roman"/>
          <w:b/>
          <w:bCs/>
          <w:color w:val="000000"/>
        </w:rPr>
        <w:tab/>
      </w:r>
      <w:proofErr w:type="spellStart"/>
      <w:r w:rsidRPr="005D78EE">
        <w:rPr>
          <w:rFonts w:ascii="Times New Roman" w:hAnsi="Times New Roman"/>
          <w:b/>
          <w:bCs/>
          <w:color w:val="000000"/>
        </w:rPr>
        <w:t>Fertilita</w:t>
      </w:r>
      <w:proofErr w:type="spellEnd"/>
      <w:r w:rsidRPr="005D78EE">
        <w:rPr>
          <w:rFonts w:ascii="Times New Roman" w:hAnsi="Times New Roman"/>
          <w:b/>
          <w:bCs/>
          <w:color w:val="000000"/>
        </w:rPr>
        <w:t>, gravidita a laktácia</w:t>
      </w:r>
    </w:p>
    <w:p w14:paraId="72B8B84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3837C4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Gravidita</w:t>
      </w:r>
    </w:p>
    <w:p w14:paraId="56427D17" w14:textId="77777777" w:rsidR="007D4B90" w:rsidRPr="005D78EE" w:rsidRDefault="007D4B90" w:rsidP="007D4B90">
      <w:pPr>
        <w:pStyle w:val="Default"/>
        <w:rPr>
          <w:sz w:val="22"/>
          <w:szCs w:val="22"/>
        </w:rPr>
      </w:pPr>
      <w:proofErr w:type="spellStart"/>
      <w:r w:rsidRPr="005D78EE">
        <w:rPr>
          <w:sz w:val="22"/>
          <w:szCs w:val="22"/>
        </w:rPr>
        <w:t>Postmarketingové</w:t>
      </w:r>
      <w:proofErr w:type="spellEnd"/>
      <w:r w:rsidRPr="005D78EE">
        <w:rPr>
          <w:sz w:val="22"/>
          <w:szCs w:val="22"/>
        </w:rPr>
        <w:t xml:space="preserve"> údaje z niekoľkých </w:t>
      </w:r>
      <w:proofErr w:type="spellStart"/>
      <w:r w:rsidRPr="005D78EE">
        <w:rPr>
          <w:sz w:val="22"/>
          <w:szCs w:val="22"/>
        </w:rPr>
        <w:t>prospektívnych</w:t>
      </w:r>
      <w:proofErr w:type="spellEnd"/>
      <w:r w:rsidRPr="005D78EE">
        <w:rPr>
          <w:sz w:val="22"/>
          <w:szCs w:val="22"/>
        </w:rPr>
        <w:t xml:space="preserve"> registrov gravidít zdokumentovali výsledky u viac ako 1 000 žien liečených </w:t>
      </w:r>
      <w:proofErr w:type="spellStart"/>
      <w:r w:rsidRPr="005D78EE">
        <w:rPr>
          <w:sz w:val="22"/>
          <w:szCs w:val="22"/>
        </w:rPr>
        <w:t>levetiracetamom</w:t>
      </w:r>
      <w:proofErr w:type="spellEnd"/>
      <w:r w:rsidRPr="005D78EE">
        <w:rPr>
          <w:sz w:val="22"/>
          <w:szCs w:val="22"/>
        </w:rPr>
        <w:t xml:space="preserve"> v </w:t>
      </w:r>
      <w:proofErr w:type="spellStart"/>
      <w:r w:rsidRPr="005D78EE">
        <w:rPr>
          <w:sz w:val="22"/>
          <w:szCs w:val="22"/>
        </w:rPr>
        <w:t>monoterapii</w:t>
      </w:r>
      <w:proofErr w:type="spellEnd"/>
      <w:r w:rsidRPr="005D78EE">
        <w:rPr>
          <w:sz w:val="22"/>
          <w:szCs w:val="22"/>
        </w:rPr>
        <w:t xml:space="preserve"> počas prvého </w:t>
      </w:r>
      <w:proofErr w:type="spellStart"/>
      <w:r w:rsidRPr="005D78EE">
        <w:rPr>
          <w:sz w:val="22"/>
          <w:szCs w:val="22"/>
        </w:rPr>
        <w:t>trimestra</w:t>
      </w:r>
      <w:proofErr w:type="spellEnd"/>
      <w:r w:rsidRPr="005D78EE">
        <w:rPr>
          <w:sz w:val="22"/>
          <w:szCs w:val="22"/>
        </w:rPr>
        <w:t xml:space="preserve"> gravidity. Celkovo tieto údaje nenaznačujú podstatné zvýšenie rizika väčších </w:t>
      </w:r>
      <w:proofErr w:type="spellStart"/>
      <w:r w:rsidRPr="005D78EE">
        <w:rPr>
          <w:sz w:val="22"/>
          <w:szCs w:val="22"/>
        </w:rPr>
        <w:t>kongenitálnych</w:t>
      </w:r>
      <w:proofErr w:type="spellEnd"/>
      <w:r w:rsidRPr="005D78EE">
        <w:rPr>
          <w:sz w:val="22"/>
          <w:szCs w:val="22"/>
        </w:rPr>
        <w:t xml:space="preserve"> </w:t>
      </w:r>
      <w:proofErr w:type="spellStart"/>
      <w:r w:rsidRPr="005D78EE">
        <w:rPr>
          <w:sz w:val="22"/>
          <w:szCs w:val="22"/>
        </w:rPr>
        <w:t>malformácií</w:t>
      </w:r>
      <w:proofErr w:type="spellEnd"/>
      <w:r w:rsidRPr="005D78EE">
        <w:rPr>
          <w:sz w:val="22"/>
          <w:szCs w:val="22"/>
        </w:rPr>
        <w:t xml:space="preserve">, hoci </w:t>
      </w:r>
      <w:proofErr w:type="spellStart"/>
      <w:r w:rsidRPr="005D78EE">
        <w:rPr>
          <w:sz w:val="22"/>
          <w:szCs w:val="22"/>
        </w:rPr>
        <w:t>teratogénne</w:t>
      </w:r>
      <w:proofErr w:type="spellEnd"/>
      <w:r w:rsidRPr="005D78EE">
        <w:rPr>
          <w:sz w:val="22"/>
          <w:szCs w:val="22"/>
        </w:rPr>
        <w:t xml:space="preserve"> riziko nie je možné úplne vylúčiť. Liečba viacerými </w:t>
      </w:r>
      <w:proofErr w:type="spellStart"/>
      <w:r w:rsidRPr="005D78EE">
        <w:rPr>
          <w:sz w:val="22"/>
          <w:szCs w:val="22"/>
        </w:rPr>
        <w:t>antiepileptikami</w:t>
      </w:r>
      <w:proofErr w:type="spellEnd"/>
      <w:r w:rsidRPr="005D78EE">
        <w:rPr>
          <w:sz w:val="22"/>
          <w:szCs w:val="22"/>
        </w:rPr>
        <w:t xml:space="preserve"> je spojená s vyšším rizikom </w:t>
      </w:r>
      <w:proofErr w:type="spellStart"/>
      <w:r w:rsidRPr="005D78EE">
        <w:rPr>
          <w:sz w:val="22"/>
          <w:szCs w:val="22"/>
        </w:rPr>
        <w:t>kongenitálnych</w:t>
      </w:r>
      <w:proofErr w:type="spellEnd"/>
      <w:r w:rsidRPr="005D78EE">
        <w:rPr>
          <w:sz w:val="22"/>
          <w:szCs w:val="22"/>
        </w:rPr>
        <w:t xml:space="preserve"> </w:t>
      </w:r>
      <w:proofErr w:type="spellStart"/>
      <w:r w:rsidRPr="005D78EE">
        <w:rPr>
          <w:sz w:val="22"/>
          <w:szCs w:val="22"/>
        </w:rPr>
        <w:t>malformácií</w:t>
      </w:r>
      <w:proofErr w:type="spellEnd"/>
      <w:r w:rsidRPr="005D78EE">
        <w:rPr>
          <w:sz w:val="22"/>
          <w:szCs w:val="22"/>
        </w:rPr>
        <w:t xml:space="preserve"> ako monoterapia a preto je potrebné zvážiť </w:t>
      </w:r>
      <w:proofErr w:type="spellStart"/>
      <w:r w:rsidRPr="005D78EE">
        <w:rPr>
          <w:sz w:val="22"/>
          <w:szCs w:val="22"/>
        </w:rPr>
        <w:t>monoterapiu</w:t>
      </w:r>
      <w:proofErr w:type="spellEnd"/>
      <w:r w:rsidRPr="005D78EE">
        <w:rPr>
          <w:sz w:val="22"/>
          <w:szCs w:val="22"/>
        </w:rPr>
        <w:t xml:space="preserve">. Štúdie na zvieratách preukázali reprodukčnú toxicitu (pozri časť 5.3). </w:t>
      </w:r>
    </w:p>
    <w:p w14:paraId="4FC5AD07" w14:textId="77777777" w:rsidR="00553706" w:rsidRPr="005D78EE" w:rsidRDefault="007D4B90" w:rsidP="007D4B90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</w:rPr>
        <w:t>Levetiracetam</w:t>
      </w:r>
      <w:proofErr w:type="spellEnd"/>
      <w:r w:rsidRPr="005D78EE">
        <w:rPr>
          <w:rFonts w:ascii="Times New Roman" w:hAnsi="Times New Roman"/>
        </w:rPr>
        <w:t xml:space="preserve"> sa neodporúča užívať počas gravidity a u žien vo fertilnom veku, ktoré nepoužívajú antikoncepciu, pokiaľ to nie klinicky nevyhnutné. </w:t>
      </w:r>
    </w:p>
    <w:p w14:paraId="6D8BBEEE" w14:textId="77777777" w:rsidR="00553706" w:rsidRPr="005D78EE" w:rsidRDefault="00DF6C80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F</w:t>
      </w:r>
      <w:r w:rsidR="00553706" w:rsidRPr="005D78EE">
        <w:rPr>
          <w:rFonts w:ascii="Times New Roman" w:hAnsi="Times New Roman"/>
          <w:color w:val="000000"/>
        </w:rPr>
        <w:t>yziologické zmeny počas gravidity môžu ovplyvniť koncentráciu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="00553706" w:rsidRPr="005D78EE">
        <w:rPr>
          <w:rFonts w:ascii="Times New Roman" w:hAnsi="Times New Roman"/>
          <w:color w:val="000000"/>
        </w:rPr>
        <w:t>levetiracetamu</w:t>
      </w:r>
      <w:proofErr w:type="spellEnd"/>
      <w:r w:rsidR="00553706" w:rsidRPr="005D78EE">
        <w:rPr>
          <w:rFonts w:ascii="Times New Roman" w:hAnsi="Times New Roman"/>
          <w:color w:val="000000"/>
        </w:rPr>
        <w:t xml:space="preserve">. Počas gravidity bol pozorovaný pokles plazmatickej koncentrácie </w:t>
      </w:r>
      <w:proofErr w:type="spellStart"/>
      <w:r w:rsidR="00553706" w:rsidRPr="005D78EE">
        <w:rPr>
          <w:rFonts w:ascii="Times New Roman" w:hAnsi="Times New Roman"/>
          <w:color w:val="000000"/>
        </w:rPr>
        <w:t>levetiracetamu</w:t>
      </w:r>
      <w:proofErr w:type="spellEnd"/>
      <w:r w:rsidR="00553706" w:rsidRPr="005D78EE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="00553706" w:rsidRPr="005D78EE">
        <w:rPr>
          <w:rFonts w:ascii="Times New Roman" w:hAnsi="Times New Roman"/>
          <w:color w:val="000000"/>
        </w:rPr>
        <w:t xml:space="preserve">Tento pokles je výraznejší počas </w:t>
      </w:r>
      <w:r w:rsidR="008167E7" w:rsidRPr="005D78EE">
        <w:rPr>
          <w:rFonts w:ascii="Times New Roman" w:hAnsi="Times New Roman"/>
          <w:color w:val="000000"/>
        </w:rPr>
        <w:t xml:space="preserve">tretieho </w:t>
      </w:r>
      <w:proofErr w:type="spellStart"/>
      <w:r w:rsidR="00553706" w:rsidRPr="005D78EE">
        <w:rPr>
          <w:rFonts w:ascii="Times New Roman" w:hAnsi="Times New Roman"/>
          <w:color w:val="000000"/>
        </w:rPr>
        <w:t>trimestra</w:t>
      </w:r>
      <w:proofErr w:type="spellEnd"/>
      <w:r w:rsidR="00553706" w:rsidRPr="005D78EE">
        <w:rPr>
          <w:rFonts w:ascii="Times New Roman" w:hAnsi="Times New Roman"/>
          <w:color w:val="000000"/>
        </w:rPr>
        <w:t xml:space="preserve"> (do 60 % východiskovej hodnoty koncentrácie pred</w:t>
      </w:r>
      <w:r>
        <w:rPr>
          <w:rFonts w:ascii="Times New Roman" w:hAnsi="Times New Roman"/>
          <w:color w:val="000000"/>
        </w:rPr>
        <w:t xml:space="preserve"> </w:t>
      </w:r>
      <w:r w:rsidR="00553706" w:rsidRPr="005D78EE">
        <w:rPr>
          <w:rFonts w:ascii="Times New Roman" w:hAnsi="Times New Roman"/>
          <w:color w:val="000000"/>
        </w:rPr>
        <w:t xml:space="preserve">graviditou). Pre gravidnú ženu liečenú </w:t>
      </w:r>
      <w:proofErr w:type="spellStart"/>
      <w:r w:rsidR="00553706" w:rsidRPr="005D78EE">
        <w:rPr>
          <w:rFonts w:ascii="Times New Roman" w:hAnsi="Times New Roman"/>
          <w:color w:val="000000"/>
        </w:rPr>
        <w:t>levetiracetamom</w:t>
      </w:r>
      <w:proofErr w:type="spellEnd"/>
      <w:r w:rsidR="00553706" w:rsidRPr="005D78EE">
        <w:rPr>
          <w:rFonts w:ascii="Times New Roman" w:hAnsi="Times New Roman"/>
          <w:color w:val="000000"/>
        </w:rPr>
        <w:t xml:space="preserve"> sa má zabezpečiť adekvátny klinický</w:t>
      </w:r>
      <w:r>
        <w:rPr>
          <w:rFonts w:ascii="Times New Roman" w:hAnsi="Times New Roman"/>
          <w:color w:val="000000"/>
        </w:rPr>
        <w:t xml:space="preserve"> </w:t>
      </w:r>
      <w:r w:rsidR="00553706" w:rsidRPr="005D78EE">
        <w:rPr>
          <w:rFonts w:ascii="Times New Roman" w:hAnsi="Times New Roman"/>
          <w:color w:val="000000"/>
        </w:rPr>
        <w:t xml:space="preserve">manažment. Vysadenie </w:t>
      </w:r>
      <w:proofErr w:type="spellStart"/>
      <w:r w:rsidR="00553706" w:rsidRPr="005D78EE">
        <w:rPr>
          <w:rFonts w:ascii="Times New Roman" w:hAnsi="Times New Roman"/>
          <w:color w:val="000000"/>
        </w:rPr>
        <w:t>antiepileptickej</w:t>
      </w:r>
      <w:proofErr w:type="spellEnd"/>
      <w:r w:rsidR="00553706" w:rsidRPr="005D78EE">
        <w:rPr>
          <w:rFonts w:ascii="Times New Roman" w:hAnsi="Times New Roman"/>
          <w:color w:val="000000"/>
        </w:rPr>
        <w:t xml:space="preserve"> liečby môže viesť k </w:t>
      </w:r>
      <w:proofErr w:type="spellStart"/>
      <w:r w:rsidR="00553706" w:rsidRPr="005D78EE">
        <w:rPr>
          <w:rFonts w:ascii="Times New Roman" w:hAnsi="Times New Roman"/>
          <w:color w:val="000000"/>
        </w:rPr>
        <w:t>exacerbácii</w:t>
      </w:r>
      <w:proofErr w:type="spellEnd"/>
      <w:r w:rsidR="00553706" w:rsidRPr="005D78EE">
        <w:rPr>
          <w:rFonts w:ascii="Times New Roman" w:hAnsi="Times New Roman"/>
          <w:color w:val="000000"/>
        </w:rPr>
        <w:t xml:space="preserve"> ochorenia, ktoré môže</w:t>
      </w:r>
      <w:r>
        <w:rPr>
          <w:rFonts w:ascii="Times New Roman" w:hAnsi="Times New Roman"/>
          <w:color w:val="000000"/>
        </w:rPr>
        <w:t xml:space="preserve"> </w:t>
      </w:r>
      <w:r w:rsidR="00553706" w:rsidRPr="005D78EE">
        <w:rPr>
          <w:rFonts w:ascii="Times New Roman" w:hAnsi="Times New Roman"/>
          <w:color w:val="000000"/>
        </w:rPr>
        <w:t>poškodiť matku a plod.</w:t>
      </w:r>
    </w:p>
    <w:p w14:paraId="2528A50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350AF7A" w14:textId="77777777" w:rsidR="00553706" w:rsidRPr="005D78EE" w:rsidRDefault="00152C55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Dojčenie</w:t>
      </w:r>
    </w:p>
    <w:p w14:paraId="6968A74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sa vylučuje do materského mlieka. Dojčenie sa preto neodporúča. Avšak v prípade, že</w:t>
      </w:r>
    </w:p>
    <w:p w14:paraId="6EE6EF7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je liečba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potrebná počas dojčenia, </w:t>
      </w:r>
      <w:r w:rsidR="00F17E46" w:rsidRPr="005D78EE">
        <w:rPr>
          <w:rFonts w:ascii="Times New Roman" w:hAnsi="Times New Roman"/>
          <w:color w:val="000000"/>
        </w:rPr>
        <w:t xml:space="preserve">má sa zvážiť </w:t>
      </w:r>
      <w:r w:rsidRPr="005D78EE">
        <w:rPr>
          <w:rFonts w:ascii="Times New Roman" w:hAnsi="Times New Roman"/>
          <w:color w:val="000000"/>
        </w:rPr>
        <w:t xml:space="preserve">pomer prínosu/rizika liečby </w:t>
      </w:r>
    </w:p>
    <w:p w14:paraId="2C7E894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vzhľadom k významu dojčenia.</w:t>
      </w:r>
    </w:p>
    <w:p w14:paraId="0D65D7E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71810E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proofErr w:type="spellStart"/>
      <w:r w:rsidRPr="005D78EE">
        <w:rPr>
          <w:rFonts w:ascii="Times New Roman" w:hAnsi="Times New Roman"/>
          <w:color w:val="000000"/>
          <w:u w:val="single"/>
        </w:rPr>
        <w:t>Fertilita</w:t>
      </w:r>
      <w:proofErr w:type="spellEnd"/>
    </w:p>
    <w:p w14:paraId="114D6E4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 štúdiách u zvierat sa nezistil žiadny vplyv na </w:t>
      </w:r>
      <w:proofErr w:type="spellStart"/>
      <w:r w:rsidRPr="005D78EE">
        <w:rPr>
          <w:rFonts w:ascii="Times New Roman" w:hAnsi="Times New Roman"/>
          <w:color w:val="000000"/>
        </w:rPr>
        <w:t>fertilitu</w:t>
      </w:r>
      <w:proofErr w:type="spellEnd"/>
      <w:r w:rsidRPr="005D78EE">
        <w:rPr>
          <w:rFonts w:ascii="Times New Roman" w:hAnsi="Times New Roman"/>
          <w:color w:val="000000"/>
        </w:rPr>
        <w:t xml:space="preserve"> (pozri časť 5.3). Nie sú k dispozícii žiadne</w:t>
      </w:r>
    </w:p>
    <w:p w14:paraId="628C2CA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klinické údaje, nie je známe potenciálne riziko u ľudí.</w:t>
      </w:r>
    </w:p>
    <w:p w14:paraId="369AB9F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8DE3A9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4.7 </w:t>
      </w:r>
      <w:r w:rsidRPr="005D78EE">
        <w:rPr>
          <w:rFonts w:ascii="Times New Roman" w:hAnsi="Times New Roman"/>
          <w:b/>
          <w:bCs/>
          <w:color w:val="000000"/>
        </w:rPr>
        <w:tab/>
        <w:t>Ovplyvnenie schopnosti vies</w:t>
      </w:r>
      <w:r w:rsidRPr="005D78EE">
        <w:rPr>
          <w:rFonts w:ascii="Times New Roman" w:eastAsia="TimesNewRomanPS-BoldMT" w:hAnsi="Times New Roman"/>
          <w:b/>
          <w:bCs/>
          <w:color w:val="000000"/>
        </w:rPr>
        <w:t xml:space="preserve">ť </w:t>
      </w:r>
      <w:r w:rsidRPr="005D78EE">
        <w:rPr>
          <w:rFonts w:ascii="Times New Roman" w:hAnsi="Times New Roman"/>
          <w:b/>
          <w:bCs/>
          <w:color w:val="000000"/>
        </w:rPr>
        <w:t>vozidlá a obsluhova</w:t>
      </w:r>
      <w:r w:rsidRPr="005D78EE">
        <w:rPr>
          <w:rFonts w:ascii="Times New Roman" w:eastAsia="TimesNewRomanPS-BoldMT" w:hAnsi="Times New Roman"/>
          <w:b/>
          <w:bCs/>
          <w:color w:val="000000"/>
        </w:rPr>
        <w:t xml:space="preserve">ť </w:t>
      </w:r>
      <w:r w:rsidRPr="005D78EE">
        <w:rPr>
          <w:rFonts w:ascii="Times New Roman" w:hAnsi="Times New Roman"/>
          <w:b/>
          <w:bCs/>
          <w:color w:val="000000"/>
        </w:rPr>
        <w:t>stroje</w:t>
      </w:r>
    </w:p>
    <w:p w14:paraId="307B5DB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7C83185" w14:textId="77777777" w:rsidR="00553706" w:rsidRPr="00405CBA" w:rsidRDefault="00DF6C80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D71043">
        <w:rPr>
          <w:rFonts w:ascii="Times New Roman" w:eastAsia="TimesNewRomanPSMT" w:hAnsi="Times New Roman"/>
          <w:lang w:eastAsia="sk-SK"/>
        </w:rPr>
        <w:t>Levetiracetam</w:t>
      </w:r>
      <w:proofErr w:type="spellEnd"/>
      <w:r w:rsidRPr="00D71043">
        <w:rPr>
          <w:rFonts w:ascii="Times New Roman" w:eastAsia="TimesNewRomanPSMT" w:hAnsi="Times New Roman"/>
          <w:lang w:eastAsia="sk-SK"/>
        </w:rPr>
        <w:t xml:space="preserve"> má zanedbateľný alebo mierny vplyv </w:t>
      </w:r>
      <w:r w:rsidR="00553706" w:rsidRPr="00405CBA">
        <w:rPr>
          <w:rFonts w:ascii="Times New Roman" w:hAnsi="Times New Roman"/>
          <w:color w:val="000000"/>
        </w:rPr>
        <w:t>na schopnosť viesť vozidlá a obsluhovať stroje.</w:t>
      </w:r>
    </w:p>
    <w:p w14:paraId="2620799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05CBA">
        <w:rPr>
          <w:rFonts w:ascii="Times New Roman" w:hAnsi="Times New Roman"/>
          <w:color w:val="000000"/>
        </w:rPr>
        <w:t>Vzhľadom na možnú rozdielnu individuálnu citlivosť niektorí</w:t>
      </w:r>
      <w:r w:rsidRPr="005D78EE">
        <w:rPr>
          <w:rFonts w:ascii="Times New Roman" w:hAnsi="Times New Roman"/>
          <w:color w:val="000000"/>
        </w:rPr>
        <w:t xml:space="preserve"> pacienti môžu najmä na začiatku liečby</w:t>
      </w:r>
    </w:p>
    <w:p w14:paraId="46E520C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alebo po zvýšení dávky pociťovať ospalosť alebo iné symptómy v súvislosti s centrálnym nervovým</w:t>
      </w:r>
    </w:p>
    <w:p w14:paraId="5F27F98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systémom. Preto sa u týchto pacientov odporúča opatrnosť pri vykonávaní náročných aktivít, napr. pri</w:t>
      </w:r>
    </w:p>
    <w:p w14:paraId="1B9C1AC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vedení vozidiel alebo pri obsluhe strojov. Pacientom sa neodporúča viesť vozidlá ani obsluhovať</w:t>
      </w:r>
    </w:p>
    <w:p w14:paraId="4EBB949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stroje, kým sa nestanoví, že ich schopnosť vykonávať takéto činnosti nie je ovplyvnená.</w:t>
      </w:r>
    </w:p>
    <w:p w14:paraId="0D3F3D7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4E25E05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4.8 </w:t>
      </w:r>
      <w:r w:rsidRPr="005D78EE">
        <w:rPr>
          <w:rFonts w:ascii="Times New Roman" w:hAnsi="Times New Roman"/>
          <w:b/>
          <w:bCs/>
          <w:color w:val="000000"/>
        </w:rPr>
        <w:tab/>
        <w:t>Nežiaduce ú</w:t>
      </w:r>
      <w:r w:rsidRPr="005D78EE">
        <w:rPr>
          <w:rFonts w:ascii="Times New Roman" w:eastAsia="TimesNewRomanPS-BoldMT" w:hAnsi="Times New Roman"/>
          <w:b/>
          <w:bCs/>
          <w:color w:val="000000"/>
        </w:rPr>
        <w:t>č</w:t>
      </w:r>
      <w:r w:rsidRPr="005D78EE">
        <w:rPr>
          <w:rFonts w:ascii="Times New Roman" w:hAnsi="Times New Roman"/>
          <w:b/>
          <w:bCs/>
          <w:color w:val="000000"/>
        </w:rPr>
        <w:t>inky</w:t>
      </w:r>
    </w:p>
    <w:p w14:paraId="1E1B2DF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3BFFCF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Súhrn bezpečnostného profilu</w:t>
      </w:r>
    </w:p>
    <w:p w14:paraId="4758FA42" w14:textId="77777777" w:rsidR="00DF6C80" w:rsidRPr="00D71043" w:rsidRDefault="00DF6C80" w:rsidP="00DF6C80">
      <w:pPr>
        <w:autoSpaceDE w:val="0"/>
        <w:autoSpaceDN w:val="0"/>
        <w:adjustRightInd w:val="0"/>
        <w:rPr>
          <w:rFonts w:ascii="Times New Roman" w:eastAsia="TimesNewRomanPSMT" w:hAnsi="Times New Roman"/>
          <w:color w:val="222222"/>
          <w:lang w:eastAsia="sk-SK"/>
        </w:rPr>
      </w:pPr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Najčastejšie hlásené nežiaduce reakcie boli </w:t>
      </w:r>
      <w:proofErr w:type="spellStart"/>
      <w:r w:rsidRPr="00D71043">
        <w:rPr>
          <w:rFonts w:ascii="Times New Roman" w:eastAsia="TimesNewRomanPSMT" w:hAnsi="Times New Roman"/>
          <w:color w:val="222222"/>
          <w:lang w:eastAsia="sk-SK"/>
        </w:rPr>
        <w:t>nazofaryngitída</w:t>
      </w:r>
      <w:proofErr w:type="spellEnd"/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, </w:t>
      </w:r>
      <w:proofErr w:type="spellStart"/>
      <w:r w:rsidRPr="00D71043">
        <w:rPr>
          <w:rFonts w:ascii="Times New Roman" w:eastAsia="TimesNewRomanPSMT" w:hAnsi="Times New Roman"/>
          <w:color w:val="222222"/>
          <w:lang w:eastAsia="sk-SK"/>
        </w:rPr>
        <w:t>somnolencia</w:t>
      </w:r>
      <w:proofErr w:type="spellEnd"/>
      <w:r w:rsidRPr="00D71043">
        <w:rPr>
          <w:rFonts w:ascii="Times New Roman" w:eastAsia="TimesNewRomanPSMT" w:hAnsi="Times New Roman"/>
          <w:color w:val="222222"/>
          <w:lang w:eastAsia="sk-SK"/>
        </w:rPr>
        <w:t>, bolesť hlavy, únava a</w:t>
      </w:r>
    </w:p>
    <w:p w14:paraId="3B857DFC" w14:textId="77777777" w:rsidR="00553706" w:rsidRPr="005D78EE" w:rsidRDefault="00DF6C80" w:rsidP="00DF6C80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05CBA">
        <w:rPr>
          <w:rFonts w:ascii="Times New Roman" w:eastAsia="TimesNewRomanPSMT" w:hAnsi="Times New Roman"/>
          <w:color w:val="222222"/>
          <w:lang w:eastAsia="sk-SK"/>
        </w:rPr>
        <w:t xml:space="preserve">závrat. </w:t>
      </w:r>
      <w:r w:rsidR="007D4B90" w:rsidRPr="00405CBA">
        <w:rPr>
          <w:rFonts w:ascii="Times New Roman" w:hAnsi="Times New Roman"/>
        </w:rPr>
        <w:t>Profil</w:t>
      </w:r>
      <w:r w:rsidR="007D4B90" w:rsidRPr="005D78EE">
        <w:rPr>
          <w:rFonts w:ascii="Times New Roman" w:hAnsi="Times New Roman"/>
        </w:rPr>
        <w:t xml:space="preserve"> nežiaducich </w:t>
      </w:r>
      <w:r>
        <w:rPr>
          <w:rFonts w:ascii="Times New Roman" w:hAnsi="Times New Roman"/>
        </w:rPr>
        <w:t xml:space="preserve">reakcií </w:t>
      </w:r>
      <w:r w:rsidR="007D4B90" w:rsidRPr="005D78EE">
        <w:rPr>
          <w:rFonts w:ascii="Times New Roman" w:hAnsi="Times New Roman"/>
        </w:rPr>
        <w:t xml:space="preserve">uvedený nižšie vychádza z analýzy združených </w:t>
      </w:r>
      <w:proofErr w:type="spellStart"/>
      <w:r w:rsidR="007D4B90" w:rsidRPr="005D78EE">
        <w:rPr>
          <w:rFonts w:ascii="Times New Roman" w:hAnsi="Times New Roman"/>
        </w:rPr>
        <w:t>placebom</w:t>
      </w:r>
      <w:proofErr w:type="spellEnd"/>
      <w:r w:rsidR="007D4B90" w:rsidRPr="005D78EE">
        <w:rPr>
          <w:rFonts w:ascii="Times New Roman" w:hAnsi="Times New Roman"/>
        </w:rPr>
        <w:t xml:space="preserve"> kontrolovaných klinických skúšaní so všetkými skúmanými indikáciami s celkovým počtom 3 416 pacientov liečených </w:t>
      </w:r>
      <w:proofErr w:type="spellStart"/>
      <w:r w:rsidR="007D4B90" w:rsidRPr="005D78EE">
        <w:rPr>
          <w:rFonts w:ascii="Times New Roman" w:hAnsi="Times New Roman"/>
        </w:rPr>
        <w:t>levetiracetamom</w:t>
      </w:r>
      <w:proofErr w:type="spellEnd"/>
      <w:r w:rsidR="007D4B90" w:rsidRPr="005D78EE">
        <w:rPr>
          <w:rFonts w:ascii="Times New Roman" w:hAnsi="Times New Roman"/>
        </w:rPr>
        <w:t xml:space="preserve">. Tieto údaje sú doplnené o používanie </w:t>
      </w:r>
      <w:proofErr w:type="spellStart"/>
      <w:r w:rsidR="007D4B90" w:rsidRPr="005D78EE">
        <w:rPr>
          <w:rFonts w:ascii="Times New Roman" w:hAnsi="Times New Roman"/>
        </w:rPr>
        <w:t>levetiracetamu</w:t>
      </w:r>
      <w:proofErr w:type="spellEnd"/>
      <w:r w:rsidR="007D4B90" w:rsidRPr="005D78EE">
        <w:rPr>
          <w:rFonts w:ascii="Times New Roman" w:hAnsi="Times New Roman"/>
        </w:rPr>
        <w:t xml:space="preserve"> v zodpovedajúcom nezaslepenom predĺžení štúdií rovnako ako zo sledovania po uvedení lieku na trh. Profil bezpečnosti </w:t>
      </w:r>
      <w:proofErr w:type="spellStart"/>
      <w:r w:rsidR="007D4B90" w:rsidRPr="005D78EE">
        <w:rPr>
          <w:rFonts w:ascii="Times New Roman" w:hAnsi="Times New Roman"/>
        </w:rPr>
        <w:t>levetiracetamu</w:t>
      </w:r>
      <w:proofErr w:type="spellEnd"/>
      <w:r w:rsidR="007D4B90" w:rsidRPr="005D78EE">
        <w:rPr>
          <w:rFonts w:ascii="Times New Roman" w:hAnsi="Times New Roman"/>
        </w:rPr>
        <w:t xml:space="preserve"> je celkovo podobný vo všetkých vekových skupinách (dospelí, detskí a dospievajúci pacienti) a vo všetkých schválených epileptických indikáciách. </w:t>
      </w:r>
    </w:p>
    <w:p w14:paraId="0B3EF56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95852F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Zoznam nežiaducich reakcií zoradených do tabuľky</w:t>
      </w:r>
    </w:p>
    <w:p w14:paraId="1C74C26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Nežiaduce reakcie hlásené v klinických štúdiách (u dospelých, dospievajúcich, detí a dojčiat</w:t>
      </w:r>
    </w:p>
    <w:p w14:paraId="4653958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&gt; 1 mesiac) a z</w:t>
      </w:r>
      <w:r w:rsidR="00A33E67" w:rsidRPr="005D78EE">
        <w:rPr>
          <w:rFonts w:ascii="Times New Roman" w:hAnsi="Times New Roman"/>
          <w:color w:val="000000"/>
        </w:rPr>
        <w:t>o</w:t>
      </w:r>
      <w:r w:rsidRPr="005D78EE">
        <w:rPr>
          <w:rFonts w:ascii="Times New Roman" w:hAnsi="Times New Roman"/>
          <w:color w:val="000000"/>
        </w:rPr>
        <w:t xml:space="preserve"> skúseností</w:t>
      </w:r>
      <w:r w:rsidR="00A33E67" w:rsidRPr="005D78EE">
        <w:rPr>
          <w:rFonts w:ascii="Times New Roman" w:hAnsi="Times New Roman"/>
          <w:color w:val="000000"/>
        </w:rPr>
        <w:t xml:space="preserve"> po uvedení lieku na trh</w:t>
      </w:r>
      <w:r w:rsidRPr="005D78EE">
        <w:rPr>
          <w:rFonts w:ascii="Times New Roman" w:hAnsi="Times New Roman"/>
          <w:color w:val="000000"/>
        </w:rPr>
        <w:t xml:space="preserve"> sú uvedené v nasledujúcej tabuľke podľa tried</w:t>
      </w:r>
    </w:p>
    <w:p w14:paraId="0F9B61C3" w14:textId="77777777" w:rsidR="00553706" w:rsidRPr="005D78EE" w:rsidRDefault="00553706" w:rsidP="007D4B90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orgánových systémov a podľa </w:t>
      </w:r>
      <w:r w:rsidR="00405CBA" w:rsidRPr="005D78EE">
        <w:rPr>
          <w:rFonts w:ascii="Times New Roman" w:hAnsi="Times New Roman"/>
          <w:color w:val="000000"/>
        </w:rPr>
        <w:t>frekvencie</w:t>
      </w:r>
      <w:r w:rsidR="00405CBA" w:rsidRPr="00405CBA">
        <w:rPr>
          <w:rFonts w:ascii="Times New Roman" w:hAnsi="Times New Roman"/>
          <w:color w:val="000000"/>
        </w:rPr>
        <w:t>. Nežiaduce</w:t>
      </w:r>
      <w:r w:rsidR="007178B3" w:rsidRPr="00405CBA">
        <w:rPr>
          <w:rFonts w:ascii="Times New Roman" w:hAnsi="Times New Roman"/>
          <w:lang w:eastAsia="sk-SK"/>
        </w:rPr>
        <w:t xml:space="preserve"> reakcie sú zoradené </w:t>
      </w:r>
      <w:r w:rsidR="007178B3" w:rsidRPr="00D71043">
        <w:rPr>
          <w:rFonts w:ascii="Times New Roman" w:eastAsia="TimesNewRomanPSMT" w:hAnsi="Times New Roman"/>
          <w:lang w:eastAsia="sk-SK"/>
        </w:rPr>
        <w:t>podľa klesajúcej závažnosti</w:t>
      </w:r>
      <w:r w:rsidR="007178B3">
        <w:rPr>
          <w:rFonts w:ascii="Times New Roman" w:eastAsia="TimesNewRomanPSMT" w:hAnsi="Times New Roman"/>
          <w:lang w:eastAsia="sk-SK"/>
        </w:rPr>
        <w:t xml:space="preserve"> </w:t>
      </w:r>
      <w:r w:rsidR="007178B3" w:rsidRPr="00405CBA">
        <w:rPr>
          <w:rFonts w:ascii="Times New Roman" w:hAnsi="Times New Roman"/>
          <w:lang w:eastAsia="sk-SK"/>
        </w:rPr>
        <w:t xml:space="preserve">a ich frekvencia je definovaná </w:t>
      </w:r>
      <w:r w:rsidR="007178B3" w:rsidRPr="00D71043">
        <w:rPr>
          <w:rFonts w:ascii="Times New Roman" w:eastAsia="TimesNewRomanPSMT" w:hAnsi="Times New Roman"/>
          <w:lang w:eastAsia="sk-SK"/>
        </w:rPr>
        <w:t>nasledovne</w:t>
      </w:r>
      <w:r w:rsidRPr="00405CBA">
        <w:rPr>
          <w:rFonts w:ascii="Times New Roman" w:hAnsi="Times New Roman"/>
          <w:color w:val="000000"/>
        </w:rPr>
        <w:t>: veľmi</w:t>
      </w:r>
      <w:r w:rsidR="007D4B90" w:rsidRPr="005D78EE">
        <w:rPr>
          <w:rFonts w:ascii="Times New Roman" w:hAnsi="Times New Roman"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>časté (≥ 1/10); časté (≥ 1/100 až &lt; 1/10); menej časté (≥ 1/1</w:t>
      </w:r>
      <w:r w:rsidR="007D4B90" w:rsidRPr="005D78EE">
        <w:rPr>
          <w:rFonts w:ascii="Times New Roman" w:hAnsi="Times New Roman"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>000 až &lt; 1/100); zriedkavé</w:t>
      </w:r>
      <w:r w:rsidR="007178B3">
        <w:rPr>
          <w:rFonts w:ascii="Times New Roman" w:hAnsi="Times New Roman"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>(</w:t>
      </w:r>
      <w:r w:rsidRPr="005D78EE">
        <w:rPr>
          <w:rFonts w:ascii="Times New Roman" w:eastAsia="SymbolMT" w:hAnsi="Times New Roman"/>
          <w:color w:val="000000"/>
        </w:rPr>
        <w:t xml:space="preserve">≥ </w:t>
      </w:r>
      <w:r w:rsidRPr="005D78EE">
        <w:rPr>
          <w:rFonts w:ascii="Times New Roman" w:hAnsi="Times New Roman"/>
          <w:color w:val="000000"/>
        </w:rPr>
        <w:t>1/10 000 až</w:t>
      </w:r>
      <w:r w:rsidR="007D4B90" w:rsidRPr="005D78EE">
        <w:rPr>
          <w:rFonts w:ascii="Times New Roman" w:hAnsi="Times New Roman"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>&lt; 1/1</w:t>
      </w:r>
      <w:r w:rsidR="007D4B90" w:rsidRPr="005D78EE">
        <w:rPr>
          <w:rFonts w:ascii="Times New Roman" w:hAnsi="Times New Roman"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>000)</w:t>
      </w:r>
      <w:r w:rsidR="007D4B90" w:rsidRPr="005D78EE">
        <w:rPr>
          <w:rFonts w:ascii="Times New Roman" w:hAnsi="Times New Roman"/>
          <w:color w:val="000000"/>
        </w:rPr>
        <w:t xml:space="preserve"> a</w:t>
      </w:r>
      <w:r w:rsidRPr="005D78EE">
        <w:rPr>
          <w:rFonts w:ascii="Times New Roman" w:hAnsi="Times New Roman"/>
          <w:color w:val="000000"/>
        </w:rPr>
        <w:t xml:space="preserve"> veľmi zriedkavé (&lt; 1/10 000).</w:t>
      </w:r>
    </w:p>
    <w:p w14:paraId="57023EE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C33B4DB" w14:textId="77777777" w:rsidR="008A416B" w:rsidRPr="002647F1" w:rsidRDefault="008A416B" w:rsidP="008A416B">
      <w:pPr>
        <w:autoSpaceDE w:val="0"/>
        <w:autoSpaceDN w:val="0"/>
        <w:adjustRightInd w:val="0"/>
        <w:rPr>
          <w:rFonts w:ascii="Times New Roman" w:hAnsi="Times New Roman"/>
          <w:noProof/>
        </w:rPr>
      </w:pP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3"/>
        <w:gridCol w:w="1573"/>
        <w:gridCol w:w="1597"/>
        <w:gridCol w:w="2088"/>
        <w:gridCol w:w="1809"/>
      </w:tblGrid>
      <w:tr w:rsidR="008A416B" w:rsidRPr="005D78EE" w14:paraId="19CCF60D" w14:textId="77777777" w:rsidTr="005D78EE">
        <w:trPr>
          <w:trHeight w:hRule="exact" w:val="499"/>
        </w:trPr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EAFC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14:paraId="491C8C94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proofErr w:type="spellStart"/>
            <w:r w:rsidRPr="005D78EE">
              <w:rPr>
                <w:rFonts w:ascii="Times New Roman" w:hAnsi="Times New Roman"/>
                <w:b/>
              </w:rPr>
              <w:t>TOS</w:t>
            </w:r>
            <w:proofErr w:type="spellEnd"/>
            <w:r w:rsidRPr="005D78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D78EE">
              <w:rPr>
                <w:rFonts w:ascii="Times New Roman" w:hAnsi="Times New Roman"/>
                <w:b/>
              </w:rPr>
              <w:t>M</w:t>
            </w:r>
            <w:r w:rsidRPr="005D78EE">
              <w:rPr>
                <w:rFonts w:ascii="Times New Roman" w:hAnsi="Times New Roman"/>
                <w:b/>
                <w:spacing w:val="-1"/>
              </w:rPr>
              <w:t>e</w:t>
            </w:r>
            <w:r w:rsidRPr="005D78EE">
              <w:rPr>
                <w:rFonts w:ascii="Times New Roman" w:hAnsi="Times New Roman"/>
                <w:b/>
              </w:rPr>
              <w:t>dDRA</w:t>
            </w:r>
            <w:proofErr w:type="spellEnd"/>
          </w:p>
        </w:tc>
        <w:tc>
          <w:tcPr>
            <w:tcW w:w="7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EB18" w14:textId="77777777" w:rsidR="008A416B" w:rsidRPr="005D78EE" w:rsidRDefault="008A416B" w:rsidP="005D78EE">
            <w:pPr>
              <w:widowControl w:val="0"/>
              <w:autoSpaceDE w:val="0"/>
              <w:autoSpaceDN w:val="0"/>
              <w:adjustRightInd w:val="0"/>
              <w:ind w:left="2848" w:right="2155"/>
              <w:jc w:val="center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Kategória</w:t>
            </w:r>
            <w:r w:rsidRPr="005D78EE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064BC" w:rsidRPr="005D78EE">
              <w:rPr>
                <w:rFonts w:ascii="Times New Roman" w:hAnsi="Times New Roman"/>
                <w:b/>
                <w:spacing w:val="-1"/>
              </w:rPr>
              <w:t>frekvencie</w:t>
            </w:r>
          </w:p>
        </w:tc>
      </w:tr>
      <w:tr w:rsidR="008A416B" w:rsidRPr="005D78EE" w14:paraId="12DC3A6F" w14:textId="77777777" w:rsidTr="005D78EE">
        <w:trPr>
          <w:trHeight w:hRule="exact" w:val="532"/>
        </w:trPr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DA3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2848" w:right="282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9E8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Veľ</w:t>
            </w:r>
            <w:r w:rsidRPr="005D78EE">
              <w:rPr>
                <w:rFonts w:ascii="Times New Roman" w:hAnsi="Times New Roman"/>
                <w:b/>
                <w:spacing w:val="-2"/>
              </w:rPr>
              <w:t>mi</w:t>
            </w:r>
            <w:r w:rsidRPr="005D78EE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>časté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9E25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Časté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226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Me</w:t>
            </w:r>
            <w:r w:rsidRPr="005D78EE">
              <w:rPr>
                <w:rFonts w:ascii="Times New Roman" w:hAnsi="Times New Roman"/>
                <w:b/>
                <w:spacing w:val="1"/>
              </w:rPr>
              <w:t>n</w:t>
            </w:r>
            <w:r w:rsidRPr="005D78EE">
              <w:rPr>
                <w:rFonts w:ascii="Times New Roman" w:hAnsi="Times New Roman"/>
                <w:b/>
              </w:rPr>
              <w:t>ej časté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41D5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Zriedkavé</w:t>
            </w:r>
          </w:p>
        </w:tc>
      </w:tr>
      <w:tr w:rsidR="008A416B" w:rsidRPr="005D78EE" w14:paraId="5C79F796" w14:textId="77777777" w:rsidTr="005D78EE">
        <w:trPr>
          <w:trHeight w:hRule="exact" w:val="24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74B1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I</w:t>
            </w:r>
            <w:r w:rsidRPr="005D78EE">
              <w:rPr>
                <w:rFonts w:ascii="Times New Roman" w:hAnsi="Times New Roman"/>
                <w:b/>
                <w:spacing w:val="-1"/>
              </w:rPr>
              <w:t>n</w:t>
            </w:r>
            <w:r w:rsidRPr="005D78EE">
              <w:rPr>
                <w:rFonts w:ascii="Times New Roman" w:hAnsi="Times New Roman"/>
                <w:b/>
              </w:rPr>
              <w:t>fekcie a</w:t>
            </w:r>
            <w:r w:rsidRPr="005D78EE">
              <w:rPr>
                <w:rFonts w:ascii="Times New Roman" w:hAnsi="Times New Roman"/>
                <w:b/>
                <w:spacing w:val="-1"/>
              </w:rPr>
              <w:t xml:space="preserve"> n</w:t>
            </w:r>
            <w:r w:rsidRPr="005D78EE">
              <w:rPr>
                <w:rFonts w:ascii="Times New Roman" w:hAnsi="Times New Roman"/>
                <w:b/>
              </w:rPr>
              <w:t>ák</w:t>
            </w:r>
            <w:r w:rsidRPr="005D78EE">
              <w:rPr>
                <w:rFonts w:ascii="Times New Roman" w:hAnsi="Times New Roman"/>
                <w:b/>
                <w:spacing w:val="-1"/>
              </w:rPr>
              <w:t>a</w:t>
            </w:r>
            <w:r w:rsidRPr="005D78EE">
              <w:rPr>
                <w:rFonts w:ascii="Times New Roman" w:hAnsi="Times New Roman"/>
                <w:b/>
              </w:rPr>
              <w:t>zy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5EE6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Nazofar</w:t>
            </w:r>
            <w:r w:rsidRPr="005D78EE">
              <w:rPr>
                <w:rFonts w:ascii="Times New Roman" w:hAnsi="Times New Roman"/>
                <w:spacing w:val="-2"/>
              </w:rPr>
              <w:t>y</w:t>
            </w:r>
            <w:r w:rsidRPr="005D78EE">
              <w:rPr>
                <w:rFonts w:ascii="Times New Roman" w:hAnsi="Times New Roman"/>
                <w:spacing w:val="1"/>
              </w:rPr>
              <w:t>ng</w:t>
            </w:r>
            <w:r w:rsidRPr="005D78EE">
              <w:rPr>
                <w:rFonts w:ascii="Times New Roman" w:hAnsi="Times New Roman"/>
              </w:rPr>
              <w:t>itída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8B07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4D8F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1B65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Infe</w:t>
            </w:r>
            <w:r w:rsidRPr="005D78EE">
              <w:rPr>
                <w:rFonts w:ascii="Times New Roman" w:hAnsi="Times New Roman"/>
                <w:spacing w:val="1"/>
              </w:rPr>
              <w:t>k</w:t>
            </w:r>
            <w:r w:rsidRPr="005D78EE">
              <w:rPr>
                <w:rFonts w:ascii="Times New Roman" w:hAnsi="Times New Roman"/>
              </w:rPr>
              <w:t>cia</w:t>
            </w:r>
          </w:p>
        </w:tc>
      </w:tr>
      <w:tr w:rsidR="008A416B" w:rsidRPr="005D78EE" w14:paraId="255619B5" w14:textId="77777777" w:rsidTr="002B72DA">
        <w:trPr>
          <w:trHeight w:hRule="exact" w:val="9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261C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  <w:spacing w:val="1"/>
              </w:rPr>
              <w:t>Po</w:t>
            </w:r>
            <w:r w:rsidRPr="005D78EE">
              <w:rPr>
                <w:rFonts w:ascii="Times New Roman" w:hAnsi="Times New Roman"/>
                <w:b/>
                <w:spacing w:val="-1"/>
              </w:rPr>
              <w:t>r</w:t>
            </w:r>
            <w:r w:rsidRPr="005D78EE">
              <w:rPr>
                <w:rFonts w:ascii="Times New Roman" w:hAnsi="Times New Roman"/>
                <w:b/>
                <w:spacing w:val="1"/>
              </w:rPr>
              <w:t>u</w:t>
            </w:r>
            <w:r w:rsidRPr="005D78EE">
              <w:rPr>
                <w:rFonts w:ascii="Times New Roman" w:hAnsi="Times New Roman"/>
                <w:b/>
                <w:spacing w:val="-1"/>
              </w:rPr>
              <w:t>c</w:t>
            </w:r>
            <w:r w:rsidRPr="005D78EE">
              <w:rPr>
                <w:rFonts w:ascii="Times New Roman" w:hAnsi="Times New Roman"/>
                <w:b/>
                <w:spacing w:val="1"/>
              </w:rPr>
              <w:t>hy</w:t>
            </w:r>
            <w:r w:rsidRPr="005D78EE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78EE">
              <w:rPr>
                <w:rFonts w:ascii="Times New Roman" w:hAnsi="Times New Roman"/>
                <w:b/>
                <w:spacing w:val="1"/>
              </w:rPr>
              <w:t>k</w:t>
            </w:r>
            <w:r w:rsidRPr="005D78EE">
              <w:rPr>
                <w:rFonts w:ascii="Times New Roman" w:hAnsi="Times New Roman"/>
                <w:b/>
                <w:spacing w:val="-1"/>
              </w:rPr>
              <w:t>r</w:t>
            </w:r>
            <w:r w:rsidRPr="005D78EE">
              <w:rPr>
                <w:rFonts w:ascii="Times New Roman" w:hAnsi="Times New Roman"/>
                <w:b/>
                <w:spacing w:val="1"/>
              </w:rPr>
              <w:t>vi</w:t>
            </w:r>
          </w:p>
          <w:p w14:paraId="28EEDA3D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a l</w:t>
            </w:r>
            <w:r w:rsidRPr="005D78EE">
              <w:rPr>
                <w:rFonts w:ascii="Times New Roman" w:hAnsi="Times New Roman"/>
                <w:b/>
                <w:spacing w:val="1"/>
              </w:rPr>
              <w:t>y</w:t>
            </w:r>
            <w:r w:rsidRPr="005D78EE">
              <w:rPr>
                <w:rFonts w:ascii="Times New Roman" w:hAnsi="Times New Roman"/>
                <w:b/>
                <w:spacing w:val="-2"/>
              </w:rPr>
              <w:t>m</w:t>
            </w:r>
            <w:r w:rsidRPr="005D78EE">
              <w:rPr>
                <w:rFonts w:ascii="Times New Roman" w:hAnsi="Times New Roman"/>
                <w:b/>
              </w:rPr>
              <w:t>fatic</w:t>
            </w:r>
            <w:r w:rsidRPr="005D78EE">
              <w:rPr>
                <w:rFonts w:ascii="Times New Roman" w:hAnsi="Times New Roman"/>
                <w:b/>
                <w:spacing w:val="1"/>
              </w:rPr>
              <w:t>k</w:t>
            </w:r>
            <w:r w:rsidRPr="005D78EE">
              <w:rPr>
                <w:rFonts w:ascii="Times New Roman" w:hAnsi="Times New Roman"/>
                <w:b/>
              </w:rPr>
              <w:t>é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o</w:t>
            </w:r>
          </w:p>
          <w:p w14:paraId="6E37165F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syst</w:t>
            </w:r>
            <w:r w:rsidRPr="005D78EE">
              <w:rPr>
                <w:rFonts w:ascii="Times New Roman" w:hAnsi="Times New Roman"/>
                <w:b/>
                <w:spacing w:val="1"/>
              </w:rPr>
              <w:t>é</w:t>
            </w:r>
            <w:r w:rsidRPr="005D78EE">
              <w:rPr>
                <w:rFonts w:ascii="Times New Roman" w:hAnsi="Times New Roman"/>
                <w:b/>
                <w:spacing w:val="-2"/>
              </w:rPr>
              <w:t>m</w:t>
            </w:r>
            <w:r w:rsidRPr="005D78EE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2DE7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C645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641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445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Tro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>boc</w:t>
            </w:r>
            <w:r w:rsidRPr="005D78EE">
              <w:rPr>
                <w:rFonts w:ascii="Times New Roman" w:hAnsi="Times New Roman"/>
                <w:spacing w:val="-1"/>
              </w:rPr>
              <w:t>y</w:t>
            </w:r>
            <w:r w:rsidRPr="005D78EE">
              <w:rPr>
                <w:rFonts w:ascii="Times New Roman" w:hAnsi="Times New Roman"/>
              </w:rPr>
              <w:t>t</w:t>
            </w:r>
            <w:r w:rsidRPr="005D78EE">
              <w:rPr>
                <w:rFonts w:ascii="Times New Roman" w:hAnsi="Times New Roman"/>
                <w:spacing w:val="-1"/>
              </w:rPr>
              <w:t>o</w:t>
            </w:r>
            <w:r w:rsidRPr="005D78EE">
              <w:rPr>
                <w:rFonts w:ascii="Times New Roman" w:hAnsi="Times New Roman"/>
                <w:spacing w:val="1"/>
              </w:rPr>
              <w:t>p</w:t>
            </w:r>
            <w:r w:rsidRPr="005D78EE">
              <w:rPr>
                <w:rFonts w:ascii="Times New Roman" w:hAnsi="Times New Roman"/>
                <w:spacing w:val="-1"/>
              </w:rPr>
              <w:t>é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>ia</w:t>
            </w:r>
            <w:proofErr w:type="spellEnd"/>
            <w:r w:rsidRPr="005D78EE">
              <w:rPr>
                <w:rFonts w:ascii="Times New Roman" w:hAnsi="Times New Roman"/>
              </w:rPr>
              <w:t xml:space="preserve">, </w:t>
            </w:r>
            <w:proofErr w:type="spellStart"/>
            <w:r w:rsidRPr="005D78EE">
              <w:rPr>
                <w:rFonts w:ascii="Times New Roman" w:hAnsi="Times New Roman"/>
              </w:rPr>
              <w:t>le</w:t>
            </w:r>
            <w:r w:rsidRPr="005D78EE">
              <w:rPr>
                <w:rFonts w:ascii="Times New Roman" w:hAnsi="Times New Roman"/>
                <w:spacing w:val="1"/>
              </w:rPr>
              <w:t>u</w:t>
            </w:r>
            <w:r w:rsidRPr="005D78EE">
              <w:rPr>
                <w:rFonts w:ascii="Times New Roman" w:hAnsi="Times New Roman"/>
                <w:spacing w:val="-1"/>
              </w:rPr>
              <w:t>k</w:t>
            </w:r>
            <w:r w:rsidRPr="005D78EE">
              <w:rPr>
                <w:rFonts w:ascii="Times New Roman" w:hAnsi="Times New Roman"/>
                <w:spacing w:val="1"/>
              </w:rPr>
              <w:t>op</w:t>
            </w:r>
            <w:r w:rsidRPr="005D78EE">
              <w:rPr>
                <w:rFonts w:ascii="Times New Roman" w:hAnsi="Times New Roman"/>
                <w:spacing w:val="-1"/>
              </w:rPr>
              <w:t>é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>ia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C680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Pa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>cyto</w:t>
            </w:r>
            <w:r w:rsidRPr="005D78EE">
              <w:rPr>
                <w:rFonts w:ascii="Times New Roman" w:hAnsi="Times New Roman"/>
                <w:spacing w:val="1"/>
              </w:rPr>
              <w:t>p</w:t>
            </w:r>
            <w:r w:rsidRPr="005D78EE">
              <w:rPr>
                <w:rFonts w:ascii="Times New Roman" w:hAnsi="Times New Roman"/>
              </w:rPr>
              <w:t>é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>ia</w:t>
            </w:r>
            <w:proofErr w:type="spellEnd"/>
            <w:r w:rsidRPr="005D78EE">
              <w:rPr>
                <w:rFonts w:ascii="Times New Roman" w:hAnsi="Times New Roman"/>
              </w:rPr>
              <w:t>,</w:t>
            </w:r>
          </w:p>
          <w:p w14:paraId="55160300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  <w:spacing w:val="1"/>
              </w:rPr>
              <w:t>neu</w:t>
            </w:r>
            <w:r w:rsidRPr="005D78EE">
              <w:rPr>
                <w:rFonts w:ascii="Times New Roman" w:hAnsi="Times New Roman"/>
                <w:spacing w:val="-2"/>
              </w:rPr>
              <w:t>t</w:t>
            </w:r>
            <w:r w:rsidRPr="005D78EE">
              <w:rPr>
                <w:rFonts w:ascii="Times New Roman" w:hAnsi="Times New Roman"/>
                <w:spacing w:val="1"/>
              </w:rPr>
              <w:t>r</w:t>
            </w:r>
            <w:r w:rsidRPr="005D78EE">
              <w:rPr>
                <w:rFonts w:ascii="Times New Roman" w:hAnsi="Times New Roman"/>
                <w:spacing w:val="-1"/>
              </w:rPr>
              <w:t>o</w:t>
            </w:r>
            <w:r w:rsidRPr="005D78EE">
              <w:rPr>
                <w:rFonts w:ascii="Times New Roman" w:hAnsi="Times New Roman"/>
                <w:spacing w:val="1"/>
              </w:rPr>
              <w:t>p</w:t>
            </w:r>
            <w:r w:rsidRPr="005D78EE">
              <w:rPr>
                <w:rFonts w:ascii="Times New Roman" w:hAnsi="Times New Roman"/>
                <w:spacing w:val="-1"/>
              </w:rPr>
              <w:t>é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  <w:spacing w:val="-1"/>
              </w:rPr>
              <w:t>i</w:t>
            </w:r>
            <w:r w:rsidRPr="005D78EE">
              <w:rPr>
                <w:rFonts w:ascii="Times New Roman" w:hAnsi="Times New Roman"/>
              </w:rPr>
              <w:t>a</w:t>
            </w:r>
            <w:proofErr w:type="spellEnd"/>
            <w:r w:rsidRPr="005D78EE">
              <w:rPr>
                <w:rFonts w:ascii="Times New Roman" w:hAnsi="Times New Roman"/>
              </w:rPr>
              <w:t>,</w:t>
            </w:r>
          </w:p>
          <w:p w14:paraId="487E036C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agranulocytóza</w:t>
            </w:r>
            <w:proofErr w:type="spellEnd"/>
          </w:p>
        </w:tc>
      </w:tr>
      <w:tr w:rsidR="008A416B" w:rsidRPr="005D78EE" w14:paraId="04B8AE6A" w14:textId="77777777" w:rsidTr="00D71043">
        <w:trPr>
          <w:trHeight w:hRule="exact" w:val="228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F590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spacing w:val="1"/>
              </w:rPr>
            </w:pPr>
            <w:r w:rsidRPr="005D78EE">
              <w:rPr>
                <w:rFonts w:ascii="Times New Roman" w:hAnsi="Times New Roman"/>
                <w:b/>
                <w:spacing w:val="1"/>
              </w:rPr>
              <w:lastRenderedPageBreak/>
              <w:t>Poruchy imunitného systému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9A15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12BD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A0EB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445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36B" w14:textId="77777777" w:rsidR="008A416B" w:rsidRPr="00405CBA" w:rsidRDefault="008A416B" w:rsidP="00D710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 xml:space="preserve">Lieková reakcia s </w:t>
            </w:r>
            <w:proofErr w:type="spellStart"/>
            <w:r w:rsidRPr="005D78EE">
              <w:rPr>
                <w:rFonts w:ascii="Times New Roman" w:hAnsi="Times New Roman"/>
              </w:rPr>
              <w:t>eozinofíliou</w:t>
            </w:r>
            <w:proofErr w:type="spellEnd"/>
            <w:r w:rsidRPr="005D78EE">
              <w:rPr>
                <w:rFonts w:ascii="Times New Roman" w:hAnsi="Times New Roman"/>
              </w:rPr>
              <w:t xml:space="preserve"> a systémovými </w:t>
            </w:r>
            <w:r w:rsidRPr="00405CBA">
              <w:rPr>
                <w:rFonts w:ascii="Times New Roman" w:hAnsi="Times New Roman"/>
              </w:rPr>
              <w:t>symptómami (DRESS)</w:t>
            </w:r>
            <w:r w:rsidR="007178B3" w:rsidRPr="00D71043">
              <w:rPr>
                <w:rFonts w:ascii="Times New Roman" w:hAnsi="Times New Roman"/>
                <w:color w:val="222222"/>
                <w:lang w:eastAsia="sk-SK"/>
              </w:rPr>
              <w:t xml:space="preserve"> </w:t>
            </w:r>
          </w:p>
          <w:p w14:paraId="298D36DD" w14:textId="77777777" w:rsidR="007178B3" w:rsidRPr="00D71043" w:rsidRDefault="007178B3" w:rsidP="007178B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222"/>
                <w:lang w:eastAsia="sk-SK"/>
              </w:rPr>
            </w:pPr>
            <w:proofErr w:type="spellStart"/>
            <w:r w:rsidRPr="00D71043">
              <w:rPr>
                <w:rFonts w:ascii="Times New Roman" w:hAnsi="Times New Roman"/>
                <w:color w:val="222222"/>
                <w:lang w:eastAsia="sk-SK"/>
              </w:rPr>
              <w:t>hypersenzitivita</w:t>
            </w:r>
            <w:proofErr w:type="spellEnd"/>
          </w:p>
          <w:p w14:paraId="297E91B5" w14:textId="77777777" w:rsidR="007178B3" w:rsidRPr="00D71043" w:rsidRDefault="007178B3" w:rsidP="007178B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222"/>
                <w:lang w:eastAsia="sk-SK"/>
              </w:rPr>
            </w:pPr>
            <w:r w:rsidRPr="00D71043">
              <w:rPr>
                <w:rFonts w:ascii="Times New Roman" w:hAnsi="Times New Roman"/>
                <w:color w:val="222222"/>
                <w:lang w:eastAsia="sk-SK"/>
              </w:rPr>
              <w:t>(vrátane</w:t>
            </w:r>
          </w:p>
          <w:p w14:paraId="77A882ED" w14:textId="77777777" w:rsidR="007178B3" w:rsidRPr="00D71043" w:rsidRDefault="007178B3" w:rsidP="007178B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222"/>
                <w:lang w:eastAsia="sk-SK"/>
              </w:rPr>
            </w:pPr>
            <w:proofErr w:type="spellStart"/>
            <w:r w:rsidRPr="00D71043">
              <w:rPr>
                <w:rFonts w:ascii="Times New Roman" w:hAnsi="Times New Roman"/>
                <w:color w:val="222222"/>
                <w:lang w:eastAsia="sk-SK"/>
              </w:rPr>
              <w:t>angioedému</w:t>
            </w:r>
            <w:proofErr w:type="spellEnd"/>
            <w:r w:rsidRPr="00D71043">
              <w:rPr>
                <w:rFonts w:ascii="Times New Roman" w:hAnsi="Times New Roman"/>
                <w:color w:val="222222"/>
                <w:lang w:eastAsia="sk-SK"/>
              </w:rPr>
              <w:t xml:space="preserve"> a</w:t>
            </w:r>
          </w:p>
          <w:p w14:paraId="16B3A474" w14:textId="77777777" w:rsidR="007178B3" w:rsidRPr="005D78EE" w:rsidRDefault="007178B3" w:rsidP="00D7104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</w:rPr>
            </w:pPr>
            <w:proofErr w:type="spellStart"/>
            <w:r w:rsidRPr="00D71043">
              <w:rPr>
                <w:rFonts w:ascii="Times New Roman" w:hAnsi="Times New Roman"/>
                <w:color w:val="222222"/>
                <w:lang w:eastAsia="sk-SK"/>
              </w:rPr>
              <w:t>anafylaxie</w:t>
            </w:r>
            <w:proofErr w:type="spellEnd"/>
            <w:r w:rsidRPr="00D71043">
              <w:rPr>
                <w:rFonts w:ascii="Times New Roman" w:hAnsi="Times New Roman"/>
                <w:color w:val="222222"/>
                <w:lang w:eastAsia="sk-SK"/>
              </w:rPr>
              <w:t>)</w:t>
            </w:r>
          </w:p>
        </w:tc>
      </w:tr>
      <w:tr w:rsidR="008A416B" w:rsidRPr="005D78EE" w14:paraId="463C1540" w14:textId="77777777" w:rsidTr="005D78EE">
        <w:trPr>
          <w:trHeight w:hRule="exact" w:val="70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DBCB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Poru</w:t>
            </w:r>
            <w:r w:rsidRPr="005D78EE">
              <w:rPr>
                <w:rFonts w:ascii="Times New Roman" w:hAnsi="Times New Roman"/>
                <w:b/>
                <w:spacing w:val="-1"/>
              </w:rPr>
              <w:t>c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y</w:t>
            </w:r>
          </w:p>
          <w:p w14:paraId="1487D8EF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meta</w:t>
            </w:r>
            <w:r w:rsidRPr="005D78EE">
              <w:rPr>
                <w:rFonts w:ascii="Times New Roman" w:hAnsi="Times New Roman"/>
                <w:b/>
                <w:spacing w:val="1"/>
              </w:rPr>
              <w:t>bo</w:t>
            </w:r>
            <w:r w:rsidRPr="005D78EE">
              <w:rPr>
                <w:rFonts w:ascii="Times New Roman" w:hAnsi="Times New Roman"/>
                <w:b/>
              </w:rPr>
              <w:t>li</w:t>
            </w:r>
            <w:r w:rsidRPr="005D78EE">
              <w:rPr>
                <w:rFonts w:ascii="Times New Roman" w:hAnsi="Times New Roman"/>
                <w:b/>
                <w:spacing w:val="1"/>
              </w:rPr>
              <w:t>z</w:t>
            </w:r>
            <w:r w:rsidRPr="005D78EE">
              <w:rPr>
                <w:rFonts w:ascii="Times New Roman" w:hAnsi="Times New Roman"/>
                <w:b/>
                <w:spacing w:val="-2"/>
              </w:rPr>
              <w:t>m</w:t>
            </w:r>
            <w:r w:rsidRPr="005D78EE">
              <w:rPr>
                <w:rFonts w:ascii="Times New Roman" w:hAnsi="Times New Roman"/>
                <w:b/>
              </w:rPr>
              <w:t>u</w:t>
            </w:r>
            <w:r w:rsidRPr="005D78EE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>a</w:t>
            </w:r>
          </w:p>
          <w:p w14:paraId="3A9A08AA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výž</w:t>
            </w:r>
            <w:r w:rsidRPr="005D78EE">
              <w:rPr>
                <w:rFonts w:ascii="Times New Roman" w:hAnsi="Times New Roman"/>
                <w:b/>
                <w:spacing w:val="-2"/>
              </w:rPr>
              <w:t>i</w:t>
            </w:r>
            <w:r w:rsidRPr="005D78EE">
              <w:rPr>
                <w:rFonts w:ascii="Times New Roman" w:hAnsi="Times New Roman"/>
                <w:b/>
                <w:spacing w:val="1"/>
              </w:rPr>
              <w:t>v</w:t>
            </w:r>
            <w:r w:rsidRPr="005D78EE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324E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BE4A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A</w:t>
            </w:r>
            <w:r w:rsidRPr="005D78EE">
              <w:rPr>
                <w:rFonts w:ascii="Times New Roman" w:hAnsi="Times New Roman"/>
                <w:spacing w:val="-1"/>
              </w:rPr>
              <w:t>n</w:t>
            </w:r>
            <w:r w:rsidRPr="005D78EE">
              <w:rPr>
                <w:rFonts w:ascii="Times New Roman" w:hAnsi="Times New Roman"/>
              </w:rPr>
              <w:t>o</w:t>
            </w:r>
            <w:r w:rsidRPr="005D78EE">
              <w:rPr>
                <w:rFonts w:ascii="Times New Roman" w:hAnsi="Times New Roman"/>
                <w:spacing w:val="-1"/>
              </w:rPr>
              <w:t>r</w:t>
            </w:r>
            <w:r w:rsidRPr="005D78EE">
              <w:rPr>
                <w:rFonts w:ascii="Times New Roman" w:hAnsi="Times New Roman"/>
              </w:rPr>
              <w:t>exia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028F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Zníženie</w:t>
            </w:r>
            <w:r w:rsidRPr="005D78EE">
              <w:rPr>
                <w:rFonts w:ascii="Times New Roman" w:hAnsi="Times New Roman"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</w:rPr>
              <w:t>h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>otnost</w:t>
            </w:r>
            <w:r w:rsidRPr="005D78EE">
              <w:rPr>
                <w:rFonts w:ascii="Times New Roman" w:hAnsi="Times New Roman"/>
                <w:spacing w:val="-2"/>
              </w:rPr>
              <w:t>i</w:t>
            </w:r>
            <w:r w:rsidRPr="005D78EE">
              <w:rPr>
                <w:rFonts w:ascii="Times New Roman" w:hAnsi="Times New Roman"/>
              </w:rPr>
              <w:t>,</w:t>
            </w:r>
          </w:p>
          <w:p w14:paraId="1A591473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zv</w:t>
            </w:r>
            <w:r w:rsidRPr="005D78EE">
              <w:rPr>
                <w:rFonts w:ascii="Times New Roman" w:hAnsi="Times New Roman"/>
                <w:spacing w:val="-1"/>
              </w:rPr>
              <w:t>ý</w:t>
            </w:r>
            <w:r w:rsidRPr="005D78EE">
              <w:rPr>
                <w:rFonts w:ascii="Times New Roman" w:hAnsi="Times New Roman"/>
              </w:rPr>
              <w:t>šen</w:t>
            </w:r>
            <w:r w:rsidRPr="005D78EE">
              <w:rPr>
                <w:rFonts w:ascii="Times New Roman" w:hAnsi="Times New Roman"/>
                <w:spacing w:val="-1"/>
              </w:rPr>
              <w:t>i</w:t>
            </w:r>
            <w:r w:rsidRPr="005D78EE">
              <w:rPr>
                <w:rFonts w:ascii="Times New Roman" w:hAnsi="Times New Roman"/>
              </w:rPr>
              <w:t>e</w:t>
            </w:r>
            <w:r w:rsidRPr="005D78EE">
              <w:rPr>
                <w:rFonts w:ascii="Times New Roman" w:hAnsi="Times New Roman"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</w:rPr>
              <w:t>h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>o</w:t>
            </w:r>
            <w:r w:rsidRPr="005D78EE">
              <w:rPr>
                <w:rFonts w:ascii="Times New Roman" w:hAnsi="Times New Roman"/>
                <w:spacing w:val="-1"/>
              </w:rPr>
              <w:t>t</w:t>
            </w:r>
            <w:r w:rsidRPr="005D78EE">
              <w:rPr>
                <w:rFonts w:ascii="Times New Roman" w:hAnsi="Times New Roman"/>
              </w:rPr>
              <w:t>nos</w:t>
            </w:r>
            <w:r w:rsidRPr="005D78EE">
              <w:rPr>
                <w:rFonts w:ascii="Times New Roman" w:hAnsi="Times New Roman"/>
                <w:spacing w:val="-1"/>
              </w:rPr>
              <w:t>t</w:t>
            </w:r>
            <w:r w:rsidRPr="005D78EE">
              <w:rPr>
                <w:rFonts w:ascii="Times New Roman" w:hAnsi="Times New Roman"/>
              </w:rPr>
              <w:t>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33DA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Hyponatriémia</w:t>
            </w:r>
            <w:proofErr w:type="spellEnd"/>
          </w:p>
        </w:tc>
      </w:tr>
      <w:tr w:rsidR="008A416B" w:rsidRPr="005D78EE" w14:paraId="4B0D3663" w14:textId="77777777" w:rsidTr="005D78EE">
        <w:trPr>
          <w:trHeight w:val="2327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8170A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Psyc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ic</w:t>
            </w:r>
            <w:r w:rsidRPr="005D78EE">
              <w:rPr>
                <w:rFonts w:ascii="Times New Roman" w:hAnsi="Times New Roman"/>
                <w:b/>
                <w:spacing w:val="1"/>
              </w:rPr>
              <w:t>k</w:t>
            </w:r>
            <w:r w:rsidRPr="005D78EE">
              <w:rPr>
                <w:rFonts w:ascii="Times New Roman" w:hAnsi="Times New Roman"/>
                <w:b/>
              </w:rPr>
              <w:t>é p</w:t>
            </w:r>
            <w:r w:rsidRPr="005D78EE">
              <w:rPr>
                <w:rFonts w:ascii="Times New Roman" w:hAnsi="Times New Roman"/>
                <w:b/>
                <w:spacing w:val="1"/>
              </w:rPr>
              <w:t>o</w:t>
            </w:r>
            <w:r w:rsidRPr="005D78EE">
              <w:rPr>
                <w:rFonts w:ascii="Times New Roman" w:hAnsi="Times New Roman"/>
                <w:b/>
              </w:rPr>
              <w:t>ruc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68857D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608B8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328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Depresia,</w:t>
            </w:r>
            <w:r w:rsidRPr="005D78EE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5D78EE">
              <w:rPr>
                <w:rFonts w:ascii="Times New Roman" w:hAnsi="Times New Roman"/>
              </w:rPr>
              <w:t>h</w:t>
            </w:r>
            <w:r w:rsidRPr="005D78EE">
              <w:rPr>
                <w:rFonts w:ascii="Times New Roman" w:hAnsi="Times New Roman"/>
                <w:spacing w:val="1"/>
              </w:rPr>
              <w:t>o</w:t>
            </w:r>
            <w:r w:rsidRPr="005D78EE">
              <w:rPr>
                <w:rFonts w:ascii="Times New Roman" w:hAnsi="Times New Roman"/>
              </w:rPr>
              <w:t>stilita</w:t>
            </w:r>
            <w:proofErr w:type="spellEnd"/>
            <w:r w:rsidRPr="005D78EE">
              <w:rPr>
                <w:rFonts w:ascii="Times New Roman" w:hAnsi="Times New Roman"/>
              </w:rPr>
              <w:t>/ agres</w:t>
            </w:r>
            <w:r w:rsidRPr="005D78EE">
              <w:rPr>
                <w:rFonts w:ascii="Times New Roman" w:hAnsi="Times New Roman"/>
                <w:spacing w:val="-2"/>
              </w:rPr>
              <w:t>i</w:t>
            </w:r>
            <w:r w:rsidRPr="005D78EE">
              <w:rPr>
                <w:rFonts w:ascii="Times New Roman" w:hAnsi="Times New Roman"/>
              </w:rPr>
              <w:t>v</w:t>
            </w:r>
            <w:r w:rsidRPr="005D78EE">
              <w:rPr>
                <w:rFonts w:ascii="Times New Roman" w:hAnsi="Times New Roman"/>
                <w:spacing w:val="-1"/>
              </w:rPr>
              <w:t>it</w:t>
            </w:r>
            <w:r w:rsidRPr="005D78EE">
              <w:rPr>
                <w:rFonts w:ascii="Times New Roman" w:hAnsi="Times New Roman"/>
              </w:rPr>
              <w:t>a,</w:t>
            </w:r>
            <w:r w:rsidRPr="005D78EE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5D78EE">
              <w:rPr>
                <w:rFonts w:ascii="Times New Roman" w:hAnsi="Times New Roman"/>
                <w:spacing w:val="-1"/>
              </w:rPr>
              <w:t>a</w:t>
            </w:r>
            <w:r w:rsidRPr="005D78EE">
              <w:rPr>
                <w:rFonts w:ascii="Times New Roman" w:hAnsi="Times New Roman"/>
              </w:rPr>
              <w:t>nx</w:t>
            </w:r>
            <w:r w:rsidRPr="005D78EE">
              <w:rPr>
                <w:rFonts w:ascii="Times New Roman" w:hAnsi="Times New Roman"/>
                <w:spacing w:val="-2"/>
              </w:rPr>
              <w:t>i</w:t>
            </w:r>
            <w:r w:rsidRPr="005D78EE">
              <w:rPr>
                <w:rFonts w:ascii="Times New Roman" w:hAnsi="Times New Roman"/>
              </w:rPr>
              <w:t>e</w:t>
            </w:r>
            <w:r w:rsidRPr="005D78EE">
              <w:rPr>
                <w:rFonts w:ascii="Times New Roman" w:hAnsi="Times New Roman"/>
                <w:spacing w:val="-1"/>
              </w:rPr>
              <w:t>t</w:t>
            </w:r>
            <w:r w:rsidRPr="005D78EE">
              <w:rPr>
                <w:rFonts w:ascii="Times New Roman" w:hAnsi="Times New Roman"/>
              </w:rPr>
              <w:t>a</w:t>
            </w:r>
            <w:proofErr w:type="spellEnd"/>
            <w:r w:rsidRPr="005D78EE">
              <w:rPr>
                <w:rFonts w:ascii="Times New Roman" w:hAnsi="Times New Roman"/>
              </w:rPr>
              <w:t xml:space="preserve">, </w:t>
            </w:r>
            <w:proofErr w:type="spellStart"/>
            <w:r w:rsidRPr="005D78EE">
              <w:rPr>
                <w:rFonts w:ascii="Times New Roman" w:hAnsi="Times New Roman"/>
              </w:rPr>
              <w:t>i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>s</w:t>
            </w:r>
            <w:r w:rsidRPr="005D78EE">
              <w:rPr>
                <w:rFonts w:ascii="Times New Roman" w:hAnsi="Times New Roman"/>
                <w:spacing w:val="1"/>
              </w:rPr>
              <w:t>o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>ia</w:t>
            </w:r>
            <w:proofErr w:type="spellEnd"/>
            <w:r w:rsidRPr="005D78EE">
              <w:rPr>
                <w:rFonts w:ascii="Times New Roman" w:hAnsi="Times New Roman"/>
              </w:rPr>
              <w:t>,</w:t>
            </w:r>
          </w:p>
          <w:p w14:paraId="2D193B82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ne</w:t>
            </w:r>
            <w:r w:rsidRPr="005D78EE">
              <w:rPr>
                <w:rFonts w:ascii="Times New Roman" w:hAnsi="Times New Roman"/>
                <w:spacing w:val="-1"/>
              </w:rPr>
              <w:t>rv</w:t>
            </w:r>
            <w:r w:rsidRPr="005D78EE">
              <w:rPr>
                <w:rFonts w:ascii="Times New Roman" w:hAnsi="Times New Roman"/>
              </w:rPr>
              <w:t>ozita/</w:t>
            </w:r>
            <w:r w:rsidRPr="005D78EE">
              <w:rPr>
                <w:rFonts w:ascii="Times New Roman" w:hAnsi="Times New Roman"/>
                <w:spacing w:val="1"/>
              </w:rPr>
              <w:t>p</w:t>
            </w:r>
            <w:r w:rsidRPr="005D78EE">
              <w:rPr>
                <w:rFonts w:ascii="Times New Roman" w:hAnsi="Times New Roman"/>
                <w:spacing w:val="-1"/>
              </w:rPr>
              <w:t>o</w:t>
            </w:r>
            <w:r w:rsidRPr="005D78EE">
              <w:rPr>
                <w:rFonts w:ascii="Times New Roman" w:hAnsi="Times New Roman"/>
                <w:spacing w:val="1"/>
              </w:rPr>
              <w:t>d</w:t>
            </w:r>
            <w:r w:rsidRPr="005D78EE">
              <w:rPr>
                <w:rFonts w:ascii="Times New Roman" w:hAnsi="Times New Roman"/>
                <w:spacing w:val="-1"/>
              </w:rPr>
              <w:t>r</w:t>
            </w:r>
            <w:r w:rsidRPr="005D78EE">
              <w:rPr>
                <w:rFonts w:ascii="Times New Roman" w:hAnsi="Times New Roman"/>
              </w:rPr>
              <w:t>ážde</w:t>
            </w:r>
            <w:r w:rsidRPr="005D78EE">
              <w:rPr>
                <w:rFonts w:ascii="Times New Roman" w:hAnsi="Times New Roman"/>
                <w:spacing w:val="-1"/>
              </w:rPr>
              <w:t>n</w:t>
            </w:r>
            <w:r w:rsidRPr="005D78EE">
              <w:rPr>
                <w:rFonts w:ascii="Times New Roman" w:hAnsi="Times New Roman"/>
              </w:rPr>
              <w:t>osť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CBAB3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Po</w:t>
            </w:r>
            <w:r w:rsidRPr="005D78EE">
              <w:rPr>
                <w:rFonts w:ascii="Times New Roman" w:hAnsi="Times New Roman"/>
                <w:spacing w:val="1"/>
              </w:rPr>
              <w:t>ku</w:t>
            </w:r>
            <w:r w:rsidRPr="005D78EE">
              <w:rPr>
                <w:rFonts w:ascii="Times New Roman" w:hAnsi="Times New Roman"/>
              </w:rPr>
              <w:t>s</w:t>
            </w:r>
            <w:r w:rsidRPr="005D78EE">
              <w:rPr>
                <w:rFonts w:ascii="Times New Roman" w:hAnsi="Times New Roman"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</w:rPr>
              <w:t>o sa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  <w:spacing w:val="1"/>
              </w:rPr>
              <w:t>o</w:t>
            </w:r>
            <w:r w:rsidRPr="005D78EE">
              <w:rPr>
                <w:rFonts w:ascii="Times New Roman" w:hAnsi="Times New Roman"/>
              </w:rPr>
              <w:t>v</w:t>
            </w:r>
            <w:r w:rsidRPr="005D78EE">
              <w:rPr>
                <w:rFonts w:ascii="Times New Roman" w:hAnsi="Times New Roman"/>
                <w:spacing w:val="1"/>
              </w:rPr>
              <w:t>r</w:t>
            </w:r>
            <w:r w:rsidRPr="005D78EE">
              <w:rPr>
                <w:rFonts w:ascii="Times New Roman" w:hAnsi="Times New Roman"/>
              </w:rPr>
              <w:t>ažd</w:t>
            </w:r>
            <w:r w:rsidRPr="005D78EE">
              <w:rPr>
                <w:rFonts w:ascii="Times New Roman" w:hAnsi="Times New Roman"/>
                <w:spacing w:val="1"/>
              </w:rPr>
              <w:t>u</w:t>
            </w:r>
            <w:r w:rsidRPr="005D78EE">
              <w:rPr>
                <w:rFonts w:ascii="Times New Roman" w:hAnsi="Times New Roman"/>
              </w:rPr>
              <w:t>,</w:t>
            </w:r>
          </w:p>
          <w:p w14:paraId="4F634203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43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  <w:spacing w:val="-1"/>
              </w:rPr>
              <w:t>my</w:t>
            </w:r>
            <w:r w:rsidRPr="005D78EE">
              <w:rPr>
                <w:rFonts w:ascii="Times New Roman" w:hAnsi="Times New Roman"/>
              </w:rPr>
              <w:t>šlienky na sa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>ovraž</w:t>
            </w:r>
            <w:r w:rsidRPr="005D78EE">
              <w:rPr>
                <w:rFonts w:ascii="Times New Roman" w:hAnsi="Times New Roman"/>
                <w:spacing w:val="-1"/>
              </w:rPr>
              <w:t>d</w:t>
            </w:r>
            <w:r w:rsidRPr="005D78EE">
              <w:rPr>
                <w:rFonts w:ascii="Times New Roman" w:hAnsi="Times New Roman"/>
                <w:spacing w:val="1"/>
              </w:rPr>
              <w:t>u</w:t>
            </w:r>
            <w:r w:rsidRPr="005D78EE">
              <w:rPr>
                <w:rFonts w:ascii="Times New Roman" w:hAnsi="Times New Roman"/>
              </w:rPr>
              <w:t>, ps</w:t>
            </w:r>
            <w:r w:rsidRPr="005D78EE">
              <w:rPr>
                <w:rFonts w:ascii="Times New Roman" w:hAnsi="Times New Roman"/>
                <w:spacing w:val="-1"/>
              </w:rPr>
              <w:t>y</w:t>
            </w:r>
            <w:r w:rsidRPr="005D78EE">
              <w:rPr>
                <w:rFonts w:ascii="Times New Roman" w:hAnsi="Times New Roman"/>
              </w:rPr>
              <w:t>c</w:t>
            </w:r>
            <w:r w:rsidRPr="005D78EE">
              <w:rPr>
                <w:rFonts w:ascii="Times New Roman" w:hAnsi="Times New Roman"/>
                <w:spacing w:val="-1"/>
              </w:rPr>
              <w:t>h</w:t>
            </w:r>
            <w:r w:rsidRPr="005D78EE">
              <w:rPr>
                <w:rFonts w:ascii="Times New Roman" w:hAnsi="Times New Roman"/>
                <w:spacing w:val="1"/>
              </w:rPr>
              <w:t>o</w:t>
            </w:r>
            <w:r w:rsidRPr="005D78EE">
              <w:rPr>
                <w:rFonts w:ascii="Times New Roman" w:hAnsi="Times New Roman"/>
                <w:spacing w:val="-1"/>
              </w:rPr>
              <w:t>ti</w:t>
            </w:r>
            <w:r w:rsidRPr="005D78EE">
              <w:rPr>
                <w:rFonts w:ascii="Times New Roman" w:hAnsi="Times New Roman"/>
              </w:rPr>
              <w:t xml:space="preserve">cká </w:t>
            </w:r>
            <w:r w:rsidRPr="005D78EE">
              <w:rPr>
                <w:rFonts w:ascii="Times New Roman" w:hAnsi="Times New Roman"/>
                <w:spacing w:val="-1"/>
              </w:rPr>
              <w:t>po</w:t>
            </w:r>
            <w:r w:rsidRPr="005D78EE">
              <w:rPr>
                <w:rFonts w:ascii="Times New Roman" w:hAnsi="Times New Roman"/>
              </w:rPr>
              <w:t>ru</w:t>
            </w:r>
            <w:r w:rsidRPr="005D78EE">
              <w:rPr>
                <w:rFonts w:ascii="Times New Roman" w:hAnsi="Times New Roman"/>
                <w:spacing w:val="-1"/>
              </w:rPr>
              <w:t>c</w:t>
            </w:r>
            <w:r w:rsidRPr="005D78EE">
              <w:rPr>
                <w:rFonts w:ascii="Times New Roman" w:hAnsi="Times New Roman"/>
              </w:rPr>
              <w:t>h</w:t>
            </w:r>
            <w:r w:rsidRPr="005D78EE">
              <w:rPr>
                <w:rFonts w:ascii="Times New Roman" w:hAnsi="Times New Roman"/>
                <w:spacing w:val="-1"/>
              </w:rPr>
              <w:t>a</w:t>
            </w:r>
            <w:r w:rsidRPr="005D78EE">
              <w:rPr>
                <w:rFonts w:ascii="Times New Roman" w:hAnsi="Times New Roman"/>
              </w:rPr>
              <w:t>,</w:t>
            </w:r>
          </w:p>
          <w:p w14:paraId="2DE856E4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144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abnor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 xml:space="preserve">álne </w:t>
            </w:r>
            <w:r w:rsidRPr="005D78EE">
              <w:rPr>
                <w:rFonts w:ascii="Times New Roman" w:hAnsi="Times New Roman"/>
                <w:spacing w:val="1"/>
              </w:rPr>
              <w:t>spr</w:t>
            </w:r>
            <w:r w:rsidRPr="005D78EE">
              <w:rPr>
                <w:rFonts w:ascii="Times New Roman" w:hAnsi="Times New Roman"/>
                <w:spacing w:val="-1"/>
              </w:rPr>
              <w:t>á</w:t>
            </w:r>
            <w:r w:rsidRPr="005D78EE">
              <w:rPr>
                <w:rFonts w:ascii="Times New Roman" w:hAnsi="Times New Roman"/>
                <w:spacing w:val="1"/>
              </w:rPr>
              <w:t>v</w:t>
            </w:r>
            <w:r w:rsidRPr="005D78EE">
              <w:rPr>
                <w:rFonts w:ascii="Times New Roman" w:hAnsi="Times New Roman"/>
                <w:spacing w:val="-1"/>
              </w:rPr>
              <w:t>a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  <w:spacing w:val="-1"/>
              </w:rPr>
              <w:t>ie</w:t>
            </w:r>
            <w:r w:rsidRPr="005D78EE">
              <w:rPr>
                <w:rFonts w:ascii="Times New Roman" w:hAnsi="Times New Roman"/>
              </w:rPr>
              <w:t>, hal</w:t>
            </w:r>
            <w:r w:rsidRPr="005D78EE">
              <w:rPr>
                <w:rFonts w:ascii="Times New Roman" w:hAnsi="Times New Roman"/>
                <w:spacing w:val="1"/>
              </w:rPr>
              <w:t>u</w:t>
            </w:r>
            <w:r w:rsidRPr="005D78EE">
              <w:rPr>
                <w:rFonts w:ascii="Times New Roman" w:hAnsi="Times New Roman"/>
              </w:rPr>
              <w:t>cin</w:t>
            </w:r>
            <w:r w:rsidRPr="005D78EE">
              <w:rPr>
                <w:rFonts w:ascii="Times New Roman" w:hAnsi="Times New Roman"/>
                <w:spacing w:val="-1"/>
              </w:rPr>
              <w:t>á</w:t>
            </w:r>
            <w:r w:rsidRPr="005D78EE">
              <w:rPr>
                <w:rFonts w:ascii="Times New Roman" w:hAnsi="Times New Roman"/>
              </w:rPr>
              <w:t>cia, hn</w:t>
            </w:r>
            <w:r w:rsidRPr="005D78EE">
              <w:rPr>
                <w:rFonts w:ascii="Times New Roman" w:hAnsi="Times New Roman"/>
                <w:spacing w:val="-1"/>
              </w:rPr>
              <w:t>e</w:t>
            </w:r>
            <w:r w:rsidRPr="005D78EE">
              <w:rPr>
                <w:rFonts w:ascii="Times New Roman" w:hAnsi="Times New Roman"/>
                <w:spacing w:val="1"/>
              </w:rPr>
              <w:t>v</w:t>
            </w:r>
            <w:r w:rsidRPr="005D78EE">
              <w:rPr>
                <w:rFonts w:ascii="Times New Roman" w:hAnsi="Times New Roman"/>
              </w:rPr>
              <w:t>, stav z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>ätenosti, panický</w:t>
            </w:r>
          </w:p>
          <w:p w14:paraId="455A2E96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144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 xml:space="preserve">záchvat, </w:t>
            </w:r>
            <w:r w:rsidRPr="005D78EE">
              <w:rPr>
                <w:rFonts w:ascii="Times New Roman" w:hAnsi="Times New Roman"/>
                <w:spacing w:val="-1"/>
              </w:rPr>
              <w:t>cit</w:t>
            </w:r>
            <w:r w:rsidRPr="005D78EE">
              <w:rPr>
                <w:rFonts w:ascii="Times New Roman" w:hAnsi="Times New Roman"/>
                <w:spacing w:val="1"/>
              </w:rPr>
              <w:t>ov</w:t>
            </w:r>
            <w:r w:rsidRPr="005D78EE">
              <w:rPr>
                <w:rFonts w:ascii="Times New Roman" w:hAnsi="Times New Roman"/>
              </w:rPr>
              <w:t xml:space="preserve">á </w:t>
            </w:r>
            <w:r w:rsidRPr="005D78EE">
              <w:rPr>
                <w:rFonts w:ascii="Times New Roman" w:hAnsi="Times New Roman"/>
                <w:spacing w:val="-1"/>
              </w:rPr>
              <w:t>la</w:t>
            </w:r>
            <w:r w:rsidRPr="005D78EE">
              <w:rPr>
                <w:rFonts w:ascii="Times New Roman" w:hAnsi="Times New Roman"/>
                <w:spacing w:val="1"/>
              </w:rPr>
              <w:t>b</w:t>
            </w:r>
            <w:r w:rsidRPr="005D78EE">
              <w:rPr>
                <w:rFonts w:ascii="Times New Roman" w:hAnsi="Times New Roman"/>
                <w:spacing w:val="-1"/>
              </w:rPr>
              <w:t>ilita</w:t>
            </w:r>
            <w:r w:rsidRPr="005D78EE">
              <w:rPr>
                <w:rFonts w:ascii="Times New Roman" w:hAnsi="Times New Roman"/>
                <w:spacing w:val="1"/>
              </w:rPr>
              <w:t>/ko</w:t>
            </w:r>
            <w:r w:rsidRPr="005D78EE">
              <w:rPr>
                <w:rFonts w:ascii="Times New Roman" w:hAnsi="Times New Roman"/>
                <w:spacing w:val="-1"/>
              </w:rPr>
              <w:t>lísa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  <w:spacing w:val="-1"/>
              </w:rPr>
              <w:t xml:space="preserve">ie </w:t>
            </w:r>
            <w:r w:rsidRPr="005D78EE">
              <w:rPr>
                <w:rFonts w:ascii="Times New Roman" w:hAnsi="Times New Roman"/>
              </w:rPr>
              <w:t xml:space="preserve">nálady, </w:t>
            </w:r>
            <w:r w:rsidRPr="005D78EE">
              <w:rPr>
                <w:rFonts w:ascii="Times New Roman" w:hAnsi="Times New Roman"/>
                <w:spacing w:val="-1"/>
              </w:rPr>
              <w:t>a</w:t>
            </w:r>
            <w:r w:rsidRPr="005D78EE">
              <w:rPr>
                <w:rFonts w:ascii="Times New Roman" w:hAnsi="Times New Roman"/>
                <w:spacing w:val="1"/>
              </w:rPr>
              <w:t>g</w:t>
            </w:r>
            <w:r w:rsidRPr="005D78EE">
              <w:rPr>
                <w:rFonts w:ascii="Times New Roman" w:hAnsi="Times New Roman"/>
              </w:rPr>
              <w:t>itácia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A0E74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298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D</w:t>
            </w:r>
            <w:r w:rsidRPr="005D78EE">
              <w:rPr>
                <w:rFonts w:ascii="Times New Roman" w:hAnsi="Times New Roman"/>
                <w:spacing w:val="-1"/>
              </w:rPr>
              <w:t>ok</w:t>
            </w:r>
            <w:r w:rsidRPr="005D78EE">
              <w:rPr>
                <w:rFonts w:ascii="Times New Roman" w:hAnsi="Times New Roman"/>
              </w:rPr>
              <w:t>on</w:t>
            </w:r>
            <w:r w:rsidRPr="005D78EE">
              <w:rPr>
                <w:rFonts w:ascii="Times New Roman" w:hAnsi="Times New Roman"/>
                <w:spacing w:val="-1"/>
              </w:rPr>
              <w:t>a</w:t>
            </w:r>
            <w:r w:rsidRPr="005D78EE">
              <w:rPr>
                <w:rFonts w:ascii="Times New Roman" w:hAnsi="Times New Roman"/>
              </w:rPr>
              <w:t>ná sa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>ovražda, p</w:t>
            </w:r>
            <w:r w:rsidRPr="005D78EE">
              <w:rPr>
                <w:rFonts w:ascii="Times New Roman" w:hAnsi="Times New Roman"/>
                <w:spacing w:val="-1"/>
              </w:rPr>
              <w:t>or</w:t>
            </w:r>
            <w:r w:rsidRPr="005D78EE">
              <w:rPr>
                <w:rFonts w:ascii="Times New Roman" w:hAnsi="Times New Roman"/>
                <w:spacing w:val="1"/>
              </w:rPr>
              <w:t>u</w:t>
            </w:r>
            <w:r w:rsidRPr="005D78EE">
              <w:rPr>
                <w:rFonts w:ascii="Times New Roman" w:hAnsi="Times New Roman"/>
              </w:rPr>
              <w:t>cha</w:t>
            </w:r>
          </w:p>
          <w:p w14:paraId="0FC94971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  <w:spacing w:val="1"/>
              </w:rPr>
              <w:t>o</w:t>
            </w:r>
            <w:r w:rsidRPr="005D78EE">
              <w:rPr>
                <w:rFonts w:ascii="Times New Roman" w:hAnsi="Times New Roman"/>
              </w:rPr>
              <w:t>sob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>osti,</w:t>
            </w:r>
          </w:p>
          <w:p w14:paraId="38132A99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nezv</w:t>
            </w:r>
            <w:r w:rsidRPr="005D78EE">
              <w:rPr>
                <w:rFonts w:ascii="Times New Roman" w:hAnsi="Times New Roman"/>
                <w:spacing w:val="-1"/>
              </w:rPr>
              <w:t>y</w:t>
            </w:r>
            <w:r w:rsidRPr="005D78EE">
              <w:rPr>
                <w:rFonts w:ascii="Times New Roman" w:hAnsi="Times New Roman"/>
              </w:rPr>
              <w:t>č</w:t>
            </w:r>
            <w:r w:rsidRPr="005D78EE">
              <w:rPr>
                <w:rFonts w:ascii="Times New Roman" w:hAnsi="Times New Roman"/>
                <w:spacing w:val="-1"/>
              </w:rPr>
              <w:t>a</w:t>
            </w:r>
            <w:r w:rsidRPr="005D78EE">
              <w:rPr>
                <w:rFonts w:ascii="Times New Roman" w:hAnsi="Times New Roman"/>
                <w:spacing w:val="1"/>
              </w:rPr>
              <w:t>j</w:t>
            </w:r>
            <w:r w:rsidRPr="005D78EE">
              <w:rPr>
                <w:rFonts w:ascii="Times New Roman" w:hAnsi="Times New Roman"/>
                <w:spacing w:val="-1"/>
              </w:rPr>
              <w:t>né</w:t>
            </w:r>
          </w:p>
          <w:p w14:paraId="52561269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mysle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>ie</w:t>
            </w:r>
          </w:p>
        </w:tc>
      </w:tr>
      <w:tr w:rsidR="008A416B" w:rsidRPr="005D78EE" w14:paraId="1BC120A3" w14:textId="77777777" w:rsidTr="005D78EE">
        <w:trPr>
          <w:trHeight w:hRule="exact" w:val="126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518D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  <w:spacing w:val="-1"/>
              </w:rPr>
              <w:t>P</w:t>
            </w:r>
            <w:r w:rsidRPr="005D78EE">
              <w:rPr>
                <w:rFonts w:ascii="Times New Roman" w:hAnsi="Times New Roman"/>
                <w:b/>
                <w:spacing w:val="1"/>
              </w:rPr>
              <w:t>o</w:t>
            </w:r>
            <w:r w:rsidRPr="005D78EE">
              <w:rPr>
                <w:rFonts w:ascii="Times New Roman" w:hAnsi="Times New Roman"/>
                <w:b/>
                <w:spacing w:val="-1"/>
              </w:rPr>
              <w:t>r</w:t>
            </w:r>
            <w:r w:rsidRPr="005D78EE">
              <w:rPr>
                <w:rFonts w:ascii="Times New Roman" w:hAnsi="Times New Roman"/>
                <w:b/>
                <w:spacing w:val="1"/>
              </w:rPr>
              <w:t>u</w:t>
            </w:r>
            <w:r w:rsidRPr="005D78EE">
              <w:rPr>
                <w:rFonts w:ascii="Times New Roman" w:hAnsi="Times New Roman"/>
                <w:b/>
                <w:spacing w:val="-1"/>
              </w:rPr>
              <w:t>c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y</w:t>
            </w:r>
            <w:r w:rsidRPr="005D78EE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78EE">
              <w:rPr>
                <w:rFonts w:ascii="Times New Roman" w:hAnsi="Times New Roman"/>
                <w:b/>
                <w:spacing w:val="1"/>
              </w:rPr>
              <w:t>n</w:t>
            </w:r>
            <w:r w:rsidRPr="005D78EE">
              <w:rPr>
                <w:rFonts w:ascii="Times New Roman" w:hAnsi="Times New Roman"/>
                <w:b/>
              </w:rPr>
              <w:t>e</w:t>
            </w:r>
            <w:r w:rsidRPr="005D78EE">
              <w:rPr>
                <w:rFonts w:ascii="Times New Roman" w:hAnsi="Times New Roman"/>
                <w:b/>
                <w:spacing w:val="-1"/>
              </w:rPr>
              <w:t>r</w:t>
            </w:r>
            <w:r w:rsidRPr="005D78EE">
              <w:rPr>
                <w:rFonts w:ascii="Times New Roman" w:hAnsi="Times New Roman"/>
                <w:b/>
                <w:spacing w:val="1"/>
              </w:rPr>
              <w:t>v</w:t>
            </w:r>
            <w:r w:rsidRPr="005D78EE">
              <w:rPr>
                <w:rFonts w:ascii="Times New Roman" w:hAnsi="Times New Roman"/>
                <w:b/>
                <w:spacing w:val="-1"/>
              </w:rPr>
              <w:t>o</w:t>
            </w:r>
            <w:r w:rsidRPr="005D78EE">
              <w:rPr>
                <w:rFonts w:ascii="Times New Roman" w:hAnsi="Times New Roman"/>
                <w:b/>
                <w:spacing w:val="1"/>
              </w:rPr>
              <w:t>v</w:t>
            </w:r>
            <w:r w:rsidRPr="005D78EE">
              <w:rPr>
                <w:rFonts w:ascii="Times New Roman" w:hAnsi="Times New Roman"/>
                <w:b/>
                <w:spacing w:val="-1"/>
              </w:rPr>
              <w:t>ého</w:t>
            </w:r>
          </w:p>
          <w:p w14:paraId="0901630C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syst</w:t>
            </w:r>
            <w:r w:rsidRPr="005D78EE">
              <w:rPr>
                <w:rFonts w:ascii="Times New Roman" w:hAnsi="Times New Roman"/>
                <w:b/>
                <w:spacing w:val="1"/>
              </w:rPr>
              <w:t>é</w:t>
            </w:r>
            <w:r w:rsidRPr="005D78EE">
              <w:rPr>
                <w:rFonts w:ascii="Times New Roman" w:hAnsi="Times New Roman"/>
                <w:b/>
                <w:spacing w:val="-2"/>
              </w:rPr>
              <w:t>m</w:t>
            </w:r>
            <w:r w:rsidRPr="005D78EE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6827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So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>nolencia,</w:t>
            </w:r>
          </w:p>
          <w:p w14:paraId="09455AC4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bo</w:t>
            </w:r>
            <w:r w:rsidRPr="005D78EE">
              <w:rPr>
                <w:rFonts w:ascii="Times New Roman" w:hAnsi="Times New Roman"/>
                <w:spacing w:val="-1"/>
              </w:rPr>
              <w:t>l</w:t>
            </w:r>
            <w:r w:rsidRPr="005D78EE">
              <w:rPr>
                <w:rFonts w:ascii="Times New Roman" w:hAnsi="Times New Roman"/>
              </w:rPr>
              <w:t>esť</w:t>
            </w:r>
            <w:r w:rsidRPr="005D78EE">
              <w:rPr>
                <w:rFonts w:ascii="Times New Roman" w:hAnsi="Times New Roman"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</w:rPr>
              <w:t>h</w:t>
            </w:r>
            <w:r w:rsidRPr="005D78EE">
              <w:rPr>
                <w:rFonts w:ascii="Times New Roman" w:hAnsi="Times New Roman"/>
                <w:spacing w:val="-1"/>
              </w:rPr>
              <w:t>l</w:t>
            </w:r>
            <w:r w:rsidRPr="005D78EE">
              <w:rPr>
                <w:rFonts w:ascii="Times New Roman" w:hAnsi="Times New Roman"/>
              </w:rPr>
              <w:t>avy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C654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Záchvat,</w:t>
            </w:r>
            <w:r w:rsidRPr="005D78EE">
              <w:rPr>
                <w:rFonts w:ascii="Times New Roman" w:hAnsi="Times New Roman"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</w:rPr>
              <w:t>poru</w:t>
            </w:r>
            <w:r w:rsidRPr="005D78EE">
              <w:rPr>
                <w:rFonts w:ascii="Times New Roman" w:hAnsi="Times New Roman"/>
                <w:spacing w:val="-1"/>
              </w:rPr>
              <w:t>c</w:t>
            </w:r>
            <w:r w:rsidRPr="005D78EE">
              <w:rPr>
                <w:rFonts w:ascii="Times New Roman" w:hAnsi="Times New Roman"/>
                <w:spacing w:val="1"/>
              </w:rPr>
              <w:t>h</w:t>
            </w:r>
            <w:r w:rsidRPr="005D78EE">
              <w:rPr>
                <w:rFonts w:ascii="Times New Roman" w:hAnsi="Times New Roman"/>
              </w:rPr>
              <w:t>a</w:t>
            </w:r>
          </w:p>
          <w:p w14:paraId="59405609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505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r</w:t>
            </w:r>
            <w:r w:rsidRPr="005D78EE">
              <w:rPr>
                <w:rFonts w:ascii="Times New Roman" w:hAnsi="Times New Roman"/>
                <w:spacing w:val="-1"/>
              </w:rPr>
              <w:t>ov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  <w:spacing w:val="-1"/>
              </w:rPr>
              <w:t>o</w:t>
            </w:r>
            <w:r w:rsidRPr="005D78EE">
              <w:rPr>
                <w:rFonts w:ascii="Times New Roman" w:hAnsi="Times New Roman"/>
                <w:spacing w:val="1"/>
              </w:rPr>
              <w:t>v</w:t>
            </w:r>
            <w:r w:rsidRPr="005D78EE">
              <w:rPr>
                <w:rFonts w:ascii="Times New Roman" w:hAnsi="Times New Roman"/>
                <w:spacing w:val="-1"/>
              </w:rPr>
              <w:t>á</w:t>
            </w:r>
            <w:r w:rsidRPr="005D78EE">
              <w:rPr>
                <w:rFonts w:ascii="Times New Roman" w:hAnsi="Times New Roman"/>
                <w:spacing w:val="1"/>
              </w:rPr>
              <w:t>h</w:t>
            </w:r>
            <w:r w:rsidRPr="005D78EE">
              <w:rPr>
                <w:rFonts w:ascii="Times New Roman" w:hAnsi="Times New Roman"/>
                <w:spacing w:val="-1"/>
              </w:rPr>
              <w:t>y</w:t>
            </w:r>
            <w:r w:rsidRPr="005D78EE">
              <w:rPr>
                <w:rFonts w:ascii="Times New Roman" w:hAnsi="Times New Roman"/>
              </w:rPr>
              <w:t xml:space="preserve">, </w:t>
            </w:r>
            <w:r w:rsidRPr="005D78EE">
              <w:rPr>
                <w:rFonts w:ascii="Times New Roman" w:hAnsi="Times New Roman"/>
                <w:spacing w:val="-1"/>
              </w:rPr>
              <w:t>zá</w:t>
            </w:r>
            <w:r w:rsidRPr="005D78EE">
              <w:rPr>
                <w:rFonts w:ascii="Times New Roman" w:hAnsi="Times New Roman"/>
                <w:spacing w:val="1"/>
              </w:rPr>
              <w:t>v</w:t>
            </w:r>
            <w:r w:rsidRPr="005D78EE">
              <w:rPr>
                <w:rFonts w:ascii="Times New Roman" w:hAnsi="Times New Roman"/>
              </w:rPr>
              <w:t>r</w:t>
            </w:r>
            <w:r w:rsidRPr="005D78EE">
              <w:rPr>
                <w:rFonts w:ascii="Times New Roman" w:hAnsi="Times New Roman"/>
                <w:spacing w:val="-1"/>
              </w:rPr>
              <w:t xml:space="preserve">at, </w:t>
            </w:r>
            <w:r w:rsidRPr="005D78EE">
              <w:rPr>
                <w:rFonts w:ascii="Times New Roman" w:hAnsi="Times New Roman"/>
              </w:rPr>
              <w:t>letar</w:t>
            </w:r>
            <w:r w:rsidRPr="005D78EE">
              <w:rPr>
                <w:rFonts w:ascii="Times New Roman" w:hAnsi="Times New Roman"/>
                <w:spacing w:val="1"/>
              </w:rPr>
              <w:t>g</w:t>
            </w:r>
            <w:r w:rsidRPr="005D78EE">
              <w:rPr>
                <w:rFonts w:ascii="Times New Roman" w:hAnsi="Times New Roman"/>
              </w:rPr>
              <w:t xml:space="preserve">ia, </w:t>
            </w:r>
            <w:proofErr w:type="spellStart"/>
            <w:r w:rsidRPr="005D78EE">
              <w:rPr>
                <w:rFonts w:ascii="Times New Roman" w:hAnsi="Times New Roman"/>
              </w:rPr>
              <w:t>tre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  <w:spacing w:val="1"/>
              </w:rPr>
              <w:t>o</w:t>
            </w:r>
            <w:r w:rsidRPr="005D78EE">
              <w:rPr>
                <w:rFonts w:ascii="Times New Roman" w:hAnsi="Times New Roman"/>
              </w:rPr>
              <w:t>r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8917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A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>nézia, porucha</w:t>
            </w:r>
          </w:p>
          <w:p w14:paraId="4B64E776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203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pa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>äti,</w:t>
            </w:r>
            <w:r w:rsidRPr="005D78EE">
              <w:rPr>
                <w:rFonts w:ascii="Times New Roman" w:hAnsi="Times New Roman"/>
                <w:spacing w:val="1"/>
              </w:rPr>
              <w:t xml:space="preserve"> </w:t>
            </w:r>
            <w:r w:rsidRPr="005D78EE">
              <w:rPr>
                <w:rFonts w:ascii="Times New Roman" w:hAnsi="Times New Roman"/>
              </w:rPr>
              <w:t>ne</w:t>
            </w:r>
            <w:r w:rsidRPr="005D78EE">
              <w:rPr>
                <w:rFonts w:ascii="Times New Roman" w:hAnsi="Times New Roman"/>
                <w:spacing w:val="-1"/>
              </w:rPr>
              <w:t>z</w:t>
            </w:r>
            <w:r w:rsidRPr="005D78EE">
              <w:rPr>
                <w:rFonts w:ascii="Times New Roman" w:hAnsi="Times New Roman"/>
                <w:spacing w:val="1"/>
              </w:rPr>
              <w:t>v</w:t>
            </w:r>
            <w:r w:rsidRPr="005D78EE">
              <w:rPr>
                <w:rFonts w:ascii="Times New Roman" w:hAnsi="Times New Roman"/>
                <w:spacing w:val="-1"/>
              </w:rPr>
              <w:t>y</w:t>
            </w:r>
            <w:r w:rsidRPr="005D78EE">
              <w:rPr>
                <w:rFonts w:ascii="Times New Roman" w:hAnsi="Times New Roman"/>
              </w:rPr>
              <w:t>čajná koord</w:t>
            </w:r>
            <w:r w:rsidRPr="005D78EE">
              <w:rPr>
                <w:rFonts w:ascii="Times New Roman" w:hAnsi="Times New Roman"/>
                <w:spacing w:val="-2"/>
              </w:rPr>
              <w:t>i</w:t>
            </w:r>
            <w:r w:rsidRPr="005D78EE">
              <w:rPr>
                <w:rFonts w:ascii="Times New Roman" w:hAnsi="Times New Roman"/>
              </w:rPr>
              <w:t>nácia/</w:t>
            </w:r>
            <w:proofErr w:type="spellStart"/>
            <w:r w:rsidRPr="005D78EE">
              <w:rPr>
                <w:rFonts w:ascii="Times New Roman" w:hAnsi="Times New Roman"/>
              </w:rPr>
              <w:t>ataxia</w:t>
            </w:r>
            <w:proofErr w:type="spellEnd"/>
            <w:r w:rsidRPr="005D78EE">
              <w:rPr>
                <w:rFonts w:ascii="Times New Roman" w:hAnsi="Times New Roman"/>
              </w:rPr>
              <w:t xml:space="preserve">, </w:t>
            </w:r>
            <w:proofErr w:type="spellStart"/>
            <w:r w:rsidRPr="005D78EE">
              <w:rPr>
                <w:rFonts w:ascii="Times New Roman" w:hAnsi="Times New Roman"/>
              </w:rPr>
              <w:t>parestézia</w:t>
            </w:r>
            <w:proofErr w:type="spellEnd"/>
            <w:r w:rsidRPr="005D78EE">
              <w:rPr>
                <w:rFonts w:ascii="Times New Roman" w:hAnsi="Times New Roman"/>
              </w:rPr>
              <w:t>,</w:t>
            </w:r>
            <w:r w:rsidRPr="005D78EE">
              <w:rPr>
                <w:rFonts w:ascii="Times New Roman" w:hAnsi="Times New Roman"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</w:rPr>
              <w:t>po</w:t>
            </w:r>
            <w:r w:rsidRPr="005D78EE">
              <w:rPr>
                <w:rFonts w:ascii="Times New Roman" w:hAnsi="Times New Roman"/>
                <w:spacing w:val="-1"/>
              </w:rPr>
              <w:t>r</w:t>
            </w:r>
            <w:r w:rsidRPr="005D78EE">
              <w:rPr>
                <w:rFonts w:ascii="Times New Roman" w:hAnsi="Times New Roman"/>
                <w:spacing w:val="1"/>
              </w:rPr>
              <w:t>u</w:t>
            </w:r>
            <w:r w:rsidRPr="005D78EE">
              <w:rPr>
                <w:rFonts w:ascii="Times New Roman" w:hAnsi="Times New Roman"/>
                <w:spacing w:val="-1"/>
              </w:rPr>
              <w:t>c</w:t>
            </w:r>
            <w:r w:rsidRPr="005D78EE">
              <w:rPr>
                <w:rFonts w:ascii="Times New Roman" w:hAnsi="Times New Roman"/>
                <w:spacing w:val="1"/>
              </w:rPr>
              <w:t>h</w:t>
            </w:r>
            <w:r w:rsidRPr="005D78EE">
              <w:rPr>
                <w:rFonts w:ascii="Times New Roman" w:hAnsi="Times New Roman"/>
              </w:rPr>
              <w:t xml:space="preserve">a </w:t>
            </w:r>
            <w:r w:rsidRPr="005D78EE">
              <w:rPr>
                <w:rFonts w:ascii="Times New Roman" w:hAnsi="Times New Roman"/>
                <w:spacing w:val="1"/>
              </w:rPr>
              <w:t>po</w:t>
            </w:r>
            <w:r w:rsidRPr="005D78EE">
              <w:rPr>
                <w:rFonts w:ascii="Times New Roman" w:hAnsi="Times New Roman"/>
                <w:spacing w:val="-1"/>
              </w:rPr>
              <w:t>z</w:t>
            </w:r>
            <w:r w:rsidRPr="005D78EE">
              <w:rPr>
                <w:rFonts w:ascii="Times New Roman" w:hAnsi="Times New Roman"/>
              </w:rPr>
              <w:t>o</w:t>
            </w:r>
            <w:r w:rsidRPr="005D78EE">
              <w:rPr>
                <w:rFonts w:ascii="Times New Roman" w:hAnsi="Times New Roman"/>
                <w:spacing w:val="1"/>
              </w:rPr>
              <w:t>r</w:t>
            </w:r>
            <w:r w:rsidRPr="005D78EE">
              <w:rPr>
                <w:rFonts w:ascii="Times New Roman" w:hAnsi="Times New Roman"/>
              </w:rPr>
              <w:t>n</w:t>
            </w:r>
            <w:r w:rsidRPr="005D78EE">
              <w:rPr>
                <w:rFonts w:ascii="Times New Roman" w:hAnsi="Times New Roman"/>
                <w:spacing w:val="1"/>
              </w:rPr>
              <w:t>o</w:t>
            </w:r>
            <w:r w:rsidRPr="005D78EE">
              <w:rPr>
                <w:rFonts w:ascii="Times New Roman" w:hAnsi="Times New Roman"/>
              </w:rPr>
              <w:t>sti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64DE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Choreoatetóz</w:t>
            </w:r>
            <w:r w:rsidRPr="005D78EE">
              <w:rPr>
                <w:rFonts w:ascii="Times New Roman" w:hAnsi="Times New Roman"/>
                <w:spacing w:val="-1"/>
              </w:rPr>
              <w:t>a</w:t>
            </w:r>
            <w:proofErr w:type="spellEnd"/>
            <w:r w:rsidRPr="005D78EE">
              <w:rPr>
                <w:rFonts w:ascii="Times New Roman" w:hAnsi="Times New Roman"/>
              </w:rPr>
              <w:t>,</w:t>
            </w:r>
          </w:p>
          <w:p w14:paraId="04FA9209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462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dysk</w:t>
            </w:r>
            <w:r w:rsidRPr="005D78EE">
              <w:rPr>
                <w:rFonts w:ascii="Times New Roman" w:hAnsi="Times New Roman"/>
                <w:spacing w:val="-2"/>
              </w:rPr>
              <w:t>i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>éza</w:t>
            </w:r>
            <w:proofErr w:type="spellEnd"/>
            <w:r w:rsidRPr="005D78EE">
              <w:rPr>
                <w:rFonts w:ascii="Times New Roman" w:hAnsi="Times New Roman"/>
              </w:rPr>
              <w:t xml:space="preserve">, </w:t>
            </w:r>
            <w:proofErr w:type="spellStart"/>
            <w:r w:rsidRPr="005D78EE">
              <w:rPr>
                <w:rFonts w:ascii="Times New Roman" w:hAnsi="Times New Roman"/>
              </w:rPr>
              <w:t>hyp</w:t>
            </w:r>
            <w:r w:rsidRPr="005D78EE">
              <w:rPr>
                <w:rFonts w:ascii="Times New Roman" w:hAnsi="Times New Roman"/>
                <w:spacing w:val="-1"/>
              </w:rPr>
              <w:t>e</w:t>
            </w:r>
            <w:r w:rsidRPr="005D78EE">
              <w:rPr>
                <w:rFonts w:ascii="Times New Roman" w:hAnsi="Times New Roman"/>
              </w:rPr>
              <w:t>rk</w:t>
            </w:r>
            <w:r w:rsidRPr="005D78EE">
              <w:rPr>
                <w:rFonts w:ascii="Times New Roman" w:hAnsi="Times New Roman"/>
                <w:spacing w:val="-2"/>
              </w:rPr>
              <w:t>i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>éza</w:t>
            </w:r>
            <w:proofErr w:type="spellEnd"/>
          </w:p>
        </w:tc>
      </w:tr>
      <w:tr w:rsidR="008A416B" w:rsidRPr="005D78EE" w14:paraId="616125EC" w14:textId="77777777" w:rsidTr="005D78EE">
        <w:trPr>
          <w:trHeight w:hRule="exact" w:val="469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DDFC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  <w:spacing w:val="1"/>
              </w:rPr>
              <w:t>Po</w:t>
            </w:r>
            <w:r w:rsidRPr="005D78EE">
              <w:rPr>
                <w:rFonts w:ascii="Times New Roman" w:hAnsi="Times New Roman"/>
                <w:b/>
                <w:spacing w:val="-1"/>
              </w:rPr>
              <w:t>r</w:t>
            </w:r>
            <w:r w:rsidRPr="005D78EE">
              <w:rPr>
                <w:rFonts w:ascii="Times New Roman" w:hAnsi="Times New Roman"/>
                <w:b/>
                <w:spacing w:val="1"/>
              </w:rPr>
              <w:t>u</w:t>
            </w:r>
            <w:r w:rsidRPr="005D78EE">
              <w:rPr>
                <w:rFonts w:ascii="Times New Roman" w:hAnsi="Times New Roman"/>
                <w:b/>
                <w:spacing w:val="-1"/>
              </w:rPr>
              <w:t>c</w:t>
            </w:r>
            <w:r w:rsidRPr="005D78EE">
              <w:rPr>
                <w:rFonts w:ascii="Times New Roman" w:hAnsi="Times New Roman"/>
                <w:b/>
                <w:spacing w:val="1"/>
              </w:rPr>
              <w:t>hy</w:t>
            </w:r>
            <w:r w:rsidRPr="005D78EE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78EE">
              <w:rPr>
                <w:rFonts w:ascii="Times New Roman" w:hAnsi="Times New Roman"/>
                <w:b/>
                <w:spacing w:val="1"/>
              </w:rPr>
              <w:t>oka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0568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4019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C658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Diplopia</w:t>
            </w:r>
            <w:proofErr w:type="spellEnd"/>
            <w:r w:rsidRPr="005D78EE">
              <w:rPr>
                <w:rFonts w:ascii="Times New Roman" w:hAnsi="Times New Roman"/>
              </w:rPr>
              <w:t>,</w:t>
            </w:r>
            <w:r w:rsidRPr="005D78EE">
              <w:rPr>
                <w:rFonts w:ascii="Times New Roman" w:hAnsi="Times New Roman"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</w:rPr>
              <w:t>rozmazané</w:t>
            </w:r>
          </w:p>
          <w:p w14:paraId="255EC77B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v</w:t>
            </w:r>
            <w:r w:rsidRPr="005D78EE">
              <w:rPr>
                <w:rFonts w:ascii="Times New Roman" w:hAnsi="Times New Roman"/>
                <w:spacing w:val="-1"/>
              </w:rPr>
              <w:t>i</w:t>
            </w:r>
            <w:r w:rsidRPr="005D78EE">
              <w:rPr>
                <w:rFonts w:ascii="Times New Roman" w:hAnsi="Times New Roman"/>
              </w:rPr>
              <w:t>d</w:t>
            </w:r>
            <w:r w:rsidRPr="005D78EE">
              <w:rPr>
                <w:rFonts w:ascii="Times New Roman" w:hAnsi="Times New Roman"/>
                <w:spacing w:val="-1"/>
              </w:rPr>
              <w:t>e</w:t>
            </w:r>
            <w:r w:rsidRPr="005D78EE">
              <w:rPr>
                <w:rFonts w:ascii="Times New Roman" w:hAnsi="Times New Roman"/>
              </w:rPr>
              <w:t>n</w:t>
            </w:r>
            <w:r w:rsidRPr="005D78EE">
              <w:rPr>
                <w:rFonts w:ascii="Times New Roman" w:hAnsi="Times New Roman"/>
                <w:spacing w:val="-1"/>
              </w:rPr>
              <w:t>i</w:t>
            </w:r>
            <w:r w:rsidRPr="005D78EE">
              <w:rPr>
                <w:rFonts w:ascii="Times New Roman" w:hAnsi="Times New Roman"/>
              </w:rPr>
              <w:t>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8549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A416B" w:rsidRPr="005D78EE" w14:paraId="13475E51" w14:textId="77777777" w:rsidTr="005D78EE">
        <w:trPr>
          <w:trHeight w:hRule="exact" w:val="4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B7DB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Po</w:t>
            </w:r>
            <w:r w:rsidRPr="005D78EE">
              <w:rPr>
                <w:rFonts w:ascii="Times New Roman" w:hAnsi="Times New Roman"/>
                <w:b/>
                <w:spacing w:val="-1"/>
              </w:rPr>
              <w:t>r</w:t>
            </w:r>
            <w:r w:rsidRPr="005D78EE">
              <w:rPr>
                <w:rFonts w:ascii="Times New Roman" w:hAnsi="Times New Roman"/>
                <w:b/>
                <w:spacing w:val="1"/>
              </w:rPr>
              <w:t>u</w:t>
            </w:r>
            <w:r w:rsidRPr="005D78EE">
              <w:rPr>
                <w:rFonts w:ascii="Times New Roman" w:hAnsi="Times New Roman"/>
                <w:b/>
                <w:spacing w:val="-1"/>
              </w:rPr>
              <w:t>c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y</w:t>
            </w:r>
            <w:r w:rsidRPr="005D78EE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>ucha</w:t>
            </w:r>
            <w:r w:rsidRPr="005D78EE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>a</w:t>
            </w:r>
          </w:p>
          <w:p w14:paraId="6EB246B0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la</w:t>
            </w:r>
            <w:r w:rsidRPr="005D78EE">
              <w:rPr>
                <w:rFonts w:ascii="Times New Roman" w:hAnsi="Times New Roman"/>
                <w:b/>
                <w:spacing w:val="1"/>
              </w:rPr>
              <w:t>b</w:t>
            </w:r>
            <w:r w:rsidRPr="005D78EE">
              <w:rPr>
                <w:rFonts w:ascii="Times New Roman" w:hAnsi="Times New Roman"/>
                <w:b/>
                <w:spacing w:val="-1"/>
              </w:rPr>
              <w:t>y</w:t>
            </w:r>
            <w:r w:rsidRPr="005D78EE">
              <w:rPr>
                <w:rFonts w:ascii="Times New Roman" w:hAnsi="Times New Roman"/>
                <w:b/>
                <w:spacing w:val="1"/>
              </w:rPr>
              <w:t>r</w:t>
            </w:r>
            <w:r w:rsidRPr="005D78EE">
              <w:rPr>
                <w:rFonts w:ascii="Times New Roman" w:hAnsi="Times New Roman"/>
                <w:b/>
              </w:rPr>
              <w:t>i</w:t>
            </w:r>
            <w:r w:rsidRPr="005D78EE">
              <w:rPr>
                <w:rFonts w:ascii="Times New Roman" w:hAnsi="Times New Roman"/>
                <w:b/>
                <w:spacing w:val="1"/>
              </w:rPr>
              <w:t>n</w:t>
            </w:r>
            <w:r w:rsidRPr="005D78EE">
              <w:rPr>
                <w:rFonts w:ascii="Times New Roman" w:hAnsi="Times New Roman"/>
                <w:b/>
              </w:rPr>
              <w:t>tu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D0FD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47EA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Vertigo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92DB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B3E6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A416B" w:rsidRPr="005D78EE" w14:paraId="7C67F59D" w14:textId="77777777" w:rsidTr="005D78EE">
        <w:trPr>
          <w:trHeight w:hRule="exact" w:val="877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0226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Po</w:t>
            </w:r>
            <w:r w:rsidRPr="005D78EE">
              <w:rPr>
                <w:rFonts w:ascii="Times New Roman" w:hAnsi="Times New Roman"/>
                <w:b/>
                <w:spacing w:val="-1"/>
              </w:rPr>
              <w:t>r</w:t>
            </w:r>
            <w:r w:rsidRPr="005D78EE">
              <w:rPr>
                <w:rFonts w:ascii="Times New Roman" w:hAnsi="Times New Roman"/>
                <w:b/>
                <w:spacing w:val="1"/>
              </w:rPr>
              <w:t>u</w:t>
            </w:r>
            <w:r w:rsidRPr="005D78EE">
              <w:rPr>
                <w:rFonts w:ascii="Times New Roman" w:hAnsi="Times New Roman"/>
                <w:b/>
                <w:spacing w:val="-1"/>
              </w:rPr>
              <w:t>c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y</w:t>
            </w:r>
            <w:r w:rsidRPr="005D78EE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>dý</w:t>
            </w:r>
            <w:r w:rsidRPr="005D78EE">
              <w:rPr>
                <w:rFonts w:ascii="Times New Roman" w:hAnsi="Times New Roman"/>
                <w:b/>
                <w:spacing w:val="-1"/>
              </w:rPr>
              <w:t>c</w:t>
            </w:r>
            <w:r w:rsidRPr="005D78EE">
              <w:rPr>
                <w:rFonts w:ascii="Times New Roman" w:hAnsi="Times New Roman"/>
                <w:b/>
              </w:rPr>
              <w:t>h</w:t>
            </w:r>
            <w:r w:rsidRPr="005D78EE">
              <w:rPr>
                <w:rFonts w:ascii="Times New Roman" w:hAnsi="Times New Roman"/>
                <w:b/>
                <w:spacing w:val="-1"/>
              </w:rPr>
              <w:t>a</w:t>
            </w:r>
            <w:r w:rsidRPr="005D78EE">
              <w:rPr>
                <w:rFonts w:ascii="Times New Roman" w:hAnsi="Times New Roman"/>
                <w:b/>
              </w:rPr>
              <w:t>cej</w:t>
            </w:r>
          </w:p>
          <w:p w14:paraId="1931328A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sús</w:t>
            </w:r>
            <w:r w:rsidRPr="005D78EE">
              <w:rPr>
                <w:rFonts w:ascii="Times New Roman" w:hAnsi="Times New Roman"/>
                <w:b/>
                <w:spacing w:val="-1"/>
              </w:rPr>
              <w:t>t</w:t>
            </w:r>
            <w:r w:rsidRPr="005D78EE">
              <w:rPr>
                <w:rFonts w:ascii="Times New Roman" w:hAnsi="Times New Roman"/>
                <w:b/>
              </w:rPr>
              <w:t>av</w:t>
            </w:r>
            <w:r w:rsidRPr="005D78EE">
              <w:rPr>
                <w:rFonts w:ascii="Times New Roman" w:hAnsi="Times New Roman"/>
                <w:b/>
                <w:spacing w:val="-1"/>
              </w:rPr>
              <w:t>y</w:t>
            </w:r>
            <w:r w:rsidRPr="005D78EE">
              <w:rPr>
                <w:rFonts w:ascii="Times New Roman" w:hAnsi="Times New Roman"/>
                <w:b/>
              </w:rPr>
              <w:t>,</w:t>
            </w:r>
            <w:r w:rsidRPr="005D78EE">
              <w:rPr>
                <w:rFonts w:ascii="Times New Roman" w:hAnsi="Times New Roman"/>
                <w:b/>
                <w:spacing w:val="-1"/>
              </w:rPr>
              <w:t xml:space="preserve"> hr</w:t>
            </w:r>
            <w:r w:rsidRPr="005D78EE">
              <w:rPr>
                <w:rFonts w:ascii="Times New Roman" w:hAnsi="Times New Roman"/>
                <w:b/>
              </w:rPr>
              <w:t>u</w:t>
            </w:r>
            <w:r w:rsidRPr="005D78EE">
              <w:rPr>
                <w:rFonts w:ascii="Times New Roman" w:hAnsi="Times New Roman"/>
                <w:b/>
                <w:spacing w:val="-1"/>
              </w:rPr>
              <w:t>d</w:t>
            </w:r>
            <w:r w:rsidRPr="005D78EE">
              <w:rPr>
                <w:rFonts w:ascii="Times New Roman" w:hAnsi="Times New Roman"/>
                <w:b/>
              </w:rPr>
              <w:t>n</w:t>
            </w:r>
            <w:r w:rsidRPr="005D78EE">
              <w:rPr>
                <w:rFonts w:ascii="Times New Roman" w:hAnsi="Times New Roman"/>
                <w:b/>
                <w:spacing w:val="-2"/>
              </w:rPr>
              <w:t>í</w:t>
            </w:r>
            <w:r w:rsidRPr="005D78EE">
              <w:rPr>
                <w:rFonts w:ascii="Times New Roman" w:hAnsi="Times New Roman"/>
                <w:b/>
              </w:rPr>
              <w:t>ka a</w:t>
            </w:r>
            <w:r w:rsidR="009C562A" w:rsidRPr="002647F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D78EE">
              <w:rPr>
                <w:rFonts w:ascii="Times New Roman" w:hAnsi="Times New Roman"/>
                <w:b/>
              </w:rPr>
              <w:t>me</w:t>
            </w:r>
            <w:r w:rsidRPr="005D78EE">
              <w:rPr>
                <w:rFonts w:ascii="Times New Roman" w:hAnsi="Times New Roman"/>
                <w:b/>
                <w:spacing w:val="1"/>
              </w:rPr>
              <w:t>d</w:t>
            </w:r>
            <w:r w:rsidRPr="005D78EE">
              <w:rPr>
                <w:rFonts w:ascii="Times New Roman" w:hAnsi="Times New Roman"/>
                <w:b/>
              </w:rPr>
              <w:t>iastí</w:t>
            </w:r>
            <w:r w:rsidRPr="005D78EE">
              <w:rPr>
                <w:rFonts w:ascii="Times New Roman" w:hAnsi="Times New Roman"/>
                <w:b/>
                <w:spacing w:val="1"/>
              </w:rPr>
              <w:t>n</w:t>
            </w:r>
            <w:r w:rsidRPr="005D78EE">
              <w:rPr>
                <w:rFonts w:ascii="Times New Roman" w:hAnsi="Times New Roman"/>
                <w:b/>
              </w:rPr>
              <w:t>a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9D98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924E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Kašeľ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9C1E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064F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A416B" w:rsidRPr="005D78EE" w14:paraId="290A2368" w14:textId="77777777" w:rsidTr="005D78EE">
        <w:trPr>
          <w:trHeight w:hRule="exact" w:val="1056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7DF9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Poru</w:t>
            </w:r>
            <w:r w:rsidRPr="005D78EE">
              <w:rPr>
                <w:rFonts w:ascii="Times New Roman" w:hAnsi="Times New Roman"/>
                <w:b/>
                <w:spacing w:val="-1"/>
              </w:rPr>
              <w:t>c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y</w:t>
            </w:r>
          </w:p>
          <w:p w14:paraId="1A5B8FB4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proofErr w:type="spellStart"/>
            <w:r w:rsidRPr="005D78EE">
              <w:rPr>
                <w:rFonts w:ascii="Times New Roman" w:hAnsi="Times New Roman"/>
                <w:b/>
                <w:spacing w:val="1"/>
              </w:rPr>
              <w:t>g</w:t>
            </w:r>
            <w:r w:rsidRPr="005D78EE">
              <w:rPr>
                <w:rFonts w:ascii="Times New Roman" w:hAnsi="Times New Roman"/>
                <w:b/>
              </w:rPr>
              <w:t>astr</w:t>
            </w:r>
            <w:r w:rsidRPr="005D78EE">
              <w:rPr>
                <w:rFonts w:ascii="Times New Roman" w:hAnsi="Times New Roman"/>
                <w:b/>
                <w:spacing w:val="1"/>
              </w:rPr>
              <w:t>o</w:t>
            </w:r>
            <w:r w:rsidRPr="005D78EE">
              <w:rPr>
                <w:rFonts w:ascii="Times New Roman" w:hAnsi="Times New Roman"/>
                <w:b/>
              </w:rPr>
              <w:t>i</w:t>
            </w:r>
            <w:r w:rsidRPr="005D78EE">
              <w:rPr>
                <w:rFonts w:ascii="Times New Roman" w:hAnsi="Times New Roman"/>
                <w:b/>
                <w:spacing w:val="1"/>
              </w:rPr>
              <w:t>n</w:t>
            </w:r>
            <w:r w:rsidRPr="005D78EE">
              <w:rPr>
                <w:rFonts w:ascii="Times New Roman" w:hAnsi="Times New Roman"/>
                <w:b/>
              </w:rPr>
              <w:t>testi</w:t>
            </w:r>
            <w:r w:rsidRPr="005D78EE">
              <w:rPr>
                <w:rFonts w:ascii="Times New Roman" w:hAnsi="Times New Roman"/>
                <w:b/>
                <w:spacing w:val="1"/>
              </w:rPr>
              <w:t>n</w:t>
            </w:r>
            <w:r w:rsidRPr="005D78EE">
              <w:rPr>
                <w:rFonts w:ascii="Times New Roman" w:hAnsi="Times New Roman"/>
                <w:b/>
              </w:rPr>
              <w:t>á</w:t>
            </w:r>
            <w:r w:rsidRPr="005D78EE">
              <w:rPr>
                <w:rFonts w:ascii="Times New Roman" w:hAnsi="Times New Roman"/>
                <w:b/>
                <w:spacing w:val="-2"/>
              </w:rPr>
              <w:t>l</w:t>
            </w:r>
            <w:r w:rsidRPr="005D78EE">
              <w:rPr>
                <w:rFonts w:ascii="Times New Roman" w:hAnsi="Times New Roman"/>
                <w:b/>
                <w:spacing w:val="1"/>
              </w:rPr>
              <w:t>n</w:t>
            </w:r>
            <w:r w:rsidRPr="005D78EE">
              <w:rPr>
                <w:rFonts w:ascii="Times New Roman" w:hAnsi="Times New Roman"/>
                <w:b/>
              </w:rPr>
              <w:t>eho</w:t>
            </w:r>
            <w:proofErr w:type="spellEnd"/>
            <w:r w:rsidR="009C562A" w:rsidRPr="002647F1">
              <w:rPr>
                <w:rFonts w:ascii="Times New Roman" w:hAnsi="Times New Roman"/>
                <w:b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>tra</w:t>
            </w:r>
            <w:r w:rsidRPr="005D78EE">
              <w:rPr>
                <w:rFonts w:ascii="Times New Roman" w:hAnsi="Times New Roman"/>
                <w:b/>
                <w:spacing w:val="1"/>
              </w:rPr>
              <w:t>k</w:t>
            </w:r>
            <w:r w:rsidRPr="005D78EE">
              <w:rPr>
                <w:rFonts w:ascii="Times New Roman" w:hAnsi="Times New Roman"/>
                <w:b/>
              </w:rPr>
              <w:t>tu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A27D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4CB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B</w:t>
            </w:r>
            <w:r w:rsidRPr="005D78EE">
              <w:rPr>
                <w:rFonts w:ascii="Times New Roman" w:hAnsi="Times New Roman"/>
                <w:spacing w:val="1"/>
              </w:rPr>
              <w:t>o</w:t>
            </w:r>
            <w:r w:rsidRPr="005D78EE">
              <w:rPr>
                <w:rFonts w:ascii="Times New Roman" w:hAnsi="Times New Roman"/>
              </w:rPr>
              <w:t xml:space="preserve">lesť </w:t>
            </w:r>
            <w:r w:rsidRPr="005D78EE">
              <w:rPr>
                <w:rFonts w:ascii="Times New Roman" w:hAnsi="Times New Roman"/>
                <w:spacing w:val="-1"/>
              </w:rPr>
              <w:t>b</w:t>
            </w:r>
            <w:r w:rsidRPr="005D78EE">
              <w:rPr>
                <w:rFonts w:ascii="Times New Roman" w:hAnsi="Times New Roman"/>
              </w:rPr>
              <w:t>ru</w:t>
            </w:r>
            <w:r w:rsidRPr="005D78EE">
              <w:rPr>
                <w:rFonts w:ascii="Times New Roman" w:hAnsi="Times New Roman"/>
                <w:spacing w:val="-1"/>
              </w:rPr>
              <w:t>c</w:t>
            </w:r>
            <w:r w:rsidRPr="005D78EE">
              <w:rPr>
                <w:rFonts w:ascii="Times New Roman" w:hAnsi="Times New Roman"/>
              </w:rPr>
              <w:t>ha,</w:t>
            </w:r>
            <w:r w:rsidRPr="005D78EE">
              <w:rPr>
                <w:rFonts w:ascii="Times New Roman" w:hAnsi="Times New Roman"/>
                <w:spacing w:val="-1"/>
              </w:rPr>
              <w:t xml:space="preserve"> h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>ačk</w:t>
            </w:r>
            <w:r w:rsidRPr="005D78EE">
              <w:rPr>
                <w:rFonts w:ascii="Times New Roman" w:hAnsi="Times New Roman"/>
                <w:spacing w:val="-1"/>
              </w:rPr>
              <w:t>a</w:t>
            </w:r>
            <w:r w:rsidRPr="005D78EE">
              <w:rPr>
                <w:rFonts w:ascii="Times New Roman" w:hAnsi="Times New Roman"/>
              </w:rPr>
              <w:t>,</w:t>
            </w:r>
          </w:p>
          <w:p w14:paraId="3E5F725A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38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dysp</w:t>
            </w:r>
            <w:r w:rsidRPr="005D78EE">
              <w:rPr>
                <w:rFonts w:ascii="Times New Roman" w:hAnsi="Times New Roman"/>
                <w:spacing w:val="-1"/>
              </w:rPr>
              <w:t>e</w:t>
            </w:r>
            <w:r w:rsidRPr="005D78EE">
              <w:rPr>
                <w:rFonts w:ascii="Times New Roman" w:hAnsi="Times New Roman"/>
                <w:spacing w:val="1"/>
              </w:rPr>
              <w:t>p</w:t>
            </w:r>
            <w:r w:rsidRPr="005D78EE">
              <w:rPr>
                <w:rFonts w:ascii="Times New Roman" w:hAnsi="Times New Roman"/>
              </w:rPr>
              <w:t>sia</w:t>
            </w:r>
            <w:proofErr w:type="spellEnd"/>
            <w:r w:rsidRPr="005D78EE">
              <w:rPr>
                <w:rFonts w:ascii="Times New Roman" w:hAnsi="Times New Roman"/>
              </w:rPr>
              <w:t>,</w:t>
            </w:r>
            <w:r w:rsidRPr="005D78EE">
              <w:rPr>
                <w:rFonts w:ascii="Times New Roman" w:hAnsi="Times New Roman"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</w:rPr>
              <w:t>vr</w:t>
            </w:r>
            <w:r w:rsidRPr="005D78EE">
              <w:rPr>
                <w:rFonts w:ascii="Times New Roman" w:hAnsi="Times New Roman"/>
                <w:spacing w:val="-1"/>
              </w:rPr>
              <w:t>a</w:t>
            </w:r>
            <w:r w:rsidRPr="005D78EE">
              <w:rPr>
                <w:rFonts w:ascii="Times New Roman" w:hAnsi="Times New Roman"/>
              </w:rPr>
              <w:t xml:space="preserve">canie, </w:t>
            </w:r>
            <w:proofErr w:type="spellStart"/>
            <w:r w:rsidRPr="005D78EE">
              <w:rPr>
                <w:rFonts w:ascii="Times New Roman" w:hAnsi="Times New Roman"/>
              </w:rPr>
              <w:t>nauzea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C208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6DB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Pan</w:t>
            </w:r>
            <w:r w:rsidRPr="005D78EE">
              <w:rPr>
                <w:rFonts w:ascii="Times New Roman" w:hAnsi="Times New Roman"/>
                <w:spacing w:val="1"/>
              </w:rPr>
              <w:t>k</w:t>
            </w:r>
            <w:r w:rsidRPr="005D78EE">
              <w:rPr>
                <w:rFonts w:ascii="Times New Roman" w:hAnsi="Times New Roman"/>
              </w:rPr>
              <w:t>reatití</w:t>
            </w:r>
            <w:r w:rsidRPr="005D78EE">
              <w:rPr>
                <w:rFonts w:ascii="Times New Roman" w:hAnsi="Times New Roman"/>
                <w:spacing w:val="1"/>
              </w:rPr>
              <w:t>d</w:t>
            </w:r>
            <w:r w:rsidRPr="005D78EE">
              <w:rPr>
                <w:rFonts w:ascii="Times New Roman" w:hAnsi="Times New Roman"/>
              </w:rPr>
              <w:t>a</w:t>
            </w:r>
            <w:proofErr w:type="spellEnd"/>
          </w:p>
        </w:tc>
      </w:tr>
      <w:tr w:rsidR="008A416B" w:rsidRPr="005D78EE" w14:paraId="5CEC6CD0" w14:textId="77777777" w:rsidTr="005D78EE">
        <w:trPr>
          <w:trHeight w:hRule="exact" w:val="897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0A14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Poru</w:t>
            </w:r>
            <w:r w:rsidRPr="005D78EE">
              <w:rPr>
                <w:rFonts w:ascii="Times New Roman" w:hAnsi="Times New Roman"/>
                <w:b/>
                <w:spacing w:val="-1"/>
              </w:rPr>
              <w:t>c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y</w:t>
            </w:r>
            <w:r w:rsidRPr="005D78EE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>pečene a</w:t>
            </w:r>
          </w:p>
          <w:p w14:paraId="7A7844B4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žlčo</w:t>
            </w:r>
            <w:r w:rsidRPr="005D78EE">
              <w:rPr>
                <w:rFonts w:ascii="Times New Roman" w:hAnsi="Times New Roman"/>
                <w:b/>
                <w:spacing w:val="-1"/>
              </w:rPr>
              <w:t>v</w:t>
            </w:r>
            <w:r w:rsidRPr="005D78EE">
              <w:rPr>
                <w:rFonts w:ascii="Times New Roman" w:hAnsi="Times New Roman"/>
                <w:b/>
              </w:rPr>
              <w:t>ých</w:t>
            </w:r>
            <w:r w:rsidRPr="005D78EE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>ciest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AA5E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D774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47FF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29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Abn</w:t>
            </w:r>
            <w:r w:rsidRPr="005D78EE">
              <w:rPr>
                <w:rFonts w:ascii="Times New Roman" w:hAnsi="Times New Roman"/>
                <w:spacing w:val="1"/>
              </w:rPr>
              <w:t>o</w:t>
            </w:r>
            <w:r w:rsidRPr="005D78EE">
              <w:rPr>
                <w:rFonts w:ascii="Times New Roman" w:hAnsi="Times New Roman"/>
              </w:rPr>
              <w:t>r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>ál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 xml:space="preserve">e testy </w:t>
            </w:r>
            <w:r w:rsidRPr="005D78EE">
              <w:rPr>
                <w:rFonts w:ascii="Times New Roman" w:hAnsi="Times New Roman"/>
                <w:spacing w:val="1"/>
              </w:rPr>
              <w:t>p</w:t>
            </w:r>
            <w:r w:rsidRPr="005D78EE">
              <w:rPr>
                <w:rFonts w:ascii="Times New Roman" w:hAnsi="Times New Roman"/>
              </w:rPr>
              <w:t>eče</w:t>
            </w:r>
            <w:r w:rsidRPr="005D78EE">
              <w:rPr>
                <w:rFonts w:ascii="Times New Roman" w:hAnsi="Times New Roman"/>
                <w:spacing w:val="-1"/>
              </w:rPr>
              <w:t>ň</w:t>
            </w:r>
            <w:r w:rsidRPr="005D78EE">
              <w:rPr>
                <w:rFonts w:ascii="Times New Roman" w:hAnsi="Times New Roman"/>
              </w:rPr>
              <w:t>ovej funkci</w:t>
            </w:r>
            <w:r w:rsidRPr="005D78EE">
              <w:rPr>
                <w:rFonts w:ascii="Times New Roman" w:hAnsi="Times New Roman"/>
                <w:spacing w:val="-1"/>
              </w:rPr>
              <w:t>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C6B9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553"/>
              <w:jc w:val="both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 xml:space="preserve">Zlyhanie </w:t>
            </w:r>
            <w:r w:rsidRPr="005D78EE">
              <w:rPr>
                <w:rFonts w:ascii="Times New Roman" w:hAnsi="Times New Roman"/>
                <w:spacing w:val="1"/>
              </w:rPr>
              <w:t>p</w:t>
            </w:r>
            <w:r w:rsidRPr="005D78EE">
              <w:rPr>
                <w:rFonts w:ascii="Times New Roman" w:hAnsi="Times New Roman"/>
              </w:rPr>
              <w:t xml:space="preserve">ečene, </w:t>
            </w:r>
            <w:r w:rsidRPr="005D78EE">
              <w:rPr>
                <w:rFonts w:ascii="Times New Roman" w:hAnsi="Times New Roman"/>
                <w:spacing w:val="1"/>
              </w:rPr>
              <w:t>h</w:t>
            </w:r>
            <w:r w:rsidRPr="005D78EE">
              <w:rPr>
                <w:rFonts w:ascii="Times New Roman" w:hAnsi="Times New Roman"/>
              </w:rPr>
              <w:t>e</w:t>
            </w:r>
            <w:r w:rsidRPr="005D78EE">
              <w:rPr>
                <w:rFonts w:ascii="Times New Roman" w:hAnsi="Times New Roman"/>
                <w:spacing w:val="1"/>
              </w:rPr>
              <w:t>p</w:t>
            </w:r>
            <w:r w:rsidRPr="005D78EE">
              <w:rPr>
                <w:rFonts w:ascii="Times New Roman" w:hAnsi="Times New Roman"/>
              </w:rPr>
              <w:t>atití</w:t>
            </w:r>
            <w:r w:rsidRPr="005D78EE">
              <w:rPr>
                <w:rFonts w:ascii="Times New Roman" w:hAnsi="Times New Roman"/>
                <w:spacing w:val="1"/>
              </w:rPr>
              <w:t>d</w:t>
            </w:r>
            <w:r w:rsidRPr="005D78EE">
              <w:rPr>
                <w:rFonts w:ascii="Times New Roman" w:hAnsi="Times New Roman"/>
              </w:rPr>
              <w:t>a</w:t>
            </w:r>
          </w:p>
        </w:tc>
      </w:tr>
      <w:tr w:rsidR="008A416B" w:rsidRPr="005D78EE" w14:paraId="24CB4165" w14:textId="77777777" w:rsidTr="005D78EE">
        <w:trPr>
          <w:trHeight w:hRule="exact" w:val="214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5DF2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P</w:t>
            </w:r>
            <w:r w:rsidRPr="005D78EE">
              <w:rPr>
                <w:rFonts w:ascii="Times New Roman" w:hAnsi="Times New Roman"/>
                <w:b/>
                <w:spacing w:val="1"/>
              </w:rPr>
              <w:t>o</w:t>
            </w:r>
            <w:r w:rsidRPr="005D78EE">
              <w:rPr>
                <w:rFonts w:ascii="Times New Roman" w:hAnsi="Times New Roman"/>
                <w:b/>
                <w:spacing w:val="-1"/>
              </w:rPr>
              <w:t>r</w:t>
            </w:r>
            <w:r w:rsidRPr="005D78EE">
              <w:rPr>
                <w:rFonts w:ascii="Times New Roman" w:hAnsi="Times New Roman"/>
                <w:b/>
                <w:spacing w:val="1"/>
              </w:rPr>
              <w:t>u</w:t>
            </w:r>
            <w:r w:rsidRPr="005D78EE">
              <w:rPr>
                <w:rFonts w:ascii="Times New Roman" w:hAnsi="Times New Roman"/>
                <w:b/>
                <w:spacing w:val="-1"/>
              </w:rPr>
              <w:t>c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y</w:t>
            </w:r>
            <w:r w:rsidRPr="005D78EE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78EE">
              <w:rPr>
                <w:rFonts w:ascii="Times New Roman" w:hAnsi="Times New Roman"/>
                <w:b/>
                <w:spacing w:val="1"/>
              </w:rPr>
              <w:t>ko</w:t>
            </w:r>
            <w:r w:rsidRPr="005D78EE">
              <w:rPr>
                <w:rFonts w:ascii="Times New Roman" w:hAnsi="Times New Roman"/>
                <w:b/>
              </w:rPr>
              <w:t>že</w:t>
            </w:r>
            <w:r w:rsidRPr="005D78EE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>a</w:t>
            </w:r>
          </w:p>
          <w:p w14:paraId="1C7C0CD2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  <w:spacing w:val="1"/>
              </w:rPr>
              <w:t>p</w:t>
            </w:r>
            <w:r w:rsidRPr="005D78EE">
              <w:rPr>
                <w:rFonts w:ascii="Times New Roman" w:hAnsi="Times New Roman"/>
                <w:b/>
                <w:spacing w:val="-1"/>
              </w:rPr>
              <w:t>od</w:t>
            </w:r>
            <w:r w:rsidRPr="005D78EE">
              <w:rPr>
                <w:rFonts w:ascii="Times New Roman" w:hAnsi="Times New Roman"/>
                <w:b/>
                <w:spacing w:val="1"/>
              </w:rPr>
              <w:t>ko</w:t>
            </w:r>
            <w:r w:rsidRPr="005D78EE">
              <w:rPr>
                <w:rFonts w:ascii="Times New Roman" w:hAnsi="Times New Roman"/>
                <w:b/>
                <w:spacing w:val="-1"/>
              </w:rPr>
              <w:t>ž</w:t>
            </w:r>
            <w:r w:rsidRPr="005D78EE">
              <w:rPr>
                <w:rFonts w:ascii="Times New Roman" w:hAnsi="Times New Roman"/>
                <w:b/>
                <w:spacing w:val="1"/>
              </w:rPr>
              <w:t>n</w:t>
            </w:r>
            <w:r w:rsidRPr="005D78EE">
              <w:rPr>
                <w:rFonts w:ascii="Times New Roman" w:hAnsi="Times New Roman"/>
                <w:b/>
                <w:spacing w:val="-1"/>
              </w:rPr>
              <w:t>é</w:t>
            </w:r>
            <w:r w:rsidRPr="005D78EE">
              <w:rPr>
                <w:rFonts w:ascii="Times New Roman" w:hAnsi="Times New Roman"/>
                <w:b/>
                <w:spacing w:val="1"/>
              </w:rPr>
              <w:t>ho</w:t>
            </w:r>
          </w:p>
          <w:p w14:paraId="5E048A29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t</w:t>
            </w:r>
            <w:r w:rsidRPr="005D78EE">
              <w:rPr>
                <w:rFonts w:ascii="Times New Roman" w:hAnsi="Times New Roman"/>
                <w:b/>
                <w:spacing w:val="1"/>
              </w:rPr>
              <w:t>k</w:t>
            </w:r>
            <w:r w:rsidRPr="005D78EE">
              <w:rPr>
                <w:rFonts w:ascii="Times New Roman" w:hAnsi="Times New Roman"/>
                <w:b/>
              </w:rPr>
              <w:t>a</w:t>
            </w:r>
            <w:r w:rsidRPr="005D78EE">
              <w:rPr>
                <w:rFonts w:ascii="Times New Roman" w:hAnsi="Times New Roman"/>
                <w:b/>
                <w:spacing w:val="1"/>
              </w:rPr>
              <w:t>n</w:t>
            </w:r>
            <w:r w:rsidRPr="005D78EE">
              <w:rPr>
                <w:rFonts w:ascii="Times New Roman" w:hAnsi="Times New Roman"/>
                <w:b/>
              </w:rPr>
              <w:t>i</w:t>
            </w:r>
            <w:r w:rsidRPr="005D78EE">
              <w:rPr>
                <w:rFonts w:ascii="Times New Roman" w:hAnsi="Times New Roman"/>
                <w:b/>
                <w:spacing w:val="1"/>
              </w:rPr>
              <w:t>v</w:t>
            </w:r>
            <w:r w:rsidRPr="005D78EE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37BC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643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Vyrá</w:t>
            </w:r>
            <w:r w:rsidRPr="005D78EE">
              <w:rPr>
                <w:rFonts w:ascii="Times New Roman" w:hAnsi="Times New Roman"/>
                <w:spacing w:val="-1"/>
              </w:rPr>
              <w:t>ž</w:t>
            </w:r>
            <w:r w:rsidRPr="005D78EE">
              <w:rPr>
                <w:rFonts w:ascii="Times New Roman" w:hAnsi="Times New Roman"/>
                <w:spacing w:val="1"/>
              </w:rPr>
              <w:t>k</w:t>
            </w:r>
            <w:r w:rsidRPr="005D78EE">
              <w:rPr>
                <w:rFonts w:ascii="Times New Roman" w:hAnsi="Times New Roman"/>
              </w:rPr>
              <w:t>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08FE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Alopécia</w:t>
            </w:r>
            <w:proofErr w:type="spellEnd"/>
            <w:r w:rsidRPr="005D78EE">
              <w:rPr>
                <w:rFonts w:ascii="Times New Roman" w:hAnsi="Times New Roman"/>
              </w:rPr>
              <w:t>,</w:t>
            </w:r>
            <w:r w:rsidRPr="005D78EE">
              <w:rPr>
                <w:rFonts w:ascii="Times New Roman" w:hAnsi="Times New Roman"/>
                <w:spacing w:val="1"/>
              </w:rPr>
              <w:t xml:space="preserve"> </w:t>
            </w:r>
            <w:r w:rsidRPr="005D78EE">
              <w:rPr>
                <w:rFonts w:ascii="Times New Roman" w:hAnsi="Times New Roman"/>
                <w:spacing w:val="-1"/>
              </w:rPr>
              <w:t>ek</w:t>
            </w:r>
            <w:r w:rsidRPr="005D78EE">
              <w:rPr>
                <w:rFonts w:ascii="Times New Roman" w:hAnsi="Times New Roman"/>
              </w:rPr>
              <w:t>zé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>,</w:t>
            </w:r>
          </w:p>
          <w:p w14:paraId="4344CD64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p</w:t>
            </w:r>
            <w:r w:rsidRPr="005D78EE">
              <w:rPr>
                <w:rFonts w:ascii="Times New Roman" w:hAnsi="Times New Roman"/>
                <w:spacing w:val="-1"/>
              </w:rPr>
              <w:t>r</w:t>
            </w:r>
            <w:r w:rsidRPr="005D78EE">
              <w:rPr>
                <w:rFonts w:ascii="Times New Roman" w:hAnsi="Times New Roman"/>
              </w:rPr>
              <w:t>urit</w:t>
            </w:r>
            <w:r w:rsidRPr="005D78EE">
              <w:rPr>
                <w:rFonts w:ascii="Times New Roman" w:hAnsi="Times New Roman"/>
                <w:spacing w:val="-1"/>
              </w:rPr>
              <w:t>u</w:t>
            </w:r>
            <w:r w:rsidRPr="005D78EE">
              <w:rPr>
                <w:rFonts w:ascii="Times New Roman" w:hAnsi="Times New Roman"/>
              </w:rPr>
              <w:t>s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5C5B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Toxická</w:t>
            </w:r>
          </w:p>
          <w:p w14:paraId="274BDF89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449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e</w:t>
            </w:r>
            <w:r w:rsidRPr="005D78EE">
              <w:rPr>
                <w:rFonts w:ascii="Times New Roman" w:hAnsi="Times New Roman"/>
                <w:spacing w:val="1"/>
              </w:rPr>
              <w:t>p</w:t>
            </w:r>
            <w:r w:rsidRPr="005D78EE">
              <w:rPr>
                <w:rFonts w:ascii="Times New Roman" w:hAnsi="Times New Roman"/>
              </w:rPr>
              <w:t>i</w:t>
            </w:r>
            <w:r w:rsidRPr="005D78EE">
              <w:rPr>
                <w:rFonts w:ascii="Times New Roman" w:hAnsi="Times New Roman"/>
                <w:spacing w:val="1"/>
              </w:rPr>
              <w:t>d</w:t>
            </w:r>
            <w:r w:rsidRPr="005D78EE">
              <w:rPr>
                <w:rFonts w:ascii="Times New Roman" w:hAnsi="Times New Roman"/>
              </w:rPr>
              <w:t>er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>ál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</w:rPr>
              <w:t>a</w:t>
            </w:r>
            <w:proofErr w:type="spellEnd"/>
            <w:r w:rsidRPr="005D78EE">
              <w:rPr>
                <w:rFonts w:ascii="Times New Roman" w:hAnsi="Times New Roman"/>
              </w:rPr>
              <w:t xml:space="preserve"> </w:t>
            </w:r>
            <w:proofErr w:type="spellStart"/>
            <w:r w:rsidRPr="005D78EE">
              <w:rPr>
                <w:rFonts w:ascii="Times New Roman" w:hAnsi="Times New Roman"/>
              </w:rPr>
              <w:t>ne</w:t>
            </w:r>
            <w:r w:rsidRPr="005D78EE">
              <w:rPr>
                <w:rFonts w:ascii="Times New Roman" w:hAnsi="Times New Roman"/>
                <w:spacing w:val="-1"/>
              </w:rPr>
              <w:t>kr</w:t>
            </w:r>
            <w:r w:rsidRPr="005D78EE">
              <w:rPr>
                <w:rFonts w:ascii="Times New Roman" w:hAnsi="Times New Roman"/>
              </w:rPr>
              <w:t>olýza</w:t>
            </w:r>
            <w:proofErr w:type="spellEnd"/>
            <w:r w:rsidRPr="005D78EE">
              <w:rPr>
                <w:rFonts w:ascii="Times New Roman" w:hAnsi="Times New Roman"/>
              </w:rPr>
              <w:t xml:space="preserve">, </w:t>
            </w:r>
            <w:proofErr w:type="spellStart"/>
            <w:r w:rsidRPr="005D78EE">
              <w:rPr>
                <w:rFonts w:ascii="Times New Roman" w:hAnsi="Times New Roman"/>
              </w:rPr>
              <w:t>Stevensov</w:t>
            </w:r>
            <w:proofErr w:type="spellEnd"/>
            <w:r w:rsidRPr="005D78EE">
              <w:rPr>
                <w:rFonts w:ascii="Times New Roman" w:hAnsi="Times New Roman"/>
              </w:rPr>
              <w:t xml:space="preserve">- </w:t>
            </w:r>
            <w:proofErr w:type="spellStart"/>
            <w:r w:rsidRPr="005D78EE">
              <w:rPr>
                <w:rFonts w:ascii="Times New Roman" w:hAnsi="Times New Roman"/>
                <w:spacing w:val="1"/>
              </w:rPr>
              <w:t>Jo</w:t>
            </w:r>
            <w:r w:rsidRPr="005D78EE">
              <w:rPr>
                <w:rFonts w:ascii="Times New Roman" w:hAnsi="Times New Roman"/>
                <w:spacing w:val="-1"/>
              </w:rPr>
              <w:t>h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  <w:spacing w:val="-1"/>
              </w:rPr>
              <w:t>so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  <w:spacing w:val="-1"/>
              </w:rPr>
              <w:t>o</w:t>
            </w:r>
            <w:r w:rsidRPr="005D78EE">
              <w:rPr>
                <w:rFonts w:ascii="Times New Roman" w:hAnsi="Times New Roman"/>
              </w:rPr>
              <w:t>v</w:t>
            </w:r>
            <w:proofErr w:type="spellEnd"/>
            <w:r w:rsidRPr="005D78EE">
              <w:rPr>
                <w:rFonts w:ascii="Times New Roman" w:hAnsi="Times New Roman"/>
              </w:rPr>
              <w:t xml:space="preserve"> syndró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</w:rPr>
              <w:t xml:space="preserve">, </w:t>
            </w:r>
            <w:proofErr w:type="spellStart"/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  <w:spacing w:val="1"/>
              </w:rPr>
              <w:t>ul</w:t>
            </w:r>
            <w:r w:rsidRPr="005D78EE">
              <w:rPr>
                <w:rFonts w:ascii="Times New Roman" w:hAnsi="Times New Roman"/>
              </w:rPr>
              <w:t>tif</w:t>
            </w:r>
            <w:r w:rsidRPr="005D78EE">
              <w:rPr>
                <w:rFonts w:ascii="Times New Roman" w:hAnsi="Times New Roman"/>
                <w:spacing w:val="1"/>
              </w:rPr>
              <w:t>or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r w:rsidRPr="005D78EE">
              <w:rPr>
                <w:rFonts w:ascii="Times New Roman" w:hAnsi="Times New Roman"/>
                <w:spacing w:val="1"/>
              </w:rPr>
              <w:t>ný</w:t>
            </w:r>
            <w:proofErr w:type="spellEnd"/>
            <w:r w:rsidRPr="005D78EE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5D78EE">
              <w:rPr>
                <w:rFonts w:ascii="Times New Roman" w:hAnsi="Times New Roman"/>
              </w:rPr>
              <w:t>eryt</w:t>
            </w:r>
            <w:r w:rsidRPr="005D78EE">
              <w:rPr>
                <w:rFonts w:ascii="Times New Roman" w:hAnsi="Times New Roman"/>
                <w:spacing w:val="1"/>
              </w:rPr>
              <w:t>é</w:t>
            </w:r>
            <w:r w:rsidRPr="005D78EE">
              <w:rPr>
                <w:rFonts w:ascii="Times New Roman" w:hAnsi="Times New Roman"/>
                <w:spacing w:val="-2"/>
              </w:rPr>
              <w:t>m</w:t>
            </w:r>
            <w:proofErr w:type="spellEnd"/>
          </w:p>
        </w:tc>
      </w:tr>
      <w:tr w:rsidR="008A416B" w:rsidRPr="005D78EE" w14:paraId="5286C58E" w14:textId="77777777" w:rsidTr="005D78EE">
        <w:trPr>
          <w:trHeight w:hRule="exact" w:val="1098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8321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P</w:t>
            </w:r>
            <w:r w:rsidRPr="005D78EE">
              <w:rPr>
                <w:rFonts w:ascii="Times New Roman" w:hAnsi="Times New Roman"/>
                <w:b/>
                <w:spacing w:val="1"/>
              </w:rPr>
              <w:t>o</w:t>
            </w:r>
            <w:r w:rsidRPr="005D78EE">
              <w:rPr>
                <w:rFonts w:ascii="Times New Roman" w:hAnsi="Times New Roman"/>
                <w:b/>
              </w:rPr>
              <w:t>r</w:t>
            </w:r>
            <w:r w:rsidRPr="005D78EE">
              <w:rPr>
                <w:rFonts w:ascii="Times New Roman" w:hAnsi="Times New Roman"/>
                <w:b/>
                <w:spacing w:val="1"/>
              </w:rPr>
              <w:t>u</w:t>
            </w:r>
            <w:r w:rsidRPr="005D78EE">
              <w:rPr>
                <w:rFonts w:ascii="Times New Roman" w:hAnsi="Times New Roman"/>
                <w:b/>
              </w:rPr>
              <w:t>c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y</w:t>
            </w:r>
            <w:r w:rsidRPr="005D78EE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  <w:b/>
                <w:spacing w:val="1"/>
              </w:rPr>
              <w:t>ko</w:t>
            </w:r>
            <w:r w:rsidRPr="005D78EE">
              <w:rPr>
                <w:rFonts w:ascii="Times New Roman" w:hAnsi="Times New Roman"/>
                <w:b/>
              </w:rPr>
              <w:t>s</w:t>
            </w:r>
            <w:r w:rsidRPr="005D78EE">
              <w:rPr>
                <w:rFonts w:ascii="Times New Roman" w:hAnsi="Times New Roman"/>
                <w:b/>
                <w:spacing w:val="-2"/>
              </w:rPr>
              <w:t>t</w:t>
            </w:r>
            <w:r w:rsidRPr="005D78EE">
              <w:rPr>
                <w:rFonts w:ascii="Times New Roman" w:hAnsi="Times New Roman"/>
                <w:b/>
                <w:spacing w:val="1"/>
              </w:rPr>
              <w:t>r</w:t>
            </w:r>
            <w:r w:rsidRPr="005D78EE">
              <w:rPr>
                <w:rFonts w:ascii="Times New Roman" w:hAnsi="Times New Roman"/>
                <w:b/>
              </w:rPr>
              <w:t>o</w:t>
            </w:r>
            <w:r w:rsidRPr="005D78EE">
              <w:rPr>
                <w:rFonts w:ascii="Times New Roman" w:hAnsi="Times New Roman"/>
                <w:b/>
                <w:spacing w:val="1"/>
              </w:rPr>
              <w:t>v</w:t>
            </w:r>
            <w:r w:rsidRPr="005D78EE">
              <w:rPr>
                <w:rFonts w:ascii="Times New Roman" w:hAnsi="Times New Roman"/>
                <w:b/>
              </w:rPr>
              <w:t>ej a</w:t>
            </w:r>
            <w:r w:rsidR="00D75117" w:rsidRPr="002647F1">
              <w:rPr>
                <w:rFonts w:ascii="Times New Roman" w:hAnsi="Times New Roman"/>
                <w:b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>s</w:t>
            </w:r>
            <w:r w:rsidRPr="005D78EE">
              <w:rPr>
                <w:rFonts w:ascii="Times New Roman" w:hAnsi="Times New Roman"/>
                <w:b/>
                <w:spacing w:val="1"/>
              </w:rPr>
              <w:t>v</w:t>
            </w:r>
            <w:r w:rsidRPr="005D78EE">
              <w:rPr>
                <w:rFonts w:ascii="Times New Roman" w:hAnsi="Times New Roman"/>
                <w:b/>
              </w:rPr>
              <w:t>alo</w:t>
            </w:r>
            <w:r w:rsidRPr="005D78EE">
              <w:rPr>
                <w:rFonts w:ascii="Times New Roman" w:hAnsi="Times New Roman"/>
                <w:b/>
                <w:spacing w:val="1"/>
              </w:rPr>
              <w:t>v</w:t>
            </w:r>
            <w:r w:rsidRPr="005D78EE">
              <w:rPr>
                <w:rFonts w:ascii="Times New Roman" w:hAnsi="Times New Roman"/>
                <w:b/>
              </w:rPr>
              <w:t>ej</w:t>
            </w:r>
            <w:r w:rsidRPr="005D78EE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>s</w:t>
            </w:r>
            <w:r w:rsidRPr="005D78EE">
              <w:rPr>
                <w:rFonts w:ascii="Times New Roman" w:hAnsi="Times New Roman"/>
                <w:b/>
                <w:spacing w:val="1"/>
              </w:rPr>
              <w:t>ú</w:t>
            </w:r>
            <w:r w:rsidRPr="005D78EE">
              <w:rPr>
                <w:rFonts w:ascii="Times New Roman" w:hAnsi="Times New Roman"/>
                <w:b/>
              </w:rPr>
              <w:t>stavy a</w:t>
            </w:r>
            <w:r w:rsidR="00D75117" w:rsidRPr="002647F1">
              <w:rPr>
                <w:rFonts w:ascii="Times New Roman" w:hAnsi="Times New Roman"/>
                <w:b/>
              </w:rPr>
              <w:t xml:space="preserve"> </w:t>
            </w:r>
            <w:r w:rsidRPr="005D78EE">
              <w:rPr>
                <w:rFonts w:ascii="Times New Roman" w:hAnsi="Times New Roman"/>
                <w:b/>
                <w:spacing w:val="-1"/>
              </w:rPr>
              <w:t>s</w:t>
            </w:r>
            <w:r w:rsidRPr="005D78EE">
              <w:rPr>
                <w:rFonts w:ascii="Times New Roman" w:hAnsi="Times New Roman"/>
                <w:b/>
                <w:spacing w:val="1"/>
              </w:rPr>
              <w:t>p</w:t>
            </w:r>
            <w:r w:rsidRPr="005D78EE">
              <w:rPr>
                <w:rFonts w:ascii="Times New Roman" w:hAnsi="Times New Roman"/>
                <w:b/>
                <w:spacing w:val="-1"/>
              </w:rPr>
              <w:t>o</w:t>
            </w:r>
            <w:r w:rsidRPr="005D78EE">
              <w:rPr>
                <w:rFonts w:ascii="Times New Roman" w:hAnsi="Times New Roman"/>
                <w:b/>
                <w:spacing w:val="1"/>
              </w:rPr>
              <w:t>j</w:t>
            </w:r>
            <w:r w:rsidRPr="005D78EE">
              <w:rPr>
                <w:rFonts w:ascii="Times New Roman" w:hAnsi="Times New Roman"/>
                <w:b/>
                <w:spacing w:val="-2"/>
              </w:rPr>
              <w:t>i</w:t>
            </w:r>
            <w:r w:rsidRPr="005D78EE">
              <w:rPr>
                <w:rFonts w:ascii="Times New Roman" w:hAnsi="Times New Roman"/>
                <w:b/>
                <w:spacing w:val="1"/>
              </w:rPr>
              <w:t>v</w:t>
            </w:r>
            <w:r w:rsidRPr="005D78EE">
              <w:rPr>
                <w:rFonts w:ascii="Times New Roman" w:hAnsi="Times New Roman"/>
                <w:b/>
                <w:spacing w:val="-1"/>
              </w:rPr>
              <w:t>o</w:t>
            </w:r>
            <w:r w:rsidRPr="005D78EE">
              <w:rPr>
                <w:rFonts w:ascii="Times New Roman" w:hAnsi="Times New Roman"/>
                <w:b/>
                <w:spacing w:val="1"/>
              </w:rPr>
              <w:t>v</w:t>
            </w:r>
            <w:r w:rsidRPr="005D78EE">
              <w:rPr>
                <w:rFonts w:ascii="Times New Roman" w:hAnsi="Times New Roman"/>
                <w:b/>
                <w:spacing w:val="-1"/>
              </w:rPr>
              <w:t>é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o</w:t>
            </w:r>
          </w:p>
          <w:p w14:paraId="09EB4EC0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t</w:t>
            </w:r>
            <w:r w:rsidRPr="005D78EE">
              <w:rPr>
                <w:rFonts w:ascii="Times New Roman" w:hAnsi="Times New Roman"/>
                <w:b/>
                <w:spacing w:val="1"/>
              </w:rPr>
              <w:t>k</w:t>
            </w:r>
            <w:r w:rsidRPr="005D78EE">
              <w:rPr>
                <w:rFonts w:ascii="Times New Roman" w:hAnsi="Times New Roman"/>
                <w:b/>
              </w:rPr>
              <w:t>a</w:t>
            </w:r>
            <w:r w:rsidRPr="005D78EE">
              <w:rPr>
                <w:rFonts w:ascii="Times New Roman" w:hAnsi="Times New Roman"/>
                <w:b/>
                <w:spacing w:val="1"/>
              </w:rPr>
              <w:t>n</w:t>
            </w:r>
            <w:r w:rsidRPr="005D78EE">
              <w:rPr>
                <w:rFonts w:ascii="Times New Roman" w:hAnsi="Times New Roman"/>
                <w:b/>
              </w:rPr>
              <w:t>i</w:t>
            </w:r>
            <w:r w:rsidRPr="005D78EE">
              <w:rPr>
                <w:rFonts w:ascii="Times New Roman" w:hAnsi="Times New Roman"/>
                <w:b/>
                <w:spacing w:val="1"/>
              </w:rPr>
              <w:t>v</w:t>
            </w:r>
            <w:r w:rsidRPr="005D78EE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359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CEA1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D366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Svalová</w:t>
            </w:r>
            <w:r w:rsidRPr="005D78EE">
              <w:rPr>
                <w:rFonts w:ascii="Times New Roman" w:hAnsi="Times New Roman"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</w:rPr>
              <w:t>slabo</w:t>
            </w:r>
            <w:r w:rsidRPr="005D78EE">
              <w:rPr>
                <w:rFonts w:ascii="Times New Roman" w:hAnsi="Times New Roman"/>
                <w:spacing w:val="-2"/>
              </w:rPr>
              <w:t>s</w:t>
            </w:r>
            <w:r w:rsidRPr="005D78EE">
              <w:rPr>
                <w:rFonts w:ascii="Times New Roman" w:hAnsi="Times New Roman"/>
              </w:rPr>
              <w:t>ť,</w:t>
            </w:r>
          </w:p>
          <w:p w14:paraId="2261D2E3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5D78EE">
              <w:rPr>
                <w:rFonts w:ascii="Times New Roman" w:hAnsi="Times New Roman"/>
              </w:rPr>
              <w:t>myalgia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22C8" w14:textId="77777777" w:rsidR="006A6569" w:rsidRPr="002B72DA" w:rsidRDefault="006A6569" w:rsidP="006A656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B72DA">
              <w:rPr>
                <w:sz w:val="22"/>
                <w:szCs w:val="22"/>
              </w:rPr>
              <w:t>Rabdomyolýza</w:t>
            </w:r>
            <w:proofErr w:type="spellEnd"/>
            <w:r w:rsidRPr="002B72DA">
              <w:rPr>
                <w:sz w:val="22"/>
                <w:szCs w:val="22"/>
              </w:rPr>
              <w:t xml:space="preserve"> </w:t>
            </w:r>
          </w:p>
          <w:p w14:paraId="1DE41859" w14:textId="4A7E4A3E" w:rsidR="008A416B" w:rsidRPr="005D78EE" w:rsidRDefault="006A6569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72DA">
              <w:rPr>
                <w:rFonts w:ascii="Times New Roman" w:hAnsi="Times New Roman"/>
              </w:rPr>
              <w:t xml:space="preserve">a zvýšenie hladiny </w:t>
            </w:r>
            <w:proofErr w:type="spellStart"/>
            <w:r w:rsidRPr="002B72DA">
              <w:rPr>
                <w:rFonts w:ascii="Times New Roman" w:hAnsi="Times New Roman"/>
              </w:rPr>
              <w:t>kreatínfosfokinázy</w:t>
            </w:r>
            <w:proofErr w:type="spellEnd"/>
            <w:r w:rsidRPr="002B72DA">
              <w:rPr>
                <w:rFonts w:ascii="Times New Roman" w:hAnsi="Times New Roman"/>
              </w:rPr>
              <w:t xml:space="preserve"> v krvi*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A6569" w:rsidRPr="005D78EE" w14:paraId="5E274608" w14:textId="77777777" w:rsidTr="005D78EE">
        <w:trPr>
          <w:trHeight w:hRule="exact" w:val="1098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0277" w14:textId="77777777" w:rsidR="006A6569" w:rsidRPr="002B72DA" w:rsidRDefault="006A6569" w:rsidP="006A6569">
            <w:pPr>
              <w:pStyle w:val="Default"/>
              <w:rPr>
                <w:b/>
                <w:sz w:val="22"/>
                <w:szCs w:val="22"/>
              </w:rPr>
            </w:pPr>
            <w:r w:rsidRPr="002B72DA">
              <w:rPr>
                <w:b/>
                <w:sz w:val="22"/>
                <w:szCs w:val="22"/>
              </w:rPr>
              <w:lastRenderedPageBreak/>
              <w:t xml:space="preserve">Poruchy obličiek </w:t>
            </w:r>
          </w:p>
          <w:p w14:paraId="2AB2762F" w14:textId="77777777" w:rsidR="006A6569" w:rsidRPr="0017457A" w:rsidRDefault="006A6569" w:rsidP="002B72D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/>
              </w:rPr>
            </w:pPr>
            <w:r w:rsidRPr="002B72DA">
              <w:rPr>
                <w:rFonts w:ascii="Times New Roman" w:hAnsi="Times New Roman"/>
                <w:b/>
              </w:rPr>
              <w:t>a močových ciest</w:t>
            </w:r>
            <w:r w:rsidRPr="002B72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B295" w14:textId="77777777" w:rsidR="006A6569" w:rsidRPr="0017457A" w:rsidRDefault="006A6569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B8E0" w14:textId="77777777" w:rsidR="006A6569" w:rsidRPr="00676A48" w:rsidRDefault="006A6569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2C70" w14:textId="77777777" w:rsidR="006A6569" w:rsidRPr="006A6569" w:rsidRDefault="006A6569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8DF8" w14:textId="42F3B9F7" w:rsidR="006A6569" w:rsidRPr="002B72DA" w:rsidRDefault="006A6569" w:rsidP="006A6569">
            <w:pPr>
              <w:pStyle w:val="Default"/>
              <w:rPr>
                <w:sz w:val="22"/>
                <w:szCs w:val="22"/>
              </w:rPr>
            </w:pPr>
            <w:r w:rsidRPr="002B72DA">
              <w:rPr>
                <w:sz w:val="22"/>
                <w:szCs w:val="22"/>
              </w:rPr>
              <w:t xml:space="preserve">Akútne </w:t>
            </w:r>
            <w:proofErr w:type="spellStart"/>
            <w:r w:rsidR="00676A48">
              <w:rPr>
                <w:sz w:val="22"/>
                <w:szCs w:val="22"/>
              </w:rPr>
              <w:t>poškodenie</w:t>
            </w:r>
            <w:r w:rsidRPr="002B72DA">
              <w:rPr>
                <w:sz w:val="22"/>
                <w:szCs w:val="22"/>
              </w:rPr>
              <w:t>obličiek</w:t>
            </w:r>
            <w:proofErr w:type="spellEnd"/>
            <w:r w:rsidRPr="002B72DA">
              <w:rPr>
                <w:sz w:val="22"/>
                <w:szCs w:val="22"/>
              </w:rPr>
              <w:t xml:space="preserve"> </w:t>
            </w:r>
          </w:p>
          <w:p w14:paraId="63D42F4B" w14:textId="77777777" w:rsidR="006A6569" w:rsidRPr="0017457A" w:rsidRDefault="006A6569" w:rsidP="006A6569">
            <w:pPr>
              <w:pStyle w:val="Default"/>
              <w:rPr>
                <w:sz w:val="22"/>
                <w:szCs w:val="22"/>
              </w:rPr>
            </w:pPr>
          </w:p>
        </w:tc>
      </w:tr>
      <w:tr w:rsidR="008A416B" w:rsidRPr="005D78EE" w14:paraId="3C6D3180" w14:textId="77777777" w:rsidTr="005D78EE">
        <w:trPr>
          <w:trHeight w:hRule="exact" w:val="878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AD68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  <w:spacing w:val="-1"/>
              </w:rPr>
              <w:t>Cel</w:t>
            </w:r>
            <w:r w:rsidRPr="005D78EE">
              <w:rPr>
                <w:rFonts w:ascii="Times New Roman" w:hAnsi="Times New Roman"/>
                <w:b/>
                <w:spacing w:val="1"/>
              </w:rPr>
              <w:t>k</w:t>
            </w:r>
            <w:r w:rsidRPr="005D78EE">
              <w:rPr>
                <w:rFonts w:ascii="Times New Roman" w:hAnsi="Times New Roman"/>
                <w:b/>
                <w:spacing w:val="-1"/>
              </w:rPr>
              <w:t>o</w:t>
            </w:r>
            <w:r w:rsidRPr="005D78EE">
              <w:rPr>
                <w:rFonts w:ascii="Times New Roman" w:hAnsi="Times New Roman"/>
                <w:b/>
                <w:spacing w:val="1"/>
              </w:rPr>
              <w:t>v</w:t>
            </w:r>
            <w:r w:rsidRPr="005D78EE">
              <w:rPr>
                <w:rFonts w:ascii="Times New Roman" w:hAnsi="Times New Roman"/>
                <w:b/>
              </w:rPr>
              <w:t>é</w:t>
            </w:r>
            <w:r w:rsidRPr="005D78EE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  <w:b/>
                <w:spacing w:val="1"/>
              </w:rPr>
              <w:t>p</w:t>
            </w:r>
            <w:r w:rsidRPr="005D78EE">
              <w:rPr>
                <w:rFonts w:ascii="Times New Roman" w:hAnsi="Times New Roman"/>
                <w:b/>
                <w:spacing w:val="-1"/>
              </w:rPr>
              <w:t>o</w:t>
            </w:r>
            <w:r w:rsidRPr="005D78EE">
              <w:rPr>
                <w:rFonts w:ascii="Times New Roman" w:hAnsi="Times New Roman"/>
                <w:b/>
              </w:rPr>
              <w:t>r</w:t>
            </w:r>
            <w:r w:rsidRPr="005D78EE">
              <w:rPr>
                <w:rFonts w:ascii="Times New Roman" w:hAnsi="Times New Roman"/>
                <w:b/>
                <w:spacing w:val="1"/>
              </w:rPr>
              <w:t>u</w:t>
            </w:r>
            <w:r w:rsidRPr="005D78EE">
              <w:rPr>
                <w:rFonts w:ascii="Times New Roman" w:hAnsi="Times New Roman"/>
                <w:b/>
                <w:spacing w:val="-1"/>
              </w:rPr>
              <w:t>c</w:t>
            </w:r>
            <w:r w:rsidRPr="005D78EE">
              <w:rPr>
                <w:rFonts w:ascii="Times New Roman" w:hAnsi="Times New Roman"/>
                <w:b/>
                <w:spacing w:val="1"/>
              </w:rPr>
              <w:t>h</w:t>
            </w:r>
            <w:r w:rsidRPr="005D78EE">
              <w:rPr>
                <w:rFonts w:ascii="Times New Roman" w:hAnsi="Times New Roman"/>
                <w:b/>
              </w:rPr>
              <w:t>y a</w:t>
            </w:r>
          </w:p>
          <w:p w14:paraId="4CEA39EF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reakcie</w:t>
            </w:r>
            <w:r w:rsidRPr="005D78EE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 xml:space="preserve">v </w:t>
            </w:r>
            <w:r w:rsidRPr="005D78EE">
              <w:rPr>
                <w:rFonts w:ascii="Times New Roman" w:hAnsi="Times New Roman"/>
                <w:b/>
                <w:spacing w:val="-2"/>
              </w:rPr>
              <w:t>m</w:t>
            </w:r>
            <w:r w:rsidRPr="005D78EE">
              <w:rPr>
                <w:rFonts w:ascii="Times New Roman" w:hAnsi="Times New Roman"/>
                <w:b/>
              </w:rPr>
              <w:t>ieste</w:t>
            </w:r>
          </w:p>
          <w:p w14:paraId="50BD66C8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  <w:spacing w:val="1"/>
              </w:rPr>
              <w:t>p</w:t>
            </w:r>
            <w:r w:rsidRPr="005D78EE">
              <w:rPr>
                <w:rFonts w:ascii="Times New Roman" w:hAnsi="Times New Roman"/>
                <w:b/>
                <w:spacing w:val="-1"/>
              </w:rPr>
              <w:t>o</w:t>
            </w:r>
            <w:r w:rsidRPr="005D78EE">
              <w:rPr>
                <w:rFonts w:ascii="Times New Roman" w:hAnsi="Times New Roman"/>
                <w:b/>
                <w:spacing w:val="1"/>
              </w:rPr>
              <w:t>d</w:t>
            </w:r>
            <w:r w:rsidRPr="005D78EE">
              <w:rPr>
                <w:rFonts w:ascii="Times New Roman" w:hAnsi="Times New Roman"/>
                <w:b/>
                <w:spacing w:val="-1"/>
              </w:rPr>
              <w:t>a</w:t>
            </w:r>
            <w:r w:rsidRPr="005D78EE">
              <w:rPr>
                <w:rFonts w:ascii="Times New Roman" w:hAnsi="Times New Roman"/>
                <w:b/>
                <w:spacing w:val="1"/>
              </w:rPr>
              <w:t>n</w:t>
            </w:r>
            <w:r w:rsidRPr="005D78EE">
              <w:rPr>
                <w:rFonts w:ascii="Times New Roman" w:hAnsi="Times New Roman"/>
                <w:b/>
              </w:rPr>
              <w:t>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E226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76F7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As</w:t>
            </w:r>
            <w:r w:rsidRPr="005D78EE">
              <w:rPr>
                <w:rFonts w:ascii="Times New Roman" w:hAnsi="Times New Roman"/>
                <w:spacing w:val="-1"/>
              </w:rPr>
              <w:t>t</w:t>
            </w:r>
            <w:r w:rsidRPr="005D78EE">
              <w:rPr>
                <w:rFonts w:ascii="Times New Roman" w:hAnsi="Times New Roman"/>
              </w:rPr>
              <w:t>é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  <w:spacing w:val="-1"/>
              </w:rPr>
              <w:t>i</w:t>
            </w:r>
            <w:r w:rsidRPr="005D78EE">
              <w:rPr>
                <w:rFonts w:ascii="Times New Roman" w:hAnsi="Times New Roman"/>
              </w:rPr>
              <w:t>a</w:t>
            </w:r>
            <w:r w:rsidRPr="005D78EE">
              <w:rPr>
                <w:rFonts w:ascii="Times New Roman" w:hAnsi="Times New Roman"/>
                <w:spacing w:val="-1"/>
              </w:rPr>
              <w:t>/ú</w:t>
            </w:r>
            <w:r w:rsidRPr="005D78EE">
              <w:rPr>
                <w:rFonts w:ascii="Times New Roman" w:hAnsi="Times New Roman"/>
                <w:spacing w:val="1"/>
              </w:rPr>
              <w:t>n</w:t>
            </w:r>
            <w:r w:rsidRPr="005D78EE">
              <w:rPr>
                <w:rFonts w:ascii="Times New Roman" w:hAnsi="Times New Roman"/>
                <w:spacing w:val="-1"/>
              </w:rPr>
              <w:t>a</w:t>
            </w:r>
            <w:r w:rsidRPr="005D78EE">
              <w:rPr>
                <w:rFonts w:ascii="Times New Roman" w:hAnsi="Times New Roman"/>
                <w:spacing w:val="1"/>
              </w:rPr>
              <w:t>v</w:t>
            </w:r>
            <w:r w:rsidRPr="005D78EE">
              <w:rPr>
                <w:rFonts w:ascii="Times New Roman" w:hAnsi="Times New Roman"/>
              </w:rPr>
              <w:t>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D2E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BA8A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A416B" w:rsidRPr="005D78EE" w14:paraId="5824BB76" w14:textId="77777777" w:rsidTr="005D78EE">
        <w:trPr>
          <w:trHeight w:hRule="exact" w:val="896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CE98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Úrazy, otr</w:t>
            </w:r>
            <w:r w:rsidRPr="005D78EE">
              <w:rPr>
                <w:rFonts w:ascii="Times New Roman" w:hAnsi="Times New Roman"/>
                <w:b/>
                <w:spacing w:val="-1"/>
              </w:rPr>
              <w:t>a</w:t>
            </w:r>
            <w:r w:rsidRPr="005D78EE">
              <w:rPr>
                <w:rFonts w:ascii="Times New Roman" w:hAnsi="Times New Roman"/>
                <w:b/>
              </w:rPr>
              <w:t>vy</w:t>
            </w:r>
            <w:r w:rsidRPr="005D78EE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78EE">
              <w:rPr>
                <w:rFonts w:ascii="Times New Roman" w:hAnsi="Times New Roman"/>
                <w:b/>
              </w:rPr>
              <w:t>a</w:t>
            </w:r>
          </w:p>
          <w:p w14:paraId="53D287EA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ko</w:t>
            </w:r>
            <w:r w:rsidRPr="005D78EE">
              <w:rPr>
                <w:rFonts w:ascii="Times New Roman" w:hAnsi="Times New Roman"/>
                <w:b/>
                <w:spacing w:val="-2"/>
              </w:rPr>
              <w:t>m</w:t>
            </w:r>
            <w:r w:rsidRPr="005D78EE">
              <w:rPr>
                <w:rFonts w:ascii="Times New Roman" w:hAnsi="Times New Roman"/>
                <w:b/>
              </w:rPr>
              <w:t>plikácie</w:t>
            </w:r>
          </w:p>
          <w:p w14:paraId="4EB50F06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</w:rPr>
            </w:pPr>
            <w:r w:rsidRPr="005D78EE">
              <w:rPr>
                <w:rFonts w:ascii="Times New Roman" w:hAnsi="Times New Roman"/>
                <w:b/>
              </w:rPr>
              <w:t>liečebn</w:t>
            </w:r>
            <w:r w:rsidRPr="005D78EE">
              <w:rPr>
                <w:rFonts w:ascii="Times New Roman" w:hAnsi="Times New Roman"/>
                <w:b/>
                <w:spacing w:val="-1"/>
              </w:rPr>
              <w:t>é</w:t>
            </w:r>
            <w:r w:rsidRPr="005D78EE">
              <w:rPr>
                <w:rFonts w:ascii="Times New Roman" w:hAnsi="Times New Roman"/>
                <w:b/>
              </w:rPr>
              <w:t>ho</w:t>
            </w:r>
            <w:r w:rsidRPr="005D78EE">
              <w:rPr>
                <w:rFonts w:ascii="Times New Roman" w:hAnsi="Times New Roman"/>
                <w:b/>
                <w:spacing w:val="-1"/>
              </w:rPr>
              <w:t xml:space="preserve"> p</w:t>
            </w:r>
            <w:r w:rsidRPr="005D78EE">
              <w:rPr>
                <w:rFonts w:ascii="Times New Roman" w:hAnsi="Times New Roman"/>
                <w:b/>
                <w:spacing w:val="1"/>
              </w:rPr>
              <w:t>o</w:t>
            </w:r>
            <w:r w:rsidRPr="005D78EE">
              <w:rPr>
                <w:rFonts w:ascii="Times New Roman" w:hAnsi="Times New Roman"/>
                <w:b/>
                <w:spacing w:val="-1"/>
              </w:rPr>
              <w:t>st</w:t>
            </w:r>
            <w:r w:rsidRPr="005D78EE">
              <w:rPr>
                <w:rFonts w:ascii="Times New Roman" w:hAnsi="Times New Roman"/>
                <w:b/>
              </w:rPr>
              <w:t>u</w:t>
            </w:r>
            <w:r w:rsidRPr="005D78EE">
              <w:rPr>
                <w:rFonts w:ascii="Times New Roman" w:hAnsi="Times New Roman"/>
                <w:b/>
                <w:spacing w:val="-1"/>
              </w:rPr>
              <w:t>p</w:t>
            </w:r>
            <w:r w:rsidRPr="005D78EE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2C0E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C485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D4F7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5D78EE">
              <w:rPr>
                <w:rFonts w:ascii="Times New Roman" w:hAnsi="Times New Roman"/>
              </w:rPr>
              <w:t>Úraz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FFD7" w14:textId="77777777" w:rsidR="008A416B" w:rsidRPr="005D78EE" w:rsidRDefault="008A416B" w:rsidP="004E79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23B68F6D" w14:textId="77777777" w:rsidR="008A416B" w:rsidRDefault="008A416B" w:rsidP="008A416B">
      <w:pPr>
        <w:autoSpaceDE w:val="0"/>
        <w:autoSpaceDN w:val="0"/>
        <w:adjustRightInd w:val="0"/>
        <w:rPr>
          <w:rFonts w:ascii="Times New Roman" w:hAnsi="Times New Roman"/>
          <w:noProof/>
          <w:highlight w:val="green"/>
        </w:rPr>
      </w:pPr>
    </w:p>
    <w:p w14:paraId="2DA91F5E" w14:textId="77777777" w:rsidR="006A6569" w:rsidRPr="0017457A" w:rsidRDefault="006A6569" w:rsidP="006A6569">
      <w:pPr>
        <w:pStyle w:val="Default"/>
        <w:rPr>
          <w:sz w:val="22"/>
          <w:szCs w:val="22"/>
        </w:rPr>
      </w:pPr>
      <w:r w:rsidRPr="0017457A">
        <w:rPr>
          <w:sz w:val="22"/>
          <w:szCs w:val="22"/>
        </w:rPr>
        <w:t>*</w:t>
      </w:r>
      <w:proofErr w:type="spellStart"/>
      <w:r w:rsidRPr="0017457A">
        <w:rPr>
          <w:sz w:val="22"/>
          <w:szCs w:val="22"/>
        </w:rPr>
        <w:t>Prevalencia</w:t>
      </w:r>
      <w:proofErr w:type="spellEnd"/>
      <w:r w:rsidRPr="0017457A">
        <w:rPr>
          <w:sz w:val="22"/>
          <w:szCs w:val="22"/>
        </w:rPr>
        <w:t xml:space="preserve"> je významne vyššia u japonských pacientov v porovnaní s pacientmi z iných krajín. </w:t>
      </w:r>
    </w:p>
    <w:p w14:paraId="4C2519A9" w14:textId="77777777" w:rsidR="006A6569" w:rsidRPr="0017457A" w:rsidRDefault="006A6569" w:rsidP="006A6569">
      <w:pPr>
        <w:pStyle w:val="Default"/>
        <w:rPr>
          <w:sz w:val="22"/>
          <w:szCs w:val="22"/>
        </w:rPr>
      </w:pPr>
    </w:p>
    <w:p w14:paraId="4656514B" w14:textId="77777777" w:rsidR="006A6569" w:rsidRPr="00676A48" w:rsidRDefault="006A6569" w:rsidP="006A6569">
      <w:pPr>
        <w:pStyle w:val="Default"/>
        <w:rPr>
          <w:sz w:val="22"/>
          <w:szCs w:val="22"/>
        </w:rPr>
      </w:pPr>
      <w:r w:rsidRPr="00676A48">
        <w:rPr>
          <w:sz w:val="22"/>
          <w:szCs w:val="22"/>
        </w:rPr>
        <w:t xml:space="preserve">Po podaní </w:t>
      </w:r>
      <w:proofErr w:type="spellStart"/>
      <w:r w:rsidRPr="00676A48">
        <w:rPr>
          <w:sz w:val="22"/>
          <w:szCs w:val="22"/>
        </w:rPr>
        <w:t>levetiracetamu</w:t>
      </w:r>
      <w:proofErr w:type="spellEnd"/>
      <w:r w:rsidRPr="00676A48">
        <w:rPr>
          <w:sz w:val="22"/>
          <w:szCs w:val="22"/>
        </w:rPr>
        <w:t xml:space="preserve"> boli zriedkavo pozorované prípady </w:t>
      </w:r>
      <w:proofErr w:type="spellStart"/>
      <w:r w:rsidRPr="00676A48">
        <w:rPr>
          <w:sz w:val="22"/>
          <w:szCs w:val="22"/>
        </w:rPr>
        <w:t>encefalopatie</w:t>
      </w:r>
      <w:proofErr w:type="spellEnd"/>
      <w:r w:rsidRPr="00676A48">
        <w:rPr>
          <w:sz w:val="22"/>
          <w:szCs w:val="22"/>
        </w:rPr>
        <w:t xml:space="preserve">. Tieto nežiaduce účinky </w:t>
      </w:r>
    </w:p>
    <w:p w14:paraId="78798F79" w14:textId="77777777" w:rsidR="006A6569" w:rsidRPr="002B72DA" w:rsidRDefault="006A6569" w:rsidP="006A6569">
      <w:pPr>
        <w:autoSpaceDE w:val="0"/>
        <w:autoSpaceDN w:val="0"/>
        <w:adjustRightInd w:val="0"/>
        <w:rPr>
          <w:rFonts w:ascii="Times New Roman" w:hAnsi="Times New Roman"/>
        </w:rPr>
      </w:pPr>
      <w:r w:rsidRPr="002B72DA">
        <w:rPr>
          <w:rFonts w:ascii="Times New Roman" w:hAnsi="Times New Roman"/>
        </w:rPr>
        <w:t>sa zvyčajne prejavili na začiatku liečby (po niekoľkých dňoch až niekoľkých mesiacoch) a po prerušení liečby boli reverzibilné.</w:t>
      </w:r>
    </w:p>
    <w:p w14:paraId="14388E56" w14:textId="77777777" w:rsidR="008A416B" w:rsidRPr="002647F1" w:rsidRDefault="008A416B" w:rsidP="008A416B">
      <w:pPr>
        <w:autoSpaceDE w:val="0"/>
        <w:autoSpaceDN w:val="0"/>
        <w:adjustRightInd w:val="0"/>
        <w:rPr>
          <w:rFonts w:ascii="Times New Roman" w:hAnsi="Times New Roman"/>
          <w:noProof/>
          <w:highlight w:val="green"/>
        </w:rPr>
      </w:pPr>
    </w:p>
    <w:p w14:paraId="58B9455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Opis vybraných nežiaducich reakcií</w:t>
      </w:r>
    </w:p>
    <w:p w14:paraId="56A715F7" w14:textId="77777777" w:rsidR="00A064BC" w:rsidRPr="002647F1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Riziko </w:t>
      </w:r>
      <w:proofErr w:type="spellStart"/>
      <w:r w:rsidRPr="005D78EE">
        <w:rPr>
          <w:rFonts w:ascii="Times New Roman" w:hAnsi="Times New Roman"/>
          <w:color w:val="000000"/>
        </w:rPr>
        <w:t>anorexie</w:t>
      </w:r>
      <w:proofErr w:type="spellEnd"/>
      <w:r w:rsidRPr="005D78EE">
        <w:rPr>
          <w:rFonts w:ascii="Times New Roman" w:hAnsi="Times New Roman"/>
          <w:color w:val="000000"/>
        </w:rPr>
        <w:t xml:space="preserve"> je vyššie, keď sa </w:t>
      </w:r>
      <w:proofErr w:type="spellStart"/>
      <w:r w:rsidR="007178B3">
        <w:rPr>
          <w:rFonts w:ascii="Times New Roman" w:hAnsi="Times New Roman"/>
          <w:color w:val="000000"/>
        </w:rPr>
        <w:t>levetiracetam</w:t>
      </w:r>
      <w:proofErr w:type="spellEnd"/>
      <w:r w:rsidR="007178B3">
        <w:rPr>
          <w:rFonts w:ascii="Times New Roman" w:hAnsi="Times New Roman"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 xml:space="preserve">podáva súbežne </w:t>
      </w:r>
      <w:proofErr w:type="spellStart"/>
      <w:r w:rsidRPr="005D78EE">
        <w:rPr>
          <w:rFonts w:ascii="Times New Roman" w:hAnsi="Times New Roman"/>
          <w:color w:val="000000"/>
        </w:rPr>
        <w:t>s</w:t>
      </w:r>
      <w:r w:rsidR="007178B3">
        <w:rPr>
          <w:rFonts w:ascii="Times New Roman" w:hAnsi="Times New Roman"/>
          <w:color w:val="000000"/>
        </w:rPr>
        <w:t>topimarátom</w:t>
      </w:r>
      <w:proofErr w:type="spellEnd"/>
      <w:r w:rsidRPr="005D78EE">
        <w:rPr>
          <w:rFonts w:ascii="Times New Roman" w:hAnsi="Times New Roman"/>
          <w:color w:val="000000"/>
        </w:rPr>
        <w:t>.</w:t>
      </w:r>
      <w:r w:rsidR="007178B3">
        <w:rPr>
          <w:rFonts w:ascii="Times New Roman" w:hAnsi="Times New Roman"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 xml:space="preserve">V niekoľkých prípadoch </w:t>
      </w:r>
      <w:proofErr w:type="spellStart"/>
      <w:r w:rsidRPr="005D78EE">
        <w:rPr>
          <w:rFonts w:ascii="Times New Roman" w:hAnsi="Times New Roman"/>
          <w:color w:val="000000"/>
        </w:rPr>
        <w:t>alopécie</w:t>
      </w:r>
      <w:proofErr w:type="spellEnd"/>
      <w:r w:rsidRPr="005D78EE">
        <w:rPr>
          <w:rFonts w:ascii="Times New Roman" w:hAnsi="Times New Roman"/>
          <w:color w:val="000000"/>
        </w:rPr>
        <w:t xml:space="preserve"> sa po vysadení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pozorovala úprava stavu.</w:t>
      </w:r>
      <w:r w:rsidR="007178B3">
        <w:rPr>
          <w:rFonts w:ascii="Times New Roman" w:hAnsi="Times New Roman"/>
          <w:color w:val="000000"/>
        </w:rPr>
        <w:t xml:space="preserve"> </w:t>
      </w:r>
      <w:r w:rsidR="00A064BC" w:rsidRPr="005D78EE">
        <w:rPr>
          <w:rFonts w:ascii="Times New Roman" w:hAnsi="Times New Roman"/>
        </w:rPr>
        <w:t xml:space="preserve">V niektorých prípadoch </w:t>
      </w:r>
      <w:proofErr w:type="spellStart"/>
      <w:r w:rsidR="00A064BC" w:rsidRPr="005D78EE">
        <w:rPr>
          <w:rFonts w:ascii="Times New Roman" w:hAnsi="Times New Roman"/>
        </w:rPr>
        <w:t>pancytopénie</w:t>
      </w:r>
      <w:proofErr w:type="spellEnd"/>
      <w:r w:rsidR="00A064BC" w:rsidRPr="005D78EE">
        <w:rPr>
          <w:rFonts w:ascii="Times New Roman" w:hAnsi="Times New Roman"/>
        </w:rPr>
        <w:t xml:space="preserve"> bola identifikovaná </w:t>
      </w:r>
      <w:proofErr w:type="spellStart"/>
      <w:r w:rsidR="00A064BC" w:rsidRPr="005D78EE">
        <w:rPr>
          <w:rFonts w:ascii="Times New Roman" w:hAnsi="Times New Roman"/>
        </w:rPr>
        <w:t>supresia</w:t>
      </w:r>
      <w:proofErr w:type="spellEnd"/>
      <w:r w:rsidR="00A064BC" w:rsidRPr="005D78EE">
        <w:rPr>
          <w:rFonts w:ascii="Times New Roman" w:hAnsi="Times New Roman"/>
        </w:rPr>
        <w:t xml:space="preserve"> kostnej drene.</w:t>
      </w:r>
    </w:p>
    <w:p w14:paraId="6302975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575EDE7" w14:textId="77777777" w:rsidR="00553706" w:rsidRPr="005D78EE" w:rsidRDefault="009C75F7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  <w:u w:val="single"/>
        </w:rPr>
        <w:t xml:space="preserve">Pediatrická populácia </w:t>
      </w:r>
    </w:p>
    <w:p w14:paraId="4834A151" w14:textId="77777777" w:rsidR="00A064BC" w:rsidRDefault="00A064BC" w:rsidP="00A064BC">
      <w:pPr>
        <w:pStyle w:val="Default"/>
        <w:rPr>
          <w:sz w:val="22"/>
          <w:szCs w:val="22"/>
        </w:rPr>
      </w:pPr>
      <w:r w:rsidRPr="005D78EE">
        <w:rPr>
          <w:sz w:val="22"/>
          <w:szCs w:val="22"/>
        </w:rPr>
        <w:t xml:space="preserve">U pacientov vo veku 1 mesiac až menej ako 4 roky bolo celkovo 190 pacientov liečených </w:t>
      </w:r>
      <w:proofErr w:type="spellStart"/>
      <w:r w:rsidRPr="005D78EE">
        <w:rPr>
          <w:sz w:val="22"/>
          <w:szCs w:val="22"/>
        </w:rPr>
        <w:t>levetiracetamom</w:t>
      </w:r>
      <w:proofErr w:type="spellEnd"/>
      <w:r w:rsidRPr="005D78EE">
        <w:rPr>
          <w:sz w:val="22"/>
          <w:szCs w:val="22"/>
        </w:rPr>
        <w:t xml:space="preserve"> v </w:t>
      </w:r>
      <w:proofErr w:type="spellStart"/>
      <w:r w:rsidRPr="005D78EE">
        <w:rPr>
          <w:sz w:val="22"/>
          <w:szCs w:val="22"/>
        </w:rPr>
        <w:t>placebom</w:t>
      </w:r>
      <w:proofErr w:type="spellEnd"/>
      <w:r w:rsidRPr="005D78EE">
        <w:rPr>
          <w:sz w:val="22"/>
          <w:szCs w:val="22"/>
        </w:rPr>
        <w:t xml:space="preserve"> kontrolovaných a nezaslepených predĺženiach štúdií, z ktorých šesťdesiat pacientov bolo liečených </w:t>
      </w:r>
      <w:proofErr w:type="spellStart"/>
      <w:r w:rsidRPr="005D78EE">
        <w:rPr>
          <w:sz w:val="22"/>
          <w:szCs w:val="22"/>
        </w:rPr>
        <w:t>levetiracetamom</w:t>
      </w:r>
      <w:proofErr w:type="spellEnd"/>
      <w:r w:rsidRPr="005D78EE">
        <w:rPr>
          <w:sz w:val="22"/>
          <w:szCs w:val="22"/>
        </w:rPr>
        <w:t xml:space="preserve"> v </w:t>
      </w:r>
      <w:proofErr w:type="spellStart"/>
      <w:r w:rsidRPr="005D78EE">
        <w:rPr>
          <w:sz w:val="22"/>
          <w:szCs w:val="22"/>
        </w:rPr>
        <w:t>placebom</w:t>
      </w:r>
      <w:proofErr w:type="spellEnd"/>
      <w:r w:rsidRPr="005D78EE">
        <w:rPr>
          <w:sz w:val="22"/>
          <w:szCs w:val="22"/>
        </w:rPr>
        <w:t xml:space="preserve"> kontrolovaných štúdiách. U pacientov vo veku 4-16 rokov bolo celkovo 645 pacientov liečených </w:t>
      </w:r>
      <w:proofErr w:type="spellStart"/>
      <w:r w:rsidRPr="005D78EE">
        <w:rPr>
          <w:sz w:val="22"/>
          <w:szCs w:val="22"/>
        </w:rPr>
        <w:t>levetiracetamom</w:t>
      </w:r>
      <w:proofErr w:type="spellEnd"/>
      <w:r w:rsidRPr="005D78EE">
        <w:rPr>
          <w:sz w:val="22"/>
          <w:szCs w:val="22"/>
        </w:rPr>
        <w:t xml:space="preserve"> v </w:t>
      </w:r>
      <w:proofErr w:type="spellStart"/>
      <w:r w:rsidRPr="005D78EE">
        <w:rPr>
          <w:sz w:val="22"/>
          <w:szCs w:val="22"/>
        </w:rPr>
        <w:t>placebom</w:t>
      </w:r>
      <w:proofErr w:type="spellEnd"/>
      <w:r w:rsidRPr="005D78EE">
        <w:rPr>
          <w:sz w:val="22"/>
          <w:szCs w:val="22"/>
        </w:rPr>
        <w:t xml:space="preserve"> kontrolovaných štúdiách a nezaslepenom predĺžení štúdií, z ktorých 233 pacientov bolo liečených </w:t>
      </w:r>
      <w:proofErr w:type="spellStart"/>
      <w:r w:rsidRPr="005D78EE">
        <w:rPr>
          <w:sz w:val="22"/>
          <w:szCs w:val="22"/>
        </w:rPr>
        <w:t>levetiracetamom</w:t>
      </w:r>
      <w:proofErr w:type="spellEnd"/>
      <w:r w:rsidRPr="005D78EE">
        <w:rPr>
          <w:sz w:val="22"/>
          <w:szCs w:val="22"/>
        </w:rPr>
        <w:t xml:space="preserve"> v </w:t>
      </w:r>
      <w:proofErr w:type="spellStart"/>
      <w:r w:rsidRPr="005D78EE">
        <w:rPr>
          <w:sz w:val="22"/>
          <w:szCs w:val="22"/>
        </w:rPr>
        <w:t>placebom</w:t>
      </w:r>
      <w:proofErr w:type="spellEnd"/>
      <w:r w:rsidRPr="005D78EE">
        <w:rPr>
          <w:sz w:val="22"/>
          <w:szCs w:val="22"/>
        </w:rPr>
        <w:t xml:space="preserve"> kontrolovaných štúdiách. U oboch týchto pediatrických vekových rozmedzí boli tieto údaje doplnené o skúsenosti s používaním </w:t>
      </w:r>
      <w:proofErr w:type="spellStart"/>
      <w:r w:rsidRPr="005D78EE">
        <w:rPr>
          <w:sz w:val="22"/>
          <w:szCs w:val="22"/>
        </w:rPr>
        <w:t>levetiracetamu</w:t>
      </w:r>
      <w:proofErr w:type="spellEnd"/>
      <w:r w:rsidRPr="005D78EE">
        <w:rPr>
          <w:sz w:val="22"/>
          <w:szCs w:val="22"/>
        </w:rPr>
        <w:t xml:space="preserve"> po uvedení lieku na trh. </w:t>
      </w:r>
    </w:p>
    <w:p w14:paraId="261D7792" w14:textId="77777777" w:rsidR="007178B3" w:rsidRDefault="007178B3" w:rsidP="00A064BC">
      <w:pPr>
        <w:pStyle w:val="Default"/>
        <w:rPr>
          <w:sz w:val="22"/>
          <w:szCs w:val="22"/>
        </w:rPr>
      </w:pPr>
    </w:p>
    <w:p w14:paraId="5380D908" w14:textId="77777777" w:rsidR="007178B3" w:rsidRPr="00D71043" w:rsidRDefault="007178B3" w:rsidP="007178B3">
      <w:pPr>
        <w:autoSpaceDE w:val="0"/>
        <w:autoSpaceDN w:val="0"/>
        <w:adjustRightInd w:val="0"/>
        <w:rPr>
          <w:rFonts w:ascii="Times New Roman" w:eastAsia="TimesNewRomanPSMT" w:hAnsi="Times New Roman"/>
          <w:color w:val="222222"/>
          <w:lang w:eastAsia="sk-SK"/>
        </w:rPr>
      </w:pPr>
      <w:r>
        <w:rPr>
          <w:rFonts w:ascii="Times New Roman" w:hAnsi="Times New Roman"/>
          <w:color w:val="222222"/>
          <w:lang w:eastAsia="sk-SK"/>
        </w:rPr>
        <w:t>Okrem toho</w:t>
      </w:r>
      <w:r w:rsidRPr="00405CBA">
        <w:rPr>
          <w:rFonts w:ascii="Times New Roman" w:hAnsi="Times New Roman"/>
          <w:color w:val="222222"/>
          <w:lang w:eastAsia="sk-SK"/>
        </w:rPr>
        <w:t xml:space="preserve"> </w:t>
      </w:r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101 dojčiat vo veku do 12 mesiacov bolo liečených v </w:t>
      </w:r>
      <w:proofErr w:type="spellStart"/>
      <w:r w:rsidRPr="00D71043">
        <w:rPr>
          <w:rFonts w:ascii="Times New Roman" w:eastAsia="TimesNewRomanPSMT" w:hAnsi="Times New Roman"/>
          <w:color w:val="222222"/>
          <w:lang w:eastAsia="sk-SK"/>
        </w:rPr>
        <w:t>postregistračnej</w:t>
      </w:r>
      <w:proofErr w:type="spellEnd"/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 štúdii bezpečnosti.</w:t>
      </w:r>
    </w:p>
    <w:p w14:paraId="1112DC34" w14:textId="77777777" w:rsidR="007178B3" w:rsidRPr="00D71043" w:rsidRDefault="007178B3" w:rsidP="007178B3">
      <w:pPr>
        <w:autoSpaceDE w:val="0"/>
        <w:autoSpaceDN w:val="0"/>
        <w:adjustRightInd w:val="0"/>
        <w:rPr>
          <w:rFonts w:ascii="Times New Roman" w:eastAsia="TimesNewRomanPSMT" w:hAnsi="Times New Roman"/>
          <w:color w:val="222222"/>
          <w:lang w:eastAsia="sk-SK"/>
        </w:rPr>
      </w:pPr>
      <w:r w:rsidRPr="00D71043">
        <w:rPr>
          <w:rFonts w:ascii="Times New Roman" w:eastAsia="TimesNewRomanPSMT" w:hAnsi="Times New Roman"/>
          <w:color w:val="222222"/>
          <w:lang w:eastAsia="sk-SK"/>
        </w:rPr>
        <w:t>Neboli identifikované žiadne nové bezpečnostné otázky pre dojčatá s epilepsiou mladšie ako 12</w:t>
      </w:r>
    </w:p>
    <w:p w14:paraId="1B9677A2" w14:textId="77777777" w:rsidR="007178B3" w:rsidRPr="00405CBA" w:rsidRDefault="007178B3" w:rsidP="007178B3">
      <w:pPr>
        <w:pStyle w:val="Default"/>
        <w:rPr>
          <w:sz w:val="22"/>
          <w:szCs w:val="22"/>
        </w:rPr>
      </w:pPr>
      <w:r w:rsidRPr="00D71043">
        <w:rPr>
          <w:color w:val="222222"/>
          <w:sz w:val="22"/>
          <w:szCs w:val="22"/>
        </w:rPr>
        <w:t>mesiacov.</w:t>
      </w:r>
    </w:p>
    <w:p w14:paraId="767832ED" w14:textId="77777777" w:rsidR="00A064BC" w:rsidRPr="005D78EE" w:rsidRDefault="00A064BC" w:rsidP="00A064BC">
      <w:pPr>
        <w:pStyle w:val="Default"/>
        <w:rPr>
          <w:sz w:val="22"/>
          <w:szCs w:val="22"/>
        </w:rPr>
      </w:pPr>
    </w:p>
    <w:p w14:paraId="7C46AD53" w14:textId="77777777" w:rsidR="00553706" w:rsidRPr="005D78EE" w:rsidRDefault="00A064BC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</w:rPr>
        <w:t xml:space="preserve">Profil nežiaducich </w:t>
      </w:r>
      <w:r w:rsidR="007178B3">
        <w:rPr>
          <w:rFonts w:ascii="Times New Roman" w:hAnsi="Times New Roman"/>
        </w:rPr>
        <w:t xml:space="preserve">reakcií </w:t>
      </w:r>
      <w:proofErr w:type="spellStart"/>
      <w:r w:rsidRPr="005D78EE">
        <w:rPr>
          <w:rFonts w:ascii="Times New Roman" w:hAnsi="Times New Roman"/>
        </w:rPr>
        <w:t>levetiracetamu</w:t>
      </w:r>
      <w:proofErr w:type="spellEnd"/>
      <w:r w:rsidRPr="005D78EE">
        <w:rPr>
          <w:rFonts w:ascii="Times New Roman" w:hAnsi="Times New Roman"/>
        </w:rPr>
        <w:t xml:space="preserve"> je celkovo podobný vo vekových skupinách a v schválených epileptických indikáciách. Výsledky bezpečnosti u detských a dospievajúcich pacientov v </w:t>
      </w:r>
      <w:proofErr w:type="spellStart"/>
      <w:r w:rsidRPr="005D78EE">
        <w:rPr>
          <w:rFonts w:ascii="Times New Roman" w:hAnsi="Times New Roman"/>
        </w:rPr>
        <w:t>placebom</w:t>
      </w:r>
      <w:proofErr w:type="spellEnd"/>
      <w:r w:rsidRPr="005D78EE">
        <w:rPr>
          <w:rFonts w:ascii="Times New Roman" w:hAnsi="Times New Roman"/>
        </w:rPr>
        <w:t xml:space="preserve"> kontrolovaných klinických štúdiách sa zhodovali s profilom bezpečnosti </w:t>
      </w:r>
      <w:proofErr w:type="spellStart"/>
      <w:r w:rsidRPr="005D78EE">
        <w:rPr>
          <w:rFonts w:ascii="Times New Roman" w:hAnsi="Times New Roman"/>
        </w:rPr>
        <w:t>levetiracetamu</w:t>
      </w:r>
      <w:proofErr w:type="spellEnd"/>
      <w:r w:rsidRPr="005D78EE">
        <w:rPr>
          <w:rFonts w:ascii="Times New Roman" w:hAnsi="Times New Roman"/>
        </w:rPr>
        <w:t xml:space="preserve"> u dospelých s výnimkou </w:t>
      </w:r>
      <w:proofErr w:type="spellStart"/>
      <w:r w:rsidRPr="005D78EE">
        <w:rPr>
          <w:rFonts w:ascii="Times New Roman" w:hAnsi="Times New Roman"/>
        </w:rPr>
        <w:t>behaviorálnych</w:t>
      </w:r>
      <w:proofErr w:type="spellEnd"/>
      <w:r w:rsidRPr="005D78EE">
        <w:rPr>
          <w:rFonts w:ascii="Times New Roman" w:hAnsi="Times New Roman"/>
        </w:rPr>
        <w:t xml:space="preserve"> a psychiatrických nežiaducich reakcií, ktoré boli častejšie u detí ako u dospelých. U detí a dospievajúcich vo veku 4 až 16 rokov bolo vracanie (veľmi časté, 11,2 %), agitácia (časté, 3,4 %), kolísanie nálady (časté, 2,1 %), afektová labilita (časté, 1,7 %), agresivita (časté, 8,2 %), abnormálne správanie (časté, 5,6 %) a letargia (časté, 3,9 %) hlásené častejšie ako u iných vekových rozmedzí alebo v celkovom profile bezpečnosti.</w:t>
      </w:r>
    </w:p>
    <w:p w14:paraId="3E74337A" w14:textId="77777777" w:rsidR="007178B3" w:rsidRDefault="007178B3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AE79F9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Dvojito zaslepená, </w:t>
      </w:r>
      <w:proofErr w:type="spellStart"/>
      <w:r w:rsidRPr="005D78EE">
        <w:rPr>
          <w:rFonts w:ascii="Times New Roman" w:hAnsi="Times New Roman"/>
          <w:color w:val="000000"/>
        </w:rPr>
        <w:t>placebom</w:t>
      </w:r>
      <w:proofErr w:type="spellEnd"/>
      <w:r w:rsidRPr="005D78EE">
        <w:rPr>
          <w:rFonts w:ascii="Times New Roman" w:hAnsi="Times New Roman"/>
          <w:color w:val="000000"/>
        </w:rPr>
        <w:t xml:space="preserve"> kontrolovaná pediatrická štúdia bezpečnosti s </w:t>
      </w:r>
      <w:proofErr w:type="spellStart"/>
      <w:r w:rsidRPr="005D78EE">
        <w:rPr>
          <w:rFonts w:ascii="Times New Roman" w:hAnsi="Times New Roman"/>
          <w:color w:val="000000"/>
        </w:rPr>
        <w:t>non-inferiórnym</w:t>
      </w:r>
      <w:proofErr w:type="spellEnd"/>
      <w:r w:rsidRPr="005D78EE">
        <w:rPr>
          <w:rFonts w:ascii="Times New Roman" w:hAnsi="Times New Roman"/>
          <w:color w:val="000000"/>
        </w:rPr>
        <w:t xml:space="preserve"> dizajnom</w:t>
      </w:r>
    </w:p>
    <w:p w14:paraId="72E16C1E" w14:textId="77777777" w:rsidR="00553706" w:rsidRPr="00FB0237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hodnotila kognitívne a </w:t>
      </w:r>
      <w:proofErr w:type="spellStart"/>
      <w:r w:rsidRPr="005D78EE">
        <w:rPr>
          <w:rFonts w:ascii="Times New Roman" w:hAnsi="Times New Roman"/>
          <w:color w:val="000000"/>
        </w:rPr>
        <w:t>neuropsychologické</w:t>
      </w:r>
      <w:proofErr w:type="spellEnd"/>
      <w:r w:rsidRPr="005D78EE">
        <w:rPr>
          <w:rFonts w:ascii="Times New Roman" w:hAnsi="Times New Roman"/>
          <w:color w:val="000000"/>
        </w:rPr>
        <w:t xml:space="preserve"> účinky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u detí vo veku 4 až 16 rokov s parciálnymi záchvatmi. Bolo konštatované, že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sa neodlišoval (nebola inferiórna) od </w:t>
      </w:r>
      <w:proofErr w:type="spellStart"/>
      <w:r w:rsidRPr="005D78EE">
        <w:rPr>
          <w:rFonts w:ascii="Times New Roman" w:hAnsi="Times New Roman"/>
          <w:color w:val="000000"/>
        </w:rPr>
        <w:t>placeba</w:t>
      </w:r>
      <w:proofErr w:type="spellEnd"/>
      <w:r w:rsidRPr="005D78EE">
        <w:rPr>
          <w:rFonts w:ascii="Times New Roman" w:hAnsi="Times New Roman"/>
          <w:color w:val="000000"/>
        </w:rPr>
        <w:t xml:space="preserve">, pokiaľ ide o zmenu od východiskového stavu v skóre </w:t>
      </w:r>
      <w:proofErr w:type="spellStart"/>
      <w:r w:rsidRPr="005D78EE">
        <w:rPr>
          <w:rFonts w:ascii="Times New Roman" w:hAnsi="Times New Roman"/>
          <w:color w:val="000000"/>
        </w:rPr>
        <w:t>Leiter-R</w:t>
      </w:r>
      <w:proofErr w:type="spellEnd"/>
      <w:r w:rsidRPr="005D78EE">
        <w:rPr>
          <w:rFonts w:ascii="Times New Roman" w:hAnsi="Times New Roman"/>
          <w:color w:val="000000"/>
        </w:rPr>
        <w:t xml:space="preserve"> na pozornosť a pamäť, zloženom skóre k hodnoteniu pamäti (</w:t>
      </w:r>
      <w:proofErr w:type="spellStart"/>
      <w:r w:rsidRPr="005D78EE">
        <w:rPr>
          <w:rFonts w:ascii="Times New Roman" w:hAnsi="Times New Roman"/>
          <w:color w:val="000000"/>
        </w:rPr>
        <w:t>Leiter-R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Attention</w:t>
      </w:r>
      <w:proofErr w:type="spellEnd"/>
      <w:r w:rsidRPr="005D78EE">
        <w:rPr>
          <w:rFonts w:ascii="Times New Roman" w:hAnsi="Times New Roman"/>
          <w:color w:val="000000"/>
        </w:rPr>
        <w:t xml:space="preserve"> and </w:t>
      </w:r>
      <w:proofErr w:type="spellStart"/>
      <w:r w:rsidRPr="005D78EE">
        <w:rPr>
          <w:rFonts w:ascii="Times New Roman" w:hAnsi="Times New Roman"/>
          <w:color w:val="000000"/>
        </w:rPr>
        <w:t>Memory</w:t>
      </w:r>
      <w:proofErr w:type="spellEnd"/>
      <w:r w:rsidRPr="005D78EE">
        <w:rPr>
          <w:rFonts w:ascii="Times New Roman" w:hAnsi="Times New Roman"/>
          <w:color w:val="000000"/>
        </w:rPr>
        <w:t xml:space="preserve">, </w:t>
      </w:r>
      <w:proofErr w:type="spellStart"/>
      <w:r w:rsidRPr="005D78EE">
        <w:rPr>
          <w:rFonts w:ascii="Times New Roman" w:hAnsi="Times New Roman"/>
          <w:color w:val="000000"/>
        </w:rPr>
        <w:t>Memory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Screen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Composite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score</w:t>
      </w:r>
      <w:proofErr w:type="spellEnd"/>
      <w:r w:rsidRPr="005D78EE">
        <w:rPr>
          <w:rFonts w:ascii="Times New Roman" w:hAnsi="Times New Roman"/>
          <w:color w:val="000000"/>
        </w:rPr>
        <w:t xml:space="preserve">) u populácie splňujúcej protokol štúdie. Výsledky týkajúce sa </w:t>
      </w:r>
      <w:proofErr w:type="spellStart"/>
      <w:r w:rsidRPr="005D78EE">
        <w:rPr>
          <w:rFonts w:ascii="Times New Roman" w:hAnsi="Times New Roman"/>
          <w:color w:val="000000"/>
        </w:rPr>
        <w:t>behaviorálneho</w:t>
      </w:r>
      <w:proofErr w:type="spellEnd"/>
      <w:r w:rsidRPr="005D78EE">
        <w:rPr>
          <w:rFonts w:ascii="Times New Roman" w:hAnsi="Times New Roman"/>
          <w:color w:val="000000"/>
        </w:rPr>
        <w:t xml:space="preserve"> a emočného fungovania naznačovali u pacientov liečených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zhoršenie, pokiaľ ide o agresívne správanie, čo bolo merané štandardizovaným a systematickým spôsobom s použitím overeného nástroja (</w:t>
      </w:r>
      <w:proofErr w:type="spellStart"/>
      <w:r w:rsidRPr="005D78EE">
        <w:rPr>
          <w:rFonts w:ascii="Times New Roman" w:hAnsi="Times New Roman"/>
          <w:color w:val="000000"/>
        </w:rPr>
        <w:t>CBCL</w:t>
      </w:r>
      <w:proofErr w:type="spellEnd"/>
      <w:r w:rsidRPr="005D78EE">
        <w:rPr>
          <w:rFonts w:ascii="Times New Roman" w:hAnsi="Times New Roman"/>
          <w:color w:val="000000"/>
        </w:rPr>
        <w:t xml:space="preserve"> –</w:t>
      </w:r>
      <w:proofErr w:type="spellStart"/>
      <w:r w:rsidRPr="005D78EE">
        <w:rPr>
          <w:rFonts w:ascii="Times New Roman" w:hAnsi="Times New Roman"/>
          <w:color w:val="000000"/>
        </w:rPr>
        <w:t>Achenbach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Child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Behavior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Checklist</w:t>
      </w:r>
      <w:proofErr w:type="spellEnd"/>
      <w:r w:rsidRPr="005D78EE">
        <w:rPr>
          <w:rFonts w:ascii="Times New Roman" w:hAnsi="Times New Roman"/>
          <w:color w:val="000000"/>
        </w:rPr>
        <w:t xml:space="preserve">; </w:t>
      </w:r>
      <w:proofErr w:type="spellStart"/>
      <w:r w:rsidRPr="005D78EE">
        <w:rPr>
          <w:rFonts w:ascii="Times New Roman" w:hAnsi="Times New Roman"/>
          <w:color w:val="000000"/>
        </w:rPr>
        <w:t>Achenbachov</w:t>
      </w:r>
      <w:proofErr w:type="spellEnd"/>
      <w:r w:rsidRPr="005D78EE">
        <w:rPr>
          <w:rFonts w:ascii="Times New Roman" w:hAnsi="Times New Roman"/>
          <w:color w:val="000000"/>
        </w:rPr>
        <w:t xml:space="preserve"> kontrolný zoznam správania </w:t>
      </w:r>
      <w:r w:rsidRPr="00FB0237">
        <w:rPr>
          <w:rFonts w:ascii="Times New Roman" w:hAnsi="Times New Roman"/>
          <w:color w:val="000000"/>
        </w:rPr>
        <w:t xml:space="preserve">detí). Avšak, u jedincov, ktorí užívali </w:t>
      </w:r>
      <w:proofErr w:type="spellStart"/>
      <w:r w:rsidRPr="00FB0237">
        <w:rPr>
          <w:rFonts w:ascii="Times New Roman" w:hAnsi="Times New Roman"/>
          <w:color w:val="000000"/>
        </w:rPr>
        <w:t>levetiracetam</w:t>
      </w:r>
      <w:proofErr w:type="spellEnd"/>
      <w:r w:rsidRPr="00FB0237">
        <w:rPr>
          <w:rFonts w:ascii="Times New Roman" w:hAnsi="Times New Roman"/>
          <w:color w:val="000000"/>
        </w:rPr>
        <w:t xml:space="preserve"> v dlhodobej nezaslepenej následnej štúdii, nedošlo </w:t>
      </w:r>
      <w:r w:rsidRPr="00FB0237">
        <w:rPr>
          <w:rFonts w:ascii="Times New Roman" w:hAnsi="Times New Roman"/>
          <w:color w:val="000000"/>
        </w:rPr>
        <w:lastRenderedPageBreak/>
        <w:t xml:space="preserve">v priemere k zhoršeniu </w:t>
      </w:r>
      <w:proofErr w:type="spellStart"/>
      <w:r w:rsidRPr="00FB0237">
        <w:rPr>
          <w:rFonts w:ascii="Times New Roman" w:hAnsi="Times New Roman"/>
          <w:color w:val="000000"/>
        </w:rPr>
        <w:t>behaviorálneho</w:t>
      </w:r>
      <w:proofErr w:type="spellEnd"/>
      <w:r w:rsidRPr="00FB0237">
        <w:rPr>
          <w:rFonts w:ascii="Times New Roman" w:hAnsi="Times New Roman"/>
          <w:color w:val="000000"/>
        </w:rPr>
        <w:t xml:space="preserve"> a emočného fungovania; obzvlášť miery agresívneho správania neboli horšie oproti východiskovému stavu.</w:t>
      </w:r>
    </w:p>
    <w:p w14:paraId="4CFDB10F" w14:textId="77777777" w:rsidR="00A064BC" w:rsidRPr="00FB0237" w:rsidRDefault="00A064BC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B7E7786" w14:textId="77777777" w:rsidR="00FB0237" w:rsidRPr="00FB0237" w:rsidRDefault="00FB0237" w:rsidP="00FB0237">
      <w:pPr>
        <w:suppressLineNumbers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FB0237">
        <w:rPr>
          <w:rFonts w:ascii="Times New Roman" w:hAnsi="Times New Roman"/>
          <w:u w:val="single"/>
        </w:rPr>
        <w:t>Hlásenie podozrení na nežiaduce reakcie</w:t>
      </w:r>
    </w:p>
    <w:p w14:paraId="7DBC18CE" w14:textId="282CA074" w:rsidR="00FB0237" w:rsidRPr="002B72DA" w:rsidRDefault="00FB0237" w:rsidP="00FB0237">
      <w:pPr>
        <w:suppressLineNumbers/>
        <w:autoSpaceDE w:val="0"/>
        <w:autoSpaceDN w:val="0"/>
        <w:adjustRightInd w:val="0"/>
        <w:rPr>
          <w:rStyle w:val="Hypertextovprepojenie"/>
        </w:rPr>
      </w:pPr>
      <w:r w:rsidRPr="00FB0237">
        <w:rPr>
          <w:rFonts w:ascii="Times New Roman" w:hAnsi="Times New Roman"/>
        </w:rPr>
        <w:t>Hlásenie podozrení na nežiaduce reakcie po registrácii lieku je dôležité. Umožňuje priebežné monitorovanie pomeru prínosu a rizika lieku. Od zdravotníckych pracovníkov sa vyžaduje, aby hlásili akékoľvek podozrenia na</w:t>
      </w:r>
      <w:r w:rsidR="006A6569" w:rsidRPr="006A6569">
        <w:rPr>
          <w:rFonts w:ascii="Times New Roman" w:hAnsi="Times New Roman"/>
        </w:rPr>
        <w:t> </w:t>
      </w:r>
      <w:r w:rsidRPr="00FB0237">
        <w:rPr>
          <w:rFonts w:ascii="Times New Roman" w:hAnsi="Times New Roman"/>
        </w:rPr>
        <w:t xml:space="preserve">nežiaduce reakcie </w:t>
      </w:r>
      <w:r w:rsidR="006A6569" w:rsidRPr="006A6569">
        <w:rPr>
          <w:rFonts w:ascii="Times New Roman" w:hAnsi="Times New Roman"/>
        </w:rPr>
        <w:t xml:space="preserve">na </w:t>
      </w:r>
      <w:r w:rsidR="006A6569" w:rsidRPr="006A6569">
        <w:rPr>
          <w:rFonts w:ascii="Times New Roman" w:hAnsi="Times New Roman"/>
          <w:highlight w:val="lightGray"/>
        </w:rPr>
        <w:t>národné centrum</w:t>
      </w:r>
      <w:r w:rsidRPr="00FB0237">
        <w:rPr>
          <w:rFonts w:ascii="Times New Roman" w:hAnsi="Times New Roman"/>
          <w:highlight w:val="lightGray"/>
        </w:rPr>
        <w:t xml:space="preserve"> hlásenia </w:t>
      </w:r>
      <w:r w:rsidR="006A6569" w:rsidRPr="006A6569">
        <w:rPr>
          <w:rFonts w:ascii="Times New Roman" w:hAnsi="Times New Roman"/>
          <w:highlight w:val="lightGray"/>
        </w:rPr>
        <w:t>uvedené</w:t>
      </w:r>
      <w:r w:rsidRPr="00FB0237">
        <w:rPr>
          <w:rFonts w:ascii="Times New Roman" w:hAnsi="Times New Roman"/>
          <w:highlight w:val="lightGray"/>
        </w:rPr>
        <w:t xml:space="preserve"> v </w:t>
      </w:r>
      <w:hyperlink r:id="rId8">
        <w:r w:rsidRPr="00FB0237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2B72DA">
        <w:rPr>
          <w:rStyle w:val="Hypertextovprepojenie"/>
        </w:rPr>
        <w:t>.</w:t>
      </w:r>
    </w:p>
    <w:p w14:paraId="3410A1D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D1D19C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4.9 </w:t>
      </w:r>
      <w:r w:rsidRPr="005D78EE">
        <w:rPr>
          <w:rFonts w:ascii="Times New Roman" w:hAnsi="Times New Roman"/>
          <w:b/>
          <w:bCs/>
          <w:color w:val="000000"/>
        </w:rPr>
        <w:tab/>
        <w:t>Predávkovanie</w:t>
      </w:r>
    </w:p>
    <w:p w14:paraId="6071F5D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EF1860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Symptómy</w:t>
      </w:r>
    </w:p>
    <w:p w14:paraId="62AFD8F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F226EF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Po predávkovaniach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sa pozorovala </w:t>
      </w:r>
      <w:proofErr w:type="spellStart"/>
      <w:r w:rsidRPr="005D78EE">
        <w:rPr>
          <w:rFonts w:ascii="Times New Roman" w:hAnsi="Times New Roman"/>
          <w:color w:val="000000"/>
        </w:rPr>
        <w:t>somnolencia</w:t>
      </w:r>
      <w:proofErr w:type="spellEnd"/>
      <w:r w:rsidRPr="005D78EE">
        <w:rPr>
          <w:rFonts w:ascii="Times New Roman" w:hAnsi="Times New Roman"/>
          <w:color w:val="000000"/>
        </w:rPr>
        <w:t>, nepokoj, agresia, znížený stupeň vedomia, depresia dýchania a kóma.</w:t>
      </w:r>
    </w:p>
    <w:p w14:paraId="3706E1C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E105B0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Liečba predávkovania</w:t>
      </w:r>
    </w:p>
    <w:p w14:paraId="7481A75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CFD6F2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Po akútnom predávkovaní možno vyprázdniť žalúdok výplachom žalúdka alebo vyvolaním vracania.</w:t>
      </w:r>
    </w:p>
    <w:p w14:paraId="119CF33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Neexistuje žiadne špecifické </w:t>
      </w:r>
      <w:proofErr w:type="spellStart"/>
      <w:r w:rsidRPr="005D78EE">
        <w:rPr>
          <w:rFonts w:ascii="Times New Roman" w:hAnsi="Times New Roman"/>
          <w:color w:val="000000"/>
        </w:rPr>
        <w:t>antidotum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>. Liečba predávkovania má byť symptomatická</w:t>
      </w:r>
    </w:p>
    <w:p w14:paraId="4D2B87F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a môže zahŕňať hemodialýzu. Účinnosť vylučovania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dialýzou je 60 % a primárneho</w:t>
      </w:r>
    </w:p>
    <w:p w14:paraId="1A0B88F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metabolitu</w:t>
      </w:r>
      <w:proofErr w:type="spellEnd"/>
      <w:r w:rsidRPr="005D78EE">
        <w:rPr>
          <w:rFonts w:ascii="Times New Roman" w:hAnsi="Times New Roman"/>
          <w:color w:val="000000"/>
        </w:rPr>
        <w:t xml:space="preserve"> 74 %.</w:t>
      </w:r>
    </w:p>
    <w:p w14:paraId="47921FB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BD8250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E1113B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5. </w:t>
      </w:r>
      <w:r w:rsidRPr="005D78EE">
        <w:rPr>
          <w:rFonts w:ascii="Times New Roman" w:hAnsi="Times New Roman"/>
          <w:b/>
          <w:bCs/>
          <w:color w:val="000000"/>
        </w:rPr>
        <w:tab/>
        <w:t>FARMAKOLOGICKÉ VLASTNOSTI</w:t>
      </w:r>
    </w:p>
    <w:p w14:paraId="302E710E" w14:textId="77777777" w:rsidR="008E7EDD" w:rsidRPr="005D78EE" w:rsidRDefault="008E7EDD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00B3FF8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>5.1</w:t>
      </w:r>
      <w:r w:rsidRPr="005D78EE">
        <w:rPr>
          <w:rFonts w:ascii="Times New Roman" w:hAnsi="Times New Roman"/>
          <w:b/>
          <w:bCs/>
          <w:color w:val="000000"/>
        </w:rPr>
        <w:tab/>
        <w:t xml:space="preserve"> </w:t>
      </w:r>
      <w:proofErr w:type="spellStart"/>
      <w:r w:rsidRPr="005D78EE">
        <w:rPr>
          <w:rFonts w:ascii="Times New Roman" w:hAnsi="Times New Roman"/>
          <w:b/>
          <w:bCs/>
          <w:color w:val="000000"/>
        </w:rPr>
        <w:t>Farmakodynamické</w:t>
      </w:r>
      <w:proofErr w:type="spellEnd"/>
      <w:r w:rsidRPr="005D78EE">
        <w:rPr>
          <w:rFonts w:ascii="Times New Roman" w:hAnsi="Times New Roman"/>
          <w:b/>
          <w:bCs/>
          <w:color w:val="000000"/>
        </w:rPr>
        <w:t xml:space="preserve"> vlastnosti</w:t>
      </w:r>
    </w:p>
    <w:p w14:paraId="145F996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28D658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Farmakoterapeutická</w:t>
      </w:r>
      <w:proofErr w:type="spellEnd"/>
      <w:r w:rsidRPr="005D78EE">
        <w:rPr>
          <w:rFonts w:ascii="Times New Roman" w:hAnsi="Times New Roman"/>
          <w:color w:val="000000"/>
        </w:rPr>
        <w:t xml:space="preserve"> skupina: </w:t>
      </w:r>
      <w:proofErr w:type="spellStart"/>
      <w:r w:rsidRPr="005D78EE">
        <w:rPr>
          <w:rFonts w:ascii="Times New Roman" w:hAnsi="Times New Roman"/>
          <w:color w:val="000000"/>
        </w:rPr>
        <w:t>antiepileptiká</w:t>
      </w:r>
      <w:proofErr w:type="spellEnd"/>
      <w:r w:rsidRPr="005D78EE">
        <w:rPr>
          <w:rFonts w:ascii="Times New Roman" w:hAnsi="Times New Roman"/>
          <w:color w:val="000000"/>
        </w:rPr>
        <w:t xml:space="preserve">, iné </w:t>
      </w:r>
      <w:proofErr w:type="spellStart"/>
      <w:r w:rsidRPr="005D78EE">
        <w:rPr>
          <w:rFonts w:ascii="Times New Roman" w:hAnsi="Times New Roman"/>
          <w:color w:val="000000"/>
        </w:rPr>
        <w:t>antiepileptiká</w:t>
      </w:r>
      <w:proofErr w:type="spellEnd"/>
      <w:r w:rsidRPr="005D78EE">
        <w:rPr>
          <w:rFonts w:ascii="Times New Roman" w:hAnsi="Times New Roman"/>
          <w:color w:val="000000"/>
        </w:rPr>
        <w:t xml:space="preserve">, </w:t>
      </w:r>
      <w:proofErr w:type="spellStart"/>
      <w:r w:rsidRPr="005D78EE">
        <w:rPr>
          <w:rFonts w:ascii="Times New Roman" w:hAnsi="Times New Roman"/>
          <w:color w:val="000000"/>
        </w:rPr>
        <w:t>ATC</w:t>
      </w:r>
      <w:proofErr w:type="spellEnd"/>
      <w:r w:rsidRPr="005D78EE">
        <w:rPr>
          <w:rFonts w:ascii="Times New Roman" w:hAnsi="Times New Roman"/>
          <w:color w:val="000000"/>
        </w:rPr>
        <w:t xml:space="preserve"> kód: </w:t>
      </w:r>
      <w:proofErr w:type="spellStart"/>
      <w:r w:rsidRPr="005D78EE">
        <w:rPr>
          <w:rFonts w:ascii="Times New Roman" w:hAnsi="Times New Roman"/>
          <w:color w:val="000000"/>
        </w:rPr>
        <w:t>N03AX14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757BDDB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BF5A17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Liečivo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je </w:t>
      </w:r>
      <w:proofErr w:type="spellStart"/>
      <w:r w:rsidRPr="005D78EE">
        <w:rPr>
          <w:rFonts w:ascii="Times New Roman" w:hAnsi="Times New Roman"/>
          <w:color w:val="000000"/>
        </w:rPr>
        <w:t>pyrolidónový</w:t>
      </w:r>
      <w:proofErr w:type="spellEnd"/>
      <w:r w:rsidRPr="005D78EE">
        <w:rPr>
          <w:rFonts w:ascii="Times New Roman" w:hAnsi="Times New Roman"/>
          <w:color w:val="000000"/>
        </w:rPr>
        <w:t xml:space="preserve"> derivát (</w:t>
      </w:r>
      <w:proofErr w:type="spellStart"/>
      <w:r w:rsidRPr="005D78EE">
        <w:rPr>
          <w:rFonts w:ascii="Times New Roman" w:hAnsi="Times New Roman"/>
          <w:color w:val="000000"/>
        </w:rPr>
        <w:t>S-enantiomér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alfa-etyl-2-oxo-1-pyrolidín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acetamid</w:t>
      </w:r>
      <w:proofErr w:type="spellEnd"/>
      <w:r w:rsidRPr="005D78EE">
        <w:rPr>
          <w:rFonts w:ascii="Times New Roman" w:hAnsi="Times New Roman"/>
          <w:color w:val="000000"/>
        </w:rPr>
        <w:t>),</w:t>
      </w:r>
    </w:p>
    <w:p w14:paraId="09411F2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chemicky nesúvisiaci s liečivami v súčasných </w:t>
      </w:r>
      <w:proofErr w:type="spellStart"/>
      <w:r w:rsidRPr="005D78EE">
        <w:rPr>
          <w:rFonts w:ascii="Times New Roman" w:hAnsi="Times New Roman"/>
          <w:color w:val="000000"/>
        </w:rPr>
        <w:t>antiepileptikách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22545CA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974465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Spôsob účinku</w:t>
      </w:r>
    </w:p>
    <w:p w14:paraId="1CBA79B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8DCA86A" w14:textId="77777777" w:rsidR="00553706" w:rsidRPr="005D78EE" w:rsidRDefault="00553706" w:rsidP="00405CB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Mechanizmus účinku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nebol doposiaľ celkom objasnený. Pokusy </w:t>
      </w:r>
      <w:r w:rsidRPr="005D78EE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5D78EE">
        <w:rPr>
          <w:rFonts w:ascii="Times New Roman" w:hAnsi="Times New Roman"/>
          <w:i/>
          <w:iCs/>
          <w:color w:val="000000"/>
        </w:rPr>
        <w:t>vitro</w:t>
      </w:r>
      <w:proofErr w:type="spellEnd"/>
      <w:r w:rsidRPr="005D78EE">
        <w:rPr>
          <w:rFonts w:ascii="Times New Roman" w:hAnsi="Times New Roman"/>
          <w:i/>
          <w:iCs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 xml:space="preserve">a </w:t>
      </w:r>
      <w:r w:rsidRPr="005D78EE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5D78EE">
        <w:rPr>
          <w:rFonts w:ascii="Times New Roman" w:hAnsi="Times New Roman"/>
          <w:i/>
          <w:iCs/>
          <w:color w:val="000000"/>
        </w:rPr>
        <w:t>vivo</w:t>
      </w:r>
      <w:proofErr w:type="spellEnd"/>
      <w:r w:rsidRPr="005D78EE">
        <w:rPr>
          <w:rFonts w:ascii="Times New Roman" w:hAnsi="Times New Roman"/>
          <w:i/>
          <w:iCs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>napovedajú, že</w:t>
      </w:r>
    </w:p>
    <w:p w14:paraId="0435CE2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neovplyvňuje ani základné charakteristiky buniek ani normálny prenos nervových</w:t>
      </w:r>
    </w:p>
    <w:p w14:paraId="1F32EB1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vzruchov.</w:t>
      </w:r>
    </w:p>
    <w:p w14:paraId="7F709B6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E07A3E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5D78EE">
        <w:rPr>
          <w:rFonts w:ascii="Times New Roman" w:hAnsi="Times New Roman"/>
          <w:i/>
          <w:iCs/>
          <w:color w:val="000000"/>
        </w:rPr>
        <w:t>vitro</w:t>
      </w:r>
      <w:proofErr w:type="spellEnd"/>
      <w:r w:rsidRPr="005D78EE">
        <w:rPr>
          <w:rFonts w:ascii="Times New Roman" w:hAnsi="Times New Roman"/>
          <w:i/>
          <w:iCs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 xml:space="preserve">štúdie ukazujú, že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ovplyvňuje hladinu </w:t>
      </w:r>
      <w:proofErr w:type="spellStart"/>
      <w:r w:rsidRPr="005D78EE">
        <w:rPr>
          <w:rFonts w:ascii="Times New Roman" w:hAnsi="Times New Roman"/>
          <w:color w:val="000000"/>
        </w:rPr>
        <w:t>Ca</w:t>
      </w:r>
      <w:proofErr w:type="spellEnd"/>
      <w:r w:rsidRPr="005D78EE">
        <w:rPr>
          <w:rFonts w:ascii="Times New Roman" w:hAnsi="Times New Roman"/>
          <w:color w:val="000000"/>
        </w:rPr>
        <w:t xml:space="preserve"> 2+ v neurónoch čiastočnou inhibíciou</w:t>
      </w:r>
    </w:p>
    <w:p w14:paraId="26279FC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kalciových kanálov typu N a znížením uvoľňovania </w:t>
      </w:r>
      <w:proofErr w:type="spellStart"/>
      <w:r w:rsidRPr="005D78EE">
        <w:rPr>
          <w:rFonts w:ascii="Times New Roman" w:hAnsi="Times New Roman"/>
          <w:color w:val="000000"/>
        </w:rPr>
        <w:t>Ca</w:t>
      </w:r>
      <w:proofErr w:type="spellEnd"/>
      <w:r w:rsidRPr="005D78EE">
        <w:rPr>
          <w:rFonts w:ascii="Times New Roman" w:hAnsi="Times New Roman"/>
          <w:color w:val="000000"/>
        </w:rPr>
        <w:t xml:space="preserve"> 2+ z intracelulárnych zásob v neurónoch.</w:t>
      </w:r>
    </w:p>
    <w:p w14:paraId="5929340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navyše čiastočne </w:t>
      </w:r>
      <w:proofErr w:type="spellStart"/>
      <w:r w:rsidRPr="005D78EE">
        <w:rPr>
          <w:rFonts w:ascii="Times New Roman" w:hAnsi="Times New Roman"/>
          <w:color w:val="000000"/>
        </w:rPr>
        <w:t>antagonizuje</w:t>
      </w:r>
      <w:proofErr w:type="spellEnd"/>
      <w:r w:rsidRPr="005D78EE">
        <w:rPr>
          <w:rFonts w:ascii="Times New Roman" w:hAnsi="Times New Roman"/>
          <w:color w:val="000000"/>
        </w:rPr>
        <w:t xml:space="preserve"> zníženie aktivity GABA- a </w:t>
      </w:r>
      <w:proofErr w:type="spellStart"/>
      <w:r w:rsidRPr="005D78EE">
        <w:rPr>
          <w:rFonts w:ascii="Times New Roman" w:hAnsi="Times New Roman"/>
          <w:color w:val="000000"/>
        </w:rPr>
        <w:t>glycínových</w:t>
      </w:r>
      <w:proofErr w:type="spellEnd"/>
      <w:r w:rsidRPr="005D78EE">
        <w:rPr>
          <w:rFonts w:ascii="Times New Roman" w:hAnsi="Times New Roman"/>
          <w:color w:val="000000"/>
        </w:rPr>
        <w:t xml:space="preserve"> kanálov</w:t>
      </w:r>
    </w:p>
    <w:p w14:paraId="1CBD431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spôsobené zinkom a </w:t>
      </w:r>
      <w:proofErr w:type="spellStart"/>
      <w:r w:rsidRPr="005D78EE">
        <w:rPr>
          <w:rFonts w:ascii="Times New Roman" w:hAnsi="Times New Roman"/>
          <w:color w:val="000000"/>
        </w:rPr>
        <w:t>ß-karbolínmi</w:t>
      </w:r>
      <w:proofErr w:type="spellEnd"/>
      <w:r w:rsidRPr="005D78EE">
        <w:rPr>
          <w:rFonts w:ascii="Times New Roman" w:hAnsi="Times New Roman"/>
          <w:color w:val="000000"/>
        </w:rPr>
        <w:t xml:space="preserve">. Okrem toho sa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v </w:t>
      </w:r>
      <w:r w:rsidRPr="005D78EE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5D78EE">
        <w:rPr>
          <w:rFonts w:ascii="Times New Roman" w:hAnsi="Times New Roman"/>
          <w:i/>
          <w:iCs/>
          <w:color w:val="000000"/>
        </w:rPr>
        <w:t>vitro</w:t>
      </w:r>
      <w:proofErr w:type="spellEnd"/>
      <w:r w:rsidRPr="005D78EE">
        <w:rPr>
          <w:rFonts w:ascii="Times New Roman" w:hAnsi="Times New Roman"/>
          <w:i/>
          <w:iCs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>štúdiách viaže na špecifické</w:t>
      </w:r>
    </w:p>
    <w:p w14:paraId="23C28CD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väzobné miesto v mozgovom tkanive hlodavcov. Špecifickým väzobným miestom je </w:t>
      </w:r>
      <w:proofErr w:type="spellStart"/>
      <w:r w:rsidRPr="005D78EE">
        <w:rPr>
          <w:rFonts w:ascii="Times New Roman" w:hAnsi="Times New Roman"/>
          <w:color w:val="000000"/>
        </w:rPr>
        <w:t>synaptický</w:t>
      </w:r>
      <w:proofErr w:type="spellEnd"/>
    </w:p>
    <w:p w14:paraId="79A1C74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vezikulárny</w:t>
      </w:r>
      <w:proofErr w:type="spellEnd"/>
      <w:r w:rsidRPr="005D78EE">
        <w:rPr>
          <w:rFonts w:ascii="Times New Roman" w:hAnsi="Times New Roman"/>
          <w:color w:val="000000"/>
        </w:rPr>
        <w:t xml:space="preserve"> proteín 2A, ktorý je považovaný za súčasť procesov fúzie a </w:t>
      </w:r>
      <w:proofErr w:type="spellStart"/>
      <w:r w:rsidRPr="005D78EE">
        <w:rPr>
          <w:rFonts w:ascii="Times New Roman" w:hAnsi="Times New Roman"/>
          <w:color w:val="000000"/>
        </w:rPr>
        <w:t>exocytózy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vezikúl</w:t>
      </w:r>
      <w:proofErr w:type="spellEnd"/>
      <w:r w:rsidRPr="005D78EE">
        <w:rPr>
          <w:rFonts w:ascii="Times New Roman" w:hAnsi="Times New Roman"/>
          <w:color w:val="000000"/>
        </w:rPr>
        <w:t xml:space="preserve"> s</w:t>
      </w:r>
    </w:p>
    <w:p w14:paraId="4E66F15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neurotransmitermi</w:t>
      </w:r>
      <w:proofErr w:type="spellEnd"/>
      <w:r w:rsidRPr="005D78EE">
        <w:rPr>
          <w:rFonts w:ascii="Times New Roman" w:hAnsi="Times New Roman"/>
          <w:color w:val="000000"/>
        </w:rPr>
        <w:t xml:space="preserve">.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a jeho </w:t>
      </w:r>
      <w:proofErr w:type="spellStart"/>
      <w:r w:rsidRPr="005D78EE">
        <w:rPr>
          <w:rFonts w:ascii="Times New Roman" w:hAnsi="Times New Roman"/>
          <w:color w:val="000000"/>
        </w:rPr>
        <w:t>analógy</w:t>
      </w:r>
      <w:proofErr w:type="spellEnd"/>
      <w:r w:rsidRPr="005D78EE">
        <w:rPr>
          <w:rFonts w:ascii="Times New Roman" w:hAnsi="Times New Roman"/>
          <w:color w:val="000000"/>
        </w:rPr>
        <w:t xml:space="preserve"> majú rôznu afinitu k väzbe na </w:t>
      </w:r>
      <w:proofErr w:type="spellStart"/>
      <w:r w:rsidRPr="005D78EE">
        <w:rPr>
          <w:rFonts w:ascii="Times New Roman" w:hAnsi="Times New Roman"/>
          <w:color w:val="000000"/>
        </w:rPr>
        <w:t>synaptický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vezikulárny</w:t>
      </w:r>
      <w:proofErr w:type="spellEnd"/>
      <w:r w:rsidRPr="005D78EE">
        <w:rPr>
          <w:rFonts w:ascii="Times New Roman" w:hAnsi="Times New Roman"/>
          <w:color w:val="000000"/>
        </w:rPr>
        <w:t xml:space="preserve"> proteín 2A, ktorá </w:t>
      </w:r>
      <w:proofErr w:type="spellStart"/>
      <w:r w:rsidRPr="005D78EE">
        <w:rPr>
          <w:rFonts w:ascii="Times New Roman" w:hAnsi="Times New Roman"/>
          <w:color w:val="000000"/>
        </w:rPr>
        <w:t>koreluje</w:t>
      </w:r>
      <w:proofErr w:type="spellEnd"/>
      <w:r w:rsidRPr="005D78EE">
        <w:rPr>
          <w:rFonts w:ascii="Times New Roman" w:hAnsi="Times New Roman"/>
          <w:color w:val="000000"/>
        </w:rPr>
        <w:t xml:space="preserve"> s ich potenciálom k zábrane vzniku záchvatov v </w:t>
      </w:r>
      <w:proofErr w:type="spellStart"/>
      <w:r w:rsidRPr="005D78EE">
        <w:rPr>
          <w:rFonts w:ascii="Times New Roman" w:hAnsi="Times New Roman"/>
          <w:color w:val="000000"/>
        </w:rPr>
        <w:t>audiogénnych</w:t>
      </w:r>
      <w:proofErr w:type="spellEnd"/>
    </w:p>
    <w:p w14:paraId="5E449A7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modeloch u myší. Uvedené nálezy napovedajú, že interakcia medzi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a </w:t>
      </w:r>
      <w:proofErr w:type="spellStart"/>
      <w:r w:rsidRPr="005D78EE">
        <w:rPr>
          <w:rFonts w:ascii="Times New Roman" w:hAnsi="Times New Roman"/>
          <w:color w:val="000000"/>
        </w:rPr>
        <w:t>synaptickým</w:t>
      </w:r>
      <w:proofErr w:type="spellEnd"/>
    </w:p>
    <w:p w14:paraId="08E6087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vezikulárnym</w:t>
      </w:r>
      <w:proofErr w:type="spellEnd"/>
      <w:r w:rsidRPr="005D78EE">
        <w:rPr>
          <w:rFonts w:ascii="Times New Roman" w:hAnsi="Times New Roman"/>
          <w:color w:val="000000"/>
        </w:rPr>
        <w:t xml:space="preserve"> proteínom 2A by mohla prispievať k </w:t>
      </w:r>
      <w:proofErr w:type="spellStart"/>
      <w:r w:rsidRPr="005D78EE">
        <w:rPr>
          <w:rFonts w:ascii="Times New Roman" w:hAnsi="Times New Roman"/>
          <w:color w:val="000000"/>
        </w:rPr>
        <w:t>antiepileptickému</w:t>
      </w:r>
      <w:proofErr w:type="spellEnd"/>
      <w:r w:rsidRPr="005D78EE">
        <w:rPr>
          <w:rFonts w:ascii="Times New Roman" w:hAnsi="Times New Roman"/>
          <w:color w:val="000000"/>
        </w:rPr>
        <w:t xml:space="preserve"> mechanizmu účinku lieku.</w:t>
      </w:r>
    </w:p>
    <w:p w14:paraId="7BDEA8A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7F8BAB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proofErr w:type="spellStart"/>
      <w:r w:rsidRPr="005D78EE">
        <w:rPr>
          <w:rFonts w:ascii="Times New Roman" w:hAnsi="Times New Roman"/>
          <w:color w:val="000000"/>
          <w:u w:val="single"/>
        </w:rPr>
        <w:t>Farmakodynamické</w:t>
      </w:r>
      <w:proofErr w:type="spellEnd"/>
      <w:r w:rsidRPr="005D78EE">
        <w:rPr>
          <w:rFonts w:ascii="Times New Roman" w:hAnsi="Times New Roman"/>
          <w:color w:val="000000"/>
          <w:u w:val="single"/>
        </w:rPr>
        <w:t xml:space="preserve"> účinky</w:t>
      </w:r>
    </w:p>
    <w:p w14:paraId="0C2043E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CDA59C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poskytuje ochranu pred záchvatmi vo veľkom počte zvieracích modelov parciálnych a</w:t>
      </w:r>
    </w:p>
    <w:p w14:paraId="6FB1EA3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primárne generalizovaných záchvatov bez toho, že by mal </w:t>
      </w:r>
      <w:proofErr w:type="spellStart"/>
      <w:r w:rsidRPr="005D78EE">
        <w:rPr>
          <w:rFonts w:ascii="Times New Roman" w:hAnsi="Times New Roman"/>
          <w:color w:val="000000"/>
        </w:rPr>
        <w:t>pro-konvulzívne</w:t>
      </w:r>
      <w:proofErr w:type="spellEnd"/>
      <w:r w:rsidRPr="005D78EE">
        <w:rPr>
          <w:rFonts w:ascii="Times New Roman" w:hAnsi="Times New Roman"/>
          <w:color w:val="000000"/>
        </w:rPr>
        <w:t xml:space="preserve"> účinky. Primárny</w:t>
      </w:r>
    </w:p>
    <w:p w14:paraId="1774686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metabolit</w:t>
      </w:r>
      <w:proofErr w:type="spellEnd"/>
      <w:r w:rsidRPr="005D78EE">
        <w:rPr>
          <w:rFonts w:ascii="Times New Roman" w:hAnsi="Times New Roman"/>
          <w:color w:val="000000"/>
        </w:rPr>
        <w:t xml:space="preserve"> je neaktívny.</w:t>
      </w:r>
    </w:p>
    <w:p w14:paraId="67D4FD8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10EBE9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Účinok pri parciálnej i generalizovanej epilepsii (</w:t>
      </w:r>
      <w:proofErr w:type="spellStart"/>
      <w:r w:rsidRPr="005D78EE">
        <w:rPr>
          <w:rFonts w:ascii="Times New Roman" w:hAnsi="Times New Roman"/>
          <w:color w:val="000000"/>
        </w:rPr>
        <w:t>epileptiformný</w:t>
      </w:r>
      <w:proofErr w:type="spellEnd"/>
      <w:r w:rsidRPr="005D78EE">
        <w:rPr>
          <w:rFonts w:ascii="Times New Roman" w:hAnsi="Times New Roman"/>
          <w:color w:val="000000"/>
        </w:rPr>
        <w:t xml:space="preserve"> výboj /</w:t>
      </w:r>
      <w:proofErr w:type="spellStart"/>
      <w:r w:rsidRPr="005D78EE">
        <w:rPr>
          <w:rFonts w:ascii="Times New Roman" w:hAnsi="Times New Roman"/>
          <w:color w:val="000000"/>
        </w:rPr>
        <w:t>fotoparoxyzmálna</w:t>
      </w:r>
      <w:proofErr w:type="spellEnd"/>
      <w:r w:rsidRPr="005D78EE">
        <w:rPr>
          <w:rFonts w:ascii="Times New Roman" w:hAnsi="Times New Roman"/>
          <w:color w:val="000000"/>
        </w:rPr>
        <w:t xml:space="preserve"> odpoveď) u</w:t>
      </w:r>
    </w:p>
    <w:p w14:paraId="5DB1A60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lastRenderedPageBreak/>
        <w:t xml:space="preserve">človeka potvrdil široké spektrum stanoveného farmakologického profilu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033C37C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834E58C" w14:textId="77777777" w:rsidR="00553706" w:rsidRPr="00D71043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D71043">
        <w:rPr>
          <w:rFonts w:ascii="Times New Roman" w:hAnsi="Times New Roman"/>
          <w:color w:val="000000"/>
          <w:u w:val="single"/>
        </w:rPr>
        <w:t>Klinická účinnosť a bezpečnosť</w:t>
      </w:r>
    </w:p>
    <w:p w14:paraId="6057094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060C868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Prídavná terapia na lie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>bu parciálnych záchvatov s alebo bez sekundárnej generalizácie u dospelých,</w:t>
      </w:r>
    </w:p>
    <w:p w14:paraId="2990807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dospievajúcich, detí a doj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>iat vo veku od 1 mesiaca s epilepsiou.</w:t>
      </w:r>
    </w:p>
    <w:p w14:paraId="279D364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5378AC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U dospelých sa účinnosť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dokázala v 3 dvojito-zaslepených </w:t>
      </w:r>
      <w:proofErr w:type="spellStart"/>
      <w:r w:rsidRPr="005D78EE">
        <w:rPr>
          <w:rFonts w:ascii="Times New Roman" w:hAnsi="Times New Roman"/>
          <w:color w:val="000000"/>
        </w:rPr>
        <w:t>placebom</w:t>
      </w:r>
      <w:proofErr w:type="spellEnd"/>
      <w:r w:rsidRPr="005D78EE">
        <w:rPr>
          <w:rFonts w:ascii="Times New Roman" w:hAnsi="Times New Roman"/>
          <w:color w:val="000000"/>
        </w:rPr>
        <w:t xml:space="preserve"> kontrolovaných</w:t>
      </w:r>
    </w:p>
    <w:p w14:paraId="4ED4818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štúdiách pri 1 000 mg, 2 000 mg alebo 3 000 mg/deň podávaných v 2 rozdelených dávkach s dĺžkou</w:t>
      </w:r>
    </w:p>
    <w:p w14:paraId="49794A6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liečby do 18 týždňov. V sumárnej analýze bolo percento pacientov, ktorí dosiahli 50 % alebo</w:t>
      </w:r>
    </w:p>
    <w:p w14:paraId="4D28BDD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významnejšie zníženie frekvencie parciálnych záchvatov na týždeň v porovnaní s východiskovým</w:t>
      </w:r>
    </w:p>
    <w:p w14:paraId="2F06D7B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stavom pri stabilnej dávke (12/14 týždňov), 27,7 %, 31,6 % a 41,3 % u pacientov s 1 000, 2 000 alebo</w:t>
      </w:r>
    </w:p>
    <w:p w14:paraId="348D4FD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3 000 mg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a 12,6 % u pacientov s </w:t>
      </w:r>
      <w:proofErr w:type="spellStart"/>
      <w:r w:rsidRPr="005D78EE">
        <w:rPr>
          <w:rFonts w:ascii="Times New Roman" w:hAnsi="Times New Roman"/>
          <w:color w:val="000000"/>
        </w:rPr>
        <w:t>placebom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2C3C708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25B4BB57" w14:textId="77777777" w:rsidR="00553706" w:rsidRPr="00D71043" w:rsidRDefault="009C75F7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D71043">
        <w:rPr>
          <w:rFonts w:ascii="Times New Roman" w:hAnsi="Times New Roman"/>
          <w:iCs/>
          <w:color w:val="000000"/>
          <w:u w:val="single"/>
        </w:rPr>
        <w:t xml:space="preserve">Pediatrická populácia </w:t>
      </w:r>
    </w:p>
    <w:p w14:paraId="2183AE1B" w14:textId="77777777" w:rsidR="007178B3" w:rsidRDefault="007178B3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3BB0FC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U </w:t>
      </w:r>
      <w:r w:rsidR="00836928" w:rsidRPr="005D78EE">
        <w:rPr>
          <w:rFonts w:ascii="Times New Roman" w:hAnsi="Times New Roman"/>
          <w:color w:val="000000"/>
        </w:rPr>
        <w:t>detí a dospievajúcich</w:t>
      </w:r>
      <w:r w:rsidRPr="005D78EE">
        <w:rPr>
          <w:rFonts w:ascii="Times New Roman" w:hAnsi="Times New Roman"/>
          <w:color w:val="000000"/>
        </w:rPr>
        <w:t xml:space="preserve"> (vek 4 až 16 rokov) sa účinnosť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stanovila v dvojito zaslepenej </w:t>
      </w:r>
      <w:proofErr w:type="spellStart"/>
      <w:r w:rsidRPr="005D78EE">
        <w:rPr>
          <w:rFonts w:ascii="Times New Roman" w:hAnsi="Times New Roman"/>
          <w:color w:val="000000"/>
        </w:rPr>
        <w:t>placebom</w:t>
      </w:r>
      <w:proofErr w:type="spellEnd"/>
      <w:r w:rsidRPr="005D78EE">
        <w:rPr>
          <w:rFonts w:ascii="Times New Roman" w:hAnsi="Times New Roman"/>
          <w:color w:val="000000"/>
        </w:rPr>
        <w:t xml:space="preserve"> kontrolovanej štúdii, do ktorej bolo zaradených 198 pacientov a malo dĺžku</w:t>
      </w:r>
    </w:p>
    <w:p w14:paraId="4A5A556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liečby 14 týždňov. V tejto štúdii pacienti užívali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vo fixnej dávke 60 mg/kg/deň (s</w:t>
      </w:r>
    </w:p>
    <w:p w14:paraId="068B757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dávkovaním dvakrát denne).</w:t>
      </w:r>
    </w:p>
    <w:p w14:paraId="2F26F5C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44,6 % pacientov liečených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a 19,6 % pacientov s </w:t>
      </w:r>
      <w:proofErr w:type="spellStart"/>
      <w:r w:rsidRPr="005D78EE">
        <w:rPr>
          <w:rFonts w:ascii="Times New Roman" w:hAnsi="Times New Roman"/>
          <w:color w:val="000000"/>
        </w:rPr>
        <w:t>placebom</w:t>
      </w:r>
      <w:proofErr w:type="spellEnd"/>
      <w:r w:rsidRPr="005D78EE">
        <w:rPr>
          <w:rFonts w:ascii="Times New Roman" w:hAnsi="Times New Roman"/>
          <w:color w:val="000000"/>
        </w:rPr>
        <w:t xml:space="preserve"> malo 50 % alebo</w:t>
      </w:r>
    </w:p>
    <w:p w14:paraId="04B0BEE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významnejšie zníženie frekvencie parciálnych záchvatov za týždeň v porovnaní s východiskovým</w:t>
      </w:r>
    </w:p>
    <w:p w14:paraId="0B992A7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stavom. Pri dlhodobom pokračovaní v liečbe 11,4 % pacientov nemalo záchvaty minimálne</w:t>
      </w:r>
    </w:p>
    <w:p w14:paraId="0DFF030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6 mesiacov a 7,2 % nemalo záchvat minimálne 1 rok.</w:t>
      </w:r>
    </w:p>
    <w:p w14:paraId="0B24F22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36B63C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U detí (vo veku 1 mesiac až 4 roky) bola stanovená účinnosť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v dvojito zaslepenej,</w:t>
      </w:r>
    </w:p>
    <w:p w14:paraId="69DF319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placebom</w:t>
      </w:r>
      <w:proofErr w:type="spellEnd"/>
      <w:r w:rsidRPr="005D78EE">
        <w:rPr>
          <w:rFonts w:ascii="Times New Roman" w:hAnsi="Times New Roman"/>
          <w:color w:val="000000"/>
        </w:rPr>
        <w:t xml:space="preserve"> kontrolovanej štúdii, ktorá zahrňovala 116 pacientov a liečba trvala 5 dní. V tejto štúdii</w:t>
      </w:r>
    </w:p>
    <w:p w14:paraId="327F44F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dostávali pacienti dennú dávku 20 mg/kg, 25 mg/kg, 40 mg/kg alebo 50 mg/kg perorálneho roztoku</w:t>
      </w:r>
    </w:p>
    <w:p w14:paraId="5785143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na základe titračného rozpisu podľa veku. V tejto štúdii bola použitá dávka 20 mg/kg/deň </w:t>
      </w:r>
      <w:proofErr w:type="spellStart"/>
      <w:r w:rsidRPr="005D78EE">
        <w:rPr>
          <w:rFonts w:ascii="Times New Roman" w:hAnsi="Times New Roman"/>
          <w:color w:val="000000"/>
        </w:rPr>
        <w:t>titrovaná</w:t>
      </w:r>
      <w:proofErr w:type="spellEnd"/>
      <w:r w:rsidRPr="005D78EE">
        <w:rPr>
          <w:rFonts w:ascii="Times New Roman" w:hAnsi="Times New Roman"/>
          <w:color w:val="000000"/>
        </w:rPr>
        <w:t xml:space="preserve"> na</w:t>
      </w:r>
    </w:p>
    <w:p w14:paraId="2765581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40 mg/kg/deň pre dojčatá vo veku jeden mesiac až 6 mesiacov, a dávka 25 mg/kg/deň </w:t>
      </w:r>
      <w:proofErr w:type="spellStart"/>
      <w:r w:rsidRPr="005D78EE">
        <w:rPr>
          <w:rFonts w:ascii="Times New Roman" w:hAnsi="Times New Roman"/>
          <w:color w:val="000000"/>
        </w:rPr>
        <w:t>titrovaná</w:t>
      </w:r>
      <w:proofErr w:type="spellEnd"/>
      <w:r w:rsidRPr="005D78EE">
        <w:rPr>
          <w:rFonts w:ascii="Times New Roman" w:hAnsi="Times New Roman"/>
          <w:color w:val="000000"/>
        </w:rPr>
        <w:t xml:space="preserve"> na</w:t>
      </w:r>
    </w:p>
    <w:p w14:paraId="75F09F6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50 mg/kg/deň pre deti vo veku 6 mesiacov až 4 roky. Celková denná dávka bola podávaná dvakrát</w:t>
      </w:r>
    </w:p>
    <w:p w14:paraId="2B21003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denne.</w:t>
      </w:r>
    </w:p>
    <w:p w14:paraId="2C126CA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9DE929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Primárnym ukazovateľom účinnosti bola miera odpovede na liečbu (percento pacientov s </w:t>
      </w:r>
      <w:r w:rsidRPr="005D78EE">
        <w:rPr>
          <w:rFonts w:ascii="Times New Roman" w:eastAsia="SymbolMT" w:hAnsi="Times New Roman"/>
          <w:color w:val="000000"/>
        </w:rPr>
        <w:t xml:space="preserve">≥ </w:t>
      </w:r>
      <w:r w:rsidRPr="005D78EE">
        <w:rPr>
          <w:rFonts w:ascii="Times New Roman" w:hAnsi="Times New Roman"/>
          <w:color w:val="000000"/>
        </w:rPr>
        <w:t>50 %</w:t>
      </w:r>
    </w:p>
    <w:p w14:paraId="4AA986F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poklesom priemernej dennej frekvencie parciálnych záchvatov od východiskového stavu), ktorá bola</w:t>
      </w:r>
    </w:p>
    <w:p w14:paraId="64AC683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hodnotená zaslepene centrálnym hodnotiteľom s použitím 48- hodinového video EEG záznamu.</w:t>
      </w:r>
    </w:p>
    <w:p w14:paraId="452794D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Analýza účinnosti pozostávala zo 109 pacientov, ktorí mali najmenej 24 hodín video EEG záznamu</w:t>
      </w:r>
    </w:p>
    <w:p w14:paraId="1A861483" w14:textId="4EFF9F05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 oboch obdobiach, východiskovom aj testovacom. 43,6 % pacientov liečených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a</w:t>
      </w:r>
    </w:p>
    <w:p w14:paraId="24CDAA9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19,6 % pacientov liečených </w:t>
      </w:r>
      <w:proofErr w:type="spellStart"/>
      <w:r w:rsidRPr="005D78EE">
        <w:rPr>
          <w:rFonts w:ascii="Times New Roman" w:hAnsi="Times New Roman"/>
          <w:color w:val="000000"/>
        </w:rPr>
        <w:t>placebom</w:t>
      </w:r>
      <w:proofErr w:type="spellEnd"/>
      <w:r w:rsidRPr="005D78EE">
        <w:rPr>
          <w:rFonts w:ascii="Times New Roman" w:hAnsi="Times New Roman"/>
          <w:color w:val="000000"/>
        </w:rPr>
        <w:t xml:space="preserve"> boli považovaní za respondentov. Výsledky sa zhodujú naprieč</w:t>
      </w:r>
    </w:p>
    <w:p w14:paraId="0116949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vekovými skupinami. Pri dlhodobom pokračovaní v liečbe 8,6 % pacientov nemalo záchvaty</w:t>
      </w:r>
    </w:p>
    <w:p w14:paraId="5A4F12A3" w14:textId="77777777" w:rsidR="00553706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minimálne 6 mesiacov a 7,8 % bolo bez záchvatov minimálne 1 rok.</w:t>
      </w:r>
    </w:p>
    <w:p w14:paraId="268AD062" w14:textId="77777777" w:rsidR="007178B3" w:rsidRPr="00405CBA" w:rsidRDefault="007178B3" w:rsidP="007178B3">
      <w:pPr>
        <w:autoSpaceDE w:val="0"/>
        <w:autoSpaceDN w:val="0"/>
        <w:adjustRightInd w:val="0"/>
        <w:rPr>
          <w:rFonts w:ascii="Times New Roman" w:eastAsia="TimesNewRomanPSMT" w:hAnsi="Times New Roman"/>
          <w:color w:val="222222"/>
          <w:lang w:eastAsia="sk-SK"/>
        </w:rPr>
      </w:pPr>
      <w:r w:rsidRPr="00D71043">
        <w:rPr>
          <w:rFonts w:ascii="Times New Roman" w:eastAsia="TimesNewRomanPSMT" w:hAnsi="Times New Roman"/>
          <w:color w:val="222222"/>
          <w:lang w:eastAsia="sk-SK"/>
        </w:rPr>
        <w:t xml:space="preserve">35 dojčiat s parciálnymi záchvatmi vo veku menej ako 1 rok bolo liečených v </w:t>
      </w:r>
      <w:proofErr w:type="spellStart"/>
      <w:r w:rsidRPr="00D71043">
        <w:rPr>
          <w:rFonts w:ascii="Times New Roman" w:eastAsia="TimesNewRomanPSMT" w:hAnsi="Times New Roman"/>
          <w:color w:val="222222"/>
          <w:lang w:eastAsia="sk-SK"/>
        </w:rPr>
        <w:t>place</w:t>
      </w:r>
      <w:r w:rsidRPr="00405CBA">
        <w:rPr>
          <w:rFonts w:ascii="Times New Roman" w:eastAsia="TimesNewRomanPSMT" w:hAnsi="Times New Roman"/>
          <w:color w:val="222222"/>
          <w:lang w:eastAsia="sk-SK"/>
        </w:rPr>
        <w:t>bom</w:t>
      </w:r>
      <w:proofErr w:type="spellEnd"/>
    </w:p>
    <w:p w14:paraId="36690463" w14:textId="77777777" w:rsidR="007178B3" w:rsidRPr="00405CBA" w:rsidRDefault="007178B3" w:rsidP="007178B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05CBA">
        <w:rPr>
          <w:rFonts w:ascii="Times New Roman" w:eastAsia="TimesNewRomanPSMT" w:hAnsi="Times New Roman"/>
          <w:color w:val="222222"/>
          <w:lang w:eastAsia="sk-SK"/>
        </w:rPr>
        <w:t>kontrolovaných štúdiách, kde len 13 pacientov bolo vo veku &lt;</w:t>
      </w:r>
      <w:r>
        <w:rPr>
          <w:rFonts w:ascii="Times New Roman" w:eastAsia="TimesNewRomanPSMT" w:hAnsi="Times New Roman"/>
          <w:color w:val="222222"/>
          <w:lang w:eastAsia="sk-SK"/>
        </w:rPr>
        <w:t xml:space="preserve"> </w:t>
      </w:r>
      <w:r w:rsidRPr="00405CBA">
        <w:rPr>
          <w:rFonts w:ascii="Times New Roman" w:eastAsia="TimesNewRomanPSMT" w:hAnsi="Times New Roman"/>
          <w:color w:val="222222"/>
          <w:lang w:eastAsia="sk-SK"/>
        </w:rPr>
        <w:t>6 mesiacov.</w:t>
      </w:r>
    </w:p>
    <w:p w14:paraId="75DA1A0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B26B85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Monoterapia na lie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>bu parciálnych záchvatov s alebo bez sekundárnej generalizácie u pacientov od</w:t>
      </w:r>
    </w:p>
    <w:p w14:paraId="2779F9D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veku 16 rokov s novo diagnostikovanou epilepsiou.</w:t>
      </w:r>
    </w:p>
    <w:p w14:paraId="0D72244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6EE60DE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Účinnosť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v </w:t>
      </w:r>
      <w:proofErr w:type="spellStart"/>
      <w:r w:rsidRPr="005D78EE">
        <w:rPr>
          <w:rFonts w:ascii="Times New Roman" w:hAnsi="Times New Roman"/>
          <w:color w:val="000000"/>
        </w:rPr>
        <w:t>monoterapii</w:t>
      </w:r>
      <w:proofErr w:type="spellEnd"/>
      <w:r w:rsidRPr="005D78EE">
        <w:rPr>
          <w:rFonts w:ascii="Times New Roman" w:hAnsi="Times New Roman"/>
          <w:color w:val="000000"/>
        </w:rPr>
        <w:t xml:space="preserve"> bola preukázaná v dvojito zaslepenej paralelnej skupine „</w:t>
      </w:r>
      <w:proofErr w:type="spellStart"/>
      <w:r w:rsidRPr="005D78EE">
        <w:rPr>
          <w:rFonts w:ascii="Times New Roman" w:hAnsi="Times New Roman"/>
          <w:color w:val="000000"/>
        </w:rPr>
        <w:t>noninferiority</w:t>
      </w:r>
      <w:proofErr w:type="spellEnd"/>
      <w:r w:rsidRPr="005D78EE">
        <w:rPr>
          <w:rFonts w:ascii="Times New Roman" w:hAnsi="Times New Roman"/>
          <w:color w:val="000000"/>
        </w:rPr>
        <w:t xml:space="preserve">“ v porovnaní s </w:t>
      </w:r>
      <w:proofErr w:type="spellStart"/>
      <w:r w:rsidRPr="005D78EE">
        <w:rPr>
          <w:rFonts w:ascii="Times New Roman" w:hAnsi="Times New Roman"/>
          <w:color w:val="000000"/>
        </w:rPr>
        <w:t>karbamazepínom</w:t>
      </w:r>
      <w:proofErr w:type="spellEnd"/>
      <w:r w:rsidRPr="005D78EE">
        <w:rPr>
          <w:rFonts w:ascii="Times New Roman" w:hAnsi="Times New Roman"/>
          <w:color w:val="000000"/>
        </w:rPr>
        <w:t xml:space="preserve"> s riadeným uvoľňovaním (CR) u 576 pacientov vo veku 16 rokov alebo starších s novo alebo nedávno diagnostikovanou epilepsiou. U pacientov sa mohli</w:t>
      </w:r>
    </w:p>
    <w:p w14:paraId="0AB068E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vyskytovať len nevyprovokované parciálne záchvaty alebo generalizované </w:t>
      </w:r>
      <w:proofErr w:type="spellStart"/>
      <w:r w:rsidRPr="005D78EE">
        <w:rPr>
          <w:rFonts w:ascii="Times New Roman" w:hAnsi="Times New Roman"/>
          <w:color w:val="000000"/>
        </w:rPr>
        <w:t>tonicko-klonické</w:t>
      </w:r>
      <w:proofErr w:type="spellEnd"/>
      <w:r w:rsidRPr="005D78EE">
        <w:rPr>
          <w:rFonts w:ascii="Times New Roman" w:hAnsi="Times New Roman"/>
          <w:color w:val="000000"/>
        </w:rPr>
        <w:t xml:space="preserve"> záchvaty.</w:t>
      </w:r>
    </w:p>
    <w:p w14:paraId="2CB4534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Pacienti boli </w:t>
      </w:r>
      <w:proofErr w:type="spellStart"/>
      <w:r w:rsidRPr="005D78EE">
        <w:rPr>
          <w:rFonts w:ascii="Times New Roman" w:hAnsi="Times New Roman"/>
          <w:color w:val="000000"/>
        </w:rPr>
        <w:t>randomizovaní</w:t>
      </w:r>
      <w:proofErr w:type="spellEnd"/>
      <w:r w:rsidRPr="005D78EE">
        <w:rPr>
          <w:rFonts w:ascii="Times New Roman" w:hAnsi="Times New Roman"/>
          <w:color w:val="000000"/>
        </w:rPr>
        <w:t xml:space="preserve"> na liečbu </w:t>
      </w:r>
      <w:proofErr w:type="spellStart"/>
      <w:r w:rsidRPr="005D78EE">
        <w:rPr>
          <w:rFonts w:ascii="Times New Roman" w:hAnsi="Times New Roman"/>
          <w:color w:val="000000"/>
        </w:rPr>
        <w:t>karbamazepínom</w:t>
      </w:r>
      <w:proofErr w:type="spellEnd"/>
      <w:r w:rsidRPr="005D78EE">
        <w:rPr>
          <w:rFonts w:ascii="Times New Roman" w:hAnsi="Times New Roman"/>
          <w:color w:val="000000"/>
        </w:rPr>
        <w:t xml:space="preserve"> CR 400 – 1200 mg/deň alebo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</w:p>
    <w:p w14:paraId="1CEBDF4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1000 - 3000 mg/deň, dĺžka liečby bola do 121 týždňov v závislosti od reakcie.</w:t>
      </w:r>
    </w:p>
    <w:p w14:paraId="1FE2674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Šesťmesačné obdobie bez výskytu záchvatov sa dosiahlo u 73 % pacientov liečených</w:t>
      </w:r>
    </w:p>
    <w:p w14:paraId="4BA04A7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a 72,8 % pacientov liečených </w:t>
      </w:r>
      <w:proofErr w:type="spellStart"/>
      <w:r w:rsidRPr="005D78EE">
        <w:rPr>
          <w:rFonts w:ascii="Times New Roman" w:hAnsi="Times New Roman"/>
          <w:color w:val="000000"/>
        </w:rPr>
        <w:t>karbamazepínom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CR</w:t>
      </w:r>
      <w:proofErr w:type="spellEnd"/>
      <w:r w:rsidRPr="005D78EE">
        <w:rPr>
          <w:rFonts w:ascii="Times New Roman" w:hAnsi="Times New Roman"/>
          <w:color w:val="000000"/>
        </w:rPr>
        <w:t>; upravená absolútna diferencia</w:t>
      </w:r>
    </w:p>
    <w:p w14:paraId="5F55518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medzi liečbami bola 0,2 % (95 % CI: -7,8 8,2). Viac ako polovica jedincov nemala záchvaty</w:t>
      </w:r>
    </w:p>
    <w:p w14:paraId="67259EE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12 mesiacov (56,6 % jedincov s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a 58,5 % s </w:t>
      </w:r>
      <w:proofErr w:type="spellStart"/>
      <w:r w:rsidRPr="005D78EE">
        <w:rPr>
          <w:rFonts w:ascii="Times New Roman" w:hAnsi="Times New Roman"/>
          <w:color w:val="000000"/>
        </w:rPr>
        <w:t>karbamazepínom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CR</w:t>
      </w:r>
      <w:proofErr w:type="spellEnd"/>
      <w:r w:rsidRPr="005D78EE">
        <w:rPr>
          <w:rFonts w:ascii="Times New Roman" w:hAnsi="Times New Roman"/>
          <w:color w:val="000000"/>
        </w:rPr>
        <w:t>).</w:t>
      </w:r>
    </w:p>
    <w:p w14:paraId="294CFAB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lastRenderedPageBreak/>
        <w:t>V štúdii odrážajúcej klinickú prax bolo možné u obmedzeného počtu pacientov, ktorí reagovali na</w:t>
      </w:r>
    </w:p>
    <w:p w14:paraId="093B750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prídavnú liečbu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(36 dospelých pacientov zo 69), vysadiť súbežnú </w:t>
      </w:r>
      <w:proofErr w:type="spellStart"/>
      <w:r w:rsidRPr="005D78EE">
        <w:rPr>
          <w:rFonts w:ascii="Times New Roman" w:hAnsi="Times New Roman"/>
          <w:color w:val="000000"/>
        </w:rPr>
        <w:t>antiepileptickú</w:t>
      </w:r>
      <w:proofErr w:type="spellEnd"/>
    </w:p>
    <w:p w14:paraId="4904937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liečbu.</w:t>
      </w:r>
    </w:p>
    <w:p w14:paraId="4F9ADA0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2AA500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Prídavná terapia na lie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 xml:space="preserve">bu </w:t>
      </w:r>
      <w:proofErr w:type="spellStart"/>
      <w:r w:rsidRPr="005D78EE">
        <w:rPr>
          <w:rFonts w:ascii="Times New Roman" w:hAnsi="Times New Roman"/>
          <w:i/>
          <w:iCs/>
          <w:color w:val="000000"/>
        </w:rPr>
        <w:t>myoklonických</w:t>
      </w:r>
      <w:proofErr w:type="spellEnd"/>
      <w:r w:rsidRPr="005D78EE">
        <w:rPr>
          <w:rFonts w:ascii="Times New Roman" w:hAnsi="Times New Roman"/>
          <w:i/>
          <w:iCs/>
          <w:color w:val="000000"/>
        </w:rPr>
        <w:t xml:space="preserve"> záchvatov u dospelých a dospievajúcich od veku 12 rokov</w:t>
      </w:r>
    </w:p>
    <w:p w14:paraId="5ACCD31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 xml:space="preserve">s juvenilnou </w:t>
      </w:r>
      <w:proofErr w:type="spellStart"/>
      <w:r w:rsidRPr="005D78EE">
        <w:rPr>
          <w:rFonts w:ascii="Times New Roman" w:hAnsi="Times New Roman"/>
          <w:i/>
          <w:iCs/>
          <w:color w:val="000000"/>
        </w:rPr>
        <w:t>myoklonickou</w:t>
      </w:r>
      <w:proofErr w:type="spellEnd"/>
      <w:r w:rsidRPr="005D78EE">
        <w:rPr>
          <w:rFonts w:ascii="Times New Roman" w:hAnsi="Times New Roman"/>
          <w:i/>
          <w:iCs/>
          <w:color w:val="000000"/>
        </w:rPr>
        <w:t xml:space="preserve"> epilepsiou.</w:t>
      </w:r>
    </w:p>
    <w:p w14:paraId="7ECAFC2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4C399E5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Účinnosť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bola preukázaná v dvojito zaslepenej </w:t>
      </w:r>
      <w:proofErr w:type="spellStart"/>
      <w:r w:rsidRPr="005D78EE">
        <w:rPr>
          <w:rFonts w:ascii="Times New Roman" w:hAnsi="Times New Roman"/>
          <w:color w:val="000000"/>
        </w:rPr>
        <w:t>placebom</w:t>
      </w:r>
      <w:proofErr w:type="spellEnd"/>
      <w:r w:rsidRPr="005D78EE">
        <w:rPr>
          <w:rFonts w:ascii="Times New Roman" w:hAnsi="Times New Roman"/>
          <w:color w:val="000000"/>
        </w:rPr>
        <w:t xml:space="preserve"> kontrolovanej štúdii</w:t>
      </w:r>
    </w:p>
    <w:p w14:paraId="597B846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s trvaním 16 týždňov u pacientov vo veku 12 rokov a starších, ktorí trpeli na </w:t>
      </w:r>
      <w:proofErr w:type="spellStart"/>
      <w:r w:rsidRPr="005D78EE">
        <w:rPr>
          <w:rFonts w:ascii="Times New Roman" w:hAnsi="Times New Roman"/>
          <w:color w:val="000000"/>
        </w:rPr>
        <w:t>idiopatickú</w:t>
      </w:r>
      <w:proofErr w:type="spellEnd"/>
    </w:p>
    <w:p w14:paraId="7292803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generalizovanú epilepsiu s </w:t>
      </w:r>
      <w:proofErr w:type="spellStart"/>
      <w:r w:rsidRPr="005D78EE">
        <w:rPr>
          <w:rFonts w:ascii="Times New Roman" w:hAnsi="Times New Roman"/>
          <w:color w:val="000000"/>
        </w:rPr>
        <w:t>myoklonickými</w:t>
      </w:r>
      <w:proofErr w:type="spellEnd"/>
      <w:r w:rsidRPr="005D78EE">
        <w:rPr>
          <w:rFonts w:ascii="Times New Roman" w:hAnsi="Times New Roman"/>
          <w:color w:val="000000"/>
        </w:rPr>
        <w:t xml:space="preserve"> záchvatmi s rôznymi syndrómami. Väčšina pacientov mala</w:t>
      </w:r>
    </w:p>
    <w:p w14:paraId="794D84E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výskyt juvenilnej </w:t>
      </w:r>
      <w:proofErr w:type="spellStart"/>
      <w:r w:rsidRPr="005D78EE">
        <w:rPr>
          <w:rFonts w:ascii="Times New Roman" w:hAnsi="Times New Roman"/>
          <w:color w:val="000000"/>
        </w:rPr>
        <w:t>myoklonickej</w:t>
      </w:r>
      <w:proofErr w:type="spellEnd"/>
      <w:r w:rsidRPr="005D78EE">
        <w:rPr>
          <w:rFonts w:ascii="Times New Roman" w:hAnsi="Times New Roman"/>
          <w:color w:val="000000"/>
        </w:rPr>
        <w:t xml:space="preserve"> epilepsie.</w:t>
      </w:r>
    </w:p>
    <w:p w14:paraId="2DF1C5A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 tejto štúdii bola dávka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3 000 mg/deň podávaná v 2 rozdelených dávkach.</w:t>
      </w:r>
    </w:p>
    <w:p w14:paraId="2F376E4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58,3 % pacientov liečených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a 23,3 % pacientov s </w:t>
      </w:r>
      <w:proofErr w:type="spellStart"/>
      <w:r w:rsidRPr="005D78EE">
        <w:rPr>
          <w:rFonts w:ascii="Times New Roman" w:hAnsi="Times New Roman"/>
          <w:color w:val="000000"/>
        </w:rPr>
        <w:t>placebom</w:t>
      </w:r>
      <w:proofErr w:type="spellEnd"/>
      <w:r w:rsidRPr="005D78EE">
        <w:rPr>
          <w:rFonts w:ascii="Times New Roman" w:hAnsi="Times New Roman"/>
          <w:color w:val="000000"/>
        </w:rPr>
        <w:t xml:space="preserve"> malo minimálne 50 %</w:t>
      </w:r>
    </w:p>
    <w:p w14:paraId="7C8D995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zníženie denných </w:t>
      </w:r>
      <w:proofErr w:type="spellStart"/>
      <w:r w:rsidRPr="005D78EE">
        <w:rPr>
          <w:rFonts w:ascii="Times New Roman" w:hAnsi="Times New Roman"/>
          <w:color w:val="000000"/>
        </w:rPr>
        <w:t>myoklonických</w:t>
      </w:r>
      <w:proofErr w:type="spellEnd"/>
      <w:r w:rsidRPr="005D78EE">
        <w:rPr>
          <w:rFonts w:ascii="Times New Roman" w:hAnsi="Times New Roman"/>
          <w:color w:val="000000"/>
        </w:rPr>
        <w:t xml:space="preserve"> záchvatov na týždeň. Pri dlhodobom pokračovaní v liečbe 28,6 %</w:t>
      </w:r>
    </w:p>
    <w:p w14:paraId="5F41784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pacientov nemalo </w:t>
      </w:r>
      <w:proofErr w:type="spellStart"/>
      <w:r w:rsidRPr="005D78EE">
        <w:rPr>
          <w:rFonts w:ascii="Times New Roman" w:hAnsi="Times New Roman"/>
          <w:color w:val="000000"/>
        </w:rPr>
        <w:t>myoklonické</w:t>
      </w:r>
      <w:proofErr w:type="spellEnd"/>
      <w:r w:rsidRPr="005D78EE">
        <w:rPr>
          <w:rFonts w:ascii="Times New Roman" w:hAnsi="Times New Roman"/>
          <w:color w:val="000000"/>
        </w:rPr>
        <w:t xml:space="preserve"> záchvaty minimálne 6 mesiacov a 21 % nemalo </w:t>
      </w:r>
      <w:proofErr w:type="spellStart"/>
      <w:r w:rsidRPr="005D78EE">
        <w:rPr>
          <w:rFonts w:ascii="Times New Roman" w:hAnsi="Times New Roman"/>
          <w:color w:val="000000"/>
        </w:rPr>
        <w:t>myoklonické</w:t>
      </w:r>
      <w:proofErr w:type="spellEnd"/>
    </w:p>
    <w:p w14:paraId="6DAF05A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záchvaty minimálne 1 rok.</w:t>
      </w:r>
    </w:p>
    <w:p w14:paraId="6E784EF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187AA3F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>Prídavná terapia na lie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 xml:space="preserve">bu primárnych generalizovaných </w:t>
      </w:r>
      <w:proofErr w:type="spellStart"/>
      <w:r w:rsidRPr="005D78EE">
        <w:rPr>
          <w:rFonts w:ascii="Times New Roman" w:hAnsi="Times New Roman"/>
          <w:i/>
          <w:iCs/>
          <w:color w:val="000000"/>
        </w:rPr>
        <w:t>tonicko-klonických</w:t>
      </w:r>
      <w:proofErr w:type="spellEnd"/>
      <w:r w:rsidRPr="005D78EE">
        <w:rPr>
          <w:rFonts w:ascii="Times New Roman" w:hAnsi="Times New Roman"/>
          <w:i/>
          <w:iCs/>
          <w:color w:val="000000"/>
        </w:rPr>
        <w:t xml:space="preserve"> záchvatov u dospelých</w:t>
      </w:r>
    </w:p>
    <w:p w14:paraId="33F0F7C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 xml:space="preserve">a dospievajúcich od veku 12 rokov s </w:t>
      </w:r>
      <w:proofErr w:type="spellStart"/>
      <w:r w:rsidRPr="005D78EE">
        <w:rPr>
          <w:rFonts w:ascii="Times New Roman" w:hAnsi="Times New Roman"/>
          <w:i/>
          <w:iCs/>
          <w:color w:val="000000"/>
        </w:rPr>
        <w:t>idiopatickou</w:t>
      </w:r>
      <w:proofErr w:type="spellEnd"/>
      <w:r w:rsidRPr="005D78EE">
        <w:rPr>
          <w:rFonts w:ascii="Times New Roman" w:hAnsi="Times New Roman"/>
          <w:i/>
          <w:iCs/>
          <w:color w:val="000000"/>
        </w:rPr>
        <w:t xml:space="preserve"> generalizovanou epilepsiou.</w:t>
      </w:r>
    </w:p>
    <w:p w14:paraId="3E5F285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39CA77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Účinnosť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bola preukázaná v </w:t>
      </w:r>
      <w:proofErr w:type="spellStart"/>
      <w:r w:rsidRPr="005D78EE">
        <w:rPr>
          <w:rFonts w:ascii="Times New Roman" w:hAnsi="Times New Roman"/>
          <w:color w:val="000000"/>
        </w:rPr>
        <w:t>24-týždňovej</w:t>
      </w:r>
      <w:proofErr w:type="spellEnd"/>
      <w:r w:rsidRPr="005D78EE">
        <w:rPr>
          <w:rFonts w:ascii="Times New Roman" w:hAnsi="Times New Roman"/>
          <w:color w:val="000000"/>
        </w:rPr>
        <w:t xml:space="preserve"> dvojito zaslepenej </w:t>
      </w:r>
      <w:proofErr w:type="spellStart"/>
      <w:r w:rsidRPr="005D78EE">
        <w:rPr>
          <w:rFonts w:ascii="Times New Roman" w:hAnsi="Times New Roman"/>
          <w:color w:val="000000"/>
        </w:rPr>
        <w:t>placebom</w:t>
      </w:r>
      <w:proofErr w:type="spellEnd"/>
      <w:r w:rsidRPr="005D78EE">
        <w:rPr>
          <w:rFonts w:ascii="Times New Roman" w:hAnsi="Times New Roman"/>
          <w:color w:val="000000"/>
        </w:rPr>
        <w:t xml:space="preserve"> kontrolovanej</w:t>
      </w:r>
    </w:p>
    <w:p w14:paraId="0BD2649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štúdii, do ktorej boli zaradení dospelí, dospievajúci a obmedzený počet detí, ktorí trpeli na </w:t>
      </w:r>
      <w:proofErr w:type="spellStart"/>
      <w:r w:rsidRPr="005D78EE">
        <w:rPr>
          <w:rFonts w:ascii="Times New Roman" w:hAnsi="Times New Roman"/>
          <w:color w:val="000000"/>
        </w:rPr>
        <w:t>idiopatickú</w:t>
      </w:r>
      <w:proofErr w:type="spellEnd"/>
    </w:p>
    <w:p w14:paraId="2169CA3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generalizovanú epilepsiu s primárnymi generalizovanými </w:t>
      </w:r>
      <w:proofErr w:type="spellStart"/>
      <w:r w:rsidRPr="005D78EE">
        <w:rPr>
          <w:rFonts w:ascii="Times New Roman" w:hAnsi="Times New Roman"/>
          <w:color w:val="000000"/>
        </w:rPr>
        <w:t>tonicko-klonickými</w:t>
      </w:r>
      <w:proofErr w:type="spellEnd"/>
      <w:r w:rsidRPr="005D78EE">
        <w:rPr>
          <w:rFonts w:ascii="Times New Roman" w:hAnsi="Times New Roman"/>
          <w:color w:val="000000"/>
        </w:rPr>
        <w:t xml:space="preserve"> (</w:t>
      </w:r>
      <w:proofErr w:type="spellStart"/>
      <w:r w:rsidRPr="005D78EE">
        <w:rPr>
          <w:rFonts w:ascii="Times New Roman" w:hAnsi="Times New Roman"/>
          <w:color w:val="000000"/>
        </w:rPr>
        <w:t>PGTC</w:t>
      </w:r>
      <w:proofErr w:type="spellEnd"/>
      <w:r w:rsidRPr="005D78EE">
        <w:rPr>
          <w:rFonts w:ascii="Times New Roman" w:hAnsi="Times New Roman"/>
          <w:color w:val="000000"/>
        </w:rPr>
        <w:t>) záchvatmi</w:t>
      </w:r>
    </w:p>
    <w:p w14:paraId="727EDC1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s rôznymi syndrómami (juvenilná </w:t>
      </w:r>
      <w:proofErr w:type="spellStart"/>
      <w:r w:rsidRPr="005D78EE">
        <w:rPr>
          <w:rFonts w:ascii="Times New Roman" w:hAnsi="Times New Roman"/>
          <w:color w:val="000000"/>
        </w:rPr>
        <w:t>myoklonická</w:t>
      </w:r>
      <w:proofErr w:type="spellEnd"/>
      <w:r w:rsidRPr="005D78EE">
        <w:rPr>
          <w:rFonts w:ascii="Times New Roman" w:hAnsi="Times New Roman"/>
          <w:color w:val="000000"/>
        </w:rPr>
        <w:t xml:space="preserve"> epilepsia, juvenilná absencia epilepsie, absencia</w:t>
      </w:r>
    </w:p>
    <w:p w14:paraId="07CE6F3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epilepsie v detstve alebo epilepsia s Grand Mal záchvatmi pri prebudení). V tejto štúdii bola dávka</w:t>
      </w:r>
    </w:p>
    <w:p w14:paraId="158C88F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3 000 mg/deň pre dospelých a dospievajúcich alebo 60 mg/kg/deň pre deti podávaná v 2 rozdelených dávkach.</w:t>
      </w:r>
    </w:p>
    <w:p w14:paraId="4B7011C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72,2 % pacientov liečených </w:t>
      </w:r>
      <w:proofErr w:type="spellStart"/>
      <w:r w:rsidRPr="005D78EE">
        <w:rPr>
          <w:rFonts w:ascii="Times New Roman" w:hAnsi="Times New Roman"/>
          <w:color w:val="000000"/>
        </w:rPr>
        <w:t>levetiracetamom</w:t>
      </w:r>
      <w:proofErr w:type="spellEnd"/>
      <w:r w:rsidRPr="005D78EE">
        <w:rPr>
          <w:rFonts w:ascii="Times New Roman" w:hAnsi="Times New Roman"/>
          <w:color w:val="000000"/>
        </w:rPr>
        <w:t xml:space="preserve"> a 45,2 % pacientov s </w:t>
      </w:r>
      <w:proofErr w:type="spellStart"/>
      <w:r w:rsidRPr="005D78EE">
        <w:rPr>
          <w:rFonts w:ascii="Times New Roman" w:hAnsi="Times New Roman"/>
          <w:color w:val="000000"/>
        </w:rPr>
        <w:t>placebom</w:t>
      </w:r>
      <w:proofErr w:type="spellEnd"/>
      <w:r w:rsidRPr="005D78EE">
        <w:rPr>
          <w:rFonts w:ascii="Times New Roman" w:hAnsi="Times New Roman"/>
          <w:color w:val="000000"/>
        </w:rPr>
        <w:t xml:space="preserve"> malo 50 % alebo</w:t>
      </w:r>
    </w:p>
    <w:p w14:paraId="2565C34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významnejšie zníženie frekvencie PGTC záchvatov na týždeň. Pri dlhodobom pokračovaní v liečbe</w:t>
      </w:r>
    </w:p>
    <w:p w14:paraId="4C021E9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47,4 % pacientov nemalo </w:t>
      </w:r>
      <w:proofErr w:type="spellStart"/>
      <w:r w:rsidRPr="005D78EE">
        <w:rPr>
          <w:rFonts w:ascii="Times New Roman" w:hAnsi="Times New Roman"/>
          <w:color w:val="000000"/>
        </w:rPr>
        <w:t>tonicko-klonické</w:t>
      </w:r>
      <w:proofErr w:type="spellEnd"/>
      <w:r w:rsidRPr="005D78EE">
        <w:rPr>
          <w:rFonts w:ascii="Times New Roman" w:hAnsi="Times New Roman"/>
          <w:color w:val="000000"/>
        </w:rPr>
        <w:t xml:space="preserve"> záchvaty minimálne 6 mesiacov a 31,5 % nemalo </w:t>
      </w:r>
      <w:proofErr w:type="spellStart"/>
      <w:r w:rsidRPr="005D78EE">
        <w:rPr>
          <w:rFonts w:ascii="Times New Roman" w:hAnsi="Times New Roman"/>
          <w:color w:val="000000"/>
        </w:rPr>
        <w:t>tonickoklonické</w:t>
      </w:r>
      <w:proofErr w:type="spellEnd"/>
      <w:r w:rsidRPr="005D78EE">
        <w:rPr>
          <w:rFonts w:ascii="Times New Roman" w:hAnsi="Times New Roman"/>
          <w:color w:val="000000"/>
        </w:rPr>
        <w:t xml:space="preserve"> záchvaty minimálne 1 rok.</w:t>
      </w:r>
    </w:p>
    <w:p w14:paraId="085B5FF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347E596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5.2 </w:t>
      </w:r>
      <w:r w:rsidRPr="005D78EE">
        <w:rPr>
          <w:rFonts w:ascii="Times New Roman" w:hAnsi="Times New Roman"/>
          <w:b/>
          <w:bCs/>
          <w:color w:val="000000"/>
        </w:rPr>
        <w:tab/>
      </w:r>
      <w:proofErr w:type="spellStart"/>
      <w:r w:rsidRPr="005D78EE">
        <w:rPr>
          <w:rFonts w:ascii="Times New Roman" w:hAnsi="Times New Roman"/>
          <w:b/>
          <w:bCs/>
          <w:color w:val="000000"/>
        </w:rPr>
        <w:t>Farmakokinetické</w:t>
      </w:r>
      <w:proofErr w:type="spellEnd"/>
      <w:r w:rsidRPr="005D78EE">
        <w:rPr>
          <w:rFonts w:ascii="Times New Roman" w:hAnsi="Times New Roman"/>
          <w:b/>
          <w:bCs/>
          <w:color w:val="000000"/>
        </w:rPr>
        <w:t xml:space="preserve"> vlastnosti</w:t>
      </w:r>
    </w:p>
    <w:p w14:paraId="6E38C53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2F2D86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je vysoko rozpustná látka s vysokou schopnosťou prieniku. </w:t>
      </w:r>
      <w:proofErr w:type="spellStart"/>
      <w:r w:rsidRPr="005D78EE">
        <w:rPr>
          <w:rFonts w:ascii="Times New Roman" w:hAnsi="Times New Roman"/>
          <w:color w:val="000000"/>
        </w:rPr>
        <w:t>Farmakokinetický</w:t>
      </w:r>
      <w:proofErr w:type="spellEnd"/>
      <w:r w:rsidRPr="005D78EE">
        <w:rPr>
          <w:rFonts w:ascii="Times New Roman" w:hAnsi="Times New Roman"/>
          <w:color w:val="000000"/>
        </w:rPr>
        <w:t xml:space="preserve"> profil je</w:t>
      </w:r>
    </w:p>
    <w:p w14:paraId="09649FF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lineárny pri nízkej </w:t>
      </w:r>
      <w:proofErr w:type="spellStart"/>
      <w:r w:rsidRPr="005D78EE">
        <w:rPr>
          <w:rFonts w:ascii="Times New Roman" w:hAnsi="Times New Roman"/>
          <w:color w:val="000000"/>
        </w:rPr>
        <w:t>intra</w:t>
      </w:r>
      <w:proofErr w:type="spellEnd"/>
      <w:r w:rsidRPr="005D78EE">
        <w:rPr>
          <w:rFonts w:ascii="Times New Roman" w:hAnsi="Times New Roman"/>
          <w:color w:val="000000"/>
        </w:rPr>
        <w:t xml:space="preserve">- i </w:t>
      </w:r>
      <w:proofErr w:type="spellStart"/>
      <w:r w:rsidRPr="005D78EE">
        <w:rPr>
          <w:rFonts w:ascii="Times New Roman" w:hAnsi="Times New Roman"/>
          <w:color w:val="000000"/>
        </w:rPr>
        <w:t>interindividuálnej</w:t>
      </w:r>
      <w:proofErr w:type="spellEnd"/>
      <w:r w:rsidRPr="005D78EE">
        <w:rPr>
          <w:rFonts w:ascii="Times New Roman" w:hAnsi="Times New Roman"/>
          <w:color w:val="000000"/>
        </w:rPr>
        <w:t xml:space="preserve"> variabilite. Pri opakovanom podávaní sa nemení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745A8C1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Nie sú žiadne dôkazy o akejkoľvek príslušnej variabilite medzi pohlaviami, rasami alebo </w:t>
      </w:r>
      <w:proofErr w:type="spellStart"/>
      <w:r w:rsidRPr="005D78EE">
        <w:rPr>
          <w:rFonts w:ascii="Times New Roman" w:hAnsi="Times New Roman"/>
          <w:color w:val="000000"/>
        </w:rPr>
        <w:t>cirkadiálnej</w:t>
      </w:r>
      <w:proofErr w:type="spellEnd"/>
    </w:p>
    <w:p w14:paraId="50BC5C3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variabilite. </w:t>
      </w:r>
      <w:proofErr w:type="spellStart"/>
      <w:r w:rsidRPr="005D78EE">
        <w:rPr>
          <w:rFonts w:ascii="Times New Roman" w:hAnsi="Times New Roman"/>
          <w:color w:val="000000"/>
        </w:rPr>
        <w:t>Farmakokinetický</w:t>
      </w:r>
      <w:proofErr w:type="spellEnd"/>
      <w:r w:rsidRPr="005D78EE">
        <w:rPr>
          <w:rFonts w:ascii="Times New Roman" w:hAnsi="Times New Roman"/>
          <w:color w:val="000000"/>
        </w:rPr>
        <w:t xml:space="preserve"> profil zdravých dobrovoľníkov a pacientov s epilepsiou je porovnateľný.</w:t>
      </w:r>
    </w:p>
    <w:p w14:paraId="652B77E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FA4FB9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Vzhľadom na úplné a lineárne vstrebávanie možno predvídať plazmatické hladiny z perorálnej dávky</w:t>
      </w:r>
    </w:p>
    <w:p w14:paraId="0755B68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, vyjadrenej v mg/kg telesnej hmotnosti. Plazmatické hladiny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teda nie je</w:t>
      </w:r>
    </w:p>
    <w:p w14:paraId="7E48935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potrebné monitorovať.</w:t>
      </w:r>
    </w:p>
    <w:p w14:paraId="4148535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EB1B3A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Bola preukázaná významná korelácia medzi koncentráciami v slinách a v plazme u dospelých a detí</w:t>
      </w:r>
    </w:p>
    <w:p w14:paraId="5246DED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(pomer koncentrácií v slinách/v plazme sa pohybuje v rozmedzí od 1 do 1,7 pre perorálnu tabletu</w:t>
      </w:r>
    </w:p>
    <w:p w14:paraId="03DFECF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a 4 hodiny po dávke pre perorálny roztok).</w:t>
      </w:r>
    </w:p>
    <w:p w14:paraId="4093B50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D947E7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Dospelí a dospievajúci</w:t>
      </w:r>
    </w:p>
    <w:p w14:paraId="44C4B2E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</w:p>
    <w:p w14:paraId="490F7A8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Absorpcia</w:t>
      </w:r>
    </w:p>
    <w:p w14:paraId="71DC01C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03E0C3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sa po perorálnom podaní rýchlo absorbuje. Absolútna biologická dostupnosť po</w:t>
      </w:r>
    </w:p>
    <w:p w14:paraId="07682FE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perorálnom užití sa blíži ku 100 %.</w:t>
      </w:r>
    </w:p>
    <w:p w14:paraId="43020C5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Maximálne plazmatické koncentrácie (</w:t>
      </w:r>
      <w:proofErr w:type="spellStart"/>
      <w:r w:rsidRPr="005D78EE">
        <w:rPr>
          <w:rFonts w:ascii="Times New Roman" w:hAnsi="Times New Roman"/>
          <w:color w:val="000000"/>
        </w:rPr>
        <w:t>C</w:t>
      </w:r>
      <w:r w:rsidRPr="00D71043">
        <w:rPr>
          <w:rFonts w:ascii="Times New Roman" w:hAnsi="Times New Roman"/>
          <w:color w:val="000000"/>
          <w:vertAlign w:val="subscript"/>
        </w:rPr>
        <w:t>max</w:t>
      </w:r>
      <w:proofErr w:type="spellEnd"/>
      <w:r w:rsidRPr="005D78EE">
        <w:rPr>
          <w:rFonts w:ascii="Times New Roman" w:hAnsi="Times New Roman"/>
          <w:color w:val="000000"/>
        </w:rPr>
        <w:t>) sa dosiahnu 1,3 hodiny po podaní dávky. Rovnovážny</w:t>
      </w:r>
    </w:p>
    <w:p w14:paraId="40A0C05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stav sa dosiahne po dvoch dňoch pri dávkovacom režime dvakrát denne.</w:t>
      </w:r>
    </w:p>
    <w:p w14:paraId="71FEEBA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Maximálne koncentrácie (</w:t>
      </w:r>
      <w:proofErr w:type="spellStart"/>
      <w:r w:rsidRPr="005D78EE">
        <w:rPr>
          <w:rFonts w:ascii="Times New Roman" w:hAnsi="Times New Roman"/>
          <w:color w:val="000000"/>
        </w:rPr>
        <w:t>C</w:t>
      </w:r>
      <w:r w:rsidRPr="00D71043">
        <w:rPr>
          <w:rFonts w:ascii="Times New Roman" w:hAnsi="Times New Roman"/>
          <w:color w:val="000000"/>
          <w:vertAlign w:val="subscript"/>
        </w:rPr>
        <w:t>max</w:t>
      </w:r>
      <w:proofErr w:type="spellEnd"/>
      <w:r w:rsidRPr="005D78EE">
        <w:rPr>
          <w:rFonts w:ascii="Times New Roman" w:hAnsi="Times New Roman"/>
          <w:color w:val="000000"/>
        </w:rPr>
        <w:t xml:space="preserve">) sú zvyčajne 31 </w:t>
      </w:r>
      <w:proofErr w:type="spellStart"/>
      <w:r w:rsidRPr="005D78EE">
        <w:rPr>
          <w:rFonts w:ascii="Times New Roman" w:hAnsi="Times New Roman"/>
          <w:color w:val="000000"/>
        </w:rPr>
        <w:t>μg</w:t>
      </w:r>
      <w:proofErr w:type="spellEnd"/>
      <w:r w:rsidRPr="005D78EE">
        <w:rPr>
          <w:rFonts w:ascii="Times New Roman" w:hAnsi="Times New Roman"/>
          <w:color w:val="000000"/>
        </w:rPr>
        <w:t xml:space="preserve">/ml po jednorazovej dávke 1000 mg a 43 </w:t>
      </w:r>
      <w:proofErr w:type="spellStart"/>
      <w:r w:rsidRPr="005D78EE">
        <w:rPr>
          <w:rFonts w:ascii="Times New Roman" w:hAnsi="Times New Roman"/>
          <w:color w:val="000000"/>
        </w:rPr>
        <w:t>μg</w:t>
      </w:r>
      <w:proofErr w:type="spellEnd"/>
      <w:r w:rsidRPr="005D78EE">
        <w:rPr>
          <w:rFonts w:ascii="Times New Roman" w:hAnsi="Times New Roman"/>
          <w:color w:val="000000"/>
        </w:rPr>
        <w:t>/ml po</w:t>
      </w:r>
    </w:p>
    <w:p w14:paraId="5BA2FB5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opakovanej dávke 1 000 mg dvakrát denne.</w:t>
      </w:r>
    </w:p>
    <w:p w14:paraId="169065A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C98DB5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Rozsah vstrebávania nezávisí od dávky a nie je ovplyvnený podaním jedla.</w:t>
      </w:r>
    </w:p>
    <w:p w14:paraId="4F225A8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3F7343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Distribúcia</w:t>
      </w:r>
    </w:p>
    <w:p w14:paraId="6D9C3AD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D8B125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Nie sú dostupné žiadne údaje o distribúcii v tkanivách ľudí.</w:t>
      </w:r>
    </w:p>
    <w:p w14:paraId="7B4C712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a ani jeho primárny </w:t>
      </w:r>
      <w:proofErr w:type="spellStart"/>
      <w:r w:rsidRPr="005D78EE">
        <w:rPr>
          <w:rFonts w:ascii="Times New Roman" w:hAnsi="Times New Roman"/>
          <w:color w:val="000000"/>
        </w:rPr>
        <w:t>metabolit</w:t>
      </w:r>
      <w:proofErr w:type="spellEnd"/>
      <w:r w:rsidRPr="005D78EE">
        <w:rPr>
          <w:rFonts w:ascii="Times New Roman" w:hAnsi="Times New Roman"/>
          <w:color w:val="000000"/>
        </w:rPr>
        <w:t xml:space="preserve"> sa vo významnej miere neviažu na bielkoviny v plazme</w:t>
      </w:r>
    </w:p>
    <w:p w14:paraId="3E9D7FD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(&lt; 10 %). Distribučný objem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je približne 0,5 až 0,7 l/kg, čo je hodnota blízka celkovému objemu vody v organizme.</w:t>
      </w:r>
    </w:p>
    <w:p w14:paraId="3B3E4E6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0534D9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proofErr w:type="spellStart"/>
      <w:r w:rsidRPr="005D78EE">
        <w:rPr>
          <w:rFonts w:ascii="Times New Roman" w:hAnsi="Times New Roman"/>
          <w:color w:val="000000"/>
          <w:u w:val="single"/>
        </w:rPr>
        <w:t>Biotransformácia</w:t>
      </w:r>
      <w:proofErr w:type="spellEnd"/>
    </w:p>
    <w:p w14:paraId="76D56BB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491D94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sa u ľudí extenzívne nemetabolizuje. Hlavnou metabolickou cestou (24 % dávky) je</w:t>
      </w:r>
    </w:p>
    <w:p w14:paraId="1A48EFB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enzýmová hydrolýza </w:t>
      </w:r>
      <w:proofErr w:type="spellStart"/>
      <w:r w:rsidRPr="005D78EE">
        <w:rPr>
          <w:rFonts w:ascii="Times New Roman" w:hAnsi="Times New Roman"/>
          <w:color w:val="000000"/>
        </w:rPr>
        <w:t>acetamidovej</w:t>
      </w:r>
      <w:proofErr w:type="spellEnd"/>
      <w:r w:rsidRPr="005D78EE">
        <w:rPr>
          <w:rFonts w:ascii="Times New Roman" w:hAnsi="Times New Roman"/>
          <w:color w:val="000000"/>
        </w:rPr>
        <w:t xml:space="preserve"> skupiny. </w:t>
      </w:r>
      <w:proofErr w:type="spellStart"/>
      <w:r w:rsidRPr="005D78EE">
        <w:rPr>
          <w:rFonts w:ascii="Times New Roman" w:hAnsi="Times New Roman"/>
          <w:color w:val="000000"/>
        </w:rPr>
        <w:t>Izoenzýmy</w:t>
      </w:r>
      <w:proofErr w:type="spellEnd"/>
      <w:r w:rsidRPr="005D78EE">
        <w:rPr>
          <w:rFonts w:ascii="Times New Roman" w:hAnsi="Times New Roman"/>
          <w:color w:val="000000"/>
        </w:rPr>
        <w:t xml:space="preserve"> pečeňového </w:t>
      </w:r>
      <w:proofErr w:type="spellStart"/>
      <w:r w:rsidRPr="005D78EE">
        <w:rPr>
          <w:rFonts w:ascii="Times New Roman" w:hAnsi="Times New Roman"/>
          <w:color w:val="000000"/>
        </w:rPr>
        <w:t>cytochrómu</w:t>
      </w:r>
      <w:proofErr w:type="spellEnd"/>
      <w:r w:rsidRPr="005D78EE">
        <w:rPr>
          <w:rFonts w:ascii="Times New Roman" w:hAnsi="Times New Roman"/>
          <w:color w:val="000000"/>
        </w:rPr>
        <w:t xml:space="preserve"> P450 nepodporujú</w:t>
      </w:r>
    </w:p>
    <w:p w14:paraId="7B218D4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vznik primárneho </w:t>
      </w:r>
      <w:proofErr w:type="spellStart"/>
      <w:r w:rsidRPr="005D78EE">
        <w:rPr>
          <w:rFonts w:ascii="Times New Roman" w:hAnsi="Times New Roman"/>
          <w:color w:val="000000"/>
        </w:rPr>
        <w:t>metabolitu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ucb</w:t>
      </w:r>
      <w:proofErr w:type="spellEnd"/>
      <w:r w:rsidRPr="005D78EE">
        <w:rPr>
          <w:rFonts w:ascii="Times New Roman" w:hAnsi="Times New Roman"/>
          <w:color w:val="000000"/>
        </w:rPr>
        <w:t xml:space="preserve"> L057. Hydrolýza </w:t>
      </w:r>
      <w:proofErr w:type="spellStart"/>
      <w:r w:rsidRPr="005D78EE">
        <w:rPr>
          <w:rFonts w:ascii="Times New Roman" w:hAnsi="Times New Roman"/>
          <w:color w:val="000000"/>
        </w:rPr>
        <w:t>acetamidovej</w:t>
      </w:r>
      <w:proofErr w:type="spellEnd"/>
      <w:r w:rsidRPr="005D78EE">
        <w:rPr>
          <w:rFonts w:ascii="Times New Roman" w:hAnsi="Times New Roman"/>
          <w:color w:val="000000"/>
        </w:rPr>
        <w:t xml:space="preserve"> skupiny sa merala vo veľkom počte</w:t>
      </w:r>
    </w:p>
    <w:p w14:paraId="5136E84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tkanív vrátane krviniek. </w:t>
      </w:r>
      <w:proofErr w:type="spellStart"/>
      <w:r w:rsidRPr="005D78EE">
        <w:rPr>
          <w:rFonts w:ascii="Times New Roman" w:hAnsi="Times New Roman"/>
          <w:color w:val="000000"/>
        </w:rPr>
        <w:t>Metabolit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ucb</w:t>
      </w:r>
      <w:proofErr w:type="spellEnd"/>
      <w:r w:rsidRPr="005D78EE">
        <w:rPr>
          <w:rFonts w:ascii="Times New Roman" w:hAnsi="Times New Roman"/>
          <w:color w:val="000000"/>
        </w:rPr>
        <w:t xml:space="preserve"> L057 je farmakologicky neúčinný.</w:t>
      </w:r>
    </w:p>
    <w:p w14:paraId="4279472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1AB83D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Stanovili sa tiež dva menej významné </w:t>
      </w:r>
      <w:proofErr w:type="spellStart"/>
      <w:r w:rsidRPr="005D78EE">
        <w:rPr>
          <w:rFonts w:ascii="Times New Roman" w:hAnsi="Times New Roman"/>
          <w:color w:val="000000"/>
        </w:rPr>
        <w:t>metabolity</w:t>
      </w:r>
      <w:proofErr w:type="spellEnd"/>
      <w:r w:rsidRPr="005D78EE">
        <w:rPr>
          <w:rFonts w:ascii="Times New Roman" w:hAnsi="Times New Roman"/>
          <w:color w:val="000000"/>
        </w:rPr>
        <w:t xml:space="preserve">. Jeden sa získal </w:t>
      </w:r>
      <w:proofErr w:type="spellStart"/>
      <w:r w:rsidRPr="005D78EE">
        <w:rPr>
          <w:rFonts w:ascii="Times New Roman" w:hAnsi="Times New Roman"/>
          <w:color w:val="000000"/>
        </w:rPr>
        <w:t>hydroxyláciou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pyrolidónového</w:t>
      </w:r>
      <w:proofErr w:type="spellEnd"/>
    </w:p>
    <w:p w14:paraId="6BED1BA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kruhu (1,6 % dávky) a druhý otvorením </w:t>
      </w:r>
      <w:proofErr w:type="spellStart"/>
      <w:r w:rsidRPr="005D78EE">
        <w:rPr>
          <w:rFonts w:ascii="Times New Roman" w:hAnsi="Times New Roman"/>
          <w:color w:val="000000"/>
        </w:rPr>
        <w:t>pyrolidónového</w:t>
      </w:r>
      <w:proofErr w:type="spellEnd"/>
      <w:r w:rsidRPr="005D78EE">
        <w:rPr>
          <w:rFonts w:ascii="Times New Roman" w:hAnsi="Times New Roman"/>
          <w:color w:val="000000"/>
        </w:rPr>
        <w:t xml:space="preserve"> kruhu (0,9 % dávky). Ďalšie neidentifikované</w:t>
      </w:r>
    </w:p>
    <w:p w14:paraId="0249D18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zložky predstavovali iba 0,6 % dávky.</w:t>
      </w:r>
    </w:p>
    <w:p w14:paraId="64F6BF1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690DB9E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5D78EE">
        <w:rPr>
          <w:rFonts w:ascii="Times New Roman" w:hAnsi="Times New Roman"/>
          <w:i/>
          <w:iCs/>
          <w:color w:val="000000"/>
        </w:rPr>
        <w:t>vivo</w:t>
      </w:r>
      <w:proofErr w:type="spellEnd"/>
      <w:r w:rsidRPr="005D78EE">
        <w:rPr>
          <w:rFonts w:ascii="Times New Roman" w:hAnsi="Times New Roman"/>
          <w:i/>
          <w:iCs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 xml:space="preserve">sa nezistila žiadna </w:t>
      </w:r>
      <w:proofErr w:type="spellStart"/>
      <w:r w:rsidRPr="005D78EE">
        <w:rPr>
          <w:rFonts w:ascii="Times New Roman" w:hAnsi="Times New Roman"/>
          <w:color w:val="000000"/>
        </w:rPr>
        <w:t>enantiomerová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interkonverzia</w:t>
      </w:r>
      <w:proofErr w:type="spellEnd"/>
      <w:r w:rsidRPr="005D78EE">
        <w:rPr>
          <w:rFonts w:ascii="Times New Roman" w:hAnsi="Times New Roman"/>
          <w:color w:val="000000"/>
        </w:rPr>
        <w:t xml:space="preserve"> pri </w:t>
      </w:r>
      <w:proofErr w:type="spellStart"/>
      <w:r w:rsidRPr="005D78EE">
        <w:rPr>
          <w:rFonts w:ascii="Times New Roman" w:hAnsi="Times New Roman"/>
          <w:color w:val="000000"/>
        </w:rPr>
        <w:t>levetiracetame</w:t>
      </w:r>
      <w:proofErr w:type="spellEnd"/>
      <w:r w:rsidRPr="005D78EE">
        <w:rPr>
          <w:rFonts w:ascii="Times New Roman" w:hAnsi="Times New Roman"/>
          <w:color w:val="000000"/>
        </w:rPr>
        <w:t xml:space="preserve"> ani pri jeho primárnom</w:t>
      </w:r>
    </w:p>
    <w:p w14:paraId="4EA2075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metabolite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3900A3C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6898810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5D78EE">
        <w:rPr>
          <w:rFonts w:ascii="Times New Roman" w:hAnsi="Times New Roman"/>
          <w:i/>
          <w:iCs/>
          <w:color w:val="000000"/>
        </w:rPr>
        <w:t>vitro</w:t>
      </w:r>
      <w:proofErr w:type="spellEnd"/>
      <w:r w:rsidRPr="005D78EE">
        <w:rPr>
          <w:rFonts w:ascii="Times New Roman" w:hAnsi="Times New Roman"/>
          <w:i/>
          <w:iCs/>
          <w:color w:val="000000"/>
        </w:rPr>
        <w:t xml:space="preserve"> </w:t>
      </w:r>
      <w:r w:rsidRPr="005D78EE">
        <w:rPr>
          <w:rFonts w:ascii="Times New Roman" w:hAnsi="Times New Roman"/>
          <w:color w:val="000000"/>
        </w:rPr>
        <w:t xml:space="preserve">sa zistilo, že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a jeho primárny </w:t>
      </w:r>
      <w:proofErr w:type="spellStart"/>
      <w:r w:rsidRPr="005D78EE">
        <w:rPr>
          <w:rFonts w:ascii="Times New Roman" w:hAnsi="Times New Roman"/>
          <w:color w:val="000000"/>
        </w:rPr>
        <w:t>metabolit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neinhibujú</w:t>
      </w:r>
      <w:proofErr w:type="spellEnd"/>
      <w:r w:rsidRPr="005D78EE">
        <w:rPr>
          <w:rFonts w:ascii="Times New Roman" w:hAnsi="Times New Roman"/>
          <w:color w:val="000000"/>
        </w:rPr>
        <w:t xml:space="preserve"> hlavné </w:t>
      </w:r>
      <w:proofErr w:type="spellStart"/>
      <w:r w:rsidRPr="005D78EE">
        <w:rPr>
          <w:rFonts w:ascii="Times New Roman" w:hAnsi="Times New Roman"/>
          <w:color w:val="000000"/>
        </w:rPr>
        <w:t>izoformy</w:t>
      </w:r>
      <w:proofErr w:type="spellEnd"/>
      <w:r w:rsidRPr="005D78EE">
        <w:rPr>
          <w:rFonts w:ascii="Times New Roman" w:hAnsi="Times New Roman"/>
          <w:color w:val="000000"/>
        </w:rPr>
        <w:t xml:space="preserve"> ľudského</w:t>
      </w:r>
    </w:p>
    <w:p w14:paraId="3D99F08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pečeňového </w:t>
      </w:r>
      <w:proofErr w:type="spellStart"/>
      <w:r w:rsidRPr="005D78EE">
        <w:rPr>
          <w:rFonts w:ascii="Times New Roman" w:hAnsi="Times New Roman"/>
          <w:color w:val="000000"/>
        </w:rPr>
        <w:t>cytochrómu</w:t>
      </w:r>
      <w:proofErr w:type="spellEnd"/>
      <w:r w:rsidRPr="005D78EE">
        <w:rPr>
          <w:rFonts w:ascii="Times New Roman" w:hAnsi="Times New Roman"/>
          <w:color w:val="000000"/>
        </w:rPr>
        <w:t xml:space="preserve"> P450 (</w:t>
      </w:r>
      <w:proofErr w:type="spellStart"/>
      <w:r w:rsidRPr="005D78EE">
        <w:rPr>
          <w:rFonts w:ascii="Times New Roman" w:hAnsi="Times New Roman"/>
          <w:color w:val="000000"/>
        </w:rPr>
        <w:t>CYP3A4</w:t>
      </w:r>
      <w:proofErr w:type="spellEnd"/>
      <w:r w:rsidRPr="005D78EE">
        <w:rPr>
          <w:rFonts w:ascii="Times New Roman" w:hAnsi="Times New Roman"/>
          <w:color w:val="000000"/>
        </w:rPr>
        <w:t xml:space="preserve">, 2A6, 2C9, 2C19, 2D6, 2E1 a 1A2), aktivitu </w:t>
      </w:r>
      <w:proofErr w:type="spellStart"/>
      <w:r w:rsidRPr="005D78EE">
        <w:rPr>
          <w:rFonts w:ascii="Times New Roman" w:hAnsi="Times New Roman"/>
          <w:color w:val="000000"/>
        </w:rPr>
        <w:t>glukuronylových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transferáz</w:t>
      </w:r>
      <w:proofErr w:type="spellEnd"/>
      <w:r w:rsidRPr="005D78EE">
        <w:rPr>
          <w:rFonts w:ascii="Times New Roman" w:hAnsi="Times New Roman"/>
          <w:color w:val="000000"/>
        </w:rPr>
        <w:t xml:space="preserve"> (</w:t>
      </w:r>
      <w:proofErr w:type="spellStart"/>
      <w:r w:rsidRPr="005D78EE">
        <w:rPr>
          <w:rFonts w:ascii="Times New Roman" w:hAnsi="Times New Roman"/>
          <w:color w:val="000000"/>
        </w:rPr>
        <w:t>UGT1A1</w:t>
      </w:r>
      <w:proofErr w:type="spellEnd"/>
      <w:r w:rsidRPr="005D78EE">
        <w:rPr>
          <w:rFonts w:ascii="Times New Roman" w:hAnsi="Times New Roman"/>
          <w:color w:val="000000"/>
        </w:rPr>
        <w:t xml:space="preserve"> a </w:t>
      </w:r>
      <w:proofErr w:type="spellStart"/>
      <w:r w:rsidRPr="005D78EE">
        <w:rPr>
          <w:rFonts w:ascii="Times New Roman" w:hAnsi="Times New Roman"/>
          <w:color w:val="000000"/>
        </w:rPr>
        <w:t>UGT1A6</w:t>
      </w:r>
      <w:proofErr w:type="spellEnd"/>
      <w:r w:rsidRPr="005D78EE">
        <w:rPr>
          <w:rFonts w:ascii="Times New Roman" w:hAnsi="Times New Roman"/>
          <w:color w:val="000000"/>
        </w:rPr>
        <w:t xml:space="preserve">) a epoxidovej </w:t>
      </w:r>
      <w:proofErr w:type="spellStart"/>
      <w:r w:rsidRPr="005D78EE">
        <w:rPr>
          <w:rFonts w:ascii="Times New Roman" w:hAnsi="Times New Roman"/>
          <w:color w:val="000000"/>
        </w:rPr>
        <w:t>hydroxylázy</w:t>
      </w:r>
      <w:proofErr w:type="spellEnd"/>
      <w:r w:rsidRPr="005D78EE">
        <w:rPr>
          <w:rFonts w:ascii="Times New Roman" w:hAnsi="Times New Roman"/>
          <w:color w:val="000000"/>
        </w:rPr>
        <w:t xml:space="preserve">. Okrem toho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neovplyvňuje </w:t>
      </w:r>
      <w:r w:rsidRPr="005D78EE">
        <w:rPr>
          <w:rFonts w:ascii="Times New Roman" w:hAnsi="Times New Roman"/>
          <w:i/>
          <w:iCs/>
          <w:color w:val="000000"/>
        </w:rPr>
        <w:t xml:space="preserve">in </w:t>
      </w:r>
      <w:proofErr w:type="spellStart"/>
      <w:r w:rsidRPr="005D78EE">
        <w:rPr>
          <w:rFonts w:ascii="Times New Roman" w:hAnsi="Times New Roman"/>
          <w:i/>
          <w:iCs/>
          <w:color w:val="000000"/>
        </w:rPr>
        <w:t>vitro</w:t>
      </w:r>
      <w:proofErr w:type="spellEnd"/>
      <w:r w:rsidRPr="005D78EE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glukuronidáciu</w:t>
      </w:r>
      <w:proofErr w:type="spellEnd"/>
      <w:r w:rsidRPr="005D78EE">
        <w:rPr>
          <w:rFonts w:ascii="Times New Roman" w:hAnsi="Times New Roman"/>
          <w:color w:val="000000"/>
        </w:rPr>
        <w:t xml:space="preserve"> kyseliny </w:t>
      </w:r>
      <w:proofErr w:type="spellStart"/>
      <w:r w:rsidRPr="005D78EE">
        <w:rPr>
          <w:rFonts w:ascii="Times New Roman" w:hAnsi="Times New Roman"/>
          <w:color w:val="000000"/>
        </w:rPr>
        <w:t>valproovej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55AD843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 kultúrach ľudských </w:t>
      </w:r>
      <w:proofErr w:type="spellStart"/>
      <w:r w:rsidRPr="005D78EE">
        <w:rPr>
          <w:rFonts w:ascii="Times New Roman" w:hAnsi="Times New Roman"/>
          <w:color w:val="000000"/>
        </w:rPr>
        <w:t>hepatocytov</w:t>
      </w:r>
      <w:proofErr w:type="spellEnd"/>
      <w:r w:rsidRPr="005D78EE">
        <w:rPr>
          <w:rFonts w:ascii="Times New Roman" w:hAnsi="Times New Roman"/>
          <w:color w:val="000000"/>
        </w:rPr>
        <w:t xml:space="preserve"> mal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minimálny alebo žiadny účinok na CYP1A2,</w:t>
      </w:r>
    </w:p>
    <w:p w14:paraId="7CB5567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SULT1E1 alebo UGT1A1.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spôsoboval miernu indukciu CYP2B6 a CYP3A4. In </w:t>
      </w:r>
      <w:proofErr w:type="spellStart"/>
      <w:r w:rsidRPr="005D78EE">
        <w:rPr>
          <w:rFonts w:ascii="Times New Roman" w:hAnsi="Times New Roman"/>
          <w:color w:val="000000"/>
        </w:rPr>
        <w:t>vitro</w:t>
      </w:r>
      <w:proofErr w:type="spellEnd"/>
    </w:p>
    <w:p w14:paraId="53C401E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a in </w:t>
      </w:r>
      <w:proofErr w:type="spellStart"/>
      <w:r w:rsidRPr="005D78EE">
        <w:rPr>
          <w:rFonts w:ascii="Times New Roman" w:hAnsi="Times New Roman"/>
          <w:color w:val="000000"/>
        </w:rPr>
        <w:t>vivo</w:t>
      </w:r>
      <w:proofErr w:type="spellEnd"/>
      <w:r w:rsidRPr="005D78EE">
        <w:rPr>
          <w:rFonts w:ascii="Times New Roman" w:hAnsi="Times New Roman"/>
          <w:color w:val="000000"/>
        </w:rPr>
        <w:t xml:space="preserve"> údaje o interakcii s perorálnymi </w:t>
      </w:r>
      <w:proofErr w:type="spellStart"/>
      <w:r w:rsidRPr="005D78EE">
        <w:rPr>
          <w:rFonts w:ascii="Times New Roman" w:hAnsi="Times New Roman"/>
          <w:color w:val="000000"/>
        </w:rPr>
        <w:t>kontraceptívami</w:t>
      </w:r>
      <w:proofErr w:type="spellEnd"/>
      <w:r w:rsidRPr="005D78EE">
        <w:rPr>
          <w:rFonts w:ascii="Times New Roman" w:hAnsi="Times New Roman"/>
          <w:color w:val="000000"/>
        </w:rPr>
        <w:t xml:space="preserve">, </w:t>
      </w:r>
      <w:proofErr w:type="spellStart"/>
      <w:r w:rsidRPr="005D78EE">
        <w:rPr>
          <w:rFonts w:ascii="Times New Roman" w:hAnsi="Times New Roman"/>
          <w:color w:val="000000"/>
        </w:rPr>
        <w:t>digoxínom</w:t>
      </w:r>
      <w:proofErr w:type="spellEnd"/>
      <w:r w:rsidRPr="005D78EE">
        <w:rPr>
          <w:rFonts w:ascii="Times New Roman" w:hAnsi="Times New Roman"/>
          <w:color w:val="000000"/>
        </w:rPr>
        <w:t xml:space="preserve"> a </w:t>
      </w:r>
      <w:proofErr w:type="spellStart"/>
      <w:r w:rsidRPr="005D78EE">
        <w:rPr>
          <w:rFonts w:ascii="Times New Roman" w:hAnsi="Times New Roman"/>
          <w:color w:val="000000"/>
        </w:rPr>
        <w:t>warfarínom</w:t>
      </w:r>
      <w:proofErr w:type="spellEnd"/>
      <w:r w:rsidRPr="005D78EE">
        <w:rPr>
          <w:rFonts w:ascii="Times New Roman" w:hAnsi="Times New Roman"/>
          <w:color w:val="000000"/>
        </w:rPr>
        <w:t xml:space="preserve"> ukazujú, že in</w:t>
      </w:r>
    </w:p>
    <w:p w14:paraId="218ADF8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vivo</w:t>
      </w:r>
      <w:proofErr w:type="spellEnd"/>
      <w:r w:rsidRPr="005D78EE">
        <w:rPr>
          <w:rFonts w:ascii="Times New Roman" w:hAnsi="Times New Roman"/>
          <w:color w:val="000000"/>
        </w:rPr>
        <w:t xml:space="preserve"> sa neočakáva žiadna významná indukcia enzýmov. Preto je interakcia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s inými liečivami alebo </w:t>
      </w:r>
      <w:r w:rsidRPr="005D78EE">
        <w:rPr>
          <w:rFonts w:ascii="Times New Roman" w:hAnsi="Times New Roman"/>
          <w:i/>
          <w:iCs/>
          <w:color w:val="000000"/>
        </w:rPr>
        <w:t xml:space="preserve">naopak </w:t>
      </w:r>
      <w:r w:rsidRPr="005D78EE">
        <w:rPr>
          <w:rFonts w:ascii="Times New Roman" w:hAnsi="Times New Roman"/>
          <w:color w:val="000000"/>
        </w:rPr>
        <w:t>nepravdepodobná.</w:t>
      </w:r>
    </w:p>
    <w:p w14:paraId="67AD1BB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70E5DF4" w14:textId="77777777" w:rsidR="00B231CC" w:rsidRPr="005D78EE" w:rsidRDefault="009C75F7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 xml:space="preserve">Eliminácia </w:t>
      </w:r>
    </w:p>
    <w:p w14:paraId="7D37453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Plazmatický polčas u dospelých bol 7±1 hodina a nelíšil sa ani podľa dávky, spôsobov podania ani pri</w:t>
      </w:r>
    </w:p>
    <w:p w14:paraId="4C6808B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opakovanom podávaní. Priemerný celkový systémový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 xml:space="preserve"> bol 0,96 ml/min/kg.</w:t>
      </w:r>
    </w:p>
    <w:p w14:paraId="4E22CF9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88374E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Hlavnou cestou vylučovania bol moč, ktorým sa vylučovalo priemerne 95 % dávky (približne 93 %</w:t>
      </w:r>
    </w:p>
    <w:p w14:paraId="56299F7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dávky sa vylúčilo do 48 hodín). Stolicou sa </w:t>
      </w:r>
      <w:r w:rsidRPr="005D78EE">
        <w:rPr>
          <w:rFonts w:ascii="Times New Roman" w:hAnsi="Times New Roman"/>
          <w:i/>
          <w:iCs/>
          <w:color w:val="000000"/>
        </w:rPr>
        <w:t>vylú</w:t>
      </w:r>
      <w:r w:rsidRPr="005D78EE">
        <w:rPr>
          <w:rFonts w:ascii="Times New Roman" w:eastAsia="TimesNewRomanPS-ItalicMT" w:hAnsi="Times New Roman"/>
          <w:i/>
          <w:iCs/>
          <w:color w:val="000000"/>
        </w:rPr>
        <w:t>č</w:t>
      </w:r>
      <w:r w:rsidRPr="005D78EE">
        <w:rPr>
          <w:rFonts w:ascii="Times New Roman" w:hAnsi="Times New Roman"/>
          <w:i/>
          <w:iCs/>
          <w:color w:val="000000"/>
        </w:rPr>
        <w:t xml:space="preserve">ilo </w:t>
      </w:r>
      <w:r w:rsidRPr="005D78EE">
        <w:rPr>
          <w:rFonts w:ascii="Times New Roman" w:hAnsi="Times New Roman"/>
          <w:color w:val="000000"/>
        </w:rPr>
        <w:t>len 0,3 % dávky.</w:t>
      </w:r>
    </w:p>
    <w:p w14:paraId="15D732E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Kumulatívne vylučovanie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močom počas prvých 48 hodín dosiahlo 66 % dávky; v</w:t>
      </w:r>
    </w:p>
    <w:p w14:paraId="7BC8BB3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prípade jeho primárneho </w:t>
      </w:r>
      <w:proofErr w:type="spellStart"/>
      <w:r w:rsidRPr="005D78EE">
        <w:rPr>
          <w:rFonts w:ascii="Times New Roman" w:hAnsi="Times New Roman"/>
          <w:color w:val="000000"/>
        </w:rPr>
        <w:t>metabolitu</w:t>
      </w:r>
      <w:proofErr w:type="spellEnd"/>
      <w:r w:rsidRPr="005D78EE">
        <w:rPr>
          <w:rFonts w:ascii="Times New Roman" w:hAnsi="Times New Roman"/>
          <w:color w:val="000000"/>
        </w:rPr>
        <w:t xml:space="preserve"> 24 % dávky.</w:t>
      </w:r>
    </w:p>
    <w:p w14:paraId="5EC3B52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Renálny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je 0,6 ml/min/kg a pre </w:t>
      </w:r>
      <w:proofErr w:type="spellStart"/>
      <w:r w:rsidRPr="005D78EE">
        <w:rPr>
          <w:rFonts w:ascii="Times New Roman" w:hAnsi="Times New Roman"/>
          <w:color w:val="000000"/>
        </w:rPr>
        <w:t>ucb</w:t>
      </w:r>
      <w:proofErr w:type="spellEnd"/>
      <w:r w:rsidRPr="005D78EE">
        <w:rPr>
          <w:rFonts w:ascii="Times New Roman" w:hAnsi="Times New Roman"/>
          <w:color w:val="000000"/>
        </w:rPr>
        <w:t xml:space="preserve"> L057 je 4,2 ml/min/kg, čo ukazuje, že</w:t>
      </w:r>
    </w:p>
    <w:p w14:paraId="150A6B2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sa vylučuje </w:t>
      </w:r>
      <w:proofErr w:type="spellStart"/>
      <w:r w:rsidRPr="005D78EE">
        <w:rPr>
          <w:rFonts w:ascii="Times New Roman" w:hAnsi="Times New Roman"/>
          <w:color w:val="000000"/>
        </w:rPr>
        <w:t>glomerulárnou</w:t>
      </w:r>
      <w:proofErr w:type="spellEnd"/>
      <w:r w:rsidRPr="005D78EE">
        <w:rPr>
          <w:rFonts w:ascii="Times New Roman" w:hAnsi="Times New Roman"/>
          <w:color w:val="000000"/>
        </w:rPr>
        <w:t xml:space="preserve"> filtráciou s následnou </w:t>
      </w:r>
      <w:proofErr w:type="spellStart"/>
      <w:r w:rsidRPr="005D78EE">
        <w:rPr>
          <w:rFonts w:ascii="Times New Roman" w:hAnsi="Times New Roman"/>
          <w:color w:val="000000"/>
        </w:rPr>
        <w:t>tubulárnou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reabsorpciou</w:t>
      </w:r>
      <w:proofErr w:type="spellEnd"/>
      <w:r w:rsidRPr="005D78EE">
        <w:rPr>
          <w:rFonts w:ascii="Times New Roman" w:hAnsi="Times New Roman"/>
          <w:color w:val="000000"/>
        </w:rPr>
        <w:t xml:space="preserve"> a že primárny</w:t>
      </w:r>
    </w:p>
    <w:p w14:paraId="4BBE391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metabolit</w:t>
      </w:r>
      <w:proofErr w:type="spellEnd"/>
      <w:r w:rsidRPr="005D78EE">
        <w:rPr>
          <w:rFonts w:ascii="Times New Roman" w:hAnsi="Times New Roman"/>
          <w:color w:val="000000"/>
        </w:rPr>
        <w:t xml:space="preserve"> sa okrem </w:t>
      </w:r>
      <w:proofErr w:type="spellStart"/>
      <w:r w:rsidRPr="005D78EE">
        <w:rPr>
          <w:rFonts w:ascii="Times New Roman" w:hAnsi="Times New Roman"/>
          <w:color w:val="000000"/>
        </w:rPr>
        <w:t>glomerulárnej</w:t>
      </w:r>
      <w:proofErr w:type="spellEnd"/>
      <w:r w:rsidRPr="005D78EE">
        <w:rPr>
          <w:rFonts w:ascii="Times New Roman" w:hAnsi="Times New Roman"/>
          <w:color w:val="000000"/>
        </w:rPr>
        <w:t xml:space="preserve"> filtrácie vylučuje aj aktívnou </w:t>
      </w:r>
      <w:proofErr w:type="spellStart"/>
      <w:r w:rsidRPr="005D78EE">
        <w:rPr>
          <w:rFonts w:ascii="Times New Roman" w:hAnsi="Times New Roman"/>
          <w:color w:val="000000"/>
        </w:rPr>
        <w:t>tubulárnou</w:t>
      </w:r>
      <w:proofErr w:type="spellEnd"/>
      <w:r w:rsidRPr="005D78EE">
        <w:rPr>
          <w:rFonts w:ascii="Times New Roman" w:hAnsi="Times New Roman"/>
          <w:color w:val="000000"/>
        </w:rPr>
        <w:t xml:space="preserve"> sekréciou.</w:t>
      </w:r>
    </w:p>
    <w:p w14:paraId="5BA0495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Vylučovanie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koreluje</w:t>
      </w:r>
      <w:proofErr w:type="spellEnd"/>
      <w:r w:rsidRPr="005D78EE">
        <w:rPr>
          <w:rFonts w:ascii="Times New Roman" w:hAnsi="Times New Roman"/>
          <w:color w:val="000000"/>
        </w:rPr>
        <w:t xml:space="preserve"> s </w:t>
      </w:r>
      <w:proofErr w:type="spellStart"/>
      <w:r w:rsidRPr="005D78EE">
        <w:rPr>
          <w:rFonts w:ascii="Times New Roman" w:hAnsi="Times New Roman"/>
          <w:color w:val="000000"/>
        </w:rPr>
        <w:t>klírensom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kreatinínu</w:t>
      </w:r>
      <w:proofErr w:type="spellEnd"/>
      <w:r w:rsidRPr="005D78EE">
        <w:rPr>
          <w:rFonts w:ascii="Times New Roman" w:hAnsi="Times New Roman"/>
          <w:color w:val="000000"/>
        </w:rPr>
        <w:t>.</w:t>
      </w:r>
    </w:p>
    <w:p w14:paraId="2F29AA3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C73577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 xml:space="preserve">Starší </w:t>
      </w:r>
      <w:r w:rsidR="007178B3">
        <w:rPr>
          <w:rFonts w:ascii="Times New Roman" w:hAnsi="Times New Roman"/>
          <w:color w:val="000000"/>
          <w:u w:val="single"/>
        </w:rPr>
        <w:t>ľudia</w:t>
      </w:r>
    </w:p>
    <w:p w14:paraId="1FEE7FF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U starších </w:t>
      </w:r>
      <w:r w:rsidR="007178B3">
        <w:rPr>
          <w:rFonts w:ascii="Times New Roman" w:hAnsi="Times New Roman"/>
          <w:color w:val="000000"/>
        </w:rPr>
        <w:t xml:space="preserve">ľudí </w:t>
      </w:r>
      <w:r w:rsidRPr="005D78EE">
        <w:rPr>
          <w:rFonts w:ascii="Times New Roman" w:hAnsi="Times New Roman"/>
          <w:color w:val="000000"/>
        </w:rPr>
        <w:t>je polčas predĺžený približne o 40 % (10 až 11 hodín). Súvisí to so znížením</w:t>
      </w:r>
    </w:p>
    <w:p w14:paraId="1BB0E32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funkcie obličiek u tejto populácie (pozri časť 4.2).</w:t>
      </w:r>
    </w:p>
    <w:p w14:paraId="6C072BA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A219ED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Porucha funkcie obličiek</w:t>
      </w:r>
    </w:p>
    <w:p w14:paraId="26D8B3B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</w:p>
    <w:p w14:paraId="62726F9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Zdanlivý systémový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a jeho primárneho </w:t>
      </w:r>
      <w:proofErr w:type="spellStart"/>
      <w:r w:rsidRPr="005D78EE">
        <w:rPr>
          <w:rFonts w:ascii="Times New Roman" w:hAnsi="Times New Roman"/>
          <w:color w:val="000000"/>
        </w:rPr>
        <w:t>metabolitu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koreluje</w:t>
      </w:r>
      <w:proofErr w:type="spellEnd"/>
      <w:r w:rsidRPr="005D78EE">
        <w:rPr>
          <w:rFonts w:ascii="Times New Roman" w:hAnsi="Times New Roman"/>
          <w:color w:val="000000"/>
        </w:rPr>
        <w:t xml:space="preserve"> s </w:t>
      </w:r>
      <w:proofErr w:type="spellStart"/>
      <w:r w:rsidRPr="005D78EE">
        <w:rPr>
          <w:rFonts w:ascii="Times New Roman" w:hAnsi="Times New Roman"/>
          <w:color w:val="000000"/>
        </w:rPr>
        <w:t>klírensom</w:t>
      </w:r>
      <w:proofErr w:type="spellEnd"/>
    </w:p>
    <w:p w14:paraId="5B30732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kreatinínu</w:t>
      </w:r>
      <w:proofErr w:type="spellEnd"/>
      <w:r w:rsidRPr="005D78EE">
        <w:rPr>
          <w:rFonts w:ascii="Times New Roman" w:hAnsi="Times New Roman"/>
          <w:color w:val="000000"/>
        </w:rPr>
        <w:t xml:space="preserve">. Preto sa odporúča upraviť udržiavaciu dennú dávku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podľa </w:t>
      </w:r>
      <w:proofErr w:type="spellStart"/>
      <w:r w:rsidRPr="005D78EE">
        <w:rPr>
          <w:rFonts w:ascii="Times New Roman" w:hAnsi="Times New Roman"/>
          <w:color w:val="000000"/>
        </w:rPr>
        <w:t>klírensu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kreatinínu</w:t>
      </w:r>
      <w:proofErr w:type="spellEnd"/>
      <w:r w:rsidRPr="005D78EE">
        <w:rPr>
          <w:rFonts w:ascii="Times New Roman" w:hAnsi="Times New Roman"/>
          <w:color w:val="000000"/>
        </w:rPr>
        <w:t xml:space="preserve"> u pacientov so stredne závažnou a závažnou poruchou funkcie obličiek (pozri časť 4.2).</w:t>
      </w:r>
    </w:p>
    <w:p w14:paraId="6CBDD9C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A58C63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lastRenderedPageBreak/>
        <w:t xml:space="preserve">U </w:t>
      </w:r>
      <w:proofErr w:type="spellStart"/>
      <w:r w:rsidRPr="005D78EE">
        <w:rPr>
          <w:rFonts w:ascii="Times New Roman" w:hAnsi="Times New Roman"/>
          <w:color w:val="000000"/>
        </w:rPr>
        <w:t>anurických</w:t>
      </w:r>
      <w:proofErr w:type="spellEnd"/>
      <w:r w:rsidRPr="005D78EE">
        <w:rPr>
          <w:rFonts w:ascii="Times New Roman" w:hAnsi="Times New Roman"/>
          <w:color w:val="000000"/>
        </w:rPr>
        <w:t xml:space="preserve"> dospelých jedincov s terminálnym štádiom zlyhania obličiek bol polčas medzi dialýzami</w:t>
      </w:r>
    </w:p>
    <w:p w14:paraId="4AB90FD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približne 25 hodín a počas dialýzy približne 3,1 hodiny.</w:t>
      </w:r>
    </w:p>
    <w:p w14:paraId="38A249A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Frakčné vylučovanie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počas typickej </w:t>
      </w:r>
      <w:proofErr w:type="spellStart"/>
      <w:r w:rsidRPr="005D78EE">
        <w:rPr>
          <w:rFonts w:ascii="Times New Roman" w:hAnsi="Times New Roman"/>
          <w:color w:val="000000"/>
        </w:rPr>
        <w:t>4-hodinovej</w:t>
      </w:r>
      <w:proofErr w:type="spellEnd"/>
      <w:r w:rsidRPr="005D78EE">
        <w:rPr>
          <w:rFonts w:ascii="Times New Roman" w:hAnsi="Times New Roman"/>
          <w:color w:val="000000"/>
        </w:rPr>
        <w:t xml:space="preserve"> dialýzy tvorilo 51 %.</w:t>
      </w:r>
    </w:p>
    <w:p w14:paraId="44EF961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65E63E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Porucha funkcie pečene</w:t>
      </w:r>
    </w:p>
    <w:p w14:paraId="5E2A489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U osôb s miernou a stredne závažnou poruchou funkcie pečene nedochádzalo k žiadnej významnej</w:t>
      </w:r>
    </w:p>
    <w:p w14:paraId="172F95E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zmene </w:t>
      </w:r>
      <w:proofErr w:type="spellStart"/>
      <w:r w:rsidRPr="005D78EE">
        <w:rPr>
          <w:rFonts w:ascii="Times New Roman" w:hAnsi="Times New Roman"/>
          <w:color w:val="000000"/>
        </w:rPr>
        <w:t>klírensu</w:t>
      </w:r>
      <w:proofErr w:type="spellEnd"/>
      <w:r w:rsidRPr="005D78EE">
        <w:rPr>
          <w:rFonts w:ascii="Times New Roman" w:hAnsi="Times New Roman"/>
          <w:color w:val="000000"/>
        </w:rPr>
        <w:t xml:space="preserve">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. U väčšiny osôb so závažnou poruchou funkcie pečene bol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</w:p>
    <w:p w14:paraId="1795CE7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znížený o vyše 50 % v dôsledku sprievodnej poruchy funkcie obličiek (pozri časť 4.2).</w:t>
      </w:r>
    </w:p>
    <w:p w14:paraId="691DF95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DF2E667" w14:textId="77777777" w:rsidR="00553706" w:rsidRPr="005D78EE" w:rsidRDefault="009C75F7" w:rsidP="002B47B6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5D78EE">
        <w:rPr>
          <w:rFonts w:ascii="Times New Roman" w:hAnsi="Times New Roman"/>
          <w:color w:val="000000"/>
          <w:u w:val="single"/>
        </w:rPr>
        <w:t>Pediatrická populácia</w:t>
      </w:r>
    </w:p>
    <w:p w14:paraId="2A7DE3EC" w14:textId="77777777" w:rsidR="007178B3" w:rsidRDefault="007178B3" w:rsidP="002B47B6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</w:p>
    <w:p w14:paraId="3A9D9ACB" w14:textId="77777777" w:rsidR="00553706" w:rsidRPr="00D71043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  <w:r w:rsidRPr="00D71043">
        <w:rPr>
          <w:rFonts w:ascii="Times New Roman" w:hAnsi="Times New Roman"/>
          <w:i/>
          <w:color w:val="000000"/>
        </w:rPr>
        <w:t>Deti (4 až 12 rokov)</w:t>
      </w:r>
    </w:p>
    <w:p w14:paraId="4B48313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B94F22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Po podaní jednorazovej perorálnej dávky (20 mg/kg) deťom s epilepsiou (6-12 rokov) bol polčas</w:t>
      </w:r>
    </w:p>
    <w:p w14:paraId="0C1AC6F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 6 hodín. Zdanlivý systémový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 xml:space="preserve"> bol približne o 30 % vyšší než u dospelých s</w:t>
      </w:r>
    </w:p>
    <w:p w14:paraId="7A4EE04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epilepsiou.</w:t>
      </w:r>
    </w:p>
    <w:p w14:paraId="3EFF87C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C095BF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Po podaní opakovaných perorálnych dávok (20 až 60 mg/kg/deň) deťom s epilepsiou (4 až 12 rokov)</w:t>
      </w:r>
    </w:p>
    <w:p w14:paraId="3E1A488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sa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rýchlo absorboval. Maximálna plazmatická koncentrácia sa pozorovala 0,5 až</w:t>
      </w:r>
    </w:p>
    <w:p w14:paraId="115C702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1 hodinu po podaní. Pozorovalo sa lineárne a dávkovo úmerné zvýšenie maximálnych plazmatických</w:t>
      </w:r>
    </w:p>
    <w:p w14:paraId="22485D1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koncentrácií a plochy pod krivkou. Eliminačný polčas bol približne 5 hodín. Zdanlivý telesný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</w:p>
    <w:p w14:paraId="4D28270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bol 1,1 ml/min/kg.</w:t>
      </w:r>
    </w:p>
    <w:p w14:paraId="186E120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1B78D1C" w14:textId="77777777" w:rsidR="00553706" w:rsidRPr="00D71043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  <w:r w:rsidRPr="00D71043">
        <w:rPr>
          <w:rFonts w:ascii="Times New Roman" w:hAnsi="Times New Roman"/>
          <w:i/>
          <w:color w:val="000000"/>
        </w:rPr>
        <w:t>Dojčatá a deti (1 mesiac až 4 roky)</w:t>
      </w:r>
    </w:p>
    <w:p w14:paraId="09AD45D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75CF45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Po jednorazovom podaní dávky (20 mg/kg) 100 mg/ml perorálneho roztoku deťom s epilepsiou (1</w:t>
      </w:r>
    </w:p>
    <w:p w14:paraId="2416800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mesiac až 4 roky) sa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rýchlo absorboval a maximálne plazmatické koncentrácie sa</w:t>
      </w:r>
    </w:p>
    <w:p w14:paraId="0E3A5EE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pozorovali približne 1 hodinu po podaní. </w:t>
      </w:r>
      <w:proofErr w:type="spellStart"/>
      <w:r w:rsidRPr="005D78EE">
        <w:rPr>
          <w:rFonts w:ascii="Times New Roman" w:hAnsi="Times New Roman"/>
          <w:color w:val="000000"/>
        </w:rPr>
        <w:t>Farmakokinetické</w:t>
      </w:r>
      <w:proofErr w:type="spellEnd"/>
      <w:r w:rsidRPr="005D78EE">
        <w:rPr>
          <w:rFonts w:ascii="Times New Roman" w:hAnsi="Times New Roman"/>
          <w:color w:val="000000"/>
        </w:rPr>
        <w:t xml:space="preserve"> výsledky ukazujú kratší eliminačný polčas</w:t>
      </w:r>
    </w:p>
    <w:p w14:paraId="70571C3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(5,3 hodiny) ako u dospelých (7,2 hodiny) a rýchlejší zdanlivý telesný 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 xml:space="preserve"> (1,5 ml/min/kg) ako</w:t>
      </w:r>
    </w:p>
    <w:p w14:paraId="58E1ECC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u dospelých (0,96 ml/min/kg).</w:t>
      </w:r>
    </w:p>
    <w:p w14:paraId="6E44774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3A211A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 populačnej </w:t>
      </w:r>
      <w:proofErr w:type="spellStart"/>
      <w:r w:rsidRPr="005D78EE">
        <w:rPr>
          <w:rFonts w:ascii="Times New Roman" w:hAnsi="Times New Roman"/>
          <w:color w:val="000000"/>
        </w:rPr>
        <w:t>farmakokinetickej</w:t>
      </w:r>
      <w:proofErr w:type="spellEnd"/>
      <w:r w:rsidRPr="005D78EE">
        <w:rPr>
          <w:rFonts w:ascii="Times New Roman" w:hAnsi="Times New Roman"/>
          <w:color w:val="000000"/>
        </w:rPr>
        <w:t xml:space="preserve"> analýze uskutočnenej u pacientov vo veku od 1 mesiaca do 16 rokov</w:t>
      </w:r>
    </w:p>
    <w:p w14:paraId="0B8CFCF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telesná hmotnosť významne </w:t>
      </w:r>
      <w:proofErr w:type="spellStart"/>
      <w:r w:rsidRPr="005D78EE">
        <w:rPr>
          <w:rFonts w:ascii="Times New Roman" w:hAnsi="Times New Roman"/>
          <w:color w:val="000000"/>
        </w:rPr>
        <w:t>korelovala</w:t>
      </w:r>
      <w:proofErr w:type="spellEnd"/>
      <w:r w:rsidRPr="005D78EE">
        <w:rPr>
          <w:rFonts w:ascii="Times New Roman" w:hAnsi="Times New Roman"/>
          <w:color w:val="000000"/>
        </w:rPr>
        <w:t xml:space="preserve"> so zdanlivým </w:t>
      </w:r>
      <w:proofErr w:type="spellStart"/>
      <w:r w:rsidRPr="005D78EE">
        <w:rPr>
          <w:rFonts w:ascii="Times New Roman" w:hAnsi="Times New Roman"/>
          <w:color w:val="000000"/>
        </w:rPr>
        <w:t>klírensom</w:t>
      </w:r>
      <w:proofErr w:type="spellEnd"/>
      <w:r w:rsidRPr="005D78EE">
        <w:rPr>
          <w:rFonts w:ascii="Times New Roman" w:hAnsi="Times New Roman"/>
          <w:color w:val="000000"/>
        </w:rPr>
        <w:t xml:space="preserve"> (</w:t>
      </w:r>
      <w:proofErr w:type="spellStart"/>
      <w:r w:rsidRPr="005D78EE">
        <w:rPr>
          <w:rFonts w:ascii="Times New Roman" w:hAnsi="Times New Roman"/>
          <w:color w:val="000000"/>
        </w:rPr>
        <w:t>klírens</w:t>
      </w:r>
      <w:proofErr w:type="spellEnd"/>
      <w:r w:rsidRPr="005D78EE">
        <w:rPr>
          <w:rFonts w:ascii="Times New Roman" w:hAnsi="Times New Roman"/>
          <w:color w:val="000000"/>
        </w:rPr>
        <w:t xml:space="preserve"> sa zvyšoval so zvýšením</w:t>
      </w:r>
    </w:p>
    <w:p w14:paraId="3AD1E89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telesnej hmotnosti) a so zdanlivým distribučným objemom. Na obidva parametre mal vplyv aj vek.</w:t>
      </w:r>
    </w:p>
    <w:p w14:paraId="21D41C8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Tento efekt bol zvýraznený u mladších dojčiat a ustupoval so zvyšujúcim sa vekom, pričom okolo</w:t>
      </w:r>
    </w:p>
    <w:p w14:paraId="6156572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4. roku veku sa stal zanedbateľným.</w:t>
      </w:r>
    </w:p>
    <w:p w14:paraId="485B632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4F7375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V oboch </w:t>
      </w:r>
      <w:proofErr w:type="spellStart"/>
      <w:r w:rsidRPr="005D78EE">
        <w:rPr>
          <w:rFonts w:ascii="Times New Roman" w:hAnsi="Times New Roman"/>
          <w:color w:val="000000"/>
        </w:rPr>
        <w:t>farmakokinetických</w:t>
      </w:r>
      <w:proofErr w:type="spellEnd"/>
      <w:r w:rsidRPr="005D78EE">
        <w:rPr>
          <w:rFonts w:ascii="Times New Roman" w:hAnsi="Times New Roman"/>
          <w:color w:val="000000"/>
        </w:rPr>
        <w:t xml:space="preserve"> analýzach populácie došlo k asi 20 % zvýšeniu zdanlivého </w:t>
      </w:r>
      <w:proofErr w:type="spellStart"/>
      <w:r w:rsidRPr="005D78EE">
        <w:rPr>
          <w:rFonts w:ascii="Times New Roman" w:hAnsi="Times New Roman"/>
          <w:color w:val="000000"/>
        </w:rPr>
        <w:t>klírensu</w:t>
      </w:r>
      <w:proofErr w:type="spellEnd"/>
    </w:p>
    <w:p w14:paraId="4B12E79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  <w:r w:rsidRPr="005D78EE">
        <w:rPr>
          <w:rFonts w:ascii="Times New Roman" w:hAnsi="Times New Roman"/>
          <w:color w:val="000000"/>
        </w:rPr>
        <w:t xml:space="preserve">, keď bol </w:t>
      </w:r>
      <w:proofErr w:type="spellStart"/>
      <w:r w:rsidRPr="005D78EE">
        <w:rPr>
          <w:rFonts w:ascii="Times New Roman" w:hAnsi="Times New Roman"/>
          <w:color w:val="000000"/>
        </w:rPr>
        <w:t>levetiracetam</w:t>
      </w:r>
      <w:proofErr w:type="spellEnd"/>
      <w:r w:rsidRPr="005D78EE">
        <w:rPr>
          <w:rFonts w:ascii="Times New Roman" w:hAnsi="Times New Roman"/>
          <w:color w:val="000000"/>
        </w:rPr>
        <w:t xml:space="preserve"> podávaný spolu s </w:t>
      </w:r>
      <w:proofErr w:type="spellStart"/>
      <w:r w:rsidRPr="005D78EE">
        <w:rPr>
          <w:rFonts w:ascii="Times New Roman" w:hAnsi="Times New Roman"/>
          <w:color w:val="000000"/>
        </w:rPr>
        <w:t>antiepileptikami</w:t>
      </w:r>
      <w:proofErr w:type="spellEnd"/>
      <w:r w:rsidRPr="005D78EE">
        <w:rPr>
          <w:rFonts w:ascii="Times New Roman" w:hAnsi="Times New Roman"/>
          <w:color w:val="000000"/>
        </w:rPr>
        <w:t>, ktoré indukujú enzýmy.</w:t>
      </w:r>
    </w:p>
    <w:p w14:paraId="2F4B3D6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47EB4E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5.3 </w:t>
      </w:r>
      <w:r w:rsidRPr="005D78EE">
        <w:rPr>
          <w:rFonts w:ascii="Times New Roman" w:hAnsi="Times New Roman"/>
          <w:b/>
          <w:bCs/>
          <w:color w:val="000000"/>
        </w:rPr>
        <w:tab/>
        <w:t>Predklinické údaje o bezpe</w:t>
      </w:r>
      <w:r w:rsidRPr="005D78EE">
        <w:rPr>
          <w:rFonts w:ascii="Times New Roman" w:eastAsia="TimesNewRomanPS-BoldMT" w:hAnsi="Times New Roman"/>
          <w:b/>
          <w:bCs/>
          <w:color w:val="000000"/>
        </w:rPr>
        <w:t>č</w:t>
      </w:r>
      <w:r w:rsidRPr="005D78EE">
        <w:rPr>
          <w:rFonts w:ascii="Times New Roman" w:hAnsi="Times New Roman"/>
          <w:b/>
          <w:bCs/>
          <w:color w:val="000000"/>
        </w:rPr>
        <w:t>nosti</w:t>
      </w:r>
    </w:p>
    <w:p w14:paraId="3BEF467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56EBB1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Predklinické údaje získané na základe obvyklých farmakologických štúdií bezpečnosti, </w:t>
      </w:r>
      <w:proofErr w:type="spellStart"/>
      <w:r w:rsidRPr="005D78EE">
        <w:rPr>
          <w:rFonts w:ascii="Times New Roman" w:hAnsi="Times New Roman"/>
          <w:color w:val="000000"/>
        </w:rPr>
        <w:t>genotoxicity</w:t>
      </w:r>
      <w:proofErr w:type="spellEnd"/>
      <w:r w:rsidRPr="005D78EE">
        <w:rPr>
          <w:rFonts w:ascii="Times New Roman" w:hAnsi="Times New Roman"/>
          <w:color w:val="000000"/>
        </w:rPr>
        <w:t>,</w:t>
      </w:r>
    </w:p>
    <w:p w14:paraId="640B365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karcinog</w:t>
      </w:r>
      <w:r w:rsidR="007178B3">
        <w:rPr>
          <w:rFonts w:ascii="Times New Roman" w:hAnsi="Times New Roman"/>
          <w:color w:val="000000"/>
        </w:rPr>
        <w:t>énneho potenciálu</w:t>
      </w:r>
      <w:r w:rsidRPr="005D78EE">
        <w:rPr>
          <w:rFonts w:ascii="Times New Roman" w:hAnsi="Times New Roman"/>
          <w:color w:val="000000"/>
        </w:rPr>
        <w:t xml:space="preserve"> neodhalili žiadne osobitné riziko pre ľudí.</w:t>
      </w:r>
    </w:p>
    <w:p w14:paraId="1D31A10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Nežiaduce účinky nepozorované v klinických štúdiách, ale zistené u potkanov, a v menšom rozsahu u</w:t>
      </w:r>
    </w:p>
    <w:p w14:paraId="13FB13B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myší, pri expozícii v podobných hladinách ako boli expozičné hladiny u človeka a s potenciálnym</w:t>
      </w:r>
    </w:p>
    <w:p w14:paraId="2230E1C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významom pre použitie v klinickej praxi, boli pečeňové zmeny naznačujúce adaptívnu odpoveď, ako</w:t>
      </w:r>
    </w:p>
    <w:p w14:paraId="48513D0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je zvýšená hmotnosť a </w:t>
      </w:r>
      <w:proofErr w:type="spellStart"/>
      <w:r w:rsidRPr="005D78EE">
        <w:rPr>
          <w:rFonts w:ascii="Times New Roman" w:hAnsi="Times New Roman"/>
          <w:color w:val="000000"/>
        </w:rPr>
        <w:t>centrilobulárna</w:t>
      </w:r>
      <w:proofErr w:type="spellEnd"/>
      <w:r w:rsidRPr="005D78EE">
        <w:rPr>
          <w:rFonts w:ascii="Times New Roman" w:hAnsi="Times New Roman"/>
          <w:color w:val="000000"/>
        </w:rPr>
        <w:t xml:space="preserve"> hypertrofia, infiltrácia tuku a zvýšené pečeňové enzýmy v</w:t>
      </w:r>
    </w:p>
    <w:p w14:paraId="6F9FB4F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plazme.</w:t>
      </w:r>
    </w:p>
    <w:p w14:paraId="5CEE967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80F1D2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U potkanov sa nepozorovali žiadne nežiaduce </w:t>
      </w:r>
      <w:r w:rsidR="007178B3">
        <w:rPr>
          <w:rFonts w:ascii="Times New Roman" w:hAnsi="Times New Roman"/>
          <w:color w:val="000000"/>
        </w:rPr>
        <w:t xml:space="preserve">reakcie </w:t>
      </w:r>
      <w:r w:rsidRPr="005D78EE">
        <w:rPr>
          <w:rFonts w:ascii="Times New Roman" w:hAnsi="Times New Roman"/>
          <w:color w:val="000000"/>
        </w:rPr>
        <w:t xml:space="preserve">na </w:t>
      </w:r>
      <w:proofErr w:type="spellStart"/>
      <w:r w:rsidRPr="005D78EE">
        <w:rPr>
          <w:rFonts w:ascii="Times New Roman" w:hAnsi="Times New Roman"/>
          <w:color w:val="000000"/>
        </w:rPr>
        <w:t>fertilitu</w:t>
      </w:r>
      <w:proofErr w:type="spellEnd"/>
      <w:r w:rsidRPr="005D78EE">
        <w:rPr>
          <w:rFonts w:ascii="Times New Roman" w:hAnsi="Times New Roman"/>
          <w:color w:val="000000"/>
        </w:rPr>
        <w:t xml:space="preserve"> alebo reprodukčnú výkonnosť</w:t>
      </w:r>
    </w:p>
    <w:p w14:paraId="06DF78A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samcov alebo samičiek pri dávkach až do 1800 mg/kg/deň (6-násobok maximálnej dennej dávky</w:t>
      </w:r>
    </w:p>
    <w:p w14:paraId="4623893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odporúčanej pre ľudí prepočítanej na mg/m</w:t>
      </w:r>
      <w:r w:rsidRPr="005D78EE">
        <w:rPr>
          <w:rFonts w:ascii="Times New Roman" w:hAnsi="Times New Roman"/>
          <w:color w:val="000000"/>
          <w:vertAlign w:val="superscript"/>
        </w:rPr>
        <w:t>2</w:t>
      </w:r>
      <w:r w:rsidRPr="005D78EE">
        <w:rPr>
          <w:rFonts w:ascii="Times New Roman" w:hAnsi="Times New Roman"/>
          <w:color w:val="000000"/>
        </w:rPr>
        <w:t xml:space="preserve"> alebo expozíciu) u rodičov a generácie F1.</w:t>
      </w:r>
    </w:p>
    <w:p w14:paraId="5C52C1F7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DE7FE2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Boli uskutočnené dve štúdie </w:t>
      </w:r>
      <w:proofErr w:type="spellStart"/>
      <w:r w:rsidRPr="005D78EE">
        <w:rPr>
          <w:rFonts w:ascii="Times New Roman" w:hAnsi="Times New Roman"/>
          <w:color w:val="000000"/>
        </w:rPr>
        <w:t>embryo-fetálneho</w:t>
      </w:r>
      <w:proofErr w:type="spellEnd"/>
      <w:r w:rsidRPr="005D78EE">
        <w:rPr>
          <w:rFonts w:ascii="Times New Roman" w:hAnsi="Times New Roman"/>
          <w:color w:val="000000"/>
        </w:rPr>
        <w:t xml:space="preserve"> vývoja (</w:t>
      </w:r>
      <w:proofErr w:type="spellStart"/>
      <w:r w:rsidRPr="005D78EE">
        <w:rPr>
          <w:rFonts w:ascii="Times New Roman" w:hAnsi="Times New Roman"/>
          <w:color w:val="000000"/>
        </w:rPr>
        <w:t>EFV</w:t>
      </w:r>
      <w:proofErr w:type="spellEnd"/>
      <w:r w:rsidRPr="005D78EE">
        <w:rPr>
          <w:rFonts w:ascii="Times New Roman" w:hAnsi="Times New Roman"/>
          <w:color w:val="000000"/>
        </w:rPr>
        <w:t xml:space="preserve"> štúdie) u potkanov s dávkami 400, </w:t>
      </w:r>
      <w:smartTag w:uri="urn:schemas-microsoft-com:office:smarttags" w:element="metricconverter">
        <w:smartTagPr>
          <w:attr w:name="ProductID" w:val="1200 a"/>
        </w:smartTagPr>
        <w:r w:rsidRPr="005D78EE">
          <w:rPr>
            <w:rFonts w:ascii="Times New Roman" w:hAnsi="Times New Roman"/>
            <w:color w:val="000000"/>
          </w:rPr>
          <w:t>1200 a</w:t>
        </w:r>
      </w:smartTag>
    </w:p>
    <w:p w14:paraId="780E7E8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3600 mg/kg/deň. Pri dávke 3600 mg/kg/deň došlo len v jednej z týchto dvoch EFV štúdií</w:t>
      </w:r>
    </w:p>
    <w:p w14:paraId="5F17EE6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k nepatrnému zníženiu </w:t>
      </w:r>
      <w:proofErr w:type="spellStart"/>
      <w:r w:rsidRPr="005D78EE">
        <w:rPr>
          <w:rFonts w:ascii="Times New Roman" w:hAnsi="Times New Roman"/>
          <w:color w:val="000000"/>
        </w:rPr>
        <w:t>fetálnej</w:t>
      </w:r>
      <w:proofErr w:type="spellEnd"/>
      <w:r w:rsidRPr="005D78EE">
        <w:rPr>
          <w:rFonts w:ascii="Times New Roman" w:hAnsi="Times New Roman"/>
          <w:color w:val="000000"/>
        </w:rPr>
        <w:t xml:space="preserve"> hmotnosti, spojenému s hraničným nárastom počtu kostných</w:t>
      </w:r>
    </w:p>
    <w:p w14:paraId="3421FA0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lastRenderedPageBreak/>
        <w:t>zmien/menších anomálií. Nedošlo k žiadnemu ovplyvneniu mortality embryí ani k zvýšeniu výskytu</w:t>
      </w:r>
    </w:p>
    <w:p w14:paraId="1680B34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malformácií</w:t>
      </w:r>
      <w:proofErr w:type="spellEnd"/>
      <w:r w:rsidRPr="005D78EE">
        <w:rPr>
          <w:rFonts w:ascii="Times New Roman" w:hAnsi="Times New Roman"/>
          <w:color w:val="000000"/>
        </w:rPr>
        <w:t>. NOAEL (hladina bez pozorovaných nežiaducich účinkov) bola 3600 mg/kg/deň pre</w:t>
      </w:r>
    </w:p>
    <w:p w14:paraId="6269BBF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gravidné samice potkanov (12 násobok maximálnej dennej dávky odporúčanej pre ľudí prepočítanej</w:t>
      </w:r>
    </w:p>
    <w:p w14:paraId="0D5D26D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na mg/m</w:t>
      </w:r>
      <w:r w:rsidRPr="005D78EE">
        <w:rPr>
          <w:rFonts w:ascii="Times New Roman" w:hAnsi="Times New Roman"/>
          <w:color w:val="000000"/>
          <w:vertAlign w:val="superscript"/>
        </w:rPr>
        <w:t xml:space="preserve">2 </w:t>
      </w:r>
      <w:r w:rsidRPr="005D78EE">
        <w:rPr>
          <w:rFonts w:ascii="Times New Roman" w:hAnsi="Times New Roman"/>
          <w:color w:val="000000"/>
        </w:rPr>
        <w:t>plochy povrchu tela) a 1200 mg/kg/deň pre plody.</w:t>
      </w:r>
    </w:p>
    <w:p w14:paraId="49A892D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31763C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Boli uskutočnené štyri štúdie </w:t>
      </w:r>
      <w:proofErr w:type="spellStart"/>
      <w:r w:rsidRPr="005D78EE">
        <w:rPr>
          <w:rFonts w:ascii="Times New Roman" w:hAnsi="Times New Roman"/>
          <w:color w:val="000000"/>
        </w:rPr>
        <w:t>embryo-fetálneho</w:t>
      </w:r>
      <w:proofErr w:type="spellEnd"/>
      <w:r w:rsidRPr="005D78EE">
        <w:rPr>
          <w:rFonts w:ascii="Times New Roman" w:hAnsi="Times New Roman"/>
          <w:color w:val="000000"/>
        </w:rPr>
        <w:t xml:space="preserve"> vývoja u králikov s dávkami 200, 600, 800, </w:t>
      </w:r>
      <w:smartTag w:uri="urn:schemas-microsoft-com:office:smarttags" w:element="metricconverter">
        <w:smartTagPr>
          <w:attr w:name="ProductID" w:val="1200 a"/>
        </w:smartTagPr>
        <w:r w:rsidRPr="005D78EE">
          <w:rPr>
            <w:rFonts w:ascii="Times New Roman" w:hAnsi="Times New Roman"/>
            <w:color w:val="000000"/>
          </w:rPr>
          <w:t>1200 a</w:t>
        </w:r>
      </w:smartTag>
    </w:p>
    <w:p w14:paraId="135ACEC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1800 mg/kg/deň. Dávka 1800 mg/kg/deň viedla k značnej toxicite u samíc- matiek a k zníženiu</w:t>
      </w:r>
    </w:p>
    <w:p w14:paraId="1DBBCF89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proofErr w:type="spellStart"/>
      <w:r w:rsidRPr="005D78EE">
        <w:rPr>
          <w:rFonts w:ascii="Times New Roman" w:hAnsi="Times New Roman"/>
          <w:color w:val="000000"/>
        </w:rPr>
        <w:t>fetálnej</w:t>
      </w:r>
      <w:proofErr w:type="spellEnd"/>
      <w:r w:rsidRPr="005D78EE">
        <w:rPr>
          <w:rFonts w:ascii="Times New Roman" w:hAnsi="Times New Roman"/>
          <w:color w:val="000000"/>
        </w:rPr>
        <w:t xml:space="preserve"> hmotnosti, spojenému so zvýšeným výskytom plodov s kardiovaskulárnymi/kostrovými</w:t>
      </w:r>
    </w:p>
    <w:p w14:paraId="49157E6E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anomáliami. NOAEL bola &lt; 200 mg/kg/deň pre samice- matky a 200 mg/kg/deň pre plody (rovnajúca</w:t>
      </w:r>
    </w:p>
    <w:p w14:paraId="58A01C9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sa maximálnej dennej dávke odporúčanej pre ľudí prepočítanej na mg/m</w:t>
      </w:r>
      <w:r w:rsidRPr="005D78EE">
        <w:rPr>
          <w:rFonts w:ascii="Times New Roman" w:hAnsi="Times New Roman"/>
          <w:color w:val="000000"/>
          <w:vertAlign w:val="superscript"/>
        </w:rPr>
        <w:t>2</w:t>
      </w:r>
      <w:r w:rsidRPr="005D78EE">
        <w:rPr>
          <w:rFonts w:ascii="Times New Roman" w:hAnsi="Times New Roman"/>
          <w:color w:val="000000"/>
        </w:rPr>
        <w:t xml:space="preserve"> plochy povrchu tela).</w:t>
      </w:r>
    </w:p>
    <w:p w14:paraId="1176F7B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Štúdia </w:t>
      </w:r>
      <w:proofErr w:type="spellStart"/>
      <w:r w:rsidRPr="005D78EE">
        <w:rPr>
          <w:rFonts w:ascii="Times New Roman" w:hAnsi="Times New Roman"/>
          <w:color w:val="000000"/>
        </w:rPr>
        <w:t>perinatálneho</w:t>
      </w:r>
      <w:proofErr w:type="spellEnd"/>
      <w:r w:rsidRPr="005D78EE">
        <w:rPr>
          <w:rFonts w:ascii="Times New Roman" w:hAnsi="Times New Roman"/>
          <w:color w:val="000000"/>
        </w:rPr>
        <w:t xml:space="preserve"> a </w:t>
      </w:r>
      <w:proofErr w:type="spellStart"/>
      <w:r w:rsidRPr="005D78EE">
        <w:rPr>
          <w:rFonts w:ascii="Times New Roman" w:hAnsi="Times New Roman"/>
          <w:color w:val="000000"/>
        </w:rPr>
        <w:t>postnatálneho</w:t>
      </w:r>
      <w:proofErr w:type="spellEnd"/>
      <w:r w:rsidRPr="005D78EE">
        <w:rPr>
          <w:rFonts w:ascii="Times New Roman" w:hAnsi="Times New Roman"/>
          <w:color w:val="000000"/>
        </w:rPr>
        <w:t xml:space="preserve"> vývoja bola realizovaná u potkanov s dávkami </w:t>
      </w:r>
      <w:proofErr w:type="spellStart"/>
      <w:r w:rsidRPr="005D78EE">
        <w:rPr>
          <w:rFonts w:ascii="Times New Roman" w:hAnsi="Times New Roman"/>
          <w:color w:val="000000"/>
        </w:rPr>
        <w:t>levetiracetamu</w:t>
      </w:r>
      <w:proofErr w:type="spellEnd"/>
    </w:p>
    <w:p w14:paraId="1C0A46A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 xml:space="preserve">70, </w:t>
      </w:r>
      <w:smartTag w:uri="urn:schemas-microsoft-com:office:smarttags" w:element="metricconverter">
        <w:smartTagPr>
          <w:attr w:name="ProductID" w:val="350 a"/>
        </w:smartTagPr>
        <w:r w:rsidRPr="005D78EE">
          <w:rPr>
            <w:rFonts w:ascii="Times New Roman" w:hAnsi="Times New Roman"/>
            <w:color w:val="000000"/>
          </w:rPr>
          <w:t>350 a</w:t>
        </w:r>
      </w:smartTag>
      <w:r w:rsidRPr="005D78EE">
        <w:rPr>
          <w:rFonts w:ascii="Times New Roman" w:hAnsi="Times New Roman"/>
          <w:color w:val="000000"/>
        </w:rPr>
        <w:t xml:space="preserve"> 1800 mg/kg/deň. NOAEL bola </w:t>
      </w:r>
      <w:r w:rsidRPr="005D78EE">
        <w:rPr>
          <w:rFonts w:ascii="Times New Roman" w:eastAsia="SymbolMT" w:hAnsi="Times New Roman"/>
          <w:color w:val="000000"/>
        </w:rPr>
        <w:t xml:space="preserve">≥ </w:t>
      </w:r>
      <w:r w:rsidRPr="005D78EE">
        <w:rPr>
          <w:rFonts w:ascii="Times New Roman" w:hAnsi="Times New Roman"/>
          <w:color w:val="000000"/>
        </w:rPr>
        <w:t>1800 mg/kg/deň pre samice F0, rovnako ako pre prežitie,</w:t>
      </w:r>
    </w:p>
    <w:p w14:paraId="514460D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rast a vývoj mláďat F1 až do odstavenia (6 násobok maximálnej dennej dávky odporúčanej pre ľudí</w:t>
      </w:r>
    </w:p>
    <w:p w14:paraId="4743BD1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prepočítanej na mg/m</w:t>
      </w:r>
      <w:r w:rsidRPr="005D78EE">
        <w:rPr>
          <w:rFonts w:ascii="Times New Roman" w:hAnsi="Times New Roman"/>
          <w:color w:val="000000"/>
          <w:vertAlign w:val="superscript"/>
        </w:rPr>
        <w:t>2</w:t>
      </w:r>
      <w:r w:rsidRPr="005D78EE">
        <w:rPr>
          <w:rFonts w:ascii="Times New Roman" w:hAnsi="Times New Roman"/>
          <w:color w:val="000000"/>
        </w:rPr>
        <w:t xml:space="preserve"> plochy povrchu tela).</w:t>
      </w:r>
    </w:p>
    <w:p w14:paraId="0CBB1DC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17190F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Štúdie s novorodencami a mláďatami u potkanov a psov nepreukázali žiadne nežiaduce účinky pri</w:t>
      </w:r>
    </w:p>
    <w:p w14:paraId="7CD3265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štandardných koncových ukazovateľoch vývoja a dozrievania v dávkach až do 1800 mg/kg/deň (6 až</w:t>
      </w:r>
    </w:p>
    <w:p w14:paraId="4B74182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17 násobok maximálnej dennej dávky odporúčanej pre ľudí prepočítanej na mg/m2 plochy povrchu</w:t>
      </w:r>
    </w:p>
    <w:p w14:paraId="3FCE748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tela).</w:t>
      </w:r>
    </w:p>
    <w:p w14:paraId="055D30A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31F8573" w14:textId="77777777" w:rsidR="00A064BC" w:rsidRPr="005D78EE" w:rsidRDefault="00A064BC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B4F7B5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6. </w:t>
      </w:r>
      <w:r w:rsidRPr="005D78EE">
        <w:rPr>
          <w:rFonts w:ascii="Times New Roman" w:hAnsi="Times New Roman"/>
          <w:b/>
          <w:bCs/>
          <w:color w:val="000000"/>
        </w:rPr>
        <w:tab/>
        <w:t>FARMACEUTICKÉ INFORMÁCIE</w:t>
      </w:r>
    </w:p>
    <w:p w14:paraId="433CC93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0E0158A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6.1 </w:t>
      </w:r>
      <w:r w:rsidRPr="005D78EE">
        <w:rPr>
          <w:rFonts w:ascii="Times New Roman" w:hAnsi="Times New Roman"/>
          <w:b/>
          <w:bCs/>
          <w:color w:val="000000"/>
        </w:rPr>
        <w:tab/>
        <w:t>Zoznam pomocných látok</w:t>
      </w:r>
    </w:p>
    <w:p w14:paraId="64B274DA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2D39B0E7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5D78EE">
        <w:rPr>
          <w:rFonts w:ascii="Times New Roman" w:hAnsi="Times New Roman"/>
          <w:b/>
        </w:rPr>
        <w:t xml:space="preserve">Jadro tablety: </w:t>
      </w:r>
    </w:p>
    <w:p w14:paraId="1944625D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>mikrokryštalická celulóza</w:t>
      </w:r>
    </w:p>
    <w:p w14:paraId="6F7E5875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kopovidón</w:t>
      </w:r>
      <w:proofErr w:type="spellEnd"/>
    </w:p>
    <w:p w14:paraId="5D147611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>koloidný oxid kremičitý bezvodý</w:t>
      </w:r>
    </w:p>
    <w:p w14:paraId="750243DD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magnéziumstearát</w:t>
      </w:r>
      <w:proofErr w:type="spellEnd"/>
      <w:r w:rsidRPr="005D78EE">
        <w:rPr>
          <w:rFonts w:ascii="Times New Roman" w:hAnsi="Times New Roman"/>
        </w:rPr>
        <w:t xml:space="preserve"> </w:t>
      </w:r>
    </w:p>
    <w:p w14:paraId="72F25F61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742143B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5D78EE">
        <w:rPr>
          <w:rFonts w:ascii="Times New Roman" w:hAnsi="Times New Roman"/>
          <w:b/>
        </w:rPr>
        <w:t>Filmová vrstva:</w:t>
      </w:r>
    </w:p>
    <w:p w14:paraId="1D0F0F5A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5CCA318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5D78EE">
        <w:rPr>
          <w:rFonts w:ascii="Times New Roman" w:hAnsi="Times New Roman"/>
          <w:b/>
          <w:bCs/>
        </w:rPr>
        <w:t>250 mg:</w:t>
      </w:r>
    </w:p>
    <w:p w14:paraId="7699C0C8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5D78EE">
        <w:rPr>
          <w:rFonts w:ascii="Times New Roman" w:hAnsi="Times New Roman"/>
          <w:b/>
          <w:bCs/>
        </w:rPr>
        <w:t xml:space="preserve">Obaľovacia vrstva </w:t>
      </w:r>
      <w:proofErr w:type="spellStart"/>
      <w:r w:rsidRPr="005D78EE">
        <w:rPr>
          <w:rFonts w:ascii="Times New Roman" w:hAnsi="Times New Roman"/>
          <w:b/>
          <w:bCs/>
        </w:rPr>
        <w:t>Opadry</w:t>
      </w:r>
      <w:proofErr w:type="spellEnd"/>
      <w:r w:rsidRPr="005D78EE">
        <w:rPr>
          <w:rFonts w:ascii="Times New Roman" w:hAnsi="Times New Roman"/>
          <w:b/>
          <w:bCs/>
        </w:rPr>
        <w:t xml:space="preserve"> </w:t>
      </w:r>
      <w:proofErr w:type="spellStart"/>
      <w:r w:rsidRPr="005D78EE">
        <w:rPr>
          <w:rFonts w:ascii="Times New Roman" w:hAnsi="Times New Roman"/>
          <w:b/>
          <w:bCs/>
        </w:rPr>
        <w:t>II</w:t>
      </w:r>
      <w:proofErr w:type="spellEnd"/>
      <w:r w:rsidRPr="005D78EE">
        <w:rPr>
          <w:rFonts w:ascii="Times New Roman" w:hAnsi="Times New Roman"/>
          <w:b/>
          <w:bCs/>
        </w:rPr>
        <w:t xml:space="preserve"> modrá obsahuje: </w:t>
      </w:r>
    </w:p>
    <w:p w14:paraId="0385BC89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polyvinylalkohol</w:t>
      </w:r>
      <w:proofErr w:type="spellEnd"/>
      <w:r w:rsidRPr="005D78EE">
        <w:rPr>
          <w:rFonts w:ascii="Times New Roman" w:hAnsi="Times New Roman"/>
        </w:rPr>
        <w:t xml:space="preserve">, </w:t>
      </w:r>
    </w:p>
    <w:p w14:paraId="3C9E7B42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 xml:space="preserve">oxid </w:t>
      </w:r>
      <w:proofErr w:type="spellStart"/>
      <w:r w:rsidRPr="005D78EE">
        <w:rPr>
          <w:rFonts w:ascii="Times New Roman" w:hAnsi="Times New Roman"/>
        </w:rPr>
        <w:t>titaničitý</w:t>
      </w:r>
      <w:proofErr w:type="spellEnd"/>
      <w:r w:rsidRPr="005D78EE">
        <w:rPr>
          <w:rFonts w:ascii="Times New Roman" w:hAnsi="Times New Roman"/>
        </w:rPr>
        <w:t xml:space="preserve"> (E 171), </w:t>
      </w:r>
    </w:p>
    <w:p w14:paraId="26EB6241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makrogol</w:t>
      </w:r>
      <w:proofErr w:type="spellEnd"/>
      <w:r w:rsidRPr="005D78EE">
        <w:rPr>
          <w:rFonts w:ascii="Times New Roman" w:hAnsi="Times New Roman"/>
        </w:rPr>
        <w:t xml:space="preserve"> 3350, </w:t>
      </w:r>
    </w:p>
    <w:p w14:paraId="2F2511D5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>mastenec,</w:t>
      </w:r>
    </w:p>
    <w:p w14:paraId="3C29F763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 xml:space="preserve">hlinitá soľ </w:t>
      </w:r>
      <w:proofErr w:type="spellStart"/>
      <w:r w:rsidRPr="005D78EE">
        <w:rPr>
          <w:rFonts w:ascii="Times New Roman" w:hAnsi="Times New Roman"/>
        </w:rPr>
        <w:t>indigokarmínu</w:t>
      </w:r>
      <w:proofErr w:type="spellEnd"/>
      <w:r w:rsidRPr="005D78EE">
        <w:rPr>
          <w:rFonts w:ascii="Times New Roman" w:hAnsi="Times New Roman"/>
        </w:rPr>
        <w:t xml:space="preserve"> (E132)</w:t>
      </w:r>
    </w:p>
    <w:p w14:paraId="31047718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3599D4D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5D78EE">
        <w:rPr>
          <w:rFonts w:ascii="Times New Roman" w:hAnsi="Times New Roman"/>
          <w:b/>
          <w:bCs/>
        </w:rPr>
        <w:t>500 mg:</w:t>
      </w:r>
    </w:p>
    <w:p w14:paraId="6FF454AF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5D78EE">
        <w:rPr>
          <w:rFonts w:ascii="Times New Roman" w:hAnsi="Times New Roman"/>
          <w:b/>
          <w:bCs/>
        </w:rPr>
        <w:t xml:space="preserve">Obaľovacia vrstva </w:t>
      </w:r>
      <w:proofErr w:type="spellStart"/>
      <w:r w:rsidRPr="005D78EE">
        <w:rPr>
          <w:rFonts w:ascii="Times New Roman" w:hAnsi="Times New Roman"/>
          <w:b/>
          <w:bCs/>
        </w:rPr>
        <w:t>Opadry</w:t>
      </w:r>
      <w:proofErr w:type="spellEnd"/>
      <w:r w:rsidRPr="005D78EE">
        <w:rPr>
          <w:rFonts w:ascii="Times New Roman" w:hAnsi="Times New Roman"/>
          <w:b/>
          <w:bCs/>
        </w:rPr>
        <w:t xml:space="preserve"> </w:t>
      </w:r>
      <w:proofErr w:type="spellStart"/>
      <w:r w:rsidRPr="005D78EE">
        <w:rPr>
          <w:rFonts w:ascii="Times New Roman" w:hAnsi="Times New Roman"/>
          <w:b/>
          <w:bCs/>
        </w:rPr>
        <w:t>II</w:t>
      </w:r>
      <w:proofErr w:type="spellEnd"/>
      <w:r w:rsidRPr="005D78EE">
        <w:rPr>
          <w:rFonts w:ascii="Times New Roman" w:hAnsi="Times New Roman"/>
          <w:b/>
          <w:bCs/>
        </w:rPr>
        <w:t xml:space="preserve">  žltá obsahuje: </w:t>
      </w:r>
    </w:p>
    <w:p w14:paraId="0B61A2E1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polyvinylalkohol</w:t>
      </w:r>
      <w:proofErr w:type="spellEnd"/>
      <w:r w:rsidRPr="005D78EE">
        <w:rPr>
          <w:rFonts w:ascii="Times New Roman" w:hAnsi="Times New Roman"/>
        </w:rPr>
        <w:t xml:space="preserve">, </w:t>
      </w:r>
    </w:p>
    <w:p w14:paraId="3BB25B65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 xml:space="preserve">oxid </w:t>
      </w:r>
      <w:proofErr w:type="spellStart"/>
      <w:r w:rsidRPr="005D78EE">
        <w:rPr>
          <w:rFonts w:ascii="Times New Roman" w:hAnsi="Times New Roman"/>
        </w:rPr>
        <w:t>titaničitý</w:t>
      </w:r>
      <w:proofErr w:type="spellEnd"/>
      <w:r w:rsidRPr="005D78EE">
        <w:rPr>
          <w:rFonts w:ascii="Times New Roman" w:hAnsi="Times New Roman"/>
        </w:rPr>
        <w:t xml:space="preserve"> (E 171), </w:t>
      </w:r>
    </w:p>
    <w:p w14:paraId="4468FA5F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makrogol</w:t>
      </w:r>
      <w:proofErr w:type="spellEnd"/>
      <w:r w:rsidRPr="005D78EE">
        <w:rPr>
          <w:rFonts w:ascii="Times New Roman" w:hAnsi="Times New Roman"/>
        </w:rPr>
        <w:t xml:space="preserve">  3350, </w:t>
      </w:r>
    </w:p>
    <w:p w14:paraId="0A59EFB3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 xml:space="preserve">mastenec, </w:t>
      </w:r>
    </w:p>
    <w:p w14:paraId="374D49B2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>žltý oxid železitý (E172)</w:t>
      </w:r>
    </w:p>
    <w:p w14:paraId="2B10F6D3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4D9C93B" w14:textId="77777777" w:rsidR="00553706" w:rsidRPr="005D78EE" w:rsidRDefault="00553706" w:rsidP="00B907B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5D78EE">
        <w:rPr>
          <w:rFonts w:ascii="Times New Roman" w:hAnsi="Times New Roman"/>
          <w:b/>
          <w:bCs/>
        </w:rPr>
        <w:t>1000 mg:</w:t>
      </w:r>
    </w:p>
    <w:p w14:paraId="7209A855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5D78EE">
        <w:rPr>
          <w:rFonts w:ascii="Times New Roman" w:hAnsi="Times New Roman"/>
          <w:b/>
          <w:bCs/>
        </w:rPr>
        <w:t xml:space="preserve">Obaľovacia vrstva </w:t>
      </w:r>
      <w:proofErr w:type="spellStart"/>
      <w:r w:rsidRPr="005D78EE">
        <w:rPr>
          <w:rFonts w:ascii="Times New Roman" w:hAnsi="Times New Roman"/>
          <w:b/>
          <w:bCs/>
        </w:rPr>
        <w:t>Opadry</w:t>
      </w:r>
      <w:proofErr w:type="spellEnd"/>
      <w:r w:rsidRPr="005D78EE">
        <w:rPr>
          <w:rFonts w:ascii="Times New Roman" w:hAnsi="Times New Roman"/>
          <w:b/>
          <w:bCs/>
        </w:rPr>
        <w:t xml:space="preserve"> </w:t>
      </w:r>
      <w:proofErr w:type="spellStart"/>
      <w:r w:rsidRPr="005D78EE">
        <w:rPr>
          <w:rFonts w:ascii="Times New Roman" w:hAnsi="Times New Roman"/>
          <w:b/>
          <w:bCs/>
        </w:rPr>
        <w:t>II</w:t>
      </w:r>
      <w:proofErr w:type="spellEnd"/>
      <w:r w:rsidRPr="005D78EE">
        <w:rPr>
          <w:rFonts w:ascii="Times New Roman" w:hAnsi="Times New Roman"/>
          <w:b/>
          <w:bCs/>
        </w:rPr>
        <w:t xml:space="preserve">  biela obsahuje: </w:t>
      </w:r>
    </w:p>
    <w:p w14:paraId="778BC527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polyvinylalkohol</w:t>
      </w:r>
      <w:proofErr w:type="spellEnd"/>
      <w:r w:rsidRPr="005D78EE">
        <w:rPr>
          <w:rFonts w:ascii="Times New Roman" w:hAnsi="Times New Roman"/>
        </w:rPr>
        <w:t xml:space="preserve">, </w:t>
      </w:r>
    </w:p>
    <w:p w14:paraId="4817682C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 xml:space="preserve">oxid </w:t>
      </w:r>
      <w:proofErr w:type="spellStart"/>
      <w:r w:rsidRPr="005D78EE">
        <w:rPr>
          <w:rFonts w:ascii="Times New Roman" w:hAnsi="Times New Roman"/>
        </w:rPr>
        <w:t>titaničitý</w:t>
      </w:r>
      <w:proofErr w:type="spellEnd"/>
      <w:r w:rsidRPr="005D78EE">
        <w:rPr>
          <w:rFonts w:ascii="Times New Roman" w:hAnsi="Times New Roman"/>
        </w:rPr>
        <w:t xml:space="preserve"> (E 171), </w:t>
      </w:r>
    </w:p>
    <w:p w14:paraId="45043554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makrogol</w:t>
      </w:r>
      <w:proofErr w:type="spellEnd"/>
      <w:r w:rsidRPr="005D78EE">
        <w:rPr>
          <w:rFonts w:ascii="Times New Roman" w:hAnsi="Times New Roman"/>
        </w:rPr>
        <w:t xml:space="preserve"> 3350, </w:t>
      </w:r>
    </w:p>
    <w:p w14:paraId="4D7EAD15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>mastenec</w:t>
      </w:r>
    </w:p>
    <w:p w14:paraId="0FC2E91B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4375688E" w14:textId="77777777" w:rsidR="00553706" w:rsidRPr="005D78EE" w:rsidRDefault="00553706" w:rsidP="002B72DA">
      <w:pPr>
        <w:keepNext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lastRenderedPageBreak/>
        <w:t>6.2</w:t>
      </w:r>
      <w:r w:rsidRPr="005D78EE">
        <w:rPr>
          <w:rFonts w:ascii="Times New Roman" w:hAnsi="Times New Roman"/>
          <w:b/>
          <w:bCs/>
          <w:color w:val="000000"/>
        </w:rPr>
        <w:tab/>
        <w:t xml:space="preserve"> Inkompatibility</w:t>
      </w:r>
    </w:p>
    <w:p w14:paraId="0A38EED3" w14:textId="77777777" w:rsidR="00553706" w:rsidRPr="005D78EE" w:rsidRDefault="00553706" w:rsidP="002B72DA">
      <w:pPr>
        <w:keepNext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52EC2F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Neaplikovateľné.</w:t>
      </w:r>
    </w:p>
    <w:p w14:paraId="2DFA149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6DF4815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6.3 </w:t>
      </w:r>
      <w:r w:rsidRPr="005D78EE">
        <w:rPr>
          <w:rFonts w:ascii="Times New Roman" w:hAnsi="Times New Roman"/>
          <w:b/>
          <w:bCs/>
          <w:color w:val="000000"/>
        </w:rPr>
        <w:tab/>
      </w:r>
      <w:r w:rsidRPr="005D78EE">
        <w:rPr>
          <w:rFonts w:ascii="Times New Roman" w:eastAsia="TimesNewRomanPS-BoldMT" w:hAnsi="Times New Roman"/>
          <w:b/>
          <w:bCs/>
          <w:color w:val="000000"/>
        </w:rPr>
        <w:t>Č</w:t>
      </w:r>
      <w:r w:rsidRPr="005D78EE">
        <w:rPr>
          <w:rFonts w:ascii="Times New Roman" w:hAnsi="Times New Roman"/>
          <w:b/>
          <w:bCs/>
          <w:color w:val="000000"/>
        </w:rPr>
        <w:t>as použite</w:t>
      </w:r>
      <w:r w:rsidRPr="005D78EE">
        <w:rPr>
          <w:rFonts w:ascii="Times New Roman" w:eastAsia="TimesNewRomanPS-BoldMT" w:hAnsi="Times New Roman"/>
          <w:b/>
          <w:bCs/>
          <w:color w:val="000000"/>
        </w:rPr>
        <w:t>ľ</w:t>
      </w:r>
      <w:r w:rsidRPr="005D78EE">
        <w:rPr>
          <w:rFonts w:ascii="Times New Roman" w:hAnsi="Times New Roman"/>
          <w:b/>
          <w:bCs/>
          <w:color w:val="000000"/>
        </w:rPr>
        <w:t>nosti</w:t>
      </w:r>
    </w:p>
    <w:p w14:paraId="58124E4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150EC41" w14:textId="77777777" w:rsidR="00553706" w:rsidRDefault="00972DAD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5 rokov.</w:t>
      </w:r>
    </w:p>
    <w:p w14:paraId="28844EE2" w14:textId="77777777" w:rsidR="00FB0237" w:rsidRPr="005D78EE" w:rsidRDefault="00FB0237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76D302B3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6.4 </w:t>
      </w:r>
      <w:r w:rsidRPr="005D78EE">
        <w:rPr>
          <w:rFonts w:ascii="Times New Roman" w:hAnsi="Times New Roman"/>
          <w:b/>
          <w:bCs/>
          <w:color w:val="000000"/>
        </w:rPr>
        <w:tab/>
        <w:t>Špeciálne upozornenia na uchovávanie</w:t>
      </w:r>
    </w:p>
    <w:p w14:paraId="181B7BA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162607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Tento liek nevyžaduje žiadne zvláštne podmienky na uchovávanie.</w:t>
      </w:r>
    </w:p>
    <w:p w14:paraId="661CCAE4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79A0764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6.5 </w:t>
      </w:r>
      <w:r w:rsidRPr="005D78EE">
        <w:rPr>
          <w:rFonts w:ascii="Times New Roman" w:hAnsi="Times New Roman"/>
          <w:b/>
          <w:bCs/>
          <w:color w:val="000000"/>
        </w:rPr>
        <w:tab/>
        <w:t>Druh obalu a obsah balenia</w:t>
      </w:r>
    </w:p>
    <w:p w14:paraId="1BE564E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A5C718B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Blistr</w:t>
      </w:r>
      <w:r w:rsidR="00FB0237">
        <w:rPr>
          <w:rFonts w:ascii="Times New Roman" w:hAnsi="Times New Roman"/>
        </w:rPr>
        <w:t>e</w:t>
      </w:r>
      <w:proofErr w:type="spellEnd"/>
      <w:r w:rsidRPr="005D78EE">
        <w:rPr>
          <w:rFonts w:ascii="Times New Roman" w:hAnsi="Times New Roman"/>
        </w:rPr>
        <w:t xml:space="preserve"> (PVC/hliník)</w:t>
      </w:r>
    </w:p>
    <w:p w14:paraId="577CBEDB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7B2BDD5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>Veľkosti balenia:</w:t>
      </w:r>
    </w:p>
    <w:p w14:paraId="4F299242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8DCCDD0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Levetiracetam</w:t>
      </w:r>
      <w:proofErr w:type="spellEnd"/>
      <w:r w:rsidRPr="005D78EE">
        <w:rPr>
          <w:rFonts w:ascii="Times New Roman" w:hAnsi="Times New Roman"/>
        </w:rPr>
        <w:t xml:space="preserve"> </w:t>
      </w:r>
      <w:proofErr w:type="spellStart"/>
      <w:r w:rsidRPr="005D78EE">
        <w:rPr>
          <w:rFonts w:ascii="Times New Roman" w:hAnsi="Times New Roman"/>
        </w:rPr>
        <w:t>STADA</w:t>
      </w:r>
      <w:proofErr w:type="spellEnd"/>
      <w:r w:rsidRPr="005D78EE">
        <w:rPr>
          <w:rFonts w:ascii="Times New Roman" w:hAnsi="Times New Roman"/>
        </w:rPr>
        <w:t xml:space="preserve"> 250 mg:</w:t>
      </w:r>
    </w:p>
    <w:p w14:paraId="19D06441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>10, 20, 30, 50, 60, 100, 150, 180 alebo 200 tabliet.</w:t>
      </w:r>
    </w:p>
    <w:p w14:paraId="6AA2D439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B47AE8" w14:textId="77777777" w:rsidR="00553706" w:rsidRPr="005D78EE" w:rsidRDefault="00553706" w:rsidP="007C01F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Levetiracetam</w:t>
      </w:r>
      <w:proofErr w:type="spellEnd"/>
      <w:r w:rsidRPr="005D78EE">
        <w:rPr>
          <w:rFonts w:ascii="Times New Roman" w:hAnsi="Times New Roman"/>
        </w:rPr>
        <w:t xml:space="preserve"> </w:t>
      </w:r>
      <w:proofErr w:type="spellStart"/>
      <w:r w:rsidRPr="005D78EE">
        <w:rPr>
          <w:rFonts w:ascii="Times New Roman" w:hAnsi="Times New Roman"/>
        </w:rPr>
        <w:t>STADA</w:t>
      </w:r>
      <w:proofErr w:type="spellEnd"/>
      <w:r w:rsidRPr="005D78EE">
        <w:rPr>
          <w:rFonts w:ascii="Times New Roman" w:hAnsi="Times New Roman"/>
        </w:rPr>
        <w:t xml:space="preserve"> 500 mg:</w:t>
      </w:r>
    </w:p>
    <w:p w14:paraId="3DDBD4D9" w14:textId="77777777" w:rsidR="00553706" w:rsidRPr="005D78EE" w:rsidRDefault="00553706" w:rsidP="007C01F6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>10, 20, 30, 50, 60, 100, 120, 150, 180 alebo 200 tabliet.</w:t>
      </w:r>
    </w:p>
    <w:p w14:paraId="35815602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CD6803" w14:textId="77777777" w:rsidR="00553706" w:rsidRPr="005D78EE" w:rsidRDefault="00553706" w:rsidP="007C01F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Levetiracetam</w:t>
      </w:r>
      <w:proofErr w:type="spellEnd"/>
      <w:r w:rsidRPr="005D78EE">
        <w:rPr>
          <w:rFonts w:ascii="Times New Roman" w:hAnsi="Times New Roman"/>
        </w:rPr>
        <w:t xml:space="preserve"> </w:t>
      </w:r>
      <w:proofErr w:type="spellStart"/>
      <w:r w:rsidRPr="005D78EE">
        <w:rPr>
          <w:rFonts w:ascii="Times New Roman" w:hAnsi="Times New Roman"/>
        </w:rPr>
        <w:t>STADA</w:t>
      </w:r>
      <w:proofErr w:type="spellEnd"/>
      <w:r w:rsidRPr="005D78EE">
        <w:rPr>
          <w:rFonts w:ascii="Times New Roman" w:hAnsi="Times New Roman"/>
        </w:rPr>
        <w:t xml:space="preserve"> 1000 mg:</w:t>
      </w:r>
    </w:p>
    <w:p w14:paraId="0C1C1A67" w14:textId="77777777" w:rsidR="00553706" w:rsidRPr="005D78EE" w:rsidRDefault="00553706" w:rsidP="007C01F6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>10, 20, 30, 50, 60, 100, 150, 180 alebo 200 tabliet.</w:t>
      </w:r>
    </w:p>
    <w:p w14:paraId="2D2D96B2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8FAE3C2" w14:textId="77777777" w:rsidR="002C524C" w:rsidRPr="005D78EE" w:rsidRDefault="009C75F7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8EE">
        <w:rPr>
          <w:rFonts w:ascii="Times New Roman" w:hAnsi="Times New Roman"/>
          <w:color w:val="000000"/>
        </w:rPr>
        <w:t>Na trh nemusia byť uvedené všetky veľkosti balenia.</w:t>
      </w:r>
    </w:p>
    <w:p w14:paraId="5C00730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184A90F1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6.6 </w:t>
      </w:r>
      <w:r w:rsidRPr="005D78EE">
        <w:rPr>
          <w:rFonts w:ascii="Times New Roman" w:hAnsi="Times New Roman"/>
          <w:b/>
          <w:bCs/>
          <w:color w:val="000000"/>
        </w:rPr>
        <w:tab/>
        <w:t>Špeciálne opatrenia na likvidáciu</w:t>
      </w:r>
    </w:p>
    <w:p w14:paraId="7FA73182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F2BA676" w14:textId="6E2DD14B" w:rsidR="00553706" w:rsidRPr="005D78EE" w:rsidRDefault="00676A48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2B72DA">
        <w:rPr>
          <w:rFonts w:ascii="Times New Roman" w:hAnsi="Times New Roman"/>
        </w:rPr>
        <w:t>Všetok nepoužitý liek alebo odpad vzniknutý z lieku sa má zlikvidovať v súlade s národnými požiadavkami.</w:t>
      </w:r>
    </w:p>
    <w:p w14:paraId="489E0516" w14:textId="77777777" w:rsidR="002C524C" w:rsidRDefault="002C524C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2C5462AB" w14:textId="77777777" w:rsidR="002B72DA" w:rsidRPr="005D78EE" w:rsidRDefault="002B72DA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7135FF85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7. </w:t>
      </w:r>
      <w:r w:rsidR="009C75F7" w:rsidRPr="005D78EE">
        <w:rPr>
          <w:rFonts w:ascii="Times New Roman" w:hAnsi="Times New Roman"/>
          <w:b/>
          <w:bCs/>
          <w:color w:val="000000"/>
        </w:rPr>
        <w:tab/>
      </w:r>
      <w:r w:rsidRPr="005D78EE">
        <w:rPr>
          <w:rFonts w:ascii="Times New Roman" w:hAnsi="Times New Roman"/>
          <w:b/>
          <w:bCs/>
          <w:color w:val="000000"/>
        </w:rPr>
        <w:t>DRŽITE</w:t>
      </w:r>
      <w:r w:rsidRPr="005D78EE">
        <w:rPr>
          <w:rFonts w:ascii="Times New Roman" w:eastAsia="TimesNewRomanPS-BoldMT" w:hAnsi="Times New Roman"/>
          <w:b/>
          <w:bCs/>
          <w:color w:val="000000"/>
        </w:rPr>
        <w:t xml:space="preserve">Ľ </w:t>
      </w:r>
      <w:r w:rsidRPr="005D78EE">
        <w:rPr>
          <w:rFonts w:ascii="Times New Roman" w:hAnsi="Times New Roman"/>
          <w:b/>
          <w:bCs/>
          <w:color w:val="000000"/>
        </w:rPr>
        <w:t>ROZHODNUTIA O REGISTRÁCII</w:t>
      </w:r>
    </w:p>
    <w:p w14:paraId="3F988C0D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A419694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STADA</w:t>
      </w:r>
      <w:proofErr w:type="spellEnd"/>
      <w:r w:rsidRPr="005D78EE">
        <w:rPr>
          <w:rFonts w:ascii="Times New Roman" w:hAnsi="Times New Roman"/>
        </w:rPr>
        <w:t xml:space="preserve"> </w:t>
      </w:r>
      <w:proofErr w:type="spellStart"/>
      <w:r w:rsidRPr="005D78EE">
        <w:rPr>
          <w:rFonts w:ascii="Times New Roman" w:hAnsi="Times New Roman"/>
        </w:rPr>
        <w:t>Arzneimittel</w:t>
      </w:r>
      <w:proofErr w:type="spellEnd"/>
      <w:r w:rsidRPr="005D78EE">
        <w:rPr>
          <w:rFonts w:ascii="Times New Roman" w:hAnsi="Times New Roman"/>
        </w:rPr>
        <w:t xml:space="preserve"> </w:t>
      </w:r>
      <w:proofErr w:type="spellStart"/>
      <w:r w:rsidRPr="005D78EE">
        <w:rPr>
          <w:rFonts w:ascii="Times New Roman" w:hAnsi="Times New Roman"/>
        </w:rPr>
        <w:t>AG</w:t>
      </w:r>
      <w:proofErr w:type="spellEnd"/>
    </w:p>
    <w:p w14:paraId="213A8D06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D78EE">
        <w:rPr>
          <w:rFonts w:ascii="Times New Roman" w:hAnsi="Times New Roman"/>
        </w:rPr>
        <w:t>Stadastrasse</w:t>
      </w:r>
      <w:proofErr w:type="spellEnd"/>
      <w:r w:rsidRPr="005D78EE">
        <w:rPr>
          <w:rFonts w:ascii="Times New Roman" w:hAnsi="Times New Roman"/>
        </w:rPr>
        <w:t xml:space="preserve"> 2-18</w:t>
      </w:r>
    </w:p>
    <w:p w14:paraId="5E40F02D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 xml:space="preserve">61118 </w:t>
      </w:r>
      <w:proofErr w:type="spellStart"/>
      <w:r w:rsidRPr="005D78EE">
        <w:rPr>
          <w:rFonts w:ascii="Times New Roman" w:hAnsi="Times New Roman"/>
        </w:rPr>
        <w:t>Bad</w:t>
      </w:r>
      <w:proofErr w:type="spellEnd"/>
      <w:r w:rsidRPr="005D78EE">
        <w:rPr>
          <w:rFonts w:ascii="Times New Roman" w:hAnsi="Times New Roman"/>
        </w:rPr>
        <w:t xml:space="preserve"> </w:t>
      </w:r>
      <w:proofErr w:type="spellStart"/>
      <w:r w:rsidRPr="005D78EE">
        <w:rPr>
          <w:rFonts w:ascii="Times New Roman" w:hAnsi="Times New Roman"/>
        </w:rPr>
        <w:t>Vilbel</w:t>
      </w:r>
      <w:proofErr w:type="spellEnd"/>
    </w:p>
    <w:p w14:paraId="7C4AD5BF" w14:textId="77777777" w:rsidR="00553706" w:rsidRPr="005D78EE" w:rsidRDefault="00553706" w:rsidP="001C6F35">
      <w:pPr>
        <w:autoSpaceDE w:val="0"/>
        <w:autoSpaceDN w:val="0"/>
        <w:adjustRightInd w:val="0"/>
        <w:rPr>
          <w:rFonts w:ascii="Times New Roman" w:hAnsi="Times New Roman"/>
        </w:rPr>
      </w:pPr>
      <w:r w:rsidRPr="005D78EE">
        <w:rPr>
          <w:rFonts w:ascii="Times New Roman" w:hAnsi="Times New Roman"/>
        </w:rPr>
        <w:t>Nemecko</w:t>
      </w:r>
    </w:p>
    <w:p w14:paraId="65F008D8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</w:p>
    <w:p w14:paraId="4490391C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8. </w:t>
      </w:r>
      <w:r w:rsidRPr="005D78EE">
        <w:rPr>
          <w:rFonts w:ascii="Times New Roman" w:hAnsi="Times New Roman"/>
          <w:b/>
          <w:bCs/>
          <w:color w:val="000000"/>
        </w:rPr>
        <w:tab/>
        <w:t>REGISTRA</w:t>
      </w:r>
      <w:r w:rsidRPr="005D78EE">
        <w:rPr>
          <w:rFonts w:ascii="Times New Roman" w:eastAsia="TimesNewRomanPS-BoldMT" w:hAnsi="Times New Roman"/>
          <w:b/>
          <w:bCs/>
          <w:color w:val="000000"/>
        </w:rPr>
        <w:t>Č</w:t>
      </w:r>
      <w:r w:rsidRPr="005D78EE">
        <w:rPr>
          <w:rFonts w:ascii="Times New Roman" w:hAnsi="Times New Roman"/>
          <w:b/>
          <w:bCs/>
          <w:color w:val="000000"/>
        </w:rPr>
        <w:t xml:space="preserve">NÉ </w:t>
      </w:r>
      <w:r w:rsidRPr="005D78EE">
        <w:rPr>
          <w:rFonts w:ascii="Times New Roman" w:eastAsia="TimesNewRomanPS-BoldMT" w:hAnsi="Times New Roman"/>
          <w:b/>
          <w:bCs/>
          <w:color w:val="000000"/>
        </w:rPr>
        <w:t>Č</w:t>
      </w:r>
      <w:r w:rsidRPr="005D78EE">
        <w:rPr>
          <w:rFonts w:ascii="Times New Roman" w:hAnsi="Times New Roman"/>
          <w:b/>
          <w:bCs/>
          <w:color w:val="000000"/>
        </w:rPr>
        <w:t>ÍSLA</w:t>
      </w:r>
    </w:p>
    <w:p w14:paraId="6BEBBD90" w14:textId="77777777" w:rsidR="00451D43" w:rsidRPr="005D78EE" w:rsidRDefault="00451D43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4DD427B6" w14:textId="77777777" w:rsidR="00451D43" w:rsidRPr="005D78EE" w:rsidRDefault="00323947" w:rsidP="002B47B6">
      <w:p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proofErr w:type="spellStart"/>
      <w:r w:rsidRPr="005D78EE">
        <w:rPr>
          <w:rFonts w:ascii="Times New Roman" w:hAnsi="Times New Roman"/>
          <w:bCs/>
        </w:rPr>
        <w:t>Levetiracetam</w:t>
      </w:r>
      <w:proofErr w:type="spellEnd"/>
      <w:r w:rsidRPr="005D78EE">
        <w:rPr>
          <w:rFonts w:ascii="Times New Roman" w:hAnsi="Times New Roman"/>
          <w:bCs/>
        </w:rPr>
        <w:t xml:space="preserve"> </w:t>
      </w:r>
      <w:proofErr w:type="spellStart"/>
      <w:r w:rsidRPr="005D78EE">
        <w:rPr>
          <w:rFonts w:ascii="Times New Roman" w:hAnsi="Times New Roman"/>
          <w:bCs/>
        </w:rPr>
        <w:t>STADA</w:t>
      </w:r>
      <w:proofErr w:type="spellEnd"/>
      <w:r w:rsidRPr="005D78EE">
        <w:rPr>
          <w:rFonts w:ascii="Times New Roman" w:hAnsi="Times New Roman"/>
          <w:bCs/>
        </w:rPr>
        <w:t xml:space="preserve"> 250 mg: </w:t>
      </w:r>
      <w:r w:rsidR="00451D43" w:rsidRPr="005D78EE">
        <w:rPr>
          <w:rFonts w:ascii="Times New Roman" w:hAnsi="Times New Roman"/>
          <w:bCs/>
          <w:color w:val="000000"/>
        </w:rPr>
        <w:t>21/0092/12-S</w:t>
      </w:r>
    </w:p>
    <w:p w14:paraId="5F044842" w14:textId="77777777" w:rsidR="00323947" w:rsidRPr="005D78EE" w:rsidRDefault="00323947" w:rsidP="002B47B6">
      <w:p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proofErr w:type="spellStart"/>
      <w:r w:rsidRPr="005D78EE">
        <w:rPr>
          <w:rFonts w:ascii="Times New Roman" w:hAnsi="Times New Roman"/>
          <w:bCs/>
        </w:rPr>
        <w:t>Levetiracetam</w:t>
      </w:r>
      <w:proofErr w:type="spellEnd"/>
      <w:r w:rsidRPr="005D78EE">
        <w:rPr>
          <w:rFonts w:ascii="Times New Roman" w:hAnsi="Times New Roman"/>
          <w:bCs/>
        </w:rPr>
        <w:t xml:space="preserve"> </w:t>
      </w:r>
      <w:proofErr w:type="spellStart"/>
      <w:r w:rsidRPr="005D78EE">
        <w:rPr>
          <w:rFonts w:ascii="Times New Roman" w:hAnsi="Times New Roman"/>
          <w:bCs/>
        </w:rPr>
        <w:t>STADA</w:t>
      </w:r>
      <w:proofErr w:type="spellEnd"/>
      <w:r w:rsidRPr="005D78EE">
        <w:rPr>
          <w:rFonts w:ascii="Times New Roman" w:hAnsi="Times New Roman"/>
          <w:bCs/>
        </w:rPr>
        <w:t xml:space="preserve"> 500 mg: </w:t>
      </w:r>
      <w:r w:rsidRPr="005D78EE">
        <w:rPr>
          <w:rFonts w:ascii="Times New Roman" w:hAnsi="Times New Roman"/>
          <w:bCs/>
          <w:color w:val="000000"/>
        </w:rPr>
        <w:t>21/0093/12-S</w:t>
      </w:r>
    </w:p>
    <w:p w14:paraId="4254EF55" w14:textId="77777777" w:rsidR="00323947" w:rsidRPr="005D78EE" w:rsidRDefault="00323947" w:rsidP="002B47B6">
      <w:p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proofErr w:type="spellStart"/>
      <w:r w:rsidRPr="005D78EE">
        <w:rPr>
          <w:rFonts w:ascii="Times New Roman" w:hAnsi="Times New Roman"/>
          <w:bCs/>
        </w:rPr>
        <w:t>Levetiracetam</w:t>
      </w:r>
      <w:proofErr w:type="spellEnd"/>
      <w:r w:rsidRPr="005D78EE">
        <w:rPr>
          <w:rFonts w:ascii="Times New Roman" w:hAnsi="Times New Roman"/>
          <w:bCs/>
        </w:rPr>
        <w:t xml:space="preserve"> </w:t>
      </w:r>
      <w:proofErr w:type="spellStart"/>
      <w:r w:rsidRPr="005D78EE">
        <w:rPr>
          <w:rFonts w:ascii="Times New Roman" w:hAnsi="Times New Roman"/>
          <w:bCs/>
        </w:rPr>
        <w:t>STADA</w:t>
      </w:r>
      <w:proofErr w:type="spellEnd"/>
      <w:r w:rsidRPr="005D78EE">
        <w:rPr>
          <w:rFonts w:ascii="Times New Roman" w:hAnsi="Times New Roman"/>
          <w:bCs/>
        </w:rPr>
        <w:t xml:space="preserve"> 1000 mg: </w:t>
      </w:r>
      <w:r w:rsidRPr="005D78EE">
        <w:rPr>
          <w:rFonts w:ascii="Times New Roman" w:hAnsi="Times New Roman"/>
          <w:bCs/>
          <w:color w:val="000000"/>
        </w:rPr>
        <w:t>21/0094/12-S</w:t>
      </w:r>
    </w:p>
    <w:p w14:paraId="5905D31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4F7FCA6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9. </w:t>
      </w:r>
      <w:r w:rsidRPr="005D78EE">
        <w:rPr>
          <w:rFonts w:ascii="Times New Roman" w:hAnsi="Times New Roman"/>
          <w:b/>
          <w:bCs/>
          <w:color w:val="000000"/>
        </w:rPr>
        <w:tab/>
        <w:t>DÁTUM PRVEJ REGISTRÁCIE/ PRED</w:t>
      </w:r>
      <w:r w:rsidRPr="005D78EE">
        <w:rPr>
          <w:rFonts w:ascii="Times New Roman" w:eastAsia="TimesNewRomanPS-BoldMT" w:hAnsi="Times New Roman"/>
          <w:b/>
          <w:bCs/>
          <w:color w:val="000000"/>
        </w:rPr>
        <w:t>Ĺ</w:t>
      </w:r>
      <w:r w:rsidRPr="005D78EE">
        <w:rPr>
          <w:rFonts w:ascii="Times New Roman" w:hAnsi="Times New Roman"/>
          <w:b/>
          <w:bCs/>
          <w:color w:val="000000"/>
        </w:rPr>
        <w:t>ŽENIA REGISTRÁCIE</w:t>
      </w:r>
    </w:p>
    <w:p w14:paraId="7485DD30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4E83649C" w14:textId="77777777" w:rsidR="00BC73D8" w:rsidRDefault="009C75F7" w:rsidP="002B47B6">
      <w:p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 w:rsidRPr="005D78EE">
        <w:rPr>
          <w:rFonts w:ascii="Times New Roman" w:hAnsi="Times New Roman"/>
          <w:bCs/>
          <w:color w:val="000000"/>
        </w:rPr>
        <w:t xml:space="preserve">Dátum prvej registrácie: </w:t>
      </w:r>
      <w:r w:rsidR="00BC73D8" w:rsidRPr="005D78EE">
        <w:rPr>
          <w:rFonts w:ascii="Times New Roman" w:hAnsi="Times New Roman"/>
          <w:bCs/>
          <w:color w:val="000000"/>
        </w:rPr>
        <w:t>24.</w:t>
      </w:r>
      <w:r w:rsidRPr="005D78EE">
        <w:rPr>
          <w:rFonts w:ascii="Times New Roman" w:hAnsi="Times New Roman"/>
          <w:bCs/>
          <w:color w:val="000000"/>
        </w:rPr>
        <w:t xml:space="preserve"> februára </w:t>
      </w:r>
      <w:r w:rsidR="00BC73D8" w:rsidRPr="005D78EE">
        <w:rPr>
          <w:rFonts w:ascii="Times New Roman" w:hAnsi="Times New Roman"/>
          <w:bCs/>
          <w:color w:val="000000"/>
        </w:rPr>
        <w:t>2012</w:t>
      </w:r>
    </w:p>
    <w:p w14:paraId="21B79D59" w14:textId="77777777" w:rsidR="00FB0237" w:rsidRPr="005D78EE" w:rsidRDefault="00FB0237" w:rsidP="002B47B6">
      <w:p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Dátum posledného predĺženia registrácie: </w:t>
      </w:r>
      <w:r w:rsidR="00405CBA">
        <w:rPr>
          <w:rFonts w:ascii="Times New Roman" w:hAnsi="Times New Roman"/>
          <w:bCs/>
          <w:color w:val="000000"/>
        </w:rPr>
        <w:t>21. decembra 2015</w:t>
      </w:r>
    </w:p>
    <w:p w14:paraId="005D0F16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0D18644F" w14:textId="77777777" w:rsidR="00553706" w:rsidRPr="005D78EE" w:rsidRDefault="00553706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5D78EE">
        <w:rPr>
          <w:rFonts w:ascii="Times New Roman" w:hAnsi="Times New Roman"/>
          <w:b/>
          <w:bCs/>
          <w:color w:val="000000"/>
        </w:rPr>
        <w:t xml:space="preserve">10. </w:t>
      </w:r>
      <w:r w:rsidRPr="005D78EE">
        <w:rPr>
          <w:rFonts w:ascii="Times New Roman" w:hAnsi="Times New Roman"/>
          <w:b/>
          <w:bCs/>
          <w:color w:val="000000"/>
        </w:rPr>
        <w:tab/>
        <w:t>DÁTUM REVÍZIE TEXTU</w:t>
      </w:r>
    </w:p>
    <w:p w14:paraId="7BCCEFB5" w14:textId="77777777" w:rsidR="004370FF" w:rsidRPr="005D78EE" w:rsidRDefault="004370FF" w:rsidP="002B47B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0014E623" w14:textId="4D383271" w:rsidR="004370FF" w:rsidRPr="005D78EE" w:rsidRDefault="00676A48" w:rsidP="002B47B6">
      <w:p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Jún 2018</w:t>
      </w:r>
    </w:p>
    <w:sectPr w:rsidR="004370FF" w:rsidRPr="005D78EE" w:rsidSect="002B72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9375D" w14:textId="77777777" w:rsidR="00676A48" w:rsidRDefault="00676A48" w:rsidP="001C6F35">
      <w:r>
        <w:separator/>
      </w:r>
    </w:p>
  </w:endnote>
  <w:endnote w:type="continuationSeparator" w:id="0">
    <w:p w14:paraId="560C57E8" w14:textId="77777777" w:rsidR="00676A48" w:rsidRDefault="00676A48" w:rsidP="001C6F35">
      <w:r>
        <w:continuationSeparator/>
      </w:r>
    </w:p>
  </w:endnote>
  <w:endnote w:type="continuationNotice" w:id="1">
    <w:p w14:paraId="6BF19B75" w14:textId="77777777" w:rsidR="00676A48" w:rsidRDefault="00676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D8CEE" w14:textId="77777777" w:rsidR="003372CB" w:rsidRPr="005D78EE" w:rsidRDefault="003372CB">
    <w:pPr>
      <w:pStyle w:val="Pta"/>
      <w:jc w:val="center"/>
      <w:rPr>
        <w:rFonts w:ascii="Times New Roman" w:hAnsi="Times New Roman"/>
        <w:sz w:val="18"/>
        <w:szCs w:val="18"/>
      </w:rPr>
    </w:pPr>
    <w:r w:rsidRPr="005D78EE">
      <w:rPr>
        <w:rFonts w:ascii="Times New Roman" w:hAnsi="Times New Roman"/>
        <w:sz w:val="18"/>
        <w:szCs w:val="18"/>
      </w:rPr>
      <w:fldChar w:fldCharType="begin"/>
    </w:r>
    <w:r w:rsidRPr="005D78EE">
      <w:rPr>
        <w:rFonts w:ascii="Times New Roman" w:hAnsi="Times New Roman"/>
        <w:sz w:val="18"/>
        <w:szCs w:val="18"/>
      </w:rPr>
      <w:instrText>PAGE   \* MERGEFORMAT</w:instrText>
    </w:r>
    <w:r w:rsidRPr="005D78EE">
      <w:rPr>
        <w:rFonts w:ascii="Times New Roman" w:hAnsi="Times New Roman"/>
        <w:sz w:val="18"/>
        <w:szCs w:val="18"/>
      </w:rPr>
      <w:fldChar w:fldCharType="separate"/>
    </w:r>
    <w:r w:rsidR="002B72DA">
      <w:rPr>
        <w:rFonts w:ascii="Times New Roman" w:hAnsi="Times New Roman"/>
        <w:noProof/>
        <w:sz w:val="18"/>
        <w:szCs w:val="18"/>
      </w:rPr>
      <w:t>16</w:t>
    </w:r>
    <w:r w:rsidRPr="005D78EE">
      <w:rPr>
        <w:rFonts w:ascii="Times New Roman" w:hAnsi="Times New Roman"/>
        <w:sz w:val="18"/>
        <w:szCs w:val="18"/>
      </w:rPr>
      <w:fldChar w:fldCharType="end"/>
    </w:r>
  </w:p>
  <w:p w14:paraId="34A4537D" w14:textId="77777777" w:rsidR="003372CB" w:rsidRDefault="003372C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7115F" w14:textId="77777777" w:rsidR="00471739" w:rsidRPr="00405CBA" w:rsidRDefault="00471739">
    <w:pPr>
      <w:pStyle w:val="Pta"/>
      <w:jc w:val="center"/>
      <w:rPr>
        <w:rFonts w:ascii="Times New Roman" w:hAnsi="Times New Roman"/>
        <w:sz w:val="18"/>
        <w:szCs w:val="18"/>
      </w:rPr>
    </w:pPr>
    <w:r w:rsidRPr="00405CBA">
      <w:rPr>
        <w:rFonts w:ascii="Times New Roman" w:hAnsi="Times New Roman"/>
        <w:sz w:val="18"/>
        <w:szCs w:val="18"/>
      </w:rPr>
      <w:fldChar w:fldCharType="begin"/>
    </w:r>
    <w:r w:rsidRPr="00405CBA">
      <w:rPr>
        <w:rFonts w:ascii="Times New Roman" w:hAnsi="Times New Roman"/>
        <w:sz w:val="18"/>
        <w:szCs w:val="18"/>
      </w:rPr>
      <w:instrText>PAGE   \* MERGEFORMAT</w:instrText>
    </w:r>
    <w:r w:rsidRPr="00405CBA">
      <w:rPr>
        <w:rFonts w:ascii="Times New Roman" w:hAnsi="Times New Roman"/>
        <w:sz w:val="18"/>
        <w:szCs w:val="18"/>
      </w:rPr>
      <w:fldChar w:fldCharType="separate"/>
    </w:r>
    <w:r w:rsidR="00E70A7F" w:rsidRPr="00E70A7F">
      <w:rPr>
        <w:rFonts w:ascii="Times New Roman" w:hAnsi="Times New Roman"/>
        <w:noProof/>
        <w:sz w:val="18"/>
        <w:szCs w:val="18"/>
        <w:lang w:val="sk-SK"/>
      </w:rPr>
      <w:t>1</w:t>
    </w:r>
    <w:r w:rsidRPr="00405CBA">
      <w:rPr>
        <w:rFonts w:ascii="Times New Roman" w:hAnsi="Times New Roman"/>
        <w:sz w:val="18"/>
        <w:szCs w:val="18"/>
      </w:rPr>
      <w:fldChar w:fldCharType="end"/>
    </w:r>
  </w:p>
  <w:p w14:paraId="2BA21499" w14:textId="77777777" w:rsidR="00471739" w:rsidRDefault="0047173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8EA8D" w14:textId="77777777" w:rsidR="00676A48" w:rsidRDefault="00676A48" w:rsidP="001C6F35">
      <w:r>
        <w:separator/>
      </w:r>
    </w:p>
  </w:footnote>
  <w:footnote w:type="continuationSeparator" w:id="0">
    <w:p w14:paraId="40912CD8" w14:textId="77777777" w:rsidR="00676A48" w:rsidRDefault="00676A48" w:rsidP="001C6F35">
      <w:r>
        <w:continuationSeparator/>
      </w:r>
    </w:p>
  </w:footnote>
  <w:footnote w:type="continuationNotice" w:id="1">
    <w:p w14:paraId="402DBF0C" w14:textId="77777777" w:rsidR="00676A48" w:rsidRDefault="00676A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1511E" w14:textId="4F11E97A" w:rsidR="00676A48" w:rsidRDefault="00037561">
    <w:pPr>
      <w:pStyle w:val="Hlavika"/>
    </w:pPr>
    <w:r>
      <w:rPr>
        <w:rFonts w:ascii="Times New Roman" w:hAnsi="Times New Roman"/>
        <w:sz w:val="18"/>
        <w:szCs w:val="18"/>
        <w:lang w:val="sk-SK"/>
      </w:rPr>
      <w:t>Príloha č. 1 k notifikácii o zmene, ev. č.: 2017/</w:t>
    </w:r>
    <w:proofErr w:type="spellStart"/>
    <w:r>
      <w:rPr>
        <w:rFonts w:ascii="Times New Roman" w:hAnsi="Times New Roman"/>
        <w:sz w:val="18"/>
        <w:szCs w:val="18"/>
        <w:lang w:val="sk-SK"/>
      </w:rPr>
      <w:t>00256-Z1B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6D7A4" w14:textId="4DBC9ADC" w:rsidR="006E3934" w:rsidRDefault="006E3934">
    <w:pPr>
      <w:pStyle w:val="Hlavika"/>
      <w:rPr>
        <w:rFonts w:ascii="Times New Roman" w:hAnsi="Times New Roman"/>
        <w:sz w:val="18"/>
        <w:szCs w:val="18"/>
        <w:lang w:val="sk-SK"/>
      </w:rPr>
    </w:pPr>
  </w:p>
  <w:p w14:paraId="3BFBA51E" w14:textId="77777777" w:rsidR="006A6569" w:rsidRPr="00330EB3" w:rsidRDefault="006A6569" w:rsidP="006A6569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 č.: 2017/</w:t>
    </w:r>
    <w:proofErr w:type="spellStart"/>
    <w:r>
      <w:rPr>
        <w:rFonts w:ascii="Times New Roman" w:hAnsi="Times New Roman"/>
        <w:sz w:val="18"/>
        <w:szCs w:val="18"/>
        <w:lang w:val="sk-SK"/>
      </w:rPr>
      <w:t>0</w:t>
    </w:r>
    <w:r w:rsidR="00994815">
      <w:rPr>
        <w:rFonts w:ascii="Times New Roman" w:hAnsi="Times New Roman"/>
        <w:sz w:val="18"/>
        <w:szCs w:val="18"/>
        <w:lang w:val="sk-SK"/>
      </w:rPr>
      <w:t>0256-Z1B</w:t>
    </w:r>
    <w:proofErr w:type="spellEnd"/>
  </w:p>
  <w:p w14:paraId="39726F7E" w14:textId="77777777" w:rsidR="006E3934" w:rsidRPr="00330EB3" w:rsidRDefault="006E3934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349"/>
    <w:multiLevelType w:val="hybridMultilevel"/>
    <w:tmpl w:val="44468B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7B6"/>
    <w:rsid w:val="00004D72"/>
    <w:rsid w:val="0001052E"/>
    <w:rsid w:val="00010619"/>
    <w:rsid w:val="000136A5"/>
    <w:rsid w:val="000138D3"/>
    <w:rsid w:val="000167D5"/>
    <w:rsid w:val="00016A56"/>
    <w:rsid w:val="00023FF2"/>
    <w:rsid w:val="00031D8B"/>
    <w:rsid w:val="00031E85"/>
    <w:rsid w:val="00031F70"/>
    <w:rsid w:val="000332FD"/>
    <w:rsid w:val="00035DEC"/>
    <w:rsid w:val="00035E8D"/>
    <w:rsid w:val="00036153"/>
    <w:rsid w:val="00037561"/>
    <w:rsid w:val="000408B5"/>
    <w:rsid w:val="00061F75"/>
    <w:rsid w:val="00063406"/>
    <w:rsid w:val="000666DB"/>
    <w:rsid w:val="0009011F"/>
    <w:rsid w:val="00092B9C"/>
    <w:rsid w:val="000945A8"/>
    <w:rsid w:val="000968DB"/>
    <w:rsid w:val="00096CEA"/>
    <w:rsid w:val="000A1DF5"/>
    <w:rsid w:val="000A3C1A"/>
    <w:rsid w:val="000A415F"/>
    <w:rsid w:val="000A483C"/>
    <w:rsid w:val="000A76D0"/>
    <w:rsid w:val="000B00DE"/>
    <w:rsid w:val="000B02D2"/>
    <w:rsid w:val="000B3FFA"/>
    <w:rsid w:val="000B5720"/>
    <w:rsid w:val="000B574D"/>
    <w:rsid w:val="000C2222"/>
    <w:rsid w:val="000C4575"/>
    <w:rsid w:val="000D035F"/>
    <w:rsid w:val="000D16A2"/>
    <w:rsid w:val="000D4503"/>
    <w:rsid w:val="000D554C"/>
    <w:rsid w:val="000D6CCE"/>
    <w:rsid w:val="000D7C5C"/>
    <w:rsid w:val="000E0004"/>
    <w:rsid w:val="000E2950"/>
    <w:rsid w:val="000E2E44"/>
    <w:rsid w:val="000E3FDF"/>
    <w:rsid w:val="000E42C2"/>
    <w:rsid w:val="000F106F"/>
    <w:rsid w:val="000F1F25"/>
    <w:rsid w:val="000F3C43"/>
    <w:rsid w:val="000F4255"/>
    <w:rsid w:val="000F70C6"/>
    <w:rsid w:val="00102945"/>
    <w:rsid w:val="0010342B"/>
    <w:rsid w:val="00104EEC"/>
    <w:rsid w:val="001136AE"/>
    <w:rsid w:val="00113E0E"/>
    <w:rsid w:val="0012179F"/>
    <w:rsid w:val="001235FC"/>
    <w:rsid w:val="00127593"/>
    <w:rsid w:val="001301E7"/>
    <w:rsid w:val="00132DC4"/>
    <w:rsid w:val="00134260"/>
    <w:rsid w:val="001343B0"/>
    <w:rsid w:val="00134948"/>
    <w:rsid w:val="0013570D"/>
    <w:rsid w:val="00143AAB"/>
    <w:rsid w:val="00144D8B"/>
    <w:rsid w:val="001464A6"/>
    <w:rsid w:val="00147419"/>
    <w:rsid w:val="00152C55"/>
    <w:rsid w:val="00153977"/>
    <w:rsid w:val="00153FFD"/>
    <w:rsid w:val="001547F7"/>
    <w:rsid w:val="00154B2A"/>
    <w:rsid w:val="001556D5"/>
    <w:rsid w:val="001614B5"/>
    <w:rsid w:val="00164511"/>
    <w:rsid w:val="00166462"/>
    <w:rsid w:val="0016700F"/>
    <w:rsid w:val="00167760"/>
    <w:rsid w:val="00172A0A"/>
    <w:rsid w:val="0017457A"/>
    <w:rsid w:val="0017607A"/>
    <w:rsid w:val="001821DA"/>
    <w:rsid w:val="0018747D"/>
    <w:rsid w:val="00192ADD"/>
    <w:rsid w:val="00192EA7"/>
    <w:rsid w:val="001933B1"/>
    <w:rsid w:val="00193AE0"/>
    <w:rsid w:val="00194940"/>
    <w:rsid w:val="00195810"/>
    <w:rsid w:val="001A13F0"/>
    <w:rsid w:val="001A1D72"/>
    <w:rsid w:val="001A3B76"/>
    <w:rsid w:val="001A43BB"/>
    <w:rsid w:val="001B74E1"/>
    <w:rsid w:val="001C18E0"/>
    <w:rsid w:val="001C6723"/>
    <w:rsid w:val="001C6F35"/>
    <w:rsid w:val="001D5AAB"/>
    <w:rsid w:val="001E4338"/>
    <w:rsid w:val="001E4DC5"/>
    <w:rsid w:val="001E5989"/>
    <w:rsid w:val="001F1A5E"/>
    <w:rsid w:val="001F1EB2"/>
    <w:rsid w:val="001F40AD"/>
    <w:rsid w:val="00212D8B"/>
    <w:rsid w:val="002158BD"/>
    <w:rsid w:val="00221034"/>
    <w:rsid w:val="00226893"/>
    <w:rsid w:val="00232256"/>
    <w:rsid w:val="002377AE"/>
    <w:rsid w:val="00240256"/>
    <w:rsid w:val="0024103A"/>
    <w:rsid w:val="002505D1"/>
    <w:rsid w:val="00251B4B"/>
    <w:rsid w:val="00251C78"/>
    <w:rsid w:val="00253117"/>
    <w:rsid w:val="002552EC"/>
    <w:rsid w:val="00255A34"/>
    <w:rsid w:val="002567F9"/>
    <w:rsid w:val="00261552"/>
    <w:rsid w:val="002647F1"/>
    <w:rsid w:val="00265CFE"/>
    <w:rsid w:val="002729D4"/>
    <w:rsid w:val="00273A3E"/>
    <w:rsid w:val="00274B97"/>
    <w:rsid w:val="00283240"/>
    <w:rsid w:val="00284A54"/>
    <w:rsid w:val="00284C46"/>
    <w:rsid w:val="0028747B"/>
    <w:rsid w:val="00287CFD"/>
    <w:rsid w:val="00290BE7"/>
    <w:rsid w:val="00293C4C"/>
    <w:rsid w:val="00294423"/>
    <w:rsid w:val="002948B0"/>
    <w:rsid w:val="00296E23"/>
    <w:rsid w:val="002A2429"/>
    <w:rsid w:val="002A345C"/>
    <w:rsid w:val="002B0E30"/>
    <w:rsid w:val="002B30D1"/>
    <w:rsid w:val="002B323B"/>
    <w:rsid w:val="002B3A9E"/>
    <w:rsid w:val="002B3B94"/>
    <w:rsid w:val="002B47B6"/>
    <w:rsid w:val="002B72DA"/>
    <w:rsid w:val="002C141E"/>
    <w:rsid w:val="002C4722"/>
    <w:rsid w:val="002C524C"/>
    <w:rsid w:val="002C6F8C"/>
    <w:rsid w:val="002D2B65"/>
    <w:rsid w:val="002D47F0"/>
    <w:rsid w:val="002D6762"/>
    <w:rsid w:val="002D6E76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11897"/>
    <w:rsid w:val="00314D98"/>
    <w:rsid w:val="00321FB7"/>
    <w:rsid w:val="003222DA"/>
    <w:rsid w:val="00323947"/>
    <w:rsid w:val="00324C17"/>
    <w:rsid w:val="00325A64"/>
    <w:rsid w:val="003306C0"/>
    <w:rsid w:val="00330EB3"/>
    <w:rsid w:val="00334DB6"/>
    <w:rsid w:val="003372CB"/>
    <w:rsid w:val="00341C95"/>
    <w:rsid w:val="00343B51"/>
    <w:rsid w:val="00344C0E"/>
    <w:rsid w:val="00345C16"/>
    <w:rsid w:val="00351C84"/>
    <w:rsid w:val="0035258C"/>
    <w:rsid w:val="00356338"/>
    <w:rsid w:val="00361A21"/>
    <w:rsid w:val="00364A55"/>
    <w:rsid w:val="00376FD5"/>
    <w:rsid w:val="00380A54"/>
    <w:rsid w:val="00380B18"/>
    <w:rsid w:val="00385F60"/>
    <w:rsid w:val="0038770E"/>
    <w:rsid w:val="0038792F"/>
    <w:rsid w:val="003954B3"/>
    <w:rsid w:val="003963D2"/>
    <w:rsid w:val="00396E70"/>
    <w:rsid w:val="003978F8"/>
    <w:rsid w:val="003A2AC5"/>
    <w:rsid w:val="003A3D25"/>
    <w:rsid w:val="003A75E4"/>
    <w:rsid w:val="003B0824"/>
    <w:rsid w:val="003B3865"/>
    <w:rsid w:val="003B3960"/>
    <w:rsid w:val="003B48CF"/>
    <w:rsid w:val="003C41A3"/>
    <w:rsid w:val="003C7EDE"/>
    <w:rsid w:val="003D4138"/>
    <w:rsid w:val="003D470D"/>
    <w:rsid w:val="003D4D7B"/>
    <w:rsid w:val="003D6264"/>
    <w:rsid w:val="003D793A"/>
    <w:rsid w:val="003E4C6C"/>
    <w:rsid w:val="003E7682"/>
    <w:rsid w:val="003F6554"/>
    <w:rsid w:val="003F7D31"/>
    <w:rsid w:val="004006B8"/>
    <w:rsid w:val="004021FB"/>
    <w:rsid w:val="004036EE"/>
    <w:rsid w:val="004053FB"/>
    <w:rsid w:val="00405CBA"/>
    <w:rsid w:val="00405D24"/>
    <w:rsid w:val="004060E9"/>
    <w:rsid w:val="00410212"/>
    <w:rsid w:val="004232AB"/>
    <w:rsid w:val="0042559E"/>
    <w:rsid w:val="00427C44"/>
    <w:rsid w:val="004370FF"/>
    <w:rsid w:val="00442D7A"/>
    <w:rsid w:val="00450FDF"/>
    <w:rsid w:val="00451D43"/>
    <w:rsid w:val="00455AAC"/>
    <w:rsid w:val="00455B3C"/>
    <w:rsid w:val="004676D8"/>
    <w:rsid w:val="00467E0A"/>
    <w:rsid w:val="00471739"/>
    <w:rsid w:val="00473788"/>
    <w:rsid w:val="0048457F"/>
    <w:rsid w:val="00484C4E"/>
    <w:rsid w:val="00487D77"/>
    <w:rsid w:val="00490CB1"/>
    <w:rsid w:val="00491B19"/>
    <w:rsid w:val="00492AA0"/>
    <w:rsid w:val="004B0485"/>
    <w:rsid w:val="004B0913"/>
    <w:rsid w:val="004B3D91"/>
    <w:rsid w:val="004C01DB"/>
    <w:rsid w:val="004C69DD"/>
    <w:rsid w:val="004D3E90"/>
    <w:rsid w:val="004E6B72"/>
    <w:rsid w:val="004E7995"/>
    <w:rsid w:val="004F2067"/>
    <w:rsid w:val="004F2E20"/>
    <w:rsid w:val="004F40B7"/>
    <w:rsid w:val="004F4108"/>
    <w:rsid w:val="00501B01"/>
    <w:rsid w:val="00502A90"/>
    <w:rsid w:val="00507AC3"/>
    <w:rsid w:val="0051143B"/>
    <w:rsid w:val="00517065"/>
    <w:rsid w:val="0052118E"/>
    <w:rsid w:val="005214BB"/>
    <w:rsid w:val="005222E4"/>
    <w:rsid w:val="00541C60"/>
    <w:rsid w:val="005469FC"/>
    <w:rsid w:val="00551C9C"/>
    <w:rsid w:val="0055228C"/>
    <w:rsid w:val="00552543"/>
    <w:rsid w:val="00553706"/>
    <w:rsid w:val="00554DCB"/>
    <w:rsid w:val="005613CF"/>
    <w:rsid w:val="0056178D"/>
    <w:rsid w:val="0056360C"/>
    <w:rsid w:val="00566BB8"/>
    <w:rsid w:val="005723FC"/>
    <w:rsid w:val="00573408"/>
    <w:rsid w:val="00574344"/>
    <w:rsid w:val="0057614B"/>
    <w:rsid w:val="0057727D"/>
    <w:rsid w:val="00583191"/>
    <w:rsid w:val="00585179"/>
    <w:rsid w:val="00592963"/>
    <w:rsid w:val="005933AB"/>
    <w:rsid w:val="005934D7"/>
    <w:rsid w:val="00597FB9"/>
    <w:rsid w:val="005A15B3"/>
    <w:rsid w:val="005A18FC"/>
    <w:rsid w:val="005A3582"/>
    <w:rsid w:val="005B0009"/>
    <w:rsid w:val="005B622C"/>
    <w:rsid w:val="005C0533"/>
    <w:rsid w:val="005C2C43"/>
    <w:rsid w:val="005C37BF"/>
    <w:rsid w:val="005C7A39"/>
    <w:rsid w:val="005D0C60"/>
    <w:rsid w:val="005D78EE"/>
    <w:rsid w:val="005E2105"/>
    <w:rsid w:val="005E30C7"/>
    <w:rsid w:val="005E324E"/>
    <w:rsid w:val="005E44A4"/>
    <w:rsid w:val="005E4E4F"/>
    <w:rsid w:val="005F25EF"/>
    <w:rsid w:val="005F3CC5"/>
    <w:rsid w:val="005F49CB"/>
    <w:rsid w:val="00604124"/>
    <w:rsid w:val="00611327"/>
    <w:rsid w:val="00617D12"/>
    <w:rsid w:val="00621D48"/>
    <w:rsid w:val="006243C3"/>
    <w:rsid w:val="00627476"/>
    <w:rsid w:val="00627F56"/>
    <w:rsid w:val="00635C0E"/>
    <w:rsid w:val="0063683C"/>
    <w:rsid w:val="00636CA9"/>
    <w:rsid w:val="006425D4"/>
    <w:rsid w:val="0064748F"/>
    <w:rsid w:val="00653DC7"/>
    <w:rsid w:val="00664D1E"/>
    <w:rsid w:val="00665559"/>
    <w:rsid w:val="00665D49"/>
    <w:rsid w:val="00666FEC"/>
    <w:rsid w:val="00675932"/>
    <w:rsid w:val="00676A48"/>
    <w:rsid w:val="0068032E"/>
    <w:rsid w:val="0068318D"/>
    <w:rsid w:val="00684E5C"/>
    <w:rsid w:val="00685F2B"/>
    <w:rsid w:val="00687FBC"/>
    <w:rsid w:val="006923F1"/>
    <w:rsid w:val="00692D39"/>
    <w:rsid w:val="0069509C"/>
    <w:rsid w:val="00695C8F"/>
    <w:rsid w:val="00696F21"/>
    <w:rsid w:val="006979BA"/>
    <w:rsid w:val="006A1A14"/>
    <w:rsid w:val="006A6569"/>
    <w:rsid w:val="006B2E4F"/>
    <w:rsid w:val="006B4684"/>
    <w:rsid w:val="006B4E67"/>
    <w:rsid w:val="006B63FD"/>
    <w:rsid w:val="006C1776"/>
    <w:rsid w:val="006C4FD3"/>
    <w:rsid w:val="006C797D"/>
    <w:rsid w:val="006D03D8"/>
    <w:rsid w:val="006D0999"/>
    <w:rsid w:val="006D3E89"/>
    <w:rsid w:val="006D66BA"/>
    <w:rsid w:val="006E3934"/>
    <w:rsid w:val="006E7050"/>
    <w:rsid w:val="006F158E"/>
    <w:rsid w:val="006F1E58"/>
    <w:rsid w:val="006F220D"/>
    <w:rsid w:val="006F57B3"/>
    <w:rsid w:val="006F7BE4"/>
    <w:rsid w:val="007006D2"/>
    <w:rsid w:val="00703BA3"/>
    <w:rsid w:val="00703F42"/>
    <w:rsid w:val="0070511E"/>
    <w:rsid w:val="0070675F"/>
    <w:rsid w:val="007074F1"/>
    <w:rsid w:val="00711433"/>
    <w:rsid w:val="00711538"/>
    <w:rsid w:val="007178B3"/>
    <w:rsid w:val="0072020D"/>
    <w:rsid w:val="00720A96"/>
    <w:rsid w:val="007247D1"/>
    <w:rsid w:val="00726E7E"/>
    <w:rsid w:val="00736B9B"/>
    <w:rsid w:val="00737C8D"/>
    <w:rsid w:val="007452E1"/>
    <w:rsid w:val="00745B5F"/>
    <w:rsid w:val="0075336C"/>
    <w:rsid w:val="00754679"/>
    <w:rsid w:val="00761AAE"/>
    <w:rsid w:val="0076750C"/>
    <w:rsid w:val="00771B7F"/>
    <w:rsid w:val="007730A3"/>
    <w:rsid w:val="00780E0D"/>
    <w:rsid w:val="00781CD0"/>
    <w:rsid w:val="0078422A"/>
    <w:rsid w:val="0078509F"/>
    <w:rsid w:val="00790AAB"/>
    <w:rsid w:val="00791F7D"/>
    <w:rsid w:val="00794030"/>
    <w:rsid w:val="007955A7"/>
    <w:rsid w:val="00796E99"/>
    <w:rsid w:val="007A2044"/>
    <w:rsid w:val="007A3A48"/>
    <w:rsid w:val="007A3E97"/>
    <w:rsid w:val="007A487E"/>
    <w:rsid w:val="007A6D56"/>
    <w:rsid w:val="007B7ADC"/>
    <w:rsid w:val="007C01F6"/>
    <w:rsid w:val="007C108E"/>
    <w:rsid w:val="007C1C13"/>
    <w:rsid w:val="007C492A"/>
    <w:rsid w:val="007C6FD8"/>
    <w:rsid w:val="007D395B"/>
    <w:rsid w:val="007D413C"/>
    <w:rsid w:val="007D4B90"/>
    <w:rsid w:val="007E083B"/>
    <w:rsid w:val="007F784C"/>
    <w:rsid w:val="0080510F"/>
    <w:rsid w:val="00805572"/>
    <w:rsid w:val="00805C3E"/>
    <w:rsid w:val="0080634D"/>
    <w:rsid w:val="008074AE"/>
    <w:rsid w:val="00807808"/>
    <w:rsid w:val="0081188C"/>
    <w:rsid w:val="00815124"/>
    <w:rsid w:val="008167E7"/>
    <w:rsid w:val="008222E8"/>
    <w:rsid w:val="00823809"/>
    <w:rsid w:val="0082393B"/>
    <w:rsid w:val="00827254"/>
    <w:rsid w:val="00831CEB"/>
    <w:rsid w:val="008361A1"/>
    <w:rsid w:val="00836928"/>
    <w:rsid w:val="00843BE0"/>
    <w:rsid w:val="00844611"/>
    <w:rsid w:val="008527B8"/>
    <w:rsid w:val="00855298"/>
    <w:rsid w:val="00855DA2"/>
    <w:rsid w:val="0085618D"/>
    <w:rsid w:val="008570AD"/>
    <w:rsid w:val="00863620"/>
    <w:rsid w:val="008643BC"/>
    <w:rsid w:val="00870245"/>
    <w:rsid w:val="008717B6"/>
    <w:rsid w:val="008838A7"/>
    <w:rsid w:val="00893A2C"/>
    <w:rsid w:val="00896869"/>
    <w:rsid w:val="008A396B"/>
    <w:rsid w:val="008A3E12"/>
    <w:rsid w:val="008A416B"/>
    <w:rsid w:val="008B06C5"/>
    <w:rsid w:val="008B1052"/>
    <w:rsid w:val="008B1659"/>
    <w:rsid w:val="008B3CFD"/>
    <w:rsid w:val="008B5749"/>
    <w:rsid w:val="008B7AE1"/>
    <w:rsid w:val="008C1693"/>
    <w:rsid w:val="008C28EC"/>
    <w:rsid w:val="008C7F89"/>
    <w:rsid w:val="008E1CBA"/>
    <w:rsid w:val="008E22EA"/>
    <w:rsid w:val="008E25B7"/>
    <w:rsid w:val="008E2BAC"/>
    <w:rsid w:val="008E5807"/>
    <w:rsid w:val="008E7EDD"/>
    <w:rsid w:val="008E7FC2"/>
    <w:rsid w:val="008F1F31"/>
    <w:rsid w:val="008F7435"/>
    <w:rsid w:val="009003FF"/>
    <w:rsid w:val="00902195"/>
    <w:rsid w:val="00911225"/>
    <w:rsid w:val="009121D2"/>
    <w:rsid w:val="00921CD4"/>
    <w:rsid w:val="00921DD5"/>
    <w:rsid w:val="009237AA"/>
    <w:rsid w:val="009260FF"/>
    <w:rsid w:val="00931B37"/>
    <w:rsid w:val="00932E68"/>
    <w:rsid w:val="009337CC"/>
    <w:rsid w:val="009363DF"/>
    <w:rsid w:val="00937AD2"/>
    <w:rsid w:val="00937AD9"/>
    <w:rsid w:val="00944B95"/>
    <w:rsid w:val="009468F9"/>
    <w:rsid w:val="00952D80"/>
    <w:rsid w:val="009534E4"/>
    <w:rsid w:val="009565C9"/>
    <w:rsid w:val="00961C74"/>
    <w:rsid w:val="00962672"/>
    <w:rsid w:val="009655DF"/>
    <w:rsid w:val="00971781"/>
    <w:rsid w:val="00972DAD"/>
    <w:rsid w:val="0097544E"/>
    <w:rsid w:val="00984760"/>
    <w:rsid w:val="0098799E"/>
    <w:rsid w:val="009879AE"/>
    <w:rsid w:val="00991147"/>
    <w:rsid w:val="00991F48"/>
    <w:rsid w:val="00994815"/>
    <w:rsid w:val="00995159"/>
    <w:rsid w:val="009A068E"/>
    <w:rsid w:val="009A4D30"/>
    <w:rsid w:val="009A6B77"/>
    <w:rsid w:val="009B3AE9"/>
    <w:rsid w:val="009B3CB8"/>
    <w:rsid w:val="009B4E0E"/>
    <w:rsid w:val="009B53B6"/>
    <w:rsid w:val="009B5654"/>
    <w:rsid w:val="009C39AD"/>
    <w:rsid w:val="009C562A"/>
    <w:rsid w:val="009C75F7"/>
    <w:rsid w:val="009C7E0A"/>
    <w:rsid w:val="009D3D13"/>
    <w:rsid w:val="009D4EEB"/>
    <w:rsid w:val="009E7329"/>
    <w:rsid w:val="009F551A"/>
    <w:rsid w:val="009F6644"/>
    <w:rsid w:val="009F732B"/>
    <w:rsid w:val="00A0219C"/>
    <w:rsid w:val="00A02D9B"/>
    <w:rsid w:val="00A0350C"/>
    <w:rsid w:val="00A064BC"/>
    <w:rsid w:val="00A0661E"/>
    <w:rsid w:val="00A12179"/>
    <w:rsid w:val="00A12244"/>
    <w:rsid w:val="00A1266D"/>
    <w:rsid w:val="00A133A9"/>
    <w:rsid w:val="00A13EF4"/>
    <w:rsid w:val="00A165D8"/>
    <w:rsid w:val="00A2092C"/>
    <w:rsid w:val="00A20B49"/>
    <w:rsid w:val="00A2191D"/>
    <w:rsid w:val="00A23CAF"/>
    <w:rsid w:val="00A2472D"/>
    <w:rsid w:val="00A26297"/>
    <w:rsid w:val="00A26F14"/>
    <w:rsid w:val="00A312AF"/>
    <w:rsid w:val="00A33E67"/>
    <w:rsid w:val="00A34630"/>
    <w:rsid w:val="00A34883"/>
    <w:rsid w:val="00A36407"/>
    <w:rsid w:val="00A403C9"/>
    <w:rsid w:val="00A42A88"/>
    <w:rsid w:val="00A431BE"/>
    <w:rsid w:val="00A53FD6"/>
    <w:rsid w:val="00A5432B"/>
    <w:rsid w:val="00A55B3B"/>
    <w:rsid w:val="00A562AA"/>
    <w:rsid w:val="00A56A2D"/>
    <w:rsid w:val="00A5789E"/>
    <w:rsid w:val="00A57E90"/>
    <w:rsid w:val="00A615E7"/>
    <w:rsid w:val="00A61CC4"/>
    <w:rsid w:val="00A63ECF"/>
    <w:rsid w:val="00A66D94"/>
    <w:rsid w:val="00A70D28"/>
    <w:rsid w:val="00A73E2C"/>
    <w:rsid w:val="00A73EB9"/>
    <w:rsid w:val="00A773E9"/>
    <w:rsid w:val="00A847BB"/>
    <w:rsid w:val="00AA5A04"/>
    <w:rsid w:val="00AA5ADB"/>
    <w:rsid w:val="00AA5F29"/>
    <w:rsid w:val="00AB27F9"/>
    <w:rsid w:val="00AB2B6B"/>
    <w:rsid w:val="00AB681B"/>
    <w:rsid w:val="00AB6AB3"/>
    <w:rsid w:val="00AC724E"/>
    <w:rsid w:val="00AD3D0D"/>
    <w:rsid w:val="00AD56DA"/>
    <w:rsid w:val="00AD76F2"/>
    <w:rsid w:val="00AE2375"/>
    <w:rsid w:val="00AE2D46"/>
    <w:rsid w:val="00AE4059"/>
    <w:rsid w:val="00AE7640"/>
    <w:rsid w:val="00AF2365"/>
    <w:rsid w:val="00B00344"/>
    <w:rsid w:val="00B045F3"/>
    <w:rsid w:val="00B04C3A"/>
    <w:rsid w:val="00B0615B"/>
    <w:rsid w:val="00B103CE"/>
    <w:rsid w:val="00B114D0"/>
    <w:rsid w:val="00B11BB2"/>
    <w:rsid w:val="00B14672"/>
    <w:rsid w:val="00B14BFA"/>
    <w:rsid w:val="00B2292D"/>
    <w:rsid w:val="00B231CC"/>
    <w:rsid w:val="00B26AA6"/>
    <w:rsid w:val="00B270E9"/>
    <w:rsid w:val="00B300AE"/>
    <w:rsid w:val="00B33751"/>
    <w:rsid w:val="00B34666"/>
    <w:rsid w:val="00B37515"/>
    <w:rsid w:val="00B50557"/>
    <w:rsid w:val="00B52310"/>
    <w:rsid w:val="00B527D8"/>
    <w:rsid w:val="00B531EC"/>
    <w:rsid w:val="00B56489"/>
    <w:rsid w:val="00B56F05"/>
    <w:rsid w:val="00B620E1"/>
    <w:rsid w:val="00B62E2A"/>
    <w:rsid w:val="00B669E0"/>
    <w:rsid w:val="00B66CA3"/>
    <w:rsid w:val="00B7324B"/>
    <w:rsid w:val="00B814A5"/>
    <w:rsid w:val="00B907B9"/>
    <w:rsid w:val="00B93126"/>
    <w:rsid w:val="00B96861"/>
    <w:rsid w:val="00BA3210"/>
    <w:rsid w:val="00BA3F6E"/>
    <w:rsid w:val="00BA6BFC"/>
    <w:rsid w:val="00BA6C2B"/>
    <w:rsid w:val="00BA7C5A"/>
    <w:rsid w:val="00BB4684"/>
    <w:rsid w:val="00BB486E"/>
    <w:rsid w:val="00BB524A"/>
    <w:rsid w:val="00BB72C0"/>
    <w:rsid w:val="00BB7FE1"/>
    <w:rsid w:val="00BC24E9"/>
    <w:rsid w:val="00BC5AF7"/>
    <w:rsid w:val="00BC73D8"/>
    <w:rsid w:val="00BD237B"/>
    <w:rsid w:val="00BF0FC6"/>
    <w:rsid w:val="00BF19B9"/>
    <w:rsid w:val="00BF311F"/>
    <w:rsid w:val="00BF6B33"/>
    <w:rsid w:val="00C00BBA"/>
    <w:rsid w:val="00C026FB"/>
    <w:rsid w:val="00C030BD"/>
    <w:rsid w:val="00C06DF7"/>
    <w:rsid w:val="00C07CB2"/>
    <w:rsid w:val="00C07F79"/>
    <w:rsid w:val="00C264B0"/>
    <w:rsid w:val="00C3677B"/>
    <w:rsid w:val="00C37E70"/>
    <w:rsid w:val="00C4051D"/>
    <w:rsid w:val="00C43D0D"/>
    <w:rsid w:val="00C529F9"/>
    <w:rsid w:val="00C53C2E"/>
    <w:rsid w:val="00C60ACF"/>
    <w:rsid w:val="00C60BA2"/>
    <w:rsid w:val="00C63943"/>
    <w:rsid w:val="00C65F1A"/>
    <w:rsid w:val="00C70749"/>
    <w:rsid w:val="00C724F4"/>
    <w:rsid w:val="00C745E0"/>
    <w:rsid w:val="00C803BE"/>
    <w:rsid w:val="00C8225E"/>
    <w:rsid w:val="00C83DCE"/>
    <w:rsid w:val="00C84C4A"/>
    <w:rsid w:val="00C94C84"/>
    <w:rsid w:val="00C95BB9"/>
    <w:rsid w:val="00CA28F8"/>
    <w:rsid w:val="00CA4E27"/>
    <w:rsid w:val="00CA6A0D"/>
    <w:rsid w:val="00CB6AAA"/>
    <w:rsid w:val="00CC0A75"/>
    <w:rsid w:val="00CC40EA"/>
    <w:rsid w:val="00CC4497"/>
    <w:rsid w:val="00CD0079"/>
    <w:rsid w:val="00CD7493"/>
    <w:rsid w:val="00CE3651"/>
    <w:rsid w:val="00CF5707"/>
    <w:rsid w:val="00CF5EDA"/>
    <w:rsid w:val="00CF7FD3"/>
    <w:rsid w:val="00D0646C"/>
    <w:rsid w:val="00D0669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426FC"/>
    <w:rsid w:val="00D42DF6"/>
    <w:rsid w:val="00D43C42"/>
    <w:rsid w:val="00D4465A"/>
    <w:rsid w:val="00D53DA2"/>
    <w:rsid w:val="00D55484"/>
    <w:rsid w:val="00D55E15"/>
    <w:rsid w:val="00D572DC"/>
    <w:rsid w:val="00D6068D"/>
    <w:rsid w:val="00D71043"/>
    <w:rsid w:val="00D739EF"/>
    <w:rsid w:val="00D742D8"/>
    <w:rsid w:val="00D75117"/>
    <w:rsid w:val="00D7637C"/>
    <w:rsid w:val="00D80B43"/>
    <w:rsid w:val="00D80BBB"/>
    <w:rsid w:val="00D817E8"/>
    <w:rsid w:val="00D82C0F"/>
    <w:rsid w:val="00D908DC"/>
    <w:rsid w:val="00D93721"/>
    <w:rsid w:val="00D9427B"/>
    <w:rsid w:val="00DA09D2"/>
    <w:rsid w:val="00DA33A9"/>
    <w:rsid w:val="00DA51DD"/>
    <w:rsid w:val="00DA6B96"/>
    <w:rsid w:val="00DB2FFD"/>
    <w:rsid w:val="00DC0804"/>
    <w:rsid w:val="00DC3909"/>
    <w:rsid w:val="00DC4C3B"/>
    <w:rsid w:val="00DC5F70"/>
    <w:rsid w:val="00DD2088"/>
    <w:rsid w:val="00DD3023"/>
    <w:rsid w:val="00DD468E"/>
    <w:rsid w:val="00DD4B8B"/>
    <w:rsid w:val="00DD6BF3"/>
    <w:rsid w:val="00DD6EB6"/>
    <w:rsid w:val="00DD7A81"/>
    <w:rsid w:val="00DE0142"/>
    <w:rsid w:val="00DE1F75"/>
    <w:rsid w:val="00DE24FC"/>
    <w:rsid w:val="00DE7FBA"/>
    <w:rsid w:val="00DF1652"/>
    <w:rsid w:val="00DF1F27"/>
    <w:rsid w:val="00DF310C"/>
    <w:rsid w:val="00DF6C80"/>
    <w:rsid w:val="00E0067C"/>
    <w:rsid w:val="00E03C06"/>
    <w:rsid w:val="00E05876"/>
    <w:rsid w:val="00E07959"/>
    <w:rsid w:val="00E110F5"/>
    <w:rsid w:val="00E12A66"/>
    <w:rsid w:val="00E14CA4"/>
    <w:rsid w:val="00E16BDD"/>
    <w:rsid w:val="00E1701D"/>
    <w:rsid w:val="00E21FE9"/>
    <w:rsid w:val="00E22826"/>
    <w:rsid w:val="00E32C72"/>
    <w:rsid w:val="00E34BDD"/>
    <w:rsid w:val="00E41CF1"/>
    <w:rsid w:val="00E43A8B"/>
    <w:rsid w:val="00E469F4"/>
    <w:rsid w:val="00E476EE"/>
    <w:rsid w:val="00E478C7"/>
    <w:rsid w:val="00E508CC"/>
    <w:rsid w:val="00E517A1"/>
    <w:rsid w:val="00E53CF4"/>
    <w:rsid w:val="00E63CB0"/>
    <w:rsid w:val="00E66F31"/>
    <w:rsid w:val="00E70A7F"/>
    <w:rsid w:val="00E71BE5"/>
    <w:rsid w:val="00E77352"/>
    <w:rsid w:val="00E777F7"/>
    <w:rsid w:val="00E954F4"/>
    <w:rsid w:val="00EA00BC"/>
    <w:rsid w:val="00EA2C4E"/>
    <w:rsid w:val="00EA563C"/>
    <w:rsid w:val="00EA6A1A"/>
    <w:rsid w:val="00EB091E"/>
    <w:rsid w:val="00EB5CB1"/>
    <w:rsid w:val="00EB625D"/>
    <w:rsid w:val="00EB648B"/>
    <w:rsid w:val="00EB7486"/>
    <w:rsid w:val="00EC16F2"/>
    <w:rsid w:val="00EC2234"/>
    <w:rsid w:val="00EC2962"/>
    <w:rsid w:val="00EC3FE4"/>
    <w:rsid w:val="00EC6E8D"/>
    <w:rsid w:val="00ED0B1D"/>
    <w:rsid w:val="00ED11F9"/>
    <w:rsid w:val="00ED151D"/>
    <w:rsid w:val="00ED22CD"/>
    <w:rsid w:val="00ED449B"/>
    <w:rsid w:val="00ED4BC4"/>
    <w:rsid w:val="00ED553F"/>
    <w:rsid w:val="00ED6080"/>
    <w:rsid w:val="00EF2EF3"/>
    <w:rsid w:val="00EF4FB9"/>
    <w:rsid w:val="00F01211"/>
    <w:rsid w:val="00F0160A"/>
    <w:rsid w:val="00F1430B"/>
    <w:rsid w:val="00F152BA"/>
    <w:rsid w:val="00F161B4"/>
    <w:rsid w:val="00F17E46"/>
    <w:rsid w:val="00F219EC"/>
    <w:rsid w:val="00F22204"/>
    <w:rsid w:val="00F2239D"/>
    <w:rsid w:val="00F23953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07B9"/>
    <w:rsid w:val="00F51CFE"/>
    <w:rsid w:val="00F707B9"/>
    <w:rsid w:val="00F709EA"/>
    <w:rsid w:val="00F7617F"/>
    <w:rsid w:val="00F772A6"/>
    <w:rsid w:val="00F806CA"/>
    <w:rsid w:val="00F816CE"/>
    <w:rsid w:val="00F81ABE"/>
    <w:rsid w:val="00F82525"/>
    <w:rsid w:val="00F8389E"/>
    <w:rsid w:val="00F85E92"/>
    <w:rsid w:val="00F863D1"/>
    <w:rsid w:val="00F8796F"/>
    <w:rsid w:val="00F92010"/>
    <w:rsid w:val="00F93AF0"/>
    <w:rsid w:val="00F9529D"/>
    <w:rsid w:val="00FA1844"/>
    <w:rsid w:val="00FA78F3"/>
    <w:rsid w:val="00FB0237"/>
    <w:rsid w:val="00FB2B55"/>
    <w:rsid w:val="00FB3011"/>
    <w:rsid w:val="00FB5032"/>
    <w:rsid w:val="00FC6914"/>
    <w:rsid w:val="00FC693F"/>
    <w:rsid w:val="00FD189D"/>
    <w:rsid w:val="00FD1E24"/>
    <w:rsid w:val="00FD2F6E"/>
    <w:rsid w:val="00FE1EFC"/>
    <w:rsid w:val="00FE233E"/>
    <w:rsid w:val="00FE7BCF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8E0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6861"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781CD0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781CD0"/>
    <w:rPr>
      <w:rFonts w:ascii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781CD0"/>
    <w:pPr>
      <w:ind w:left="720"/>
      <w:contextualSpacing/>
    </w:pPr>
  </w:style>
  <w:style w:type="table" w:styleId="Mriekatabuky">
    <w:name w:val="Table Grid"/>
    <w:basedOn w:val="Normlnatabuka"/>
    <w:uiPriority w:val="59"/>
    <w:rsid w:val="0076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C6F35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locked/>
    <w:rsid w:val="001C6F35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C6F35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PtaChar">
    <w:name w:val="Päta Char"/>
    <w:link w:val="Pta"/>
    <w:uiPriority w:val="99"/>
    <w:locked/>
    <w:rsid w:val="001C6F35"/>
    <w:rPr>
      <w:rFonts w:cs="Times New Roman"/>
    </w:rPr>
  </w:style>
  <w:style w:type="paragraph" w:styleId="Textbubliny">
    <w:name w:val="Balloon Text"/>
    <w:basedOn w:val="Normlny"/>
    <w:semiHidden/>
    <w:rsid w:val="00D763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4B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prepojenie">
    <w:name w:val="Hyperlink"/>
    <w:uiPriority w:val="99"/>
    <w:rsid w:val="00D446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6861"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781CD0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781CD0"/>
    <w:rPr>
      <w:rFonts w:ascii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781CD0"/>
    <w:pPr>
      <w:ind w:left="720"/>
      <w:contextualSpacing/>
    </w:pPr>
  </w:style>
  <w:style w:type="table" w:styleId="Mriekatabuky">
    <w:name w:val="Table Grid"/>
    <w:basedOn w:val="Normlnatabuka"/>
    <w:uiPriority w:val="59"/>
    <w:rsid w:val="0076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C6F35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locked/>
    <w:rsid w:val="001C6F35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C6F35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PtaChar">
    <w:name w:val="Päta Char"/>
    <w:link w:val="Pta"/>
    <w:uiPriority w:val="99"/>
    <w:locked/>
    <w:rsid w:val="001C6F35"/>
    <w:rPr>
      <w:rFonts w:cs="Times New Roman"/>
    </w:rPr>
  </w:style>
  <w:style w:type="paragraph" w:styleId="Textbubliny">
    <w:name w:val="Balloon Text"/>
    <w:basedOn w:val="Normlny"/>
    <w:semiHidden/>
    <w:rsid w:val="00D763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4B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prepojenie">
    <w:name w:val="Hyperlink"/>
    <w:uiPriority w:val="99"/>
    <w:rsid w:val="00D44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5953</Words>
  <Characters>37114</Characters>
  <Application>Microsoft Office Word</Application>
  <DocSecurity>0</DocSecurity>
  <Lines>309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42982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Skladaná, Judita</cp:lastModifiedBy>
  <cp:revision>2</cp:revision>
  <cp:lastPrinted>2018-05-30T12:14:00Z</cp:lastPrinted>
  <dcterms:created xsi:type="dcterms:W3CDTF">2018-05-30T12:15:00Z</dcterms:created>
  <dcterms:modified xsi:type="dcterms:W3CDTF">2018-05-30T12:15:00Z</dcterms:modified>
</cp:coreProperties>
</file>